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02D" w:rsidRPr="00ED1E3E" w:rsidRDefault="0095602D" w:rsidP="0095602D">
      <w:pPr>
        <w:spacing w:line="240" w:lineRule="auto"/>
        <w:rPr>
          <w:sz w:val="2"/>
          <w:lang w:val="fr-CH"/>
        </w:rPr>
        <w:sectPr w:rsidR="0095602D" w:rsidRPr="00ED1E3E" w:rsidSect="0095602D">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ED1E3E">
        <w:rPr>
          <w:rStyle w:val="CommentReference"/>
          <w:lang w:val="fr-CH"/>
        </w:rPr>
        <w:commentReference w:id="0"/>
      </w:r>
    </w:p>
    <w:p w:rsidR="0095602D" w:rsidRPr="00ED1E3E" w:rsidRDefault="0095602D" w:rsidP="0095602D">
      <w:pPr>
        <w:pStyle w:val="H1"/>
        <w:rPr>
          <w:lang w:val="fr-CH"/>
        </w:rPr>
      </w:pPr>
      <w:r w:rsidRPr="00ED1E3E">
        <w:rPr>
          <w:lang w:val="fr-CH"/>
        </w:rPr>
        <w:lastRenderedPageBreak/>
        <w:t>Conseil des droits de l’homme</w:t>
      </w:r>
    </w:p>
    <w:p w:rsidR="00393579" w:rsidRPr="00ED1E3E" w:rsidRDefault="00393579" w:rsidP="0039357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Trentième session</w:t>
      </w:r>
    </w:p>
    <w:p w:rsidR="00393579" w:rsidRPr="00ED1E3E" w:rsidRDefault="00393579" w:rsidP="00393579">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CH"/>
        </w:rPr>
      </w:pPr>
      <w:r w:rsidRPr="00ED1E3E">
        <w:rPr>
          <w:lang w:val="fr-CH"/>
        </w:rPr>
        <w:t>Points 2 et 3 de l’ordre du jour</w:t>
      </w:r>
      <w:bookmarkStart w:id="1" w:name="_GoBack"/>
      <w:bookmarkEnd w:id="1"/>
    </w:p>
    <w:p w:rsidR="00393579" w:rsidRPr="00ED1E3E" w:rsidRDefault="00393579" w:rsidP="00393579">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spacing w:after="120"/>
        <w:rPr>
          <w:lang w:val="fr-CH"/>
        </w:rPr>
      </w:pPr>
      <w:r w:rsidRPr="00ED1E3E">
        <w:rPr>
          <w:lang w:val="fr-CH"/>
        </w:rPr>
        <w:t xml:space="preserve">Rapport annuel du Haut-Commissaire des Nations Unies </w:t>
      </w:r>
      <w:r w:rsidRPr="00ED1E3E">
        <w:rPr>
          <w:lang w:val="fr-CH"/>
        </w:rPr>
        <w:br/>
        <w:t xml:space="preserve">aux droits de l’homme et rapports du Haut-Commissariat </w:t>
      </w:r>
      <w:r w:rsidRPr="00ED1E3E">
        <w:rPr>
          <w:lang w:val="fr-CH"/>
        </w:rPr>
        <w:br/>
        <w:t>et du Secrétaire général</w:t>
      </w:r>
    </w:p>
    <w:p w:rsidR="00393579" w:rsidRPr="00ED1E3E" w:rsidRDefault="00393579" w:rsidP="00393579">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ED1E3E">
        <w:rPr>
          <w:lang w:val="fr-CH"/>
        </w:rPr>
        <w:t xml:space="preserve">Promotion et protection de tous les droits de l’homme, </w:t>
      </w:r>
      <w:r w:rsidR="005C1C93" w:rsidRPr="00ED1E3E">
        <w:rPr>
          <w:lang w:val="fr-CH"/>
        </w:rPr>
        <w:br/>
      </w:r>
      <w:r w:rsidRPr="00ED1E3E">
        <w:rPr>
          <w:lang w:val="fr-CH"/>
        </w:rPr>
        <w:t xml:space="preserve">civils, politiques, économiques, sociaux et culturels, </w:t>
      </w:r>
      <w:r w:rsidRPr="00ED1E3E">
        <w:rPr>
          <w:lang w:val="fr-CH"/>
        </w:rPr>
        <w:br/>
        <w:t>y compris le droit au développement</w:t>
      </w:r>
    </w:p>
    <w:p w:rsidR="00393579" w:rsidRPr="00ED1E3E" w:rsidRDefault="00393579" w:rsidP="00393579">
      <w:pPr>
        <w:spacing w:line="120" w:lineRule="exact"/>
        <w:rPr>
          <w:sz w:val="10"/>
          <w:lang w:val="fr-CH"/>
        </w:rPr>
      </w:pPr>
    </w:p>
    <w:p w:rsidR="00393579" w:rsidRPr="00ED1E3E" w:rsidRDefault="00393579" w:rsidP="00393579">
      <w:pPr>
        <w:spacing w:line="120" w:lineRule="exact"/>
        <w:rPr>
          <w:sz w:val="10"/>
          <w:lang w:val="fr-CH"/>
        </w:rPr>
      </w:pPr>
    </w:p>
    <w:p w:rsidR="00393579" w:rsidRPr="00ED1E3E" w:rsidRDefault="00393579" w:rsidP="00393579">
      <w:pPr>
        <w:spacing w:line="120" w:lineRule="exact"/>
        <w:rPr>
          <w:sz w:val="10"/>
          <w:lang w:val="fr-CH"/>
        </w:rPr>
      </w:pPr>
    </w:p>
    <w:p w:rsidR="00393579" w:rsidRPr="00ED1E3E" w:rsidRDefault="00393579" w:rsidP="0039357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r>
      <w:r w:rsidRPr="00ED1E3E">
        <w:rPr>
          <w:lang w:val="fr-CH"/>
        </w:rPr>
        <w:tab/>
        <w:t xml:space="preserve">Incidences de l’incarcération excessive </w:t>
      </w:r>
      <w:r w:rsidRPr="00ED1E3E">
        <w:rPr>
          <w:lang w:val="fr-CH"/>
        </w:rPr>
        <w:br/>
        <w:t xml:space="preserve">et de la surpopulation carcérale </w:t>
      </w:r>
      <w:r w:rsidRPr="00ED1E3E">
        <w:rPr>
          <w:lang w:val="fr-CH"/>
        </w:rPr>
        <w:br/>
        <w:t>sur les droits de l’homme</w:t>
      </w:r>
    </w:p>
    <w:p w:rsidR="00393579" w:rsidRPr="00ED1E3E" w:rsidRDefault="00393579" w:rsidP="00393579">
      <w:pPr>
        <w:pStyle w:val="SingleTxt"/>
        <w:spacing w:after="0" w:line="120" w:lineRule="exact"/>
        <w:rPr>
          <w:sz w:val="10"/>
          <w:lang w:val="fr-CH"/>
        </w:rPr>
      </w:pPr>
    </w:p>
    <w:p w:rsidR="00393579" w:rsidRPr="00ED1E3E" w:rsidRDefault="00393579" w:rsidP="00393579">
      <w:pPr>
        <w:pStyle w:val="SingleTxt"/>
        <w:spacing w:after="0" w:line="120" w:lineRule="exact"/>
        <w:rPr>
          <w:sz w:val="10"/>
          <w:lang w:val="fr-CH"/>
        </w:rPr>
      </w:pPr>
    </w:p>
    <w:p w:rsidR="00393579" w:rsidRPr="00ED1E3E" w:rsidRDefault="00393579" w:rsidP="0039357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r>
      <w:r w:rsidRPr="00ED1E3E">
        <w:rPr>
          <w:lang w:val="fr-CH"/>
        </w:rPr>
        <w:tab/>
        <w:t xml:space="preserve">Rapport du Haut-Commissaire des Nations Unies </w:t>
      </w:r>
      <w:r w:rsidRPr="00ED1E3E">
        <w:rPr>
          <w:lang w:val="fr-CH"/>
        </w:rPr>
        <w:br/>
        <w:t>aux droits de l’homme</w:t>
      </w:r>
    </w:p>
    <w:p w:rsidR="00393579" w:rsidRPr="00ED1E3E" w:rsidRDefault="00393579" w:rsidP="00393579">
      <w:pPr>
        <w:pStyle w:val="SingleTxt"/>
        <w:spacing w:after="0" w:line="120" w:lineRule="exact"/>
        <w:rPr>
          <w:sz w:val="10"/>
          <w:lang w:val="fr-CH"/>
        </w:rPr>
      </w:pPr>
    </w:p>
    <w:p w:rsidR="00393579" w:rsidRPr="00ED1E3E" w:rsidRDefault="00393579" w:rsidP="00393579">
      <w:pPr>
        <w:pStyle w:val="SingleTxt"/>
        <w:spacing w:after="0" w:line="120" w:lineRule="exact"/>
        <w:rPr>
          <w:sz w:val="10"/>
          <w:lang w:val="fr-CH"/>
        </w:rPr>
      </w:pPr>
    </w:p>
    <w:p w:rsidR="00393579" w:rsidRPr="00ED1E3E" w:rsidRDefault="00393579" w:rsidP="00393579">
      <w:pPr>
        <w:pStyle w:val="SingleTxt"/>
        <w:spacing w:after="0" w:line="120" w:lineRule="exact"/>
        <w:rPr>
          <w:sz w:val="10"/>
          <w:lang w:val="fr-CH"/>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393579" w:rsidRPr="00ED1E3E" w:rsidTr="00393579">
        <w:tc>
          <w:tcPr>
            <w:tcW w:w="10051" w:type="dxa"/>
            <w:tcBorders>
              <w:top w:val="single" w:sz="2" w:space="0" w:color="auto"/>
            </w:tcBorders>
            <w:shd w:val="clear" w:color="auto" w:fill="auto"/>
          </w:tcPr>
          <w:p w:rsidR="00393579" w:rsidRPr="00ED1E3E" w:rsidRDefault="00393579" w:rsidP="00393579">
            <w:pPr>
              <w:tabs>
                <w:tab w:val="left" w:pos="240"/>
              </w:tabs>
              <w:spacing w:before="240" w:after="120"/>
              <w:rPr>
                <w:i/>
                <w:sz w:val="24"/>
                <w:lang w:val="fr-CH"/>
              </w:rPr>
            </w:pPr>
            <w:r w:rsidRPr="00ED1E3E">
              <w:rPr>
                <w:i/>
                <w:sz w:val="24"/>
                <w:lang w:val="fr-CH"/>
              </w:rPr>
              <w:tab/>
              <w:t>Résumé</w:t>
            </w:r>
          </w:p>
        </w:tc>
      </w:tr>
      <w:tr w:rsidR="00393579" w:rsidRPr="00ED1E3E" w:rsidTr="00393579">
        <w:tc>
          <w:tcPr>
            <w:tcW w:w="10051" w:type="dxa"/>
            <w:shd w:val="clear" w:color="auto" w:fill="auto"/>
          </w:tcPr>
          <w:p w:rsidR="00393579" w:rsidRPr="00ED1E3E" w:rsidRDefault="00393579" w:rsidP="00393579">
            <w:pPr>
              <w:pStyle w:val="SingleTxt"/>
              <w:rPr>
                <w:lang w:val="fr-CH"/>
              </w:rPr>
            </w:pPr>
            <w:r w:rsidRPr="00ED1E3E">
              <w:rPr>
                <w:lang w:val="fr-CH"/>
              </w:rPr>
              <w:tab/>
              <w:t>Le présent rapport est soumis en application de la résolution 24/12 du Conseil des droits de l’homme. Il contient une analyse des incidences de l’incarcération excessive et de la surpopulation carcérale sur les droits de l’homme, qui repose sur l’expérience des mécanismes des droits de l’homme de l’Organisation des Nations Unies et des mécanismes régionaux des droits de l’homme, et sur les vues des États, notamment au sujet de leurs pratiques en matière de solutions de substitution à la détention, ainsi que celles des autres parties prenantes concernées.</w:t>
            </w:r>
          </w:p>
        </w:tc>
      </w:tr>
      <w:tr w:rsidR="00393579" w:rsidRPr="00ED1E3E" w:rsidTr="00393579">
        <w:tc>
          <w:tcPr>
            <w:tcW w:w="10051" w:type="dxa"/>
            <w:tcBorders>
              <w:bottom w:val="single" w:sz="2" w:space="0" w:color="auto"/>
            </w:tcBorders>
            <w:shd w:val="clear" w:color="auto" w:fill="auto"/>
          </w:tcPr>
          <w:p w:rsidR="00393579" w:rsidRPr="00ED1E3E" w:rsidRDefault="00393579" w:rsidP="00393579">
            <w:pPr>
              <w:pStyle w:val="SingleTxt"/>
              <w:rPr>
                <w:lang w:val="fr-CH"/>
              </w:rPr>
            </w:pPr>
          </w:p>
        </w:tc>
      </w:tr>
    </w:tbl>
    <w:p w:rsidR="00C30A2C" w:rsidRPr="00ED1E3E" w:rsidRDefault="00393579">
      <w:pPr>
        <w:spacing w:line="240" w:lineRule="auto"/>
        <w:rPr>
          <w:b/>
          <w:lang w:val="fr-CH"/>
        </w:rPr>
      </w:pPr>
      <w:r w:rsidRPr="00ED1E3E">
        <w:rPr>
          <w:b/>
          <w:lang w:val="fr-CH"/>
        </w:rPr>
        <w:br w:type="page"/>
      </w:r>
    </w:p>
    <w:p w:rsidR="00C30A2C" w:rsidRPr="00ED1E3E" w:rsidRDefault="00C30A2C" w:rsidP="00C30A2C">
      <w:pPr>
        <w:pStyle w:val="HCH"/>
        <w:spacing w:after="120"/>
        <w:rPr>
          <w:lang w:val="fr-CH"/>
        </w:rPr>
      </w:pPr>
      <w:r w:rsidRPr="00ED1E3E">
        <w:rPr>
          <w:lang w:val="fr-CH"/>
        </w:rPr>
        <w:lastRenderedPageBreak/>
        <w:t>Table des matières</w:t>
      </w:r>
    </w:p>
    <w:tbl>
      <w:tblPr>
        <w:tblW w:w="10035" w:type="dxa"/>
        <w:tblLayout w:type="fixed"/>
        <w:tblCellMar>
          <w:left w:w="0" w:type="dxa"/>
          <w:right w:w="0" w:type="dxa"/>
        </w:tblCellMar>
        <w:tblLook w:val="0000" w:firstRow="0" w:lastRow="0" w:firstColumn="0" w:lastColumn="0" w:noHBand="0" w:noVBand="0"/>
      </w:tblPr>
      <w:tblGrid>
        <w:gridCol w:w="1060"/>
        <w:gridCol w:w="7315"/>
        <w:gridCol w:w="994"/>
        <w:gridCol w:w="666"/>
      </w:tblGrid>
      <w:tr w:rsidR="00C30A2C" w:rsidRPr="00ED1E3E" w:rsidTr="005260AA">
        <w:tc>
          <w:tcPr>
            <w:tcW w:w="1060" w:type="dxa"/>
            <w:shd w:val="clear" w:color="auto" w:fill="auto"/>
          </w:tcPr>
          <w:p w:rsidR="00C30A2C" w:rsidRPr="00ED1E3E" w:rsidRDefault="00C30A2C" w:rsidP="00C30A2C">
            <w:pPr>
              <w:spacing w:after="120" w:line="240" w:lineRule="auto"/>
              <w:jc w:val="right"/>
              <w:rPr>
                <w:i/>
                <w:sz w:val="14"/>
                <w:lang w:val="fr-CH"/>
              </w:rPr>
            </w:pPr>
          </w:p>
        </w:tc>
        <w:tc>
          <w:tcPr>
            <w:tcW w:w="7315" w:type="dxa"/>
            <w:shd w:val="clear" w:color="auto" w:fill="auto"/>
          </w:tcPr>
          <w:p w:rsidR="00C30A2C" w:rsidRPr="00ED1E3E" w:rsidRDefault="00C30A2C" w:rsidP="00C30A2C">
            <w:pPr>
              <w:spacing w:after="120" w:line="240" w:lineRule="auto"/>
              <w:rPr>
                <w:i/>
                <w:sz w:val="14"/>
                <w:lang w:val="fr-CH"/>
              </w:rPr>
            </w:pPr>
          </w:p>
        </w:tc>
        <w:tc>
          <w:tcPr>
            <w:tcW w:w="994" w:type="dxa"/>
            <w:shd w:val="clear" w:color="auto" w:fill="auto"/>
          </w:tcPr>
          <w:p w:rsidR="00C30A2C" w:rsidRPr="00ED1E3E" w:rsidRDefault="00C30A2C" w:rsidP="00C30A2C">
            <w:pPr>
              <w:spacing w:after="120" w:line="240" w:lineRule="auto"/>
              <w:jc w:val="right"/>
              <w:rPr>
                <w:i/>
                <w:sz w:val="14"/>
                <w:lang w:val="fr-CH"/>
              </w:rPr>
            </w:pPr>
          </w:p>
        </w:tc>
        <w:tc>
          <w:tcPr>
            <w:tcW w:w="666" w:type="dxa"/>
            <w:shd w:val="clear" w:color="auto" w:fill="auto"/>
          </w:tcPr>
          <w:p w:rsidR="00C30A2C" w:rsidRPr="00ED1E3E" w:rsidRDefault="00C30A2C" w:rsidP="00C30A2C">
            <w:pPr>
              <w:spacing w:after="120" w:line="240" w:lineRule="auto"/>
              <w:jc w:val="right"/>
              <w:rPr>
                <w:i/>
                <w:sz w:val="14"/>
                <w:lang w:val="fr-CH"/>
              </w:rPr>
            </w:pPr>
            <w:r w:rsidRPr="00ED1E3E">
              <w:rPr>
                <w:i/>
                <w:sz w:val="14"/>
                <w:lang w:val="fr-CH"/>
              </w:rPr>
              <w:t>Page</w:t>
            </w:r>
          </w:p>
        </w:tc>
      </w:tr>
      <w:tr w:rsidR="00C30A2C" w:rsidRPr="00ED1E3E" w:rsidTr="005260AA">
        <w:tc>
          <w:tcPr>
            <w:tcW w:w="9369" w:type="dxa"/>
            <w:gridSpan w:val="3"/>
            <w:shd w:val="clear" w:color="auto" w:fill="auto"/>
          </w:tcPr>
          <w:p w:rsidR="00C30A2C" w:rsidRPr="00ED1E3E" w:rsidRDefault="008F1675" w:rsidP="008F1675">
            <w:pPr>
              <w:pStyle w:val="ListParagraph"/>
              <w:numPr>
                <w:ilvl w:val="0"/>
                <w:numId w:val="13"/>
              </w:numPr>
              <w:tabs>
                <w:tab w:val="left" w:pos="1296"/>
                <w:tab w:val="left" w:pos="1728"/>
                <w:tab w:val="right" w:leader="dot" w:pos="9360"/>
              </w:tabs>
              <w:suppressAutoHyphens/>
              <w:spacing w:after="120"/>
              <w:rPr>
                <w:lang w:val="fr-CH"/>
              </w:rPr>
            </w:pPr>
            <w:r w:rsidRPr="00ED1E3E">
              <w:rPr>
                <w:lang w:val="fr-CH"/>
              </w:rPr>
              <w:t>Introduction</w:t>
            </w:r>
            <w:r w:rsidRPr="00ED1E3E">
              <w:rPr>
                <w:spacing w:val="60"/>
                <w:sz w:val="17"/>
                <w:lang w:val="fr-CH"/>
              </w:rPr>
              <w:tab/>
            </w:r>
          </w:p>
        </w:tc>
        <w:tc>
          <w:tcPr>
            <w:tcW w:w="666" w:type="dxa"/>
            <w:shd w:val="clear" w:color="auto" w:fill="auto"/>
            <w:vAlign w:val="bottom"/>
          </w:tcPr>
          <w:p w:rsidR="00C30A2C" w:rsidRPr="00ED1E3E" w:rsidRDefault="008F1675" w:rsidP="00C30A2C">
            <w:pPr>
              <w:spacing w:after="120"/>
              <w:ind w:right="40"/>
              <w:jc w:val="right"/>
              <w:rPr>
                <w:lang w:val="fr-CH"/>
              </w:rPr>
            </w:pPr>
            <w:r w:rsidRPr="00ED1E3E">
              <w:rPr>
                <w:lang w:val="fr-CH"/>
              </w:rPr>
              <w:t>3</w:t>
            </w:r>
          </w:p>
        </w:tc>
      </w:tr>
      <w:tr w:rsidR="008F1675" w:rsidRPr="00ED1E3E" w:rsidTr="005260AA">
        <w:tc>
          <w:tcPr>
            <w:tcW w:w="9369" w:type="dxa"/>
            <w:gridSpan w:val="3"/>
            <w:shd w:val="clear" w:color="auto" w:fill="auto"/>
          </w:tcPr>
          <w:p w:rsidR="008F1675" w:rsidRPr="00ED1E3E" w:rsidRDefault="008F1675" w:rsidP="008F1675">
            <w:pPr>
              <w:pStyle w:val="ListParagraph"/>
              <w:numPr>
                <w:ilvl w:val="0"/>
                <w:numId w:val="13"/>
              </w:numPr>
              <w:tabs>
                <w:tab w:val="left" w:pos="1296"/>
                <w:tab w:val="left" w:pos="1728"/>
                <w:tab w:val="left" w:pos="2160"/>
                <w:tab w:val="right" w:leader="dot" w:pos="9360"/>
              </w:tabs>
              <w:suppressAutoHyphens/>
              <w:spacing w:after="120"/>
              <w:rPr>
                <w:lang w:val="fr-CH"/>
              </w:rPr>
            </w:pPr>
            <w:r w:rsidRPr="00ED1E3E">
              <w:rPr>
                <w:lang w:val="fr-CH"/>
              </w:rPr>
              <w:t xml:space="preserve">L’incidence de l’incarcération excessive et de la surpopulation carcérale sur les droits </w:t>
            </w:r>
            <w:r w:rsidRPr="00ED1E3E">
              <w:rPr>
                <w:lang w:val="fr-CH"/>
              </w:rPr>
              <w:br/>
              <w:t>de l’homme</w:t>
            </w:r>
            <w:r w:rsidRPr="00ED1E3E">
              <w:rPr>
                <w:spacing w:val="60"/>
                <w:sz w:val="17"/>
                <w:lang w:val="fr-CH"/>
              </w:rPr>
              <w:tab/>
            </w:r>
          </w:p>
        </w:tc>
        <w:tc>
          <w:tcPr>
            <w:tcW w:w="666" w:type="dxa"/>
            <w:shd w:val="clear" w:color="auto" w:fill="auto"/>
            <w:vAlign w:val="bottom"/>
          </w:tcPr>
          <w:p w:rsidR="008F1675" w:rsidRPr="00ED1E3E" w:rsidRDefault="008F1675" w:rsidP="00C30A2C">
            <w:pPr>
              <w:spacing w:after="120"/>
              <w:ind w:right="40"/>
              <w:jc w:val="right"/>
              <w:rPr>
                <w:lang w:val="fr-CH"/>
              </w:rPr>
            </w:pPr>
            <w:r w:rsidRPr="00ED1E3E">
              <w:rPr>
                <w:lang w:val="fr-CH"/>
              </w:rPr>
              <w:t>4</w:t>
            </w:r>
          </w:p>
        </w:tc>
      </w:tr>
      <w:tr w:rsidR="008F1675" w:rsidRPr="00ED1E3E" w:rsidTr="005260AA">
        <w:tc>
          <w:tcPr>
            <w:tcW w:w="9369" w:type="dxa"/>
            <w:gridSpan w:val="3"/>
            <w:shd w:val="clear" w:color="auto" w:fill="auto"/>
          </w:tcPr>
          <w:p w:rsidR="008F1675" w:rsidRPr="00ED1E3E" w:rsidRDefault="008F1675" w:rsidP="008F1675">
            <w:pPr>
              <w:pStyle w:val="ListParagraph"/>
              <w:numPr>
                <w:ilvl w:val="1"/>
                <w:numId w:val="13"/>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sidRPr="00ED1E3E">
              <w:rPr>
                <w:lang w:val="fr-CH"/>
              </w:rPr>
              <w:t>Le droit à la liberté et à la sécurité</w:t>
            </w:r>
            <w:r w:rsidRPr="00ED1E3E">
              <w:rPr>
                <w:spacing w:val="60"/>
                <w:sz w:val="17"/>
                <w:lang w:val="fr-CH"/>
              </w:rPr>
              <w:tab/>
            </w:r>
          </w:p>
        </w:tc>
        <w:tc>
          <w:tcPr>
            <w:tcW w:w="666" w:type="dxa"/>
            <w:shd w:val="clear" w:color="auto" w:fill="auto"/>
            <w:vAlign w:val="bottom"/>
          </w:tcPr>
          <w:p w:rsidR="008F1675" w:rsidRPr="00ED1E3E" w:rsidRDefault="008F1675" w:rsidP="00C30A2C">
            <w:pPr>
              <w:spacing w:after="120"/>
              <w:ind w:right="40"/>
              <w:jc w:val="right"/>
              <w:rPr>
                <w:lang w:val="fr-CH"/>
              </w:rPr>
            </w:pPr>
            <w:r w:rsidRPr="00ED1E3E">
              <w:rPr>
                <w:lang w:val="fr-CH"/>
              </w:rPr>
              <w:t>5</w:t>
            </w:r>
          </w:p>
        </w:tc>
      </w:tr>
      <w:tr w:rsidR="008F1675" w:rsidRPr="00ED1E3E" w:rsidTr="005260AA">
        <w:tc>
          <w:tcPr>
            <w:tcW w:w="9369" w:type="dxa"/>
            <w:gridSpan w:val="3"/>
            <w:shd w:val="clear" w:color="auto" w:fill="auto"/>
          </w:tcPr>
          <w:p w:rsidR="008F1675" w:rsidRPr="00ED1E3E" w:rsidRDefault="008F1675" w:rsidP="008F1675">
            <w:pPr>
              <w:pStyle w:val="ListParagraph"/>
              <w:numPr>
                <w:ilvl w:val="1"/>
                <w:numId w:val="13"/>
              </w:numPr>
              <w:tabs>
                <w:tab w:val="left" w:pos="1296"/>
                <w:tab w:val="left" w:pos="1728"/>
                <w:tab w:val="left" w:pos="2160"/>
                <w:tab w:val="left" w:pos="2592"/>
                <w:tab w:val="left" w:pos="3024"/>
                <w:tab w:val="left" w:pos="3456"/>
                <w:tab w:val="right" w:leader="dot" w:pos="9360"/>
              </w:tabs>
              <w:suppressAutoHyphens/>
              <w:spacing w:after="120"/>
              <w:rPr>
                <w:lang w:val="fr-CH"/>
              </w:rPr>
            </w:pPr>
            <w:r w:rsidRPr="00ED1E3E">
              <w:rPr>
                <w:lang w:val="fr-CH"/>
              </w:rPr>
              <w:t>Le droit de ne pas être soumis à la torture ou à d’autres peines ou traitements cruels, inhumains ou dégradants</w:t>
            </w:r>
            <w:r w:rsidRPr="00ED1E3E">
              <w:rPr>
                <w:spacing w:val="60"/>
                <w:sz w:val="17"/>
                <w:lang w:val="fr-CH"/>
              </w:rPr>
              <w:tab/>
            </w:r>
          </w:p>
        </w:tc>
        <w:tc>
          <w:tcPr>
            <w:tcW w:w="666" w:type="dxa"/>
            <w:shd w:val="clear" w:color="auto" w:fill="auto"/>
            <w:vAlign w:val="bottom"/>
          </w:tcPr>
          <w:p w:rsidR="008F1675" w:rsidRPr="00ED1E3E" w:rsidRDefault="008F1675" w:rsidP="00C30A2C">
            <w:pPr>
              <w:spacing w:after="120"/>
              <w:ind w:right="40"/>
              <w:jc w:val="right"/>
              <w:rPr>
                <w:lang w:val="fr-CH"/>
              </w:rPr>
            </w:pPr>
            <w:r w:rsidRPr="00ED1E3E">
              <w:rPr>
                <w:lang w:val="fr-CH"/>
              </w:rPr>
              <w:t>7</w:t>
            </w:r>
          </w:p>
        </w:tc>
      </w:tr>
      <w:tr w:rsidR="00EB7B1E" w:rsidRPr="00ED1E3E" w:rsidTr="005260AA">
        <w:tc>
          <w:tcPr>
            <w:tcW w:w="9369" w:type="dxa"/>
            <w:gridSpan w:val="3"/>
            <w:shd w:val="clear" w:color="auto" w:fill="auto"/>
          </w:tcPr>
          <w:p w:rsidR="00EB7B1E" w:rsidRPr="00ED1E3E" w:rsidRDefault="00EB7B1E" w:rsidP="00EB7B1E">
            <w:pPr>
              <w:pStyle w:val="ListParagraph"/>
              <w:numPr>
                <w:ilvl w:val="1"/>
                <w:numId w:val="13"/>
              </w:numPr>
              <w:tabs>
                <w:tab w:val="left" w:pos="1296"/>
                <w:tab w:val="left" w:pos="1728"/>
                <w:tab w:val="left" w:pos="2160"/>
                <w:tab w:val="left" w:pos="2592"/>
                <w:tab w:val="left" w:pos="3024"/>
                <w:tab w:val="right" w:leader="dot" w:pos="9360"/>
              </w:tabs>
              <w:suppressAutoHyphens/>
              <w:spacing w:after="120"/>
              <w:rPr>
                <w:lang w:val="fr-CH"/>
              </w:rPr>
            </w:pPr>
            <w:r w:rsidRPr="00ED1E3E">
              <w:rPr>
                <w:lang w:val="fr-CH"/>
              </w:rPr>
              <w:t>Le droit à la santé</w:t>
            </w:r>
            <w:r w:rsidRPr="00ED1E3E">
              <w:rPr>
                <w:spacing w:val="60"/>
                <w:sz w:val="17"/>
                <w:lang w:val="fr-CH"/>
              </w:rPr>
              <w:tab/>
            </w:r>
          </w:p>
        </w:tc>
        <w:tc>
          <w:tcPr>
            <w:tcW w:w="666" w:type="dxa"/>
            <w:shd w:val="clear" w:color="auto" w:fill="auto"/>
            <w:vAlign w:val="bottom"/>
          </w:tcPr>
          <w:p w:rsidR="00EB7B1E" w:rsidRPr="00ED1E3E" w:rsidRDefault="00EB7B1E" w:rsidP="00C30A2C">
            <w:pPr>
              <w:spacing w:after="120"/>
              <w:ind w:right="40"/>
              <w:jc w:val="right"/>
              <w:rPr>
                <w:lang w:val="fr-CH"/>
              </w:rPr>
            </w:pPr>
            <w:r w:rsidRPr="00ED1E3E">
              <w:rPr>
                <w:lang w:val="fr-CH"/>
              </w:rPr>
              <w:t>7</w:t>
            </w:r>
          </w:p>
        </w:tc>
      </w:tr>
      <w:tr w:rsidR="00EB7B1E" w:rsidRPr="00ED1E3E" w:rsidTr="005260AA">
        <w:tc>
          <w:tcPr>
            <w:tcW w:w="9369" w:type="dxa"/>
            <w:gridSpan w:val="3"/>
            <w:shd w:val="clear" w:color="auto" w:fill="auto"/>
          </w:tcPr>
          <w:p w:rsidR="00EB7B1E" w:rsidRPr="00ED1E3E" w:rsidRDefault="00EB7B1E" w:rsidP="00EB7B1E">
            <w:pPr>
              <w:pStyle w:val="ListParagraph"/>
              <w:numPr>
                <w:ilvl w:val="1"/>
                <w:numId w:val="13"/>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uppressAutoHyphens/>
              <w:spacing w:after="120"/>
              <w:rPr>
                <w:lang w:val="fr-CH"/>
              </w:rPr>
            </w:pPr>
            <w:r w:rsidRPr="00ED1E3E">
              <w:rPr>
                <w:lang w:val="fr-CH"/>
              </w:rPr>
              <w:t>Le droit à la nourriture, à l’eau et à l’assainissement</w:t>
            </w:r>
            <w:r w:rsidRPr="00ED1E3E">
              <w:rPr>
                <w:spacing w:val="60"/>
                <w:sz w:val="17"/>
                <w:lang w:val="fr-CH"/>
              </w:rPr>
              <w:tab/>
            </w:r>
          </w:p>
        </w:tc>
        <w:tc>
          <w:tcPr>
            <w:tcW w:w="666" w:type="dxa"/>
            <w:shd w:val="clear" w:color="auto" w:fill="auto"/>
            <w:vAlign w:val="bottom"/>
          </w:tcPr>
          <w:p w:rsidR="00EB7B1E" w:rsidRPr="00ED1E3E" w:rsidRDefault="00EB7B1E" w:rsidP="00C30A2C">
            <w:pPr>
              <w:spacing w:after="120"/>
              <w:ind w:right="40"/>
              <w:jc w:val="right"/>
              <w:rPr>
                <w:lang w:val="fr-CH"/>
              </w:rPr>
            </w:pPr>
            <w:r w:rsidRPr="00ED1E3E">
              <w:rPr>
                <w:lang w:val="fr-CH"/>
              </w:rPr>
              <w:t>8</w:t>
            </w:r>
          </w:p>
        </w:tc>
      </w:tr>
      <w:tr w:rsidR="00CD0B35" w:rsidRPr="00ED1E3E" w:rsidTr="005260AA">
        <w:tc>
          <w:tcPr>
            <w:tcW w:w="9369" w:type="dxa"/>
            <w:gridSpan w:val="3"/>
            <w:shd w:val="clear" w:color="auto" w:fill="auto"/>
          </w:tcPr>
          <w:p w:rsidR="00CD0B35" w:rsidRPr="00ED1E3E" w:rsidRDefault="00A10624" w:rsidP="00A10624">
            <w:pPr>
              <w:pStyle w:val="ListParagraph"/>
              <w:numPr>
                <w:ilvl w:val="1"/>
                <w:numId w:val="13"/>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ED1E3E">
              <w:rPr>
                <w:lang w:val="fr-CH"/>
              </w:rPr>
              <w:t>Droit à l’éducation et à la réadaptation</w:t>
            </w:r>
            <w:r>
              <w:rPr>
                <w:spacing w:val="60"/>
                <w:sz w:val="17"/>
                <w:lang w:val="fr-CH"/>
              </w:rPr>
              <w:tab/>
            </w:r>
          </w:p>
        </w:tc>
        <w:tc>
          <w:tcPr>
            <w:tcW w:w="666" w:type="dxa"/>
            <w:shd w:val="clear" w:color="auto" w:fill="auto"/>
            <w:vAlign w:val="bottom"/>
          </w:tcPr>
          <w:p w:rsidR="00CD0B35" w:rsidRPr="00ED1E3E" w:rsidRDefault="00A10624" w:rsidP="00C30A2C">
            <w:pPr>
              <w:spacing w:after="120"/>
              <w:ind w:right="40"/>
              <w:jc w:val="right"/>
              <w:rPr>
                <w:lang w:val="fr-CH"/>
              </w:rPr>
            </w:pPr>
            <w:r>
              <w:rPr>
                <w:lang w:val="fr-CH"/>
              </w:rPr>
              <w:t>9</w:t>
            </w:r>
          </w:p>
        </w:tc>
      </w:tr>
      <w:tr w:rsidR="00CD0B35" w:rsidRPr="00ED1E3E" w:rsidTr="005260AA">
        <w:tc>
          <w:tcPr>
            <w:tcW w:w="9369" w:type="dxa"/>
            <w:gridSpan w:val="3"/>
            <w:shd w:val="clear" w:color="auto" w:fill="auto"/>
          </w:tcPr>
          <w:p w:rsidR="00CD0B35" w:rsidRPr="00ED1E3E" w:rsidRDefault="00A10624" w:rsidP="00A10624">
            <w:pPr>
              <w:pStyle w:val="ListParagraph"/>
              <w:numPr>
                <w:ilvl w:val="1"/>
                <w:numId w:val="13"/>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sidRPr="00ED1E3E">
              <w:rPr>
                <w:lang w:val="fr-CH"/>
              </w:rPr>
              <w:t>Liberté de religion et de croyance</w:t>
            </w:r>
            <w:r>
              <w:rPr>
                <w:spacing w:val="60"/>
                <w:sz w:val="17"/>
                <w:lang w:val="fr-CH"/>
              </w:rPr>
              <w:tab/>
            </w:r>
          </w:p>
        </w:tc>
        <w:tc>
          <w:tcPr>
            <w:tcW w:w="666" w:type="dxa"/>
            <w:shd w:val="clear" w:color="auto" w:fill="auto"/>
            <w:vAlign w:val="bottom"/>
          </w:tcPr>
          <w:p w:rsidR="00CD0B35" w:rsidRPr="00ED1E3E" w:rsidRDefault="00A10624" w:rsidP="00C30A2C">
            <w:pPr>
              <w:spacing w:after="120"/>
              <w:ind w:right="40"/>
              <w:jc w:val="right"/>
              <w:rPr>
                <w:lang w:val="fr-CH"/>
              </w:rPr>
            </w:pPr>
            <w:r>
              <w:rPr>
                <w:lang w:val="fr-CH"/>
              </w:rPr>
              <w:t>10</w:t>
            </w:r>
          </w:p>
        </w:tc>
      </w:tr>
      <w:tr w:rsidR="00CD0B35" w:rsidRPr="00ED1E3E" w:rsidTr="005260AA">
        <w:tc>
          <w:tcPr>
            <w:tcW w:w="9369" w:type="dxa"/>
            <w:gridSpan w:val="3"/>
            <w:shd w:val="clear" w:color="auto" w:fill="auto"/>
          </w:tcPr>
          <w:p w:rsidR="00CD0B35" w:rsidRPr="00ED1E3E" w:rsidRDefault="00A10624" w:rsidP="00A10624">
            <w:pPr>
              <w:pStyle w:val="ListParagraph"/>
              <w:numPr>
                <w:ilvl w:val="1"/>
                <w:numId w:val="13"/>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ED1E3E">
              <w:rPr>
                <w:lang w:val="fr-CH"/>
              </w:rPr>
              <w:t xml:space="preserve">Droit à la vie privée et à la vie de famille et droits </w:t>
            </w:r>
            <w:r w:rsidRPr="00ED1E3E">
              <w:rPr>
                <w:lang w:val="fr-CH"/>
              </w:rPr>
              <w:br/>
              <w:t>des membres de la famille</w:t>
            </w:r>
            <w:r>
              <w:rPr>
                <w:spacing w:val="60"/>
                <w:sz w:val="17"/>
                <w:lang w:val="fr-CH"/>
              </w:rPr>
              <w:tab/>
            </w:r>
          </w:p>
        </w:tc>
        <w:tc>
          <w:tcPr>
            <w:tcW w:w="666" w:type="dxa"/>
            <w:shd w:val="clear" w:color="auto" w:fill="auto"/>
            <w:vAlign w:val="bottom"/>
          </w:tcPr>
          <w:p w:rsidR="00CD0B35" w:rsidRPr="00ED1E3E" w:rsidRDefault="00A10624" w:rsidP="00C30A2C">
            <w:pPr>
              <w:spacing w:after="120"/>
              <w:ind w:right="40"/>
              <w:jc w:val="right"/>
              <w:rPr>
                <w:lang w:val="fr-CH"/>
              </w:rPr>
            </w:pPr>
            <w:r>
              <w:rPr>
                <w:lang w:val="fr-CH"/>
              </w:rPr>
              <w:t>10</w:t>
            </w:r>
          </w:p>
        </w:tc>
      </w:tr>
      <w:tr w:rsidR="00CD0B35" w:rsidRPr="00ED1E3E" w:rsidTr="005260AA">
        <w:tc>
          <w:tcPr>
            <w:tcW w:w="9369" w:type="dxa"/>
            <w:gridSpan w:val="3"/>
            <w:shd w:val="clear" w:color="auto" w:fill="auto"/>
          </w:tcPr>
          <w:p w:rsidR="00CD0B35" w:rsidRPr="00ED1E3E" w:rsidRDefault="00A10624" w:rsidP="00A10624">
            <w:pPr>
              <w:pStyle w:val="ListParagraph"/>
              <w:numPr>
                <w:ilvl w:val="1"/>
                <w:numId w:val="13"/>
              </w:numPr>
              <w:tabs>
                <w:tab w:val="left" w:pos="1296"/>
                <w:tab w:val="left" w:pos="1728"/>
                <w:tab w:val="right" w:leader="dot" w:pos="9360"/>
              </w:tabs>
              <w:suppressAutoHyphens/>
              <w:spacing w:after="120"/>
              <w:rPr>
                <w:lang w:val="fr-CH"/>
              </w:rPr>
            </w:pPr>
            <w:r w:rsidRPr="00ED1E3E">
              <w:rPr>
                <w:lang w:val="fr-CH"/>
              </w:rPr>
              <w:t>Droit à l’égalité et à la non-discrimination</w:t>
            </w:r>
            <w:r>
              <w:rPr>
                <w:spacing w:val="60"/>
                <w:sz w:val="17"/>
                <w:lang w:val="fr-CH"/>
              </w:rPr>
              <w:tab/>
            </w:r>
          </w:p>
        </w:tc>
        <w:tc>
          <w:tcPr>
            <w:tcW w:w="666" w:type="dxa"/>
            <w:shd w:val="clear" w:color="auto" w:fill="auto"/>
            <w:vAlign w:val="bottom"/>
          </w:tcPr>
          <w:p w:rsidR="00CD0B35" w:rsidRPr="00ED1E3E" w:rsidRDefault="00A10624" w:rsidP="00C30A2C">
            <w:pPr>
              <w:spacing w:after="120"/>
              <w:ind w:right="40"/>
              <w:jc w:val="right"/>
              <w:rPr>
                <w:lang w:val="fr-CH"/>
              </w:rPr>
            </w:pPr>
            <w:r>
              <w:rPr>
                <w:lang w:val="fr-CH"/>
              </w:rPr>
              <w:t>11</w:t>
            </w:r>
          </w:p>
        </w:tc>
      </w:tr>
      <w:tr w:rsidR="00CD0B35" w:rsidRPr="00ED1E3E" w:rsidTr="005260AA">
        <w:tc>
          <w:tcPr>
            <w:tcW w:w="9369" w:type="dxa"/>
            <w:gridSpan w:val="3"/>
            <w:shd w:val="clear" w:color="auto" w:fill="auto"/>
          </w:tcPr>
          <w:p w:rsidR="00CD0B35" w:rsidRPr="00ED1E3E" w:rsidRDefault="00A10624" w:rsidP="00A10624">
            <w:pPr>
              <w:pStyle w:val="ListParagraph"/>
              <w:numPr>
                <w:ilvl w:val="0"/>
                <w:numId w:val="13"/>
              </w:numPr>
              <w:tabs>
                <w:tab w:val="left" w:pos="1296"/>
                <w:tab w:val="right" w:leader="dot" w:pos="9360"/>
              </w:tabs>
              <w:suppressAutoHyphens/>
              <w:spacing w:after="120"/>
              <w:rPr>
                <w:lang w:val="fr-CH"/>
              </w:rPr>
            </w:pPr>
            <w:r w:rsidRPr="00ED1E3E">
              <w:rPr>
                <w:lang w:val="fr-CH"/>
              </w:rPr>
              <w:t>Principales causes de l’incarcération excessive et de la surpopulation carcérale</w:t>
            </w:r>
            <w:r>
              <w:rPr>
                <w:spacing w:val="60"/>
                <w:sz w:val="17"/>
                <w:lang w:val="fr-CH"/>
              </w:rPr>
              <w:tab/>
            </w:r>
          </w:p>
        </w:tc>
        <w:tc>
          <w:tcPr>
            <w:tcW w:w="666" w:type="dxa"/>
            <w:shd w:val="clear" w:color="auto" w:fill="auto"/>
            <w:vAlign w:val="bottom"/>
          </w:tcPr>
          <w:p w:rsidR="00CD0B35" w:rsidRPr="00ED1E3E" w:rsidRDefault="00A10624" w:rsidP="00C30A2C">
            <w:pPr>
              <w:spacing w:after="120"/>
              <w:ind w:right="40"/>
              <w:jc w:val="right"/>
              <w:rPr>
                <w:lang w:val="fr-CH"/>
              </w:rPr>
            </w:pPr>
            <w:r>
              <w:rPr>
                <w:lang w:val="fr-CH"/>
              </w:rPr>
              <w:t>12</w:t>
            </w:r>
          </w:p>
        </w:tc>
      </w:tr>
      <w:tr w:rsidR="00CD0B35" w:rsidRPr="00ED1E3E" w:rsidTr="005260AA">
        <w:tc>
          <w:tcPr>
            <w:tcW w:w="9369" w:type="dxa"/>
            <w:gridSpan w:val="3"/>
            <w:shd w:val="clear" w:color="auto" w:fill="auto"/>
          </w:tcPr>
          <w:p w:rsidR="00CD0B35" w:rsidRPr="00ED1E3E" w:rsidRDefault="00A10624" w:rsidP="00A10624">
            <w:pPr>
              <w:pStyle w:val="ListParagraph"/>
              <w:numPr>
                <w:ilvl w:val="1"/>
                <w:numId w:val="13"/>
              </w:numPr>
              <w:tabs>
                <w:tab w:val="left" w:pos="1296"/>
                <w:tab w:val="left" w:pos="1728"/>
                <w:tab w:val="right" w:leader="dot" w:pos="9360"/>
              </w:tabs>
              <w:suppressAutoHyphens/>
              <w:spacing w:after="120"/>
              <w:rPr>
                <w:lang w:val="fr-CH"/>
              </w:rPr>
            </w:pPr>
            <w:r w:rsidRPr="00ED1E3E">
              <w:rPr>
                <w:lang w:val="fr-CH"/>
              </w:rPr>
              <w:t>Failles du système de justice pénale</w:t>
            </w:r>
            <w:r>
              <w:rPr>
                <w:spacing w:val="60"/>
                <w:sz w:val="17"/>
                <w:lang w:val="fr-CH"/>
              </w:rPr>
              <w:tab/>
            </w:r>
          </w:p>
        </w:tc>
        <w:tc>
          <w:tcPr>
            <w:tcW w:w="666" w:type="dxa"/>
            <w:shd w:val="clear" w:color="auto" w:fill="auto"/>
            <w:vAlign w:val="bottom"/>
          </w:tcPr>
          <w:p w:rsidR="00CD0B35" w:rsidRPr="00ED1E3E" w:rsidRDefault="00A10624" w:rsidP="00C30A2C">
            <w:pPr>
              <w:spacing w:after="120"/>
              <w:ind w:right="40"/>
              <w:jc w:val="right"/>
              <w:rPr>
                <w:lang w:val="fr-CH"/>
              </w:rPr>
            </w:pPr>
            <w:r>
              <w:rPr>
                <w:lang w:val="fr-CH"/>
              </w:rPr>
              <w:t>12</w:t>
            </w:r>
          </w:p>
        </w:tc>
      </w:tr>
      <w:tr w:rsidR="00CD0B35" w:rsidRPr="00ED1E3E" w:rsidTr="005260AA">
        <w:tc>
          <w:tcPr>
            <w:tcW w:w="9369" w:type="dxa"/>
            <w:gridSpan w:val="3"/>
            <w:shd w:val="clear" w:color="auto" w:fill="auto"/>
          </w:tcPr>
          <w:p w:rsidR="00CD0B35" w:rsidRPr="00ED1E3E" w:rsidRDefault="00A10624" w:rsidP="00A10624">
            <w:pPr>
              <w:pStyle w:val="ListParagraph"/>
              <w:numPr>
                <w:ilvl w:val="1"/>
                <w:numId w:val="13"/>
              </w:numPr>
              <w:tabs>
                <w:tab w:val="left" w:pos="1296"/>
                <w:tab w:val="left" w:pos="1728"/>
                <w:tab w:val="right" w:leader="dot" w:pos="9360"/>
              </w:tabs>
              <w:suppressAutoHyphens/>
              <w:spacing w:after="120"/>
              <w:rPr>
                <w:lang w:val="fr-CH"/>
              </w:rPr>
            </w:pPr>
            <w:r w:rsidRPr="00ED1E3E">
              <w:rPr>
                <w:lang w:val="fr-CH"/>
              </w:rPr>
              <w:t>Recours excessif à la détention avant jugement</w:t>
            </w:r>
            <w:r>
              <w:rPr>
                <w:spacing w:val="60"/>
                <w:sz w:val="17"/>
                <w:lang w:val="fr-CH"/>
              </w:rPr>
              <w:tab/>
            </w:r>
          </w:p>
        </w:tc>
        <w:tc>
          <w:tcPr>
            <w:tcW w:w="666" w:type="dxa"/>
            <w:shd w:val="clear" w:color="auto" w:fill="auto"/>
            <w:vAlign w:val="bottom"/>
          </w:tcPr>
          <w:p w:rsidR="00CD0B35" w:rsidRPr="00ED1E3E" w:rsidRDefault="00A10624" w:rsidP="00C30A2C">
            <w:pPr>
              <w:spacing w:after="120"/>
              <w:ind w:right="40"/>
              <w:jc w:val="right"/>
              <w:rPr>
                <w:lang w:val="fr-CH"/>
              </w:rPr>
            </w:pPr>
            <w:r>
              <w:rPr>
                <w:lang w:val="fr-CH"/>
              </w:rPr>
              <w:t>13</w:t>
            </w:r>
          </w:p>
        </w:tc>
      </w:tr>
      <w:tr w:rsidR="00CD0B35" w:rsidRPr="00ED1E3E" w:rsidTr="005260AA">
        <w:tc>
          <w:tcPr>
            <w:tcW w:w="9369" w:type="dxa"/>
            <w:gridSpan w:val="3"/>
            <w:shd w:val="clear" w:color="auto" w:fill="auto"/>
          </w:tcPr>
          <w:p w:rsidR="00CD0B35" w:rsidRPr="00ED1E3E" w:rsidRDefault="00A10624" w:rsidP="00A10624">
            <w:pPr>
              <w:pStyle w:val="ListParagraph"/>
              <w:numPr>
                <w:ilvl w:val="1"/>
                <w:numId w:val="13"/>
              </w:numPr>
              <w:tabs>
                <w:tab w:val="left" w:pos="1296"/>
                <w:tab w:val="left" w:pos="1728"/>
                <w:tab w:val="right" w:leader="dot" w:pos="9360"/>
              </w:tabs>
              <w:suppressAutoHyphens/>
              <w:spacing w:after="120"/>
              <w:rPr>
                <w:lang w:val="fr-CH"/>
              </w:rPr>
            </w:pPr>
            <w:r w:rsidRPr="00ED1E3E">
              <w:rPr>
                <w:lang w:val="fr-CH"/>
              </w:rPr>
              <w:t xml:space="preserve">Absence de peines non privatives de liberté et/ou mauvaise </w:t>
            </w:r>
            <w:r>
              <w:rPr>
                <w:lang w:val="fr-CH"/>
              </w:rPr>
              <w:br/>
            </w:r>
            <w:r w:rsidRPr="00ED1E3E">
              <w:rPr>
                <w:lang w:val="fr-CH"/>
              </w:rPr>
              <w:t>administration de ces peines</w:t>
            </w:r>
            <w:r>
              <w:rPr>
                <w:spacing w:val="60"/>
                <w:sz w:val="17"/>
                <w:lang w:val="fr-CH"/>
              </w:rPr>
              <w:tab/>
            </w:r>
          </w:p>
        </w:tc>
        <w:tc>
          <w:tcPr>
            <w:tcW w:w="666" w:type="dxa"/>
            <w:shd w:val="clear" w:color="auto" w:fill="auto"/>
            <w:vAlign w:val="bottom"/>
          </w:tcPr>
          <w:p w:rsidR="00CD0B35" w:rsidRPr="00ED1E3E" w:rsidRDefault="00A10624" w:rsidP="00C30A2C">
            <w:pPr>
              <w:spacing w:after="120"/>
              <w:ind w:right="40"/>
              <w:jc w:val="right"/>
              <w:rPr>
                <w:lang w:val="fr-CH"/>
              </w:rPr>
            </w:pPr>
            <w:r>
              <w:rPr>
                <w:lang w:val="fr-CH"/>
              </w:rPr>
              <w:t>14</w:t>
            </w:r>
          </w:p>
        </w:tc>
      </w:tr>
      <w:tr w:rsidR="00CD0B35" w:rsidRPr="00ED1E3E" w:rsidTr="005260AA">
        <w:tc>
          <w:tcPr>
            <w:tcW w:w="9369" w:type="dxa"/>
            <w:gridSpan w:val="3"/>
            <w:shd w:val="clear" w:color="auto" w:fill="auto"/>
          </w:tcPr>
          <w:p w:rsidR="00CD0B35" w:rsidRPr="00ED1E3E" w:rsidRDefault="00A10624" w:rsidP="00A10624">
            <w:pPr>
              <w:pStyle w:val="ListParagraph"/>
              <w:numPr>
                <w:ilvl w:val="1"/>
                <w:numId w:val="13"/>
              </w:numPr>
              <w:tabs>
                <w:tab w:val="left" w:pos="1296"/>
                <w:tab w:val="left" w:pos="1728"/>
                <w:tab w:val="right" w:leader="dot" w:pos="9360"/>
              </w:tabs>
              <w:suppressAutoHyphens/>
              <w:spacing w:after="120"/>
              <w:rPr>
                <w:lang w:val="fr-CH"/>
              </w:rPr>
            </w:pPr>
            <w:r w:rsidRPr="00ED1E3E">
              <w:rPr>
                <w:lang w:val="fr-CH"/>
              </w:rPr>
              <w:t>Politiques en matière de peines</w:t>
            </w:r>
            <w:r>
              <w:rPr>
                <w:spacing w:val="60"/>
                <w:sz w:val="17"/>
                <w:lang w:val="fr-CH"/>
              </w:rPr>
              <w:tab/>
            </w:r>
          </w:p>
        </w:tc>
        <w:tc>
          <w:tcPr>
            <w:tcW w:w="666" w:type="dxa"/>
            <w:shd w:val="clear" w:color="auto" w:fill="auto"/>
            <w:vAlign w:val="bottom"/>
          </w:tcPr>
          <w:p w:rsidR="00CD0B35" w:rsidRPr="00ED1E3E" w:rsidRDefault="00A10624" w:rsidP="00C30A2C">
            <w:pPr>
              <w:spacing w:after="120"/>
              <w:ind w:right="40"/>
              <w:jc w:val="right"/>
              <w:rPr>
                <w:lang w:val="fr-CH"/>
              </w:rPr>
            </w:pPr>
            <w:r>
              <w:rPr>
                <w:lang w:val="fr-CH"/>
              </w:rPr>
              <w:t>15</w:t>
            </w:r>
          </w:p>
        </w:tc>
      </w:tr>
      <w:tr w:rsidR="00CD0B35" w:rsidRPr="00ED1E3E" w:rsidTr="005260AA">
        <w:tc>
          <w:tcPr>
            <w:tcW w:w="9369" w:type="dxa"/>
            <w:gridSpan w:val="3"/>
            <w:shd w:val="clear" w:color="auto" w:fill="auto"/>
          </w:tcPr>
          <w:p w:rsidR="00CD0B35" w:rsidRPr="00ED1E3E" w:rsidRDefault="00A10624" w:rsidP="00A10624">
            <w:pPr>
              <w:pStyle w:val="ListParagraph"/>
              <w:numPr>
                <w:ilvl w:val="1"/>
                <w:numId w:val="13"/>
              </w:numPr>
              <w:tabs>
                <w:tab w:val="left" w:pos="1296"/>
                <w:tab w:val="left" w:pos="1728"/>
                <w:tab w:val="right" w:leader="dot" w:pos="9360"/>
              </w:tabs>
              <w:suppressAutoHyphens/>
              <w:spacing w:after="120"/>
              <w:rPr>
                <w:lang w:val="fr-CH"/>
              </w:rPr>
            </w:pPr>
            <w:r w:rsidRPr="00ED1E3E">
              <w:rPr>
                <w:lang w:val="fr-CH"/>
              </w:rPr>
              <w:t>Manque de surveillance des lieux de détention</w:t>
            </w:r>
            <w:r>
              <w:rPr>
                <w:spacing w:val="60"/>
                <w:sz w:val="17"/>
                <w:lang w:val="fr-CH"/>
              </w:rPr>
              <w:tab/>
            </w:r>
          </w:p>
        </w:tc>
        <w:tc>
          <w:tcPr>
            <w:tcW w:w="666" w:type="dxa"/>
            <w:shd w:val="clear" w:color="auto" w:fill="auto"/>
            <w:vAlign w:val="bottom"/>
          </w:tcPr>
          <w:p w:rsidR="00CD0B35" w:rsidRPr="00ED1E3E" w:rsidRDefault="00A10624" w:rsidP="00C30A2C">
            <w:pPr>
              <w:spacing w:after="120"/>
              <w:ind w:right="40"/>
              <w:jc w:val="right"/>
              <w:rPr>
                <w:lang w:val="fr-CH"/>
              </w:rPr>
            </w:pPr>
            <w:r>
              <w:rPr>
                <w:lang w:val="fr-CH"/>
              </w:rPr>
              <w:t>16</w:t>
            </w:r>
          </w:p>
        </w:tc>
      </w:tr>
      <w:tr w:rsidR="00CD0B35" w:rsidRPr="00ED1E3E" w:rsidTr="005260AA">
        <w:tc>
          <w:tcPr>
            <w:tcW w:w="9369" w:type="dxa"/>
            <w:gridSpan w:val="3"/>
            <w:shd w:val="clear" w:color="auto" w:fill="auto"/>
          </w:tcPr>
          <w:p w:rsidR="00CD0B35" w:rsidRPr="00ED1E3E" w:rsidRDefault="00A10624" w:rsidP="00A10624">
            <w:pPr>
              <w:pStyle w:val="ListParagraph"/>
              <w:numPr>
                <w:ilvl w:val="0"/>
                <w:numId w:val="13"/>
              </w:numPr>
              <w:tabs>
                <w:tab w:val="left" w:pos="1296"/>
                <w:tab w:val="right" w:leader="dot" w:pos="9360"/>
              </w:tabs>
              <w:suppressAutoHyphens/>
              <w:spacing w:after="120"/>
              <w:rPr>
                <w:lang w:val="fr-CH"/>
              </w:rPr>
            </w:pPr>
            <w:r w:rsidRPr="00ED1E3E">
              <w:rPr>
                <w:lang w:val="fr-CH"/>
              </w:rPr>
              <w:t xml:space="preserve">Remédier à l’incarcération excessive et à la surpopulation carcérale, </w:t>
            </w:r>
            <w:r>
              <w:rPr>
                <w:lang w:val="fr-CH"/>
              </w:rPr>
              <w:br/>
            </w:r>
            <w:r w:rsidRPr="00ED1E3E">
              <w:rPr>
                <w:lang w:val="fr-CH"/>
              </w:rPr>
              <w:t>et à leurs incidences sur les droits de l’homme</w:t>
            </w:r>
            <w:r>
              <w:rPr>
                <w:spacing w:val="60"/>
                <w:sz w:val="17"/>
                <w:lang w:val="fr-CH"/>
              </w:rPr>
              <w:tab/>
            </w:r>
          </w:p>
        </w:tc>
        <w:tc>
          <w:tcPr>
            <w:tcW w:w="666" w:type="dxa"/>
            <w:shd w:val="clear" w:color="auto" w:fill="auto"/>
            <w:vAlign w:val="bottom"/>
          </w:tcPr>
          <w:p w:rsidR="00CD0B35" w:rsidRPr="00ED1E3E" w:rsidRDefault="00A10624" w:rsidP="00C30A2C">
            <w:pPr>
              <w:spacing w:after="120"/>
              <w:ind w:right="40"/>
              <w:jc w:val="right"/>
              <w:rPr>
                <w:lang w:val="fr-CH"/>
              </w:rPr>
            </w:pPr>
            <w:r>
              <w:rPr>
                <w:lang w:val="fr-CH"/>
              </w:rPr>
              <w:t>16</w:t>
            </w:r>
          </w:p>
        </w:tc>
      </w:tr>
      <w:tr w:rsidR="00CD0B35" w:rsidRPr="00ED1E3E" w:rsidTr="005260AA">
        <w:tc>
          <w:tcPr>
            <w:tcW w:w="9369" w:type="dxa"/>
            <w:gridSpan w:val="3"/>
            <w:shd w:val="clear" w:color="auto" w:fill="auto"/>
          </w:tcPr>
          <w:p w:rsidR="00CD0B35" w:rsidRPr="00ED1E3E" w:rsidRDefault="00A10624" w:rsidP="00A10624">
            <w:pPr>
              <w:pStyle w:val="ListParagraph"/>
              <w:numPr>
                <w:ilvl w:val="1"/>
                <w:numId w:val="13"/>
              </w:numPr>
              <w:tabs>
                <w:tab w:val="left" w:pos="1296"/>
                <w:tab w:val="left" w:pos="1728"/>
                <w:tab w:val="right" w:leader="dot" w:pos="9360"/>
              </w:tabs>
              <w:suppressAutoHyphens/>
              <w:spacing w:after="120"/>
              <w:rPr>
                <w:lang w:val="fr-CH"/>
              </w:rPr>
            </w:pPr>
            <w:r w:rsidRPr="00ED1E3E">
              <w:rPr>
                <w:lang w:val="fr-CH"/>
              </w:rPr>
              <w:t>La nécessité d’une approche proactive et globale</w:t>
            </w:r>
            <w:r>
              <w:rPr>
                <w:spacing w:val="60"/>
                <w:sz w:val="17"/>
                <w:lang w:val="fr-CH"/>
              </w:rPr>
              <w:tab/>
            </w:r>
          </w:p>
        </w:tc>
        <w:tc>
          <w:tcPr>
            <w:tcW w:w="666" w:type="dxa"/>
            <w:shd w:val="clear" w:color="auto" w:fill="auto"/>
            <w:vAlign w:val="bottom"/>
          </w:tcPr>
          <w:p w:rsidR="00CD0B35" w:rsidRPr="00ED1E3E" w:rsidRDefault="00A10624" w:rsidP="00C30A2C">
            <w:pPr>
              <w:spacing w:after="120"/>
              <w:ind w:right="40"/>
              <w:jc w:val="right"/>
              <w:rPr>
                <w:lang w:val="fr-CH"/>
              </w:rPr>
            </w:pPr>
            <w:r>
              <w:rPr>
                <w:lang w:val="fr-CH"/>
              </w:rPr>
              <w:t>16</w:t>
            </w:r>
          </w:p>
        </w:tc>
      </w:tr>
      <w:tr w:rsidR="00CD0B35" w:rsidRPr="00ED1E3E" w:rsidTr="005260AA">
        <w:tc>
          <w:tcPr>
            <w:tcW w:w="9369" w:type="dxa"/>
            <w:gridSpan w:val="3"/>
            <w:shd w:val="clear" w:color="auto" w:fill="auto"/>
          </w:tcPr>
          <w:p w:rsidR="00CD0B35" w:rsidRPr="00ED1E3E" w:rsidRDefault="00540F17" w:rsidP="00540F17">
            <w:pPr>
              <w:pStyle w:val="ListParagraph"/>
              <w:numPr>
                <w:ilvl w:val="1"/>
                <w:numId w:val="13"/>
              </w:numPr>
              <w:tabs>
                <w:tab w:val="left" w:pos="1296"/>
                <w:tab w:val="left" w:pos="1728"/>
                <w:tab w:val="right" w:leader="dot" w:pos="9360"/>
              </w:tabs>
              <w:suppressAutoHyphens/>
              <w:spacing w:after="120"/>
              <w:rPr>
                <w:lang w:val="fr-CH"/>
              </w:rPr>
            </w:pPr>
            <w:r w:rsidRPr="00ED1E3E">
              <w:rPr>
                <w:lang w:val="fr-CH"/>
              </w:rPr>
              <w:t xml:space="preserve">Droit de contester la détention, droit à l’assistance d’un avocat </w:t>
            </w:r>
            <w:r>
              <w:rPr>
                <w:lang w:val="fr-CH"/>
              </w:rPr>
              <w:br/>
            </w:r>
            <w:r w:rsidRPr="00ED1E3E">
              <w:rPr>
                <w:lang w:val="fr-CH"/>
              </w:rPr>
              <w:t>et accès à l’aide juridictionnelle</w:t>
            </w:r>
            <w:r w:rsidR="00A10624">
              <w:rPr>
                <w:spacing w:val="60"/>
                <w:sz w:val="17"/>
                <w:lang w:val="fr-CH"/>
              </w:rPr>
              <w:tab/>
            </w:r>
          </w:p>
        </w:tc>
        <w:tc>
          <w:tcPr>
            <w:tcW w:w="666" w:type="dxa"/>
            <w:shd w:val="clear" w:color="auto" w:fill="auto"/>
            <w:vAlign w:val="bottom"/>
          </w:tcPr>
          <w:p w:rsidR="00CD0B35" w:rsidRPr="00ED1E3E" w:rsidRDefault="00540F17" w:rsidP="00C30A2C">
            <w:pPr>
              <w:spacing w:after="120"/>
              <w:ind w:right="40"/>
              <w:jc w:val="right"/>
              <w:rPr>
                <w:lang w:val="fr-CH"/>
              </w:rPr>
            </w:pPr>
            <w:r>
              <w:rPr>
                <w:lang w:val="fr-CH"/>
              </w:rPr>
              <w:t>17</w:t>
            </w:r>
          </w:p>
        </w:tc>
      </w:tr>
      <w:tr w:rsidR="00CD0B35" w:rsidRPr="00ED1E3E" w:rsidTr="005260AA">
        <w:tc>
          <w:tcPr>
            <w:tcW w:w="9369" w:type="dxa"/>
            <w:gridSpan w:val="3"/>
            <w:shd w:val="clear" w:color="auto" w:fill="auto"/>
          </w:tcPr>
          <w:p w:rsidR="00CD0B35" w:rsidRPr="00ED1E3E" w:rsidRDefault="00540F17" w:rsidP="00540F17">
            <w:pPr>
              <w:pStyle w:val="ListParagraph"/>
              <w:numPr>
                <w:ilvl w:val="1"/>
                <w:numId w:val="13"/>
              </w:numPr>
              <w:tabs>
                <w:tab w:val="left" w:pos="1296"/>
                <w:tab w:val="left" w:pos="1728"/>
                <w:tab w:val="left" w:pos="2160"/>
                <w:tab w:val="left" w:pos="2592"/>
                <w:tab w:val="left" w:pos="3024"/>
                <w:tab w:val="left" w:pos="3456"/>
                <w:tab w:val="left" w:pos="3888"/>
                <w:tab w:val="left" w:pos="4320"/>
                <w:tab w:val="left" w:pos="4752"/>
                <w:tab w:val="left" w:pos="5184"/>
                <w:tab w:val="right" w:leader="dot" w:pos="9360"/>
              </w:tabs>
              <w:suppressAutoHyphens/>
              <w:spacing w:after="120"/>
              <w:rPr>
                <w:lang w:val="fr-CH"/>
              </w:rPr>
            </w:pPr>
            <w:r w:rsidRPr="00ED1E3E">
              <w:rPr>
                <w:lang w:val="fr-CH"/>
              </w:rPr>
              <w:t>Utilisation adéquate des lieux de détention</w:t>
            </w:r>
            <w:r>
              <w:rPr>
                <w:spacing w:val="60"/>
                <w:sz w:val="17"/>
                <w:lang w:val="fr-CH"/>
              </w:rPr>
              <w:tab/>
            </w:r>
          </w:p>
        </w:tc>
        <w:tc>
          <w:tcPr>
            <w:tcW w:w="666" w:type="dxa"/>
            <w:shd w:val="clear" w:color="auto" w:fill="auto"/>
            <w:vAlign w:val="bottom"/>
          </w:tcPr>
          <w:p w:rsidR="00CD0B35" w:rsidRPr="00ED1E3E" w:rsidRDefault="00540F17" w:rsidP="00C30A2C">
            <w:pPr>
              <w:spacing w:after="120"/>
              <w:ind w:right="40"/>
              <w:jc w:val="right"/>
              <w:rPr>
                <w:lang w:val="fr-CH"/>
              </w:rPr>
            </w:pPr>
            <w:r>
              <w:rPr>
                <w:lang w:val="fr-CH"/>
              </w:rPr>
              <w:t>17</w:t>
            </w:r>
          </w:p>
        </w:tc>
      </w:tr>
      <w:tr w:rsidR="00CD0B35" w:rsidRPr="00ED1E3E" w:rsidTr="005260AA">
        <w:tc>
          <w:tcPr>
            <w:tcW w:w="9369" w:type="dxa"/>
            <w:gridSpan w:val="3"/>
            <w:shd w:val="clear" w:color="auto" w:fill="auto"/>
          </w:tcPr>
          <w:p w:rsidR="00CD0B35" w:rsidRPr="00ED1E3E" w:rsidRDefault="00540F17" w:rsidP="00540F17">
            <w:pPr>
              <w:pStyle w:val="ListParagraph"/>
              <w:numPr>
                <w:ilvl w:val="1"/>
                <w:numId w:val="13"/>
              </w:numPr>
              <w:tabs>
                <w:tab w:val="left" w:pos="1296"/>
                <w:tab w:val="left" w:pos="1728"/>
                <w:tab w:val="right" w:leader="dot" w:pos="9360"/>
              </w:tabs>
              <w:suppressAutoHyphens/>
              <w:spacing w:after="120"/>
              <w:rPr>
                <w:lang w:val="fr-CH"/>
              </w:rPr>
            </w:pPr>
            <w:r w:rsidRPr="00ED1E3E">
              <w:rPr>
                <w:lang w:val="fr-CH"/>
              </w:rPr>
              <w:t>Ne recourir à la détention avant jugement qu’en dernier ressort</w:t>
            </w:r>
            <w:r>
              <w:rPr>
                <w:spacing w:val="60"/>
                <w:sz w:val="17"/>
                <w:lang w:val="fr-CH"/>
              </w:rPr>
              <w:tab/>
            </w:r>
          </w:p>
        </w:tc>
        <w:tc>
          <w:tcPr>
            <w:tcW w:w="666" w:type="dxa"/>
            <w:shd w:val="clear" w:color="auto" w:fill="auto"/>
            <w:vAlign w:val="bottom"/>
          </w:tcPr>
          <w:p w:rsidR="00CD0B35" w:rsidRPr="00ED1E3E" w:rsidRDefault="00540F17" w:rsidP="00C30A2C">
            <w:pPr>
              <w:spacing w:after="120"/>
              <w:ind w:right="40"/>
              <w:jc w:val="right"/>
              <w:rPr>
                <w:lang w:val="fr-CH"/>
              </w:rPr>
            </w:pPr>
            <w:r>
              <w:rPr>
                <w:lang w:val="fr-CH"/>
              </w:rPr>
              <w:t>18</w:t>
            </w:r>
          </w:p>
        </w:tc>
      </w:tr>
      <w:tr w:rsidR="00CD0B35" w:rsidRPr="00ED1E3E" w:rsidTr="005260AA">
        <w:tc>
          <w:tcPr>
            <w:tcW w:w="9369" w:type="dxa"/>
            <w:gridSpan w:val="3"/>
            <w:shd w:val="clear" w:color="auto" w:fill="auto"/>
          </w:tcPr>
          <w:p w:rsidR="00CD0B35" w:rsidRPr="00ED1E3E" w:rsidRDefault="00540F17" w:rsidP="00540F17">
            <w:pPr>
              <w:pStyle w:val="ListParagraph"/>
              <w:numPr>
                <w:ilvl w:val="1"/>
                <w:numId w:val="13"/>
              </w:numPr>
              <w:tabs>
                <w:tab w:val="left" w:pos="1296"/>
                <w:tab w:val="left" w:pos="1728"/>
                <w:tab w:val="right" w:leader="dot" w:pos="9360"/>
              </w:tabs>
              <w:suppressAutoHyphens/>
              <w:spacing w:after="120"/>
              <w:rPr>
                <w:lang w:val="fr-CH"/>
              </w:rPr>
            </w:pPr>
            <w:r w:rsidRPr="00ED1E3E">
              <w:rPr>
                <w:lang w:val="fr-CH"/>
              </w:rPr>
              <w:t>Mesures de substitution à la privation de liberté</w:t>
            </w:r>
            <w:r>
              <w:rPr>
                <w:spacing w:val="60"/>
                <w:sz w:val="17"/>
                <w:lang w:val="fr-CH"/>
              </w:rPr>
              <w:tab/>
            </w:r>
          </w:p>
        </w:tc>
        <w:tc>
          <w:tcPr>
            <w:tcW w:w="666" w:type="dxa"/>
            <w:shd w:val="clear" w:color="auto" w:fill="auto"/>
            <w:vAlign w:val="bottom"/>
          </w:tcPr>
          <w:p w:rsidR="00CD0B35" w:rsidRPr="00ED1E3E" w:rsidRDefault="00540F17" w:rsidP="00C30A2C">
            <w:pPr>
              <w:spacing w:after="120"/>
              <w:ind w:right="40"/>
              <w:jc w:val="right"/>
              <w:rPr>
                <w:lang w:val="fr-CH"/>
              </w:rPr>
            </w:pPr>
            <w:r>
              <w:rPr>
                <w:lang w:val="fr-CH"/>
              </w:rPr>
              <w:t>19</w:t>
            </w:r>
          </w:p>
        </w:tc>
      </w:tr>
      <w:tr w:rsidR="00CD0B35" w:rsidRPr="00ED1E3E" w:rsidTr="005260AA">
        <w:tc>
          <w:tcPr>
            <w:tcW w:w="9369" w:type="dxa"/>
            <w:gridSpan w:val="3"/>
            <w:shd w:val="clear" w:color="auto" w:fill="auto"/>
          </w:tcPr>
          <w:p w:rsidR="00CD0B35" w:rsidRPr="00ED1E3E" w:rsidRDefault="000B5995" w:rsidP="00540F17">
            <w:pPr>
              <w:pStyle w:val="ListParagraph"/>
              <w:numPr>
                <w:ilvl w:val="1"/>
                <w:numId w:val="13"/>
              </w:numPr>
              <w:tabs>
                <w:tab w:val="left" w:pos="1296"/>
                <w:tab w:val="left" w:pos="1728"/>
                <w:tab w:val="right" w:leader="dot" w:pos="9360"/>
              </w:tabs>
              <w:suppressAutoHyphens/>
              <w:spacing w:after="120"/>
              <w:rPr>
                <w:lang w:val="fr-CH"/>
              </w:rPr>
            </w:pPr>
            <w:r w:rsidRPr="00ED1E3E">
              <w:rPr>
                <w:lang w:val="fr-CH"/>
              </w:rPr>
              <w:t>Condamnations proportionnées aux crimes</w:t>
            </w:r>
            <w:r w:rsidR="00540F17">
              <w:rPr>
                <w:spacing w:val="60"/>
                <w:sz w:val="17"/>
                <w:lang w:val="fr-CH"/>
              </w:rPr>
              <w:tab/>
            </w:r>
          </w:p>
        </w:tc>
        <w:tc>
          <w:tcPr>
            <w:tcW w:w="666" w:type="dxa"/>
            <w:shd w:val="clear" w:color="auto" w:fill="auto"/>
            <w:vAlign w:val="bottom"/>
          </w:tcPr>
          <w:p w:rsidR="00CD0B35" w:rsidRPr="00ED1E3E" w:rsidRDefault="000B5995" w:rsidP="00C30A2C">
            <w:pPr>
              <w:spacing w:after="120"/>
              <w:ind w:right="40"/>
              <w:jc w:val="right"/>
              <w:rPr>
                <w:lang w:val="fr-CH"/>
              </w:rPr>
            </w:pPr>
            <w:r>
              <w:rPr>
                <w:lang w:val="fr-CH"/>
              </w:rPr>
              <w:t>20</w:t>
            </w:r>
          </w:p>
        </w:tc>
      </w:tr>
      <w:tr w:rsidR="00CD0B35" w:rsidRPr="00ED1E3E" w:rsidTr="005260AA">
        <w:tc>
          <w:tcPr>
            <w:tcW w:w="9369" w:type="dxa"/>
            <w:gridSpan w:val="3"/>
            <w:shd w:val="clear" w:color="auto" w:fill="auto"/>
          </w:tcPr>
          <w:p w:rsidR="00CD0B35" w:rsidRPr="00ED1E3E" w:rsidRDefault="000B5995" w:rsidP="00540F17">
            <w:pPr>
              <w:pStyle w:val="ListParagraph"/>
              <w:numPr>
                <w:ilvl w:val="1"/>
                <w:numId w:val="13"/>
              </w:numPr>
              <w:tabs>
                <w:tab w:val="left" w:pos="1296"/>
                <w:tab w:val="left" w:pos="1728"/>
                <w:tab w:val="right" w:leader="dot" w:pos="9360"/>
              </w:tabs>
              <w:suppressAutoHyphens/>
              <w:spacing w:after="120"/>
              <w:rPr>
                <w:lang w:val="fr-CH"/>
              </w:rPr>
            </w:pPr>
            <w:r w:rsidRPr="00ED1E3E">
              <w:rPr>
                <w:lang w:val="fr-CH"/>
              </w:rPr>
              <w:t>Réadaptation et réduction des taux de récidive</w:t>
            </w:r>
            <w:r w:rsidR="00540F17">
              <w:rPr>
                <w:spacing w:val="60"/>
                <w:sz w:val="17"/>
                <w:lang w:val="fr-CH"/>
              </w:rPr>
              <w:tab/>
            </w:r>
          </w:p>
        </w:tc>
        <w:tc>
          <w:tcPr>
            <w:tcW w:w="666" w:type="dxa"/>
            <w:shd w:val="clear" w:color="auto" w:fill="auto"/>
            <w:vAlign w:val="bottom"/>
          </w:tcPr>
          <w:p w:rsidR="00CD0B35" w:rsidRPr="00ED1E3E" w:rsidRDefault="000B5995" w:rsidP="00C30A2C">
            <w:pPr>
              <w:spacing w:after="120"/>
              <w:ind w:right="40"/>
              <w:jc w:val="right"/>
              <w:rPr>
                <w:lang w:val="fr-CH"/>
              </w:rPr>
            </w:pPr>
            <w:r>
              <w:rPr>
                <w:lang w:val="fr-CH"/>
              </w:rPr>
              <w:t>20</w:t>
            </w:r>
          </w:p>
        </w:tc>
      </w:tr>
      <w:tr w:rsidR="00CD0B35" w:rsidRPr="00ED1E3E" w:rsidTr="005260AA">
        <w:tc>
          <w:tcPr>
            <w:tcW w:w="9369" w:type="dxa"/>
            <w:gridSpan w:val="3"/>
            <w:shd w:val="clear" w:color="auto" w:fill="auto"/>
          </w:tcPr>
          <w:p w:rsidR="00CD0B35" w:rsidRPr="00ED1E3E" w:rsidRDefault="000B5995" w:rsidP="000B5995">
            <w:pPr>
              <w:pStyle w:val="ListParagraph"/>
              <w:numPr>
                <w:ilvl w:val="1"/>
                <w:numId w:val="13"/>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ED1E3E">
              <w:rPr>
                <w:lang w:val="fr-CH"/>
              </w:rPr>
              <w:t>Surveillance et mécanismes de plaintes</w:t>
            </w:r>
            <w:r>
              <w:rPr>
                <w:spacing w:val="60"/>
                <w:sz w:val="17"/>
                <w:lang w:val="fr-CH"/>
              </w:rPr>
              <w:tab/>
            </w:r>
          </w:p>
        </w:tc>
        <w:tc>
          <w:tcPr>
            <w:tcW w:w="666" w:type="dxa"/>
            <w:shd w:val="clear" w:color="auto" w:fill="auto"/>
            <w:vAlign w:val="bottom"/>
          </w:tcPr>
          <w:p w:rsidR="00CD0B35" w:rsidRPr="00ED1E3E" w:rsidRDefault="007C1073" w:rsidP="00C30A2C">
            <w:pPr>
              <w:spacing w:after="120"/>
              <w:ind w:right="40"/>
              <w:jc w:val="right"/>
              <w:rPr>
                <w:lang w:val="fr-CH"/>
              </w:rPr>
            </w:pPr>
            <w:r>
              <w:rPr>
                <w:lang w:val="fr-CH"/>
              </w:rPr>
              <w:t>21</w:t>
            </w:r>
          </w:p>
        </w:tc>
      </w:tr>
      <w:tr w:rsidR="00CD0B35" w:rsidRPr="00ED1E3E" w:rsidTr="005260AA">
        <w:tc>
          <w:tcPr>
            <w:tcW w:w="9369" w:type="dxa"/>
            <w:gridSpan w:val="3"/>
            <w:shd w:val="clear" w:color="auto" w:fill="auto"/>
          </w:tcPr>
          <w:p w:rsidR="00CD0B35" w:rsidRPr="00ED1E3E" w:rsidRDefault="007C1073" w:rsidP="007C1073">
            <w:pPr>
              <w:pStyle w:val="ListParagraph"/>
              <w:numPr>
                <w:ilvl w:val="0"/>
                <w:numId w:val="13"/>
              </w:numPr>
              <w:tabs>
                <w:tab w:val="left" w:pos="1296"/>
                <w:tab w:val="left" w:pos="1728"/>
                <w:tab w:val="left" w:pos="2160"/>
                <w:tab w:val="right" w:leader="dot" w:pos="9360"/>
              </w:tabs>
              <w:suppressAutoHyphens/>
              <w:spacing w:after="120"/>
              <w:rPr>
                <w:lang w:val="fr-CH"/>
              </w:rPr>
            </w:pPr>
            <w:r w:rsidRPr="00ED1E3E">
              <w:rPr>
                <w:lang w:val="fr-CH"/>
              </w:rPr>
              <w:t>Conclusions</w:t>
            </w:r>
            <w:r>
              <w:rPr>
                <w:spacing w:val="60"/>
                <w:sz w:val="17"/>
                <w:lang w:val="fr-CH"/>
              </w:rPr>
              <w:tab/>
            </w:r>
          </w:p>
        </w:tc>
        <w:tc>
          <w:tcPr>
            <w:tcW w:w="666" w:type="dxa"/>
            <w:shd w:val="clear" w:color="auto" w:fill="auto"/>
            <w:vAlign w:val="bottom"/>
          </w:tcPr>
          <w:p w:rsidR="00CD0B35" w:rsidRPr="00ED1E3E" w:rsidRDefault="007C1073" w:rsidP="00C30A2C">
            <w:pPr>
              <w:spacing w:after="120"/>
              <w:ind w:right="40"/>
              <w:jc w:val="right"/>
              <w:rPr>
                <w:lang w:val="fr-CH"/>
              </w:rPr>
            </w:pPr>
            <w:r>
              <w:rPr>
                <w:lang w:val="fr-CH"/>
              </w:rPr>
              <w:t>21</w:t>
            </w:r>
          </w:p>
        </w:tc>
      </w:tr>
    </w:tbl>
    <w:p w:rsidR="00C30A2C" w:rsidRPr="00ED1E3E" w:rsidRDefault="00C30A2C" w:rsidP="00C30A2C">
      <w:pPr>
        <w:rPr>
          <w:lang w:val="fr-CH"/>
        </w:rPr>
      </w:pPr>
    </w:p>
    <w:p w:rsidR="00C30A2C" w:rsidRPr="00ED1E3E" w:rsidRDefault="00C30A2C">
      <w:pPr>
        <w:spacing w:line="240" w:lineRule="auto"/>
        <w:rPr>
          <w:b/>
          <w:lang w:val="fr-CH"/>
        </w:rPr>
      </w:pPr>
      <w:r w:rsidRPr="00ED1E3E">
        <w:rPr>
          <w:b/>
          <w:lang w:val="fr-CH"/>
        </w:rPr>
        <w:br w:type="page"/>
      </w:r>
    </w:p>
    <w:p w:rsidR="00393579" w:rsidRPr="00ED1E3E" w:rsidRDefault="00824B55" w:rsidP="00824B5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lastRenderedPageBreak/>
        <w:tab/>
      </w:r>
      <w:r w:rsidR="00393579" w:rsidRPr="00ED1E3E">
        <w:rPr>
          <w:lang w:val="fr-CH"/>
        </w:rPr>
        <w:t>I.</w:t>
      </w:r>
      <w:r w:rsidRPr="00ED1E3E">
        <w:rPr>
          <w:lang w:val="fr-CH"/>
        </w:rPr>
        <w:tab/>
      </w:r>
      <w:r w:rsidR="00393579" w:rsidRPr="00ED1E3E">
        <w:rPr>
          <w:lang w:val="fr-CH"/>
        </w:rPr>
        <w:t>Introduction</w:t>
      </w:r>
    </w:p>
    <w:p w:rsidR="00824B55" w:rsidRPr="00ED1E3E" w:rsidRDefault="00824B55" w:rsidP="00824B55">
      <w:pPr>
        <w:pStyle w:val="SingleTxt"/>
        <w:spacing w:after="0" w:line="120" w:lineRule="exact"/>
        <w:rPr>
          <w:sz w:val="10"/>
          <w:lang w:val="fr-CH"/>
        </w:rPr>
      </w:pPr>
    </w:p>
    <w:p w:rsidR="00824B55" w:rsidRPr="00ED1E3E" w:rsidRDefault="00824B55" w:rsidP="00824B55">
      <w:pPr>
        <w:pStyle w:val="SingleTxt"/>
        <w:spacing w:after="0" w:line="120" w:lineRule="exact"/>
        <w:rPr>
          <w:sz w:val="10"/>
          <w:lang w:val="fr-CH"/>
        </w:rPr>
      </w:pPr>
    </w:p>
    <w:p w:rsidR="00393579" w:rsidRPr="00ED1E3E" w:rsidRDefault="00393579" w:rsidP="00824B55">
      <w:pPr>
        <w:pStyle w:val="SingleTxt"/>
        <w:numPr>
          <w:ilvl w:val="0"/>
          <w:numId w:val="15"/>
        </w:numPr>
        <w:tabs>
          <w:tab w:val="clear" w:pos="475"/>
          <w:tab w:val="num" w:pos="1742"/>
        </w:tabs>
        <w:ind w:left="1267"/>
        <w:rPr>
          <w:lang w:val="fr-CH"/>
        </w:rPr>
      </w:pPr>
      <w:r w:rsidRPr="00ED1E3E">
        <w:rPr>
          <w:lang w:val="fr-CH"/>
        </w:rPr>
        <w:t>Le premier droit fondamental établi par la Déclaration universelle des droits de l’homme, en son article</w:t>
      </w:r>
      <w:r w:rsidR="00824B55" w:rsidRPr="00ED1E3E">
        <w:rPr>
          <w:lang w:val="fr-CH"/>
        </w:rPr>
        <w:t xml:space="preserve"> </w:t>
      </w:r>
      <w:r w:rsidRPr="00ED1E3E">
        <w:rPr>
          <w:lang w:val="fr-CH"/>
        </w:rPr>
        <w:t>3, est le droit à la vie, à la liberté et à la sûreté. Comme le souligne le Comité des droits de l’homme au deuxième paragraphe de son Observation générale n</w:t>
      </w:r>
      <w:r w:rsidR="00824B55" w:rsidRPr="00ED1E3E">
        <w:rPr>
          <w:vertAlign w:val="superscript"/>
          <w:lang w:val="fr-CH"/>
        </w:rPr>
        <w:t>o</w:t>
      </w:r>
      <w:r w:rsidR="00824B55" w:rsidRPr="00ED1E3E">
        <w:rPr>
          <w:lang w:val="fr-CH"/>
        </w:rPr>
        <w:t> </w:t>
      </w:r>
      <w:r w:rsidRPr="00ED1E3E">
        <w:rPr>
          <w:lang w:val="fr-CH"/>
        </w:rPr>
        <w:t>35 portant sur l’article 9 du Pacte international relatif aux droits civils et politiques, le droit à la liberté et à la sécurité de la personne est précieux à la fois en soi et aussi parce que la privation de liberté et la négation du droit à la sécurité de la personne ont de tout temps été des</w:t>
      </w:r>
      <w:r w:rsidR="00873F32" w:rsidRPr="00ED1E3E">
        <w:rPr>
          <w:lang w:val="fr-CH"/>
        </w:rPr>
        <w:t xml:space="preserve"> </w:t>
      </w:r>
      <w:r w:rsidRPr="00ED1E3E">
        <w:rPr>
          <w:lang w:val="fr-CH"/>
        </w:rPr>
        <w:t>moyens d’entraver la jouissance des autres droits</w:t>
      </w:r>
      <w:r w:rsidRPr="00ED1E3E">
        <w:rPr>
          <w:rStyle w:val="FootnoteReference"/>
          <w:lang w:val="fr-CH"/>
        </w:rPr>
        <w:footnoteReference w:id="1"/>
      </w:r>
      <w:r w:rsidRPr="00ED1E3E">
        <w:rPr>
          <w:lang w:val="fr-CH"/>
        </w:rPr>
        <w:t>.</w:t>
      </w:r>
    </w:p>
    <w:p w:rsidR="00393579" w:rsidRPr="00ED1E3E" w:rsidRDefault="00393579" w:rsidP="00824B55">
      <w:pPr>
        <w:pStyle w:val="SingleTxt"/>
        <w:numPr>
          <w:ilvl w:val="0"/>
          <w:numId w:val="15"/>
        </w:numPr>
        <w:tabs>
          <w:tab w:val="clear" w:pos="475"/>
          <w:tab w:val="num" w:pos="1742"/>
        </w:tabs>
        <w:ind w:left="1267"/>
        <w:rPr>
          <w:lang w:val="fr-CH"/>
        </w:rPr>
      </w:pPr>
      <w:r w:rsidRPr="00ED1E3E">
        <w:rPr>
          <w:lang w:val="fr-CH"/>
        </w:rPr>
        <w:t>Si le droit à la liberté de la personne n’est pas un droit absolu, toute privation de liberté ne peut en aucun cas être arbitraire et doit se faire dans le respect du droit</w:t>
      </w:r>
      <w:r w:rsidRPr="00ED1E3E">
        <w:rPr>
          <w:rStyle w:val="FootnoteReference"/>
          <w:lang w:val="fr-CH"/>
        </w:rPr>
        <w:footnoteReference w:id="2"/>
      </w:r>
      <w:r w:rsidRPr="00ED1E3E">
        <w:rPr>
          <w:rStyle w:val="FootnoteReference"/>
          <w:szCs w:val="20"/>
          <w:vertAlign w:val="baseline"/>
          <w:lang w:val="fr-CH"/>
        </w:rPr>
        <w:t>.</w:t>
      </w:r>
      <w:r w:rsidRPr="00ED1E3E">
        <w:rPr>
          <w:lang w:val="fr-CH"/>
        </w:rPr>
        <w:t xml:space="preserve"> Comme le souligne le Conseil des droits de l’homme dans sa résolution</w:t>
      </w:r>
      <w:r w:rsidR="00824B55" w:rsidRPr="00ED1E3E">
        <w:rPr>
          <w:lang w:val="fr-CH"/>
        </w:rPr>
        <w:t xml:space="preserve"> </w:t>
      </w:r>
      <w:r w:rsidRPr="00ED1E3E">
        <w:rPr>
          <w:lang w:val="fr-CH"/>
        </w:rPr>
        <w:t>24/12, sauf pour les limitations incontestablement rendues nécessaires par leur incarcération, les détenus continuent de jouir de l’ensemble de leurs libertés et droits fondamentaux.</w:t>
      </w:r>
    </w:p>
    <w:p w:rsidR="00393579" w:rsidRPr="00ED1E3E" w:rsidRDefault="00393579" w:rsidP="00824B55">
      <w:pPr>
        <w:pStyle w:val="SingleTxt"/>
        <w:numPr>
          <w:ilvl w:val="0"/>
          <w:numId w:val="15"/>
        </w:numPr>
        <w:tabs>
          <w:tab w:val="clear" w:pos="475"/>
          <w:tab w:val="num" w:pos="1742"/>
        </w:tabs>
        <w:ind w:left="1267"/>
        <w:rPr>
          <w:lang w:val="fr-CH"/>
        </w:rPr>
      </w:pPr>
      <w:r w:rsidRPr="00ED1E3E">
        <w:rPr>
          <w:lang w:val="fr-CH"/>
        </w:rPr>
        <w:t>De récentes statistiques indiquent que plus de 10,2</w:t>
      </w:r>
      <w:r w:rsidR="00824B55" w:rsidRPr="00ED1E3E">
        <w:rPr>
          <w:lang w:val="fr-CH"/>
        </w:rPr>
        <w:t> </w:t>
      </w:r>
      <w:r w:rsidRPr="00ED1E3E">
        <w:rPr>
          <w:lang w:val="fr-CH"/>
        </w:rPr>
        <w:t>millions de personnes dans le monde sont privées de leur liberté</w:t>
      </w:r>
      <w:r w:rsidRPr="00ED1E3E">
        <w:rPr>
          <w:rStyle w:val="FootnoteReference"/>
          <w:lang w:val="fr-CH"/>
        </w:rPr>
        <w:footnoteReference w:id="3"/>
      </w:r>
      <w:r w:rsidRPr="00ED1E3E">
        <w:rPr>
          <w:lang w:val="fr-CH"/>
        </w:rPr>
        <w:t>, 3</w:t>
      </w:r>
      <w:r w:rsidR="00873F32" w:rsidRPr="00ED1E3E">
        <w:rPr>
          <w:lang w:val="fr-CH"/>
        </w:rPr>
        <w:t> </w:t>
      </w:r>
      <w:r w:rsidRPr="00ED1E3E">
        <w:rPr>
          <w:lang w:val="fr-CH"/>
        </w:rPr>
        <w:t>millions d’entre elles étant en attente de procès</w:t>
      </w:r>
      <w:r w:rsidRPr="00ED1E3E">
        <w:rPr>
          <w:rStyle w:val="FootnoteReference"/>
          <w:lang w:val="fr-CH"/>
        </w:rPr>
        <w:footnoteReference w:id="4"/>
      </w:r>
      <w:r w:rsidR="00B9644D" w:rsidRPr="00ED1E3E">
        <w:rPr>
          <w:lang w:val="fr-CH"/>
        </w:rPr>
        <w:t>.</w:t>
      </w:r>
      <w:r w:rsidRPr="00ED1E3E">
        <w:rPr>
          <w:rStyle w:val="FootnoteReference"/>
          <w:szCs w:val="20"/>
          <w:lang w:val="fr-CH"/>
        </w:rPr>
        <w:t xml:space="preserve"> </w:t>
      </w:r>
      <w:r w:rsidRPr="00ED1E3E">
        <w:rPr>
          <w:lang w:val="fr-CH"/>
        </w:rPr>
        <w:t>En outre, des données révèlent que le nombre de personnes incarcérées est supérieur à la capacité d’accueil officielle des prisons dans au moins 114 pays. Dans 92 d’entre eux, le taux d’occupation se situe entre 100 et 200 % des capacités d’accueil, tandis que dans 22 autres de ces pays, ce taux est deux, trois, voire quatre fois supérieur à la capacité d’accueil</w:t>
      </w:r>
      <w:r w:rsidRPr="00ED1E3E">
        <w:rPr>
          <w:rStyle w:val="FootnoteReference"/>
          <w:lang w:val="fr-CH"/>
        </w:rPr>
        <w:footnoteReference w:id="5"/>
      </w:r>
      <w:r w:rsidRPr="00ED1E3E">
        <w:rPr>
          <w:lang w:val="fr-CH"/>
        </w:rPr>
        <w:t>. La surpopulation dans certains lieux de privation de liberté a été qualifiée d’endémique</w:t>
      </w:r>
      <w:r w:rsidRPr="00ED1E3E">
        <w:rPr>
          <w:rStyle w:val="FootnoteReference"/>
          <w:lang w:val="fr-CH"/>
        </w:rPr>
        <w:footnoteReference w:id="6"/>
      </w:r>
      <w:r w:rsidR="00B9644D" w:rsidRPr="00ED1E3E">
        <w:rPr>
          <w:lang w:val="fr-CH"/>
        </w:rPr>
        <w:t>,</w:t>
      </w:r>
      <w:r w:rsidRPr="00ED1E3E">
        <w:rPr>
          <w:lang w:val="fr-CH"/>
        </w:rPr>
        <w:t xml:space="preserve"> d’alarmante</w:t>
      </w:r>
      <w:r w:rsidRPr="00ED1E3E">
        <w:rPr>
          <w:rStyle w:val="FootnoteReference"/>
          <w:lang w:val="fr-CH"/>
        </w:rPr>
        <w:footnoteReference w:id="7"/>
      </w:r>
      <w:r w:rsidR="00824B55" w:rsidRPr="00ED1E3E">
        <w:rPr>
          <w:lang w:val="fr-CH"/>
        </w:rPr>
        <w:t>,</w:t>
      </w:r>
      <w:r w:rsidRPr="00ED1E3E">
        <w:rPr>
          <w:lang w:val="fr-CH"/>
        </w:rPr>
        <w:t xml:space="preserve"> d’extrême</w:t>
      </w:r>
      <w:r w:rsidRPr="00ED1E3E">
        <w:rPr>
          <w:rStyle w:val="FootnoteReference"/>
          <w:lang w:val="fr-CH"/>
        </w:rPr>
        <w:footnoteReference w:id="8"/>
      </w:r>
      <w:r w:rsidR="00824B55" w:rsidRPr="00ED1E3E">
        <w:rPr>
          <w:lang w:val="fr-CH"/>
        </w:rPr>
        <w:t>,</w:t>
      </w:r>
      <w:r w:rsidRPr="00ED1E3E">
        <w:rPr>
          <w:lang w:val="fr-CH"/>
        </w:rPr>
        <w:t xml:space="preserve"> de chronique</w:t>
      </w:r>
      <w:r w:rsidRPr="00ED1E3E">
        <w:rPr>
          <w:rStyle w:val="FootnoteReference"/>
          <w:lang w:val="fr-CH"/>
        </w:rPr>
        <w:footnoteReference w:id="9"/>
      </w:r>
      <w:r w:rsidRPr="00ED1E3E">
        <w:rPr>
          <w:lang w:val="fr-CH"/>
        </w:rPr>
        <w:t xml:space="preserve"> ou de scandaleuse</w:t>
      </w:r>
      <w:r w:rsidRPr="00ED1E3E">
        <w:rPr>
          <w:rStyle w:val="FootnoteReference"/>
          <w:lang w:val="fr-CH"/>
        </w:rPr>
        <w:footnoteReference w:id="10"/>
      </w:r>
      <w:r w:rsidRPr="00ED1E3E">
        <w:rPr>
          <w:lang w:val="fr-CH"/>
        </w:rPr>
        <w:t>. En outre, la surpopulation est considérée comme un indicateur de la crise qui frappe les prisons dans le monde et comme l’un des facteurs qui y contribuent</w:t>
      </w:r>
      <w:r w:rsidRPr="00ED1E3E">
        <w:rPr>
          <w:rStyle w:val="FootnoteReference"/>
          <w:lang w:val="fr-CH"/>
        </w:rPr>
        <w:footnoteReference w:id="11"/>
      </w:r>
      <w:r w:rsidRPr="00ED1E3E">
        <w:rPr>
          <w:lang w:val="fr-CH"/>
        </w:rPr>
        <w:t>.</w:t>
      </w:r>
    </w:p>
    <w:p w:rsidR="00393579" w:rsidRPr="00ED1E3E" w:rsidRDefault="00393579" w:rsidP="00824B55">
      <w:pPr>
        <w:pStyle w:val="SingleTxt"/>
        <w:numPr>
          <w:ilvl w:val="0"/>
          <w:numId w:val="15"/>
        </w:numPr>
        <w:tabs>
          <w:tab w:val="clear" w:pos="475"/>
          <w:tab w:val="num" w:pos="1742"/>
        </w:tabs>
        <w:ind w:left="1267"/>
        <w:rPr>
          <w:lang w:val="fr-CH"/>
        </w:rPr>
      </w:pPr>
      <w:r w:rsidRPr="00ED1E3E">
        <w:rPr>
          <w:lang w:val="fr-CH"/>
        </w:rPr>
        <w:t xml:space="preserve">La surpopulation carcérale et l’incarcération excessive sont intrinsèquement liées. Le Rapporteur spécial sur la torture et autres peines ou traitements cruels, inhumains ou dégradants a affirmé que </w:t>
      </w:r>
      <w:r w:rsidR="00824B55" w:rsidRPr="00ED1E3E">
        <w:rPr>
          <w:lang w:val="fr-CH"/>
        </w:rPr>
        <w:t>« </w:t>
      </w:r>
      <w:r w:rsidRPr="00ED1E3E">
        <w:rPr>
          <w:lang w:val="fr-CH"/>
        </w:rPr>
        <w:t>[l]e recours abusif à l’emprisonnement a des effets négatifs multiples sur les droits fondamentaux de l’être humain. C’est l’une des principales causes sous-jacentes de la surpopulation carcérale qui crée des conditions qui caractérisent les mauvais traitements, voire la torture »</w:t>
      </w:r>
      <w:r w:rsidRPr="00ED1E3E">
        <w:rPr>
          <w:rStyle w:val="FootnoteReference"/>
          <w:lang w:val="fr-CH"/>
        </w:rPr>
        <w:footnoteReference w:id="12"/>
      </w:r>
      <w:r w:rsidR="00824B55" w:rsidRPr="00ED1E3E">
        <w:rPr>
          <w:lang w:val="fr-CH"/>
        </w:rPr>
        <w:t>.</w:t>
      </w:r>
      <w:r w:rsidRPr="00ED1E3E">
        <w:rPr>
          <w:lang w:val="fr-CH"/>
        </w:rPr>
        <w:t xml:space="preserve"> En outre, de nombreux organes et mécanismes des Nations Unies, notamment le Conseil de sécurité</w:t>
      </w:r>
      <w:r w:rsidRPr="00ED1E3E">
        <w:rPr>
          <w:rStyle w:val="FootnoteReference"/>
          <w:lang w:val="fr-CH"/>
        </w:rPr>
        <w:footnoteReference w:id="13"/>
      </w:r>
      <w:r w:rsidR="005C1C93" w:rsidRPr="00ED1E3E">
        <w:rPr>
          <w:lang w:val="fr-CH"/>
        </w:rPr>
        <w:t>,</w:t>
      </w:r>
      <w:r w:rsidRPr="00ED1E3E">
        <w:rPr>
          <w:lang w:val="fr-CH"/>
        </w:rPr>
        <w:t xml:space="preserve"> le Comité des droits de l’homme</w:t>
      </w:r>
      <w:r w:rsidRPr="00ED1E3E">
        <w:rPr>
          <w:rStyle w:val="FootnoteReference"/>
          <w:lang w:val="fr-CH"/>
        </w:rPr>
        <w:footnoteReference w:id="14"/>
      </w:r>
      <w:r w:rsidRPr="00ED1E3E">
        <w:rPr>
          <w:lang w:val="fr-CH"/>
        </w:rPr>
        <w:t>, le Comité contre la torture</w:t>
      </w:r>
      <w:r w:rsidRPr="00ED1E3E">
        <w:rPr>
          <w:rStyle w:val="FootnoteReference"/>
          <w:lang w:val="fr-CH"/>
        </w:rPr>
        <w:footnoteReference w:id="15"/>
      </w:r>
      <w:r w:rsidRPr="00ED1E3E">
        <w:rPr>
          <w:lang w:val="fr-CH"/>
        </w:rPr>
        <w:t>, le Sous-Comité pour la prévention de la torture</w:t>
      </w:r>
      <w:r w:rsidRPr="00ED1E3E">
        <w:rPr>
          <w:rStyle w:val="FootnoteReference"/>
          <w:lang w:val="fr-CH"/>
        </w:rPr>
        <w:footnoteReference w:id="16"/>
      </w:r>
      <w:r w:rsidRPr="00ED1E3E">
        <w:rPr>
          <w:lang w:val="fr-CH"/>
        </w:rPr>
        <w:t xml:space="preserve"> et le Groupe de travail sur la détention arbitraire</w:t>
      </w:r>
      <w:r w:rsidRPr="00ED1E3E">
        <w:rPr>
          <w:rStyle w:val="FootnoteReference"/>
          <w:lang w:val="fr-CH"/>
        </w:rPr>
        <w:footnoteReference w:id="17"/>
      </w:r>
      <w:r w:rsidRPr="00ED1E3E">
        <w:rPr>
          <w:lang w:val="fr-CH"/>
        </w:rPr>
        <w:t xml:space="preserve">, et des </w:t>
      </w:r>
      <w:r w:rsidRPr="00ED1E3E">
        <w:rPr>
          <w:lang w:val="fr-CH"/>
        </w:rPr>
        <w:lastRenderedPageBreak/>
        <w:t>organes régionaux des droits de l’homme</w:t>
      </w:r>
      <w:r w:rsidRPr="00ED1E3E">
        <w:rPr>
          <w:rStyle w:val="FootnoteReference"/>
          <w:lang w:val="fr-CH"/>
        </w:rPr>
        <w:footnoteReference w:id="18"/>
      </w:r>
      <w:r w:rsidRPr="00ED1E3E">
        <w:rPr>
          <w:lang w:val="fr-CH"/>
        </w:rPr>
        <w:t xml:space="preserve"> se sont dits profondément préoccupés par la surpopulation sur les lieux de privation de liberté ainsi que par les incidences néfastes de ce phénomène sur les droits fondamentaux des détenus.</w:t>
      </w:r>
    </w:p>
    <w:p w:rsidR="00393579" w:rsidRPr="00ED1E3E" w:rsidRDefault="00393579" w:rsidP="00824B55">
      <w:pPr>
        <w:pStyle w:val="SingleTxt"/>
        <w:numPr>
          <w:ilvl w:val="0"/>
          <w:numId w:val="15"/>
        </w:numPr>
        <w:tabs>
          <w:tab w:val="clear" w:pos="475"/>
          <w:tab w:val="num" w:pos="1742"/>
        </w:tabs>
        <w:ind w:left="1267"/>
        <w:rPr>
          <w:lang w:val="fr-CH"/>
        </w:rPr>
      </w:pPr>
      <w:r w:rsidRPr="00ED1E3E">
        <w:rPr>
          <w:lang w:val="fr-CH"/>
        </w:rPr>
        <w:t xml:space="preserve">Le problème de la surpopulation se pose non seulement dans les prisons, mais aussi dans d’autres lieux de privation de liberté. Selon l’article 4 du Protocole facultatif se rapportant à la Convention contre la torture et autres peines ou traitements cruels, inhumains ou dégradants, est considéré comme </w:t>
      </w:r>
      <w:r w:rsidR="009D3BD6" w:rsidRPr="00ED1E3E">
        <w:rPr>
          <w:lang w:val="fr-CH"/>
        </w:rPr>
        <w:t>« </w:t>
      </w:r>
      <w:r w:rsidRPr="00ED1E3E">
        <w:rPr>
          <w:lang w:val="fr-CH"/>
        </w:rPr>
        <w:t xml:space="preserve">privatif de liberté » tout lieu placé sous la juridiction ou le contrôle d’un État où se trouvent ou pourraient se trouver des personnes privées de liberté sur l’ordre d’une autorité publique ou à son instigation, ou avec son consentement exprès ou tacite. Cette définition a été forgée au fil du temps par les mécanismes internationaux et régionaux des droits de l’homme, qui ont employé l’expression </w:t>
      </w:r>
      <w:r w:rsidR="009D3BD6" w:rsidRPr="00ED1E3E">
        <w:rPr>
          <w:lang w:val="fr-CH"/>
        </w:rPr>
        <w:t>« </w:t>
      </w:r>
      <w:r w:rsidRPr="00ED1E3E">
        <w:rPr>
          <w:lang w:val="fr-CH"/>
        </w:rPr>
        <w:t>privation de liberté » en référence à d’autres contextes que le seul contexte de la justice pénale</w:t>
      </w:r>
      <w:r w:rsidRPr="00ED1E3E">
        <w:rPr>
          <w:rStyle w:val="FootnoteReference"/>
          <w:lang w:val="fr-CH"/>
        </w:rPr>
        <w:footnoteReference w:id="19"/>
      </w:r>
      <w:r w:rsidRPr="00ED1E3E">
        <w:rPr>
          <w:lang w:val="fr-CH"/>
        </w:rPr>
        <w:t>. En effet, diverses structures connaissent des problèmes de surpopulation, notamment les hôpitaux psychiatriques</w:t>
      </w:r>
      <w:r w:rsidRPr="00ED1E3E">
        <w:rPr>
          <w:rStyle w:val="FootnoteReference"/>
          <w:lang w:val="fr-CH"/>
        </w:rPr>
        <w:footnoteReference w:id="20"/>
      </w:r>
      <w:r w:rsidRPr="00ED1E3E">
        <w:rPr>
          <w:lang w:val="fr-CH"/>
        </w:rPr>
        <w:t>, certains centres d’accueil pour migrants en situation irrégulière et demandeurs d’asile</w:t>
      </w:r>
      <w:r w:rsidRPr="00ED1E3E">
        <w:rPr>
          <w:rStyle w:val="FootnoteReference"/>
          <w:lang w:val="fr-CH"/>
        </w:rPr>
        <w:footnoteReference w:id="21"/>
      </w:r>
      <w:r w:rsidRPr="00ED1E3E">
        <w:rPr>
          <w:lang w:val="fr-CH"/>
        </w:rPr>
        <w:t xml:space="preserve"> tels que les centres extraterritoriaux de traitement des demandes d’asile</w:t>
      </w:r>
      <w:r w:rsidRPr="00ED1E3E">
        <w:rPr>
          <w:rStyle w:val="FootnoteReference"/>
          <w:lang w:val="fr-CH"/>
        </w:rPr>
        <w:footnoteReference w:id="22"/>
      </w:r>
      <w:r w:rsidRPr="00ED1E3E">
        <w:rPr>
          <w:lang w:val="fr-CH"/>
        </w:rPr>
        <w:t xml:space="preserve"> ou les centres de rétention temporaire aux abords des aéroports</w:t>
      </w:r>
      <w:r w:rsidRPr="00ED1E3E">
        <w:rPr>
          <w:rStyle w:val="FootnoteReference"/>
          <w:lang w:val="fr-CH"/>
        </w:rPr>
        <w:footnoteReference w:id="23"/>
      </w:r>
      <w:r w:rsidR="009D3BD6" w:rsidRPr="00ED1E3E">
        <w:rPr>
          <w:lang w:val="fr-CH"/>
        </w:rPr>
        <w:t>.</w:t>
      </w:r>
    </w:p>
    <w:p w:rsidR="00393579" w:rsidRPr="00ED1E3E" w:rsidRDefault="00393579" w:rsidP="00824B55">
      <w:pPr>
        <w:pStyle w:val="SingleTxt"/>
        <w:numPr>
          <w:ilvl w:val="0"/>
          <w:numId w:val="15"/>
        </w:numPr>
        <w:tabs>
          <w:tab w:val="clear" w:pos="475"/>
          <w:tab w:val="num" w:pos="1742"/>
        </w:tabs>
        <w:ind w:left="1267"/>
        <w:rPr>
          <w:lang w:val="fr-CH"/>
        </w:rPr>
      </w:pPr>
      <w:r w:rsidRPr="00ED1E3E">
        <w:rPr>
          <w:lang w:val="fr-CH"/>
        </w:rPr>
        <w:t xml:space="preserve">Dans sa résolution 24/12, le Conseil des droits de l’homme a encouragé les États à prendre des mesures effectives en vue de s’attaquer au problème de la surpopulation dans les lieux de détention. Dans cette même résolution, il a prié le Haut-Commissaire des Nations Unies aux droits de l’homme de lui soumettre, à sa trentième session, un rapport analytique sur les incidences que l’incarcération excessive et la surpopulation carcérale ont sur les droits de l’homme, </w:t>
      </w:r>
      <w:r w:rsidRPr="00ED1E3E">
        <w:rPr>
          <w:bCs/>
          <w:lang w:val="fr-CH"/>
        </w:rPr>
        <w:t>qui repose sur l’expérience acquise par les</w:t>
      </w:r>
      <w:r w:rsidRPr="00ED1E3E">
        <w:rPr>
          <w:lang w:val="fr-CH"/>
        </w:rPr>
        <w:t xml:space="preserve"> mécanismes des droits de l’homme de l’Organisation des Nations Unies et les mécanismes régionaux des droits de l’homme, et sur les vues des États, notamment au sujet de leurs pratiques en matière de solutions de substitution à la détention, ainsi que celles des autres parties prenantes concernées. Suite à une note verbale que leur avait adressée le Haut-Commissariat des Nations Unies aux droits de l’homme, 23 États et 22 autres parties prenantes ont fait parvenir leurs vues, qui sont disponibles en ligne</w:t>
      </w:r>
      <w:r w:rsidRPr="00ED1E3E">
        <w:rPr>
          <w:rStyle w:val="FootnoteReference"/>
          <w:lang w:val="fr-CH"/>
        </w:rPr>
        <w:footnoteReference w:id="24"/>
      </w:r>
      <w:r w:rsidRPr="00ED1E3E">
        <w:rPr>
          <w:lang w:val="fr-CH"/>
        </w:rPr>
        <w:t>.</w:t>
      </w:r>
    </w:p>
    <w:p w:rsidR="00393579" w:rsidRPr="00ED1E3E" w:rsidRDefault="00393579" w:rsidP="00824B55">
      <w:pPr>
        <w:pStyle w:val="SingleTxt"/>
        <w:numPr>
          <w:ilvl w:val="0"/>
          <w:numId w:val="15"/>
        </w:numPr>
        <w:tabs>
          <w:tab w:val="clear" w:pos="475"/>
          <w:tab w:val="num" w:pos="1742"/>
        </w:tabs>
        <w:ind w:left="1267"/>
        <w:rPr>
          <w:lang w:val="fr-CH"/>
        </w:rPr>
      </w:pPr>
      <w:r w:rsidRPr="00ED1E3E">
        <w:rPr>
          <w:lang w:val="fr-CH"/>
        </w:rPr>
        <w:t>Le présent rapport renferme une analyse des incidences de l’incarcération excessive et de la surpopulation carcérale, notamment sur les droits de l’homme, ainsi que des principales causes de ce phénomène. Y sont également formulées des recommandations sur les moyens d’y remédier, et des conclusions.</w:t>
      </w:r>
    </w:p>
    <w:p w:rsidR="009D3BD6" w:rsidRPr="00ED1E3E" w:rsidRDefault="009D3BD6" w:rsidP="009D3BD6">
      <w:pPr>
        <w:pStyle w:val="SingleTxt"/>
        <w:spacing w:after="0" w:line="120" w:lineRule="exact"/>
        <w:rPr>
          <w:sz w:val="10"/>
          <w:lang w:val="fr-CH"/>
        </w:rPr>
      </w:pPr>
    </w:p>
    <w:p w:rsidR="009D3BD6" w:rsidRPr="00ED1E3E" w:rsidRDefault="009D3BD6" w:rsidP="009D3BD6">
      <w:pPr>
        <w:pStyle w:val="SingleTxt"/>
        <w:spacing w:after="0" w:line="120" w:lineRule="exact"/>
        <w:rPr>
          <w:sz w:val="10"/>
          <w:lang w:val="fr-CH"/>
        </w:rPr>
      </w:pPr>
    </w:p>
    <w:p w:rsidR="00393579" w:rsidRPr="00ED1E3E" w:rsidRDefault="009D3BD6" w:rsidP="009D3BD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r>
      <w:r w:rsidR="00393579" w:rsidRPr="00ED1E3E">
        <w:rPr>
          <w:lang w:val="fr-CH"/>
        </w:rPr>
        <w:t>II.</w:t>
      </w:r>
      <w:r w:rsidR="00393579" w:rsidRPr="00ED1E3E">
        <w:rPr>
          <w:lang w:val="fr-CH"/>
        </w:rPr>
        <w:tab/>
        <w:t xml:space="preserve">L’incidence de l’incarcération excessive </w:t>
      </w:r>
      <w:r w:rsidRPr="00ED1E3E">
        <w:rPr>
          <w:lang w:val="fr-CH"/>
        </w:rPr>
        <w:br/>
      </w:r>
      <w:r w:rsidR="00393579" w:rsidRPr="00ED1E3E">
        <w:rPr>
          <w:lang w:val="fr-CH"/>
        </w:rPr>
        <w:t xml:space="preserve">et de la surpopulation carcérale </w:t>
      </w:r>
      <w:r w:rsidRPr="00ED1E3E">
        <w:rPr>
          <w:lang w:val="fr-CH"/>
        </w:rPr>
        <w:br/>
      </w:r>
      <w:r w:rsidR="00393579" w:rsidRPr="00ED1E3E">
        <w:rPr>
          <w:lang w:val="fr-CH"/>
        </w:rPr>
        <w:t>sur les droits de l’homme</w:t>
      </w:r>
    </w:p>
    <w:p w:rsidR="009D3BD6" w:rsidRPr="00ED1E3E" w:rsidRDefault="009D3BD6" w:rsidP="009D3BD6">
      <w:pPr>
        <w:pStyle w:val="SingleTxt"/>
        <w:spacing w:after="0" w:line="120" w:lineRule="exact"/>
        <w:rPr>
          <w:sz w:val="10"/>
          <w:lang w:val="fr-CH"/>
        </w:rPr>
      </w:pPr>
    </w:p>
    <w:p w:rsidR="009D3BD6" w:rsidRPr="00ED1E3E" w:rsidRDefault="009D3BD6" w:rsidP="009D3BD6">
      <w:pPr>
        <w:pStyle w:val="SingleTxt"/>
        <w:spacing w:after="0" w:line="120" w:lineRule="exact"/>
        <w:rPr>
          <w:sz w:val="10"/>
          <w:lang w:val="fr-CH"/>
        </w:rPr>
      </w:pPr>
    </w:p>
    <w:p w:rsidR="00393579" w:rsidRPr="00ED1E3E" w:rsidRDefault="00393579" w:rsidP="009D3BD6">
      <w:pPr>
        <w:pStyle w:val="SingleTxt"/>
        <w:numPr>
          <w:ilvl w:val="0"/>
          <w:numId w:val="15"/>
        </w:numPr>
        <w:tabs>
          <w:tab w:val="clear" w:pos="475"/>
          <w:tab w:val="num" w:pos="1742"/>
        </w:tabs>
        <w:ind w:left="1267"/>
        <w:rPr>
          <w:lang w:val="fr-CH"/>
        </w:rPr>
      </w:pPr>
      <w:r w:rsidRPr="00ED1E3E">
        <w:rPr>
          <w:lang w:val="fr-CH"/>
        </w:rPr>
        <w:t xml:space="preserve">La privation de liberté se définit avant tout par l’impossibilité pour une personne en détention de se défendre et de se protéger elle-même, sa vie quotidienne étant </w:t>
      </w:r>
      <w:r w:rsidRPr="00ED1E3E">
        <w:rPr>
          <w:lang w:val="fr-CH"/>
        </w:rPr>
        <w:lastRenderedPageBreak/>
        <w:t>fortement tributaire des décisions prises par le personnel de son lieu de détention</w:t>
      </w:r>
      <w:r w:rsidRPr="00ED1E3E">
        <w:rPr>
          <w:rStyle w:val="FootnoteReference"/>
          <w:lang w:val="fr-CH"/>
        </w:rPr>
        <w:footnoteReference w:id="25"/>
      </w:r>
      <w:r w:rsidRPr="00ED1E3E">
        <w:rPr>
          <w:lang w:val="fr-CH"/>
        </w:rPr>
        <w:t>. Lorsqu’il a recours à la privation de liberté, l’État doit donc assumer un devoir de protection</w:t>
      </w:r>
      <w:r w:rsidRPr="00ED1E3E">
        <w:rPr>
          <w:rStyle w:val="FootnoteReference"/>
          <w:lang w:val="fr-CH"/>
        </w:rPr>
        <w:footnoteReference w:id="26"/>
      </w:r>
      <w:r w:rsidRPr="00ED1E3E">
        <w:rPr>
          <w:lang w:val="fr-CH"/>
        </w:rPr>
        <w:t xml:space="preserve"> et une responsabilité particulière</w:t>
      </w:r>
      <w:r w:rsidRPr="00ED1E3E">
        <w:rPr>
          <w:rStyle w:val="FootnoteReference"/>
          <w:lang w:val="fr-CH"/>
        </w:rPr>
        <w:footnoteReference w:id="27"/>
      </w:r>
      <w:r w:rsidRPr="00ED1E3E">
        <w:rPr>
          <w:lang w:val="fr-CH"/>
        </w:rPr>
        <w:t xml:space="preserve"> vis-à-vis des individus placés en détention, le manquement à ces obligations étant susceptible d’engager sa responsabilité</w:t>
      </w:r>
      <w:r w:rsidRPr="00ED1E3E">
        <w:rPr>
          <w:rStyle w:val="FootnoteReference"/>
          <w:lang w:val="fr-CH"/>
        </w:rPr>
        <w:footnoteReference w:id="28"/>
      </w:r>
      <w:r w:rsidRPr="00ED1E3E">
        <w:rPr>
          <w:lang w:val="fr-CH"/>
        </w:rPr>
        <w:t>, y compris sur le plan international</w:t>
      </w:r>
      <w:r w:rsidRPr="00ED1E3E">
        <w:rPr>
          <w:rStyle w:val="FootnoteReference"/>
          <w:lang w:val="fr-CH"/>
        </w:rPr>
        <w:footnoteReference w:id="29"/>
      </w:r>
      <w:r w:rsidRPr="00ED1E3E">
        <w:rPr>
          <w:lang w:val="fr-CH"/>
        </w:rPr>
        <w:t>. Sauf pour les limitations, prévues par la loi, incontestablement rendues nécessaires par l’incarcération, les autorités étatiques devraient garantir que les personnes privées de liberté peuvent jouir de l’ensemble de leurs droit</w:t>
      </w:r>
      <w:r w:rsidR="002D6D5C" w:rsidRPr="00ED1E3E">
        <w:rPr>
          <w:lang w:val="fr-CH"/>
        </w:rPr>
        <w:t>s fondamentaux.</w:t>
      </w:r>
    </w:p>
    <w:p w:rsidR="002D6D5C" w:rsidRPr="00ED1E3E" w:rsidRDefault="002D6D5C" w:rsidP="002D6D5C">
      <w:pPr>
        <w:pStyle w:val="SingleTxt"/>
        <w:tabs>
          <w:tab w:val="clear" w:pos="1742"/>
        </w:tabs>
        <w:spacing w:after="0" w:line="120" w:lineRule="exact"/>
        <w:rPr>
          <w:sz w:val="10"/>
          <w:lang w:val="fr-CH"/>
        </w:rPr>
      </w:pPr>
    </w:p>
    <w:p w:rsidR="002D6D5C" w:rsidRPr="00ED1E3E" w:rsidRDefault="002D6D5C" w:rsidP="002D6D5C">
      <w:pPr>
        <w:pStyle w:val="SingleTxt"/>
        <w:tabs>
          <w:tab w:val="clear" w:pos="1742"/>
        </w:tabs>
        <w:spacing w:after="0" w:line="120" w:lineRule="exact"/>
        <w:rPr>
          <w:sz w:val="10"/>
          <w:lang w:val="fr-CH"/>
        </w:rPr>
      </w:pPr>
    </w:p>
    <w:p w:rsidR="002D6D5C" w:rsidRPr="00ED1E3E" w:rsidRDefault="002D6D5C" w:rsidP="002D6D5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r>
      <w:r w:rsidR="00393579" w:rsidRPr="00ED1E3E">
        <w:rPr>
          <w:lang w:val="fr-CH"/>
        </w:rPr>
        <w:t>A.</w:t>
      </w:r>
      <w:r w:rsidR="00393579" w:rsidRPr="00ED1E3E">
        <w:rPr>
          <w:lang w:val="fr-CH"/>
        </w:rPr>
        <w:tab/>
        <w:t>Le droit à la liberté et à la sécurité</w:t>
      </w:r>
    </w:p>
    <w:p w:rsidR="002D6D5C" w:rsidRPr="00ED1E3E" w:rsidRDefault="002D6D5C" w:rsidP="002D6D5C">
      <w:pPr>
        <w:pStyle w:val="SingleTxt"/>
        <w:spacing w:after="0" w:line="120" w:lineRule="exact"/>
        <w:rPr>
          <w:sz w:val="10"/>
          <w:lang w:val="fr-CH"/>
        </w:rPr>
      </w:pPr>
    </w:p>
    <w:p w:rsidR="002D6D5C" w:rsidRPr="00ED1E3E" w:rsidRDefault="002D6D5C" w:rsidP="002D6D5C">
      <w:pPr>
        <w:pStyle w:val="SingleTxt"/>
        <w:spacing w:after="0" w:line="120" w:lineRule="exact"/>
        <w:rPr>
          <w:sz w:val="10"/>
          <w:lang w:val="fr-CH"/>
        </w:rPr>
      </w:pPr>
    </w:p>
    <w:p w:rsidR="00393579" w:rsidRPr="00ED1E3E" w:rsidRDefault="00393579" w:rsidP="00824B55">
      <w:pPr>
        <w:pStyle w:val="SingleTxt"/>
        <w:numPr>
          <w:ilvl w:val="0"/>
          <w:numId w:val="15"/>
        </w:numPr>
        <w:tabs>
          <w:tab w:val="clear" w:pos="475"/>
          <w:tab w:val="num" w:pos="1742"/>
        </w:tabs>
        <w:ind w:left="1267"/>
        <w:rPr>
          <w:lang w:val="fr-CH"/>
        </w:rPr>
      </w:pPr>
      <w:r w:rsidRPr="00ED1E3E">
        <w:rPr>
          <w:lang w:val="fr-CH"/>
        </w:rPr>
        <w:t>Comme le souligne le Comité des droits de l’homme, tout individu a droit à la liberté et à la sécurité de sa personne, ce droit s’appliquant également aux personnes condamnées du chef d’une infraction pénale</w:t>
      </w:r>
      <w:r w:rsidRPr="00ED1E3E">
        <w:rPr>
          <w:rStyle w:val="FootnoteReference"/>
          <w:lang w:val="fr-CH"/>
        </w:rPr>
        <w:footnoteReference w:id="30"/>
      </w:r>
      <w:r w:rsidRPr="00ED1E3E">
        <w:rPr>
          <w:lang w:val="fr-CH"/>
        </w:rPr>
        <w:t>. Bien que les États disposent d’une marge d’appréciation importante dans le choix de leur politique pénale, le droit à la liberté de la personne, prévu par l’article 9 du Pacte international relatif aux droits civils et politiques, impose aux États de n’avoir recours à la privation de liberté que dans la mesure où cela est nécessaire pour répondre à un besoin sociétal urgent et ce, de façon proportionnée</w:t>
      </w:r>
      <w:r w:rsidRPr="00ED1E3E">
        <w:rPr>
          <w:rStyle w:val="FootnoteReference"/>
          <w:lang w:val="fr-CH"/>
        </w:rPr>
        <w:footnoteReference w:id="31"/>
      </w:r>
      <w:r w:rsidRPr="00ED1E3E">
        <w:rPr>
          <w:lang w:val="fr-CH"/>
        </w:rPr>
        <w:t>. En outre, la privation de liberté ne peut en aucun cas être arbitraire et doit se dérouler dans le respect du droit</w:t>
      </w:r>
      <w:r w:rsidRPr="00ED1E3E">
        <w:rPr>
          <w:rStyle w:val="FootnoteReference"/>
          <w:lang w:val="fr-CH"/>
        </w:rPr>
        <w:footnoteReference w:id="32"/>
      </w:r>
      <w:r w:rsidR="002D6D5C" w:rsidRPr="00ED1E3E">
        <w:rPr>
          <w:lang w:val="fr-CH"/>
        </w:rPr>
        <w:t>.</w:t>
      </w:r>
    </w:p>
    <w:p w:rsidR="00393579" w:rsidRPr="00ED1E3E" w:rsidRDefault="00393579" w:rsidP="00824B55">
      <w:pPr>
        <w:pStyle w:val="SingleTxt"/>
        <w:numPr>
          <w:ilvl w:val="0"/>
          <w:numId w:val="15"/>
        </w:numPr>
        <w:tabs>
          <w:tab w:val="clear" w:pos="475"/>
          <w:tab w:val="num" w:pos="1742"/>
        </w:tabs>
        <w:ind w:left="1267"/>
        <w:rPr>
          <w:lang w:val="fr-CH"/>
        </w:rPr>
      </w:pPr>
      <w:r w:rsidRPr="00ED1E3E">
        <w:rPr>
          <w:lang w:val="fr-CH"/>
        </w:rPr>
        <w:t>L’une des principales garanties contre la privation arbitraire de liberté est le droit d’introduire un recours devant un tribunal dans le but de contester la légalité de la détention, ce droit étant autonome</w:t>
      </w:r>
      <w:r w:rsidRPr="00ED1E3E">
        <w:rPr>
          <w:rStyle w:val="FootnoteReference"/>
          <w:lang w:val="fr-CH"/>
        </w:rPr>
        <w:footnoteReference w:id="33"/>
      </w:r>
      <w:r w:rsidRPr="00ED1E3E">
        <w:rPr>
          <w:lang w:val="fr-CH"/>
        </w:rPr>
        <w:t xml:space="preserve"> et non susceptible de dérogation</w:t>
      </w:r>
      <w:r w:rsidRPr="00ED1E3E">
        <w:rPr>
          <w:rStyle w:val="FootnoteReference"/>
          <w:lang w:val="fr-CH"/>
        </w:rPr>
        <w:footnoteReference w:id="34"/>
      </w:r>
      <w:r w:rsidR="002D6D5C" w:rsidRPr="00ED1E3E">
        <w:rPr>
          <w:lang w:val="fr-CH"/>
        </w:rPr>
        <w:t>.</w:t>
      </w:r>
      <w:r w:rsidRPr="00ED1E3E">
        <w:rPr>
          <w:lang w:val="fr-CH"/>
        </w:rPr>
        <w:t xml:space="preserve"> Pour que ce droit soit effectif, certains principes doivent être observés, notamment l’impartialité du tribunal examinant la décision de mise en détention, le droit de bénéficier de l’assistance d’un conseil et d’un accès à l’aide judiciaire ainsi que la garantie de l’établissement, par les autorités, de la charge de la preuve</w:t>
      </w:r>
      <w:r w:rsidRPr="00ED1E3E">
        <w:rPr>
          <w:rStyle w:val="FootnoteReference"/>
          <w:lang w:val="fr-CH"/>
        </w:rPr>
        <w:footnoteReference w:id="35"/>
      </w:r>
      <w:r w:rsidRPr="00ED1E3E">
        <w:rPr>
          <w:lang w:val="fr-CH"/>
        </w:rPr>
        <w:t>. De nombreux organes chargés des droits de l’homme ont toutefois fait état de graves atteintes au droit à la liberté de la personne, des individus étant détenus sans justification aucune</w:t>
      </w:r>
      <w:r w:rsidRPr="00ED1E3E">
        <w:rPr>
          <w:rStyle w:val="FootnoteReference"/>
          <w:lang w:val="fr-CH"/>
        </w:rPr>
        <w:footnoteReference w:id="36"/>
      </w:r>
      <w:r w:rsidRPr="00ED1E3E">
        <w:rPr>
          <w:lang w:val="fr-CH"/>
        </w:rPr>
        <w:t>, étant arrêtés sans être déférés dans les plus brefs délais devant un juge</w:t>
      </w:r>
      <w:r w:rsidRPr="00ED1E3E">
        <w:rPr>
          <w:rStyle w:val="FootnoteReference"/>
          <w:lang w:val="fr-CH"/>
        </w:rPr>
        <w:footnoteReference w:id="37"/>
      </w:r>
      <w:r w:rsidRPr="00ED1E3E">
        <w:rPr>
          <w:lang w:val="fr-CH"/>
        </w:rPr>
        <w:t>, et des décisions judiciaires de maintien en détention n’étant pas prononcées dans des délais raisonnables</w:t>
      </w:r>
      <w:r w:rsidRPr="00ED1E3E">
        <w:rPr>
          <w:rStyle w:val="FootnoteReference"/>
          <w:lang w:val="fr-CH"/>
        </w:rPr>
        <w:footnoteReference w:id="38"/>
      </w:r>
      <w:r w:rsidR="002D6D5C" w:rsidRPr="00ED1E3E">
        <w:rPr>
          <w:lang w:val="fr-CH"/>
        </w:rPr>
        <w:t>.</w:t>
      </w:r>
      <w:r w:rsidRPr="00ED1E3E">
        <w:rPr>
          <w:lang w:val="fr-CH"/>
        </w:rPr>
        <w:t xml:space="preserve"> De plus, les détenus se trouvent souvent dans l’incapacité de s’opposer </w:t>
      </w:r>
      <w:r w:rsidRPr="00ED1E3E">
        <w:rPr>
          <w:lang w:val="fr-CH"/>
        </w:rPr>
        <w:lastRenderedPageBreak/>
        <w:t>à leur maintien en détention faute d’accès à une représentation juridique, à l’aide judiciaire, voire en raison du manque de disponibilité des juges</w:t>
      </w:r>
      <w:r w:rsidRPr="00ED1E3E">
        <w:rPr>
          <w:rStyle w:val="FootnoteReference"/>
          <w:lang w:val="fr-CH"/>
        </w:rPr>
        <w:footnoteReference w:id="39"/>
      </w:r>
      <w:r w:rsidRPr="00ED1E3E">
        <w:rPr>
          <w:lang w:val="fr-CH"/>
        </w:rPr>
        <w:t>.</w:t>
      </w:r>
    </w:p>
    <w:p w:rsidR="00393579" w:rsidRPr="00ED1E3E" w:rsidRDefault="00393579" w:rsidP="00824B55">
      <w:pPr>
        <w:pStyle w:val="SingleTxt"/>
        <w:numPr>
          <w:ilvl w:val="0"/>
          <w:numId w:val="15"/>
        </w:numPr>
        <w:tabs>
          <w:tab w:val="clear" w:pos="475"/>
          <w:tab w:val="num" w:pos="1742"/>
        </w:tabs>
        <w:ind w:left="1267"/>
        <w:rPr>
          <w:lang w:val="fr-CH"/>
        </w:rPr>
      </w:pPr>
      <w:r w:rsidRPr="00ED1E3E">
        <w:rPr>
          <w:lang w:val="fr-CH"/>
        </w:rPr>
        <w:t>Le Groupe de travail sur la détention arbitraire a noté que le principe selon lequel la privation de liberté ne pouvait être imposée que pour répondre à un besoin public et ce, d’une manière proportionnée à ce besoin, était particulièrement pertinent en matière de détention provisoire</w:t>
      </w:r>
      <w:r w:rsidRPr="00ED1E3E">
        <w:rPr>
          <w:rStyle w:val="FootnoteReference"/>
          <w:lang w:val="fr-CH"/>
        </w:rPr>
        <w:footnoteReference w:id="40"/>
      </w:r>
      <w:r w:rsidR="00F53CE5" w:rsidRPr="00ED1E3E">
        <w:rPr>
          <w:lang w:val="fr-CH"/>
        </w:rPr>
        <w:t>,</w:t>
      </w:r>
      <w:r w:rsidRPr="00ED1E3E">
        <w:rPr>
          <w:lang w:val="fr-CH"/>
        </w:rPr>
        <w:t xml:space="preserve"> ce qui semble indiquer que la détention provisoire doit être une mesure de dernier recours. Or certains organes internationaux</w:t>
      </w:r>
      <w:r w:rsidRPr="00ED1E3E">
        <w:rPr>
          <w:rStyle w:val="FootnoteReference"/>
          <w:lang w:val="fr-CH"/>
        </w:rPr>
        <w:footnoteReference w:id="41"/>
      </w:r>
      <w:r w:rsidRPr="00ED1E3E">
        <w:rPr>
          <w:lang w:val="fr-CH"/>
        </w:rPr>
        <w:t xml:space="preserve"> et régionaux</w:t>
      </w:r>
      <w:r w:rsidRPr="00ED1E3E">
        <w:rPr>
          <w:rStyle w:val="FootnoteReference"/>
          <w:lang w:val="fr-CH"/>
        </w:rPr>
        <w:footnoteReference w:id="42"/>
      </w:r>
      <w:r w:rsidRPr="00ED1E3E">
        <w:rPr>
          <w:lang w:val="fr-CH"/>
        </w:rPr>
        <w:t xml:space="preserve"> s’inquiètent du recours croissant à la détention provisoire et de sa durée excessive. Ces phénomènes ont une incidence telle sur la surpopulation carcérale</w:t>
      </w:r>
      <w:r w:rsidRPr="00ED1E3E">
        <w:rPr>
          <w:rStyle w:val="FootnoteReference"/>
          <w:lang w:val="fr-CH"/>
        </w:rPr>
        <w:footnoteReference w:id="43"/>
      </w:r>
      <w:r w:rsidRPr="00ED1E3E">
        <w:rPr>
          <w:lang w:val="fr-CH"/>
        </w:rPr>
        <w:t xml:space="preserve"> que, dans certaines prisons, les détenus en attente de jugement sont majoritaires</w:t>
      </w:r>
      <w:r w:rsidRPr="00ED1E3E">
        <w:rPr>
          <w:rStyle w:val="FootnoteReference"/>
          <w:lang w:val="fr-CH"/>
        </w:rPr>
        <w:footnoteReference w:id="44"/>
      </w:r>
      <w:r w:rsidRPr="00ED1E3E">
        <w:rPr>
          <w:lang w:val="fr-CH"/>
        </w:rPr>
        <w:t>.</w:t>
      </w:r>
    </w:p>
    <w:p w:rsidR="00393579" w:rsidRPr="00ED1E3E" w:rsidRDefault="00393579" w:rsidP="00824B55">
      <w:pPr>
        <w:pStyle w:val="SingleTxt"/>
        <w:numPr>
          <w:ilvl w:val="0"/>
          <w:numId w:val="15"/>
        </w:numPr>
        <w:tabs>
          <w:tab w:val="clear" w:pos="475"/>
          <w:tab w:val="num" w:pos="1742"/>
        </w:tabs>
        <w:ind w:left="1267"/>
        <w:rPr>
          <w:lang w:val="fr-CH"/>
        </w:rPr>
      </w:pPr>
      <w:r w:rsidRPr="00ED1E3E">
        <w:rPr>
          <w:lang w:val="fr-CH"/>
        </w:rPr>
        <w:t>Il a également été signalé que dans certains États, en raison de la surpopulation, il était difficile d’assurer le suivi de l’exécution des peines, ce qui représente une atteinte au droit à la liberté individuelle de ceux qui ont exécuté leurs peines mais ne sont pas libérés sur le champ</w:t>
      </w:r>
      <w:r w:rsidRPr="00ED1E3E">
        <w:rPr>
          <w:rStyle w:val="FootnoteReference"/>
          <w:lang w:val="fr-CH"/>
        </w:rPr>
        <w:footnoteReference w:id="45"/>
      </w:r>
      <w:r w:rsidRPr="00ED1E3E">
        <w:rPr>
          <w:lang w:val="fr-CH"/>
        </w:rPr>
        <w:t>.</w:t>
      </w:r>
    </w:p>
    <w:p w:rsidR="00393579" w:rsidRPr="00ED1E3E" w:rsidRDefault="00393579" w:rsidP="00824B55">
      <w:pPr>
        <w:pStyle w:val="SingleTxt"/>
        <w:numPr>
          <w:ilvl w:val="0"/>
          <w:numId w:val="15"/>
        </w:numPr>
        <w:tabs>
          <w:tab w:val="clear" w:pos="475"/>
          <w:tab w:val="num" w:pos="1742"/>
        </w:tabs>
        <w:ind w:left="1267"/>
        <w:rPr>
          <w:lang w:val="fr-CH"/>
        </w:rPr>
      </w:pPr>
      <w:r w:rsidRPr="00ED1E3E">
        <w:rPr>
          <w:lang w:val="fr-CH"/>
        </w:rPr>
        <w:t>Des préoccupations ont également été exprimées quant au recours de certains États à la détention à des fins de protection</w:t>
      </w:r>
      <w:r w:rsidRPr="00ED1E3E">
        <w:rPr>
          <w:rStyle w:val="FootnoteReference"/>
          <w:lang w:val="fr-CH"/>
        </w:rPr>
        <w:footnoteReference w:id="46"/>
      </w:r>
      <w:r w:rsidRPr="00ED1E3E">
        <w:rPr>
          <w:lang w:val="fr-CH"/>
        </w:rPr>
        <w:t xml:space="preserve"> et à l’internement préventif après condamnation</w:t>
      </w:r>
      <w:r w:rsidRPr="00ED1E3E">
        <w:rPr>
          <w:rStyle w:val="FootnoteReference"/>
          <w:lang w:val="fr-CH"/>
        </w:rPr>
        <w:footnoteReference w:id="47"/>
      </w:r>
      <w:r w:rsidRPr="00ED1E3E">
        <w:rPr>
          <w:lang w:val="fr-CH"/>
        </w:rPr>
        <w:t>. En plus de constituer des atteintes au droit à la liberté, ces pratiques ne font qu’aggraver le problème de l’incarcération excessive et de la surpopulation carcérale.</w:t>
      </w:r>
    </w:p>
    <w:p w:rsidR="00393579" w:rsidRPr="00ED1E3E" w:rsidRDefault="00393579" w:rsidP="00824B55">
      <w:pPr>
        <w:pStyle w:val="SingleTxt"/>
        <w:numPr>
          <w:ilvl w:val="0"/>
          <w:numId w:val="15"/>
        </w:numPr>
        <w:tabs>
          <w:tab w:val="clear" w:pos="475"/>
          <w:tab w:val="num" w:pos="1742"/>
        </w:tabs>
        <w:ind w:left="1267"/>
        <w:rPr>
          <w:lang w:val="fr-CH"/>
        </w:rPr>
      </w:pPr>
      <w:r w:rsidRPr="00ED1E3E">
        <w:rPr>
          <w:lang w:val="fr-CH"/>
        </w:rPr>
        <w:t>Les autorités responsables des établissements pénitentiaires sont investies d’un devoir de protection à l’égard des détenus</w:t>
      </w:r>
      <w:r w:rsidRPr="00ED1E3E">
        <w:rPr>
          <w:rStyle w:val="FootnoteReference"/>
          <w:lang w:val="fr-CH"/>
        </w:rPr>
        <w:footnoteReference w:id="48"/>
      </w:r>
      <w:r w:rsidRPr="00ED1E3E">
        <w:rPr>
          <w:lang w:val="fr-CH"/>
        </w:rPr>
        <w:t xml:space="preserve">, devoir souvent négligé car </w:t>
      </w:r>
      <w:r w:rsidR="00F53CE5" w:rsidRPr="00ED1E3E">
        <w:rPr>
          <w:lang w:val="fr-CH"/>
        </w:rPr>
        <w:t>–</w:t>
      </w:r>
      <w:r w:rsidRPr="00ED1E3E">
        <w:rPr>
          <w:lang w:val="fr-CH"/>
        </w:rPr>
        <w:t xml:space="preserve"> du fait de la surpopulation </w:t>
      </w:r>
      <w:r w:rsidR="00F53CE5" w:rsidRPr="00ED1E3E">
        <w:rPr>
          <w:lang w:val="fr-CH"/>
        </w:rPr>
        <w:t>–</w:t>
      </w:r>
      <w:r w:rsidRPr="00ED1E3E">
        <w:rPr>
          <w:lang w:val="fr-CH"/>
        </w:rPr>
        <w:t xml:space="preserve"> les ressources allouées aux prisons sont sollicitées à l’excès et les effectifs sont trop restreints au regard du nombre de détenus. Le droit des détenus à la sécurité s’en trouve gravement affecté et, dans certains cas, les autorités manquent à leur obligation de protéger les détenus contre des actes de violence commis par d’autres détenus</w:t>
      </w:r>
      <w:r w:rsidRPr="00ED1E3E">
        <w:rPr>
          <w:rStyle w:val="FootnoteReference"/>
          <w:lang w:val="fr-CH"/>
        </w:rPr>
        <w:footnoteReference w:id="49"/>
      </w:r>
      <w:r w:rsidRPr="00ED1E3E">
        <w:rPr>
          <w:lang w:val="fr-CH"/>
        </w:rPr>
        <w:t>. La surpopulation favorise également les tensions entre le personnel et les détenus</w:t>
      </w:r>
      <w:r w:rsidRPr="00ED1E3E">
        <w:rPr>
          <w:rStyle w:val="FootnoteReference"/>
          <w:lang w:val="fr-CH"/>
        </w:rPr>
        <w:footnoteReference w:id="50"/>
      </w:r>
      <w:r w:rsidRPr="00ED1E3E">
        <w:rPr>
          <w:lang w:val="fr-CH"/>
        </w:rPr>
        <w:t>. Cela peut avoir de graves conséquences au niveau disciplinaire</w:t>
      </w:r>
      <w:r w:rsidRPr="00ED1E3E">
        <w:rPr>
          <w:rStyle w:val="FootnoteReference"/>
          <w:lang w:val="fr-CH"/>
        </w:rPr>
        <w:footnoteReference w:id="51"/>
      </w:r>
      <w:r w:rsidRPr="00ED1E3E">
        <w:rPr>
          <w:lang w:val="fr-CH"/>
        </w:rPr>
        <w:t xml:space="preserve"> et, notamment, conduire les détenus les plus puissants à faire la loi</w:t>
      </w:r>
      <w:r w:rsidRPr="00ED1E3E">
        <w:rPr>
          <w:rStyle w:val="FootnoteReference"/>
          <w:lang w:val="fr-CH"/>
        </w:rPr>
        <w:footnoteReference w:id="52"/>
      </w:r>
      <w:r w:rsidRPr="00ED1E3E">
        <w:rPr>
          <w:lang w:val="fr-CH"/>
        </w:rPr>
        <w:t xml:space="preserve"> ou donner lieu à des émeutes, des mutineries et des grèves de la faim en signe de protestation contre les mauvaises conditions de détention</w:t>
      </w:r>
      <w:r w:rsidRPr="00ED1E3E">
        <w:rPr>
          <w:rStyle w:val="FootnoteReference"/>
          <w:lang w:val="fr-CH"/>
        </w:rPr>
        <w:footnoteReference w:id="53"/>
      </w:r>
      <w:r w:rsidRPr="00ED1E3E">
        <w:rPr>
          <w:lang w:val="fr-CH"/>
        </w:rPr>
        <w:t xml:space="preserve">. En outre, la surpopulation dans les centres de </w:t>
      </w:r>
      <w:r w:rsidRPr="00ED1E3E">
        <w:rPr>
          <w:lang w:val="fr-CH"/>
        </w:rPr>
        <w:lastRenderedPageBreak/>
        <w:t>détention est parfois telle que les autorités ne sont pas en mesure d’assurer la protection des détenus dans des situations d’urgence, notamment en cas d’inondation ou d’incendie</w:t>
      </w:r>
      <w:r w:rsidRPr="00ED1E3E">
        <w:rPr>
          <w:rStyle w:val="FootnoteReference"/>
          <w:lang w:val="fr-CH"/>
        </w:rPr>
        <w:footnoteReference w:id="54"/>
      </w:r>
      <w:r w:rsidRPr="00ED1E3E">
        <w:rPr>
          <w:lang w:val="fr-CH"/>
        </w:rPr>
        <w:t>, ce qui peut porter atteinte à leur droit à la vie</w:t>
      </w:r>
      <w:r w:rsidRPr="00ED1E3E">
        <w:rPr>
          <w:rStyle w:val="FootnoteReference"/>
          <w:lang w:val="fr-CH"/>
        </w:rPr>
        <w:footnoteReference w:id="55"/>
      </w:r>
      <w:r w:rsidRPr="00ED1E3E">
        <w:rPr>
          <w:lang w:val="fr-CH"/>
        </w:rPr>
        <w:t>.</w:t>
      </w:r>
    </w:p>
    <w:p w:rsidR="004D2A14" w:rsidRPr="00ED1E3E" w:rsidRDefault="004D2A14" w:rsidP="004D2A14">
      <w:pPr>
        <w:pStyle w:val="SingleTxt"/>
        <w:tabs>
          <w:tab w:val="clear" w:pos="1742"/>
        </w:tabs>
        <w:spacing w:after="0" w:line="120" w:lineRule="exact"/>
        <w:rPr>
          <w:sz w:val="10"/>
          <w:lang w:val="fr-CH"/>
        </w:rPr>
      </w:pPr>
    </w:p>
    <w:p w:rsidR="004D2A14" w:rsidRPr="00ED1E3E" w:rsidRDefault="004D2A14" w:rsidP="004D2A14">
      <w:pPr>
        <w:pStyle w:val="SingleTxt"/>
        <w:tabs>
          <w:tab w:val="clear" w:pos="1742"/>
        </w:tabs>
        <w:spacing w:after="0" w:line="120" w:lineRule="exact"/>
        <w:rPr>
          <w:sz w:val="10"/>
          <w:lang w:val="fr-CH"/>
        </w:rPr>
      </w:pPr>
    </w:p>
    <w:p w:rsidR="00393579" w:rsidRPr="00ED1E3E" w:rsidRDefault="004D2A14" w:rsidP="004D2A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r>
      <w:r w:rsidR="00393579" w:rsidRPr="00ED1E3E">
        <w:rPr>
          <w:lang w:val="fr-CH"/>
        </w:rPr>
        <w:t>B.</w:t>
      </w:r>
      <w:r w:rsidR="00393579" w:rsidRPr="00ED1E3E">
        <w:rPr>
          <w:lang w:val="fr-CH"/>
        </w:rPr>
        <w:tab/>
        <w:t xml:space="preserve">Le droit de ne pas être soumis à la torture ou à d’autres </w:t>
      </w:r>
      <w:r w:rsidRPr="00ED1E3E">
        <w:rPr>
          <w:lang w:val="fr-CH"/>
        </w:rPr>
        <w:br/>
      </w:r>
      <w:r w:rsidR="00393579" w:rsidRPr="00ED1E3E">
        <w:rPr>
          <w:lang w:val="fr-CH"/>
        </w:rPr>
        <w:t>peines ou traitements cruels, inhumains ou dégradants</w:t>
      </w:r>
    </w:p>
    <w:p w:rsidR="004D2A14" w:rsidRPr="00ED1E3E" w:rsidRDefault="004D2A14" w:rsidP="004D2A14">
      <w:pPr>
        <w:pStyle w:val="SingleTxt"/>
        <w:spacing w:after="0" w:line="120" w:lineRule="exact"/>
        <w:rPr>
          <w:sz w:val="10"/>
          <w:lang w:val="fr-CH"/>
        </w:rPr>
      </w:pPr>
    </w:p>
    <w:p w:rsidR="004D2A14" w:rsidRPr="00ED1E3E" w:rsidRDefault="004D2A14" w:rsidP="004D2A14">
      <w:pPr>
        <w:pStyle w:val="SingleTxt"/>
        <w:spacing w:after="0" w:line="120" w:lineRule="exact"/>
        <w:rPr>
          <w:sz w:val="10"/>
          <w:lang w:val="fr-CH"/>
        </w:rPr>
      </w:pPr>
    </w:p>
    <w:p w:rsidR="00393579" w:rsidRPr="00ED1E3E" w:rsidRDefault="00393579" w:rsidP="00824B55">
      <w:pPr>
        <w:pStyle w:val="SingleTxt"/>
        <w:numPr>
          <w:ilvl w:val="0"/>
          <w:numId w:val="15"/>
        </w:numPr>
        <w:tabs>
          <w:tab w:val="clear" w:pos="475"/>
          <w:tab w:val="num" w:pos="1742"/>
        </w:tabs>
        <w:ind w:left="1267"/>
        <w:rPr>
          <w:lang w:val="fr-CH"/>
        </w:rPr>
      </w:pPr>
      <w:r w:rsidRPr="00ED1E3E">
        <w:rPr>
          <w:lang w:val="fr-CH"/>
        </w:rPr>
        <w:t>La surpopulation est considérée comme une forme grave de mauvais traitement</w:t>
      </w:r>
      <w:r w:rsidRPr="00ED1E3E">
        <w:rPr>
          <w:rStyle w:val="FootnoteReference"/>
          <w:lang w:val="fr-CH"/>
        </w:rPr>
        <w:footnoteReference w:id="56"/>
      </w:r>
      <w:r w:rsidRPr="00ED1E3E">
        <w:rPr>
          <w:lang w:val="fr-CH"/>
        </w:rPr>
        <w:t>, de traitement inhumain ou dégradant</w:t>
      </w:r>
      <w:r w:rsidRPr="00ED1E3E">
        <w:rPr>
          <w:rStyle w:val="FootnoteReference"/>
          <w:lang w:val="fr-CH"/>
        </w:rPr>
        <w:footnoteReference w:id="57"/>
      </w:r>
      <w:r w:rsidRPr="00ED1E3E">
        <w:rPr>
          <w:lang w:val="fr-CH"/>
        </w:rPr>
        <w:t>, voire de torture</w:t>
      </w:r>
      <w:r w:rsidRPr="00ED1E3E">
        <w:rPr>
          <w:rStyle w:val="FootnoteReference"/>
          <w:lang w:val="fr-CH"/>
        </w:rPr>
        <w:footnoteReference w:id="58"/>
      </w:r>
      <w:r w:rsidRPr="00ED1E3E">
        <w:rPr>
          <w:lang w:val="fr-CH"/>
        </w:rPr>
        <w:t>. Les conditions carcérales déjà précaires se dégradent davantage en cas de surpopulation, ce qui a une incidence néfaste sur les individus vivant ou travaillant dans des lieux de détention. Cette situation nourrit les tensions et contribue à envenimer les relations entre détenus et entre les détenus et le personnel, ce qui vient augmenter le risque de mauvais traitements</w:t>
      </w:r>
      <w:r w:rsidRPr="00ED1E3E">
        <w:rPr>
          <w:rStyle w:val="FootnoteReference"/>
          <w:lang w:val="fr-CH"/>
        </w:rPr>
        <w:footnoteReference w:id="59"/>
      </w:r>
      <w:r w:rsidRPr="00ED1E3E">
        <w:rPr>
          <w:lang w:val="fr-CH"/>
        </w:rPr>
        <w:t>.</w:t>
      </w:r>
    </w:p>
    <w:p w:rsidR="00393579" w:rsidRPr="00ED1E3E" w:rsidRDefault="00393579" w:rsidP="00824B55">
      <w:pPr>
        <w:pStyle w:val="SingleTxt"/>
        <w:numPr>
          <w:ilvl w:val="0"/>
          <w:numId w:val="15"/>
        </w:numPr>
        <w:tabs>
          <w:tab w:val="clear" w:pos="475"/>
          <w:tab w:val="num" w:pos="1742"/>
        </w:tabs>
        <w:ind w:left="1267"/>
        <w:rPr>
          <w:lang w:val="fr-CH"/>
        </w:rPr>
      </w:pPr>
      <w:r w:rsidRPr="00ED1E3E">
        <w:rPr>
          <w:lang w:val="fr-CH"/>
        </w:rPr>
        <w:t>Des mécanismes des droits de l’homme, tant internationaux que régionaux, ont établi qu’il y avait violation du droit de ne pas être soumis à la torture du fait de la surpopulation, les détenus étant contraints de vivre pendant de longues périodes dans des conditions matérielles déplorables</w:t>
      </w:r>
      <w:r w:rsidRPr="00ED1E3E">
        <w:rPr>
          <w:rStyle w:val="FootnoteReference"/>
          <w:lang w:val="fr-CH"/>
        </w:rPr>
        <w:footnoteReference w:id="60"/>
      </w:r>
      <w:r w:rsidRPr="00ED1E3E">
        <w:rPr>
          <w:lang w:val="fr-CH"/>
        </w:rPr>
        <w:t>, contraires à une existence humaine et digne</w:t>
      </w:r>
      <w:r w:rsidRPr="00ED1E3E">
        <w:rPr>
          <w:rStyle w:val="FootnoteReference"/>
          <w:lang w:val="fr-CH"/>
        </w:rPr>
        <w:footnoteReference w:id="61"/>
      </w:r>
      <w:r w:rsidRPr="00ED1E3E">
        <w:rPr>
          <w:lang w:val="fr-CH"/>
        </w:rPr>
        <w:t>, caractérisées par de très mauvaises conditions d’hygiène et par un manque d’activités hors des cellules</w:t>
      </w:r>
      <w:r w:rsidRPr="00ED1E3E">
        <w:rPr>
          <w:rStyle w:val="FootnoteReference"/>
          <w:lang w:val="fr-CH"/>
        </w:rPr>
        <w:footnoteReference w:id="62"/>
      </w:r>
      <w:r w:rsidRPr="00ED1E3E">
        <w:rPr>
          <w:lang w:val="fr-CH"/>
        </w:rPr>
        <w:t>, d’alimentation appropriée et d’accès à des services de santé</w:t>
      </w:r>
      <w:r w:rsidRPr="00ED1E3E">
        <w:rPr>
          <w:rStyle w:val="FootnoteReference"/>
          <w:lang w:val="fr-CH"/>
        </w:rPr>
        <w:footnoteReference w:id="63"/>
      </w:r>
      <w:r w:rsidRPr="00ED1E3E">
        <w:rPr>
          <w:lang w:val="fr-CH"/>
        </w:rPr>
        <w:t>.</w:t>
      </w:r>
    </w:p>
    <w:p w:rsidR="004D2A14" w:rsidRPr="00ED1E3E" w:rsidRDefault="004D2A14" w:rsidP="004D2A14">
      <w:pPr>
        <w:pStyle w:val="SingleTxt"/>
        <w:tabs>
          <w:tab w:val="clear" w:pos="1742"/>
        </w:tabs>
        <w:spacing w:after="0" w:line="120" w:lineRule="exact"/>
        <w:rPr>
          <w:sz w:val="10"/>
          <w:lang w:val="fr-CH"/>
        </w:rPr>
      </w:pPr>
    </w:p>
    <w:p w:rsidR="004D2A14" w:rsidRPr="00ED1E3E" w:rsidRDefault="004D2A14" w:rsidP="004D2A14">
      <w:pPr>
        <w:pStyle w:val="SingleTxt"/>
        <w:tabs>
          <w:tab w:val="clear" w:pos="1742"/>
        </w:tabs>
        <w:spacing w:after="0" w:line="120" w:lineRule="exact"/>
        <w:rPr>
          <w:sz w:val="10"/>
          <w:lang w:val="fr-CH"/>
        </w:rPr>
      </w:pPr>
    </w:p>
    <w:p w:rsidR="00393579" w:rsidRPr="00ED1E3E" w:rsidRDefault="004D2A14" w:rsidP="004D2A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r>
      <w:r w:rsidR="00393579" w:rsidRPr="00ED1E3E">
        <w:rPr>
          <w:lang w:val="fr-CH"/>
        </w:rPr>
        <w:t>C.</w:t>
      </w:r>
      <w:r w:rsidR="00393579" w:rsidRPr="00ED1E3E">
        <w:rPr>
          <w:lang w:val="fr-CH"/>
        </w:rPr>
        <w:tab/>
        <w:t>Le droit à la santé</w:t>
      </w:r>
    </w:p>
    <w:p w:rsidR="004D2A14" w:rsidRPr="00ED1E3E" w:rsidRDefault="004D2A14" w:rsidP="004D2A14">
      <w:pPr>
        <w:pStyle w:val="SingleTxt"/>
        <w:spacing w:after="0" w:line="120" w:lineRule="exact"/>
        <w:rPr>
          <w:sz w:val="10"/>
          <w:lang w:val="fr-CH"/>
        </w:rPr>
      </w:pPr>
    </w:p>
    <w:p w:rsidR="004D2A14" w:rsidRPr="00ED1E3E" w:rsidRDefault="004D2A14" w:rsidP="004D2A14">
      <w:pPr>
        <w:pStyle w:val="SingleTxt"/>
        <w:spacing w:after="0" w:line="120" w:lineRule="exact"/>
        <w:rPr>
          <w:sz w:val="10"/>
          <w:lang w:val="fr-CH"/>
        </w:rPr>
      </w:pPr>
    </w:p>
    <w:p w:rsidR="00393579" w:rsidRPr="00ED1E3E" w:rsidRDefault="00393579" w:rsidP="00824B55">
      <w:pPr>
        <w:pStyle w:val="SingleTxt"/>
        <w:numPr>
          <w:ilvl w:val="0"/>
          <w:numId w:val="15"/>
        </w:numPr>
        <w:tabs>
          <w:tab w:val="clear" w:pos="475"/>
          <w:tab w:val="num" w:pos="1742"/>
        </w:tabs>
        <w:ind w:left="1267"/>
        <w:rPr>
          <w:lang w:val="fr-CH"/>
        </w:rPr>
      </w:pPr>
      <w:r w:rsidRPr="00ED1E3E">
        <w:rPr>
          <w:lang w:val="fr-CH"/>
        </w:rPr>
        <w:t>Les États sont tenus de respecter le droit à la santé et de garantir à tous, y compris aux prisonniers ou détenus, un accès égal aux soins de santé prophylactiques, thérapeutiques et palliatifs</w:t>
      </w:r>
      <w:r w:rsidRPr="00ED1E3E">
        <w:rPr>
          <w:rStyle w:val="FootnoteReference"/>
          <w:lang w:val="fr-CH"/>
        </w:rPr>
        <w:footnoteReference w:id="64"/>
      </w:r>
      <w:r w:rsidR="00CC004F" w:rsidRPr="00ED1E3E">
        <w:rPr>
          <w:lang w:val="fr-CH"/>
        </w:rPr>
        <w:t xml:space="preserve">. </w:t>
      </w:r>
      <w:r w:rsidRPr="00ED1E3E">
        <w:rPr>
          <w:lang w:val="fr-CH"/>
        </w:rPr>
        <w:t>Le Rapporteur spécial sur le droit qu’a toute personne de jouir du meilleur état de santé physique et mentale possible a souligné le lien entre incarcération excessive</w:t>
      </w:r>
      <w:r w:rsidRPr="00ED1E3E">
        <w:rPr>
          <w:rStyle w:val="FootnoteReference"/>
          <w:lang w:val="fr-CH"/>
        </w:rPr>
        <w:footnoteReference w:id="65"/>
      </w:r>
      <w:r w:rsidRPr="00ED1E3E">
        <w:rPr>
          <w:lang w:val="fr-CH"/>
        </w:rPr>
        <w:t>, surpopulation et violations du droit à la santé</w:t>
      </w:r>
      <w:r w:rsidRPr="00ED1E3E">
        <w:rPr>
          <w:rStyle w:val="FootnoteReference"/>
          <w:lang w:val="fr-CH"/>
        </w:rPr>
        <w:footnoteReference w:id="66"/>
      </w:r>
      <w:r w:rsidRPr="00ED1E3E">
        <w:rPr>
          <w:rStyle w:val="FootnoteReference"/>
          <w:szCs w:val="20"/>
          <w:vertAlign w:val="baseline"/>
          <w:lang w:val="fr-CH"/>
        </w:rPr>
        <w:t>,</w:t>
      </w:r>
      <w:r w:rsidRPr="00ED1E3E">
        <w:rPr>
          <w:lang w:val="fr-CH"/>
        </w:rPr>
        <w:t xml:space="preserve"> particulièrement en ce qui concerne la propagation des maladies infectieuses et </w:t>
      </w:r>
      <w:r w:rsidRPr="00ED1E3E">
        <w:rPr>
          <w:lang w:val="fr-CH"/>
        </w:rPr>
        <w:lastRenderedPageBreak/>
        <w:t>transmissibles telles que la tuberculose</w:t>
      </w:r>
      <w:r w:rsidRPr="00ED1E3E">
        <w:rPr>
          <w:rStyle w:val="FootnoteReference"/>
          <w:lang w:val="fr-CH"/>
        </w:rPr>
        <w:footnoteReference w:id="67"/>
      </w:r>
      <w:r w:rsidRPr="00ED1E3E">
        <w:rPr>
          <w:lang w:val="fr-CH"/>
        </w:rPr>
        <w:t xml:space="preserve"> et l’hépatite</w:t>
      </w:r>
      <w:r w:rsidR="002273AD" w:rsidRPr="00ED1E3E">
        <w:rPr>
          <w:lang w:val="fr-CH"/>
        </w:rPr>
        <w:t xml:space="preserve"> </w:t>
      </w:r>
      <w:r w:rsidRPr="00ED1E3E">
        <w:rPr>
          <w:lang w:val="fr-CH"/>
        </w:rPr>
        <w:t>C</w:t>
      </w:r>
      <w:r w:rsidRPr="00ED1E3E">
        <w:rPr>
          <w:rStyle w:val="FootnoteReference"/>
          <w:lang w:val="fr-CH"/>
        </w:rPr>
        <w:footnoteReference w:id="68"/>
      </w:r>
      <w:r w:rsidRPr="00ED1E3E">
        <w:rPr>
          <w:lang w:val="fr-CH"/>
        </w:rPr>
        <w:t>. Cela représente un danger non seulement pour la santé des détenus mais aussi pour celle du personnel et de la population dans son ensemble une fois les prisonniers sortis de prison</w:t>
      </w:r>
      <w:r w:rsidRPr="00ED1E3E">
        <w:rPr>
          <w:rStyle w:val="FootnoteReference"/>
          <w:lang w:val="fr-CH"/>
        </w:rPr>
        <w:footnoteReference w:id="69"/>
      </w:r>
      <w:r w:rsidRPr="00ED1E3E">
        <w:rPr>
          <w:lang w:val="fr-CH"/>
        </w:rPr>
        <w:t>.</w:t>
      </w:r>
    </w:p>
    <w:p w:rsidR="00393579" w:rsidRPr="00ED1E3E" w:rsidRDefault="00393579" w:rsidP="00824B55">
      <w:pPr>
        <w:pStyle w:val="SingleTxt"/>
        <w:numPr>
          <w:ilvl w:val="0"/>
          <w:numId w:val="15"/>
        </w:numPr>
        <w:tabs>
          <w:tab w:val="clear" w:pos="475"/>
          <w:tab w:val="num" w:pos="1742"/>
        </w:tabs>
        <w:ind w:left="1267"/>
        <w:rPr>
          <w:lang w:val="fr-CH"/>
        </w:rPr>
      </w:pPr>
      <w:r w:rsidRPr="00ED1E3E">
        <w:rPr>
          <w:lang w:val="fr-CH"/>
        </w:rPr>
        <w:t>D’autres organes de l’ONU et organes régionaux des droits de l’homme ont également fait part de l’effet néfaste de la surpopulation sur le droit à la santé des détenus, notant la privation de soins de santé</w:t>
      </w:r>
      <w:r w:rsidRPr="00ED1E3E">
        <w:rPr>
          <w:rStyle w:val="FootnoteReference"/>
          <w:lang w:val="fr-CH"/>
        </w:rPr>
        <w:footnoteReference w:id="70"/>
      </w:r>
      <w:r w:rsidRPr="00ED1E3E">
        <w:rPr>
          <w:lang w:val="fr-CH"/>
        </w:rPr>
        <w:t xml:space="preserve"> ou l’accès inadéquat à ces soins</w:t>
      </w:r>
      <w:r w:rsidRPr="00ED1E3E">
        <w:rPr>
          <w:rStyle w:val="FootnoteReference"/>
          <w:lang w:val="fr-CH"/>
        </w:rPr>
        <w:footnoteReference w:id="71"/>
      </w:r>
      <w:r w:rsidRPr="00ED1E3E">
        <w:rPr>
          <w:lang w:val="fr-CH"/>
        </w:rPr>
        <w:t>, l’insuffisance des services de santé mentale</w:t>
      </w:r>
      <w:r w:rsidRPr="00ED1E3E">
        <w:rPr>
          <w:rStyle w:val="FootnoteReference"/>
          <w:lang w:val="fr-CH"/>
        </w:rPr>
        <w:footnoteReference w:id="72"/>
      </w:r>
      <w:r w:rsidRPr="00ED1E3E">
        <w:rPr>
          <w:lang w:val="fr-CH"/>
        </w:rPr>
        <w:t>, le manque de professionnels de la santé sur les lieux de détention</w:t>
      </w:r>
      <w:r w:rsidRPr="00ED1E3E">
        <w:rPr>
          <w:rStyle w:val="FootnoteReference"/>
          <w:lang w:val="fr-CH"/>
        </w:rPr>
        <w:footnoteReference w:id="73"/>
      </w:r>
      <w:r w:rsidRPr="00ED1E3E">
        <w:rPr>
          <w:lang w:val="fr-CH"/>
        </w:rPr>
        <w:t xml:space="preserve"> et l’échec de la mise en œuvre de programmes efficaces de réduction des risques et de traitement de la toxicomanie</w:t>
      </w:r>
      <w:r w:rsidRPr="00ED1E3E">
        <w:rPr>
          <w:rStyle w:val="FootnoteReference"/>
          <w:lang w:val="fr-CH"/>
        </w:rPr>
        <w:footnoteReference w:id="74"/>
      </w:r>
      <w:r w:rsidRPr="00ED1E3E">
        <w:rPr>
          <w:rStyle w:val="FootnoteReference"/>
          <w:szCs w:val="20"/>
          <w:vertAlign w:val="baseline"/>
          <w:lang w:val="fr-CH"/>
        </w:rPr>
        <w:t>.</w:t>
      </w:r>
      <w:r w:rsidRPr="00ED1E3E">
        <w:rPr>
          <w:lang w:val="fr-CH"/>
        </w:rPr>
        <w:t xml:space="preserve"> La surpopulation s’est également révélée à l’origine de problèmes médicaux qui auraient véritablement pu être évités</w:t>
      </w:r>
      <w:r w:rsidRPr="00ED1E3E">
        <w:rPr>
          <w:rStyle w:val="FootnoteReference"/>
          <w:lang w:val="fr-CH"/>
        </w:rPr>
        <w:footnoteReference w:id="75"/>
      </w:r>
      <w:r w:rsidR="002273AD" w:rsidRPr="00ED1E3E">
        <w:rPr>
          <w:lang w:val="fr-CH"/>
        </w:rPr>
        <w:t>.</w:t>
      </w:r>
    </w:p>
    <w:p w:rsidR="00393579" w:rsidRPr="00ED1E3E" w:rsidRDefault="00393579" w:rsidP="00824B55">
      <w:pPr>
        <w:pStyle w:val="SingleTxt"/>
        <w:numPr>
          <w:ilvl w:val="0"/>
          <w:numId w:val="15"/>
        </w:numPr>
        <w:tabs>
          <w:tab w:val="clear" w:pos="475"/>
          <w:tab w:val="num" w:pos="1742"/>
        </w:tabs>
        <w:ind w:left="1267"/>
        <w:rPr>
          <w:lang w:val="fr-CH"/>
        </w:rPr>
      </w:pPr>
      <w:r w:rsidRPr="00ED1E3E">
        <w:rPr>
          <w:lang w:val="fr-CH"/>
        </w:rPr>
        <w:t>Divers facteurs, combinés à la surpopulation, ont également une incidence néfaste sur le droit à la santé, notamment le manque de lumière naturelle et de ventilation dans les lieux de détention</w:t>
      </w:r>
      <w:r w:rsidRPr="00ED1E3E">
        <w:rPr>
          <w:rStyle w:val="FootnoteReference"/>
          <w:lang w:val="fr-CH"/>
        </w:rPr>
        <w:footnoteReference w:id="76"/>
      </w:r>
      <w:r w:rsidRPr="00ED1E3E">
        <w:rPr>
          <w:rStyle w:val="FootnoteReference"/>
          <w:szCs w:val="20"/>
          <w:vertAlign w:val="baseline"/>
          <w:lang w:val="fr-CH"/>
        </w:rPr>
        <w:t>,</w:t>
      </w:r>
      <w:r w:rsidRPr="00ED1E3E">
        <w:rPr>
          <w:lang w:val="fr-CH"/>
        </w:rPr>
        <w:t xml:space="preserve"> les températures extrêmes</w:t>
      </w:r>
      <w:r w:rsidRPr="00ED1E3E">
        <w:rPr>
          <w:rStyle w:val="FootnoteReference"/>
          <w:lang w:val="fr-CH"/>
        </w:rPr>
        <w:footnoteReference w:id="77"/>
      </w:r>
      <w:r w:rsidRPr="00ED1E3E">
        <w:rPr>
          <w:lang w:val="fr-CH"/>
        </w:rPr>
        <w:t>, les mauvaises conditions d’hygiène et d’assainissement</w:t>
      </w:r>
      <w:r w:rsidRPr="00ED1E3E">
        <w:rPr>
          <w:rStyle w:val="FootnoteReference"/>
          <w:lang w:val="fr-CH"/>
        </w:rPr>
        <w:footnoteReference w:id="78"/>
      </w:r>
      <w:r w:rsidRPr="00ED1E3E">
        <w:rPr>
          <w:lang w:val="fr-CH"/>
        </w:rPr>
        <w:t>, l’insuffisance des ressources allouées à l’hygiène personnelle</w:t>
      </w:r>
      <w:r w:rsidRPr="00ED1E3E">
        <w:rPr>
          <w:rStyle w:val="FootnoteReference"/>
          <w:lang w:val="fr-CH"/>
        </w:rPr>
        <w:footnoteReference w:id="79"/>
      </w:r>
      <w:r w:rsidRPr="00ED1E3E">
        <w:rPr>
          <w:lang w:val="fr-CH"/>
        </w:rPr>
        <w:t xml:space="preserve"> et les infestations par des insectes et autres parasites</w:t>
      </w:r>
      <w:r w:rsidRPr="00ED1E3E">
        <w:rPr>
          <w:rStyle w:val="FootnoteReference"/>
          <w:lang w:val="fr-CH"/>
        </w:rPr>
        <w:footnoteReference w:id="80"/>
      </w:r>
      <w:r w:rsidRPr="00ED1E3E">
        <w:rPr>
          <w:lang w:val="fr-CH"/>
        </w:rPr>
        <w:t>. À terme, les violations du droit à la santé peuvent porter atteinte au droit à la vie des détenus</w:t>
      </w:r>
      <w:r w:rsidRPr="00ED1E3E">
        <w:rPr>
          <w:rStyle w:val="FootnoteReference"/>
          <w:lang w:val="fr-CH"/>
        </w:rPr>
        <w:footnoteReference w:id="81"/>
      </w:r>
      <w:r w:rsidR="002273AD" w:rsidRPr="00ED1E3E">
        <w:rPr>
          <w:lang w:val="fr-CH"/>
        </w:rPr>
        <w:t>.</w:t>
      </w:r>
    </w:p>
    <w:p w:rsidR="002273AD" w:rsidRPr="00ED1E3E" w:rsidRDefault="002273AD" w:rsidP="002273AD">
      <w:pPr>
        <w:pStyle w:val="SingleTxt"/>
        <w:tabs>
          <w:tab w:val="clear" w:pos="1742"/>
        </w:tabs>
        <w:spacing w:after="0" w:line="120" w:lineRule="exact"/>
        <w:rPr>
          <w:sz w:val="10"/>
          <w:lang w:val="fr-CH"/>
        </w:rPr>
      </w:pPr>
    </w:p>
    <w:p w:rsidR="002273AD" w:rsidRPr="00ED1E3E" w:rsidRDefault="002273AD" w:rsidP="002273AD">
      <w:pPr>
        <w:pStyle w:val="SingleTxt"/>
        <w:tabs>
          <w:tab w:val="clear" w:pos="1742"/>
        </w:tabs>
        <w:spacing w:after="0" w:line="120" w:lineRule="exact"/>
        <w:rPr>
          <w:sz w:val="10"/>
          <w:lang w:val="fr-CH"/>
        </w:rPr>
      </w:pPr>
    </w:p>
    <w:p w:rsidR="00393579" w:rsidRPr="00ED1E3E" w:rsidRDefault="002273AD" w:rsidP="002273A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r>
      <w:r w:rsidR="00393579" w:rsidRPr="00ED1E3E">
        <w:rPr>
          <w:lang w:val="fr-CH"/>
        </w:rPr>
        <w:t>D.</w:t>
      </w:r>
      <w:r w:rsidR="00393579" w:rsidRPr="00ED1E3E">
        <w:rPr>
          <w:lang w:val="fr-CH"/>
        </w:rPr>
        <w:tab/>
        <w:t>Le droit à la nourriture</w:t>
      </w:r>
      <w:r w:rsidRPr="00ED1E3E">
        <w:rPr>
          <w:lang w:val="fr-CH"/>
        </w:rPr>
        <w:t>, à l’eau et à l’assainissement</w:t>
      </w:r>
    </w:p>
    <w:p w:rsidR="002273AD" w:rsidRPr="00ED1E3E" w:rsidRDefault="002273AD" w:rsidP="002273AD">
      <w:pPr>
        <w:pStyle w:val="SingleTxt"/>
        <w:spacing w:after="0" w:line="120" w:lineRule="exact"/>
        <w:rPr>
          <w:sz w:val="10"/>
          <w:lang w:val="fr-CH"/>
        </w:rPr>
      </w:pPr>
    </w:p>
    <w:p w:rsidR="002273AD" w:rsidRPr="00ED1E3E" w:rsidRDefault="002273AD" w:rsidP="002273AD">
      <w:pPr>
        <w:pStyle w:val="SingleTxt"/>
        <w:spacing w:after="0" w:line="120" w:lineRule="exact"/>
        <w:rPr>
          <w:sz w:val="10"/>
          <w:lang w:val="fr-CH"/>
        </w:rPr>
      </w:pPr>
    </w:p>
    <w:p w:rsidR="00393579" w:rsidRPr="00ED1E3E" w:rsidRDefault="00393579" w:rsidP="00824B55">
      <w:pPr>
        <w:pStyle w:val="SingleTxt"/>
        <w:numPr>
          <w:ilvl w:val="0"/>
          <w:numId w:val="15"/>
        </w:numPr>
        <w:tabs>
          <w:tab w:val="clear" w:pos="475"/>
          <w:tab w:val="num" w:pos="1742"/>
        </w:tabs>
        <w:ind w:left="1267"/>
        <w:rPr>
          <w:lang w:val="fr-CH"/>
        </w:rPr>
      </w:pPr>
      <w:r w:rsidRPr="00ED1E3E">
        <w:rPr>
          <w:lang w:val="fr-CH"/>
        </w:rPr>
        <w:t>Le Rapporteur spécial sur le droit à l’eau potable et à l’assainissement a souligné que le manque d’accès à l’assainissement pouvait être assimilé à un traitement inhumain ou dégradant dans certaines circonstances, en particulier dans le contexte de la détention. Le Rapporteur spécial a noté que la surpopulation dans les lieux de détention pouvait grandement entraver la capacité des autorités à fournir de l’eau potable et un assainissement adéquat</w:t>
      </w:r>
      <w:r w:rsidRPr="00ED1E3E">
        <w:rPr>
          <w:rStyle w:val="FootnoteReference"/>
          <w:lang w:val="fr-CH"/>
        </w:rPr>
        <w:footnoteReference w:id="82"/>
      </w:r>
      <w:r w:rsidRPr="00ED1E3E">
        <w:rPr>
          <w:lang w:val="fr-CH"/>
        </w:rPr>
        <w:t>.</w:t>
      </w:r>
    </w:p>
    <w:p w:rsidR="00393579" w:rsidRPr="00ED1E3E" w:rsidRDefault="00393579" w:rsidP="00824B55">
      <w:pPr>
        <w:pStyle w:val="SingleTxt"/>
        <w:numPr>
          <w:ilvl w:val="0"/>
          <w:numId w:val="15"/>
        </w:numPr>
        <w:tabs>
          <w:tab w:val="clear" w:pos="475"/>
          <w:tab w:val="num" w:pos="1742"/>
        </w:tabs>
        <w:ind w:left="1267"/>
        <w:rPr>
          <w:lang w:val="fr-CH"/>
        </w:rPr>
      </w:pPr>
      <w:r w:rsidRPr="00ED1E3E">
        <w:rPr>
          <w:lang w:val="fr-CH"/>
        </w:rPr>
        <w:t>Le Rapporteur spécial sur le droit à l’alimentation a insisté sur les nombreuses atteintes portées au droit des détenus à une alimentation suffisante</w:t>
      </w:r>
      <w:r w:rsidRPr="00ED1E3E">
        <w:rPr>
          <w:rStyle w:val="FootnoteReference"/>
          <w:lang w:val="fr-CH"/>
        </w:rPr>
        <w:footnoteReference w:id="83"/>
      </w:r>
      <w:r w:rsidRPr="00ED1E3E">
        <w:rPr>
          <w:lang w:val="fr-CH"/>
        </w:rPr>
        <w:t xml:space="preserve"> et a mis l’accent sur la responsabilité qui incombait aux États de fournir une alimentation suffisante aux </w:t>
      </w:r>
      <w:r w:rsidRPr="00ED1E3E">
        <w:rPr>
          <w:lang w:val="fr-CH"/>
        </w:rPr>
        <w:lastRenderedPageBreak/>
        <w:t>personnes privées de leur liberté</w:t>
      </w:r>
      <w:r w:rsidRPr="00ED1E3E">
        <w:rPr>
          <w:rStyle w:val="FootnoteReference"/>
          <w:lang w:val="fr-CH"/>
        </w:rPr>
        <w:footnoteReference w:id="84"/>
      </w:r>
      <w:r w:rsidRPr="00ED1E3E">
        <w:rPr>
          <w:lang w:val="fr-CH"/>
        </w:rPr>
        <w:t>. Le Rapporteur spécial a également souligné l’effet néfaste de la surpopulation sur le droit à l’alimentation</w:t>
      </w:r>
      <w:r w:rsidRPr="00ED1E3E">
        <w:rPr>
          <w:rStyle w:val="FootnoteReference"/>
          <w:lang w:val="fr-CH"/>
        </w:rPr>
        <w:footnoteReference w:id="85"/>
      </w:r>
      <w:r w:rsidRPr="00ED1E3E">
        <w:rPr>
          <w:lang w:val="fr-CH"/>
        </w:rPr>
        <w:t>.</w:t>
      </w:r>
    </w:p>
    <w:p w:rsidR="00393579" w:rsidRPr="00ED1E3E" w:rsidRDefault="00393579" w:rsidP="00824B55">
      <w:pPr>
        <w:pStyle w:val="SingleTxt"/>
        <w:numPr>
          <w:ilvl w:val="0"/>
          <w:numId w:val="15"/>
        </w:numPr>
        <w:tabs>
          <w:tab w:val="clear" w:pos="475"/>
          <w:tab w:val="num" w:pos="1742"/>
        </w:tabs>
        <w:ind w:left="1267"/>
        <w:rPr>
          <w:lang w:val="fr-CH"/>
        </w:rPr>
      </w:pPr>
      <w:r w:rsidRPr="00ED1E3E">
        <w:rPr>
          <w:lang w:val="fr-CH"/>
        </w:rPr>
        <w:t>De nombreux autres organes de l’ONU et organes régionaux des droits de l’homme ont également fait part de graves violations du droit des détenus à l’eau potable et à l’assainissement, ainsi que de leur droit à l’alimentation. Ces violations, attribuées à la surpopulation, englobent l’incapacité de l’État à garantir la fourniture de repas décents et en quantités suffisantes</w:t>
      </w:r>
      <w:r w:rsidRPr="00ED1E3E">
        <w:rPr>
          <w:rStyle w:val="FootnoteReference"/>
          <w:lang w:val="fr-CH"/>
        </w:rPr>
        <w:footnoteReference w:id="86"/>
      </w:r>
      <w:r w:rsidRPr="00ED1E3E">
        <w:rPr>
          <w:lang w:val="fr-CH"/>
        </w:rPr>
        <w:t>, de douches</w:t>
      </w:r>
      <w:r w:rsidRPr="00ED1E3E">
        <w:rPr>
          <w:rStyle w:val="FootnoteReference"/>
          <w:lang w:val="fr-CH"/>
        </w:rPr>
        <w:footnoteReference w:id="87"/>
      </w:r>
      <w:r w:rsidRPr="00ED1E3E">
        <w:rPr>
          <w:lang w:val="fr-CH"/>
        </w:rPr>
        <w:t xml:space="preserve"> et de toilettes</w:t>
      </w:r>
      <w:r w:rsidRPr="00ED1E3E">
        <w:rPr>
          <w:rStyle w:val="FootnoteReference"/>
          <w:lang w:val="fr-CH"/>
        </w:rPr>
        <w:footnoteReference w:id="88"/>
      </w:r>
      <w:r w:rsidRPr="00ED1E3E">
        <w:rPr>
          <w:lang w:val="fr-CH"/>
        </w:rPr>
        <w:t xml:space="preserve"> adéquates, d’eau potable</w:t>
      </w:r>
      <w:r w:rsidRPr="00ED1E3E">
        <w:rPr>
          <w:rStyle w:val="FootnoteReference"/>
          <w:lang w:val="fr-CH"/>
        </w:rPr>
        <w:footnoteReference w:id="89"/>
      </w:r>
      <w:r w:rsidRPr="00ED1E3E">
        <w:rPr>
          <w:lang w:val="fr-CH"/>
        </w:rPr>
        <w:t xml:space="preserve"> et d’installations sanitaires</w:t>
      </w:r>
      <w:r w:rsidRPr="00ED1E3E">
        <w:rPr>
          <w:rStyle w:val="FootnoteReference"/>
          <w:lang w:val="fr-CH"/>
        </w:rPr>
        <w:footnoteReference w:id="90"/>
      </w:r>
      <w:r w:rsidRPr="00ED1E3E">
        <w:rPr>
          <w:lang w:val="fr-CH"/>
        </w:rPr>
        <w:t>, y compris d’articles d’hygiène personnelle de base tels que le savon et le papier toilette gratuits</w:t>
      </w:r>
      <w:r w:rsidRPr="00ED1E3E">
        <w:rPr>
          <w:rStyle w:val="FootnoteReference"/>
          <w:lang w:val="fr-CH"/>
        </w:rPr>
        <w:footnoteReference w:id="91"/>
      </w:r>
      <w:r w:rsidRPr="00ED1E3E">
        <w:rPr>
          <w:lang w:val="fr-CH"/>
        </w:rPr>
        <w:t>, ainsi que d’une literie adéquate, notamment d’un matelas et d’une literie propres</w:t>
      </w:r>
      <w:r w:rsidRPr="00ED1E3E">
        <w:rPr>
          <w:rStyle w:val="FootnoteReference"/>
          <w:lang w:val="fr-CH"/>
        </w:rPr>
        <w:footnoteReference w:id="92"/>
      </w:r>
      <w:r w:rsidR="009C12FC" w:rsidRPr="00ED1E3E">
        <w:rPr>
          <w:lang w:val="fr-CH"/>
        </w:rPr>
        <w:t>.</w:t>
      </w:r>
    </w:p>
    <w:p w:rsidR="0095602D" w:rsidRPr="00ED1E3E" w:rsidRDefault="00393579" w:rsidP="00824B55">
      <w:pPr>
        <w:pStyle w:val="SingleTxt"/>
        <w:numPr>
          <w:ilvl w:val="0"/>
          <w:numId w:val="15"/>
        </w:numPr>
        <w:tabs>
          <w:tab w:val="clear" w:pos="475"/>
          <w:tab w:val="num" w:pos="1742"/>
        </w:tabs>
        <w:ind w:left="1267"/>
        <w:rPr>
          <w:lang w:val="fr-CH"/>
        </w:rPr>
      </w:pPr>
      <w:r w:rsidRPr="00ED1E3E">
        <w:rPr>
          <w:lang w:val="fr-CH"/>
        </w:rPr>
        <w:t>L’incapacité à assurer la mise en œuvre effective de ces droits a entraîné la violation d’autres droits, notamment du droit à la sûreté et à la sécurité, la fourniture inadéquate de nourriture dans les lieux de détention ayant par exemple été à l’origine de tensions, voire de violences</w:t>
      </w:r>
      <w:r w:rsidRPr="00ED1E3E">
        <w:rPr>
          <w:rStyle w:val="FootnoteReference"/>
          <w:lang w:val="fr-CH"/>
        </w:rPr>
        <w:footnoteReference w:id="93"/>
      </w:r>
      <w:r w:rsidRPr="00ED1E3E">
        <w:rPr>
          <w:lang w:val="fr-CH"/>
        </w:rPr>
        <w:t>, ainsi que du droit de ne pas être soumis à des traitements cruels, inhumains et dégradants</w:t>
      </w:r>
      <w:r w:rsidRPr="00ED1E3E">
        <w:rPr>
          <w:rStyle w:val="FootnoteReference"/>
          <w:lang w:val="fr-CH"/>
        </w:rPr>
        <w:footnoteReference w:id="94"/>
      </w:r>
      <w:r w:rsidRPr="00ED1E3E">
        <w:rPr>
          <w:lang w:val="fr-CH"/>
        </w:rPr>
        <w:t>. L’eau potable, le traitement effectif des eaux usées et des déchets, la préparation des aliments dans des conditions sanitaires adéquates et de bonnes conditions générales d’hygiène sont essentiels pour garantir un environnement carcéral propre et sain et permettent de prévenir et empêcher et maîtriser la propagation des maladies</w:t>
      </w:r>
      <w:r w:rsidRPr="00ED1E3E">
        <w:rPr>
          <w:rStyle w:val="FootnoteReference"/>
          <w:lang w:val="fr-CH"/>
        </w:rPr>
        <w:footnoteReference w:id="95"/>
      </w:r>
      <w:r w:rsidRPr="00ED1E3E">
        <w:rPr>
          <w:lang w:val="fr-CH"/>
        </w:rPr>
        <w:t>. S’ils font défaut, le droit à la santé</w:t>
      </w:r>
      <w:r w:rsidRPr="00ED1E3E">
        <w:rPr>
          <w:rStyle w:val="FootnoteReference"/>
          <w:lang w:val="fr-CH"/>
        </w:rPr>
        <w:footnoteReference w:id="96"/>
      </w:r>
      <w:r w:rsidRPr="00ED1E3E">
        <w:rPr>
          <w:lang w:val="fr-CH"/>
        </w:rPr>
        <w:t>, voire le droit à la vie</w:t>
      </w:r>
      <w:r w:rsidRPr="00ED1E3E">
        <w:rPr>
          <w:rStyle w:val="FootnoteReference"/>
          <w:lang w:val="fr-CH"/>
        </w:rPr>
        <w:footnoteReference w:id="97"/>
      </w:r>
      <w:r w:rsidRPr="00ED1E3E">
        <w:rPr>
          <w:lang w:val="fr-CH"/>
        </w:rPr>
        <w:t xml:space="preserve"> peuvent être gravement menacés.</w:t>
      </w:r>
    </w:p>
    <w:p w:rsidR="009E1F21" w:rsidRPr="00ED1E3E" w:rsidRDefault="009E1F21" w:rsidP="009E1F21">
      <w:pPr>
        <w:pStyle w:val="SingleTxt"/>
        <w:spacing w:after="0" w:line="120" w:lineRule="exact"/>
        <w:rPr>
          <w:b/>
          <w:sz w:val="10"/>
          <w:lang w:val="fr-CH"/>
        </w:rPr>
      </w:pPr>
    </w:p>
    <w:p w:rsidR="009E1F21" w:rsidRPr="00ED1E3E" w:rsidRDefault="009E1F21" w:rsidP="009E1F21">
      <w:pPr>
        <w:pStyle w:val="SingleTxt"/>
        <w:spacing w:after="0" w:line="120" w:lineRule="exact"/>
        <w:rPr>
          <w:b/>
          <w:sz w:val="10"/>
          <w:lang w:val="fr-CH"/>
        </w:rPr>
      </w:pPr>
    </w:p>
    <w:p w:rsidR="009E1F21" w:rsidRPr="00ED1E3E" w:rsidRDefault="009E1F21" w:rsidP="009E1F2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t>E.</w:t>
      </w:r>
      <w:r w:rsidRPr="00ED1E3E">
        <w:rPr>
          <w:lang w:val="fr-CH"/>
        </w:rPr>
        <w:tab/>
        <w:t>Droit à l’éducation et à la réadaptation</w:t>
      </w:r>
      <w:bookmarkStart w:id="2" w:name="insstart"/>
      <w:bookmarkEnd w:id="2"/>
    </w:p>
    <w:p w:rsidR="009E1F21" w:rsidRPr="00ED1E3E" w:rsidRDefault="009E1F21" w:rsidP="009E1F21">
      <w:pPr>
        <w:pStyle w:val="SingleTxt"/>
        <w:spacing w:after="0" w:line="120" w:lineRule="exact"/>
        <w:rPr>
          <w:sz w:val="10"/>
          <w:lang w:val="fr-CH"/>
        </w:rPr>
      </w:pPr>
    </w:p>
    <w:p w:rsidR="009E1F21" w:rsidRPr="00ED1E3E" w:rsidRDefault="009E1F21" w:rsidP="009E1F21">
      <w:pPr>
        <w:pStyle w:val="SingleTxt"/>
        <w:spacing w:after="0" w:line="120" w:lineRule="exact"/>
        <w:rPr>
          <w:sz w:val="10"/>
          <w:lang w:val="fr-CH"/>
        </w:rPr>
      </w:pPr>
    </w:p>
    <w:p w:rsidR="009E1F21" w:rsidRPr="00ED1E3E" w:rsidRDefault="009E1F21" w:rsidP="009E1F21">
      <w:pPr>
        <w:pStyle w:val="SingleTxt"/>
        <w:numPr>
          <w:ilvl w:val="0"/>
          <w:numId w:val="15"/>
        </w:numPr>
        <w:tabs>
          <w:tab w:val="clear" w:pos="475"/>
          <w:tab w:val="num" w:pos="1742"/>
        </w:tabs>
        <w:ind w:left="1267"/>
        <w:rPr>
          <w:lang w:val="fr-CH"/>
        </w:rPr>
      </w:pPr>
      <w:r w:rsidRPr="00ED1E3E">
        <w:rPr>
          <w:lang w:val="fr-CH"/>
        </w:rPr>
        <w:t>Tout en faisant observer que les détenus constituent un groupe fortement marginalisé confronté à des violations endémiques de leur droit à l’éducation, le Rapporteur spécial sur le droit à l’éducation a souligné les effets négatifs de la surpopulation carcérale sur l’exercice de ce droit. La surpopulation grève lourdement les ressources disponibles, dans la mesure où la demande excède le personnel et les établissements disponibles</w:t>
      </w:r>
      <w:r w:rsidRPr="00ED1E3E">
        <w:rPr>
          <w:rStyle w:val="FootnoteReference"/>
          <w:lang w:val="fr-CH"/>
        </w:rPr>
        <w:footnoteReference w:id="98"/>
      </w:r>
      <w:r w:rsidRPr="00ED1E3E">
        <w:rPr>
          <w:lang w:val="fr-CH"/>
        </w:rPr>
        <w:t xml:space="preserve">. Bien souvent, les détenus sont enfermés dans des cellules </w:t>
      </w:r>
      <w:r w:rsidRPr="00ED1E3E">
        <w:rPr>
          <w:lang w:val="fr-CH"/>
        </w:rPr>
        <w:lastRenderedPageBreak/>
        <w:t>surpeuplées vingt-trois heures par jour, sans aucune activité déterminée en dehors de leur cellule</w:t>
      </w:r>
      <w:r w:rsidRPr="00ED1E3E">
        <w:rPr>
          <w:rStyle w:val="FootnoteReference"/>
          <w:lang w:val="fr-CH"/>
        </w:rPr>
        <w:footnoteReference w:id="99"/>
      </w:r>
      <w:r w:rsidRPr="00ED1E3E">
        <w:rPr>
          <w:lang w:val="fr-CH"/>
        </w:rPr>
        <w:t xml:space="preserve"> ni programmes de réadaptation</w:t>
      </w:r>
      <w:r w:rsidRPr="00ED1E3E">
        <w:rPr>
          <w:rStyle w:val="FootnoteReference"/>
          <w:lang w:val="fr-CH"/>
        </w:rPr>
        <w:footnoteReference w:id="100"/>
      </w:r>
      <w:r w:rsidRPr="00ED1E3E">
        <w:rPr>
          <w:lang w:val="fr-CH"/>
        </w:rPr>
        <w:t>, et sans avoir la possibilité de poursuivre leurs études</w:t>
      </w:r>
      <w:r w:rsidRPr="00ED1E3E">
        <w:rPr>
          <w:rStyle w:val="FootnoteReference"/>
          <w:lang w:val="fr-CH"/>
        </w:rPr>
        <w:footnoteReference w:id="101"/>
      </w:r>
      <w:r w:rsidRPr="00ED1E3E">
        <w:rPr>
          <w:lang w:val="fr-CH"/>
        </w:rPr>
        <w:t xml:space="preserve"> ni de prendre part à des programmes de renforcement des compétences ou d’enseignement professionnel</w:t>
      </w:r>
      <w:r w:rsidRPr="00ED1E3E">
        <w:rPr>
          <w:rStyle w:val="FootnoteReference"/>
          <w:lang w:val="fr-CH"/>
        </w:rPr>
        <w:footnoteReference w:id="102"/>
      </w:r>
      <w:r w:rsidRPr="00ED1E3E">
        <w:rPr>
          <w:lang w:val="fr-CH"/>
        </w:rPr>
        <w:t>.</w:t>
      </w:r>
    </w:p>
    <w:p w:rsidR="009E1F21" w:rsidRPr="00ED1E3E" w:rsidRDefault="009E1F21" w:rsidP="009E1F21">
      <w:pPr>
        <w:pStyle w:val="SingleTxt"/>
        <w:numPr>
          <w:ilvl w:val="0"/>
          <w:numId w:val="15"/>
        </w:numPr>
        <w:tabs>
          <w:tab w:val="clear" w:pos="475"/>
          <w:tab w:val="num" w:pos="1742"/>
        </w:tabs>
        <w:ind w:left="1267"/>
        <w:rPr>
          <w:lang w:val="fr-CH"/>
        </w:rPr>
      </w:pPr>
      <w:r w:rsidRPr="00ED1E3E">
        <w:rPr>
          <w:lang w:val="fr-CH"/>
        </w:rPr>
        <w:t>Compte tenu de l’importance de la réadaptation en tant qu’objectif primordial de l’incarcération, les effets négatifs de la surpopulation sur la disponibilité des services de réadaptation sont particulièrement préoccupants</w:t>
      </w:r>
      <w:r w:rsidRPr="00ED1E3E">
        <w:rPr>
          <w:rStyle w:val="FootnoteReference"/>
          <w:lang w:val="fr-CH"/>
        </w:rPr>
        <w:footnoteReference w:id="103"/>
      </w:r>
      <w:r w:rsidRPr="00ED1E3E">
        <w:rPr>
          <w:lang w:val="fr-CH"/>
        </w:rPr>
        <w:t>.</w:t>
      </w:r>
    </w:p>
    <w:p w:rsidR="009E1F21" w:rsidRPr="00ED1E3E" w:rsidRDefault="009E1F21" w:rsidP="009E1F21">
      <w:pPr>
        <w:pStyle w:val="SingleTxt"/>
        <w:spacing w:after="0" w:line="120" w:lineRule="exact"/>
        <w:rPr>
          <w:b/>
          <w:sz w:val="10"/>
          <w:lang w:val="fr-CH"/>
        </w:rPr>
      </w:pPr>
    </w:p>
    <w:p w:rsidR="009E1F21" w:rsidRPr="00ED1E3E" w:rsidRDefault="009E1F21" w:rsidP="009E1F21">
      <w:pPr>
        <w:pStyle w:val="SingleTxt"/>
        <w:spacing w:after="0" w:line="120" w:lineRule="exact"/>
        <w:rPr>
          <w:b/>
          <w:sz w:val="10"/>
          <w:lang w:val="fr-CH"/>
        </w:rPr>
      </w:pPr>
    </w:p>
    <w:p w:rsidR="009E1F21" w:rsidRPr="00ED1E3E" w:rsidRDefault="009E1F21" w:rsidP="009E1F2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t>F.</w:t>
      </w:r>
      <w:r w:rsidRPr="00ED1E3E">
        <w:rPr>
          <w:lang w:val="fr-CH"/>
        </w:rPr>
        <w:tab/>
        <w:t>Liberté de religion et de croyance</w:t>
      </w:r>
    </w:p>
    <w:p w:rsidR="009E1F21" w:rsidRPr="00ED1E3E" w:rsidRDefault="009E1F21" w:rsidP="009E1F21">
      <w:pPr>
        <w:pStyle w:val="SingleTxt"/>
        <w:spacing w:after="0" w:line="120" w:lineRule="exact"/>
        <w:rPr>
          <w:sz w:val="10"/>
          <w:lang w:val="fr-CH"/>
        </w:rPr>
      </w:pPr>
    </w:p>
    <w:p w:rsidR="009E1F21" w:rsidRPr="00ED1E3E" w:rsidRDefault="009E1F21" w:rsidP="009E1F21">
      <w:pPr>
        <w:pStyle w:val="SingleTxt"/>
        <w:spacing w:after="0" w:line="120" w:lineRule="exact"/>
        <w:rPr>
          <w:sz w:val="10"/>
          <w:lang w:val="fr-CH"/>
        </w:rPr>
      </w:pPr>
    </w:p>
    <w:p w:rsidR="009E1F21" w:rsidRPr="00ED1E3E" w:rsidRDefault="009E1F21" w:rsidP="009E1F21">
      <w:pPr>
        <w:pStyle w:val="SingleTxt"/>
        <w:numPr>
          <w:ilvl w:val="0"/>
          <w:numId w:val="15"/>
        </w:numPr>
        <w:tabs>
          <w:tab w:val="clear" w:pos="475"/>
          <w:tab w:val="num" w:pos="1742"/>
        </w:tabs>
        <w:ind w:left="1267"/>
        <w:rPr>
          <w:lang w:val="fr-CH"/>
        </w:rPr>
      </w:pPr>
      <w:r w:rsidRPr="00ED1E3E">
        <w:rPr>
          <w:lang w:val="fr-CH"/>
        </w:rPr>
        <w:t>Le Rapporteur spécial sur la liberté de religion ou de conviction a insisté sur le droit de toute personne privée de liberté à la liberté de religion ou de conviction</w:t>
      </w:r>
      <w:r w:rsidRPr="00ED1E3E">
        <w:rPr>
          <w:rStyle w:val="FootnoteReference"/>
          <w:lang w:val="fr-CH"/>
        </w:rPr>
        <w:footnoteReference w:id="104"/>
      </w:r>
      <w:r w:rsidRPr="00ED1E3E">
        <w:rPr>
          <w:lang w:val="fr-CH"/>
        </w:rPr>
        <w:t>. Or, la surpopulation a des répercussions néfastes sur tous les aspects de la détention, répercussions qui à leur tour compromettent la liberté de religion ou de conviction des détenus. Bien souvent, l’espace réservé aux pratiques religieuses est insuffisant</w:t>
      </w:r>
      <w:r w:rsidRPr="00ED1E3E">
        <w:rPr>
          <w:rStyle w:val="FootnoteReference"/>
          <w:lang w:val="fr-CH"/>
        </w:rPr>
        <w:footnoteReference w:id="105"/>
      </w:r>
      <w:r w:rsidRPr="00ED1E3E">
        <w:rPr>
          <w:lang w:val="fr-CH"/>
        </w:rPr>
        <w:t>, il est impossible de pratiquer son culte à des jours précis</w:t>
      </w:r>
      <w:r w:rsidRPr="00ED1E3E">
        <w:rPr>
          <w:rStyle w:val="FootnoteReference"/>
          <w:lang w:val="fr-CH"/>
        </w:rPr>
        <w:footnoteReference w:id="106"/>
      </w:r>
      <w:r w:rsidRPr="00ED1E3E">
        <w:rPr>
          <w:lang w:val="fr-CH"/>
        </w:rPr>
        <w:t xml:space="preserve"> et l’accès aux textes religieux n’est pas assuré</w:t>
      </w:r>
      <w:r w:rsidRPr="00ED1E3E">
        <w:rPr>
          <w:rStyle w:val="FootnoteReference"/>
          <w:lang w:val="fr-CH"/>
        </w:rPr>
        <w:footnoteReference w:id="107"/>
      </w:r>
      <w:r w:rsidRPr="00ED1E3E">
        <w:rPr>
          <w:lang w:val="fr-CH"/>
        </w:rPr>
        <w:t>. Il y aurait en outre des problèmes concernant le type de repas adapté aux membres de différentes confessions</w:t>
      </w:r>
      <w:r w:rsidRPr="00ED1E3E">
        <w:rPr>
          <w:rStyle w:val="FootnoteReference"/>
          <w:lang w:val="fr-CH"/>
        </w:rPr>
        <w:footnoteReference w:id="108"/>
      </w:r>
      <w:r w:rsidRPr="00ED1E3E">
        <w:rPr>
          <w:lang w:val="fr-CH"/>
        </w:rPr>
        <w:t>.</w:t>
      </w:r>
    </w:p>
    <w:p w:rsidR="009E1F21" w:rsidRPr="00ED1E3E" w:rsidRDefault="009E1F21" w:rsidP="009E1F21">
      <w:pPr>
        <w:pStyle w:val="SingleTxt"/>
        <w:spacing w:after="0" w:line="120" w:lineRule="exact"/>
        <w:rPr>
          <w:b/>
          <w:sz w:val="10"/>
          <w:lang w:val="fr-CH"/>
        </w:rPr>
      </w:pPr>
    </w:p>
    <w:p w:rsidR="009E1F21" w:rsidRPr="00ED1E3E" w:rsidRDefault="009E1F21" w:rsidP="009E1F21">
      <w:pPr>
        <w:pStyle w:val="SingleTxt"/>
        <w:spacing w:after="0" w:line="120" w:lineRule="exact"/>
        <w:rPr>
          <w:b/>
          <w:sz w:val="10"/>
          <w:lang w:val="fr-CH"/>
        </w:rPr>
      </w:pPr>
    </w:p>
    <w:p w:rsidR="009E1F21" w:rsidRPr="00ED1E3E" w:rsidRDefault="009E1F21" w:rsidP="009E1F2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t>G.</w:t>
      </w:r>
      <w:r w:rsidRPr="00ED1E3E">
        <w:rPr>
          <w:lang w:val="fr-CH"/>
        </w:rPr>
        <w:tab/>
        <w:t xml:space="preserve">Droit à la vie privée et à la vie de famille et droits </w:t>
      </w:r>
      <w:r w:rsidRPr="00ED1E3E">
        <w:rPr>
          <w:lang w:val="fr-CH"/>
        </w:rPr>
        <w:br/>
        <w:t>des membres de la famille</w:t>
      </w:r>
    </w:p>
    <w:p w:rsidR="009E1F21" w:rsidRPr="00ED1E3E" w:rsidRDefault="009E1F21" w:rsidP="009E1F21">
      <w:pPr>
        <w:pStyle w:val="SingleTxt"/>
        <w:spacing w:after="0" w:line="120" w:lineRule="exact"/>
        <w:rPr>
          <w:sz w:val="10"/>
          <w:lang w:val="fr-CH"/>
        </w:rPr>
      </w:pPr>
    </w:p>
    <w:p w:rsidR="009E1F21" w:rsidRPr="00ED1E3E" w:rsidRDefault="009E1F21" w:rsidP="009E1F21">
      <w:pPr>
        <w:pStyle w:val="SingleTxt"/>
        <w:spacing w:after="0" w:line="120" w:lineRule="exact"/>
        <w:rPr>
          <w:sz w:val="10"/>
          <w:lang w:val="fr-CH"/>
        </w:rPr>
      </w:pPr>
    </w:p>
    <w:p w:rsidR="009E1F21" w:rsidRPr="00ED1E3E" w:rsidRDefault="009E1F21" w:rsidP="009E1F21">
      <w:pPr>
        <w:pStyle w:val="SingleTxt"/>
        <w:numPr>
          <w:ilvl w:val="0"/>
          <w:numId w:val="15"/>
        </w:numPr>
        <w:tabs>
          <w:tab w:val="clear" w:pos="475"/>
          <w:tab w:val="num" w:pos="1742"/>
        </w:tabs>
        <w:ind w:left="1267"/>
        <w:rPr>
          <w:lang w:val="fr-CH"/>
        </w:rPr>
      </w:pPr>
      <w:r w:rsidRPr="00ED1E3E">
        <w:rPr>
          <w:lang w:val="fr-CH"/>
        </w:rPr>
        <w:t>L’incarcération excessive et la surpopulation carcérale signifient que les détenus vivent très entassés, ce qui débouche sur une violation grave de leur droit à la vie privée</w:t>
      </w:r>
      <w:r w:rsidRPr="00ED1E3E">
        <w:rPr>
          <w:rStyle w:val="FootnoteReference"/>
          <w:lang w:val="fr-CH"/>
        </w:rPr>
        <w:footnoteReference w:id="109"/>
      </w:r>
      <w:r w:rsidRPr="00ED1E3E">
        <w:rPr>
          <w:lang w:val="fr-CH"/>
        </w:rPr>
        <w:t>. L’Expert indépendant chargé d’examiner la situation des droits de l’homme en Haïti a indiqué que la gravité de la surpopulation dans les établissements pénitentiaires était telle que chaque détenu ne pouvait disposer de plus de 40 centimètres carrés d’espace vital</w:t>
      </w:r>
      <w:r w:rsidRPr="00ED1E3E">
        <w:rPr>
          <w:rStyle w:val="FootnoteReference"/>
          <w:lang w:val="fr-CH"/>
        </w:rPr>
        <w:footnoteReference w:id="110"/>
      </w:r>
      <w:r w:rsidRPr="00ED1E3E">
        <w:rPr>
          <w:lang w:val="fr-CH"/>
        </w:rPr>
        <w:t>. Le Rapporteur spécial sur la torture et autres peines ou traitements cruels, inhumains ou dégradants a décrit des situations où, par manque d’espace consécutif à la surpopulation, les détenus devaient s’allonger en position fœtale et de façon à ce que la tête de l’un soit à la hauteur des pieds de l’autre, ou dormir à tour de rôle ou assis</w:t>
      </w:r>
      <w:r w:rsidRPr="00ED1E3E">
        <w:rPr>
          <w:rStyle w:val="FootnoteReference"/>
          <w:lang w:val="fr-CH"/>
        </w:rPr>
        <w:footnoteReference w:id="111"/>
      </w:r>
      <w:r w:rsidRPr="00ED1E3E">
        <w:rPr>
          <w:lang w:val="fr-CH"/>
        </w:rPr>
        <w:t>. De nombreux détenus sont également privés d’intimité même pour des besoins de base comme l’utilisation des toilettes</w:t>
      </w:r>
      <w:r w:rsidRPr="00ED1E3E">
        <w:rPr>
          <w:rStyle w:val="FootnoteReference"/>
          <w:lang w:val="fr-CH"/>
        </w:rPr>
        <w:footnoteReference w:id="112"/>
      </w:r>
      <w:r w:rsidRPr="00ED1E3E">
        <w:rPr>
          <w:lang w:val="fr-CH"/>
        </w:rPr>
        <w:t>.</w:t>
      </w:r>
    </w:p>
    <w:p w:rsidR="009E1F21" w:rsidRPr="00ED1E3E" w:rsidRDefault="009E1F21" w:rsidP="009E1F21">
      <w:pPr>
        <w:pStyle w:val="SingleTxt"/>
        <w:numPr>
          <w:ilvl w:val="0"/>
          <w:numId w:val="15"/>
        </w:numPr>
        <w:tabs>
          <w:tab w:val="clear" w:pos="475"/>
          <w:tab w:val="num" w:pos="1742"/>
        </w:tabs>
        <w:ind w:left="1267"/>
        <w:rPr>
          <w:lang w:val="fr-CH"/>
        </w:rPr>
      </w:pPr>
      <w:r w:rsidRPr="00ED1E3E">
        <w:rPr>
          <w:lang w:val="fr-CH"/>
        </w:rPr>
        <w:lastRenderedPageBreak/>
        <w:t>La surpopulation est susceptible de restreindre le droit de rester en contact avec ses proches du fait que les lieux habituellement réservés aux visites des familles peuvent être réaffectés à d’autres fins. Par ailleurs, certains pays ont recours à des programmes de « juste équilibre » en vertu desquels les détenus sont réaffectés à différents lieux de détention afin d’atténuer les problèmes de surpopulation. Les détenus se retrouvent alors loin de leur famille, ce qui a des conséquences négatives sur leur droit aux visites</w:t>
      </w:r>
      <w:r w:rsidRPr="00ED1E3E">
        <w:rPr>
          <w:rStyle w:val="FootnoteReference"/>
          <w:lang w:val="fr-CH"/>
        </w:rPr>
        <w:footnoteReference w:id="113"/>
      </w:r>
      <w:r w:rsidRPr="00ED1E3E">
        <w:rPr>
          <w:lang w:val="fr-CH"/>
        </w:rPr>
        <w:t xml:space="preserve">. Il s’agit d’une atteinte non seulement aux droits fondamentaux des détenus, mais également aux droits des membres de leur famille. Cela peut aussi avoir une incidence négative sur le droit à un procès équitable, dans la mesure où les détenus sont éloignés des tribunaux et des services juridiques. </w:t>
      </w:r>
    </w:p>
    <w:p w:rsidR="009E1F21" w:rsidRPr="00ED1E3E" w:rsidRDefault="009E1F21" w:rsidP="009E1F21">
      <w:pPr>
        <w:pStyle w:val="SingleTxt"/>
        <w:numPr>
          <w:ilvl w:val="0"/>
          <w:numId w:val="15"/>
        </w:numPr>
        <w:tabs>
          <w:tab w:val="clear" w:pos="475"/>
          <w:tab w:val="num" w:pos="1742"/>
        </w:tabs>
        <w:ind w:left="1267"/>
        <w:rPr>
          <w:lang w:val="fr-CH"/>
        </w:rPr>
      </w:pPr>
      <w:r w:rsidRPr="00ED1E3E">
        <w:rPr>
          <w:lang w:val="fr-CH"/>
        </w:rPr>
        <w:t>De plus, l’incarcération excessive peut avoir une incidence préjudiciable sur les membres de la famille du détenu qui perdent le principal soutien de famille, au détriment de l’intérêt supérieur de l’enfant ou des enfants concernés</w:t>
      </w:r>
      <w:r w:rsidRPr="00ED1E3E">
        <w:rPr>
          <w:rStyle w:val="FootnoteReference"/>
          <w:lang w:val="fr-CH"/>
        </w:rPr>
        <w:footnoteReference w:id="114"/>
      </w:r>
      <w:r w:rsidRPr="00ED1E3E">
        <w:rPr>
          <w:lang w:val="fr-CH"/>
        </w:rPr>
        <w:t>.</w:t>
      </w:r>
    </w:p>
    <w:p w:rsidR="009E1F21" w:rsidRPr="00ED1E3E" w:rsidRDefault="009E1F21" w:rsidP="009E1F21">
      <w:pPr>
        <w:pStyle w:val="SingleTxt"/>
        <w:spacing w:after="0" w:line="120" w:lineRule="exact"/>
        <w:rPr>
          <w:b/>
          <w:sz w:val="10"/>
          <w:lang w:val="fr-CH"/>
        </w:rPr>
      </w:pPr>
    </w:p>
    <w:p w:rsidR="009E1F21" w:rsidRPr="00ED1E3E" w:rsidRDefault="009E1F21" w:rsidP="009E1F21">
      <w:pPr>
        <w:pStyle w:val="SingleTxt"/>
        <w:spacing w:after="0" w:line="120" w:lineRule="exact"/>
        <w:rPr>
          <w:b/>
          <w:sz w:val="10"/>
          <w:lang w:val="fr-CH"/>
        </w:rPr>
      </w:pPr>
    </w:p>
    <w:p w:rsidR="009E1F21" w:rsidRPr="00ED1E3E" w:rsidRDefault="009E1F21" w:rsidP="009E1F2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t>H.</w:t>
      </w:r>
      <w:r w:rsidRPr="00ED1E3E">
        <w:rPr>
          <w:lang w:val="fr-CH"/>
        </w:rPr>
        <w:tab/>
        <w:t>Droit à l’égalité et à la non-discrimination</w:t>
      </w:r>
    </w:p>
    <w:p w:rsidR="009E1F21" w:rsidRPr="00ED1E3E" w:rsidRDefault="009E1F21" w:rsidP="009E1F21">
      <w:pPr>
        <w:pStyle w:val="SingleTxt"/>
        <w:spacing w:after="0" w:line="120" w:lineRule="exact"/>
        <w:rPr>
          <w:sz w:val="10"/>
          <w:lang w:val="fr-CH"/>
        </w:rPr>
      </w:pPr>
    </w:p>
    <w:p w:rsidR="009E1F21" w:rsidRPr="00ED1E3E" w:rsidRDefault="009E1F21" w:rsidP="009E1F21">
      <w:pPr>
        <w:pStyle w:val="SingleTxt"/>
        <w:spacing w:after="0" w:line="120" w:lineRule="exact"/>
        <w:rPr>
          <w:sz w:val="10"/>
          <w:lang w:val="fr-CH"/>
        </w:rPr>
      </w:pPr>
    </w:p>
    <w:p w:rsidR="009E1F21" w:rsidRPr="00ED1E3E" w:rsidRDefault="009E1F21" w:rsidP="009E1F21">
      <w:pPr>
        <w:pStyle w:val="SingleTxt"/>
        <w:numPr>
          <w:ilvl w:val="0"/>
          <w:numId w:val="15"/>
        </w:numPr>
        <w:tabs>
          <w:tab w:val="clear" w:pos="475"/>
          <w:tab w:val="num" w:pos="1742"/>
        </w:tabs>
        <w:ind w:left="1267"/>
        <w:rPr>
          <w:lang w:val="fr-CH"/>
        </w:rPr>
      </w:pPr>
      <w:r w:rsidRPr="00ED1E3E">
        <w:rPr>
          <w:lang w:val="fr-CH"/>
        </w:rPr>
        <w:t>Les effets de l’incarcération excessive et de la surpopulation carcérale sont particulièrement néfastes pour les membres de certains groupes, notamment les femmes</w:t>
      </w:r>
      <w:r w:rsidRPr="00ED1E3E">
        <w:rPr>
          <w:rStyle w:val="FootnoteReference"/>
          <w:lang w:val="fr-CH"/>
        </w:rPr>
        <w:footnoteReference w:id="115"/>
      </w:r>
      <w:r w:rsidRPr="00ED1E3E">
        <w:rPr>
          <w:lang w:val="fr-CH"/>
        </w:rPr>
        <w:t>, les enfants</w:t>
      </w:r>
      <w:r w:rsidRPr="00ED1E3E">
        <w:rPr>
          <w:rStyle w:val="FootnoteReference"/>
          <w:lang w:val="fr-CH"/>
        </w:rPr>
        <w:footnoteReference w:id="116"/>
      </w:r>
      <w:r w:rsidRPr="00ED1E3E">
        <w:rPr>
          <w:lang w:val="fr-CH"/>
        </w:rPr>
        <w:t>, les personnes handicapées</w:t>
      </w:r>
      <w:r w:rsidRPr="00ED1E3E">
        <w:rPr>
          <w:rStyle w:val="FootnoteReference"/>
          <w:lang w:val="fr-CH"/>
        </w:rPr>
        <w:footnoteReference w:id="117"/>
      </w:r>
      <w:r w:rsidRPr="00ED1E3E">
        <w:rPr>
          <w:lang w:val="fr-CH"/>
        </w:rPr>
        <w:t>, les minorités raciales</w:t>
      </w:r>
      <w:r w:rsidRPr="00ED1E3E">
        <w:rPr>
          <w:rStyle w:val="FootnoteReference"/>
          <w:lang w:val="fr-CH"/>
        </w:rPr>
        <w:footnoteReference w:id="118"/>
      </w:r>
      <w:r w:rsidRPr="00ED1E3E">
        <w:rPr>
          <w:lang w:val="fr-CH"/>
        </w:rPr>
        <w:t>, les populations autochtones</w:t>
      </w:r>
      <w:r w:rsidRPr="00ED1E3E">
        <w:rPr>
          <w:rStyle w:val="FootnoteReference"/>
          <w:lang w:val="fr-CH"/>
        </w:rPr>
        <w:footnoteReference w:id="119"/>
      </w:r>
      <w:r w:rsidRPr="00ED1E3E">
        <w:rPr>
          <w:lang w:val="fr-CH"/>
        </w:rPr>
        <w:t>, et les non-ressortissants. Les ressources étant sollicitées à l’excès, les besoins spécifiques des personnes appartenant à ces groupes ne peuvent être satisfaits. Le fait que les prévenus ne soient pas séparés des autres détenus</w:t>
      </w:r>
      <w:r w:rsidRPr="00ED1E3E">
        <w:rPr>
          <w:rStyle w:val="FootnoteReference"/>
          <w:lang w:val="fr-CH"/>
        </w:rPr>
        <w:footnoteReference w:id="120"/>
      </w:r>
      <w:r w:rsidRPr="00ED1E3E">
        <w:rPr>
          <w:lang w:val="fr-CH"/>
        </w:rPr>
        <w:t xml:space="preserve"> que les adultes ne soient pas séparés des enfants</w:t>
      </w:r>
      <w:r w:rsidRPr="00ED1E3E">
        <w:rPr>
          <w:rStyle w:val="FootnoteReference"/>
          <w:lang w:val="fr-CH"/>
        </w:rPr>
        <w:footnoteReference w:id="121"/>
      </w:r>
      <w:r w:rsidRPr="00ED1E3E">
        <w:rPr>
          <w:lang w:val="fr-CH"/>
        </w:rPr>
        <w:t xml:space="preserve"> et que les hommes ne soient pas séparés des femmes</w:t>
      </w:r>
      <w:r w:rsidRPr="00ED1E3E">
        <w:rPr>
          <w:rStyle w:val="FootnoteReference"/>
          <w:lang w:val="fr-CH"/>
        </w:rPr>
        <w:footnoteReference w:id="122"/>
      </w:r>
      <w:r w:rsidRPr="00ED1E3E">
        <w:rPr>
          <w:lang w:val="fr-CH"/>
        </w:rPr>
        <w:t xml:space="preserve"> aurait entraîné des cas d’exploitation et de violence sexuelle</w:t>
      </w:r>
      <w:r w:rsidRPr="00ED1E3E">
        <w:rPr>
          <w:rStyle w:val="FootnoteReference"/>
          <w:lang w:val="fr-CH"/>
        </w:rPr>
        <w:footnoteReference w:id="123"/>
      </w:r>
      <w:r w:rsidRPr="00ED1E3E">
        <w:rPr>
          <w:lang w:val="fr-CH"/>
        </w:rPr>
        <w:t>. Les besoins spécifiques des femmes et des filles en matière de droit à la santé sont négligés</w:t>
      </w:r>
      <w:r w:rsidRPr="00ED1E3E">
        <w:rPr>
          <w:rStyle w:val="FootnoteReference"/>
          <w:lang w:val="fr-CH"/>
        </w:rPr>
        <w:footnoteReference w:id="124"/>
      </w:r>
      <w:r w:rsidRPr="00ED1E3E">
        <w:rPr>
          <w:lang w:val="fr-CH"/>
        </w:rPr>
        <w:t>, en particulier lorsqu’il s’agit de femmes enceintes, de filles et de mères allaitantes</w:t>
      </w:r>
      <w:r w:rsidRPr="00ED1E3E">
        <w:rPr>
          <w:rStyle w:val="FootnoteReference"/>
          <w:lang w:val="fr-CH"/>
        </w:rPr>
        <w:footnoteReference w:id="125"/>
      </w:r>
      <w:r w:rsidRPr="00ED1E3E">
        <w:rPr>
          <w:lang w:val="fr-CH"/>
        </w:rPr>
        <w:t>. Des informations font état de jeunes enfants détenus avec leur mère</w:t>
      </w:r>
      <w:r w:rsidRPr="00ED1E3E">
        <w:rPr>
          <w:rStyle w:val="FootnoteReference"/>
          <w:lang w:val="fr-CH"/>
        </w:rPr>
        <w:footnoteReference w:id="126"/>
      </w:r>
      <w:r w:rsidRPr="00ED1E3E">
        <w:rPr>
          <w:lang w:val="fr-CH"/>
        </w:rPr>
        <w:t xml:space="preserve"> et du non-respect des besoins spéciaux des enfants en détention</w:t>
      </w:r>
      <w:r w:rsidRPr="00ED1E3E">
        <w:rPr>
          <w:rStyle w:val="FootnoteReference"/>
          <w:lang w:val="fr-CH"/>
        </w:rPr>
        <w:footnoteReference w:id="127"/>
      </w:r>
      <w:r w:rsidRPr="00ED1E3E">
        <w:rPr>
          <w:lang w:val="fr-CH"/>
        </w:rPr>
        <w:t>. Le personnel de sexe féminin</w:t>
      </w:r>
      <w:r w:rsidRPr="00ED1E3E">
        <w:rPr>
          <w:rStyle w:val="FootnoteReference"/>
          <w:lang w:val="fr-CH"/>
        </w:rPr>
        <w:footnoteReference w:id="128"/>
      </w:r>
      <w:r w:rsidRPr="00ED1E3E">
        <w:rPr>
          <w:lang w:val="fr-CH"/>
        </w:rPr>
        <w:t xml:space="preserve"> ou issu de groupes minoritaires</w:t>
      </w:r>
      <w:r w:rsidRPr="00ED1E3E">
        <w:rPr>
          <w:rStyle w:val="FootnoteReference"/>
          <w:lang w:val="fr-CH"/>
        </w:rPr>
        <w:footnoteReference w:id="129"/>
      </w:r>
      <w:r w:rsidRPr="00ED1E3E">
        <w:rPr>
          <w:lang w:val="fr-CH"/>
        </w:rPr>
        <w:t xml:space="preserve"> serait insuffisant dans les lieux de </w:t>
      </w:r>
      <w:r w:rsidRPr="00ED1E3E">
        <w:rPr>
          <w:lang w:val="fr-CH"/>
        </w:rPr>
        <w:lastRenderedPageBreak/>
        <w:t>détention, ce qui a des conséquences négatives pour les femmes</w:t>
      </w:r>
      <w:r w:rsidRPr="00ED1E3E">
        <w:rPr>
          <w:rStyle w:val="FootnoteReference"/>
          <w:lang w:val="fr-CH"/>
        </w:rPr>
        <w:footnoteReference w:id="130"/>
      </w:r>
      <w:r w:rsidRPr="00ED1E3E">
        <w:rPr>
          <w:lang w:val="fr-CH"/>
        </w:rPr>
        <w:t xml:space="preserve"> et les membres des minorités en détention. De plus, les personnes handicapées sont détenues dans des milieux où certaines zones leur sont inaccessibles</w:t>
      </w:r>
      <w:r w:rsidRPr="00ED1E3E">
        <w:rPr>
          <w:rStyle w:val="FootnoteReference"/>
          <w:lang w:val="fr-CH"/>
        </w:rPr>
        <w:footnoteReference w:id="131"/>
      </w:r>
      <w:r w:rsidRPr="00ED1E3E">
        <w:rPr>
          <w:lang w:val="fr-CH"/>
        </w:rPr>
        <w:t>, et, souvent, les prisonniers atteints de maladies mentales ne sont pas séparés des autres détenus</w:t>
      </w:r>
      <w:r w:rsidRPr="00ED1E3E">
        <w:rPr>
          <w:rStyle w:val="FootnoteReference"/>
          <w:lang w:val="fr-CH"/>
        </w:rPr>
        <w:footnoteReference w:id="132"/>
      </w:r>
      <w:r w:rsidRPr="00ED1E3E">
        <w:rPr>
          <w:lang w:val="fr-CH"/>
        </w:rPr>
        <w:t>.</w:t>
      </w:r>
    </w:p>
    <w:p w:rsidR="009E1F21" w:rsidRPr="00ED1E3E" w:rsidRDefault="009E1F21" w:rsidP="009E1F21">
      <w:pPr>
        <w:pStyle w:val="SingleTxt"/>
        <w:numPr>
          <w:ilvl w:val="0"/>
          <w:numId w:val="15"/>
        </w:numPr>
        <w:tabs>
          <w:tab w:val="clear" w:pos="475"/>
          <w:tab w:val="num" w:pos="1742"/>
        </w:tabs>
        <w:ind w:left="1267"/>
        <w:rPr>
          <w:lang w:val="fr-CH"/>
        </w:rPr>
      </w:pPr>
      <w:r w:rsidRPr="00ED1E3E">
        <w:rPr>
          <w:lang w:val="fr-CH"/>
        </w:rPr>
        <w:t>La surpopulation et le non-respect des besoins des membres de ces groupes qui en résulte rend ces derniers particulièrement vulnérables à la violence</w:t>
      </w:r>
      <w:r w:rsidRPr="00ED1E3E">
        <w:rPr>
          <w:rStyle w:val="FootnoteReference"/>
          <w:lang w:val="fr-CH"/>
        </w:rPr>
        <w:footnoteReference w:id="133"/>
      </w:r>
      <w:r w:rsidRPr="00ED1E3E">
        <w:rPr>
          <w:lang w:val="fr-CH"/>
        </w:rPr>
        <w:t xml:space="preserve"> et peut donner lieu à des violations de leurs droits fondamentaux, y compris du droit des détenus à la vie</w:t>
      </w:r>
      <w:r w:rsidRPr="00ED1E3E">
        <w:rPr>
          <w:rStyle w:val="FootnoteReference"/>
          <w:lang w:val="fr-CH"/>
        </w:rPr>
        <w:footnoteReference w:id="134"/>
      </w:r>
      <w:r w:rsidRPr="00ED1E3E">
        <w:rPr>
          <w:lang w:val="fr-CH"/>
        </w:rPr>
        <w:t xml:space="preserve"> ainsi qu’à la sûreté et à la sécurité des membres de leur famille, qui peuvent être victimes d’extorsion</w:t>
      </w:r>
      <w:r w:rsidRPr="00ED1E3E">
        <w:rPr>
          <w:rStyle w:val="FootnoteReference"/>
          <w:lang w:val="fr-CH"/>
        </w:rPr>
        <w:footnoteReference w:id="135"/>
      </w:r>
      <w:r w:rsidRPr="00ED1E3E">
        <w:rPr>
          <w:lang w:val="fr-CH"/>
        </w:rPr>
        <w:t>. Par ailleurs, le Rapporteur spécial sur la torture et autres peines ou traitements cruels, inhumains ou dégradants a noté que, dans les prisons gravement surpeuplées, des activités utiles (travail, éducation et loisirs) sont uniquement accessibles à « quelques rares prisonniers privilégiés qui “coopèrent” et/ou versent les pots-de-vin nécessaires »</w:t>
      </w:r>
      <w:r w:rsidRPr="00ED1E3E">
        <w:rPr>
          <w:rStyle w:val="FootnoteReference"/>
          <w:lang w:val="fr-CH"/>
        </w:rPr>
        <w:footnoteReference w:id="136"/>
      </w:r>
      <w:r w:rsidRPr="00ED1E3E">
        <w:rPr>
          <w:lang w:val="fr-CH"/>
        </w:rPr>
        <w:t>.</w:t>
      </w:r>
    </w:p>
    <w:p w:rsidR="009E1F21" w:rsidRPr="00ED1E3E" w:rsidRDefault="009E1F21" w:rsidP="009E1F21">
      <w:pPr>
        <w:pStyle w:val="SingleTxt"/>
        <w:spacing w:after="0" w:line="120" w:lineRule="exact"/>
        <w:rPr>
          <w:b/>
          <w:sz w:val="10"/>
          <w:lang w:val="fr-CH"/>
        </w:rPr>
      </w:pPr>
    </w:p>
    <w:p w:rsidR="009E1F21" w:rsidRPr="00ED1E3E" w:rsidRDefault="009E1F21" w:rsidP="009E1F21">
      <w:pPr>
        <w:pStyle w:val="SingleTxt"/>
        <w:spacing w:after="0" w:line="120" w:lineRule="exact"/>
        <w:rPr>
          <w:b/>
          <w:sz w:val="10"/>
          <w:lang w:val="fr-CH"/>
        </w:rPr>
      </w:pPr>
    </w:p>
    <w:p w:rsidR="009E1F21" w:rsidRPr="00ED1E3E" w:rsidRDefault="009E1F21" w:rsidP="009E1F2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t>III.</w:t>
      </w:r>
      <w:r w:rsidRPr="00ED1E3E">
        <w:rPr>
          <w:lang w:val="fr-CH"/>
        </w:rPr>
        <w:tab/>
        <w:t xml:space="preserve">Principales causes de l’incarcération excessive </w:t>
      </w:r>
      <w:r w:rsidRPr="00ED1E3E">
        <w:rPr>
          <w:lang w:val="fr-CH"/>
        </w:rPr>
        <w:br/>
        <w:t>et de la surpopulation carcérale</w:t>
      </w:r>
    </w:p>
    <w:p w:rsidR="009E1F21" w:rsidRPr="00ED1E3E" w:rsidRDefault="009E1F21" w:rsidP="009E1F21">
      <w:pPr>
        <w:pStyle w:val="SingleTxt"/>
        <w:spacing w:after="0" w:line="120" w:lineRule="exact"/>
        <w:rPr>
          <w:sz w:val="10"/>
          <w:lang w:val="fr-CH"/>
        </w:rPr>
      </w:pPr>
    </w:p>
    <w:p w:rsidR="009E1F21" w:rsidRPr="00ED1E3E" w:rsidRDefault="009E1F21" w:rsidP="009E1F21">
      <w:pPr>
        <w:pStyle w:val="SingleTxt"/>
        <w:spacing w:after="0" w:line="120" w:lineRule="exact"/>
        <w:rPr>
          <w:sz w:val="10"/>
          <w:lang w:val="fr-CH"/>
        </w:rPr>
      </w:pPr>
    </w:p>
    <w:p w:rsidR="009E1F21" w:rsidRPr="00ED1E3E" w:rsidRDefault="009E1F21" w:rsidP="009E1F21">
      <w:pPr>
        <w:pStyle w:val="SingleTxt"/>
        <w:numPr>
          <w:ilvl w:val="0"/>
          <w:numId w:val="15"/>
        </w:numPr>
        <w:tabs>
          <w:tab w:val="clear" w:pos="475"/>
          <w:tab w:val="num" w:pos="1742"/>
        </w:tabs>
        <w:ind w:left="1267"/>
        <w:rPr>
          <w:lang w:val="fr-CH"/>
        </w:rPr>
      </w:pPr>
      <w:r w:rsidRPr="00ED1E3E">
        <w:rPr>
          <w:lang w:val="fr-CH"/>
        </w:rPr>
        <w:t>L’incarcération excessive et la surpopulation carcérale sont principalement dues à des failles au sein du système de justice pénale; à un recours excessif à la détention avant jugement; à l’absence de peines non privatives de liberté et/ou à une mauvaise administration de ces peines; à des politiques spécifiques en matière de peines; et à un manque de surveillance des lieux de détention, notamment.</w:t>
      </w:r>
    </w:p>
    <w:p w:rsidR="009E1F21" w:rsidRPr="00ED1E3E" w:rsidRDefault="009E1F21" w:rsidP="009E1F21">
      <w:pPr>
        <w:pStyle w:val="SingleTxt"/>
        <w:spacing w:after="0" w:line="120" w:lineRule="exact"/>
        <w:rPr>
          <w:b/>
          <w:sz w:val="10"/>
          <w:lang w:val="fr-CH"/>
        </w:rPr>
      </w:pPr>
    </w:p>
    <w:p w:rsidR="009E1F21" w:rsidRPr="00ED1E3E" w:rsidRDefault="009E1F21" w:rsidP="009E1F21">
      <w:pPr>
        <w:pStyle w:val="SingleTxt"/>
        <w:spacing w:after="0" w:line="120" w:lineRule="exact"/>
        <w:rPr>
          <w:b/>
          <w:sz w:val="10"/>
          <w:lang w:val="fr-CH"/>
        </w:rPr>
      </w:pPr>
    </w:p>
    <w:p w:rsidR="009E1F21" w:rsidRPr="00ED1E3E" w:rsidRDefault="009E1F21" w:rsidP="009E1F2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t>A.</w:t>
      </w:r>
      <w:r w:rsidRPr="00ED1E3E">
        <w:rPr>
          <w:lang w:val="fr-CH"/>
        </w:rPr>
        <w:tab/>
        <w:t>Failles du système de justice pénale</w:t>
      </w:r>
    </w:p>
    <w:p w:rsidR="009E1F21" w:rsidRPr="00ED1E3E" w:rsidRDefault="009E1F21" w:rsidP="009E1F21">
      <w:pPr>
        <w:pStyle w:val="SingleTxt"/>
        <w:spacing w:after="0" w:line="120" w:lineRule="exact"/>
        <w:rPr>
          <w:sz w:val="10"/>
          <w:lang w:val="fr-CH"/>
        </w:rPr>
      </w:pPr>
    </w:p>
    <w:p w:rsidR="009E1F21" w:rsidRPr="00ED1E3E" w:rsidRDefault="009E1F21" w:rsidP="009E1F21">
      <w:pPr>
        <w:pStyle w:val="SingleTxt"/>
        <w:spacing w:after="0" w:line="120" w:lineRule="exact"/>
        <w:rPr>
          <w:sz w:val="10"/>
          <w:lang w:val="fr-CH"/>
        </w:rPr>
      </w:pPr>
    </w:p>
    <w:p w:rsidR="009E1F21" w:rsidRPr="00ED1E3E" w:rsidRDefault="009E1F21" w:rsidP="009E1F21">
      <w:pPr>
        <w:pStyle w:val="SingleTxt"/>
        <w:numPr>
          <w:ilvl w:val="0"/>
          <w:numId w:val="15"/>
        </w:numPr>
        <w:tabs>
          <w:tab w:val="clear" w:pos="475"/>
          <w:tab w:val="num" w:pos="1742"/>
        </w:tabs>
        <w:ind w:left="1267"/>
        <w:rPr>
          <w:lang w:val="fr-CH"/>
        </w:rPr>
      </w:pPr>
      <w:r w:rsidRPr="00ED1E3E">
        <w:rPr>
          <w:lang w:val="fr-CH"/>
        </w:rPr>
        <w:t>Le Comité européen pour la prévention de la torture a noté qu’il avait eu connaissance d’énormes taux d’incarcération et, en conséquence, à un surpeuplement carcéral grave, et a indiqué que « le fait qu’un État incarcère un si grand nombre de ses citoyens ne peut s’expliquer de manière convaincante par un taux de criminalité élevé; l’attitude générale des membres des services chargés de l’application des lois et des autorités judiciaires doit, en partie, en être responsable »</w:t>
      </w:r>
      <w:r w:rsidRPr="00ED1E3E">
        <w:rPr>
          <w:rStyle w:val="FootnoteReference"/>
          <w:lang w:val="fr-CH"/>
        </w:rPr>
        <w:footnoteReference w:id="137"/>
      </w:r>
      <w:r w:rsidRPr="00ED1E3E">
        <w:rPr>
          <w:lang w:val="fr-CH"/>
        </w:rPr>
        <w:t>. Un système de justice pénale efficace</w:t>
      </w:r>
      <w:r w:rsidRPr="00ED1E3E">
        <w:rPr>
          <w:rStyle w:val="FootnoteReference"/>
          <w:lang w:val="fr-CH"/>
        </w:rPr>
        <w:footnoteReference w:id="138"/>
      </w:r>
      <w:r w:rsidRPr="00ED1E3E">
        <w:rPr>
          <w:lang w:val="fr-CH"/>
        </w:rPr>
        <w:t>, au sein duquel tous les acteurs – y compris la police, le ministère public, les avocats de la défense et les autorités judiciaires – travailleraient efficacement et conformément aux règles de l’État de droit et aux normes du droit international des droits de l’homme est essentiel pour garantir que les affaires des personnes qui entrent en contact avec ce système sont traitées de manière efficace et conformément à la loi. Cependant, dans la réalité, les systèmes de justice pénale du monde entier font face à de grands défis et comportent des lacunes.</w:t>
      </w:r>
    </w:p>
    <w:p w:rsidR="009E1F21" w:rsidRPr="00ED1E3E" w:rsidRDefault="009E1F21" w:rsidP="009E1F21">
      <w:pPr>
        <w:pStyle w:val="SingleTxt"/>
        <w:numPr>
          <w:ilvl w:val="0"/>
          <w:numId w:val="15"/>
        </w:numPr>
        <w:tabs>
          <w:tab w:val="clear" w:pos="475"/>
          <w:tab w:val="num" w:pos="1742"/>
        </w:tabs>
        <w:ind w:left="1267"/>
        <w:rPr>
          <w:lang w:val="fr-CH"/>
        </w:rPr>
      </w:pPr>
      <w:r w:rsidRPr="00ED1E3E">
        <w:rPr>
          <w:lang w:val="fr-CH"/>
        </w:rPr>
        <w:t>Les « politiques de tolérance zéro » adoptées dans de nombreux États ont entraîné une forte augmentation du nombre d’arrestations</w:t>
      </w:r>
      <w:r w:rsidRPr="00ED1E3E">
        <w:rPr>
          <w:rStyle w:val="FootnoteReference"/>
          <w:lang w:val="fr-CH"/>
        </w:rPr>
        <w:footnoteReference w:id="139"/>
      </w:r>
      <w:r w:rsidRPr="00ED1E3E">
        <w:rPr>
          <w:lang w:val="fr-CH"/>
        </w:rPr>
        <w:t xml:space="preserve">, même pour des </w:t>
      </w:r>
      <w:r w:rsidRPr="00ED1E3E">
        <w:rPr>
          <w:lang w:val="fr-CH"/>
        </w:rPr>
        <w:lastRenderedPageBreak/>
        <w:t>infractions légères (alcoolisme, traversée de la voie ferrée ou vol à l’étalage)</w:t>
      </w:r>
      <w:r w:rsidRPr="00ED1E3E">
        <w:rPr>
          <w:rStyle w:val="FootnoteReference"/>
          <w:lang w:val="fr-CH"/>
        </w:rPr>
        <w:footnoteReference w:id="140"/>
      </w:r>
      <w:r w:rsidRPr="00ED1E3E">
        <w:rPr>
          <w:lang w:val="fr-CH"/>
        </w:rPr>
        <w:t xml:space="preserve"> et débouché sur des peines de prison de longue durée</w:t>
      </w:r>
      <w:r w:rsidRPr="00ED1E3E">
        <w:rPr>
          <w:rStyle w:val="FootnoteReference"/>
          <w:lang w:val="fr-CH"/>
        </w:rPr>
        <w:footnoteReference w:id="141"/>
      </w:r>
      <w:r w:rsidRPr="00ED1E3E">
        <w:rPr>
          <w:lang w:val="fr-CH"/>
        </w:rPr>
        <w:t>. De plus, certaines pratiques, telles que le fait de récompenser les policiers pour les arrestations effectuées</w:t>
      </w:r>
      <w:r w:rsidRPr="00ED1E3E">
        <w:rPr>
          <w:rStyle w:val="FootnoteReference"/>
          <w:lang w:val="fr-CH"/>
        </w:rPr>
        <w:footnoteReference w:id="142"/>
      </w:r>
      <w:r w:rsidRPr="00ED1E3E">
        <w:rPr>
          <w:lang w:val="fr-CH"/>
        </w:rPr>
        <w:t>, et lois à portée générale, règles et règlements</w:t>
      </w:r>
      <w:r w:rsidRPr="00ED1E3E">
        <w:rPr>
          <w:rStyle w:val="FootnoteReference"/>
          <w:lang w:val="fr-CH"/>
        </w:rPr>
        <w:footnoteReference w:id="143"/>
      </w:r>
      <w:r w:rsidRPr="00ED1E3E">
        <w:rPr>
          <w:lang w:val="fr-CH"/>
        </w:rPr>
        <w:t xml:space="preserve"> auraient donné lieu à des arrestations arbitraires, ce qui a donc fortement contribué à l’incarcération excessive et à la surpopulation carcérale.</w:t>
      </w:r>
      <w:r w:rsidRPr="00ED1E3E">
        <w:rPr>
          <w:rStyle w:val="FootnoteReference"/>
          <w:lang w:val="fr-CH"/>
        </w:rPr>
        <w:t xml:space="preserve"> </w:t>
      </w:r>
    </w:p>
    <w:p w:rsidR="009E1F21" w:rsidRPr="00ED1E3E" w:rsidRDefault="009E1F21" w:rsidP="009E1F21">
      <w:pPr>
        <w:pStyle w:val="SingleTxt"/>
        <w:numPr>
          <w:ilvl w:val="0"/>
          <w:numId w:val="15"/>
        </w:numPr>
        <w:tabs>
          <w:tab w:val="clear" w:pos="475"/>
          <w:tab w:val="num" w:pos="1742"/>
        </w:tabs>
        <w:ind w:left="1267"/>
        <w:rPr>
          <w:lang w:val="fr-CH"/>
        </w:rPr>
      </w:pPr>
      <w:r w:rsidRPr="00ED1E3E">
        <w:rPr>
          <w:lang w:val="fr-CH"/>
        </w:rPr>
        <w:t>À la suite de l’arrestation, l’efficacité avec laquelle les autorités peuvent traiter l’affaire de chaque détenu est primordiale pour réduire la surpopulation carcérale et l’incarcération excessive. La détention avant jugement est souvent prolongée en raison de l’insuffisance des enquêtes menées par la police, de la perte de dossiers et d’une pénurie de juges. Dans nombre d’États, l’arriéré d’affaires en attente est conséquent, en particulier lorsqu’il y a détention avant jugement, et il faut d’urgence renforcer la capacité des autorités judiciaires des pays concernés à traiter ces affaires</w:t>
      </w:r>
      <w:r w:rsidRPr="00ED1E3E">
        <w:rPr>
          <w:rStyle w:val="FootnoteReference"/>
          <w:lang w:val="fr-CH"/>
        </w:rPr>
        <w:footnoteReference w:id="144"/>
      </w:r>
      <w:r w:rsidRPr="00ED1E3E">
        <w:rPr>
          <w:lang w:val="fr-CH"/>
        </w:rPr>
        <w:t>. En outre, la pénurie de ressources et de personnel dûment formé empêche la mise en œuvre de mesures non privatives de liberté et de régimes de libération conditionnelle</w:t>
      </w:r>
      <w:r w:rsidRPr="00ED1E3E">
        <w:rPr>
          <w:rStyle w:val="FootnoteReference"/>
          <w:lang w:val="fr-CH"/>
        </w:rPr>
        <w:footnoteReference w:id="145"/>
      </w:r>
      <w:r w:rsidRPr="00ED1E3E">
        <w:rPr>
          <w:lang w:val="fr-CH"/>
        </w:rPr>
        <w:t>. L’efficacité du système de justice pénale est elle aussi compromise par des systèmes de communication inappropriés entre les procureurs, les avocats commis d’office et les juges</w:t>
      </w:r>
      <w:r w:rsidRPr="00ED1E3E">
        <w:rPr>
          <w:rStyle w:val="FootnoteReference"/>
          <w:lang w:val="fr-CH"/>
        </w:rPr>
        <w:footnoteReference w:id="146"/>
      </w:r>
      <w:r w:rsidRPr="00ED1E3E">
        <w:rPr>
          <w:lang w:val="fr-CH"/>
        </w:rPr>
        <w:t>. Ces failles du système de justice pénale signifient également que la situation des détenus n’est pas examinée à intervalles réguliers</w:t>
      </w:r>
      <w:r w:rsidRPr="00ED1E3E">
        <w:rPr>
          <w:rStyle w:val="FootnoteReference"/>
          <w:lang w:val="fr-CH"/>
        </w:rPr>
        <w:footnoteReference w:id="147"/>
      </w:r>
      <w:r w:rsidRPr="00ED1E3E">
        <w:rPr>
          <w:lang w:val="fr-CH"/>
        </w:rPr>
        <w:t>. Par ailleurs, nombre d’États ne disposent pas de programmes d’aide juridique complets et dotés de ressources suffisantes.</w:t>
      </w:r>
    </w:p>
    <w:p w:rsidR="009E1F21" w:rsidRPr="00ED1E3E" w:rsidRDefault="009E1F21" w:rsidP="009E1F21">
      <w:pPr>
        <w:pStyle w:val="SingleTxt"/>
        <w:numPr>
          <w:ilvl w:val="0"/>
          <w:numId w:val="15"/>
        </w:numPr>
        <w:tabs>
          <w:tab w:val="clear" w:pos="475"/>
          <w:tab w:val="num" w:pos="1742"/>
        </w:tabs>
        <w:ind w:left="1267"/>
        <w:rPr>
          <w:lang w:val="fr-CH"/>
        </w:rPr>
      </w:pPr>
      <w:r w:rsidRPr="00ED1E3E">
        <w:rPr>
          <w:lang w:val="fr-CH"/>
        </w:rPr>
        <w:t>En outre, de nombreuses personnes demeurent en détention du fait de l’absence de registres centralisés et d’un système efficace pour surveiller la durée de la détention avant jugement ou les progrès accomplis dans l’exécution de la peine</w:t>
      </w:r>
      <w:r w:rsidRPr="00ED1E3E">
        <w:rPr>
          <w:rStyle w:val="FootnoteReference"/>
          <w:lang w:val="fr-CH"/>
        </w:rPr>
        <w:footnoteReference w:id="148"/>
      </w:r>
      <w:r w:rsidRPr="00ED1E3E">
        <w:rPr>
          <w:lang w:val="fr-CH"/>
        </w:rPr>
        <w:t>. En l’absence de tels registres et du fait de la médiocrité de la communication entre les différents intervenants de la justice pénale</w:t>
      </w:r>
      <w:r w:rsidRPr="00ED1E3E">
        <w:rPr>
          <w:rStyle w:val="FootnoteReference"/>
          <w:lang w:val="fr-CH"/>
        </w:rPr>
        <w:footnoteReference w:id="149"/>
      </w:r>
      <w:r w:rsidRPr="00ED1E3E">
        <w:rPr>
          <w:lang w:val="fr-CH"/>
        </w:rPr>
        <w:t>, les autorités ne disposent simplement pas d’informations fiables quant aux personnes qui devraient être libérées. Cette situation non seulement prolonge la durée de la détention avant jugement mais garde également en détention les détenus qui ont déjà accompli leur peine, ce qui contribue à la surpopulation carcérale</w:t>
      </w:r>
      <w:r w:rsidRPr="00ED1E3E">
        <w:rPr>
          <w:rStyle w:val="FootnoteReference"/>
          <w:lang w:val="fr-CH"/>
        </w:rPr>
        <w:footnoteReference w:id="150"/>
      </w:r>
      <w:r w:rsidRPr="00ED1E3E">
        <w:rPr>
          <w:lang w:val="fr-CH"/>
        </w:rPr>
        <w:t>.</w:t>
      </w:r>
    </w:p>
    <w:p w:rsidR="009E1F21" w:rsidRPr="00ED1E3E" w:rsidRDefault="009E1F21" w:rsidP="009E1F21">
      <w:pPr>
        <w:pStyle w:val="SingleTxt"/>
        <w:spacing w:after="0" w:line="120" w:lineRule="exact"/>
        <w:rPr>
          <w:b/>
          <w:sz w:val="10"/>
          <w:lang w:val="fr-CH"/>
        </w:rPr>
      </w:pPr>
    </w:p>
    <w:p w:rsidR="009E1F21" w:rsidRPr="00ED1E3E" w:rsidRDefault="009E1F21" w:rsidP="009E1F21">
      <w:pPr>
        <w:pStyle w:val="SingleTxt"/>
        <w:spacing w:after="0" w:line="120" w:lineRule="exact"/>
        <w:rPr>
          <w:b/>
          <w:sz w:val="10"/>
          <w:lang w:val="fr-CH"/>
        </w:rPr>
      </w:pPr>
    </w:p>
    <w:p w:rsidR="009E1F21" w:rsidRPr="00ED1E3E" w:rsidRDefault="009E1F21" w:rsidP="009E1F2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t>B.</w:t>
      </w:r>
      <w:r w:rsidRPr="00ED1E3E">
        <w:rPr>
          <w:lang w:val="fr-CH"/>
        </w:rPr>
        <w:tab/>
        <w:t>Recours excessif à la détention avant jugement</w:t>
      </w:r>
    </w:p>
    <w:p w:rsidR="009E1F21" w:rsidRPr="00ED1E3E" w:rsidRDefault="009E1F21" w:rsidP="009E1F21">
      <w:pPr>
        <w:pStyle w:val="SingleTxt"/>
        <w:keepNext/>
        <w:spacing w:after="0" w:line="120" w:lineRule="exact"/>
        <w:rPr>
          <w:sz w:val="10"/>
          <w:lang w:val="fr-CH"/>
        </w:rPr>
      </w:pPr>
    </w:p>
    <w:p w:rsidR="009E1F21" w:rsidRPr="00ED1E3E" w:rsidRDefault="009E1F21" w:rsidP="009E1F21">
      <w:pPr>
        <w:pStyle w:val="SingleTxt"/>
        <w:keepNext/>
        <w:spacing w:after="0" w:line="120" w:lineRule="exact"/>
        <w:rPr>
          <w:sz w:val="10"/>
          <w:lang w:val="fr-CH"/>
        </w:rPr>
      </w:pPr>
    </w:p>
    <w:p w:rsidR="009E1F21" w:rsidRPr="00ED1E3E" w:rsidRDefault="009E1F21" w:rsidP="009E1F21">
      <w:pPr>
        <w:pStyle w:val="SingleTxt"/>
        <w:numPr>
          <w:ilvl w:val="0"/>
          <w:numId w:val="15"/>
        </w:numPr>
        <w:tabs>
          <w:tab w:val="clear" w:pos="475"/>
          <w:tab w:val="num" w:pos="1742"/>
        </w:tabs>
        <w:ind w:left="1267"/>
        <w:rPr>
          <w:lang w:val="fr-CH"/>
        </w:rPr>
      </w:pPr>
      <w:r w:rsidRPr="00ED1E3E">
        <w:rPr>
          <w:lang w:val="fr-CH"/>
        </w:rPr>
        <w:t xml:space="preserve">Le Sous-Comité de la prévention de la torture a déclaré que le recours excessif à la détention avant jugement et la durée excessive des détentions étaient les principales </w:t>
      </w:r>
      <w:r w:rsidRPr="00ED1E3E">
        <w:rPr>
          <w:lang w:val="fr-CH"/>
        </w:rPr>
        <w:lastRenderedPageBreak/>
        <w:t>causes de la surpopulation carcérale</w:t>
      </w:r>
      <w:r w:rsidRPr="00ED1E3E">
        <w:rPr>
          <w:rStyle w:val="FootnoteReference"/>
          <w:lang w:val="fr-CH"/>
        </w:rPr>
        <w:footnoteReference w:id="151"/>
      </w:r>
      <w:r w:rsidRPr="00ED1E3E">
        <w:rPr>
          <w:lang w:val="fr-CH"/>
        </w:rPr>
        <w:t xml:space="preserve"> et qu’il était nécessaire de mettre un terme au recours excessif et abusif à ce type de détention à titre prioritaire</w:t>
      </w:r>
      <w:r w:rsidRPr="00ED1E3E">
        <w:rPr>
          <w:rStyle w:val="FootnoteReference"/>
          <w:lang w:val="fr-CH"/>
        </w:rPr>
        <w:footnoteReference w:id="152"/>
      </w:r>
      <w:r w:rsidRPr="00ED1E3E">
        <w:rPr>
          <w:lang w:val="fr-CH"/>
        </w:rPr>
        <w:t>. D’autres organismes internationaux</w:t>
      </w:r>
      <w:r w:rsidRPr="00ED1E3E">
        <w:rPr>
          <w:rStyle w:val="FootnoteReference"/>
          <w:lang w:val="fr-CH"/>
        </w:rPr>
        <w:footnoteReference w:id="153"/>
      </w:r>
      <w:r w:rsidRPr="00ED1E3E">
        <w:rPr>
          <w:lang w:val="fr-CH"/>
        </w:rPr>
        <w:t xml:space="preserve"> et régionaux</w:t>
      </w:r>
      <w:r w:rsidRPr="00ED1E3E">
        <w:rPr>
          <w:rStyle w:val="FootnoteReference"/>
          <w:lang w:val="fr-CH"/>
        </w:rPr>
        <w:footnoteReference w:id="154"/>
      </w:r>
      <w:r w:rsidRPr="00ED1E3E">
        <w:rPr>
          <w:lang w:val="fr-CH"/>
        </w:rPr>
        <w:t xml:space="preserve"> ont également fait état d’un recours excessif à la détention avant jugement, mesure qui devrait être uniquement utilisée en dernier recours et sous certaines conditions</w:t>
      </w:r>
      <w:r w:rsidRPr="00ED1E3E">
        <w:rPr>
          <w:rStyle w:val="FootnoteReference"/>
          <w:lang w:val="fr-CH"/>
        </w:rPr>
        <w:footnoteReference w:id="155"/>
      </w:r>
      <w:r w:rsidRPr="00ED1E3E">
        <w:rPr>
          <w:lang w:val="fr-CH"/>
        </w:rPr>
        <w:t>, mais qui, dans la pratique, est souvent appliquée, même dans les cas d’infractions mineures (vol d’un téléphone mobile</w:t>
      </w:r>
      <w:r w:rsidRPr="00ED1E3E">
        <w:rPr>
          <w:rStyle w:val="FootnoteReference"/>
          <w:lang w:val="fr-CH"/>
        </w:rPr>
        <w:footnoteReference w:id="156"/>
      </w:r>
      <w:r w:rsidRPr="00ED1E3E">
        <w:rPr>
          <w:lang w:val="fr-CH"/>
        </w:rPr>
        <w:t>, d’un stylo ou d’une poule)</w:t>
      </w:r>
      <w:r w:rsidRPr="00ED1E3E">
        <w:rPr>
          <w:rStyle w:val="FootnoteReference"/>
          <w:lang w:val="fr-CH"/>
        </w:rPr>
        <w:footnoteReference w:id="157"/>
      </w:r>
      <w:r w:rsidRPr="00ED1E3E">
        <w:rPr>
          <w:lang w:val="fr-CH"/>
        </w:rPr>
        <w:t>. Dans certains pays, les personnes placées en détention avant jugement représenteraient la majorité de la population carcérale</w:t>
      </w:r>
      <w:r w:rsidRPr="00ED1E3E">
        <w:rPr>
          <w:rStyle w:val="FootnoteReference"/>
          <w:lang w:val="fr-CH"/>
        </w:rPr>
        <w:footnoteReference w:id="158"/>
      </w:r>
      <w:r w:rsidRPr="00ED1E3E">
        <w:rPr>
          <w:lang w:val="fr-CH"/>
        </w:rPr>
        <w:t>, et plus de 90 % des détenus dans certains établissements</w:t>
      </w:r>
      <w:r w:rsidRPr="00ED1E3E">
        <w:rPr>
          <w:rStyle w:val="FootnoteReference"/>
          <w:lang w:val="fr-CH"/>
        </w:rPr>
        <w:footnoteReference w:id="159"/>
      </w:r>
      <w:r w:rsidRPr="00ED1E3E">
        <w:rPr>
          <w:lang w:val="fr-CH"/>
        </w:rPr>
        <w:t>.</w:t>
      </w:r>
    </w:p>
    <w:p w:rsidR="009E1F21" w:rsidRPr="00ED1E3E" w:rsidRDefault="009E1F21" w:rsidP="009E1F21">
      <w:pPr>
        <w:pStyle w:val="SingleTxt"/>
        <w:spacing w:after="0" w:line="120" w:lineRule="exact"/>
        <w:rPr>
          <w:b/>
          <w:sz w:val="10"/>
          <w:lang w:val="fr-CH"/>
        </w:rPr>
      </w:pPr>
    </w:p>
    <w:p w:rsidR="009E1F21" w:rsidRPr="00ED1E3E" w:rsidRDefault="009E1F21" w:rsidP="009E1F21">
      <w:pPr>
        <w:pStyle w:val="SingleTxt"/>
        <w:spacing w:after="0" w:line="120" w:lineRule="exact"/>
        <w:rPr>
          <w:b/>
          <w:sz w:val="10"/>
          <w:lang w:val="fr-CH"/>
        </w:rPr>
      </w:pPr>
    </w:p>
    <w:p w:rsidR="009E1F21" w:rsidRPr="00ED1E3E" w:rsidRDefault="009E1F21" w:rsidP="009E1F2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t>C.</w:t>
      </w:r>
      <w:r w:rsidRPr="00ED1E3E">
        <w:rPr>
          <w:lang w:val="fr-CH"/>
        </w:rPr>
        <w:tab/>
        <w:t>Absence de peines non privatives de liberté et/ou mauvaise administration de ces peines</w:t>
      </w:r>
    </w:p>
    <w:p w:rsidR="009E1F21" w:rsidRPr="00ED1E3E" w:rsidRDefault="009E1F21" w:rsidP="009E1F21">
      <w:pPr>
        <w:pStyle w:val="SingleTxt"/>
        <w:keepNext/>
        <w:spacing w:after="0" w:line="120" w:lineRule="exact"/>
        <w:rPr>
          <w:sz w:val="10"/>
          <w:lang w:val="fr-CH"/>
        </w:rPr>
      </w:pPr>
    </w:p>
    <w:p w:rsidR="009E1F21" w:rsidRPr="00ED1E3E" w:rsidRDefault="009E1F21" w:rsidP="009E1F21">
      <w:pPr>
        <w:pStyle w:val="SingleTxt"/>
        <w:keepNext/>
        <w:spacing w:after="0" w:line="120" w:lineRule="exact"/>
        <w:rPr>
          <w:sz w:val="10"/>
          <w:lang w:val="fr-CH"/>
        </w:rPr>
      </w:pPr>
    </w:p>
    <w:p w:rsidR="009E1F21" w:rsidRPr="00ED1E3E" w:rsidRDefault="009E1F21" w:rsidP="009E1F21">
      <w:pPr>
        <w:pStyle w:val="SingleTxt"/>
        <w:numPr>
          <w:ilvl w:val="0"/>
          <w:numId w:val="15"/>
        </w:numPr>
        <w:tabs>
          <w:tab w:val="clear" w:pos="475"/>
          <w:tab w:val="num" w:pos="1742"/>
        </w:tabs>
        <w:ind w:left="1267"/>
        <w:rPr>
          <w:lang w:val="fr-CH"/>
        </w:rPr>
      </w:pPr>
      <w:r w:rsidRPr="00ED1E3E">
        <w:rPr>
          <w:lang w:val="fr-CH"/>
        </w:rPr>
        <w:t>Selon le Rapporteur spécial sur les prisons et les conditions de détention en Afrique de la Commission africaine des droits de l’homme et des peuples, « l’augmentation de la population carcérale ne peut pas être uniquement attribuée à des taux de criminalité plus élevés. En bref, dans la plupart des juridictions, on est convaincu que la prison est préférable à toute autre mesure; ainsi, l’aspect punitif qui caractérise cette sanction demeure la pierre angulaire des systèmes correctionnels et pénitentiaires modernes. En dépit de l’efficacité et de l’efficience avérées des peines non privatives de liberté, des peines plus strictes, telles que des peines de prison plus longues, continuent d’être imposées »</w:t>
      </w:r>
      <w:r w:rsidRPr="00ED1E3E">
        <w:rPr>
          <w:rStyle w:val="FootnoteReference"/>
          <w:lang w:val="fr-CH"/>
        </w:rPr>
        <w:footnoteReference w:id="160"/>
      </w:r>
      <w:r w:rsidRPr="00ED1E3E">
        <w:rPr>
          <w:lang w:val="fr-CH"/>
        </w:rPr>
        <w:t>.</w:t>
      </w:r>
    </w:p>
    <w:p w:rsidR="009E1F21" w:rsidRPr="00ED1E3E" w:rsidRDefault="009E1F21" w:rsidP="009E1F21">
      <w:pPr>
        <w:pStyle w:val="SingleTxt"/>
        <w:numPr>
          <w:ilvl w:val="0"/>
          <w:numId w:val="15"/>
        </w:numPr>
        <w:tabs>
          <w:tab w:val="clear" w:pos="475"/>
          <w:tab w:val="num" w:pos="1742"/>
        </w:tabs>
        <w:ind w:left="1267"/>
        <w:rPr>
          <w:lang w:val="fr-CH"/>
        </w:rPr>
      </w:pPr>
      <w:r w:rsidRPr="00ED1E3E">
        <w:rPr>
          <w:lang w:val="fr-CH"/>
        </w:rPr>
        <w:t>Ce point de vue est partagé par d’autres organismes internationaux</w:t>
      </w:r>
      <w:r w:rsidRPr="00ED1E3E">
        <w:rPr>
          <w:rStyle w:val="FootnoteReference"/>
          <w:lang w:val="fr-CH"/>
        </w:rPr>
        <w:footnoteReference w:id="161"/>
      </w:r>
      <w:r w:rsidRPr="00ED1E3E">
        <w:rPr>
          <w:lang w:val="fr-CH"/>
        </w:rPr>
        <w:t xml:space="preserve"> et régionaux</w:t>
      </w:r>
      <w:r w:rsidRPr="00ED1E3E">
        <w:rPr>
          <w:rStyle w:val="FootnoteReference"/>
          <w:lang w:val="fr-CH"/>
        </w:rPr>
        <w:footnoteReference w:id="162"/>
      </w:r>
      <w:r w:rsidRPr="00ED1E3E">
        <w:rPr>
          <w:lang w:val="fr-CH"/>
        </w:rPr>
        <w:t>, qui appellent l’attention sur le fait que l’absence de solutions de substitution à la détention ou l’existence de lacunes dans leur application contribuent fortement à l’incarcération excessive et à la surpopulation carcérale. Les autres facteurs qui contribuent à ces deux phénomènes sont l’absence de libération sous caution, le dysfonctionnement du régime de libération sous caution ou les coûts excessivement élevés qui y sont liés</w:t>
      </w:r>
      <w:r w:rsidRPr="00ED1E3E">
        <w:rPr>
          <w:rStyle w:val="FootnoteReference"/>
          <w:lang w:val="fr-CH"/>
        </w:rPr>
        <w:footnoteReference w:id="163"/>
      </w:r>
      <w:r w:rsidRPr="00ED1E3E">
        <w:rPr>
          <w:lang w:val="fr-CH"/>
        </w:rPr>
        <w:t>; l’inefficacité du service de probation et le rare recours à la libération conditionnelle</w:t>
      </w:r>
      <w:r w:rsidRPr="00ED1E3E">
        <w:rPr>
          <w:rStyle w:val="FootnoteReference"/>
          <w:lang w:val="fr-CH"/>
        </w:rPr>
        <w:footnoteReference w:id="164"/>
      </w:r>
      <w:r w:rsidRPr="00ED1E3E">
        <w:rPr>
          <w:lang w:val="fr-CH"/>
        </w:rPr>
        <w:t xml:space="preserve">; l’absence d’un système de peines de substitution à la détention ou le fonctionnement médiocre d’un tel système, y compris </w:t>
      </w:r>
      <w:r w:rsidRPr="00ED1E3E">
        <w:rPr>
          <w:lang w:val="fr-CH"/>
        </w:rPr>
        <w:lastRenderedPageBreak/>
        <w:t>le service de travaux d’intérêt général</w:t>
      </w:r>
      <w:r w:rsidRPr="00ED1E3E">
        <w:rPr>
          <w:rStyle w:val="FootnoteReference"/>
          <w:lang w:val="fr-CH"/>
        </w:rPr>
        <w:footnoteReference w:id="165"/>
      </w:r>
      <w:r w:rsidRPr="00ED1E3E">
        <w:rPr>
          <w:lang w:val="fr-CH"/>
        </w:rPr>
        <w:t>, la surveillance électronique et l’assignation à résidence</w:t>
      </w:r>
      <w:r w:rsidRPr="00ED1E3E">
        <w:rPr>
          <w:rStyle w:val="FootnoteReference"/>
          <w:lang w:val="fr-CH"/>
        </w:rPr>
        <w:footnoteReference w:id="166"/>
      </w:r>
      <w:r w:rsidRPr="00ED1E3E">
        <w:rPr>
          <w:lang w:val="fr-CH"/>
        </w:rPr>
        <w:t>; la réticence des procureurs et des autorités judiciaires à recourir à des peines non privatives de liberté</w:t>
      </w:r>
      <w:r w:rsidRPr="00ED1E3E">
        <w:rPr>
          <w:rStyle w:val="FootnoteReference"/>
          <w:lang w:val="fr-CH"/>
        </w:rPr>
        <w:footnoteReference w:id="167"/>
      </w:r>
      <w:r w:rsidRPr="00ED1E3E">
        <w:rPr>
          <w:lang w:val="fr-CH"/>
        </w:rPr>
        <w:t>, ou le manque d’accès du corps judiciaire à ces solutions, en particulier dans les cas moins graves, et le fait que l’utilisation de ces solutions ne soit pas encouragée</w:t>
      </w:r>
      <w:r w:rsidRPr="00ED1E3E">
        <w:rPr>
          <w:rStyle w:val="FootnoteReference"/>
          <w:lang w:val="fr-CH"/>
        </w:rPr>
        <w:footnoteReference w:id="168"/>
      </w:r>
      <w:r w:rsidRPr="00ED1E3E">
        <w:rPr>
          <w:lang w:val="fr-CH"/>
        </w:rPr>
        <w:t>.</w:t>
      </w:r>
    </w:p>
    <w:p w:rsidR="009E1F21" w:rsidRPr="00ED1E3E" w:rsidRDefault="009E1F21" w:rsidP="009E1F21">
      <w:pPr>
        <w:pStyle w:val="SingleTxt"/>
        <w:spacing w:after="0" w:line="120" w:lineRule="exact"/>
        <w:rPr>
          <w:b/>
          <w:sz w:val="10"/>
          <w:lang w:val="fr-CH"/>
        </w:rPr>
      </w:pPr>
    </w:p>
    <w:p w:rsidR="009E1F21" w:rsidRPr="00ED1E3E" w:rsidRDefault="009E1F21" w:rsidP="009E1F21">
      <w:pPr>
        <w:pStyle w:val="SingleTxt"/>
        <w:spacing w:after="0" w:line="120" w:lineRule="exact"/>
        <w:rPr>
          <w:b/>
          <w:sz w:val="10"/>
          <w:lang w:val="fr-CH"/>
        </w:rPr>
      </w:pPr>
    </w:p>
    <w:p w:rsidR="009E1F21" w:rsidRPr="00ED1E3E" w:rsidRDefault="009E1F21" w:rsidP="009E1F2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t>D.</w:t>
      </w:r>
      <w:r w:rsidRPr="00ED1E3E">
        <w:rPr>
          <w:lang w:val="fr-CH"/>
        </w:rPr>
        <w:tab/>
        <w:t>Politiques en matière de peines</w:t>
      </w:r>
    </w:p>
    <w:p w:rsidR="009E1F21" w:rsidRPr="00ED1E3E" w:rsidRDefault="009E1F21" w:rsidP="009E1F21">
      <w:pPr>
        <w:pStyle w:val="SingleTxt"/>
        <w:spacing w:after="0" w:line="120" w:lineRule="exact"/>
        <w:rPr>
          <w:sz w:val="10"/>
          <w:lang w:val="fr-CH"/>
        </w:rPr>
      </w:pPr>
    </w:p>
    <w:p w:rsidR="009E1F21" w:rsidRPr="00ED1E3E" w:rsidRDefault="009E1F21" w:rsidP="009E1F21">
      <w:pPr>
        <w:pStyle w:val="SingleTxt"/>
        <w:spacing w:after="0" w:line="120" w:lineRule="exact"/>
        <w:rPr>
          <w:sz w:val="10"/>
          <w:lang w:val="fr-CH"/>
        </w:rPr>
      </w:pPr>
    </w:p>
    <w:p w:rsidR="009E1F21" w:rsidRPr="00ED1E3E" w:rsidRDefault="009E1F21" w:rsidP="009E1F21">
      <w:pPr>
        <w:pStyle w:val="SingleTxt"/>
        <w:numPr>
          <w:ilvl w:val="0"/>
          <w:numId w:val="15"/>
        </w:numPr>
        <w:tabs>
          <w:tab w:val="clear" w:pos="475"/>
          <w:tab w:val="num" w:pos="1742"/>
        </w:tabs>
        <w:ind w:left="1267"/>
        <w:rPr>
          <w:lang w:val="fr-CH"/>
        </w:rPr>
      </w:pPr>
      <w:r w:rsidRPr="00ED1E3E">
        <w:rPr>
          <w:lang w:val="fr-CH"/>
        </w:rPr>
        <w:t>Les politiques qu’un État met en place pour punir les infractions ont des conséquences directes sur le nombre de détenus et la durée de leur détention. Les « politiques de tolérance zéro » ont fait augmenter le nombre de sanctions pénales privatives de liberté et, associées à un taux de libération bas et au recours fréquent à la détention, elles ont entraîné la surpopulation carcérale</w:t>
      </w:r>
      <w:r w:rsidRPr="00ED1E3E">
        <w:rPr>
          <w:rStyle w:val="FootnoteReference"/>
          <w:lang w:val="fr-CH"/>
        </w:rPr>
        <w:footnoteReference w:id="169"/>
      </w:r>
      <w:r w:rsidRPr="00ED1E3E">
        <w:rPr>
          <w:lang w:val="fr-CH"/>
        </w:rPr>
        <w:t>.</w:t>
      </w:r>
    </w:p>
    <w:p w:rsidR="009E1F21" w:rsidRPr="00ED1E3E" w:rsidRDefault="009E1F21" w:rsidP="009E1F21">
      <w:pPr>
        <w:pStyle w:val="SingleTxt"/>
        <w:numPr>
          <w:ilvl w:val="0"/>
          <w:numId w:val="15"/>
        </w:numPr>
        <w:tabs>
          <w:tab w:val="clear" w:pos="475"/>
          <w:tab w:val="num" w:pos="1742"/>
        </w:tabs>
        <w:ind w:left="1267"/>
        <w:rPr>
          <w:lang w:val="fr-CH"/>
        </w:rPr>
      </w:pPr>
      <w:r w:rsidRPr="00ED1E3E">
        <w:rPr>
          <w:lang w:val="fr-CH"/>
        </w:rPr>
        <w:t>Comme cela a été indiqué par le Groupe de travail sur la détention arbitraire, « [d]e nombreux pays ont vu les mesures législatives visant à lutter contre la criminalité se succéder à un rythme croissant et commencent aujourd’hui à subir les effets conjugués des lois contre la récidive, de l’allongement généralisé des peines minimales associé à une réduction de la liberté d’appréciation des juges, et de l’internement préventif après condamnation »</w:t>
      </w:r>
      <w:r w:rsidRPr="00ED1E3E">
        <w:rPr>
          <w:rStyle w:val="FootnoteReference"/>
          <w:lang w:val="fr-CH"/>
        </w:rPr>
        <w:footnoteReference w:id="170"/>
      </w:r>
      <w:r w:rsidRPr="00ED1E3E">
        <w:rPr>
          <w:lang w:val="fr-CH"/>
        </w:rPr>
        <w:t>, ce qui entraîne un recours excessif à la détention et la surpopulation carcérale.</w:t>
      </w:r>
    </w:p>
    <w:p w:rsidR="009E1F21" w:rsidRPr="00ED1E3E" w:rsidRDefault="009E1F21" w:rsidP="009E1F21">
      <w:pPr>
        <w:pStyle w:val="SingleTxt"/>
        <w:numPr>
          <w:ilvl w:val="0"/>
          <w:numId w:val="15"/>
        </w:numPr>
        <w:tabs>
          <w:tab w:val="clear" w:pos="475"/>
          <w:tab w:val="num" w:pos="1742"/>
        </w:tabs>
        <w:ind w:left="1267"/>
        <w:rPr>
          <w:lang w:val="fr-CH"/>
        </w:rPr>
      </w:pPr>
      <w:r w:rsidRPr="00ED1E3E">
        <w:rPr>
          <w:lang w:val="fr-CH" w:bidi="fr-FR"/>
        </w:rPr>
        <w:t>Les phénomènes ci-après ont été signalés comme autant de facteurs qui contribuent à l’incarcération excessive et à la surpopulation carcérale : absence de déduction de la période de détention provisoire du reliquat de la peine à purger</w:t>
      </w:r>
      <w:r w:rsidRPr="00ED1E3E">
        <w:rPr>
          <w:rStyle w:val="FootnoteReference"/>
          <w:lang w:val="fr-CH"/>
        </w:rPr>
        <w:footnoteReference w:id="171"/>
      </w:r>
      <w:r w:rsidRPr="00ED1E3E">
        <w:rPr>
          <w:lang w:val="fr-CH" w:bidi="fr-FR"/>
        </w:rPr>
        <w:t>; application de peines obligatoires en particulier pour des infractions légères et non violentes</w:t>
      </w:r>
      <w:r w:rsidRPr="00ED1E3E">
        <w:rPr>
          <w:rStyle w:val="FootnoteReference"/>
          <w:lang w:val="fr-CH"/>
        </w:rPr>
        <w:footnoteReference w:id="172"/>
      </w:r>
      <w:r w:rsidRPr="00ED1E3E">
        <w:rPr>
          <w:lang w:val="fr-CH" w:bidi="fr-FR"/>
        </w:rPr>
        <w:t xml:space="preserve"> et de peines sévères pour des infractions liées à la drogue</w:t>
      </w:r>
      <w:r w:rsidRPr="00ED1E3E">
        <w:rPr>
          <w:rStyle w:val="FootnoteReference"/>
          <w:lang w:val="fr-CH"/>
        </w:rPr>
        <w:footnoteReference w:id="173"/>
      </w:r>
      <w:r w:rsidRPr="00ED1E3E">
        <w:rPr>
          <w:lang w:val="fr-CH" w:bidi="fr-FR"/>
        </w:rPr>
        <w:t>; imposition de peines de prison excessivement longues, notamment de la réclusion à perpétuité</w:t>
      </w:r>
      <w:r w:rsidRPr="00ED1E3E">
        <w:rPr>
          <w:rStyle w:val="FootnoteReference"/>
          <w:lang w:val="fr-CH"/>
        </w:rPr>
        <w:footnoteReference w:id="174"/>
      </w:r>
      <w:r w:rsidRPr="00ED1E3E">
        <w:rPr>
          <w:lang w:val="fr-CH" w:bidi="fr-FR"/>
        </w:rPr>
        <w:t>, contrairement au principe de proportionnalité</w:t>
      </w:r>
      <w:r w:rsidRPr="00ED1E3E">
        <w:rPr>
          <w:rStyle w:val="FootnoteReference"/>
          <w:lang w:val="fr-CH"/>
        </w:rPr>
        <w:footnoteReference w:id="175"/>
      </w:r>
      <w:r w:rsidRPr="00ED1E3E">
        <w:rPr>
          <w:lang w:val="fr-CH" w:bidi="fr-FR"/>
        </w:rPr>
        <w:t>; absence de directives préconisant des peines raisonnables qui permettraient de réduire la durée excessivement longue des peines</w:t>
      </w:r>
      <w:r w:rsidRPr="00ED1E3E">
        <w:rPr>
          <w:rStyle w:val="FootnoteReference"/>
          <w:lang w:val="fr-CH"/>
        </w:rPr>
        <w:footnoteReference w:id="176"/>
      </w:r>
      <w:r w:rsidRPr="00ED1E3E">
        <w:rPr>
          <w:lang w:val="fr-CH" w:bidi="fr-FR"/>
        </w:rPr>
        <w:t>; manque de liberté d’appréciation des juges les empêchant de prendre en considération les circonstances de chaque détenu et de l’affaire examinée</w:t>
      </w:r>
      <w:r w:rsidRPr="00ED1E3E">
        <w:rPr>
          <w:rStyle w:val="FootnoteReference"/>
          <w:lang w:val="fr-CH"/>
        </w:rPr>
        <w:footnoteReference w:id="177"/>
      </w:r>
      <w:r w:rsidRPr="00ED1E3E">
        <w:rPr>
          <w:lang w:val="fr-CH" w:bidi="fr-FR"/>
        </w:rPr>
        <w:t>; restriction importante des mesures de remise de peine</w:t>
      </w:r>
      <w:r w:rsidRPr="00ED1E3E">
        <w:rPr>
          <w:rStyle w:val="FootnoteReference"/>
          <w:lang w:val="fr-CH"/>
        </w:rPr>
        <w:footnoteReference w:id="178"/>
      </w:r>
      <w:r w:rsidRPr="00ED1E3E">
        <w:rPr>
          <w:lang w:val="fr-CH" w:bidi="fr-FR"/>
        </w:rPr>
        <w:t>; et ambiguïtés dans la législation donnant lieu à des détentions inutiles</w:t>
      </w:r>
      <w:r w:rsidRPr="00ED1E3E">
        <w:rPr>
          <w:rStyle w:val="FootnoteReference"/>
          <w:lang w:val="fr-CH"/>
        </w:rPr>
        <w:footnoteReference w:id="179"/>
      </w:r>
      <w:r w:rsidRPr="00ED1E3E">
        <w:rPr>
          <w:lang w:val="fr-CH" w:bidi="fr-FR"/>
        </w:rPr>
        <w:t>.</w:t>
      </w:r>
      <w:r w:rsidRPr="00ED1E3E">
        <w:rPr>
          <w:lang w:val="fr-CH"/>
        </w:rPr>
        <w:t xml:space="preserve"> </w:t>
      </w:r>
    </w:p>
    <w:p w:rsidR="0029166C" w:rsidRPr="00ED1E3E" w:rsidRDefault="0029166C" w:rsidP="0029166C">
      <w:pPr>
        <w:pStyle w:val="SingleTxt"/>
        <w:tabs>
          <w:tab w:val="clear" w:pos="1742"/>
        </w:tabs>
        <w:spacing w:after="0" w:line="120" w:lineRule="exact"/>
        <w:rPr>
          <w:sz w:val="10"/>
          <w:lang w:val="fr-CH"/>
        </w:rPr>
      </w:pPr>
    </w:p>
    <w:p w:rsidR="0029166C" w:rsidRPr="00ED1E3E" w:rsidRDefault="0029166C" w:rsidP="0029166C">
      <w:pPr>
        <w:pStyle w:val="SingleTxt"/>
        <w:tabs>
          <w:tab w:val="clear" w:pos="1742"/>
        </w:tabs>
        <w:spacing w:after="0" w:line="120" w:lineRule="exact"/>
        <w:rPr>
          <w:sz w:val="10"/>
          <w:lang w:val="fr-CH"/>
        </w:rPr>
      </w:pPr>
    </w:p>
    <w:p w:rsidR="005F5012" w:rsidRPr="00ED1E3E" w:rsidRDefault="005F5012" w:rsidP="005F501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lastRenderedPageBreak/>
        <w:tab/>
        <w:t>E.</w:t>
      </w:r>
      <w:r w:rsidRPr="00ED1E3E">
        <w:rPr>
          <w:lang w:val="fr-CH"/>
        </w:rPr>
        <w:tab/>
        <w:t>Manque de surveillance des lieux de détention</w:t>
      </w:r>
    </w:p>
    <w:p w:rsidR="005F5012" w:rsidRPr="00ED1E3E" w:rsidRDefault="005F5012" w:rsidP="005F5012">
      <w:pPr>
        <w:pStyle w:val="SingleTxt"/>
        <w:spacing w:after="0" w:line="120" w:lineRule="exact"/>
        <w:rPr>
          <w:sz w:val="10"/>
          <w:lang w:val="fr-CH"/>
        </w:rPr>
      </w:pPr>
    </w:p>
    <w:p w:rsidR="005F5012" w:rsidRPr="00ED1E3E" w:rsidRDefault="005F5012" w:rsidP="005F5012">
      <w:pPr>
        <w:pStyle w:val="SingleTxt"/>
        <w:spacing w:after="0" w:line="120" w:lineRule="exact"/>
        <w:rPr>
          <w:sz w:val="10"/>
          <w:lang w:val="fr-CH"/>
        </w:rPr>
      </w:pPr>
    </w:p>
    <w:p w:rsidR="005F5012" w:rsidRPr="00ED1E3E" w:rsidRDefault="005F5012" w:rsidP="00E56BFF">
      <w:pPr>
        <w:pStyle w:val="SingleTxt"/>
        <w:numPr>
          <w:ilvl w:val="0"/>
          <w:numId w:val="15"/>
        </w:numPr>
        <w:tabs>
          <w:tab w:val="clear" w:pos="475"/>
          <w:tab w:val="num" w:pos="1742"/>
        </w:tabs>
        <w:ind w:left="1267"/>
        <w:rPr>
          <w:lang w:val="fr-CH"/>
        </w:rPr>
      </w:pPr>
      <w:r w:rsidRPr="00ED1E3E">
        <w:rPr>
          <w:lang w:val="fr-CH"/>
        </w:rPr>
        <w:t>Le manque de surveillance des lieux de détention concourt aussi à l’incarcération excessive et à la surpopulation carcérale. Des rapports indiquent que les registres des lieux de détention sont si mal tenus que les autorités ignorent en tout temps le nombre exact de personnes incarcérées et leur statut pénal</w:t>
      </w:r>
      <w:r w:rsidRPr="00ED1E3E">
        <w:rPr>
          <w:rStyle w:val="FootnoteReference"/>
          <w:lang w:val="fr-CH"/>
        </w:rPr>
        <w:footnoteReference w:id="180"/>
      </w:r>
      <w:r w:rsidRPr="00ED1E3E">
        <w:rPr>
          <w:lang w:val="fr-CH"/>
        </w:rPr>
        <w:t>, et ne sont pas au fait de leurs conditions de vie. Dans certains cas, les lits sont si proches les uns des autres qu’à pleine capacité ou même en situation de sous-capacité, les conditions de vie seraient encore extrêmement précaires</w:t>
      </w:r>
      <w:r w:rsidRPr="00ED1E3E">
        <w:rPr>
          <w:rStyle w:val="FootnoteReference"/>
          <w:lang w:val="fr-CH"/>
        </w:rPr>
        <w:footnoteReference w:id="181"/>
      </w:r>
      <w:r w:rsidRPr="00ED1E3E">
        <w:rPr>
          <w:lang w:val="fr-CH"/>
        </w:rPr>
        <w:t>. Parce qu’ils visitent rarement, voire jamais, les lieux de détention, les procureurs et/ou les membres de l’appareil judiciaire</w:t>
      </w:r>
      <w:r w:rsidRPr="00ED1E3E">
        <w:rPr>
          <w:rStyle w:val="FootnoteReference"/>
          <w:lang w:val="fr-CH"/>
        </w:rPr>
        <w:footnoteReference w:id="182"/>
      </w:r>
      <w:r w:rsidRPr="00ED1E3E">
        <w:rPr>
          <w:lang w:val="fr-CH"/>
        </w:rPr>
        <w:t xml:space="preserve"> ont une méconnaissance des niveaux de surpeuplement et des conséquences de l’incarcération excessive. Ils sont, par conséquent, incapables de prendre ce facteur en considération lorsqu’ils prennent des décisions tenant à la mise en détention, à la condamnation ou à la libération d’un individu.</w:t>
      </w:r>
    </w:p>
    <w:p w:rsidR="005F5012" w:rsidRPr="00ED1E3E" w:rsidRDefault="005F5012" w:rsidP="005F5012">
      <w:pPr>
        <w:pStyle w:val="SingleTxt"/>
        <w:spacing w:after="0" w:line="120" w:lineRule="exact"/>
        <w:rPr>
          <w:sz w:val="10"/>
          <w:lang w:val="fr-CH"/>
        </w:rPr>
      </w:pPr>
    </w:p>
    <w:p w:rsidR="005F5012" w:rsidRPr="00ED1E3E" w:rsidRDefault="005F5012" w:rsidP="005F5012">
      <w:pPr>
        <w:pStyle w:val="SingleTxt"/>
        <w:spacing w:after="0" w:line="120" w:lineRule="exact"/>
        <w:rPr>
          <w:sz w:val="10"/>
          <w:lang w:val="fr-CH"/>
        </w:rPr>
      </w:pPr>
    </w:p>
    <w:p w:rsidR="005F5012" w:rsidRPr="00ED1E3E" w:rsidRDefault="005F5012" w:rsidP="00A03A5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t>IV.</w:t>
      </w:r>
      <w:r w:rsidRPr="00ED1E3E">
        <w:rPr>
          <w:lang w:val="fr-CH"/>
        </w:rPr>
        <w:tab/>
        <w:t>Remédier à l’incarcération excessive et à la surpopulation carcérale, et à leurs incidences sur les droits de l’homme</w:t>
      </w:r>
    </w:p>
    <w:p w:rsidR="005F5012" w:rsidRPr="00ED1E3E" w:rsidRDefault="005F5012" w:rsidP="005F5012">
      <w:pPr>
        <w:pStyle w:val="SingleTxt"/>
        <w:spacing w:after="0" w:line="120" w:lineRule="exact"/>
        <w:rPr>
          <w:b/>
          <w:sz w:val="10"/>
          <w:lang w:val="fr-CH"/>
        </w:rPr>
      </w:pPr>
    </w:p>
    <w:p w:rsidR="005F5012" w:rsidRPr="00ED1E3E" w:rsidRDefault="005F5012" w:rsidP="005F5012">
      <w:pPr>
        <w:pStyle w:val="SingleTxt"/>
        <w:spacing w:after="0" w:line="120" w:lineRule="exact"/>
        <w:rPr>
          <w:b/>
          <w:sz w:val="10"/>
          <w:lang w:val="fr-CH"/>
        </w:rPr>
      </w:pPr>
    </w:p>
    <w:p w:rsidR="005F5012" w:rsidRPr="00ED1E3E" w:rsidRDefault="005F5012" w:rsidP="005F501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t>A.</w:t>
      </w:r>
      <w:r w:rsidRPr="00ED1E3E">
        <w:rPr>
          <w:lang w:val="fr-CH"/>
        </w:rPr>
        <w:tab/>
        <w:t>La nécessité d’une approche proactive et globale</w:t>
      </w:r>
    </w:p>
    <w:p w:rsidR="005F5012" w:rsidRPr="00ED1E3E" w:rsidRDefault="005F5012" w:rsidP="005F5012">
      <w:pPr>
        <w:pStyle w:val="SingleTxt"/>
        <w:spacing w:after="0" w:line="120" w:lineRule="exact"/>
        <w:rPr>
          <w:b/>
          <w:sz w:val="10"/>
          <w:lang w:val="fr-CH"/>
        </w:rPr>
      </w:pPr>
    </w:p>
    <w:p w:rsidR="005F5012" w:rsidRPr="00ED1E3E" w:rsidRDefault="005F5012" w:rsidP="005F5012">
      <w:pPr>
        <w:pStyle w:val="SingleTxt"/>
        <w:spacing w:after="0" w:line="120" w:lineRule="exact"/>
        <w:rPr>
          <w:b/>
          <w:sz w:val="10"/>
          <w:lang w:val="fr-CH"/>
        </w:rPr>
      </w:pPr>
    </w:p>
    <w:p w:rsidR="005F5012" w:rsidRPr="00ED1E3E" w:rsidRDefault="005F5012" w:rsidP="00E56BFF">
      <w:pPr>
        <w:pStyle w:val="SingleTxt"/>
        <w:numPr>
          <w:ilvl w:val="0"/>
          <w:numId w:val="15"/>
        </w:numPr>
        <w:tabs>
          <w:tab w:val="clear" w:pos="475"/>
          <w:tab w:val="num" w:pos="1742"/>
        </w:tabs>
        <w:ind w:left="1267"/>
        <w:rPr>
          <w:lang w:val="fr-CH"/>
        </w:rPr>
      </w:pPr>
      <w:r w:rsidRPr="00ED1E3E">
        <w:rPr>
          <w:lang w:val="fr-CH"/>
        </w:rPr>
        <w:t>On ne peut résoudre du jour au lendemain les problèmes de l’incarcération excessive et de la surpopulation carcérale, d’une complexité telle qu’ils requièrent tout un éventail de mesures législatives, administratives, politiques et économiques, y compris une politique globale assortie d’un plan de mise en œuvre. C’est aussi le point de vue d’institutions nationales</w:t>
      </w:r>
      <w:r w:rsidRPr="00ED1E3E">
        <w:rPr>
          <w:rStyle w:val="FootnoteReference"/>
          <w:lang w:val="fr-CH"/>
        </w:rPr>
        <w:footnoteReference w:id="183"/>
      </w:r>
      <w:r w:rsidRPr="00ED1E3E">
        <w:rPr>
          <w:lang w:val="fr-CH"/>
        </w:rPr>
        <w:t>, de mécanismes régionaux</w:t>
      </w:r>
      <w:r w:rsidRPr="00ED1E3E">
        <w:rPr>
          <w:rStyle w:val="FootnoteReference"/>
          <w:lang w:val="fr-CH"/>
        </w:rPr>
        <w:footnoteReference w:id="184"/>
      </w:r>
      <w:r w:rsidRPr="00ED1E3E">
        <w:rPr>
          <w:lang w:val="fr-CH"/>
        </w:rPr>
        <w:t xml:space="preserve"> et d’organisations internationales</w:t>
      </w:r>
      <w:r w:rsidRPr="00ED1E3E">
        <w:rPr>
          <w:rStyle w:val="FootnoteReference"/>
          <w:lang w:val="fr-CH"/>
        </w:rPr>
        <w:footnoteReference w:id="185"/>
      </w:r>
      <w:r w:rsidRPr="00ED1E3E">
        <w:rPr>
          <w:lang w:val="fr-CH"/>
        </w:rPr>
        <w:t>. Des organisations aussi bien régionales qu’internationales ont souligné que, même si des mesures telles que la construction de nouveaux centres de détention et la rénovation des établissements existants pouvaient permettre d’atténuer ponctuellement et à court terme le problème de la surpopulation carcérale, celles-ci ne permettaient pas de régler efficacement et durablement le problème</w:t>
      </w:r>
      <w:r w:rsidRPr="00ED1E3E">
        <w:rPr>
          <w:rStyle w:val="FootnoteReference"/>
          <w:lang w:val="fr-CH"/>
        </w:rPr>
        <w:footnoteReference w:id="186"/>
      </w:r>
      <w:r w:rsidRPr="00ED1E3E">
        <w:rPr>
          <w:lang w:val="fr-CH"/>
        </w:rPr>
        <w:t>.</w:t>
      </w:r>
    </w:p>
    <w:p w:rsidR="005F5012" w:rsidRPr="00ED1E3E" w:rsidRDefault="005F5012" w:rsidP="00E56BFF">
      <w:pPr>
        <w:pStyle w:val="SingleTxt"/>
        <w:numPr>
          <w:ilvl w:val="0"/>
          <w:numId w:val="15"/>
        </w:numPr>
        <w:tabs>
          <w:tab w:val="clear" w:pos="475"/>
          <w:tab w:val="num" w:pos="1742"/>
        </w:tabs>
        <w:ind w:left="1267"/>
        <w:rPr>
          <w:lang w:val="fr-CH"/>
        </w:rPr>
      </w:pPr>
      <w:r w:rsidRPr="00ED1E3E">
        <w:rPr>
          <w:lang w:val="fr-CH"/>
        </w:rPr>
        <w:t>Le Comité européen pour la prévention de la torture a indiqué que l’adoption de politiques destinées à limiter ou restreindre le nombre de personnes placées en détention est le seul moyen viable de maîtriser la surpopulation carcérale</w:t>
      </w:r>
      <w:r w:rsidRPr="00ED1E3E">
        <w:rPr>
          <w:rStyle w:val="FootnoteReference"/>
          <w:lang w:val="fr-CH"/>
        </w:rPr>
        <w:footnoteReference w:id="187"/>
      </w:r>
      <w:r w:rsidRPr="00ED1E3E">
        <w:rPr>
          <w:lang w:val="fr-CH"/>
        </w:rPr>
        <w:t>. Le Comité préconise à cette fin de suivre une approche plus concertée, globale et proactive, reposant sur des discussions élargies associant toutes les parties concernées, y compris les parlementaires, les procureurs, les juges et les représentants des organes de surveillance</w:t>
      </w:r>
      <w:r w:rsidRPr="00ED1E3E">
        <w:rPr>
          <w:rStyle w:val="FootnoteReference"/>
          <w:lang w:val="fr-CH"/>
        </w:rPr>
        <w:footnoteReference w:id="188"/>
      </w:r>
      <w:r w:rsidRPr="00ED1E3E">
        <w:rPr>
          <w:lang w:val="fr-CH"/>
        </w:rPr>
        <w:t>.</w:t>
      </w:r>
    </w:p>
    <w:p w:rsidR="005F5012" w:rsidRPr="00ED1E3E" w:rsidRDefault="005F5012" w:rsidP="005F5012">
      <w:pPr>
        <w:pStyle w:val="SingleTxt"/>
        <w:tabs>
          <w:tab w:val="clear" w:pos="1742"/>
        </w:tabs>
        <w:spacing w:after="0" w:line="120" w:lineRule="exact"/>
        <w:rPr>
          <w:sz w:val="10"/>
          <w:lang w:val="fr-CH"/>
        </w:rPr>
      </w:pPr>
    </w:p>
    <w:p w:rsidR="005F5012" w:rsidRPr="00ED1E3E" w:rsidRDefault="005F5012" w:rsidP="005F5012">
      <w:pPr>
        <w:pStyle w:val="SingleTxt"/>
        <w:tabs>
          <w:tab w:val="clear" w:pos="1742"/>
        </w:tabs>
        <w:spacing w:after="0" w:line="120" w:lineRule="exact"/>
        <w:rPr>
          <w:sz w:val="10"/>
          <w:lang w:val="fr-CH"/>
        </w:rPr>
      </w:pPr>
    </w:p>
    <w:p w:rsidR="005F5012" w:rsidRPr="00ED1E3E" w:rsidRDefault="005F5012" w:rsidP="005F501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lastRenderedPageBreak/>
        <w:tab/>
        <w:t>B.</w:t>
      </w:r>
      <w:r w:rsidRPr="00ED1E3E">
        <w:rPr>
          <w:lang w:val="fr-CH"/>
        </w:rPr>
        <w:tab/>
        <w:t xml:space="preserve">Droit de contester la détention, droit à l’assistance </w:t>
      </w:r>
      <w:r w:rsidRPr="00ED1E3E">
        <w:rPr>
          <w:lang w:val="fr-CH"/>
        </w:rPr>
        <w:br/>
        <w:t>d’un avocat et accès à l’aide juridictionnelle</w:t>
      </w:r>
    </w:p>
    <w:p w:rsidR="005F5012" w:rsidRPr="00ED1E3E" w:rsidRDefault="005F5012" w:rsidP="005F5012">
      <w:pPr>
        <w:pStyle w:val="SingleTxt"/>
        <w:spacing w:after="0" w:line="120" w:lineRule="exact"/>
        <w:rPr>
          <w:b/>
          <w:sz w:val="10"/>
          <w:lang w:val="fr-CH"/>
        </w:rPr>
      </w:pPr>
    </w:p>
    <w:p w:rsidR="005F5012" w:rsidRPr="00ED1E3E" w:rsidRDefault="005F5012" w:rsidP="005F5012">
      <w:pPr>
        <w:pStyle w:val="SingleTxt"/>
        <w:spacing w:after="0" w:line="120" w:lineRule="exact"/>
        <w:rPr>
          <w:b/>
          <w:sz w:val="10"/>
          <w:lang w:val="fr-CH"/>
        </w:rPr>
      </w:pPr>
    </w:p>
    <w:p w:rsidR="005F5012" w:rsidRPr="00ED1E3E" w:rsidRDefault="005F5012" w:rsidP="00E56BFF">
      <w:pPr>
        <w:pStyle w:val="SingleTxt"/>
        <w:numPr>
          <w:ilvl w:val="0"/>
          <w:numId w:val="15"/>
        </w:numPr>
        <w:tabs>
          <w:tab w:val="clear" w:pos="475"/>
          <w:tab w:val="num" w:pos="1742"/>
        </w:tabs>
        <w:ind w:left="1267"/>
        <w:rPr>
          <w:lang w:val="fr-CH"/>
        </w:rPr>
      </w:pPr>
      <w:r w:rsidRPr="00ED1E3E">
        <w:rPr>
          <w:lang w:val="fr-CH"/>
        </w:rPr>
        <w:t>Dans son projet de Principes de base et lignes directrices sur les voies et procédures permettant aux personnes privées de liberté d’introduire un recours devant un tribunal, le Groupe de travail sur la détention arbitraire a indiqué que le droit de contester la légalité de sa détention devant un tribunal est une voie de recours destinée à protéger la liberté individuelle ou l’intégrité physique et est un droit de l’homme non susceptible de dérogation</w:t>
      </w:r>
      <w:r w:rsidRPr="00ED1E3E">
        <w:rPr>
          <w:rStyle w:val="FootnoteReference"/>
          <w:lang w:val="fr-CH"/>
        </w:rPr>
        <w:footnoteReference w:id="189"/>
      </w:r>
      <w:r w:rsidRPr="00ED1E3E">
        <w:rPr>
          <w:lang w:val="fr-CH"/>
        </w:rPr>
        <w:t xml:space="preserve">. </w:t>
      </w:r>
    </w:p>
    <w:p w:rsidR="005F5012" w:rsidRPr="00ED1E3E" w:rsidRDefault="005F5012" w:rsidP="00E56BFF">
      <w:pPr>
        <w:pStyle w:val="SingleTxt"/>
        <w:numPr>
          <w:ilvl w:val="0"/>
          <w:numId w:val="15"/>
        </w:numPr>
        <w:tabs>
          <w:tab w:val="clear" w:pos="475"/>
          <w:tab w:val="num" w:pos="1742"/>
        </w:tabs>
        <w:ind w:left="1267"/>
        <w:rPr>
          <w:lang w:val="fr-CH"/>
        </w:rPr>
      </w:pPr>
      <w:r w:rsidRPr="00ED1E3E">
        <w:rPr>
          <w:lang w:val="fr-CH"/>
        </w:rPr>
        <w:t>Le droit de contester la détention est un instrument important dans la lutte contre le problème de la surpopulation carcérale, eu égard aux informations concernant les personnes détenues illégalement, ou lorsque la limite de la détention avant jugement n’est pas respectée voire lorsque les détenus ne sont pas rapidement libérés une fois leur peine exécutée</w:t>
      </w:r>
      <w:r w:rsidRPr="00ED1E3E">
        <w:rPr>
          <w:rStyle w:val="FootnoteReference"/>
          <w:lang w:val="fr-CH"/>
        </w:rPr>
        <w:footnoteReference w:id="190"/>
      </w:r>
      <w:r w:rsidRPr="00ED1E3E">
        <w:rPr>
          <w:lang w:val="fr-CH"/>
        </w:rPr>
        <w:t>. Pour que ce droit soit effectif, il faut que chaque détenu puisse engager une procédure en comparution personnelle devant un tribunal indépendant, sans avoir à attendre trop longtemps</w:t>
      </w:r>
      <w:r w:rsidRPr="00ED1E3E">
        <w:rPr>
          <w:rStyle w:val="FootnoteReference"/>
          <w:lang w:val="fr-CH"/>
        </w:rPr>
        <w:footnoteReference w:id="191"/>
      </w:r>
      <w:r w:rsidRPr="00ED1E3E">
        <w:rPr>
          <w:lang w:val="fr-CH"/>
        </w:rPr>
        <w:t>. En outre, il incombe aux services ayant autorité en matière de détention d’établir le fondement juridique et le caractère raisonnable, nécessaire et proportionné de la détention</w:t>
      </w:r>
      <w:r w:rsidRPr="00ED1E3E">
        <w:rPr>
          <w:rStyle w:val="FootnoteReference"/>
          <w:lang w:val="fr-CH"/>
        </w:rPr>
        <w:footnoteReference w:id="192"/>
      </w:r>
      <w:r w:rsidRPr="00ED1E3E">
        <w:rPr>
          <w:lang w:val="fr-CH"/>
        </w:rPr>
        <w:t>.</w:t>
      </w:r>
    </w:p>
    <w:p w:rsidR="005F5012" w:rsidRPr="00ED1E3E" w:rsidRDefault="005F5012" w:rsidP="00E56BFF">
      <w:pPr>
        <w:pStyle w:val="SingleTxt"/>
        <w:numPr>
          <w:ilvl w:val="0"/>
          <w:numId w:val="15"/>
        </w:numPr>
        <w:tabs>
          <w:tab w:val="clear" w:pos="475"/>
          <w:tab w:val="num" w:pos="1742"/>
        </w:tabs>
        <w:ind w:left="1267"/>
        <w:rPr>
          <w:lang w:val="fr-CH"/>
        </w:rPr>
      </w:pPr>
      <w:r w:rsidRPr="00ED1E3E">
        <w:rPr>
          <w:lang w:val="fr-CH"/>
        </w:rPr>
        <w:t>Le projet de Principes de base et lignes directrices sur les voies et procédures permettant aux personnes privées de liberté d’introduire un recours devant un tribunal prévoit en outre que ces personnes ont le droit d’être assistées par le conseil de leur choix, à tout moment pendant la détention, et ont accès à l’aide judiciaire</w:t>
      </w:r>
      <w:r w:rsidRPr="00ED1E3E">
        <w:rPr>
          <w:rStyle w:val="FootnoteReference"/>
          <w:lang w:val="fr-CH"/>
        </w:rPr>
        <w:footnoteReference w:id="193"/>
      </w:r>
      <w:r w:rsidRPr="00ED1E3E">
        <w:rPr>
          <w:lang w:val="fr-CH"/>
        </w:rPr>
        <w:t>. Bien que les avocats soient les premiers prestataires de l’aide judiciaire, les Principes et lignes directrices des Nations Unies sur l’accès à l’assistance juridique dans le système de justice pénale préconisent aussi parallèlement que les États fassent intervenir un grand nombre d’acteurs en tant que prestataires de services d’assistance juridique, dont des organisations non gouvernementales, des organisations locales, des organisations caritatives religieuses et non religieuses, des associations et organismes professionnels, des universités et des auxiliaires de justice</w:t>
      </w:r>
      <w:r w:rsidRPr="00ED1E3E">
        <w:rPr>
          <w:rStyle w:val="FootnoteReference"/>
          <w:lang w:val="fr-CH"/>
        </w:rPr>
        <w:footnoteReference w:id="194"/>
      </w:r>
      <w:r w:rsidRPr="00ED1E3E">
        <w:rPr>
          <w:lang w:val="fr-CH"/>
        </w:rPr>
        <w:t xml:space="preserve">. </w:t>
      </w:r>
    </w:p>
    <w:p w:rsidR="005F5012" w:rsidRPr="00ED1E3E" w:rsidRDefault="005F5012" w:rsidP="005F5012">
      <w:pPr>
        <w:pStyle w:val="SingleTxt"/>
        <w:spacing w:after="0" w:line="120" w:lineRule="exact"/>
        <w:rPr>
          <w:sz w:val="10"/>
          <w:lang w:val="fr-CH"/>
        </w:rPr>
      </w:pPr>
    </w:p>
    <w:p w:rsidR="005F5012" w:rsidRPr="00ED1E3E" w:rsidRDefault="005F5012" w:rsidP="005F5012">
      <w:pPr>
        <w:pStyle w:val="SingleTxt"/>
        <w:spacing w:after="0" w:line="120" w:lineRule="exact"/>
        <w:rPr>
          <w:sz w:val="10"/>
          <w:lang w:val="fr-CH"/>
        </w:rPr>
      </w:pPr>
    </w:p>
    <w:p w:rsidR="005F5012" w:rsidRPr="00ED1E3E" w:rsidRDefault="005F5012" w:rsidP="005F501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t>C.</w:t>
      </w:r>
      <w:r w:rsidRPr="00ED1E3E">
        <w:rPr>
          <w:lang w:val="fr-CH"/>
        </w:rPr>
        <w:tab/>
        <w:t>Utilisation adéquate des lieux de détention</w:t>
      </w:r>
    </w:p>
    <w:p w:rsidR="005F5012" w:rsidRPr="00ED1E3E" w:rsidRDefault="005F5012" w:rsidP="005F5012">
      <w:pPr>
        <w:pStyle w:val="SingleTxt"/>
        <w:spacing w:after="0" w:line="120" w:lineRule="exact"/>
        <w:rPr>
          <w:b/>
          <w:sz w:val="10"/>
          <w:lang w:val="fr-CH"/>
        </w:rPr>
      </w:pPr>
    </w:p>
    <w:p w:rsidR="005F5012" w:rsidRPr="00ED1E3E" w:rsidRDefault="005F5012" w:rsidP="005F5012">
      <w:pPr>
        <w:pStyle w:val="SingleTxt"/>
        <w:spacing w:after="0" w:line="120" w:lineRule="exact"/>
        <w:rPr>
          <w:b/>
          <w:sz w:val="10"/>
          <w:lang w:val="fr-CH"/>
        </w:rPr>
      </w:pPr>
    </w:p>
    <w:p w:rsidR="005F5012" w:rsidRPr="00ED1E3E" w:rsidRDefault="005F5012" w:rsidP="00E56BFF">
      <w:pPr>
        <w:pStyle w:val="SingleTxt"/>
        <w:numPr>
          <w:ilvl w:val="0"/>
          <w:numId w:val="15"/>
        </w:numPr>
        <w:tabs>
          <w:tab w:val="clear" w:pos="475"/>
          <w:tab w:val="num" w:pos="1742"/>
        </w:tabs>
        <w:ind w:left="1267"/>
        <w:rPr>
          <w:lang w:val="fr-CH"/>
        </w:rPr>
      </w:pPr>
      <w:r w:rsidRPr="00ED1E3E">
        <w:rPr>
          <w:lang w:val="fr-CH"/>
        </w:rPr>
        <w:t>La destination spécifique des lieux de détention, y compris les établissements pénitentiaires et les postes de police, édifiés ou mis en place doit être prise en compte lorsqu’il s’agit de placer quelqu’un en détention</w:t>
      </w:r>
      <w:r w:rsidRPr="00ED1E3E">
        <w:rPr>
          <w:rStyle w:val="FootnoteReference"/>
          <w:lang w:val="fr-CH"/>
        </w:rPr>
        <w:footnoteReference w:id="195"/>
      </w:r>
      <w:r w:rsidRPr="00ED1E3E">
        <w:rPr>
          <w:lang w:val="fr-CH"/>
        </w:rPr>
        <w:t>. Les locaux tels que ceux des commissariats de police ne doivent être utilisés que pour une détention de courte durée puisqu’ils ne sont pas adaptés à une détention prolongée et sont dépourvus de l’espace, des services d’assainissement et des autres installations nécessaires pour garantir des conditions de détention adéquates</w:t>
      </w:r>
      <w:r w:rsidRPr="00ED1E3E">
        <w:rPr>
          <w:rStyle w:val="FootnoteReference"/>
          <w:lang w:val="fr-CH"/>
        </w:rPr>
        <w:footnoteReference w:id="196"/>
      </w:r>
      <w:r w:rsidRPr="00ED1E3E">
        <w:rPr>
          <w:lang w:val="fr-CH"/>
        </w:rPr>
        <w:t xml:space="preserve">. La capacité d’accueil des lieux de </w:t>
      </w:r>
      <w:r w:rsidRPr="00ED1E3E">
        <w:rPr>
          <w:lang w:val="fr-CH"/>
        </w:rPr>
        <w:lastRenderedPageBreak/>
        <w:t>détention doit être évaluée de façon réaliste et en tenant compte de l’espace raisonnable alloué à chaque détenu</w:t>
      </w:r>
      <w:r w:rsidRPr="00ED1E3E">
        <w:rPr>
          <w:rStyle w:val="FootnoteReference"/>
          <w:lang w:val="fr-CH"/>
        </w:rPr>
        <w:footnoteReference w:id="197"/>
      </w:r>
      <w:r w:rsidRPr="00ED1E3E">
        <w:rPr>
          <w:lang w:val="fr-CH"/>
        </w:rPr>
        <w:t>. Un système de registre effectif, qui permet de suivre la durée de détention des prévenus et des condamnés, est essentiel pour que les établissements puissent gérer leurs capacités</w:t>
      </w:r>
      <w:r w:rsidRPr="00ED1E3E">
        <w:rPr>
          <w:rStyle w:val="FootnoteReference"/>
          <w:lang w:val="fr-CH"/>
        </w:rPr>
        <w:footnoteReference w:id="198"/>
      </w:r>
      <w:r w:rsidRPr="00ED1E3E">
        <w:rPr>
          <w:lang w:val="fr-CH"/>
        </w:rPr>
        <w:t>. Enfin, tous les centres de détention doivent disposer du personnel voulu pour assurer la bonne administration du lieu dans le dû respect des droits de l’homme des détenus.</w:t>
      </w:r>
    </w:p>
    <w:p w:rsidR="005F5012" w:rsidRPr="00ED1E3E" w:rsidRDefault="005F5012" w:rsidP="00E56BFF">
      <w:pPr>
        <w:pStyle w:val="SingleTxt"/>
        <w:numPr>
          <w:ilvl w:val="0"/>
          <w:numId w:val="15"/>
        </w:numPr>
        <w:tabs>
          <w:tab w:val="clear" w:pos="475"/>
          <w:tab w:val="num" w:pos="1742"/>
        </w:tabs>
        <w:ind w:left="1267"/>
        <w:rPr>
          <w:lang w:val="fr-CH"/>
        </w:rPr>
      </w:pPr>
      <w:r w:rsidRPr="00ED1E3E">
        <w:rPr>
          <w:lang w:val="fr-CH"/>
        </w:rPr>
        <w:t>De même, les personnes détenues dans des lieux inadaptés à leurs besoins spécifiques, telles que les enfants, les femmes, les personnes âgées, les personnes handicapées et les malades mentaux, ressentent plus fortement les incidences négatives de la surpopulation</w:t>
      </w:r>
      <w:r w:rsidRPr="00ED1E3E">
        <w:rPr>
          <w:rStyle w:val="FootnoteReference"/>
          <w:lang w:val="fr-CH"/>
        </w:rPr>
        <w:footnoteReference w:id="199"/>
      </w:r>
      <w:r w:rsidRPr="00ED1E3E">
        <w:rPr>
          <w:lang w:val="fr-CH"/>
        </w:rPr>
        <w:t>. En outre, les prévenus ou les condamnés ne devraient plus être détenus dans les commissariats, contrairement à la pratique adoptée dans certains États face au surpeuplement de nombreux établissements pénitentiaires</w:t>
      </w:r>
      <w:r w:rsidRPr="00ED1E3E">
        <w:rPr>
          <w:rStyle w:val="FootnoteReference"/>
          <w:lang w:val="fr-CH"/>
        </w:rPr>
        <w:footnoteReference w:id="200"/>
      </w:r>
      <w:r w:rsidRPr="00ED1E3E">
        <w:rPr>
          <w:lang w:val="fr-CH"/>
        </w:rPr>
        <w:t>.</w:t>
      </w:r>
    </w:p>
    <w:p w:rsidR="005F5012" w:rsidRPr="00ED1E3E" w:rsidRDefault="005F5012" w:rsidP="00E56BFF">
      <w:pPr>
        <w:pStyle w:val="SingleTxt"/>
        <w:numPr>
          <w:ilvl w:val="0"/>
          <w:numId w:val="15"/>
        </w:numPr>
        <w:tabs>
          <w:tab w:val="clear" w:pos="475"/>
          <w:tab w:val="num" w:pos="1742"/>
        </w:tabs>
        <w:ind w:left="1267"/>
        <w:rPr>
          <w:lang w:val="fr-CH"/>
        </w:rPr>
      </w:pPr>
      <w:r w:rsidRPr="00ED1E3E">
        <w:rPr>
          <w:lang w:val="fr-CH"/>
        </w:rPr>
        <w:t>De plus, les administrateurs des lieux de détention ne devraient pas être seuls à gérer le problème de la surpopulation</w:t>
      </w:r>
      <w:r w:rsidRPr="00ED1E3E">
        <w:rPr>
          <w:rStyle w:val="FootnoteReference"/>
          <w:lang w:val="fr-CH"/>
        </w:rPr>
        <w:footnoteReference w:id="201"/>
      </w:r>
      <w:r w:rsidRPr="00ED1E3E">
        <w:rPr>
          <w:lang w:val="fr-CH"/>
        </w:rPr>
        <w:t>; un système efficace de communication devrait être établi entre les différents acteurs du système de justice pénale de manière à ce que les lieux de privation de liberté ne dépassent pas leurs capacités d’accueil. Les pratiques telles que l’interdiction légale du surpeuplement des prisons</w:t>
      </w:r>
      <w:r w:rsidRPr="00ED1E3E">
        <w:rPr>
          <w:rStyle w:val="FootnoteReference"/>
          <w:lang w:val="fr-CH"/>
        </w:rPr>
        <w:footnoteReference w:id="202"/>
      </w:r>
      <w:r w:rsidRPr="00ED1E3E">
        <w:rPr>
          <w:lang w:val="fr-CH"/>
        </w:rPr>
        <w:t xml:space="preserve"> devraient être envisagées favorablement.</w:t>
      </w:r>
    </w:p>
    <w:p w:rsidR="005F5012" w:rsidRPr="00ED1E3E" w:rsidRDefault="005F5012" w:rsidP="005F5012">
      <w:pPr>
        <w:pStyle w:val="SingleTxt"/>
        <w:tabs>
          <w:tab w:val="clear" w:pos="1742"/>
        </w:tabs>
        <w:spacing w:after="0" w:line="120" w:lineRule="exact"/>
        <w:rPr>
          <w:sz w:val="10"/>
          <w:lang w:val="fr-CH"/>
        </w:rPr>
      </w:pPr>
    </w:p>
    <w:p w:rsidR="005F5012" w:rsidRPr="00ED1E3E" w:rsidRDefault="005F5012" w:rsidP="005F5012">
      <w:pPr>
        <w:pStyle w:val="SingleTxt"/>
        <w:tabs>
          <w:tab w:val="clear" w:pos="1742"/>
        </w:tabs>
        <w:spacing w:after="0" w:line="120" w:lineRule="exact"/>
        <w:rPr>
          <w:sz w:val="10"/>
          <w:lang w:val="fr-CH"/>
        </w:rPr>
      </w:pPr>
    </w:p>
    <w:p w:rsidR="005F5012" w:rsidRPr="00ED1E3E" w:rsidRDefault="005F5012" w:rsidP="005F501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t>D.</w:t>
      </w:r>
      <w:r w:rsidRPr="00ED1E3E">
        <w:rPr>
          <w:lang w:val="fr-CH"/>
        </w:rPr>
        <w:tab/>
        <w:t>Ne recourir à la détention avant jugement qu’en dernier ressort</w:t>
      </w:r>
    </w:p>
    <w:p w:rsidR="005F5012" w:rsidRPr="00ED1E3E" w:rsidRDefault="005F5012" w:rsidP="005F5012">
      <w:pPr>
        <w:pStyle w:val="SingleTxt"/>
        <w:spacing w:after="0" w:line="120" w:lineRule="exact"/>
        <w:rPr>
          <w:b/>
          <w:sz w:val="10"/>
          <w:lang w:val="fr-CH"/>
        </w:rPr>
      </w:pPr>
    </w:p>
    <w:p w:rsidR="005F5012" w:rsidRPr="00ED1E3E" w:rsidRDefault="005F5012" w:rsidP="005F5012">
      <w:pPr>
        <w:pStyle w:val="SingleTxt"/>
        <w:spacing w:after="0" w:line="120" w:lineRule="exact"/>
        <w:rPr>
          <w:b/>
          <w:sz w:val="10"/>
          <w:lang w:val="fr-CH"/>
        </w:rPr>
      </w:pPr>
    </w:p>
    <w:p w:rsidR="005F5012" w:rsidRPr="00ED1E3E" w:rsidRDefault="005F5012" w:rsidP="00E56BFF">
      <w:pPr>
        <w:pStyle w:val="SingleTxt"/>
        <w:numPr>
          <w:ilvl w:val="0"/>
          <w:numId w:val="15"/>
        </w:numPr>
        <w:tabs>
          <w:tab w:val="clear" w:pos="475"/>
          <w:tab w:val="num" w:pos="1742"/>
        </w:tabs>
        <w:ind w:left="1267"/>
        <w:rPr>
          <w:lang w:val="fr-CH"/>
        </w:rPr>
      </w:pPr>
      <w:r w:rsidRPr="00ED1E3E">
        <w:rPr>
          <w:lang w:val="fr-CH"/>
        </w:rPr>
        <w:t>Étant donné que le recours excessif à la détention avant jugement est l’une des principales causes de l’incarcération excessive et de la surpopulation carcérale dans le monde</w:t>
      </w:r>
      <w:r w:rsidRPr="00ED1E3E">
        <w:rPr>
          <w:rStyle w:val="FootnoteReference"/>
          <w:lang w:val="fr-CH"/>
        </w:rPr>
        <w:footnoteReference w:id="203"/>
      </w:r>
      <w:r w:rsidRPr="00ED1E3E">
        <w:rPr>
          <w:lang w:val="fr-CH"/>
        </w:rPr>
        <w:t>, le strict respect des normes et règles internationales pertinentes peut contribuer grandement au règlement de ces problèmes. Le placement en détention avant jugement est une mesure qui ne devrait être prise qu’en dernier ressort</w:t>
      </w:r>
      <w:r w:rsidRPr="00ED1E3E">
        <w:rPr>
          <w:rStyle w:val="FootnoteReference"/>
          <w:lang w:val="fr-CH"/>
        </w:rPr>
        <w:footnoteReference w:id="204"/>
      </w:r>
      <w:r w:rsidRPr="00ED1E3E">
        <w:rPr>
          <w:lang w:val="fr-CH"/>
        </w:rPr>
        <w:t>.</w:t>
      </w:r>
    </w:p>
    <w:p w:rsidR="005F5012" w:rsidRPr="00ED1E3E" w:rsidRDefault="005F5012" w:rsidP="00E56BFF">
      <w:pPr>
        <w:pStyle w:val="SingleTxt"/>
        <w:numPr>
          <w:ilvl w:val="0"/>
          <w:numId w:val="15"/>
        </w:numPr>
        <w:tabs>
          <w:tab w:val="clear" w:pos="475"/>
          <w:tab w:val="num" w:pos="1742"/>
        </w:tabs>
        <w:ind w:left="1267"/>
        <w:rPr>
          <w:lang w:val="fr-CH"/>
        </w:rPr>
      </w:pPr>
      <w:r w:rsidRPr="00ED1E3E">
        <w:rPr>
          <w:lang w:val="fr-CH"/>
        </w:rPr>
        <w:t>Par ailleurs, comme l’a souligné le Comité des droits de l’homme dans son Observation générale n</w:t>
      </w:r>
      <w:r w:rsidRPr="00ED1E3E">
        <w:rPr>
          <w:vertAlign w:val="superscript"/>
          <w:lang w:val="fr-CH"/>
        </w:rPr>
        <w:t>o</w:t>
      </w:r>
      <w:r w:rsidRPr="00ED1E3E">
        <w:rPr>
          <w:lang w:val="fr-CH"/>
        </w:rPr>
        <w:t> 35, la « détention avant jugement doit reposer sur une évaluation au cas par cas déterminant qu’elle est raisonnable et nécessaire au regard de toutes les circonstances, par exemple pour éviter que l’intéressé ne prenne la fuite, ne modifie des preuves ou ne commette une nouvelle infraction »</w:t>
      </w:r>
      <w:r w:rsidRPr="00ED1E3E">
        <w:rPr>
          <w:rStyle w:val="FootnoteReference"/>
          <w:lang w:val="fr-CH"/>
        </w:rPr>
        <w:footnoteReference w:id="205"/>
      </w:r>
      <w:r w:rsidRPr="00ED1E3E">
        <w:rPr>
          <w:lang w:val="fr-CH"/>
        </w:rPr>
        <w:t>. Cela signifie que la détention des personnes qui attendent de passer en jugement ne devrait pas être obligatoire sans qu’il soit tenu compte des circonstances individuelles</w:t>
      </w:r>
      <w:r w:rsidRPr="00ED1E3E">
        <w:rPr>
          <w:rStyle w:val="FootnoteReference"/>
          <w:lang w:val="fr-CH"/>
        </w:rPr>
        <w:footnoteReference w:id="206"/>
      </w:r>
      <w:r w:rsidRPr="00ED1E3E">
        <w:rPr>
          <w:lang w:val="fr-CH"/>
        </w:rPr>
        <w:t>, pratique courante dans certains États</w:t>
      </w:r>
      <w:r w:rsidRPr="00ED1E3E">
        <w:rPr>
          <w:rStyle w:val="FootnoteReference"/>
          <w:lang w:val="fr-CH"/>
        </w:rPr>
        <w:footnoteReference w:id="207"/>
      </w:r>
      <w:r w:rsidRPr="00ED1E3E">
        <w:rPr>
          <w:lang w:val="fr-CH"/>
        </w:rPr>
        <w:t xml:space="preserve">, et que des mesures de substitution à la détention avant jugement doivent être dûment envisagées, y compris lorsqu’il s’agit de décider du maintien en détention. Le délai maximum de détention avant jugement doit être </w:t>
      </w:r>
      <w:r w:rsidRPr="00ED1E3E">
        <w:rPr>
          <w:lang w:val="fr-CH"/>
        </w:rPr>
        <w:lastRenderedPageBreak/>
        <w:t>strictement respecté</w:t>
      </w:r>
      <w:r w:rsidRPr="00ED1E3E">
        <w:rPr>
          <w:rStyle w:val="FootnoteReference"/>
          <w:lang w:val="fr-CH"/>
        </w:rPr>
        <w:footnoteReference w:id="208"/>
      </w:r>
      <w:r w:rsidRPr="00ED1E3E">
        <w:rPr>
          <w:lang w:val="fr-CH"/>
        </w:rPr>
        <w:t>. En outre, si la durée passée en détention provisoire atteint la durée de la peine maximale qui pourrait être prononcée pour l’infraction, le défendeur doit être remis en liberté</w:t>
      </w:r>
      <w:r w:rsidRPr="00ED1E3E">
        <w:rPr>
          <w:rStyle w:val="FootnoteReference"/>
          <w:lang w:val="fr-CH"/>
        </w:rPr>
        <w:footnoteReference w:id="209"/>
      </w:r>
      <w:r w:rsidRPr="00ED1E3E">
        <w:rPr>
          <w:lang w:val="fr-CH"/>
        </w:rPr>
        <w:t xml:space="preserve">. </w:t>
      </w:r>
    </w:p>
    <w:p w:rsidR="005F5012" w:rsidRPr="00ED1E3E" w:rsidRDefault="005F5012" w:rsidP="005F5012">
      <w:pPr>
        <w:pStyle w:val="SingleTxt"/>
        <w:spacing w:after="0" w:line="120" w:lineRule="exact"/>
        <w:rPr>
          <w:sz w:val="10"/>
          <w:lang w:val="fr-CH"/>
        </w:rPr>
      </w:pPr>
    </w:p>
    <w:p w:rsidR="005F5012" w:rsidRPr="00ED1E3E" w:rsidRDefault="005F5012" w:rsidP="005F5012">
      <w:pPr>
        <w:pStyle w:val="SingleTxt"/>
        <w:spacing w:after="0" w:line="120" w:lineRule="exact"/>
        <w:rPr>
          <w:sz w:val="10"/>
          <w:lang w:val="fr-CH"/>
        </w:rPr>
      </w:pPr>
    </w:p>
    <w:p w:rsidR="005F5012" w:rsidRPr="00ED1E3E" w:rsidRDefault="005F5012" w:rsidP="005F501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t>E.</w:t>
      </w:r>
      <w:r w:rsidRPr="00ED1E3E">
        <w:rPr>
          <w:lang w:val="fr-CH"/>
        </w:rPr>
        <w:tab/>
        <w:t xml:space="preserve">Mesures de substitution à la privation de liberté </w:t>
      </w:r>
    </w:p>
    <w:p w:rsidR="005F5012" w:rsidRPr="00ED1E3E" w:rsidRDefault="005F5012" w:rsidP="005F5012">
      <w:pPr>
        <w:pStyle w:val="SingleTxt"/>
        <w:spacing w:after="0" w:line="120" w:lineRule="exact"/>
        <w:rPr>
          <w:sz w:val="10"/>
          <w:lang w:val="fr-CH"/>
        </w:rPr>
      </w:pPr>
    </w:p>
    <w:p w:rsidR="005F5012" w:rsidRPr="00ED1E3E" w:rsidRDefault="005F5012" w:rsidP="005F5012">
      <w:pPr>
        <w:pStyle w:val="SingleTxt"/>
        <w:spacing w:after="0" w:line="120" w:lineRule="exact"/>
        <w:rPr>
          <w:sz w:val="10"/>
          <w:lang w:val="fr-CH"/>
        </w:rPr>
      </w:pPr>
    </w:p>
    <w:p w:rsidR="005F5012" w:rsidRPr="00ED1E3E" w:rsidRDefault="005F5012" w:rsidP="00E56BFF">
      <w:pPr>
        <w:pStyle w:val="SingleTxt"/>
        <w:numPr>
          <w:ilvl w:val="0"/>
          <w:numId w:val="15"/>
        </w:numPr>
        <w:tabs>
          <w:tab w:val="clear" w:pos="475"/>
          <w:tab w:val="num" w:pos="1742"/>
        </w:tabs>
        <w:ind w:left="1267"/>
        <w:rPr>
          <w:lang w:val="fr-CH"/>
        </w:rPr>
      </w:pPr>
      <w:r w:rsidRPr="00ED1E3E">
        <w:rPr>
          <w:lang w:val="fr-CH"/>
        </w:rPr>
        <w:t>Dans le contexte des normes internationales relatives aux mesures non privatives de liberté</w:t>
      </w:r>
      <w:r w:rsidRPr="00ED1E3E">
        <w:rPr>
          <w:rStyle w:val="FootnoteReference"/>
          <w:lang w:val="fr-CH"/>
        </w:rPr>
        <w:footnoteReference w:id="210"/>
      </w:r>
      <w:r w:rsidRPr="00ED1E3E">
        <w:rPr>
          <w:lang w:val="fr-CH"/>
        </w:rPr>
        <w:t>, les organisations internationales</w:t>
      </w:r>
      <w:r w:rsidRPr="00ED1E3E">
        <w:rPr>
          <w:rStyle w:val="FootnoteReference"/>
          <w:lang w:val="fr-CH"/>
        </w:rPr>
        <w:footnoteReference w:id="211"/>
      </w:r>
      <w:r w:rsidRPr="00ED1E3E">
        <w:rPr>
          <w:lang w:val="fr-CH"/>
        </w:rPr>
        <w:t xml:space="preserve"> et régionales</w:t>
      </w:r>
      <w:r w:rsidRPr="00ED1E3E">
        <w:rPr>
          <w:rStyle w:val="FootnoteReference"/>
          <w:lang w:val="fr-CH"/>
        </w:rPr>
        <w:footnoteReference w:id="212"/>
      </w:r>
      <w:r w:rsidRPr="00ED1E3E">
        <w:rPr>
          <w:lang w:val="fr-CH"/>
        </w:rPr>
        <w:t xml:space="preserve"> ainsi que les organismes nationaux</w:t>
      </w:r>
      <w:r w:rsidRPr="00ED1E3E">
        <w:rPr>
          <w:rStyle w:val="FootnoteReference"/>
          <w:lang w:val="fr-CH"/>
        </w:rPr>
        <w:footnoteReference w:id="213"/>
      </w:r>
      <w:r w:rsidRPr="00ED1E3E">
        <w:rPr>
          <w:lang w:val="fr-CH"/>
        </w:rPr>
        <w:t xml:space="preserve"> recommandent majoritairement, afin de réduire l’incarcération excessive et de la surpopulation carcérale, d’instaurer une politique de recours accru aux mesures non privatives de liberté et aux mesures de substitution aux peines privatives de liberté. Comme l’a indiqué le Comité européen pour la prévention de la torture et des peines ou traitements inhumains ou dégradants, « une stratégie de réduction durable de la population carcérale devrait être adoptée de manière à ce que l’incarcération ne soit, dans la pratique, décidée qu’en dernier ressort, à tous les stades du système de justice pénale, dès l’instruction et jusqu’à l’exécution des peines »</w:t>
      </w:r>
      <w:r w:rsidRPr="00ED1E3E">
        <w:rPr>
          <w:rStyle w:val="FootnoteReference"/>
          <w:lang w:val="fr-CH"/>
        </w:rPr>
        <w:footnoteReference w:id="214"/>
      </w:r>
      <w:r w:rsidRPr="00ED1E3E">
        <w:rPr>
          <w:lang w:val="fr-CH"/>
        </w:rPr>
        <w:t>.</w:t>
      </w:r>
    </w:p>
    <w:p w:rsidR="005F5012" w:rsidRPr="00ED1E3E" w:rsidRDefault="005F5012" w:rsidP="00E56BFF">
      <w:pPr>
        <w:pStyle w:val="SingleTxt"/>
        <w:numPr>
          <w:ilvl w:val="0"/>
          <w:numId w:val="15"/>
        </w:numPr>
        <w:tabs>
          <w:tab w:val="clear" w:pos="475"/>
          <w:tab w:val="num" w:pos="1742"/>
        </w:tabs>
        <w:ind w:left="1267"/>
        <w:rPr>
          <w:lang w:val="fr-CH"/>
        </w:rPr>
      </w:pPr>
      <w:r w:rsidRPr="00ED1E3E">
        <w:rPr>
          <w:lang w:val="fr-CH"/>
        </w:rPr>
        <w:t>Pour que les mesures de substitution à la détention puissent être effectives, il faut pouvoir recourir, au stade de l’instruction comme à celui de la condamnation, à toute une panoplie de mesures diverses telles que la mise en liberté sous caution raisonnable</w:t>
      </w:r>
      <w:r w:rsidRPr="00ED1E3E">
        <w:rPr>
          <w:rStyle w:val="FootnoteReference"/>
          <w:lang w:val="fr-CH"/>
        </w:rPr>
        <w:footnoteReference w:id="215"/>
      </w:r>
      <w:r w:rsidRPr="00ED1E3E">
        <w:rPr>
          <w:lang w:val="fr-CH"/>
        </w:rPr>
        <w:t>, la fixation automatique d’une caution pour la plupart des infractions</w:t>
      </w:r>
      <w:r w:rsidRPr="00ED1E3E">
        <w:rPr>
          <w:rStyle w:val="FootnoteReference"/>
          <w:lang w:val="fr-CH"/>
        </w:rPr>
        <w:footnoteReference w:id="216"/>
      </w:r>
      <w:r w:rsidRPr="00ED1E3E">
        <w:rPr>
          <w:lang w:val="fr-CH"/>
        </w:rPr>
        <w:t>, les amendes pécuniaires, l’assignation à résidence sous surveillance électronique</w:t>
      </w:r>
      <w:r w:rsidRPr="00ED1E3E">
        <w:rPr>
          <w:rStyle w:val="FootnoteReference"/>
          <w:lang w:val="fr-CH"/>
        </w:rPr>
        <w:footnoteReference w:id="217"/>
      </w:r>
      <w:r w:rsidRPr="00ED1E3E">
        <w:rPr>
          <w:lang w:val="fr-CH"/>
        </w:rPr>
        <w:t>, le travail d’intérêt général, la sanction des mineurs délinquants et la surveillance des personnes bénéficiant d’une liberté conditionnelle</w:t>
      </w:r>
      <w:r w:rsidRPr="00ED1E3E">
        <w:rPr>
          <w:rStyle w:val="FootnoteReference"/>
          <w:lang w:val="fr-CH"/>
        </w:rPr>
        <w:footnoteReference w:id="218"/>
      </w:r>
      <w:r w:rsidRPr="00ED1E3E">
        <w:rPr>
          <w:lang w:val="fr-CH"/>
        </w:rPr>
        <w:t>, ainsi que la remise ou commutation de peine et le système de libération conditionnelle ou de grâce</w:t>
      </w:r>
      <w:r w:rsidRPr="00ED1E3E">
        <w:rPr>
          <w:rStyle w:val="FootnoteReference"/>
          <w:lang w:val="fr-CH"/>
        </w:rPr>
        <w:footnoteReference w:id="219"/>
      </w:r>
      <w:r w:rsidRPr="00ED1E3E">
        <w:rPr>
          <w:lang w:val="fr-CH"/>
        </w:rPr>
        <w:t>. Les critères requis pour bénéficier de ces mesures de substitution à la détention devraient être réexaminés de façon à en élargir le champ d’application</w:t>
      </w:r>
      <w:r w:rsidRPr="00ED1E3E">
        <w:rPr>
          <w:rStyle w:val="FootnoteReference"/>
          <w:lang w:val="fr-CH"/>
        </w:rPr>
        <w:footnoteReference w:id="220"/>
      </w:r>
      <w:r w:rsidRPr="00ED1E3E">
        <w:rPr>
          <w:lang w:val="fr-CH"/>
        </w:rPr>
        <w:t>. Il importe en particulier de veiller à ce que ces mesures de substitution soient dûment prises en considération à l’égard des groupes de population tels que les femmes, les personnes âgées, les enfants et les personnes handicapées</w:t>
      </w:r>
      <w:r w:rsidRPr="00ED1E3E">
        <w:rPr>
          <w:rStyle w:val="FootnoteReference"/>
          <w:lang w:val="fr-CH"/>
        </w:rPr>
        <w:footnoteReference w:id="221"/>
      </w:r>
      <w:r w:rsidRPr="00ED1E3E">
        <w:rPr>
          <w:lang w:val="fr-CH"/>
        </w:rPr>
        <w:t>.</w:t>
      </w:r>
    </w:p>
    <w:p w:rsidR="005F5012" w:rsidRPr="00ED1E3E" w:rsidRDefault="005F5012" w:rsidP="00E56BFF">
      <w:pPr>
        <w:pStyle w:val="SingleTxt"/>
        <w:numPr>
          <w:ilvl w:val="0"/>
          <w:numId w:val="15"/>
        </w:numPr>
        <w:tabs>
          <w:tab w:val="clear" w:pos="475"/>
          <w:tab w:val="num" w:pos="1742"/>
        </w:tabs>
        <w:ind w:left="1267"/>
        <w:rPr>
          <w:lang w:val="fr-CH"/>
        </w:rPr>
      </w:pPr>
      <w:r w:rsidRPr="00ED1E3E">
        <w:rPr>
          <w:lang w:val="fr-CH"/>
        </w:rPr>
        <w:t>Les mesures de substitution à la détention ne doivent cependant pas seulement être prévues par la loi; elles doivent aussi être effectivement appliquées</w:t>
      </w:r>
      <w:r w:rsidRPr="00ED1E3E">
        <w:rPr>
          <w:rStyle w:val="FootnoteReference"/>
          <w:lang w:val="fr-CH"/>
        </w:rPr>
        <w:footnoteReference w:id="222"/>
      </w:r>
      <w:r w:rsidRPr="00ED1E3E">
        <w:rPr>
          <w:lang w:val="fr-CH"/>
        </w:rPr>
        <w:t xml:space="preserve">. Pour que les organes de poursuite, l’appareil judiciaire et l’opinion publique y soient favorables, </w:t>
      </w:r>
      <w:r w:rsidRPr="00ED1E3E">
        <w:rPr>
          <w:lang w:val="fr-CH"/>
        </w:rPr>
        <w:lastRenderedPageBreak/>
        <w:t>il est fondamental que le système des mesures de substitution à la détention soit géré efficacement</w:t>
      </w:r>
      <w:r w:rsidRPr="00ED1E3E">
        <w:rPr>
          <w:rStyle w:val="FootnoteReference"/>
          <w:lang w:val="fr-CH"/>
        </w:rPr>
        <w:footnoteReference w:id="223"/>
      </w:r>
      <w:r w:rsidRPr="00ED1E3E">
        <w:rPr>
          <w:lang w:val="fr-CH"/>
        </w:rPr>
        <w:t xml:space="preserve"> et doté des ressources adéquates.</w:t>
      </w:r>
    </w:p>
    <w:p w:rsidR="005F5012" w:rsidRPr="00ED1E3E" w:rsidRDefault="005F5012" w:rsidP="005F5012">
      <w:pPr>
        <w:pStyle w:val="SingleTxt"/>
        <w:spacing w:after="0" w:line="120" w:lineRule="exact"/>
        <w:rPr>
          <w:sz w:val="10"/>
          <w:lang w:val="fr-CH"/>
        </w:rPr>
      </w:pPr>
    </w:p>
    <w:p w:rsidR="005F5012" w:rsidRPr="00ED1E3E" w:rsidRDefault="005F5012" w:rsidP="005F5012">
      <w:pPr>
        <w:pStyle w:val="SingleTxt"/>
        <w:spacing w:after="0" w:line="120" w:lineRule="exact"/>
        <w:rPr>
          <w:sz w:val="10"/>
          <w:lang w:val="fr-CH"/>
        </w:rPr>
      </w:pPr>
    </w:p>
    <w:p w:rsidR="005F5012" w:rsidRPr="00ED1E3E" w:rsidRDefault="005F5012" w:rsidP="005F501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t>F.</w:t>
      </w:r>
      <w:r w:rsidRPr="00ED1E3E">
        <w:rPr>
          <w:lang w:val="fr-CH"/>
        </w:rPr>
        <w:tab/>
        <w:t>Condamnations proportionnées aux crimes</w:t>
      </w:r>
    </w:p>
    <w:p w:rsidR="005F5012" w:rsidRPr="00ED1E3E" w:rsidRDefault="005F5012" w:rsidP="005F5012">
      <w:pPr>
        <w:pStyle w:val="SingleTxt"/>
        <w:spacing w:after="0" w:line="120" w:lineRule="exact"/>
        <w:rPr>
          <w:sz w:val="10"/>
          <w:lang w:val="fr-CH"/>
        </w:rPr>
      </w:pPr>
    </w:p>
    <w:p w:rsidR="005F5012" w:rsidRPr="00ED1E3E" w:rsidRDefault="005F5012" w:rsidP="005F5012">
      <w:pPr>
        <w:pStyle w:val="SingleTxt"/>
        <w:spacing w:after="0" w:line="120" w:lineRule="exact"/>
        <w:rPr>
          <w:sz w:val="10"/>
          <w:lang w:val="fr-CH"/>
        </w:rPr>
      </w:pPr>
    </w:p>
    <w:p w:rsidR="005F5012" w:rsidRPr="00ED1E3E" w:rsidRDefault="005F5012" w:rsidP="00E56BFF">
      <w:pPr>
        <w:pStyle w:val="SingleTxt"/>
        <w:numPr>
          <w:ilvl w:val="0"/>
          <w:numId w:val="15"/>
        </w:numPr>
        <w:tabs>
          <w:tab w:val="clear" w:pos="475"/>
          <w:tab w:val="num" w:pos="1742"/>
        </w:tabs>
        <w:ind w:left="1267"/>
        <w:rPr>
          <w:lang w:val="fr-CH"/>
        </w:rPr>
      </w:pPr>
      <w:r w:rsidRPr="00ED1E3E">
        <w:rPr>
          <w:lang w:val="fr-CH"/>
        </w:rPr>
        <w:t>Veiller à ce que les condamnations prononcées soient proportionnées à la gravité des faits commis est la condition indispensable d’un système de justice pénale efficace et équitable. Cela signifie que l’on ne doit avoir recours à la privation de liberté qu’en dernier ressort, dans la mesure où cela est nécessaire pour répondre à un besoin sociétal urgent et ce, de façon proportionnée</w:t>
      </w:r>
      <w:r w:rsidRPr="00ED1E3E">
        <w:rPr>
          <w:rStyle w:val="FootnoteReference"/>
          <w:lang w:val="fr-CH"/>
        </w:rPr>
        <w:footnoteReference w:id="224"/>
      </w:r>
      <w:r w:rsidRPr="00ED1E3E">
        <w:rPr>
          <w:lang w:val="fr-CH"/>
        </w:rPr>
        <w:t>.</w:t>
      </w:r>
    </w:p>
    <w:p w:rsidR="005F5012" w:rsidRPr="00ED1E3E" w:rsidRDefault="005F5012" w:rsidP="00E56BFF">
      <w:pPr>
        <w:pStyle w:val="SingleTxt"/>
        <w:numPr>
          <w:ilvl w:val="0"/>
          <w:numId w:val="15"/>
        </w:numPr>
        <w:tabs>
          <w:tab w:val="clear" w:pos="475"/>
          <w:tab w:val="num" w:pos="1742"/>
        </w:tabs>
        <w:ind w:left="1267"/>
        <w:rPr>
          <w:lang w:val="fr-CH"/>
        </w:rPr>
      </w:pPr>
      <w:r w:rsidRPr="00ED1E3E">
        <w:rPr>
          <w:lang w:val="fr-CH"/>
        </w:rPr>
        <w:t>Pour satisfaire à l’exigence de proportionnalité, les États ont révisé leurs politiques et législations pénales et réduit les peines minimales et maximales</w:t>
      </w:r>
      <w:r w:rsidRPr="00ED1E3E">
        <w:rPr>
          <w:rStyle w:val="FootnoteReference"/>
          <w:lang w:val="fr-CH"/>
        </w:rPr>
        <w:footnoteReference w:id="225"/>
      </w:r>
      <w:r w:rsidRPr="00ED1E3E">
        <w:rPr>
          <w:lang w:val="fr-CH"/>
        </w:rPr>
        <w:t>, dépénalisé de nombreuses catégories de délits mineurs et allégé les sanctions pénales applicables aux délits économiques</w:t>
      </w:r>
      <w:r w:rsidRPr="00ED1E3E">
        <w:rPr>
          <w:rStyle w:val="FootnoteReference"/>
          <w:lang w:val="fr-CH"/>
        </w:rPr>
        <w:footnoteReference w:id="226"/>
      </w:r>
      <w:r w:rsidRPr="00ED1E3E">
        <w:rPr>
          <w:lang w:val="fr-CH"/>
        </w:rPr>
        <w:t>, ce qui a permis de diminuer la population carcérale totale</w:t>
      </w:r>
      <w:r w:rsidRPr="00ED1E3E">
        <w:rPr>
          <w:rStyle w:val="FootnoteReference"/>
          <w:lang w:val="fr-CH"/>
        </w:rPr>
        <w:footnoteReference w:id="227"/>
      </w:r>
      <w:r w:rsidRPr="00ED1E3E">
        <w:rPr>
          <w:lang w:val="fr-CH"/>
        </w:rPr>
        <w:t>. De même, le réexamen des pratiques en matière de condamnation dans l’optique de réduire ou de supprimer les peines plancher pour les infractions mineures et non violentes et l’adoption de principes directeurs plus raisonnables en matière de condamnation tendant à réduire les peines excessivement longues ont également eu un effet positif et ont permis de diminuer l’incarcération excessive et la surpopulation carcérale</w:t>
      </w:r>
      <w:r w:rsidRPr="00ED1E3E">
        <w:rPr>
          <w:rStyle w:val="FootnoteReference"/>
          <w:lang w:val="fr-CH"/>
        </w:rPr>
        <w:footnoteReference w:id="228"/>
      </w:r>
      <w:r w:rsidRPr="00ED1E3E">
        <w:rPr>
          <w:lang w:val="fr-CH"/>
        </w:rPr>
        <w:t>. Des mesures appropriées, y compris en matière de formation, devraient être mises en place à l’intention des organes de poursuite et des autorités judiciaires afin d’éliminer le recours injustifié à la détention avant jugement et de modifier les pratiques en matière de peines</w:t>
      </w:r>
      <w:r w:rsidRPr="00ED1E3E">
        <w:rPr>
          <w:rStyle w:val="FootnoteReference"/>
          <w:lang w:val="fr-CH"/>
        </w:rPr>
        <w:footnoteReference w:id="229"/>
      </w:r>
      <w:r w:rsidRPr="00ED1E3E">
        <w:rPr>
          <w:lang w:val="fr-CH"/>
        </w:rPr>
        <w:t>. Il faudrait en particulier s’attacher à réduire les peines de réclusion à perpétuité et donner réellement à tous les détenus condamnés, y compris ceux qui ont été condamnés à perpétuité, la possibilité de bénéficier d’une libération conditionnelle</w:t>
      </w:r>
      <w:r w:rsidRPr="00ED1E3E">
        <w:rPr>
          <w:rStyle w:val="FootnoteReference"/>
          <w:lang w:val="fr-CH"/>
        </w:rPr>
        <w:footnoteReference w:id="230"/>
      </w:r>
      <w:r w:rsidRPr="00ED1E3E">
        <w:rPr>
          <w:lang w:val="fr-CH"/>
        </w:rPr>
        <w:t>.</w:t>
      </w:r>
    </w:p>
    <w:p w:rsidR="005F5012" w:rsidRPr="00ED1E3E" w:rsidRDefault="005F5012" w:rsidP="005F5012">
      <w:pPr>
        <w:pStyle w:val="SingleTxt"/>
        <w:spacing w:after="0" w:line="120" w:lineRule="exact"/>
        <w:rPr>
          <w:sz w:val="10"/>
          <w:lang w:val="fr-CH"/>
        </w:rPr>
      </w:pPr>
    </w:p>
    <w:p w:rsidR="005F5012" w:rsidRPr="00ED1E3E" w:rsidRDefault="005F5012" w:rsidP="005F5012">
      <w:pPr>
        <w:pStyle w:val="SingleTxt"/>
        <w:spacing w:after="0" w:line="120" w:lineRule="exact"/>
        <w:rPr>
          <w:sz w:val="10"/>
          <w:lang w:val="fr-CH"/>
        </w:rPr>
      </w:pPr>
    </w:p>
    <w:p w:rsidR="005F5012" w:rsidRPr="00ED1E3E" w:rsidRDefault="005F5012" w:rsidP="005F501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t>G.</w:t>
      </w:r>
      <w:r w:rsidRPr="00ED1E3E">
        <w:rPr>
          <w:lang w:val="fr-CH"/>
        </w:rPr>
        <w:tab/>
        <w:t>Réadaptation et réduction des taux de récidive</w:t>
      </w:r>
    </w:p>
    <w:p w:rsidR="005F5012" w:rsidRPr="00ED1E3E" w:rsidRDefault="005F5012" w:rsidP="005F5012">
      <w:pPr>
        <w:pStyle w:val="SingleTxt"/>
        <w:spacing w:after="0" w:line="120" w:lineRule="exact"/>
        <w:rPr>
          <w:b/>
          <w:sz w:val="10"/>
          <w:lang w:val="fr-CH"/>
        </w:rPr>
      </w:pPr>
    </w:p>
    <w:p w:rsidR="005F5012" w:rsidRPr="00ED1E3E" w:rsidRDefault="005F5012" w:rsidP="005F5012">
      <w:pPr>
        <w:pStyle w:val="SingleTxt"/>
        <w:spacing w:after="0" w:line="120" w:lineRule="exact"/>
        <w:rPr>
          <w:b/>
          <w:sz w:val="10"/>
          <w:lang w:val="fr-CH"/>
        </w:rPr>
      </w:pPr>
    </w:p>
    <w:p w:rsidR="005F5012" w:rsidRPr="00ED1E3E" w:rsidRDefault="005F5012" w:rsidP="00E56BFF">
      <w:pPr>
        <w:pStyle w:val="SingleTxt"/>
        <w:numPr>
          <w:ilvl w:val="0"/>
          <w:numId w:val="15"/>
        </w:numPr>
        <w:tabs>
          <w:tab w:val="clear" w:pos="475"/>
          <w:tab w:val="num" w:pos="1742"/>
        </w:tabs>
        <w:ind w:left="1267"/>
        <w:rPr>
          <w:lang w:val="fr-CH"/>
        </w:rPr>
      </w:pPr>
      <w:r w:rsidRPr="00ED1E3E">
        <w:rPr>
          <w:lang w:val="fr-CH"/>
        </w:rPr>
        <w:t>Offrir aux détenus des services concrets de réadaptation tant durant la détention qu’après leur sortie de prison et lutter contre la récidive sont des moyens importants de réduire le surpeuplement des prisons</w:t>
      </w:r>
      <w:r w:rsidRPr="00ED1E3E">
        <w:rPr>
          <w:rStyle w:val="FootnoteReference"/>
          <w:lang w:val="fr-CH"/>
        </w:rPr>
        <w:footnoteReference w:id="231"/>
      </w:r>
      <w:r w:rsidRPr="00ED1E3E">
        <w:rPr>
          <w:lang w:val="fr-CH"/>
        </w:rPr>
        <w:t>. Il convient d’envisager d’instaurer des programmes de prévention de la criminalité ciblant certains groupes spécifiques</w:t>
      </w:r>
      <w:r w:rsidRPr="00ED1E3E">
        <w:rPr>
          <w:rStyle w:val="FootnoteReference"/>
          <w:lang w:val="fr-CH"/>
        </w:rPr>
        <w:footnoteReference w:id="232"/>
      </w:r>
      <w:r w:rsidRPr="00ED1E3E">
        <w:rPr>
          <w:lang w:val="fr-CH"/>
        </w:rPr>
        <w:t>.</w:t>
      </w:r>
    </w:p>
    <w:p w:rsidR="005F5012" w:rsidRPr="00ED1E3E" w:rsidRDefault="005F5012" w:rsidP="00E56BFF">
      <w:pPr>
        <w:pStyle w:val="SingleTxt"/>
        <w:numPr>
          <w:ilvl w:val="0"/>
          <w:numId w:val="15"/>
        </w:numPr>
        <w:tabs>
          <w:tab w:val="clear" w:pos="475"/>
          <w:tab w:val="num" w:pos="1742"/>
        </w:tabs>
        <w:ind w:left="1267"/>
        <w:rPr>
          <w:lang w:val="fr-CH"/>
        </w:rPr>
      </w:pPr>
      <w:r w:rsidRPr="00ED1E3E">
        <w:rPr>
          <w:lang w:val="fr-CH"/>
        </w:rPr>
        <w:lastRenderedPageBreak/>
        <w:t>Lutter contre les taux de récidive est une tâche complexe qui exige une politique de réinsertion des anciens détenus dans la société</w:t>
      </w:r>
      <w:r w:rsidRPr="00ED1E3E">
        <w:rPr>
          <w:rStyle w:val="FootnoteReference"/>
          <w:lang w:val="fr-CH"/>
        </w:rPr>
        <w:footnoteReference w:id="233"/>
      </w:r>
      <w:r w:rsidRPr="00ED1E3E">
        <w:rPr>
          <w:lang w:val="fr-CH"/>
        </w:rPr>
        <w:t>, de même qu’un engagement des familles</w:t>
      </w:r>
      <w:r w:rsidRPr="00ED1E3E">
        <w:rPr>
          <w:rStyle w:val="FootnoteReference"/>
          <w:lang w:val="fr-CH"/>
        </w:rPr>
        <w:footnoteReference w:id="234"/>
      </w:r>
      <w:r w:rsidRPr="00ED1E3E">
        <w:rPr>
          <w:lang w:val="fr-CH"/>
        </w:rPr>
        <w:t xml:space="preserve"> et de la communauté concernée</w:t>
      </w:r>
      <w:r w:rsidRPr="00ED1E3E">
        <w:rPr>
          <w:rStyle w:val="FootnoteReference"/>
          <w:lang w:val="fr-CH"/>
        </w:rPr>
        <w:footnoteReference w:id="235"/>
      </w:r>
      <w:r w:rsidRPr="00ED1E3E">
        <w:rPr>
          <w:lang w:val="fr-CH"/>
        </w:rPr>
        <w:t>, clefs d’une réinsertion réussie. D’autres mesures, telles que les programmes de désintoxication des toxicomanes visant à réduire le risque de récidive, devraient être envisagées favorablement</w:t>
      </w:r>
      <w:r w:rsidRPr="00ED1E3E">
        <w:rPr>
          <w:rStyle w:val="FootnoteReference"/>
          <w:lang w:val="fr-CH"/>
        </w:rPr>
        <w:footnoteReference w:id="236"/>
      </w:r>
      <w:r w:rsidRPr="00ED1E3E">
        <w:rPr>
          <w:lang w:val="fr-CH"/>
        </w:rPr>
        <w:t>.</w:t>
      </w:r>
    </w:p>
    <w:p w:rsidR="005F5012" w:rsidRPr="00ED1E3E" w:rsidRDefault="005F5012" w:rsidP="005F5012">
      <w:pPr>
        <w:pStyle w:val="SingleTxt"/>
        <w:spacing w:after="0" w:line="120" w:lineRule="exact"/>
        <w:rPr>
          <w:sz w:val="10"/>
          <w:lang w:val="fr-CH"/>
        </w:rPr>
      </w:pPr>
    </w:p>
    <w:p w:rsidR="005F5012" w:rsidRPr="00ED1E3E" w:rsidRDefault="005F5012" w:rsidP="005F5012">
      <w:pPr>
        <w:pStyle w:val="SingleTxt"/>
        <w:spacing w:after="0" w:line="120" w:lineRule="exact"/>
        <w:rPr>
          <w:sz w:val="10"/>
          <w:lang w:val="fr-CH"/>
        </w:rPr>
      </w:pPr>
    </w:p>
    <w:p w:rsidR="005F5012" w:rsidRPr="00ED1E3E" w:rsidRDefault="005F5012" w:rsidP="005F501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t>H.</w:t>
      </w:r>
      <w:r w:rsidRPr="00ED1E3E">
        <w:rPr>
          <w:lang w:val="fr-CH"/>
        </w:rPr>
        <w:tab/>
        <w:t>Surveillance et mécanismes de plaintes</w:t>
      </w:r>
    </w:p>
    <w:p w:rsidR="005F5012" w:rsidRPr="00ED1E3E" w:rsidRDefault="005F5012" w:rsidP="005F5012">
      <w:pPr>
        <w:pStyle w:val="SingleTxt"/>
        <w:spacing w:after="0" w:line="120" w:lineRule="exact"/>
        <w:rPr>
          <w:b/>
          <w:sz w:val="10"/>
          <w:lang w:val="fr-CH"/>
        </w:rPr>
      </w:pPr>
    </w:p>
    <w:p w:rsidR="005F5012" w:rsidRPr="00ED1E3E" w:rsidRDefault="005F5012" w:rsidP="005F5012">
      <w:pPr>
        <w:pStyle w:val="SingleTxt"/>
        <w:spacing w:after="0" w:line="120" w:lineRule="exact"/>
        <w:rPr>
          <w:b/>
          <w:sz w:val="10"/>
          <w:lang w:val="fr-CH"/>
        </w:rPr>
      </w:pPr>
    </w:p>
    <w:p w:rsidR="005F5012" w:rsidRPr="00ED1E3E" w:rsidRDefault="005F5012" w:rsidP="00E56BFF">
      <w:pPr>
        <w:pStyle w:val="SingleTxt"/>
        <w:numPr>
          <w:ilvl w:val="0"/>
          <w:numId w:val="15"/>
        </w:numPr>
        <w:tabs>
          <w:tab w:val="clear" w:pos="475"/>
          <w:tab w:val="num" w:pos="1742"/>
        </w:tabs>
        <w:ind w:left="1267"/>
        <w:rPr>
          <w:lang w:val="fr-CH"/>
        </w:rPr>
      </w:pPr>
      <w:r w:rsidRPr="00ED1E3E">
        <w:rPr>
          <w:lang w:val="fr-CH"/>
        </w:rPr>
        <w:t>La surveillance régulière des lieux de détention est un moyen important de régler les problèmes de l’incarcération excessive et de la surpopulation carcérale</w:t>
      </w:r>
      <w:r w:rsidRPr="00ED1E3E">
        <w:rPr>
          <w:rStyle w:val="FootnoteReference"/>
          <w:lang w:val="fr-CH"/>
        </w:rPr>
        <w:footnoteReference w:id="237"/>
      </w:r>
      <w:r w:rsidRPr="00ED1E3E">
        <w:rPr>
          <w:lang w:val="fr-CH"/>
        </w:rPr>
        <w:t xml:space="preserve"> en ce qu’elle améliore la transparence et l’efficacité du système pénitentiaire et permet de déceler et de combattre ces phénomènes</w:t>
      </w:r>
      <w:r w:rsidRPr="00ED1E3E">
        <w:rPr>
          <w:rStyle w:val="FootnoteReference"/>
          <w:lang w:val="fr-CH"/>
        </w:rPr>
        <w:footnoteReference w:id="238"/>
      </w:r>
      <w:r w:rsidRPr="00ED1E3E">
        <w:rPr>
          <w:lang w:val="fr-CH"/>
        </w:rPr>
        <w:t>. Il importe, par ailleurs, que la surveillance soit effectuée par différents organismes et institutions compétents.</w:t>
      </w:r>
    </w:p>
    <w:p w:rsidR="005F5012" w:rsidRPr="00ED1E3E" w:rsidRDefault="005F5012" w:rsidP="00E56BFF">
      <w:pPr>
        <w:pStyle w:val="SingleTxt"/>
        <w:numPr>
          <w:ilvl w:val="0"/>
          <w:numId w:val="15"/>
        </w:numPr>
        <w:tabs>
          <w:tab w:val="clear" w:pos="475"/>
          <w:tab w:val="num" w:pos="1742"/>
        </w:tabs>
        <w:ind w:left="1267"/>
        <w:rPr>
          <w:lang w:val="fr-CH"/>
        </w:rPr>
      </w:pPr>
      <w:r w:rsidRPr="00ED1E3E">
        <w:rPr>
          <w:lang w:val="fr-CH"/>
        </w:rPr>
        <w:t>La surveillance par les procureurs et les membres de l’appareil judiciaire est importante en ce qu’elle leur permet d’avoir conscience des conditions qui prévalent au moment de décider de l’incarcération d’un individu</w:t>
      </w:r>
      <w:r w:rsidRPr="00ED1E3E">
        <w:rPr>
          <w:rStyle w:val="FootnoteReference"/>
          <w:lang w:val="fr-CH"/>
        </w:rPr>
        <w:footnoteReference w:id="239"/>
      </w:r>
      <w:r w:rsidRPr="00ED1E3E">
        <w:rPr>
          <w:lang w:val="fr-CH"/>
        </w:rPr>
        <w:t>. L’on espère également que le projet de Principes de base et lignes directrices sur les voies et procédures permettant aux personnes privées de liberté d’introduire un recours devant un tribunal incitera à mettre en place des mécanismes efficaces de contrôle judiciaire de toutes les situations de privation de liberté</w:t>
      </w:r>
      <w:r w:rsidRPr="00ED1E3E">
        <w:rPr>
          <w:rStyle w:val="FootnoteReference"/>
          <w:lang w:val="fr-CH"/>
        </w:rPr>
        <w:footnoteReference w:id="240"/>
      </w:r>
      <w:r w:rsidRPr="00ED1E3E">
        <w:rPr>
          <w:lang w:val="fr-CH"/>
        </w:rPr>
        <w:t>. Les inspections menées par différents organismes professionnels pour s’assurer du respect des normes en matière de sécurité et de salubrité, de construction, d’hygiène et d’assainissement sont primordiales</w:t>
      </w:r>
      <w:r w:rsidRPr="00ED1E3E">
        <w:rPr>
          <w:rStyle w:val="FootnoteReference"/>
          <w:lang w:val="fr-CH"/>
        </w:rPr>
        <w:footnoteReference w:id="241"/>
      </w:r>
      <w:r w:rsidRPr="00ED1E3E">
        <w:rPr>
          <w:lang w:val="fr-CH"/>
        </w:rPr>
        <w:t>. Les contrôles indépendants effectués par les mécanismes nationaux de prévention, les institutions nationales des droits de l’homme et la société civile, par exemple, contribuent à la surveillance de la surpopulation carcérale et aident les autorités à y remédier</w:t>
      </w:r>
      <w:r w:rsidRPr="00ED1E3E">
        <w:rPr>
          <w:rStyle w:val="FootnoteReference"/>
          <w:lang w:val="fr-CH"/>
        </w:rPr>
        <w:footnoteReference w:id="242"/>
      </w:r>
      <w:r w:rsidRPr="00ED1E3E">
        <w:rPr>
          <w:lang w:val="fr-CH"/>
        </w:rPr>
        <w:t>.</w:t>
      </w:r>
    </w:p>
    <w:p w:rsidR="005F5012" w:rsidRPr="00ED1E3E" w:rsidRDefault="005F5012" w:rsidP="00E56BFF">
      <w:pPr>
        <w:pStyle w:val="SingleTxt"/>
        <w:numPr>
          <w:ilvl w:val="0"/>
          <w:numId w:val="15"/>
        </w:numPr>
        <w:tabs>
          <w:tab w:val="clear" w:pos="475"/>
          <w:tab w:val="num" w:pos="1742"/>
        </w:tabs>
        <w:ind w:left="1267"/>
        <w:rPr>
          <w:lang w:val="fr-CH"/>
        </w:rPr>
      </w:pPr>
      <w:r w:rsidRPr="00ED1E3E">
        <w:rPr>
          <w:lang w:val="fr-CH"/>
        </w:rPr>
        <w:t>L’existence et le bon fonctionnement de mécanismes de plainte indépendants et pleinement accessibles aux détenus sont aussi extrêmement importants en ce qu’ils contribuent à atténuer la surpopulation carcérale et l’incarcération excessive, et leurs incidences négatives</w:t>
      </w:r>
      <w:r w:rsidRPr="00ED1E3E">
        <w:rPr>
          <w:rStyle w:val="FootnoteReference"/>
          <w:lang w:val="fr-CH"/>
        </w:rPr>
        <w:footnoteReference w:id="243"/>
      </w:r>
      <w:r w:rsidRPr="00ED1E3E">
        <w:rPr>
          <w:lang w:val="fr-CH"/>
        </w:rPr>
        <w:t>.</w:t>
      </w:r>
    </w:p>
    <w:p w:rsidR="005F5012" w:rsidRPr="00ED1E3E" w:rsidRDefault="005F5012" w:rsidP="005F5012">
      <w:pPr>
        <w:pStyle w:val="SingleTxt"/>
        <w:spacing w:after="0" w:line="120" w:lineRule="exact"/>
        <w:rPr>
          <w:sz w:val="10"/>
          <w:lang w:val="fr-CH"/>
        </w:rPr>
      </w:pPr>
    </w:p>
    <w:p w:rsidR="005F5012" w:rsidRPr="00ED1E3E" w:rsidRDefault="005F5012" w:rsidP="005F5012">
      <w:pPr>
        <w:pStyle w:val="SingleTxt"/>
        <w:spacing w:after="0" w:line="120" w:lineRule="exact"/>
        <w:rPr>
          <w:sz w:val="10"/>
          <w:lang w:val="fr-CH"/>
        </w:rPr>
      </w:pPr>
    </w:p>
    <w:p w:rsidR="005F5012" w:rsidRPr="00ED1E3E" w:rsidRDefault="005F5012" w:rsidP="005F501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D1E3E">
        <w:rPr>
          <w:lang w:val="fr-CH"/>
        </w:rPr>
        <w:tab/>
        <w:t>V.</w:t>
      </w:r>
      <w:r w:rsidRPr="00ED1E3E">
        <w:rPr>
          <w:lang w:val="fr-CH"/>
        </w:rPr>
        <w:tab/>
        <w:t>Conclusions</w:t>
      </w:r>
    </w:p>
    <w:p w:rsidR="005F5012" w:rsidRPr="00ED1E3E" w:rsidRDefault="005F5012" w:rsidP="005F5012">
      <w:pPr>
        <w:pStyle w:val="SingleTxt"/>
        <w:spacing w:after="0" w:line="120" w:lineRule="exact"/>
        <w:rPr>
          <w:b/>
          <w:sz w:val="10"/>
          <w:lang w:val="fr-CH"/>
        </w:rPr>
      </w:pPr>
    </w:p>
    <w:p w:rsidR="005F5012" w:rsidRPr="00ED1E3E" w:rsidRDefault="005F5012" w:rsidP="005F5012">
      <w:pPr>
        <w:pStyle w:val="SingleTxt"/>
        <w:spacing w:after="0" w:line="120" w:lineRule="exact"/>
        <w:rPr>
          <w:b/>
          <w:sz w:val="10"/>
          <w:lang w:val="fr-CH"/>
        </w:rPr>
      </w:pPr>
    </w:p>
    <w:p w:rsidR="005F5012" w:rsidRPr="00ED1E3E" w:rsidRDefault="005F5012" w:rsidP="00E56BFF">
      <w:pPr>
        <w:pStyle w:val="SingleTxt"/>
        <w:numPr>
          <w:ilvl w:val="0"/>
          <w:numId w:val="15"/>
        </w:numPr>
        <w:tabs>
          <w:tab w:val="clear" w:pos="475"/>
          <w:tab w:val="num" w:pos="1742"/>
        </w:tabs>
        <w:ind w:left="1267"/>
        <w:rPr>
          <w:b/>
          <w:lang w:val="fr-CH"/>
        </w:rPr>
      </w:pPr>
      <w:r w:rsidRPr="00ED1E3E">
        <w:rPr>
          <w:b/>
          <w:lang w:val="fr-CH"/>
        </w:rPr>
        <w:t xml:space="preserve">Lorsqu’ils recourent à la privation de liberté, les États portent atteinte à l’un des droits fondamentaux de l’homme : la liberté de la personne. Pour justifier une telle immixtion, les États ne devraient priver un individu de liberté </w:t>
      </w:r>
      <w:r w:rsidRPr="00ED1E3E">
        <w:rPr>
          <w:b/>
          <w:lang w:val="fr-CH"/>
        </w:rPr>
        <w:lastRenderedPageBreak/>
        <w:t>qu’en dernier ressort et seulement après avoir pris dûment en considération les mesures de substitution à l’emprisonnement.</w:t>
      </w:r>
    </w:p>
    <w:p w:rsidR="005F5012" w:rsidRPr="00ED1E3E" w:rsidRDefault="005F5012" w:rsidP="00E56BFF">
      <w:pPr>
        <w:pStyle w:val="SingleTxt"/>
        <w:numPr>
          <w:ilvl w:val="0"/>
          <w:numId w:val="15"/>
        </w:numPr>
        <w:tabs>
          <w:tab w:val="clear" w:pos="475"/>
          <w:tab w:val="num" w:pos="1742"/>
        </w:tabs>
        <w:ind w:left="1267"/>
        <w:rPr>
          <w:b/>
          <w:lang w:val="fr-CH"/>
        </w:rPr>
      </w:pPr>
      <w:r w:rsidRPr="00ED1E3E">
        <w:rPr>
          <w:b/>
          <w:lang w:val="fr-CH"/>
        </w:rPr>
        <w:t>Cependant, lorsque la privation de liberté est absolument nécessaire, l’État a des responsabilités particulières à l’égard de ceux qui sont placés en détention, notamment l’obligation de traiter tous les détenus avec le respect dû à la dignité et à la valeur qui leur sont inhérentes en tant qu’êtres humains, première exigence de l’Ensemble de règles minima des Nations Unies pour le traitement des détenus (Règles Mandela)</w:t>
      </w:r>
      <w:r w:rsidRPr="00ED1E3E">
        <w:rPr>
          <w:rStyle w:val="FootnoteReference"/>
          <w:lang w:val="fr-CH"/>
        </w:rPr>
        <w:footnoteReference w:id="244"/>
      </w:r>
      <w:r w:rsidRPr="00ED1E3E">
        <w:rPr>
          <w:b/>
          <w:lang w:val="fr-CH"/>
        </w:rPr>
        <w:t>.</w:t>
      </w:r>
    </w:p>
    <w:p w:rsidR="005F5012" w:rsidRPr="00ED1E3E" w:rsidRDefault="005F5012" w:rsidP="00E56BFF">
      <w:pPr>
        <w:pStyle w:val="SingleTxt"/>
        <w:numPr>
          <w:ilvl w:val="0"/>
          <w:numId w:val="15"/>
        </w:numPr>
        <w:tabs>
          <w:tab w:val="clear" w:pos="475"/>
          <w:tab w:val="num" w:pos="1742"/>
        </w:tabs>
        <w:ind w:left="1267"/>
        <w:rPr>
          <w:b/>
          <w:lang w:val="fr-CH"/>
        </w:rPr>
      </w:pPr>
      <w:r w:rsidRPr="00ED1E3E">
        <w:rPr>
          <w:b/>
          <w:lang w:val="fr-CH"/>
        </w:rPr>
        <w:t>Le recours excessif à la détention met à rude épreuve les ressources souvent maigres des prisons et expose le personnel pénitentiaire à des situations extrêmement difficiles, voire dangereuses, outre les graves incidences que cette pratique a sur les droits de l’homme des personnes privées de liberté. De plus, l’incarcération excessive est aussi l’une des principales causes sous-jacentes de la surpopulation carcérale, qui crée des conditions pouvant être assimilées à de mauvais traitements voire à la torture</w:t>
      </w:r>
      <w:r w:rsidRPr="00ED1E3E">
        <w:rPr>
          <w:rStyle w:val="FootnoteReference"/>
          <w:lang w:val="fr-CH"/>
        </w:rPr>
        <w:footnoteReference w:id="245"/>
      </w:r>
      <w:r w:rsidRPr="00ED1E3E">
        <w:rPr>
          <w:b/>
          <w:lang w:val="fr-CH"/>
        </w:rPr>
        <w:t>.</w:t>
      </w:r>
    </w:p>
    <w:p w:rsidR="005F5012" w:rsidRPr="00ED1E3E" w:rsidRDefault="005F5012" w:rsidP="00E56BFF">
      <w:pPr>
        <w:pStyle w:val="SingleTxt"/>
        <w:numPr>
          <w:ilvl w:val="0"/>
          <w:numId w:val="15"/>
        </w:numPr>
        <w:tabs>
          <w:tab w:val="clear" w:pos="475"/>
          <w:tab w:val="num" w:pos="1742"/>
        </w:tabs>
        <w:ind w:left="1267"/>
        <w:rPr>
          <w:b/>
          <w:lang w:val="fr-CH"/>
        </w:rPr>
      </w:pPr>
      <w:r w:rsidRPr="00ED1E3E">
        <w:rPr>
          <w:b/>
          <w:lang w:val="fr-CH"/>
        </w:rPr>
        <w:t>La section IV du présent rapport contient plusieurs recommandations pour remédier aux problèmes de l’incarcération excessive et de la surpopulation carcérale et à leurs incidences sur les droits de l’homme. Il y est notamment recommandé d’adopter une approche proactive et globale; de garantir le respect du droit de tout détenu de contester sa mise en détention, de bénéficier de l’assistance d’un avocat et d’avoir accès à l’aide juridique; de ne détenir des personnes que dans des lieux conçus à cet effet; de n’avoir recours à la détention avant jugement qu’en dernier ressort; de mettre au point et d’appliquer des mesures de substitution à la privation de liberté tant au stade de l’instruction qu’après la condamnation; de réexaminer les politiques et la législation pénales afin de garantir la proportionnalité des peines; d’offrir des services concrets de réadaptation afin de contribuer à la réduction des taux de récidive; et de veiller à l’existence et au bon fonctionnement de mécanismes de surveillance et de plainte indépendants.</w:t>
      </w:r>
    </w:p>
    <w:p w:rsidR="005F5012" w:rsidRPr="00ED1E3E" w:rsidRDefault="005F5012" w:rsidP="00E56BFF">
      <w:pPr>
        <w:pStyle w:val="SingleTxt"/>
        <w:numPr>
          <w:ilvl w:val="0"/>
          <w:numId w:val="15"/>
        </w:numPr>
        <w:tabs>
          <w:tab w:val="clear" w:pos="475"/>
          <w:tab w:val="num" w:pos="1742"/>
        </w:tabs>
        <w:ind w:left="1267"/>
        <w:rPr>
          <w:lang w:val="fr-CH"/>
        </w:rPr>
      </w:pPr>
      <w:r w:rsidRPr="00ED1E3E">
        <w:rPr>
          <w:b/>
          <w:lang w:val="fr-CH"/>
        </w:rPr>
        <w:t>Dans la mesure où la détention accentue, par sa nature même, le handicap social et la vulnérabilité aux violations des droits de l’homme, les mesures prises par les États pour assurer le respect et la protection des droits des détenus sont d’une importance capitale</w:t>
      </w:r>
      <w:r w:rsidRPr="00ED1E3E">
        <w:rPr>
          <w:rStyle w:val="FootnoteReference"/>
          <w:lang w:val="fr-CH"/>
        </w:rPr>
        <w:footnoteReference w:id="246"/>
      </w:r>
      <w:r w:rsidRPr="00ED1E3E">
        <w:rPr>
          <w:b/>
          <w:lang w:val="fr-CH"/>
        </w:rPr>
        <w:t>. Les mesures proactives destinées à remédier aux problèmes de l’incarcération excessive et de la surpopulation carcérale non seulement garantissent que les États respectent leurs obligations internationales mais garantissent aussi aux détenus la dignité inhérente à tout être humain</w:t>
      </w:r>
      <w:r w:rsidRPr="00ED1E3E">
        <w:rPr>
          <w:lang w:val="fr-CH"/>
        </w:rPr>
        <w:t>.</w:t>
      </w:r>
    </w:p>
    <w:p w:rsidR="00836F7E" w:rsidRPr="00ED1E3E" w:rsidRDefault="00836F7E" w:rsidP="00836F7E">
      <w:pPr>
        <w:pStyle w:val="SingleTxt"/>
        <w:spacing w:after="0" w:line="240" w:lineRule="auto"/>
        <w:rPr>
          <w:lang w:val="fr-CH"/>
        </w:rPr>
      </w:pPr>
      <w:r w:rsidRPr="00ED1E3E">
        <w:rPr>
          <w:noProof/>
          <w:w w:val="100"/>
          <w:lang w:val="en-US"/>
        </w:rPr>
        <mc:AlternateContent>
          <mc:Choice Requires="wps">
            <w:drawing>
              <wp:anchor distT="0" distB="0" distL="114300" distR="114300" simplePos="0" relativeHeight="251659264" behindDoc="0" locked="0" layoutInCell="1" allowOverlap="1" wp14:anchorId="64690683" wp14:editId="2C2BB798">
                <wp:simplePos x="0" y="0"/>
                <wp:positionH relativeFrom="page">
                  <wp:posOffset>3429000</wp:posOffset>
                </wp:positionH>
                <wp:positionV relativeFrom="paragraph">
                  <wp:posOffset>304800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" strokecolor="#010000" strokeweight=".25pt">
                <w10:wrap anchorx="page"/>
              </v:line>
            </w:pict>
          </mc:Fallback>
        </mc:AlternateContent>
      </w:r>
    </w:p>
    <w:sectPr w:rsidR="00836F7E" w:rsidRPr="00ED1E3E" w:rsidSect="0095602D">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6T11:01:00Z" w:initials="Start">
    <w:p w:rsidR="009D3BD6" w:rsidRDefault="009D3BD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NO&gt;&gt;N1517718F&lt;&lt;ODS JOB NO&gt;&gt;</w:t>
      </w:r>
    </w:p>
    <w:p w:rsidR="009D3BD6" w:rsidRDefault="009D3BD6">
      <w:pPr>
        <w:pStyle w:val="CommentText"/>
      </w:pPr>
      <w:r>
        <w:t>&lt;&lt;ODS DOC SYMBOL1&gt;&gt;A/HRC/30/19&lt;&lt;ODS DOC SYMBOL1&gt;&gt;</w:t>
      </w:r>
    </w:p>
    <w:p w:rsidR="009D3BD6" w:rsidRDefault="009D3BD6">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BD6" w:rsidRDefault="009D3BD6" w:rsidP="00F3330B">
      <w:pPr>
        <w:spacing w:line="240" w:lineRule="auto"/>
      </w:pPr>
      <w:r>
        <w:separator/>
      </w:r>
    </w:p>
  </w:endnote>
  <w:endnote w:type="continuationSeparator" w:id="0">
    <w:p w:rsidR="009D3BD6" w:rsidRDefault="009D3BD6"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D3BD6" w:rsidTr="0095602D">
      <w:trPr>
        <w:jc w:val="center"/>
      </w:trPr>
      <w:tc>
        <w:tcPr>
          <w:tcW w:w="5126" w:type="dxa"/>
          <w:shd w:val="clear" w:color="auto" w:fill="auto"/>
        </w:tcPr>
        <w:p w:rsidR="009D3BD6" w:rsidRPr="0095602D" w:rsidRDefault="009D3BD6" w:rsidP="0095602D">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52F13">
            <w:rPr>
              <w:b w:val="0"/>
              <w:w w:val="103"/>
              <w:sz w:val="14"/>
            </w:rPr>
            <w:t>GE.15-13463</w:t>
          </w:r>
          <w:r>
            <w:rPr>
              <w:b w:val="0"/>
              <w:w w:val="103"/>
              <w:sz w:val="14"/>
            </w:rPr>
            <w:fldChar w:fldCharType="end"/>
          </w:r>
        </w:p>
      </w:tc>
      <w:tc>
        <w:tcPr>
          <w:tcW w:w="5127" w:type="dxa"/>
          <w:shd w:val="clear" w:color="auto" w:fill="auto"/>
        </w:tcPr>
        <w:p w:rsidR="009D3BD6" w:rsidRPr="0095602D" w:rsidRDefault="009D3BD6" w:rsidP="0095602D">
          <w:pPr>
            <w:pStyle w:val="Footer"/>
            <w:rPr>
              <w:w w:val="103"/>
            </w:rPr>
          </w:pPr>
          <w:r>
            <w:rPr>
              <w:w w:val="103"/>
            </w:rPr>
            <w:fldChar w:fldCharType="begin"/>
          </w:r>
          <w:r>
            <w:rPr>
              <w:w w:val="103"/>
            </w:rPr>
            <w:instrText xml:space="preserve"> PAGE  \* Arabic  \* MERGEFORMAT </w:instrText>
          </w:r>
          <w:r>
            <w:rPr>
              <w:w w:val="103"/>
            </w:rPr>
            <w:fldChar w:fldCharType="separate"/>
          </w:r>
          <w:r w:rsidR="00052F13">
            <w:rPr>
              <w:noProof/>
              <w:w w:val="103"/>
            </w:rPr>
            <w:t>22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52F13">
            <w:rPr>
              <w:noProof/>
              <w:w w:val="103"/>
            </w:rPr>
            <w:t>22</w:t>
          </w:r>
          <w:r>
            <w:rPr>
              <w:w w:val="103"/>
            </w:rPr>
            <w:fldChar w:fldCharType="end"/>
          </w:r>
        </w:p>
      </w:tc>
    </w:tr>
  </w:tbl>
  <w:p w:rsidR="009D3BD6" w:rsidRPr="0095602D" w:rsidRDefault="009D3BD6" w:rsidP="009560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D3BD6" w:rsidTr="0095602D">
      <w:trPr>
        <w:jc w:val="center"/>
      </w:trPr>
      <w:tc>
        <w:tcPr>
          <w:tcW w:w="5126" w:type="dxa"/>
          <w:shd w:val="clear" w:color="auto" w:fill="auto"/>
        </w:tcPr>
        <w:p w:rsidR="009D3BD6" w:rsidRPr="0095602D" w:rsidRDefault="009D3BD6" w:rsidP="0095602D">
          <w:pPr>
            <w:pStyle w:val="Footer"/>
            <w:jc w:val="right"/>
            <w:rPr>
              <w:w w:val="103"/>
            </w:rPr>
          </w:pPr>
          <w:r>
            <w:rPr>
              <w:w w:val="103"/>
            </w:rPr>
            <w:fldChar w:fldCharType="begin"/>
          </w:r>
          <w:r>
            <w:rPr>
              <w:w w:val="103"/>
            </w:rPr>
            <w:instrText xml:space="preserve"> PAGE  \* Arabic  \* MERGEFORMAT </w:instrText>
          </w:r>
          <w:r>
            <w:rPr>
              <w:w w:val="103"/>
            </w:rPr>
            <w:fldChar w:fldCharType="separate"/>
          </w:r>
          <w:r w:rsidR="00052F13">
            <w:rPr>
              <w:noProof/>
              <w:w w:val="103"/>
            </w:rPr>
            <w:t>21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52F13">
            <w:rPr>
              <w:noProof/>
              <w:w w:val="103"/>
            </w:rPr>
            <w:t>22</w:t>
          </w:r>
          <w:r>
            <w:rPr>
              <w:w w:val="103"/>
            </w:rPr>
            <w:fldChar w:fldCharType="end"/>
          </w:r>
        </w:p>
      </w:tc>
      <w:tc>
        <w:tcPr>
          <w:tcW w:w="5127" w:type="dxa"/>
          <w:shd w:val="clear" w:color="auto" w:fill="auto"/>
        </w:tcPr>
        <w:p w:rsidR="009D3BD6" w:rsidRPr="0095602D" w:rsidRDefault="009D3BD6" w:rsidP="0095602D">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52F13">
            <w:rPr>
              <w:b w:val="0"/>
              <w:w w:val="103"/>
              <w:sz w:val="14"/>
            </w:rPr>
            <w:t>GE.15-13463</w:t>
          </w:r>
          <w:r>
            <w:rPr>
              <w:b w:val="0"/>
              <w:w w:val="103"/>
              <w:sz w:val="14"/>
            </w:rPr>
            <w:fldChar w:fldCharType="end"/>
          </w:r>
        </w:p>
      </w:tc>
    </w:tr>
  </w:tbl>
  <w:p w:rsidR="009D3BD6" w:rsidRPr="0095602D" w:rsidRDefault="009D3BD6" w:rsidP="009560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D6" w:rsidRDefault="009D3BD6">
    <w:pPr>
      <w:pStyle w:val="Footer"/>
    </w:pPr>
    <w:r>
      <w:rPr>
        <w:noProof/>
      </w:rPr>
      <w:drawing>
        <wp:anchor distT="0" distB="0" distL="114300" distR="114300" simplePos="0" relativeHeight="251658240" behindDoc="0" locked="0" layoutInCell="1" allowOverlap="1" wp14:anchorId="1E6A697F" wp14:editId="735DF4C4">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19&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9&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9D3BD6" w:rsidTr="0095602D">
      <w:tc>
        <w:tcPr>
          <w:tcW w:w="3859" w:type="dxa"/>
        </w:tcPr>
        <w:p w:rsidR="009D3BD6" w:rsidRDefault="009D3BD6" w:rsidP="0095602D">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052F13">
            <w:rPr>
              <w:b w:val="0"/>
              <w:sz w:val="20"/>
            </w:rPr>
            <w:t>GE.15-13463 (F)</w:t>
          </w:r>
          <w:r>
            <w:rPr>
              <w:b w:val="0"/>
              <w:sz w:val="20"/>
            </w:rPr>
            <w:fldChar w:fldCharType="end"/>
          </w:r>
          <w:r>
            <w:rPr>
              <w:b w:val="0"/>
              <w:sz w:val="20"/>
            </w:rPr>
            <w:t xml:space="preserve">    160915    160915</w:t>
          </w:r>
        </w:p>
        <w:p w:rsidR="009D3BD6" w:rsidRPr="0095602D" w:rsidRDefault="009D3BD6" w:rsidP="0095602D">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052F13">
            <w:rPr>
              <w:rFonts w:ascii="Barcode 3 of 9 by request" w:hAnsi="Barcode 3 of 9 by request"/>
              <w:b w:val="0"/>
              <w:spacing w:val="0"/>
              <w:w w:val="100"/>
              <w:sz w:val="24"/>
            </w:rPr>
            <w:t>*1513463*</w:t>
          </w:r>
          <w:r>
            <w:rPr>
              <w:rFonts w:ascii="Barcode 3 of 9 by request" w:hAnsi="Barcode 3 of 9 by request"/>
              <w:b w:val="0"/>
              <w:spacing w:val="0"/>
              <w:w w:val="100"/>
              <w:sz w:val="24"/>
            </w:rPr>
            <w:fldChar w:fldCharType="end"/>
          </w:r>
        </w:p>
      </w:tc>
      <w:tc>
        <w:tcPr>
          <w:tcW w:w="5127" w:type="dxa"/>
        </w:tcPr>
        <w:p w:rsidR="009D3BD6" w:rsidRDefault="009D3BD6" w:rsidP="0095602D">
          <w:pPr>
            <w:pStyle w:val="Footer"/>
            <w:spacing w:line="240" w:lineRule="atLeast"/>
            <w:jc w:val="right"/>
            <w:rPr>
              <w:b w:val="0"/>
              <w:sz w:val="20"/>
            </w:rPr>
          </w:pPr>
          <w:r>
            <w:rPr>
              <w:b w:val="0"/>
              <w:noProof/>
              <w:sz w:val="20"/>
            </w:rPr>
            <w:drawing>
              <wp:inline distT="0" distB="0" distL="0" distR="0" wp14:anchorId="7683F5EA" wp14:editId="3F7E15CF">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9D3BD6" w:rsidRPr="0095602D" w:rsidRDefault="009D3BD6" w:rsidP="0095602D">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BD6" w:rsidRPr="00824B55" w:rsidRDefault="009D3BD6" w:rsidP="00824B55">
      <w:pPr>
        <w:pStyle w:val="Footer"/>
        <w:spacing w:after="80"/>
        <w:ind w:left="792"/>
        <w:rPr>
          <w:sz w:val="16"/>
        </w:rPr>
      </w:pPr>
      <w:r w:rsidRPr="00824B55">
        <w:rPr>
          <w:sz w:val="16"/>
        </w:rPr>
        <w:t>__________________</w:t>
      </w:r>
    </w:p>
  </w:footnote>
  <w:footnote w:type="continuationSeparator" w:id="0">
    <w:p w:rsidR="009D3BD6" w:rsidRPr="00824B55" w:rsidRDefault="009D3BD6" w:rsidP="00824B55">
      <w:pPr>
        <w:pStyle w:val="Footer"/>
        <w:spacing w:after="80"/>
        <w:ind w:left="792"/>
        <w:rPr>
          <w:sz w:val="16"/>
        </w:rPr>
      </w:pPr>
      <w:r w:rsidRPr="00824B55">
        <w:rPr>
          <w:sz w:val="16"/>
        </w:rPr>
        <w:t>__________________</w:t>
      </w:r>
    </w:p>
  </w:footnote>
  <w:footnote w:id="1">
    <w:p w:rsidR="009D3BD6" w:rsidRPr="00ED1E3E" w:rsidRDefault="009D3BD6"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t>Voir CCPR/C/GC/35, par. 2.</w:t>
      </w:r>
    </w:p>
  </w:footnote>
  <w:footnote w:id="2">
    <w:p w:rsidR="009D3BD6" w:rsidRPr="00ED1E3E" w:rsidRDefault="009D3BD6"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t>Ibid., par. 10.</w:t>
      </w:r>
    </w:p>
  </w:footnote>
  <w:footnote w:id="3">
    <w:p w:rsidR="009D3BD6" w:rsidRPr="00ED1E3E" w:rsidRDefault="009D3BD6"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r>
      <w:r w:rsidRPr="00ED1E3E">
        <w:rPr>
          <w:szCs w:val="18"/>
          <w:lang w:val="fr-CH"/>
        </w:rPr>
        <w:t xml:space="preserve">Voir Roy Walmsley, </w:t>
      </w:r>
      <w:r w:rsidR="00B9644D" w:rsidRPr="00ED1E3E">
        <w:rPr>
          <w:i/>
          <w:szCs w:val="18"/>
          <w:lang w:val="fr-CH"/>
        </w:rPr>
        <w:t>World Prison Population List</w:t>
      </w:r>
      <w:r w:rsidRPr="00ED1E3E">
        <w:rPr>
          <w:szCs w:val="18"/>
          <w:lang w:val="fr-CH"/>
        </w:rPr>
        <w:t>, 10</w:t>
      </w:r>
      <w:r w:rsidRPr="00ED1E3E">
        <w:rPr>
          <w:szCs w:val="18"/>
          <w:vertAlign w:val="superscript"/>
          <w:lang w:val="fr-CH"/>
        </w:rPr>
        <w:t>e</w:t>
      </w:r>
      <w:r w:rsidR="00B9644D" w:rsidRPr="00ED1E3E">
        <w:rPr>
          <w:szCs w:val="18"/>
          <w:lang w:val="fr-CH"/>
        </w:rPr>
        <w:t> </w:t>
      </w:r>
      <w:r w:rsidRPr="00ED1E3E">
        <w:rPr>
          <w:szCs w:val="18"/>
          <w:lang w:val="fr-CH"/>
        </w:rPr>
        <w:t>éd. (Londres, International Centre for Prison Studies, 2013).</w:t>
      </w:r>
    </w:p>
  </w:footnote>
  <w:footnote w:id="4">
    <w:p w:rsidR="009D3BD6" w:rsidRPr="00ED1E3E" w:rsidRDefault="009D3BD6"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r>
      <w:r w:rsidRPr="00ED1E3E">
        <w:rPr>
          <w:szCs w:val="18"/>
          <w:lang w:val="fr-CH"/>
        </w:rPr>
        <w:t xml:space="preserve">Voir Roy Walmsley, </w:t>
      </w:r>
      <w:r w:rsidRPr="00ED1E3E">
        <w:rPr>
          <w:i/>
          <w:szCs w:val="18"/>
          <w:lang w:val="fr-CH"/>
        </w:rPr>
        <w:t>World Pre-trial/Remand Imprisonment List</w:t>
      </w:r>
      <w:r w:rsidRPr="00ED1E3E">
        <w:rPr>
          <w:szCs w:val="18"/>
          <w:lang w:val="fr-CH"/>
        </w:rPr>
        <w:t>, 2</w:t>
      </w:r>
      <w:r w:rsidRPr="00ED1E3E">
        <w:rPr>
          <w:szCs w:val="18"/>
          <w:vertAlign w:val="superscript"/>
          <w:lang w:val="fr-CH"/>
        </w:rPr>
        <w:t>e</w:t>
      </w:r>
      <w:r w:rsidR="00B9644D" w:rsidRPr="00ED1E3E">
        <w:rPr>
          <w:szCs w:val="18"/>
          <w:lang w:val="fr-CH"/>
        </w:rPr>
        <w:t> </w:t>
      </w:r>
      <w:r w:rsidRPr="00ED1E3E">
        <w:rPr>
          <w:szCs w:val="18"/>
          <w:lang w:val="fr-CH"/>
        </w:rPr>
        <w:t>éd. (Londres, International Centre for Prison Studies, 2014).</w:t>
      </w:r>
    </w:p>
  </w:footnote>
  <w:footnote w:id="5">
    <w:p w:rsidR="009D3BD6" w:rsidRPr="00ED1E3E" w:rsidRDefault="009D3BD6"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r>
      <w:r w:rsidRPr="00ED1E3E">
        <w:rPr>
          <w:szCs w:val="18"/>
          <w:lang w:val="fr-CH"/>
        </w:rPr>
        <w:t>Voir International Centre for Prison Studies, Highest to Lowest-Occupancy level (based on official capacity) (Londres, 2014).</w:t>
      </w:r>
    </w:p>
  </w:footnote>
  <w:footnote w:id="6">
    <w:p w:rsidR="009D3BD6" w:rsidRPr="00ED1E3E" w:rsidRDefault="009D3BD6"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r>
      <w:r w:rsidRPr="00ED1E3E">
        <w:rPr>
          <w:szCs w:val="18"/>
          <w:lang w:val="fr-CH"/>
        </w:rPr>
        <w:t>Voir CAT/OP/MLI/1, par. 49.</w:t>
      </w:r>
    </w:p>
  </w:footnote>
  <w:footnote w:id="7">
    <w:p w:rsidR="009D3BD6" w:rsidRPr="00ED1E3E" w:rsidRDefault="009D3BD6" w:rsidP="00824B55">
      <w:pPr>
        <w:pStyle w:val="FootnoteText"/>
        <w:tabs>
          <w:tab w:val="right" w:pos="1195"/>
          <w:tab w:val="left" w:pos="1267"/>
          <w:tab w:val="left" w:pos="1742"/>
          <w:tab w:val="left" w:pos="2218"/>
          <w:tab w:val="left" w:pos="2693"/>
        </w:tabs>
        <w:spacing w:line="240" w:lineRule="auto"/>
        <w:ind w:left="1267" w:right="1260" w:hanging="432"/>
        <w:contextualSpacing/>
        <w:rPr>
          <w:szCs w:val="18"/>
          <w:lang w:val="fr-CH"/>
        </w:rPr>
      </w:pPr>
      <w:r w:rsidRPr="00ED1E3E">
        <w:rPr>
          <w:lang w:val="fr-CH"/>
        </w:rPr>
        <w:tab/>
      </w:r>
      <w:r w:rsidRPr="00ED1E3E">
        <w:rPr>
          <w:rStyle w:val="FootnoteReference"/>
          <w:lang w:val="fr-CH"/>
        </w:rPr>
        <w:footnoteRef/>
      </w:r>
      <w:r w:rsidRPr="00ED1E3E">
        <w:rPr>
          <w:lang w:val="fr-CH"/>
        </w:rPr>
        <w:tab/>
      </w:r>
      <w:r w:rsidRPr="00ED1E3E">
        <w:rPr>
          <w:szCs w:val="18"/>
          <w:lang w:val="fr-CH"/>
        </w:rPr>
        <w:t>Voir A/HRC/22/53/Add.2, par. 81; CAT/OP/BRA/1, par. 96.</w:t>
      </w:r>
    </w:p>
  </w:footnote>
  <w:footnote w:id="8">
    <w:p w:rsidR="009D3BD6" w:rsidRPr="00ED1E3E" w:rsidRDefault="009D3BD6"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r>
      <w:r w:rsidRPr="00ED1E3E">
        <w:rPr>
          <w:szCs w:val="18"/>
          <w:lang w:val="fr-CH"/>
        </w:rPr>
        <w:t>Voir CAT/OP/BEN/1, par. 147.</w:t>
      </w:r>
    </w:p>
  </w:footnote>
  <w:footnote w:id="9">
    <w:p w:rsidR="009D3BD6" w:rsidRPr="00ED1E3E" w:rsidRDefault="009D3BD6"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t>Voir www.ohchr.org/EN/NewsEvents/Pages/DisplayNews.aspx?NewsID=16033&amp;LangID=E.</w:t>
      </w:r>
    </w:p>
  </w:footnote>
  <w:footnote w:id="10">
    <w:p w:rsidR="009D3BD6" w:rsidRPr="00ED1E3E" w:rsidRDefault="009D3BD6"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r>
      <w:r w:rsidRPr="00ED1E3E">
        <w:rPr>
          <w:szCs w:val="18"/>
          <w:lang w:val="fr-CH"/>
        </w:rPr>
        <w:t>Voir le document CPT/Inf (2015) 6 du Conseil de l</w:t>
      </w:r>
      <w:r w:rsidR="00174C4F" w:rsidRPr="00ED1E3E">
        <w:rPr>
          <w:szCs w:val="18"/>
          <w:lang w:val="fr-CH"/>
        </w:rPr>
        <w:t>’</w:t>
      </w:r>
      <w:r w:rsidRPr="00ED1E3E">
        <w:rPr>
          <w:szCs w:val="18"/>
          <w:lang w:val="fr-CH"/>
        </w:rPr>
        <w:t>Europe, par. 57.</w:t>
      </w:r>
    </w:p>
  </w:footnote>
  <w:footnote w:id="11">
    <w:p w:rsidR="009D3BD6" w:rsidRPr="00ED1E3E" w:rsidRDefault="009D3BD6"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r>
      <w:r w:rsidRPr="00ED1E3E">
        <w:rPr>
          <w:szCs w:val="18"/>
          <w:lang w:val="fr-CH"/>
        </w:rPr>
        <w:t>Voir A/65/273, par. 1.</w:t>
      </w:r>
    </w:p>
  </w:footnote>
  <w:footnote w:id="12">
    <w:p w:rsidR="009D3BD6" w:rsidRPr="00ED1E3E" w:rsidRDefault="009D3BD6"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r>
      <w:r w:rsidRPr="00ED1E3E">
        <w:rPr>
          <w:szCs w:val="18"/>
          <w:lang w:val="fr-CH"/>
        </w:rPr>
        <w:t xml:space="preserve">Voir </w:t>
      </w:r>
      <w:r w:rsidRPr="00ED1E3E">
        <w:rPr>
          <w:szCs w:val="18"/>
          <w:lang w:val="fr-CH" w:eastAsia="lv-LV"/>
        </w:rPr>
        <w:t>A/68/295, par. 86.</w:t>
      </w:r>
    </w:p>
  </w:footnote>
  <w:footnote w:id="13">
    <w:p w:rsidR="009D3BD6" w:rsidRPr="00ED1E3E" w:rsidRDefault="009D3BD6"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r>
      <w:r w:rsidRPr="00ED1E3E">
        <w:rPr>
          <w:szCs w:val="18"/>
          <w:lang w:val="fr-CH"/>
        </w:rPr>
        <w:t>Voir, par exemple, la résolution 2180 (2014) du Conseil de sécurité, par. 16.</w:t>
      </w:r>
    </w:p>
  </w:footnote>
  <w:footnote w:id="14">
    <w:p w:rsidR="009D3BD6" w:rsidRPr="00ED1E3E" w:rsidRDefault="009D3BD6"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r>
      <w:r w:rsidRPr="00ED1E3E">
        <w:rPr>
          <w:szCs w:val="18"/>
          <w:lang w:val="fr-CH"/>
        </w:rPr>
        <w:t xml:space="preserve">Voir, par exemple, CAT/C/RWA/CO/1, par. 19, et CAT/C/TGO/CO/2, par. 13. </w:t>
      </w:r>
    </w:p>
  </w:footnote>
  <w:footnote w:id="15">
    <w:p w:rsidR="009D3BD6" w:rsidRPr="00ED1E3E" w:rsidRDefault="009D3BD6"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t xml:space="preserve">Voir, par exemple, </w:t>
      </w:r>
      <w:r w:rsidRPr="00ED1E3E">
        <w:rPr>
          <w:szCs w:val="18"/>
          <w:lang w:val="fr-CH"/>
        </w:rPr>
        <w:t>CAT/OP/HND/1, par. 198.</w:t>
      </w:r>
    </w:p>
  </w:footnote>
  <w:footnote w:id="16">
    <w:p w:rsidR="009D3BD6" w:rsidRPr="00ED1E3E" w:rsidRDefault="009D3BD6"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r>
      <w:r w:rsidRPr="00ED1E3E">
        <w:rPr>
          <w:szCs w:val="18"/>
          <w:lang w:val="fr-CH"/>
        </w:rPr>
        <w:t>Voir CAT/OP/MLI/1, par. 49; CAT/OP/MEX/1, par. 177; et CAT/OP/BEN/1, par. 147.</w:t>
      </w:r>
    </w:p>
  </w:footnote>
  <w:footnote w:id="17">
    <w:p w:rsidR="009D3BD6" w:rsidRPr="00ED1E3E" w:rsidRDefault="009D3BD6"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r>
      <w:r w:rsidRPr="00ED1E3E">
        <w:rPr>
          <w:szCs w:val="18"/>
          <w:lang w:val="fr-CH"/>
        </w:rPr>
        <w:t xml:space="preserve">Voir, par exemple, </w:t>
      </w:r>
      <w:r w:rsidRPr="00ED1E3E">
        <w:rPr>
          <w:szCs w:val="18"/>
          <w:lang w:val="fr-CH" w:eastAsia="lv-LV"/>
        </w:rPr>
        <w:t>A/HRC/10/21, par. 42</w:t>
      </w:r>
      <w:r w:rsidR="00991C5F" w:rsidRPr="00ED1E3E">
        <w:rPr>
          <w:szCs w:val="18"/>
          <w:lang w:val="fr-CH" w:eastAsia="lv-LV"/>
        </w:rPr>
        <w:t>;</w:t>
      </w:r>
      <w:r w:rsidRPr="00ED1E3E">
        <w:rPr>
          <w:szCs w:val="18"/>
          <w:lang w:val="fr-CH" w:eastAsia="lv-LV"/>
        </w:rPr>
        <w:t xml:space="preserve"> et </w:t>
      </w:r>
      <w:r w:rsidRPr="00ED1E3E">
        <w:rPr>
          <w:bCs/>
          <w:szCs w:val="18"/>
          <w:lang w:val="fr-CH" w:eastAsia="lv-LV"/>
        </w:rPr>
        <w:t>A/HRC/27/48, par. 72 à 74.</w:t>
      </w:r>
    </w:p>
  </w:footnote>
  <w:footnote w:id="18">
    <w:p w:rsidR="009D3BD6" w:rsidRPr="00ED1E3E" w:rsidRDefault="009D3BD6"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t xml:space="preserve">Voir </w:t>
      </w:r>
      <w:r w:rsidRPr="00ED1E3E">
        <w:rPr>
          <w:szCs w:val="18"/>
          <w:lang w:val="fr-CH"/>
        </w:rPr>
        <w:t>www.achpr.org/files/sessions/52nd/inter-act-reps/185/activty_report_prisons_eng.pdf, p. 8.</w:t>
      </w:r>
    </w:p>
  </w:footnote>
  <w:footnote w:id="19">
    <w:p w:rsidR="009D3BD6" w:rsidRPr="00ED1E3E" w:rsidRDefault="009D3BD6"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r>
      <w:r w:rsidRPr="00ED1E3E">
        <w:rPr>
          <w:szCs w:val="18"/>
          <w:lang w:val="fr-CH"/>
        </w:rPr>
        <w:t>CCPR/C/GC/35, par. 5.</w:t>
      </w:r>
    </w:p>
  </w:footnote>
  <w:footnote w:id="20">
    <w:p w:rsidR="009D3BD6" w:rsidRPr="00ED1E3E" w:rsidRDefault="009D3BD6"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r>
      <w:r w:rsidRPr="00ED1E3E">
        <w:rPr>
          <w:szCs w:val="18"/>
          <w:lang w:val="fr-CH"/>
        </w:rPr>
        <w:t>E/C.12/1/Add.80, par. 31; A/HRC/25/60/Add.1, par. 69; CAT/C/GHA/CO/1, par. 17; CAT/C/RUS/CO/4, par. 18; CAT/OP/MEX/1, par. 203; www.achpr.org/files/activity-reports/36/achpr54eos15_actrep36_2014_eng.pdf, par. VII b (xvi).</w:t>
      </w:r>
    </w:p>
  </w:footnote>
  <w:footnote w:id="21">
    <w:p w:rsidR="009D3BD6" w:rsidRPr="00ED1E3E" w:rsidRDefault="009D3BD6"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r>
      <w:r w:rsidRPr="00ED1E3E">
        <w:rPr>
          <w:szCs w:val="18"/>
          <w:lang w:val="fr-CH"/>
        </w:rPr>
        <w:t>E/C.12/DEU/CO/5, par. 13; A/HRC/13/30, par. 65; CAT/C/GRC/CO/5-6, par. 20; CAT/C/NOR/CO/6-7, par. 17; CCPR/C/FIN/CO/6, par. 10; www.achpr.org/files/sessions/37th/</w:t>
      </w:r>
      <w:r w:rsidR="00D265EA" w:rsidRPr="00ED1E3E">
        <w:rPr>
          <w:szCs w:val="18"/>
          <w:lang w:val="fr-CH"/>
        </w:rPr>
        <w:br/>
      </w:r>
      <w:r w:rsidRPr="00ED1E3E">
        <w:rPr>
          <w:szCs w:val="18"/>
          <w:lang w:val="fr-CH"/>
        </w:rPr>
        <w:t>mission-reports/prisons-2004/misrep_specmec_priso_southafrica_2004_eng.pdf, p. 65.</w:t>
      </w:r>
    </w:p>
  </w:footnote>
  <w:footnote w:id="22">
    <w:p w:rsidR="009D3BD6" w:rsidRPr="00ED1E3E" w:rsidRDefault="009D3BD6"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r>
      <w:r w:rsidRPr="00ED1E3E">
        <w:rPr>
          <w:szCs w:val="18"/>
          <w:lang w:val="fr-CH"/>
        </w:rPr>
        <w:t>CAT/C/AUS/CO/4-5, par. 17.</w:t>
      </w:r>
    </w:p>
  </w:footnote>
  <w:footnote w:id="23">
    <w:p w:rsidR="009D3BD6" w:rsidRPr="00ED1E3E" w:rsidRDefault="009D3BD6"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r>
      <w:r w:rsidRPr="00ED1E3E">
        <w:rPr>
          <w:szCs w:val="18"/>
          <w:lang w:val="fr-CH"/>
        </w:rPr>
        <w:t>Voir le document CPT/Inf (2014) 26 du Conseil de l</w:t>
      </w:r>
      <w:r w:rsidR="00174C4F" w:rsidRPr="00ED1E3E">
        <w:rPr>
          <w:szCs w:val="18"/>
          <w:lang w:val="fr-CH"/>
        </w:rPr>
        <w:t>’</w:t>
      </w:r>
      <w:r w:rsidRPr="00ED1E3E">
        <w:rPr>
          <w:szCs w:val="18"/>
          <w:lang w:val="fr-CH"/>
        </w:rPr>
        <w:t>Europe, par. 73.</w:t>
      </w:r>
    </w:p>
  </w:footnote>
  <w:footnote w:id="24">
    <w:p w:rsidR="009D3BD6" w:rsidRPr="00ED1E3E" w:rsidRDefault="009D3BD6"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r>
      <w:r w:rsidRPr="00ED1E3E">
        <w:rPr>
          <w:szCs w:val="18"/>
          <w:lang w:val="fr-CH"/>
        </w:rPr>
        <w:t>www.ohchr.org/EN/Issues/RuleOfLaw/Pages/Overincarceration.aspx.</w:t>
      </w:r>
    </w:p>
  </w:footnote>
  <w:footnote w:id="25">
    <w:p w:rsidR="009D3BD6" w:rsidRPr="00ED1E3E" w:rsidRDefault="002D6D5C"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eastAsia="lv-LV"/>
        </w:rPr>
        <w:t>A/HRC/10/21, par. 46.</w:t>
      </w:r>
    </w:p>
  </w:footnote>
  <w:footnote w:id="26">
    <w:p w:rsidR="009D3BD6" w:rsidRPr="00ED1E3E" w:rsidRDefault="002D6D5C"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le document CPT/Inf (2015) 12 du Conseil de l</w:t>
      </w:r>
      <w:r w:rsidR="00D265EA" w:rsidRPr="00ED1E3E">
        <w:rPr>
          <w:szCs w:val="18"/>
          <w:lang w:val="fr-CH"/>
        </w:rPr>
        <w:t>’</w:t>
      </w:r>
      <w:r w:rsidR="009D3BD6" w:rsidRPr="00ED1E3E">
        <w:rPr>
          <w:szCs w:val="18"/>
          <w:lang w:val="fr-CH"/>
        </w:rPr>
        <w:t>Europe, par. 54.</w:t>
      </w:r>
    </w:p>
  </w:footnote>
  <w:footnote w:id="27">
    <w:p w:rsidR="009D3BD6" w:rsidRPr="00ED1E3E" w:rsidRDefault="002D6D5C" w:rsidP="00824B55">
      <w:pPr>
        <w:pStyle w:val="FootnoteText"/>
        <w:tabs>
          <w:tab w:val="right" w:pos="1195"/>
          <w:tab w:val="left" w:pos="1267"/>
          <w:tab w:val="left" w:pos="1742"/>
          <w:tab w:val="left" w:pos="2218"/>
          <w:tab w:val="left" w:pos="2693"/>
        </w:tabs>
        <w:ind w:left="1267" w:right="1260" w:hanging="432"/>
        <w:rPr>
          <w:szCs w:val="18"/>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 xml:space="preserve">Voir </w:t>
      </w:r>
      <w:r w:rsidR="009D3BD6" w:rsidRPr="00ED1E3E">
        <w:rPr>
          <w:bCs/>
          <w:szCs w:val="18"/>
          <w:lang w:val="fr-CH" w:eastAsia="en-GB"/>
        </w:rPr>
        <w:t xml:space="preserve">A/HRC/27/55, par. 51; </w:t>
      </w:r>
      <w:r w:rsidR="009D3BD6" w:rsidRPr="00ED1E3E">
        <w:rPr>
          <w:i/>
          <w:szCs w:val="18"/>
          <w:lang w:val="fr-CH"/>
        </w:rPr>
        <w:t xml:space="preserve">Caesar </w:t>
      </w:r>
      <w:r w:rsidR="009D3BD6" w:rsidRPr="00ED1E3E">
        <w:rPr>
          <w:iCs/>
          <w:szCs w:val="18"/>
          <w:lang w:val="fr-CH"/>
        </w:rPr>
        <w:t>c.</w:t>
      </w:r>
      <w:r w:rsidR="009D3BD6" w:rsidRPr="00ED1E3E">
        <w:rPr>
          <w:i/>
          <w:szCs w:val="18"/>
          <w:lang w:val="fr-CH"/>
        </w:rPr>
        <w:t xml:space="preserve"> Trinité-et-Tobago</w:t>
      </w:r>
      <w:r w:rsidR="009D3BD6" w:rsidRPr="00ED1E3E">
        <w:rPr>
          <w:szCs w:val="18"/>
          <w:lang w:val="fr-CH"/>
        </w:rPr>
        <w:t xml:space="preserve">, arrêt de la Cour interaméricaine des droits de </w:t>
      </w:r>
      <w:r w:rsidRPr="00ED1E3E">
        <w:rPr>
          <w:szCs w:val="18"/>
          <w:lang w:val="fr-CH"/>
        </w:rPr>
        <w:t>l’</w:t>
      </w:r>
      <w:r w:rsidR="009D3BD6" w:rsidRPr="00ED1E3E">
        <w:rPr>
          <w:szCs w:val="18"/>
          <w:lang w:val="fr-CH"/>
        </w:rPr>
        <w:t>homme (2005), par. 97; et communications n</w:t>
      </w:r>
      <w:r w:rsidR="009D3BD6" w:rsidRPr="00ED1E3E">
        <w:rPr>
          <w:szCs w:val="18"/>
          <w:vertAlign w:val="superscript"/>
          <w:lang w:val="fr-CH"/>
        </w:rPr>
        <w:t>os</w:t>
      </w:r>
      <w:r w:rsidR="009D3BD6" w:rsidRPr="00ED1E3E">
        <w:rPr>
          <w:szCs w:val="18"/>
          <w:lang w:val="fr-CH"/>
        </w:rPr>
        <w:t xml:space="preserve"> 105/93-128/94-130/94-152/96, </w:t>
      </w:r>
      <w:r w:rsidR="009D3BD6" w:rsidRPr="00ED1E3E">
        <w:rPr>
          <w:i/>
          <w:szCs w:val="18"/>
          <w:lang w:val="fr-CH"/>
        </w:rPr>
        <w:t xml:space="preserve">Media Rights Agenda &amp; Constitutional Rights Project </w:t>
      </w:r>
      <w:r w:rsidR="009D3BD6" w:rsidRPr="00ED1E3E">
        <w:rPr>
          <w:iCs/>
          <w:szCs w:val="18"/>
          <w:lang w:val="fr-CH"/>
        </w:rPr>
        <w:t>c.</w:t>
      </w:r>
      <w:r w:rsidR="009D3BD6" w:rsidRPr="00ED1E3E">
        <w:rPr>
          <w:i/>
          <w:szCs w:val="18"/>
          <w:lang w:val="fr-CH"/>
        </w:rPr>
        <w:t xml:space="preserve"> Nigeria</w:t>
      </w:r>
      <w:r w:rsidR="009D3BD6" w:rsidRPr="00ED1E3E">
        <w:rPr>
          <w:iCs/>
          <w:szCs w:val="18"/>
          <w:lang w:val="fr-CH"/>
        </w:rPr>
        <w:t>,</w:t>
      </w:r>
      <w:r w:rsidR="009D3BD6" w:rsidRPr="00ED1E3E">
        <w:rPr>
          <w:szCs w:val="18"/>
          <w:lang w:val="fr-CH"/>
        </w:rPr>
        <w:t xml:space="preserve"> </w:t>
      </w:r>
      <w:r w:rsidR="009D3BD6" w:rsidRPr="00ED1E3E">
        <w:rPr>
          <w:lang w:val="fr-CH" w:eastAsia="lv-LV"/>
        </w:rPr>
        <w:t xml:space="preserve">Commission </w:t>
      </w:r>
      <w:r w:rsidRPr="00ED1E3E">
        <w:rPr>
          <w:lang w:val="fr-CH" w:eastAsia="lv-LV"/>
        </w:rPr>
        <w:t>a</w:t>
      </w:r>
      <w:r w:rsidR="009D3BD6" w:rsidRPr="00ED1E3E">
        <w:rPr>
          <w:lang w:val="fr-CH" w:eastAsia="lv-LV"/>
        </w:rPr>
        <w:t xml:space="preserve">fricaine des </w:t>
      </w:r>
      <w:r w:rsidRPr="00ED1E3E">
        <w:rPr>
          <w:lang w:val="fr-CH" w:eastAsia="lv-LV"/>
        </w:rPr>
        <w:t>d</w:t>
      </w:r>
      <w:r w:rsidR="009D3BD6" w:rsidRPr="00ED1E3E">
        <w:rPr>
          <w:lang w:val="fr-CH" w:eastAsia="lv-LV"/>
        </w:rPr>
        <w:t>roits de l</w:t>
      </w:r>
      <w:r w:rsidRPr="00ED1E3E">
        <w:rPr>
          <w:lang w:val="fr-CH" w:eastAsia="lv-LV"/>
        </w:rPr>
        <w:t>’h</w:t>
      </w:r>
      <w:r w:rsidR="009D3BD6" w:rsidRPr="00ED1E3E">
        <w:rPr>
          <w:lang w:val="fr-CH" w:eastAsia="lv-LV"/>
        </w:rPr>
        <w:t xml:space="preserve">omme et des </w:t>
      </w:r>
      <w:r w:rsidRPr="00ED1E3E">
        <w:rPr>
          <w:lang w:val="fr-CH" w:eastAsia="lv-LV"/>
        </w:rPr>
        <w:t>p</w:t>
      </w:r>
      <w:r w:rsidR="009D3BD6" w:rsidRPr="00ED1E3E">
        <w:rPr>
          <w:lang w:val="fr-CH" w:eastAsia="lv-LV"/>
        </w:rPr>
        <w:t xml:space="preserve">euples </w:t>
      </w:r>
      <w:r w:rsidR="009D3BD6" w:rsidRPr="00ED1E3E">
        <w:rPr>
          <w:szCs w:val="18"/>
          <w:lang w:val="fr-CH"/>
        </w:rPr>
        <w:t>(1998), par. 91.</w:t>
      </w:r>
    </w:p>
  </w:footnote>
  <w:footnote w:id="28">
    <w:p w:rsidR="009D3BD6" w:rsidRPr="00ED1E3E" w:rsidRDefault="002D6D5C"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CCPR/C/GC/35, par. 8.</w:t>
      </w:r>
    </w:p>
  </w:footnote>
  <w:footnote w:id="29">
    <w:p w:rsidR="009D3BD6" w:rsidRPr="00ED1E3E" w:rsidRDefault="002D6D5C"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CAT/OP/MEX/1, par. 177.</w:t>
      </w:r>
    </w:p>
  </w:footnote>
  <w:footnote w:id="30">
    <w:p w:rsidR="009D3BD6" w:rsidRPr="00ED1E3E" w:rsidRDefault="002D6D5C"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CCPR/C/GC/35, par. 3.</w:t>
      </w:r>
    </w:p>
  </w:footnote>
  <w:footnote w:id="31">
    <w:p w:rsidR="009D3BD6" w:rsidRPr="00ED1E3E" w:rsidRDefault="002D6D5C"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E/CN.4/2006/7, par. 63.</w:t>
      </w:r>
    </w:p>
  </w:footnote>
  <w:footnote w:id="32">
    <w:p w:rsidR="009D3BD6" w:rsidRPr="00ED1E3E" w:rsidRDefault="002D6D5C"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lang w:val="fr-CH"/>
        </w:rPr>
        <w:t>Voir CCPR/C/GC/35, par. 10.</w:t>
      </w:r>
    </w:p>
  </w:footnote>
  <w:footnote w:id="33">
    <w:p w:rsidR="009D3BD6" w:rsidRPr="00ED1E3E" w:rsidRDefault="002D6D5C"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lang w:val="fr-CH"/>
        </w:rPr>
        <w:t>Voir</w:t>
      </w:r>
      <w:r w:rsidR="009D3BD6" w:rsidRPr="00ED1E3E">
        <w:rPr>
          <w:szCs w:val="18"/>
          <w:lang w:val="fr-CH"/>
        </w:rPr>
        <w:t xml:space="preserve"> A/HRC/30/37, par. 2.</w:t>
      </w:r>
    </w:p>
  </w:footnote>
  <w:footnote w:id="34">
    <w:p w:rsidR="009D3BD6" w:rsidRPr="00ED1E3E" w:rsidRDefault="002D6D5C" w:rsidP="00824B55">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A/HRC/30/37, par. 22 à 25. Voir également CCPR/C/21/Rev.1/Add.11, par. 11 et 16</w:t>
      </w:r>
      <w:r w:rsidR="00911938" w:rsidRPr="00ED1E3E">
        <w:rPr>
          <w:szCs w:val="18"/>
          <w:lang w:val="fr-CH"/>
        </w:rPr>
        <w:t>;</w:t>
      </w:r>
      <w:r w:rsidR="009D3BD6" w:rsidRPr="00ED1E3E">
        <w:rPr>
          <w:szCs w:val="18"/>
          <w:lang w:val="fr-CH"/>
        </w:rPr>
        <w:t xml:space="preserve"> et CCPR/C/GC/35, par. 6 à 67.</w:t>
      </w:r>
    </w:p>
  </w:footnote>
  <w:footnote w:id="35">
    <w:p w:rsidR="009D3BD6" w:rsidRPr="00ED1E3E" w:rsidRDefault="002D6D5C"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A/HRC/30/37, lignes directrices 4, 8 et 14.</w:t>
      </w:r>
    </w:p>
  </w:footnote>
  <w:footnote w:id="36">
    <w:p w:rsidR="009D3BD6" w:rsidRPr="00ED1E3E" w:rsidRDefault="002D6D5C"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CAT/C/TGO/CO/2, par. 13.</w:t>
      </w:r>
    </w:p>
  </w:footnote>
  <w:footnote w:id="37">
    <w:p w:rsidR="009D3BD6" w:rsidRPr="00ED1E3E" w:rsidRDefault="002D6D5C"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http://</w:t>
      </w:r>
      <w:r w:rsidR="009D3BD6" w:rsidRPr="00ED1E3E">
        <w:rPr>
          <w:lang w:val="fr-CH"/>
        </w:rPr>
        <w:t>www.achpr.org/files/sessions/37th/mission-reports/ethiopia/achpr37_misrep_specmec_</w:t>
      </w:r>
      <w:r w:rsidRPr="00ED1E3E">
        <w:rPr>
          <w:lang w:val="fr-CH"/>
        </w:rPr>
        <w:br/>
      </w:r>
      <w:r w:rsidR="009D3BD6" w:rsidRPr="00ED1E3E">
        <w:rPr>
          <w:lang w:val="fr-CH"/>
        </w:rPr>
        <w:t>priso_ethiopia_2004_fra.pdf</w:t>
      </w:r>
      <w:r w:rsidR="009D3BD6" w:rsidRPr="00ED1E3E">
        <w:rPr>
          <w:szCs w:val="18"/>
          <w:lang w:val="fr-CH"/>
        </w:rPr>
        <w:t>, p. 24 et 25.</w:t>
      </w:r>
    </w:p>
  </w:footnote>
  <w:footnote w:id="38">
    <w:p w:rsidR="009D3BD6" w:rsidRPr="00ED1E3E" w:rsidRDefault="002D6D5C" w:rsidP="00824B55">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A/HRC/19/57, par. 53</w:t>
      </w:r>
      <w:r w:rsidR="00911938" w:rsidRPr="00ED1E3E">
        <w:rPr>
          <w:szCs w:val="18"/>
          <w:lang w:val="fr-CH"/>
        </w:rPr>
        <w:t>;</w:t>
      </w:r>
      <w:r w:rsidR="009D3BD6" w:rsidRPr="00ED1E3E">
        <w:rPr>
          <w:szCs w:val="18"/>
          <w:lang w:val="fr-CH"/>
        </w:rPr>
        <w:t xml:space="preserve"> et </w:t>
      </w:r>
      <w:hyperlink r:id="rId1" w:history="1">
        <w:r w:rsidRPr="00ED1E3E">
          <w:rPr>
            <w:rStyle w:val="Hyperlink"/>
            <w:szCs w:val="18"/>
            <w:lang w:val="fr-CH" w:eastAsia="lv-LV"/>
          </w:rPr>
          <w:t>www.achpr.org/files/sessions/52nd/inter-act-reps/185/activty_report_</w:t>
        </w:r>
        <w:r w:rsidRPr="00ED1E3E">
          <w:rPr>
            <w:rStyle w:val="Hyperlink"/>
            <w:szCs w:val="18"/>
            <w:lang w:val="fr-CH" w:eastAsia="lv-LV"/>
          </w:rPr>
          <w:br/>
          <w:t>prisons_eng.pdf</w:t>
        </w:r>
      </w:hyperlink>
      <w:r w:rsidR="009D3BD6" w:rsidRPr="00ED1E3E">
        <w:rPr>
          <w:szCs w:val="18"/>
          <w:lang w:val="fr-CH" w:eastAsia="lv-LV"/>
        </w:rPr>
        <w:t xml:space="preserve">, </w:t>
      </w:r>
      <w:r w:rsidR="009D3BD6" w:rsidRPr="00ED1E3E">
        <w:rPr>
          <w:szCs w:val="18"/>
          <w:lang w:val="fr-CH"/>
        </w:rPr>
        <w:t>p. 21 et 22.</w:t>
      </w:r>
    </w:p>
  </w:footnote>
  <w:footnote w:id="39">
    <w:p w:rsidR="009D3BD6" w:rsidRPr="00ED1E3E" w:rsidRDefault="00F53CE5"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 xml:space="preserve">Voir CCPR/C/TUR/CO/1, par. 17; A/HRC/19/57, par. 63; A/HRC/10/21, par. 45; CAT/C/54/2 par. 91; et </w:t>
      </w:r>
      <w:hyperlink r:id="rId2" w:history="1">
        <w:r w:rsidR="009D3BD6" w:rsidRPr="00ED1E3E">
          <w:rPr>
            <w:rStyle w:val="Hyperlink"/>
            <w:szCs w:val="18"/>
            <w:lang w:val="fr-CH" w:eastAsia="lv-LV"/>
          </w:rPr>
          <w:t>www.achpr.org/files/sessions/52nd/inter-act-reps/185/activty_report_prisons_eng.pdf</w:t>
        </w:r>
      </w:hyperlink>
      <w:r w:rsidR="009D3BD6" w:rsidRPr="00ED1E3E">
        <w:rPr>
          <w:szCs w:val="18"/>
          <w:lang w:val="fr-CH" w:eastAsia="lv-LV"/>
        </w:rPr>
        <w:t xml:space="preserve">, </w:t>
      </w:r>
      <w:r w:rsidR="009D3BD6" w:rsidRPr="00ED1E3E">
        <w:rPr>
          <w:szCs w:val="18"/>
          <w:lang w:val="fr-CH"/>
        </w:rPr>
        <w:t>p. 10.</w:t>
      </w:r>
    </w:p>
  </w:footnote>
  <w:footnote w:id="40">
    <w:p w:rsidR="009D3BD6" w:rsidRPr="00ED1E3E" w:rsidRDefault="00F53CE5"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E/CN.4/2006/7, par. 64.</w:t>
      </w:r>
    </w:p>
  </w:footnote>
  <w:footnote w:id="41">
    <w:p w:rsidR="009D3BD6" w:rsidRPr="00ED1E3E" w:rsidRDefault="00F53CE5"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lang w:val="fr-CH"/>
        </w:rPr>
        <w:t>Voir A/HRC/19/57, par. 48; CAT/C/54/2, par. 76; et CCPR/C/TUR/CO/1, par. 17.</w:t>
      </w:r>
    </w:p>
  </w:footnote>
  <w:footnote w:id="42">
    <w:p w:rsidR="009D3BD6" w:rsidRPr="00ED1E3E" w:rsidRDefault="00F53CE5"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http://www.achpr.org/files/sessions/12th-eo/mission-reports/promotion_mission-2012/mission_</w:t>
      </w:r>
      <w:r w:rsidR="008C6983" w:rsidRPr="00ED1E3E">
        <w:rPr>
          <w:szCs w:val="18"/>
          <w:lang w:val="fr-CH"/>
        </w:rPr>
        <w:br/>
      </w:r>
      <w:r w:rsidR="009D3BD6" w:rsidRPr="00ED1E3E">
        <w:rPr>
          <w:szCs w:val="18"/>
          <w:lang w:val="fr-CH"/>
        </w:rPr>
        <w:t>report_mauritania_cpta_fr.pdf, par. 38. Voir également le document CPT/Inf (2014) 31 du Conseil de l</w:t>
      </w:r>
      <w:r w:rsidR="008C6983" w:rsidRPr="00ED1E3E">
        <w:rPr>
          <w:szCs w:val="18"/>
          <w:lang w:val="fr-CH"/>
        </w:rPr>
        <w:t>’</w:t>
      </w:r>
      <w:r w:rsidR="009D3BD6" w:rsidRPr="00ED1E3E">
        <w:rPr>
          <w:szCs w:val="18"/>
          <w:lang w:val="fr-CH"/>
        </w:rPr>
        <w:t xml:space="preserve">Europe, par. 56. </w:t>
      </w:r>
    </w:p>
  </w:footnote>
  <w:footnote w:id="43">
    <w:p w:rsidR="009D3BD6" w:rsidRPr="00ED1E3E" w:rsidRDefault="00F53CE5"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CAT/C/TGO/CO/2, par. 12</w:t>
      </w:r>
      <w:r w:rsidR="000819A5" w:rsidRPr="00ED1E3E">
        <w:rPr>
          <w:szCs w:val="18"/>
          <w:lang w:val="fr-CH"/>
        </w:rPr>
        <w:t>;</w:t>
      </w:r>
      <w:r w:rsidR="009D3BD6" w:rsidRPr="00ED1E3E">
        <w:rPr>
          <w:szCs w:val="18"/>
          <w:lang w:val="fr-CH"/>
        </w:rPr>
        <w:t xml:space="preserve"> et CAT/OP/MLI/1, par. 29.</w:t>
      </w:r>
    </w:p>
  </w:footnote>
  <w:footnote w:id="44">
    <w:p w:rsidR="009D3BD6" w:rsidRPr="00ED1E3E" w:rsidRDefault="00F53CE5"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lang w:val="fr-CH"/>
        </w:rPr>
        <w:t>Voir CAT/C/46/2, par. 52</w:t>
      </w:r>
      <w:r w:rsidR="000819A5" w:rsidRPr="00ED1E3E">
        <w:rPr>
          <w:lang w:val="fr-CH"/>
        </w:rPr>
        <w:t>;</w:t>
      </w:r>
      <w:r w:rsidR="009D3BD6" w:rsidRPr="00ED1E3E">
        <w:rPr>
          <w:lang w:val="fr-CH"/>
        </w:rPr>
        <w:t xml:space="preserve"> et CAT/C/GTM/CO/5-6, par. 17.</w:t>
      </w:r>
    </w:p>
  </w:footnote>
  <w:footnote w:id="45">
    <w:p w:rsidR="009D3BD6" w:rsidRPr="00ED1E3E" w:rsidRDefault="00F53CE5"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CAT/C/RWA/CO/1, par. 19</w:t>
      </w:r>
      <w:r w:rsidR="000819A5" w:rsidRPr="00ED1E3E">
        <w:rPr>
          <w:szCs w:val="18"/>
          <w:lang w:val="fr-CH"/>
        </w:rPr>
        <w:t>;</w:t>
      </w:r>
      <w:r w:rsidR="009D3BD6" w:rsidRPr="00ED1E3E">
        <w:rPr>
          <w:szCs w:val="18"/>
          <w:lang w:val="fr-CH"/>
        </w:rPr>
        <w:t xml:space="preserve"> et CAT/OP/PRY/1, par. 46.</w:t>
      </w:r>
    </w:p>
  </w:footnote>
  <w:footnote w:id="46">
    <w:p w:rsidR="009D3BD6" w:rsidRPr="00ED1E3E" w:rsidRDefault="00F53CE5"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lang w:val="fr-CH"/>
        </w:rPr>
        <w:t>Voir A/HRC/27/48, par. 78 et 79.</w:t>
      </w:r>
    </w:p>
  </w:footnote>
  <w:footnote w:id="47">
    <w:p w:rsidR="009D3BD6" w:rsidRPr="00ED1E3E" w:rsidRDefault="00F53CE5"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lang w:val="fr-CH"/>
        </w:rPr>
        <w:t>Voir A/HRC/27/48, par. 75; A/HRC/4/25/Add.3, par. 7, al. </w:t>
      </w:r>
      <w:r w:rsidR="008C6983" w:rsidRPr="00ED1E3E">
        <w:rPr>
          <w:iCs/>
          <w:lang w:val="fr-CH"/>
        </w:rPr>
        <w:t>f)</w:t>
      </w:r>
      <w:r w:rsidR="009D3BD6" w:rsidRPr="00ED1E3E">
        <w:rPr>
          <w:lang w:val="fr-CH"/>
        </w:rPr>
        <w:t>; et CAT/OP/BEN/1, par. 151.</w:t>
      </w:r>
    </w:p>
  </w:footnote>
  <w:footnote w:id="48">
    <w:p w:rsidR="009D3BD6" w:rsidRPr="00ED1E3E" w:rsidRDefault="00F53CE5"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document CPT/Inf (2015) 12 du Conseil de l</w:t>
      </w:r>
      <w:r w:rsidRPr="00ED1E3E">
        <w:rPr>
          <w:szCs w:val="18"/>
          <w:lang w:val="fr-CH"/>
        </w:rPr>
        <w:t>’</w:t>
      </w:r>
      <w:r w:rsidR="009D3BD6" w:rsidRPr="00ED1E3E">
        <w:rPr>
          <w:szCs w:val="18"/>
          <w:lang w:val="fr-CH"/>
        </w:rPr>
        <w:t>Europe, par. 54.</w:t>
      </w:r>
    </w:p>
  </w:footnote>
  <w:footnote w:id="49">
    <w:p w:rsidR="009D3BD6" w:rsidRPr="00ED1E3E" w:rsidRDefault="00F53CE5" w:rsidP="00824B55">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http://www.achpr.org/files/sessions/12th-eo/mission-reports/promotion_mission-2012/mission_</w:t>
      </w:r>
      <w:r w:rsidR="008C6983" w:rsidRPr="00ED1E3E">
        <w:rPr>
          <w:szCs w:val="18"/>
          <w:lang w:val="fr-CH"/>
        </w:rPr>
        <w:br/>
      </w:r>
      <w:r w:rsidR="009D3BD6" w:rsidRPr="00ED1E3E">
        <w:rPr>
          <w:szCs w:val="18"/>
          <w:lang w:val="fr-CH"/>
        </w:rPr>
        <w:t>report_mauritania_cpta_fr.pdf</w:t>
      </w:r>
      <w:r w:rsidR="009D3BD6" w:rsidRPr="00ED1E3E">
        <w:rPr>
          <w:iCs/>
          <w:szCs w:val="18"/>
          <w:lang w:val="fr-CH" w:eastAsia="lv-LV"/>
        </w:rPr>
        <w:t>,</w:t>
      </w:r>
      <w:r w:rsidR="009D3BD6" w:rsidRPr="00ED1E3E">
        <w:rPr>
          <w:szCs w:val="18"/>
          <w:lang w:val="fr-CH"/>
        </w:rPr>
        <w:t xml:space="preserve"> p. 53, et </w:t>
      </w:r>
      <w:r w:rsidR="009D3BD6" w:rsidRPr="00ED1E3E">
        <w:rPr>
          <w:i/>
          <w:color w:val="000000"/>
          <w:szCs w:val="18"/>
          <w:lang w:val="fr-CH" w:eastAsia="lv-LV"/>
        </w:rPr>
        <w:t xml:space="preserve">Neptune </w:t>
      </w:r>
      <w:r w:rsidR="009D3BD6" w:rsidRPr="00ED1E3E">
        <w:rPr>
          <w:iCs/>
          <w:color w:val="000000"/>
          <w:szCs w:val="18"/>
          <w:lang w:val="fr-CH" w:eastAsia="lv-LV"/>
        </w:rPr>
        <w:t>c.</w:t>
      </w:r>
      <w:r w:rsidR="009D3BD6" w:rsidRPr="00ED1E3E">
        <w:rPr>
          <w:i/>
          <w:color w:val="000000"/>
          <w:szCs w:val="18"/>
          <w:lang w:val="fr-CH" w:eastAsia="lv-LV"/>
        </w:rPr>
        <w:t xml:space="preserve"> Haïti</w:t>
      </w:r>
      <w:r w:rsidR="009D3BD6" w:rsidRPr="00ED1E3E">
        <w:rPr>
          <w:color w:val="000000"/>
          <w:szCs w:val="18"/>
          <w:lang w:val="fr-CH" w:eastAsia="lv-LV"/>
        </w:rPr>
        <w:t>, arrêt de la Cour interaméricaine des droits de l</w:t>
      </w:r>
      <w:r w:rsidR="008C6983" w:rsidRPr="00ED1E3E">
        <w:rPr>
          <w:color w:val="000000"/>
          <w:szCs w:val="18"/>
          <w:lang w:val="fr-CH" w:eastAsia="lv-LV"/>
        </w:rPr>
        <w:t>’</w:t>
      </w:r>
      <w:r w:rsidR="009D3BD6" w:rsidRPr="00ED1E3E">
        <w:rPr>
          <w:color w:val="000000"/>
          <w:szCs w:val="18"/>
          <w:lang w:val="fr-CH" w:eastAsia="lv-LV"/>
        </w:rPr>
        <w:t xml:space="preserve">homme (2008), par. 137; </w:t>
      </w:r>
      <w:r w:rsidR="009D3BD6" w:rsidRPr="00ED1E3E">
        <w:rPr>
          <w:szCs w:val="18"/>
          <w:lang w:val="fr-CH"/>
        </w:rPr>
        <w:t>CPT/Inf (2015) 12</w:t>
      </w:r>
      <w:r w:rsidR="009D3BD6" w:rsidRPr="00ED1E3E">
        <w:rPr>
          <w:szCs w:val="18"/>
          <w:lang w:val="fr-CH" w:eastAsia="en-GB"/>
        </w:rPr>
        <w:t xml:space="preserve">, par. 106. </w:t>
      </w:r>
      <w:r w:rsidR="009D3BD6" w:rsidRPr="00ED1E3E">
        <w:rPr>
          <w:szCs w:val="18"/>
          <w:lang w:val="fr-CH"/>
        </w:rPr>
        <w:t>Voir également le document CPT/Inf (2014) 26 du Conseil de l</w:t>
      </w:r>
      <w:r w:rsidR="00174C4F" w:rsidRPr="00ED1E3E">
        <w:rPr>
          <w:szCs w:val="18"/>
          <w:lang w:val="fr-CH"/>
        </w:rPr>
        <w:t>’</w:t>
      </w:r>
      <w:r w:rsidR="009D3BD6" w:rsidRPr="00ED1E3E">
        <w:rPr>
          <w:szCs w:val="18"/>
          <w:lang w:val="fr-CH"/>
        </w:rPr>
        <w:t>Europe, par. 110; CAT/C/BGR/CO/4-5, par. 23; CAT/C/GTM/CO/5-6, par.</w:t>
      </w:r>
      <w:r w:rsidR="008C6983" w:rsidRPr="00ED1E3E">
        <w:rPr>
          <w:szCs w:val="18"/>
          <w:lang w:val="fr-CH"/>
        </w:rPr>
        <w:t> </w:t>
      </w:r>
      <w:r w:rsidR="009D3BD6" w:rsidRPr="00ED1E3E">
        <w:rPr>
          <w:szCs w:val="18"/>
          <w:lang w:val="fr-CH"/>
        </w:rPr>
        <w:t>18</w:t>
      </w:r>
      <w:r w:rsidR="000819A5" w:rsidRPr="00ED1E3E">
        <w:rPr>
          <w:szCs w:val="18"/>
          <w:lang w:val="fr-CH"/>
        </w:rPr>
        <w:t>;</w:t>
      </w:r>
      <w:r w:rsidR="009D3BD6" w:rsidRPr="00ED1E3E">
        <w:rPr>
          <w:szCs w:val="18"/>
          <w:lang w:val="fr-CH"/>
        </w:rPr>
        <w:t xml:space="preserve"> CAT/C/MEX/CO.5-6, par. 19; CCPR/C/BOL/CO/3, par. 20; et CAT/OP/MEX/1, par. 178.</w:t>
      </w:r>
    </w:p>
  </w:footnote>
  <w:footnote w:id="50">
    <w:p w:rsidR="009D3BD6" w:rsidRPr="00ED1E3E" w:rsidRDefault="008561DB"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le document CPT/Inf (2014) 31 du Conseil de l</w:t>
      </w:r>
      <w:r w:rsidR="00174C4F" w:rsidRPr="00ED1E3E">
        <w:rPr>
          <w:szCs w:val="18"/>
          <w:lang w:val="fr-CH"/>
        </w:rPr>
        <w:t>’</w:t>
      </w:r>
      <w:r w:rsidR="009D3BD6" w:rsidRPr="00ED1E3E">
        <w:rPr>
          <w:szCs w:val="18"/>
          <w:lang w:val="fr-CH"/>
        </w:rPr>
        <w:t>Europe, par. 56; A/HRC/25/60/Add.1, par. 19; et CAT/OP/BEN/1, par. 210.</w:t>
      </w:r>
    </w:p>
  </w:footnote>
  <w:footnote w:id="51">
    <w:p w:rsidR="009D3BD6" w:rsidRPr="00ED1E3E" w:rsidRDefault="008561DB"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lang w:val="fr-CH"/>
        </w:rPr>
        <w:t>Voir CAT/OP/MLI/1, par. 49.</w:t>
      </w:r>
    </w:p>
  </w:footnote>
  <w:footnote w:id="52">
    <w:p w:rsidR="009D3BD6" w:rsidRPr="00ED1E3E" w:rsidRDefault="008561DB"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CAT/OP/MEX/1, par. 166; CAT/C/BGR/CO/4-5, par. 23; et le document CPT/Inf (2015) 12 du Conseil de l</w:t>
      </w:r>
      <w:r w:rsidR="00174C4F" w:rsidRPr="00ED1E3E">
        <w:rPr>
          <w:szCs w:val="18"/>
          <w:lang w:val="fr-CH"/>
        </w:rPr>
        <w:t>’</w:t>
      </w:r>
      <w:r w:rsidR="009D3BD6" w:rsidRPr="00ED1E3E">
        <w:rPr>
          <w:szCs w:val="18"/>
          <w:lang w:val="fr-CH"/>
        </w:rPr>
        <w:t>Europe, par. 54</w:t>
      </w:r>
      <w:r w:rsidR="00174C4F" w:rsidRPr="00ED1E3E">
        <w:rPr>
          <w:szCs w:val="18"/>
          <w:lang w:val="fr-CH"/>
        </w:rPr>
        <w:t>.</w:t>
      </w:r>
    </w:p>
  </w:footnote>
  <w:footnote w:id="53">
    <w:p w:rsidR="009D3BD6" w:rsidRPr="00ED1E3E" w:rsidRDefault="008561DB"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CAT/C/BOL/CO/2, par. 18</w:t>
      </w:r>
      <w:r w:rsidR="000819A5" w:rsidRPr="00ED1E3E">
        <w:rPr>
          <w:szCs w:val="18"/>
          <w:lang w:val="fr-CH"/>
        </w:rPr>
        <w:t>;</w:t>
      </w:r>
      <w:r w:rsidR="009D3BD6" w:rsidRPr="00ED1E3E">
        <w:rPr>
          <w:szCs w:val="18"/>
          <w:lang w:val="fr-CH"/>
        </w:rPr>
        <w:t xml:space="preserve"> et CAT/C/MAR/CO/4, par. 19.</w:t>
      </w:r>
    </w:p>
  </w:footnote>
  <w:footnote w:id="54">
    <w:p w:rsidR="009D3BD6" w:rsidRPr="00ED1E3E" w:rsidRDefault="006F1C2E"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 xml:space="preserve">Voir </w:t>
      </w:r>
      <w:r w:rsidR="009D3BD6" w:rsidRPr="00ED1E3E">
        <w:rPr>
          <w:i/>
          <w:iCs/>
          <w:szCs w:val="18"/>
          <w:lang w:val="fr-CH" w:eastAsia="lv-LV"/>
        </w:rPr>
        <w:t>Pacheco Teruel et al.</w:t>
      </w:r>
      <w:r w:rsidR="009D3BD6" w:rsidRPr="00ED1E3E">
        <w:rPr>
          <w:szCs w:val="18"/>
          <w:lang w:val="fr-CH" w:eastAsia="lv-LV"/>
        </w:rPr>
        <w:t xml:space="preserve"> </w:t>
      </w:r>
      <w:r w:rsidR="009D3BD6" w:rsidRPr="00ED1E3E">
        <w:rPr>
          <w:iCs/>
          <w:szCs w:val="18"/>
          <w:lang w:val="fr-CH" w:eastAsia="lv-LV"/>
        </w:rPr>
        <w:t>c</w:t>
      </w:r>
      <w:r w:rsidR="009D3BD6" w:rsidRPr="00ED1E3E">
        <w:rPr>
          <w:i/>
          <w:szCs w:val="18"/>
          <w:lang w:val="fr-CH" w:eastAsia="lv-LV"/>
        </w:rPr>
        <w:t>. Honduras</w:t>
      </w:r>
      <w:r w:rsidR="009D3BD6" w:rsidRPr="00ED1E3E">
        <w:rPr>
          <w:szCs w:val="18"/>
          <w:lang w:val="fr-CH" w:eastAsia="lv-LV"/>
        </w:rPr>
        <w:t xml:space="preserve">, </w:t>
      </w:r>
      <w:r w:rsidR="009D3BD6" w:rsidRPr="00ED1E3E">
        <w:rPr>
          <w:szCs w:val="18"/>
          <w:lang w:val="fr-CH"/>
        </w:rPr>
        <w:t>arrêt de la Cour interaméricaine des droits de l</w:t>
      </w:r>
      <w:r w:rsidRPr="00ED1E3E">
        <w:rPr>
          <w:szCs w:val="18"/>
          <w:lang w:val="fr-CH"/>
        </w:rPr>
        <w:t>’</w:t>
      </w:r>
      <w:r w:rsidR="009D3BD6" w:rsidRPr="00ED1E3E">
        <w:rPr>
          <w:szCs w:val="18"/>
          <w:lang w:val="fr-CH"/>
        </w:rPr>
        <w:t>homme (</w:t>
      </w:r>
      <w:r w:rsidR="009D3BD6" w:rsidRPr="00ED1E3E">
        <w:rPr>
          <w:szCs w:val="18"/>
          <w:lang w:val="fr-CH" w:eastAsia="lv-LV"/>
        </w:rPr>
        <w:t xml:space="preserve">2012), par. 96. </w:t>
      </w:r>
      <w:r w:rsidR="009D3BD6" w:rsidRPr="00ED1E3E">
        <w:rPr>
          <w:szCs w:val="18"/>
          <w:lang w:val="fr-CH"/>
        </w:rPr>
        <w:t>Voir également le document CPT/Inf (2014) 26 du Conseil de l</w:t>
      </w:r>
      <w:r w:rsidRPr="00ED1E3E">
        <w:rPr>
          <w:szCs w:val="18"/>
          <w:lang w:val="fr-CH"/>
        </w:rPr>
        <w:t>’</w:t>
      </w:r>
      <w:r w:rsidR="009D3BD6" w:rsidRPr="00ED1E3E">
        <w:rPr>
          <w:szCs w:val="18"/>
          <w:lang w:val="fr-CH"/>
        </w:rPr>
        <w:t>Europe, par. 102</w:t>
      </w:r>
      <w:r w:rsidR="00A253ED" w:rsidRPr="00ED1E3E">
        <w:rPr>
          <w:szCs w:val="18"/>
          <w:lang w:val="fr-CH"/>
        </w:rPr>
        <w:t>;</w:t>
      </w:r>
      <w:r w:rsidR="009D3BD6" w:rsidRPr="00ED1E3E">
        <w:rPr>
          <w:szCs w:val="18"/>
          <w:lang w:val="fr-CH"/>
        </w:rPr>
        <w:t xml:space="preserve"> et CAT/OP/MEX/1, par. 176.</w:t>
      </w:r>
    </w:p>
  </w:footnote>
  <w:footnote w:id="55">
    <w:p w:rsidR="009D3BD6" w:rsidRPr="00ED1E3E" w:rsidRDefault="006F1C2E"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 xml:space="preserve">Voir </w:t>
      </w:r>
      <w:r w:rsidR="009D3BD6" w:rsidRPr="00ED1E3E">
        <w:rPr>
          <w:i/>
          <w:iCs/>
          <w:szCs w:val="18"/>
          <w:lang w:val="fr-CH"/>
        </w:rPr>
        <w:t>Pacheco Teruel et al.</w:t>
      </w:r>
      <w:r w:rsidR="009D3BD6" w:rsidRPr="00ED1E3E">
        <w:rPr>
          <w:szCs w:val="18"/>
          <w:lang w:val="fr-CH"/>
        </w:rPr>
        <w:t xml:space="preserve"> </w:t>
      </w:r>
      <w:r w:rsidR="009D3BD6" w:rsidRPr="00ED1E3E">
        <w:rPr>
          <w:iCs/>
          <w:szCs w:val="18"/>
          <w:lang w:val="fr-CH"/>
        </w:rPr>
        <w:t>c</w:t>
      </w:r>
      <w:r w:rsidR="009D3BD6" w:rsidRPr="00ED1E3E">
        <w:rPr>
          <w:i/>
          <w:szCs w:val="18"/>
          <w:lang w:val="fr-CH"/>
        </w:rPr>
        <w:t xml:space="preserve"> Honduras</w:t>
      </w:r>
      <w:r w:rsidR="009D3BD6" w:rsidRPr="00ED1E3E">
        <w:rPr>
          <w:szCs w:val="18"/>
          <w:lang w:val="fr-CH"/>
        </w:rPr>
        <w:t>, arrêt de la Cour interaméricaine des droits de l</w:t>
      </w:r>
      <w:r w:rsidRPr="00ED1E3E">
        <w:rPr>
          <w:szCs w:val="18"/>
          <w:lang w:val="fr-CH"/>
        </w:rPr>
        <w:t>’</w:t>
      </w:r>
      <w:r w:rsidR="009D3BD6" w:rsidRPr="00ED1E3E">
        <w:rPr>
          <w:szCs w:val="18"/>
          <w:lang w:val="fr-CH"/>
        </w:rPr>
        <w:t>homme (</w:t>
      </w:r>
      <w:r w:rsidR="009D3BD6" w:rsidRPr="00ED1E3E">
        <w:rPr>
          <w:szCs w:val="18"/>
          <w:lang w:val="fr-CH" w:eastAsia="lv-LV"/>
        </w:rPr>
        <w:t>2012)</w:t>
      </w:r>
      <w:r w:rsidR="009D3BD6" w:rsidRPr="00ED1E3E">
        <w:rPr>
          <w:szCs w:val="18"/>
          <w:lang w:val="fr-CH"/>
        </w:rPr>
        <w:t>, par. 66.</w:t>
      </w:r>
    </w:p>
  </w:footnote>
  <w:footnote w:id="56">
    <w:p w:rsidR="009D3BD6" w:rsidRPr="00ED1E3E" w:rsidRDefault="006F1C2E"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 xml:space="preserve">Voir CAT/OP/BRA/1, par. 75. </w:t>
      </w:r>
    </w:p>
  </w:footnote>
  <w:footnote w:id="57">
    <w:p w:rsidR="009D3BD6" w:rsidRPr="00ED1E3E" w:rsidRDefault="006F1C2E"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les documents CPT/Inf (92) 3, par. 46</w:t>
      </w:r>
      <w:r w:rsidR="00A253ED" w:rsidRPr="00ED1E3E">
        <w:rPr>
          <w:szCs w:val="18"/>
          <w:lang w:val="fr-CH"/>
        </w:rPr>
        <w:t>;</w:t>
      </w:r>
      <w:r w:rsidR="009D3BD6" w:rsidRPr="00ED1E3E">
        <w:rPr>
          <w:szCs w:val="18"/>
          <w:lang w:val="fr-CH"/>
        </w:rPr>
        <w:t xml:space="preserve"> et CPT/Inf (2014) 26 du Conseil de l</w:t>
      </w:r>
      <w:r w:rsidRPr="00ED1E3E">
        <w:rPr>
          <w:szCs w:val="18"/>
          <w:lang w:val="fr-CH"/>
        </w:rPr>
        <w:t>’</w:t>
      </w:r>
      <w:r w:rsidR="009D3BD6" w:rsidRPr="00ED1E3E">
        <w:rPr>
          <w:szCs w:val="18"/>
          <w:lang w:val="fr-CH"/>
        </w:rPr>
        <w:t>Europe, par. 100. Voir également http://www.achpr.org/files/sessions/12th-eo/mission-reports/promotion_mission-2012/mission_report_mauritania_cpta_fr.pdf</w:t>
      </w:r>
      <w:r w:rsidR="009D3BD6" w:rsidRPr="00ED1E3E">
        <w:rPr>
          <w:bCs/>
          <w:color w:val="000000"/>
          <w:szCs w:val="18"/>
          <w:lang w:val="fr-CH" w:eastAsia="lv-LV"/>
        </w:rPr>
        <w:t xml:space="preserve">, par. </w:t>
      </w:r>
      <w:r w:rsidR="009D3BD6" w:rsidRPr="00ED1E3E">
        <w:rPr>
          <w:szCs w:val="18"/>
          <w:lang w:val="fr-CH" w:eastAsia="lv-LV"/>
        </w:rPr>
        <w:t>112, al. ix</w:t>
      </w:r>
      <w:r w:rsidR="00A253ED" w:rsidRPr="00ED1E3E">
        <w:rPr>
          <w:szCs w:val="18"/>
          <w:lang w:val="fr-CH" w:eastAsia="lv-LV"/>
        </w:rPr>
        <w:t>)</w:t>
      </w:r>
      <w:r w:rsidR="009D3BD6" w:rsidRPr="00ED1E3E">
        <w:rPr>
          <w:szCs w:val="18"/>
          <w:lang w:val="fr-CH" w:eastAsia="lv-LV"/>
        </w:rPr>
        <w:t xml:space="preserve">; </w:t>
      </w:r>
      <w:r w:rsidR="009D3BD6" w:rsidRPr="00ED1E3E">
        <w:rPr>
          <w:i/>
          <w:szCs w:val="18"/>
          <w:lang w:val="fr-CH" w:eastAsia="lv-LV"/>
        </w:rPr>
        <w:t xml:space="preserve">Kalashnikov </w:t>
      </w:r>
      <w:r w:rsidR="009D3BD6" w:rsidRPr="00ED1E3E">
        <w:rPr>
          <w:szCs w:val="18"/>
          <w:lang w:val="fr-CH" w:eastAsia="lv-LV"/>
        </w:rPr>
        <w:t>c.</w:t>
      </w:r>
      <w:r w:rsidR="009D3BD6" w:rsidRPr="00ED1E3E">
        <w:rPr>
          <w:i/>
          <w:szCs w:val="18"/>
          <w:lang w:val="fr-CH" w:eastAsia="lv-LV"/>
        </w:rPr>
        <w:t xml:space="preserve"> Russie</w:t>
      </w:r>
      <w:r w:rsidR="009D3BD6" w:rsidRPr="00ED1E3E">
        <w:rPr>
          <w:szCs w:val="18"/>
          <w:lang w:val="fr-CH" w:eastAsia="lv-LV"/>
        </w:rPr>
        <w:t>, arrêt de la Cour européenne des droits de l</w:t>
      </w:r>
      <w:r w:rsidRPr="00ED1E3E">
        <w:rPr>
          <w:szCs w:val="18"/>
          <w:lang w:val="fr-CH" w:eastAsia="lv-LV"/>
        </w:rPr>
        <w:t>’</w:t>
      </w:r>
      <w:r w:rsidR="009D3BD6" w:rsidRPr="00ED1E3E">
        <w:rPr>
          <w:szCs w:val="18"/>
          <w:lang w:val="fr-CH" w:eastAsia="lv-LV"/>
        </w:rPr>
        <w:t xml:space="preserve">homme (2002), par. 102; et </w:t>
      </w:r>
      <w:r w:rsidR="009D3BD6" w:rsidRPr="00ED1E3E">
        <w:rPr>
          <w:i/>
          <w:szCs w:val="18"/>
          <w:lang w:val="fr-CH" w:eastAsia="lv-LV"/>
        </w:rPr>
        <w:t xml:space="preserve">Ananyev et al. </w:t>
      </w:r>
      <w:r w:rsidR="009D3BD6" w:rsidRPr="00ED1E3E">
        <w:rPr>
          <w:iCs/>
          <w:szCs w:val="18"/>
          <w:lang w:val="fr-CH" w:eastAsia="lv-LV"/>
        </w:rPr>
        <w:t>c.</w:t>
      </w:r>
      <w:r w:rsidR="009D3BD6" w:rsidRPr="00ED1E3E">
        <w:rPr>
          <w:i/>
          <w:szCs w:val="18"/>
          <w:lang w:val="fr-CH" w:eastAsia="lv-LV"/>
        </w:rPr>
        <w:t xml:space="preserve"> Russie</w:t>
      </w:r>
      <w:r w:rsidR="009D3BD6" w:rsidRPr="00ED1E3E">
        <w:rPr>
          <w:szCs w:val="18"/>
          <w:lang w:val="fr-CH" w:eastAsia="lv-LV"/>
        </w:rPr>
        <w:t>, arrêt de la Cour européenne des droits de l</w:t>
      </w:r>
      <w:r w:rsidRPr="00ED1E3E">
        <w:rPr>
          <w:szCs w:val="18"/>
          <w:lang w:val="fr-CH" w:eastAsia="lv-LV"/>
        </w:rPr>
        <w:t>’</w:t>
      </w:r>
      <w:r w:rsidR="009D3BD6" w:rsidRPr="00ED1E3E">
        <w:rPr>
          <w:szCs w:val="18"/>
          <w:lang w:val="fr-CH" w:eastAsia="lv-LV"/>
        </w:rPr>
        <w:t>homme (2012), par. 143 à 148.</w:t>
      </w:r>
    </w:p>
  </w:footnote>
  <w:footnote w:id="58">
    <w:p w:rsidR="009D3BD6" w:rsidRPr="00ED1E3E" w:rsidRDefault="006F1C2E"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lang w:val="fr-CH"/>
        </w:rPr>
        <w:t>Voir CAT/OP/MLI/1, par. 49</w:t>
      </w:r>
      <w:r w:rsidR="00A253ED" w:rsidRPr="00ED1E3E">
        <w:rPr>
          <w:lang w:val="fr-CH"/>
        </w:rPr>
        <w:t>;</w:t>
      </w:r>
      <w:r w:rsidR="009D3BD6" w:rsidRPr="00ED1E3E">
        <w:rPr>
          <w:szCs w:val="18"/>
          <w:lang w:val="fr-CH" w:eastAsia="lv-LV"/>
        </w:rPr>
        <w:t xml:space="preserve"> et E/CN.4/2004/56, par. 49</w:t>
      </w:r>
      <w:r w:rsidR="009D3BD6" w:rsidRPr="00ED1E3E">
        <w:rPr>
          <w:lang w:val="fr-CH"/>
        </w:rPr>
        <w:t>.</w:t>
      </w:r>
    </w:p>
  </w:footnote>
  <w:footnote w:id="59">
    <w:p w:rsidR="009D3BD6" w:rsidRPr="00ED1E3E" w:rsidRDefault="006F1C2E"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lang w:val="fr-CH"/>
        </w:rPr>
        <w:t>Voir CAT/OP/MDV/1, par. 210.</w:t>
      </w:r>
    </w:p>
  </w:footnote>
  <w:footnote w:id="60">
    <w:p w:rsidR="009D3BD6" w:rsidRPr="00ED1E3E" w:rsidRDefault="006F1C2E" w:rsidP="00824B55">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CAT/OP/MLI/1, par. 49</w:t>
      </w:r>
      <w:r w:rsidR="00A253ED" w:rsidRPr="00ED1E3E">
        <w:rPr>
          <w:szCs w:val="18"/>
          <w:lang w:val="fr-CH"/>
        </w:rPr>
        <w:t xml:space="preserve"> et</w:t>
      </w:r>
      <w:r w:rsidR="009D3BD6" w:rsidRPr="00ED1E3E">
        <w:rPr>
          <w:szCs w:val="18"/>
          <w:lang w:val="fr-CH"/>
        </w:rPr>
        <w:t xml:space="preserve"> </w:t>
      </w:r>
      <w:r w:rsidR="009D3BD6" w:rsidRPr="00ED1E3E">
        <w:rPr>
          <w:rStyle w:val="CommentReference"/>
          <w:szCs w:val="18"/>
          <w:lang w:val="fr-CH"/>
        </w:rPr>
        <w:t>80;</w:t>
      </w:r>
      <w:r w:rsidR="009D3BD6" w:rsidRPr="00ED1E3E">
        <w:rPr>
          <w:szCs w:val="18"/>
          <w:lang w:val="fr-CH"/>
        </w:rPr>
        <w:t xml:space="preserve"> CCPR/C/ALB/CO/2, par. 16; et la communication </w:t>
      </w:r>
      <w:r w:rsidRPr="00ED1E3E">
        <w:rPr>
          <w:szCs w:val="18"/>
          <w:lang w:val="fr-CH"/>
        </w:rPr>
        <w:t>n</w:t>
      </w:r>
      <w:r w:rsidRPr="00ED1E3E">
        <w:rPr>
          <w:szCs w:val="18"/>
          <w:vertAlign w:val="superscript"/>
          <w:lang w:val="fr-CH"/>
        </w:rPr>
        <w:t>o</w:t>
      </w:r>
      <w:r w:rsidRPr="00ED1E3E">
        <w:rPr>
          <w:szCs w:val="18"/>
          <w:lang w:val="fr-CH"/>
        </w:rPr>
        <w:t> </w:t>
      </w:r>
      <w:r w:rsidR="009D3BD6" w:rsidRPr="00ED1E3E">
        <w:rPr>
          <w:szCs w:val="18"/>
          <w:lang w:val="fr-CH"/>
        </w:rPr>
        <w:t xml:space="preserve">2218/2012, </w:t>
      </w:r>
      <w:r w:rsidR="009D3BD6" w:rsidRPr="00ED1E3E">
        <w:rPr>
          <w:i/>
          <w:color w:val="000000"/>
          <w:szCs w:val="18"/>
          <w:lang w:val="fr-CH" w:eastAsia="lv-LV"/>
        </w:rPr>
        <w:t xml:space="preserve">Abdullayev </w:t>
      </w:r>
      <w:r w:rsidR="009D3BD6" w:rsidRPr="00ED1E3E">
        <w:rPr>
          <w:iCs/>
          <w:color w:val="000000"/>
          <w:szCs w:val="18"/>
          <w:lang w:val="fr-CH" w:eastAsia="lv-LV"/>
        </w:rPr>
        <w:t>c.</w:t>
      </w:r>
      <w:r w:rsidR="009D3BD6" w:rsidRPr="00ED1E3E">
        <w:rPr>
          <w:i/>
          <w:color w:val="000000"/>
          <w:szCs w:val="18"/>
          <w:lang w:val="fr-CH" w:eastAsia="lv-LV"/>
        </w:rPr>
        <w:t xml:space="preserve"> Turkménistan</w:t>
      </w:r>
      <w:r w:rsidR="009D3BD6" w:rsidRPr="00ED1E3E">
        <w:rPr>
          <w:iCs/>
          <w:color w:val="000000"/>
          <w:szCs w:val="18"/>
          <w:lang w:val="fr-CH" w:eastAsia="lv-LV"/>
        </w:rPr>
        <w:t>,</w:t>
      </w:r>
      <w:r w:rsidR="009D3BD6" w:rsidRPr="00ED1E3E">
        <w:rPr>
          <w:color w:val="000000"/>
          <w:szCs w:val="18"/>
          <w:lang w:val="fr-CH" w:eastAsia="lv-LV"/>
        </w:rPr>
        <w:t xml:space="preserve"> </w:t>
      </w:r>
      <w:r w:rsidR="00A253ED" w:rsidRPr="00ED1E3E">
        <w:rPr>
          <w:color w:val="000000"/>
          <w:szCs w:val="18"/>
          <w:lang w:val="fr-CH" w:eastAsia="lv-LV"/>
        </w:rPr>
        <w:t>c</w:t>
      </w:r>
      <w:r w:rsidR="009D3BD6" w:rsidRPr="00ED1E3E">
        <w:rPr>
          <w:color w:val="000000"/>
          <w:szCs w:val="18"/>
          <w:lang w:val="fr-CH" w:eastAsia="lv-LV"/>
        </w:rPr>
        <w:t>onstations adoptées par le Comité des droits de l</w:t>
      </w:r>
      <w:r w:rsidRPr="00ED1E3E">
        <w:rPr>
          <w:color w:val="000000"/>
          <w:szCs w:val="18"/>
          <w:lang w:val="fr-CH" w:eastAsia="lv-LV"/>
        </w:rPr>
        <w:t>’</w:t>
      </w:r>
      <w:r w:rsidR="009D3BD6" w:rsidRPr="00ED1E3E">
        <w:rPr>
          <w:color w:val="000000"/>
          <w:szCs w:val="18"/>
          <w:lang w:val="fr-CH" w:eastAsia="lv-LV"/>
        </w:rPr>
        <w:t>homme le 25</w:t>
      </w:r>
      <w:r w:rsidRPr="00ED1E3E">
        <w:rPr>
          <w:color w:val="000000"/>
          <w:szCs w:val="18"/>
          <w:lang w:val="fr-CH" w:eastAsia="lv-LV"/>
        </w:rPr>
        <w:t> </w:t>
      </w:r>
      <w:r w:rsidR="009D3BD6" w:rsidRPr="00ED1E3E">
        <w:rPr>
          <w:color w:val="000000"/>
          <w:szCs w:val="18"/>
          <w:lang w:val="fr-CH" w:eastAsia="lv-LV"/>
        </w:rPr>
        <w:t>mars 2015, par. 5.3 et</w:t>
      </w:r>
      <w:r w:rsidR="009D3BD6" w:rsidRPr="00ED1E3E">
        <w:rPr>
          <w:lang w:val="fr-CH"/>
        </w:rPr>
        <w:t xml:space="preserve"> </w:t>
      </w:r>
      <w:r w:rsidR="009D3BD6" w:rsidRPr="00ED1E3E">
        <w:rPr>
          <w:color w:val="000000"/>
          <w:szCs w:val="18"/>
          <w:lang w:val="fr-CH" w:eastAsia="lv-LV"/>
        </w:rPr>
        <w:t xml:space="preserve">7.3. </w:t>
      </w:r>
      <w:r w:rsidR="009D3BD6" w:rsidRPr="00ED1E3E">
        <w:rPr>
          <w:szCs w:val="18"/>
          <w:lang w:val="fr-CH"/>
        </w:rPr>
        <w:t>Voir également le document CPT/Inf (2014) 15 du Conseil de l</w:t>
      </w:r>
      <w:r w:rsidRPr="00ED1E3E">
        <w:rPr>
          <w:szCs w:val="18"/>
          <w:lang w:val="fr-CH"/>
        </w:rPr>
        <w:t>’</w:t>
      </w:r>
      <w:r w:rsidR="009D3BD6" w:rsidRPr="00ED1E3E">
        <w:rPr>
          <w:szCs w:val="18"/>
          <w:lang w:val="fr-CH"/>
        </w:rPr>
        <w:t>Europe, par.</w:t>
      </w:r>
      <w:r w:rsidR="00A253ED" w:rsidRPr="00ED1E3E">
        <w:rPr>
          <w:szCs w:val="18"/>
          <w:lang w:val="fr-CH"/>
        </w:rPr>
        <w:t> </w:t>
      </w:r>
      <w:r w:rsidR="009D3BD6" w:rsidRPr="00ED1E3E">
        <w:rPr>
          <w:szCs w:val="18"/>
          <w:lang w:val="fr-CH"/>
        </w:rPr>
        <w:t>126</w:t>
      </w:r>
      <w:r w:rsidR="00F75208" w:rsidRPr="00ED1E3E">
        <w:rPr>
          <w:szCs w:val="18"/>
          <w:lang w:val="fr-CH"/>
        </w:rPr>
        <w:t>;</w:t>
      </w:r>
      <w:r w:rsidR="009D3BD6" w:rsidRPr="00ED1E3E">
        <w:rPr>
          <w:color w:val="000000"/>
          <w:szCs w:val="18"/>
          <w:lang w:val="fr-CH" w:eastAsia="lv-LV"/>
        </w:rPr>
        <w:t xml:space="preserve"> et </w:t>
      </w:r>
      <w:r w:rsidR="009D3BD6" w:rsidRPr="00ED1E3E">
        <w:rPr>
          <w:i/>
          <w:color w:val="000000"/>
          <w:szCs w:val="18"/>
          <w:lang w:val="fr-CH" w:eastAsia="lv-LV"/>
        </w:rPr>
        <w:t xml:space="preserve">Boyce </w:t>
      </w:r>
      <w:r w:rsidR="009D3BD6" w:rsidRPr="00ED1E3E">
        <w:rPr>
          <w:iCs/>
          <w:color w:val="000000"/>
          <w:szCs w:val="18"/>
          <w:lang w:val="fr-CH" w:eastAsia="lv-LV"/>
        </w:rPr>
        <w:t>c.</w:t>
      </w:r>
      <w:r w:rsidR="009D3BD6" w:rsidRPr="00ED1E3E">
        <w:rPr>
          <w:i/>
          <w:color w:val="000000"/>
          <w:szCs w:val="18"/>
          <w:lang w:val="fr-CH" w:eastAsia="lv-LV"/>
        </w:rPr>
        <w:t xml:space="preserve"> Barbade</w:t>
      </w:r>
      <w:r w:rsidR="009D3BD6" w:rsidRPr="00ED1E3E">
        <w:rPr>
          <w:color w:val="000000"/>
          <w:szCs w:val="18"/>
          <w:lang w:val="fr-CH" w:eastAsia="lv-LV"/>
        </w:rPr>
        <w:t xml:space="preserve">, </w:t>
      </w:r>
      <w:r w:rsidR="009D3BD6" w:rsidRPr="00ED1E3E">
        <w:rPr>
          <w:szCs w:val="18"/>
          <w:lang w:val="fr-CH"/>
        </w:rPr>
        <w:t>arrêt de la Cour interaméricaine des droits de l</w:t>
      </w:r>
      <w:r w:rsidRPr="00ED1E3E">
        <w:rPr>
          <w:szCs w:val="18"/>
          <w:lang w:val="fr-CH"/>
        </w:rPr>
        <w:t>’</w:t>
      </w:r>
      <w:r w:rsidR="009D3BD6" w:rsidRPr="00ED1E3E">
        <w:rPr>
          <w:szCs w:val="18"/>
          <w:lang w:val="fr-CH"/>
        </w:rPr>
        <w:t xml:space="preserve">homme </w:t>
      </w:r>
      <w:r w:rsidR="009D3BD6" w:rsidRPr="00ED1E3E">
        <w:rPr>
          <w:color w:val="000000"/>
          <w:szCs w:val="18"/>
          <w:lang w:val="fr-CH" w:eastAsia="lv-LV"/>
        </w:rPr>
        <w:t>(2007), par.</w:t>
      </w:r>
      <w:r w:rsidR="00F75208" w:rsidRPr="00ED1E3E">
        <w:rPr>
          <w:color w:val="000000"/>
          <w:szCs w:val="18"/>
          <w:lang w:val="fr-CH" w:eastAsia="lv-LV"/>
        </w:rPr>
        <w:t> </w:t>
      </w:r>
      <w:r w:rsidR="009D3BD6" w:rsidRPr="00ED1E3E">
        <w:rPr>
          <w:color w:val="000000"/>
          <w:szCs w:val="18"/>
          <w:lang w:val="fr-CH" w:eastAsia="lv-LV"/>
        </w:rPr>
        <w:t>94.</w:t>
      </w:r>
    </w:p>
  </w:footnote>
  <w:footnote w:id="61">
    <w:p w:rsidR="009D3BD6" w:rsidRPr="00ED1E3E" w:rsidRDefault="006F1C2E" w:rsidP="00824B55">
      <w:pPr>
        <w:pStyle w:val="FootnoteText"/>
        <w:tabs>
          <w:tab w:val="right" w:pos="1195"/>
          <w:tab w:val="left" w:pos="1267"/>
          <w:tab w:val="left" w:pos="1742"/>
          <w:tab w:val="left" w:pos="2218"/>
          <w:tab w:val="left" w:pos="2693"/>
        </w:tabs>
        <w:spacing w:line="240" w:lineRule="auto"/>
        <w:ind w:left="1267" w:right="1260" w:hanging="432"/>
        <w:rPr>
          <w:szCs w:val="18"/>
          <w:lang w:val="fr-CH" w:eastAsia="lv-LV"/>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 xml:space="preserve">Voir </w:t>
      </w:r>
      <w:r w:rsidR="009D3BD6" w:rsidRPr="00ED1E3E">
        <w:rPr>
          <w:szCs w:val="18"/>
          <w:lang w:val="fr-CH" w:eastAsia="lv-LV"/>
        </w:rPr>
        <w:t>A/68/295, par. 45</w:t>
      </w:r>
      <w:r w:rsidR="00F75208" w:rsidRPr="00ED1E3E">
        <w:rPr>
          <w:szCs w:val="18"/>
          <w:lang w:val="fr-CH" w:eastAsia="lv-LV"/>
        </w:rPr>
        <w:t>;</w:t>
      </w:r>
      <w:r w:rsidR="009D3BD6" w:rsidRPr="00ED1E3E">
        <w:rPr>
          <w:szCs w:val="18"/>
          <w:lang w:val="fr-CH" w:eastAsia="lv-LV"/>
        </w:rPr>
        <w:t xml:space="preserve"> et </w:t>
      </w:r>
      <w:r w:rsidR="009D3BD6" w:rsidRPr="00ED1E3E">
        <w:rPr>
          <w:i/>
          <w:color w:val="000000"/>
          <w:szCs w:val="18"/>
          <w:lang w:val="fr-CH" w:eastAsia="lv-LV"/>
        </w:rPr>
        <w:t xml:space="preserve">Montero-Aranguren </w:t>
      </w:r>
      <w:r w:rsidR="009D3BD6" w:rsidRPr="00ED1E3E">
        <w:rPr>
          <w:iCs/>
          <w:color w:val="000000"/>
          <w:szCs w:val="18"/>
          <w:lang w:val="fr-CH" w:eastAsia="lv-LV"/>
        </w:rPr>
        <w:t>c.</w:t>
      </w:r>
      <w:r w:rsidR="009D3BD6" w:rsidRPr="00ED1E3E">
        <w:rPr>
          <w:i/>
          <w:color w:val="000000"/>
          <w:szCs w:val="18"/>
          <w:lang w:val="fr-CH" w:eastAsia="lv-LV"/>
        </w:rPr>
        <w:t xml:space="preserve"> Venezuela</w:t>
      </w:r>
      <w:r w:rsidR="009D3BD6" w:rsidRPr="00ED1E3E">
        <w:rPr>
          <w:color w:val="000000"/>
          <w:szCs w:val="18"/>
          <w:lang w:val="fr-CH" w:eastAsia="lv-LV"/>
        </w:rPr>
        <w:t xml:space="preserve">, </w:t>
      </w:r>
      <w:r w:rsidR="009D3BD6" w:rsidRPr="00ED1E3E">
        <w:rPr>
          <w:szCs w:val="18"/>
          <w:lang w:val="fr-CH"/>
        </w:rPr>
        <w:t>arrêt de la Cour interaméricaine des droits de l</w:t>
      </w:r>
      <w:r w:rsidRPr="00ED1E3E">
        <w:rPr>
          <w:szCs w:val="18"/>
          <w:lang w:val="fr-CH"/>
        </w:rPr>
        <w:t>’</w:t>
      </w:r>
      <w:r w:rsidR="009D3BD6" w:rsidRPr="00ED1E3E">
        <w:rPr>
          <w:szCs w:val="18"/>
          <w:lang w:val="fr-CH"/>
        </w:rPr>
        <w:t xml:space="preserve">homme </w:t>
      </w:r>
      <w:r w:rsidR="009D3BD6" w:rsidRPr="00ED1E3E">
        <w:rPr>
          <w:color w:val="000000"/>
          <w:szCs w:val="18"/>
          <w:lang w:val="fr-CH" w:eastAsia="lv-LV"/>
        </w:rPr>
        <w:t>(2006), par. 99.</w:t>
      </w:r>
    </w:p>
  </w:footnote>
  <w:footnote w:id="62">
    <w:p w:rsidR="009D3BD6" w:rsidRPr="00ED1E3E" w:rsidRDefault="006F1C2E" w:rsidP="00824B55">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CAT/OP/MEX/1, par. 184</w:t>
      </w:r>
      <w:r w:rsidR="00F75208" w:rsidRPr="00ED1E3E">
        <w:rPr>
          <w:szCs w:val="18"/>
          <w:lang w:val="fr-CH"/>
        </w:rPr>
        <w:t>;</w:t>
      </w:r>
      <w:r w:rsidR="009D3BD6" w:rsidRPr="00ED1E3E">
        <w:rPr>
          <w:szCs w:val="18"/>
          <w:lang w:val="fr-CH"/>
        </w:rPr>
        <w:t xml:space="preserve"> et </w:t>
      </w:r>
      <w:r w:rsidR="009D3BD6" w:rsidRPr="00ED1E3E">
        <w:rPr>
          <w:i/>
          <w:color w:val="000000"/>
          <w:szCs w:val="18"/>
          <w:lang w:val="fr-CH" w:eastAsia="lv-LV"/>
        </w:rPr>
        <w:t xml:space="preserve">Boyce </w:t>
      </w:r>
      <w:r w:rsidR="009D3BD6" w:rsidRPr="00ED1E3E">
        <w:rPr>
          <w:iCs/>
          <w:color w:val="000000"/>
          <w:szCs w:val="18"/>
          <w:lang w:val="fr-CH" w:eastAsia="lv-LV"/>
        </w:rPr>
        <w:t>c.</w:t>
      </w:r>
      <w:r w:rsidR="009D3BD6" w:rsidRPr="00ED1E3E">
        <w:rPr>
          <w:i/>
          <w:color w:val="000000"/>
          <w:szCs w:val="18"/>
          <w:lang w:val="fr-CH" w:eastAsia="lv-LV"/>
        </w:rPr>
        <w:t xml:space="preserve"> Barbade</w:t>
      </w:r>
      <w:r w:rsidR="009D3BD6" w:rsidRPr="00ED1E3E">
        <w:rPr>
          <w:color w:val="000000"/>
          <w:szCs w:val="18"/>
          <w:lang w:val="fr-CH" w:eastAsia="lv-LV"/>
        </w:rPr>
        <w:t xml:space="preserve">, </w:t>
      </w:r>
      <w:r w:rsidR="009D3BD6" w:rsidRPr="00ED1E3E">
        <w:rPr>
          <w:szCs w:val="18"/>
          <w:lang w:val="fr-CH"/>
        </w:rPr>
        <w:t>arrêt de la Cour interaméricaine des droits de l</w:t>
      </w:r>
      <w:r w:rsidRPr="00ED1E3E">
        <w:rPr>
          <w:szCs w:val="18"/>
          <w:lang w:val="fr-CH"/>
        </w:rPr>
        <w:t>’</w:t>
      </w:r>
      <w:r w:rsidR="009D3BD6" w:rsidRPr="00ED1E3E">
        <w:rPr>
          <w:szCs w:val="18"/>
          <w:lang w:val="fr-CH"/>
        </w:rPr>
        <w:t xml:space="preserve">homme </w:t>
      </w:r>
      <w:r w:rsidR="009D3BD6" w:rsidRPr="00ED1E3E">
        <w:rPr>
          <w:color w:val="000000"/>
          <w:szCs w:val="18"/>
          <w:lang w:val="fr-CH" w:eastAsia="lv-LV"/>
        </w:rPr>
        <w:t>(2007), par. 94.</w:t>
      </w:r>
    </w:p>
  </w:footnote>
  <w:footnote w:id="63">
    <w:p w:rsidR="009D3BD6" w:rsidRPr="00ED1E3E" w:rsidRDefault="006F1C2E"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A/HRC/25/60/Add.1, par. 85.</w:t>
      </w:r>
    </w:p>
  </w:footnote>
  <w:footnote w:id="64">
    <w:p w:rsidR="009D3BD6" w:rsidRPr="00ED1E3E" w:rsidRDefault="006F1C2E"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lang w:val="fr-CH"/>
        </w:rPr>
        <w:t>Voir A/65/255, par. 59.</w:t>
      </w:r>
    </w:p>
  </w:footnote>
  <w:footnote w:id="65">
    <w:p w:rsidR="009D3BD6" w:rsidRPr="00ED1E3E" w:rsidRDefault="006F1C2E"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lang w:val="fr-CH"/>
        </w:rPr>
        <w:t>Voir A/65/255, par. 68.</w:t>
      </w:r>
    </w:p>
  </w:footnote>
  <w:footnote w:id="66">
    <w:p w:rsidR="009D3BD6" w:rsidRPr="00ED1E3E" w:rsidRDefault="006F1C2E"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lang w:val="fr-CH"/>
        </w:rPr>
        <w:t>Voir A/HRC/23/41/Add.1, par. 43.</w:t>
      </w:r>
    </w:p>
  </w:footnote>
  <w:footnote w:id="67">
    <w:p w:rsidR="009D3BD6" w:rsidRPr="00ED1E3E" w:rsidRDefault="002273AD"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lang w:val="fr-CH"/>
        </w:rPr>
        <w:t>Voir A/HRC/23/41/Add.1, par. 52.</w:t>
      </w:r>
    </w:p>
  </w:footnote>
  <w:footnote w:id="68">
    <w:p w:rsidR="009D3BD6" w:rsidRPr="00ED1E3E" w:rsidRDefault="002273AD"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lang w:val="fr-CH"/>
        </w:rPr>
        <w:t>Voir A/65/255, par. 29.</w:t>
      </w:r>
    </w:p>
  </w:footnote>
  <w:footnote w:id="69">
    <w:p w:rsidR="009D3BD6" w:rsidRPr="00ED1E3E" w:rsidRDefault="002273AD"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 xml:space="preserve">Voir </w:t>
      </w:r>
      <w:r w:rsidR="009D3BD6" w:rsidRPr="00ED1E3E">
        <w:rPr>
          <w:bCs/>
          <w:szCs w:val="18"/>
          <w:lang w:val="fr-CH" w:eastAsia="en-GB"/>
        </w:rPr>
        <w:t xml:space="preserve">A/HRC/23/41/Add.2, par. 31; A/65/255, par. 29; et </w:t>
      </w:r>
      <w:r w:rsidR="009D3BD6" w:rsidRPr="00ED1E3E">
        <w:rPr>
          <w:szCs w:val="18"/>
          <w:lang w:val="fr-CH"/>
        </w:rPr>
        <w:t>CAT/C/54/2, par. 77.</w:t>
      </w:r>
    </w:p>
  </w:footnote>
  <w:footnote w:id="70">
    <w:p w:rsidR="009D3BD6" w:rsidRPr="00ED1E3E" w:rsidRDefault="002273AD"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A/HRC/22/53/Add.2, par. 66.</w:t>
      </w:r>
    </w:p>
  </w:footnote>
  <w:footnote w:id="71">
    <w:p w:rsidR="009D3BD6" w:rsidRPr="00ED1E3E" w:rsidRDefault="002273AD"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lang w:val="fr-CH"/>
        </w:rPr>
        <w:t>Voir CEDAW/C/GRC/CO/7, par. 34; CAT/C/BLR/CO/4, par. 19; CAT/C/ECU/CO/3, par. 24; CAT/C/GAB/CO/1, par. 17; et CAT/C/LKA/CO/3-4, par. 14.</w:t>
      </w:r>
    </w:p>
  </w:footnote>
  <w:footnote w:id="72">
    <w:p w:rsidR="009D3BD6" w:rsidRPr="00ED1E3E" w:rsidRDefault="002273AD"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 xml:space="preserve">Voir </w:t>
      </w:r>
      <w:r w:rsidR="009D3BD6" w:rsidRPr="00ED1E3E">
        <w:rPr>
          <w:bCs/>
          <w:szCs w:val="18"/>
          <w:lang w:val="fr-CH" w:eastAsia="en-GB"/>
        </w:rPr>
        <w:t xml:space="preserve">A/HRC/23/41/Add.2, par. 40, et </w:t>
      </w:r>
      <w:r w:rsidR="009D3BD6" w:rsidRPr="00ED1E3E">
        <w:rPr>
          <w:szCs w:val="18"/>
          <w:lang w:val="fr-CH"/>
        </w:rPr>
        <w:t>CAT/C/AUS/CO/4-5, par. 11.</w:t>
      </w:r>
    </w:p>
  </w:footnote>
  <w:footnote w:id="73">
    <w:p w:rsidR="009D3BD6" w:rsidRPr="00ED1E3E" w:rsidRDefault="002273AD" w:rsidP="00824B55">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CAT/C/GRC/CO/5-6, par. 14</w:t>
      </w:r>
      <w:r w:rsidR="00F5231A" w:rsidRPr="00ED1E3E">
        <w:rPr>
          <w:szCs w:val="18"/>
          <w:lang w:val="fr-CH"/>
        </w:rPr>
        <w:t>;</w:t>
      </w:r>
      <w:r w:rsidR="009D3BD6" w:rsidRPr="00ED1E3E">
        <w:rPr>
          <w:szCs w:val="18"/>
          <w:lang w:val="fr-CH"/>
        </w:rPr>
        <w:t xml:space="preserve"> et CAT/C/PER/CO/5-6, par. 10.</w:t>
      </w:r>
    </w:p>
  </w:footnote>
  <w:footnote w:id="74">
    <w:p w:rsidR="009D3BD6" w:rsidRPr="00ED1E3E" w:rsidRDefault="002273AD"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 xml:space="preserve">Voir </w:t>
      </w:r>
      <w:r w:rsidR="009D3BD6" w:rsidRPr="00ED1E3E">
        <w:rPr>
          <w:bCs/>
          <w:szCs w:val="18"/>
          <w:lang w:val="fr-CH" w:eastAsia="en-GB"/>
        </w:rPr>
        <w:t>A/65/255, par. 29.</w:t>
      </w:r>
    </w:p>
  </w:footnote>
  <w:footnote w:id="75">
    <w:p w:rsidR="009D3BD6" w:rsidRPr="00ED1E3E" w:rsidRDefault="002273AD" w:rsidP="00824B55">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A/HRC/25/60/Add.1, par. 54</w:t>
      </w:r>
      <w:r w:rsidR="00F5231A" w:rsidRPr="00ED1E3E">
        <w:rPr>
          <w:szCs w:val="18"/>
          <w:lang w:val="fr-CH"/>
        </w:rPr>
        <w:t>;</w:t>
      </w:r>
      <w:r w:rsidR="009D3BD6" w:rsidRPr="00ED1E3E">
        <w:rPr>
          <w:szCs w:val="18"/>
          <w:lang w:val="fr-CH"/>
        </w:rPr>
        <w:t xml:space="preserve"> et http://www.achpr.org/files/sessions/12th-eo/mission-reports/</w:t>
      </w:r>
      <w:r w:rsidRPr="00ED1E3E">
        <w:rPr>
          <w:szCs w:val="18"/>
          <w:lang w:val="fr-CH"/>
        </w:rPr>
        <w:br/>
      </w:r>
      <w:r w:rsidR="009D3BD6" w:rsidRPr="00ED1E3E">
        <w:rPr>
          <w:szCs w:val="18"/>
          <w:lang w:val="fr-CH"/>
        </w:rPr>
        <w:t>promotion_mission-2012/mission_report_mauritania_cpta_fr.pdf, par. 76.</w:t>
      </w:r>
    </w:p>
  </w:footnote>
  <w:footnote w:id="76">
    <w:p w:rsidR="009D3BD6" w:rsidRPr="00ED1E3E" w:rsidRDefault="002273AD" w:rsidP="00824B55">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 xml:space="preserve">Voir CAT/C/MDA/CO/2, par. 18; A/HRC/22/53/Add.2, par. 47; et </w:t>
      </w:r>
      <w:r w:rsidR="009D3BD6" w:rsidRPr="00ED1E3E">
        <w:rPr>
          <w:i/>
          <w:color w:val="000000"/>
          <w:szCs w:val="18"/>
          <w:lang w:val="fr-CH" w:eastAsia="lv-LV"/>
        </w:rPr>
        <w:t xml:space="preserve">Tibi </w:t>
      </w:r>
      <w:r w:rsidR="009D3BD6" w:rsidRPr="00ED1E3E">
        <w:rPr>
          <w:iCs/>
          <w:color w:val="000000"/>
          <w:szCs w:val="18"/>
          <w:lang w:val="fr-CH" w:eastAsia="lv-LV"/>
        </w:rPr>
        <w:t>c.</w:t>
      </w:r>
      <w:r w:rsidR="009D3BD6" w:rsidRPr="00ED1E3E">
        <w:rPr>
          <w:i/>
          <w:color w:val="000000"/>
          <w:szCs w:val="18"/>
          <w:lang w:val="fr-CH" w:eastAsia="lv-LV"/>
        </w:rPr>
        <w:t xml:space="preserve"> Équateur</w:t>
      </w:r>
      <w:r w:rsidR="009D3BD6" w:rsidRPr="00ED1E3E">
        <w:rPr>
          <w:color w:val="000000"/>
          <w:szCs w:val="18"/>
          <w:lang w:val="fr-CH" w:eastAsia="lv-LV"/>
        </w:rPr>
        <w:t xml:space="preserve">, </w:t>
      </w:r>
      <w:r w:rsidR="009D3BD6" w:rsidRPr="00ED1E3E">
        <w:rPr>
          <w:szCs w:val="18"/>
          <w:lang w:val="fr-CH"/>
        </w:rPr>
        <w:t>arrêt de la Cour interaméricaine des droits de l</w:t>
      </w:r>
      <w:r w:rsidRPr="00ED1E3E">
        <w:rPr>
          <w:szCs w:val="18"/>
          <w:lang w:val="fr-CH"/>
        </w:rPr>
        <w:t>’</w:t>
      </w:r>
      <w:r w:rsidR="009D3BD6" w:rsidRPr="00ED1E3E">
        <w:rPr>
          <w:szCs w:val="18"/>
          <w:lang w:val="fr-CH"/>
        </w:rPr>
        <w:t xml:space="preserve">homme </w:t>
      </w:r>
      <w:r w:rsidR="009D3BD6" w:rsidRPr="00ED1E3E">
        <w:rPr>
          <w:color w:val="000000"/>
          <w:szCs w:val="18"/>
          <w:lang w:val="fr-CH" w:eastAsia="lv-LV"/>
        </w:rPr>
        <w:t>(2004), par. 150.</w:t>
      </w:r>
    </w:p>
  </w:footnote>
  <w:footnote w:id="77">
    <w:p w:rsidR="009D3BD6" w:rsidRPr="00ED1E3E" w:rsidRDefault="002273AD" w:rsidP="00824B55">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A/HRC/25/60/Add.1, par. 44</w:t>
      </w:r>
      <w:r w:rsidR="00F5231A" w:rsidRPr="00ED1E3E">
        <w:rPr>
          <w:szCs w:val="18"/>
          <w:lang w:val="fr-CH"/>
        </w:rPr>
        <w:t>;</w:t>
      </w:r>
      <w:r w:rsidR="009D3BD6" w:rsidRPr="00ED1E3E">
        <w:rPr>
          <w:szCs w:val="18"/>
          <w:lang w:val="fr-CH"/>
        </w:rPr>
        <w:t xml:space="preserve"> et CAT/OP/BEN/1, par. 180.</w:t>
      </w:r>
    </w:p>
  </w:footnote>
  <w:footnote w:id="78">
    <w:p w:rsidR="009D3BD6" w:rsidRPr="00ED1E3E" w:rsidRDefault="002273AD"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CAT/C/PER/CO/5-6, par. 10; CAT/C/SYR/CO/1, par. 30; et CAT/C/LKA/CO/3-4, par. 14.</w:t>
      </w:r>
    </w:p>
  </w:footnote>
  <w:footnote w:id="79">
    <w:p w:rsidR="009D3BD6" w:rsidRPr="00ED1E3E" w:rsidRDefault="002273AD"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A/HRC/25/60/Add.1, par. 54.</w:t>
      </w:r>
    </w:p>
  </w:footnote>
  <w:footnote w:id="80">
    <w:p w:rsidR="009D3BD6" w:rsidRPr="00ED1E3E" w:rsidRDefault="002273AD" w:rsidP="00824B55">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CAT/OP/BEN/1, par. 218; CAT/OP/BRA/1, par. 105; http://www.achpr.org/files/sessions/12th-eo/mission-reports/promotion_mission-2012/mission_report_mauritania_cpta_fr.pdf, par. 76</w:t>
      </w:r>
      <w:r w:rsidR="009D3BD6" w:rsidRPr="00ED1E3E">
        <w:rPr>
          <w:bCs/>
          <w:color w:val="000000"/>
          <w:szCs w:val="18"/>
          <w:lang w:val="fr-CH" w:eastAsia="lv-LV"/>
        </w:rPr>
        <w:t>; et le</w:t>
      </w:r>
      <w:r w:rsidR="009D3BD6" w:rsidRPr="00ED1E3E">
        <w:rPr>
          <w:szCs w:val="18"/>
          <w:lang w:val="fr-CH"/>
        </w:rPr>
        <w:t xml:space="preserve"> document CPT/Inf (2015) 12 du Conseil de l</w:t>
      </w:r>
      <w:r w:rsidR="006C071C" w:rsidRPr="00ED1E3E">
        <w:rPr>
          <w:szCs w:val="18"/>
          <w:lang w:val="fr-CH"/>
        </w:rPr>
        <w:t>’</w:t>
      </w:r>
      <w:r w:rsidR="009D3BD6" w:rsidRPr="00ED1E3E">
        <w:rPr>
          <w:szCs w:val="18"/>
          <w:lang w:val="fr-CH"/>
        </w:rPr>
        <w:t>Europe, par. 66.</w:t>
      </w:r>
    </w:p>
  </w:footnote>
  <w:footnote w:id="81">
    <w:p w:rsidR="009D3BD6" w:rsidRPr="00ED1E3E" w:rsidRDefault="006C071C"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lang w:val="fr-CH"/>
        </w:rPr>
        <w:t>V</w:t>
      </w:r>
      <w:r w:rsidRPr="00ED1E3E">
        <w:rPr>
          <w:lang w:val="fr-CH"/>
        </w:rPr>
        <w:t>oir CAT/C/TGO/CO/2, par.</w:t>
      </w:r>
      <w:r w:rsidR="00F5231A" w:rsidRPr="00ED1E3E">
        <w:rPr>
          <w:lang w:val="fr-CH"/>
        </w:rPr>
        <w:t xml:space="preserve"> </w:t>
      </w:r>
      <w:r w:rsidRPr="00ED1E3E">
        <w:rPr>
          <w:lang w:val="fr-CH"/>
        </w:rPr>
        <w:t>13.</w:t>
      </w:r>
    </w:p>
  </w:footnote>
  <w:footnote w:id="82">
    <w:p w:rsidR="009D3BD6" w:rsidRPr="00ED1E3E" w:rsidRDefault="006C071C"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A/HRC/12/24, par. 45 à 47.</w:t>
      </w:r>
    </w:p>
  </w:footnote>
  <w:footnote w:id="83">
    <w:p w:rsidR="009D3BD6" w:rsidRPr="00ED1E3E" w:rsidRDefault="006C071C"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 xml:space="preserve">Voir A/HRC/25/57/Add.1, par. 70 à 72, 83, al. </w:t>
      </w:r>
      <w:r w:rsidR="009D3BD6" w:rsidRPr="00ED1E3E">
        <w:rPr>
          <w:iCs/>
          <w:szCs w:val="18"/>
          <w:lang w:val="fr-CH"/>
        </w:rPr>
        <w:t>n</w:t>
      </w:r>
      <w:r w:rsidR="00F5231A" w:rsidRPr="00ED1E3E">
        <w:rPr>
          <w:szCs w:val="18"/>
          <w:lang w:val="fr-CH"/>
        </w:rPr>
        <w:t>);</w:t>
      </w:r>
      <w:r w:rsidR="009D3BD6" w:rsidRPr="00ED1E3E">
        <w:rPr>
          <w:szCs w:val="18"/>
          <w:lang w:val="fr-CH"/>
        </w:rPr>
        <w:t xml:space="preserve"> et </w:t>
      </w:r>
      <w:r w:rsidR="009D3BD6" w:rsidRPr="00ED1E3E">
        <w:rPr>
          <w:bCs/>
          <w:szCs w:val="18"/>
          <w:lang w:val="fr-CH" w:eastAsia="en-GB"/>
        </w:rPr>
        <w:t>A/HRC/22/50/Add.2, par. 12 à 14.</w:t>
      </w:r>
    </w:p>
  </w:footnote>
  <w:footnote w:id="84">
    <w:p w:rsidR="009D3BD6" w:rsidRPr="00ED1E3E" w:rsidRDefault="009C12FC" w:rsidP="00824B55">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 xml:space="preserve">Voir </w:t>
      </w:r>
      <w:r w:rsidR="009D3BD6" w:rsidRPr="00ED1E3E">
        <w:rPr>
          <w:bCs/>
          <w:szCs w:val="18"/>
          <w:lang w:val="fr-CH" w:eastAsia="en-GB"/>
        </w:rPr>
        <w:t xml:space="preserve">A/HRC/22/50/Add.2, par. 13. Voir également </w:t>
      </w:r>
      <w:r w:rsidR="009D3BD6" w:rsidRPr="00ED1E3E">
        <w:rPr>
          <w:szCs w:val="18"/>
          <w:lang w:val="fr-CH"/>
        </w:rPr>
        <w:t>CAT/OP/MEX/1, par. 112.</w:t>
      </w:r>
    </w:p>
  </w:footnote>
  <w:footnote w:id="85">
    <w:p w:rsidR="009D3BD6" w:rsidRPr="00ED1E3E" w:rsidRDefault="009C12FC" w:rsidP="00824B55">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A/HRC/25/57/Add.1, par. 70</w:t>
      </w:r>
      <w:r w:rsidR="0037259E" w:rsidRPr="00ED1E3E">
        <w:rPr>
          <w:szCs w:val="18"/>
          <w:lang w:val="fr-CH"/>
        </w:rPr>
        <w:t>;</w:t>
      </w:r>
      <w:r w:rsidR="009D3BD6" w:rsidRPr="00ED1E3E">
        <w:rPr>
          <w:szCs w:val="18"/>
          <w:lang w:val="fr-CH"/>
        </w:rPr>
        <w:t xml:space="preserve"> et A/HRC/22/50/Add.2, par. 14.</w:t>
      </w:r>
    </w:p>
  </w:footnote>
  <w:footnote w:id="86">
    <w:p w:rsidR="009D3BD6" w:rsidRPr="00ED1E3E" w:rsidRDefault="009C12FC" w:rsidP="00824B55">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CAT/C/BLR/CO/4, par. 19; CAT/C/BGR/CO/4-5, par. 21; CAT/C/KHM/CO/2, par. 19; CAT/C/GAB/CO/1, par. 17; CAT/C/MAR/CO/4, par. 19; et A/HRC/22/53/Add.2, par. 66.</w:t>
      </w:r>
    </w:p>
  </w:footnote>
  <w:footnote w:id="87">
    <w:p w:rsidR="009D3BD6" w:rsidRPr="00ED1E3E" w:rsidRDefault="009C12FC" w:rsidP="00824B55">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sz w:val="18"/>
          <w:lang w:val="fr-CH"/>
        </w:rPr>
        <w:tab/>
      </w:r>
      <w:r w:rsidR="009D3BD6" w:rsidRPr="00ED1E3E">
        <w:rPr>
          <w:rStyle w:val="FootnoteReference"/>
          <w:lang w:val="fr-CH"/>
        </w:rPr>
        <w:footnoteRef/>
      </w:r>
      <w:r w:rsidRPr="00ED1E3E">
        <w:rPr>
          <w:sz w:val="18"/>
          <w:lang w:val="fr-CH"/>
        </w:rPr>
        <w:tab/>
      </w:r>
      <w:r w:rsidR="009D3BD6" w:rsidRPr="00ED1E3E">
        <w:rPr>
          <w:szCs w:val="18"/>
          <w:lang w:val="fr-CH"/>
        </w:rPr>
        <w:t>Voir http://www.achpr.org/files/sessions/37th/mission-reports/ethiopia/achpr37_misrep_specmec_</w:t>
      </w:r>
      <w:r w:rsidRPr="00ED1E3E">
        <w:rPr>
          <w:szCs w:val="18"/>
          <w:lang w:val="fr-CH"/>
        </w:rPr>
        <w:br/>
      </w:r>
      <w:r w:rsidR="009D3BD6" w:rsidRPr="00ED1E3E">
        <w:rPr>
          <w:szCs w:val="18"/>
          <w:lang w:val="fr-CH"/>
        </w:rPr>
        <w:t>priso_ethiopia_2004_fra.pdf, p. 20; A/HRC/25/60/Add.1, par. 54; et document CPT/Inf (2014) 26 du Conseil de l</w:t>
      </w:r>
      <w:r w:rsidRPr="00ED1E3E">
        <w:rPr>
          <w:szCs w:val="18"/>
          <w:lang w:val="fr-CH"/>
        </w:rPr>
        <w:t>’</w:t>
      </w:r>
      <w:r w:rsidR="009D3BD6" w:rsidRPr="00ED1E3E">
        <w:rPr>
          <w:szCs w:val="18"/>
          <w:lang w:val="fr-CH"/>
        </w:rPr>
        <w:t>Europe</w:t>
      </w:r>
      <w:r w:rsidR="0037259E" w:rsidRPr="00ED1E3E">
        <w:rPr>
          <w:szCs w:val="18"/>
          <w:lang w:val="fr-CH"/>
        </w:rPr>
        <w:t>, par. 110</w:t>
      </w:r>
      <w:r w:rsidR="009D3BD6" w:rsidRPr="00ED1E3E">
        <w:rPr>
          <w:szCs w:val="18"/>
          <w:lang w:val="fr-CH"/>
        </w:rPr>
        <w:t>.</w:t>
      </w:r>
    </w:p>
  </w:footnote>
  <w:footnote w:id="88">
    <w:p w:rsidR="009D3BD6" w:rsidRPr="00ED1E3E" w:rsidRDefault="009C12FC" w:rsidP="009C12FC">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sz w:val="18"/>
          <w:lang w:val="fr-CH"/>
        </w:rPr>
        <w:tab/>
      </w:r>
      <w:r w:rsidR="009D3BD6" w:rsidRPr="00ED1E3E">
        <w:rPr>
          <w:rStyle w:val="FootnoteReference"/>
          <w:lang w:val="fr-CH"/>
        </w:rPr>
        <w:footnoteRef/>
      </w:r>
      <w:r w:rsidRPr="00ED1E3E">
        <w:rPr>
          <w:sz w:val="18"/>
          <w:lang w:val="fr-CH"/>
        </w:rPr>
        <w:tab/>
      </w:r>
      <w:r w:rsidR="009D3BD6" w:rsidRPr="00ED1E3E">
        <w:rPr>
          <w:szCs w:val="18"/>
          <w:lang w:val="fr-CH"/>
        </w:rPr>
        <w:t>Voir http://www.achpr.org/files/sessions/37th/mission-reports/ethiopia/achpr37_misrep_specmec_</w:t>
      </w:r>
      <w:r w:rsidR="00BE0648" w:rsidRPr="00ED1E3E">
        <w:rPr>
          <w:szCs w:val="18"/>
          <w:lang w:val="fr-CH"/>
        </w:rPr>
        <w:br/>
      </w:r>
      <w:r w:rsidR="009D3BD6" w:rsidRPr="00ED1E3E">
        <w:rPr>
          <w:szCs w:val="18"/>
          <w:lang w:val="fr-CH"/>
        </w:rPr>
        <w:t>priso_ethiopia_2004_fra.pdf p. 33. Voir également le document CPT/Inf (2014) 26 du</w:t>
      </w:r>
      <w:r w:rsidR="009D3BD6" w:rsidRPr="00ED1E3E">
        <w:rPr>
          <w:bCs/>
          <w:color w:val="000000"/>
          <w:szCs w:val="18"/>
          <w:lang w:val="fr-CH" w:eastAsia="lv-LV"/>
        </w:rPr>
        <w:t xml:space="preserve"> </w:t>
      </w:r>
      <w:r w:rsidR="009D3BD6" w:rsidRPr="00ED1E3E">
        <w:rPr>
          <w:szCs w:val="18"/>
          <w:lang w:val="fr-CH"/>
        </w:rPr>
        <w:t>Conseil de l</w:t>
      </w:r>
      <w:r w:rsidR="00174C4F" w:rsidRPr="00ED1E3E">
        <w:rPr>
          <w:szCs w:val="18"/>
          <w:lang w:val="fr-CH"/>
        </w:rPr>
        <w:t>’</w:t>
      </w:r>
      <w:r w:rsidR="009D3BD6" w:rsidRPr="00ED1E3E">
        <w:rPr>
          <w:szCs w:val="18"/>
          <w:lang w:val="fr-CH"/>
        </w:rPr>
        <w:t>Europe, par. 110; A/HRC/25/71, par. 35; et CAT/OP/BEN/1, par. 208.</w:t>
      </w:r>
    </w:p>
  </w:footnote>
  <w:footnote w:id="89">
    <w:p w:rsidR="009D3BD6" w:rsidRPr="00ED1E3E" w:rsidRDefault="009C12FC"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 xml:space="preserve">Voir </w:t>
      </w:r>
      <w:r w:rsidR="009D3BD6" w:rsidRPr="00ED1E3E">
        <w:rPr>
          <w:szCs w:val="18"/>
          <w:lang w:val="fr-CH" w:eastAsia="lv-LV"/>
        </w:rPr>
        <w:t xml:space="preserve">A/HRC/13/39/Add.5, par. 91; </w:t>
      </w:r>
      <w:r w:rsidR="009D3BD6" w:rsidRPr="00ED1E3E">
        <w:rPr>
          <w:szCs w:val="18"/>
          <w:lang w:val="fr-CH"/>
        </w:rPr>
        <w:t>A/HRC/25/60/Add.1, par. 44; CCPR/C/BGR/CO/3, par. 18; et CCPR/C/NIC/CO/3, par. 17.</w:t>
      </w:r>
    </w:p>
  </w:footnote>
  <w:footnote w:id="90">
    <w:p w:rsidR="009D3BD6" w:rsidRPr="00ED1E3E" w:rsidRDefault="009C12FC"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CAT/C/FIN/CO/5-6, par. 14; CAT/C/GRC/CO/5-6, par. 14; CAT/C/MDA/CO/2, par. 18; CCPR/C/JAM/CO/3, par. 23; CAT/OP/BEN/1, par. 208; et CPT/Inf (2014) 26, par. 101.</w:t>
      </w:r>
    </w:p>
  </w:footnote>
  <w:footnote w:id="91">
    <w:p w:rsidR="009D3BD6" w:rsidRPr="00ED1E3E" w:rsidRDefault="009C12FC" w:rsidP="00824B55">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CAT/OP/BRA/1, par. 106</w:t>
      </w:r>
      <w:r w:rsidR="00D96812" w:rsidRPr="00ED1E3E">
        <w:rPr>
          <w:szCs w:val="18"/>
          <w:lang w:val="fr-CH"/>
        </w:rPr>
        <w:t>;</w:t>
      </w:r>
      <w:r w:rsidR="009D3BD6" w:rsidRPr="00ED1E3E">
        <w:rPr>
          <w:szCs w:val="18"/>
          <w:lang w:val="fr-CH"/>
        </w:rPr>
        <w:t xml:space="preserve"> et CAT/OP/MEX/1, par. 187.</w:t>
      </w:r>
    </w:p>
  </w:footnote>
  <w:footnote w:id="92">
    <w:p w:rsidR="009D3BD6" w:rsidRPr="00ED1E3E" w:rsidRDefault="009C12FC" w:rsidP="00824B55">
      <w:pPr>
        <w:pStyle w:val="FootnoteText"/>
        <w:tabs>
          <w:tab w:val="right" w:pos="1195"/>
          <w:tab w:val="left" w:pos="1267"/>
          <w:tab w:val="left" w:pos="1742"/>
          <w:tab w:val="left" w:pos="2218"/>
          <w:tab w:val="left" w:pos="2693"/>
        </w:tabs>
        <w:spacing w:line="240" w:lineRule="auto"/>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 xml:space="preserve">Voir CAT/OP/PRY/1, par. 148; CAT/OP/BRA/1, par. 137; A/HRC/22/53/Add.2, par. 47; </w:t>
      </w:r>
      <w:r w:rsidR="009D3BD6" w:rsidRPr="00ED1E3E">
        <w:rPr>
          <w:i/>
          <w:color w:val="000000"/>
          <w:szCs w:val="18"/>
          <w:lang w:val="fr-CH" w:eastAsia="lv-LV"/>
        </w:rPr>
        <w:t xml:space="preserve">Tibi </w:t>
      </w:r>
      <w:r w:rsidR="009D3BD6" w:rsidRPr="00ED1E3E">
        <w:rPr>
          <w:iCs/>
          <w:color w:val="000000"/>
          <w:szCs w:val="18"/>
          <w:lang w:val="fr-CH" w:eastAsia="lv-LV"/>
        </w:rPr>
        <w:t>c.</w:t>
      </w:r>
      <w:r w:rsidR="009D3BD6" w:rsidRPr="00ED1E3E">
        <w:rPr>
          <w:i/>
          <w:color w:val="000000"/>
          <w:szCs w:val="18"/>
          <w:lang w:val="fr-CH" w:eastAsia="lv-LV"/>
        </w:rPr>
        <w:t xml:space="preserve"> Équateur</w:t>
      </w:r>
      <w:r w:rsidR="009D3BD6" w:rsidRPr="00ED1E3E">
        <w:rPr>
          <w:color w:val="000000"/>
          <w:szCs w:val="18"/>
          <w:lang w:val="fr-CH" w:eastAsia="lv-LV"/>
        </w:rPr>
        <w:t xml:space="preserve">, </w:t>
      </w:r>
      <w:r w:rsidR="009D3BD6" w:rsidRPr="00ED1E3E">
        <w:rPr>
          <w:szCs w:val="18"/>
          <w:lang w:val="fr-CH"/>
        </w:rPr>
        <w:t>arrêt de la Cour interaméricaine des droits de l</w:t>
      </w:r>
      <w:r w:rsidRPr="00ED1E3E">
        <w:rPr>
          <w:szCs w:val="18"/>
          <w:lang w:val="fr-CH"/>
        </w:rPr>
        <w:t>’</w:t>
      </w:r>
      <w:r w:rsidR="009D3BD6" w:rsidRPr="00ED1E3E">
        <w:rPr>
          <w:szCs w:val="18"/>
          <w:lang w:val="fr-CH"/>
        </w:rPr>
        <w:t xml:space="preserve">homme </w:t>
      </w:r>
      <w:r w:rsidR="009D3BD6" w:rsidRPr="00ED1E3E">
        <w:rPr>
          <w:color w:val="000000"/>
          <w:szCs w:val="18"/>
          <w:lang w:val="fr-CH" w:eastAsia="lv-LV"/>
        </w:rPr>
        <w:t xml:space="preserve">(2004), par. 150; </w:t>
      </w:r>
      <w:r w:rsidR="009D3BD6" w:rsidRPr="00ED1E3E">
        <w:rPr>
          <w:bCs/>
          <w:color w:val="000000"/>
          <w:szCs w:val="18"/>
          <w:lang w:val="fr-CH" w:eastAsia="lv-LV"/>
        </w:rPr>
        <w:t>www.achpr.org/files/sessions/12th-eo/mission-reports/promotion_mission-2012/mission_report_</w:t>
      </w:r>
      <w:r w:rsidRPr="00ED1E3E">
        <w:rPr>
          <w:bCs/>
          <w:color w:val="000000"/>
          <w:szCs w:val="18"/>
          <w:lang w:val="fr-CH" w:eastAsia="lv-LV"/>
        </w:rPr>
        <w:br/>
      </w:r>
      <w:r w:rsidR="009D3BD6" w:rsidRPr="00ED1E3E">
        <w:rPr>
          <w:bCs/>
          <w:color w:val="000000"/>
          <w:szCs w:val="18"/>
          <w:lang w:val="fr-CH" w:eastAsia="lv-LV"/>
        </w:rPr>
        <w:t xml:space="preserve">mauritania_cpta_fr.pdf, par. 75; et le document </w:t>
      </w:r>
      <w:r w:rsidR="009D3BD6" w:rsidRPr="00ED1E3E">
        <w:rPr>
          <w:szCs w:val="18"/>
          <w:lang w:val="fr-CH"/>
        </w:rPr>
        <w:t>CPT/Inf (2015) 12 du Conseil de l</w:t>
      </w:r>
      <w:r w:rsidRPr="00ED1E3E">
        <w:rPr>
          <w:szCs w:val="18"/>
          <w:lang w:val="fr-CH"/>
        </w:rPr>
        <w:t>’</w:t>
      </w:r>
      <w:r w:rsidR="009D3BD6" w:rsidRPr="00ED1E3E">
        <w:rPr>
          <w:szCs w:val="18"/>
          <w:lang w:val="fr-CH"/>
        </w:rPr>
        <w:t>Europe, par. 65.</w:t>
      </w:r>
    </w:p>
  </w:footnote>
  <w:footnote w:id="93">
    <w:p w:rsidR="009D3BD6" w:rsidRPr="00ED1E3E" w:rsidRDefault="009C12FC" w:rsidP="00824B55">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CAT/C/TGO/CO/2, par. 13</w:t>
      </w:r>
      <w:r w:rsidR="00D96812" w:rsidRPr="00ED1E3E">
        <w:rPr>
          <w:szCs w:val="18"/>
          <w:lang w:val="fr-CH"/>
        </w:rPr>
        <w:t>;</w:t>
      </w:r>
      <w:r w:rsidR="009D3BD6" w:rsidRPr="00ED1E3E">
        <w:rPr>
          <w:szCs w:val="18"/>
          <w:lang w:val="fr-CH"/>
        </w:rPr>
        <w:t xml:space="preserve"> et CAT/OP/PRY/1, par. 183. </w:t>
      </w:r>
    </w:p>
  </w:footnote>
  <w:footnote w:id="94">
    <w:p w:rsidR="009D3BD6" w:rsidRPr="00ED1E3E" w:rsidRDefault="009C12FC"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 xml:space="preserve">Voir </w:t>
      </w:r>
      <w:r w:rsidR="009D3BD6" w:rsidRPr="00ED1E3E">
        <w:rPr>
          <w:i/>
          <w:color w:val="000000"/>
          <w:szCs w:val="18"/>
          <w:lang w:val="fr-CH" w:eastAsia="lv-LV"/>
        </w:rPr>
        <w:t xml:space="preserve">Montero-Aranguren </w:t>
      </w:r>
      <w:r w:rsidR="009D3BD6" w:rsidRPr="00ED1E3E">
        <w:rPr>
          <w:iCs/>
          <w:color w:val="000000"/>
          <w:szCs w:val="18"/>
          <w:lang w:val="fr-CH" w:eastAsia="lv-LV"/>
        </w:rPr>
        <w:t>c.</w:t>
      </w:r>
      <w:r w:rsidR="009D3BD6" w:rsidRPr="00ED1E3E">
        <w:rPr>
          <w:i/>
          <w:color w:val="000000"/>
          <w:szCs w:val="18"/>
          <w:lang w:val="fr-CH" w:eastAsia="lv-LV"/>
        </w:rPr>
        <w:t xml:space="preserve"> Venezuela</w:t>
      </w:r>
      <w:r w:rsidR="009D3BD6" w:rsidRPr="00ED1E3E">
        <w:rPr>
          <w:color w:val="000000"/>
          <w:szCs w:val="18"/>
          <w:lang w:val="fr-CH" w:eastAsia="lv-LV"/>
        </w:rPr>
        <w:t xml:space="preserve">, </w:t>
      </w:r>
      <w:r w:rsidR="009D3BD6" w:rsidRPr="00ED1E3E">
        <w:rPr>
          <w:szCs w:val="18"/>
          <w:lang w:val="fr-CH"/>
        </w:rPr>
        <w:t>arrêt de la Cour interaméricaine des droits de l</w:t>
      </w:r>
      <w:r w:rsidRPr="00ED1E3E">
        <w:rPr>
          <w:szCs w:val="18"/>
          <w:lang w:val="fr-CH"/>
        </w:rPr>
        <w:t>’</w:t>
      </w:r>
      <w:r w:rsidR="009D3BD6" w:rsidRPr="00ED1E3E">
        <w:rPr>
          <w:szCs w:val="18"/>
          <w:lang w:val="fr-CH"/>
        </w:rPr>
        <w:t xml:space="preserve">homme </w:t>
      </w:r>
      <w:r w:rsidR="009D3BD6" w:rsidRPr="00ED1E3E">
        <w:rPr>
          <w:color w:val="000000"/>
          <w:szCs w:val="18"/>
          <w:lang w:val="fr-CH" w:eastAsia="lv-LV"/>
        </w:rPr>
        <w:t>(2006), par. 99.</w:t>
      </w:r>
    </w:p>
  </w:footnote>
  <w:footnote w:id="95">
    <w:p w:rsidR="009D3BD6" w:rsidRPr="00ED1E3E" w:rsidRDefault="009C12FC"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 xml:space="preserve">Voir </w:t>
      </w:r>
      <w:r w:rsidR="009D3BD6" w:rsidRPr="00ED1E3E">
        <w:rPr>
          <w:bCs/>
          <w:szCs w:val="18"/>
          <w:lang w:val="fr-CH" w:eastAsia="en-GB"/>
        </w:rPr>
        <w:t>A/HRC/23/41/Add.1, par. 52.</w:t>
      </w:r>
    </w:p>
  </w:footnote>
  <w:footnote w:id="96">
    <w:p w:rsidR="009D3BD6" w:rsidRPr="00ED1E3E" w:rsidRDefault="009C12FC" w:rsidP="00824B55">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 xml:space="preserve">Voir CAT/C/PER/CO/5-6, par. 10; CAT/OP/BEN/1, par. 218; et </w:t>
      </w:r>
      <w:hyperlink r:id="rId3" w:history="1">
        <w:r w:rsidRPr="00ED1E3E">
          <w:rPr>
            <w:rStyle w:val="Hyperlink"/>
            <w:iCs/>
            <w:szCs w:val="18"/>
            <w:lang w:val="fr-CH" w:eastAsia="lv-LV"/>
          </w:rPr>
          <w:t>www.achpr.org/files/sessions/37th/</w:t>
        </w:r>
        <w:r w:rsidRPr="00ED1E3E">
          <w:rPr>
            <w:rStyle w:val="Hyperlink"/>
            <w:iCs/>
            <w:szCs w:val="18"/>
            <w:lang w:val="fr-CH" w:eastAsia="lv-LV"/>
          </w:rPr>
          <w:br/>
          <w:t>mission-reports/prisons-2004/misrep_specmec_priso_southafrica_2004_eng.pdf</w:t>
        </w:r>
      </w:hyperlink>
      <w:r w:rsidR="009D3BD6" w:rsidRPr="00ED1E3E">
        <w:rPr>
          <w:iCs/>
          <w:szCs w:val="18"/>
          <w:lang w:val="fr-CH" w:eastAsia="lv-LV"/>
        </w:rPr>
        <w:t xml:space="preserve">, </w:t>
      </w:r>
      <w:r w:rsidR="009D3BD6" w:rsidRPr="00ED1E3E">
        <w:rPr>
          <w:szCs w:val="18"/>
          <w:lang w:val="fr-CH"/>
        </w:rPr>
        <w:t>p. 3.</w:t>
      </w:r>
    </w:p>
  </w:footnote>
  <w:footnote w:id="97">
    <w:p w:rsidR="009D3BD6" w:rsidRPr="00ED1E3E" w:rsidRDefault="009C12FC" w:rsidP="00824B55">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009D3BD6" w:rsidRPr="00ED1E3E">
        <w:rPr>
          <w:rStyle w:val="FootnoteReference"/>
          <w:lang w:val="fr-CH"/>
        </w:rPr>
        <w:footnoteRef/>
      </w:r>
      <w:r w:rsidRPr="00ED1E3E">
        <w:rPr>
          <w:lang w:val="fr-CH"/>
        </w:rPr>
        <w:tab/>
      </w:r>
      <w:r w:rsidR="009D3BD6" w:rsidRPr="00ED1E3E">
        <w:rPr>
          <w:szCs w:val="18"/>
          <w:lang w:val="fr-CH"/>
        </w:rPr>
        <w:t>Voir CAT/C/TGO/CO/2, par. 13</w:t>
      </w:r>
      <w:r w:rsidR="00D96812" w:rsidRPr="00ED1E3E">
        <w:rPr>
          <w:szCs w:val="18"/>
          <w:lang w:val="fr-CH"/>
        </w:rPr>
        <w:t>;</w:t>
      </w:r>
      <w:r w:rsidR="009D3BD6" w:rsidRPr="00ED1E3E">
        <w:rPr>
          <w:szCs w:val="18"/>
          <w:lang w:val="fr-CH"/>
        </w:rPr>
        <w:t xml:space="preserve"> et CCPR/C/MOZ/CO/1, par. 14.</w:t>
      </w:r>
    </w:p>
  </w:footnote>
  <w:footnote w:id="98">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 w:val="18"/>
          <w:szCs w:val="18"/>
          <w:lang w:val="fr-CH" w:eastAsia="fr-FR" w:bidi="fr-FR"/>
        </w:rPr>
      </w:pPr>
      <w:r w:rsidRPr="00ED1E3E">
        <w:rPr>
          <w:lang w:val="fr-CH"/>
        </w:rPr>
        <w:tab/>
      </w:r>
      <w:r w:rsidRPr="00ED1E3E">
        <w:rPr>
          <w:rStyle w:val="FootnoteReference"/>
          <w:lang w:val="fr-CH"/>
        </w:rPr>
        <w:footnoteRef/>
      </w:r>
      <w:r w:rsidRPr="00ED1E3E">
        <w:rPr>
          <w:lang w:val="fr-CH"/>
        </w:rPr>
        <w:tab/>
        <w:t>Voir A/HRC/11/8, par. 12 et document CPT/Inf (97) 10 du Conseil de l’Europe, par. 13.</w:t>
      </w:r>
    </w:p>
  </w:footnote>
  <w:footnote w:id="99">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 xml:space="preserve">Voir </w:t>
      </w:r>
      <w:r w:rsidRPr="00ED1E3E">
        <w:rPr>
          <w:i/>
          <w:color w:val="000000"/>
          <w:lang w:val="fr-CH"/>
        </w:rPr>
        <w:t xml:space="preserve">Boyce </w:t>
      </w:r>
      <w:r w:rsidRPr="00ED1E3E">
        <w:rPr>
          <w:iCs/>
          <w:color w:val="000000"/>
          <w:lang w:val="fr-CH"/>
        </w:rPr>
        <w:t>c</w:t>
      </w:r>
      <w:r w:rsidRPr="00ED1E3E">
        <w:rPr>
          <w:i/>
          <w:color w:val="000000"/>
          <w:lang w:val="fr-CH"/>
        </w:rPr>
        <w:t>. Barbade</w:t>
      </w:r>
      <w:r w:rsidRPr="00ED1E3E">
        <w:rPr>
          <w:color w:val="000000"/>
          <w:lang w:val="fr-CH"/>
        </w:rPr>
        <w:t xml:space="preserve">, </w:t>
      </w:r>
      <w:r w:rsidRPr="00ED1E3E">
        <w:rPr>
          <w:lang w:val="fr-CH"/>
        </w:rPr>
        <w:t xml:space="preserve">arrêt de la Cour interaméricaine des droits de l’homme </w:t>
      </w:r>
      <w:r w:rsidRPr="00ED1E3E">
        <w:rPr>
          <w:color w:val="000000"/>
          <w:lang w:val="fr-CH"/>
        </w:rPr>
        <w:t xml:space="preserve">(2007), par. 93 et 94; </w:t>
      </w:r>
      <w:r w:rsidRPr="00ED1E3E">
        <w:rPr>
          <w:lang w:val="fr-CH"/>
        </w:rPr>
        <w:t>document CPT/Inf (2014) 26 du Conseil de l’Europe, par. 93; CAT/C/BGR/CO/4-5, par. 21; et A/HRC/13/39/Add.5, par. 234.</w:t>
      </w:r>
    </w:p>
  </w:footnote>
  <w:footnote w:id="100">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 xml:space="preserve">Voir </w:t>
      </w:r>
      <w:r w:rsidRPr="00ED1E3E">
        <w:rPr>
          <w:i/>
          <w:color w:val="000000"/>
          <w:lang w:val="fr-CH"/>
        </w:rPr>
        <w:t xml:space="preserve">Institut de rééducation pour les jeunes </w:t>
      </w:r>
      <w:r w:rsidRPr="00ED1E3E">
        <w:rPr>
          <w:iCs/>
          <w:color w:val="000000"/>
          <w:lang w:val="fr-CH"/>
        </w:rPr>
        <w:t>c.</w:t>
      </w:r>
      <w:r w:rsidRPr="00ED1E3E">
        <w:rPr>
          <w:i/>
          <w:color w:val="000000"/>
          <w:lang w:val="fr-CH"/>
        </w:rPr>
        <w:t xml:space="preserve"> Paraguay</w:t>
      </w:r>
      <w:r w:rsidRPr="00ED1E3E">
        <w:rPr>
          <w:color w:val="000000"/>
          <w:lang w:val="fr-CH"/>
        </w:rPr>
        <w:t xml:space="preserve">, </w:t>
      </w:r>
      <w:r w:rsidRPr="00ED1E3E">
        <w:rPr>
          <w:lang w:val="fr-CH"/>
        </w:rPr>
        <w:t xml:space="preserve">arrêt de la Cour interaméricaine des droits de l’homme </w:t>
      </w:r>
      <w:r w:rsidRPr="00ED1E3E">
        <w:rPr>
          <w:color w:val="000000"/>
          <w:lang w:val="fr-CH"/>
        </w:rPr>
        <w:t xml:space="preserve">(2004), par. 134.24; </w:t>
      </w:r>
      <w:r w:rsidRPr="00ED1E3E">
        <w:rPr>
          <w:lang w:val="fr-CH"/>
        </w:rPr>
        <w:t>document CPT/Inf (2014) 31 du Conseil de l’Europe, par. 56; A/HRC/25/60/Add.1, par. 85; et A/HRC/22/53/Add.2, par. 47.</w:t>
      </w:r>
    </w:p>
  </w:footnote>
  <w:footnote w:id="101">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CAT/OP/MEX/1, par. 170.</w:t>
      </w:r>
    </w:p>
  </w:footnote>
  <w:footnote w:id="102">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 xml:space="preserve">Voir </w:t>
      </w:r>
      <w:hyperlink r:id="rId4" w:history="1">
        <w:r w:rsidRPr="00ED1E3E">
          <w:rPr>
            <w:rStyle w:val="Hyperlink"/>
            <w:lang w:val="fr-CH"/>
          </w:rPr>
          <w:t>www.achpr.org/files/sessions/37th/mission-reports/prisons-2004/misrep_specmec_priso_ southafrica_2004_eng.pdf</w:t>
        </w:r>
      </w:hyperlink>
      <w:r w:rsidRPr="00ED1E3E">
        <w:rPr>
          <w:lang w:val="fr-CH"/>
        </w:rPr>
        <w:t>, p. 54; et document CPT/Inf (2014) 21 du Conseil de l’Europe, par. 43.</w:t>
      </w:r>
    </w:p>
  </w:footnote>
  <w:footnote w:id="103">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 xml:space="preserve">Voir A/HRC/25/60/Add.1, par. 85; A/HRC/22/53/Add.2, par. 47; et </w:t>
      </w:r>
      <w:r w:rsidRPr="00ED1E3E">
        <w:rPr>
          <w:i/>
          <w:lang w:val="fr-CH"/>
        </w:rPr>
        <w:t xml:space="preserve">Pacheco Teruel </w:t>
      </w:r>
      <w:r w:rsidRPr="00ED1E3E">
        <w:rPr>
          <w:lang w:val="fr-CH"/>
        </w:rPr>
        <w:t>et al.</w:t>
      </w:r>
      <w:r w:rsidRPr="00ED1E3E">
        <w:rPr>
          <w:i/>
          <w:lang w:val="fr-CH"/>
        </w:rPr>
        <w:t xml:space="preserve"> </w:t>
      </w:r>
      <w:r w:rsidRPr="00ED1E3E">
        <w:rPr>
          <w:iCs/>
          <w:lang w:val="fr-CH"/>
        </w:rPr>
        <w:t>c.</w:t>
      </w:r>
      <w:r w:rsidRPr="00ED1E3E">
        <w:rPr>
          <w:i/>
          <w:lang w:val="fr-CH"/>
        </w:rPr>
        <w:t> Honduras</w:t>
      </w:r>
      <w:r w:rsidRPr="00ED1E3E">
        <w:rPr>
          <w:lang w:val="fr-CH"/>
        </w:rPr>
        <w:t>, arrêt de la Cour interaméricaine des droits de l’homme (</w:t>
      </w:r>
      <w:r w:rsidRPr="00ED1E3E">
        <w:rPr>
          <w:color w:val="000000"/>
          <w:lang w:val="fr-CH"/>
        </w:rPr>
        <w:t>2012)</w:t>
      </w:r>
      <w:r w:rsidRPr="00ED1E3E">
        <w:rPr>
          <w:lang w:val="fr-CH"/>
        </w:rPr>
        <w:t>, par. 96.</w:t>
      </w:r>
    </w:p>
  </w:footnote>
  <w:footnote w:id="104">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 xml:space="preserve"> Voir A/60/399, par. 73.</w:t>
      </w:r>
    </w:p>
  </w:footnote>
  <w:footnote w:id="105">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www.achpr.org/files/sessions/37th/mission-reports/prisons-2004/misrep_specmec_priso_ southafrica_2004_eng.pdf, p. 46.</w:t>
      </w:r>
    </w:p>
  </w:footnote>
  <w:footnote w:id="106">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A/HRC/10/8/Add.2, par. 53.</w:t>
      </w:r>
    </w:p>
  </w:footnote>
  <w:footnote w:id="107">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A/60/399, par. 70.</w:t>
      </w:r>
    </w:p>
  </w:footnote>
  <w:footnote w:id="108">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A/HRC/4/21/Add.1, par. 23 et 58 à 60 et A/HRC/10/8/Add.2, par. 53.</w:t>
      </w:r>
    </w:p>
  </w:footnote>
  <w:footnote w:id="109">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A/HRC/25/71, par. 35.</w:t>
      </w:r>
    </w:p>
  </w:footnote>
  <w:footnote w:id="110">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A/HRC/25/71, par. 32.</w:t>
      </w:r>
    </w:p>
  </w:footnote>
  <w:footnote w:id="111">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A/HRC/25/60/Add.1, par. 43.</w:t>
      </w:r>
    </w:p>
  </w:footnote>
  <w:footnote w:id="112">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 xml:space="preserve">Voir </w:t>
      </w:r>
      <w:r w:rsidRPr="00ED1E3E">
        <w:rPr>
          <w:i/>
          <w:color w:val="000000"/>
          <w:lang w:val="fr-CH"/>
        </w:rPr>
        <w:t xml:space="preserve">Montero-Aranguren </w:t>
      </w:r>
      <w:r w:rsidRPr="00ED1E3E">
        <w:rPr>
          <w:iCs/>
          <w:color w:val="000000"/>
          <w:lang w:val="fr-CH"/>
        </w:rPr>
        <w:t>c.</w:t>
      </w:r>
      <w:r w:rsidRPr="00ED1E3E">
        <w:rPr>
          <w:i/>
          <w:color w:val="000000"/>
          <w:lang w:val="fr-CH"/>
        </w:rPr>
        <w:t xml:space="preserve"> Venezuela</w:t>
      </w:r>
      <w:r w:rsidRPr="00ED1E3E">
        <w:rPr>
          <w:color w:val="000000"/>
          <w:lang w:val="fr-CH"/>
        </w:rPr>
        <w:t xml:space="preserve">, </w:t>
      </w:r>
      <w:r w:rsidRPr="00ED1E3E">
        <w:rPr>
          <w:lang w:val="fr-CH"/>
        </w:rPr>
        <w:t xml:space="preserve">arrêt de la Cour interaméricaine des droits de l’homme </w:t>
      </w:r>
      <w:r w:rsidRPr="00ED1E3E">
        <w:rPr>
          <w:color w:val="000000"/>
          <w:lang w:val="fr-CH"/>
        </w:rPr>
        <w:t>(2006), par.</w:t>
      </w:r>
      <w:r w:rsidRPr="00ED1E3E">
        <w:rPr>
          <w:lang w:val="fr-CH"/>
        </w:rPr>
        <w:t> </w:t>
      </w:r>
      <w:r w:rsidRPr="00ED1E3E">
        <w:rPr>
          <w:color w:val="000000"/>
          <w:lang w:val="fr-CH"/>
        </w:rPr>
        <w:t>99.</w:t>
      </w:r>
    </w:p>
  </w:footnote>
  <w:footnote w:id="113">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CPT/Inf (2014)13, par. 111.</w:t>
      </w:r>
    </w:p>
  </w:footnote>
  <w:footnote w:id="114">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www.achpr.org/files/sessions/37th/mission-reports/prisons-2004/misrep_specmec_priso_ southafrica_2004_eng.pdf, chap</w:t>
      </w:r>
      <w:r w:rsidR="00554F16" w:rsidRPr="00ED1E3E">
        <w:rPr>
          <w:lang w:val="fr-CH"/>
        </w:rPr>
        <w:t>.</w:t>
      </w:r>
      <w:r w:rsidRPr="00ED1E3E">
        <w:rPr>
          <w:lang w:val="fr-CH"/>
        </w:rPr>
        <w:t xml:space="preserve"> F i); et </w:t>
      </w:r>
      <w:r w:rsidRPr="00ED1E3E">
        <w:rPr>
          <w:i/>
          <w:lang w:val="fr-CH"/>
        </w:rPr>
        <w:t xml:space="preserve">M </w:t>
      </w:r>
      <w:r w:rsidRPr="00ED1E3E">
        <w:rPr>
          <w:iCs/>
          <w:lang w:val="fr-CH"/>
        </w:rPr>
        <w:t>c</w:t>
      </w:r>
      <w:r w:rsidRPr="00ED1E3E">
        <w:rPr>
          <w:i/>
          <w:lang w:val="fr-CH"/>
        </w:rPr>
        <w:t>. l’État</w:t>
      </w:r>
      <w:r w:rsidRPr="00ED1E3E">
        <w:rPr>
          <w:lang w:val="fr-CH"/>
        </w:rPr>
        <w:t>, arrêt de la Cour constitutionnelle d’Afrique du Sud (2007). Voir aussi CRC/C/GC/14, par. 69.</w:t>
      </w:r>
    </w:p>
  </w:footnote>
  <w:footnote w:id="115">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CEDAW/C/BRA/CO/7, par. 32.</w:t>
      </w:r>
    </w:p>
  </w:footnote>
  <w:footnote w:id="116">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color w:val="000000"/>
          <w:szCs w:val="18"/>
          <w:lang w:val="fr-CH" w:eastAsia="lv-LV"/>
        </w:rPr>
      </w:pPr>
      <w:r w:rsidRPr="00ED1E3E">
        <w:rPr>
          <w:lang w:val="fr-CH"/>
        </w:rPr>
        <w:tab/>
      </w:r>
      <w:r w:rsidRPr="00ED1E3E">
        <w:rPr>
          <w:rStyle w:val="FootnoteReference"/>
          <w:lang w:val="fr-CH"/>
        </w:rPr>
        <w:footnoteRef/>
      </w:r>
      <w:r w:rsidRPr="00ED1E3E">
        <w:rPr>
          <w:lang w:val="fr-CH"/>
        </w:rPr>
        <w:tab/>
        <w:t xml:space="preserve">Voir CAT/C/LKA/CO/3-4, par. 14 et A/HRC/28/68, par. 41. Voir aussi </w:t>
      </w:r>
      <w:r w:rsidRPr="00ED1E3E">
        <w:rPr>
          <w:i/>
          <w:color w:val="000000"/>
          <w:lang w:val="fr-CH"/>
        </w:rPr>
        <w:t xml:space="preserve">Institut de rééducation pour les jeunes </w:t>
      </w:r>
      <w:r w:rsidRPr="00ED1E3E">
        <w:rPr>
          <w:iCs/>
          <w:color w:val="000000"/>
          <w:lang w:val="fr-CH"/>
        </w:rPr>
        <w:t>c.</w:t>
      </w:r>
      <w:r w:rsidRPr="00ED1E3E">
        <w:rPr>
          <w:i/>
          <w:color w:val="000000"/>
          <w:lang w:val="fr-CH"/>
        </w:rPr>
        <w:t xml:space="preserve"> Paraguay</w:t>
      </w:r>
      <w:r w:rsidRPr="00ED1E3E">
        <w:rPr>
          <w:color w:val="000000"/>
          <w:lang w:val="fr-CH"/>
        </w:rPr>
        <w:t xml:space="preserve">, </w:t>
      </w:r>
      <w:r w:rsidRPr="00ED1E3E">
        <w:rPr>
          <w:lang w:val="fr-CH"/>
        </w:rPr>
        <w:t xml:space="preserve">arrêt de la Cour interaméricaine des droits de l’homme </w:t>
      </w:r>
      <w:r w:rsidRPr="00ED1E3E">
        <w:rPr>
          <w:color w:val="000000"/>
          <w:lang w:val="fr-CH"/>
        </w:rPr>
        <w:t>(2004), par.</w:t>
      </w:r>
      <w:r w:rsidRPr="00ED1E3E">
        <w:rPr>
          <w:lang w:val="fr-CH"/>
        </w:rPr>
        <w:t> </w:t>
      </w:r>
      <w:r w:rsidRPr="00ED1E3E">
        <w:rPr>
          <w:color w:val="000000"/>
          <w:lang w:val="fr-CH"/>
        </w:rPr>
        <w:t>175.</w:t>
      </w:r>
    </w:p>
  </w:footnote>
  <w:footnote w:id="117">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eastAsia="lv-LV"/>
        </w:rPr>
      </w:pPr>
      <w:r w:rsidRPr="00ED1E3E">
        <w:rPr>
          <w:lang w:val="fr-CH"/>
        </w:rPr>
        <w:tab/>
      </w:r>
      <w:r w:rsidRPr="00ED1E3E">
        <w:rPr>
          <w:rStyle w:val="FootnoteReference"/>
          <w:lang w:val="fr-CH"/>
        </w:rPr>
        <w:footnoteRef/>
      </w:r>
      <w:r w:rsidRPr="00ED1E3E">
        <w:rPr>
          <w:lang w:val="fr-CH"/>
        </w:rPr>
        <w:tab/>
        <w:t>Voir A/68/295, par. 45.</w:t>
      </w:r>
    </w:p>
  </w:footnote>
  <w:footnote w:id="118">
    <w:p w:rsidR="009E1F21" w:rsidRPr="00ED1E3E" w:rsidRDefault="009E1F21" w:rsidP="009E1F21">
      <w:pPr>
        <w:pStyle w:val="FootnoteText"/>
        <w:tabs>
          <w:tab w:val="right" w:pos="1195"/>
          <w:tab w:val="left" w:pos="1267"/>
          <w:tab w:val="left" w:pos="1742"/>
          <w:tab w:val="left" w:pos="2218"/>
          <w:tab w:val="left" w:pos="2693"/>
        </w:tabs>
        <w:ind w:left="1267" w:right="1260" w:hanging="432"/>
        <w:rPr>
          <w:lang w:val="fr-CH" w:eastAsia="fr-FR"/>
        </w:rPr>
      </w:pPr>
      <w:r w:rsidRPr="00ED1E3E">
        <w:rPr>
          <w:lang w:val="fr-CH"/>
        </w:rPr>
        <w:tab/>
      </w:r>
      <w:r w:rsidRPr="00ED1E3E">
        <w:rPr>
          <w:rStyle w:val="FootnoteReference"/>
          <w:lang w:val="fr-CH"/>
        </w:rPr>
        <w:footnoteRef/>
      </w:r>
      <w:r w:rsidRPr="00ED1E3E">
        <w:rPr>
          <w:lang w:val="fr-CH"/>
        </w:rPr>
        <w:tab/>
        <w:t>Voir www.ohchr.org/EN/NewsEvents/Pages/DisplayNews.aspx?NewsID=16257&amp;LangID=E.</w:t>
      </w:r>
    </w:p>
  </w:footnote>
  <w:footnote w:id="119">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CAT/OP/NZL/1, par. 33.</w:t>
      </w:r>
    </w:p>
  </w:footnote>
  <w:footnote w:id="120">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CAT/C/GAB/CO/1, par. 17; CAT/C/MUS/CO/3, par. 14; CAT/C/LKA/CO/3-4, par. 14; et CCPR/C/MOZ/CO/1, par. 14.</w:t>
      </w:r>
    </w:p>
  </w:footnote>
  <w:footnote w:id="121">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 xml:space="preserve">Voir E/C.12/LKA/CO/2-4, par. 32; </w:t>
      </w:r>
      <w:r w:rsidRPr="00ED1E3E">
        <w:rPr>
          <w:szCs w:val="18"/>
          <w:lang w:val="fr-CH"/>
        </w:rPr>
        <w:t>http://www.achpr.org/files/sessions/12th-eo/mission-reports/ promotion_mission-2012/mission_report_mauritania_cpta_fr.pdf</w:t>
      </w:r>
      <w:r w:rsidRPr="00ED1E3E">
        <w:rPr>
          <w:color w:val="000000"/>
          <w:lang w:val="fr-CH"/>
        </w:rPr>
        <w:t xml:space="preserve">, par. </w:t>
      </w:r>
      <w:r w:rsidRPr="00ED1E3E">
        <w:rPr>
          <w:lang w:val="fr-CH"/>
        </w:rPr>
        <w:t>38; CAT/C/BLR/CO/4, par. 19; CAT/C/SYR/CO/1, par. 30.</w:t>
      </w:r>
    </w:p>
  </w:footnote>
  <w:footnote w:id="122">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CAT/C/KHM/CO/2, par. 19 et CCPR/C/BDI/CO/2, par. 18.</w:t>
      </w:r>
    </w:p>
  </w:footnote>
  <w:footnote w:id="123">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 xml:space="preserve">Voir le rapport du Rapporteur spécial sur la torture A/HRC/28/68, par. 68; </w:t>
      </w:r>
      <w:r w:rsidRPr="00ED1E3E">
        <w:rPr>
          <w:i/>
          <w:lang w:val="fr-CH"/>
        </w:rPr>
        <w:t xml:space="preserve">Institut de rééducation pour les jeunes </w:t>
      </w:r>
      <w:r w:rsidRPr="00ED1E3E">
        <w:rPr>
          <w:iCs/>
          <w:lang w:val="fr-CH"/>
        </w:rPr>
        <w:t>c.</w:t>
      </w:r>
      <w:r w:rsidRPr="00ED1E3E">
        <w:rPr>
          <w:lang w:val="fr-CH"/>
        </w:rPr>
        <w:t> </w:t>
      </w:r>
      <w:r w:rsidRPr="00ED1E3E">
        <w:rPr>
          <w:i/>
          <w:lang w:val="fr-CH"/>
        </w:rPr>
        <w:t>Paraguay</w:t>
      </w:r>
      <w:r w:rsidRPr="00ED1E3E">
        <w:rPr>
          <w:lang w:val="fr-CH"/>
        </w:rPr>
        <w:t>, arrêt de la Cour interaméricaine des droits de l’homme (2004), par. 175; CAT/C/BOL/CO/2, par. 18; et A/HRC/28/68, par. 58.</w:t>
      </w:r>
    </w:p>
  </w:footnote>
  <w:footnote w:id="124">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r>
      <w:r w:rsidRPr="00ED1E3E">
        <w:rPr>
          <w:szCs w:val="18"/>
          <w:lang w:val="fr-CH"/>
        </w:rPr>
        <w:t xml:space="preserve">Voir </w:t>
      </w:r>
      <w:r w:rsidRPr="00ED1E3E">
        <w:rPr>
          <w:bCs/>
          <w:szCs w:val="18"/>
          <w:lang w:val="fr-CH" w:eastAsia="en-GB"/>
        </w:rPr>
        <w:t>A/HRC/22/50/Add.2, par. 13;</w:t>
      </w:r>
      <w:r w:rsidRPr="00ED1E3E">
        <w:rPr>
          <w:lang w:val="fr-CH"/>
        </w:rPr>
        <w:t xml:space="preserve"> </w:t>
      </w:r>
      <w:r w:rsidRPr="00ED1E3E">
        <w:rPr>
          <w:szCs w:val="18"/>
          <w:lang w:val="fr-CH"/>
        </w:rPr>
        <w:t>CEDAW/C/BRA/CO/7, par. 32; et http://</w:t>
      </w:r>
      <w:r w:rsidRPr="00ED1E3E">
        <w:rPr>
          <w:lang w:val="fr-CH"/>
        </w:rPr>
        <w:t>www.achpr.org/files/ sessions/ 37th/mission-reports/ethiopia/achpr37_misrep_specmec_priso_ethiopia_2004_fra.pdf</w:t>
      </w:r>
      <w:r w:rsidRPr="00ED1E3E">
        <w:rPr>
          <w:bCs/>
          <w:szCs w:val="18"/>
          <w:lang w:val="fr-CH" w:eastAsia="en-GB"/>
        </w:rPr>
        <w:t xml:space="preserve">, </w:t>
      </w:r>
      <w:r w:rsidRPr="00ED1E3E">
        <w:rPr>
          <w:bCs/>
          <w:color w:val="000000"/>
          <w:szCs w:val="18"/>
          <w:lang w:val="fr-CH" w:eastAsia="lv-LV"/>
        </w:rPr>
        <w:t>p. 33.</w:t>
      </w:r>
    </w:p>
  </w:footnote>
  <w:footnote w:id="125">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CEDAW/C/BRA/CO/7, par.</w:t>
      </w:r>
      <w:r w:rsidRPr="00ED1E3E">
        <w:rPr>
          <w:bCs/>
          <w:szCs w:val="18"/>
          <w:lang w:val="fr-CH" w:eastAsia="en-GB"/>
        </w:rPr>
        <w:t> </w:t>
      </w:r>
      <w:r w:rsidRPr="00ED1E3E">
        <w:rPr>
          <w:lang w:val="fr-CH"/>
        </w:rPr>
        <w:t>32 et 33.</w:t>
      </w:r>
    </w:p>
  </w:footnote>
  <w:footnote w:id="126">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CAT/C/KEN/CO/2, par.</w:t>
      </w:r>
      <w:r w:rsidRPr="00ED1E3E">
        <w:rPr>
          <w:bCs/>
          <w:szCs w:val="18"/>
          <w:lang w:val="fr-CH" w:eastAsia="en-GB"/>
        </w:rPr>
        <w:t> </w:t>
      </w:r>
      <w:r w:rsidRPr="00ED1E3E">
        <w:rPr>
          <w:lang w:val="fr-CH"/>
        </w:rPr>
        <w:t>12 et CAT/C/RWA/CO/1, par.</w:t>
      </w:r>
      <w:r w:rsidRPr="00ED1E3E">
        <w:rPr>
          <w:bCs/>
          <w:szCs w:val="18"/>
          <w:lang w:val="fr-CH" w:eastAsia="en-GB"/>
        </w:rPr>
        <w:t> </w:t>
      </w:r>
      <w:r w:rsidRPr="00ED1E3E">
        <w:rPr>
          <w:lang w:val="fr-CH"/>
        </w:rPr>
        <w:t>19.</w:t>
      </w:r>
    </w:p>
  </w:footnote>
  <w:footnote w:id="127">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CAT/OP/MEX/1, par.</w:t>
      </w:r>
      <w:r w:rsidRPr="00ED1E3E">
        <w:rPr>
          <w:bCs/>
          <w:szCs w:val="18"/>
          <w:lang w:val="fr-CH" w:eastAsia="en-GB"/>
        </w:rPr>
        <w:t> </w:t>
      </w:r>
      <w:r w:rsidRPr="00ED1E3E">
        <w:rPr>
          <w:lang w:val="fr-CH"/>
        </w:rPr>
        <w:t>187.</w:t>
      </w:r>
    </w:p>
  </w:footnote>
  <w:footnote w:id="128">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CPT/Inf (2014) 13, par.</w:t>
      </w:r>
      <w:r w:rsidRPr="00ED1E3E">
        <w:rPr>
          <w:bCs/>
          <w:szCs w:val="18"/>
          <w:lang w:val="fr-CH" w:eastAsia="en-GB"/>
        </w:rPr>
        <w:t> </w:t>
      </w:r>
      <w:r w:rsidRPr="00ED1E3E">
        <w:rPr>
          <w:lang w:val="fr-CH"/>
        </w:rPr>
        <w:t>53 et CAT/C/KHM/CO/2, par.</w:t>
      </w:r>
      <w:r w:rsidRPr="00ED1E3E">
        <w:rPr>
          <w:bCs/>
          <w:szCs w:val="18"/>
          <w:lang w:val="fr-CH" w:eastAsia="en-GB"/>
        </w:rPr>
        <w:t> </w:t>
      </w:r>
      <w:r w:rsidRPr="00ED1E3E">
        <w:rPr>
          <w:lang w:val="fr-CH"/>
        </w:rPr>
        <w:t>19.</w:t>
      </w:r>
    </w:p>
  </w:footnote>
  <w:footnote w:id="129">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CPT/Inf (2014) 13, par.</w:t>
      </w:r>
      <w:r w:rsidRPr="00ED1E3E">
        <w:rPr>
          <w:bCs/>
          <w:szCs w:val="18"/>
          <w:lang w:val="fr-CH" w:eastAsia="en-GB"/>
        </w:rPr>
        <w:t> </w:t>
      </w:r>
      <w:r w:rsidRPr="00ED1E3E">
        <w:rPr>
          <w:lang w:val="fr-CH"/>
        </w:rPr>
        <w:t>53.</w:t>
      </w:r>
    </w:p>
  </w:footnote>
  <w:footnote w:id="130">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CPT/Inf (2014) 13, par.</w:t>
      </w:r>
      <w:r w:rsidRPr="00ED1E3E">
        <w:rPr>
          <w:bCs/>
          <w:szCs w:val="18"/>
          <w:lang w:val="fr-CH" w:eastAsia="en-GB"/>
        </w:rPr>
        <w:t> </w:t>
      </w:r>
      <w:r w:rsidRPr="00ED1E3E">
        <w:rPr>
          <w:lang w:val="fr-CH"/>
        </w:rPr>
        <w:t>53.</w:t>
      </w:r>
    </w:p>
  </w:footnote>
  <w:footnote w:id="131">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eastAsia="lv-LV"/>
        </w:rPr>
      </w:pPr>
      <w:r w:rsidRPr="00ED1E3E">
        <w:rPr>
          <w:lang w:val="fr-CH"/>
        </w:rPr>
        <w:tab/>
      </w:r>
      <w:r w:rsidRPr="00ED1E3E">
        <w:rPr>
          <w:rStyle w:val="FootnoteReference"/>
          <w:lang w:val="fr-CH"/>
        </w:rPr>
        <w:footnoteRef/>
      </w:r>
      <w:r w:rsidRPr="00ED1E3E">
        <w:rPr>
          <w:lang w:val="fr-CH"/>
        </w:rPr>
        <w:tab/>
        <w:t>Voir A/68/295, par.</w:t>
      </w:r>
      <w:r w:rsidRPr="00ED1E3E">
        <w:rPr>
          <w:bCs/>
          <w:szCs w:val="18"/>
          <w:lang w:val="fr-CH" w:eastAsia="en-GB"/>
        </w:rPr>
        <w:t> </w:t>
      </w:r>
      <w:r w:rsidRPr="00ED1E3E">
        <w:rPr>
          <w:lang w:val="fr-CH"/>
        </w:rPr>
        <w:t>45.</w:t>
      </w:r>
    </w:p>
  </w:footnote>
  <w:footnote w:id="132">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eastAsia="fr-FR"/>
        </w:rPr>
      </w:pPr>
      <w:r w:rsidRPr="00ED1E3E">
        <w:rPr>
          <w:lang w:val="fr-CH"/>
        </w:rPr>
        <w:tab/>
      </w:r>
      <w:r w:rsidRPr="00ED1E3E">
        <w:rPr>
          <w:rStyle w:val="FootnoteReference"/>
          <w:lang w:val="fr-CH"/>
        </w:rPr>
        <w:footnoteRef/>
      </w:r>
      <w:r w:rsidRPr="00ED1E3E">
        <w:rPr>
          <w:lang w:val="fr-CH"/>
        </w:rPr>
        <w:tab/>
        <w:t>Voir CAT/OP/HND/1, par.</w:t>
      </w:r>
      <w:r w:rsidRPr="00ED1E3E">
        <w:rPr>
          <w:bCs/>
          <w:szCs w:val="18"/>
          <w:lang w:val="fr-CH" w:eastAsia="en-GB"/>
        </w:rPr>
        <w:t> </w:t>
      </w:r>
      <w:r w:rsidRPr="00ED1E3E">
        <w:rPr>
          <w:lang w:val="fr-CH"/>
        </w:rPr>
        <w:t>191.</w:t>
      </w:r>
    </w:p>
  </w:footnote>
  <w:footnote w:id="133">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CAT/OP/PRY/1, par.</w:t>
      </w:r>
      <w:r w:rsidRPr="00ED1E3E">
        <w:rPr>
          <w:bCs/>
          <w:szCs w:val="18"/>
          <w:lang w:val="fr-CH" w:eastAsia="en-GB"/>
        </w:rPr>
        <w:t> </w:t>
      </w:r>
      <w:r w:rsidRPr="00ED1E3E">
        <w:rPr>
          <w:lang w:val="fr-CH"/>
        </w:rPr>
        <w:t>148 et document CPT/Inf (2015) 12 du Conseil de l’Europe, par.</w:t>
      </w:r>
      <w:r w:rsidRPr="00ED1E3E">
        <w:rPr>
          <w:bCs/>
          <w:szCs w:val="18"/>
          <w:lang w:val="fr-CH" w:eastAsia="en-GB"/>
        </w:rPr>
        <w:t> </w:t>
      </w:r>
      <w:r w:rsidRPr="00ED1E3E">
        <w:rPr>
          <w:lang w:val="fr-CH"/>
        </w:rPr>
        <w:t>54. Voir aussi www.achpr.org/files/sessions/52nd/inter-act-reps/185/activty_report_prisons_eng.pdf, p.</w:t>
      </w:r>
      <w:r w:rsidRPr="00ED1E3E">
        <w:rPr>
          <w:bCs/>
          <w:szCs w:val="18"/>
          <w:lang w:val="fr-CH" w:eastAsia="en-GB"/>
        </w:rPr>
        <w:t> </w:t>
      </w:r>
      <w:r w:rsidRPr="00ED1E3E">
        <w:rPr>
          <w:lang w:val="fr-CH"/>
        </w:rPr>
        <w:t>15.</w:t>
      </w:r>
    </w:p>
  </w:footnote>
  <w:footnote w:id="134">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CAT/C/AUS/CO/4-5, par.</w:t>
      </w:r>
      <w:r w:rsidRPr="00ED1E3E">
        <w:rPr>
          <w:bCs/>
          <w:szCs w:val="18"/>
          <w:lang w:val="fr-CH" w:eastAsia="en-GB"/>
        </w:rPr>
        <w:t> </w:t>
      </w:r>
      <w:r w:rsidRPr="00ED1E3E">
        <w:rPr>
          <w:lang w:val="fr-CH"/>
        </w:rPr>
        <w:t>11.</w:t>
      </w:r>
    </w:p>
  </w:footnote>
  <w:footnote w:id="135">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CAT/C/MEX/CO/5-6, par.</w:t>
      </w:r>
      <w:r w:rsidRPr="00ED1E3E">
        <w:rPr>
          <w:bCs/>
          <w:szCs w:val="18"/>
          <w:lang w:val="fr-CH" w:eastAsia="en-GB"/>
        </w:rPr>
        <w:t> </w:t>
      </w:r>
      <w:r w:rsidRPr="00ED1E3E">
        <w:rPr>
          <w:lang w:val="fr-CH"/>
        </w:rPr>
        <w:t>19.</w:t>
      </w:r>
    </w:p>
  </w:footnote>
  <w:footnote w:id="136">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A/HRC/13/39/Add.5, par.</w:t>
      </w:r>
      <w:r w:rsidRPr="00ED1E3E">
        <w:rPr>
          <w:bCs/>
          <w:szCs w:val="18"/>
          <w:lang w:val="fr-CH" w:eastAsia="en-GB"/>
        </w:rPr>
        <w:t> </w:t>
      </w:r>
      <w:r w:rsidRPr="00ED1E3E">
        <w:rPr>
          <w:lang w:val="fr-CH"/>
        </w:rPr>
        <w:t>234.</w:t>
      </w:r>
    </w:p>
  </w:footnote>
  <w:footnote w:id="137">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document CPT/Inf/C (2002) 1 [Rev. 2015] du Conseil de l’Europe, sect. 7/86, par.</w:t>
      </w:r>
      <w:r w:rsidRPr="00ED1E3E">
        <w:rPr>
          <w:bCs/>
          <w:szCs w:val="18"/>
          <w:lang w:val="fr-CH" w:eastAsia="en-GB"/>
        </w:rPr>
        <w:t> </w:t>
      </w:r>
      <w:r w:rsidRPr="00ED1E3E">
        <w:rPr>
          <w:lang w:val="fr-CH"/>
        </w:rPr>
        <w:t>28.</w:t>
      </w:r>
    </w:p>
  </w:footnote>
  <w:footnote w:id="138">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A/HRC/25/60/Add.1, par. 84.</w:t>
      </w:r>
    </w:p>
  </w:footnote>
  <w:footnote w:id="139">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document CPT/Inf (2014) 13 du Conseil de l’Europe, par. 37; www.ohchr.org/Documents/ Issues/RuleOfLaw/Overincarceration/ACLU.pdf; www.ohchr.org/Documents/Issues/RuleOfLaw/ Overincarceration/CNDH_Mexico.pdf; et www.ohchr.org/Documents/Issues/RuleOfLaw/ Overincarceration/PDDH_Nicaragua.pdf.</w:t>
      </w:r>
    </w:p>
  </w:footnote>
  <w:footnote w:id="140">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 xml:space="preserve">Voir </w:t>
      </w:r>
      <w:hyperlink r:id="rId5" w:history="1">
        <w:r w:rsidRPr="00ED1E3E">
          <w:rPr>
            <w:rStyle w:val="Hyperlink"/>
            <w:lang w:val="fr-CH"/>
          </w:rPr>
          <w:t>www.achpr.org/files/sessions/37th/mission-reports/prisons-2004/misrep_specmec_ priso_southafrica_2004_eng.pdf</w:t>
        </w:r>
      </w:hyperlink>
      <w:r w:rsidRPr="00ED1E3E">
        <w:rPr>
          <w:lang w:val="fr-CH"/>
        </w:rPr>
        <w:t>, chap. F i).</w:t>
      </w:r>
    </w:p>
  </w:footnote>
  <w:footnote w:id="141">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A/HRC/19/57/Add.2, par.</w:t>
      </w:r>
      <w:r w:rsidRPr="00ED1E3E">
        <w:rPr>
          <w:bCs/>
          <w:szCs w:val="18"/>
          <w:lang w:val="fr-CH" w:eastAsia="en-GB"/>
        </w:rPr>
        <w:t> </w:t>
      </w:r>
      <w:r w:rsidRPr="00ED1E3E">
        <w:rPr>
          <w:lang w:val="fr-CH"/>
        </w:rPr>
        <w:t>38.</w:t>
      </w:r>
    </w:p>
  </w:footnote>
  <w:footnote w:id="142">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CAT/OP/MEX/1, par.</w:t>
      </w:r>
      <w:r w:rsidRPr="00ED1E3E">
        <w:rPr>
          <w:bCs/>
          <w:szCs w:val="18"/>
          <w:lang w:val="fr-CH" w:eastAsia="en-GB"/>
        </w:rPr>
        <w:t> </w:t>
      </w:r>
      <w:r w:rsidRPr="00ED1E3E">
        <w:rPr>
          <w:lang w:val="fr-CH"/>
        </w:rPr>
        <w:t>182.</w:t>
      </w:r>
    </w:p>
  </w:footnote>
  <w:footnote w:id="143">
    <w:p w:rsidR="009E1F21" w:rsidRPr="00ED1E3E" w:rsidRDefault="009E1F21" w:rsidP="009E1F21">
      <w:pPr>
        <w:pStyle w:val="FootnoteText"/>
        <w:tabs>
          <w:tab w:val="right" w:pos="1195"/>
          <w:tab w:val="left" w:pos="1267"/>
          <w:tab w:val="left" w:pos="1742"/>
          <w:tab w:val="left" w:pos="2218"/>
          <w:tab w:val="left" w:pos="2693"/>
        </w:tabs>
        <w:ind w:left="1267" w:right="1260" w:hanging="432"/>
        <w:rPr>
          <w:lang w:val="fr-CH"/>
        </w:rPr>
      </w:pPr>
      <w:r w:rsidRPr="00ED1E3E">
        <w:rPr>
          <w:lang w:val="fr-CH"/>
        </w:rPr>
        <w:tab/>
      </w:r>
      <w:r w:rsidRPr="00ED1E3E">
        <w:rPr>
          <w:rStyle w:val="FootnoteReference"/>
          <w:lang w:val="fr-CH"/>
        </w:rPr>
        <w:footnoteRef/>
      </w:r>
      <w:r w:rsidRPr="00ED1E3E">
        <w:rPr>
          <w:lang w:val="fr-CH"/>
        </w:rPr>
        <w:tab/>
        <w:t xml:space="preserve">Voir CCPR/C/HND/CO/1, par. 13; </w:t>
      </w:r>
      <w:r w:rsidRPr="00ED1E3E">
        <w:rPr>
          <w:i/>
          <w:lang w:val="fr-CH"/>
        </w:rPr>
        <w:t xml:space="preserve">Pacheco Teruel </w:t>
      </w:r>
      <w:r w:rsidRPr="00ED1E3E">
        <w:rPr>
          <w:lang w:val="fr-CH"/>
        </w:rPr>
        <w:t>et al.</w:t>
      </w:r>
      <w:r w:rsidRPr="00ED1E3E">
        <w:rPr>
          <w:i/>
          <w:lang w:val="fr-CH"/>
        </w:rPr>
        <w:t xml:space="preserve"> </w:t>
      </w:r>
      <w:r w:rsidRPr="00ED1E3E">
        <w:rPr>
          <w:iCs/>
          <w:lang w:val="fr-CH"/>
        </w:rPr>
        <w:t>c.</w:t>
      </w:r>
      <w:r w:rsidRPr="00ED1E3E">
        <w:rPr>
          <w:i/>
          <w:lang w:val="fr-CH"/>
        </w:rPr>
        <w:t> Honduras</w:t>
      </w:r>
      <w:r w:rsidRPr="00ED1E3E">
        <w:rPr>
          <w:lang w:val="fr-CH"/>
        </w:rPr>
        <w:t xml:space="preserve">, arrêt de la Cour interaméricaine des droits de l’homme (2012), par. 101; et www.ohchr.org/Documents/Issues/ RuleOfLaw/Overincarceration/BCHR_BIRD_ADHRB.pdf. </w:t>
      </w:r>
    </w:p>
  </w:footnote>
  <w:footnote w:id="144">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lang w:val="fr-CH"/>
        </w:rPr>
      </w:pPr>
      <w:r w:rsidRPr="00ED1E3E">
        <w:rPr>
          <w:lang w:val="fr-CH"/>
        </w:rPr>
        <w:tab/>
      </w:r>
      <w:r w:rsidRPr="00ED1E3E">
        <w:rPr>
          <w:rStyle w:val="FootnoteReference"/>
          <w:lang w:val="fr-CH"/>
        </w:rPr>
        <w:footnoteRef/>
      </w:r>
      <w:r w:rsidRPr="00ED1E3E">
        <w:rPr>
          <w:lang w:val="fr-CH"/>
        </w:rPr>
        <w:tab/>
        <w:t xml:space="preserve">Voir CAT/C/KEN/CO/2, par. 15; CAT/C/TGO/CO/2, par. 12; A/HRC/19/57, par. 36; A/HRC/25/71, par. 34 et 41; et </w:t>
      </w:r>
      <w:r w:rsidRPr="00ED1E3E">
        <w:rPr>
          <w:szCs w:val="18"/>
          <w:lang w:val="fr-CH"/>
        </w:rPr>
        <w:t>http://</w:t>
      </w:r>
      <w:r w:rsidRPr="00ED1E3E">
        <w:rPr>
          <w:lang w:val="fr-CH"/>
        </w:rPr>
        <w:t>www.achpr.org/files/sessions/37th/mission-reports/ethiopia/achpr37_ misrep_specmec_priso_ethiopia_2004_fra.pdf, p. 52.</w:t>
      </w:r>
    </w:p>
  </w:footnote>
  <w:footnote w:id="145">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 xml:space="preserve">Voir A/HRC/25/60/Add.1, par. 84 et 99; et www.ohchr.org/Documents/Issues/RuleOfLaw/ Overincarceration/PDH_Guatemala.pdf. </w:t>
      </w:r>
    </w:p>
  </w:footnote>
  <w:footnote w:id="146">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CAT/OP/HND/1, par.</w:t>
      </w:r>
      <w:r w:rsidRPr="00ED1E3E">
        <w:rPr>
          <w:bCs/>
          <w:szCs w:val="18"/>
          <w:lang w:val="fr-CH" w:eastAsia="en-GB"/>
        </w:rPr>
        <w:t> </w:t>
      </w:r>
      <w:r w:rsidRPr="00ED1E3E">
        <w:rPr>
          <w:lang w:val="fr-CH"/>
        </w:rPr>
        <w:t>184; CAT/OP/PRY/2, par.</w:t>
      </w:r>
      <w:r w:rsidRPr="00ED1E3E">
        <w:rPr>
          <w:bCs/>
          <w:szCs w:val="18"/>
          <w:lang w:val="fr-CH" w:eastAsia="en-GB"/>
        </w:rPr>
        <w:t> </w:t>
      </w:r>
      <w:r w:rsidRPr="00ED1E3E">
        <w:rPr>
          <w:lang w:val="fr-CH"/>
        </w:rPr>
        <w:t>33.</w:t>
      </w:r>
    </w:p>
  </w:footnote>
  <w:footnote w:id="147">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CAT/OP/BEN/1, par.</w:t>
      </w:r>
      <w:r w:rsidRPr="00ED1E3E">
        <w:rPr>
          <w:bCs/>
          <w:szCs w:val="18"/>
          <w:lang w:val="fr-CH" w:eastAsia="en-GB"/>
        </w:rPr>
        <w:t> </w:t>
      </w:r>
      <w:r w:rsidRPr="00ED1E3E">
        <w:rPr>
          <w:lang w:val="fr-CH"/>
        </w:rPr>
        <w:t>160; CAT/OP/HND/1, par.</w:t>
      </w:r>
      <w:r w:rsidRPr="00ED1E3E">
        <w:rPr>
          <w:bCs/>
          <w:szCs w:val="18"/>
          <w:lang w:val="fr-CH" w:eastAsia="en-GB"/>
        </w:rPr>
        <w:t> </w:t>
      </w:r>
      <w:r w:rsidRPr="00ED1E3E">
        <w:rPr>
          <w:lang w:val="fr-CH"/>
        </w:rPr>
        <w:t>184.</w:t>
      </w:r>
    </w:p>
  </w:footnote>
  <w:footnote w:id="148">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 xml:space="preserve">Voir </w:t>
      </w:r>
      <w:r w:rsidRPr="00ED1E3E">
        <w:rPr>
          <w:i/>
          <w:lang w:val="fr-CH"/>
        </w:rPr>
        <w:t xml:space="preserve">Montero-Aranguren </w:t>
      </w:r>
      <w:r w:rsidRPr="00ED1E3E">
        <w:rPr>
          <w:iCs/>
          <w:lang w:val="fr-CH"/>
        </w:rPr>
        <w:t>c.</w:t>
      </w:r>
      <w:r w:rsidRPr="00ED1E3E">
        <w:rPr>
          <w:i/>
          <w:lang w:val="fr-CH"/>
        </w:rPr>
        <w:t> Venezuela</w:t>
      </w:r>
      <w:r w:rsidRPr="00ED1E3E">
        <w:rPr>
          <w:lang w:val="fr-CH"/>
        </w:rPr>
        <w:t>, arrêt de la Cour interaméricaine des droits de l’homme (2006), par. 60(9); CAT/C/KHM/CO/2, par. 19.</w:t>
      </w:r>
    </w:p>
  </w:footnote>
  <w:footnote w:id="149">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CAT/OP/PRY/2, par. 33; CAT/OP/HND/1, par. 184.</w:t>
      </w:r>
    </w:p>
  </w:footnote>
  <w:footnote w:id="150">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CAT/C/RWA/CO/1, par.</w:t>
      </w:r>
      <w:r w:rsidRPr="00ED1E3E">
        <w:rPr>
          <w:bCs/>
          <w:szCs w:val="18"/>
          <w:lang w:val="fr-CH" w:eastAsia="en-GB"/>
        </w:rPr>
        <w:t> </w:t>
      </w:r>
      <w:r w:rsidRPr="00ED1E3E">
        <w:rPr>
          <w:lang w:val="fr-CH"/>
        </w:rPr>
        <w:t>19; CAT/OP/BEN/1, par.</w:t>
      </w:r>
      <w:r w:rsidRPr="00ED1E3E">
        <w:rPr>
          <w:bCs/>
          <w:szCs w:val="18"/>
          <w:lang w:val="fr-CH" w:eastAsia="en-GB"/>
        </w:rPr>
        <w:t> </w:t>
      </w:r>
      <w:r w:rsidRPr="00ED1E3E">
        <w:rPr>
          <w:lang w:val="fr-CH"/>
        </w:rPr>
        <w:t>161; CAT/OP/PRY/1, par.</w:t>
      </w:r>
      <w:r w:rsidRPr="00ED1E3E">
        <w:rPr>
          <w:bCs/>
          <w:szCs w:val="18"/>
          <w:lang w:val="fr-CH" w:eastAsia="en-GB"/>
        </w:rPr>
        <w:t> </w:t>
      </w:r>
      <w:r w:rsidRPr="00ED1E3E">
        <w:rPr>
          <w:lang w:val="fr-CH"/>
        </w:rPr>
        <w:t>46.</w:t>
      </w:r>
    </w:p>
  </w:footnote>
  <w:footnote w:id="151">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CAT/C/54/2, par.</w:t>
      </w:r>
      <w:r w:rsidRPr="00ED1E3E">
        <w:rPr>
          <w:bCs/>
          <w:szCs w:val="18"/>
          <w:lang w:val="fr-CH" w:eastAsia="en-GB"/>
        </w:rPr>
        <w:t> </w:t>
      </w:r>
      <w:r w:rsidRPr="00ED1E3E">
        <w:rPr>
          <w:lang w:val="fr-CH"/>
        </w:rPr>
        <w:t xml:space="preserve">77; et www.ohchr.org/Documents/Issues/RuleOfLaw/ Overincarceration/CNCPPDH_Algeria.pdf. </w:t>
      </w:r>
    </w:p>
  </w:footnote>
  <w:footnote w:id="152">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rFonts w:eastAsia="SimSun"/>
          <w:szCs w:val="18"/>
          <w:lang w:val="fr-CH" w:eastAsia="zh-CN"/>
        </w:rPr>
      </w:pPr>
      <w:r w:rsidRPr="00ED1E3E">
        <w:rPr>
          <w:lang w:val="fr-CH"/>
        </w:rPr>
        <w:tab/>
      </w:r>
      <w:r w:rsidRPr="00ED1E3E">
        <w:rPr>
          <w:rStyle w:val="FootnoteReference"/>
          <w:lang w:val="fr-CH"/>
        </w:rPr>
        <w:footnoteRef/>
      </w:r>
      <w:r w:rsidRPr="00ED1E3E">
        <w:rPr>
          <w:lang w:val="fr-CH"/>
        </w:rPr>
        <w:tab/>
        <w:t>Voir CAT/C/46/2, par. 52 et CAT/C/54/2, par.</w:t>
      </w:r>
      <w:r w:rsidRPr="00ED1E3E">
        <w:rPr>
          <w:bCs/>
          <w:szCs w:val="18"/>
          <w:lang w:val="fr-CH" w:eastAsia="en-GB"/>
        </w:rPr>
        <w:t> </w:t>
      </w:r>
      <w:r w:rsidRPr="00ED1E3E">
        <w:rPr>
          <w:lang w:val="fr-CH"/>
        </w:rPr>
        <w:t>83.</w:t>
      </w:r>
    </w:p>
  </w:footnote>
  <w:footnote w:id="153">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eastAsia="fr-FR"/>
        </w:rPr>
      </w:pPr>
      <w:r w:rsidRPr="00ED1E3E">
        <w:rPr>
          <w:lang w:val="fr-CH"/>
        </w:rPr>
        <w:tab/>
      </w:r>
      <w:r w:rsidRPr="00ED1E3E">
        <w:rPr>
          <w:rStyle w:val="FootnoteReference"/>
          <w:lang w:val="fr-CH"/>
        </w:rPr>
        <w:footnoteRef/>
      </w:r>
      <w:r w:rsidRPr="00ED1E3E">
        <w:rPr>
          <w:lang w:val="fr-CH"/>
        </w:rPr>
        <w:tab/>
        <w:t>Voir CAT/C/TGO/CO/2, par. 12; A/HRC/25/60/Add.1, par.</w:t>
      </w:r>
      <w:r w:rsidRPr="00ED1E3E">
        <w:rPr>
          <w:bCs/>
          <w:szCs w:val="18"/>
          <w:lang w:val="fr-CH" w:eastAsia="en-GB"/>
        </w:rPr>
        <w:t> </w:t>
      </w:r>
      <w:r w:rsidRPr="00ED1E3E">
        <w:rPr>
          <w:lang w:val="fr-CH"/>
        </w:rPr>
        <w:t>84; E/CN.4/2004/56, par.</w:t>
      </w:r>
      <w:r w:rsidRPr="00ED1E3E">
        <w:rPr>
          <w:bCs/>
          <w:szCs w:val="18"/>
          <w:lang w:val="fr-CH" w:eastAsia="en-GB"/>
        </w:rPr>
        <w:t> </w:t>
      </w:r>
      <w:r w:rsidRPr="00ED1E3E">
        <w:rPr>
          <w:lang w:val="fr-CH"/>
        </w:rPr>
        <w:t>49; A/HRC/19/57, par.</w:t>
      </w:r>
      <w:r w:rsidRPr="00ED1E3E">
        <w:rPr>
          <w:bCs/>
          <w:szCs w:val="18"/>
          <w:lang w:val="fr-CH" w:eastAsia="en-GB"/>
        </w:rPr>
        <w:t> </w:t>
      </w:r>
      <w:r w:rsidRPr="00ED1E3E">
        <w:rPr>
          <w:lang w:val="fr-CH"/>
        </w:rPr>
        <w:t>48; et CCPR/C/TUR/CO/1, par.</w:t>
      </w:r>
      <w:r w:rsidRPr="00ED1E3E">
        <w:rPr>
          <w:bCs/>
          <w:szCs w:val="18"/>
          <w:lang w:val="fr-CH" w:eastAsia="en-GB"/>
        </w:rPr>
        <w:t> </w:t>
      </w:r>
      <w:r w:rsidRPr="00ED1E3E">
        <w:rPr>
          <w:lang w:val="fr-CH"/>
        </w:rPr>
        <w:t>17.</w:t>
      </w:r>
    </w:p>
  </w:footnote>
  <w:footnote w:id="154">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 xml:space="preserve">Voir </w:t>
      </w:r>
      <w:r w:rsidRPr="00ED1E3E">
        <w:rPr>
          <w:szCs w:val="18"/>
          <w:lang w:val="fr-CH"/>
        </w:rPr>
        <w:t>http://</w:t>
      </w:r>
      <w:r w:rsidRPr="00ED1E3E">
        <w:rPr>
          <w:lang w:val="fr-CH"/>
        </w:rPr>
        <w:t>www.achpr.org/files/sessions/37th/mission-reports/ethiopia/achpr37_misrep_specmec_ priso_ethiopia_2004_fra.pdf, p. 24; www.achpr.org/files/sessions/37th/mission-reports/prisons-2004/misrep_specmec_priso_southafrica_2004_eng.pdf, chap. F; document CPT/Inf (2014) 15 du Conseil de l’Europe, par. 126; et CPT/Inf/C (2002) 1 [Rev. 2015] sect. 7/86, par.</w:t>
      </w:r>
      <w:r w:rsidRPr="00ED1E3E">
        <w:rPr>
          <w:bCs/>
          <w:szCs w:val="18"/>
          <w:lang w:val="fr-CH" w:eastAsia="en-GB"/>
        </w:rPr>
        <w:t> </w:t>
      </w:r>
      <w:r w:rsidRPr="00ED1E3E">
        <w:rPr>
          <w:lang w:val="fr-CH"/>
        </w:rPr>
        <w:t>28.</w:t>
      </w:r>
    </w:p>
  </w:footnote>
  <w:footnote w:id="155">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rFonts w:eastAsia="SimSun"/>
          <w:szCs w:val="18"/>
          <w:lang w:val="fr-CH" w:eastAsia="zh-CN"/>
        </w:rPr>
      </w:pPr>
      <w:r w:rsidRPr="00ED1E3E">
        <w:rPr>
          <w:lang w:val="fr-CH"/>
        </w:rPr>
        <w:tab/>
      </w:r>
      <w:r w:rsidRPr="00ED1E3E">
        <w:rPr>
          <w:rStyle w:val="FootnoteReference"/>
          <w:lang w:val="fr-CH"/>
        </w:rPr>
        <w:footnoteRef/>
      </w:r>
      <w:r w:rsidRPr="00ED1E3E">
        <w:rPr>
          <w:lang w:val="fr-CH"/>
        </w:rPr>
        <w:tab/>
        <w:t>Voir CAT/C/54/2, par. 84 et document CPT/Inf (2014) 31 du Conseil de l’Europe, par.</w:t>
      </w:r>
      <w:r w:rsidRPr="00ED1E3E">
        <w:rPr>
          <w:bCs/>
          <w:szCs w:val="18"/>
          <w:lang w:val="fr-CH" w:eastAsia="en-GB"/>
        </w:rPr>
        <w:t> </w:t>
      </w:r>
      <w:r w:rsidRPr="00ED1E3E">
        <w:rPr>
          <w:lang w:val="fr-CH"/>
        </w:rPr>
        <w:t>56.</w:t>
      </w:r>
    </w:p>
  </w:footnote>
  <w:footnote w:id="156">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eastAsia="fr-FR"/>
        </w:rPr>
      </w:pPr>
      <w:r w:rsidRPr="00ED1E3E">
        <w:rPr>
          <w:lang w:val="fr-CH"/>
        </w:rPr>
        <w:tab/>
      </w:r>
      <w:r w:rsidRPr="00ED1E3E">
        <w:rPr>
          <w:rStyle w:val="FootnoteReference"/>
          <w:lang w:val="fr-CH"/>
        </w:rPr>
        <w:footnoteRef/>
      </w:r>
      <w:r w:rsidRPr="00ED1E3E">
        <w:rPr>
          <w:lang w:val="fr-CH"/>
        </w:rPr>
        <w:tab/>
        <w:t>Voir CAT/OP/MLI/1, par.</w:t>
      </w:r>
      <w:r w:rsidRPr="00ED1E3E">
        <w:rPr>
          <w:bCs/>
          <w:szCs w:val="18"/>
          <w:lang w:val="fr-CH" w:eastAsia="en-GB"/>
        </w:rPr>
        <w:t> </w:t>
      </w:r>
      <w:r w:rsidRPr="00ED1E3E">
        <w:rPr>
          <w:lang w:val="fr-CH"/>
        </w:rPr>
        <w:t>29.</w:t>
      </w:r>
    </w:p>
  </w:footnote>
  <w:footnote w:id="157">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www.achpr.org/files/sessions/52nd/inter-act-reps/185/activty_report_prisons_eng.pdf, p.</w:t>
      </w:r>
      <w:r w:rsidRPr="00ED1E3E">
        <w:rPr>
          <w:bCs/>
          <w:szCs w:val="18"/>
          <w:lang w:val="fr-CH" w:eastAsia="en-GB"/>
        </w:rPr>
        <w:t> </w:t>
      </w:r>
      <w:r w:rsidRPr="00ED1E3E">
        <w:rPr>
          <w:lang w:val="fr-CH"/>
        </w:rPr>
        <w:t>10.</w:t>
      </w:r>
    </w:p>
  </w:footnote>
  <w:footnote w:id="158">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CAT/C/TGO/CO/2, par. 12, et www.ohchr.org/Documents/Issues/RuleOfLaw/Overincarceration/ OSJI.pdf.</w:t>
      </w:r>
    </w:p>
  </w:footnote>
  <w:footnote w:id="159">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A/HRC/25/71, par. 33.</w:t>
      </w:r>
    </w:p>
  </w:footnote>
  <w:footnote w:id="160">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www.achpr.org/files/sessions/37th/mission-reports/prisons-2004/misrep_specmec_priso_ southafrica_2004_eng.pdf, p. 2.</w:t>
      </w:r>
    </w:p>
  </w:footnote>
  <w:footnote w:id="161">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CAT/OP/BRA/1, par.</w:t>
      </w:r>
      <w:r w:rsidRPr="00ED1E3E">
        <w:rPr>
          <w:bCs/>
          <w:szCs w:val="18"/>
          <w:lang w:val="fr-CH" w:eastAsia="en-GB"/>
        </w:rPr>
        <w:t> </w:t>
      </w:r>
      <w:r w:rsidRPr="00ED1E3E">
        <w:rPr>
          <w:lang w:val="fr-CH"/>
        </w:rPr>
        <w:t>96; CCPR/C/AGO/CO/1, par.</w:t>
      </w:r>
      <w:r w:rsidRPr="00ED1E3E">
        <w:rPr>
          <w:bCs/>
          <w:szCs w:val="18"/>
          <w:lang w:val="fr-CH" w:eastAsia="en-GB"/>
        </w:rPr>
        <w:t> </w:t>
      </w:r>
      <w:r w:rsidRPr="00ED1E3E">
        <w:rPr>
          <w:lang w:val="fr-CH"/>
        </w:rPr>
        <w:t>19; A/HRC/25/60/Add.1, par.</w:t>
      </w:r>
      <w:r w:rsidRPr="00ED1E3E">
        <w:rPr>
          <w:bCs/>
          <w:szCs w:val="18"/>
          <w:lang w:val="fr-CH" w:eastAsia="en-GB"/>
        </w:rPr>
        <w:t> </w:t>
      </w:r>
      <w:r w:rsidRPr="00ED1E3E">
        <w:rPr>
          <w:lang w:val="fr-CH"/>
        </w:rPr>
        <w:t>84; et CAT/C/KHM/CO/2, par.</w:t>
      </w:r>
      <w:r w:rsidRPr="00ED1E3E">
        <w:rPr>
          <w:bCs/>
          <w:szCs w:val="18"/>
          <w:lang w:val="fr-CH" w:eastAsia="en-GB"/>
        </w:rPr>
        <w:t> </w:t>
      </w:r>
      <w:r w:rsidRPr="00ED1E3E">
        <w:rPr>
          <w:lang w:val="fr-CH"/>
        </w:rPr>
        <w:t>19.</w:t>
      </w:r>
    </w:p>
  </w:footnote>
  <w:footnote w:id="162">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document CPT/Inf (2014) 29 du Conseil de l’Europe, par. 33.</w:t>
      </w:r>
    </w:p>
  </w:footnote>
  <w:footnote w:id="163">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CAT/OP/MDV/1, par. 169; CAT/C/KEN/CO/2, par. 15; et www.achpr.org/files/sessions/37th/ mission-reports/ethiopia/misrep_specmec_priso_ethopia_2004_eng.pdf, p. 52.</w:t>
      </w:r>
    </w:p>
  </w:footnote>
  <w:footnote w:id="164">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CCPR/C/AGO/CO/1, par.</w:t>
      </w:r>
      <w:r w:rsidRPr="00ED1E3E">
        <w:rPr>
          <w:bCs/>
          <w:szCs w:val="18"/>
          <w:lang w:val="fr-CH" w:eastAsia="en-GB"/>
        </w:rPr>
        <w:t> </w:t>
      </w:r>
      <w:r w:rsidRPr="00ED1E3E">
        <w:rPr>
          <w:lang w:val="fr-CH"/>
        </w:rPr>
        <w:t>19; A/HRC/25/60/Add.1, par.</w:t>
      </w:r>
      <w:r w:rsidRPr="00ED1E3E">
        <w:rPr>
          <w:bCs/>
          <w:szCs w:val="18"/>
          <w:lang w:val="fr-CH" w:eastAsia="en-GB"/>
        </w:rPr>
        <w:t> </w:t>
      </w:r>
      <w:r w:rsidRPr="00ED1E3E">
        <w:rPr>
          <w:lang w:val="fr-CH"/>
        </w:rPr>
        <w:t>84; et document CPT/Inf (2014) 18 du Conseil de l’Europe, par.</w:t>
      </w:r>
      <w:r w:rsidRPr="00ED1E3E">
        <w:rPr>
          <w:bCs/>
          <w:szCs w:val="18"/>
          <w:lang w:val="fr-CH" w:eastAsia="en-GB"/>
        </w:rPr>
        <w:t> </w:t>
      </w:r>
      <w:r w:rsidRPr="00ED1E3E">
        <w:rPr>
          <w:lang w:val="fr-CH"/>
        </w:rPr>
        <w:t>35.</w:t>
      </w:r>
    </w:p>
  </w:footnote>
  <w:footnote w:id="165">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www.achpr.org/files/sessions/37th/mission-reports/prisons-2004/misrep_specmec_priso_ southafrica_2004_eng.pdf, chap. F i).</w:t>
      </w:r>
    </w:p>
  </w:footnote>
  <w:footnote w:id="166">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CPT/Inf (2014) 29, par. 33.</w:t>
      </w:r>
    </w:p>
  </w:footnote>
  <w:footnote w:id="167">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CPT/Inf (2014) 18, par. 35.</w:t>
      </w:r>
    </w:p>
  </w:footnote>
  <w:footnote w:id="168">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CPT/Inf (2014) 21, par. 42.</w:t>
      </w:r>
    </w:p>
  </w:footnote>
  <w:footnote w:id="169">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A/HRC/19/57/Add.2, par. 38.</w:t>
      </w:r>
    </w:p>
  </w:footnote>
  <w:footnote w:id="170">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 xml:space="preserve">Voir A/HRC/27/48, par. 73. </w:t>
      </w:r>
    </w:p>
  </w:footnote>
  <w:footnote w:id="171">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CAT/OP/MDV/1, par. 220.</w:t>
      </w:r>
    </w:p>
  </w:footnote>
  <w:footnote w:id="172">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A/HRC/25/60/Add.1, par. 99 et www.ohchr.org/Documents/Issues/RuleOfLaw/ Overincarceration/PRI.pdf.</w:t>
      </w:r>
    </w:p>
  </w:footnote>
  <w:footnote w:id="173">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A/HRC/10/44, par. 55, et www.ohchr.org/Documents/Issues/RuleOfLaw/Overincarceration/ ACLU.pdf.</w:t>
      </w:r>
    </w:p>
  </w:footnote>
  <w:footnote w:id="174">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www.achpr.org/files/sessions/37th/mission-reports/prisons-2004/misrep_specmec_ priso_southafrica_2004_eng.pdf, chap. F i), et www.ohchr.org/Documents/Issues/RuleOfLaw/ Overincarceration/PRI.pdf.</w:t>
      </w:r>
    </w:p>
  </w:footnote>
  <w:footnote w:id="175">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CAT/OP/MDV/1, par.</w:t>
      </w:r>
      <w:r w:rsidRPr="00ED1E3E">
        <w:rPr>
          <w:bCs/>
          <w:szCs w:val="18"/>
          <w:lang w:val="fr-CH" w:eastAsia="en-GB"/>
        </w:rPr>
        <w:t> </w:t>
      </w:r>
      <w:r w:rsidRPr="00ED1E3E">
        <w:rPr>
          <w:lang w:val="fr-CH"/>
        </w:rPr>
        <w:t>220.</w:t>
      </w:r>
    </w:p>
  </w:footnote>
  <w:footnote w:id="176">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rPr>
      </w:pPr>
      <w:r w:rsidRPr="00ED1E3E">
        <w:rPr>
          <w:lang w:val="fr-CH"/>
        </w:rPr>
        <w:tab/>
      </w:r>
      <w:r w:rsidRPr="00ED1E3E">
        <w:rPr>
          <w:rStyle w:val="FootnoteReference"/>
          <w:lang w:val="fr-CH"/>
        </w:rPr>
        <w:footnoteRef/>
      </w:r>
      <w:r w:rsidRPr="00ED1E3E">
        <w:rPr>
          <w:lang w:val="fr-CH"/>
        </w:rPr>
        <w:tab/>
        <w:t>Voir A/HRC/25/60/Add.1, par.</w:t>
      </w:r>
      <w:r w:rsidRPr="00ED1E3E">
        <w:rPr>
          <w:bCs/>
          <w:szCs w:val="18"/>
          <w:lang w:val="fr-CH" w:eastAsia="en-GB"/>
        </w:rPr>
        <w:t> </w:t>
      </w:r>
      <w:r w:rsidRPr="00ED1E3E">
        <w:rPr>
          <w:lang w:val="fr-CH"/>
        </w:rPr>
        <w:t>99.</w:t>
      </w:r>
    </w:p>
  </w:footnote>
  <w:footnote w:id="177">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bCs/>
          <w:szCs w:val="18"/>
          <w:lang w:val="fr-CH" w:eastAsia="lv-LV"/>
        </w:rPr>
      </w:pPr>
      <w:r w:rsidRPr="00ED1E3E">
        <w:rPr>
          <w:lang w:val="fr-CH"/>
        </w:rPr>
        <w:tab/>
      </w:r>
      <w:r w:rsidRPr="00ED1E3E">
        <w:rPr>
          <w:rStyle w:val="FootnoteReference"/>
          <w:lang w:val="fr-CH"/>
        </w:rPr>
        <w:footnoteRef/>
      </w:r>
      <w:r w:rsidRPr="00ED1E3E">
        <w:rPr>
          <w:lang w:val="fr-CH"/>
        </w:rPr>
        <w:tab/>
        <w:t>Voir A/HRC/27/48, par.</w:t>
      </w:r>
      <w:r w:rsidRPr="00ED1E3E">
        <w:rPr>
          <w:bCs/>
          <w:szCs w:val="18"/>
          <w:lang w:val="fr-CH" w:eastAsia="en-GB"/>
        </w:rPr>
        <w:t> </w:t>
      </w:r>
      <w:r w:rsidRPr="00ED1E3E">
        <w:rPr>
          <w:lang w:val="fr-CH"/>
        </w:rPr>
        <w:t>73.</w:t>
      </w:r>
    </w:p>
  </w:footnote>
  <w:footnote w:id="178">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eastAsia="fr-FR"/>
        </w:rPr>
      </w:pPr>
      <w:r w:rsidRPr="00ED1E3E">
        <w:rPr>
          <w:lang w:val="fr-CH"/>
        </w:rPr>
        <w:tab/>
      </w:r>
      <w:r w:rsidRPr="00ED1E3E">
        <w:rPr>
          <w:rStyle w:val="FootnoteReference"/>
          <w:lang w:val="fr-CH"/>
        </w:rPr>
        <w:footnoteRef/>
      </w:r>
      <w:r w:rsidRPr="00ED1E3E">
        <w:rPr>
          <w:lang w:val="fr-CH"/>
        </w:rPr>
        <w:tab/>
        <w:t>Voir A/HRC/25/60/Add.1, par.</w:t>
      </w:r>
      <w:r w:rsidRPr="00ED1E3E">
        <w:rPr>
          <w:bCs/>
          <w:szCs w:val="18"/>
          <w:lang w:val="fr-CH" w:eastAsia="en-GB"/>
        </w:rPr>
        <w:t> </w:t>
      </w:r>
      <w:r w:rsidRPr="00ED1E3E">
        <w:rPr>
          <w:lang w:val="fr-CH"/>
        </w:rPr>
        <w:t>84.</w:t>
      </w:r>
    </w:p>
  </w:footnote>
  <w:footnote w:id="179">
    <w:p w:rsidR="009E1F21" w:rsidRPr="00ED1E3E" w:rsidRDefault="009E1F21" w:rsidP="009E1F21">
      <w:pPr>
        <w:pStyle w:val="FootnoteText"/>
        <w:tabs>
          <w:tab w:val="right" w:pos="1195"/>
          <w:tab w:val="left" w:pos="1267"/>
          <w:tab w:val="left" w:pos="1742"/>
          <w:tab w:val="left" w:pos="2218"/>
          <w:tab w:val="left" w:pos="2693"/>
        </w:tabs>
        <w:spacing w:line="240" w:lineRule="auto"/>
        <w:ind w:left="1267" w:right="1260" w:hanging="432"/>
        <w:rPr>
          <w:szCs w:val="18"/>
          <w:lang w:val="fr-CH" w:eastAsia="lv-LV"/>
        </w:rPr>
      </w:pPr>
      <w:r w:rsidRPr="00ED1E3E">
        <w:rPr>
          <w:lang w:val="fr-CH"/>
        </w:rPr>
        <w:tab/>
      </w:r>
      <w:r w:rsidRPr="00ED1E3E">
        <w:rPr>
          <w:rStyle w:val="FootnoteReference"/>
          <w:lang w:val="fr-CH"/>
        </w:rPr>
        <w:footnoteRef/>
      </w:r>
      <w:r w:rsidRPr="00ED1E3E">
        <w:rPr>
          <w:lang w:val="fr-CH"/>
        </w:rPr>
        <w:tab/>
        <w:t xml:space="preserve">Voir </w:t>
      </w:r>
      <w:r w:rsidRPr="00ED1E3E">
        <w:rPr>
          <w:i/>
          <w:lang w:val="fr-CH"/>
        </w:rPr>
        <w:t xml:space="preserve">Pacheco Teruel </w:t>
      </w:r>
      <w:r w:rsidRPr="00ED1E3E">
        <w:rPr>
          <w:lang w:val="fr-CH"/>
        </w:rPr>
        <w:t xml:space="preserve">et al. </w:t>
      </w:r>
      <w:r w:rsidRPr="00ED1E3E">
        <w:rPr>
          <w:iCs/>
          <w:lang w:val="fr-CH"/>
        </w:rPr>
        <w:t>c</w:t>
      </w:r>
      <w:r w:rsidRPr="00ED1E3E">
        <w:rPr>
          <w:i/>
          <w:lang w:val="fr-CH"/>
        </w:rPr>
        <w:t>. Honduras</w:t>
      </w:r>
      <w:r w:rsidRPr="00ED1E3E">
        <w:rPr>
          <w:lang w:val="fr-CH"/>
        </w:rPr>
        <w:t>, arrêt de la Cour interaméricaine des droits de l’homme (2012), par.</w:t>
      </w:r>
      <w:r w:rsidRPr="00ED1E3E">
        <w:rPr>
          <w:bCs/>
          <w:szCs w:val="18"/>
          <w:lang w:val="fr-CH" w:eastAsia="en-GB"/>
        </w:rPr>
        <w:t> </w:t>
      </w:r>
      <w:r w:rsidRPr="00ED1E3E">
        <w:rPr>
          <w:lang w:val="fr-CH"/>
        </w:rPr>
        <w:t>105.</w:t>
      </w:r>
    </w:p>
  </w:footnote>
  <w:footnote w:id="180">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lang w:val="fr-CH"/>
        </w:rPr>
        <w:tab/>
      </w:r>
      <w:r w:rsidRPr="00ED1E3E">
        <w:rPr>
          <w:rStyle w:val="FootnoteReference"/>
          <w:color w:val="auto"/>
          <w:lang w:val="fr-CH"/>
        </w:rPr>
        <w:footnoteRef/>
      </w:r>
      <w:r w:rsidRPr="00ED1E3E">
        <w:rPr>
          <w:lang w:val="fr-CH"/>
        </w:rPr>
        <w:tab/>
      </w:r>
      <w:r w:rsidRPr="00ED1E3E">
        <w:rPr>
          <w:szCs w:val="17"/>
          <w:lang w:val="fr-CH"/>
        </w:rPr>
        <w:t>Voir A/HRC/22/53/Add.2, par. 46 et CAT/OP/BEN/1, par. 161.</w:t>
      </w:r>
    </w:p>
  </w:footnote>
  <w:footnote w:id="181">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A/HRC/25/60/Add.1, par. 40.</w:t>
      </w:r>
    </w:p>
  </w:footnote>
  <w:footnote w:id="182">
    <w:p w:rsidR="005F5012" w:rsidRPr="00ED1E3E" w:rsidRDefault="005F5012" w:rsidP="003562C5">
      <w:pPr>
        <w:pStyle w:val="FootnoteText"/>
        <w:tabs>
          <w:tab w:val="right" w:pos="1195"/>
          <w:tab w:val="left" w:pos="1267"/>
          <w:tab w:val="left" w:pos="1742"/>
          <w:tab w:val="left" w:pos="2218"/>
          <w:tab w:val="left" w:pos="2693"/>
        </w:tabs>
        <w:ind w:left="1742" w:right="1260" w:hanging="907"/>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CAT/OP/MLI/1, par. 29.</w:t>
      </w:r>
    </w:p>
  </w:footnote>
  <w:footnote w:id="183">
    <w:p w:rsidR="005F5012" w:rsidRPr="00ED1E3E" w:rsidRDefault="005F5012" w:rsidP="005F5012">
      <w:pPr>
        <w:pStyle w:val="FootnoteText"/>
        <w:tabs>
          <w:tab w:val="right" w:pos="1195"/>
          <w:tab w:val="left" w:pos="1267"/>
          <w:tab w:val="left" w:pos="1742"/>
          <w:tab w:val="left" w:pos="2218"/>
          <w:tab w:val="left" w:pos="2693"/>
        </w:tabs>
        <w:spacing w:line="240" w:lineRule="auto"/>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www.ohchr.org/Documents/Issues/RuleOfLaw/Overincarceration/NCHR_Greece.pdf.</w:t>
      </w:r>
    </w:p>
  </w:footnote>
  <w:footnote w:id="184">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 xml:space="preserve">Voir Cour interaméricaine des droits de l’homme, affaire </w:t>
      </w:r>
      <w:r w:rsidRPr="00ED1E3E">
        <w:rPr>
          <w:i/>
          <w:szCs w:val="17"/>
          <w:lang w:val="fr-CH"/>
        </w:rPr>
        <w:t xml:space="preserve">Neptune </w:t>
      </w:r>
      <w:r w:rsidRPr="00ED1E3E">
        <w:rPr>
          <w:szCs w:val="17"/>
          <w:lang w:val="fr-CH"/>
        </w:rPr>
        <w:t>c.</w:t>
      </w:r>
      <w:r w:rsidRPr="00ED1E3E">
        <w:rPr>
          <w:i/>
          <w:szCs w:val="17"/>
          <w:lang w:val="fr-CH"/>
        </w:rPr>
        <w:t xml:space="preserve"> Haïti </w:t>
      </w:r>
      <w:r w:rsidRPr="00ED1E3E">
        <w:rPr>
          <w:szCs w:val="17"/>
          <w:lang w:val="fr-CH"/>
        </w:rPr>
        <w:t>(2008), par. 183</w:t>
      </w:r>
      <w:r w:rsidRPr="00ED1E3E">
        <w:rPr>
          <w:szCs w:val="17"/>
          <w:lang w:val="fr-CH" w:eastAsia="lv-LV"/>
        </w:rPr>
        <w:t xml:space="preserve">, et </w:t>
      </w:r>
      <w:r w:rsidRPr="00ED1E3E">
        <w:rPr>
          <w:szCs w:val="17"/>
          <w:lang w:val="fr-CH"/>
        </w:rPr>
        <w:t>Conseil de l’Europe, CPT/Inf (2014) 31, par. 56</w:t>
      </w:r>
      <w:r w:rsidRPr="00ED1E3E">
        <w:rPr>
          <w:szCs w:val="17"/>
          <w:lang w:val="fr-CH" w:eastAsia="lv-LV"/>
        </w:rPr>
        <w:t xml:space="preserve">; </w:t>
      </w:r>
      <w:hyperlink r:id="rId6" w:history="1">
        <w:r w:rsidRPr="00ED1E3E">
          <w:rPr>
            <w:rStyle w:val="Hyperlink"/>
            <w:szCs w:val="17"/>
            <w:lang w:val="fr-CH" w:eastAsia="lv-LV"/>
          </w:rPr>
          <w:t>www.achpr.org/files/sessions/52nd/inter-act-reps/185/activty_report_prisons_eng.pdf</w:t>
        </w:r>
      </w:hyperlink>
      <w:r w:rsidRPr="00ED1E3E">
        <w:rPr>
          <w:szCs w:val="17"/>
          <w:lang w:val="fr-CH" w:eastAsia="lv-LV"/>
        </w:rPr>
        <w:t>, p. 22</w:t>
      </w:r>
      <w:r w:rsidRPr="00ED1E3E">
        <w:rPr>
          <w:szCs w:val="17"/>
          <w:lang w:val="fr-CH"/>
        </w:rPr>
        <w:t>.</w:t>
      </w:r>
    </w:p>
  </w:footnote>
  <w:footnote w:id="185">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S/2015/157, par. 26; A/HRC/25/71, par. 41 et 42; CAT/OP/BEN/1, par. 158; CAT/OP/ARG/1, par. 59; www.ohchr.org/Documents/Issues/RuleOfLaw/OverIncarceration/UNODC.pdf.</w:t>
      </w:r>
    </w:p>
  </w:footnote>
  <w:footnote w:id="186">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 xml:space="preserve">Voir </w:t>
      </w:r>
      <w:hyperlink r:id="rId7" w:history="1">
        <w:r w:rsidRPr="00ED1E3E">
          <w:rPr>
            <w:rStyle w:val="Hyperlink"/>
            <w:szCs w:val="17"/>
            <w:lang w:val="fr-CH"/>
          </w:rPr>
          <w:t>www.achpr.org/files/sessions/37th/mission-reports/prisons-2004/misrep_specmec_priso_southafrica_2004_eng.pdf</w:t>
        </w:r>
      </w:hyperlink>
      <w:r w:rsidRPr="00ED1E3E">
        <w:rPr>
          <w:szCs w:val="17"/>
          <w:lang w:val="fr-CH"/>
        </w:rPr>
        <w:t>, p. 64; CPT/Inf (2013) 35, par. 8; CPT/Inf (2014) 31, par. 35; CAT/C/IRL/CO/1, par. 11; CCPR/C/BIH/CO/2, par. 11; A/HRC/25/60/Add.1, par. 84; CCPR/C/URY/CO/3, par. 9; CAT/OP/MDV/1, par. 220.</w:t>
      </w:r>
    </w:p>
  </w:footnote>
  <w:footnote w:id="187">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Conseil de l’Europe, CPT/Inf (2014) 13, par. 39.</w:t>
      </w:r>
    </w:p>
  </w:footnote>
  <w:footnote w:id="188">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 w:val="22"/>
          <w:szCs w:val="22"/>
          <w:lang w:val="fr-CH"/>
        </w:rPr>
        <w:tab/>
      </w:r>
      <w:r w:rsidRPr="00ED1E3E">
        <w:rPr>
          <w:rStyle w:val="FootnoteReference"/>
          <w:color w:val="auto"/>
          <w:szCs w:val="17"/>
          <w:lang w:val="fr-CH"/>
        </w:rPr>
        <w:footnoteRef/>
      </w:r>
      <w:r w:rsidRPr="00ED1E3E">
        <w:rPr>
          <w:sz w:val="22"/>
          <w:szCs w:val="22"/>
          <w:lang w:val="fr-CH"/>
        </w:rPr>
        <w:tab/>
      </w:r>
      <w:r w:rsidRPr="00ED1E3E">
        <w:rPr>
          <w:iCs/>
          <w:szCs w:val="17"/>
          <w:lang w:val="fr-CH"/>
        </w:rPr>
        <w:t>Ibid.</w:t>
      </w:r>
      <w:r w:rsidRPr="00ED1E3E">
        <w:rPr>
          <w:szCs w:val="17"/>
          <w:lang w:val="fr-CH"/>
        </w:rPr>
        <w:t>, et voir www.ohchr.org/Documents/Issues/RuleOfLaw/Overincarceration/OSJI.pdf.</w:t>
      </w:r>
    </w:p>
  </w:footnote>
  <w:footnote w:id="189">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 xml:space="preserve">Voir A/HRC/30/37, par. 2, et Principe 4. </w:t>
      </w:r>
    </w:p>
  </w:footnote>
  <w:footnote w:id="190">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CCPR/C/TUR/CO/1, par. 17, et www.ohchr.org/Documents/Issues/RuleOfLaw/</w:t>
      </w:r>
      <w:r w:rsidRPr="00ED1E3E">
        <w:rPr>
          <w:szCs w:val="17"/>
          <w:lang w:val="fr-CH"/>
        </w:rPr>
        <w:br/>
        <w:t>Overincarceration/QUNO.pdf.</w:t>
      </w:r>
    </w:p>
  </w:footnote>
  <w:footnote w:id="191">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A/HRC/27/47, par. 16.</w:t>
      </w:r>
    </w:p>
  </w:footnote>
  <w:footnote w:id="192">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A/HRC/30/37, Principe 13.</w:t>
      </w:r>
    </w:p>
  </w:footnote>
  <w:footnote w:id="193">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A/HRC/30/37, Principe 9.</w:t>
      </w:r>
    </w:p>
  </w:footnote>
  <w:footnote w:id="194">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 xml:space="preserve">Voir Assemblée générale, résolution 67/187, annexe, par. 9 et 10; </w:t>
      </w:r>
      <w:hyperlink r:id="rId8" w:history="1">
        <w:r w:rsidRPr="00ED1E3E">
          <w:rPr>
            <w:rStyle w:val="Hyperlink"/>
            <w:szCs w:val="17"/>
            <w:lang w:val="fr-CH"/>
          </w:rPr>
          <w:t>www.ohchr.org/Documents/Issues/</w:t>
        </w:r>
        <w:r w:rsidRPr="00ED1E3E">
          <w:rPr>
            <w:rStyle w:val="Hyperlink"/>
            <w:szCs w:val="17"/>
            <w:lang w:val="fr-CH"/>
          </w:rPr>
          <w:br/>
          <w:t>RuleOfLaw/Overincarceration/OSJI.pdf</w:t>
        </w:r>
      </w:hyperlink>
      <w:r w:rsidRPr="00ED1E3E">
        <w:rPr>
          <w:szCs w:val="17"/>
          <w:lang w:val="fr-CH"/>
        </w:rPr>
        <w:t>; www.ohchr.org/Documents/Issues/RuleOfLaw/</w:t>
      </w:r>
      <w:r w:rsidRPr="00ED1E3E">
        <w:rPr>
          <w:szCs w:val="17"/>
          <w:lang w:val="fr-CH"/>
        </w:rPr>
        <w:br/>
        <w:t>Overincarceration/PRI.pdf.</w:t>
      </w:r>
    </w:p>
  </w:footnote>
  <w:footnote w:id="195">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 xml:space="preserve">Selon certaines informations, des personnes seraient aussi détenues dans des lieux nullement conçus aux fins de détention, ce qui complique considérablement les problèmes causés par la surpopulation carcérale. Voir www.achpr.org/files/sessions/12th-eo/mission-reports/promotion_mission-2012/mission_report_mauritania_cpta_eng.pdf, par. 75. </w:t>
      </w:r>
    </w:p>
  </w:footnote>
  <w:footnote w:id="196">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 xml:space="preserve">Voir </w:t>
      </w:r>
      <w:r w:rsidRPr="00ED1E3E">
        <w:rPr>
          <w:szCs w:val="17"/>
          <w:lang w:val="fr-CH" w:eastAsia="lv-LV"/>
        </w:rPr>
        <w:t>A/HRC/13/39/Add.5, par. 91.</w:t>
      </w:r>
    </w:p>
  </w:footnote>
  <w:footnote w:id="197">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A/HRC/22/53/Add.2, par. 46, et A/HRC/25/60/Add.1, par. 40.</w:t>
      </w:r>
    </w:p>
  </w:footnote>
  <w:footnote w:id="198">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CAT/OP/PRY/1, par. 46; CAT/C/TGO/CO/2, par. 13; et CAT/OP/BEN/1, par. 161.</w:t>
      </w:r>
    </w:p>
  </w:footnote>
  <w:footnote w:id="199">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 xml:space="preserve">Voir CAT/C/GBR/CO/5, par. 31; CCPR/C/FIN/CO/6, par. 10; A/HRC/28/68, par. 41. Voir aussi Commission africaine des droits de l’homme et des peuples, Rapport sur la mission au </w:t>
      </w:r>
      <w:r w:rsidRPr="00ED1E3E">
        <w:rPr>
          <w:bCs/>
          <w:kern w:val="36"/>
          <w:szCs w:val="17"/>
          <w:lang w:val="fr-CH" w:eastAsia="lv-LV"/>
        </w:rPr>
        <w:t>Nigéria (2009), disponible à l’adresse suivante :www.achpr.org/states/nigeria/missions/promo-2009/;</w:t>
      </w:r>
      <w:r w:rsidRPr="00ED1E3E">
        <w:rPr>
          <w:szCs w:val="17"/>
          <w:lang w:val="fr-CH"/>
        </w:rPr>
        <w:t xml:space="preserve"> et www.ohchr.org/Documents/Issues/RuleOfLaw/Overincarceration/CRIN.pdf.</w:t>
      </w:r>
    </w:p>
  </w:footnote>
  <w:footnote w:id="200">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Conseil de l'Europe, CPT/Inf (2014) 26, par. 13.</w:t>
      </w:r>
    </w:p>
  </w:footnote>
  <w:footnote w:id="201">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Conseil de l'Europe, CPT/Inf (2014) 13, par. 39.</w:t>
      </w:r>
    </w:p>
  </w:footnote>
  <w:footnote w:id="202">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www.ohchr.org/Documents/Issues/RuleOfLaw/Overincarceration/Germany.pdf.</w:t>
      </w:r>
    </w:p>
  </w:footnote>
  <w:footnote w:id="203">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 xml:space="preserve">Voir </w:t>
      </w:r>
      <w:r w:rsidRPr="00ED1E3E">
        <w:rPr>
          <w:rFonts w:eastAsia="SimSun"/>
          <w:szCs w:val="17"/>
          <w:lang w:val="fr-CH" w:eastAsia="zh-CN"/>
        </w:rPr>
        <w:t>CAT/C/54/2, par. 83.</w:t>
      </w:r>
    </w:p>
  </w:footnote>
  <w:footnote w:id="204">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 xml:space="preserve">Voir articles 9 et 14 du Pacte international relatif aux droits civils et politiques. Voir aussi Règles 6.1 et 6.2 des Règles minima des Nations Unies pour l’élaboration de mesures non privatives de liberté (Règles de Tokyo); CCPR/C/GC/35, par. 38; et A/HRC/19/57, par. 48. </w:t>
      </w:r>
    </w:p>
  </w:footnote>
  <w:footnote w:id="205">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CCPR/C/GC/35, par. 38.</w:t>
      </w:r>
    </w:p>
  </w:footnote>
  <w:footnote w:id="206">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CCPR/C/GC/35, par. 38.</w:t>
      </w:r>
    </w:p>
  </w:footnote>
  <w:footnote w:id="207">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00D7412A" w:rsidRPr="00ED1E3E">
        <w:rPr>
          <w:szCs w:val="17"/>
          <w:lang w:val="fr-CH"/>
        </w:rPr>
        <w:tab/>
        <w:t>Voir CCPR/C/GC/35, par. 37.</w:t>
      </w:r>
    </w:p>
  </w:footnote>
  <w:footnote w:id="208">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www.ohchr.org/Documents/Issues/RuleOfLaw/Overincarceration/LICAMDH_Cameroon.pdf.</w:t>
      </w:r>
    </w:p>
  </w:footnote>
  <w:footnote w:id="209">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CCPR/C/GC/35, par. 38; CAT/OP/MLI/1, par. 30.</w:t>
      </w:r>
    </w:p>
  </w:footnote>
  <w:footnote w:id="210">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Règles minima des Nations Unies pour l’élaboration de mesures non privatives de liberté (Règles de Tokyo), A/RES/45/110, annexe; Règles des Nations Unies concernant le traitement des détenues et l’imposition de mesures non privatives de liberté aux délinquantes (Règles de Bangkok), A/RES/65/229, annexe.</w:t>
      </w:r>
    </w:p>
  </w:footnote>
  <w:footnote w:id="211">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CAT/C/ARM/CO/3, par. 19; CAT/C/BLR/CO/4, par. 19; CAT/C/FIN/CO/5-6, par. 14; CAT/C/GTM/CO/5-6, par. 18; CAT/C/KEN/CO/2, par. 12; CAT/C/SYR/CO/1, par. 30;</w:t>
      </w:r>
      <w:r w:rsidRPr="00ED1E3E">
        <w:rPr>
          <w:szCs w:val="17"/>
          <w:lang w:val="fr-CH" w:eastAsia="lv-LV"/>
        </w:rPr>
        <w:t xml:space="preserve"> E/CN.4/2004/56, par. 49; </w:t>
      </w:r>
      <w:r w:rsidRPr="00ED1E3E">
        <w:rPr>
          <w:szCs w:val="17"/>
          <w:lang w:val="fr-CH"/>
        </w:rPr>
        <w:t>CCPR/C/IND/CO/1, par. 21; CCPR/C/PHL/CO/4, par. 19.</w:t>
      </w:r>
    </w:p>
  </w:footnote>
  <w:footnote w:id="212">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Conseil de l’Europe, CPT/Inf (2015) 12, par. 44; http://www.achpr.org/files/sessions/</w:t>
      </w:r>
      <w:r w:rsidRPr="00ED1E3E">
        <w:rPr>
          <w:szCs w:val="17"/>
          <w:lang w:val="fr-CH"/>
        </w:rPr>
        <w:br/>
        <w:t>37th/mission-reports/ethiopia/achpr37_misrep_specmec_priso_ethiopia_2004_fra.pdf, p. 45.</w:t>
      </w:r>
    </w:p>
  </w:footnote>
  <w:footnote w:id="213">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www.ohchr.org/Documents/Issues/RuleOfLaw/Overincarceration/Serbia.pdf; www.ohchr.org/Documents/Issues/RuleOfLaw/Overincarceration/SUHAKAM_Malaysia.pdf.</w:t>
      </w:r>
    </w:p>
  </w:footnote>
  <w:footnote w:id="214">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Conseil de l</w:t>
      </w:r>
      <w:r w:rsidR="003E6AE9" w:rsidRPr="00ED1E3E">
        <w:rPr>
          <w:szCs w:val="17"/>
          <w:lang w:val="fr-CH"/>
        </w:rPr>
        <w:t>’</w:t>
      </w:r>
      <w:r w:rsidRPr="00ED1E3E">
        <w:rPr>
          <w:szCs w:val="17"/>
          <w:lang w:val="fr-CH"/>
        </w:rPr>
        <w:t xml:space="preserve">Europe, CPT/Inf (2014) 31, par. 56. Voir aussi </w:t>
      </w:r>
      <w:r w:rsidRPr="00ED1E3E">
        <w:rPr>
          <w:bCs/>
          <w:szCs w:val="17"/>
          <w:lang w:val="fr-CH" w:eastAsia="lv-LV"/>
        </w:rPr>
        <w:t>CAT/OP/NZL/1</w:t>
      </w:r>
      <w:r w:rsidRPr="00ED1E3E">
        <w:rPr>
          <w:szCs w:val="17"/>
          <w:lang w:val="fr-CH" w:eastAsia="lv-LV"/>
        </w:rPr>
        <w:t>, par. 33.</w:t>
      </w:r>
    </w:p>
  </w:footnote>
  <w:footnote w:id="215">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www.achpr.org/files/sessions/52nd/inter-act-reps/185/activty_report_prisons_eng.pdf, p. 22.</w:t>
      </w:r>
    </w:p>
  </w:footnote>
  <w:footnote w:id="216">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Conseil de l’</w:t>
      </w:r>
      <w:r w:rsidR="00A12F4C" w:rsidRPr="00ED1E3E">
        <w:rPr>
          <w:szCs w:val="17"/>
          <w:lang w:val="fr-CH"/>
        </w:rPr>
        <w:t xml:space="preserve">Europe, CPT/Inf </w:t>
      </w:r>
      <w:r w:rsidRPr="00ED1E3E">
        <w:rPr>
          <w:szCs w:val="17"/>
          <w:lang w:val="fr-CH"/>
        </w:rPr>
        <w:t>(2014) 15, par. 98.</w:t>
      </w:r>
    </w:p>
  </w:footnote>
  <w:footnote w:id="217">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www.ohchr.org/Documents/Issues/RuleOfLaw/Overincarceration/Germany.pdf.</w:t>
      </w:r>
    </w:p>
  </w:footnote>
  <w:footnote w:id="218">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www.ohchr.org/Documents/Issues/RuleOfLaw/Overincarceration/OPO_Finland.pdf.</w:t>
      </w:r>
    </w:p>
  </w:footnote>
  <w:footnote w:id="219">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A/HRC/25/60/Add.1, par. 99.</w:t>
      </w:r>
    </w:p>
  </w:footnote>
  <w:footnote w:id="220">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A/HRC/25/60/Add.1, par. 99.</w:t>
      </w:r>
    </w:p>
  </w:footnote>
  <w:footnote w:id="221">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CRC/C/AZE/CO/3-4, par. 75; A/HRC/22/53/Add.2, par. 92; A/HRC/28/68, par. 39; et www.ohchr.org/Documents/Issues/RuleOfLaw/Overincarceration/QUNO.pdf.</w:t>
      </w:r>
    </w:p>
  </w:footnote>
  <w:footnote w:id="222">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www.ohchr.org/Documents/Issues/RuleOfLaw/Overincarceration/CNDH_Mexico.pdf.</w:t>
      </w:r>
    </w:p>
  </w:footnote>
  <w:footnote w:id="223">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www.ohchr.org/Documents/Issues/RuleOfLaw/Overincarceration/NCHR_Slovakia.pdf.</w:t>
      </w:r>
    </w:p>
  </w:footnote>
  <w:footnote w:id="224">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E/CN.4/2006/7, par. 63, et CAT/OP/MDV/1, par. 220.</w:t>
      </w:r>
    </w:p>
  </w:footnote>
  <w:footnote w:id="225">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CAT/C/MDA/CO/2, par. 18.</w:t>
      </w:r>
    </w:p>
  </w:footnote>
  <w:footnote w:id="226">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Conseil de l'Europe document CPT/Inf (2014) 15, par. 98.</w:t>
      </w:r>
    </w:p>
  </w:footnote>
  <w:footnote w:id="227">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www.ohchr.org/Documents/Issues/RuleOfLaw/Overincarceration/RussianFederation.pdf, et www.ohchr.org/Documents/Issues/RuleOfLaw/Overincarceration/Kazakhstan.pdf.</w:t>
      </w:r>
    </w:p>
  </w:footnote>
  <w:footnote w:id="228">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A/HRC/25/60/Add.1, par. 84.</w:t>
      </w:r>
    </w:p>
  </w:footnote>
  <w:footnote w:id="229">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 xml:space="preserve">Voir A/HRC/25/60/Add.1, par. 99, et Conseil de l’Europe, CPT/Inf (2015) 12, par. 44. Voir aussi </w:t>
      </w:r>
      <w:hyperlink r:id="rId9" w:history="1">
        <w:r w:rsidRPr="00ED1E3E">
          <w:rPr>
            <w:rStyle w:val="Hyperlink"/>
            <w:szCs w:val="17"/>
            <w:lang w:val="fr-CH"/>
          </w:rPr>
          <w:t>www.achpr.org/files/sessions/37th/mission-reports/prisons-2004/misrep_specmec_</w:t>
        </w:r>
        <w:r w:rsidRPr="00ED1E3E">
          <w:rPr>
            <w:rStyle w:val="Hyperlink"/>
            <w:szCs w:val="17"/>
            <w:lang w:val="fr-CH"/>
          </w:rPr>
          <w:br/>
          <w:t>priso_southafrica_2004_eng.pdf</w:t>
        </w:r>
      </w:hyperlink>
      <w:r w:rsidRPr="00ED1E3E">
        <w:rPr>
          <w:szCs w:val="17"/>
          <w:lang w:val="fr-CH"/>
        </w:rPr>
        <w:t>, par. F i).</w:t>
      </w:r>
    </w:p>
  </w:footnote>
  <w:footnote w:id="230">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 xml:space="preserve">Voir </w:t>
      </w:r>
      <w:r w:rsidRPr="00ED1E3E">
        <w:rPr>
          <w:iCs/>
          <w:szCs w:val="17"/>
          <w:lang w:val="fr-CH"/>
        </w:rPr>
        <w:t xml:space="preserve">Cour européenne des droits de l’homme, </w:t>
      </w:r>
      <w:r w:rsidRPr="00ED1E3E">
        <w:rPr>
          <w:szCs w:val="17"/>
          <w:lang w:val="fr-CH"/>
        </w:rPr>
        <w:t xml:space="preserve">arrêt </w:t>
      </w:r>
      <w:r w:rsidRPr="00ED1E3E">
        <w:rPr>
          <w:i/>
          <w:iCs/>
          <w:szCs w:val="17"/>
          <w:lang w:val="fr-CH"/>
        </w:rPr>
        <w:t xml:space="preserve">Vinter et autres </w:t>
      </w:r>
      <w:r w:rsidRPr="00ED1E3E">
        <w:rPr>
          <w:iCs/>
          <w:szCs w:val="17"/>
          <w:lang w:val="fr-CH"/>
        </w:rPr>
        <w:t>c</w:t>
      </w:r>
      <w:r w:rsidRPr="00ED1E3E">
        <w:rPr>
          <w:i/>
          <w:iCs/>
          <w:szCs w:val="17"/>
          <w:lang w:val="fr-CH"/>
        </w:rPr>
        <w:t>. Royaume-Uni.</w:t>
      </w:r>
      <w:r w:rsidRPr="00ED1E3E">
        <w:rPr>
          <w:iCs/>
          <w:szCs w:val="17"/>
          <w:lang w:val="fr-CH"/>
        </w:rPr>
        <w:t xml:space="preserve"> </w:t>
      </w:r>
      <w:r w:rsidRPr="00ED1E3E">
        <w:rPr>
          <w:szCs w:val="17"/>
          <w:lang w:val="fr-CH"/>
        </w:rPr>
        <w:t>(2013).</w:t>
      </w:r>
    </w:p>
  </w:footnote>
  <w:footnote w:id="231">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CAT/OP/MLI/1, par. 67; CAT/OP/BEN/1, par. 151; et CAT/C/GBR/CO/5, par. 31. Voir aussi www.achpr.org/files/sessions/52nd/inter-act-reps/185/activty_report_prisons_eng.pdf</w:t>
      </w:r>
      <w:r w:rsidRPr="00ED1E3E">
        <w:rPr>
          <w:szCs w:val="17"/>
          <w:lang w:val="fr-CH" w:eastAsia="lv-LV"/>
        </w:rPr>
        <w:t xml:space="preserve">, </w:t>
      </w:r>
      <w:r w:rsidRPr="00ED1E3E">
        <w:rPr>
          <w:szCs w:val="17"/>
          <w:lang w:val="fr-CH"/>
        </w:rPr>
        <w:t>p. 21 et 22; www.ohchr.org/Documents/Issues/RuleOfLaw/Overincarceration/CHR_Philippines.pdf; www.ohchr.org/Documents/Issues/RuleOfLaw/Overincarceration/SUHAKAM_Malaysia.pdf; et www.ohchr.org/Documents/Issues/RuleOfLaw/Overincarceration/RussianFederation.pdf.</w:t>
      </w:r>
    </w:p>
  </w:footnote>
  <w:footnote w:id="232">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CEDAW/C/BRA/CO/7, par. 32.</w:t>
      </w:r>
    </w:p>
  </w:footnote>
  <w:footnote w:id="233">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Conseil de l'Europe, CPT/Inf (2015) 12, par. 44; CPT/Inf (2015) 6, par. 46; et www.ohchr.org/Documents/Issues/RuleOfLaw/Overincarceration/ElSalvador.pdf.</w:t>
      </w:r>
    </w:p>
  </w:footnote>
  <w:footnote w:id="234">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 xml:space="preserve">Voir </w:t>
      </w:r>
      <w:r w:rsidRPr="00ED1E3E">
        <w:rPr>
          <w:bCs/>
          <w:szCs w:val="17"/>
          <w:lang w:val="fr-CH" w:eastAsia="lv-LV"/>
        </w:rPr>
        <w:t xml:space="preserve">CAT/OP/NZL/1, par. 33 et 34, et </w:t>
      </w:r>
      <w:r w:rsidRPr="00ED1E3E">
        <w:rPr>
          <w:szCs w:val="17"/>
          <w:lang w:val="fr-CH"/>
        </w:rPr>
        <w:t>www.ohchr.org/Documents/Issues/RuleOfLaw/</w:t>
      </w:r>
      <w:r w:rsidRPr="00ED1E3E">
        <w:rPr>
          <w:szCs w:val="17"/>
          <w:lang w:val="fr-CH"/>
        </w:rPr>
        <w:br/>
        <w:t>OverIncarceration/UNODC.pdf</w:t>
      </w:r>
      <w:r w:rsidRPr="00ED1E3E">
        <w:rPr>
          <w:bCs/>
          <w:szCs w:val="17"/>
          <w:lang w:val="fr-CH" w:eastAsia="lv-LV"/>
        </w:rPr>
        <w:t>.</w:t>
      </w:r>
    </w:p>
  </w:footnote>
  <w:footnote w:id="235">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 xml:space="preserve">Voir </w:t>
      </w:r>
      <w:r w:rsidRPr="00ED1E3E">
        <w:rPr>
          <w:bCs/>
          <w:szCs w:val="17"/>
          <w:lang w:val="fr-CH" w:eastAsia="lv-LV"/>
        </w:rPr>
        <w:t xml:space="preserve">CAT/OP/NZL/1, par. 33 et 34, et </w:t>
      </w:r>
      <w:r w:rsidRPr="00ED1E3E">
        <w:rPr>
          <w:szCs w:val="17"/>
          <w:lang w:val="fr-CH"/>
        </w:rPr>
        <w:t>www.ohchr.org/Documents/Issues/RuleOfLaw/</w:t>
      </w:r>
      <w:r w:rsidRPr="00ED1E3E">
        <w:rPr>
          <w:szCs w:val="17"/>
          <w:lang w:val="fr-CH"/>
        </w:rPr>
        <w:br/>
        <w:t>OverIncarceration/UNODC.pdf</w:t>
      </w:r>
      <w:r w:rsidRPr="00ED1E3E">
        <w:rPr>
          <w:bCs/>
          <w:szCs w:val="17"/>
          <w:lang w:val="fr-CH" w:eastAsia="lv-LV"/>
        </w:rPr>
        <w:t>.</w:t>
      </w:r>
    </w:p>
  </w:footnote>
  <w:footnote w:id="236">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CAT/OP/MDV/1, par. 220.</w:t>
      </w:r>
    </w:p>
  </w:footnote>
  <w:footnote w:id="237">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www.achpr.org/files/sessions/52nd/inter-act-reps/185/activty_report_prisons_eng.pdf, p. 23.</w:t>
      </w:r>
    </w:p>
  </w:footnote>
  <w:footnote w:id="238">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Conseil de l'Europe, CPT/Inf (2014) 15, par. 100.</w:t>
      </w:r>
    </w:p>
  </w:footnote>
  <w:footnote w:id="239">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CAT/OP/MLI/1, par. 29, et A/HRC/19/57, par. 36.</w:t>
      </w:r>
    </w:p>
  </w:footnote>
  <w:footnote w:id="240">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www.ohchr.org/EN/NewsEvents/Pages/DisplayNews.aspx?NewsID=16257&amp;LangID=E.</w:t>
      </w:r>
    </w:p>
  </w:footnote>
  <w:footnote w:id="241">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www.ohchr.org/Documents/Issues/RuleOfLaw/OverIncarceration/UNODC.pdf.</w:t>
      </w:r>
    </w:p>
  </w:footnote>
  <w:footnote w:id="242">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Voir A/HRC/25/60/Add.1, par. 39; CAT/C/IRL/CO/1, par. 11; et CCPR/C/KAZ/CO/1, par. 17. Voir également www.ohchr.org/Documents/Issues/RuleOfLaw/Overincarceration/</w:t>
      </w:r>
      <w:r w:rsidRPr="00ED1E3E">
        <w:rPr>
          <w:szCs w:val="17"/>
          <w:lang w:val="fr-CH"/>
        </w:rPr>
        <w:br/>
        <w:t>LICAMDH_Cameroon.pdf.</w:t>
      </w:r>
    </w:p>
  </w:footnote>
  <w:footnote w:id="243">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CCPR/C/AGO/CO/1, par. 19; CCPR/C/BDI/CO/2, par. 18; et CCPR/C/TCD/CO/2, par. 18.</w:t>
      </w:r>
    </w:p>
  </w:footnote>
  <w:footnote w:id="244">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E/CN.15/2015/L.6/Rev.1, annexe, Règle 1.</w:t>
      </w:r>
    </w:p>
  </w:footnote>
  <w:footnote w:id="245">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t>A/68/295, par. 86.</w:t>
      </w:r>
    </w:p>
  </w:footnote>
  <w:footnote w:id="246">
    <w:p w:rsidR="005F5012" w:rsidRPr="00ED1E3E" w:rsidRDefault="005F5012" w:rsidP="005F5012">
      <w:pPr>
        <w:pStyle w:val="FootnoteText"/>
        <w:tabs>
          <w:tab w:val="right" w:pos="1195"/>
          <w:tab w:val="left" w:pos="1267"/>
          <w:tab w:val="left" w:pos="1742"/>
          <w:tab w:val="left" w:pos="2218"/>
          <w:tab w:val="left" w:pos="2693"/>
        </w:tabs>
        <w:ind w:left="1267" w:right="1260" w:hanging="432"/>
        <w:rPr>
          <w:szCs w:val="17"/>
          <w:lang w:val="fr-CH"/>
        </w:rPr>
      </w:pPr>
      <w:r w:rsidRPr="00ED1E3E">
        <w:rPr>
          <w:szCs w:val="17"/>
          <w:lang w:val="fr-CH"/>
        </w:rPr>
        <w:tab/>
      </w:r>
      <w:r w:rsidRPr="00ED1E3E">
        <w:rPr>
          <w:rStyle w:val="FootnoteReference"/>
          <w:color w:val="auto"/>
          <w:szCs w:val="17"/>
          <w:lang w:val="fr-CH"/>
        </w:rPr>
        <w:footnoteRef/>
      </w:r>
      <w:r w:rsidRPr="00ED1E3E">
        <w:rPr>
          <w:szCs w:val="17"/>
          <w:lang w:val="fr-CH"/>
        </w:rPr>
        <w:tab/>
      </w:r>
      <w:r w:rsidRPr="00ED1E3E">
        <w:rPr>
          <w:szCs w:val="17"/>
          <w:lang w:val="fr-CH" w:eastAsia="en-GB"/>
        </w:rPr>
        <w:t>A/HRC/11/8, par. 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9D3BD6" w:rsidTr="0095602D">
      <w:trPr>
        <w:trHeight w:hRule="exact" w:val="864"/>
        <w:jc w:val="center"/>
      </w:trPr>
      <w:tc>
        <w:tcPr>
          <w:tcW w:w="4882" w:type="dxa"/>
          <w:shd w:val="clear" w:color="auto" w:fill="auto"/>
          <w:vAlign w:val="bottom"/>
        </w:tcPr>
        <w:p w:rsidR="009D3BD6" w:rsidRPr="0095602D" w:rsidRDefault="009D3BD6" w:rsidP="0095602D">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052F13">
            <w:rPr>
              <w:b/>
              <w:color w:val="000000"/>
            </w:rPr>
            <w:t>A/HRC/30/19</w:t>
          </w:r>
          <w:r>
            <w:rPr>
              <w:b/>
              <w:color w:val="000000"/>
            </w:rPr>
            <w:fldChar w:fldCharType="end"/>
          </w:r>
        </w:p>
      </w:tc>
      <w:tc>
        <w:tcPr>
          <w:tcW w:w="5127" w:type="dxa"/>
          <w:shd w:val="clear" w:color="auto" w:fill="auto"/>
          <w:vAlign w:val="bottom"/>
        </w:tcPr>
        <w:p w:rsidR="009D3BD6" w:rsidRDefault="009D3BD6" w:rsidP="0095602D">
          <w:pPr>
            <w:pStyle w:val="Header"/>
          </w:pPr>
        </w:p>
      </w:tc>
    </w:tr>
  </w:tbl>
  <w:p w:rsidR="009D3BD6" w:rsidRPr="0095602D" w:rsidRDefault="009D3BD6" w:rsidP="0095602D">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9D3BD6" w:rsidTr="0095602D">
      <w:trPr>
        <w:trHeight w:hRule="exact" w:val="864"/>
        <w:jc w:val="center"/>
      </w:trPr>
      <w:tc>
        <w:tcPr>
          <w:tcW w:w="4882" w:type="dxa"/>
          <w:shd w:val="clear" w:color="auto" w:fill="auto"/>
          <w:vAlign w:val="bottom"/>
        </w:tcPr>
        <w:p w:rsidR="009D3BD6" w:rsidRDefault="009D3BD6" w:rsidP="0095602D">
          <w:pPr>
            <w:pStyle w:val="Header"/>
          </w:pPr>
        </w:p>
      </w:tc>
      <w:tc>
        <w:tcPr>
          <w:tcW w:w="5127" w:type="dxa"/>
          <w:shd w:val="clear" w:color="auto" w:fill="auto"/>
          <w:vAlign w:val="bottom"/>
        </w:tcPr>
        <w:p w:rsidR="009D3BD6" w:rsidRPr="0095602D" w:rsidRDefault="009D3BD6" w:rsidP="0095602D">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052F13">
            <w:rPr>
              <w:b/>
              <w:color w:val="000000"/>
            </w:rPr>
            <w:t>A/HRC/30/19</w:t>
          </w:r>
          <w:r>
            <w:rPr>
              <w:b/>
              <w:color w:val="000000"/>
            </w:rPr>
            <w:fldChar w:fldCharType="end"/>
          </w:r>
        </w:p>
      </w:tc>
    </w:tr>
  </w:tbl>
  <w:p w:rsidR="009D3BD6" w:rsidRPr="0095602D" w:rsidRDefault="009D3BD6" w:rsidP="0095602D">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9D3BD6" w:rsidTr="0095602D">
      <w:trPr>
        <w:trHeight w:hRule="exact" w:val="864"/>
      </w:trPr>
      <w:tc>
        <w:tcPr>
          <w:tcW w:w="1267" w:type="dxa"/>
          <w:tcBorders>
            <w:bottom w:val="single" w:sz="4" w:space="0" w:color="auto"/>
          </w:tcBorders>
          <w:shd w:val="clear" w:color="auto" w:fill="auto"/>
          <w:vAlign w:val="bottom"/>
        </w:tcPr>
        <w:p w:rsidR="009D3BD6" w:rsidRDefault="009D3BD6" w:rsidP="0095602D">
          <w:pPr>
            <w:pStyle w:val="Header"/>
            <w:spacing w:after="120"/>
          </w:pPr>
        </w:p>
      </w:tc>
      <w:tc>
        <w:tcPr>
          <w:tcW w:w="2059" w:type="dxa"/>
          <w:tcBorders>
            <w:bottom w:val="single" w:sz="4" w:space="0" w:color="auto"/>
          </w:tcBorders>
          <w:shd w:val="clear" w:color="auto" w:fill="auto"/>
          <w:vAlign w:val="bottom"/>
        </w:tcPr>
        <w:p w:rsidR="009D3BD6" w:rsidRPr="0095602D" w:rsidRDefault="009D3BD6" w:rsidP="0095602D">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9D3BD6" w:rsidRDefault="009D3BD6" w:rsidP="0095602D">
          <w:pPr>
            <w:pStyle w:val="Header"/>
            <w:spacing w:after="120"/>
          </w:pPr>
        </w:p>
      </w:tc>
      <w:tc>
        <w:tcPr>
          <w:tcW w:w="6653" w:type="dxa"/>
          <w:gridSpan w:val="4"/>
          <w:tcBorders>
            <w:bottom w:val="single" w:sz="4" w:space="0" w:color="auto"/>
          </w:tcBorders>
          <w:shd w:val="clear" w:color="auto" w:fill="auto"/>
          <w:vAlign w:val="bottom"/>
        </w:tcPr>
        <w:p w:rsidR="009D3BD6" w:rsidRPr="0095602D" w:rsidRDefault="009D3BD6" w:rsidP="0095602D">
          <w:pPr>
            <w:spacing w:after="80" w:line="240" w:lineRule="auto"/>
            <w:jc w:val="right"/>
            <w:rPr>
              <w:position w:val="-4"/>
            </w:rPr>
          </w:pPr>
          <w:r>
            <w:rPr>
              <w:position w:val="-4"/>
              <w:sz w:val="40"/>
            </w:rPr>
            <w:t>A</w:t>
          </w:r>
          <w:r>
            <w:rPr>
              <w:position w:val="-4"/>
            </w:rPr>
            <w:t>/HRC/30/19</w:t>
          </w:r>
        </w:p>
      </w:tc>
    </w:tr>
    <w:tr w:rsidR="009D3BD6" w:rsidRPr="0095602D" w:rsidTr="0095602D">
      <w:trPr>
        <w:gridAfter w:val="1"/>
        <w:wAfter w:w="18" w:type="dxa"/>
        <w:trHeight w:hRule="exact" w:val="2880"/>
      </w:trPr>
      <w:tc>
        <w:tcPr>
          <w:tcW w:w="1267" w:type="dxa"/>
          <w:tcBorders>
            <w:top w:val="single" w:sz="4" w:space="0" w:color="auto"/>
            <w:bottom w:val="single" w:sz="12" w:space="0" w:color="auto"/>
          </w:tcBorders>
          <w:shd w:val="clear" w:color="auto" w:fill="auto"/>
        </w:tcPr>
        <w:p w:rsidR="009D3BD6" w:rsidRPr="0095602D" w:rsidRDefault="009D3BD6" w:rsidP="0095602D">
          <w:pPr>
            <w:pStyle w:val="Header"/>
            <w:spacing w:before="120" w:line="240" w:lineRule="auto"/>
            <w:ind w:left="-72"/>
            <w:jc w:val="center"/>
          </w:pPr>
          <w:r>
            <w:t xml:space="preserve">  </w:t>
          </w:r>
          <w:r>
            <w:rPr>
              <w:noProof/>
            </w:rPr>
            <w:drawing>
              <wp:inline distT="0" distB="0" distL="0" distR="0" wp14:anchorId="01A5AED9" wp14:editId="4C3167DD">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9D3BD6" w:rsidRPr="0095602D" w:rsidRDefault="009D3BD6" w:rsidP="0095602D">
          <w:pPr>
            <w:pStyle w:val="XLarge"/>
            <w:spacing w:before="109"/>
          </w:pPr>
          <w:r>
            <w:t>Assemblée générale</w:t>
          </w:r>
        </w:p>
      </w:tc>
      <w:tc>
        <w:tcPr>
          <w:tcW w:w="245" w:type="dxa"/>
          <w:tcBorders>
            <w:top w:val="single" w:sz="4" w:space="0" w:color="auto"/>
            <w:bottom w:val="single" w:sz="12" w:space="0" w:color="auto"/>
          </w:tcBorders>
          <w:shd w:val="clear" w:color="auto" w:fill="auto"/>
        </w:tcPr>
        <w:p w:rsidR="009D3BD6" w:rsidRPr="0095602D" w:rsidRDefault="009D3BD6" w:rsidP="0095602D">
          <w:pPr>
            <w:pStyle w:val="Header"/>
            <w:spacing w:before="109"/>
          </w:pPr>
        </w:p>
      </w:tc>
      <w:tc>
        <w:tcPr>
          <w:tcW w:w="3280" w:type="dxa"/>
          <w:tcBorders>
            <w:top w:val="single" w:sz="4" w:space="0" w:color="auto"/>
            <w:bottom w:val="single" w:sz="12" w:space="0" w:color="auto"/>
          </w:tcBorders>
          <w:shd w:val="clear" w:color="auto" w:fill="auto"/>
        </w:tcPr>
        <w:p w:rsidR="009D3BD6" w:rsidRDefault="009D3BD6" w:rsidP="0095602D">
          <w:pPr>
            <w:pStyle w:val="Distribution"/>
            <w:rPr>
              <w:color w:val="000000"/>
            </w:rPr>
          </w:pPr>
          <w:r>
            <w:rPr>
              <w:color w:val="000000"/>
            </w:rPr>
            <w:t>Distr. générale</w:t>
          </w:r>
        </w:p>
        <w:p w:rsidR="009D3BD6" w:rsidRDefault="009D3BD6" w:rsidP="0095602D">
          <w:pPr>
            <w:pStyle w:val="Publication"/>
            <w:rPr>
              <w:color w:val="000000"/>
            </w:rPr>
          </w:pPr>
          <w:r>
            <w:rPr>
              <w:color w:val="000000"/>
            </w:rPr>
            <w:t>10 août 2015</w:t>
          </w:r>
        </w:p>
        <w:p w:rsidR="009D3BD6" w:rsidRDefault="009D3BD6" w:rsidP="0095602D">
          <w:pPr>
            <w:rPr>
              <w:lang w:val="en-US"/>
            </w:rPr>
          </w:pPr>
          <w:r>
            <w:rPr>
              <w:lang w:val="en-US"/>
            </w:rPr>
            <w:t>Français</w:t>
          </w:r>
        </w:p>
        <w:p w:rsidR="009D3BD6" w:rsidRPr="0095602D" w:rsidRDefault="009D3BD6" w:rsidP="0095602D">
          <w:pPr>
            <w:pStyle w:val="Original"/>
            <w:rPr>
              <w:color w:val="000000"/>
            </w:rPr>
          </w:pPr>
          <w:r>
            <w:rPr>
              <w:color w:val="000000"/>
            </w:rPr>
            <w:t>Original : anglais</w:t>
          </w:r>
        </w:p>
      </w:tc>
    </w:tr>
  </w:tbl>
  <w:p w:rsidR="009D3BD6" w:rsidRPr="0095602D" w:rsidRDefault="009D3BD6" w:rsidP="0095602D">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3F70BA"/>
    <w:multiLevelType w:val="singleLevel"/>
    <w:tmpl w:val="E69A6088"/>
    <w:lvl w:ilvl="0">
      <w:start w:val="43"/>
      <w:numFmt w:val="decimal"/>
      <w:lvlRestart w:val="0"/>
      <w:lvlText w:val="%1."/>
      <w:lvlJc w:val="left"/>
      <w:pPr>
        <w:tabs>
          <w:tab w:val="num" w:pos="1742"/>
        </w:tabs>
        <w:ind w:left="1267" w:firstLine="0"/>
      </w:pPr>
      <w:rPr>
        <w:b w:val="0"/>
        <w:w w:val="100"/>
      </w:rPr>
    </w:lvl>
  </w:abstractNum>
  <w:abstractNum w:abstractNumId="6">
    <w:nsid w:val="1CFE7A86"/>
    <w:multiLevelType w:val="singleLevel"/>
    <w:tmpl w:val="5F468400"/>
    <w:lvl w:ilvl="0">
      <w:start w:val="24"/>
      <w:numFmt w:val="decimal"/>
      <w:lvlRestart w:val="0"/>
      <w:lvlText w:val="%1."/>
      <w:lvlJc w:val="left"/>
      <w:pPr>
        <w:tabs>
          <w:tab w:val="num" w:pos="475"/>
        </w:tabs>
        <w:ind w:left="0" w:firstLine="0"/>
      </w:pPr>
      <w:rPr>
        <w:rFonts w:hint="default"/>
        <w:w w:val="100"/>
      </w:rPr>
    </w:lvl>
  </w:abstractNum>
  <w:abstractNum w:abstractNumId="7">
    <w:nsid w:val="1F163804"/>
    <w:multiLevelType w:val="hybridMultilevel"/>
    <w:tmpl w:val="3FD65930"/>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18F1492"/>
    <w:multiLevelType w:val="multilevel"/>
    <w:tmpl w:val="9C40E75C"/>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28172635"/>
    <w:multiLevelType w:val="singleLevel"/>
    <w:tmpl w:val="4B8A3D46"/>
    <w:lvl w:ilvl="0">
      <w:start w:val="1"/>
      <w:numFmt w:val="decimal"/>
      <w:lvlRestart w:val="0"/>
      <w:lvlText w:val="%1."/>
      <w:lvlJc w:val="left"/>
      <w:pPr>
        <w:tabs>
          <w:tab w:val="num" w:pos="475"/>
        </w:tabs>
        <w:ind w:left="0" w:firstLine="0"/>
      </w:pPr>
      <w:rPr>
        <w:w w:val="100"/>
      </w:rPr>
    </w:lvl>
  </w:abstractNum>
  <w:abstractNum w:abstractNumId="10">
    <w:nsid w:val="354A23C7"/>
    <w:multiLevelType w:val="singleLevel"/>
    <w:tmpl w:val="99607C78"/>
    <w:lvl w:ilvl="0">
      <w:start w:val="1"/>
      <w:numFmt w:val="decimal"/>
      <w:lvlRestart w:val="0"/>
      <w:lvlText w:val="%1."/>
      <w:lvlJc w:val="left"/>
      <w:pPr>
        <w:tabs>
          <w:tab w:val="num" w:pos="475"/>
        </w:tabs>
        <w:ind w:left="0" w:firstLine="0"/>
      </w:pPr>
      <w:rPr>
        <w:b w:val="0"/>
        <w:w w:val="100"/>
      </w:rPr>
    </w:lvl>
  </w:abstractNum>
  <w:abstractNum w:abstractNumId="11">
    <w:nsid w:val="35A659F0"/>
    <w:multiLevelType w:val="hybridMultilevel"/>
    <w:tmpl w:val="49A6FBA2"/>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3">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5F52A1"/>
    <w:multiLevelType w:val="hybridMultilevel"/>
    <w:tmpl w:val="654C8C62"/>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6">
    <w:nsid w:val="7AFB38E9"/>
    <w:multiLevelType w:val="hybridMultilevel"/>
    <w:tmpl w:val="E74A8170"/>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13"/>
  </w:num>
  <w:num w:numId="5">
    <w:abstractNumId w:val="0"/>
  </w:num>
  <w:num w:numId="6">
    <w:abstractNumId w:val="14"/>
  </w:num>
  <w:num w:numId="7">
    <w:abstractNumId w:val="11"/>
  </w:num>
  <w:num w:numId="8">
    <w:abstractNumId w:val="7"/>
  </w:num>
  <w:num w:numId="9">
    <w:abstractNumId w:val="16"/>
  </w:num>
  <w:num w:numId="10">
    <w:abstractNumId w:val="15"/>
  </w:num>
  <w:num w:numId="11">
    <w:abstractNumId w:val="12"/>
  </w:num>
  <w:num w:numId="12">
    <w:abstractNumId w:val="1"/>
  </w:num>
  <w:num w:numId="13">
    <w:abstractNumId w:val="8"/>
  </w:num>
  <w:num w:numId="14">
    <w:abstractNumId w:val="9"/>
  </w:num>
  <w:num w:numId="15">
    <w:abstractNumId w:val="10"/>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stylePaneSortMethod w:val="0003"/>
  <w:revisionView w:markup="0"/>
  <w:defaultTabStop w:val="475"/>
  <w:doNotHyphenateCaps/>
  <w:evenAndOddHeaders/>
  <w:characterSpacingControl w:val="doNotCompress"/>
  <w:hdrShapeDefaults>
    <o:shapedefaults v:ext="edit" spidmax="8193"/>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463*"/>
    <w:docVar w:name="CreationDt" w:val="9/16/2015 11:01 AM"/>
    <w:docVar w:name="DocCategory" w:val="Doc"/>
    <w:docVar w:name="DocType" w:val="Final"/>
    <w:docVar w:name="DutyStation" w:val="Geneva"/>
    <w:docVar w:name="FooterJN" w:val="GE.15-13463"/>
    <w:docVar w:name="jobn" w:val="GE.15-13463 (F)"/>
    <w:docVar w:name="jobnDT" w:val="GE.15-13463 (F)   160915"/>
    <w:docVar w:name="jobnDTDT" w:val="GE.15-13463 (F)   160915   160915"/>
    <w:docVar w:name="JobNo" w:val="GE.1513463F"/>
    <w:docVar w:name="JobNo2" w:val="GE.1517718F"/>
    <w:docVar w:name="LocalDrive" w:val="0"/>
    <w:docVar w:name="OandT" w:val="C. robert"/>
    <w:docVar w:name="PaperSize" w:val="A4"/>
    <w:docVar w:name="sss1" w:val="A/HRC/30/19"/>
    <w:docVar w:name="sss2" w:val="-"/>
    <w:docVar w:name="Symbol1" w:val="A/HRC/30/19"/>
    <w:docVar w:name="Symbol2" w:val="-"/>
  </w:docVars>
  <w:rsids>
    <w:rsidRoot w:val="009D6D97"/>
    <w:rsid w:val="000015B8"/>
    <w:rsid w:val="000046A5"/>
    <w:rsid w:val="000055FB"/>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2F13"/>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19A5"/>
    <w:rsid w:val="00083D89"/>
    <w:rsid w:val="00085112"/>
    <w:rsid w:val="0008708F"/>
    <w:rsid w:val="00091BC1"/>
    <w:rsid w:val="00091DBD"/>
    <w:rsid w:val="00096B3C"/>
    <w:rsid w:val="000A18B6"/>
    <w:rsid w:val="000A24DE"/>
    <w:rsid w:val="000A2612"/>
    <w:rsid w:val="000A3AB1"/>
    <w:rsid w:val="000A4A47"/>
    <w:rsid w:val="000A74D1"/>
    <w:rsid w:val="000B0E9A"/>
    <w:rsid w:val="000B1A18"/>
    <w:rsid w:val="000B2CD0"/>
    <w:rsid w:val="000B3ED4"/>
    <w:rsid w:val="000B5995"/>
    <w:rsid w:val="000B5AF0"/>
    <w:rsid w:val="000B6B84"/>
    <w:rsid w:val="000B7004"/>
    <w:rsid w:val="000C085A"/>
    <w:rsid w:val="000C349B"/>
    <w:rsid w:val="000C683C"/>
    <w:rsid w:val="000D44E3"/>
    <w:rsid w:val="000D5D82"/>
    <w:rsid w:val="000D66AC"/>
    <w:rsid w:val="000D7ED4"/>
    <w:rsid w:val="000E1550"/>
    <w:rsid w:val="000E1ABE"/>
    <w:rsid w:val="000E294E"/>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23812"/>
    <w:rsid w:val="001256F6"/>
    <w:rsid w:val="001262BA"/>
    <w:rsid w:val="00126FB2"/>
    <w:rsid w:val="0013186C"/>
    <w:rsid w:val="00132A45"/>
    <w:rsid w:val="00135020"/>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74C4F"/>
    <w:rsid w:val="00180387"/>
    <w:rsid w:val="00183EBF"/>
    <w:rsid w:val="00186793"/>
    <w:rsid w:val="0019082C"/>
    <w:rsid w:val="00192D05"/>
    <w:rsid w:val="00193A8C"/>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2D50"/>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273AD"/>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9018C"/>
    <w:rsid w:val="0029166C"/>
    <w:rsid w:val="002A07EF"/>
    <w:rsid w:val="002A2122"/>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6D5C"/>
    <w:rsid w:val="002D78C7"/>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35C7"/>
    <w:rsid w:val="00326270"/>
    <w:rsid w:val="0032685C"/>
    <w:rsid w:val="0032728E"/>
    <w:rsid w:val="00332A87"/>
    <w:rsid w:val="00333703"/>
    <w:rsid w:val="003342DF"/>
    <w:rsid w:val="00334FEB"/>
    <w:rsid w:val="00337015"/>
    <w:rsid w:val="003406CA"/>
    <w:rsid w:val="00340736"/>
    <w:rsid w:val="00343F8A"/>
    <w:rsid w:val="003441A5"/>
    <w:rsid w:val="00347E5F"/>
    <w:rsid w:val="003506F1"/>
    <w:rsid w:val="003555DE"/>
    <w:rsid w:val="00355810"/>
    <w:rsid w:val="003559A7"/>
    <w:rsid w:val="003562C5"/>
    <w:rsid w:val="00356B67"/>
    <w:rsid w:val="00362737"/>
    <w:rsid w:val="00362F57"/>
    <w:rsid w:val="003640A0"/>
    <w:rsid w:val="00365932"/>
    <w:rsid w:val="0037259E"/>
    <w:rsid w:val="003738C0"/>
    <w:rsid w:val="003810FF"/>
    <w:rsid w:val="003824F9"/>
    <w:rsid w:val="00384511"/>
    <w:rsid w:val="00385D78"/>
    <w:rsid w:val="003864EE"/>
    <w:rsid w:val="00386953"/>
    <w:rsid w:val="003909DD"/>
    <w:rsid w:val="00391295"/>
    <w:rsid w:val="00391342"/>
    <w:rsid w:val="00392934"/>
    <w:rsid w:val="00393579"/>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0E37"/>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E6AE9"/>
    <w:rsid w:val="003F108A"/>
    <w:rsid w:val="003F11A9"/>
    <w:rsid w:val="003F27A0"/>
    <w:rsid w:val="003F34C6"/>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3AB0"/>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0DBB"/>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1DBB"/>
    <w:rsid w:val="004B7E99"/>
    <w:rsid w:val="004C1A6A"/>
    <w:rsid w:val="004C304C"/>
    <w:rsid w:val="004C38FF"/>
    <w:rsid w:val="004C5C41"/>
    <w:rsid w:val="004D13C8"/>
    <w:rsid w:val="004D2A14"/>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110"/>
    <w:rsid w:val="00522657"/>
    <w:rsid w:val="00523069"/>
    <w:rsid w:val="00523378"/>
    <w:rsid w:val="0052413A"/>
    <w:rsid w:val="00525A3D"/>
    <w:rsid w:val="005260AA"/>
    <w:rsid w:val="00527023"/>
    <w:rsid w:val="00527615"/>
    <w:rsid w:val="00527DD0"/>
    <w:rsid w:val="00533905"/>
    <w:rsid w:val="005372C0"/>
    <w:rsid w:val="00540F17"/>
    <w:rsid w:val="00541630"/>
    <w:rsid w:val="0054168D"/>
    <w:rsid w:val="00542357"/>
    <w:rsid w:val="00551176"/>
    <w:rsid w:val="00551EAE"/>
    <w:rsid w:val="00552150"/>
    <w:rsid w:val="005522D6"/>
    <w:rsid w:val="005536AE"/>
    <w:rsid w:val="00554B37"/>
    <w:rsid w:val="00554F16"/>
    <w:rsid w:val="0055536F"/>
    <w:rsid w:val="005669CA"/>
    <w:rsid w:val="00575199"/>
    <w:rsid w:val="005770F6"/>
    <w:rsid w:val="00577899"/>
    <w:rsid w:val="00577BDD"/>
    <w:rsid w:val="005811A3"/>
    <w:rsid w:val="00583566"/>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1C93"/>
    <w:rsid w:val="005C3A63"/>
    <w:rsid w:val="005C65C2"/>
    <w:rsid w:val="005C765D"/>
    <w:rsid w:val="005D7CA9"/>
    <w:rsid w:val="005F12E0"/>
    <w:rsid w:val="005F2726"/>
    <w:rsid w:val="005F2A30"/>
    <w:rsid w:val="005F2FA6"/>
    <w:rsid w:val="005F35C5"/>
    <w:rsid w:val="005F5012"/>
    <w:rsid w:val="005F6A9F"/>
    <w:rsid w:val="005F6E3F"/>
    <w:rsid w:val="0060033F"/>
    <w:rsid w:val="0060177A"/>
    <w:rsid w:val="0060184F"/>
    <w:rsid w:val="00603211"/>
    <w:rsid w:val="0060375B"/>
    <w:rsid w:val="00606A0C"/>
    <w:rsid w:val="00607448"/>
    <w:rsid w:val="0060792E"/>
    <w:rsid w:val="00611860"/>
    <w:rsid w:val="00611DA0"/>
    <w:rsid w:val="00612407"/>
    <w:rsid w:val="006125AC"/>
    <w:rsid w:val="00616E84"/>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1A20"/>
    <w:rsid w:val="00673F2C"/>
    <w:rsid w:val="00675A53"/>
    <w:rsid w:val="006770E8"/>
    <w:rsid w:val="006803F5"/>
    <w:rsid w:val="006817AB"/>
    <w:rsid w:val="006853D8"/>
    <w:rsid w:val="006866E8"/>
    <w:rsid w:val="00687FB1"/>
    <w:rsid w:val="00691CE6"/>
    <w:rsid w:val="0069608C"/>
    <w:rsid w:val="00697952"/>
    <w:rsid w:val="006A04E6"/>
    <w:rsid w:val="006A0B3D"/>
    <w:rsid w:val="006A2F71"/>
    <w:rsid w:val="006A5910"/>
    <w:rsid w:val="006B1ABC"/>
    <w:rsid w:val="006B64BE"/>
    <w:rsid w:val="006C071C"/>
    <w:rsid w:val="006C1A92"/>
    <w:rsid w:val="006C3BDD"/>
    <w:rsid w:val="006C449D"/>
    <w:rsid w:val="006D0C9B"/>
    <w:rsid w:val="006D1115"/>
    <w:rsid w:val="006D138E"/>
    <w:rsid w:val="006D1B76"/>
    <w:rsid w:val="006D5832"/>
    <w:rsid w:val="006E215F"/>
    <w:rsid w:val="006E3D5C"/>
    <w:rsid w:val="006E4078"/>
    <w:rsid w:val="006E4E12"/>
    <w:rsid w:val="006E4EFA"/>
    <w:rsid w:val="006E5649"/>
    <w:rsid w:val="006F1C2E"/>
    <w:rsid w:val="006F41DD"/>
    <w:rsid w:val="006F5A33"/>
    <w:rsid w:val="006F6787"/>
    <w:rsid w:val="006F6EDD"/>
    <w:rsid w:val="006F79A5"/>
    <w:rsid w:val="007033D2"/>
    <w:rsid w:val="00704AF5"/>
    <w:rsid w:val="0070555E"/>
    <w:rsid w:val="00707DF8"/>
    <w:rsid w:val="00711F00"/>
    <w:rsid w:val="0071328D"/>
    <w:rsid w:val="00721866"/>
    <w:rsid w:val="0072436A"/>
    <w:rsid w:val="00735E96"/>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9C3"/>
    <w:rsid w:val="00760F66"/>
    <w:rsid w:val="00761561"/>
    <w:rsid w:val="00762F97"/>
    <w:rsid w:val="0076382E"/>
    <w:rsid w:val="00763AE4"/>
    <w:rsid w:val="00765152"/>
    <w:rsid w:val="00767FBE"/>
    <w:rsid w:val="00770DEF"/>
    <w:rsid w:val="00770EB4"/>
    <w:rsid w:val="00772106"/>
    <w:rsid w:val="00772CF6"/>
    <w:rsid w:val="00772EB1"/>
    <w:rsid w:val="00774368"/>
    <w:rsid w:val="007754E3"/>
    <w:rsid w:val="0077589C"/>
    <w:rsid w:val="00775BFD"/>
    <w:rsid w:val="007769D2"/>
    <w:rsid w:val="00780058"/>
    <w:rsid w:val="007804F4"/>
    <w:rsid w:val="00781F43"/>
    <w:rsid w:val="0078267A"/>
    <w:rsid w:val="00783270"/>
    <w:rsid w:val="0078374C"/>
    <w:rsid w:val="007842C1"/>
    <w:rsid w:val="0078627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3D35"/>
    <w:rsid w:val="007A78C2"/>
    <w:rsid w:val="007B05E9"/>
    <w:rsid w:val="007B1E17"/>
    <w:rsid w:val="007C0C1F"/>
    <w:rsid w:val="007C1073"/>
    <w:rsid w:val="007C206E"/>
    <w:rsid w:val="007C2936"/>
    <w:rsid w:val="007C662A"/>
    <w:rsid w:val="007C7D7F"/>
    <w:rsid w:val="007D33BA"/>
    <w:rsid w:val="007D6FCB"/>
    <w:rsid w:val="007D7FD4"/>
    <w:rsid w:val="007E2FEB"/>
    <w:rsid w:val="007E74E9"/>
    <w:rsid w:val="007F0ED6"/>
    <w:rsid w:val="007F1AB9"/>
    <w:rsid w:val="007F3DCC"/>
    <w:rsid w:val="007F49BD"/>
    <w:rsid w:val="007F6F95"/>
    <w:rsid w:val="007F77CB"/>
    <w:rsid w:val="00800903"/>
    <w:rsid w:val="008040BA"/>
    <w:rsid w:val="00804131"/>
    <w:rsid w:val="00804565"/>
    <w:rsid w:val="00806A3B"/>
    <w:rsid w:val="00807CA4"/>
    <w:rsid w:val="008100FD"/>
    <w:rsid w:val="008114C3"/>
    <w:rsid w:val="00814C2A"/>
    <w:rsid w:val="00816ECE"/>
    <w:rsid w:val="008173CF"/>
    <w:rsid w:val="00817884"/>
    <w:rsid w:val="00821686"/>
    <w:rsid w:val="00824B55"/>
    <w:rsid w:val="0082537E"/>
    <w:rsid w:val="00825C31"/>
    <w:rsid w:val="00833A79"/>
    <w:rsid w:val="00833BFF"/>
    <w:rsid w:val="0083677A"/>
    <w:rsid w:val="00836F7E"/>
    <w:rsid w:val="00837284"/>
    <w:rsid w:val="0083731D"/>
    <w:rsid w:val="00837549"/>
    <w:rsid w:val="008415FE"/>
    <w:rsid w:val="00842319"/>
    <w:rsid w:val="008435C2"/>
    <w:rsid w:val="00844B5C"/>
    <w:rsid w:val="00846431"/>
    <w:rsid w:val="00850A6F"/>
    <w:rsid w:val="00851353"/>
    <w:rsid w:val="008555BA"/>
    <w:rsid w:val="00856155"/>
    <w:rsid w:val="008561DB"/>
    <w:rsid w:val="00856CD0"/>
    <w:rsid w:val="008579A6"/>
    <w:rsid w:val="00860226"/>
    <w:rsid w:val="00861D7A"/>
    <w:rsid w:val="00862E29"/>
    <w:rsid w:val="00863E44"/>
    <w:rsid w:val="0086499F"/>
    <w:rsid w:val="00865A5F"/>
    <w:rsid w:val="00867D33"/>
    <w:rsid w:val="00867F04"/>
    <w:rsid w:val="008703DB"/>
    <w:rsid w:val="008710A1"/>
    <w:rsid w:val="00871EF3"/>
    <w:rsid w:val="00873F32"/>
    <w:rsid w:val="0087489F"/>
    <w:rsid w:val="00875E49"/>
    <w:rsid w:val="0088158E"/>
    <w:rsid w:val="0088258D"/>
    <w:rsid w:val="008829F3"/>
    <w:rsid w:val="00882D4B"/>
    <w:rsid w:val="00882EE0"/>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2C0E"/>
    <w:rsid w:val="008C5E6B"/>
    <w:rsid w:val="008C6672"/>
    <w:rsid w:val="008C6983"/>
    <w:rsid w:val="008D2DCF"/>
    <w:rsid w:val="008D3043"/>
    <w:rsid w:val="008D3318"/>
    <w:rsid w:val="008D4C00"/>
    <w:rsid w:val="008D52CD"/>
    <w:rsid w:val="008D5C5F"/>
    <w:rsid w:val="008D613D"/>
    <w:rsid w:val="008D756B"/>
    <w:rsid w:val="008E07B5"/>
    <w:rsid w:val="008E1E88"/>
    <w:rsid w:val="008E4FFA"/>
    <w:rsid w:val="008E5CC1"/>
    <w:rsid w:val="008E6532"/>
    <w:rsid w:val="008E7FF5"/>
    <w:rsid w:val="008F125F"/>
    <w:rsid w:val="008F1675"/>
    <w:rsid w:val="008F3DAE"/>
    <w:rsid w:val="008F6630"/>
    <w:rsid w:val="008F7622"/>
    <w:rsid w:val="0090311E"/>
    <w:rsid w:val="0090438E"/>
    <w:rsid w:val="0090704E"/>
    <w:rsid w:val="00911938"/>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48D"/>
    <w:rsid w:val="009419AD"/>
    <w:rsid w:val="0095064A"/>
    <w:rsid w:val="00951A0B"/>
    <w:rsid w:val="009535B3"/>
    <w:rsid w:val="00953A36"/>
    <w:rsid w:val="00955DBA"/>
    <w:rsid w:val="0095602D"/>
    <w:rsid w:val="00957244"/>
    <w:rsid w:val="00962CAC"/>
    <w:rsid w:val="00964BDE"/>
    <w:rsid w:val="009676D3"/>
    <w:rsid w:val="00970A5C"/>
    <w:rsid w:val="00971E24"/>
    <w:rsid w:val="0098128C"/>
    <w:rsid w:val="009813FE"/>
    <w:rsid w:val="00983DD0"/>
    <w:rsid w:val="0098506E"/>
    <w:rsid w:val="0098670F"/>
    <w:rsid w:val="00986E56"/>
    <w:rsid w:val="00990AFB"/>
    <w:rsid w:val="00991387"/>
    <w:rsid w:val="00991C5F"/>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2FC"/>
    <w:rsid w:val="009C1815"/>
    <w:rsid w:val="009C5249"/>
    <w:rsid w:val="009C70D0"/>
    <w:rsid w:val="009C7F1B"/>
    <w:rsid w:val="009D3BD6"/>
    <w:rsid w:val="009D5A2E"/>
    <w:rsid w:val="009D6D97"/>
    <w:rsid w:val="009D702B"/>
    <w:rsid w:val="009E0573"/>
    <w:rsid w:val="009E06DE"/>
    <w:rsid w:val="009E09FA"/>
    <w:rsid w:val="009E1F21"/>
    <w:rsid w:val="009E246F"/>
    <w:rsid w:val="009E76A1"/>
    <w:rsid w:val="009F004A"/>
    <w:rsid w:val="009F235E"/>
    <w:rsid w:val="009F29EB"/>
    <w:rsid w:val="009F2D3B"/>
    <w:rsid w:val="009F3C78"/>
    <w:rsid w:val="009F5ACE"/>
    <w:rsid w:val="009F7FE9"/>
    <w:rsid w:val="00A00A92"/>
    <w:rsid w:val="00A02426"/>
    <w:rsid w:val="00A03A59"/>
    <w:rsid w:val="00A0589C"/>
    <w:rsid w:val="00A06CAB"/>
    <w:rsid w:val="00A10624"/>
    <w:rsid w:val="00A12A69"/>
    <w:rsid w:val="00A12DBB"/>
    <w:rsid w:val="00A12F4C"/>
    <w:rsid w:val="00A150A7"/>
    <w:rsid w:val="00A151B8"/>
    <w:rsid w:val="00A157E7"/>
    <w:rsid w:val="00A210DD"/>
    <w:rsid w:val="00A21443"/>
    <w:rsid w:val="00A22ED0"/>
    <w:rsid w:val="00A24099"/>
    <w:rsid w:val="00A253ED"/>
    <w:rsid w:val="00A264B0"/>
    <w:rsid w:val="00A2768E"/>
    <w:rsid w:val="00A329BC"/>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2F5E"/>
    <w:rsid w:val="00A75482"/>
    <w:rsid w:val="00A761B5"/>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E7F88"/>
    <w:rsid w:val="00AF4648"/>
    <w:rsid w:val="00AF4DD3"/>
    <w:rsid w:val="00AF6B78"/>
    <w:rsid w:val="00B01631"/>
    <w:rsid w:val="00B01D80"/>
    <w:rsid w:val="00B05198"/>
    <w:rsid w:val="00B0544B"/>
    <w:rsid w:val="00B06C4C"/>
    <w:rsid w:val="00B078C6"/>
    <w:rsid w:val="00B10BF5"/>
    <w:rsid w:val="00B145B5"/>
    <w:rsid w:val="00B15185"/>
    <w:rsid w:val="00B152AC"/>
    <w:rsid w:val="00B16C8B"/>
    <w:rsid w:val="00B20969"/>
    <w:rsid w:val="00B22BE8"/>
    <w:rsid w:val="00B2356B"/>
    <w:rsid w:val="00B249F3"/>
    <w:rsid w:val="00B25B74"/>
    <w:rsid w:val="00B26B93"/>
    <w:rsid w:val="00B26C0B"/>
    <w:rsid w:val="00B27126"/>
    <w:rsid w:val="00B32CDE"/>
    <w:rsid w:val="00B34479"/>
    <w:rsid w:val="00B34D72"/>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6414"/>
    <w:rsid w:val="00B77EB8"/>
    <w:rsid w:val="00B81A2A"/>
    <w:rsid w:val="00B84109"/>
    <w:rsid w:val="00B85BDA"/>
    <w:rsid w:val="00B870D6"/>
    <w:rsid w:val="00B874A9"/>
    <w:rsid w:val="00B932C8"/>
    <w:rsid w:val="00B93B31"/>
    <w:rsid w:val="00B9457F"/>
    <w:rsid w:val="00B9644D"/>
    <w:rsid w:val="00B965BF"/>
    <w:rsid w:val="00BA06B1"/>
    <w:rsid w:val="00BA3125"/>
    <w:rsid w:val="00BA3654"/>
    <w:rsid w:val="00BA600B"/>
    <w:rsid w:val="00BC05C8"/>
    <w:rsid w:val="00BC0F9A"/>
    <w:rsid w:val="00BC3D5F"/>
    <w:rsid w:val="00BC43E2"/>
    <w:rsid w:val="00BD0917"/>
    <w:rsid w:val="00BD1607"/>
    <w:rsid w:val="00BD45A0"/>
    <w:rsid w:val="00BD45BA"/>
    <w:rsid w:val="00BE0648"/>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3047B"/>
    <w:rsid w:val="00C30749"/>
    <w:rsid w:val="00C30A2C"/>
    <w:rsid w:val="00C3163F"/>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004F"/>
    <w:rsid w:val="00CC3EAA"/>
    <w:rsid w:val="00CD0B35"/>
    <w:rsid w:val="00CD4A8B"/>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823"/>
    <w:rsid w:val="00D16F48"/>
    <w:rsid w:val="00D17215"/>
    <w:rsid w:val="00D265B2"/>
    <w:rsid w:val="00D265EA"/>
    <w:rsid w:val="00D26BA6"/>
    <w:rsid w:val="00D27D4B"/>
    <w:rsid w:val="00D301BE"/>
    <w:rsid w:val="00D320C3"/>
    <w:rsid w:val="00D33B40"/>
    <w:rsid w:val="00D35146"/>
    <w:rsid w:val="00D3596F"/>
    <w:rsid w:val="00D42F04"/>
    <w:rsid w:val="00D447E5"/>
    <w:rsid w:val="00D457D0"/>
    <w:rsid w:val="00D463A4"/>
    <w:rsid w:val="00D4699C"/>
    <w:rsid w:val="00D47877"/>
    <w:rsid w:val="00D513A1"/>
    <w:rsid w:val="00D52518"/>
    <w:rsid w:val="00D54B56"/>
    <w:rsid w:val="00D57D07"/>
    <w:rsid w:val="00D618E7"/>
    <w:rsid w:val="00D619A2"/>
    <w:rsid w:val="00D66AB5"/>
    <w:rsid w:val="00D676A0"/>
    <w:rsid w:val="00D70856"/>
    <w:rsid w:val="00D73117"/>
    <w:rsid w:val="00D73D86"/>
    <w:rsid w:val="00D7412A"/>
    <w:rsid w:val="00D8335C"/>
    <w:rsid w:val="00D9068D"/>
    <w:rsid w:val="00D92B16"/>
    <w:rsid w:val="00D93862"/>
    <w:rsid w:val="00D93CC2"/>
    <w:rsid w:val="00D9629E"/>
    <w:rsid w:val="00D96812"/>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543E"/>
    <w:rsid w:val="00E0753F"/>
    <w:rsid w:val="00E10BF1"/>
    <w:rsid w:val="00E11B5C"/>
    <w:rsid w:val="00E13E2B"/>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6BFF"/>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5D8E"/>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B7B1E"/>
    <w:rsid w:val="00EC34E0"/>
    <w:rsid w:val="00EC5385"/>
    <w:rsid w:val="00EC5430"/>
    <w:rsid w:val="00EC60B6"/>
    <w:rsid w:val="00EC6373"/>
    <w:rsid w:val="00EC7853"/>
    <w:rsid w:val="00ED047D"/>
    <w:rsid w:val="00ED0A59"/>
    <w:rsid w:val="00ED1E3E"/>
    <w:rsid w:val="00ED297E"/>
    <w:rsid w:val="00ED4626"/>
    <w:rsid w:val="00ED5B3C"/>
    <w:rsid w:val="00ED6001"/>
    <w:rsid w:val="00ED732D"/>
    <w:rsid w:val="00ED7BC4"/>
    <w:rsid w:val="00EE104D"/>
    <w:rsid w:val="00EE5F6D"/>
    <w:rsid w:val="00EF0701"/>
    <w:rsid w:val="00EF11F2"/>
    <w:rsid w:val="00EF236F"/>
    <w:rsid w:val="00EF3067"/>
    <w:rsid w:val="00F03AFB"/>
    <w:rsid w:val="00F03CB2"/>
    <w:rsid w:val="00F06651"/>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05BB"/>
    <w:rsid w:val="00F4328A"/>
    <w:rsid w:val="00F44706"/>
    <w:rsid w:val="00F44A91"/>
    <w:rsid w:val="00F45420"/>
    <w:rsid w:val="00F51EF7"/>
    <w:rsid w:val="00F5231A"/>
    <w:rsid w:val="00F5253C"/>
    <w:rsid w:val="00F52A72"/>
    <w:rsid w:val="00F53CE5"/>
    <w:rsid w:val="00F54C59"/>
    <w:rsid w:val="00F609CB"/>
    <w:rsid w:val="00F64004"/>
    <w:rsid w:val="00F642D3"/>
    <w:rsid w:val="00F65F73"/>
    <w:rsid w:val="00F6631A"/>
    <w:rsid w:val="00F66E3F"/>
    <w:rsid w:val="00F70436"/>
    <w:rsid w:val="00F713DB"/>
    <w:rsid w:val="00F730A9"/>
    <w:rsid w:val="00F735FC"/>
    <w:rsid w:val="00F738D2"/>
    <w:rsid w:val="00F73A7C"/>
    <w:rsid w:val="00F75208"/>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28A0"/>
    <w:rsid w:val="00FF3067"/>
    <w:rsid w:val="00FF30B7"/>
    <w:rsid w:val="00FF4236"/>
    <w:rsid w:val="00FF5A88"/>
    <w:rsid w:val="00FF6271"/>
    <w:rsid w:val="00FF6AA8"/>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semiHidden="0" w:uiPriority="0" w:unhideWhenUsed="0"/>
    <w:lsdException w:name="footer" w:semiHidden="0" w:uiPriority="0" w:unhideWhenUsed="0" w:qFormat="1"/>
    <w:lsdException w:name="caption" w:uiPriority="35" w:qFormat="1"/>
    <w:lsdException w:name="line number" w:semiHidden="0" w:unhideWhenUsed="0" w:qFormat="1"/>
    <w:lsdException w:name="page number" w:uiPriority="0"/>
    <w:lsdException w:name="endnote reference" w:semiHidden="0" w:uiPriority="0" w:unhideWhenUsed="0"/>
    <w:lsdException w:name="endnote text" w:uiPriority="0"/>
    <w:lsdException w:name="Title" w:uiPriority="10" w:unhideWhenUsed="0"/>
    <w:lsdException w:name="Default Paragraph Font" w:uiPriority="1"/>
    <w:lsdException w:name="Subtitle" w:uiPriority="11" w:unhideWhenUsed="0"/>
    <w:lsdException w:name="FollowedHyperlink" w:uiPriority="0"/>
    <w:lsdException w:name="Strong" w:semiHidden="0" w:uiPriority="22" w:unhideWhenUsed="0"/>
    <w:lsdException w:name="Emphasis"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rsid w:val="00745376"/>
    <w:rPr>
      <w:rFonts w:ascii="Times New Roman" w:hAnsi="Times New Roman"/>
      <w:b/>
      <w:spacing w:val="3"/>
      <w:w w:val="105"/>
      <w:sz w:val="17"/>
    </w:rPr>
  </w:style>
  <w:style w:type="paragraph" w:styleId="Header">
    <w:name w:val="header"/>
    <w:aliases w:val="6_G"/>
    <w:link w:val="HeaderChar"/>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nhideWhenUsed/>
    <w:rsid w:val="00520271"/>
    <w:pPr>
      <w:spacing w:line="240" w:lineRule="auto"/>
    </w:pPr>
    <w:rPr>
      <w:rFonts w:ascii="Tahoma" w:hAnsi="Tahoma" w:cs="Tahoma"/>
      <w:sz w:val="16"/>
      <w:szCs w:val="16"/>
    </w:rPr>
  </w:style>
  <w:style w:type="character" w:customStyle="1" w:styleId="BalloonTextChar">
    <w:name w:val="Balloon Text Char"/>
    <w:link w:val="BalloonText"/>
    <w:rsid w:val="00520271"/>
    <w:rPr>
      <w:rFonts w:ascii="Tahoma" w:hAnsi="Tahoma" w:cs="Tahoma"/>
      <w:spacing w:val="4"/>
      <w:w w:val="103"/>
      <w:kern w:val="14"/>
      <w:sz w:val="16"/>
      <w:szCs w:val="16"/>
    </w:rPr>
  </w:style>
  <w:style w:type="paragraph" w:styleId="FootnoteText">
    <w:name w:val="footnote text"/>
    <w:aliases w:val="5_G"/>
    <w:basedOn w:val="Normal"/>
    <w:link w:val="FootnoteTextChar"/>
    <w:uiPriority w:val="99"/>
    <w:qFormat/>
    <w:rsid w:val="00611DA0"/>
    <w:pPr>
      <w:spacing w:line="210" w:lineRule="exact"/>
    </w:pPr>
    <w:rPr>
      <w:sz w:val="17"/>
      <w:szCs w:val="20"/>
    </w:rPr>
  </w:style>
  <w:style w:type="character" w:customStyle="1" w:styleId="FootnoteTextChar">
    <w:name w:val="Footnote Text Char"/>
    <w:aliases w:val="5_G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rsid w:val="00F3330B"/>
    <w:rPr>
      <w:rFonts w:ascii="Times New Roman" w:hAnsi="Times New Roman"/>
      <w:spacing w:val="4"/>
      <w:w w:val="103"/>
      <w:kern w:val="14"/>
      <w:sz w:val="17"/>
    </w:rPr>
  </w:style>
  <w:style w:type="character" w:styleId="FootnoteReference">
    <w:name w:val="footnote reference"/>
    <w:aliases w:val="4_G"/>
    <w:uiPriority w:val="99"/>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aliases w:val="1_G"/>
    <w:basedOn w:val="DefaultParagraphFont"/>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unhideWhenUsed/>
    <w:rsid w:val="0095602D"/>
    <w:rPr>
      <w:sz w:val="16"/>
      <w:szCs w:val="16"/>
    </w:rPr>
  </w:style>
  <w:style w:type="paragraph" w:styleId="CommentText">
    <w:name w:val="annotation text"/>
    <w:basedOn w:val="Normal"/>
    <w:link w:val="CommentTextChar"/>
    <w:unhideWhenUsed/>
    <w:rsid w:val="0095602D"/>
    <w:pPr>
      <w:spacing w:line="240" w:lineRule="auto"/>
    </w:pPr>
    <w:rPr>
      <w:szCs w:val="20"/>
    </w:rPr>
  </w:style>
  <w:style w:type="character" w:customStyle="1" w:styleId="CommentTextChar">
    <w:name w:val="Comment Text Char"/>
    <w:basedOn w:val="DefaultParagraphFont"/>
    <w:link w:val="CommentText"/>
    <w:rsid w:val="0095602D"/>
    <w:rPr>
      <w:rFonts w:ascii="Times New Roman" w:hAnsi="Times New Roman"/>
      <w:spacing w:val="4"/>
      <w:w w:val="103"/>
      <w:kern w:val="14"/>
      <w:lang w:val="fr-CA"/>
    </w:rPr>
  </w:style>
  <w:style w:type="paragraph" w:styleId="CommentSubject">
    <w:name w:val="annotation subject"/>
    <w:basedOn w:val="CommentText"/>
    <w:next w:val="CommentText"/>
    <w:link w:val="CommentSubjectChar"/>
    <w:unhideWhenUsed/>
    <w:rsid w:val="0095602D"/>
    <w:rPr>
      <w:b/>
      <w:bCs/>
    </w:rPr>
  </w:style>
  <w:style w:type="character" w:customStyle="1" w:styleId="CommentSubjectChar">
    <w:name w:val="Comment Subject Char"/>
    <w:basedOn w:val="CommentTextChar"/>
    <w:link w:val="CommentSubject"/>
    <w:rsid w:val="0095602D"/>
    <w:rPr>
      <w:rFonts w:ascii="Times New Roman" w:hAnsi="Times New Roman"/>
      <w:b/>
      <w:bCs/>
      <w:spacing w:val="4"/>
      <w:w w:val="103"/>
      <w:kern w:val="14"/>
      <w:lang w:val="fr-CA"/>
    </w:rPr>
  </w:style>
  <w:style w:type="character" w:styleId="PageNumber">
    <w:name w:val="page number"/>
    <w:aliases w:val="7_G"/>
    <w:rsid w:val="00393579"/>
    <w:rPr>
      <w:rFonts w:ascii="Times New Roman" w:hAnsi="Times New Roman"/>
      <w:b/>
      <w:sz w:val="18"/>
      <w:lang w:val="fr-CH"/>
    </w:rPr>
  </w:style>
  <w:style w:type="paragraph" w:customStyle="1" w:styleId="HMG">
    <w:name w:val="_ H __M_G"/>
    <w:basedOn w:val="Normal"/>
    <w:next w:val="Normal"/>
    <w:qFormat/>
    <w:rsid w:val="00393579"/>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pacing w:val="0"/>
      <w:w w:val="100"/>
      <w:kern w:val="0"/>
      <w:sz w:val="34"/>
      <w:szCs w:val="20"/>
      <w:lang w:val="fr-CH"/>
    </w:rPr>
  </w:style>
  <w:style w:type="paragraph" w:customStyle="1" w:styleId="HChG">
    <w:name w:val="_ H _Ch_G"/>
    <w:basedOn w:val="Normal"/>
    <w:next w:val="Normal"/>
    <w:link w:val="HChGChar"/>
    <w:qFormat/>
    <w:rsid w:val="00393579"/>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pacing w:val="0"/>
      <w:w w:val="100"/>
      <w:kern w:val="0"/>
      <w:sz w:val="28"/>
      <w:szCs w:val="20"/>
      <w:lang w:val="fr-CH"/>
    </w:rPr>
  </w:style>
  <w:style w:type="paragraph" w:customStyle="1" w:styleId="H1G">
    <w:name w:val="_ H_1_G"/>
    <w:basedOn w:val="Normal"/>
    <w:next w:val="Normal"/>
    <w:link w:val="H1GChar"/>
    <w:qFormat/>
    <w:rsid w:val="00393579"/>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pacing w:val="0"/>
      <w:w w:val="100"/>
      <w:kern w:val="0"/>
      <w:sz w:val="24"/>
      <w:szCs w:val="20"/>
      <w:lang w:val="fr-CH"/>
    </w:rPr>
  </w:style>
  <w:style w:type="paragraph" w:customStyle="1" w:styleId="H23G">
    <w:name w:val="_ H_2/3_G"/>
    <w:basedOn w:val="Normal"/>
    <w:next w:val="Normal"/>
    <w:qFormat/>
    <w:rsid w:val="00393579"/>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b/>
      <w:spacing w:val="0"/>
      <w:w w:val="100"/>
      <w:kern w:val="0"/>
      <w:sz w:val="24"/>
      <w:szCs w:val="20"/>
      <w:lang w:val="fr-CH"/>
    </w:rPr>
  </w:style>
  <w:style w:type="paragraph" w:customStyle="1" w:styleId="H4G">
    <w:name w:val="_ H_4_G"/>
    <w:basedOn w:val="Normal"/>
    <w:next w:val="Normal"/>
    <w:qFormat/>
    <w:rsid w:val="00393579"/>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i/>
      <w:spacing w:val="0"/>
      <w:w w:val="100"/>
      <w:kern w:val="0"/>
      <w:sz w:val="24"/>
      <w:szCs w:val="20"/>
      <w:lang w:val="fr-CH"/>
    </w:rPr>
  </w:style>
  <w:style w:type="paragraph" w:customStyle="1" w:styleId="H56G">
    <w:name w:val="_ H_5/6_G"/>
    <w:basedOn w:val="Normal"/>
    <w:next w:val="Normal"/>
    <w:rsid w:val="00393579"/>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spacing w:val="0"/>
      <w:w w:val="100"/>
      <w:kern w:val="0"/>
      <w:sz w:val="24"/>
      <w:szCs w:val="20"/>
      <w:lang w:val="fr-CH"/>
    </w:rPr>
  </w:style>
  <w:style w:type="paragraph" w:customStyle="1" w:styleId="SingleTxtG">
    <w:name w:val="_ Single Txt_G"/>
    <w:basedOn w:val="Normal"/>
    <w:link w:val="SingleTxtGChar"/>
    <w:qFormat/>
    <w:rsid w:val="00393579"/>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 w:val="24"/>
      <w:szCs w:val="20"/>
      <w:lang w:val="fr-CH"/>
    </w:rPr>
  </w:style>
  <w:style w:type="paragraph" w:customStyle="1" w:styleId="SLG">
    <w:name w:val="__S_L_G"/>
    <w:basedOn w:val="Normal"/>
    <w:next w:val="Normal"/>
    <w:rsid w:val="00393579"/>
    <w:pPr>
      <w:keepNext/>
      <w:keepLines/>
      <w:suppressAutoHyphens/>
      <w:kinsoku w:val="0"/>
      <w:overflowPunct w:val="0"/>
      <w:autoSpaceDE w:val="0"/>
      <w:autoSpaceDN w:val="0"/>
      <w:adjustRightInd w:val="0"/>
      <w:snapToGrid w:val="0"/>
      <w:spacing w:before="240" w:after="240" w:line="580" w:lineRule="exact"/>
      <w:ind w:left="1134" w:right="1134"/>
    </w:pPr>
    <w:rPr>
      <w:rFonts w:eastAsia="Calibri"/>
      <w:b/>
      <w:spacing w:val="0"/>
      <w:w w:val="100"/>
      <w:kern w:val="0"/>
      <w:sz w:val="56"/>
      <w:szCs w:val="20"/>
      <w:lang w:val="fr-CH"/>
    </w:rPr>
  </w:style>
  <w:style w:type="paragraph" w:customStyle="1" w:styleId="SMG">
    <w:name w:val="__S_M_G"/>
    <w:basedOn w:val="Normal"/>
    <w:next w:val="Normal"/>
    <w:rsid w:val="00393579"/>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SSG">
    <w:name w:val="__S_S_G"/>
    <w:basedOn w:val="Normal"/>
    <w:next w:val="Normal"/>
    <w:rsid w:val="00393579"/>
    <w:pPr>
      <w:keepNext/>
      <w:keepLines/>
      <w:suppressAutoHyphens/>
      <w:kinsoku w:val="0"/>
      <w:overflowPunct w:val="0"/>
      <w:autoSpaceDE w:val="0"/>
      <w:autoSpaceDN w:val="0"/>
      <w:adjustRightInd w:val="0"/>
      <w:snapToGrid w:val="0"/>
      <w:spacing w:before="240" w:after="240" w:line="300" w:lineRule="exact"/>
      <w:ind w:left="1134" w:right="1134"/>
    </w:pPr>
    <w:rPr>
      <w:rFonts w:eastAsia="Calibri"/>
      <w:b/>
      <w:spacing w:val="0"/>
      <w:w w:val="100"/>
      <w:kern w:val="0"/>
      <w:sz w:val="28"/>
      <w:szCs w:val="20"/>
      <w:lang w:val="fr-CH"/>
    </w:rPr>
  </w:style>
  <w:style w:type="paragraph" w:customStyle="1" w:styleId="XLargeG">
    <w:name w:val="__XLarge_G"/>
    <w:basedOn w:val="Normal"/>
    <w:next w:val="Normal"/>
    <w:rsid w:val="00393579"/>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Bullet1G">
    <w:name w:val="_Bullet 1_G"/>
    <w:basedOn w:val="Normal"/>
    <w:qFormat/>
    <w:rsid w:val="00393579"/>
    <w:pPr>
      <w:numPr>
        <w:numId w:val="10"/>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paragraph" w:customStyle="1" w:styleId="Bullet2G">
    <w:name w:val="_Bullet 2_G"/>
    <w:basedOn w:val="Normal"/>
    <w:qFormat/>
    <w:rsid w:val="00393579"/>
    <w:pPr>
      <w:numPr>
        <w:numId w:val="11"/>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table" w:styleId="TableGrid">
    <w:name w:val="Table Grid"/>
    <w:basedOn w:val="TableNormal"/>
    <w:rsid w:val="00393579"/>
    <w:pPr>
      <w:suppressAutoHyphens/>
      <w:spacing w:line="240" w:lineRule="atLeast"/>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semiHidden/>
    <w:rsid w:val="00393579"/>
    <w:rPr>
      <w:color w:val="auto"/>
      <w:u w:val="none"/>
    </w:rPr>
  </w:style>
  <w:style w:type="character" w:styleId="FollowedHyperlink">
    <w:name w:val="FollowedHyperlink"/>
    <w:semiHidden/>
    <w:rsid w:val="00393579"/>
    <w:rPr>
      <w:color w:val="auto"/>
      <w:u w:val="none"/>
    </w:rPr>
  </w:style>
  <w:style w:type="paragraph" w:customStyle="1" w:styleId="ParNoG">
    <w:name w:val="_ParNo_G"/>
    <w:basedOn w:val="SingleTxtG"/>
    <w:qFormat/>
    <w:rsid w:val="00393579"/>
    <w:pPr>
      <w:numPr>
        <w:numId w:val="12"/>
      </w:numPr>
    </w:pPr>
  </w:style>
  <w:style w:type="character" w:customStyle="1" w:styleId="HChGChar">
    <w:name w:val="_ H _Ch_G Char"/>
    <w:link w:val="HChG"/>
    <w:locked/>
    <w:rsid w:val="00393579"/>
    <w:rPr>
      <w:rFonts w:ascii="Times New Roman" w:eastAsia="Calibri" w:hAnsi="Times New Roman"/>
      <w:b/>
      <w:sz w:val="28"/>
      <w:lang w:val="fr-CH"/>
    </w:rPr>
  </w:style>
  <w:style w:type="character" w:customStyle="1" w:styleId="SingleTxtGChar">
    <w:name w:val="_ Single Txt_G Char"/>
    <w:link w:val="SingleTxtG"/>
    <w:locked/>
    <w:rsid w:val="00393579"/>
    <w:rPr>
      <w:rFonts w:ascii="Times New Roman" w:eastAsia="Calibri" w:hAnsi="Times New Roman"/>
      <w:sz w:val="24"/>
      <w:lang w:val="fr-CH"/>
    </w:rPr>
  </w:style>
  <w:style w:type="character" w:customStyle="1" w:styleId="H1GChar">
    <w:name w:val="_ H_1_G Char"/>
    <w:link w:val="H1G"/>
    <w:locked/>
    <w:rsid w:val="00393579"/>
    <w:rPr>
      <w:rFonts w:ascii="Times New Roman" w:eastAsia="Calibri" w:hAnsi="Times New Roman"/>
      <w:b/>
      <w:sz w:val="24"/>
      <w:lang w:val="fr-CH"/>
    </w:rPr>
  </w:style>
  <w:style w:type="paragraph" w:styleId="Revision">
    <w:name w:val="Revision"/>
    <w:hidden/>
    <w:uiPriority w:val="99"/>
    <w:semiHidden/>
    <w:rsid w:val="00393579"/>
    <w:rPr>
      <w:rFonts w:ascii="Times New Roman" w:eastAsia="Calibri" w:hAnsi="Times New Roman"/>
      <w:sz w:val="24"/>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semiHidden="0" w:uiPriority="0" w:unhideWhenUsed="0"/>
    <w:lsdException w:name="footer" w:semiHidden="0" w:uiPriority="0" w:unhideWhenUsed="0" w:qFormat="1"/>
    <w:lsdException w:name="caption" w:uiPriority="35" w:qFormat="1"/>
    <w:lsdException w:name="line number" w:semiHidden="0" w:unhideWhenUsed="0" w:qFormat="1"/>
    <w:lsdException w:name="page number" w:uiPriority="0"/>
    <w:lsdException w:name="endnote reference" w:semiHidden="0" w:uiPriority="0" w:unhideWhenUsed="0"/>
    <w:lsdException w:name="endnote text" w:uiPriority="0"/>
    <w:lsdException w:name="Title" w:uiPriority="10" w:unhideWhenUsed="0"/>
    <w:lsdException w:name="Default Paragraph Font" w:uiPriority="1"/>
    <w:lsdException w:name="Subtitle" w:uiPriority="11" w:unhideWhenUsed="0"/>
    <w:lsdException w:name="FollowedHyperlink" w:uiPriority="0"/>
    <w:lsdException w:name="Strong" w:semiHidden="0" w:uiPriority="22" w:unhideWhenUsed="0"/>
    <w:lsdException w:name="Emphasis"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rsid w:val="00745376"/>
    <w:rPr>
      <w:rFonts w:ascii="Times New Roman" w:hAnsi="Times New Roman"/>
      <w:b/>
      <w:spacing w:val="3"/>
      <w:w w:val="105"/>
      <w:sz w:val="17"/>
    </w:rPr>
  </w:style>
  <w:style w:type="paragraph" w:styleId="Header">
    <w:name w:val="header"/>
    <w:aliases w:val="6_G"/>
    <w:link w:val="HeaderChar"/>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nhideWhenUsed/>
    <w:rsid w:val="00520271"/>
    <w:pPr>
      <w:spacing w:line="240" w:lineRule="auto"/>
    </w:pPr>
    <w:rPr>
      <w:rFonts w:ascii="Tahoma" w:hAnsi="Tahoma" w:cs="Tahoma"/>
      <w:sz w:val="16"/>
      <w:szCs w:val="16"/>
    </w:rPr>
  </w:style>
  <w:style w:type="character" w:customStyle="1" w:styleId="BalloonTextChar">
    <w:name w:val="Balloon Text Char"/>
    <w:link w:val="BalloonText"/>
    <w:rsid w:val="00520271"/>
    <w:rPr>
      <w:rFonts w:ascii="Tahoma" w:hAnsi="Tahoma" w:cs="Tahoma"/>
      <w:spacing w:val="4"/>
      <w:w w:val="103"/>
      <w:kern w:val="14"/>
      <w:sz w:val="16"/>
      <w:szCs w:val="16"/>
    </w:rPr>
  </w:style>
  <w:style w:type="paragraph" w:styleId="FootnoteText">
    <w:name w:val="footnote text"/>
    <w:aliases w:val="5_G"/>
    <w:basedOn w:val="Normal"/>
    <w:link w:val="FootnoteTextChar"/>
    <w:uiPriority w:val="99"/>
    <w:qFormat/>
    <w:rsid w:val="00611DA0"/>
    <w:pPr>
      <w:spacing w:line="210" w:lineRule="exact"/>
    </w:pPr>
    <w:rPr>
      <w:sz w:val="17"/>
      <w:szCs w:val="20"/>
    </w:rPr>
  </w:style>
  <w:style w:type="character" w:customStyle="1" w:styleId="FootnoteTextChar">
    <w:name w:val="Footnote Text Char"/>
    <w:aliases w:val="5_G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rsid w:val="00F3330B"/>
    <w:rPr>
      <w:rFonts w:ascii="Times New Roman" w:hAnsi="Times New Roman"/>
      <w:spacing w:val="4"/>
      <w:w w:val="103"/>
      <w:kern w:val="14"/>
      <w:sz w:val="17"/>
    </w:rPr>
  </w:style>
  <w:style w:type="character" w:styleId="FootnoteReference">
    <w:name w:val="footnote reference"/>
    <w:aliases w:val="4_G"/>
    <w:uiPriority w:val="99"/>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aliases w:val="1_G"/>
    <w:basedOn w:val="DefaultParagraphFont"/>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unhideWhenUsed/>
    <w:rsid w:val="0095602D"/>
    <w:rPr>
      <w:sz w:val="16"/>
      <w:szCs w:val="16"/>
    </w:rPr>
  </w:style>
  <w:style w:type="paragraph" w:styleId="CommentText">
    <w:name w:val="annotation text"/>
    <w:basedOn w:val="Normal"/>
    <w:link w:val="CommentTextChar"/>
    <w:unhideWhenUsed/>
    <w:rsid w:val="0095602D"/>
    <w:pPr>
      <w:spacing w:line="240" w:lineRule="auto"/>
    </w:pPr>
    <w:rPr>
      <w:szCs w:val="20"/>
    </w:rPr>
  </w:style>
  <w:style w:type="character" w:customStyle="1" w:styleId="CommentTextChar">
    <w:name w:val="Comment Text Char"/>
    <w:basedOn w:val="DefaultParagraphFont"/>
    <w:link w:val="CommentText"/>
    <w:rsid w:val="0095602D"/>
    <w:rPr>
      <w:rFonts w:ascii="Times New Roman" w:hAnsi="Times New Roman"/>
      <w:spacing w:val="4"/>
      <w:w w:val="103"/>
      <w:kern w:val="14"/>
      <w:lang w:val="fr-CA"/>
    </w:rPr>
  </w:style>
  <w:style w:type="paragraph" w:styleId="CommentSubject">
    <w:name w:val="annotation subject"/>
    <w:basedOn w:val="CommentText"/>
    <w:next w:val="CommentText"/>
    <w:link w:val="CommentSubjectChar"/>
    <w:unhideWhenUsed/>
    <w:rsid w:val="0095602D"/>
    <w:rPr>
      <w:b/>
      <w:bCs/>
    </w:rPr>
  </w:style>
  <w:style w:type="character" w:customStyle="1" w:styleId="CommentSubjectChar">
    <w:name w:val="Comment Subject Char"/>
    <w:basedOn w:val="CommentTextChar"/>
    <w:link w:val="CommentSubject"/>
    <w:rsid w:val="0095602D"/>
    <w:rPr>
      <w:rFonts w:ascii="Times New Roman" w:hAnsi="Times New Roman"/>
      <w:b/>
      <w:bCs/>
      <w:spacing w:val="4"/>
      <w:w w:val="103"/>
      <w:kern w:val="14"/>
      <w:lang w:val="fr-CA"/>
    </w:rPr>
  </w:style>
  <w:style w:type="character" w:styleId="PageNumber">
    <w:name w:val="page number"/>
    <w:aliases w:val="7_G"/>
    <w:rsid w:val="00393579"/>
    <w:rPr>
      <w:rFonts w:ascii="Times New Roman" w:hAnsi="Times New Roman"/>
      <w:b/>
      <w:sz w:val="18"/>
      <w:lang w:val="fr-CH"/>
    </w:rPr>
  </w:style>
  <w:style w:type="paragraph" w:customStyle="1" w:styleId="HMG">
    <w:name w:val="_ H __M_G"/>
    <w:basedOn w:val="Normal"/>
    <w:next w:val="Normal"/>
    <w:qFormat/>
    <w:rsid w:val="00393579"/>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pacing w:val="0"/>
      <w:w w:val="100"/>
      <w:kern w:val="0"/>
      <w:sz w:val="34"/>
      <w:szCs w:val="20"/>
      <w:lang w:val="fr-CH"/>
    </w:rPr>
  </w:style>
  <w:style w:type="paragraph" w:customStyle="1" w:styleId="HChG">
    <w:name w:val="_ H _Ch_G"/>
    <w:basedOn w:val="Normal"/>
    <w:next w:val="Normal"/>
    <w:link w:val="HChGChar"/>
    <w:qFormat/>
    <w:rsid w:val="00393579"/>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pacing w:val="0"/>
      <w:w w:val="100"/>
      <w:kern w:val="0"/>
      <w:sz w:val="28"/>
      <w:szCs w:val="20"/>
      <w:lang w:val="fr-CH"/>
    </w:rPr>
  </w:style>
  <w:style w:type="paragraph" w:customStyle="1" w:styleId="H1G">
    <w:name w:val="_ H_1_G"/>
    <w:basedOn w:val="Normal"/>
    <w:next w:val="Normal"/>
    <w:link w:val="H1GChar"/>
    <w:qFormat/>
    <w:rsid w:val="00393579"/>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pacing w:val="0"/>
      <w:w w:val="100"/>
      <w:kern w:val="0"/>
      <w:sz w:val="24"/>
      <w:szCs w:val="20"/>
      <w:lang w:val="fr-CH"/>
    </w:rPr>
  </w:style>
  <w:style w:type="paragraph" w:customStyle="1" w:styleId="H23G">
    <w:name w:val="_ H_2/3_G"/>
    <w:basedOn w:val="Normal"/>
    <w:next w:val="Normal"/>
    <w:qFormat/>
    <w:rsid w:val="00393579"/>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b/>
      <w:spacing w:val="0"/>
      <w:w w:val="100"/>
      <w:kern w:val="0"/>
      <w:sz w:val="24"/>
      <w:szCs w:val="20"/>
      <w:lang w:val="fr-CH"/>
    </w:rPr>
  </w:style>
  <w:style w:type="paragraph" w:customStyle="1" w:styleId="H4G">
    <w:name w:val="_ H_4_G"/>
    <w:basedOn w:val="Normal"/>
    <w:next w:val="Normal"/>
    <w:qFormat/>
    <w:rsid w:val="00393579"/>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i/>
      <w:spacing w:val="0"/>
      <w:w w:val="100"/>
      <w:kern w:val="0"/>
      <w:sz w:val="24"/>
      <w:szCs w:val="20"/>
      <w:lang w:val="fr-CH"/>
    </w:rPr>
  </w:style>
  <w:style w:type="paragraph" w:customStyle="1" w:styleId="H56G">
    <w:name w:val="_ H_5/6_G"/>
    <w:basedOn w:val="Normal"/>
    <w:next w:val="Normal"/>
    <w:rsid w:val="00393579"/>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spacing w:val="0"/>
      <w:w w:val="100"/>
      <w:kern w:val="0"/>
      <w:sz w:val="24"/>
      <w:szCs w:val="20"/>
      <w:lang w:val="fr-CH"/>
    </w:rPr>
  </w:style>
  <w:style w:type="paragraph" w:customStyle="1" w:styleId="SingleTxtG">
    <w:name w:val="_ Single Txt_G"/>
    <w:basedOn w:val="Normal"/>
    <w:link w:val="SingleTxtGChar"/>
    <w:qFormat/>
    <w:rsid w:val="00393579"/>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 w:val="24"/>
      <w:szCs w:val="20"/>
      <w:lang w:val="fr-CH"/>
    </w:rPr>
  </w:style>
  <w:style w:type="paragraph" w:customStyle="1" w:styleId="SLG">
    <w:name w:val="__S_L_G"/>
    <w:basedOn w:val="Normal"/>
    <w:next w:val="Normal"/>
    <w:rsid w:val="00393579"/>
    <w:pPr>
      <w:keepNext/>
      <w:keepLines/>
      <w:suppressAutoHyphens/>
      <w:kinsoku w:val="0"/>
      <w:overflowPunct w:val="0"/>
      <w:autoSpaceDE w:val="0"/>
      <w:autoSpaceDN w:val="0"/>
      <w:adjustRightInd w:val="0"/>
      <w:snapToGrid w:val="0"/>
      <w:spacing w:before="240" w:after="240" w:line="580" w:lineRule="exact"/>
      <w:ind w:left="1134" w:right="1134"/>
    </w:pPr>
    <w:rPr>
      <w:rFonts w:eastAsia="Calibri"/>
      <w:b/>
      <w:spacing w:val="0"/>
      <w:w w:val="100"/>
      <w:kern w:val="0"/>
      <w:sz w:val="56"/>
      <w:szCs w:val="20"/>
      <w:lang w:val="fr-CH"/>
    </w:rPr>
  </w:style>
  <w:style w:type="paragraph" w:customStyle="1" w:styleId="SMG">
    <w:name w:val="__S_M_G"/>
    <w:basedOn w:val="Normal"/>
    <w:next w:val="Normal"/>
    <w:rsid w:val="00393579"/>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SSG">
    <w:name w:val="__S_S_G"/>
    <w:basedOn w:val="Normal"/>
    <w:next w:val="Normal"/>
    <w:rsid w:val="00393579"/>
    <w:pPr>
      <w:keepNext/>
      <w:keepLines/>
      <w:suppressAutoHyphens/>
      <w:kinsoku w:val="0"/>
      <w:overflowPunct w:val="0"/>
      <w:autoSpaceDE w:val="0"/>
      <w:autoSpaceDN w:val="0"/>
      <w:adjustRightInd w:val="0"/>
      <w:snapToGrid w:val="0"/>
      <w:spacing w:before="240" w:after="240" w:line="300" w:lineRule="exact"/>
      <w:ind w:left="1134" w:right="1134"/>
    </w:pPr>
    <w:rPr>
      <w:rFonts w:eastAsia="Calibri"/>
      <w:b/>
      <w:spacing w:val="0"/>
      <w:w w:val="100"/>
      <w:kern w:val="0"/>
      <w:sz w:val="28"/>
      <w:szCs w:val="20"/>
      <w:lang w:val="fr-CH"/>
    </w:rPr>
  </w:style>
  <w:style w:type="paragraph" w:customStyle="1" w:styleId="XLargeG">
    <w:name w:val="__XLarge_G"/>
    <w:basedOn w:val="Normal"/>
    <w:next w:val="Normal"/>
    <w:rsid w:val="00393579"/>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Bullet1G">
    <w:name w:val="_Bullet 1_G"/>
    <w:basedOn w:val="Normal"/>
    <w:qFormat/>
    <w:rsid w:val="00393579"/>
    <w:pPr>
      <w:numPr>
        <w:numId w:val="10"/>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paragraph" w:customStyle="1" w:styleId="Bullet2G">
    <w:name w:val="_Bullet 2_G"/>
    <w:basedOn w:val="Normal"/>
    <w:qFormat/>
    <w:rsid w:val="00393579"/>
    <w:pPr>
      <w:numPr>
        <w:numId w:val="11"/>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table" w:styleId="TableGrid">
    <w:name w:val="Table Grid"/>
    <w:basedOn w:val="TableNormal"/>
    <w:rsid w:val="00393579"/>
    <w:pPr>
      <w:suppressAutoHyphens/>
      <w:spacing w:line="240" w:lineRule="atLeast"/>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semiHidden/>
    <w:rsid w:val="00393579"/>
    <w:rPr>
      <w:color w:val="auto"/>
      <w:u w:val="none"/>
    </w:rPr>
  </w:style>
  <w:style w:type="character" w:styleId="FollowedHyperlink">
    <w:name w:val="FollowedHyperlink"/>
    <w:semiHidden/>
    <w:rsid w:val="00393579"/>
    <w:rPr>
      <w:color w:val="auto"/>
      <w:u w:val="none"/>
    </w:rPr>
  </w:style>
  <w:style w:type="paragraph" w:customStyle="1" w:styleId="ParNoG">
    <w:name w:val="_ParNo_G"/>
    <w:basedOn w:val="SingleTxtG"/>
    <w:qFormat/>
    <w:rsid w:val="00393579"/>
    <w:pPr>
      <w:numPr>
        <w:numId w:val="12"/>
      </w:numPr>
    </w:pPr>
  </w:style>
  <w:style w:type="character" w:customStyle="1" w:styleId="HChGChar">
    <w:name w:val="_ H _Ch_G Char"/>
    <w:link w:val="HChG"/>
    <w:locked/>
    <w:rsid w:val="00393579"/>
    <w:rPr>
      <w:rFonts w:ascii="Times New Roman" w:eastAsia="Calibri" w:hAnsi="Times New Roman"/>
      <w:b/>
      <w:sz w:val="28"/>
      <w:lang w:val="fr-CH"/>
    </w:rPr>
  </w:style>
  <w:style w:type="character" w:customStyle="1" w:styleId="SingleTxtGChar">
    <w:name w:val="_ Single Txt_G Char"/>
    <w:link w:val="SingleTxtG"/>
    <w:locked/>
    <w:rsid w:val="00393579"/>
    <w:rPr>
      <w:rFonts w:ascii="Times New Roman" w:eastAsia="Calibri" w:hAnsi="Times New Roman"/>
      <w:sz w:val="24"/>
      <w:lang w:val="fr-CH"/>
    </w:rPr>
  </w:style>
  <w:style w:type="character" w:customStyle="1" w:styleId="H1GChar">
    <w:name w:val="_ H_1_G Char"/>
    <w:link w:val="H1G"/>
    <w:locked/>
    <w:rsid w:val="00393579"/>
    <w:rPr>
      <w:rFonts w:ascii="Times New Roman" w:eastAsia="Calibri" w:hAnsi="Times New Roman"/>
      <w:b/>
      <w:sz w:val="24"/>
      <w:lang w:val="fr-CH"/>
    </w:rPr>
  </w:style>
  <w:style w:type="paragraph" w:styleId="Revision">
    <w:name w:val="Revision"/>
    <w:hidden/>
    <w:uiPriority w:val="99"/>
    <w:semiHidden/>
    <w:rsid w:val="00393579"/>
    <w:rPr>
      <w:rFonts w:ascii="Times New Roman" w:eastAsia="Calibri" w:hAnsi="Times New Roman"/>
      <w:sz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www.ohchr.org/Documents/Issues/RuleOfLaw/Overincarceration/OSJI.pdf" TargetMode="External"/><Relationship Id="rId3" Type="http://schemas.openxmlformats.org/officeDocument/2006/relationships/hyperlink" Target="http://www.achpr.org/files/sessions/37th/mission-reports/prisons-2004/misrep_specmec_priso_southafrica_2004_eng.pdf" TargetMode="External"/><Relationship Id="rId7" Type="http://schemas.openxmlformats.org/officeDocument/2006/relationships/hyperlink" Target="http://www.achpr.org/files/sessions/37th/mission-reports/prisons-2004/misrep_specmec_priso_southafrica_2004_eng.pdf" TargetMode="External"/><Relationship Id="rId2" Type="http://schemas.openxmlformats.org/officeDocument/2006/relationships/hyperlink" Target="http://www.achpr.org/files/sessions/52nd/inter-act-reps/185/activty_report_prisons_eng.pdf" TargetMode="External"/><Relationship Id="rId1" Type="http://schemas.openxmlformats.org/officeDocument/2006/relationships/hyperlink" Target="http://www.achpr.org/files/sessions/52nd/inter-act-reps/185/activty_report_prisons_eng.pdf" TargetMode="External"/><Relationship Id="rId6" Type="http://schemas.openxmlformats.org/officeDocument/2006/relationships/hyperlink" Target="http://www.achpr.org/files/sessions/52nd/inter-act-reps/185/activty_report_prisons_eng.pdf" TargetMode="External"/><Relationship Id="rId5" Type="http://schemas.openxmlformats.org/officeDocument/2006/relationships/hyperlink" Target="http://www.achpr.org/files/sessions/37th/mission-reports/prisons-2004/misrep_specmec_%20priso_southafrica_2004_eng.pdf" TargetMode="External"/><Relationship Id="rId4" Type="http://schemas.openxmlformats.org/officeDocument/2006/relationships/hyperlink" Target="http://www.achpr.org/files/sessions/37th/mission-reports/prisons-2004/misrep_specmec_priso_%20southafrica_2004_eng.pdf" TargetMode="External"/><Relationship Id="rId9" Type="http://schemas.openxmlformats.org/officeDocument/2006/relationships/hyperlink" Target="http://www.achpr.org/files/sessions/37th/mission-reports/prisons-2004/misrep_specmec_priso_southafrica_2004_eng.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5DDA3-9FC0-4882-917C-7900FE3501E6}"/>
</file>

<file path=customXml/itemProps2.xml><?xml version="1.0" encoding="utf-8"?>
<ds:datastoreItem xmlns:ds="http://schemas.openxmlformats.org/officeDocument/2006/customXml" ds:itemID="{CA786A9F-BA9C-4F73-B00B-42BBBD3167D0}"/>
</file>

<file path=customXml/itemProps3.xml><?xml version="1.0" encoding="utf-8"?>
<ds:datastoreItem xmlns:ds="http://schemas.openxmlformats.org/officeDocument/2006/customXml" ds:itemID="{FF00A9B5-6041-47FB-8DA6-B633B300F0E0}"/>
</file>

<file path=customXml/itemProps4.xml><?xml version="1.0" encoding="utf-8"?>
<ds:datastoreItem xmlns:ds="http://schemas.openxmlformats.org/officeDocument/2006/customXml" ds:itemID="{057C4802-8ADD-4B93-A8E7-57B4D4B457AB}"/>
</file>

<file path=docProps/app.xml><?xml version="1.0" encoding="utf-8"?>
<Properties xmlns="http://schemas.openxmlformats.org/officeDocument/2006/extended-properties" xmlns:vt="http://schemas.openxmlformats.org/officeDocument/2006/docPropsVTypes">
  <Template>Normal.dotm</Template>
  <TotalTime>2</TotalTime>
  <Pages>22</Pages>
  <Words>8115</Words>
  <Characters>43420</Characters>
  <Application>Microsoft Office Word</Application>
  <DocSecurity>0</DocSecurity>
  <Lines>819</Lines>
  <Paragraphs>184</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51351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implications of overincarceration and overcrowding in French</dc:title>
  <dc:subject/>
  <dc:creator>Robert Corinne</dc:creator>
  <cp:keywords/>
  <dc:description/>
  <cp:lastModifiedBy>Chautagnat</cp:lastModifiedBy>
  <cp:revision>3</cp:revision>
  <cp:lastPrinted>2015-09-16T14:32:00Z</cp:lastPrinted>
  <dcterms:created xsi:type="dcterms:W3CDTF">2015-09-16T14:32:00Z</dcterms:created>
  <dcterms:modified xsi:type="dcterms:W3CDTF">2015-09-16T14:32:00Z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1513463F</vt:lpwstr>
  </property>
  <property fmtid="{D5CDD505-2E9C-101B-9397-08002B2CF9AE}" pid="3" name="ODSRefJobNo">
    <vt:lpwstr>1517718F</vt:lpwstr>
  </property>
  <property fmtid="{D5CDD505-2E9C-101B-9397-08002B2CF9AE}" pid="4" name="Symbol1">
    <vt:lpwstr>A/HRC/30/19</vt:lpwstr>
  </property>
  <property fmtid="{D5CDD505-2E9C-101B-9397-08002B2CF9AE}" pid="5" name="Symbol2">
    <vt:lpwstr/>
  </property>
  <property fmtid="{D5CDD505-2E9C-101B-9397-08002B2CF9AE}" pid="6" name="Translator">
    <vt:lpwstr/>
  </property>
  <property fmtid="{D5CDD505-2E9C-101B-9397-08002B2CF9AE}" pid="7" name="Operator">
    <vt:lpwstr>C. robert</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16 septembre 2015</vt:lpwstr>
  </property>
  <property fmtid="{D5CDD505-2E9C-101B-9397-08002B2CF9AE}" pid="12" name="Original">
    <vt:lpwstr>anglais</vt:lpwstr>
  </property>
  <property fmtid="{D5CDD505-2E9C-101B-9397-08002B2CF9AE}" pid="13" name="Release Date">
    <vt:lpwstr>160915</vt:lpwstr>
  </property>
  <property fmtid="{D5CDD505-2E9C-101B-9397-08002B2CF9AE}" pid="14" name="ContentTypeId">
    <vt:lpwstr>0x010100EF670F518423CB4F888C4265EEC2C475</vt:lpwstr>
  </property>
  <property fmtid="{D5CDD505-2E9C-101B-9397-08002B2CF9AE}" pid="15" name="Order">
    <vt:r8>49800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