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66" w:rsidRPr="007A5CEC" w:rsidRDefault="00841466" w:rsidP="00841466">
      <w:pPr>
        <w:spacing w:line="60" w:lineRule="exact"/>
        <w:rPr>
          <w:color w:val="010000"/>
          <w:sz w:val="6"/>
        </w:rPr>
        <w:sectPr w:rsidR="00841466" w:rsidRPr="007A5CEC" w:rsidSect="008414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7A5CEC">
        <w:rPr>
          <w:rStyle w:val="CommentReference"/>
        </w:rPr>
        <w:commentReference w:id="0"/>
      </w:r>
    </w:p>
    <w:p w:rsidR="007A5CEC" w:rsidRDefault="007A5CEC" w:rsidP="007A5CEC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lastRenderedPageBreak/>
        <w:t>Совет по правам чел</w:t>
      </w:r>
      <w:bookmarkStart w:id="1" w:name="_GoBack"/>
      <w:bookmarkEnd w:id="1"/>
      <w:r>
        <w:t>овека</w:t>
      </w:r>
    </w:p>
    <w:p w:rsidR="007A5CEC" w:rsidRDefault="007A5CEC" w:rsidP="007A5CEC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Тридцатая сессия</w:t>
      </w:r>
    </w:p>
    <w:p w:rsidR="007A5CEC" w:rsidRDefault="007A5CEC" w:rsidP="007A5CEC">
      <w:r>
        <w:t>Пункты 2 и 3 предварительной повестки дня</w:t>
      </w:r>
    </w:p>
    <w:p w:rsidR="007A5CEC" w:rsidRPr="00A70B1E" w:rsidRDefault="007A5CEC" w:rsidP="007A5CEC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 xml:space="preserve">Ежегодный доклад Верховного комиссара </w:t>
      </w:r>
      <w:r w:rsidRPr="007A5CEC">
        <w:br/>
      </w:r>
      <w:r>
        <w:t xml:space="preserve">Организации Объединенных Наций </w:t>
      </w:r>
      <w:r w:rsidRPr="007A5CEC">
        <w:br/>
      </w:r>
      <w:r>
        <w:t xml:space="preserve">по правам человека и доклады </w:t>
      </w:r>
      <w:r w:rsidRPr="007A5CEC">
        <w:br/>
      </w:r>
      <w:r>
        <w:t xml:space="preserve">Управления Верховного комиссара </w:t>
      </w:r>
      <w:r w:rsidRPr="007A5CEC">
        <w:br/>
      </w:r>
      <w:r>
        <w:t>и Генерального секретаря</w:t>
      </w:r>
    </w:p>
    <w:p w:rsidR="007A5CEC" w:rsidRPr="00A70B1E" w:rsidRDefault="007A5CEC" w:rsidP="007A5CEC">
      <w:pPr>
        <w:spacing w:line="120" w:lineRule="exact"/>
        <w:rPr>
          <w:sz w:val="10"/>
        </w:rPr>
      </w:pPr>
    </w:p>
    <w:p w:rsidR="007A5CEC" w:rsidRDefault="007A5CEC" w:rsidP="007A5CEC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 xml:space="preserve">Поощрение и защита всех прав человека, </w:t>
      </w:r>
      <w:r w:rsidRPr="007A5CEC">
        <w:br/>
      </w:r>
      <w:r>
        <w:t xml:space="preserve">гражданских, политических, экономических, </w:t>
      </w:r>
      <w:r w:rsidRPr="007A5CEC">
        <w:br/>
      </w:r>
      <w:r>
        <w:t xml:space="preserve">социальных и культурных прав, </w:t>
      </w:r>
      <w:r w:rsidRPr="007A5CEC">
        <w:br/>
      </w:r>
      <w:r>
        <w:t>включая право на развитие</w:t>
      </w:r>
    </w:p>
    <w:p w:rsidR="007A5CEC" w:rsidRPr="007A5CEC" w:rsidRDefault="007A5CEC" w:rsidP="007A5CEC">
      <w:pPr>
        <w:spacing w:line="120" w:lineRule="exact"/>
        <w:rPr>
          <w:sz w:val="10"/>
        </w:rPr>
      </w:pPr>
    </w:p>
    <w:p w:rsidR="007A5CEC" w:rsidRPr="007A5CEC" w:rsidRDefault="007A5CEC" w:rsidP="007A5CEC">
      <w:pPr>
        <w:spacing w:line="120" w:lineRule="exact"/>
        <w:rPr>
          <w:sz w:val="10"/>
        </w:rPr>
      </w:pPr>
    </w:p>
    <w:p w:rsidR="007A5CEC" w:rsidRPr="007A5CEC" w:rsidRDefault="007A5CEC" w:rsidP="007A5CEC">
      <w:pPr>
        <w:spacing w:line="120" w:lineRule="exact"/>
        <w:rPr>
          <w:sz w:val="10"/>
        </w:rPr>
      </w:pPr>
    </w:p>
    <w:p w:rsidR="007A5CEC" w:rsidRPr="00A70B1E" w:rsidRDefault="007A5CEC" w:rsidP="007A5CE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Роль предупреждения в поощрении и защите прав человека</w:t>
      </w:r>
    </w:p>
    <w:p w:rsidR="007A5CEC" w:rsidRPr="00A70B1E" w:rsidRDefault="007A5CEC" w:rsidP="007A5CEC">
      <w:pPr>
        <w:pStyle w:val="SingleTxt"/>
        <w:spacing w:after="0" w:line="120" w:lineRule="exact"/>
        <w:rPr>
          <w:sz w:val="10"/>
        </w:rPr>
      </w:pPr>
    </w:p>
    <w:p w:rsidR="007A5CEC" w:rsidRPr="00A70B1E" w:rsidRDefault="007A5CEC" w:rsidP="007A5CEC">
      <w:pPr>
        <w:pStyle w:val="SingleTxt"/>
        <w:spacing w:after="0" w:line="120" w:lineRule="exact"/>
        <w:rPr>
          <w:sz w:val="10"/>
        </w:rPr>
      </w:pPr>
    </w:p>
    <w:p w:rsidR="007A5CEC" w:rsidRPr="00A70B1E" w:rsidRDefault="007A5CEC" w:rsidP="007A5CE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Доклад Управления Верховного комиссара Организации Объединенных Наций по правам человека</w:t>
      </w:r>
    </w:p>
    <w:p w:rsidR="007A5CEC" w:rsidRPr="00A70B1E" w:rsidRDefault="007A5CEC" w:rsidP="007A5CEC">
      <w:pPr>
        <w:pStyle w:val="SingleTxt"/>
        <w:spacing w:after="0" w:line="120" w:lineRule="exact"/>
        <w:rPr>
          <w:sz w:val="10"/>
        </w:rPr>
      </w:pPr>
    </w:p>
    <w:p w:rsidR="007A5CEC" w:rsidRPr="00A70B1E" w:rsidRDefault="007A5CEC" w:rsidP="007A5CEC">
      <w:pPr>
        <w:pStyle w:val="SingleTxt"/>
        <w:spacing w:after="0" w:line="120" w:lineRule="exact"/>
        <w:rPr>
          <w:sz w:val="10"/>
        </w:rPr>
      </w:pPr>
    </w:p>
    <w:p w:rsidR="007A5CEC" w:rsidRPr="00A70B1E" w:rsidRDefault="007A5CEC" w:rsidP="007A5CEC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7A5CEC" w:rsidTr="007A5CEC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7A5CEC" w:rsidRPr="007A5CEC" w:rsidRDefault="007A5CEC" w:rsidP="007A5CEC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A70B1E"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en-US"/>
              </w:rPr>
              <w:t>Резюме</w:t>
            </w:r>
            <w:proofErr w:type="spellEnd"/>
          </w:p>
        </w:tc>
      </w:tr>
      <w:tr w:rsidR="007A5CEC" w:rsidTr="007A5CEC">
        <w:tc>
          <w:tcPr>
            <w:tcW w:w="10051" w:type="dxa"/>
            <w:shd w:val="clear" w:color="auto" w:fill="auto"/>
          </w:tcPr>
          <w:p w:rsidR="007A5CEC" w:rsidRPr="00A70B1E" w:rsidRDefault="007A5CEC" w:rsidP="000E6A0D">
            <w:pPr>
              <w:pStyle w:val="SingleTxt"/>
            </w:pPr>
            <w:r w:rsidRPr="007A5CEC">
              <w:tab/>
            </w:r>
            <w:r>
              <w:t>В резолюции 24/16 Совет по правам человека просил Управление Верховн</w:t>
            </w:r>
            <w:r>
              <w:t>о</w:t>
            </w:r>
            <w:r>
              <w:t>го комиссара Организации Объединенных Наций по правам человека (УВКПЧ) подготовить исследование по вопросу о предупреждении нарушений прав чел</w:t>
            </w:r>
            <w:r>
              <w:t>о</w:t>
            </w:r>
            <w:r>
              <w:t>века и его практическом осуществлении и представить данное исследование на его тридцатой сессии. В соответствии с просьбой, содержащейся в этой резол</w:t>
            </w:r>
            <w:r>
              <w:t>ю</w:t>
            </w:r>
            <w:r>
              <w:t>ции, в данном исследовании учтены итоги группового обсуждения вопроса о р</w:t>
            </w:r>
            <w:r>
              <w:t>о</w:t>
            </w:r>
            <w:r>
              <w:t>ли предупреждения в поощрении и защите прав человека, состоявшегося в ходе двадцать седьмой сессии Совета.</w:t>
            </w:r>
          </w:p>
        </w:tc>
      </w:tr>
      <w:tr w:rsidR="007A5CEC" w:rsidRPr="000E6A0D" w:rsidTr="007A5CEC">
        <w:tc>
          <w:tcPr>
            <w:tcW w:w="10051" w:type="dxa"/>
            <w:shd w:val="clear" w:color="auto" w:fill="auto"/>
          </w:tcPr>
          <w:p w:rsidR="007A5CEC" w:rsidRPr="000E6A0D" w:rsidRDefault="000E6A0D" w:rsidP="007A5CEC">
            <w:pPr>
              <w:pStyle w:val="SingleTxt"/>
            </w:pPr>
            <w:r w:rsidRPr="00A70B1E">
              <w:tab/>
            </w:r>
            <w:r>
              <w:t>Это исследование призвано обеспечить дополнительный информационный материал для концепции предупреждения нарушений прав человека, определить практические средства для предупреждения нарушений, а также подчеркнуть роль международных и региональных заинтересованных сторон.</w:t>
            </w:r>
          </w:p>
        </w:tc>
      </w:tr>
      <w:tr w:rsidR="007A5CEC" w:rsidRPr="000E6A0D" w:rsidTr="007A5CEC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7A5CEC" w:rsidRPr="000E6A0D" w:rsidRDefault="007A5CEC" w:rsidP="007A5CEC">
            <w:pPr>
              <w:pStyle w:val="SingleTxt"/>
            </w:pPr>
          </w:p>
        </w:tc>
      </w:tr>
    </w:tbl>
    <w:p w:rsidR="000E6A0D" w:rsidRPr="000E6A0D" w:rsidRDefault="000E6A0D" w:rsidP="000E6A0D">
      <w:pPr>
        <w:pStyle w:val="HCh"/>
        <w:spacing w:after="120"/>
        <w:rPr>
          <w:b w:val="0"/>
        </w:rPr>
      </w:pPr>
      <w:r>
        <w:br w:type="page"/>
      </w: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0E6A0D" w:rsidRPr="000E6A0D" w:rsidTr="000E6A0D">
        <w:tc>
          <w:tcPr>
            <w:tcW w:w="1060" w:type="dxa"/>
            <w:shd w:val="clear" w:color="auto" w:fill="auto"/>
          </w:tcPr>
          <w:p w:rsidR="000E6A0D" w:rsidRPr="000E6A0D" w:rsidRDefault="000E6A0D" w:rsidP="000E6A0D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0E6A0D" w:rsidRPr="000E6A0D" w:rsidRDefault="000E6A0D" w:rsidP="000E6A0D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0E6A0D" w:rsidRPr="000E6A0D" w:rsidRDefault="000E6A0D" w:rsidP="000E6A0D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0E6A0D" w:rsidRPr="000E6A0D" w:rsidRDefault="000E6A0D" w:rsidP="000E6A0D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Pr="000E6A0D" w:rsidRDefault="000E6A0D" w:rsidP="000E6A0D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>
              <w:rPr>
                <w:lang w:val="en-US"/>
              </w:rPr>
              <w:tab/>
            </w:r>
            <w:r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Default="000E6A0D" w:rsidP="000E6A0D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t>Концепция предупреждения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Default="000E6A0D" w:rsidP="000E6A0D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t>Предупреждение на практике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Pr="000E6A0D" w:rsidRDefault="000E6A0D" w:rsidP="000E6A0D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>
              <w:t>Законодательные и институциональные основы предупреждения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Default="000E6A0D" w:rsidP="000E6A0D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>
              <w:t>Роль образования в области прав человека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Default="000E6A0D" w:rsidP="000E6A0D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>
              <w:t>Инструменты планирования и мониторинга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13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Default="000E6A0D" w:rsidP="000E6A0D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 w:rsidRPr="00A70B1E">
              <w:tab/>
            </w:r>
            <w:r>
              <w:t xml:space="preserve">Роль международных и региональных заинтересованных сторон </w:t>
            </w:r>
            <w:r w:rsidRPr="000E6A0D">
              <w:br/>
            </w:r>
            <w:r>
              <w:t>в предупреждении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Pr="000E6A0D" w:rsidRDefault="000E6A0D" w:rsidP="000E6A0D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9245"/>
              </w:tabs>
              <w:suppressAutoHyphens/>
              <w:spacing w:after="120"/>
            </w:pPr>
            <w:r>
              <w:t>Международные и региональные правозащитные механизмы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Default="000E6A0D" w:rsidP="000E6A0D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right" w:leader="dot" w:pos="9245"/>
              </w:tabs>
              <w:suppressAutoHyphens/>
              <w:spacing w:after="120"/>
            </w:pPr>
            <w:r>
              <w:t>Вклад международных и региональных организаций в предупреждение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0E6A0D" w:rsidRPr="000E6A0D" w:rsidTr="000E6A0D">
        <w:tc>
          <w:tcPr>
            <w:tcW w:w="9110" w:type="dxa"/>
            <w:gridSpan w:val="3"/>
            <w:shd w:val="clear" w:color="auto" w:fill="auto"/>
          </w:tcPr>
          <w:p w:rsidR="000E6A0D" w:rsidRDefault="000E6A0D" w:rsidP="000E6A0D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rPr>
                <w:lang w:val="en-US"/>
              </w:rPr>
              <w:tab/>
            </w:r>
            <w:r>
              <w:t>Выводы и 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E6A0D" w:rsidRPr="000E6A0D" w:rsidRDefault="008F6582" w:rsidP="000E6A0D">
            <w:pPr>
              <w:spacing w:after="120"/>
              <w:ind w:right="40"/>
              <w:jc w:val="right"/>
            </w:pPr>
            <w:r>
              <w:t>20</w:t>
            </w:r>
          </w:p>
        </w:tc>
      </w:tr>
    </w:tbl>
    <w:p w:rsidR="007A5CEC" w:rsidRDefault="000E6A0D" w:rsidP="000E6A0D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en-US"/>
        </w:rPr>
      </w:pPr>
      <w:r>
        <w:br w:type="page"/>
      </w:r>
      <w:r w:rsidR="007A5CEC">
        <w:lastRenderedPageBreak/>
        <w:tab/>
        <w:t>I.</w:t>
      </w:r>
      <w:r w:rsidR="007A5CEC">
        <w:tab/>
        <w:t>Введение</w:t>
      </w:r>
    </w:p>
    <w:p w:rsidR="000E6A0D" w:rsidRPr="000E6A0D" w:rsidRDefault="000E6A0D" w:rsidP="000E6A0D">
      <w:pPr>
        <w:spacing w:line="120" w:lineRule="exact"/>
        <w:rPr>
          <w:sz w:val="10"/>
          <w:lang w:val="en-US"/>
        </w:rPr>
      </w:pPr>
    </w:p>
    <w:p w:rsidR="000E6A0D" w:rsidRPr="000E6A0D" w:rsidRDefault="000E6A0D" w:rsidP="000E6A0D">
      <w:pPr>
        <w:spacing w:line="120" w:lineRule="exact"/>
        <w:rPr>
          <w:sz w:val="10"/>
          <w:lang w:val="en-US"/>
        </w:rPr>
      </w:pPr>
    </w:p>
    <w:p w:rsidR="007A5CEC" w:rsidRDefault="007A5CEC" w:rsidP="007A5CEC">
      <w:pPr>
        <w:pStyle w:val="SingleTxt"/>
      </w:pPr>
      <w:r>
        <w:t>1.</w:t>
      </w:r>
      <w:r w:rsidR="000E6A0D" w:rsidRPr="00A70B1E">
        <w:tab/>
      </w:r>
      <w:r>
        <w:t>В резолюции 24/16 Совет по правам человека просил Управление Верховн</w:t>
      </w:r>
      <w:r>
        <w:t>о</w:t>
      </w:r>
      <w:r>
        <w:t>го комиссара Организации Объединенных Наций по правам человека (УВКПЧ) подготовить исследование по вопросу о предупреждении нарушений прав чел</w:t>
      </w:r>
      <w:r>
        <w:t>о</w:t>
      </w:r>
      <w:r>
        <w:t>века и его практическом осуществлении и представить данное исследование на его тридцатой сессии. В соответствии с просьбой, содержащейся в этой резол</w:t>
      </w:r>
      <w:r>
        <w:t>ю</w:t>
      </w:r>
      <w:r>
        <w:t xml:space="preserve">ции, в </w:t>
      </w:r>
      <w:r w:rsidR="000E6A0D">
        <w:t>настоящем</w:t>
      </w:r>
      <w:r>
        <w:t xml:space="preserve"> исследовании учтены итоги группового обсуждения вопроса о роли предупреждения в поощрении и защите прав человека, состоявшегося в х</w:t>
      </w:r>
      <w:r>
        <w:t>о</w:t>
      </w:r>
      <w:r>
        <w:t>де двадцать седьмой сессии Совета (A/HRC/28/30).</w:t>
      </w:r>
    </w:p>
    <w:p w:rsidR="007A5CEC" w:rsidRDefault="007A5CEC" w:rsidP="007A5CEC">
      <w:pPr>
        <w:pStyle w:val="SingleTxt"/>
      </w:pPr>
      <w:r>
        <w:t>2.</w:t>
      </w:r>
      <w:r w:rsidR="000E6A0D">
        <w:tab/>
      </w:r>
      <w:r>
        <w:t>В ходе подготовки настоящего исследования УВКПЧ направил вопросник государствам, национальным правозащитным учреждениям, гражданскому о</w:t>
      </w:r>
      <w:r>
        <w:t>б</w:t>
      </w:r>
      <w:r>
        <w:t>ществу, соответствующим межправительственным органам и международным организациям для получения необходимой информации. Данный вопросник охватывал различные вопросы, в том числе о том, какие законодательные, суде</w:t>
      </w:r>
      <w:r>
        <w:t>б</w:t>
      </w:r>
      <w:r>
        <w:t>ные и административные меры, а также прикладные политические меры, практ</w:t>
      </w:r>
      <w:r>
        <w:t>и</w:t>
      </w:r>
      <w:r>
        <w:t>ки и стратегии по предупреждению нарушений и ущемлений прав человека с</w:t>
      </w:r>
      <w:r>
        <w:t>у</w:t>
      </w:r>
      <w:r>
        <w:t>ществуют на национальном уровне</w:t>
      </w:r>
      <w:r w:rsidR="000E6A0D">
        <w:t>;</w:t>
      </w:r>
      <w:r>
        <w:t xml:space="preserve"> и </w:t>
      </w:r>
      <w:r w:rsidR="000E6A0D">
        <w:t xml:space="preserve">о </w:t>
      </w:r>
      <w:r>
        <w:t>положения</w:t>
      </w:r>
      <w:r w:rsidR="000E6A0D">
        <w:t>х</w:t>
      </w:r>
      <w:r>
        <w:t xml:space="preserve"> для обеспечения эффекти</w:t>
      </w:r>
      <w:r>
        <w:t>в</w:t>
      </w:r>
      <w:r>
        <w:t>ных сре</w:t>
      </w:r>
      <w:proofErr w:type="gramStart"/>
      <w:r>
        <w:t>дств пр</w:t>
      </w:r>
      <w:proofErr w:type="gramEnd"/>
      <w:r>
        <w:t xml:space="preserve">авовой защиты для жертв. </w:t>
      </w:r>
      <w:proofErr w:type="gramStart"/>
      <w:r>
        <w:t>В нем запрашивалась информация о политике и процессах сбора, обновления и анализа статистических данных по правам человека; мерах, принятых для поощрения культуры прав человека; роли гражданского общества; мерах и процедурах, связанных с последующей деятел</w:t>
      </w:r>
      <w:r>
        <w:t>ь</w:t>
      </w:r>
      <w:r>
        <w:t xml:space="preserve">ностью по выполнению рекомендаций международных и региональных органов по правам человека, а также </w:t>
      </w:r>
      <w:r w:rsidR="000E6A0D">
        <w:t xml:space="preserve">о </w:t>
      </w:r>
      <w:r>
        <w:t>вкладе таких органов в предупреждение наруш</w:t>
      </w:r>
      <w:r>
        <w:t>е</w:t>
      </w:r>
      <w:r>
        <w:t>ний прав человека.</w:t>
      </w:r>
      <w:proofErr w:type="gramEnd"/>
      <w:r>
        <w:t xml:space="preserve"> Информацию предоставили: </w:t>
      </w:r>
      <w:proofErr w:type="gramStart"/>
      <w:r>
        <w:t>Албания, Аргентина, Австралия, Куба, Кипр, Грузия, Гондурас, Венгрия, Ирландия, Италия, Казахстан, Мадаг</w:t>
      </w:r>
      <w:r>
        <w:t>а</w:t>
      </w:r>
      <w:r>
        <w:t>скар, Мексика, Республика Молдова, Парагвай, Катар, Словакия, Того, Тринидад и Тобаго, Украина и Объединенные Арабские Эмираты, а также Совет Омбудсмена Австрии, Тюремная инспекция Ее Величества, Финский центр по правам человека, Комиссия Малайзии по правам человека, Национальная коми</w:t>
      </w:r>
      <w:r>
        <w:t>с</w:t>
      </w:r>
      <w:r>
        <w:t>сия по правам человека Мексики, Национальная комиссия по правам человека Руанды, Дом прав</w:t>
      </w:r>
      <w:proofErr w:type="gramEnd"/>
      <w:r>
        <w:t xml:space="preserve"> человека Албании, Международное братство примирения, Национальный центр Иордании по правам человека, Агентство по распростран</w:t>
      </w:r>
      <w:r>
        <w:t>е</w:t>
      </w:r>
      <w:r>
        <w:t>нию международного гуманитарного права в Центральной Африке, Национал</w:t>
      </w:r>
      <w:r>
        <w:t>ь</w:t>
      </w:r>
      <w:r>
        <w:t>ная комиссия по правам человека Кореи, Омбудсмен Республики Латвия, Асс</w:t>
      </w:r>
      <w:r>
        <w:t>о</w:t>
      </w:r>
      <w:r>
        <w:t xml:space="preserve">циация </w:t>
      </w:r>
      <w:proofErr w:type="spellStart"/>
      <w:r>
        <w:t>Promo</w:t>
      </w:r>
      <w:proofErr w:type="spellEnd"/>
      <w:r>
        <w:t>-LEX, Сеть поддержки научных специалистов, работающих в усл</w:t>
      </w:r>
      <w:r>
        <w:t>о</w:t>
      </w:r>
      <w:r>
        <w:t>виях риска, и Словацкий национальный центр по правам человека</w:t>
      </w:r>
      <w:r w:rsidR="000E6A0D" w:rsidRPr="00E14097">
        <w:rPr>
          <w:rStyle w:val="FootnoteReference"/>
        </w:rPr>
        <w:footnoteReference w:id="1"/>
      </w:r>
      <w:r>
        <w:t>.</w:t>
      </w:r>
    </w:p>
    <w:p w:rsidR="007A5CEC" w:rsidRDefault="007A5CEC" w:rsidP="007A5CEC">
      <w:pPr>
        <w:pStyle w:val="SingleTxt"/>
      </w:pPr>
      <w:r>
        <w:t>3.</w:t>
      </w:r>
      <w:r w:rsidR="000E6A0D">
        <w:tab/>
        <w:t>Настоящий</w:t>
      </w:r>
      <w:r>
        <w:t xml:space="preserve"> доклад призван обеспечить дополнительный информационный материал для концепции предупреждения нарушений прав человека (Часть II), определить практические средства для предупре</w:t>
      </w:r>
      <w:r w:rsidR="000E6A0D">
        <w:t>ждения нарушений (Часть III), а </w:t>
      </w:r>
      <w:r>
        <w:t>также подчеркнуть роль международных и региональных заинтересованных сторон (Часть IV).</w:t>
      </w:r>
    </w:p>
    <w:p w:rsidR="000E6A0D" w:rsidRPr="000E6A0D" w:rsidRDefault="000E6A0D" w:rsidP="000E6A0D">
      <w:pPr>
        <w:pStyle w:val="SingleTxt"/>
        <w:spacing w:after="0" w:line="120" w:lineRule="exact"/>
        <w:rPr>
          <w:sz w:val="10"/>
        </w:rPr>
      </w:pPr>
    </w:p>
    <w:p w:rsidR="000E6A0D" w:rsidRPr="000E6A0D" w:rsidRDefault="000E6A0D" w:rsidP="000E6A0D">
      <w:pPr>
        <w:pStyle w:val="SingleTxt"/>
        <w:spacing w:after="0" w:line="120" w:lineRule="exact"/>
        <w:rPr>
          <w:sz w:val="10"/>
        </w:rPr>
      </w:pPr>
    </w:p>
    <w:p w:rsidR="007A5CEC" w:rsidRDefault="007A5CEC" w:rsidP="000E6A0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II.</w:t>
      </w:r>
      <w:r>
        <w:tab/>
        <w:t>Концепция предупреждения</w:t>
      </w:r>
    </w:p>
    <w:p w:rsidR="000E6A0D" w:rsidRPr="000E6A0D" w:rsidRDefault="000E6A0D" w:rsidP="000E6A0D">
      <w:pPr>
        <w:pStyle w:val="SingleTxt"/>
        <w:spacing w:after="0" w:line="120" w:lineRule="exact"/>
        <w:rPr>
          <w:sz w:val="10"/>
        </w:rPr>
      </w:pPr>
    </w:p>
    <w:p w:rsidR="000E6A0D" w:rsidRPr="000E6A0D" w:rsidRDefault="000E6A0D" w:rsidP="000E6A0D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4.</w:t>
      </w:r>
      <w:r w:rsidR="000E6A0D">
        <w:tab/>
      </w:r>
      <w:proofErr w:type="gramStart"/>
      <w:r>
        <w:t>Став участниками международных договоров, государства в соответствии с международным правом принимают на себя обязательства соблюдать и защищать права человека, а также</w:t>
      </w:r>
      <w:r w:rsidR="00080711">
        <w:t xml:space="preserve"> обеспечивать их осуществление </w:t>
      </w:r>
      <w:r>
        <w:t>в отношении всех лиц, находящихся на их территории или под их юрисдикцией, без какой бы то ни б</w:t>
      </w:r>
      <w:r>
        <w:t>ы</w:t>
      </w:r>
      <w:r>
        <w:t>ло дискриминации</w:t>
      </w:r>
      <w:r w:rsidR="00080711" w:rsidRPr="00E14097">
        <w:rPr>
          <w:rStyle w:val="FootnoteReference"/>
        </w:rPr>
        <w:footnoteReference w:id="2"/>
      </w:r>
      <w:r w:rsidR="00080711">
        <w:t>. При этом «</w:t>
      </w:r>
      <w:r>
        <w:t>государства, включая все их ветви власти, несут главную ответственность за поощрение и защиту всех прав</w:t>
      </w:r>
      <w:proofErr w:type="gramEnd"/>
      <w:r>
        <w:t xml:space="preserve"> </w:t>
      </w:r>
      <w:proofErr w:type="gramStart"/>
      <w:r>
        <w:t>человека, в том числе за предупр</w:t>
      </w:r>
      <w:r w:rsidR="00080711">
        <w:t>еждение нарушений прав человека»</w:t>
      </w:r>
      <w:r w:rsidR="00080711" w:rsidRPr="00E14097">
        <w:rPr>
          <w:rStyle w:val="FootnoteReference"/>
        </w:rPr>
        <w:footnoteReference w:id="3"/>
      </w:r>
      <w:r>
        <w:t>. Обязательства государств вкл</w:t>
      </w:r>
      <w:r>
        <w:t>ю</w:t>
      </w:r>
      <w:r>
        <w:t>чают в себя обязанность обеспечивать защиту от нарушений прав человека тр</w:t>
      </w:r>
      <w:r>
        <w:t>е</w:t>
      </w:r>
      <w:r>
        <w:t xml:space="preserve">тьими сторонами, </w:t>
      </w:r>
      <w:r w:rsidR="00080711">
        <w:t>в том числе частными субъектами</w:t>
      </w:r>
      <w:r w:rsidR="00080711" w:rsidRPr="00E14097">
        <w:rPr>
          <w:rStyle w:val="FootnoteReference"/>
        </w:rPr>
        <w:footnoteReference w:id="4"/>
      </w:r>
      <w:r>
        <w:t>. Государства могут нар</w:t>
      </w:r>
      <w:r>
        <w:t>у</w:t>
      </w:r>
      <w:r>
        <w:t>шать свои обязательства по международному праву прав человека в тех случаях, когда они не принимают надлежащих мер для предупреждения и расследования нарушений, совершаемых частными субъектами, наказания за них и возмещения</w:t>
      </w:r>
      <w:proofErr w:type="gramEnd"/>
      <w:r>
        <w:t xml:space="preserve"> ущерба</w:t>
      </w:r>
      <w:r w:rsidR="00080711" w:rsidRPr="00E14097">
        <w:rPr>
          <w:rStyle w:val="FootnoteReference"/>
        </w:rPr>
        <w:footnoteReference w:id="5"/>
      </w:r>
      <w:r>
        <w:t>.</w:t>
      </w:r>
    </w:p>
    <w:p w:rsidR="007A5CEC" w:rsidRDefault="007A5CEC" w:rsidP="007A5CEC">
      <w:pPr>
        <w:pStyle w:val="SingleTxt"/>
      </w:pPr>
      <w:r>
        <w:t>5.</w:t>
      </w:r>
      <w:r w:rsidR="00080711">
        <w:tab/>
      </w:r>
      <w:proofErr w:type="gramStart"/>
      <w:r>
        <w:t>Обязательство предотвращать нарушения прав человека было однозначно сформулировано в ряде договоров</w:t>
      </w:r>
      <w:r w:rsidR="00080711" w:rsidRPr="00E14097">
        <w:rPr>
          <w:rStyle w:val="FootnoteReference"/>
        </w:rPr>
        <w:footnoteReference w:id="6"/>
      </w:r>
      <w:r>
        <w:t>, а также рассмотрено в более общих чертах в замечаниях общего порядка</w:t>
      </w:r>
      <w:r w:rsidR="00080711" w:rsidRPr="00E14097">
        <w:rPr>
          <w:rStyle w:val="FootnoteReference"/>
        </w:rPr>
        <w:footnoteReference w:id="7"/>
      </w:r>
      <w:r>
        <w:t xml:space="preserve"> и </w:t>
      </w:r>
      <w:r w:rsidR="00080711">
        <w:t>докладах</w:t>
      </w:r>
      <w:r>
        <w:t xml:space="preserve"> договорных органов по правам человека, преимущественно в отношении сл</w:t>
      </w:r>
      <w:r w:rsidR="0090018D">
        <w:t>едующих вопросов: предупреждения</w:t>
      </w:r>
      <w:r>
        <w:t xml:space="preserve"> пыток</w:t>
      </w:r>
      <w:r w:rsidR="00080711" w:rsidRPr="00E14097">
        <w:rPr>
          <w:rStyle w:val="FootnoteReference"/>
        </w:rPr>
        <w:footnoteReference w:id="8"/>
      </w:r>
      <w:r>
        <w:t>, ге</w:t>
      </w:r>
      <w:r w:rsidR="00080711">
        <w:t>ноцида</w:t>
      </w:r>
      <w:r w:rsidR="00080711" w:rsidRPr="00E14097">
        <w:rPr>
          <w:rStyle w:val="FootnoteReference"/>
        </w:rPr>
        <w:footnoteReference w:id="9"/>
      </w:r>
      <w:r>
        <w:t>, массовых зверств</w:t>
      </w:r>
      <w:r w:rsidR="00080711" w:rsidRPr="00E14097">
        <w:rPr>
          <w:rStyle w:val="FootnoteReference"/>
        </w:rPr>
        <w:footnoteReference w:id="10"/>
      </w:r>
      <w:r w:rsidR="00080711">
        <w:t>, разжигания ненависти</w:t>
      </w:r>
      <w:r w:rsidR="00080711" w:rsidRPr="00E14097">
        <w:rPr>
          <w:rStyle w:val="FootnoteReference"/>
        </w:rPr>
        <w:footnoteReference w:id="11"/>
      </w:r>
      <w:r>
        <w:t>, насильственного экстр</w:t>
      </w:r>
      <w:r>
        <w:t>е</w:t>
      </w:r>
      <w:r>
        <w:t>мизма</w:t>
      </w:r>
      <w:r w:rsidR="00080711" w:rsidRPr="00E14097">
        <w:rPr>
          <w:rStyle w:val="FootnoteReference"/>
        </w:rPr>
        <w:footnoteReference w:id="12"/>
      </w:r>
      <w:r>
        <w:t xml:space="preserve"> и ликвидации дискриминации на конкретных основаниях (таких</w:t>
      </w:r>
      <w:r w:rsidR="00D04A9D">
        <w:t>,</w:t>
      </w:r>
      <w:r>
        <w:t xml:space="preserve"> как р</w:t>
      </w:r>
      <w:r>
        <w:t>а</w:t>
      </w:r>
      <w:r>
        <w:t>са</w:t>
      </w:r>
      <w:r w:rsidR="00D04A9D" w:rsidRPr="00E14097">
        <w:rPr>
          <w:rStyle w:val="FootnoteReference"/>
        </w:rPr>
        <w:footnoteReference w:id="13"/>
      </w:r>
      <w:r>
        <w:t>, религия или убеждения</w:t>
      </w:r>
      <w:r w:rsidR="00D04A9D" w:rsidRPr="00E14097">
        <w:rPr>
          <w:rStyle w:val="FootnoteReference"/>
        </w:rPr>
        <w:footnoteReference w:id="14"/>
      </w:r>
      <w:r>
        <w:t xml:space="preserve"> или сексуальная ориентация (A/HRC</w:t>
      </w:r>
      <w:proofErr w:type="gramEnd"/>
      <w:r>
        <w:t>/</w:t>
      </w:r>
      <w:proofErr w:type="gramStart"/>
      <w:r>
        <w:t>29/23)) или в отношении определенной группы (например, женщин</w:t>
      </w:r>
      <w:r w:rsidR="00D04A9D" w:rsidRPr="00E14097">
        <w:rPr>
          <w:rStyle w:val="FootnoteReference"/>
        </w:rPr>
        <w:footnoteReference w:id="15"/>
      </w:r>
      <w:r>
        <w:t>, инвалидов</w:t>
      </w:r>
      <w:r w:rsidR="00D04A9D" w:rsidRPr="00E14097">
        <w:rPr>
          <w:rStyle w:val="FootnoteReference"/>
        </w:rPr>
        <w:footnoteReference w:id="16"/>
      </w:r>
      <w:r>
        <w:t xml:space="preserve"> и мен</w:t>
      </w:r>
      <w:r>
        <w:t>ь</w:t>
      </w:r>
      <w:r>
        <w:t>шинств (A/HRC/28/30, пункты 13</w:t>
      </w:r>
      <w:r w:rsidR="00D04A9D">
        <w:t>–</w:t>
      </w:r>
      <w:r>
        <w:t>14); A/69/66).</w:t>
      </w:r>
      <w:proofErr w:type="gramEnd"/>
      <w:r>
        <w:t xml:space="preserve"> Рассмотрение вопроса о пред</w:t>
      </w:r>
      <w:r>
        <w:t>у</w:t>
      </w:r>
      <w:r>
        <w:t>преждении нарушений этих конкретных прав указывает на наличие некоторых общих черт и подходов к предупреждению, в том числе в отношении выявления рисков и смягчающих обстоятельств, а также развитие ряда практических и</w:t>
      </w:r>
      <w:r>
        <w:t>н</w:t>
      </w:r>
      <w:r>
        <w:t>струментов.</w:t>
      </w:r>
    </w:p>
    <w:p w:rsidR="007A5CEC" w:rsidRDefault="007A5CEC" w:rsidP="007A5CEC">
      <w:pPr>
        <w:pStyle w:val="SingleTxt"/>
      </w:pPr>
      <w:r>
        <w:t>6.</w:t>
      </w:r>
      <w:r w:rsidR="00D04A9D">
        <w:tab/>
      </w:r>
      <w:proofErr w:type="gramStart"/>
      <w:r>
        <w:t>Например, для предупреждения геноцида, военных преступлений, этнич</w:t>
      </w:r>
      <w:r>
        <w:t>е</w:t>
      </w:r>
      <w:r>
        <w:t>ских чисток и преступлений против человечества требуются «непрерывные ус</w:t>
      </w:r>
      <w:r>
        <w:t>и</w:t>
      </w:r>
      <w:r>
        <w:t>лия по укреплению устойчивости обществ к злодеяниям путем обеспечения с</w:t>
      </w:r>
      <w:r>
        <w:t>о</w:t>
      </w:r>
      <w:r>
        <w:t>блюдения верховенства права и защиты всех прав человека без какой-либо ди</w:t>
      </w:r>
      <w:r>
        <w:t>с</w:t>
      </w:r>
      <w:r>
        <w:t>криминации, создания легитимных и подотчетных национальных учреждений, ликвидации коррупции, конструктивного подхода к многообразию и поддержки более прочного и разнообразного гражданского общества и плюралистических средств массовой информации»</w:t>
      </w:r>
      <w:r w:rsidR="00D04A9D" w:rsidRPr="00E14097">
        <w:rPr>
          <w:rStyle w:val="FootnoteReference"/>
        </w:rPr>
        <w:footnoteReference w:id="17"/>
      </w:r>
      <w:r>
        <w:t>. Кроме</w:t>
      </w:r>
      <w:proofErr w:type="gramEnd"/>
      <w:r>
        <w:t xml:space="preserve"> того, задача Протокола о предупрежд</w:t>
      </w:r>
      <w:r>
        <w:t>е</w:t>
      </w:r>
      <w:r>
        <w:t>нии преступления геноцида, военных преступлений и преступлений против ч</w:t>
      </w:r>
      <w:r>
        <w:t>е</w:t>
      </w:r>
      <w:r>
        <w:t>ловечности и всех форм дискриминации, а также наказании за них</w:t>
      </w:r>
      <w:r w:rsidR="00D04A9D" w:rsidRPr="00E14097">
        <w:rPr>
          <w:rStyle w:val="FootnoteReference"/>
        </w:rPr>
        <w:footnoteReference w:id="18"/>
      </w:r>
      <w:r>
        <w:t xml:space="preserve"> заключается в том, чтобы заставить государства реагировать на глубинные причины путем з</w:t>
      </w:r>
      <w:r>
        <w:t>а</w:t>
      </w:r>
      <w:r>
        <w:t>прещения дискриминации и осуждения дискриминационных идеологий, борьбы с безнаказанностью и создания механизмов раннего предупреждения.</w:t>
      </w:r>
    </w:p>
    <w:p w:rsidR="007A5CEC" w:rsidRDefault="007A5CEC" w:rsidP="007A5CEC">
      <w:pPr>
        <w:pStyle w:val="SingleTxt"/>
      </w:pPr>
      <w:r>
        <w:t>7.</w:t>
      </w:r>
      <w:r w:rsidR="00D04A9D">
        <w:tab/>
      </w:r>
      <w:proofErr w:type="gramStart"/>
      <w:r>
        <w:t>Некоторые договорные положения указывают на обязательство негативного результата (предупреждение считается успешным тогда, когда отсутствуют к</w:t>
      </w:r>
      <w:r>
        <w:t>а</w:t>
      </w:r>
      <w:r>
        <w:t>кие-либо нарушения)</w:t>
      </w:r>
      <w:r w:rsidR="00D04A9D" w:rsidRPr="00E14097">
        <w:rPr>
          <w:rStyle w:val="FootnoteReference"/>
        </w:rPr>
        <w:footnoteReference w:id="19"/>
      </w:r>
      <w:r>
        <w:t>, в то время как в ряде других случаев предупреждение может рассматриваться как обязательство позитивного поведения (осуществл</w:t>
      </w:r>
      <w:r>
        <w:t>е</w:t>
      </w:r>
      <w:r>
        <w:t>ние всех необходимых шагов для принятия конкретных и эффективных мер по предупреждению нарушений)</w:t>
      </w:r>
      <w:r w:rsidR="00D04A9D" w:rsidRPr="00E14097">
        <w:rPr>
          <w:rStyle w:val="FootnoteReference"/>
        </w:rPr>
        <w:footnoteReference w:id="20"/>
      </w:r>
      <w:r>
        <w:t>. Международный Суд постановил, что обязател</w:t>
      </w:r>
      <w:r>
        <w:t>ь</w:t>
      </w:r>
      <w:r>
        <w:t>ство предупреждать геноцид представляет собой обязательство поведения, а не результата, в том</w:t>
      </w:r>
      <w:proofErr w:type="gramEnd"/>
      <w:r>
        <w:t xml:space="preserve"> </w:t>
      </w:r>
      <w:proofErr w:type="gramStart"/>
      <w:r>
        <w:t>смысле</w:t>
      </w:r>
      <w:proofErr w:type="gramEnd"/>
      <w:r>
        <w:t xml:space="preserve">, что то или иное государство не может быть связанным обязательством добиться успеха, какими бы ни были обстоятельства, в области предупреждения совершения геноцида; </w:t>
      </w:r>
      <w:proofErr w:type="gramStart"/>
      <w:r>
        <w:t>обязательство скорее состоит в том, чт</w:t>
      </w:r>
      <w:r>
        <w:t>о</w:t>
      </w:r>
      <w:r>
        <w:t>бы применять все разумно доступные для них средства для предупреждения г</w:t>
      </w:r>
      <w:r>
        <w:t>е</w:t>
      </w:r>
      <w:r>
        <w:t>ноцида настолько, насколько это возможно</w:t>
      </w:r>
      <w:r w:rsidR="00D04A9D" w:rsidRPr="00E14097">
        <w:rPr>
          <w:rStyle w:val="FootnoteReference"/>
        </w:rPr>
        <w:footnoteReference w:id="21"/>
      </w:r>
      <w:r>
        <w:t>. В этом отношении статья 6 Догов</w:t>
      </w:r>
      <w:r>
        <w:t>о</w:t>
      </w:r>
      <w:r>
        <w:t>ра о торговле оружием запрещает любую передачу обычных видов оружия в тех случаях, когда государству-участнику известно в момент выдачи разрешения, что оружие будет использоваться преимущественно для совершения геноцида и пр</w:t>
      </w:r>
      <w:r>
        <w:t>е</w:t>
      </w:r>
      <w:r>
        <w:t>ступлений против человечности.</w:t>
      </w:r>
      <w:proofErr w:type="gramEnd"/>
    </w:p>
    <w:p w:rsidR="007A5CEC" w:rsidRDefault="007A5CEC" w:rsidP="007A5CEC">
      <w:pPr>
        <w:pStyle w:val="SingleTxt"/>
      </w:pPr>
      <w:r>
        <w:t>8.</w:t>
      </w:r>
      <w:r w:rsidR="00D04A9D">
        <w:tab/>
      </w:r>
      <w:proofErr w:type="gramStart"/>
      <w:r>
        <w:t>Кроме того, в терминологии, используемой</w:t>
      </w:r>
      <w:r w:rsidR="00D04A9D">
        <w:t>,</w:t>
      </w:r>
      <w:r>
        <w:t xml:space="preserve"> в частности</w:t>
      </w:r>
      <w:r w:rsidR="00D04A9D">
        <w:t>,</w:t>
      </w:r>
      <w:r>
        <w:t xml:space="preserve"> применительно к предупреждению пыток, целесообразно проводится различие между конкретн</w:t>
      </w:r>
      <w:r>
        <w:t>ы</w:t>
      </w:r>
      <w:r>
        <w:t>ми практическими мерами, которые необходимо принимать в превентивных ц</w:t>
      </w:r>
      <w:r>
        <w:t>е</w:t>
      </w:r>
      <w:r>
        <w:t>лях (прямое предупреждение или смягчение последствий), и теми, которые нео</w:t>
      </w:r>
      <w:r>
        <w:t>б</w:t>
      </w:r>
      <w:r>
        <w:t>ходимо принимать в ответ на нарушения с целью их устранения и предупрежд</w:t>
      </w:r>
      <w:r>
        <w:t>е</w:t>
      </w:r>
      <w:r>
        <w:t>ния их повторения (косвенное предупреждение или недопущение повторения нарушений)</w:t>
      </w:r>
      <w:r w:rsidR="00D04A9D" w:rsidRPr="00E14097">
        <w:rPr>
          <w:rStyle w:val="FootnoteReference"/>
        </w:rPr>
        <w:footnoteReference w:id="22"/>
      </w:r>
      <w:r>
        <w:t>.</w:t>
      </w:r>
      <w:proofErr w:type="gramEnd"/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7A5CEC" w:rsidRDefault="007A5CEC" w:rsidP="00D04A9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Прямое предупреждение или смягчение последствий</w:t>
      </w:r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9.</w:t>
      </w:r>
      <w:r w:rsidR="00D04A9D">
        <w:tab/>
      </w:r>
      <w:r>
        <w:t>Прямое предупреждение направлено на устранение факторов риска и созд</w:t>
      </w:r>
      <w:r>
        <w:t>а</w:t>
      </w:r>
      <w:r>
        <w:t>ние правовых, административных и политических рамок, предназначенных для предупреждения нарушений. Оно также зависит от формирования культуры ув</w:t>
      </w:r>
      <w:r>
        <w:t>а</w:t>
      </w:r>
      <w:r>
        <w:t>жения прав человека, добросовестного управления</w:t>
      </w:r>
      <w:r w:rsidR="00D04A9D" w:rsidRPr="00E14097">
        <w:rPr>
          <w:rStyle w:val="FootnoteReference"/>
        </w:rPr>
        <w:footnoteReference w:id="23"/>
      </w:r>
      <w:r>
        <w:t xml:space="preserve"> и верховенства права, и от создания благоприятных условий для развития динамичного гражданского общ</w:t>
      </w:r>
      <w:r>
        <w:t>е</w:t>
      </w:r>
      <w:r>
        <w:t>ства и свободной прессы. Например, предупреждение пыток и других жестоких, бесчеловечных и унижающих достоинство видов обращения и наказания подр</w:t>
      </w:r>
      <w:r>
        <w:t>а</w:t>
      </w:r>
      <w:r>
        <w:t>зумевает принятие законов, запрещающих их использование, и предоставление возможности для привлечения к ответственности тех, кто их нарушает. Кроме т</w:t>
      </w:r>
      <w:r>
        <w:t>о</w:t>
      </w:r>
      <w:r>
        <w:t>го, оно включает в себя создание процессуальных гарантий – таких как журналы записей в местах содержания под стражей и видеозаписи допросов</w:t>
      </w:r>
      <w:r w:rsidR="00D04A9D">
        <w:t>,</w:t>
      </w:r>
      <w:r>
        <w:t xml:space="preserve"> – а также обеспечение независимого надзора, включая регулярный мониторинг мест с</w:t>
      </w:r>
      <w:r>
        <w:t>о</w:t>
      </w:r>
      <w:r>
        <w:t>держания под стражей независимыми органами.</w:t>
      </w:r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7A5CEC" w:rsidRDefault="007A5CEC" w:rsidP="00D04A9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Косвенное предупреждение или недопущение повторения нарушений</w:t>
      </w:r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D04A9D" w:rsidRPr="00D04A9D" w:rsidRDefault="00D04A9D" w:rsidP="00D04A9D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10.</w:t>
      </w:r>
      <w:r w:rsidR="00D04A9D">
        <w:tab/>
      </w:r>
      <w:r>
        <w:t>Косвенное предупреждение нарушений прав человека или недопущение п</w:t>
      </w:r>
      <w:r>
        <w:t>о</w:t>
      </w:r>
      <w:r>
        <w:t xml:space="preserve">вторения нарушений происходит после того, как имело место нарушение. </w:t>
      </w:r>
      <w:proofErr w:type="gramStart"/>
      <w:r>
        <w:t>Его цель состоит в том, чтобы не допустить повторения нарушений, выявляя и устраняя причины нарушений всех прав человека</w:t>
      </w:r>
      <w:r w:rsidR="00D04A9D" w:rsidRPr="00E14097">
        <w:rPr>
          <w:rStyle w:val="FootnoteReference"/>
        </w:rPr>
        <w:footnoteReference w:id="24"/>
      </w:r>
      <w:r>
        <w:t xml:space="preserve"> путем проведения расслед</w:t>
      </w:r>
      <w:r>
        <w:t>о</w:t>
      </w:r>
      <w:r>
        <w:t>вания и судебного преследования</w:t>
      </w:r>
      <w:r w:rsidR="00D04A9D">
        <w:t xml:space="preserve"> при обеспечении права</w:t>
      </w:r>
      <w:r>
        <w:t xml:space="preserve"> жертв и обществ знать правду о нарушениях, а также прав</w:t>
      </w:r>
      <w:r w:rsidR="00D04A9D">
        <w:t>а</w:t>
      </w:r>
      <w:r>
        <w:t xml:space="preserve"> жертв на эффективную правовую защиту</w:t>
      </w:r>
      <w:r w:rsidR="00D04A9D" w:rsidRPr="00E14097">
        <w:rPr>
          <w:rStyle w:val="FootnoteReference"/>
        </w:rPr>
        <w:footnoteReference w:id="25"/>
      </w:r>
      <w:r>
        <w:t xml:space="preserve"> в соответствии с международным правом</w:t>
      </w:r>
      <w:r w:rsidR="004E0B29" w:rsidRPr="00E14097">
        <w:rPr>
          <w:rStyle w:val="FootnoteReference"/>
        </w:rPr>
        <w:footnoteReference w:id="26"/>
      </w:r>
      <w:r>
        <w:t>. Действительно, «важнейшую часть с</w:t>
      </w:r>
      <w:r>
        <w:t>и</w:t>
      </w:r>
      <w:r>
        <w:t>стемы предупреждения составляют эффективные национальные механизмы ко</w:t>
      </w:r>
      <w:r>
        <w:t>н</w:t>
      </w:r>
      <w:r>
        <w:t>троля, включая механизмы рассмотрения</w:t>
      </w:r>
      <w:proofErr w:type="gramEnd"/>
      <w:r>
        <w:t xml:space="preserve"> жалоб. Эти механизмы </w:t>
      </w:r>
      <w:proofErr w:type="gramStart"/>
      <w:r>
        <w:t>будут прин</w:t>
      </w:r>
      <w:r>
        <w:t>и</w:t>
      </w:r>
      <w:r>
        <w:t>мать самые разные формы и</w:t>
      </w:r>
      <w:proofErr w:type="gramEnd"/>
      <w:r>
        <w:t xml:space="preserve"> будут действовать на многих уровнях» </w:t>
      </w:r>
      <w:r w:rsidR="004E0B29">
        <w:t>(</w:t>
      </w:r>
      <w:r>
        <w:t>CAT/OP/</w:t>
      </w:r>
      <w:r w:rsidR="004E0B29">
        <w:br/>
      </w:r>
      <w:r>
        <w:t>12/6, пункт 5 g)).</w:t>
      </w: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7A5CEC" w:rsidRDefault="007A5CEC" w:rsidP="004E0B29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III.</w:t>
      </w:r>
      <w:r>
        <w:tab/>
        <w:t>Предупреждение на практике</w:t>
      </w: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11.</w:t>
      </w:r>
      <w:r w:rsidR="004E0B29">
        <w:tab/>
      </w:r>
      <w:r>
        <w:t>В этом разделе будет рассматриваться вопрос о практическом осуществл</w:t>
      </w:r>
      <w:r>
        <w:t>е</w:t>
      </w:r>
      <w:r>
        <w:t>нии предупреждения нарушений, а именно о важности создания законодател</w:t>
      </w:r>
      <w:r>
        <w:t>ь</w:t>
      </w:r>
      <w:r>
        <w:t>ных и институциональных основ предупреждения, о решающей роли образов</w:t>
      </w:r>
      <w:r>
        <w:t>а</w:t>
      </w:r>
      <w:r>
        <w:t>ния в области прав человека, а также о том, каким образом инструменты план</w:t>
      </w:r>
      <w:r>
        <w:t>и</w:t>
      </w:r>
      <w:r>
        <w:t>рования и мониторинга могут способствовать предупреждению, в частности в области разработки политики.</w:t>
      </w: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7A5CEC" w:rsidRDefault="007A5CEC" w:rsidP="004E0B2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  <w:t>Законодательные и институциональные основы предупреждения</w:t>
      </w: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4E0B29" w:rsidRPr="004E0B29" w:rsidRDefault="004E0B29" w:rsidP="004E0B29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12.</w:t>
      </w:r>
      <w:r w:rsidR="004E0B29">
        <w:tab/>
      </w:r>
      <w:r>
        <w:t>Создание превентивных законодательных и институциональных основ тр</w:t>
      </w:r>
      <w:r>
        <w:t>е</w:t>
      </w:r>
      <w:r>
        <w:t>бует согласованного и взаимодополняющего комплекса действий, подкрепленн</w:t>
      </w:r>
      <w:r>
        <w:t>о</w:t>
      </w:r>
      <w:r>
        <w:t>го подходом, предполагающим инклюзивное и всеобщее участие, в том числе женщин и других лиц, подвергающихся дискриминации</w:t>
      </w:r>
      <w:r w:rsidR="00420910">
        <w:t>.</w:t>
      </w:r>
      <w:r>
        <w:t xml:space="preserve"> В качестве первого шага процесс предупреждения предполагает ратификацию договоров по правам чел</w:t>
      </w:r>
      <w:r>
        <w:t>о</w:t>
      </w:r>
      <w:r w:rsidR="004E0B29">
        <w:t>века</w:t>
      </w:r>
      <w:r w:rsidR="004E0B29" w:rsidRPr="00E14097">
        <w:rPr>
          <w:rStyle w:val="FootnoteReference"/>
        </w:rPr>
        <w:footnoteReference w:id="27"/>
      </w:r>
      <w:r>
        <w:t xml:space="preserve"> и принятие законов и политики, которые гарантируют права человека в з</w:t>
      </w:r>
      <w:r>
        <w:t>а</w:t>
      </w:r>
      <w:r>
        <w:t>конодательстве и на практике. Например, для государственных органов он может включать в себя введение позитивного обязательства должным образом учит</w:t>
      </w:r>
      <w:r>
        <w:t>ы</w:t>
      </w:r>
      <w:r>
        <w:t>вать в своей работе права человека и равенство и осуществлять свою деятел</w:t>
      </w:r>
      <w:r>
        <w:t>ь</w:t>
      </w:r>
      <w:r>
        <w:t xml:space="preserve">ность в </w:t>
      </w:r>
      <w:r w:rsidR="004E0B29">
        <w:t>соответствии с правами человека</w:t>
      </w:r>
      <w:r w:rsidR="004E0B29" w:rsidRPr="00E14097">
        <w:rPr>
          <w:rStyle w:val="FootnoteReference"/>
        </w:rPr>
        <w:footnoteReference w:id="28"/>
      </w:r>
      <w:r>
        <w:t>.</w:t>
      </w:r>
    </w:p>
    <w:p w:rsidR="007A5CEC" w:rsidRDefault="007A5CEC" w:rsidP="007A5CEC">
      <w:pPr>
        <w:pStyle w:val="SingleTxt"/>
      </w:pPr>
      <w:r>
        <w:t>13.</w:t>
      </w:r>
      <w:r w:rsidR="004E0B29">
        <w:tab/>
      </w:r>
      <w:r>
        <w:t xml:space="preserve">Важной гарантией является регулярный и систематический </w:t>
      </w:r>
      <w:r w:rsidR="004E0B29">
        <w:t>обзор</w:t>
      </w:r>
      <w:r>
        <w:t xml:space="preserve"> сущ</w:t>
      </w:r>
      <w:r>
        <w:t>е</w:t>
      </w:r>
      <w:r>
        <w:t xml:space="preserve">ствующего и предлагаемого законодательства на </w:t>
      </w:r>
      <w:r w:rsidR="004E0B29">
        <w:t>предмет соблюдения</w:t>
      </w:r>
      <w:r>
        <w:t xml:space="preserve"> обяз</w:t>
      </w:r>
      <w:r>
        <w:t>а</w:t>
      </w:r>
      <w:r>
        <w:t>тельств государ</w:t>
      </w:r>
      <w:r w:rsidR="004E0B29">
        <w:t>ства в области прав человека</w:t>
      </w:r>
      <w:r w:rsidR="004E0B29" w:rsidRPr="00E14097">
        <w:rPr>
          <w:rStyle w:val="FootnoteReference"/>
        </w:rPr>
        <w:footnoteReference w:id="29"/>
      </w:r>
      <w:r>
        <w:t xml:space="preserve">. Подобный </w:t>
      </w:r>
      <w:r w:rsidR="004E0B29">
        <w:t>обзор</w:t>
      </w:r>
      <w:r>
        <w:t xml:space="preserve"> может осущест</w:t>
      </w:r>
      <w:r>
        <w:t>в</w:t>
      </w:r>
      <w:r>
        <w:t>ляться в рамках судебного, парламентского или внутреннего государственного процесса. Национальные правозащитные учреждения</w:t>
      </w:r>
      <w:r w:rsidR="004E0B29" w:rsidRPr="00E14097">
        <w:rPr>
          <w:rStyle w:val="FootnoteReference"/>
        </w:rPr>
        <w:footnoteReference w:id="30"/>
      </w:r>
      <w:r>
        <w:t xml:space="preserve"> могут быть конкретно уполномочены дополнить такой </w:t>
      </w:r>
      <w:r w:rsidR="004E0B29">
        <w:t>обзор</w:t>
      </w:r>
      <w:r>
        <w:t xml:space="preserve"> и предоставить соответствующим органам информацию о совместимости или рекомендации, ведущие к изменениям в пре</w:t>
      </w:r>
      <w:r>
        <w:t>д</w:t>
      </w:r>
      <w:r>
        <w:t xml:space="preserve">лагаемых законах или политике. </w:t>
      </w:r>
      <w:proofErr w:type="gramStart"/>
      <w:r w:rsidR="004E0B29">
        <w:t>Обзор</w:t>
      </w:r>
      <w:r>
        <w:t xml:space="preserve"> может также предполагать представление законопроекта тому или иному органу перед его отправкой в законодательный орган в сопровождении документа, по</w:t>
      </w:r>
      <w:r w:rsidR="00420910">
        <w:t>д</w:t>
      </w:r>
      <w:r>
        <w:t>тверждающего, что он был рассмотрен и является совместимым с обязательствами государства в области прав человека</w:t>
      </w:r>
      <w:r w:rsidR="004E0B29" w:rsidRPr="00E14097">
        <w:rPr>
          <w:rStyle w:val="FootnoteReference"/>
        </w:rPr>
        <w:footnoteReference w:id="31"/>
      </w:r>
      <w:r>
        <w:t xml:space="preserve">. Процесс </w:t>
      </w:r>
      <w:r w:rsidR="004E0B29">
        <w:t>обзора</w:t>
      </w:r>
      <w:r>
        <w:t xml:space="preserve"> может включать в себя консультации с другими субъектами, т</w:t>
      </w:r>
      <w:r>
        <w:t>а</w:t>
      </w:r>
      <w:r>
        <w:t>кими как гражданское общество, с целью представления дополнительной инфо</w:t>
      </w:r>
      <w:r>
        <w:t>р</w:t>
      </w:r>
      <w:r>
        <w:t>мации и специальных знаний на протяжении всего процесса</w:t>
      </w:r>
      <w:proofErr w:type="gramEnd"/>
      <w:r>
        <w:t xml:space="preserve"> законотворчества</w:t>
      </w:r>
      <w:r w:rsidR="004E0B29" w:rsidRPr="00E14097">
        <w:rPr>
          <w:rStyle w:val="FootnoteReference"/>
        </w:rPr>
        <w:footnoteReference w:id="32"/>
      </w:r>
      <w:r>
        <w:t xml:space="preserve">. Органы, уполномоченные проводить такой </w:t>
      </w:r>
      <w:r w:rsidR="004E0B29">
        <w:t>обзор</w:t>
      </w:r>
      <w:r>
        <w:t>, должны быть независимыми, беспристрастными, а их замечания должны приниматься во внимание при пер</w:t>
      </w:r>
      <w:r>
        <w:t>е</w:t>
      </w:r>
      <w:r>
        <w:t>работке законодательства или политики.</w:t>
      </w:r>
    </w:p>
    <w:p w:rsidR="007A5CEC" w:rsidRDefault="007A5CEC" w:rsidP="007A5CEC">
      <w:pPr>
        <w:pStyle w:val="SingleTxt"/>
      </w:pPr>
      <w:r>
        <w:t>14.</w:t>
      </w:r>
      <w:r w:rsidR="004E0B29">
        <w:tab/>
      </w:r>
      <w:r>
        <w:t>Кроме того, международные правозащитные нормы и стандарты должны стать частью нацио</w:t>
      </w:r>
      <w:r w:rsidR="004E0B29">
        <w:t>нальной правовой системы</w:t>
      </w:r>
      <w:r w:rsidR="004E0B29" w:rsidRPr="00E14097">
        <w:rPr>
          <w:rStyle w:val="FootnoteReference"/>
        </w:rPr>
        <w:footnoteReference w:id="33"/>
      </w:r>
      <w:r>
        <w:t>, что позволит их использовать в национальных судах. Для этого потребуется создание эффективной системы о</w:t>
      </w:r>
      <w:r>
        <w:t>т</w:t>
      </w:r>
      <w:r>
        <w:t>правления правосудия</w:t>
      </w:r>
      <w:r w:rsidR="004E0B29" w:rsidRPr="00E14097">
        <w:rPr>
          <w:rStyle w:val="FootnoteReference"/>
        </w:rPr>
        <w:footnoteReference w:id="34"/>
      </w:r>
      <w:r>
        <w:t>, в рамках которой суды будут уполномочены толковать конституционные положения в соответствии с обязательствами государства в о</w:t>
      </w:r>
      <w:r>
        <w:t>б</w:t>
      </w:r>
      <w:r>
        <w:t xml:space="preserve">ласти прав человека и международной или </w:t>
      </w:r>
      <w:r w:rsidR="004E0B29">
        <w:t>региональной судебной практикой</w:t>
      </w:r>
      <w:r w:rsidR="004E0B29" w:rsidRPr="00E14097">
        <w:rPr>
          <w:rStyle w:val="FootnoteReference"/>
        </w:rPr>
        <w:footnoteReference w:id="35"/>
      </w:r>
      <w:r>
        <w:t xml:space="preserve"> и отменять законы, которые считаются неконституционными</w:t>
      </w:r>
      <w:r w:rsidR="004E0B29" w:rsidRPr="00E14097">
        <w:rPr>
          <w:rStyle w:val="FootnoteReference"/>
        </w:rPr>
        <w:footnoteReference w:id="36"/>
      </w:r>
      <w:r>
        <w:t>.</w:t>
      </w:r>
    </w:p>
    <w:p w:rsidR="00B32F46" w:rsidRPr="00B32F46" w:rsidRDefault="00B32F46" w:rsidP="00B32F46">
      <w:pPr>
        <w:pStyle w:val="SingleTxt"/>
        <w:spacing w:after="0" w:line="120" w:lineRule="exact"/>
        <w:rPr>
          <w:sz w:val="10"/>
        </w:rPr>
      </w:pPr>
    </w:p>
    <w:p w:rsidR="007A5CEC" w:rsidRDefault="007A5CEC" w:rsidP="00B32F4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Необходимость подхода к предупрежде</w:t>
      </w:r>
      <w:r w:rsidR="00B32F46">
        <w:t>нию, сфокусированного на жертве</w:t>
      </w:r>
    </w:p>
    <w:p w:rsidR="00B32F46" w:rsidRPr="00B32F46" w:rsidRDefault="00B32F46" w:rsidP="00B32F46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15.</w:t>
      </w:r>
      <w:r w:rsidR="00B32F46">
        <w:tab/>
      </w:r>
      <w:r>
        <w:t>Необходимо ввести в действие положения, позволяющие обеспечить жертв эффективными средствами правовой защиты. Ключевую роль также играет с</w:t>
      </w:r>
      <w:r>
        <w:t>о</w:t>
      </w:r>
      <w:r>
        <w:t>здание действенных механизмов мониторинга, позволяющих обнаруживать фа</w:t>
      </w:r>
      <w:r>
        <w:t>к</w:t>
      </w:r>
      <w:r>
        <w:t>тические и потенциальные нарушения и гарантировать отсутствие дискримин</w:t>
      </w:r>
      <w:r>
        <w:t>а</w:t>
      </w:r>
      <w:r>
        <w:t xml:space="preserve">ции по закону, в политике и на практике в отношении групп или отдельных лиц. Действительно, предупреждение является «в одинаковой </w:t>
      </w:r>
      <w:proofErr w:type="gramStart"/>
      <w:r>
        <w:t>мере</w:t>
      </w:r>
      <w:proofErr w:type="gramEnd"/>
      <w:r>
        <w:t xml:space="preserve"> как практикой, так и содержанием законодательных, административных, судебных и иных мер гос</w:t>
      </w:r>
      <w:r>
        <w:t>у</w:t>
      </w:r>
      <w:r>
        <w:t>дарства» (CAT/OP/12/6, пункт 3).</w:t>
      </w:r>
    </w:p>
    <w:p w:rsidR="007A5CEC" w:rsidRDefault="007A5CEC" w:rsidP="007A5CEC">
      <w:pPr>
        <w:pStyle w:val="SingleTxt"/>
      </w:pPr>
      <w:r>
        <w:t>16.</w:t>
      </w:r>
      <w:r w:rsidR="00B32F46">
        <w:tab/>
      </w:r>
      <w:r>
        <w:t>Правовая система должна быть доступной для всех без дискриминации по каким-либо признакам, включая национальность, финансовые средства и язык. Для этого, в свою очередь, необходимо, чтобы жертвы знали о своих правах, д</w:t>
      </w:r>
      <w:r>
        <w:t>о</w:t>
      </w:r>
      <w:r>
        <w:t>ступных средствах правовой защиты и способах получения доступа к ним. Ан</w:t>
      </w:r>
      <w:r>
        <w:t>а</w:t>
      </w:r>
      <w:r>
        <w:t>логичные вопросы возникают и в случаях, когда применяются несудебные сре</w:t>
      </w:r>
      <w:r>
        <w:t>д</w:t>
      </w:r>
      <w:r>
        <w:t>ства защиты прав. Доступности сре</w:t>
      </w:r>
      <w:proofErr w:type="gramStart"/>
      <w:r>
        <w:t>дств пр</w:t>
      </w:r>
      <w:proofErr w:type="gramEnd"/>
      <w:r>
        <w:t>авовой защиты может способствовать предоставление жертвам нарушений прав человека бесплатных юридических консультаций и услуг со стороны национальных правозащитных учреждений, гражданского общества и ассоциаций адвокатов.</w:t>
      </w:r>
    </w:p>
    <w:p w:rsidR="00B32F46" w:rsidRPr="00B32F46" w:rsidRDefault="00B32F46" w:rsidP="00B32F46">
      <w:pPr>
        <w:pStyle w:val="SingleTxt"/>
        <w:spacing w:after="0" w:line="120" w:lineRule="exact"/>
        <w:rPr>
          <w:sz w:val="10"/>
        </w:rPr>
      </w:pPr>
    </w:p>
    <w:p w:rsidR="007A5CEC" w:rsidRDefault="007A5CEC" w:rsidP="005D4241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 w:hanging="1267"/>
      </w:pPr>
      <w:r>
        <w:tab/>
      </w:r>
      <w:r>
        <w:tab/>
        <w:t>Национ</w:t>
      </w:r>
      <w:r w:rsidR="00B32F46">
        <w:t>альные правозащитные учреждения</w:t>
      </w:r>
    </w:p>
    <w:p w:rsidR="00B32F46" w:rsidRPr="00B32F46" w:rsidRDefault="00B32F46" w:rsidP="00B32F46">
      <w:pPr>
        <w:pStyle w:val="SingleTxt"/>
        <w:spacing w:after="0" w:line="120" w:lineRule="exact"/>
        <w:rPr>
          <w:sz w:val="10"/>
        </w:rPr>
      </w:pPr>
    </w:p>
    <w:p w:rsidR="007A5CEC" w:rsidRDefault="00B32F46" w:rsidP="007A5CEC">
      <w:pPr>
        <w:pStyle w:val="SingleTxt"/>
      </w:pPr>
      <w:r>
        <w:t>17.</w:t>
      </w:r>
      <w:r>
        <w:tab/>
        <w:t>Создание НПЗУ</w:t>
      </w:r>
      <w:r w:rsidR="007A5CEC">
        <w:t xml:space="preserve"> в соответствии с Парижскими принципами</w:t>
      </w:r>
      <w:r w:rsidRPr="00E14097">
        <w:rPr>
          <w:rStyle w:val="FootnoteReference"/>
        </w:rPr>
        <w:footnoteReference w:id="37"/>
      </w:r>
      <w:r w:rsidR="007A5CEC">
        <w:t xml:space="preserve"> является еще одним важным институциональным элементом превентивной базы. Некоторые из них специально уполномочены содействовать предупреждению нарушений</w:t>
      </w:r>
      <w:r w:rsidRPr="00E14097">
        <w:rPr>
          <w:rStyle w:val="FootnoteReference"/>
        </w:rPr>
        <w:footnoteReference w:id="38"/>
      </w:r>
      <w:r w:rsidR="007A5CEC">
        <w:t xml:space="preserve">, расследовать жалобы и проводить процедуры примирения, </w:t>
      </w:r>
      <w:r>
        <w:t>посредничества</w:t>
      </w:r>
      <w:r w:rsidR="007A5CEC">
        <w:t xml:space="preserve"> и урегулирования, а также анализировать глубинные причины этих нарушений и рекомендовать меры по их устранению для предотвращения возможного повт</w:t>
      </w:r>
      <w:r w:rsidR="007A5CEC">
        <w:t>о</w:t>
      </w:r>
      <w:r w:rsidR="007A5CEC">
        <w:t>рения. Их вклад в области косвенного предупреждения может оказаться более существенным в том случае, если они будут уполномочены рассматривать прав</w:t>
      </w:r>
      <w:r w:rsidR="007A5CEC">
        <w:t>и</w:t>
      </w:r>
      <w:r w:rsidR="007A5CEC">
        <w:t>тельственную политику, лежащую в основе проблемы. Некоторые НПЗУ могут также делать заявления в суде относительно обязательств государства в рамках международного пра</w:t>
      </w:r>
      <w:r>
        <w:t>ва прав челов</w:t>
      </w:r>
      <w:r w:rsidR="00A70B1E">
        <w:t>ек</w:t>
      </w:r>
      <w:r>
        <w:t>а</w:t>
      </w:r>
      <w:r w:rsidRPr="00E14097">
        <w:rPr>
          <w:rStyle w:val="FootnoteReference"/>
        </w:rPr>
        <w:footnoteReference w:id="39"/>
      </w:r>
      <w:r w:rsidR="007A5CEC">
        <w:t>.</w:t>
      </w:r>
    </w:p>
    <w:p w:rsidR="007A5CEC" w:rsidRDefault="007A5CEC" w:rsidP="007A5CEC">
      <w:pPr>
        <w:pStyle w:val="SingleTxt"/>
      </w:pPr>
      <w:r>
        <w:t>18.</w:t>
      </w:r>
      <w:r w:rsidR="00B32F46">
        <w:tab/>
      </w:r>
      <w:proofErr w:type="gramStart"/>
      <w:r>
        <w:t>НПЗУ также способствуют принятию прямых превентивных мер путем п</w:t>
      </w:r>
      <w:r>
        <w:t>о</w:t>
      </w:r>
      <w:r>
        <w:t>сещения объектов и проведения расследований в местах, где со</w:t>
      </w:r>
      <w:r w:rsidR="00B32F46">
        <w:t>держатся лица, лишенные свободы</w:t>
      </w:r>
      <w:r w:rsidR="00B32F46" w:rsidRPr="00E14097">
        <w:rPr>
          <w:rStyle w:val="FootnoteReference"/>
        </w:rPr>
        <w:footnoteReference w:id="40"/>
      </w:r>
      <w:r>
        <w:t>, а некоторые из них официально признаны в качестве нац</w:t>
      </w:r>
      <w:r>
        <w:t>и</w:t>
      </w:r>
      <w:r>
        <w:t>ональных превентивных механизмов (НПМ) в соответствии с Факультативным протоколом к Конвенции против пыток и других жестоких, бесчеловечных или унижающих достоинство видов обращения и наказания.</w:t>
      </w:r>
      <w:proofErr w:type="gramEnd"/>
      <w:r>
        <w:t xml:space="preserve"> Ключом к кардинальным поведенческим и институциональным изменениям является формирование «культуры» мониторинга посредством регулярных проверок без предупреждения и независимых, эффективных и оперативных систем</w:t>
      </w:r>
      <w:r w:rsidR="00B32F46">
        <w:t xml:space="preserve"> рассмотрения жалоб</w:t>
      </w:r>
      <w:r w:rsidR="00B32F46" w:rsidRPr="00E14097">
        <w:rPr>
          <w:rStyle w:val="FootnoteReference"/>
        </w:rPr>
        <w:footnoteReference w:id="41"/>
      </w:r>
      <w:r w:rsidR="00B32F46">
        <w:t>. В </w:t>
      </w:r>
      <w:r>
        <w:t>рамках проверок внимание может уделяться как системным проблемам, так и индивидуальным ситуациям, а их результатом может стать своевременное и</w:t>
      </w:r>
      <w:r>
        <w:t>н</w:t>
      </w:r>
      <w:r>
        <w:t>формирование общественности о выводах и рекомендациях. При этом от лиц, подвергшихся проверке, может потребоваться представление в рамках опред</w:t>
      </w:r>
      <w:r>
        <w:t>е</w:t>
      </w:r>
      <w:r>
        <w:t>ленного срока плана действий с указанием о том, принимаются ли рекомендации полностью или частично или</w:t>
      </w:r>
      <w:r w:rsidR="00B32F46">
        <w:t xml:space="preserve"> же они</w:t>
      </w:r>
      <w:r>
        <w:t xml:space="preserve"> </w:t>
      </w:r>
      <w:proofErr w:type="gramStart"/>
      <w:r>
        <w:t>отвергаются</w:t>
      </w:r>
      <w:proofErr w:type="gramEnd"/>
      <w:r>
        <w:t xml:space="preserve"> и какие меры были приняты или запланированы в этой связи. Этот план, в свою очередь, может подверг</w:t>
      </w:r>
      <w:r w:rsidR="00B32F46">
        <w:t>а</w:t>
      </w:r>
      <w:r>
        <w:t>ться контролю со стороны органа, проводящего проверку, и стать основой для след</w:t>
      </w:r>
      <w:r>
        <w:t>у</w:t>
      </w:r>
      <w:r>
        <w:t>ющей проверки. Таким образом, принятие мер, мониторинг и последующая де</w:t>
      </w:r>
      <w:r>
        <w:t>я</w:t>
      </w:r>
      <w:r>
        <w:t>тельность выстраиваются в регулярную непрерывную систему.</w:t>
      </w:r>
    </w:p>
    <w:p w:rsidR="00B32F46" w:rsidRPr="00B32F46" w:rsidRDefault="00B32F46" w:rsidP="00B32F46">
      <w:pPr>
        <w:pStyle w:val="SingleTxt"/>
        <w:spacing w:after="0" w:line="120" w:lineRule="exact"/>
        <w:rPr>
          <w:sz w:val="10"/>
        </w:rPr>
      </w:pPr>
    </w:p>
    <w:p w:rsidR="007A5CEC" w:rsidRDefault="007A5CEC" w:rsidP="00B32F4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Роль гражданского общества</w:t>
      </w:r>
    </w:p>
    <w:p w:rsidR="00B32F46" w:rsidRPr="00B32F46" w:rsidRDefault="00B32F46" w:rsidP="00B32F46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19.</w:t>
      </w:r>
      <w:r w:rsidR="00B32F46">
        <w:tab/>
      </w:r>
      <w:r>
        <w:t>Другим важным элементом процесса предупреждения является обеспечение защитных и благоприятных условий для гражданского общества в законодател</w:t>
      </w:r>
      <w:r>
        <w:t>ь</w:t>
      </w:r>
      <w:r>
        <w:t>стве и на практике. Это включает в себя благоприятные правовые, институци</w:t>
      </w:r>
      <w:r>
        <w:t>о</w:t>
      </w:r>
      <w:r>
        <w:t>нальные и административные основы; доступ к правосудию и конец безнаказа</w:t>
      </w:r>
      <w:r>
        <w:t>н</w:t>
      </w:r>
      <w:r>
        <w:t>ности за нарушения в отношении защитников; сильные и независимые НПЗУ; эффективные стратегии и механизмы защиты, в которых особое внимание удел</w:t>
      </w:r>
      <w:r>
        <w:t>я</w:t>
      </w:r>
      <w:r>
        <w:t>ется группам риска; особое внимание к женщинам-</w:t>
      </w:r>
      <w:proofErr w:type="spellStart"/>
      <w:r>
        <w:t>правозащитницам</w:t>
      </w:r>
      <w:proofErr w:type="spellEnd"/>
      <w:r>
        <w:t>; негосуда</w:t>
      </w:r>
      <w:r>
        <w:t>р</w:t>
      </w:r>
      <w:r>
        <w:t>ственные субъекты, уважающие и поддерживающие работу правозащитников; безопасный и открытый доступ к междуна</w:t>
      </w:r>
      <w:r w:rsidR="00B32F46">
        <w:t>родным правозащитным органам, а </w:t>
      </w:r>
      <w:r>
        <w:t>также сильное и динамичное сообщество защитников</w:t>
      </w:r>
      <w:r w:rsidR="00B32F46" w:rsidRPr="00E14097">
        <w:rPr>
          <w:rStyle w:val="FootnoteReference"/>
        </w:rPr>
        <w:footnoteReference w:id="42"/>
      </w:r>
      <w:r>
        <w:t>. Следует также запр</w:t>
      </w:r>
      <w:r>
        <w:t>е</w:t>
      </w:r>
      <w:r>
        <w:t>тить карательные меры за общение с национальными, региональными и межд</w:t>
      </w:r>
      <w:r>
        <w:t>у</w:t>
      </w:r>
      <w:r>
        <w:t>народными правозащитными механизмами</w:t>
      </w:r>
      <w:r w:rsidR="00B32F46" w:rsidRPr="00E14097">
        <w:rPr>
          <w:rStyle w:val="FootnoteReference"/>
        </w:rPr>
        <w:footnoteReference w:id="43"/>
      </w:r>
      <w:r>
        <w:t>.</w:t>
      </w:r>
    </w:p>
    <w:p w:rsidR="007A5CEC" w:rsidRDefault="007A5CEC" w:rsidP="007A5CEC">
      <w:pPr>
        <w:pStyle w:val="SingleTxt"/>
      </w:pPr>
      <w:r>
        <w:t>20.</w:t>
      </w:r>
      <w:r w:rsidR="00B32F46">
        <w:tab/>
      </w:r>
      <w:r>
        <w:t>Действительно, гражданскому обществу отводится жизненно важная роль в процессе предупреждения нарушений прав человека</w:t>
      </w:r>
      <w:r w:rsidR="00B32F46" w:rsidRPr="00E14097">
        <w:rPr>
          <w:rStyle w:val="FootnoteReference"/>
        </w:rPr>
        <w:footnoteReference w:id="44"/>
      </w:r>
      <w:r>
        <w:t>. Его представители пом</w:t>
      </w:r>
      <w:r>
        <w:t>о</w:t>
      </w:r>
      <w:r>
        <w:t xml:space="preserve">гают </w:t>
      </w:r>
      <w:r w:rsidR="00424787">
        <w:t>выявлять</w:t>
      </w:r>
      <w:r>
        <w:t xml:space="preserve"> проблем</w:t>
      </w:r>
      <w:r w:rsidR="00424787">
        <w:t>ы</w:t>
      </w:r>
      <w:r>
        <w:t xml:space="preserve">, </w:t>
      </w:r>
      <w:r w:rsidR="00424787">
        <w:t xml:space="preserve">вызывающие озабоченность, </w:t>
      </w:r>
      <w:r>
        <w:t>проводить мониторинг и давать консультации по вопросам законодательства, политики и практики гос</w:t>
      </w:r>
      <w:r>
        <w:t>у</w:t>
      </w:r>
      <w:r>
        <w:t xml:space="preserve">дарств и частных субъектов, </w:t>
      </w:r>
      <w:proofErr w:type="spellStart"/>
      <w:r w:rsidR="00424787">
        <w:t>задействуя</w:t>
      </w:r>
      <w:proofErr w:type="spellEnd"/>
      <w:r>
        <w:t xml:space="preserve"> свои местны</w:t>
      </w:r>
      <w:r w:rsidR="00424787">
        <w:t>е</w:t>
      </w:r>
      <w:r>
        <w:t xml:space="preserve"> контакт</w:t>
      </w:r>
      <w:r w:rsidR="00424787">
        <w:t>ы</w:t>
      </w:r>
      <w:r>
        <w:t xml:space="preserve"> и специальны</w:t>
      </w:r>
      <w:r w:rsidR="00424787">
        <w:t>е</w:t>
      </w:r>
      <w:r>
        <w:t xml:space="preserve"> знания во всех этих</w:t>
      </w:r>
      <w:r w:rsidR="00424787">
        <w:t xml:space="preserve"> областях. Гражданское общество</w:t>
      </w:r>
      <w:r w:rsidR="00424787" w:rsidRPr="00E14097">
        <w:rPr>
          <w:rStyle w:val="FootnoteReference"/>
        </w:rPr>
        <w:footnoteReference w:id="45"/>
      </w:r>
      <w:r>
        <w:t xml:space="preserve"> также участвует в образ</w:t>
      </w:r>
      <w:r>
        <w:t>о</w:t>
      </w:r>
      <w:r>
        <w:t>вании и профессиональной подготовке в области прав человека, в том числе сп</w:t>
      </w:r>
      <w:r>
        <w:t>о</w:t>
      </w:r>
      <w:r>
        <w:t xml:space="preserve">собствуя изменению </w:t>
      </w:r>
      <w:r w:rsidR="00424787">
        <w:t>отношения к различным</w:t>
      </w:r>
      <w:r>
        <w:t xml:space="preserve"> групп</w:t>
      </w:r>
      <w:r w:rsidR="00424787">
        <w:t>ам и вопросам</w:t>
      </w:r>
      <w:r>
        <w:t>. Эти виды де</w:t>
      </w:r>
      <w:r>
        <w:t>я</w:t>
      </w:r>
      <w:r>
        <w:t xml:space="preserve">тельности </w:t>
      </w:r>
      <w:r w:rsidR="00424787">
        <w:t xml:space="preserve">создают </w:t>
      </w:r>
      <w:r>
        <w:t>информ</w:t>
      </w:r>
      <w:r w:rsidR="00424787">
        <w:t>ационную базу</w:t>
      </w:r>
      <w:r>
        <w:t xml:space="preserve"> и </w:t>
      </w:r>
      <w:r w:rsidR="00424787">
        <w:t>ведут</w:t>
      </w:r>
      <w:r>
        <w:t xml:space="preserve"> к его участию в региональных и международных правозащитных механизмах, начиная с вовлечения на наци</w:t>
      </w:r>
      <w:r>
        <w:t>о</w:t>
      </w:r>
      <w:r>
        <w:t xml:space="preserve">нальном уровне, через национальные консультации и подготовку доклада, </w:t>
      </w:r>
      <w:r w:rsidR="00424787">
        <w:t>через</w:t>
      </w:r>
      <w:r>
        <w:t xml:space="preserve"> внешний аспект, и заканчивая вновь на национальном </w:t>
      </w:r>
      <w:proofErr w:type="gramStart"/>
      <w:r>
        <w:t>уровне</w:t>
      </w:r>
      <w:proofErr w:type="gramEnd"/>
      <w:r>
        <w:t xml:space="preserve"> на этапе реализ</w:t>
      </w:r>
      <w:r>
        <w:t>а</w:t>
      </w:r>
      <w:r>
        <w:t>ции. Также важна их роль в возбуждении дел на национальном, региональном или международном уровне.</w:t>
      </w:r>
    </w:p>
    <w:p w:rsidR="00424787" w:rsidRPr="00424787" w:rsidRDefault="00424787" w:rsidP="00424787">
      <w:pPr>
        <w:pStyle w:val="SingleTxt"/>
        <w:spacing w:after="0" w:line="120" w:lineRule="exact"/>
        <w:rPr>
          <w:sz w:val="10"/>
        </w:rPr>
      </w:pPr>
    </w:p>
    <w:p w:rsidR="007A5CEC" w:rsidRDefault="007A5CEC" w:rsidP="00424787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Меры по предупреждению нарушений прав человека частными лицами</w:t>
      </w:r>
    </w:p>
    <w:p w:rsidR="00424787" w:rsidRPr="00424787" w:rsidRDefault="00424787" w:rsidP="00424787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21.</w:t>
      </w:r>
      <w:r w:rsidR="00424787">
        <w:tab/>
      </w:r>
      <w:r>
        <w:t>Государства, как правило, имеют право принимать решение о принятии надлежащих мер для предупреждения и расследования злоупотреблений частных субъектов, наказания за них и возмещения ущерба. Они должны учитывать весь спектр допустимых превентивных и восстановительных мер, в том числе в обл</w:t>
      </w:r>
      <w:r>
        <w:t>а</w:t>
      </w:r>
      <w:r>
        <w:t>сти политики, законодательства, нормативных положений и судебного разбир</w:t>
      </w:r>
      <w:r>
        <w:t>а</w:t>
      </w:r>
      <w:r w:rsidR="00424787">
        <w:t>тельства</w:t>
      </w:r>
      <w:r w:rsidR="00424787" w:rsidRPr="00E14097">
        <w:rPr>
          <w:rStyle w:val="FootnoteReference"/>
        </w:rPr>
        <w:footnoteReference w:id="46"/>
      </w:r>
      <w:r>
        <w:t xml:space="preserve">. Например, в </w:t>
      </w:r>
      <w:proofErr w:type="gramStart"/>
      <w:r>
        <w:t>том</w:t>
      </w:r>
      <w:proofErr w:type="gramEnd"/>
      <w:r>
        <w:t xml:space="preserve"> что касается дискриминации в отношении женщин, соответствующие меры включают в себя регулирование деятельности частных субъектов применительно к политическим и практическим мерам в области о</w:t>
      </w:r>
      <w:r>
        <w:t>б</w:t>
      </w:r>
      <w:r>
        <w:t xml:space="preserve">разования, занятости и здравоохранения, условиям и стандартам работы, а также в других </w:t>
      </w:r>
      <w:proofErr w:type="gramStart"/>
      <w:r>
        <w:t>областях</w:t>
      </w:r>
      <w:proofErr w:type="gramEnd"/>
      <w:r>
        <w:t>, в которых частные субъекты предоставляют услуги или мат</w:t>
      </w:r>
      <w:r>
        <w:t>е</w:t>
      </w:r>
      <w:r>
        <w:t>риальные средства, такие как банковские услуги и жилье (CEDAW/C/GC/28, пункт 13).</w:t>
      </w:r>
    </w:p>
    <w:p w:rsidR="007A5CEC" w:rsidRDefault="007A5CEC" w:rsidP="007A5CEC">
      <w:pPr>
        <w:pStyle w:val="SingleTxt"/>
      </w:pPr>
      <w:r>
        <w:t>22.</w:t>
      </w:r>
      <w:r w:rsidR="00424787">
        <w:tab/>
      </w:r>
      <w:proofErr w:type="gramStart"/>
      <w:r>
        <w:t>Важно отметить, что в рамках международного права прав человека гос</w:t>
      </w:r>
      <w:r>
        <w:t>у</w:t>
      </w:r>
      <w:r>
        <w:t>дарства не отказываются от своих обязательств, когда проводят приватизацию таких услуг</w:t>
      </w:r>
      <w:r w:rsidR="00424787" w:rsidRPr="00E14097">
        <w:rPr>
          <w:rStyle w:val="FootnoteReference"/>
        </w:rPr>
        <w:footnoteReference w:id="47"/>
      </w:r>
      <w:r>
        <w:t xml:space="preserve">, как </w:t>
      </w:r>
      <w:r w:rsidR="00424787">
        <w:t>водо</w:t>
      </w:r>
      <w:r>
        <w:t>снабжение и канализаци</w:t>
      </w:r>
      <w:r w:rsidR="00424787">
        <w:t>я</w:t>
      </w:r>
      <w:r>
        <w:t xml:space="preserve"> (A/HRC/15/31), а также образ</w:t>
      </w:r>
      <w:r>
        <w:t>о</w:t>
      </w:r>
      <w:r>
        <w:t>вани</w:t>
      </w:r>
      <w:r w:rsidR="00424787">
        <w:t>е</w:t>
      </w:r>
      <w:r>
        <w:t xml:space="preserve"> (A/69/402) или полномочи</w:t>
      </w:r>
      <w:r w:rsidR="00424787">
        <w:t>я</w:t>
      </w:r>
      <w:r>
        <w:t xml:space="preserve"> на осуществление арестов и задержаний</w:t>
      </w:r>
      <w:r w:rsidR="00424787" w:rsidRPr="00E14097">
        <w:rPr>
          <w:rStyle w:val="FootnoteReference"/>
        </w:rPr>
        <w:footnoteReference w:id="48"/>
      </w:r>
      <w:r>
        <w:t>. Го</w:t>
      </w:r>
      <w:r>
        <w:t>с</w:t>
      </w:r>
      <w:r>
        <w:t>ударствам следует принять необходимые меры для того, чтобы эффективно ко</w:t>
      </w:r>
      <w:r>
        <w:t>н</w:t>
      </w:r>
      <w:r>
        <w:t>тролировать деятельность предприятий, в том числе путем предоставления аде</w:t>
      </w:r>
      <w:r>
        <w:t>к</w:t>
      </w:r>
      <w:r>
        <w:t>ватных независимых</w:t>
      </w:r>
      <w:proofErr w:type="gramEnd"/>
      <w:r>
        <w:t xml:space="preserve"> механизмов контроля и подотчетности.</w:t>
      </w:r>
    </w:p>
    <w:p w:rsidR="007A5CEC" w:rsidRDefault="007A5CEC" w:rsidP="007A5CEC">
      <w:pPr>
        <w:pStyle w:val="SingleTxt"/>
      </w:pPr>
      <w:r>
        <w:t>23.</w:t>
      </w:r>
      <w:r w:rsidR="00424787">
        <w:tab/>
      </w:r>
      <w:r>
        <w:t>Наряду с обязательствами государства, Руководящие принципы предприн</w:t>
      </w:r>
      <w:r>
        <w:t>и</w:t>
      </w:r>
      <w:r>
        <w:t>мательской деятельности в аспекте прав человека</w:t>
      </w:r>
      <w:r w:rsidR="00424787" w:rsidRPr="00E14097">
        <w:rPr>
          <w:rStyle w:val="FootnoteReference"/>
        </w:rPr>
        <w:footnoteReference w:id="49"/>
      </w:r>
      <w:r>
        <w:t xml:space="preserve"> определяют элементы, кот</w:t>
      </w:r>
      <w:r>
        <w:t>о</w:t>
      </w:r>
      <w:r>
        <w:t>рыми предприятия должны руководствоваться для того, чтобы выполнять свою корпоративную ответственность по соблюдению прав человека. Во-первых, они должны установить курс на осуществление политики, направленной на выполн</w:t>
      </w:r>
      <w:r>
        <w:t>е</w:t>
      </w:r>
      <w:r>
        <w:t>ние обязательства по уважению прав. Во-вторых, они должны постоянно проя</w:t>
      </w:r>
      <w:r>
        <w:t>в</w:t>
      </w:r>
      <w:r>
        <w:t>лять должную осмотрительность в области прав человека с целью выявления, предотвращения, смягчения и учета их воздействия на права человека и быть г</w:t>
      </w:r>
      <w:r>
        <w:t>о</w:t>
      </w:r>
      <w:r>
        <w:t>товыми разъяснять серьезность своих намерений и действий общественности, в том числе и группам лиц, которых вероятнее всего может затронуть их произво</w:t>
      </w:r>
      <w:r>
        <w:t>д</w:t>
      </w:r>
      <w:r>
        <w:t>ственная деятельность. Так как производственная деятельность, контекст и во</w:t>
      </w:r>
      <w:r>
        <w:t>з</w:t>
      </w:r>
      <w:r>
        <w:t>действие могут меняться, коммерческому предприятию следует периодически переоценивать свое потенциальное или реальное воздействие на все права чел</w:t>
      </w:r>
      <w:r>
        <w:t>о</w:t>
      </w:r>
      <w:r>
        <w:t>века. Предприятиям следует также стремиться предотвращать или смягчать л</w:t>
      </w:r>
      <w:r>
        <w:t>ю</w:t>
      </w:r>
      <w:r>
        <w:t>бое отрицательное воздействие, непосредственно связанное с их производстве</w:t>
      </w:r>
      <w:r>
        <w:t>н</w:t>
      </w:r>
      <w:r>
        <w:t>ной деятельностью, товарами или услугами в рамках их деловых связей. Нак</w:t>
      </w:r>
      <w:r>
        <w:t>о</w:t>
      </w:r>
      <w:r>
        <w:t>нец, они должны ввести в действие процессы, позволяющие принимать меры по ликвидации любых негативных последствий в отношении прав человека, кот</w:t>
      </w:r>
      <w:r>
        <w:t>о</w:t>
      </w:r>
      <w:r>
        <w:t>рые они спровоцировали или к возникновению которых они причастны.</w:t>
      </w:r>
    </w:p>
    <w:p w:rsidR="00424787" w:rsidRPr="00424787" w:rsidRDefault="00424787" w:rsidP="00424787">
      <w:pPr>
        <w:pStyle w:val="SingleTxt"/>
        <w:spacing w:after="0" w:line="120" w:lineRule="exact"/>
        <w:rPr>
          <w:sz w:val="10"/>
        </w:rPr>
      </w:pPr>
    </w:p>
    <w:p w:rsidR="00424787" w:rsidRPr="00424787" w:rsidRDefault="00424787" w:rsidP="00424787">
      <w:pPr>
        <w:pStyle w:val="SingleTxt"/>
        <w:spacing w:after="0" w:line="120" w:lineRule="exact"/>
        <w:rPr>
          <w:sz w:val="10"/>
        </w:rPr>
      </w:pPr>
    </w:p>
    <w:p w:rsidR="007A5CEC" w:rsidRDefault="007A5CEC" w:rsidP="0042478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B.</w:t>
      </w:r>
      <w:r>
        <w:tab/>
        <w:t>Роль образования в области прав человека</w:t>
      </w:r>
    </w:p>
    <w:p w:rsidR="00424787" w:rsidRPr="00424787" w:rsidRDefault="00424787" w:rsidP="00424787">
      <w:pPr>
        <w:pStyle w:val="SingleTxt"/>
        <w:spacing w:after="0" w:line="120" w:lineRule="exact"/>
        <w:rPr>
          <w:sz w:val="10"/>
        </w:rPr>
      </w:pPr>
    </w:p>
    <w:p w:rsidR="00424787" w:rsidRPr="00424787" w:rsidRDefault="00424787" w:rsidP="00424787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24.</w:t>
      </w:r>
      <w:r w:rsidR="00424787">
        <w:tab/>
      </w:r>
      <w:r>
        <w:t>Образование в области прав человека способствует предотвращению нар</w:t>
      </w:r>
      <w:r>
        <w:t>у</w:t>
      </w:r>
      <w:r>
        <w:t>шений прав человека и конфликтов, а также расширению участия в процессах принятия решений в</w:t>
      </w:r>
      <w:r w:rsidR="00424787">
        <w:t xml:space="preserve"> рамках демократической системы</w:t>
      </w:r>
      <w:r w:rsidR="00424787" w:rsidRPr="00E14097">
        <w:rPr>
          <w:rStyle w:val="FootnoteReference"/>
        </w:rPr>
        <w:footnoteReference w:id="50"/>
      </w:r>
      <w:r>
        <w:t>. Оно должно быть з</w:t>
      </w:r>
      <w:r>
        <w:t>а</w:t>
      </w:r>
      <w:r>
        <w:t xml:space="preserve">планировано как процесс, основанный на всеобщем </w:t>
      </w:r>
      <w:proofErr w:type="gramStart"/>
      <w:r>
        <w:t>участии</w:t>
      </w:r>
      <w:proofErr w:type="gramEnd"/>
      <w:r>
        <w:t xml:space="preserve"> на протяжении всей жизни и направленный на развитие знаний, навыков и подходов, стимулирующих стремление к защите и поощрению прав человека. </w:t>
      </w:r>
      <w:proofErr w:type="gramStart"/>
      <w:r>
        <w:t>В этом смысле оно предоста</w:t>
      </w:r>
      <w:r>
        <w:t>в</w:t>
      </w:r>
      <w:r>
        <w:t>ляет правообладателям возможность отстаивать свои права и развивает спосо</w:t>
      </w:r>
      <w:r>
        <w:t>б</w:t>
      </w:r>
      <w:r>
        <w:t xml:space="preserve">ность </w:t>
      </w:r>
      <w:r w:rsidR="00424787">
        <w:t xml:space="preserve">тех, кто обладает властью и ответственностью (носителей обязательств), таких как полиция, военные и государственные должностные лица, </w:t>
      </w:r>
      <w:r>
        <w:t>выполнять свои обязательства по защите, уважению и осуществлению прав человека</w:t>
      </w:r>
      <w:r w:rsidR="002B2B65" w:rsidRPr="00E14097">
        <w:rPr>
          <w:rStyle w:val="FootnoteReference"/>
        </w:rPr>
        <w:footnoteReference w:id="51"/>
      </w:r>
      <w:r>
        <w:t>. Было установлено, что ненадлежащее образование в области прав человека предста</w:t>
      </w:r>
      <w:r>
        <w:t>в</w:t>
      </w:r>
      <w:r>
        <w:t>ляет собой одно из самых серьезных препятствий к осуществлению всех прав человека</w:t>
      </w:r>
      <w:proofErr w:type="gramEnd"/>
      <w:r>
        <w:t xml:space="preserve"> всеми лицами (A/HRC/28/30, пункт 20).</w:t>
      </w:r>
    </w:p>
    <w:p w:rsidR="007A5CEC" w:rsidRDefault="007A5CEC" w:rsidP="007A5CEC">
      <w:pPr>
        <w:pStyle w:val="SingleTxt"/>
      </w:pPr>
      <w:r>
        <w:t>25.</w:t>
      </w:r>
      <w:r w:rsidR="002B2B65">
        <w:tab/>
      </w:r>
      <w:r>
        <w:t xml:space="preserve">Образование в области прав человека является </w:t>
      </w:r>
      <w:r w:rsidR="002B2B65">
        <w:t>в первую очередь</w:t>
      </w:r>
      <w:r>
        <w:t xml:space="preserve"> обязанн</w:t>
      </w:r>
      <w:r>
        <w:t>о</w:t>
      </w:r>
      <w:r>
        <w:t>стью государ</w:t>
      </w:r>
      <w:r w:rsidR="002B2B65">
        <w:t>ства</w:t>
      </w:r>
      <w:r w:rsidR="002B2B65" w:rsidRPr="00E14097">
        <w:rPr>
          <w:rStyle w:val="FootnoteReference"/>
        </w:rPr>
        <w:footnoteReference w:id="52"/>
      </w:r>
      <w:r>
        <w:t>. Государствам следует систематически внедрять образование в области прав человека в систему школьного образования и в программу пр</w:t>
      </w:r>
      <w:r>
        <w:t>о</w:t>
      </w:r>
      <w:r>
        <w:t xml:space="preserve">фессиональной подготовки государственных служащих. </w:t>
      </w:r>
      <w:proofErr w:type="gramStart"/>
      <w:r>
        <w:t>К примеру, професси</w:t>
      </w:r>
      <w:r>
        <w:t>о</w:t>
      </w:r>
      <w:r>
        <w:t>нальная подготовка судей и адвокатов должна охватывать нормы и стандарты прав человека, а также соответствующую международную и региональную с</w:t>
      </w:r>
      <w:r>
        <w:t>у</w:t>
      </w:r>
      <w:r>
        <w:t>дебную практику</w:t>
      </w:r>
      <w:r w:rsidR="002B2B65" w:rsidRPr="00E14097">
        <w:rPr>
          <w:rStyle w:val="FootnoteReference"/>
        </w:rPr>
        <w:footnoteReference w:id="53"/>
      </w:r>
      <w:r>
        <w:t>. Планы действий обеспечивают конкретное и методологич</w:t>
      </w:r>
      <w:r>
        <w:t>е</w:t>
      </w:r>
      <w:r>
        <w:t>ски обоснованное руководство по осуществлению первого (система начального и среднего школьного образования) и второго этапов (высшее образование и пр</w:t>
      </w:r>
      <w:r>
        <w:t>о</w:t>
      </w:r>
      <w:r>
        <w:t>фессиональная подготовка государственных служащих, представителей прав</w:t>
      </w:r>
      <w:r>
        <w:t>о</w:t>
      </w:r>
      <w:r>
        <w:t>охранительных органов и военных) Всемирной программы образования в обл</w:t>
      </w:r>
      <w:r>
        <w:t>а</w:t>
      </w:r>
      <w:r w:rsidR="002B2B65">
        <w:t>сти прав</w:t>
      </w:r>
      <w:proofErr w:type="gramEnd"/>
      <w:r w:rsidR="002B2B65">
        <w:t xml:space="preserve"> </w:t>
      </w:r>
      <w:proofErr w:type="gramStart"/>
      <w:r w:rsidR="002B2B65">
        <w:t>человека</w:t>
      </w:r>
      <w:r w:rsidR="002B2B65" w:rsidRPr="00E14097">
        <w:rPr>
          <w:rStyle w:val="FootnoteReference"/>
        </w:rPr>
        <w:footnoteReference w:id="54"/>
      </w:r>
      <w:r>
        <w:t>, направленной на содействие осуществлению программ обр</w:t>
      </w:r>
      <w:r>
        <w:t>а</w:t>
      </w:r>
      <w:r>
        <w:t>зования в области прав человека во всех секторах на национальном уровне.</w:t>
      </w:r>
      <w:proofErr w:type="gramEnd"/>
      <w:r>
        <w:t xml:space="preserve"> С</w:t>
      </w:r>
      <w:r>
        <w:t>о</w:t>
      </w:r>
      <w:r>
        <w:t>вет по правам человека рассмотрел доклад об оценке (A/HRC/30/24) второго эт</w:t>
      </w:r>
      <w:r>
        <w:t>а</w:t>
      </w:r>
      <w:r>
        <w:t xml:space="preserve">па Всемирной программы, основанный на национальных докладах об оценке, представленных государствами, и государства могли рассмотреть возможность включения вопроса об осуществлении образования в области прав человека на национальном уровне в качестве регулярного элемента </w:t>
      </w:r>
      <w:r w:rsidR="00A26EC8">
        <w:t>у</w:t>
      </w:r>
      <w:r>
        <w:t>ниверсального период</w:t>
      </w:r>
      <w:r>
        <w:t>и</w:t>
      </w:r>
      <w:r>
        <w:t>ческого об</w:t>
      </w:r>
      <w:r w:rsidR="002B2B65">
        <w:t>зора</w:t>
      </w:r>
      <w:r w:rsidR="002B2B65" w:rsidRPr="00E14097">
        <w:rPr>
          <w:rStyle w:val="FootnoteReference"/>
        </w:rPr>
        <w:footnoteReference w:id="55"/>
      </w:r>
      <w:r>
        <w:t>.</w:t>
      </w:r>
    </w:p>
    <w:p w:rsidR="007A5CEC" w:rsidRDefault="007A5CEC" w:rsidP="007A5CEC">
      <w:pPr>
        <w:pStyle w:val="SingleTxt"/>
      </w:pPr>
      <w:r>
        <w:t>26.</w:t>
      </w:r>
      <w:r w:rsidR="002B2B65">
        <w:tab/>
      </w:r>
      <w:r>
        <w:t>Образование и профессиональная подготовка в области прав человека включают в себя разработку программ и учебных материалов, использование м</w:t>
      </w:r>
      <w:r>
        <w:t>е</w:t>
      </w:r>
      <w:r>
        <w:t xml:space="preserve">тодологий, ставящих во главу угла учащегося, и методологий </w:t>
      </w:r>
      <w:proofErr w:type="gramStart"/>
      <w:r>
        <w:t>со</w:t>
      </w:r>
      <w:proofErr w:type="gramEnd"/>
      <w:r>
        <w:t xml:space="preserve"> всеобщим уч</w:t>
      </w:r>
      <w:r>
        <w:t>а</w:t>
      </w:r>
      <w:r>
        <w:t>стием, принятие стимулирующих политических стратегий и мер по осуществл</w:t>
      </w:r>
      <w:r>
        <w:t>е</w:t>
      </w:r>
      <w:r>
        <w:t xml:space="preserve">нию политики, а также создание среды обучения, в которой соблюдаются права человека. Для этого необходимо </w:t>
      </w:r>
      <w:r w:rsidR="002B2B65">
        <w:t>наращивать</w:t>
      </w:r>
      <w:r>
        <w:t xml:space="preserve"> соответствующие знания и навыки учителей и воспитателей. Инклюзивные школы, университеты и учебные завед</w:t>
      </w:r>
      <w:r>
        <w:t>е</w:t>
      </w:r>
      <w:r>
        <w:t xml:space="preserve">ния, которые поощряют права человека, на собственном примере демонстрируют уважение к другим, приветствуют и ценят по достоинству разнообразие, могут оказаться ключом к развитию как самой </w:t>
      </w:r>
      <w:proofErr w:type="spellStart"/>
      <w:r>
        <w:t>инклюзивности</w:t>
      </w:r>
      <w:proofErr w:type="spellEnd"/>
      <w:r>
        <w:t>, так и инклюзивных подходов, и государствам</w:t>
      </w:r>
      <w:r w:rsidR="002B2B65">
        <w:t xml:space="preserve"> следует их поощрять и охранять</w:t>
      </w:r>
      <w:r w:rsidR="002B2B65" w:rsidRPr="00E14097">
        <w:rPr>
          <w:rStyle w:val="FootnoteReference"/>
        </w:rPr>
        <w:footnoteReference w:id="56"/>
      </w:r>
      <w:r>
        <w:t>.</w:t>
      </w:r>
    </w:p>
    <w:p w:rsidR="007A5CEC" w:rsidRDefault="007A5CEC" w:rsidP="007A5CEC">
      <w:pPr>
        <w:pStyle w:val="SingleTxt"/>
      </w:pPr>
      <w:r>
        <w:t>27.</w:t>
      </w:r>
      <w:r w:rsidR="002B2B65">
        <w:tab/>
      </w:r>
      <w:proofErr w:type="gramStart"/>
      <w:r>
        <w:t>Образование в области прав человека является не только конкретной об</w:t>
      </w:r>
      <w:r>
        <w:t>я</w:t>
      </w:r>
      <w:r>
        <w:t>занностью государства, оно также осуществляется другими заинтересованными сторонами, включая НПЗУ (A/HRC/28/30, пункт 20) и гражданское общество</w:t>
      </w:r>
      <w:r w:rsidR="002B2B65" w:rsidRPr="00E14097">
        <w:rPr>
          <w:rStyle w:val="FootnoteReference"/>
        </w:rPr>
        <w:footnoteReference w:id="57"/>
      </w:r>
      <w:r>
        <w:t>. УВКПЧ оказывает поддержку национальным усилиям по обеспечению образов</w:t>
      </w:r>
      <w:r>
        <w:t>а</w:t>
      </w:r>
      <w:r>
        <w:t>ния в области прав человека посредством своей работы на местах, координирует Всемирную программу образования в области прав человека, дает экспертные консультации, разрабатывает и распространяет методологические</w:t>
      </w:r>
      <w:proofErr w:type="gramEnd"/>
      <w:r>
        <w:t xml:space="preserve"> инструменты, основанные на надлежащей практике, и обеспечивает ресурсы для содействия обмену информацией</w:t>
      </w:r>
      <w:r w:rsidR="002B2B65" w:rsidRPr="00E14097">
        <w:rPr>
          <w:rStyle w:val="FootnoteReference"/>
        </w:rPr>
        <w:footnoteReference w:id="58"/>
      </w:r>
      <w:r>
        <w:t>.</w:t>
      </w:r>
    </w:p>
    <w:p w:rsidR="007A5CEC" w:rsidRDefault="007A5CEC" w:rsidP="007A5CEC">
      <w:pPr>
        <w:pStyle w:val="SingleTxt"/>
      </w:pPr>
      <w:r>
        <w:t>28.</w:t>
      </w:r>
      <w:r w:rsidR="002B2B65">
        <w:tab/>
      </w:r>
      <w:r>
        <w:t>Многие НПЗУ поощряют образование в области прав человека при помощи различных инструментов, включая радиопрограммы, игры и интерактивные и</w:t>
      </w:r>
      <w:r>
        <w:t>н</w:t>
      </w:r>
      <w:r>
        <w:t>струменты, а также онлайновые программы. Они также сосредоточивают осно</w:t>
      </w:r>
      <w:r>
        <w:t>в</w:t>
      </w:r>
      <w:r>
        <w:t xml:space="preserve">ное внимание на конкретных группах, которые, вероятнее всего, могут стать жертвами дискриминации или нарушений. Это включает в себя программы, нацеленные на конкретные группы и </w:t>
      </w:r>
      <w:r w:rsidR="002B2B65">
        <w:t xml:space="preserve">на </w:t>
      </w:r>
      <w:r>
        <w:t>тех, кто с этими группами взаимоде</w:t>
      </w:r>
      <w:r>
        <w:t>й</w:t>
      </w:r>
      <w:r>
        <w:t>ствует, например социальные службы, учителей и сотрудников школы, полицию. НПЗУ могут определ</w:t>
      </w:r>
      <w:r w:rsidR="002B2B65">
        <w:t>я</w:t>
      </w:r>
      <w:r>
        <w:t>ть особые потребности конкретных групп путем осущест</w:t>
      </w:r>
      <w:r>
        <w:t>в</w:t>
      </w:r>
      <w:r>
        <w:t>ления мониторинга, изучения отдельных случаев и более широкого анализа ст</w:t>
      </w:r>
      <w:r>
        <w:t>а</w:t>
      </w:r>
      <w:r>
        <w:t>тистических данных, что показывает преимущества согласованности и взаимного плодотворного сотрудничества различных функций этих органов.</w:t>
      </w:r>
    </w:p>
    <w:p w:rsidR="007A5CEC" w:rsidRDefault="007A5CEC" w:rsidP="007A5CEC">
      <w:pPr>
        <w:pStyle w:val="SingleTxt"/>
      </w:pPr>
      <w:r>
        <w:t>29.</w:t>
      </w:r>
      <w:r w:rsidR="002B2B65">
        <w:tab/>
      </w:r>
      <w:r>
        <w:t>НПЗУ также содействуют информированию общественности о правах чел</w:t>
      </w:r>
      <w:r>
        <w:t>о</w:t>
      </w:r>
      <w:r>
        <w:t>века</w:t>
      </w:r>
      <w:r w:rsidR="002B2B65" w:rsidRPr="00E14097">
        <w:rPr>
          <w:rStyle w:val="FootnoteReference"/>
        </w:rPr>
        <w:footnoteReference w:id="59"/>
      </w:r>
      <w:r>
        <w:t xml:space="preserve"> в средствах массовой информации, через пресс-релизы, отчеты, экспер</w:t>
      </w:r>
      <w:r>
        <w:t>т</w:t>
      </w:r>
      <w:r>
        <w:t>ные заключения и рекомендации</w:t>
      </w:r>
      <w:r w:rsidR="002B2B65" w:rsidRPr="00E14097">
        <w:rPr>
          <w:rStyle w:val="FootnoteReference"/>
        </w:rPr>
        <w:footnoteReference w:id="60"/>
      </w:r>
      <w:r>
        <w:t xml:space="preserve"> (</w:t>
      </w:r>
      <w:r w:rsidR="002B2B65">
        <w:t>включая</w:t>
      </w:r>
      <w:r>
        <w:t xml:space="preserve"> содействие ратификации договоров по пра</w:t>
      </w:r>
      <w:r w:rsidR="002B2B65">
        <w:t>вам человека</w:t>
      </w:r>
      <w:r w:rsidR="002B2B65" w:rsidRPr="00E14097">
        <w:rPr>
          <w:rStyle w:val="FootnoteReference"/>
        </w:rPr>
        <w:footnoteReference w:id="61"/>
      </w:r>
      <w:r>
        <w:t>). НПЗУ создали Выставочные центры как средство просв</w:t>
      </w:r>
      <w:r>
        <w:t>е</w:t>
      </w:r>
      <w:r>
        <w:t xml:space="preserve">щения и пропаганды, и некоторые из них принимают участие в телевизионных программах, в том числе для ознакомления общественности с </w:t>
      </w:r>
      <w:r w:rsidR="002B2B65">
        <w:t>конкретными</w:t>
      </w:r>
      <w:r>
        <w:t xml:space="preserve"> сл</w:t>
      </w:r>
      <w:r>
        <w:t>у</w:t>
      </w:r>
      <w:r>
        <w:t>чаями и проблемами</w:t>
      </w:r>
      <w:r w:rsidR="002B2B65" w:rsidRPr="00E14097">
        <w:rPr>
          <w:rStyle w:val="FootnoteReference"/>
        </w:rPr>
        <w:footnoteReference w:id="62"/>
      </w:r>
      <w:r>
        <w:t>. Наконец, НПЗУ также способствуют обмену между гос</w:t>
      </w:r>
      <w:r>
        <w:t>у</w:t>
      </w:r>
      <w:r>
        <w:t>дарствами эффективной практикой и полученным опытом в тех случаях, когда их рекомендации и точки зрения становятся общеизв</w:t>
      </w:r>
      <w:r w:rsidR="00420910">
        <w:t xml:space="preserve">естными, </w:t>
      </w:r>
      <w:proofErr w:type="gramStart"/>
      <w:r w:rsidR="00420910">
        <w:t>например</w:t>
      </w:r>
      <w:proofErr w:type="gramEnd"/>
      <w:r>
        <w:t xml:space="preserve"> в рамках ежегодных докладов.</w:t>
      </w:r>
    </w:p>
    <w:p w:rsidR="002B2B65" w:rsidRPr="002B2B65" w:rsidRDefault="002B2B65" w:rsidP="002B2B65">
      <w:pPr>
        <w:pStyle w:val="SingleTxt"/>
        <w:spacing w:after="0" w:line="120" w:lineRule="exact"/>
        <w:rPr>
          <w:sz w:val="10"/>
        </w:rPr>
      </w:pPr>
    </w:p>
    <w:p w:rsidR="002B2B65" w:rsidRPr="002B2B65" w:rsidRDefault="002B2B65" w:rsidP="002B2B65">
      <w:pPr>
        <w:pStyle w:val="SingleTxt"/>
        <w:spacing w:after="0" w:line="120" w:lineRule="exact"/>
        <w:rPr>
          <w:sz w:val="10"/>
        </w:rPr>
      </w:pPr>
    </w:p>
    <w:p w:rsidR="007A5CEC" w:rsidRDefault="007A5CEC" w:rsidP="002B2B6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C.</w:t>
      </w:r>
      <w:r>
        <w:tab/>
        <w:t>Инструменты планирования и мониторинга</w:t>
      </w:r>
    </w:p>
    <w:p w:rsidR="002B2B65" w:rsidRPr="002B2B65" w:rsidRDefault="002B2B65" w:rsidP="002B2B65">
      <w:pPr>
        <w:pStyle w:val="SingleTxt"/>
        <w:spacing w:after="0" w:line="120" w:lineRule="exact"/>
        <w:rPr>
          <w:sz w:val="10"/>
        </w:rPr>
      </w:pPr>
    </w:p>
    <w:p w:rsidR="002B2B65" w:rsidRPr="002B2B65" w:rsidRDefault="002B2B65" w:rsidP="002B2B65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30.</w:t>
      </w:r>
      <w:r w:rsidR="002B2B65">
        <w:tab/>
      </w:r>
      <w:r>
        <w:t xml:space="preserve">Ряд инструментов планирования и мониторинга могут помочь государствам и другим заинтересованным сторонам в деле предупреждения нарушений прав человека, в частности </w:t>
      </w:r>
      <w:r w:rsidR="002B2B65">
        <w:t>при</w:t>
      </w:r>
      <w:r>
        <w:t xml:space="preserve"> разработке политики. Некоторые государства разраб</w:t>
      </w:r>
      <w:r>
        <w:t>о</w:t>
      </w:r>
      <w:r>
        <w:t>тали национальные планы действий в области прав человека</w:t>
      </w:r>
      <w:r w:rsidR="002B2B65" w:rsidRPr="00E14097">
        <w:rPr>
          <w:rStyle w:val="FootnoteReference"/>
        </w:rPr>
        <w:footnoteReference w:id="63"/>
      </w:r>
      <w:r>
        <w:t xml:space="preserve"> или планы де</w:t>
      </w:r>
      <w:r>
        <w:t>й</w:t>
      </w:r>
      <w:r>
        <w:t>ствий по конкретным тематическим вопросам</w:t>
      </w:r>
      <w:r w:rsidR="002B2B65" w:rsidRPr="00E14097">
        <w:rPr>
          <w:rStyle w:val="FootnoteReference"/>
        </w:rPr>
        <w:footnoteReference w:id="64"/>
      </w:r>
      <w:r>
        <w:t>, которые могут служить орие</w:t>
      </w:r>
      <w:r>
        <w:t>н</w:t>
      </w:r>
      <w:r>
        <w:t>тиром для усилий по профилактике. Кроме того, не менее важным является с</w:t>
      </w:r>
      <w:r>
        <w:t>о</w:t>
      </w:r>
      <w:r>
        <w:t>здание органа, объединяющего соответствующие государственные органы, нац</w:t>
      </w:r>
      <w:r>
        <w:t>и</w:t>
      </w:r>
      <w:r>
        <w:t>ональные правозащитные учреждения и гражданское общество для представл</w:t>
      </w:r>
      <w:r>
        <w:t>е</w:t>
      </w:r>
      <w:r>
        <w:t xml:space="preserve">ния консультаций государству или НПЗУ по вопросам прав человека в целом или относительно </w:t>
      </w:r>
      <w:r w:rsidR="005852EB">
        <w:t>какой-либо конкретной группы</w:t>
      </w:r>
      <w:r w:rsidR="005852EB" w:rsidRPr="00E14097">
        <w:rPr>
          <w:rStyle w:val="FootnoteReference"/>
        </w:rPr>
        <w:footnoteReference w:id="65"/>
      </w:r>
      <w:r w:rsidR="005852EB">
        <w:t>, например</w:t>
      </w:r>
      <w:r>
        <w:t xml:space="preserve"> </w:t>
      </w:r>
      <w:r w:rsidR="005852EB">
        <w:t>престарелых</w:t>
      </w:r>
      <w:r w:rsidR="005852EB" w:rsidRPr="00E14097">
        <w:rPr>
          <w:rStyle w:val="FootnoteReference"/>
        </w:rPr>
        <w:footnoteReference w:id="66"/>
      </w:r>
      <w:r>
        <w:t>.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5852E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Оценки воздействия на права человека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31.</w:t>
      </w:r>
      <w:r w:rsidR="005852EB">
        <w:tab/>
      </w:r>
      <w:r>
        <w:t>Оценки воздействия на права человека являются инструментами для изуч</w:t>
      </w:r>
      <w:r>
        <w:t>е</w:t>
      </w:r>
      <w:r>
        <w:t>ния политики, законодательства, программ и проектов до их принятия для опр</w:t>
      </w:r>
      <w:r>
        <w:t>е</w:t>
      </w:r>
      <w:r>
        <w:t>деления и оценки их воздействия на права человека (например, A/HRC/19/</w:t>
      </w:r>
      <w:r w:rsidR="005852EB">
        <w:br/>
      </w:r>
      <w:r>
        <w:t>59/Add.5). Они предназначены для того, чтобы определить предусмотренное и непредусмотренное воздействие на осуществление прав человека, а также сп</w:t>
      </w:r>
      <w:r>
        <w:t>о</w:t>
      </w:r>
      <w:r>
        <w:t>собность государства их защищать и гарантировать. В таком качестве они явл</w:t>
      </w:r>
      <w:r>
        <w:t>я</w:t>
      </w:r>
      <w:r>
        <w:t>ются инструментом планирования, позволяющим предупреждать нарушения прав человека путем оценки формальной или очевидной совместимости законов, политики, бюджетов</w:t>
      </w:r>
      <w:r w:rsidR="005852EB" w:rsidRPr="00E14097">
        <w:rPr>
          <w:rStyle w:val="FootnoteReference"/>
        </w:rPr>
        <w:footnoteReference w:id="67"/>
      </w:r>
      <w:r>
        <w:t xml:space="preserve"> и других мер с обязательствами в области</w:t>
      </w:r>
      <w:r w:rsidR="0092677D">
        <w:t xml:space="preserve"> прав человека, а </w:t>
      </w:r>
      <w:r>
        <w:t xml:space="preserve">также вероятного воздействия на практике, таким </w:t>
      </w:r>
      <w:proofErr w:type="gramStart"/>
      <w:r>
        <w:t>образом</w:t>
      </w:r>
      <w:proofErr w:type="gramEnd"/>
      <w:r>
        <w:t xml:space="preserve"> создавая возмо</w:t>
      </w:r>
      <w:r>
        <w:t>ж</w:t>
      </w:r>
      <w:r>
        <w:t>ность для повторного рассмотрения, пересмотра или урегулирования до их пр</w:t>
      </w:r>
      <w:r>
        <w:t>и</w:t>
      </w:r>
      <w:r>
        <w:t>нятия. Предварительные консультации с соответствующими заинтересованными сторонами могут помочь в выявлении возможных последствий для прав челов</w:t>
      </w:r>
      <w:r>
        <w:t>е</w:t>
      </w:r>
      <w:r>
        <w:t xml:space="preserve">ка. </w:t>
      </w:r>
      <w:proofErr w:type="gramStart"/>
      <w:r>
        <w:t>Подобные усилия могут привести к тому, что ветви и департаменты прав</w:t>
      </w:r>
      <w:r>
        <w:t>и</w:t>
      </w:r>
      <w:r>
        <w:t>тельства начнут придерживаться обязательного подхода к планированию с уч</w:t>
      </w:r>
      <w:r>
        <w:t>е</w:t>
      </w:r>
      <w:r>
        <w:t>том вопросов прав человека, а также обязательного и систематического испол</w:t>
      </w:r>
      <w:r>
        <w:t>ь</w:t>
      </w:r>
      <w:r>
        <w:t>зования рекомендаций международных и региональных правозащитных мех</w:t>
      </w:r>
      <w:r>
        <w:t>а</w:t>
      </w:r>
      <w:r>
        <w:t>низмов при разработке государственной политики</w:t>
      </w:r>
      <w:r w:rsidR="005852EB" w:rsidRPr="00E14097">
        <w:rPr>
          <w:rStyle w:val="FootnoteReference"/>
        </w:rPr>
        <w:footnoteReference w:id="68"/>
      </w:r>
      <w:r>
        <w:t>. Так, среди последних пр</w:t>
      </w:r>
      <w:r>
        <w:t>и</w:t>
      </w:r>
      <w:r>
        <w:t>меров примечательным является требование, содержащееся в статье 7 Договора о торговле оружием, согласно которому</w:t>
      </w:r>
      <w:r w:rsidR="00420910">
        <w:t>,</w:t>
      </w:r>
      <w:r>
        <w:t xml:space="preserve"> в случае если предлагаемая передача</w:t>
      </w:r>
      <w:proofErr w:type="gramEnd"/>
      <w:r>
        <w:t xml:space="preserve"> обычных видов оружия не </w:t>
      </w:r>
      <w:proofErr w:type="gramStart"/>
      <w:r>
        <w:t>запрещена</w:t>
      </w:r>
      <w:proofErr w:type="gramEnd"/>
      <w:r>
        <w:t>, экспортирующее государство все же должно оценить</w:t>
      </w:r>
      <w:r w:rsidR="00420910">
        <w:t>,</w:t>
      </w:r>
      <w:r>
        <w:t xml:space="preserve"> в какой сфере они могут быть использованы для совершения серьезных нарушений международного права прав человека или международного гуманитарного права или содействия подобным нарушениям.</w:t>
      </w:r>
    </w:p>
    <w:p w:rsidR="007A5CEC" w:rsidRDefault="007A5CEC" w:rsidP="007A5CEC">
      <w:pPr>
        <w:pStyle w:val="SingleTxt"/>
      </w:pPr>
      <w:r>
        <w:t>32.</w:t>
      </w:r>
      <w:r w:rsidR="005852EB">
        <w:tab/>
      </w:r>
      <w:r>
        <w:t>В случае, когда оценка воздействия на права человека осуществляется л</w:t>
      </w:r>
      <w:r>
        <w:t>и</w:t>
      </w:r>
      <w:r>
        <w:t>цами, определяющими политический курс, это может гарантировать учет всех прав человека на наиболее ранней стадии разработки политики. Например, пл</w:t>
      </w:r>
      <w:r>
        <w:t>а</w:t>
      </w:r>
      <w:r>
        <w:t xml:space="preserve">нирование политики должно обеспечивать надлежащую социальную защиту и бороться с социальной изоляцией. </w:t>
      </w:r>
      <w:proofErr w:type="gramStart"/>
      <w:r>
        <w:t>Это имеет решающее значение, так как многие государства отреагировали на недавний финансовый кризис посредством прин</w:t>
      </w:r>
      <w:r>
        <w:t>я</w:t>
      </w:r>
      <w:r>
        <w:t>тия мер жесткой экономии, что привело к существенному сокращению расходов на социальные нужды</w:t>
      </w:r>
      <w:r w:rsidR="005852EB" w:rsidRPr="00E14097">
        <w:rPr>
          <w:rStyle w:val="FootnoteReference"/>
        </w:rPr>
        <w:footnoteReference w:id="69"/>
      </w:r>
      <w:r>
        <w:t xml:space="preserve">. Согласно недавнему отчету УВКПЧ, </w:t>
      </w:r>
      <w:r w:rsidR="005852EB">
        <w:t>«</w:t>
      </w:r>
      <w:r>
        <w:t>сокращение числа занятых в государственном секторе и снижение объема финансирования систем социального обеспечения привели к лишению или нарушению экономических, социальных или культурных прав, особенно применительно к тем, кто уже</w:t>
      </w:r>
      <w:proofErr w:type="gramEnd"/>
      <w:r>
        <w:t xml:space="preserve"> нах</w:t>
      </w:r>
      <w:r>
        <w:t>о</w:t>
      </w:r>
      <w:r>
        <w:t>дится в маргинальном положении или рискует в нем оказаться, и в некоторых случаях они идут вразрез с запрещением дискриминации в пользовании правами человека</w:t>
      </w:r>
      <w:r w:rsidR="005852EB">
        <w:t>»</w:t>
      </w:r>
      <w:r>
        <w:t xml:space="preserve"> (E/2013/82, пункт 70). </w:t>
      </w:r>
      <w:proofErr w:type="gramStart"/>
      <w:r>
        <w:t>Председатель Комитета по экономическим, с</w:t>
      </w:r>
      <w:r>
        <w:t>о</w:t>
      </w:r>
      <w:r>
        <w:t>циальным и культурным правам отметил в этой связи, что для выполнения своих обязательств в области прав человека государства</w:t>
      </w:r>
      <w:r w:rsidR="00420910">
        <w:t xml:space="preserve"> – </w:t>
      </w:r>
      <w:r>
        <w:t>участники Пакта об экон</w:t>
      </w:r>
      <w:r>
        <w:t>о</w:t>
      </w:r>
      <w:r>
        <w:t>мических, социальных и культурных правах должны оправдывать принятие мер жесткой экономии посредством представления доказательств того, что такие м</w:t>
      </w:r>
      <w:r>
        <w:t>е</w:t>
      </w:r>
      <w:r>
        <w:t>ры реально защищают права, провозглашенные в Пакте, и особенно права наиб</w:t>
      </w:r>
      <w:r>
        <w:t>о</w:t>
      </w:r>
      <w:r>
        <w:t>лее уязвимых лиц.</w:t>
      </w:r>
      <w:proofErr w:type="gramEnd"/>
      <w:r>
        <w:t xml:space="preserve"> Для этого государствам следует доказать, что все другие вар</w:t>
      </w:r>
      <w:r>
        <w:t>и</w:t>
      </w:r>
      <w:r>
        <w:t>анты были исчерпаны и что такие меры являются необходимыми, соразмерными, соответствующими базовым обязат</w:t>
      </w:r>
      <w:r w:rsidR="005852EB">
        <w:t>ельствам и недискриминационными</w:t>
      </w:r>
      <w:r w:rsidR="005852EB" w:rsidRPr="00E14097">
        <w:rPr>
          <w:rStyle w:val="FootnoteReference"/>
        </w:rPr>
        <w:footnoteReference w:id="70"/>
      </w:r>
      <w:r>
        <w:t>.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5852E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Сбор данных и анализ статистической информации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33.</w:t>
      </w:r>
      <w:r w:rsidR="005852EB">
        <w:tab/>
      </w:r>
      <w:r>
        <w:t>Сбор данных и анализ статистической информации о населении и конкре</w:t>
      </w:r>
      <w:r>
        <w:t>т</w:t>
      </w:r>
      <w:r>
        <w:t xml:space="preserve">ных вопросах имеют </w:t>
      </w:r>
      <w:proofErr w:type="gramStart"/>
      <w:r>
        <w:t>важное значение</w:t>
      </w:r>
      <w:proofErr w:type="gramEnd"/>
      <w:r>
        <w:t xml:space="preserve"> для предупреждения дискриминации в о</w:t>
      </w:r>
      <w:r>
        <w:t>т</w:t>
      </w:r>
      <w:r>
        <w:t>ношении конкретных групп населения и решени</w:t>
      </w:r>
      <w:r w:rsidR="0092677D">
        <w:t>я данной проблемы. Для этого, в </w:t>
      </w:r>
      <w:r>
        <w:t>свою очередь, необходимо, чтобы охват данных был достаточно правильным и репрезентативным: в тех случаях, когда определенные группы вообще не вкл</w:t>
      </w:r>
      <w:r>
        <w:t>ю</w:t>
      </w:r>
      <w:r>
        <w:t>чены в процесс сбора данных, их отсутствие в программах или случаи дискр</w:t>
      </w:r>
      <w:r>
        <w:t>и</w:t>
      </w:r>
      <w:r>
        <w:t>минации в их отношении не будут отражаться в статистической информации. Участие национальных правозащитных учреждений, гражданского общества, конкретных групп и специалистов по статистике в подготовке обзоров и вопро</w:t>
      </w:r>
      <w:r>
        <w:t>с</w:t>
      </w:r>
      <w:r>
        <w:t xml:space="preserve">ников помогает свести этот риск к минимуму. Правозащитный подход к </w:t>
      </w:r>
      <w:proofErr w:type="spellStart"/>
      <w:r>
        <w:t>дезагр</w:t>
      </w:r>
      <w:r>
        <w:t>е</w:t>
      </w:r>
      <w:r>
        <w:t>гированию</w:t>
      </w:r>
      <w:proofErr w:type="spellEnd"/>
      <w:r>
        <w:t xml:space="preserve"> данных требует охвата наиболее уязвимых и социально отчужденных групп и обеспечения правозащитных гарантий для сбора, обработки, анализа и распространения этих данных (включая обеспечение прав на защиту, регистр</w:t>
      </w:r>
      <w:r>
        <w:t>а</w:t>
      </w:r>
      <w:r>
        <w:t>цию и самоидентификацию данных)</w:t>
      </w:r>
      <w:r w:rsidR="005852EB" w:rsidRPr="00E14097">
        <w:rPr>
          <w:rStyle w:val="FootnoteReference"/>
        </w:rPr>
        <w:footnoteReference w:id="71"/>
      </w:r>
      <w:r>
        <w:t>.</w:t>
      </w:r>
    </w:p>
    <w:p w:rsidR="007A5CEC" w:rsidRDefault="007A5CEC" w:rsidP="007A5CEC">
      <w:pPr>
        <w:pStyle w:val="SingleTxt"/>
      </w:pPr>
      <w:r>
        <w:t>34.</w:t>
      </w:r>
      <w:r w:rsidR="005852EB">
        <w:tab/>
      </w:r>
      <w:r>
        <w:t>Службы телефонной помощи, реестры жалоб и ходатайств национальных правозащитных учреждений (A/HRC/18/24, пункт 43) и аналогичные программы являются полезным дополнением к систематизированному сбору данных и могут также служить основой для выявления вопросов и проблем, которые не решаю</w:t>
      </w:r>
      <w:r>
        <w:t>т</w:t>
      </w:r>
      <w:r>
        <w:t>ся должным образом или ранее не были определены.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5852E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Показатели в области прав человека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35.</w:t>
      </w:r>
      <w:r w:rsidR="005852EB">
        <w:tab/>
      </w:r>
      <w:r>
        <w:t>Пок</w:t>
      </w:r>
      <w:r w:rsidR="005852EB">
        <w:t>азатели в области прав человека</w:t>
      </w:r>
      <w:r w:rsidR="005852EB" w:rsidRPr="00E14097">
        <w:rPr>
          <w:rStyle w:val="FootnoteReference"/>
        </w:rPr>
        <w:footnoteReference w:id="72"/>
      </w:r>
      <w:r>
        <w:t xml:space="preserve"> являются основными инструментами, помогающими государствам оценить собственный прогресс в обеспечении ос</w:t>
      </w:r>
      <w:r>
        <w:t>у</w:t>
      </w:r>
      <w:r>
        <w:t>ществления прав человека своего народа, планировании действий для предо</w:t>
      </w:r>
      <w:r>
        <w:t>т</w:t>
      </w:r>
      <w:r>
        <w:t>вращения нарушений прав человека и наблюдении за осуществлением таких де</w:t>
      </w:r>
      <w:r>
        <w:t>й</w:t>
      </w:r>
      <w:r>
        <w:t>ствий для проверки их эффективности и необходимости корректировки или дальнейших действий. В работе договорных органов Организации Объедине</w:t>
      </w:r>
      <w:r>
        <w:t>н</w:t>
      </w:r>
      <w:r>
        <w:t>ных Наций по правам человека, например, использование соответствующих п</w:t>
      </w:r>
      <w:r>
        <w:t>о</w:t>
      </w:r>
      <w:r>
        <w:t>казателей позволяет помочь государствам-участникам в предоставлении дог</w:t>
      </w:r>
      <w:r>
        <w:t>о</w:t>
      </w:r>
      <w:r>
        <w:t xml:space="preserve">ворным органам точной и актуальной информации и оценке прогресса в деле осуществления государствами </w:t>
      </w:r>
      <w:r w:rsidR="005852EB">
        <w:t>своих обязательств по договорам</w:t>
      </w:r>
      <w:r w:rsidR="005852EB" w:rsidRPr="00E14097">
        <w:rPr>
          <w:rStyle w:val="FootnoteReference"/>
        </w:rPr>
        <w:footnoteReference w:id="73"/>
      </w:r>
      <w:r>
        <w:t>.</w:t>
      </w:r>
    </w:p>
    <w:p w:rsidR="007A5CEC" w:rsidRDefault="007A5CEC" w:rsidP="007A5CEC">
      <w:pPr>
        <w:pStyle w:val="SingleTxt"/>
      </w:pPr>
      <w:r>
        <w:t>36.</w:t>
      </w:r>
      <w:r w:rsidR="005852EB">
        <w:tab/>
      </w:r>
      <w:r>
        <w:t>УВКПЧ разработало концептуальную и методологическую базу показат</w:t>
      </w:r>
      <w:r>
        <w:t>е</w:t>
      </w:r>
      <w:r>
        <w:t>лей, которые можно применять и адаптировать к определенной обстановке в рамках национальных процессов с широким кругом участников. Для этой базы рекомендуется разработка структурных показателей, показателей процесса и р</w:t>
      </w:r>
      <w:r>
        <w:t>е</w:t>
      </w:r>
      <w:r>
        <w:t>зультата. Такая конфигурация должна помочь оценить меры, принимаемые гос</w:t>
      </w:r>
      <w:r>
        <w:t>у</w:t>
      </w:r>
      <w:r>
        <w:t>дарствами по выполнению своих обязательств, начиная с принятия обязательств и согласия с международными стандартами прав человека (структурные показ</w:t>
      </w:r>
      <w:r>
        <w:t>а</w:t>
      </w:r>
      <w:r>
        <w:t>тели) через усилия для выполнения обязательств, проистекающих из стандартов (показатели процесса), и заканчивая результатами этих усилий (показатели р</w:t>
      </w:r>
      <w:r>
        <w:t>е</w:t>
      </w:r>
      <w:r>
        <w:t>зультата). Например, в отношении права на свободу и личную неприкоснове</w:t>
      </w:r>
      <w:r>
        <w:t>н</w:t>
      </w:r>
      <w:r w:rsidR="005852EB">
        <w:t xml:space="preserve">ность </w:t>
      </w:r>
      <w:r>
        <w:t>структурный показатель может указать дату вступления в силу этого права и его освещение в Конституции; показатель процесса может отразить долю пр</w:t>
      </w:r>
      <w:r>
        <w:t>е</w:t>
      </w:r>
      <w:r>
        <w:t>тензий, связанных с осуществлением этого права, которые были рассмотрены национальными правозащитными учреждениями и по которым они вынесли р</w:t>
      </w:r>
      <w:r>
        <w:t>е</w:t>
      </w:r>
      <w:r>
        <w:t>шение; показатель результата покажет долю арестов и задержаний, которые были объявлены н</w:t>
      </w:r>
      <w:r w:rsidR="005852EB">
        <w:t>езаконными в национальных судах</w:t>
      </w:r>
      <w:r w:rsidR="005852EB" w:rsidRPr="00E14097">
        <w:rPr>
          <w:rStyle w:val="FootnoteReference"/>
        </w:rPr>
        <w:footnoteReference w:id="74"/>
      </w:r>
      <w:r>
        <w:t>.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5852E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Исполнение рекомендаций, представленных механизмами по правам человека</w:t>
      </w:r>
    </w:p>
    <w:p w:rsidR="005852EB" w:rsidRPr="005852EB" w:rsidRDefault="005852EB" w:rsidP="005852EB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37.</w:t>
      </w:r>
      <w:r w:rsidR="005852EB">
        <w:tab/>
      </w:r>
      <w:r>
        <w:t>Также очень важна разработка инструментов для выполнения рекоменд</w:t>
      </w:r>
      <w:r>
        <w:t>а</w:t>
      </w:r>
      <w:r>
        <w:t xml:space="preserve">ций, представленных государствам механизмами по правам человека. На первых порах сбор рекомендаций в открытой и </w:t>
      </w:r>
      <w:r w:rsidR="005852EB">
        <w:t>понятной</w:t>
      </w:r>
      <w:r>
        <w:t xml:space="preserve"> форме, доступной для всеобщ</w:t>
      </w:r>
      <w:r>
        <w:t>е</w:t>
      </w:r>
      <w:r>
        <w:t>го пользования</w:t>
      </w:r>
      <w:r w:rsidR="005852EB" w:rsidRPr="00E14097">
        <w:rPr>
          <w:rStyle w:val="FootnoteReference"/>
        </w:rPr>
        <w:footnoteReference w:id="75"/>
      </w:r>
      <w:r>
        <w:t>, позволяет соответствующим государственным органам и др</w:t>
      </w:r>
      <w:r>
        <w:t>у</w:t>
      </w:r>
      <w:r>
        <w:t>гим заинтересованным сторонам наблюдать за их осуществлением. Это может быть оформлено в виде регулярно обновляемой электронной базы данных, д</w:t>
      </w:r>
      <w:r>
        <w:t>о</w:t>
      </w:r>
      <w:r>
        <w:t>ступной для всеобщего пользования, в которой может указываться ход выполн</w:t>
      </w:r>
      <w:r>
        <w:t>е</w:t>
      </w:r>
      <w:r>
        <w:t>ния, что облегчит применение подобных рекомендаций в разработке или пер</w:t>
      </w:r>
      <w:r>
        <w:t>е</w:t>
      </w:r>
      <w:r>
        <w:t>смотре любой национальной стратегии или плана действий в области прав чел</w:t>
      </w:r>
      <w:r>
        <w:t>о</w:t>
      </w:r>
      <w:r>
        <w:t xml:space="preserve">века. </w:t>
      </w:r>
      <w:proofErr w:type="gramStart"/>
      <w:r>
        <w:t>Конкретные законы или процедуры могут быть приняты для осуществления международной и региональной судебной пра</w:t>
      </w:r>
      <w:r w:rsidR="0036404E">
        <w:t>ктики на национальном уровне, а </w:t>
      </w:r>
      <w:r>
        <w:t>представитель потерпевшего может быть приглашен для участия в работе пр</w:t>
      </w:r>
      <w:r>
        <w:t>а</w:t>
      </w:r>
      <w:r>
        <w:t>вительственного органа, которому было доверено рассмотрение этого конкретн</w:t>
      </w:r>
      <w:r>
        <w:t>о</w:t>
      </w:r>
      <w:r>
        <w:t>го дела на национальном уровне</w:t>
      </w:r>
      <w:r w:rsidR="00F30211" w:rsidRPr="00E14097">
        <w:rPr>
          <w:rStyle w:val="FootnoteReference"/>
        </w:rPr>
        <w:footnoteReference w:id="76"/>
      </w:r>
      <w:r>
        <w:t>. В рамках министерств также могут быть установлены постоянные механизмы для контроля за осуществлением рекоме</w:t>
      </w:r>
      <w:r>
        <w:t>н</w:t>
      </w:r>
      <w:r>
        <w:t>даций, в частности с учетом структурных проблем, которые</w:t>
      </w:r>
      <w:proofErr w:type="gramEnd"/>
      <w:r>
        <w:t xml:space="preserve"> </w:t>
      </w:r>
      <w:proofErr w:type="gramStart"/>
      <w:r>
        <w:t>могут быть выявл</w:t>
      </w:r>
      <w:r>
        <w:t>е</w:t>
      </w:r>
      <w:r>
        <w:t xml:space="preserve">ны благодаря региональным правозащитным механизмам, и для предотвращения дальнейших нарушений, </w:t>
      </w:r>
      <w:r w:rsidR="00F30211">
        <w:t>обусловленных этими проблемами</w:t>
      </w:r>
      <w:r w:rsidR="00F30211" w:rsidRPr="00E14097">
        <w:rPr>
          <w:rStyle w:val="FootnoteReference"/>
        </w:rPr>
        <w:footnoteReference w:id="77"/>
      </w:r>
      <w:r>
        <w:t>.</w:t>
      </w:r>
      <w:proofErr w:type="gramEnd"/>
    </w:p>
    <w:p w:rsidR="007A5CEC" w:rsidRDefault="007A5CEC" w:rsidP="007A5CEC">
      <w:pPr>
        <w:pStyle w:val="SingleTxt"/>
      </w:pPr>
      <w:r>
        <w:t>38.</w:t>
      </w:r>
      <w:r w:rsidR="00F30211">
        <w:tab/>
      </w:r>
      <w:r>
        <w:t>Осуществление рекомендаций правозащитных механизмов в области прав человека в рамках национальных стратегий и программ требует действенной к</w:t>
      </w:r>
      <w:r>
        <w:t>о</w:t>
      </w:r>
      <w:r>
        <w:t>ординации усилий, наличия аналитической основы и согласованного методол</w:t>
      </w:r>
      <w:r>
        <w:t>о</w:t>
      </w:r>
      <w:r>
        <w:t xml:space="preserve">гического подхода. Причины нарушений прав человека </w:t>
      </w:r>
      <w:r w:rsidR="00A26EC8">
        <w:t>могут быть очевидными, например</w:t>
      </w:r>
      <w:r>
        <w:t xml:space="preserve"> законы или политические меры, которые </w:t>
      </w:r>
      <w:r w:rsidR="00F30211">
        <w:t>исключают из системы</w:t>
      </w:r>
      <w:r>
        <w:t xml:space="preserve"> обр</w:t>
      </w:r>
      <w:r>
        <w:t>а</w:t>
      </w:r>
      <w:r>
        <w:t>зования определенные группы</w:t>
      </w:r>
      <w:r w:rsidR="00F30211">
        <w:t xml:space="preserve"> лиц</w:t>
      </w:r>
      <w:r>
        <w:t>. Они также могут быть более сложными и охватывать широкий спектр правовых, политических, практических и социал</w:t>
      </w:r>
      <w:r>
        <w:t>ь</w:t>
      </w:r>
      <w:r>
        <w:t xml:space="preserve">ных позиций. Участие пострадавших лиц может помочь определить причины и проанализировать возможные решения, а также рассмотреть вопрос о праве участвовать в принятии решений. Опыт свидетельствует о том, что полезным подспорьем в этой связи может стать учреждение постоянных и инклюзивных механизмов координации и последующего контроля (A/HRC/27/41, пункт 101). Консультации со всеми уровнями государственной власти и их </w:t>
      </w:r>
      <w:proofErr w:type="spellStart"/>
      <w:r>
        <w:t>задействова</w:t>
      </w:r>
      <w:r>
        <w:t>н</w:t>
      </w:r>
      <w:r>
        <w:t>ность</w:t>
      </w:r>
      <w:proofErr w:type="spellEnd"/>
      <w:r>
        <w:t xml:space="preserve"> с самого начала помога</w:t>
      </w:r>
      <w:r w:rsidR="00A26EC8">
        <w:t>ю</w:t>
      </w:r>
      <w:r>
        <w:t>т обеспечить их последующее участие вплоть до этапа осуществления. Создание (ме</w:t>
      </w:r>
      <w:proofErr w:type="gramStart"/>
      <w:r>
        <w:t>ж-</w:t>
      </w:r>
      <w:proofErr w:type="gramEnd"/>
      <w:r>
        <w:t>)министерских или межведомственных о</w:t>
      </w:r>
      <w:r>
        <w:t>р</w:t>
      </w:r>
      <w:r>
        <w:t>ганов с четко обозначенным ведущим министерством, которые также включают в себя национальные правозащитные учреждения и гражданское общество, может расширить возможности для принятия своевременных мер. Обеспечение участия этих органов или процессов в консультациях и координации в отношении предотвращения нарушений прав человека, как и в случае осуществления рек</w:t>
      </w:r>
      <w:r>
        <w:t>о</w:t>
      </w:r>
      <w:r>
        <w:t>мендаций от механизмов по правам человека, может способствовать эффекти</w:t>
      </w:r>
      <w:r>
        <w:t>в</w:t>
      </w:r>
      <w:r>
        <w:t>ности, согласованности и последовательности.</w:t>
      </w:r>
    </w:p>
    <w:p w:rsidR="007A5CEC" w:rsidRDefault="007A5CEC" w:rsidP="007A5CEC">
      <w:pPr>
        <w:pStyle w:val="SingleTxt"/>
      </w:pPr>
      <w:r>
        <w:t>39.</w:t>
      </w:r>
      <w:r w:rsidR="00F30211">
        <w:tab/>
      </w:r>
      <w:r>
        <w:t>Ключевую роль также будет играть планирование, мониторинг и подотче</w:t>
      </w:r>
      <w:r>
        <w:t>т</w:t>
      </w:r>
      <w:r>
        <w:t xml:space="preserve">ность, связанные с обязательствами в области прав человека, содержащимися в новой повестке дня на период после 2015 года. Государства вновь подтвердили в заключительном проекте целей устойчивого развития, что новая повестка дня на период после 2015 года будет руководствоваться целями и принципами Устава Организации Объединенных Наций, включая полное уважение международного права, и основываться на Всеобщей декларации прав человека, международных правозащитных договорах и других международных документах, таких как </w:t>
      </w:r>
      <w:proofErr w:type="gramStart"/>
      <w:r>
        <w:t>Д</w:t>
      </w:r>
      <w:r>
        <w:t>е</w:t>
      </w:r>
      <w:r>
        <w:t>кларация</w:t>
      </w:r>
      <w:proofErr w:type="gramEnd"/>
      <w:r>
        <w:t xml:space="preserve"> о праве на развитие</w:t>
      </w:r>
      <w:r w:rsidR="00F30211" w:rsidRPr="00E14097">
        <w:rPr>
          <w:rStyle w:val="FootnoteReference"/>
        </w:rPr>
        <w:footnoteReference w:id="78"/>
      </w:r>
      <w:r>
        <w:t>. Эффективное осуществление повестки дня будет зависеть от создания мощных рамок «последующей деятельности и обзора», по</w:t>
      </w:r>
      <w:r>
        <w:t>з</w:t>
      </w:r>
      <w:r>
        <w:t>воляющих обеспечить выполнение обязательств</w:t>
      </w:r>
      <w:r w:rsidR="00F30211" w:rsidRPr="00E14097">
        <w:rPr>
          <w:rStyle w:val="FootnoteReference"/>
        </w:rPr>
        <w:footnoteReference w:id="79"/>
      </w:r>
      <w:r>
        <w:t>.</w:t>
      </w:r>
    </w:p>
    <w:p w:rsidR="00F30211" w:rsidRP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F30211" w:rsidRP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7A5CEC" w:rsidRDefault="007A5CEC" w:rsidP="00F3021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IV.</w:t>
      </w:r>
      <w:r>
        <w:tab/>
        <w:t>Роль международных и региональных заинтересованных сторон в предупреждении</w:t>
      </w:r>
    </w:p>
    <w:p w:rsidR="00F30211" w:rsidRP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F30211" w:rsidRP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40.</w:t>
      </w:r>
      <w:r w:rsidR="00F30211">
        <w:tab/>
      </w:r>
      <w:r>
        <w:t>Международные и региональные заинтересованные стороны могут оказ</w:t>
      </w:r>
      <w:r>
        <w:t>ы</w:t>
      </w:r>
      <w:r>
        <w:t>вать государствам помощь в выявлении пробелов или слабых мест в защите, з</w:t>
      </w:r>
      <w:r>
        <w:t>а</w:t>
      </w:r>
      <w:r>
        <w:t xml:space="preserve">конах, политике и практике и </w:t>
      </w:r>
      <w:r w:rsidR="00F30211">
        <w:t xml:space="preserve">в </w:t>
      </w:r>
      <w:r>
        <w:t>предложении коррективных мер, в том числе п</w:t>
      </w:r>
      <w:r>
        <w:t>о</w:t>
      </w:r>
      <w:r>
        <w:t xml:space="preserve">средством </w:t>
      </w:r>
      <w:r w:rsidR="00A26EC8">
        <w:t>у</w:t>
      </w:r>
      <w:r>
        <w:t>ниверсального периодического обзора.</w:t>
      </w:r>
    </w:p>
    <w:p w:rsid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F30211" w:rsidRP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7A5CEC" w:rsidRDefault="007A5CEC" w:rsidP="00F3021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A.</w:t>
      </w:r>
      <w:r>
        <w:tab/>
        <w:t>Международные и региональные правозащитные механизмы</w:t>
      </w:r>
    </w:p>
    <w:p w:rsidR="00F30211" w:rsidRP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F30211" w:rsidRPr="00F30211" w:rsidRDefault="00F30211" w:rsidP="00F30211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41.</w:t>
      </w:r>
      <w:r w:rsidR="00F30211">
        <w:tab/>
      </w:r>
      <w:r>
        <w:t>Международные и регио</w:t>
      </w:r>
      <w:r w:rsidR="00F30211">
        <w:t>нальные правозащитные механизмы</w:t>
      </w:r>
      <w:r w:rsidR="00F30211" w:rsidRPr="00E14097">
        <w:rPr>
          <w:rStyle w:val="FootnoteReference"/>
        </w:rPr>
        <w:footnoteReference w:id="80"/>
      </w:r>
      <w:r>
        <w:t xml:space="preserve"> дополняют национальные процессы по предупреждению нарушений прав человека и оказ</w:t>
      </w:r>
      <w:r>
        <w:t>ы</w:t>
      </w:r>
      <w:r>
        <w:t xml:space="preserve">вают им содействие при помощи </w:t>
      </w:r>
      <w:r w:rsidR="00F30211">
        <w:t xml:space="preserve">высшей </w:t>
      </w:r>
      <w:r>
        <w:t>оценки и специальных знаний прим</w:t>
      </w:r>
      <w:r>
        <w:t>е</w:t>
      </w:r>
      <w:r>
        <w:t>нительно к ситуации, законам, политике и практике, опираясь на свои знания п</w:t>
      </w:r>
      <w:r>
        <w:t>о</w:t>
      </w:r>
      <w:r>
        <w:t>рядков других государств и проблем, с которыми они сталкиваются. Они также поощряют взаимодействие и сотрудничество государств и других заинтересова</w:t>
      </w:r>
      <w:r>
        <w:t>н</w:t>
      </w:r>
      <w:r>
        <w:t>ных сторон по вопросам прав человека и способствуют разъяснению содержания прав, так как их рекомендации часто являются доступными общественности. С</w:t>
      </w:r>
      <w:r>
        <w:t>о</w:t>
      </w:r>
      <w:r>
        <w:t>вет по правам человека напомнил о своей роли в предупреждении нарушений прав человека посредством сотрудничества и диалога в соответствии с резол</w:t>
      </w:r>
      <w:r>
        <w:t>ю</w:t>
      </w:r>
      <w:r>
        <w:t>ци</w:t>
      </w:r>
      <w:r w:rsidR="00F30211">
        <w:t>ей 60/251 Генеральной Ассамблеи</w:t>
      </w:r>
      <w:r>
        <w:t xml:space="preserve"> (A/HRC/RES/24/16, преамбула). </w:t>
      </w:r>
      <w:proofErr w:type="gramStart"/>
      <w:r>
        <w:t>В то время как международная система привносит в защиту прав человека глобальную пе</w:t>
      </w:r>
      <w:r>
        <w:t>р</w:t>
      </w:r>
      <w:r>
        <w:t>спективу и универсальность, региональные механизмы могут иметь «более про</w:t>
      </w:r>
      <w:r>
        <w:t>ч</w:t>
      </w:r>
      <w:r>
        <w:t>ный потенциал для раннего выявления и могут задействовать опыт разрешения аналогичных ситуаций в странах региона... некоторые страны реагируют лучше на примеры, взятые из опыта, приобретенного соседними странами» (A/HRC/</w:t>
      </w:r>
      <w:r w:rsidR="00F30211">
        <w:br/>
      </w:r>
      <w:r>
        <w:t>28/30, пункт 18).</w:t>
      </w:r>
      <w:proofErr w:type="gramEnd"/>
    </w:p>
    <w:p w:rsidR="007A5CEC" w:rsidRDefault="007A5CEC" w:rsidP="007A5CEC">
      <w:pPr>
        <w:pStyle w:val="SingleTxt"/>
      </w:pPr>
      <w:r>
        <w:t>42.</w:t>
      </w:r>
      <w:r w:rsidR="00F30211">
        <w:tab/>
      </w:r>
      <w:r>
        <w:t>Эти механизмы обычно следят за выполнением обязательств в области прав человека путем рассмотрения периодических докладов и индивидуальных соо</w:t>
      </w:r>
      <w:r>
        <w:t>б</w:t>
      </w:r>
      <w:r>
        <w:t xml:space="preserve">щений. </w:t>
      </w:r>
      <w:proofErr w:type="gramStart"/>
      <w:r>
        <w:t>В своих соображениях относительно подобных сообщений соответств</w:t>
      </w:r>
      <w:r>
        <w:t>у</w:t>
      </w:r>
      <w:r>
        <w:t>ющие механизмы не только рассматривают вопрос о том, имело ли место нар</w:t>
      </w:r>
      <w:r>
        <w:t>у</w:t>
      </w:r>
      <w:r>
        <w:t>шение в каждом отдельном случае, но и представляют анализ причин его во</w:t>
      </w:r>
      <w:r>
        <w:t>з</w:t>
      </w:r>
      <w:r>
        <w:t>никновения, а также определяют, какие меры следует принять для предотвращ</w:t>
      </w:r>
      <w:r>
        <w:t>е</w:t>
      </w:r>
      <w:r>
        <w:t>ния повторения подобных нарушений</w:t>
      </w:r>
      <w:r w:rsidR="00F30211" w:rsidRPr="00E14097">
        <w:rPr>
          <w:rStyle w:val="FootnoteReference"/>
        </w:rPr>
        <w:footnoteReference w:id="81"/>
      </w:r>
      <w:r>
        <w:t xml:space="preserve">. Механизмы подачи жалоб также могут напрямую предотвращать нарушения прав человека </w:t>
      </w:r>
      <w:r w:rsidR="00F30211">
        <w:t>благодаря их положениям</w:t>
      </w:r>
      <w:r>
        <w:t xml:space="preserve"> о времен</w:t>
      </w:r>
      <w:r w:rsidR="00F30211">
        <w:t>ных мерах</w:t>
      </w:r>
      <w:r w:rsidR="00F30211" w:rsidRPr="00E14097">
        <w:rPr>
          <w:rStyle w:val="FootnoteReference"/>
        </w:rPr>
        <w:footnoteReference w:id="82"/>
      </w:r>
      <w:r>
        <w:t>. Другим примером функций</w:t>
      </w:r>
      <w:proofErr w:type="gramEnd"/>
      <w:r>
        <w:t xml:space="preserve"> </w:t>
      </w:r>
      <w:proofErr w:type="gramStart"/>
      <w:r>
        <w:t>международных и региональных механизмов являются процедуры урегулирования дружеским путем Межамер</w:t>
      </w:r>
      <w:r>
        <w:t>и</w:t>
      </w:r>
      <w:r>
        <w:t xml:space="preserve">канской комиссии по правам человека, которая стремится гарантировать </w:t>
      </w:r>
      <w:proofErr w:type="spellStart"/>
      <w:r>
        <w:t>неп</w:t>
      </w:r>
      <w:r>
        <w:t>о</w:t>
      </w:r>
      <w:r>
        <w:t>вторение</w:t>
      </w:r>
      <w:proofErr w:type="spellEnd"/>
      <w:r>
        <w:t xml:space="preserve"> с целью предотвращения будущих нарушений прав человека</w:t>
      </w:r>
      <w:r w:rsidR="00F30211" w:rsidRPr="00E14097">
        <w:rPr>
          <w:rStyle w:val="FootnoteReference"/>
        </w:rPr>
        <w:footnoteReference w:id="83"/>
      </w:r>
      <w:r>
        <w:t>. В число этих гарантий входит принятие новы</w:t>
      </w:r>
      <w:r w:rsidR="00F30211">
        <w:t>х законов и отмена существующих</w:t>
      </w:r>
      <w:r w:rsidR="00F30211" w:rsidRPr="00E14097">
        <w:rPr>
          <w:rStyle w:val="FootnoteReference"/>
        </w:rPr>
        <w:footnoteReference w:id="84"/>
      </w:r>
      <w:r>
        <w:t>, реал</w:t>
      </w:r>
      <w:r>
        <w:t>и</w:t>
      </w:r>
      <w:r>
        <w:t>зация государственной политики, направленной на защиту прав человека, и ос</w:t>
      </w:r>
      <w:r>
        <w:t>у</w:t>
      </w:r>
      <w:r>
        <w:t>ществление профессиональной подготовки в области прав человека для госуда</w:t>
      </w:r>
      <w:r>
        <w:t>р</w:t>
      </w:r>
      <w:r>
        <w:t>ственных должностных лиц</w:t>
      </w:r>
      <w:r w:rsidR="00F30211" w:rsidRPr="00E14097">
        <w:rPr>
          <w:rStyle w:val="FootnoteReference"/>
        </w:rPr>
        <w:footnoteReference w:id="85"/>
      </w:r>
      <w:r>
        <w:t>.</w:t>
      </w:r>
      <w:proofErr w:type="gramEnd"/>
    </w:p>
    <w:p w:rsidR="007A5CEC" w:rsidRDefault="007A5CEC" w:rsidP="007A5CEC">
      <w:pPr>
        <w:pStyle w:val="SingleTxt"/>
      </w:pPr>
      <w:r>
        <w:t>43.</w:t>
      </w:r>
      <w:r w:rsidR="005D4241">
        <w:tab/>
      </w:r>
      <w:r>
        <w:t>Мех</w:t>
      </w:r>
      <w:r w:rsidR="00F30211">
        <w:t>анизмы для предотвращения пыток</w:t>
      </w:r>
      <w:r w:rsidR="00F30211" w:rsidRPr="00E14097">
        <w:rPr>
          <w:rStyle w:val="FootnoteReference"/>
        </w:rPr>
        <w:footnoteReference w:id="86"/>
      </w:r>
      <w:r>
        <w:t>, специальные процедуры, учр</w:t>
      </w:r>
      <w:r>
        <w:t>е</w:t>
      </w:r>
      <w:r>
        <w:t>жденные Советом по правам человека, и некоторые договорные органы ос</w:t>
      </w:r>
      <w:r>
        <w:t>у</w:t>
      </w:r>
      <w:r>
        <w:t>ществляют поездки в страны и подготавливают тематические отчеты и исслед</w:t>
      </w:r>
      <w:r>
        <w:t>о</w:t>
      </w:r>
      <w:r>
        <w:t>вания. Многие также способствуют предупреждению, разрабатывая новые ста</w:t>
      </w:r>
      <w:r>
        <w:t>н</w:t>
      </w:r>
      <w:r>
        <w:t>дарты и руководящие принципы и оказывая государствам помощь в интерпрет</w:t>
      </w:r>
      <w:r>
        <w:t>а</w:t>
      </w:r>
      <w:r>
        <w:t>ции положений, включенных в правозащитные инструменты. Некоторые уполн</w:t>
      </w:r>
      <w:r>
        <w:t>о</w:t>
      </w:r>
      <w:r>
        <w:t>мочены проводить расследования, применять механизмы раннего предупрежд</w:t>
      </w:r>
      <w:r>
        <w:t>е</w:t>
      </w:r>
      <w:r>
        <w:t>ния или осущест</w:t>
      </w:r>
      <w:r w:rsidR="00F30211">
        <w:t>влять незамедлительные действия</w:t>
      </w:r>
      <w:r>
        <w:t>, главной целью которых явл</w:t>
      </w:r>
      <w:r>
        <w:t>я</w:t>
      </w:r>
      <w:r>
        <w:t>ется предупреждение нарушений прав</w:t>
      </w:r>
      <w:r w:rsidR="00E14097" w:rsidRPr="00E14097">
        <w:rPr>
          <w:rStyle w:val="FootnoteReference"/>
        </w:rPr>
        <w:footnoteReference w:id="87"/>
      </w:r>
      <w:r>
        <w:t xml:space="preserve"> человека.</w:t>
      </w:r>
    </w:p>
    <w:p w:rsidR="007A5CEC" w:rsidRDefault="007A5CEC" w:rsidP="007A5CEC">
      <w:pPr>
        <w:pStyle w:val="SingleTxt"/>
      </w:pPr>
      <w:r>
        <w:t>44.</w:t>
      </w:r>
      <w:r w:rsidR="00F30211">
        <w:tab/>
      </w:r>
      <w:r>
        <w:t>Универсальный периодический обзор представляет собой уникальный пр</w:t>
      </w:r>
      <w:r>
        <w:t>о</w:t>
      </w:r>
      <w:r>
        <w:t xml:space="preserve">цесс, в рамках которого рассматриваются </w:t>
      </w:r>
      <w:r w:rsidR="00F30211">
        <w:t>доклады</w:t>
      </w:r>
      <w:r>
        <w:t xml:space="preserve"> по правам человека всех гос</w:t>
      </w:r>
      <w:r>
        <w:t>у</w:t>
      </w:r>
      <w:r>
        <w:t>дарств</w:t>
      </w:r>
      <w:r w:rsidR="00A26EC8">
        <w:t xml:space="preserve"> – </w:t>
      </w:r>
      <w:r>
        <w:t>членов Организации Объединенных Наций. Он дает государствам во</w:t>
      </w:r>
      <w:r>
        <w:t>з</w:t>
      </w:r>
      <w:r>
        <w:t>можность представить информацию о мерах, принятых для улучшения полож</w:t>
      </w:r>
      <w:r>
        <w:t>е</w:t>
      </w:r>
      <w:r>
        <w:t>ния в области прав человека и преодоления трудностей по осуществлению прав человека всеми лицами, находящимися в их юрисдикции. Он может оказывать государствам помощь в выявлении потенциальных нарушений и способов их устранения, в том числе путем обмена эффективной практикой. Выполнение р</w:t>
      </w:r>
      <w:r>
        <w:t>е</w:t>
      </w:r>
      <w:r>
        <w:t>комендаций привело к позитивным изменениям в законодательной и политич</w:t>
      </w:r>
      <w:r>
        <w:t>е</w:t>
      </w:r>
      <w:r w:rsidR="00E14097">
        <w:t>ской сфере</w:t>
      </w:r>
      <w:r w:rsidR="00E14097" w:rsidRPr="00E14097">
        <w:rPr>
          <w:rStyle w:val="FootnoteReference"/>
        </w:rPr>
        <w:footnoteReference w:id="88"/>
      </w:r>
      <w:r>
        <w:t>.</w:t>
      </w: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7A5CEC" w:rsidRDefault="007A5CEC" w:rsidP="00E1409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B.</w:t>
      </w:r>
      <w:r>
        <w:tab/>
        <w:t>Вклад международных и региональных организаций</w:t>
      </w:r>
      <w:r w:rsidR="00E14097" w:rsidRPr="00E14097">
        <w:t xml:space="preserve"> </w:t>
      </w:r>
      <w:r w:rsidR="00E14097">
        <w:t>в предупреждение</w:t>
      </w: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45.</w:t>
      </w:r>
      <w:r w:rsidR="00E14097">
        <w:tab/>
      </w:r>
      <w:proofErr w:type="gramStart"/>
      <w:r>
        <w:t>Международные и региональные организации, включая Организацию Об</w:t>
      </w:r>
      <w:r>
        <w:t>ъ</w:t>
      </w:r>
      <w:r>
        <w:t>единенных Наций</w:t>
      </w:r>
      <w:r w:rsidR="00E14097" w:rsidRPr="00E14097">
        <w:rPr>
          <w:rStyle w:val="FootnoteReference"/>
        </w:rPr>
        <w:footnoteReference w:id="89"/>
      </w:r>
      <w:r>
        <w:t>, способствуют предупреждению нарушений прав человека в рамках их соответствующих мандатов, оказывая поддержку государствам в в</w:t>
      </w:r>
      <w:r>
        <w:t>ы</w:t>
      </w:r>
      <w:r>
        <w:t>полнении их обязате</w:t>
      </w:r>
      <w:r w:rsidR="00E14097">
        <w:t>льств в отношении прав человека</w:t>
      </w:r>
      <w:r w:rsidR="00E14097" w:rsidRPr="00E14097">
        <w:rPr>
          <w:rStyle w:val="FootnoteReference"/>
        </w:rPr>
        <w:footnoteReference w:id="90"/>
      </w:r>
      <w:r>
        <w:t>. Резолюция 48/141 Ген</w:t>
      </w:r>
      <w:r>
        <w:t>е</w:t>
      </w:r>
      <w:r>
        <w:t>ральной Ассамблеи конкретно предписывает УВКПЧ «играть активную роль в деле устранения нынешних препятствий и решения новых задач на пути к по</w:t>
      </w:r>
      <w:r>
        <w:t>л</w:t>
      </w:r>
      <w:r>
        <w:t>ной реализации всех прав человека и в деле</w:t>
      </w:r>
      <w:proofErr w:type="gramEnd"/>
      <w:r>
        <w:t xml:space="preserve"> недопущения продолжения наруш</w:t>
      </w:r>
      <w:r>
        <w:t>е</w:t>
      </w:r>
      <w:r>
        <w:t>ний прав человека во всем мире». УВКПЧ обеспечивает технические знания и развитие потенциала, тем самым оказывая помощь правительствам в выполнении своих обязательств, поддерживая частных лиц, отстаивающих свои права и об</w:t>
      </w:r>
      <w:r>
        <w:t>ъ</w:t>
      </w:r>
      <w:r>
        <w:t>ективно отмечающих нарушения прав человека</w:t>
      </w:r>
      <w:r w:rsidR="00E14097" w:rsidRPr="00E14097">
        <w:rPr>
          <w:rStyle w:val="FootnoteReference"/>
        </w:rPr>
        <w:footnoteReference w:id="91"/>
      </w:r>
      <w:r>
        <w:t>. Кроме того, в рамках Совета Европы, например</w:t>
      </w:r>
      <w:proofErr w:type="gramStart"/>
      <w:r>
        <w:t>,</w:t>
      </w:r>
      <w:proofErr w:type="gramEnd"/>
      <w:r>
        <w:t xml:space="preserve"> государства могут обращаться к Директорату по правам чел</w:t>
      </w:r>
      <w:r>
        <w:t>о</w:t>
      </w:r>
      <w:r>
        <w:t>века Совета Евр</w:t>
      </w:r>
      <w:r w:rsidR="00E14097">
        <w:t>опы и к его Европейской комиссии «</w:t>
      </w:r>
      <w:r>
        <w:t>Демократия через закон</w:t>
      </w:r>
      <w:r w:rsidR="00E14097">
        <w:t>»</w:t>
      </w:r>
      <w:r>
        <w:t xml:space="preserve"> (Венецианской комиссии) за помощью в подготовке законов или оценке их соо</w:t>
      </w:r>
      <w:r>
        <w:t>т</w:t>
      </w:r>
      <w:r>
        <w:t>ветствия стандартам в области прав человека.</w:t>
      </w:r>
    </w:p>
    <w:p w:rsidR="007A5CEC" w:rsidRDefault="007A5CEC" w:rsidP="007A5CEC">
      <w:pPr>
        <w:pStyle w:val="SingleTxt"/>
      </w:pPr>
      <w:r>
        <w:t>46.</w:t>
      </w:r>
      <w:r w:rsidR="00E14097">
        <w:tab/>
      </w:r>
      <w:r>
        <w:t xml:space="preserve">Недавний запуск инициативы «Права </w:t>
      </w:r>
      <w:proofErr w:type="gramStart"/>
      <w:r>
        <w:t>человека</w:t>
      </w:r>
      <w:proofErr w:type="gramEnd"/>
      <w:r>
        <w:t xml:space="preserve"> прежде всего» (ПЧПВ) укр</w:t>
      </w:r>
      <w:r>
        <w:t>е</w:t>
      </w:r>
      <w:r>
        <w:t>пил решающую роль Организации Объединенных Наций в деле предупреждения. ПЧПВ является инициативой Генерального секретаря Организации Объедине</w:t>
      </w:r>
      <w:r>
        <w:t>н</w:t>
      </w:r>
      <w:r>
        <w:t>ных Наций, предназначенной для того, чтобы гарантировать, что система Орг</w:t>
      </w:r>
      <w:r>
        <w:t>а</w:t>
      </w:r>
      <w:r>
        <w:t>низации Объединенных Наций принимает оперативные и эффективные меры для предотвращения серьезных и крупномасштабных нарушений международных прав человека или гуманитарного права или реагирования на них, как это пред</w:t>
      </w:r>
      <w:r>
        <w:t>у</w:t>
      </w:r>
      <w:r>
        <w:t>смотрено Уставом Организации Объединенных Наций и резолюциями. Основное внимание уделяется предупреждению и гарантии того, что защита прав человека людей является приоритетом при разработке стратегий и оперативной деятельн</w:t>
      </w:r>
      <w:r>
        <w:t>о</w:t>
      </w:r>
      <w:r>
        <w:t>сти для всех подразделений Организации Объединенных Наций</w:t>
      </w:r>
      <w:r w:rsidR="00E14097" w:rsidRPr="00E14097">
        <w:rPr>
          <w:rStyle w:val="FootnoteReference"/>
        </w:rPr>
        <w:footnoteReference w:id="92"/>
      </w:r>
      <w:r>
        <w:t xml:space="preserve"> и что они в то же время оказывают поддержку государствам в выполнении их обязательств.</w:t>
      </w:r>
    </w:p>
    <w:p w:rsidR="007A5CEC" w:rsidRDefault="007A5CEC" w:rsidP="007A5CEC">
      <w:pPr>
        <w:pStyle w:val="SingleTxt"/>
      </w:pPr>
      <w:r>
        <w:t>47.</w:t>
      </w:r>
      <w:r w:rsidR="00E14097">
        <w:tab/>
      </w:r>
      <w:r>
        <w:t>Действительно, многие кризисы являются результатом длительных и дин</w:t>
      </w:r>
      <w:r>
        <w:t>а</w:t>
      </w:r>
      <w:r>
        <w:t>мических процессов, в корне которых лежат долгосрочные схемы нарушений ц</w:t>
      </w:r>
      <w:r>
        <w:t>е</w:t>
      </w:r>
      <w:r>
        <w:t>лого ряда прав, которые способствовали развитию нестабильности, насилия и конфликтов из-за того, что их решением не занялись на достаточно раннем этапе. Для ответной реакции на уровне Организации Объединенных Наций необходимо, чтобы ранние признаки нарушений были выявлены своевременно и чтобы в их отношении были приняты меры. В этом контексте ключевую роль играет ск</w:t>
      </w:r>
      <w:r>
        <w:t>о</w:t>
      </w:r>
      <w:r>
        <w:t>рейшая доступность информации и анализ положения в области прав, позвол</w:t>
      </w:r>
      <w:r>
        <w:t>я</w:t>
      </w:r>
      <w:r>
        <w:t>ющие увязать схемы нарушений прав с изменениями в политике и безопасности. Наряду с правозащитными отделениями Организации Объединенных Наций на местах, механизмы по правам человека собирают огромный объем информации о проблемах в области прав человека, в том числе о пробелах в защите прав чел</w:t>
      </w:r>
      <w:r>
        <w:t>о</w:t>
      </w:r>
      <w:r>
        <w:t>века, возможностях нарушений и схемах, масштабе и характере нарушений. П</w:t>
      </w:r>
      <w:r>
        <w:t>о</w:t>
      </w:r>
      <w:r>
        <w:t>сле эффективного анализа, координации и передачи по соответствующим кан</w:t>
      </w:r>
      <w:r>
        <w:t>а</w:t>
      </w:r>
      <w:r>
        <w:t>лам данная информация оказывает влияние на разработку стратегий и ответных мер в партнерстве с государствами, а также на принятие решений в отношении лучшего курса действий для Организации Объединенных Наций. Фокусируя внимание на предупреждении, инициатива ПЧПВ укрепляет эту связь между нарушениями в качестве ранних знаков предупреждения и ранними действиями со стороны Организации Объединенных Наций</w:t>
      </w:r>
      <w:r w:rsidR="00E14097" w:rsidRPr="00E14097">
        <w:rPr>
          <w:rStyle w:val="FootnoteReference"/>
        </w:rPr>
        <w:footnoteReference w:id="93"/>
      </w:r>
      <w:r>
        <w:t>.</w:t>
      </w: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7A5CEC" w:rsidRDefault="007A5CEC" w:rsidP="00E14097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V.</w:t>
      </w:r>
      <w:r>
        <w:tab/>
        <w:t>Выводы и рекомендации</w:t>
      </w: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E14097" w:rsidRPr="00E14097" w:rsidRDefault="00E14097" w:rsidP="00E14097">
      <w:pPr>
        <w:pStyle w:val="SingleTxt"/>
        <w:spacing w:after="0" w:line="120" w:lineRule="exact"/>
        <w:rPr>
          <w:sz w:val="10"/>
        </w:rPr>
      </w:pPr>
    </w:p>
    <w:p w:rsidR="007A5CEC" w:rsidRDefault="007A5CEC" w:rsidP="007A5CEC">
      <w:pPr>
        <w:pStyle w:val="SingleTxt"/>
      </w:pPr>
      <w:r>
        <w:t>48.</w:t>
      </w:r>
      <w:r w:rsidR="00E14097">
        <w:tab/>
      </w:r>
      <w:r w:rsidRPr="001E3746">
        <w:rPr>
          <w:b/>
        </w:rPr>
        <w:t xml:space="preserve">Предупреждение нарушений прав человека является преимущественно обязанностью государства. Для этого требуется постоянный превентивный и системный процесс устранения факторов риска и причин нарушений прав человека посредством ряда мер, в том числе в области законов, политики и практики, направленных на обеспечение соблюдения и защиты всех прав человека для всех лиц, находящихся на территории государства или </w:t>
      </w:r>
      <w:r w:rsidR="00E14097" w:rsidRPr="001E3746">
        <w:rPr>
          <w:b/>
        </w:rPr>
        <w:t>под его юрисдикцией</w:t>
      </w:r>
      <w:r w:rsidRPr="001E3746">
        <w:rPr>
          <w:b/>
        </w:rPr>
        <w:t>. Международные и региональные организации вносят свой вклад в предупреждение нарушений прав человека в рамках их соотве</w:t>
      </w:r>
      <w:r w:rsidRPr="001E3746">
        <w:rPr>
          <w:b/>
        </w:rPr>
        <w:t>т</w:t>
      </w:r>
      <w:r w:rsidRPr="001E3746">
        <w:rPr>
          <w:b/>
        </w:rPr>
        <w:t>ствующих мандатов, оказывая государствам поддержку в выполнении их обязательств в области прав человека.</w:t>
      </w:r>
    </w:p>
    <w:p w:rsidR="007A5CEC" w:rsidRDefault="007A5CEC" w:rsidP="007A5CEC">
      <w:pPr>
        <w:pStyle w:val="SingleTxt"/>
      </w:pPr>
      <w:r>
        <w:t>49.</w:t>
      </w:r>
      <w:r w:rsidR="00E14097">
        <w:tab/>
      </w:r>
      <w:r w:rsidRPr="001E3746">
        <w:rPr>
          <w:b/>
        </w:rPr>
        <w:t>Для обеспечения базы для предупреждения нарушений прав человека требуется ратификация договоров по правам человека и их осуществление на национальном уровне; регулярный и независимый пересмотр существ</w:t>
      </w:r>
      <w:r w:rsidRPr="001E3746">
        <w:rPr>
          <w:b/>
        </w:rPr>
        <w:t>у</w:t>
      </w:r>
      <w:r w:rsidRPr="001E3746">
        <w:rPr>
          <w:b/>
        </w:rPr>
        <w:t>ющих и предлагаемых законов и политических мер на предм</w:t>
      </w:r>
      <w:r w:rsidR="00150C64" w:rsidRPr="001E3746">
        <w:rPr>
          <w:b/>
        </w:rPr>
        <w:t>ет соблюдения этих положений; а</w:t>
      </w:r>
      <w:r w:rsidR="001E3746">
        <w:rPr>
          <w:b/>
        </w:rPr>
        <w:t xml:space="preserve"> </w:t>
      </w:r>
      <w:r w:rsidRPr="001E3746">
        <w:rPr>
          <w:b/>
        </w:rPr>
        <w:t>также обеспечение эффективных сре</w:t>
      </w:r>
      <w:proofErr w:type="gramStart"/>
      <w:r w:rsidRPr="001E3746">
        <w:rPr>
          <w:b/>
        </w:rPr>
        <w:t>дств пр</w:t>
      </w:r>
      <w:proofErr w:type="gramEnd"/>
      <w:r w:rsidRPr="001E3746">
        <w:rPr>
          <w:b/>
        </w:rPr>
        <w:t>авовой защ</w:t>
      </w:r>
      <w:r w:rsidRPr="001E3746">
        <w:rPr>
          <w:b/>
        </w:rPr>
        <w:t>и</w:t>
      </w:r>
      <w:r w:rsidRPr="001E3746">
        <w:rPr>
          <w:b/>
        </w:rPr>
        <w:t>ты от нарушений прав человека, которые предусматривают как компенс</w:t>
      </w:r>
      <w:r w:rsidRPr="001E3746">
        <w:rPr>
          <w:b/>
        </w:rPr>
        <w:t>а</w:t>
      </w:r>
      <w:r w:rsidRPr="001E3746">
        <w:rPr>
          <w:b/>
        </w:rPr>
        <w:t>ци</w:t>
      </w:r>
      <w:r w:rsidR="00E14097" w:rsidRPr="001E3746">
        <w:rPr>
          <w:b/>
        </w:rPr>
        <w:t>ю</w:t>
      </w:r>
      <w:r w:rsidRPr="001E3746">
        <w:rPr>
          <w:b/>
        </w:rPr>
        <w:t xml:space="preserve"> для жертв, так и институциональные изменения для предотвращения повторения подобных нарушений. Это в свою очередь требует создани</w:t>
      </w:r>
      <w:r w:rsidR="00E14097" w:rsidRPr="001E3746">
        <w:rPr>
          <w:b/>
        </w:rPr>
        <w:t>я</w:t>
      </w:r>
      <w:r w:rsidRPr="001E3746">
        <w:rPr>
          <w:b/>
        </w:rPr>
        <w:t xml:space="preserve"> н</w:t>
      </w:r>
      <w:r w:rsidRPr="001E3746">
        <w:rPr>
          <w:b/>
        </w:rPr>
        <w:t>е</w:t>
      </w:r>
      <w:r w:rsidRPr="001E3746">
        <w:rPr>
          <w:b/>
        </w:rPr>
        <w:t>зависимых учреждений, в том числе НПЗУ, и доступной и эффективной пр</w:t>
      </w:r>
      <w:r w:rsidRPr="001E3746">
        <w:rPr>
          <w:b/>
        </w:rPr>
        <w:t>а</w:t>
      </w:r>
      <w:r w:rsidRPr="001E3746">
        <w:rPr>
          <w:b/>
        </w:rPr>
        <w:t>вовой системы.</w:t>
      </w:r>
    </w:p>
    <w:p w:rsidR="007A5CEC" w:rsidRDefault="00E14097" w:rsidP="007A5CEC">
      <w:pPr>
        <w:pStyle w:val="SingleTxt"/>
      </w:pPr>
      <w:r>
        <w:t>50.</w:t>
      </w:r>
      <w:r>
        <w:tab/>
      </w:r>
      <w:r w:rsidR="007A5CEC" w:rsidRPr="001E3746">
        <w:rPr>
          <w:b/>
        </w:rPr>
        <w:t>Культура соблюдения прав человека должна формироваться путем э</w:t>
      </w:r>
      <w:r w:rsidR="007A5CEC" w:rsidRPr="001E3746">
        <w:rPr>
          <w:b/>
        </w:rPr>
        <w:t>ф</w:t>
      </w:r>
      <w:r w:rsidR="007A5CEC" w:rsidRPr="001E3746">
        <w:rPr>
          <w:b/>
        </w:rPr>
        <w:t xml:space="preserve">фективного, независимого, открытого процесса мониторинга и проверки, который критически и конструктивно охватывает все заинтересованные стороны, включая правообладателей, в частности женщин и </w:t>
      </w:r>
      <w:proofErr w:type="gramStart"/>
      <w:r w:rsidR="007A5CEC" w:rsidRPr="001E3746">
        <w:rPr>
          <w:b/>
        </w:rPr>
        <w:t>представителей</w:t>
      </w:r>
      <w:proofErr w:type="gramEnd"/>
      <w:r w:rsidR="007A5CEC" w:rsidRPr="001E3746">
        <w:rPr>
          <w:b/>
        </w:rPr>
        <w:t xml:space="preserve"> наиболее уязвимых и социально изолированных групп.</w:t>
      </w:r>
    </w:p>
    <w:p w:rsidR="007A5CEC" w:rsidRDefault="007A5CEC" w:rsidP="007A5CEC">
      <w:pPr>
        <w:pStyle w:val="SingleTxt"/>
      </w:pPr>
      <w:r>
        <w:t>51.</w:t>
      </w:r>
      <w:r w:rsidR="00E14097">
        <w:tab/>
      </w:r>
      <w:r w:rsidRPr="001E3746">
        <w:rPr>
          <w:b/>
        </w:rPr>
        <w:t>Эффективное образование в области прав человека, которое развивает знания, навыки и отношения, стимулирующие действия в защиту прав ч</w:t>
      </w:r>
      <w:r w:rsidRPr="001E3746">
        <w:rPr>
          <w:b/>
        </w:rPr>
        <w:t>е</w:t>
      </w:r>
      <w:r w:rsidRPr="001E3746">
        <w:rPr>
          <w:b/>
        </w:rPr>
        <w:t>ловека, и применяет разумные методологии, является необходимым и д</w:t>
      </w:r>
      <w:r w:rsidRPr="001E3746">
        <w:rPr>
          <w:b/>
        </w:rPr>
        <w:t>о</w:t>
      </w:r>
      <w:r w:rsidRPr="001E3746">
        <w:rPr>
          <w:b/>
        </w:rPr>
        <w:t>полняет другие превентивные меры.</w:t>
      </w:r>
    </w:p>
    <w:p w:rsidR="007A5CEC" w:rsidRDefault="007A5CEC" w:rsidP="007A5CEC">
      <w:pPr>
        <w:pStyle w:val="SingleTxt"/>
      </w:pPr>
      <w:r>
        <w:t>52.</w:t>
      </w:r>
      <w:r w:rsidR="00E14097">
        <w:tab/>
      </w:r>
      <w:r w:rsidRPr="001E3746">
        <w:rPr>
          <w:b/>
        </w:rPr>
        <w:t>Государства должны обеспечивать защиту от нарушений прав человека, совершаемых частными субъектами, и могут нарушать свои обязательства по международному праву прав человека в тех случаях, когда они не прин</w:t>
      </w:r>
      <w:r w:rsidRPr="001E3746">
        <w:rPr>
          <w:b/>
        </w:rPr>
        <w:t>и</w:t>
      </w:r>
      <w:r w:rsidRPr="001E3746">
        <w:rPr>
          <w:b/>
        </w:rPr>
        <w:t>мают надлежащих мер для предупреждения и расследования нарушений, с</w:t>
      </w:r>
      <w:r w:rsidRPr="001E3746">
        <w:rPr>
          <w:b/>
        </w:rPr>
        <w:t>о</w:t>
      </w:r>
      <w:r w:rsidRPr="001E3746">
        <w:rPr>
          <w:b/>
        </w:rPr>
        <w:t>вершаемых частными субъектами, наказания за них и возмещения ущерба. Государства должны учитывать весь спектр допустимых превентивных и восстановительных мер, включая политику, законодательство, нормативные положения и решения суда. Наряду с этим, частные субъекты также должны уважать права других людей, а коммерческие предприятия должны испо</w:t>
      </w:r>
      <w:r w:rsidRPr="001E3746">
        <w:rPr>
          <w:b/>
        </w:rPr>
        <w:t>л</w:t>
      </w:r>
      <w:r w:rsidRPr="001E3746">
        <w:rPr>
          <w:b/>
        </w:rPr>
        <w:t>нять свое обязательство соблюдать права человека. Для этого необходимо принятие адекватных мер по предотвращению, смягчению последствий и, где это уместно, исправлению неблагоприятного воздействия на права чел</w:t>
      </w:r>
      <w:r w:rsidRPr="001E3746">
        <w:rPr>
          <w:b/>
        </w:rPr>
        <w:t>о</w:t>
      </w:r>
      <w:r w:rsidRPr="001E3746">
        <w:rPr>
          <w:b/>
        </w:rPr>
        <w:t>века.</w:t>
      </w:r>
    </w:p>
    <w:p w:rsidR="007A5CEC" w:rsidRDefault="007A5CEC" w:rsidP="007A5CEC">
      <w:pPr>
        <w:pStyle w:val="SingleTxt"/>
      </w:pPr>
      <w:r>
        <w:t>53.</w:t>
      </w:r>
      <w:r w:rsidR="00E14097">
        <w:tab/>
      </w:r>
      <w:r w:rsidRPr="001E3746">
        <w:rPr>
          <w:b/>
        </w:rPr>
        <w:t>Государство должно обеспечить национальны</w:t>
      </w:r>
      <w:r w:rsidR="00E14097" w:rsidRPr="001E3746">
        <w:rPr>
          <w:b/>
        </w:rPr>
        <w:t>м</w:t>
      </w:r>
      <w:r w:rsidRPr="001E3746">
        <w:rPr>
          <w:b/>
        </w:rPr>
        <w:t xml:space="preserve"> правозащитны</w:t>
      </w:r>
      <w:r w:rsidR="00E14097" w:rsidRPr="001E3746">
        <w:rPr>
          <w:b/>
        </w:rPr>
        <w:t>м</w:t>
      </w:r>
      <w:r w:rsidRPr="001E3746">
        <w:rPr>
          <w:b/>
        </w:rPr>
        <w:t xml:space="preserve"> учр</w:t>
      </w:r>
      <w:r w:rsidRPr="001E3746">
        <w:rPr>
          <w:b/>
        </w:rPr>
        <w:t>е</w:t>
      </w:r>
      <w:r w:rsidRPr="001E3746">
        <w:rPr>
          <w:b/>
        </w:rPr>
        <w:t>ждения</w:t>
      </w:r>
      <w:r w:rsidR="00E14097" w:rsidRPr="001E3746">
        <w:rPr>
          <w:b/>
        </w:rPr>
        <w:t>м</w:t>
      </w:r>
      <w:r w:rsidRPr="001E3746">
        <w:rPr>
          <w:b/>
        </w:rPr>
        <w:t xml:space="preserve"> и гражданско</w:t>
      </w:r>
      <w:r w:rsidR="00E14097" w:rsidRPr="001E3746">
        <w:rPr>
          <w:b/>
        </w:rPr>
        <w:t>му</w:t>
      </w:r>
      <w:r w:rsidRPr="001E3746">
        <w:rPr>
          <w:b/>
        </w:rPr>
        <w:t xml:space="preserve"> обществ</w:t>
      </w:r>
      <w:r w:rsidR="00E14097" w:rsidRPr="001E3746">
        <w:rPr>
          <w:b/>
        </w:rPr>
        <w:t>у</w:t>
      </w:r>
      <w:r w:rsidRPr="001E3746">
        <w:rPr>
          <w:b/>
        </w:rPr>
        <w:t xml:space="preserve"> благоприятны</w:t>
      </w:r>
      <w:r w:rsidR="00E14097" w:rsidRPr="001E3746">
        <w:rPr>
          <w:b/>
        </w:rPr>
        <w:t>е</w:t>
      </w:r>
      <w:r w:rsidRPr="001E3746">
        <w:rPr>
          <w:b/>
        </w:rPr>
        <w:t xml:space="preserve"> условия для выполнения их функций, что будет способствовать дальнейшему выполнению его гла</w:t>
      </w:r>
      <w:r w:rsidRPr="001E3746">
        <w:rPr>
          <w:b/>
        </w:rPr>
        <w:t>в</w:t>
      </w:r>
      <w:r w:rsidRPr="001E3746">
        <w:rPr>
          <w:b/>
        </w:rPr>
        <w:t>ной обязанности предотвращать нарушения прав человека. НПЗУ и гра</w:t>
      </w:r>
      <w:r w:rsidRPr="001E3746">
        <w:rPr>
          <w:b/>
        </w:rPr>
        <w:t>ж</w:t>
      </w:r>
      <w:r w:rsidRPr="001E3746">
        <w:rPr>
          <w:b/>
        </w:rPr>
        <w:t>данское общество предоставляют независимую экспертизу, помощь жертвам, информируют общественность и конкретные группы об их правах и во</w:t>
      </w:r>
      <w:r w:rsidRPr="001E3746">
        <w:rPr>
          <w:b/>
        </w:rPr>
        <w:t>з</w:t>
      </w:r>
      <w:r w:rsidRPr="001E3746">
        <w:rPr>
          <w:b/>
        </w:rPr>
        <w:t>можности получить к ним доступ, а также выполняют другие функции, т</w:t>
      </w:r>
      <w:r w:rsidRPr="001E3746">
        <w:rPr>
          <w:b/>
        </w:rPr>
        <w:t>а</w:t>
      </w:r>
      <w:r w:rsidRPr="001E3746">
        <w:rPr>
          <w:b/>
        </w:rPr>
        <w:t>кие как посещение мест, где содержатся лица, лишенные свободы.</w:t>
      </w:r>
    </w:p>
    <w:p w:rsidR="007A5CEC" w:rsidRDefault="007A5CEC" w:rsidP="007A5CEC">
      <w:pPr>
        <w:pStyle w:val="SingleTxt"/>
      </w:pPr>
      <w:r>
        <w:t>54.</w:t>
      </w:r>
      <w:r w:rsidR="00E14097">
        <w:tab/>
      </w:r>
      <w:r w:rsidRPr="001E3746">
        <w:rPr>
          <w:b/>
        </w:rPr>
        <w:t>Инструменты планирования и мониторинга, включая оценки возде</w:t>
      </w:r>
      <w:r w:rsidRPr="001E3746">
        <w:rPr>
          <w:b/>
        </w:rPr>
        <w:t>й</w:t>
      </w:r>
      <w:r w:rsidRPr="001E3746">
        <w:rPr>
          <w:b/>
        </w:rPr>
        <w:t>ствия на права человека, могут оказывать государствам помощь в поощр</w:t>
      </w:r>
      <w:r w:rsidRPr="001E3746">
        <w:rPr>
          <w:b/>
        </w:rPr>
        <w:t>е</w:t>
      </w:r>
      <w:r w:rsidRPr="001E3746">
        <w:rPr>
          <w:b/>
        </w:rPr>
        <w:t>нии и защите прав человека и предотвращать их нарушения при помощи показателей в области прав человека, сбора и анализа статистики с учетом рамок УВКПЧ (HR/PUB/12/5).</w:t>
      </w:r>
    </w:p>
    <w:p w:rsidR="007A5CEC" w:rsidRDefault="007A5CEC" w:rsidP="007A5CEC">
      <w:pPr>
        <w:pStyle w:val="SingleTxt"/>
      </w:pPr>
      <w:r>
        <w:t>55.</w:t>
      </w:r>
      <w:r w:rsidR="00E14097">
        <w:tab/>
      </w:r>
      <w:r w:rsidRPr="001E3746">
        <w:rPr>
          <w:b/>
        </w:rPr>
        <w:t>Международные и региональные правозащитные механизмы обеспеч</w:t>
      </w:r>
      <w:r w:rsidRPr="001E3746">
        <w:rPr>
          <w:b/>
        </w:rPr>
        <w:t>и</w:t>
      </w:r>
      <w:r w:rsidRPr="001E3746">
        <w:rPr>
          <w:b/>
        </w:rPr>
        <w:t xml:space="preserve">вают независимую экспертизу и придают импульс действиям и </w:t>
      </w:r>
      <w:r w:rsidR="00E14097" w:rsidRPr="001E3746">
        <w:rPr>
          <w:b/>
        </w:rPr>
        <w:t>аналитич</w:t>
      </w:r>
      <w:r w:rsidR="00E14097" w:rsidRPr="001E3746">
        <w:rPr>
          <w:b/>
        </w:rPr>
        <w:t>е</w:t>
      </w:r>
      <w:r w:rsidR="00E14097" w:rsidRPr="001E3746">
        <w:rPr>
          <w:b/>
        </w:rPr>
        <w:t>ской деятельности на национальном уровне</w:t>
      </w:r>
      <w:r w:rsidRPr="001E3746">
        <w:rPr>
          <w:b/>
        </w:rPr>
        <w:t>. Процедуры представления ж</w:t>
      </w:r>
      <w:r w:rsidRPr="001E3746">
        <w:rPr>
          <w:b/>
        </w:rPr>
        <w:t>а</w:t>
      </w:r>
      <w:r w:rsidRPr="001E3746">
        <w:rPr>
          <w:b/>
        </w:rPr>
        <w:t>лоб и механизмы раннего предупреждения также могут способствовать пр</w:t>
      </w:r>
      <w:r w:rsidRPr="001E3746">
        <w:rPr>
          <w:b/>
        </w:rPr>
        <w:t>е</w:t>
      </w:r>
      <w:r w:rsidRPr="001E3746">
        <w:rPr>
          <w:b/>
        </w:rPr>
        <w:t>дупреждению нарушений прав человека.</w:t>
      </w:r>
    </w:p>
    <w:p w:rsidR="00841466" w:rsidRPr="00E14097" w:rsidRDefault="00E14097" w:rsidP="00E14097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841466" w:rsidRPr="00E14097" w:rsidSect="00841466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12T16:08:00Z" w:initials="Start">
    <w:p w:rsidR="00F30211" w:rsidRPr="007A5CEC" w:rsidRDefault="00F30211">
      <w:pPr>
        <w:pStyle w:val="CommentText"/>
        <w:rPr>
          <w:lang w:val="en-US"/>
        </w:rPr>
      </w:pPr>
      <w:r>
        <w:fldChar w:fldCharType="begin"/>
      </w:r>
      <w:r w:rsidRPr="007A5CEC">
        <w:rPr>
          <w:rStyle w:val="CommentReference"/>
          <w:lang w:val="en-US"/>
        </w:rPr>
        <w:instrText xml:space="preserve"> </w:instrText>
      </w:r>
      <w:r w:rsidRPr="007A5CEC">
        <w:rPr>
          <w:lang w:val="en-US"/>
        </w:rPr>
        <w:instrText>PAGE \# "'Page: '#'</w:instrText>
      </w:r>
      <w:r w:rsidRPr="007A5CEC">
        <w:rPr>
          <w:lang w:val="en-US"/>
        </w:rPr>
        <w:br/>
        <w:instrText>'"</w:instrText>
      </w:r>
      <w:r w:rsidRPr="007A5CEC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7A5CEC">
        <w:rPr>
          <w:lang w:val="en-US"/>
        </w:rPr>
        <w:t>&lt;&lt;ODS JOB NO&gt;&gt;N1515929R&lt;&lt;ODS JOB NO&gt;&gt;</w:t>
      </w:r>
    </w:p>
    <w:p w:rsidR="00F30211" w:rsidRDefault="00F30211">
      <w:pPr>
        <w:pStyle w:val="CommentText"/>
      </w:pPr>
      <w:r>
        <w:t>&lt;&lt;ODS DOC SYMBOL1&gt;&gt;A/HRC/30/20&lt;&lt;ODS DOC SYMBOL1&gt;&gt;</w:t>
      </w:r>
    </w:p>
    <w:p w:rsidR="00F30211" w:rsidRDefault="00F30211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11" w:rsidRDefault="00F30211" w:rsidP="008A1A7A">
      <w:pPr>
        <w:spacing w:line="240" w:lineRule="auto"/>
      </w:pPr>
      <w:r>
        <w:separator/>
      </w:r>
    </w:p>
  </w:endnote>
  <w:endnote w:type="continuationSeparator" w:id="0">
    <w:p w:rsidR="00F30211" w:rsidRDefault="00F30211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30211" w:rsidTr="00841466">
      <w:trPr>
        <w:jc w:val="center"/>
      </w:trPr>
      <w:tc>
        <w:tcPr>
          <w:tcW w:w="5126" w:type="dxa"/>
          <w:shd w:val="clear" w:color="auto" w:fill="auto"/>
          <w:vAlign w:val="bottom"/>
        </w:tcPr>
        <w:p w:rsidR="00F30211" w:rsidRPr="00841466" w:rsidRDefault="00F30211" w:rsidP="00841466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62978">
            <w:rPr>
              <w:noProof/>
            </w:rPr>
            <w:t>20</w:t>
          </w:r>
          <w:r>
            <w:fldChar w:fldCharType="end"/>
          </w:r>
          <w:r>
            <w:t>/</w:t>
          </w:r>
          <w:r w:rsidR="00D62978">
            <w:fldChar w:fldCharType="begin"/>
          </w:r>
          <w:r w:rsidR="00D62978">
            <w:instrText xml:space="preserve"> NUMPAGES  \* Arabic  \* MERGEFORMAT </w:instrText>
          </w:r>
          <w:r w:rsidR="00D62978">
            <w:fldChar w:fldCharType="separate"/>
          </w:r>
          <w:r w:rsidR="00D62978">
            <w:rPr>
              <w:noProof/>
            </w:rPr>
            <w:t>20</w:t>
          </w:r>
          <w:r w:rsidR="00D62978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30211" w:rsidRPr="00841466" w:rsidRDefault="00F30211" w:rsidP="00841466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A40DD3">
            <w:rPr>
              <w:b w:val="0"/>
              <w:color w:val="000000"/>
              <w:sz w:val="14"/>
            </w:rPr>
            <w:t>GE.15-12082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F30211" w:rsidRPr="00841466" w:rsidRDefault="00F30211" w:rsidP="008414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30211" w:rsidTr="00841466">
      <w:trPr>
        <w:jc w:val="center"/>
      </w:trPr>
      <w:tc>
        <w:tcPr>
          <w:tcW w:w="5126" w:type="dxa"/>
          <w:shd w:val="clear" w:color="auto" w:fill="auto"/>
          <w:vAlign w:val="bottom"/>
        </w:tcPr>
        <w:p w:rsidR="00F30211" w:rsidRPr="00841466" w:rsidRDefault="00F30211" w:rsidP="00841466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A40DD3">
            <w:rPr>
              <w:b w:val="0"/>
              <w:color w:val="000000"/>
              <w:sz w:val="14"/>
            </w:rPr>
            <w:t>GE.15-12082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30211" w:rsidRPr="00841466" w:rsidRDefault="00F30211" w:rsidP="00841466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62978">
            <w:rPr>
              <w:noProof/>
            </w:rPr>
            <w:t>21</w:t>
          </w:r>
          <w:r>
            <w:fldChar w:fldCharType="end"/>
          </w:r>
          <w:r>
            <w:t>/</w:t>
          </w:r>
          <w:r w:rsidR="00D62978">
            <w:fldChar w:fldCharType="begin"/>
          </w:r>
          <w:r w:rsidR="00D62978">
            <w:instrText xml:space="preserve"> NUMPAGES  \* Arabic  \* MERGEFORMAT </w:instrText>
          </w:r>
          <w:r w:rsidR="00D62978">
            <w:fldChar w:fldCharType="separate"/>
          </w:r>
          <w:r w:rsidR="00D62978">
            <w:rPr>
              <w:noProof/>
            </w:rPr>
            <w:t>21</w:t>
          </w:r>
          <w:r w:rsidR="00D62978">
            <w:rPr>
              <w:noProof/>
            </w:rPr>
            <w:fldChar w:fldCharType="end"/>
          </w:r>
        </w:p>
      </w:tc>
    </w:tr>
  </w:tbl>
  <w:p w:rsidR="00F30211" w:rsidRPr="00841466" w:rsidRDefault="00F30211" w:rsidP="008414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F30211" w:rsidTr="00841466">
      <w:tc>
        <w:tcPr>
          <w:tcW w:w="3873" w:type="dxa"/>
        </w:tcPr>
        <w:p w:rsidR="00F30211" w:rsidRDefault="00F30211" w:rsidP="00841466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9C27E0D" wp14:editId="656AAA9D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20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20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GE.15-12082 (R)</w:t>
          </w:r>
          <w:r w:rsidR="00150C64">
            <w:rPr>
              <w:color w:val="010000"/>
            </w:rPr>
            <w:t xml:space="preserve">    120815    13</w:t>
          </w:r>
          <w:r>
            <w:rPr>
              <w:color w:val="010000"/>
            </w:rPr>
            <w:t>0815</w:t>
          </w:r>
        </w:p>
        <w:p w:rsidR="00F30211" w:rsidRPr="00841466" w:rsidRDefault="00F30211" w:rsidP="00841466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*1512082*</w:t>
          </w:r>
        </w:p>
      </w:tc>
      <w:tc>
        <w:tcPr>
          <w:tcW w:w="5127" w:type="dxa"/>
        </w:tcPr>
        <w:p w:rsidR="00F30211" w:rsidRDefault="00F30211" w:rsidP="00841466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48202678" wp14:editId="1470B6D8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0211" w:rsidRPr="00841466" w:rsidRDefault="00F30211" w:rsidP="00841466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11" w:rsidRPr="00E14097" w:rsidRDefault="00E14097" w:rsidP="00E14097">
      <w:pPr>
        <w:pStyle w:val="Footer"/>
        <w:spacing w:after="80"/>
        <w:ind w:left="792"/>
        <w:rPr>
          <w:sz w:val="16"/>
        </w:rPr>
      </w:pPr>
      <w:r w:rsidRPr="00E14097">
        <w:rPr>
          <w:sz w:val="16"/>
        </w:rPr>
        <w:t>__________________</w:t>
      </w:r>
    </w:p>
  </w:footnote>
  <w:footnote w:type="continuationSeparator" w:id="0">
    <w:p w:rsidR="00F30211" w:rsidRPr="00E14097" w:rsidRDefault="00E14097" w:rsidP="00E14097">
      <w:pPr>
        <w:pStyle w:val="Footer"/>
        <w:spacing w:after="80"/>
        <w:ind w:left="792"/>
        <w:rPr>
          <w:sz w:val="16"/>
        </w:rPr>
      </w:pPr>
      <w:r w:rsidRPr="00E14097">
        <w:rPr>
          <w:sz w:val="16"/>
        </w:rPr>
        <w:t>__________________</w:t>
      </w:r>
    </w:p>
  </w:footnote>
  <w:footnote w:id="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 полным текстом ответов можно ознакомиться в секретариате.</w:t>
      </w:r>
    </w:p>
  </w:footnote>
  <w:footnote w:id="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Статья 2 Международного пакта о гражданских и политических правах и замечание общего порядка № 31 (2004) Комитета по правам человека; статья 2 Конвенции о правах ребенка и замечание общего порядка № 5 (2003) Конвенции о правах ребенка.</w:t>
      </w:r>
    </w:p>
  </w:footnote>
  <w:footnote w:id="3">
    <w:p w:rsidR="00F30211" w:rsidRPr="000807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fr-FR"/>
        </w:rPr>
      </w:pPr>
      <w:r>
        <w:tab/>
      </w:r>
      <w:r>
        <w:rPr>
          <w:rStyle w:val="FootnoteReference"/>
        </w:rPr>
        <w:footnoteRef/>
      </w:r>
      <w:r>
        <w:tab/>
        <w:t>A/HRC/RES/24/16, пункт 2. Межамериканский суд по правам человека постановил, что государства несут «юридическую обязанность предпринимать разумные шаги для предотвращения нарушений прав человека» (</w:t>
      </w:r>
      <w:r w:rsidRPr="00080711">
        <w:rPr>
          <w:i/>
        </w:rPr>
        <w:t>Веласкес Родригес против Гондураса</w:t>
      </w:r>
      <w:r>
        <w:t xml:space="preserve">, 29 июля 1988 года). </w:t>
      </w:r>
      <w:r w:rsidRPr="00F00A57">
        <w:rPr>
          <w:lang w:val="fr-FR"/>
        </w:rPr>
        <w:t xml:space="preserve">E. Decaux et S. </w:t>
      </w:r>
      <w:proofErr w:type="spellStart"/>
      <w:r w:rsidRPr="00F00A57">
        <w:rPr>
          <w:lang w:val="fr-FR"/>
        </w:rPr>
        <w:t>Touzé</w:t>
      </w:r>
      <w:proofErr w:type="spellEnd"/>
      <w:r w:rsidRPr="00F00A57">
        <w:rPr>
          <w:lang w:val="fr-FR"/>
        </w:rPr>
        <w:t xml:space="preserve">, </w:t>
      </w:r>
      <w:r w:rsidRPr="00080711">
        <w:rPr>
          <w:i/>
          <w:lang w:val="fr-FR"/>
        </w:rPr>
        <w:t>La Prévention des Violations des Droits de l’Homme</w:t>
      </w:r>
      <w:r w:rsidRPr="00F00A57">
        <w:rPr>
          <w:lang w:val="fr-FR"/>
        </w:rPr>
        <w:t xml:space="preserve"> (Paris, Editions A. </w:t>
      </w:r>
      <w:proofErr w:type="spellStart"/>
      <w:r w:rsidRPr="00F00A57">
        <w:rPr>
          <w:lang w:val="fr-FR"/>
        </w:rPr>
        <w:t>Pedone</w:t>
      </w:r>
      <w:proofErr w:type="spellEnd"/>
      <w:r w:rsidRPr="00F00A57">
        <w:rPr>
          <w:lang w:val="fr-FR"/>
        </w:rPr>
        <w:t>, 2015).</w:t>
      </w:r>
    </w:p>
  </w:footnote>
  <w:footnote w:id="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fr-FR"/>
        </w:rPr>
        <w:tab/>
      </w:r>
      <w:r>
        <w:rPr>
          <w:rStyle w:val="FootnoteReference"/>
        </w:rPr>
        <w:footnoteRef/>
      </w:r>
      <w:r>
        <w:tab/>
        <w:t>См. замечание общего порядка № 31 Комитета по правам ч</w:t>
      </w:r>
      <w:r w:rsidR="00150C64">
        <w:t>еловека, пункт 8, и сообщение № </w:t>
      </w:r>
      <w:r>
        <w:t xml:space="preserve">195/1985, </w:t>
      </w:r>
      <w:proofErr w:type="spellStart"/>
      <w:r w:rsidRPr="00080711">
        <w:rPr>
          <w:i/>
        </w:rPr>
        <w:t>Дельгадо</w:t>
      </w:r>
      <w:proofErr w:type="spellEnd"/>
      <w:r w:rsidRPr="00080711">
        <w:rPr>
          <w:i/>
        </w:rPr>
        <w:t xml:space="preserve"> </w:t>
      </w:r>
      <w:proofErr w:type="spellStart"/>
      <w:r w:rsidRPr="00080711">
        <w:rPr>
          <w:i/>
        </w:rPr>
        <w:t>Паес</w:t>
      </w:r>
      <w:proofErr w:type="spellEnd"/>
      <w:r w:rsidRPr="00080711">
        <w:rPr>
          <w:i/>
        </w:rPr>
        <w:t xml:space="preserve"> против Колумбии</w:t>
      </w:r>
      <w:r>
        <w:t xml:space="preserve">, </w:t>
      </w:r>
      <w:r w:rsidR="0090018D">
        <w:t>Соображения</w:t>
      </w:r>
      <w:r>
        <w:t>, принятые 12 июля 1990 года; общие рекомендации 19 и 28 Конвенции о ликвидации всех форм дискриминации в отношении женщин. Европейский суд по правам человека постановил, что иски против государства возможны в тех случаях, когда полиция не в состоянии защитить отдельных лиц от нарушений их прав со стороны других лиц (</w:t>
      </w:r>
      <w:r w:rsidRPr="00080711">
        <w:rPr>
          <w:i/>
        </w:rPr>
        <w:t>Осман против Соединенного Королевства Великобритании и Северной Ирландии</w:t>
      </w:r>
      <w:r>
        <w:t xml:space="preserve"> (заявление № 87/1998</w:t>
      </w:r>
      <w:r w:rsidR="00150C64">
        <w:t>/871/1083)), решение суда от 28 </w:t>
      </w:r>
      <w:r>
        <w:t>октября 1998 года.</w:t>
      </w:r>
    </w:p>
  </w:footnote>
  <w:footnote w:id="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Руководящие принципы предпринимательской деятельности в аспекте прав человека: осуществление рамок Организации Объединенных Наций в отношении «защиты, соблюдения и сре</w:t>
      </w:r>
      <w:proofErr w:type="gramStart"/>
      <w:r>
        <w:t>дств пр</w:t>
      </w:r>
      <w:proofErr w:type="gramEnd"/>
      <w:r>
        <w:t>авовой защиты» (приложение к A/HRC/17/31), одобренные резолюцией 17/4 Совета по правам человека.</w:t>
      </w:r>
    </w:p>
  </w:footnote>
  <w:footnote w:id="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Например, Конвенция против пыток и других жестоких, бесчеловечных или унижающих достоинство видов обращения и наказания (статья 2); Конвенция о предупреждении преступления геноцида и наказании за него (статья 1).</w:t>
      </w:r>
    </w:p>
  </w:footnote>
  <w:footnote w:id="7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Из последних данных: совместная общая рекомендация № 31 Конвенции о ликвидации всех форм дискриминации в отношении женщин/замечание общего порядка № 18 по вредной практике Конвенции о правах ребенка (CEDAW/C/GC/31-CRC/C/GC/18).</w:t>
      </w:r>
    </w:p>
  </w:footnote>
  <w:footnote w:id="8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Например, Подкомитет по предупреждению пыток в соответствии с Факультативным протоколом к Конвенции против пыток и других жестоких, бесчеловечных или унижающих достоинство видов обращения и наказания (CAT/OP/12/6); A/HRC/18/24, пункт 8.</w:t>
      </w:r>
    </w:p>
  </w:footnote>
  <w:footnote w:id="9">
    <w:p w:rsidR="00F30211" w:rsidRPr="00A70B1E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  <w:t xml:space="preserve">Например, в Канцелярии Специального советника Организации Объединенных Наций по предупреждению геноцида и Специального советника по вопросу об ответственности по защите. </w:t>
      </w:r>
      <w:proofErr w:type="gramStart"/>
      <w:r w:rsidRPr="00F00A57">
        <w:rPr>
          <w:lang w:val="en-US"/>
        </w:rPr>
        <w:t xml:space="preserve">E/CN.4/2000/12, </w:t>
      </w:r>
      <w:r>
        <w:t>пункты</w:t>
      </w:r>
      <w:r w:rsidRPr="00F00A57">
        <w:rPr>
          <w:lang w:val="en-US"/>
        </w:rPr>
        <w:t xml:space="preserve"> 3–10; A/HRC/10/25.</w:t>
      </w:r>
      <w:proofErr w:type="gramEnd"/>
    </w:p>
  </w:footnote>
  <w:footnote w:id="10">
    <w:p w:rsidR="00F30211" w:rsidRPr="000807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 w:rsidRPr="00080711">
        <w:rPr>
          <w:lang w:val="en-US"/>
        </w:rPr>
        <w:tab/>
      </w:r>
      <w:r w:rsidRPr="00F00A57">
        <w:rPr>
          <w:lang w:val="en-US"/>
        </w:rPr>
        <w:t>Framework of Analysis for Atrocity Crimes: A tool for prevention (United Nations, 2014); A/64/864.</w:t>
      </w:r>
    </w:p>
  </w:footnote>
  <w:footnote w:id="1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proofErr w:type="spellStart"/>
      <w:r>
        <w:t>Рабатский</w:t>
      </w:r>
      <w:proofErr w:type="spellEnd"/>
      <w:r>
        <w:t xml:space="preserve"> план действий по запрещению пропаганды национальной, расовой или религиозной ненависти, представляющей собой подстрекательство к дискриминации, вражде или насилию (A/HRC/22/17/Add.4), приложение.</w:t>
      </w:r>
    </w:p>
  </w:footnote>
  <w:footnote w:id="1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В феврале 2015 года Генеральный секретарь объявил о разработке плана действий Организации Объединенных Наций по предотвращению насильственного экстремизма.</w:t>
      </w:r>
    </w:p>
  </w:footnote>
  <w:footnote w:id="13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Комитет по ликвидации расовой дискриминации. См. Разработка национальных планов действий по борьбе против расовой дискриминации: практическое руководство (</w:t>
      </w:r>
      <w:r w:rsidR="0090018D">
        <w:t>Организация Объединенных Наций</w:t>
      </w:r>
      <w:r>
        <w:t>, 2014 год).</w:t>
      </w:r>
    </w:p>
  </w:footnote>
  <w:footnote w:id="1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Декларация о ликвидации всех форм нетерпимости и дискриминации на основе религии или убеждений.</w:t>
      </w:r>
    </w:p>
  </w:footnote>
  <w:footnote w:id="1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 широкий комплекс действий, которые должны осуществлять государства в соответствии со статьей 2 Конвенции о ликвидации всех форм дискриминации в отношении женщин.</w:t>
      </w:r>
    </w:p>
  </w:footnote>
  <w:footnote w:id="1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Статьи 12 и 16 Конвенции о правах инвалидов.</w:t>
      </w:r>
    </w:p>
  </w:footnote>
  <w:footnote w:id="17">
    <w:p w:rsidR="00F30211" w:rsidRPr="00D04A9D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D04A9D">
        <w:rPr>
          <w:lang w:val="en-US"/>
        </w:rPr>
        <w:tab/>
      </w:r>
      <w:proofErr w:type="gramStart"/>
      <w:r w:rsidRPr="00F00A57">
        <w:rPr>
          <w:lang w:val="en-US"/>
        </w:rPr>
        <w:t>Framework of Analysis (</w:t>
      </w:r>
      <w:r>
        <w:t>см</w:t>
      </w:r>
      <w:r w:rsidRPr="00F00A57">
        <w:rPr>
          <w:lang w:val="en-US"/>
        </w:rPr>
        <w:t xml:space="preserve">. </w:t>
      </w:r>
      <w:r>
        <w:t>выше</w:t>
      </w:r>
      <w:r w:rsidRPr="00F00A57">
        <w:rPr>
          <w:lang w:val="en-US"/>
        </w:rPr>
        <w:t xml:space="preserve"> </w:t>
      </w:r>
      <w:r>
        <w:t>сноску</w:t>
      </w:r>
      <w:r w:rsidRPr="00F00A57">
        <w:rPr>
          <w:lang w:val="en-US"/>
        </w:rPr>
        <w:t xml:space="preserve"> 10), </w:t>
      </w:r>
      <w:proofErr w:type="spellStart"/>
      <w:r>
        <w:t>стр</w:t>
      </w:r>
      <w:proofErr w:type="spellEnd"/>
      <w:r w:rsidRPr="00F00A57">
        <w:rPr>
          <w:lang w:val="en-US"/>
        </w:rPr>
        <w:t>.</w:t>
      </w:r>
      <w:proofErr w:type="gramEnd"/>
      <w:r w:rsidRPr="00F00A57">
        <w:rPr>
          <w:lang w:val="en-US"/>
        </w:rPr>
        <w:t xml:space="preserve"> 3.</w:t>
      </w:r>
    </w:p>
  </w:footnote>
  <w:footnote w:id="18">
    <w:p w:rsidR="00F30211" w:rsidRPr="00D04A9D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 w:rsidRPr="00D04A9D">
        <w:rPr>
          <w:lang w:val="en-US"/>
        </w:rPr>
        <w:tab/>
      </w:r>
      <w:r w:rsidRPr="00F00A57">
        <w:rPr>
          <w:lang w:val="en-US"/>
        </w:rPr>
        <w:t>International Conference on the Great Lakes Region, 29 November 2006.</w:t>
      </w:r>
    </w:p>
  </w:footnote>
  <w:footnote w:id="19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  <w:t>См. статья 3, Комитет по ликвидации расовой дискриминации; статья 2 Конвенции о рабстве; статья 1 Конвенции о предупреждении геноцида.</w:t>
      </w:r>
    </w:p>
  </w:footnote>
  <w:footnote w:id="20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См. статья 19 Конвенции о правах ребенка и E </w:t>
      </w:r>
      <w:proofErr w:type="spellStart"/>
      <w:r>
        <w:t>Decaux</w:t>
      </w:r>
      <w:proofErr w:type="spellEnd"/>
      <w:r>
        <w:t xml:space="preserve">, S </w:t>
      </w:r>
      <w:proofErr w:type="spellStart"/>
      <w:r>
        <w:t>Touzé</w:t>
      </w:r>
      <w:proofErr w:type="spellEnd"/>
      <w:r>
        <w:t xml:space="preserve"> (см. выше сноска 3).</w:t>
      </w:r>
    </w:p>
  </w:footnote>
  <w:footnote w:id="2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Применение Конвенции о предупреждении преступления геноцида и наказани</w:t>
      </w:r>
      <w:r w:rsidR="0090018D">
        <w:t>и</w:t>
      </w:r>
      <w:r>
        <w:t xml:space="preserve"> за него (</w:t>
      </w:r>
      <w:r w:rsidRPr="00D04A9D">
        <w:rPr>
          <w:i/>
        </w:rPr>
        <w:t>Босния и Герцеговина против Сербии и Черногории</w:t>
      </w:r>
      <w:r>
        <w:t xml:space="preserve">), решение </w:t>
      </w:r>
      <w:r w:rsidR="00150C64">
        <w:t xml:space="preserve">суда, </w:t>
      </w:r>
      <w:r w:rsidR="00150C64" w:rsidRPr="0090018D">
        <w:rPr>
          <w:i/>
        </w:rPr>
        <w:t xml:space="preserve">I.C.J. </w:t>
      </w:r>
      <w:proofErr w:type="spellStart"/>
      <w:r w:rsidR="00150C64" w:rsidRPr="0090018D">
        <w:rPr>
          <w:i/>
        </w:rPr>
        <w:t>Reports</w:t>
      </w:r>
      <w:proofErr w:type="spellEnd"/>
      <w:r w:rsidR="00150C64" w:rsidRPr="0090018D">
        <w:rPr>
          <w:i/>
        </w:rPr>
        <w:t xml:space="preserve"> 2007</w:t>
      </w:r>
      <w:r w:rsidR="00150C64">
        <w:t>, стр. </w:t>
      </w:r>
      <w:r>
        <w:t>43.</w:t>
      </w:r>
    </w:p>
  </w:footnote>
  <w:footnote w:id="22">
    <w:p w:rsidR="00F30211" w:rsidRPr="00D04A9D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D04A9D">
        <w:rPr>
          <w:lang w:val="en-US"/>
        </w:rPr>
        <w:tab/>
      </w:r>
      <w:r w:rsidRPr="00F00A57">
        <w:rPr>
          <w:lang w:val="en-US"/>
        </w:rPr>
        <w:t xml:space="preserve">A/HRC/18/24, </w:t>
      </w:r>
      <w:r>
        <w:t>пункт</w:t>
      </w:r>
      <w:r w:rsidRPr="00F00A57">
        <w:rPr>
          <w:lang w:val="en-US"/>
        </w:rPr>
        <w:t xml:space="preserve"> 36; A/HRC/28/30, </w:t>
      </w:r>
      <w:r>
        <w:t>пункт</w:t>
      </w:r>
      <w:r w:rsidRPr="00F00A57">
        <w:rPr>
          <w:lang w:val="en-US"/>
        </w:rPr>
        <w:t xml:space="preserve"> 22; </w:t>
      </w:r>
      <w:r>
        <w:t>а</w:t>
      </w:r>
      <w:r w:rsidRPr="00F00A57">
        <w:rPr>
          <w:lang w:val="en-US"/>
        </w:rPr>
        <w:t xml:space="preserve"> </w:t>
      </w:r>
      <w:r>
        <w:t>также</w:t>
      </w:r>
      <w:r w:rsidRPr="00F00A57">
        <w:rPr>
          <w:lang w:val="en-US"/>
        </w:rPr>
        <w:t xml:space="preserve"> </w:t>
      </w:r>
      <w:r w:rsidR="00420910" w:rsidRPr="00420910">
        <w:rPr>
          <w:lang w:val="en-US"/>
        </w:rPr>
        <w:t>«</w:t>
      </w:r>
      <w:r w:rsidRPr="00F00A57">
        <w:rPr>
          <w:lang w:val="en-US"/>
        </w:rPr>
        <w:t>Preventing Torture: An Operational Guide for National Human Rights Institutions</w:t>
      </w:r>
      <w:r w:rsidR="00420910" w:rsidRPr="00420910">
        <w:rPr>
          <w:lang w:val="en-US"/>
        </w:rPr>
        <w:t>»</w:t>
      </w:r>
      <w:r w:rsidRPr="00F00A57">
        <w:rPr>
          <w:lang w:val="en-US"/>
        </w:rPr>
        <w:t>, p. 3 (OHCHR, Association for the Prevention of Torture, and Asia Pacific Forum, HR/PUB/10/1).</w:t>
      </w:r>
    </w:p>
  </w:footnote>
  <w:footnote w:id="23">
    <w:p w:rsidR="00F30211" w:rsidRPr="00D04A9D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 w:rsidRPr="00D04A9D">
        <w:rPr>
          <w:lang w:val="en-US"/>
        </w:rPr>
        <w:tab/>
      </w:r>
      <w:r>
        <w:t>См</w:t>
      </w:r>
      <w:r w:rsidRPr="00F00A57">
        <w:rPr>
          <w:lang w:val="en-US"/>
        </w:rPr>
        <w:t>. Good Governance Practices for the Protection of Human Rights (United Nations 2007).</w:t>
      </w:r>
    </w:p>
  </w:footnote>
  <w:footnote w:id="2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  <w:t xml:space="preserve">Подход системы Организации Объединенных Наций к правосудию переходного периода может оказаться полезным для формирования превентивного подхода в рамках усилий по предотвращению повторения нарушений прав человека, которые имели место (в том числе выявление глубинных причин), и по обеспечению институциональной реформы государственных структур и институтов, которые содействовали таким нарушениям или поощряли их.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Secretary-General</w:t>
      </w:r>
      <w:proofErr w:type="spellEnd"/>
      <w:r>
        <w:t xml:space="preserve">: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Transitional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(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>, 2010); Правосудие переходного периода и экономические, социальные и культурные права (Организация Объединенных Наций, 2014 год).</w:t>
      </w:r>
    </w:p>
  </w:footnote>
  <w:footnote w:id="2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>
        <w:t>Комитет по правам человека считает, что право на эффективное средство судебной защиты может при определенных обстоятельствах потребовать от государств-участников обеспечения и осуществления временных или промежуточных мер для недопущения продолжения нарушений и принятия мер по возмещению в возможно кратчайшие сроки любого вреда, который мог быть причинен такими наруше</w:t>
      </w:r>
      <w:r w:rsidR="00420910">
        <w:t>ниями (замечание общего порядка </w:t>
      </w:r>
      <w:r>
        <w:t>№ 31, пункт 19).</w:t>
      </w:r>
      <w:proofErr w:type="gramEnd"/>
    </w:p>
  </w:footnote>
  <w:footnote w:id="2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>
        <w:t xml:space="preserve">Статья 2 Международного пакта о гражданских и политических правах; статья 2 Конвенции против пыток и других жестоких, бесчеловечных или унижающих достоинство видов обращения и наказания; статья 23 Комитета по насильственным исчезновениям; дело </w:t>
      </w:r>
      <w:proofErr w:type="spellStart"/>
      <w:r>
        <w:t>LaGrand</w:t>
      </w:r>
      <w:proofErr w:type="spellEnd"/>
      <w:r>
        <w:t xml:space="preserve"> (</w:t>
      </w:r>
      <w:r w:rsidRPr="004E0B29">
        <w:rPr>
          <w:i/>
        </w:rPr>
        <w:t>Германия против Соединенных Штатов</w:t>
      </w:r>
      <w:r>
        <w:t xml:space="preserve">), решение суда, </w:t>
      </w:r>
      <w:r w:rsidRPr="004E0B29">
        <w:rPr>
          <w:i/>
        </w:rPr>
        <w:t xml:space="preserve">ICJ </w:t>
      </w:r>
      <w:proofErr w:type="spellStart"/>
      <w:r w:rsidRPr="004E0B29">
        <w:rPr>
          <w:i/>
        </w:rPr>
        <w:t>Reports</w:t>
      </w:r>
      <w:proofErr w:type="spellEnd"/>
      <w:r w:rsidRPr="004E0B29">
        <w:rPr>
          <w:i/>
        </w:rPr>
        <w:t xml:space="preserve"> 2001</w:t>
      </w:r>
      <w:r>
        <w:t>; E/CN.4/2005/102/Add.1, принцип 35.</w:t>
      </w:r>
      <w:proofErr w:type="gramEnd"/>
    </w:p>
  </w:footnote>
  <w:footnote w:id="27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Мадагаскара.</w:t>
      </w:r>
    </w:p>
  </w:footnote>
  <w:footnote w:id="28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Ирландии.</w:t>
      </w:r>
    </w:p>
  </w:footnote>
  <w:footnote w:id="29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Например, Рекомендация </w:t>
      </w:r>
      <w:proofErr w:type="spellStart"/>
      <w:r>
        <w:t>Rec</w:t>
      </w:r>
      <w:proofErr w:type="spellEnd"/>
      <w:r>
        <w:t>(2004)5 Комитета министров Совета Европы государствам-членам о проверке совместимости законопроектов, действующих законов и административной практики с нормами, изложенными в Европейской конвенции о правах человека. См. ниже соответствующую дискуссию об оценках воздействия предлагаемых законов и политики.</w:t>
      </w:r>
    </w:p>
  </w:footnote>
  <w:footnote w:id="30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Ответ Республики Молдова; ответ Венгрии. </w:t>
      </w:r>
      <w:proofErr w:type="gramStart"/>
      <w:r>
        <w:t>Подкомитет по предупреждению пыток и других жестоких, бесчеловечных или унижающих достоинство видов обращения и наказания указывает, что «государство должно информировать [национальный превентивный механизм] о любом законопроекте, который может находиться на рассмотрении и иметь отношение к его мандату, и должно предоставлять НПМ возможность вносить предложения или замечания по любой существующей или разрабатываемой политике или любому закону.</w:t>
      </w:r>
      <w:proofErr w:type="gramEnd"/>
      <w:r>
        <w:t xml:space="preserve"> Государство должно принимать во внимание любые полученные от НПМ предложения или замеч</w:t>
      </w:r>
      <w:r w:rsidR="00150C64">
        <w:t>ания по такому законодательству»</w:t>
      </w:r>
      <w:r>
        <w:t>. (CAT/OP/12/5, пункт 28).</w:t>
      </w:r>
    </w:p>
  </w:footnote>
  <w:footnote w:id="3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Австралии.</w:t>
      </w:r>
    </w:p>
  </w:footnote>
  <w:footnote w:id="3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Дома прав человека Албании.</w:t>
      </w:r>
    </w:p>
  </w:footnote>
  <w:footnote w:id="33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</w:t>
      </w:r>
      <w:proofErr w:type="gramStart"/>
      <w:r>
        <w:t xml:space="preserve"> Т</w:t>
      </w:r>
      <w:proofErr w:type="gramEnd"/>
      <w:r>
        <w:t>ого. См. пункт 13 замечания общего порядка № 31 Комитета по правам человека.</w:t>
      </w:r>
    </w:p>
  </w:footnote>
  <w:footnote w:id="3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Ответ </w:t>
      </w:r>
      <w:proofErr w:type="spellStart"/>
      <w:r>
        <w:t>Promo</w:t>
      </w:r>
      <w:proofErr w:type="spellEnd"/>
      <w:r>
        <w:t>-LEX.</w:t>
      </w:r>
    </w:p>
  </w:footnote>
  <w:footnote w:id="3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Международного братства примирения.</w:t>
      </w:r>
    </w:p>
  </w:footnote>
  <w:footnote w:id="3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Например, Конституционный суд Южной Африки: </w:t>
      </w:r>
      <w:r w:rsidRPr="00B32F46">
        <w:rPr>
          <w:i/>
        </w:rPr>
        <w:t xml:space="preserve">Правительство Южно-Африканской Республики и др. против </w:t>
      </w:r>
      <w:proofErr w:type="spellStart"/>
      <w:r w:rsidRPr="00B32F46">
        <w:rPr>
          <w:i/>
        </w:rPr>
        <w:t>Грутбум</w:t>
      </w:r>
      <w:proofErr w:type="spellEnd"/>
      <w:r w:rsidRPr="00B32F46">
        <w:rPr>
          <w:i/>
        </w:rPr>
        <w:t xml:space="preserve"> и др.</w:t>
      </w:r>
      <w:r>
        <w:t xml:space="preserve"> 2000 (11) BCLR 1169 (CC) (суд постановил, что правительство не выполнило свои обязательства по обеспечению нормальны</w:t>
      </w:r>
      <w:r w:rsidR="00420910">
        <w:t>х</w:t>
      </w:r>
      <w:r>
        <w:t xml:space="preserve"> услови</w:t>
      </w:r>
      <w:r w:rsidR="00420910">
        <w:t>й для</w:t>
      </w:r>
      <w:r>
        <w:t xml:space="preserve"> проживания лиц</w:t>
      </w:r>
      <w:r w:rsidR="00420910">
        <w:t>ам</w:t>
      </w:r>
      <w:r>
        <w:t>, которые в этом о</w:t>
      </w:r>
      <w:r w:rsidR="00420910">
        <w:t>стро</w:t>
      </w:r>
      <w:r>
        <w:t xml:space="preserve"> нуждались); </w:t>
      </w:r>
      <w:r w:rsidRPr="00B32F46">
        <w:rPr>
          <w:i/>
        </w:rPr>
        <w:t>Министр з</w:t>
      </w:r>
      <w:r>
        <w:rPr>
          <w:i/>
        </w:rPr>
        <w:t>дравоохранения против кампании «</w:t>
      </w:r>
      <w:proofErr w:type="spellStart"/>
      <w:r w:rsidRPr="00B32F46">
        <w:rPr>
          <w:i/>
        </w:rPr>
        <w:t>Тритмэнт</w:t>
      </w:r>
      <w:proofErr w:type="spellEnd"/>
      <w:r w:rsidRPr="00B32F46">
        <w:rPr>
          <w:i/>
        </w:rPr>
        <w:t xml:space="preserve"> </w:t>
      </w:r>
      <w:proofErr w:type="spellStart"/>
      <w:r w:rsidRPr="00B32F46">
        <w:rPr>
          <w:i/>
        </w:rPr>
        <w:t>Экшэн</w:t>
      </w:r>
      <w:proofErr w:type="spellEnd"/>
      <w:r>
        <w:rPr>
          <w:i/>
        </w:rPr>
        <w:t>»</w:t>
      </w:r>
      <w:r>
        <w:t xml:space="preserve"> (TAC) (2002) 5 SA 721 (CC) (суд постановил, что правительство нарушило свои обязательства в области прав человека, не приняв разумные меры (по доступной цене) для обеспечения более значительных резервов лекарственных препаратов для антиретровирусной терапии в целях профилактики передачи ВИЧ от матери к ребенку). См. также </w:t>
      </w:r>
      <w:r w:rsidRPr="00B32F46">
        <w:rPr>
          <w:i/>
        </w:rPr>
        <w:t>Народный союз защиты гражданских свобод и др. против Индийского союза и др.</w:t>
      </w:r>
      <w:r>
        <w:t>, Верховный суд Индии, суд первой инстанции, ходатайство о вынесении судебного приказа (гражданский процесс) № 196 от 2001 г</w:t>
      </w:r>
      <w:r w:rsidR="00150C64">
        <w:t>ода, решение суда от 2 мая 2003 </w:t>
      </w:r>
      <w:r>
        <w:t>года (относительно права на питание в контексте предотврат</w:t>
      </w:r>
      <w:r w:rsidR="00150C64">
        <w:t xml:space="preserve">имого голода в </w:t>
      </w:r>
      <w:proofErr w:type="spellStart"/>
      <w:r w:rsidR="00150C64">
        <w:t>Раджастане</w:t>
      </w:r>
      <w:proofErr w:type="spellEnd"/>
      <w:r w:rsidR="00150C64">
        <w:t>). См. </w:t>
      </w:r>
      <w:r>
        <w:t>Часто задаваемые вопросы о правозащитном подходе к сотрудничеству в области развития (Организация Объединенных Наций, 2006 год), стр. 3.</w:t>
      </w:r>
    </w:p>
  </w:footnote>
  <w:footnote w:id="37">
    <w:p w:rsidR="00F30211" w:rsidRPr="00B32F46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B32F46">
        <w:tab/>
      </w:r>
      <w:r>
        <w:t>Принципы, касающиеся статуса национальных учреждений, A/RES/48/134, приложение.</w:t>
      </w:r>
    </w:p>
  </w:footnote>
  <w:footnote w:id="38">
    <w:p w:rsidR="00F30211" w:rsidRPr="00B32F46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B32F46">
        <w:tab/>
      </w:r>
      <w:r>
        <w:t>Ответ Национальной комиссии по правам человека Руанды. Некоторые правозащитные национальные учреждения также назначаются в качестве са</w:t>
      </w:r>
      <w:r w:rsidR="00150C64">
        <w:t>мостоятельного органа по статье </w:t>
      </w:r>
      <w:r>
        <w:t>33 Конвенции о правах инвалидов.</w:t>
      </w:r>
    </w:p>
  </w:footnote>
  <w:footnote w:id="39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Комиссии Малайзии по правам человека.</w:t>
      </w:r>
    </w:p>
  </w:footnote>
  <w:footnote w:id="40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Национальной комиссии по правам человека Мексики.</w:t>
      </w:r>
    </w:p>
  </w:footnote>
  <w:footnote w:id="4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Тюремной инспекции Ее Величества.</w:t>
      </w:r>
    </w:p>
  </w:footnote>
  <w:footnote w:id="4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Доклад Специального докладчика по вопросу о положении правозащитников, Элементы безопасных и благоприятных условий для правозащитников (A/HRC/25/55). См. также </w:t>
      </w:r>
      <w:r w:rsidR="00420910">
        <w:t>«</w:t>
      </w:r>
      <w:r>
        <w:t xml:space="preserve">Пространство для деятельности гражданского общества и система прав человека </w:t>
      </w:r>
      <w:r w:rsidR="00420910">
        <w:t>Организации Объединенных Наций»</w:t>
      </w:r>
      <w:r>
        <w:t xml:space="preserve"> (УВКПЧ, 2014 год); </w:t>
      </w:r>
      <w:r w:rsidR="00420910">
        <w:t>резолюция Генеральной Ассамблеи </w:t>
      </w:r>
      <w:r>
        <w:t>53/144, Декларация о праве и обязанности отдельных лиц, групп и органов общества поощрять и защищать общепризнанные права человека и основные свободы.</w:t>
      </w:r>
    </w:p>
  </w:footnote>
  <w:footnote w:id="43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 рекомендации в A/HRC/28/63; политика Подкомитета по предупреждению пыток по отношению к карательным мерам применительно к его мандату для посещения.</w:t>
      </w:r>
    </w:p>
  </w:footnote>
  <w:footnote w:id="4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Тринидада и Тобаго.</w:t>
      </w:r>
    </w:p>
  </w:footnote>
  <w:footnote w:id="4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Кубы.</w:t>
      </w:r>
    </w:p>
  </w:footnote>
  <w:footnote w:id="4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Руководящий принцип 1 предпринимательской деятельности в аспекте прав человека.</w:t>
      </w:r>
    </w:p>
  </w:footnote>
  <w:footnote w:id="47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Там же, Руководящий принцип 5 и комментарий к нему.</w:t>
      </w:r>
    </w:p>
  </w:footnote>
  <w:footnote w:id="48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Замечание общего порядка № 35 Комитета по правам человека, пункт 8.</w:t>
      </w:r>
    </w:p>
  </w:footnote>
  <w:footnote w:id="49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См. также </w:t>
      </w:r>
      <w:r w:rsidR="00420910">
        <w:t>«</w:t>
      </w:r>
      <w:r>
        <w:t>Ответственность корпораций за соблюдение прав человека: пособие по толкованию</w:t>
      </w:r>
      <w:r w:rsidR="00420910">
        <w:t>»</w:t>
      </w:r>
      <w:r>
        <w:t xml:space="preserve"> (УВКПЧ, 2012</w:t>
      </w:r>
      <w:r w:rsidR="00420910">
        <w:t xml:space="preserve"> год</w:t>
      </w:r>
      <w:r>
        <w:t>).</w:t>
      </w:r>
    </w:p>
  </w:footnote>
  <w:footnote w:id="50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Декларация Организации Объединенных Наций об образовании и подготовке в области прав человека, пункт 2; A/HRC/27/28, пункты 1–9.</w:t>
      </w:r>
    </w:p>
  </w:footnote>
  <w:footnote w:id="5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Кипра; ответ Мексики; ответ Объединенных Арабских Эмиратов.</w:t>
      </w:r>
    </w:p>
  </w:footnote>
  <w:footnote w:id="5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 «Право на образование в области прав человека» – веб-ресурс, где собраны соответствующие обязательства, взятые на себя государствами в рамках международных и региональных межправительственных форумов, доступный по адресу</w:t>
      </w:r>
      <w:r w:rsidRPr="00C131FA">
        <w:t xml:space="preserve"> </w:t>
      </w:r>
      <w:hyperlink r:id="rId1">
        <w:r>
          <w:rPr>
            <w:rStyle w:val="InternetLink"/>
          </w:rPr>
          <w:t>http</w:t>
        </w:r>
        <w:r w:rsidRPr="00F00A57">
          <w:rPr>
            <w:rStyle w:val="InternetLink"/>
          </w:rPr>
          <w:t>://</w:t>
        </w:r>
        <w:r>
          <w:rPr>
            <w:rStyle w:val="InternetLink"/>
          </w:rPr>
          <w:t>www</w:t>
        </w:r>
        <w:r w:rsidRPr="00F00A57">
          <w:rPr>
            <w:rStyle w:val="InternetLink"/>
          </w:rPr>
          <w:t>.</w:t>
        </w:r>
        <w:r>
          <w:rPr>
            <w:rStyle w:val="InternetLink"/>
          </w:rPr>
          <w:t>ohchr</w:t>
        </w:r>
        <w:r w:rsidRPr="00F00A57">
          <w:rPr>
            <w:rStyle w:val="InternetLink"/>
          </w:rPr>
          <w:t>.</w:t>
        </w:r>
        <w:r>
          <w:rPr>
            <w:rStyle w:val="InternetLink"/>
          </w:rPr>
          <w:t>org</w:t>
        </w:r>
        <w:r w:rsidRPr="00F00A57">
          <w:rPr>
            <w:rStyle w:val="InternetLink"/>
          </w:rPr>
          <w:t>/</w:t>
        </w:r>
        <w:r>
          <w:rPr>
            <w:rStyle w:val="InternetLink"/>
          </w:rPr>
          <w:t>EN</w:t>
        </w:r>
        <w:r w:rsidRPr="00F00A57">
          <w:rPr>
            <w:rStyle w:val="InternetLink"/>
          </w:rPr>
          <w:t>/</w:t>
        </w:r>
        <w:r>
          <w:rPr>
            <w:rStyle w:val="InternetLink"/>
          </w:rPr>
          <w:t>Issues</w:t>
        </w:r>
        <w:r w:rsidRPr="00F00A57">
          <w:rPr>
            <w:rStyle w:val="InternetLink"/>
          </w:rPr>
          <w:t>/</w:t>
        </w:r>
        <w:r>
          <w:rPr>
            <w:rStyle w:val="InternetLink"/>
          </w:rPr>
          <w:t>Education</w:t>
        </w:r>
        <w:r w:rsidRPr="00F00A57">
          <w:rPr>
            <w:rStyle w:val="InternetLink"/>
          </w:rPr>
          <w:t>/</w:t>
        </w:r>
        <w:r>
          <w:rPr>
            <w:rStyle w:val="InternetLink"/>
          </w:rPr>
          <w:t>Training</w:t>
        </w:r>
        <w:r w:rsidRPr="00F00A57">
          <w:rPr>
            <w:rStyle w:val="InternetLink"/>
          </w:rPr>
          <w:t>/</w:t>
        </w:r>
        <w:r>
          <w:rPr>
            <w:rStyle w:val="InternetLink"/>
          </w:rPr>
          <w:t>Compilation</w:t>
        </w:r>
        <w:r w:rsidRPr="00F00A57">
          <w:rPr>
            <w:rStyle w:val="InternetLink"/>
          </w:rPr>
          <w:t>/</w:t>
        </w:r>
        <w:r>
          <w:rPr>
            <w:rStyle w:val="InternetLink"/>
          </w:rPr>
          <w:t>Pages</w:t>
        </w:r>
        <w:r w:rsidRPr="00F00A57">
          <w:rPr>
            <w:rStyle w:val="InternetLink"/>
          </w:rPr>
          <w:t>/</w:t>
        </w:r>
        <w:r>
          <w:rPr>
            <w:rStyle w:val="InternetLink"/>
          </w:rPr>
          <w:t>Listofcontents</w:t>
        </w:r>
        <w:r w:rsidRPr="00F00A57">
          <w:rPr>
            <w:rStyle w:val="InternetLink"/>
          </w:rPr>
          <w:t>.</w:t>
        </w:r>
        <w:r>
          <w:rPr>
            <w:rStyle w:val="InternetLink"/>
          </w:rPr>
          <w:t>aspx</w:t>
        </w:r>
        <w:r w:rsidRPr="00F00A57">
          <w:rPr>
            <w:rStyle w:val="InternetLink"/>
          </w:rPr>
          <w:t>.</w:t>
        </w:r>
      </w:hyperlink>
    </w:p>
  </w:footnote>
  <w:footnote w:id="53">
    <w:p w:rsidR="00F30211" w:rsidRPr="002B2B65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2B2B65">
        <w:rPr>
          <w:lang w:val="en-US"/>
        </w:rPr>
        <w:tab/>
      </w:r>
      <w:r w:rsidRPr="00F00A57">
        <w:rPr>
          <w:lang w:val="en-US"/>
        </w:rPr>
        <w:t xml:space="preserve">Bertrand G. </w:t>
      </w:r>
      <w:proofErr w:type="spellStart"/>
      <w:r w:rsidRPr="00F00A57">
        <w:rPr>
          <w:lang w:val="en-US"/>
        </w:rPr>
        <w:t>Ramcharan</w:t>
      </w:r>
      <w:proofErr w:type="spellEnd"/>
      <w:r w:rsidRPr="00F00A57">
        <w:rPr>
          <w:lang w:val="en-US"/>
        </w:rPr>
        <w:t xml:space="preserve">, </w:t>
      </w:r>
      <w:r w:rsidRPr="001E3746">
        <w:rPr>
          <w:i/>
          <w:lang w:val="en-US"/>
        </w:rPr>
        <w:t>Preventive Human Rights Strategies</w:t>
      </w:r>
      <w:r w:rsidRPr="00F00A57">
        <w:rPr>
          <w:lang w:val="en-US"/>
        </w:rPr>
        <w:t xml:space="preserve"> (London, New York, Routledge, 2010) p. 52.</w:t>
      </w:r>
    </w:p>
  </w:footnote>
  <w:footnote w:id="5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  <w:t>Резолюция Генеральной Ассамблеи 59/113, Всемирная программа образования в области прав человека.</w:t>
      </w:r>
    </w:p>
  </w:footnote>
  <w:footnote w:id="5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Финского центра по правам человека.</w:t>
      </w:r>
    </w:p>
  </w:footnote>
  <w:footnote w:id="56">
    <w:p w:rsidR="00F30211" w:rsidRPr="002B2B65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  <w:t>Ответ Сети поддержки научных специалистов, работающих в условиях риска. См</w:t>
      </w:r>
      <w:r w:rsidRPr="00F00A57">
        <w:rPr>
          <w:lang w:val="en-US"/>
        </w:rPr>
        <w:t xml:space="preserve">. Global Coalition to Protect Education from Attack: </w:t>
      </w:r>
      <w:proofErr w:type="gramStart"/>
      <w:r w:rsidRPr="00F00A57">
        <w:rPr>
          <w:lang w:val="en-US"/>
        </w:rPr>
        <w:t>Principles of State Responsibility to Protect Higher Education from Attack.</w:t>
      </w:r>
      <w:proofErr w:type="gramEnd"/>
    </w:p>
  </w:footnote>
  <w:footnote w:id="57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  <w:t>Ответ Агентства по распространению международного гуманитарного права в Центральной Африке.</w:t>
      </w:r>
    </w:p>
  </w:footnote>
  <w:footnote w:id="58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 http://www.ohchr.org/EN/Issues/Education/Training/Pages/HREducationTrainingIndex.aspx.</w:t>
      </w:r>
    </w:p>
  </w:footnote>
  <w:footnote w:id="59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Катара; ответ Национальной комиссии по правам человека Кореи.</w:t>
      </w:r>
    </w:p>
  </w:footnote>
  <w:footnote w:id="60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Словацкого национального центра по правам человека.</w:t>
      </w:r>
    </w:p>
  </w:footnote>
  <w:footnote w:id="6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Национального центра Иордании по правам человека.</w:t>
      </w:r>
    </w:p>
  </w:footnote>
  <w:footnote w:id="6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Совета Омбудсмена Австрии.</w:t>
      </w:r>
    </w:p>
  </w:footnote>
  <w:footnote w:id="63">
    <w:p w:rsidR="00F30211" w:rsidRPr="002B2B65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>
        <w:tab/>
        <w:t>Венская декларация и Программа действий, принятые на Всемирной конференции по правам человека в 1993 году, рекомендовали, чтобы «каждое государство рассмотрело вопрос о целесообразности разработки национального плана действий с перечислением мер, посредством которых государство могло бы совершенствовать защиту и поощрение прав человека». См</w:t>
      </w:r>
      <w:r w:rsidRPr="002B2B65">
        <w:rPr>
          <w:lang w:val="en-US"/>
        </w:rPr>
        <w:t xml:space="preserve">. </w:t>
      </w:r>
      <w:r w:rsidRPr="001E3746">
        <w:rPr>
          <w:i/>
          <w:lang w:val="en-US"/>
        </w:rPr>
        <w:t>Handbook on National Human Rights Plans of Action</w:t>
      </w:r>
      <w:r w:rsidRPr="00F00A57">
        <w:rPr>
          <w:lang w:val="en-US"/>
        </w:rPr>
        <w:t xml:space="preserve"> (United Nations, 2002).</w:t>
      </w:r>
    </w:p>
  </w:footnote>
  <w:footnote w:id="6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  <w:t>Ответ А</w:t>
      </w:r>
      <w:r w:rsidR="00420910">
        <w:t>лбании</w:t>
      </w:r>
      <w:r>
        <w:t>; ответ Казахстана; ответ Гондураса. Представленные материалы отражали широкий спектр законов, политических мер и программ, в том числе в отношении торговли людьми, миграции и насилия в отношении женщин. См. также A/HRC/18/24, пункты 9–10.</w:t>
      </w:r>
    </w:p>
  </w:footnote>
  <w:footnote w:id="6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Аргентины; ответ Грузии. См. также A/HRC/18/24, пункты 18–19.</w:t>
      </w:r>
    </w:p>
  </w:footnote>
  <w:footnote w:id="6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Словакии.</w:t>
      </w:r>
    </w:p>
  </w:footnote>
  <w:footnote w:id="67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Конвенция о правах ребенка показала важность составления бюджета применительно к наилучшему обеспечению интересов ребенка (замечание об</w:t>
      </w:r>
      <w:r w:rsidR="00150C64">
        <w:t>щего порядка № 14 (2013), пункт </w:t>
      </w:r>
      <w:r>
        <w:t>35). См. также A/HRC/28/30, пункт 19.</w:t>
      </w:r>
    </w:p>
  </w:footnote>
  <w:footnote w:id="68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 иллюстрации в ежегодном докладе УВКПЧ 2011 года, стр. 64–66.</w:t>
      </w:r>
    </w:p>
  </w:footnote>
  <w:footnote w:id="69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Омбудсмена Республики Латвия.</w:t>
      </w:r>
    </w:p>
  </w:footnote>
  <w:footnote w:id="70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spellStart"/>
      <w:r>
        <w:t>Ариранга</w:t>
      </w:r>
      <w:proofErr w:type="spellEnd"/>
      <w:r>
        <w:t xml:space="preserve"> Г. </w:t>
      </w:r>
      <w:proofErr w:type="spellStart"/>
      <w:r>
        <w:t>Пиллай</w:t>
      </w:r>
      <w:proofErr w:type="spellEnd"/>
      <w:r>
        <w:t xml:space="preserve">, председатель Комитета по экономическим, социальным и культурным правам, </w:t>
      </w:r>
      <w:r w:rsidR="00A26EC8">
        <w:t>п</w:t>
      </w:r>
      <w:r>
        <w:t>исьмо государствам-участникам от 16 мая 2012 года, доступно по адресу http://www2.ohchr.org/english/bodies/cescr/docs/LetterCESCRtoSP16.05.12.pdf.</w:t>
      </w:r>
    </w:p>
  </w:footnote>
  <w:footnote w:id="71">
    <w:p w:rsidR="00F30211" w:rsidRPr="005852EB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5852EB">
        <w:rPr>
          <w:lang w:val="en-US"/>
        </w:rPr>
        <w:tab/>
      </w:r>
      <w:proofErr w:type="gramStart"/>
      <w:r w:rsidR="00A26EC8" w:rsidRPr="00A26EC8">
        <w:rPr>
          <w:lang w:val="en-US"/>
        </w:rPr>
        <w:t>«</w:t>
      </w:r>
      <w:r w:rsidRPr="00F00A57">
        <w:rPr>
          <w:lang w:val="en-US"/>
        </w:rPr>
        <w:t>SDGs [Sustainable Development Goals] Indicator Framework: A Human Rights Approach to Data Disaggregation to Leave No One Behind</w:t>
      </w:r>
      <w:r w:rsidR="00A26EC8" w:rsidRPr="00A26EC8">
        <w:rPr>
          <w:lang w:val="en-US"/>
        </w:rPr>
        <w:t>»</w:t>
      </w:r>
      <w:r w:rsidRPr="00F00A57">
        <w:rPr>
          <w:lang w:val="en-US"/>
        </w:rPr>
        <w:t xml:space="preserve"> (OHCHR, 2015).</w:t>
      </w:r>
      <w:proofErr w:type="gramEnd"/>
    </w:p>
  </w:footnote>
  <w:footnote w:id="7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 w:rsidRPr="005852EB">
        <w:rPr>
          <w:lang w:val="en-US"/>
        </w:rPr>
        <w:tab/>
      </w:r>
      <w:r w:rsidRPr="00F00A57">
        <w:rPr>
          <w:lang w:val="en-US"/>
        </w:rPr>
        <w:t xml:space="preserve">Human Rights Indicators: A Guide to Measurement and Implementation (United Nations, 2012). </w:t>
      </w:r>
      <w:r>
        <w:t>См. также E/2011/90 по вопросам использования показателей при осуществлении экономических, социальных и культурных прав.</w:t>
      </w:r>
    </w:p>
  </w:footnote>
  <w:footnote w:id="73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Например, в рамках Конвенции против пыток и других жестоких, бесчеловечных или унижающих достоинство видов обращения и наказания Гондурасу было рекомендовано разработать дезагрегированные показатели, с </w:t>
      </w:r>
      <w:proofErr w:type="gramStart"/>
      <w:r>
        <w:t>тем</w:t>
      </w:r>
      <w:proofErr w:type="gramEnd"/>
      <w:r>
        <w:t xml:space="preserve"> чтобы отслеживать и документировать случаи насилия между заключенными с целью выявления глубинных причин и разработки соответствующих стратегий предупреждения (CAT/C/HND/CO/1, пункт 17).</w:t>
      </w:r>
    </w:p>
  </w:footnote>
  <w:footnote w:id="74">
    <w:p w:rsidR="00F30211" w:rsidRPr="005852EB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5852EB">
        <w:rPr>
          <w:lang w:val="en-US"/>
        </w:rPr>
        <w:tab/>
      </w:r>
      <w:proofErr w:type="gramStart"/>
      <w:r w:rsidRPr="00F00A57">
        <w:rPr>
          <w:lang w:val="en-US"/>
        </w:rPr>
        <w:t>Human Rights Indicators (</w:t>
      </w:r>
      <w:r>
        <w:t>см</w:t>
      </w:r>
      <w:r w:rsidRPr="00F00A57">
        <w:rPr>
          <w:lang w:val="en-US"/>
        </w:rPr>
        <w:t xml:space="preserve">. </w:t>
      </w:r>
      <w:r>
        <w:t>выше</w:t>
      </w:r>
      <w:r w:rsidRPr="00F00A57">
        <w:rPr>
          <w:lang w:val="en-US"/>
        </w:rPr>
        <w:t xml:space="preserve"> </w:t>
      </w:r>
      <w:r>
        <w:t>сноска</w:t>
      </w:r>
      <w:r w:rsidRPr="00F00A57">
        <w:rPr>
          <w:lang w:val="en-US"/>
        </w:rPr>
        <w:t xml:space="preserve"> 72), </w:t>
      </w:r>
      <w:proofErr w:type="spellStart"/>
      <w:r>
        <w:t>стр</w:t>
      </w:r>
      <w:proofErr w:type="spellEnd"/>
      <w:r w:rsidRPr="00F00A57">
        <w:rPr>
          <w:lang w:val="en-US"/>
        </w:rPr>
        <w:t>.</w:t>
      </w:r>
      <w:proofErr w:type="gramEnd"/>
      <w:r w:rsidRPr="00F00A57">
        <w:rPr>
          <w:lang w:val="en-US"/>
        </w:rPr>
        <w:t xml:space="preserve"> 88.</w:t>
      </w:r>
    </w:p>
  </w:footnote>
  <w:footnote w:id="7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  <w:t>Например, Универсальный индекс по правам человека обеспечивает доступ к информации о положении прав человека в конкретных странах, поступающей из международных правозащитных механизмов в системе Организации Объединенных Наций.</w:t>
      </w:r>
    </w:p>
  </w:footnote>
  <w:footnote w:id="7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Парагвая.</w:t>
      </w:r>
    </w:p>
  </w:footnote>
  <w:footnote w:id="77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Украины.</w:t>
      </w:r>
    </w:p>
  </w:footnote>
  <w:footnote w:id="78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Окончательный проект итогового документа на период после 2015 года от 8 июля 2015 года, пункт 10. См. также, например, предварительную цель 16 («Содействие построению миролюбивых и открытых обществ в интересах устойчивого развития, обеспечение доступа к правосудию для всех и создание эффективных, подотчетных и основанных на широком участии учреждений на всех уровнях»), </w:t>
      </w:r>
      <w:proofErr w:type="gramStart"/>
      <w:r>
        <w:t>целью</w:t>
      </w:r>
      <w:proofErr w:type="gramEnd"/>
      <w:r>
        <w:t xml:space="preserve"> которой, среди прочего, будет укрепление соответствующих национальных институтов, в том числе на основе международного сотрудничества, с целью создания на всех уровнях потенциала для предотвращения насилия и борьбы с терроризмом и преступностью, а также поощрения и обеспечения соблюдения недискриминационных законов и стратегий в области устойчивого развития.</w:t>
      </w:r>
    </w:p>
  </w:footnote>
  <w:footnote w:id="79">
    <w:p w:rsidR="00F30211" w:rsidRP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F30211">
        <w:rPr>
          <w:lang w:val="en-US"/>
        </w:rPr>
        <w:tab/>
      </w:r>
      <w:proofErr w:type="gramStart"/>
      <w:r w:rsidRPr="00F00A57">
        <w:rPr>
          <w:lang w:val="en-US"/>
        </w:rPr>
        <w:t>Integrating Human Rights into the Post-2015 Development Agenda - Follow-up and Review: Ensuring Accountability for the SDGs (OHCHR, May 2015).</w:t>
      </w:r>
      <w:proofErr w:type="gramEnd"/>
    </w:p>
  </w:footnote>
  <w:footnote w:id="80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70B1E">
        <w:rPr>
          <w:lang w:val="en-US"/>
        </w:rPr>
        <w:tab/>
      </w:r>
      <w:r>
        <w:rPr>
          <w:rStyle w:val="FootnoteReference"/>
        </w:rPr>
        <w:footnoteRef/>
      </w:r>
      <w:r>
        <w:tab/>
        <w:t xml:space="preserve">К ним относятся механизмы Организации Объединенных Наций, а также механизмы, учрежденные, например, Европейским союзом, Советом Европы, Организацией по безопасности и сотрудничеству в Европе, Африканским союзом и Организацией американских государств. См. K. </w:t>
      </w:r>
      <w:proofErr w:type="spellStart"/>
      <w:r>
        <w:t>Martin-Chenut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S. </w:t>
      </w:r>
      <w:proofErr w:type="spellStart"/>
      <w:r>
        <w:t>Turgi</w:t>
      </w:r>
      <w:r w:rsidR="001E3746">
        <w:t>s</w:t>
      </w:r>
      <w:proofErr w:type="spellEnd"/>
      <w:r w:rsidR="001E3746">
        <w:t xml:space="preserve"> </w:t>
      </w:r>
      <w:proofErr w:type="spellStart"/>
      <w:r w:rsidR="001E3746">
        <w:t>in</w:t>
      </w:r>
      <w:proofErr w:type="spellEnd"/>
      <w:r w:rsidR="001E3746">
        <w:t xml:space="preserve"> E. </w:t>
      </w:r>
      <w:proofErr w:type="spellStart"/>
      <w:r w:rsidR="001E3746">
        <w:t>Decaux</w:t>
      </w:r>
      <w:proofErr w:type="spellEnd"/>
      <w:r w:rsidR="001E3746">
        <w:t xml:space="preserve"> </w:t>
      </w:r>
      <w:proofErr w:type="spellStart"/>
      <w:r w:rsidR="001E3746">
        <w:t>and</w:t>
      </w:r>
      <w:proofErr w:type="spellEnd"/>
      <w:r w:rsidR="001E3746">
        <w:t xml:space="preserve"> S. </w:t>
      </w:r>
      <w:proofErr w:type="spellStart"/>
      <w:r w:rsidR="001E3746">
        <w:t>Touzé</w:t>
      </w:r>
      <w:proofErr w:type="spellEnd"/>
      <w:r w:rsidR="001E3746">
        <w:t xml:space="preserve">, </w:t>
      </w:r>
      <w:proofErr w:type="spellStart"/>
      <w:r w:rsidR="001E3746" w:rsidRPr="001E3746">
        <w:rPr>
          <w:i/>
        </w:rPr>
        <w:t>La</w:t>
      </w:r>
      <w:proofErr w:type="spellEnd"/>
      <w:r w:rsidR="001E3746" w:rsidRPr="001E3746">
        <w:rPr>
          <w:i/>
        </w:rPr>
        <w:t> </w:t>
      </w:r>
      <w:proofErr w:type="spellStart"/>
      <w:r w:rsidRPr="001E3746">
        <w:rPr>
          <w:i/>
        </w:rPr>
        <w:t>Prévention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des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Violations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des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Droits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de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l’Homme</w:t>
      </w:r>
      <w:proofErr w:type="spellEnd"/>
      <w:r>
        <w:t xml:space="preserve"> (сноска 3</w:t>
      </w:r>
      <w:r w:rsidR="00A26EC8" w:rsidRPr="00A26EC8">
        <w:t xml:space="preserve"> </w:t>
      </w:r>
      <w:r w:rsidR="00A26EC8">
        <w:t>выше</w:t>
      </w:r>
      <w:r>
        <w:t xml:space="preserve">); </w:t>
      </w:r>
      <w:proofErr w:type="spellStart"/>
      <w:r>
        <w:t>Linos-Alexandre</w:t>
      </w:r>
      <w:proofErr w:type="spellEnd"/>
      <w:r>
        <w:t xml:space="preserve"> </w:t>
      </w:r>
      <w:proofErr w:type="spellStart"/>
      <w:r>
        <w:t>Sicilianos</w:t>
      </w:r>
      <w:proofErr w:type="spellEnd"/>
      <w:r>
        <w:t xml:space="preserve">, </w:t>
      </w:r>
      <w:proofErr w:type="spellStart"/>
      <w:r w:rsidRPr="001E3746">
        <w:rPr>
          <w:i/>
        </w:rPr>
        <w:t>The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Prevention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of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Human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Rights</w:t>
      </w:r>
      <w:proofErr w:type="spellEnd"/>
      <w:r w:rsidRPr="001E3746">
        <w:rPr>
          <w:i/>
        </w:rPr>
        <w:t xml:space="preserve"> </w:t>
      </w:r>
      <w:proofErr w:type="spellStart"/>
      <w:r w:rsidRPr="001E3746">
        <w:rPr>
          <w:i/>
        </w:rPr>
        <w:t>Violations</w:t>
      </w:r>
      <w:proofErr w:type="spellEnd"/>
      <w:r>
        <w:t xml:space="preserve">, </w:t>
      </w:r>
      <w:proofErr w:type="spellStart"/>
      <w:r>
        <w:t>Parts</w:t>
      </w:r>
      <w:proofErr w:type="spellEnd"/>
      <w:r>
        <w:t xml:space="preserve"> I</w:t>
      </w:r>
      <w:r w:rsidR="001E3746">
        <w:t xml:space="preserve"> </w:t>
      </w:r>
      <w:proofErr w:type="spellStart"/>
      <w:r w:rsidR="001E3746">
        <w:t>and</w:t>
      </w:r>
      <w:proofErr w:type="spellEnd"/>
      <w:r w:rsidR="001E3746">
        <w:t xml:space="preserve"> II (</w:t>
      </w:r>
      <w:proofErr w:type="spellStart"/>
      <w:r w:rsidR="001E3746">
        <w:t>Athens</w:t>
      </w:r>
      <w:proofErr w:type="spellEnd"/>
      <w:r w:rsidR="001E3746">
        <w:t xml:space="preserve">, </w:t>
      </w:r>
      <w:proofErr w:type="spellStart"/>
      <w:r w:rsidR="001E3746">
        <w:t>The</w:t>
      </w:r>
      <w:proofErr w:type="spellEnd"/>
      <w:r w:rsidR="001E3746">
        <w:t xml:space="preserve"> </w:t>
      </w:r>
      <w:proofErr w:type="spellStart"/>
      <w:r w:rsidR="001E3746">
        <w:t>Hague</w:t>
      </w:r>
      <w:proofErr w:type="spellEnd"/>
      <w:r w:rsidR="001E3746">
        <w:t xml:space="preserve">, </w:t>
      </w:r>
      <w:proofErr w:type="spellStart"/>
      <w:r w:rsidR="001E3746">
        <w:t>New</w:t>
      </w:r>
      <w:proofErr w:type="spellEnd"/>
      <w:r w:rsidR="001E3746">
        <w:t> </w:t>
      </w:r>
      <w:proofErr w:type="spellStart"/>
      <w:r>
        <w:t>York</w:t>
      </w:r>
      <w:proofErr w:type="spellEnd"/>
      <w:r>
        <w:t xml:space="preserve">, </w:t>
      </w:r>
      <w:proofErr w:type="spellStart"/>
      <w:r>
        <w:t>Martinus</w:t>
      </w:r>
      <w:proofErr w:type="spellEnd"/>
      <w:r>
        <w:t xml:space="preserve"> </w:t>
      </w:r>
      <w:proofErr w:type="spellStart"/>
      <w:r>
        <w:t>Nijhoff</w:t>
      </w:r>
      <w:proofErr w:type="spellEnd"/>
      <w:r>
        <w:t>, 2001).</w:t>
      </w:r>
    </w:p>
  </w:footnote>
  <w:footnote w:id="81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proofErr w:type="gramStart"/>
      <w:r>
        <w:t>Например, Комитет по правам человека положительно оценил «оперативные ответные действия и меры, принятые государством-участником, в целях устранения посягательств на религиозные свободы, о которых говорилось в соображения</w:t>
      </w:r>
      <w:r w:rsidR="0036404E">
        <w:t>х Комитета в связи с сообщением </w:t>
      </w:r>
      <w:r>
        <w:t>№ 1155/2003 (</w:t>
      </w:r>
      <w:proofErr w:type="spellStart"/>
      <w:r w:rsidRPr="001E3746">
        <w:rPr>
          <w:i/>
        </w:rPr>
        <w:t>Леирваг</w:t>
      </w:r>
      <w:proofErr w:type="spellEnd"/>
      <w:r w:rsidRPr="001E3746">
        <w:rPr>
          <w:i/>
        </w:rPr>
        <w:t xml:space="preserve"> против Норвегии</w:t>
      </w:r>
      <w:r>
        <w:t xml:space="preserve">, </w:t>
      </w:r>
      <w:r w:rsidR="00A26EC8">
        <w:t>С</w:t>
      </w:r>
      <w:r>
        <w:t>ооб</w:t>
      </w:r>
      <w:r w:rsidR="0036404E">
        <w:t>ражения, принятые 3 ноября 2004 </w:t>
      </w:r>
      <w:r>
        <w:t>года), включая внесение изменений в Закон об образовании» (CCPR/C/NOR/CO/5).</w:t>
      </w:r>
      <w:proofErr w:type="gramEnd"/>
    </w:p>
  </w:footnote>
  <w:footnote w:id="82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Некоторые механизмы могут на любой стадии до рассмотрения дела направить государству запрос о «временных мерах» для предотвращения нанесения любого непоправимого ущерба автору или предполагаемой жертве в конкретном случае. Подобные запросы, как правило, направляются для предотвращения действий, которые впоследствии н</w:t>
      </w:r>
      <w:r w:rsidR="00A26EC8">
        <w:t>е могут быть отменены, например</w:t>
      </w:r>
      <w:r>
        <w:t xml:space="preserve"> исполнение смертного приговора или депортация лица, которому угрожает опасность подвергнуться пыткам.</w:t>
      </w:r>
    </w:p>
  </w:footnote>
  <w:footnote w:id="83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F30211">
        <w:rPr>
          <w:lang w:val="en-US"/>
        </w:rPr>
        <w:tab/>
      </w:r>
      <w:proofErr w:type="gramStart"/>
      <w:r w:rsidRPr="00F00A57">
        <w:rPr>
          <w:lang w:val="en-US"/>
        </w:rPr>
        <w:t xml:space="preserve">Inter-American Commission on Human Rights, Impact of the Friendly Settlement Procedure (OEA/Ser. </w:t>
      </w:r>
      <w:r>
        <w:t>L/V/II.</w:t>
      </w:r>
      <w:proofErr w:type="gramEnd"/>
      <w:r>
        <w:t xml:space="preserve"> </w:t>
      </w:r>
      <w:proofErr w:type="spellStart"/>
      <w:proofErr w:type="gramStart"/>
      <w:r>
        <w:t>Doc</w:t>
      </w:r>
      <w:proofErr w:type="spellEnd"/>
      <w:r>
        <w:t xml:space="preserve">. 45/13 </w:t>
      </w:r>
      <w:proofErr w:type="spellStart"/>
      <w:r>
        <w:t>of</w:t>
      </w:r>
      <w:proofErr w:type="spellEnd"/>
      <w:r>
        <w:t xml:space="preserve"> 18 </w:t>
      </w:r>
      <w:proofErr w:type="spellStart"/>
      <w:r>
        <w:t>December</w:t>
      </w:r>
      <w:proofErr w:type="spellEnd"/>
      <w:r>
        <w:t xml:space="preserve"> 2013).</w:t>
      </w:r>
      <w:proofErr w:type="gramEnd"/>
    </w:p>
  </w:footnote>
  <w:footnote w:id="84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Там же, стр. 52.</w:t>
      </w:r>
    </w:p>
  </w:footnote>
  <w:footnote w:id="85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Там же, стр. 6.</w:t>
      </w:r>
    </w:p>
  </w:footnote>
  <w:footnote w:id="86">
    <w:p w:rsidR="00F30211" w:rsidRDefault="00F30211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В том числе Подкомитет по предупреждению пыток и других жестоких, бесчеловечных или унижающих достоинство видов обращения и наказания и Комитет Совета Европы по предупреждению пыток.</w:t>
      </w:r>
    </w:p>
  </w:footnote>
  <w:footnote w:id="87">
    <w:p w:rsidR="00E14097" w:rsidRDefault="00E14097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Например, процедура раннего предупреждения и незамедлительных действий Комитета по ликвидации расовой дискриминации; процедура сообщений специальных процедур.</w:t>
      </w:r>
    </w:p>
  </w:footnote>
  <w:footnote w:id="88">
    <w:p w:rsidR="00E14097" w:rsidRDefault="00E14097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См. «Национальный план действий в области прав человека: Уганда выполняет свои обязательства в рамках </w:t>
      </w:r>
      <w:r w:rsidR="00A26EC8">
        <w:t>у</w:t>
      </w:r>
      <w:r>
        <w:t xml:space="preserve">ниверсального периодического обзора», </w:t>
      </w:r>
      <w:proofErr w:type="gramStart"/>
      <w:r>
        <w:t>доступный</w:t>
      </w:r>
      <w:proofErr w:type="gramEnd"/>
      <w:r>
        <w:t xml:space="preserve"> по адресу </w:t>
      </w:r>
      <w:hyperlink r:id="rId2">
        <w:r w:rsidRPr="00150C64">
          <w:rPr>
            <w:rStyle w:val="InternetLink"/>
            <w:spacing w:val="4"/>
          </w:rPr>
          <w:t>http://www.ohchr.org/RU/NewsEvents/Stories/Pages/UgandaNationalHumanRightsActionPlan.aspx.</w:t>
        </w:r>
      </w:hyperlink>
    </w:p>
  </w:footnote>
  <w:footnote w:id="89">
    <w:p w:rsidR="00E14097" w:rsidRDefault="00E14097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 xml:space="preserve">Одной из целей Организации Объединенных Наций является </w:t>
      </w:r>
      <w:r w:rsidR="005D4241">
        <w:t>«</w:t>
      </w:r>
      <w:r>
        <w:t>поддерживать международный мир и безопасность и с этой целью принимать эффективные коллективные меры для предотвращения и устранения угрозы миру» (статья 1 Устава Организации Объединенных Наций). Роль Международного уголовного суда и аналогичных органов, заключающаяся в дополнении и укреплении национальных процессов уголовной юстиции, может также способствовать предотвращению безнаказанности и будущих нарушений прав человека.</w:t>
      </w:r>
    </w:p>
  </w:footnote>
  <w:footnote w:id="90">
    <w:p w:rsidR="00E14097" w:rsidRDefault="00E14097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Ответ Италии.</w:t>
      </w:r>
    </w:p>
  </w:footnote>
  <w:footnote w:id="91">
    <w:p w:rsidR="00E14097" w:rsidRDefault="00E14097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Например, доклад УВКПЧ о вариантах технической помощи и создания потенциала для включения прав человека в национальные стратегии с использованием передовой мировой практики в этой области (A/HRC/27/41).</w:t>
      </w:r>
    </w:p>
  </w:footnote>
  <w:footnote w:id="92">
    <w:p w:rsidR="00E14097" w:rsidRDefault="00E14097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Доступно по адресу http://www.un.org/sg/rightsupfront/.</w:t>
      </w:r>
    </w:p>
  </w:footnote>
  <w:footnote w:id="93">
    <w:p w:rsidR="00E14097" w:rsidRDefault="00E14097" w:rsidP="00E1409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ПЧПВ начинает приводить к изменениям во внутренней политике Организации Объединенных Наций в отношении ситуаций, связанных с нарушениями. Например, эта инициатива представила концептуальную защиту и институциональную поддержку для решения, принятого руководством Миссии Организации Объединенных Наций в Южном Судане, об открытии доступа на огороженную территорию Организации Объединенных Наций для защиты гражданских лиц, ищущих убежище. Во время кризиса в Центральноафриканской Республике в 2013–2014 годах подход ПЧПВ способствовал возникновению среди высшего руководства Организации Объединенных Наций нового чувства ответственности в отношении необходимости преодоления кризиса с точки зрения защиты прав человека.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30211" w:rsidTr="0084146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30211" w:rsidRPr="00841466" w:rsidRDefault="00F30211" w:rsidP="00841466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A40DD3">
            <w:rPr>
              <w:b/>
            </w:rPr>
            <w:t>A/HRC/30/20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30211" w:rsidRDefault="00F30211" w:rsidP="00841466">
          <w:pPr>
            <w:pStyle w:val="Header"/>
          </w:pPr>
        </w:p>
      </w:tc>
    </w:tr>
  </w:tbl>
  <w:p w:rsidR="00F30211" w:rsidRPr="00841466" w:rsidRDefault="00F30211" w:rsidP="008414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30211" w:rsidTr="0084146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30211" w:rsidRDefault="00F30211" w:rsidP="00841466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F30211" w:rsidRPr="00841466" w:rsidRDefault="00F30211" w:rsidP="00841466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A40DD3">
            <w:rPr>
              <w:b/>
            </w:rPr>
            <w:t>A/HRC/30/20</w:t>
          </w:r>
          <w:r>
            <w:rPr>
              <w:b/>
            </w:rPr>
            <w:fldChar w:fldCharType="end"/>
          </w:r>
        </w:p>
      </w:tc>
    </w:tr>
  </w:tbl>
  <w:p w:rsidR="00F30211" w:rsidRPr="00841466" w:rsidRDefault="00F30211" w:rsidP="008414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F30211" w:rsidTr="00841466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F30211" w:rsidRPr="00841466" w:rsidRDefault="00F30211" w:rsidP="00841466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30211" w:rsidRDefault="00F30211" w:rsidP="00841466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F30211" w:rsidRPr="00841466" w:rsidRDefault="00F30211" w:rsidP="00841466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/HRC/30/20</w:t>
          </w:r>
        </w:p>
      </w:tc>
    </w:tr>
    <w:tr w:rsidR="00F30211" w:rsidRPr="00D62978" w:rsidTr="00841466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30211" w:rsidRPr="00841466" w:rsidRDefault="00F30211" w:rsidP="00841466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754F912E" wp14:editId="08817718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30211" w:rsidRPr="00841466" w:rsidRDefault="00F30211" w:rsidP="00841466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30211" w:rsidRPr="00841466" w:rsidRDefault="00F30211" w:rsidP="00841466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30211" w:rsidRPr="007A5CEC" w:rsidRDefault="00F30211" w:rsidP="00841466">
          <w:pPr>
            <w:pStyle w:val="Distribution"/>
            <w:rPr>
              <w:color w:val="000000"/>
              <w:lang w:val="en-US"/>
            </w:rPr>
          </w:pPr>
          <w:r w:rsidRPr="007A5CEC">
            <w:rPr>
              <w:color w:val="000000"/>
              <w:lang w:val="en-US"/>
            </w:rPr>
            <w:t>Distr.: General</w:t>
          </w:r>
        </w:p>
        <w:p w:rsidR="00F30211" w:rsidRPr="007A5CEC" w:rsidRDefault="00F30211" w:rsidP="00841466">
          <w:pPr>
            <w:pStyle w:val="Publication"/>
            <w:rPr>
              <w:color w:val="000000"/>
              <w:lang w:val="en-US"/>
            </w:rPr>
          </w:pPr>
          <w:r w:rsidRPr="007A5CEC">
            <w:rPr>
              <w:color w:val="000000"/>
              <w:lang w:val="en-US"/>
            </w:rPr>
            <w:t>16 July 2015</w:t>
          </w:r>
        </w:p>
        <w:p w:rsidR="00F30211" w:rsidRPr="007A5CEC" w:rsidRDefault="00F30211" w:rsidP="00841466">
          <w:pPr>
            <w:rPr>
              <w:color w:val="000000"/>
              <w:lang w:val="en-US"/>
            </w:rPr>
          </w:pPr>
          <w:r w:rsidRPr="007A5CEC">
            <w:rPr>
              <w:color w:val="000000"/>
              <w:lang w:val="en-US"/>
            </w:rPr>
            <w:t>Russian</w:t>
          </w:r>
        </w:p>
        <w:p w:rsidR="00F30211" w:rsidRPr="007A5CEC" w:rsidRDefault="00F30211" w:rsidP="00841466">
          <w:pPr>
            <w:pStyle w:val="Original"/>
            <w:rPr>
              <w:color w:val="000000"/>
              <w:lang w:val="en-US"/>
            </w:rPr>
          </w:pPr>
          <w:r w:rsidRPr="007A5CEC">
            <w:rPr>
              <w:color w:val="000000"/>
              <w:lang w:val="en-US"/>
            </w:rPr>
            <w:t>Original: English</w:t>
          </w:r>
        </w:p>
        <w:p w:rsidR="00F30211" w:rsidRPr="007A5CEC" w:rsidRDefault="00F30211" w:rsidP="00841466">
          <w:pPr>
            <w:rPr>
              <w:lang w:val="en-US"/>
            </w:rPr>
          </w:pPr>
        </w:p>
      </w:tc>
    </w:tr>
  </w:tbl>
  <w:p w:rsidR="00F30211" w:rsidRPr="007A5CEC" w:rsidRDefault="00F30211" w:rsidP="00841466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A7B6D"/>
    <w:multiLevelType w:val="multilevel"/>
    <w:tmpl w:val="238634C6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082*"/>
    <w:docVar w:name="CreationDt" w:val="8/12/2015 4:08: PM"/>
    <w:docVar w:name="DocCategory" w:val="Doc"/>
    <w:docVar w:name="DocType" w:val="Final"/>
    <w:docVar w:name="DutyStation" w:val="Geneva"/>
    <w:docVar w:name="FooterJN" w:val="GE.15-12082"/>
    <w:docVar w:name="jobn" w:val="GE.15-12082 (R)"/>
    <w:docVar w:name="jobnDT" w:val="GE.15-12082 (R)   120815"/>
    <w:docVar w:name="jobnDTDT" w:val="GE.15-12082 (R)   120815   120815"/>
    <w:docVar w:name="JobNo" w:val="GE.1512082R"/>
    <w:docVar w:name="JobNo2" w:val="1515929R"/>
    <w:docVar w:name="LocalDrive" w:val="0"/>
    <w:docVar w:name="OandT" w:val="AP"/>
    <w:docVar w:name="PaperSize" w:val="A4"/>
    <w:docVar w:name="sss1" w:val="A/HRC/30/20"/>
    <w:docVar w:name="sss2" w:val="-"/>
    <w:docVar w:name="Symbol1" w:val="A/HRC/30/20"/>
    <w:docVar w:name="Symbol2" w:val="-"/>
  </w:docVars>
  <w:rsids>
    <w:rsidRoot w:val="005444E2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80711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E6A0D"/>
    <w:rsid w:val="000F1ACD"/>
    <w:rsid w:val="000F5D07"/>
    <w:rsid w:val="00105B0E"/>
    <w:rsid w:val="00113678"/>
    <w:rsid w:val="001235FD"/>
    <w:rsid w:val="001444A3"/>
    <w:rsid w:val="00150C64"/>
    <w:rsid w:val="00153645"/>
    <w:rsid w:val="00153E8C"/>
    <w:rsid w:val="00160648"/>
    <w:rsid w:val="00161F29"/>
    <w:rsid w:val="00162E88"/>
    <w:rsid w:val="00171372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3746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7921"/>
    <w:rsid w:val="002B1213"/>
    <w:rsid w:val="002B2B65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404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16A7"/>
    <w:rsid w:val="003C2842"/>
    <w:rsid w:val="003D0825"/>
    <w:rsid w:val="003D2003"/>
    <w:rsid w:val="003D5DA2"/>
    <w:rsid w:val="003E5193"/>
    <w:rsid w:val="00401CDD"/>
    <w:rsid w:val="00402244"/>
    <w:rsid w:val="00415DEC"/>
    <w:rsid w:val="00420910"/>
    <w:rsid w:val="00424787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0B29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44E2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2EB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4241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317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A5CEC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1466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8F6582"/>
    <w:rsid w:val="0090018D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2677D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16A3"/>
    <w:rsid w:val="00963BDB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6EC8"/>
    <w:rsid w:val="00A344D5"/>
    <w:rsid w:val="00A40DD3"/>
    <w:rsid w:val="00A46574"/>
    <w:rsid w:val="00A471A3"/>
    <w:rsid w:val="00A47B1B"/>
    <w:rsid w:val="00A63339"/>
    <w:rsid w:val="00A70B1E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2F46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4A9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978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4097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211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41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46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466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466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InternetLink">
    <w:name w:val="Internet Link"/>
    <w:uiPriority w:val="99"/>
    <w:rsid w:val="002B2B65"/>
    <w:rPr>
      <w:color w:val="00000A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41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46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466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466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InternetLink">
    <w:name w:val="Internet Link"/>
    <w:uiPriority w:val="99"/>
    <w:rsid w:val="002B2B65"/>
    <w:rPr>
      <w:color w:val="00000A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hchr.org/EN/NewsEvents/Pages/UgandaNationalHumanRightsActionPlan.aspx" TargetMode="External"/><Relationship Id="rId1" Type="http://schemas.openxmlformats.org/officeDocument/2006/relationships/hyperlink" Target="http://www.ohchr.org/EN/Issues/Education/Training/Compilation/Pages/Listofcontents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193F-D6E3-462E-BE5C-F16B178625ED}"/>
</file>

<file path=customXml/itemProps2.xml><?xml version="1.0" encoding="utf-8"?>
<ds:datastoreItem xmlns:ds="http://schemas.openxmlformats.org/officeDocument/2006/customXml" ds:itemID="{1BFE772C-BD25-4FCC-80FC-8D48A6742AD5}"/>
</file>

<file path=customXml/itemProps3.xml><?xml version="1.0" encoding="utf-8"?>
<ds:datastoreItem xmlns:ds="http://schemas.openxmlformats.org/officeDocument/2006/customXml" ds:itemID="{B17681C2-758B-4E5D-BD88-7053A8BDC7FF}"/>
</file>

<file path=customXml/itemProps4.xml><?xml version="1.0" encoding="utf-8"?>
<ds:datastoreItem xmlns:ds="http://schemas.openxmlformats.org/officeDocument/2006/customXml" ds:itemID="{A7663511-7BE8-46DB-9C46-7FE3A9129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7379</Words>
  <Characters>42064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1512082(R)</vt:lpstr>
    </vt:vector>
  </TitlesOfParts>
  <Company>DCM</Company>
  <LinksUpToDate>false</LinksUpToDate>
  <CharactersWithSpaces>49345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on the prevention of human rights violations and its practical implementation in Russian</dc:title>
  <dc:subject>A/HRC/30/20</dc:subject>
  <dc:creator>Petelina Anna</dc:creator>
  <dc:description>Final</dc:description>
  <cp:lastModifiedBy>Petelina Anna</cp:lastModifiedBy>
  <cp:revision>4</cp:revision>
  <cp:lastPrinted>2015-08-13T12:48:00Z</cp:lastPrinted>
  <dcterms:created xsi:type="dcterms:W3CDTF">2015-08-13T12:48:00Z</dcterms:created>
  <dcterms:modified xsi:type="dcterms:W3CDTF">2015-08-13T12:52:00Z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1512082R</vt:lpwstr>
  </property>
  <property fmtid="{D5CDD505-2E9C-101B-9397-08002B2CF9AE}" pid="3" name="ODSRefJobNo">
    <vt:lpwstr>1515929R</vt:lpwstr>
  </property>
  <property fmtid="{D5CDD505-2E9C-101B-9397-08002B2CF9AE}" pid="4" name="Symbol1">
    <vt:lpwstr>A/HRC/30/20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AP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16 July 2015</vt:lpwstr>
  </property>
  <property fmtid="{D5CDD505-2E9C-101B-9397-08002B2CF9AE}" pid="12" name="Original">
    <vt:lpwstr>English</vt:lpwstr>
  </property>
  <property fmtid="{D5CDD505-2E9C-101B-9397-08002B2CF9AE}" pid="13" name="Release Date">
    <vt:lpwstr>120815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12500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