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32" w:rsidRPr="004419F1" w:rsidRDefault="00C67532" w:rsidP="00C67532">
      <w:pPr>
        <w:spacing w:line="240" w:lineRule="auto"/>
        <w:rPr>
          <w:sz w:val="6"/>
        </w:rPr>
        <w:sectPr w:rsidR="00C67532" w:rsidRPr="004419F1" w:rsidSect="002D47D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4419F1">
        <w:rPr>
          <w:rStyle w:val="CommentReference"/>
          <w:szCs w:val="20"/>
        </w:rPr>
        <w:commentReference w:id="0"/>
      </w:r>
    </w:p>
    <w:p w:rsidR="00C67532" w:rsidRPr="004419F1" w:rsidRDefault="00C67532" w:rsidP="00C67532">
      <w:pPr>
        <w:pStyle w:val="H1"/>
      </w:pPr>
      <w:r w:rsidRPr="004419F1">
        <w:lastRenderedPageBreak/>
        <w:t>Consejo de Derechos Humanos</w:t>
      </w:r>
    </w:p>
    <w:p w:rsidR="00C67532" w:rsidRPr="004419F1" w:rsidRDefault="0039161A" w:rsidP="00C67532">
      <w:pPr>
        <w:pStyle w:val="H23"/>
      </w:pPr>
      <w:r>
        <w:t>30º</w:t>
      </w:r>
      <w:r w:rsidR="00C67532" w:rsidRPr="004419F1">
        <w:t xml:space="preserve"> período de sesiones</w:t>
      </w:r>
    </w:p>
    <w:p w:rsidR="00C67532" w:rsidRDefault="0039161A" w:rsidP="00C67532">
      <w:r w:rsidRPr="0039161A">
        <w:t>Temas 2 y 3 de la agenda provisional</w:t>
      </w:r>
    </w:p>
    <w:p w:rsidR="004419F1" w:rsidRDefault="0039161A" w:rsidP="0039161A">
      <w:pPr>
        <w:spacing w:after="120"/>
      </w:pPr>
      <w:r w:rsidRPr="0039161A">
        <w:rPr>
          <w:b/>
          <w:bCs/>
          <w:lang w:val="es-ES_tradnl"/>
        </w:rPr>
        <w:t>Informe anual del Alto Comisionado de las Naciones Unidas</w:t>
      </w:r>
      <w:r>
        <w:rPr>
          <w:b/>
          <w:bCs/>
          <w:lang w:val="es-ES_tradnl"/>
        </w:rPr>
        <w:br/>
      </w:r>
      <w:r w:rsidRPr="0039161A">
        <w:rPr>
          <w:b/>
          <w:bCs/>
          <w:lang w:val="es-ES_tradnl"/>
        </w:rPr>
        <w:t>para los Derechos Humanos e informes de la Oficina del</w:t>
      </w:r>
      <w:r>
        <w:rPr>
          <w:b/>
          <w:bCs/>
          <w:lang w:val="es-ES_tradnl"/>
        </w:rPr>
        <w:br/>
      </w:r>
      <w:r w:rsidRPr="0039161A">
        <w:rPr>
          <w:b/>
          <w:bCs/>
          <w:lang w:val="es-ES_tradnl"/>
        </w:rPr>
        <w:t>Alto Comisionado y del Secretario General</w:t>
      </w:r>
    </w:p>
    <w:p w:rsidR="004419F1" w:rsidRDefault="0039161A" w:rsidP="00C67532">
      <w:r w:rsidRPr="0039161A">
        <w:rPr>
          <w:b/>
          <w:bCs/>
          <w:lang w:val="es-ES_tradnl"/>
        </w:rPr>
        <w:t>Promoción y protección de todos los derechos humanos,</w:t>
      </w:r>
      <w:r>
        <w:rPr>
          <w:b/>
          <w:bCs/>
          <w:lang w:val="es-ES_tradnl"/>
        </w:rPr>
        <w:br/>
      </w:r>
      <w:r w:rsidRPr="0039161A">
        <w:rPr>
          <w:b/>
          <w:bCs/>
          <w:lang w:val="es-ES_tradnl"/>
        </w:rPr>
        <w:t>civiles, políticos, económicos, sociales y culturales,</w:t>
      </w:r>
      <w:r>
        <w:rPr>
          <w:b/>
          <w:bCs/>
          <w:lang w:val="es-ES_tradnl"/>
        </w:rPr>
        <w:br/>
      </w:r>
      <w:r w:rsidRPr="0039161A">
        <w:rPr>
          <w:b/>
          <w:bCs/>
          <w:lang w:val="es-ES_tradnl"/>
        </w:rPr>
        <w:t>incluido el derecho al desarrollo</w:t>
      </w:r>
    </w:p>
    <w:p w:rsidR="004419F1" w:rsidRPr="0039161A" w:rsidRDefault="004419F1" w:rsidP="0039161A">
      <w:pPr>
        <w:spacing w:line="120" w:lineRule="exact"/>
        <w:rPr>
          <w:sz w:val="10"/>
        </w:rPr>
      </w:pPr>
    </w:p>
    <w:p w:rsidR="0039161A" w:rsidRPr="0039161A" w:rsidRDefault="0039161A" w:rsidP="0039161A">
      <w:pPr>
        <w:spacing w:line="120" w:lineRule="exact"/>
        <w:rPr>
          <w:sz w:val="10"/>
        </w:rPr>
      </w:pPr>
    </w:p>
    <w:p w:rsidR="0039161A" w:rsidRPr="0039161A" w:rsidRDefault="0039161A" w:rsidP="0039161A">
      <w:pPr>
        <w:spacing w:line="120" w:lineRule="exact"/>
        <w:rPr>
          <w:sz w:val="10"/>
        </w:rPr>
      </w:pPr>
    </w:p>
    <w:p w:rsidR="004419F1" w:rsidRDefault="004419F1" w:rsidP="003916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4419F1">
        <w:tab/>
      </w:r>
      <w:r w:rsidRPr="004419F1">
        <w:tab/>
        <w:t>El p</w:t>
      </w:r>
      <w:r w:rsidRPr="004419F1">
        <w:rPr>
          <w:lang w:val="es-ES_tradnl"/>
        </w:rPr>
        <w:t>apel de la prevenci</w:t>
      </w:r>
      <w:bookmarkStart w:id="1" w:name="_GoBack"/>
      <w:bookmarkEnd w:id="1"/>
      <w:r w:rsidRPr="004419F1">
        <w:rPr>
          <w:lang w:val="es-ES_tradnl"/>
        </w:rPr>
        <w:t>ón en la promoción y la protección</w:t>
      </w:r>
      <w:r w:rsidR="0039161A">
        <w:rPr>
          <w:lang w:val="es-ES_tradnl"/>
        </w:rPr>
        <w:t> </w:t>
      </w:r>
      <w:r w:rsidRPr="004419F1">
        <w:rPr>
          <w:lang w:val="es-ES_tradnl"/>
        </w:rPr>
        <w:t>de</w:t>
      </w:r>
      <w:r w:rsidR="0039161A">
        <w:rPr>
          <w:lang w:val="es-ES_tradnl"/>
        </w:rPr>
        <w:t> </w:t>
      </w:r>
      <w:r w:rsidRPr="004419F1">
        <w:rPr>
          <w:lang w:val="es-ES_tradnl"/>
        </w:rPr>
        <w:t>los derechos humanos</w:t>
      </w:r>
    </w:p>
    <w:p w:rsidR="0039161A" w:rsidRPr="0039161A" w:rsidRDefault="0039161A" w:rsidP="0039161A">
      <w:pPr>
        <w:pStyle w:val="SingleTxt"/>
        <w:spacing w:after="0" w:line="120" w:lineRule="exact"/>
        <w:rPr>
          <w:sz w:val="10"/>
          <w:lang w:val="es-ES_tradnl"/>
        </w:rPr>
      </w:pPr>
    </w:p>
    <w:p w:rsidR="0039161A" w:rsidRPr="0039161A" w:rsidRDefault="0039161A" w:rsidP="0039161A">
      <w:pPr>
        <w:pStyle w:val="SingleTxt"/>
        <w:spacing w:after="0" w:line="120" w:lineRule="exact"/>
        <w:rPr>
          <w:sz w:val="10"/>
          <w:lang w:val="es-ES_tradnl"/>
        </w:rPr>
      </w:pPr>
    </w:p>
    <w:p w:rsidR="004419F1" w:rsidRDefault="004419F1" w:rsidP="0039161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4419F1">
        <w:tab/>
      </w:r>
      <w:r w:rsidRPr="004419F1">
        <w:tab/>
      </w:r>
      <w:r w:rsidRPr="004419F1">
        <w:rPr>
          <w:lang w:val="es-ES_tradnl"/>
        </w:rPr>
        <w:t>Informe de la Oficina del Alto Comisionado de las Naciones</w:t>
      </w:r>
      <w:r w:rsidR="0039161A">
        <w:rPr>
          <w:lang w:val="es-ES_tradnl"/>
        </w:rPr>
        <w:t> </w:t>
      </w:r>
      <w:r w:rsidRPr="004419F1">
        <w:rPr>
          <w:lang w:val="es-ES_tradnl"/>
        </w:rPr>
        <w:t>Unidas</w:t>
      </w:r>
      <w:r w:rsidR="0039161A">
        <w:rPr>
          <w:lang w:val="es-ES_tradnl"/>
        </w:rPr>
        <w:t> </w:t>
      </w:r>
      <w:r w:rsidRPr="004419F1">
        <w:rPr>
          <w:lang w:val="es-ES_tradnl"/>
        </w:rPr>
        <w:t>para los Derechos Humanos</w:t>
      </w:r>
    </w:p>
    <w:p w:rsidR="0039161A" w:rsidRPr="0039161A" w:rsidRDefault="0039161A" w:rsidP="0039161A">
      <w:pPr>
        <w:pStyle w:val="SingleTxt"/>
        <w:spacing w:after="0" w:line="120" w:lineRule="exact"/>
        <w:rPr>
          <w:sz w:val="10"/>
          <w:lang w:val="es-ES_tradnl"/>
        </w:rPr>
      </w:pPr>
    </w:p>
    <w:p w:rsidR="0039161A" w:rsidRPr="0039161A" w:rsidRDefault="0039161A" w:rsidP="0039161A">
      <w:pPr>
        <w:pStyle w:val="SingleTxt"/>
        <w:spacing w:after="0" w:line="120" w:lineRule="exact"/>
        <w:rPr>
          <w:sz w:val="10"/>
          <w:lang w:val="es-ES_tradnl"/>
        </w:rPr>
      </w:pPr>
    </w:p>
    <w:p w:rsidR="0039161A" w:rsidRPr="0039161A" w:rsidRDefault="0039161A" w:rsidP="0039161A">
      <w:pPr>
        <w:pStyle w:val="SingleTxt"/>
        <w:spacing w:after="0" w:line="120" w:lineRule="exact"/>
        <w:rPr>
          <w:sz w:val="10"/>
          <w:lang w:val="es-ES_tradnl"/>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9161A" w:rsidTr="0039161A">
        <w:tc>
          <w:tcPr>
            <w:tcW w:w="10051" w:type="dxa"/>
            <w:tcBorders>
              <w:top w:val="single" w:sz="2" w:space="0" w:color="auto"/>
            </w:tcBorders>
            <w:shd w:val="clear" w:color="auto" w:fill="auto"/>
          </w:tcPr>
          <w:p w:rsidR="0039161A" w:rsidRPr="0039161A" w:rsidRDefault="0039161A" w:rsidP="0039161A">
            <w:pPr>
              <w:tabs>
                <w:tab w:val="left" w:pos="240"/>
              </w:tabs>
              <w:spacing w:before="240" w:after="120"/>
              <w:rPr>
                <w:i/>
                <w:sz w:val="24"/>
                <w:lang w:val="es-ES_tradnl"/>
              </w:rPr>
            </w:pPr>
            <w:r>
              <w:rPr>
                <w:i/>
                <w:sz w:val="24"/>
                <w:lang w:val="es-ES_tradnl"/>
              </w:rPr>
              <w:tab/>
              <w:t>Resumen</w:t>
            </w:r>
          </w:p>
        </w:tc>
      </w:tr>
      <w:tr w:rsidR="0039161A" w:rsidTr="0039161A">
        <w:tc>
          <w:tcPr>
            <w:tcW w:w="10051" w:type="dxa"/>
            <w:shd w:val="clear" w:color="auto" w:fill="auto"/>
          </w:tcPr>
          <w:p w:rsidR="0039161A" w:rsidRPr="0039161A" w:rsidRDefault="0039161A" w:rsidP="00CD2CC2">
            <w:pPr>
              <w:pStyle w:val="SingleTxt"/>
              <w:rPr>
                <w:lang w:val="es-ES_tradnl"/>
              </w:rPr>
            </w:pPr>
            <w:r>
              <w:rPr>
                <w:lang w:val="es-ES_tradnl"/>
              </w:rPr>
              <w:tab/>
            </w:r>
            <w:r w:rsidRPr="0039161A">
              <w:t xml:space="preserve">En su resolución 24/16, el Consejo de Derechos Humanos solicitó a la Oficina del Alto Comisionado de las Naciones Unidas para los Derechos Humanos (ACNUDH) que redactase </w:t>
            </w:r>
            <w:r w:rsidRPr="0039161A">
              <w:rPr>
                <w:lang w:val="es-ES_tradnl"/>
              </w:rPr>
              <w:t>un estudio sobre la prevención de las violaciones de los derechos humanos y su aplicación práctica, y lo presentase al Consejo en su 30º</w:t>
            </w:r>
            <w:r w:rsidR="00CD2CC2">
              <w:rPr>
                <w:lang w:val="es-ES_tradnl"/>
              </w:rPr>
              <w:t> </w:t>
            </w:r>
            <w:r w:rsidRPr="0039161A">
              <w:rPr>
                <w:lang w:val="es-ES_tradnl"/>
              </w:rPr>
              <w:t>período de sesiones</w:t>
            </w:r>
            <w:r w:rsidRPr="0039161A">
              <w:t xml:space="preserve">. Tal como se solicitaba en la resolución, el presente estudio tiene en cuenta las conclusiones de la mesa redonda </w:t>
            </w:r>
            <w:r w:rsidRPr="0039161A">
              <w:rPr>
                <w:lang w:val="es-ES_tradnl"/>
              </w:rPr>
              <w:t>sobre el papel de la prevención en la promoción y la protección de los derechos humanos, organizada en el 27º período de sesiones del Consejo</w:t>
            </w:r>
            <w:r w:rsidRPr="0039161A">
              <w:t>.</w:t>
            </w:r>
          </w:p>
        </w:tc>
      </w:tr>
      <w:tr w:rsidR="0039161A" w:rsidTr="0039161A">
        <w:tc>
          <w:tcPr>
            <w:tcW w:w="10051" w:type="dxa"/>
            <w:tcBorders>
              <w:bottom w:val="single" w:sz="2" w:space="0" w:color="auto"/>
            </w:tcBorders>
            <w:shd w:val="clear" w:color="auto" w:fill="auto"/>
          </w:tcPr>
          <w:p w:rsidR="0039161A" w:rsidRPr="0039161A" w:rsidRDefault="0039161A" w:rsidP="0039161A">
            <w:pPr>
              <w:pStyle w:val="SingleTxt"/>
              <w:spacing w:after="240"/>
              <w:rPr>
                <w:lang w:val="es-ES_tradnl"/>
              </w:rPr>
            </w:pPr>
            <w:r>
              <w:tab/>
            </w:r>
            <w:r w:rsidRPr="0039161A">
              <w:t>El presente estudio se propone ampliar el contenido del concepto de prevención de las violaciones de los derechos humanos, señalar medios prácticos para prevenir las violaciones y resaltar el papel de los interesados internacionales y regionales.</w:t>
            </w:r>
          </w:p>
        </w:tc>
      </w:tr>
    </w:tbl>
    <w:p w:rsidR="0039161A" w:rsidRPr="0039161A" w:rsidRDefault="0039161A" w:rsidP="0039161A">
      <w:pPr>
        <w:pStyle w:val="SingleTxt"/>
        <w:rPr>
          <w:lang w:val="es-ES_tradnl"/>
        </w:rPr>
      </w:pPr>
    </w:p>
    <w:p w:rsidR="004419F1" w:rsidRPr="004419F1" w:rsidRDefault="004419F1" w:rsidP="004419F1">
      <w:pPr>
        <w:pStyle w:val="SingleTxt"/>
      </w:pPr>
      <w:r w:rsidRPr="004419F1">
        <w:br w:type="page"/>
      </w:r>
    </w:p>
    <w:p w:rsidR="000A122D" w:rsidRPr="000A122D" w:rsidRDefault="000A122D" w:rsidP="000A122D">
      <w:pPr>
        <w:pStyle w:val="HCh"/>
        <w:spacing w:after="120"/>
        <w:rPr>
          <w:b w:val="0"/>
        </w:rPr>
      </w:pPr>
      <w:bookmarkStart w:id="2" w:name="_Toc423075110"/>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0A122D" w:rsidRPr="000A122D" w:rsidTr="000A122D">
        <w:tblPrEx>
          <w:tblCellMar>
            <w:top w:w="0" w:type="dxa"/>
            <w:bottom w:w="0" w:type="dxa"/>
          </w:tblCellMar>
        </w:tblPrEx>
        <w:tc>
          <w:tcPr>
            <w:tcW w:w="1060" w:type="dxa"/>
            <w:shd w:val="clear" w:color="auto" w:fill="auto"/>
          </w:tcPr>
          <w:p w:rsidR="000A122D" w:rsidRPr="000A122D" w:rsidRDefault="000A122D" w:rsidP="000A122D">
            <w:pPr>
              <w:spacing w:after="120" w:line="240" w:lineRule="auto"/>
              <w:jc w:val="right"/>
              <w:rPr>
                <w:i/>
                <w:sz w:val="14"/>
              </w:rPr>
            </w:pPr>
          </w:p>
        </w:tc>
        <w:tc>
          <w:tcPr>
            <w:tcW w:w="7056" w:type="dxa"/>
            <w:shd w:val="clear" w:color="auto" w:fill="auto"/>
          </w:tcPr>
          <w:p w:rsidR="000A122D" w:rsidRPr="000A122D" w:rsidRDefault="000A122D" w:rsidP="000A122D">
            <w:pPr>
              <w:spacing w:after="120" w:line="240" w:lineRule="auto"/>
              <w:rPr>
                <w:i/>
                <w:sz w:val="14"/>
              </w:rPr>
            </w:pPr>
          </w:p>
        </w:tc>
        <w:tc>
          <w:tcPr>
            <w:tcW w:w="994" w:type="dxa"/>
            <w:shd w:val="clear" w:color="auto" w:fill="auto"/>
          </w:tcPr>
          <w:p w:rsidR="000A122D" w:rsidRPr="000A122D" w:rsidRDefault="000A122D" w:rsidP="000A122D">
            <w:pPr>
              <w:spacing w:after="120" w:line="240" w:lineRule="auto"/>
              <w:jc w:val="right"/>
              <w:rPr>
                <w:i/>
                <w:sz w:val="14"/>
              </w:rPr>
            </w:pPr>
          </w:p>
        </w:tc>
        <w:tc>
          <w:tcPr>
            <w:tcW w:w="792" w:type="dxa"/>
            <w:shd w:val="clear" w:color="auto" w:fill="auto"/>
          </w:tcPr>
          <w:p w:rsidR="000A122D" w:rsidRPr="000A122D" w:rsidRDefault="000A122D" w:rsidP="000A122D">
            <w:pPr>
              <w:spacing w:after="120" w:line="240" w:lineRule="auto"/>
              <w:jc w:val="right"/>
              <w:rPr>
                <w:i/>
                <w:sz w:val="14"/>
              </w:rPr>
            </w:pPr>
            <w:r>
              <w:rPr>
                <w:i/>
                <w:sz w:val="14"/>
              </w:rPr>
              <w:t>Página</w:t>
            </w:r>
          </w:p>
        </w:tc>
      </w:tr>
      <w:tr w:rsidR="000A122D" w:rsidRPr="000A122D" w:rsidTr="000A122D">
        <w:tblPrEx>
          <w:tblCellMar>
            <w:top w:w="0" w:type="dxa"/>
            <w:bottom w:w="0" w:type="dxa"/>
          </w:tblCellMar>
        </w:tblPrEx>
        <w:tc>
          <w:tcPr>
            <w:tcW w:w="9110" w:type="dxa"/>
            <w:gridSpan w:val="3"/>
            <w:shd w:val="clear" w:color="auto" w:fill="auto"/>
          </w:tcPr>
          <w:p w:rsidR="000A122D" w:rsidRPr="000A122D" w:rsidRDefault="000A122D" w:rsidP="000A122D">
            <w:pPr>
              <w:pStyle w:val="ListParagraph"/>
              <w:numPr>
                <w:ilvl w:val="0"/>
                <w:numId w:val="11"/>
              </w:numPr>
              <w:tabs>
                <w:tab w:val="clear" w:pos="1296"/>
                <w:tab w:val="right" w:pos="1080"/>
                <w:tab w:val="left" w:pos="1300"/>
                <w:tab w:val="left" w:pos="1740"/>
                <w:tab w:val="left" w:pos="2180"/>
                <w:tab w:val="right" w:leader="dot" w:pos="9245"/>
              </w:tabs>
              <w:spacing w:after="120"/>
            </w:pPr>
            <w:r>
              <w:tab/>
            </w:r>
            <w:r w:rsidRPr="000A122D">
              <w:t>Introducción</w:t>
            </w:r>
            <w:r>
              <w:rPr>
                <w:spacing w:val="60"/>
                <w:sz w:val="17"/>
              </w:rPr>
              <w:tab/>
            </w:r>
          </w:p>
        </w:tc>
        <w:tc>
          <w:tcPr>
            <w:tcW w:w="792" w:type="dxa"/>
            <w:shd w:val="clear" w:color="auto" w:fill="auto"/>
            <w:vAlign w:val="bottom"/>
          </w:tcPr>
          <w:p w:rsidR="000A122D" w:rsidRPr="000A122D" w:rsidRDefault="000A122D" w:rsidP="000A122D">
            <w:pPr>
              <w:spacing w:after="120"/>
              <w:jc w:val="right"/>
            </w:pPr>
            <w:r>
              <w:t>3</w:t>
            </w:r>
          </w:p>
        </w:tc>
      </w:tr>
      <w:tr w:rsidR="000A122D" w:rsidRPr="000A122D" w:rsidTr="000A122D">
        <w:tblPrEx>
          <w:tblCellMar>
            <w:top w:w="0" w:type="dxa"/>
            <w:bottom w:w="0" w:type="dxa"/>
          </w:tblCellMar>
        </w:tblPrEx>
        <w:tc>
          <w:tcPr>
            <w:tcW w:w="9110" w:type="dxa"/>
            <w:gridSpan w:val="3"/>
            <w:shd w:val="clear" w:color="auto" w:fill="auto"/>
          </w:tcPr>
          <w:p w:rsidR="000A122D" w:rsidRDefault="000A122D" w:rsidP="000A122D">
            <w:pPr>
              <w:pStyle w:val="ListParagraph"/>
              <w:numPr>
                <w:ilvl w:val="0"/>
                <w:numId w:val="11"/>
              </w:numPr>
              <w:tabs>
                <w:tab w:val="clear" w:pos="1296"/>
                <w:tab w:val="right" w:pos="1080"/>
                <w:tab w:val="left" w:pos="1300"/>
                <w:tab w:val="left" w:pos="1740"/>
                <w:tab w:val="left" w:pos="2180"/>
                <w:tab w:val="left" w:pos="2620"/>
                <w:tab w:val="left" w:pos="3060"/>
                <w:tab w:val="right" w:leader="dot" w:pos="9245"/>
              </w:tabs>
              <w:spacing w:after="120"/>
            </w:pPr>
            <w:r>
              <w:tab/>
            </w:r>
            <w:r w:rsidRPr="000A122D">
              <w:t>Concepto de prevención</w:t>
            </w:r>
            <w:r>
              <w:rPr>
                <w:spacing w:val="60"/>
                <w:sz w:val="17"/>
              </w:rPr>
              <w:tab/>
            </w:r>
          </w:p>
        </w:tc>
        <w:tc>
          <w:tcPr>
            <w:tcW w:w="792" w:type="dxa"/>
            <w:shd w:val="clear" w:color="auto" w:fill="auto"/>
            <w:vAlign w:val="bottom"/>
          </w:tcPr>
          <w:p w:rsidR="000A122D" w:rsidRPr="000A122D" w:rsidRDefault="000A122D" w:rsidP="000A122D">
            <w:pPr>
              <w:spacing w:after="120"/>
              <w:jc w:val="right"/>
            </w:pPr>
            <w:r>
              <w:t>3</w:t>
            </w:r>
          </w:p>
        </w:tc>
      </w:tr>
      <w:tr w:rsidR="000A122D" w:rsidRPr="000A122D" w:rsidTr="000A122D">
        <w:tblPrEx>
          <w:tblCellMar>
            <w:top w:w="0" w:type="dxa"/>
            <w:bottom w:w="0" w:type="dxa"/>
          </w:tblCellMar>
        </w:tblPrEx>
        <w:tc>
          <w:tcPr>
            <w:tcW w:w="9110" w:type="dxa"/>
            <w:gridSpan w:val="3"/>
            <w:shd w:val="clear" w:color="auto" w:fill="auto"/>
          </w:tcPr>
          <w:p w:rsidR="000A122D" w:rsidRDefault="000A122D" w:rsidP="000A122D">
            <w:pPr>
              <w:pStyle w:val="ListParagraph"/>
              <w:numPr>
                <w:ilvl w:val="0"/>
                <w:numId w:val="11"/>
              </w:numPr>
              <w:tabs>
                <w:tab w:val="clear" w:pos="1296"/>
                <w:tab w:val="right" w:pos="1080"/>
                <w:tab w:val="left" w:pos="1300"/>
                <w:tab w:val="left" w:pos="1740"/>
                <w:tab w:val="left" w:pos="2180"/>
                <w:tab w:val="left" w:pos="2620"/>
                <w:tab w:val="left" w:pos="3060"/>
                <w:tab w:val="left" w:pos="3500"/>
                <w:tab w:val="right" w:leader="dot" w:pos="9245"/>
              </w:tabs>
              <w:spacing w:after="120"/>
            </w:pPr>
            <w:r>
              <w:tab/>
            </w:r>
            <w:r w:rsidRPr="000A122D">
              <w:t>La prevención en la práctica</w:t>
            </w:r>
            <w:r>
              <w:rPr>
                <w:spacing w:val="60"/>
                <w:sz w:val="17"/>
              </w:rPr>
              <w:tab/>
            </w:r>
          </w:p>
        </w:tc>
        <w:tc>
          <w:tcPr>
            <w:tcW w:w="792" w:type="dxa"/>
            <w:shd w:val="clear" w:color="auto" w:fill="auto"/>
            <w:vAlign w:val="bottom"/>
          </w:tcPr>
          <w:p w:rsidR="000A122D" w:rsidRPr="000A122D" w:rsidRDefault="000A122D" w:rsidP="000A122D">
            <w:pPr>
              <w:spacing w:after="120"/>
              <w:jc w:val="right"/>
            </w:pPr>
            <w:r>
              <w:t>6</w:t>
            </w:r>
          </w:p>
        </w:tc>
      </w:tr>
      <w:tr w:rsidR="000A122D" w:rsidRPr="000A122D" w:rsidTr="000A122D">
        <w:tblPrEx>
          <w:tblCellMar>
            <w:top w:w="0" w:type="dxa"/>
            <w:bottom w:w="0" w:type="dxa"/>
          </w:tblCellMar>
        </w:tblPrEx>
        <w:tc>
          <w:tcPr>
            <w:tcW w:w="9110" w:type="dxa"/>
            <w:gridSpan w:val="3"/>
            <w:shd w:val="clear" w:color="auto" w:fill="auto"/>
          </w:tcPr>
          <w:p w:rsidR="000A122D" w:rsidRDefault="000A122D" w:rsidP="000A122D">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0A122D">
              <w:t>Marco legislativo e institucional para la prevención</w:t>
            </w:r>
            <w:r>
              <w:rPr>
                <w:spacing w:val="60"/>
                <w:sz w:val="17"/>
              </w:rPr>
              <w:tab/>
            </w:r>
          </w:p>
        </w:tc>
        <w:tc>
          <w:tcPr>
            <w:tcW w:w="792" w:type="dxa"/>
            <w:shd w:val="clear" w:color="auto" w:fill="auto"/>
            <w:vAlign w:val="bottom"/>
          </w:tcPr>
          <w:p w:rsidR="000A122D" w:rsidRDefault="000A122D" w:rsidP="000A122D">
            <w:pPr>
              <w:spacing w:after="120"/>
              <w:jc w:val="right"/>
            </w:pPr>
            <w:r>
              <w:t>6</w:t>
            </w:r>
          </w:p>
        </w:tc>
      </w:tr>
      <w:tr w:rsidR="000A122D" w:rsidRPr="000A122D" w:rsidTr="000A122D">
        <w:tblPrEx>
          <w:tblCellMar>
            <w:top w:w="0" w:type="dxa"/>
            <w:bottom w:w="0" w:type="dxa"/>
          </w:tblCellMar>
        </w:tblPrEx>
        <w:tc>
          <w:tcPr>
            <w:tcW w:w="9110" w:type="dxa"/>
            <w:gridSpan w:val="3"/>
            <w:shd w:val="clear" w:color="auto" w:fill="auto"/>
          </w:tcPr>
          <w:p w:rsidR="000A122D" w:rsidRPr="000A122D" w:rsidRDefault="000A122D" w:rsidP="000A122D">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0A122D">
              <w:t>Papel de la educación en derechos humanos</w:t>
            </w:r>
            <w:r>
              <w:rPr>
                <w:spacing w:val="60"/>
                <w:sz w:val="17"/>
              </w:rPr>
              <w:tab/>
            </w:r>
          </w:p>
        </w:tc>
        <w:tc>
          <w:tcPr>
            <w:tcW w:w="792" w:type="dxa"/>
            <w:shd w:val="clear" w:color="auto" w:fill="auto"/>
            <w:vAlign w:val="bottom"/>
          </w:tcPr>
          <w:p w:rsidR="000A122D" w:rsidRDefault="000A122D" w:rsidP="000A122D">
            <w:pPr>
              <w:spacing w:after="120"/>
              <w:jc w:val="right"/>
            </w:pPr>
            <w:r>
              <w:t>10</w:t>
            </w:r>
          </w:p>
        </w:tc>
      </w:tr>
      <w:tr w:rsidR="000A122D" w:rsidRPr="000A122D" w:rsidTr="000A122D">
        <w:tblPrEx>
          <w:tblCellMar>
            <w:top w:w="0" w:type="dxa"/>
            <w:bottom w:w="0" w:type="dxa"/>
          </w:tblCellMar>
        </w:tblPrEx>
        <w:tc>
          <w:tcPr>
            <w:tcW w:w="9110" w:type="dxa"/>
            <w:gridSpan w:val="3"/>
            <w:shd w:val="clear" w:color="auto" w:fill="auto"/>
          </w:tcPr>
          <w:p w:rsidR="000A122D" w:rsidRPr="000A122D" w:rsidRDefault="000A122D" w:rsidP="000A122D">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0A122D">
              <w:t>Mecanismos de planificación y supervisión</w:t>
            </w:r>
            <w:r>
              <w:rPr>
                <w:spacing w:val="60"/>
                <w:sz w:val="17"/>
              </w:rPr>
              <w:tab/>
            </w:r>
          </w:p>
        </w:tc>
        <w:tc>
          <w:tcPr>
            <w:tcW w:w="792" w:type="dxa"/>
            <w:shd w:val="clear" w:color="auto" w:fill="auto"/>
            <w:vAlign w:val="bottom"/>
          </w:tcPr>
          <w:p w:rsidR="000A122D" w:rsidRDefault="000A122D" w:rsidP="000A122D">
            <w:pPr>
              <w:spacing w:after="120"/>
              <w:jc w:val="right"/>
            </w:pPr>
            <w:r>
              <w:t>12</w:t>
            </w:r>
          </w:p>
        </w:tc>
      </w:tr>
      <w:tr w:rsidR="000A122D" w:rsidRPr="000A122D" w:rsidTr="000A122D">
        <w:tblPrEx>
          <w:tblCellMar>
            <w:top w:w="0" w:type="dxa"/>
            <w:bottom w:w="0" w:type="dxa"/>
          </w:tblCellMar>
        </w:tblPrEx>
        <w:tc>
          <w:tcPr>
            <w:tcW w:w="9110" w:type="dxa"/>
            <w:gridSpan w:val="3"/>
            <w:shd w:val="clear" w:color="auto" w:fill="auto"/>
          </w:tcPr>
          <w:p w:rsidR="000A122D" w:rsidRPr="000A122D" w:rsidRDefault="000A122D" w:rsidP="000A122D">
            <w:pPr>
              <w:pStyle w:val="ListParagraph"/>
              <w:numPr>
                <w:ilvl w:val="0"/>
                <w:numId w:val="11"/>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pPr>
            <w:r>
              <w:tab/>
            </w:r>
            <w:r w:rsidRPr="000A122D">
              <w:t>Papel de los interesados internacionales y regionales en relación con la prevención</w:t>
            </w:r>
            <w:r>
              <w:rPr>
                <w:spacing w:val="60"/>
                <w:sz w:val="17"/>
              </w:rPr>
              <w:tab/>
            </w:r>
          </w:p>
        </w:tc>
        <w:tc>
          <w:tcPr>
            <w:tcW w:w="792" w:type="dxa"/>
            <w:shd w:val="clear" w:color="auto" w:fill="auto"/>
            <w:vAlign w:val="bottom"/>
          </w:tcPr>
          <w:p w:rsidR="000A122D" w:rsidRDefault="000A122D" w:rsidP="000A122D">
            <w:pPr>
              <w:spacing w:after="120"/>
              <w:jc w:val="right"/>
            </w:pPr>
            <w:r>
              <w:t>16</w:t>
            </w:r>
          </w:p>
        </w:tc>
      </w:tr>
      <w:tr w:rsidR="000A122D" w:rsidRPr="000A122D" w:rsidTr="000A122D">
        <w:tblPrEx>
          <w:tblCellMar>
            <w:top w:w="0" w:type="dxa"/>
            <w:bottom w:w="0" w:type="dxa"/>
          </w:tblCellMar>
        </w:tblPrEx>
        <w:tc>
          <w:tcPr>
            <w:tcW w:w="9110" w:type="dxa"/>
            <w:gridSpan w:val="3"/>
            <w:shd w:val="clear" w:color="auto" w:fill="auto"/>
          </w:tcPr>
          <w:p w:rsidR="000A122D" w:rsidRDefault="000A122D" w:rsidP="000A122D">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rsidRPr="000A122D">
              <w:t>Mecanismos internacionales y regionales de derechos humanos</w:t>
            </w:r>
            <w:r>
              <w:rPr>
                <w:spacing w:val="60"/>
                <w:sz w:val="17"/>
              </w:rPr>
              <w:tab/>
            </w:r>
          </w:p>
        </w:tc>
        <w:tc>
          <w:tcPr>
            <w:tcW w:w="792" w:type="dxa"/>
            <w:shd w:val="clear" w:color="auto" w:fill="auto"/>
            <w:vAlign w:val="bottom"/>
          </w:tcPr>
          <w:p w:rsidR="000A122D" w:rsidRDefault="000A122D" w:rsidP="000A122D">
            <w:pPr>
              <w:spacing w:after="120"/>
              <w:jc w:val="right"/>
            </w:pPr>
            <w:r>
              <w:t>16</w:t>
            </w:r>
          </w:p>
        </w:tc>
      </w:tr>
      <w:tr w:rsidR="000A122D" w:rsidRPr="000A122D" w:rsidTr="000A122D">
        <w:tblPrEx>
          <w:tblCellMar>
            <w:top w:w="0" w:type="dxa"/>
            <w:bottom w:w="0" w:type="dxa"/>
          </w:tblCellMar>
        </w:tblPrEx>
        <w:tc>
          <w:tcPr>
            <w:tcW w:w="9110" w:type="dxa"/>
            <w:gridSpan w:val="3"/>
            <w:shd w:val="clear" w:color="auto" w:fill="auto"/>
          </w:tcPr>
          <w:p w:rsidR="000A122D" w:rsidRPr="000A122D" w:rsidRDefault="000A122D" w:rsidP="000A122D">
            <w:pPr>
              <w:pStyle w:val="ListParagraph"/>
              <w:numPr>
                <w:ilvl w:val="1"/>
                <w:numId w:val="1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pPr>
            <w:r w:rsidRPr="000A122D">
              <w:t>Contribución de las organizaciones internacionales y regionales a la prevención</w:t>
            </w:r>
            <w:r>
              <w:rPr>
                <w:spacing w:val="60"/>
                <w:sz w:val="17"/>
              </w:rPr>
              <w:tab/>
            </w:r>
          </w:p>
        </w:tc>
        <w:tc>
          <w:tcPr>
            <w:tcW w:w="792" w:type="dxa"/>
            <w:shd w:val="clear" w:color="auto" w:fill="auto"/>
            <w:vAlign w:val="bottom"/>
          </w:tcPr>
          <w:p w:rsidR="000A122D" w:rsidRDefault="000A122D" w:rsidP="000A122D">
            <w:pPr>
              <w:spacing w:after="120"/>
              <w:jc w:val="right"/>
            </w:pPr>
            <w:r>
              <w:t>17</w:t>
            </w:r>
          </w:p>
        </w:tc>
      </w:tr>
      <w:tr w:rsidR="000A122D" w:rsidRPr="000A122D" w:rsidTr="000A122D">
        <w:tblPrEx>
          <w:tblCellMar>
            <w:top w:w="0" w:type="dxa"/>
            <w:bottom w:w="0" w:type="dxa"/>
          </w:tblCellMar>
        </w:tblPrEx>
        <w:tc>
          <w:tcPr>
            <w:tcW w:w="9110" w:type="dxa"/>
            <w:gridSpan w:val="3"/>
            <w:shd w:val="clear" w:color="auto" w:fill="auto"/>
          </w:tcPr>
          <w:p w:rsidR="000A122D" w:rsidRPr="000A122D" w:rsidRDefault="000A122D" w:rsidP="000A122D">
            <w:pPr>
              <w:pStyle w:val="ListParagraph"/>
              <w:numPr>
                <w:ilvl w:val="0"/>
                <w:numId w:val="11"/>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0A122D">
              <w:t>Conclusiones y recomendaciones</w:t>
            </w:r>
            <w:r>
              <w:rPr>
                <w:spacing w:val="60"/>
                <w:sz w:val="17"/>
              </w:rPr>
              <w:tab/>
            </w:r>
          </w:p>
        </w:tc>
        <w:tc>
          <w:tcPr>
            <w:tcW w:w="792" w:type="dxa"/>
            <w:shd w:val="clear" w:color="auto" w:fill="auto"/>
            <w:vAlign w:val="bottom"/>
          </w:tcPr>
          <w:p w:rsidR="000A122D" w:rsidRDefault="000A122D" w:rsidP="000A122D">
            <w:pPr>
              <w:spacing w:after="120"/>
              <w:jc w:val="right"/>
            </w:pPr>
            <w:r>
              <w:t>19</w:t>
            </w:r>
          </w:p>
        </w:tc>
      </w:tr>
    </w:tbl>
    <w:p w:rsidR="000A122D" w:rsidRPr="000A122D" w:rsidRDefault="000A122D" w:rsidP="000A122D"/>
    <w:p w:rsidR="000A122D" w:rsidRDefault="000A122D" w:rsidP="0080347E"/>
    <w:p w:rsidR="004419F1" w:rsidRPr="004419F1" w:rsidRDefault="004419F1" w:rsidP="004419F1">
      <w:pPr>
        <w:pStyle w:val="SingleTxt"/>
        <w:rPr>
          <w:lang w:val="es-ES_tradnl"/>
        </w:rPr>
      </w:pPr>
      <w:r w:rsidRPr="004419F1">
        <w:br w:type="page"/>
      </w:r>
    </w:p>
    <w:p w:rsidR="004419F1" w:rsidRDefault="004419F1" w:rsidP="00DC21A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419F1">
        <w:lastRenderedPageBreak/>
        <w:tab/>
        <w:t>I.</w:t>
      </w:r>
      <w:r w:rsidRPr="004419F1">
        <w:tab/>
      </w:r>
      <w:bookmarkEnd w:id="2"/>
      <w:r w:rsidRPr="004419F1">
        <w:t>Introducción</w:t>
      </w:r>
    </w:p>
    <w:p w:rsidR="00DC21A5" w:rsidRPr="00DC21A5" w:rsidRDefault="00DC21A5" w:rsidP="00DC21A5">
      <w:pPr>
        <w:pStyle w:val="SingleTxt"/>
        <w:spacing w:after="0" w:line="120" w:lineRule="exact"/>
        <w:rPr>
          <w:sz w:val="10"/>
        </w:rPr>
      </w:pPr>
    </w:p>
    <w:p w:rsidR="00DC21A5" w:rsidRPr="00DC21A5" w:rsidRDefault="00DC21A5" w:rsidP="00DC21A5">
      <w:pPr>
        <w:pStyle w:val="SingleTxt"/>
        <w:spacing w:after="0" w:line="120" w:lineRule="exact"/>
        <w:rPr>
          <w:sz w:val="10"/>
        </w:rPr>
      </w:pPr>
    </w:p>
    <w:p w:rsidR="004419F1" w:rsidRPr="004419F1" w:rsidRDefault="004419F1" w:rsidP="00DC21A5">
      <w:pPr>
        <w:pStyle w:val="SingleTxt"/>
        <w:numPr>
          <w:ilvl w:val="0"/>
          <w:numId w:val="7"/>
        </w:numPr>
        <w:suppressAutoHyphens w:val="0"/>
        <w:ind w:left="1267" w:firstLine="0"/>
        <w:rPr>
          <w:lang w:val="x-none"/>
        </w:rPr>
      </w:pPr>
      <w:r w:rsidRPr="004419F1">
        <w:t>E</w:t>
      </w:r>
      <w:r w:rsidRPr="004419F1">
        <w:rPr>
          <w:lang w:val="x-none"/>
        </w:rPr>
        <w:t xml:space="preserve">n su resolución 24/16, </w:t>
      </w:r>
      <w:r w:rsidRPr="004419F1">
        <w:t xml:space="preserve">el Consejo de Derechos Humanos solicitó a la Oficina del Alto Comisionado de las Naciones Unidas para los Derechos Humanos (ACNUDH) que redactase </w:t>
      </w:r>
      <w:r w:rsidRPr="004419F1">
        <w:rPr>
          <w:lang w:val="es-ES_tradnl"/>
        </w:rPr>
        <w:t>un estudio sobre la prevención de las violaciones de los derechos humanos y su aplicación práctica, y lo presentase al Consejo en su 30º</w:t>
      </w:r>
      <w:r w:rsidR="00D61533">
        <w:rPr>
          <w:lang w:val="es-ES_tradnl"/>
        </w:rPr>
        <w:t> </w:t>
      </w:r>
      <w:r w:rsidRPr="004419F1">
        <w:rPr>
          <w:lang w:val="es-ES_tradnl"/>
        </w:rPr>
        <w:t>período de sesiones</w:t>
      </w:r>
      <w:r w:rsidRPr="004419F1">
        <w:t xml:space="preserve">. Tal como se solicitaba en la resolución, el presente estudio tiene en cuenta las conclusiones de la mesa redonda </w:t>
      </w:r>
      <w:r w:rsidRPr="004419F1">
        <w:rPr>
          <w:lang w:val="es-ES_tradnl"/>
        </w:rPr>
        <w:t>sobre el papel de la prevención en la promoción y la protección de los derechos humanos, organizada en el 27º período de sesiones del Consejo</w:t>
      </w:r>
      <w:r w:rsidRPr="004419F1">
        <w:rPr>
          <w:lang w:val="x-none"/>
        </w:rPr>
        <w:t xml:space="preserve"> (A/HRC/28/30). </w:t>
      </w:r>
    </w:p>
    <w:p w:rsidR="004419F1" w:rsidRPr="00510396" w:rsidRDefault="004419F1" w:rsidP="00DC21A5">
      <w:pPr>
        <w:pStyle w:val="SingleTxt"/>
        <w:numPr>
          <w:ilvl w:val="0"/>
          <w:numId w:val="7"/>
        </w:numPr>
        <w:suppressAutoHyphens w:val="0"/>
        <w:ind w:left="1267" w:firstLine="0"/>
      </w:pPr>
      <w:r w:rsidRPr="00510396">
        <w:t>Para preparar el presente estudio, el ACNUDH solicitó aportaciones a través de un cuestionario dirigido a los Estados, las instituciones nacionales de derechos humanos (INDH), los representantes de la sociedad civil, los órganos intergubernamentales pertinentes y las organizaciones internacionales. El cuestionario abarcaba preguntas relativas, por ejemplo, a las medidas legislativas, judiciales y administrativas y a las políticas, prácticas y estrategias orientadas a la acción que se aplicaban a nivel nacional para prevenir las violaciones y los abusos de los derechos humanos; y las disposiciones encaminadas a lograr recursos eficaces para las víctimas. En el cuestionario se solicitaba información sobre las políticas y los procesos de reunión, mantenimiento y análisis de datos estadísticos sobre los derechos humanos; las medidas adoptadas para promover una cultura basada en los derechos humanos; el papel de la sociedad civil; las medidas y los procedimientos de seguimiento de las recomendaciones de los órganos internacionales y regionales de derechos humanos; y la contribución de tales órganos a la prevención de las violaciones de los derechos humanos. Facilitaron información Albania, la Argentina, Australia, Chipre, Cuba, los Emiratos Árabes Unidos, Eslovaquia, Georgia, Honduras, Hungría, Irlanda, Italia, Kazajstán, Madagascar, México, el Paraguay, Qatar, la República de Moldova, el Togo, Trinidad y Tabago y Ucrania; también lo hicieron la Oficina del Defensor del Pueblo de Austria, la Inspección Penitenciaria de Su Majestad, el Centro de Derechos Humanos de Finlandia, la Comisión de Derechos Humanos de Malasia, la Comisión Nacional de los Derechos Humanos de México, la Comisión Nacional de Derechos Humanos de Rwanda, la Human Rights House de Albania, el Movimiento Internacional de Reconciliación, el</w:t>
      </w:r>
      <w:r w:rsidR="00CD2CC2" w:rsidRPr="00510396">
        <w:t xml:space="preserve"> </w:t>
      </w:r>
      <w:r w:rsidRPr="00510396">
        <w:t>Centro Nacional de Derechos Humanos de Jordania, la Agence de Diffusion de Droit International Humanitaire en Afrique Centrale, la Comisión Nacional de Derechos Humanos de Corea, el Defensor del Pueblo de Letonia, la Asociación Promo-LEX, Scholars at Risk y el Centro Nacional de Derechos Humanos de Eslovaquia</w:t>
      </w:r>
      <w:r w:rsidRPr="00510396">
        <w:rPr>
          <w:color w:val="943634" w:themeColor="accent2" w:themeShade="BF"/>
          <w:vertAlign w:val="superscript"/>
        </w:rPr>
        <w:footnoteReference w:id="1"/>
      </w:r>
      <w:r w:rsidRPr="00510396">
        <w:t>.</w:t>
      </w:r>
    </w:p>
    <w:p w:rsidR="004419F1" w:rsidRPr="00510396" w:rsidRDefault="004419F1" w:rsidP="00DC21A5">
      <w:pPr>
        <w:pStyle w:val="SingleTxt"/>
        <w:numPr>
          <w:ilvl w:val="0"/>
          <w:numId w:val="7"/>
        </w:numPr>
        <w:suppressAutoHyphens w:val="0"/>
        <w:ind w:left="1267" w:firstLine="0"/>
      </w:pPr>
      <w:r w:rsidRPr="00510396">
        <w:t xml:space="preserve">El presente informe se propone ampliar el contenido del concepto de prevención de las violaciones de los derechos humanos (parte II); señalar medios prácticos para prevenir las violaciones (parte III); y </w:t>
      </w:r>
      <w:r w:rsidR="00510396" w:rsidRPr="00510396">
        <w:t>resaltar</w:t>
      </w:r>
      <w:r w:rsidRPr="00510396">
        <w:t xml:space="preserve"> el papel de los interesados internacionales y regionales (parte IV).</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3" w:name="_Toc423075111"/>
      <w:r w:rsidRPr="00510396">
        <w:tab/>
        <w:t>II.</w:t>
      </w:r>
      <w:r w:rsidRPr="00510396">
        <w:tab/>
      </w:r>
      <w:bookmarkEnd w:id="3"/>
      <w:r w:rsidRPr="00510396">
        <w:t>Concepto de prevención</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Al pasar a ser partes en tratados internacionales, los Estados asumen en virtud del derecho internacional obligaciones y deberes a los efectos de respetar, proteger y hacer efectivos los derechos humanos de todas las personas en su territorio o jurisdicción sin ningún tipo de discriminación</w:t>
      </w:r>
      <w:r w:rsidRPr="00510396">
        <w:rPr>
          <w:color w:val="943634" w:themeColor="accent2" w:themeShade="BF"/>
          <w:vertAlign w:val="superscript"/>
        </w:rPr>
        <w:footnoteReference w:id="2"/>
      </w:r>
      <w:r w:rsidRPr="00510396">
        <w:t xml:space="preserve">. Además, </w:t>
      </w:r>
      <w:r w:rsidR="00CD2CC2" w:rsidRPr="00510396">
        <w:t>“</w:t>
      </w:r>
      <w:r w:rsidRPr="00510396">
        <w:t xml:space="preserve">recae en los Estados, </w:t>
      </w:r>
      <w:r w:rsidRPr="00510396">
        <w:lastRenderedPageBreak/>
        <w:t>incluidas todas sus ramas, la responsabilidad primordial de promover y proteger todos los derechos humanos, incluida la prevención de las violaciones de los derechos humanos</w:t>
      </w:r>
      <w:r w:rsidR="00CD2CC2" w:rsidRPr="00510396">
        <w:t>”</w:t>
      </w:r>
      <w:r w:rsidRPr="00510396">
        <w:rPr>
          <w:color w:val="943634" w:themeColor="accent2" w:themeShade="BF"/>
          <w:vertAlign w:val="superscript"/>
        </w:rPr>
        <w:footnoteReference w:id="3"/>
      </w:r>
      <w:r w:rsidRPr="00510396">
        <w:t>. Las obligaciones de los Estados incluyen el deber de proteger contra las violaciones de los derechos humanos por terceros, incluidos los agentes privados</w:t>
      </w:r>
      <w:r w:rsidRPr="00510396">
        <w:rPr>
          <w:color w:val="943634" w:themeColor="accent2" w:themeShade="BF"/>
          <w:vertAlign w:val="superscript"/>
        </w:rPr>
        <w:footnoteReference w:id="4"/>
      </w:r>
      <w:r w:rsidRPr="00510396">
        <w:t>. Los Estados pueden infringir sus obligaciones relacionadas con el derecho internacional de los derechos humanos cuando no adoptan medidas apropiadas para prevenir, investigar, castigar y reparar los abusos cometidos por agentes privados</w:t>
      </w:r>
      <w:r w:rsidRPr="00510396">
        <w:rPr>
          <w:color w:val="943634" w:themeColor="accent2" w:themeShade="BF"/>
          <w:vertAlign w:val="superscript"/>
        </w:rPr>
        <w:footnoteReference w:id="5"/>
      </w:r>
      <w:r w:rsidRPr="00510396">
        <w:t>.</w:t>
      </w:r>
    </w:p>
    <w:p w:rsidR="004419F1" w:rsidRPr="00510396" w:rsidRDefault="004419F1" w:rsidP="00DC21A5">
      <w:pPr>
        <w:pStyle w:val="SingleTxt"/>
        <w:numPr>
          <w:ilvl w:val="0"/>
          <w:numId w:val="7"/>
        </w:numPr>
        <w:suppressAutoHyphens w:val="0"/>
        <w:ind w:left="1267" w:firstLine="0"/>
      </w:pPr>
      <w:r w:rsidRPr="00510396">
        <w:t>La obligación de prevenir las violaciones de los derechos humanos se formula expresamente en algunos tratados</w:t>
      </w:r>
      <w:r w:rsidRPr="00510396">
        <w:rPr>
          <w:color w:val="943634" w:themeColor="accent2" w:themeShade="BF"/>
          <w:vertAlign w:val="superscript"/>
        </w:rPr>
        <w:footnoteReference w:id="6"/>
      </w:r>
      <w:r w:rsidRPr="00510396">
        <w:t xml:space="preserve"> y se examina de manera más amplia en las observaciones generales de los órganos de tratados de derechos humanos</w:t>
      </w:r>
      <w:r w:rsidRPr="00510396">
        <w:rPr>
          <w:color w:val="943634" w:themeColor="accent2" w:themeShade="BF"/>
          <w:vertAlign w:val="superscript"/>
        </w:rPr>
        <w:footnoteReference w:id="7"/>
      </w:r>
      <w:r w:rsidRPr="00510396">
        <w:t xml:space="preserve"> y en ciertos informes, particularmente en relación con la prevención de la tortura</w:t>
      </w:r>
      <w:r w:rsidRPr="00510396">
        <w:rPr>
          <w:color w:val="943634" w:themeColor="accent2" w:themeShade="BF"/>
          <w:vertAlign w:val="superscript"/>
        </w:rPr>
        <w:footnoteReference w:id="8"/>
      </w:r>
      <w:r w:rsidRPr="00510396">
        <w:t>, el genocidio</w:t>
      </w:r>
      <w:r w:rsidRPr="00510396">
        <w:rPr>
          <w:color w:val="943634" w:themeColor="accent2" w:themeShade="BF"/>
          <w:vertAlign w:val="superscript"/>
        </w:rPr>
        <w:footnoteReference w:id="9"/>
      </w:r>
      <w:r w:rsidRPr="00510396">
        <w:t>, las atrocidades masivas</w:t>
      </w:r>
      <w:r w:rsidRPr="00510396">
        <w:rPr>
          <w:color w:val="943634" w:themeColor="accent2" w:themeShade="BF"/>
          <w:vertAlign w:val="superscript"/>
        </w:rPr>
        <w:footnoteReference w:id="10"/>
      </w:r>
      <w:r w:rsidRPr="00510396">
        <w:t>, la incitación al odio</w:t>
      </w:r>
      <w:r w:rsidRPr="00510396">
        <w:rPr>
          <w:color w:val="943634" w:themeColor="accent2" w:themeShade="BF"/>
          <w:vertAlign w:val="superscript"/>
        </w:rPr>
        <w:footnoteReference w:id="11"/>
      </w:r>
      <w:r w:rsidRPr="00510396">
        <w:t>, el extremismo violento</w:t>
      </w:r>
      <w:r w:rsidRPr="00510396">
        <w:rPr>
          <w:color w:val="943634" w:themeColor="accent2" w:themeShade="BF"/>
          <w:vertAlign w:val="superscript"/>
        </w:rPr>
        <w:footnoteReference w:id="12"/>
      </w:r>
      <w:r w:rsidRPr="00510396">
        <w:t xml:space="preserve"> y la discriminación basada en determinadas motivaciones (como la raza</w:t>
      </w:r>
      <w:r w:rsidRPr="00510396">
        <w:rPr>
          <w:color w:val="943634" w:themeColor="accent2" w:themeShade="BF"/>
          <w:vertAlign w:val="superscript"/>
        </w:rPr>
        <w:footnoteReference w:id="13"/>
      </w:r>
      <w:r w:rsidRPr="00510396">
        <w:t>, la religión o las creencias</w:t>
      </w:r>
      <w:r w:rsidRPr="00510396">
        <w:rPr>
          <w:color w:val="943634" w:themeColor="accent2" w:themeShade="BF"/>
          <w:vertAlign w:val="superscript"/>
        </w:rPr>
        <w:footnoteReference w:id="14"/>
      </w:r>
      <w:r w:rsidRPr="00510396">
        <w:t xml:space="preserve"> o la orientación sexual (A/HRC/29/23)) o respecto de un determinado grupo (como las mujeres</w:t>
      </w:r>
      <w:r w:rsidRPr="00510396">
        <w:rPr>
          <w:color w:val="943634" w:themeColor="accent2" w:themeShade="BF"/>
          <w:vertAlign w:val="superscript"/>
        </w:rPr>
        <w:footnoteReference w:id="15"/>
      </w:r>
      <w:r w:rsidRPr="00510396">
        <w:t>, las personas con discapacidad</w:t>
      </w:r>
      <w:r w:rsidRPr="00510396">
        <w:rPr>
          <w:color w:val="943634" w:themeColor="accent2" w:themeShade="BF"/>
          <w:vertAlign w:val="superscript"/>
        </w:rPr>
        <w:footnoteReference w:id="16"/>
      </w:r>
      <w:r w:rsidRPr="00510396">
        <w:t xml:space="preserve"> y las minorías (A/HRC/28/30, párrs. 13 y 14); A/69/66). El examen de la prevención de la violación de esos derechos concretos pone de relieve algunos rasgos y criterios comunes </w:t>
      </w:r>
      <w:r w:rsidRPr="00510396">
        <w:lastRenderedPageBreak/>
        <w:t xml:space="preserve">respecto de la prevención, lo que incluye la delimitación del riesgo y de los factores de mitigación y la puesta en marcha de algunos instrumentos prácticos. </w:t>
      </w:r>
    </w:p>
    <w:p w:rsidR="004419F1" w:rsidRPr="00510396" w:rsidRDefault="004419F1" w:rsidP="00DC21A5">
      <w:pPr>
        <w:pStyle w:val="SingleTxt"/>
        <w:numPr>
          <w:ilvl w:val="0"/>
          <w:numId w:val="7"/>
        </w:numPr>
        <w:suppressAutoHyphens w:val="0"/>
        <w:ind w:left="1267" w:firstLine="0"/>
      </w:pPr>
      <w:r w:rsidRPr="00510396">
        <w:t>Por ejemplo, la prevención del genocidio, los crímenes de guerra, la limpieza étnica y los crímenes de lesa humanidad requiere esfuerzos constantes para consolidar la resiliencia de las sociedades ante crímenes atroces, para lo cual hay que garantizar que se respeta el estado de derecho y que se protegen todos los derechos humanos sin discriminación; establecer instituciones nacionales legítimas y que rindan cuentas; eliminar la corrupción; gestionar la diversidad de manera constructiva; y prestar apoyo a una sociedad civil fuerte y diversa y a medios de comunicación pluralistas</w:t>
      </w:r>
      <w:r w:rsidRPr="00510396">
        <w:rPr>
          <w:color w:val="943634" w:themeColor="accent2" w:themeShade="BF"/>
          <w:vertAlign w:val="superscript"/>
        </w:rPr>
        <w:footnoteReference w:id="17"/>
      </w:r>
      <w:r w:rsidRPr="00510396">
        <w:t>. Además, el Protocolo sobre la Prevención y la Sanción del Genocidio, los Crímenes de Guerra, los Crímenes de Lesa Humanidad y Todas las Formas de Discriminación</w:t>
      </w:r>
      <w:r w:rsidRPr="00510396">
        <w:rPr>
          <w:color w:val="943634" w:themeColor="accent2" w:themeShade="BF"/>
          <w:vertAlign w:val="superscript"/>
        </w:rPr>
        <w:footnoteReference w:id="18"/>
      </w:r>
      <w:r w:rsidRPr="00510396">
        <w:t xml:space="preserve"> tiene por objeto garantizar que los Estados responden a las causas fundamentales mediante la prohibición de la discriminación y la condena de las ideologías discriminatorias, la lucha contra la impunidad y el establecimiento de mecanismos de alerta temprana.</w:t>
      </w:r>
    </w:p>
    <w:p w:rsidR="004419F1" w:rsidRPr="00510396" w:rsidRDefault="004419F1" w:rsidP="00DC21A5">
      <w:pPr>
        <w:pStyle w:val="SingleTxt"/>
        <w:numPr>
          <w:ilvl w:val="0"/>
          <w:numId w:val="7"/>
        </w:numPr>
        <w:suppressAutoHyphens w:val="0"/>
        <w:ind w:left="1267" w:firstLine="0"/>
      </w:pPr>
      <w:r w:rsidRPr="00510396">
        <w:t>Las disposiciones de algunos tratados apuntan a una obligación de resultado negativo (se logra la prevención cuando no hay violación)</w:t>
      </w:r>
      <w:r w:rsidRPr="00510396">
        <w:rPr>
          <w:color w:val="943634" w:themeColor="accent2" w:themeShade="BF"/>
          <w:vertAlign w:val="superscript"/>
        </w:rPr>
        <w:footnoteReference w:id="19"/>
      </w:r>
      <w:r w:rsidRPr="00510396">
        <w:t>, en tanto que, en algunos casos, cabe considerar la prevención como una obligación de conducta positiva (tomar todas las disposiciones necesarias a los efectos de adoptar medidas concretas y efectivas para prevenir las violaciones)</w:t>
      </w:r>
      <w:r w:rsidRPr="00510396">
        <w:rPr>
          <w:color w:val="943634" w:themeColor="accent2" w:themeShade="BF"/>
          <w:vertAlign w:val="superscript"/>
        </w:rPr>
        <w:footnoteReference w:id="20"/>
      </w:r>
      <w:r w:rsidRPr="00510396">
        <w:t>. La Corte Internacional de Justicia ha declarado que la obligación de prevenir el genocidio es una obligación de conducta y no de resultado, en el sentido de que un Estado no puede estar obligado a lograr, cualesquiera que sean las circunstancias, la prevención de la comisión de un genocidio; por el contrario, la obligación consiste en utilizar todos los medios razonablemente disponibles de los Estados para prevenir el genocidio en la mayor medida posible</w:t>
      </w:r>
      <w:r w:rsidRPr="00510396">
        <w:rPr>
          <w:color w:val="943634" w:themeColor="accent2" w:themeShade="BF"/>
          <w:vertAlign w:val="superscript"/>
        </w:rPr>
        <w:footnoteReference w:id="21"/>
      </w:r>
      <w:r w:rsidRPr="00510396">
        <w:t>. A este respecto, el artículo 6 del Tratado sobre el Comercio de Armas prohíbe cualquier transferencia de armas convencionales cuando el Estado parte haya reconocido, en el momento de la autorización, que las armas se utilizarían especialmente para la comisión de un genocidio y de crímenes de lesa humanidad.</w:t>
      </w:r>
    </w:p>
    <w:p w:rsidR="004419F1" w:rsidRPr="00510396" w:rsidRDefault="004419F1" w:rsidP="00DC21A5">
      <w:pPr>
        <w:pStyle w:val="SingleTxt"/>
        <w:numPr>
          <w:ilvl w:val="0"/>
          <w:numId w:val="7"/>
        </w:numPr>
        <w:suppressAutoHyphens w:val="0"/>
        <w:ind w:left="1267" w:firstLine="0"/>
      </w:pPr>
      <w:r w:rsidRPr="00510396">
        <w:t>Además, la terminología utilizada, por ejemplo, en relación con la prevención de la tortura distingue acertadamente entre medidas prácticas concretas que han de adaptarse con fines preventivos (prevención directa o mitigación) y la respuesta que ha de darse a violaciones a fin de reparar esas violaciones e impedir que se repitan (prevención indirecta o no repetición)</w:t>
      </w:r>
      <w:r w:rsidRPr="00510396">
        <w:rPr>
          <w:color w:val="943634" w:themeColor="accent2" w:themeShade="BF"/>
          <w:vertAlign w:val="superscript"/>
        </w:rPr>
        <w:footnoteReference w:id="22"/>
      </w:r>
      <w:r w:rsidRPr="00510396">
        <w:t>.</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10396">
        <w:rPr>
          <w:i/>
        </w:rPr>
        <w:tab/>
      </w:r>
      <w:r w:rsidRPr="00510396">
        <w:tab/>
      </w:r>
      <w:r w:rsidR="00510396" w:rsidRPr="00510396">
        <w:t>Prevención directa</w:t>
      </w:r>
      <w:r w:rsidRPr="00510396">
        <w:t>/mitigación</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 xml:space="preserve">La prevención directa tiene por objeto eliminar los factores de riesgo y establecer un marco jurídico, administrativo y normativo para prevenir las violaciones. Además, se supedita al establecimiento de una mentalidad de respeto de los derechos </w:t>
      </w:r>
      <w:r w:rsidRPr="00510396">
        <w:lastRenderedPageBreak/>
        <w:t>humanos, la buena gobernanza</w:t>
      </w:r>
      <w:r w:rsidRPr="00510396">
        <w:rPr>
          <w:color w:val="943634" w:themeColor="accent2" w:themeShade="BF"/>
          <w:vertAlign w:val="superscript"/>
        </w:rPr>
        <w:footnoteReference w:id="23"/>
      </w:r>
      <w:r w:rsidRPr="00510396">
        <w:t xml:space="preserve"> y el estado de derecho, así como a un entorno propicio a una sociedad civil dinámica y una prensa libre. Por ejemplo, la prevención de la tortura y de los tratos o penas crueles, inhumanos y degradantes incluye aprobar leyes que prohíban su utilización y procesar a quienes las vulneren. También incluye poner en marcha salvaguardias procesales </w:t>
      </w:r>
      <w:r w:rsidR="00BE3D5A">
        <w:t>—</w:t>
      </w:r>
      <w:r w:rsidRPr="00510396">
        <w:t>como registros en lugares de detención y grabaciones de los interrogatorios mediante vídeo</w:t>
      </w:r>
      <w:r w:rsidR="00BE3D5A">
        <w:t>—</w:t>
      </w:r>
      <w:r w:rsidRPr="00510396">
        <w:t xml:space="preserve"> y garantizar una supervisión independiente, particularmente una inspección periódica de los lugares de detención por órganos independientes. </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10396">
        <w:tab/>
      </w:r>
      <w:r w:rsidRPr="00510396">
        <w:tab/>
        <w:t>Prevención indirecta/no repetición</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La prevención indirecta de las violaciones de los derechos humanos o la no repetición tiene lugar después de que se ha producido una violación. Su objetivo es prevenir la repetición, para lo cual se indican y examinan las causas de las violaciones de todos los derechos humanos</w:t>
      </w:r>
      <w:r w:rsidRPr="00510396">
        <w:rPr>
          <w:color w:val="943634" w:themeColor="accent2" w:themeShade="BF"/>
          <w:vertAlign w:val="superscript"/>
        </w:rPr>
        <w:footnoteReference w:id="24"/>
      </w:r>
      <w:r w:rsidRPr="00510396">
        <w:t xml:space="preserve"> mediante investigaciones y procesamientos, al tiempo que se garantiza el derecho de las víctimas y las sociedades a conocer la verdad sobre las violaciones y el derecho de las víctimas a un recurso efectivo</w:t>
      </w:r>
      <w:r w:rsidRPr="00510396">
        <w:rPr>
          <w:color w:val="943634" w:themeColor="accent2" w:themeShade="BF"/>
          <w:vertAlign w:val="superscript"/>
        </w:rPr>
        <w:footnoteReference w:id="25"/>
      </w:r>
      <w:r w:rsidRPr="00510396">
        <w:t xml:space="preserve"> de conformidad con el derecho internacional</w:t>
      </w:r>
      <w:r w:rsidRPr="00510396">
        <w:rPr>
          <w:color w:val="943634" w:themeColor="accent2" w:themeShade="BF"/>
          <w:vertAlign w:val="superscript"/>
        </w:rPr>
        <w:footnoteReference w:id="26"/>
      </w:r>
      <w:r w:rsidRPr="00510396">
        <w:t xml:space="preserve">. Ciertamente, la </w:t>
      </w:r>
      <w:r w:rsidR="00CD2CC2" w:rsidRPr="00510396">
        <w:t>“</w:t>
      </w:r>
      <w:r w:rsidRPr="00510396">
        <w:t>existencia de mecanismos internos eficientes de supervisión, incluidos los mecanismos de denuncia, constituye una parte esencial del aparato de prevención. Estos mecanismos asumen diversas formas y funcionan en muchos niveles</w:t>
      </w:r>
      <w:r w:rsidR="00CD2CC2" w:rsidRPr="00510396">
        <w:t>”</w:t>
      </w:r>
      <w:r w:rsidRPr="00510396">
        <w:t xml:space="preserve"> (CAT/OP/12/6, párr. 5 g)).</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10396">
        <w:tab/>
        <w:t>III.</w:t>
      </w:r>
      <w:r w:rsidRPr="00510396">
        <w:tab/>
        <w:t>La prevención en la práctica</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En la presente sección se examinarán la puesta en práctica de la prevención de las violaciones, es decir, la importancia de establecer un marco legislativo e institucional para la prevención; el papel primordial de la educación sobre los derechos humanos; y cómo los instrumentos de planificación y supervisión pueden contribuir a la prevención, particularmente en lo que atañe a la formulación de políticas.</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4" w:name="_Toc422832824"/>
      <w:bookmarkStart w:id="5" w:name="_Toc422832825"/>
      <w:bookmarkStart w:id="6" w:name="_Toc422832826"/>
      <w:bookmarkStart w:id="7" w:name="_Toc422832827"/>
      <w:bookmarkStart w:id="8" w:name="_Toc422832828"/>
      <w:bookmarkStart w:id="9" w:name="_Toc423075113"/>
      <w:bookmarkEnd w:id="4"/>
      <w:bookmarkEnd w:id="5"/>
      <w:bookmarkEnd w:id="6"/>
      <w:bookmarkEnd w:id="7"/>
      <w:bookmarkEnd w:id="8"/>
      <w:r w:rsidRPr="00510396">
        <w:tab/>
        <w:t>A.</w:t>
      </w:r>
      <w:r w:rsidRPr="00510396">
        <w:tab/>
      </w:r>
      <w:bookmarkEnd w:id="9"/>
      <w:r w:rsidRPr="00510396">
        <w:t>Marco legislativo e institucional para la prevención</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 xml:space="preserve">El establecimiento de un marco preventivo de carácter legislativo e institucional requiere una gama de medidas coherentes y complementarias, respaldada por un enfoque inclusivo y participativo que incluya a la mujer y a otras personas que sufran </w:t>
      </w:r>
      <w:r w:rsidRPr="00510396">
        <w:lastRenderedPageBreak/>
        <w:t>discriminación. Como primer paso, la prevención incluye ratificar los tratados de derechos humanos</w:t>
      </w:r>
      <w:r w:rsidRPr="00510396">
        <w:rPr>
          <w:color w:val="943634" w:themeColor="accent2" w:themeShade="BF"/>
          <w:vertAlign w:val="superscript"/>
        </w:rPr>
        <w:footnoteReference w:id="27"/>
      </w:r>
      <w:r w:rsidRPr="00510396">
        <w:t xml:space="preserve"> y aprobar leyes y políticas que garanticen los derechos humanos en la legislación y en la práctica. Por ejemplo, eso puede incluir la atribución de una obligación positiva a los órganos públicos a los efectos de tener debidamente en cuenta los derechos humanos y la igualdad en su labor y realizar sus actividades de manera compatible con los derechos humanos</w:t>
      </w:r>
      <w:r w:rsidRPr="00510396">
        <w:rPr>
          <w:color w:val="943634" w:themeColor="accent2" w:themeShade="BF"/>
          <w:vertAlign w:val="superscript"/>
        </w:rPr>
        <w:footnoteReference w:id="28"/>
      </w:r>
      <w:r w:rsidRPr="00510396">
        <w:t>.</w:t>
      </w:r>
    </w:p>
    <w:p w:rsidR="004419F1" w:rsidRPr="00510396" w:rsidRDefault="004419F1" w:rsidP="00DC21A5">
      <w:pPr>
        <w:pStyle w:val="SingleTxt"/>
        <w:numPr>
          <w:ilvl w:val="0"/>
          <w:numId w:val="7"/>
        </w:numPr>
        <w:suppressAutoHyphens w:val="0"/>
        <w:ind w:left="1267" w:firstLine="0"/>
      </w:pPr>
      <w:r w:rsidRPr="00510396">
        <w:t>Una importante salvaguardia es el examen periódico y sistemático de la legislación vigente y propuesta para comprobar si cumple las obligaciones de derechos humanos de un Estado</w:t>
      </w:r>
      <w:r w:rsidRPr="00510396">
        <w:rPr>
          <w:color w:val="943634" w:themeColor="accent2" w:themeShade="BF"/>
          <w:vertAlign w:val="superscript"/>
        </w:rPr>
        <w:footnoteReference w:id="29"/>
      </w:r>
      <w:r w:rsidRPr="00510396">
        <w:t>. Ese examen puede llevarse a cabo mediante un proceso judicial, parlamentario o interno. Puede encomendarse a las INDH</w:t>
      </w:r>
      <w:r w:rsidRPr="00510396">
        <w:rPr>
          <w:color w:val="943634" w:themeColor="accent2" w:themeShade="BF"/>
          <w:vertAlign w:val="superscript"/>
        </w:rPr>
        <w:footnoteReference w:id="30"/>
      </w:r>
      <w:r w:rsidRPr="00510396">
        <w:t xml:space="preserve"> la tarea de complementar ese examen y proporcionar a las autoridades pertinentes información sobre la compatibilidad o recomendaciones que den lugar a modificaciones en las leyes o políticas propuestas. El examen también puede requerir que se presente un proyecto de ley a un órgano antes de su envío al legislativo, con un documento de acompañamiento en el que se especifique que ha sido examinado y es compatible con las obligaciones de derechos humanos del Estado</w:t>
      </w:r>
      <w:r w:rsidRPr="00510396">
        <w:rPr>
          <w:color w:val="943634" w:themeColor="accent2" w:themeShade="BF"/>
          <w:vertAlign w:val="superscript"/>
        </w:rPr>
        <w:footnoteReference w:id="31"/>
      </w:r>
      <w:r w:rsidRPr="00510396">
        <w:t>. El proceso de examen puede incluir consultas con otros agentes, como la sociedad civil, para recabar información y conocimientos especializados adicionales a lo largo del proceso legislativo</w:t>
      </w:r>
      <w:r w:rsidRPr="00510396">
        <w:rPr>
          <w:color w:val="943634" w:themeColor="accent2" w:themeShade="BF"/>
          <w:vertAlign w:val="superscript"/>
        </w:rPr>
        <w:footnoteReference w:id="32"/>
      </w:r>
      <w:r w:rsidRPr="00510396">
        <w:t>. Los órganos encargados de realizar ese examen deben ser independientes e imparciales y sus observaciones deben tenerse en cuenta cuando se revisen la legislación o las políticas.</w:t>
      </w:r>
    </w:p>
    <w:p w:rsidR="004419F1" w:rsidRPr="00510396" w:rsidRDefault="004419F1" w:rsidP="00DC21A5">
      <w:pPr>
        <w:pStyle w:val="SingleTxt"/>
        <w:numPr>
          <w:ilvl w:val="0"/>
          <w:numId w:val="7"/>
        </w:numPr>
        <w:suppressAutoHyphens w:val="0"/>
        <w:ind w:left="1267" w:firstLine="0"/>
      </w:pPr>
      <w:r w:rsidRPr="00510396">
        <w:t>Además, las normas y los principios internacionales de derechos humanos deben formar parte del ordenamiento jurídico nacional</w:t>
      </w:r>
      <w:r w:rsidRPr="00510396">
        <w:rPr>
          <w:color w:val="943634" w:themeColor="accent2" w:themeShade="BF"/>
          <w:vertAlign w:val="superscript"/>
        </w:rPr>
        <w:footnoteReference w:id="33"/>
      </w:r>
      <w:r w:rsidRPr="00510396">
        <w:t xml:space="preserve"> para garantizar que puedan hacerse valer ante los tribunales nacionales. Ello requiere el establecimiento de un sistema eficaz de administración de justicia</w:t>
      </w:r>
      <w:r w:rsidRPr="00510396">
        <w:rPr>
          <w:color w:val="943634" w:themeColor="accent2" w:themeShade="BF"/>
          <w:vertAlign w:val="superscript"/>
        </w:rPr>
        <w:footnoteReference w:id="34"/>
      </w:r>
      <w:r w:rsidRPr="00510396">
        <w:t>, con tribunales que puedan interpretar las disposiciones constitucionales en consonancia con las obligaciones de derechos humanos del Estado y la jurisprudencia internacional o regional</w:t>
      </w:r>
      <w:r w:rsidRPr="00510396">
        <w:rPr>
          <w:color w:val="943634" w:themeColor="accent2" w:themeShade="BF"/>
          <w:vertAlign w:val="superscript"/>
        </w:rPr>
        <w:footnoteReference w:id="35"/>
      </w:r>
      <w:r w:rsidRPr="00510396">
        <w:t xml:space="preserve"> y estén facultados para derogar las leyes que se consideren inconstitucionales</w:t>
      </w:r>
      <w:r w:rsidRPr="00510396">
        <w:rPr>
          <w:color w:val="943634" w:themeColor="accent2" w:themeShade="BF"/>
          <w:vertAlign w:val="superscript"/>
        </w:rPr>
        <w:footnoteReference w:id="36"/>
      </w:r>
      <w:r w:rsidRPr="00510396">
        <w:t>.</w:t>
      </w:r>
    </w:p>
    <w:p w:rsidR="004419F1" w:rsidRPr="00510396" w:rsidRDefault="004419F1" w:rsidP="00DC21A5">
      <w:pPr>
        <w:pStyle w:val="Sponsors"/>
      </w:pPr>
      <w:r w:rsidRPr="00510396">
        <w:lastRenderedPageBreak/>
        <w:tab/>
      </w:r>
      <w:r w:rsidRPr="00510396">
        <w:tab/>
        <w:t>Necesidad de un enfoque de la prevención centrado en las víctimas</w:t>
      </w:r>
    </w:p>
    <w:p w:rsidR="00DC21A5" w:rsidRPr="00510396" w:rsidRDefault="00DC21A5" w:rsidP="00DC21A5">
      <w:pPr>
        <w:pStyle w:val="Sponsors"/>
        <w:spacing w:line="120" w:lineRule="exact"/>
        <w:rPr>
          <w:sz w:val="10"/>
        </w:rPr>
      </w:pPr>
    </w:p>
    <w:p w:rsidR="004419F1" w:rsidRPr="00510396" w:rsidRDefault="004419F1" w:rsidP="00DC21A5">
      <w:pPr>
        <w:pStyle w:val="SingleTxt"/>
        <w:numPr>
          <w:ilvl w:val="0"/>
          <w:numId w:val="7"/>
        </w:numPr>
        <w:suppressAutoHyphens w:val="0"/>
        <w:ind w:left="1267" w:firstLine="0"/>
      </w:pPr>
      <w:r w:rsidRPr="00510396">
        <w:t xml:space="preserve">Debe contarse con disposiciones para proporcionar recursos efectivos a las víctimas. Es asimismo fundamental el establecimiento de mecanismos eficaces de supervisión para comprobar las violaciones reales y posibles y garantizar que los grupos de personas o las personas a título individual no son objeto de discriminación en el marco de las leyes, las políticas y la práctica. Ciertamente la prevención es </w:t>
      </w:r>
      <w:r w:rsidR="00CD2CC2" w:rsidRPr="00510396">
        <w:t>“</w:t>
      </w:r>
      <w:r w:rsidRPr="00510396">
        <w:t>tanto la práctica del Estado como el contenido de sus medidas legislativas, administrativas, judiciales y de otra índole</w:t>
      </w:r>
      <w:r w:rsidR="00CD2CC2" w:rsidRPr="00510396">
        <w:t>”</w:t>
      </w:r>
      <w:r w:rsidRPr="00510396">
        <w:t xml:space="preserve"> (CAT/OP/12/6, párr. 3).</w:t>
      </w:r>
    </w:p>
    <w:p w:rsidR="004419F1" w:rsidRPr="00510396" w:rsidRDefault="004419F1" w:rsidP="00DC21A5">
      <w:pPr>
        <w:pStyle w:val="SingleTxt"/>
        <w:numPr>
          <w:ilvl w:val="0"/>
          <w:numId w:val="7"/>
        </w:numPr>
        <w:suppressAutoHyphens w:val="0"/>
        <w:ind w:left="1267" w:firstLine="0"/>
      </w:pPr>
      <w:r w:rsidRPr="00510396">
        <w:t xml:space="preserve">El ordenamiento jurídico debe ser accesible a todos sin ningún tipo de discriminación, particularmente por nacionalidad, recursos financieros e idioma. A su vez, ello exige que las víctimas conozcan sus derechos, los recursos disponibles y cómo acceder a ellos. Se plantean cuestiones similares cuando se utilizan recursos no judiciales. La prestación por las INDH, la sociedad civil y los colegios de abogados de asistencia letrada gratuita y servicios </w:t>
      </w:r>
      <w:r w:rsidRPr="00510396">
        <w:rPr>
          <w:i/>
        </w:rPr>
        <w:t>pro bono</w:t>
      </w:r>
      <w:r w:rsidRPr="00510396">
        <w:t xml:space="preserve"> a las víctimas de violaciones de los derechos humanos puede servir para garantizar la accesibilidad de los recursos.</w:t>
      </w: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Sponsors"/>
      </w:pPr>
      <w:r w:rsidRPr="00510396">
        <w:tab/>
      </w:r>
      <w:r w:rsidRPr="00510396">
        <w:tab/>
        <w:t>Instituciones nacionales de derechos humanos</w:t>
      </w:r>
    </w:p>
    <w:p w:rsidR="00DC21A5" w:rsidRPr="00510396" w:rsidRDefault="00DC21A5" w:rsidP="00DC21A5">
      <w:pPr>
        <w:pStyle w:val="Sponsors"/>
        <w:spacing w:line="120" w:lineRule="exact"/>
        <w:rPr>
          <w:sz w:val="10"/>
        </w:rPr>
      </w:pPr>
    </w:p>
    <w:p w:rsidR="004419F1" w:rsidRPr="00510396" w:rsidRDefault="004419F1" w:rsidP="00DC21A5">
      <w:pPr>
        <w:pStyle w:val="SingleTxt"/>
        <w:numPr>
          <w:ilvl w:val="0"/>
          <w:numId w:val="7"/>
        </w:numPr>
        <w:suppressAutoHyphens w:val="0"/>
        <w:ind w:left="1267" w:firstLine="0"/>
      </w:pPr>
      <w:r w:rsidRPr="00510396">
        <w:t>El establecimiento de INDH que se ajusten a los Principios de París</w:t>
      </w:r>
      <w:r w:rsidRPr="00510396">
        <w:rPr>
          <w:color w:val="943634" w:themeColor="accent2" w:themeShade="BF"/>
          <w:vertAlign w:val="superscript"/>
        </w:rPr>
        <w:footnoteReference w:id="37"/>
      </w:r>
      <w:r w:rsidRPr="00510396">
        <w:t xml:space="preserve"> constituye otro importante elemento institucional del marco preventivo. Algunas de ellas tienen concretamente por objeto contribuir a la prevención de las violaciones</w:t>
      </w:r>
      <w:r w:rsidRPr="00510396">
        <w:rPr>
          <w:color w:val="943634" w:themeColor="accent2" w:themeShade="BF"/>
          <w:vertAlign w:val="superscript"/>
        </w:rPr>
        <w:footnoteReference w:id="38"/>
      </w:r>
      <w:r w:rsidRPr="00510396">
        <w:t>, investigar quejas, emprender procesos de conciliación, mediación y arreglo, analizar las causas fundamentales de las violaciones y recomendar medidas correctivas para impedir que se repitan. Su contribución a la prevención indirecta puede verse reforzada cuando se les encomienda el cometido de examinar la política gubernamental en que se basa la cuestión correspondiente. Algunas INDH también pueden intervenir ante los tribunales en relación con las obligaciones contraídas por un Estado con arreglo al derecho internacional de los derechos humanos</w:t>
      </w:r>
      <w:r w:rsidRPr="00510396">
        <w:rPr>
          <w:color w:val="943634" w:themeColor="accent2" w:themeShade="BF"/>
          <w:vertAlign w:val="superscript"/>
        </w:rPr>
        <w:footnoteReference w:id="39"/>
      </w:r>
      <w:r w:rsidRPr="00510396">
        <w:t>.</w:t>
      </w:r>
    </w:p>
    <w:p w:rsidR="004419F1" w:rsidRPr="00510396" w:rsidRDefault="004419F1" w:rsidP="00DC21A5">
      <w:pPr>
        <w:pStyle w:val="SingleTxt"/>
        <w:numPr>
          <w:ilvl w:val="0"/>
          <w:numId w:val="7"/>
        </w:numPr>
        <w:suppressAutoHyphens w:val="0"/>
        <w:ind w:left="1267" w:firstLine="0"/>
      </w:pPr>
      <w:r w:rsidRPr="00510396">
        <w:t>Las INDH también contribuyen a la adopción de medidas de prevención directa a través de visitas sobre el terreno e investigaciones en lugares en que hay personas privadas de libertad</w:t>
      </w:r>
      <w:r w:rsidRPr="00510396">
        <w:rPr>
          <w:color w:val="943634" w:themeColor="accent2" w:themeShade="BF"/>
          <w:vertAlign w:val="superscript"/>
        </w:rPr>
        <w:footnoteReference w:id="40"/>
      </w:r>
      <w:r w:rsidRPr="00510396">
        <w:t xml:space="preserve"> y algunas de ellas son designadas mecanismos nacionales de prevención de conformidad con el</w:t>
      </w:r>
      <w:r w:rsidR="00CD2CC2" w:rsidRPr="00510396">
        <w:t xml:space="preserve"> </w:t>
      </w:r>
      <w:r w:rsidRPr="00510396">
        <w:t xml:space="preserve">Protocolo Facultativo de la Convención contra la Tortura y Otros Tratos o Penas Crueles, Inhumanos o Degradantes. El establecimiento de una </w:t>
      </w:r>
      <w:r w:rsidR="00CD2CC2" w:rsidRPr="00510396">
        <w:t>“</w:t>
      </w:r>
      <w:r w:rsidRPr="00510396">
        <w:t>cultura</w:t>
      </w:r>
      <w:r w:rsidR="00CD2CC2" w:rsidRPr="00510396">
        <w:t>”</w:t>
      </w:r>
      <w:r w:rsidRPr="00510396">
        <w:t xml:space="preserve"> de supervisión mediante inspecciones periódicas no anunciadas y sistemas independientes, eficaces y oportunos de presentación de quejas es también fundamental para conseguir un profundo cambio tanto de comportamiento como a nivel institucional</w:t>
      </w:r>
      <w:r w:rsidRPr="00510396">
        <w:rPr>
          <w:color w:val="943634" w:themeColor="accent2" w:themeShade="BF"/>
          <w:vertAlign w:val="superscript"/>
        </w:rPr>
        <w:footnoteReference w:id="41"/>
      </w:r>
      <w:r w:rsidRPr="00510396">
        <w:t xml:space="preserve">. En las inspecciones se pueden examinar problemas sistémicos y situaciones individuales, lo que puede plasmar en la oportuna presentación de informes públicos con conclusiones y recomendaciones. Los informes pueden incluir el requisito de que quienes sean inspeccionados han de preparar un plan de acción dentro de un plazo concreto, con indicación de si las recomendaciones se aceptan </w:t>
      </w:r>
      <w:r w:rsidRPr="00510396">
        <w:lastRenderedPageBreak/>
        <w:t>íntegra o parcialmente o son rechazadas, y las medidas adoptadas o previstas como respuesta. A su vez, ese plan puede ser supervisado por el órgano encargado de la inspección y constituye la base de la inspección siguiente. De esa manera, las medidas adoptadas, la supervisión y el seguimiento se enmarcan dentro de un sistema periódico y permanente.</w:t>
      </w: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Sponsors"/>
      </w:pPr>
      <w:r w:rsidRPr="00510396">
        <w:tab/>
      </w:r>
      <w:r w:rsidRPr="00510396">
        <w:tab/>
        <w:t xml:space="preserve">Papel de la sociedad civil </w:t>
      </w:r>
    </w:p>
    <w:p w:rsidR="00DC21A5" w:rsidRPr="00510396" w:rsidRDefault="00DC21A5" w:rsidP="00DC21A5">
      <w:pPr>
        <w:pStyle w:val="Sponsors"/>
        <w:spacing w:line="120" w:lineRule="exact"/>
        <w:rPr>
          <w:sz w:val="10"/>
        </w:rPr>
      </w:pPr>
    </w:p>
    <w:p w:rsidR="004419F1" w:rsidRPr="00510396" w:rsidRDefault="004419F1" w:rsidP="00DC21A5">
      <w:pPr>
        <w:pStyle w:val="SingleTxt"/>
        <w:numPr>
          <w:ilvl w:val="0"/>
          <w:numId w:val="7"/>
        </w:numPr>
        <w:suppressAutoHyphens w:val="0"/>
        <w:ind w:left="1267" w:firstLine="0"/>
      </w:pPr>
      <w:r w:rsidRPr="00510396">
        <w:t>El establecimiento de un entorno protector y favorable para la sociedad civil en la legislación y en la práctica es también un importante elemento de prevención. Ello incluye un marco jurídico, institucional y administrativo propicio; el acceso a la justicia y el fin de la impunidad en relación con las violaciones contra los defensores de los derechos humanos; INDH sólidas e independientes; políticas y mecanismos de protección eficaces que se ocupen de los grupos en situación de riesgo; una atención específica a las defensoras de los derechos humanos; agentes no estatales que respeten y apoyen la labor de los defensores de los derechos humanos; un acceso seguro y sin trabas a los órganos internacionales de derechos humanos; y una comunidad potente y dinámica de defensores de los derechos humanos</w:t>
      </w:r>
      <w:r w:rsidRPr="00510396">
        <w:rPr>
          <w:color w:val="943634" w:themeColor="accent2" w:themeShade="BF"/>
          <w:vertAlign w:val="superscript"/>
        </w:rPr>
        <w:footnoteReference w:id="42"/>
      </w:r>
      <w:r w:rsidRPr="00510396">
        <w:t>. También deben prohibirse la</w:t>
      </w:r>
      <w:r w:rsidR="00510396">
        <w:t>s</w:t>
      </w:r>
      <w:r w:rsidRPr="00510396">
        <w:t xml:space="preserve"> represalias contra quienes se comuniquen con mecanismos nacionales, regionales e internacionales de derechos humanos</w:t>
      </w:r>
      <w:r w:rsidRPr="00510396">
        <w:rPr>
          <w:color w:val="943634" w:themeColor="accent2" w:themeShade="BF"/>
          <w:vertAlign w:val="superscript"/>
        </w:rPr>
        <w:footnoteReference w:id="43"/>
      </w:r>
      <w:r w:rsidRPr="00510396">
        <w:t>.</w:t>
      </w:r>
    </w:p>
    <w:p w:rsidR="004419F1" w:rsidRPr="00510396" w:rsidRDefault="004419F1" w:rsidP="00DC21A5">
      <w:pPr>
        <w:pStyle w:val="SingleTxt"/>
        <w:numPr>
          <w:ilvl w:val="0"/>
          <w:numId w:val="7"/>
        </w:numPr>
        <w:suppressAutoHyphens w:val="0"/>
        <w:ind w:left="1267" w:firstLine="0"/>
      </w:pPr>
      <w:r w:rsidRPr="00510396">
        <w:t>Ciertamente corresponde a la sociedad civil desempeñar un papel fundamental en la prevención de las violaciones de los derechos humanos</w:t>
      </w:r>
      <w:r w:rsidRPr="00510396">
        <w:rPr>
          <w:color w:val="943634" w:themeColor="accent2" w:themeShade="BF"/>
          <w:vertAlign w:val="superscript"/>
        </w:rPr>
        <w:footnoteReference w:id="44"/>
      </w:r>
      <w:r w:rsidRPr="00510396">
        <w:t>. La sociedad civil presta asistencia para delimitar cuestiones de interés, realizar tareas de supervisión y asesoramiento en relación con las leyes, políticas y prácticas de los Estados y agentes privados y utilizar sus contactos de base y sus conocimientos especializados sobre cuestiones que afectan a todos esos aspectos. Además, la sociedad civil</w:t>
      </w:r>
      <w:r w:rsidRPr="00510396">
        <w:rPr>
          <w:color w:val="943634" w:themeColor="accent2" w:themeShade="BF"/>
          <w:vertAlign w:val="superscript"/>
        </w:rPr>
        <w:footnoteReference w:id="45"/>
      </w:r>
      <w:r w:rsidRPr="00510396">
        <w:t xml:space="preserve"> promueve</w:t>
      </w:r>
      <w:r w:rsidR="00CD2CC2" w:rsidRPr="00510396">
        <w:t xml:space="preserve"> </w:t>
      </w:r>
      <w:r w:rsidRPr="00510396">
        <w:t>la educación y capacitación en derechos humanos, lo que incluye ayudar a que se modifiquen las percepciones sobre determinados grupos y cuestiones. Tales actividades informan y dirigen su participación en los mecanismos regionales e internacionales de presentación de informes sobre los derechos humanos, que comienza con su participación a nivel nacional y prosigue mediante las consultas nacionales y la preparación de informes y, después de alcanzar el plano externo, vuelve al plano nacional para la etapa de puesta en práctica. También es importante su papel de planteamiento de casos a nivel nacional, regional o internacional.</w:t>
      </w: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Sponsors"/>
      </w:pPr>
      <w:r w:rsidRPr="00510396">
        <w:tab/>
      </w:r>
      <w:r w:rsidRPr="00510396">
        <w:tab/>
        <w:t>Medidas para la prevención de las violaciones de los derechos humanos por</w:t>
      </w:r>
      <w:r w:rsidR="00DC21A5" w:rsidRPr="00510396">
        <w:t> </w:t>
      </w:r>
      <w:r w:rsidRPr="00510396">
        <w:t>agentes</w:t>
      </w:r>
      <w:r w:rsidR="00DC21A5" w:rsidRPr="00510396">
        <w:t> </w:t>
      </w:r>
      <w:r w:rsidRPr="00510396">
        <w:t>privados</w:t>
      </w:r>
    </w:p>
    <w:p w:rsidR="00DC21A5" w:rsidRPr="00510396" w:rsidRDefault="00DC21A5" w:rsidP="00DC21A5">
      <w:pPr>
        <w:pStyle w:val="Sponsors"/>
        <w:spacing w:line="120" w:lineRule="exact"/>
        <w:rPr>
          <w:sz w:val="10"/>
        </w:rPr>
      </w:pPr>
    </w:p>
    <w:p w:rsidR="004419F1" w:rsidRPr="00510396" w:rsidRDefault="004419F1" w:rsidP="00DC21A5">
      <w:pPr>
        <w:pStyle w:val="SingleTxt"/>
        <w:numPr>
          <w:ilvl w:val="0"/>
          <w:numId w:val="7"/>
        </w:numPr>
        <w:suppressAutoHyphens w:val="0"/>
        <w:ind w:left="1267" w:firstLine="0"/>
      </w:pPr>
      <w:r w:rsidRPr="00510396">
        <w:t>Por lo general, los Estados deciden discrecionalmente las medidas apropiadas que han de adoptar para prevenir, investigar, castigar y reparar las violaciones cometidas por agentes privados. Deben examinar toda la gama de medidas de prevención y reparación admisibles, en particular medidas políticas, legislativas, reglamentarias y de sometimiento a la justicia</w:t>
      </w:r>
      <w:r w:rsidRPr="00510396">
        <w:rPr>
          <w:color w:val="943634" w:themeColor="accent2" w:themeShade="BF"/>
          <w:vertAlign w:val="superscript"/>
        </w:rPr>
        <w:footnoteReference w:id="46"/>
      </w:r>
      <w:r w:rsidRPr="00510396">
        <w:t xml:space="preserve">. Por ejemplo, en relación con la </w:t>
      </w:r>
      <w:r w:rsidRPr="00510396">
        <w:lastRenderedPageBreak/>
        <w:t>discriminación contra la mujer, las medidas apropiadas incluyen la regulación de las actividades de los agentes privados en cuanto a las políticas y prácticas en materia de educación, empleo y salud, las condiciones y normas laborales y otras esferas en las que los agentes privados prestan servicios, como el sector bancario y la vivienda (CEDAW/C/GC/28, párr. 13).</w:t>
      </w:r>
    </w:p>
    <w:p w:rsidR="004419F1" w:rsidRPr="00510396" w:rsidRDefault="004419F1" w:rsidP="00DC21A5">
      <w:pPr>
        <w:pStyle w:val="SingleTxt"/>
        <w:numPr>
          <w:ilvl w:val="0"/>
          <w:numId w:val="7"/>
        </w:numPr>
        <w:suppressAutoHyphens w:val="0"/>
        <w:ind w:left="1267" w:firstLine="0"/>
      </w:pPr>
      <w:r w:rsidRPr="00510396">
        <w:t>Lo importante es que los Estados no renuncian a sus obligaciones internacionales de derechos humanos cuando privatizan la prestación de servicios</w:t>
      </w:r>
      <w:r w:rsidRPr="00510396">
        <w:rPr>
          <w:color w:val="943634" w:themeColor="accent2" w:themeShade="BF"/>
          <w:vertAlign w:val="superscript"/>
        </w:rPr>
        <w:footnoteReference w:id="47"/>
      </w:r>
      <w:r w:rsidRPr="00510396">
        <w:t xml:space="preserve"> como el agua y el saneamiento (A/HRC/15/31), la educación (A/69/402) o sus facultades de detención o reclusión</w:t>
      </w:r>
      <w:r w:rsidRPr="00510396">
        <w:rPr>
          <w:color w:val="943634" w:themeColor="accent2" w:themeShade="BF"/>
          <w:vertAlign w:val="superscript"/>
        </w:rPr>
        <w:footnoteReference w:id="48"/>
      </w:r>
      <w:r w:rsidRPr="00510396">
        <w:t>. Los Estados deben asegurarse de su capacidad de supervisar efectivamente las actividades de las empresas, en particular mediante mecanismos adecuados e independientes de supervisión y de rendición de cuentas.</w:t>
      </w:r>
    </w:p>
    <w:p w:rsidR="004419F1" w:rsidRPr="00510396" w:rsidRDefault="004419F1" w:rsidP="00DC21A5">
      <w:pPr>
        <w:pStyle w:val="SingleTxt"/>
        <w:numPr>
          <w:ilvl w:val="0"/>
          <w:numId w:val="7"/>
        </w:numPr>
        <w:suppressAutoHyphens w:val="0"/>
        <w:ind w:left="1267" w:firstLine="0"/>
      </w:pPr>
      <w:r w:rsidRPr="00510396">
        <w:t xml:space="preserve">Al margen de las obligaciones estatales, los Principios Rectores sobre las </w:t>
      </w:r>
      <w:r w:rsidR="00BE3D5A">
        <w:t>E</w:t>
      </w:r>
      <w:r w:rsidRPr="00510396">
        <w:t xml:space="preserve">mpresas y los </w:t>
      </w:r>
      <w:r w:rsidR="00BE3D5A">
        <w:t>D</w:t>
      </w:r>
      <w:r w:rsidRPr="00510396">
        <w:t xml:space="preserve">erechos </w:t>
      </w:r>
      <w:r w:rsidR="00BE3D5A">
        <w:t>H</w:t>
      </w:r>
      <w:r w:rsidRPr="00510396">
        <w:t>umanos</w:t>
      </w:r>
      <w:r w:rsidRPr="00510396">
        <w:rPr>
          <w:color w:val="943634" w:themeColor="accent2" w:themeShade="BF"/>
          <w:vertAlign w:val="superscript"/>
        </w:rPr>
        <w:footnoteReference w:id="49"/>
      </w:r>
      <w:r w:rsidRPr="00510396">
        <w:t xml:space="preserve"> establecen los elementos a que deben ajustarse las empresas para cumplir su obligación institucional de respetar los derechos humanos. En primer lugar, deben formular un compromiso normativo a los efectos de cumplir con la obligación de respetar. En segundo lugar, han de actuar permanentemente con la diligencia debida en materia de derechos humanos para delimitar, prevenir, mitigar y justificar su impacto sobre los derechos humanos y estar preparadas para comunicar su compromiso y sus medidas a nivel externo, particularmente a los grupos que es posible que se vean afectados por sus actividades. Dado que sus actividades, su contexto y su impacto pueden modificarse, toda empresa debe reevaluar periódicamente su impacto posible o real sobre todos los derechos humanos. Además, las empresas deben intentar prevenir o mitigar todo impacto perjudicial que guarde relación directa con sus actividades, productos o servicios en el marco de sus relaciones comerciales. Por último, deben poder aplicar procesos que permitan reparar cualquier impacto que puedan causar o propiciar cuando sea perjudicial para los derechos humanos.</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10" w:name="_Toc423075114"/>
      <w:r w:rsidRPr="00510396">
        <w:tab/>
        <w:t>B.</w:t>
      </w:r>
      <w:r w:rsidRPr="00510396">
        <w:tab/>
      </w:r>
      <w:bookmarkEnd w:id="10"/>
      <w:r w:rsidRPr="00510396">
        <w:t>Papel de la educación en derechos humanos</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La educación en derechos humanos contribuye a la prevención de la vulneración de tales derechos y los conflictos al respecto y a la mejora de la participación en los procesos de adopción de decisiones dentro de un sistema democrático</w:t>
      </w:r>
      <w:r w:rsidRPr="00510396">
        <w:rPr>
          <w:color w:val="943634" w:themeColor="accent2" w:themeShade="BF"/>
          <w:vertAlign w:val="superscript"/>
        </w:rPr>
        <w:footnoteReference w:id="50"/>
      </w:r>
      <w:r w:rsidRPr="00510396">
        <w:t>. Debe considerarse un proceso permanente y participativo de desarrollo de conocimientos teóricos y prácticos y de actitudes que impulsen un comportamiento de defensa y promoción de los derechos humanos. En este sentido, dota de medios a los titulares de derechos para que reivindiquen estos últimos y desarrolla la capacidad de quienes tienen poder y responsabilidad (los órganos de protección), como la policía, el ejército y los funcionarios públicos</w:t>
      </w:r>
      <w:r w:rsidRPr="00510396">
        <w:rPr>
          <w:color w:val="943634" w:themeColor="accent2" w:themeShade="BF"/>
          <w:vertAlign w:val="superscript"/>
        </w:rPr>
        <w:footnoteReference w:id="51"/>
      </w:r>
      <w:r w:rsidRPr="00510396">
        <w:t xml:space="preserve"> a los efectos del cumplimiento de sus obligaciones de proteger, respetar y hacer efectivos los derechos humanos. Se ha indicado que una educación inadecuada en derechos humanos es uno de los mayores obstáculos al disfrute de todos los derechos humanos por todas las personas (A/HRC/28/30, párr. 20).</w:t>
      </w:r>
    </w:p>
    <w:p w:rsidR="004419F1" w:rsidRPr="00510396" w:rsidRDefault="004419F1" w:rsidP="00DC21A5">
      <w:pPr>
        <w:pStyle w:val="SingleTxt"/>
        <w:numPr>
          <w:ilvl w:val="0"/>
          <w:numId w:val="7"/>
        </w:numPr>
        <w:suppressAutoHyphens w:val="0"/>
        <w:ind w:left="1267" w:firstLine="0"/>
      </w:pPr>
      <w:r w:rsidRPr="00510396">
        <w:lastRenderedPageBreak/>
        <w:t>La educación en derechos humanos es primordialmente una responsabilidad del Estado</w:t>
      </w:r>
      <w:r w:rsidRPr="00510396">
        <w:rPr>
          <w:color w:val="943634" w:themeColor="accent2" w:themeShade="BF"/>
          <w:vertAlign w:val="superscript"/>
        </w:rPr>
        <w:footnoteReference w:id="52"/>
      </w:r>
      <w:r w:rsidRPr="00510396">
        <w:t>. Los Estados deben incorporar sistemáticamente esa educación dentro del sistema de enseñanza escolar y en la formación de los agentes estatales. Por ejemplo, la formación de los jueces y abogados debe abarcar normas y principios de derechos humanos y jurisprudencia internacional y regional conexa</w:t>
      </w:r>
      <w:r w:rsidRPr="00510396">
        <w:rPr>
          <w:color w:val="943634" w:themeColor="accent2" w:themeShade="BF"/>
          <w:vertAlign w:val="superscript"/>
        </w:rPr>
        <w:footnoteReference w:id="53"/>
      </w:r>
      <w:r w:rsidRPr="00510396">
        <w:t>. En los planes de acción para las etapas primera (sistemas escolares de primaria y secundaria) y segunda (educación superior y formación de los empleados públicos, los funcionarios encargados de hacer cumplir la ley y el ejército) del Programa Mundial para la Educación en Derechos Humanos</w:t>
      </w:r>
      <w:r w:rsidRPr="00510396">
        <w:rPr>
          <w:color w:val="943634" w:themeColor="accent2" w:themeShade="BF"/>
          <w:vertAlign w:val="superscript"/>
        </w:rPr>
        <w:footnoteReference w:id="54"/>
      </w:r>
      <w:r w:rsidRPr="00510396">
        <w:t>, que se propone promover la aplicación a nivel nacional de los programas de educación en derechos humanos en todos los sectores, figuran orientaciones concretas y metodológicamente adecuadas. El Consejo de Derechos Humanos ha examinado el informe de evaluación (A/HRC/30/24) de la segunda etapa del Programa Mundial, que se basa en los informes nacionales de evaluación presentados por los Estados; además, los Estados deben considerar la posibilidad de incluir la aplicación nacional de la educación en derechos humanos como elemento ordinario del Examen Periódico Universal</w:t>
      </w:r>
      <w:r w:rsidRPr="00510396">
        <w:rPr>
          <w:color w:val="943634" w:themeColor="accent2" w:themeShade="BF"/>
          <w:vertAlign w:val="superscript"/>
        </w:rPr>
        <w:footnoteReference w:id="55"/>
      </w:r>
      <w:r w:rsidRPr="00510396">
        <w:t>.</w:t>
      </w:r>
    </w:p>
    <w:p w:rsidR="004419F1" w:rsidRPr="00510396" w:rsidRDefault="004419F1" w:rsidP="00DC21A5">
      <w:pPr>
        <w:pStyle w:val="SingleTxt"/>
        <w:numPr>
          <w:ilvl w:val="0"/>
          <w:numId w:val="7"/>
        </w:numPr>
        <w:suppressAutoHyphens w:val="0"/>
        <w:ind w:left="1267" w:firstLine="0"/>
      </w:pPr>
      <w:r w:rsidRPr="00510396">
        <w:t>La educación y formación en derechos humanos incluyen la preparación de planes de estudios y el material correspondiente, la utilización de metodologías centradas en el educando y de carácter participativo, la aprobación de políticas habilitadoras y de medidas de aplicación normativa y el fomento de entornos de aprendizaje en que se respeten los derechos humanos. Para que esto sea posible, deben reforzarse los conocimientos teóricos y prácticos de los maestros y educadores. Las escuelas, universidades e instituciones educativas inclusivas que promueven los derechos humanos, constituyen un modelo de respeto para los demás y respaldan y encomian la diversidad pueden ser fundamentales para fomentar la propia inclusión y las actitudes inclusivas y deben ser alentadas y protegidas por el Estado</w:t>
      </w:r>
      <w:r w:rsidRPr="00510396">
        <w:rPr>
          <w:color w:val="943634" w:themeColor="accent2" w:themeShade="BF"/>
          <w:vertAlign w:val="superscript"/>
        </w:rPr>
        <w:footnoteReference w:id="56"/>
      </w:r>
      <w:r w:rsidR="00BE3D5A">
        <w:t>.</w:t>
      </w:r>
    </w:p>
    <w:p w:rsidR="004419F1" w:rsidRPr="00510396" w:rsidRDefault="004419F1" w:rsidP="00DC21A5">
      <w:pPr>
        <w:pStyle w:val="SingleTxt"/>
        <w:numPr>
          <w:ilvl w:val="0"/>
          <w:numId w:val="7"/>
        </w:numPr>
        <w:suppressAutoHyphens w:val="0"/>
        <w:ind w:left="1267" w:firstLine="0"/>
      </w:pPr>
      <w:r w:rsidRPr="00510396">
        <w:t>Además de constituir una responsabilidad concreta del Estado, la educación en derechos humanos es asumida también por otros interesados, incluidas las INDH (A/HRC/28/30, párr. 20) y la sociedad civil</w:t>
      </w:r>
      <w:r w:rsidRPr="00510396">
        <w:rPr>
          <w:color w:val="943634" w:themeColor="accent2" w:themeShade="BF"/>
          <w:vertAlign w:val="superscript"/>
        </w:rPr>
        <w:footnoteReference w:id="57"/>
      </w:r>
      <w:r w:rsidRPr="00510396">
        <w:t>. El ACNUDH respalda los esfuerzos nacionales en pro de la educación en derechos humanos a través de sus presencias sobre el terreno, coordina el Programa Mundial para la Educación en Derechos Humanos, brinda asesoramiento de expertos, prepara y difunde herramientas metodológicas basadas en la buena práctica y mantiene recursos para facilitar el intercambio de información</w:t>
      </w:r>
      <w:r w:rsidRPr="00510396">
        <w:rPr>
          <w:color w:val="943634" w:themeColor="accent2" w:themeShade="BF"/>
          <w:vertAlign w:val="superscript"/>
        </w:rPr>
        <w:footnoteReference w:id="58"/>
      </w:r>
      <w:r w:rsidRPr="00510396">
        <w:t>.</w:t>
      </w:r>
    </w:p>
    <w:p w:rsidR="004419F1" w:rsidRPr="00510396" w:rsidRDefault="004419F1" w:rsidP="00DC21A5">
      <w:pPr>
        <w:pStyle w:val="SingleTxt"/>
        <w:numPr>
          <w:ilvl w:val="0"/>
          <w:numId w:val="7"/>
        </w:numPr>
        <w:suppressAutoHyphens w:val="0"/>
        <w:ind w:left="1267" w:firstLine="0"/>
      </w:pPr>
      <w:r w:rsidRPr="00510396">
        <w:t xml:space="preserve">Numerosas INDH promueven la educación en derechos humanos recurriendo a una diversidad de instrumentos, como los programas radiofónicos, los juegos y las herramientas interactivas, así como los programas en línea. Las INDH también se centran en grupos concretos que tienen más posibilidades de sufrir discriminación o violaciones. Ello incluye programas destinados a grupos concretos y a quienes interactúan con tales grupos, como los servicios sociales, los maestros, el personal </w:t>
      </w:r>
      <w:r w:rsidRPr="00510396">
        <w:lastRenderedPageBreak/>
        <w:t>docente y la policía. Las INDH pueden señalar necesidades concretas de determinados grupos merced a su función de supervisión, los casos individuales y el análisis de datos estadísticos más amplios, lo que pone de manifiesto los beneficios de la coherencia y el enriquecimiento mutuo entre las diferentes funciones de tales órganos.</w:t>
      </w:r>
    </w:p>
    <w:p w:rsidR="004419F1" w:rsidRPr="00510396" w:rsidRDefault="004419F1" w:rsidP="00DC21A5">
      <w:pPr>
        <w:pStyle w:val="SingleTxt"/>
        <w:numPr>
          <w:ilvl w:val="0"/>
          <w:numId w:val="7"/>
        </w:numPr>
        <w:suppressAutoHyphens w:val="0"/>
        <w:ind w:left="1267" w:firstLine="0"/>
      </w:pPr>
      <w:r w:rsidRPr="00510396">
        <w:t>Las INDH también promueven la sensibilización pública de los derechos humanos</w:t>
      </w:r>
      <w:r w:rsidRPr="00510396">
        <w:rPr>
          <w:color w:val="943634" w:themeColor="accent2" w:themeShade="BF"/>
          <w:vertAlign w:val="superscript"/>
        </w:rPr>
        <w:footnoteReference w:id="59"/>
      </w:r>
      <w:r w:rsidRPr="00510396">
        <w:t xml:space="preserve"> en los medios de comunicación a través de comunicados de prensa, informes, opiniones de expertos y recomendaciones</w:t>
      </w:r>
      <w:r w:rsidRPr="00510396">
        <w:rPr>
          <w:color w:val="943634" w:themeColor="accent2" w:themeShade="BF"/>
          <w:vertAlign w:val="superscript"/>
        </w:rPr>
        <w:footnoteReference w:id="60"/>
      </w:r>
      <w:r w:rsidRPr="00510396">
        <w:t xml:space="preserve"> (lo que incluye actividades de promoción de la ratificación de los tratados de derechos humanos</w:t>
      </w:r>
      <w:r w:rsidRPr="00510396">
        <w:rPr>
          <w:color w:val="943634" w:themeColor="accent2" w:themeShade="BF"/>
          <w:vertAlign w:val="superscript"/>
        </w:rPr>
        <w:footnoteReference w:id="61"/>
      </w:r>
      <w:r w:rsidRPr="00510396">
        <w:t>). Las INDH han establecido centros de visitantes como medios de realizar actividades de educación y divulgación y, algunas de ellas intervienen en programas de televisión, particularmente para exponer casos y cuestiones a la opinión pública</w:t>
      </w:r>
      <w:r w:rsidRPr="00510396">
        <w:rPr>
          <w:color w:val="943634" w:themeColor="accent2" w:themeShade="BF"/>
          <w:vertAlign w:val="superscript"/>
        </w:rPr>
        <w:footnoteReference w:id="62"/>
      </w:r>
      <w:r w:rsidRPr="00510396">
        <w:t>. Por último, las INDH también sirven para compartir buenas prácticas y experiencias adquiridas entre los Estados cuando se hacen públicas sus recomendaciones y opiniones, como, por ejemplo, como parte de informes anuales.</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11" w:name="_Toc423075115"/>
      <w:r w:rsidRPr="00510396">
        <w:tab/>
        <w:t>C.</w:t>
      </w:r>
      <w:r w:rsidRPr="00510396">
        <w:tab/>
      </w:r>
      <w:bookmarkEnd w:id="11"/>
      <w:r w:rsidRPr="00510396">
        <w:t>Mecanismos de planificación y supervisión</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Hay diversos mecanismos de planificación y supervisión que pueden servir de ayuda a los Estados y los interesados a los efectos de la prevención de las violaciones de los derechos humanos, particularmente en relación con la formulación de políticas. Algunos Estados han elaborado planes de acción nacionales sobre derechos humanos</w:t>
      </w:r>
      <w:r w:rsidRPr="00510396">
        <w:rPr>
          <w:color w:val="943634" w:themeColor="accent2" w:themeShade="BF"/>
          <w:vertAlign w:val="superscript"/>
        </w:rPr>
        <w:footnoteReference w:id="63"/>
      </w:r>
      <w:r w:rsidRPr="00510396">
        <w:t xml:space="preserve"> o planes de acción sobre determinadas cuestiones</w:t>
      </w:r>
      <w:r w:rsidRPr="00510396">
        <w:rPr>
          <w:color w:val="943634" w:themeColor="accent2" w:themeShade="BF"/>
          <w:vertAlign w:val="superscript"/>
        </w:rPr>
        <w:footnoteReference w:id="64"/>
      </w:r>
      <w:r w:rsidRPr="00510396">
        <w:t>, que pueden servir de orientación para las actividades de prevención. Además, es asimismo importante el establecimiento de un órgano en el que participen entidades estatales, INDH y la sociedad civil con el fin de asesorar al Estado o a las INDH en relación con cuestiones de derechos humanos en general o en relación con un determinado grupo</w:t>
      </w:r>
      <w:r w:rsidRPr="00510396">
        <w:rPr>
          <w:color w:val="943634" w:themeColor="accent2" w:themeShade="BF"/>
          <w:vertAlign w:val="superscript"/>
        </w:rPr>
        <w:footnoteReference w:id="65"/>
      </w:r>
      <w:r w:rsidRPr="00510396">
        <w:t>, como, por ejemplo, el de las personas de edad</w:t>
      </w:r>
      <w:r w:rsidRPr="00510396">
        <w:rPr>
          <w:color w:val="943634" w:themeColor="accent2" w:themeShade="BF"/>
          <w:vertAlign w:val="superscript"/>
        </w:rPr>
        <w:footnoteReference w:id="66"/>
      </w:r>
      <w:r w:rsidRPr="00510396">
        <w:t>.</w:t>
      </w: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Sponsors"/>
      </w:pPr>
      <w:r w:rsidRPr="00510396">
        <w:tab/>
      </w:r>
      <w:r w:rsidRPr="00510396">
        <w:tab/>
        <w:t>Evaluaciones de los efectos en los derechos humanos</w:t>
      </w:r>
    </w:p>
    <w:p w:rsidR="00DC21A5" w:rsidRPr="00510396" w:rsidRDefault="00DC21A5" w:rsidP="00DC21A5">
      <w:pPr>
        <w:pStyle w:val="Sponsors"/>
        <w:spacing w:line="120" w:lineRule="exact"/>
        <w:rPr>
          <w:sz w:val="10"/>
        </w:rPr>
      </w:pPr>
    </w:p>
    <w:p w:rsidR="004419F1" w:rsidRPr="00510396" w:rsidRDefault="004419F1" w:rsidP="00DC21A5">
      <w:pPr>
        <w:pStyle w:val="SingleTxt"/>
        <w:numPr>
          <w:ilvl w:val="0"/>
          <w:numId w:val="7"/>
        </w:numPr>
        <w:suppressAutoHyphens w:val="0"/>
        <w:ind w:left="1267" w:firstLine="0"/>
      </w:pPr>
      <w:r w:rsidRPr="00510396">
        <w:t xml:space="preserve">Las evaluaciones de los efectos en los derechos humanos son instrumentos para examinar las políticas, la legislación, los programas y los proyectos antes de su aprobación a fin de delimitar y medir sus repercusiones en los derechos humanos (por ejemplo, el documento A/HRC/19/59/Add.5). Tienen por objeto delimitar los efectos deseados y no deseados en el disfrute de los derechos humanos y la capacidad del Estado de proteger esos derechos y hacerlos efectivos. A este respecto, constituyen un mecanismo de planificación para prevenir las violaciones de los derechos humanos mediante la evaluación de la compatibilidad formal o aparente de las leyes, las </w:t>
      </w:r>
      <w:r w:rsidRPr="00510396">
        <w:lastRenderedPageBreak/>
        <w:t>políticas, los presupuestos</w:t>
      </w:r>
      <w:r w:rsidRPr="00510396">
        <w:rPr>
          <w:color w:val="943634" w:themeColor="accent2" w:themeShade="BF"/>
          <w:vertAlign w:val="superscript"/>
        </w:rPr>
        <w:footnoteReference w:id="67"/>
      </w:r>
      <w:r w:rsidRPr="00510396">
        <w:t xml:space="preserve"> y otras medidas con las obligaciones de derechos humanos, así como los posibles efectos en la práctica, lo que brinda la oportunidad de su reexamen, su revisión o su reajuste antes de su aprobación. Las consultas previas con interesados pertinentes pueden servir para detectar posibles efectos en los derechos humanos. Tales actividades pueden dar lugar a que diferentes oficinas y departamentos del gobierno establezcan un enfoque obligatorio de derechos humanos en el ámbito de la planificación y una utilización obligatoria y sistemática de las recomendaciones de los mecanismos internacionales y regionales de derechos humanos en el ámbito de la formulación de políticas públicas</w:t>
      </w:r>
      <w:r w:rsidRPr="00510396">
        <w:rPr>
          <w:color w:val="943634" w:themeColor="accent2" w:themeShade="BF"/>
          <w:vertAlign w:val="superscript"/>
        </w:rPr>
        <w:footnoteReference w:id="68"/>
      </w:r>
      <w:r w:rsidRPr="00510396">
        <w:t>. Un ejemplo destacado y reciente incluye el requisito establecido en el artículo 7 del Tratado sobre el Comercio de Armas de que, aun cuando no esté prohibida una transferencia de armas convencionales propuesta, el Estado exportador ha de evaluar en particular si tales armas podrían utilizarse para cometer o facilitar graves violaciones del derecho internacional de los derechos humanos o del derecho internacional humanitario.</w:t>
      </w:r>
    </w:p>
    <w:p w:rsidR="004419F1" w:rsidRPr="00510396" w:rsidRDefault="004419F1" w:rsidP="00DC21A5">
      <w:pPr>
        <w:pStyle w:val="SingleTxt"/>
        <w:numPr>
          <w:ilvl w:val="0"/>
          <w:numId w:val="7"/>
        </w:numPr>
        <w:suppressAutoHyphens w:val="0"/>
        <w:ind w:left="1267" w:firstLine="0"/>
      </w:pPr>
      <w:r w:rsidRPr="00510396">
        <w:t>Cuando las realizan los encargados de formular políticas, las evaluaciones de los efectos en los derechos humanos pueden garantizar que todos los derechos humanos se tienen en cuenta en la etapa más temprana posible de la formulación de políticas. Por ejemplo, la planificación de políticas debe garantizar una protección social adecuada y luchar contra la exclusión social. Ello es esencial, habida cuenta en particular de que muchos Estados han respondido a la reciente crisis financiera mundial con medidas de austeridad que entrañan recortes considerables del gasto en el sector social</w:t>
      </w:r>
      <w:r w:rsidRPr="00510396">
        <w:rPr>
          <w:color w:val="943634" w:themeColor="accent2" w:themeShade="BF"/>
          <w:vertAlign w:val="superscript"/>
        </w:rPr>
        <w:footnoteReference w:id="69"/>
      </w:r>
      <w:r w:rsidRPr="00510396">
        <w:t xml:space="preserve">. Según un reciente informe del ACNUDH, </w:t>
      </w:r>
      <w:r w:rsidR="00CD2CC2" w:rsidRPr="00510396">
        <w:t>“</w:t>
      </w:r>
      <w:r w:rsidRPr="00510396">
        <w:t>los recortes en el empleo en el sector público y la financiación de las redes de protección social han dado lugar a la denegación o la vulneración de los derechos económicos, sociales y culturales, en especial de los grupos ya marginados o en riesgo de serlo, y en algunos casos pueden contravenir la prohibición de discriminación en el goce de los derechos humanos</w:t>
      </w:r>
      <w:r w:rsidR="00CD2CC2" w:rsidRPr="00510396">
        <w:t>”</w:t>
      </w:r>
      <w:r w:rsidRPr="00510396">
        <w:t xml:space="preserve"> (E/2013/82, párr.</w:t>
      </w:r>
      <w:r w:rsidR="00BE3D5A">
        <w:t> </w:t>
      </w:r>
      <w:r w:rsidRPr="00510396">
        <w:t>70). El Presidente del Comité de Derechos Económicos, Sociales y Culturales ha señalado a este respecto que, para cumplir sus obligaciones de derechos humanos, los Estados partes en el Pacto de Derechos Económicos, Sociales y Culturales han de justificar las medidas de austeridad demostrando que tales medidas protegen realmente los derechos recogidos en el Pacto y, en particular, los derechos de los más vulnerables. Ello requiere que los Estados demuestren que se han agotado todas las demás alternativas y que las medidas son necesarias, proporcionadas, respetuosas de las obligaciones básicas mínimas y no discriminatorias</w:t>
      </w:r>
      <w:r w:rsidRPr="00510396">
        <w:rPr>
          <w:color w:val="943634" w:themeColor="accent2" w:themeShade="BF"/>
          <w:vertAlign w:val="superscript"/>
        </w:rPr>
        <w:footnoteReference w:id="70"/>
      </w:r>
      <w:r w:rsidRPr="00510396">
        <w:t>.</w:t>
      </w: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Sponsors"/>
      </w:pPr>
      <w:r w:rsidRPr="00510396">
        <w:tab/>
      </w:r>
      <w:r w:rsidRPr="00510396">
        <w:tab/>
        <w:t>Reunión de datos y análisis de las estadísticas</w:t>
      </w:r>
    </w:p>
    <w:p w:rsidR="00DC21A5" w:rsidRPr="00510396" w:rsidRDefault="00DC21A5" w:rsidP="00DC21A5">
      <w:pPr>
        <w:pStyle w:val="Sponsors"/>
        <w:spacing w:line="120" w:lineRule="exact"/>
        <w:rPr>
          <w:sz w:val="10"/>
        </w:rPr>
      </w:pPr>
    </w:p>
    <w:p w:rsidR="004419F1" w:rsidRPr="00510396" w:rsidRDefault="004419F1" w:rsidP="00DC21A5">
      <w:pPr>
        <w:pStyle w:val="SingleTxt"/>
        <w:numPr>
          <w:ilvl w:val="0"/>
          <w:numId w:val="7"/>
        </w:numPr>
        <w:suppressAutoHyphens w:val="0"/>
        <w:ind w:left="1267" w:firstLine="0"/>
      </w:pPr>
      <w:r w:rsidRPr="00510396">
        <w:t xml:space="preserve">La reunión de datos y el análisis de las estadísticas sobre la población y determinadas cuestiones resultan esenciales para prevenir y combatir la discriminación contra determinados grupos. A su vez, ello requiere que los datos recogidos sean suficientemente precisos y representativos: si hay grupos no incluidos desde el principio en la reunión de datos, su exclusión de los programas o la discriminación contra ellos no aparecerá en las estadísticas. La participación de las INDH, de la sociedad civil, de determinados grupos y de estadísticos en la preparación de las encuestas y los cuestionarios contribuye a reducir ese riesgo al mínimo. Un enfoque de derechos humanos respecto del desglose de datos exige incluir a los grupos más </w:t>
      </w:r>
      <w:r w:rsidRPr="00510396">
        <w:lastRenderedPageBreak/>
        <w:t>vulnerables y marginados y garantizar que se aplican salvaguardias de derechos humanos a los efectos de reunir, procesar, analizar y difundir esos datos (lo que incluye garantizar los derechos a la protección, al registro y a la autoidentificación de los datos)</w:t>
      </w:r>
      <w:r w:rsidRPr="00510396">
        <w:rPr>
          <w:color w:val="943634" w:themeColor="accent2" w:themeShade="BF"/>
          <w:vertAlign w:val="superscript"/>
        </w:rPr>
        <w:footnoteReference w:id="71"/>
      </w:r>
      <w:r w:rsidRPr="00510396">
        <w:t>.</w:t>
      </w:r>
    </w:p>
    <w:p w:rsidR="004419F1" w:rsidRPr="00510396" w:rsidRDefault="004419F1" w:rsidP="00DC21A5">
      <w:pPr>
        <w:pStyle w:val="SingleTxt"/>
        <w:numPr>
          <w:ilvl w:val="0"/>
          <w:numId w:val="7"/>
        </w:numPr>
        <w:suppressAutoHyphens w:val="0"/>
        <w:ind w:left="1267" w:firstLine="0"/>
      </w:pPr>
      <w:r w:rsidRPr="00510396">
        <w:t>Las líneas de ayuda telefónica, los registros de denuncias y peticiones de las INDH (A/HRC/18/24, párr. 43) y los programas similares constituyen un complemento útil para la reunión sistemática de datos y también pueden servir de base para señalar cuestiones y problemas que no estén siendo debidamente abordados o que anteriormente no se hubieran señalado.</w:t>
      </w: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Sponsors"/>
      </w:pPr>
      <w:r w:rsidRPr="00510396">
        <w:tab/>
      </w:r>
      <w:r w:rsidRPr="00510396">
        <w:tab/>
        <w:t>Indicadores de derechos humanos</w:t>
      </w:r>
    </w:p>
    <w:p w:rsidR="00DC21A5" w:rsidRPr="00510396" w:rsidRDefault="00DC21A5" w:rsidP="00DC21A5">
      <w:pPr>
        <w:pStyle w:val="Sponsors"/>
        <w:spacing w:line="120" w:lineRule="exact"/>
        <w:rPr>
          <w:sz w:val="10"/>
        </w:rPr>
      </w:pPr>
    </w:p>
    <w:p w:rsidR="004419F1" w:rsidRPr="00510396" w:rsidRDefault="004419F1" w:rsidP="00DC21A5">
      <w:pPr>
        <w:pStyle w:val="SingleTxt"/>
        <w:numPr>
          <w:ilvl w:val="0"/>
          <w:numId w:val="7"/>
        </w:numPr>
        <w:suppressAutoHyphens w:val="0"/>
        <w:ind w:left="1267" w:firstLine="0"/>
      </w:pPr>
      <w:r w:rsidRPr="00510396">
        <w:t>Los indicadores de derechos humanos</w:t>
      </w:r>
      <w:r w:rsidRPr="00510396">
        <w:rPr>
          <w:color w:val="943634" w:themeColor="accent2" w:themeShade="BF"/>
          <w:vertAlign w:val="superscript"/>
        </w:rPr>
        <w:footnoteReference w:id="72"/>
      </w:r>
      <w:r w:rsidRPr="00510396">
        <w:t xml:space="preserve"> son mecanismos esenciales para ayudar a los Estados a evaluar sus propios progresos con el fin de garantizar el disfrute de los derechos humanos de su población, planificar medidas para prevenir las violaciones de esos derechos y supervisar la aplicación de tales medidas para determinar su eficacia y si se requieren reajustes o nuevas medidas. Por ejemplo, en el marco de la labor de los órganos de tratados de derechos humanos de las Naciones Unidas, la utilización de indicadores apropiados constituye un medio de ayudar a los Estados partes, por una parte, a facilitar información precisa y pertinente a los órganos de tratados y, por otra, a evaluar los progresos realizados en el cumplimiento de las obligaciones contraídas por el Estado en virtud de los tratados</w:t>
      </w:r>
      <w:r w:rsidRPr="00510396">
        <w:rPr>
          <w:color w:val="943634" w:themeColor="accent2" w:themeShade="BF"/>
          <w:vertAlign w:val="superscript"/>
        </w:rPr>
        <w:footnoteReference w:id="73"/>
      </w:r>
      <w:r w:rsidRPr="00510396">
        <w:t>.</w:t>
      </w:r>
    </w:p>
    <w:p w:rsidR="004419F1" w:rsidRPr="00510396" w:rsidRDefault="004419F1" w:rsidP="00DC21A5">
      <w:pPr>
        <w:pStyle w:val="SingleTxt"/>
        <w:numPr>
          <w:ilvl w:val="0"/>
          <w:numId w:val="7"/>
        </w:numPr>
        <w:suppressAutoHyphens w:val="0"/>
        <w:ind w:left="1267" w:firstLine="0"/>
      </w:pPr>
      <w:r w:rsidRPr="00510396">
        <w:t xml:space="preserve">El ACNUDH ha establecido un marco conceptual y metodológico de indicadores que puede aplicarse y contextualizarse mediante procesos participativos a nivel nacional. En el marco se recomienda el establecimiento de indicadores estructurales, de procesos y de resultados. Esa configuración debe servir para evaluar las medidas adoptadas por los Estados en el cumplimiento de sus obligaciones </w:t>
      </w:r>
      <w:r w:rsidR="00BE3D5A">
        <w:t>—</w:t>
      </w:r>
      <w:r w:rsidRPr="00510396">
        <w:t>desde los compromisos y la aceptación de las normas internacionales de derechos humanos (indicadores estructurales) a los esfuerzos que se realizan para cumplir las obligaciones que dimanan de tales normas (indicadores de proceso) y los resultados de tales esfuerzos (indicadores de resultado). Por ejemplo, en relación con el derecho a la libertad y seguridad de la persona, un indicador estructural podría indicar la fecha de entrada en vigor y el alcance del derecho en la constitución; un indicador de proceso podría mostrar la proporción de denuncias recibidas sobre el derecho que hayan sido investigadas y resueltas por la INDH; y un indicador de resultado indicaría la proporción de detenciones y reclusiones declaradas ilícitas por los tribunales nacionales</w:t>
      </w:r>
      <w:r w:rsidRPr="00510396">
        <w:rPr>
          <w:color w:val="943634" w:themeColor="accent2" w:themeShade="BF"/>
          <w:vertAlign w:val="superscript"/>
        </w:rPr>
        <w:footnoteReference w:id="74"/>
      </w:r>
      <w:r w:rsidR="00CD2CC2" w:rsidRPr="00510396">
        <w:t>.</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Sponsors"/>
      </w:pPr>
      <w:r w:rsidRPr="00510396">
        <w:tab/>
      </w:r>
      <w:r w:rsidRPr="00510396">
        <w:tab/>
        <w:t>Seguimiento de las recomendaciones por los mecanismos de derechos humanos</w:t>
      </w:r>
    </w:p>
    <w:p w:rsidR="00DC21A5" w:rsidRPr="00510396" w:rsidRDefault="00DC21A5" w:rsidP="00DC21A5">
      <w:pPr>
        <w:pStyle w:val="Sponsors"/>
        <w:spacing w:line="120" w:lineRule="exact"/>
        <w:rPr>
          <w:sz w:val="10"/>
        </w:rPr>
      </w:pPr>
    </w:p>
    <w:p w:rsidR="004419F1" w:rsidRPr="00510396" w:rsidRDefault="004419F1" w:rsidP="00CD2CC2">
      <w:pPr>
        <w:pStyle w:val="SingleTxt"/>
        <w:numPr>
          <w:ilvl w:val="0"/>
          <w:numId w:val="7"/>
        </w:numPr>
        <w:suppressAutoHyphens w:val="0"/>
        <w:spacing w:line="236" w:lineRule="exact"/>
        <w:ind w:left="1267" w:firstLine="0"/>
      </w:pPr>
      <w:r w:rsidRPr="00510396">
        <w:t xml:space="preserve">Es también muy importante el establecimiento de mecanismos para el seguimiento de las recomendaciones formuladas a los Estados por los mecanismos de derechos humanos. En primer lugar, la recopilación de recomendaciones en un </w:t>
      </w:r>
      <w:r w:rsidRPr="00510396">
        <w:lastRenderedPageBreak/>
        <w:t>formato públicamente disponible, accesible y coherente</w:t>
      </w:r>
      <w:r w:rsidRPr="00510396">
        <w:rPr>
          <w:color w:val="943634" w:themeColor="accent2" w:themeShade="BF"/>
          <w:vertAlign w:val="superscript"/>
        </w:rPr>
        <w:footnoteReference w:id="75"/>
      </w:r>
      <w:r w:rsidRPr="00510396">
        <w:t xml:space="preserve"> permite que los órganos gubernamentales pertinentes y otros interesados supervisen su aplicación. Ello podría cobrar la forma de base de datos en línea públicamente accesible y sistemáticamente actualizada a fin de indicar la situación de la aplicación y, además, facilitaría el examen de esas recomendaciones en relación con la preparación o la revisión de una estrategia nacional o de un plan de acción nacional sobre los derechos humanos. Pueden aprobarse leyes o procedimientos concretos con miras a la aplicación nacional de la jurisprudencia internacional y regional y se puede invitar a un representante de la víctima a que intervenga ante el órgano gubernamental encargado de la aplicación nacional de un caso concreto</w:t>
      </w:r>
      <w:r w:rsidRPr="00510396">
        <w:rPr>
          <w:color w:val="943634" w:themeColor="accent2" w:themeShade="BF"/>
          <w:vertAlign w:val="superscript"/>
        </w:rPr>
        <w:footnoteReference w:id="76"/>
      </w:r>
      <w:r w:rsidRPr="00510396">
        <w:t>. También pueden establecerse mecanismos permanentes en los ministerios para supervisar la aplicación de las recomendaciones, teniendo en cuenta en particular los problemas estructurales que puedan haberse señalado por conducto de los mecanismos regionales de derechos humanos e intentar prevenir nuevas vulneraciones sobre la base de tales problemas</w:t>
      </w:r>
      <w:r w:rsidRPr="00510396">
        <w:rPr>
          <w:color w:val="943634" w:themeColor="accent2" w:themeShade="BF"/>
          <w:vertAlign w:val="superscript"/>
        </w:rPr>
        <w:footnoteReference w:id="77"/>
      </w:r>
      <w:r w:rsidRPr="00510396">
        <w:t>.</w:t>
      </w:r>
    </w:p>
    <w:p w:rsidR="004419F1" w:rsidRPr="00510396" w:rsidRDefault="004419F1" w:rsidP="00CD2CC2">
      <w:pPr>
        <w:pStyle w:val="SingleTxt"/>
        <w:numPr>
          <w:ilvl w:val="0"/>
          <w:numId w:val="7"/>
        </w:numPr>
        <w:suppressAutoHyphens w:val="0"/>
        <w:spacing w:line="236" w:lineRule="exact"/>
        <w:ind w:left="1267" w:firstLine="0"/>
      </w:pPr>
      <w:r w:rsidRPr="00510396">
        <w:t xml:space="preserve">La aplicación de las recomendaciones de los mecanismos de derechos humanos a las políticas y los programas nacionales requiere una coordinación eficaz, un marco analítico y un enfoque metodológico armonioso. Las causas de las vulneraciones de los derechos humanos pueden ser palmarias, como, por ejemplo, determinadas leyes o políticas que excluyen a determinados grupos de la educación. También pueden ser más complejas y abarcar diversas actitudes jurídicas, normativas, prácticas y sociales. La participación de las personas afectadas puede contribuir a delimitar las causas, a examinar posibles soluciones y a abordar la cuestión del derecho a participar en la toma de decisiones. El establecimiento de mecanismos inclusivos y permanentes de coordinación y seguimiento ha demostrado ser útil para ello (A/HRC/27/41, párr. 101). Las consultas y la participación a todos los niveles del gobierno desde un principio contribuyen a garantizar su compromiso constante a lo largo de la etapa de aplicación. La creación de órganos interministeriales o interinstitucionales dirigidos claramente por un ministerio, que también incluyan a las INDH y a la sociedad civil, puede mejorar la capacidad a los efectos de adoptar medidas oportunas. El hecho de garantizar la participación de los mismos órganos o procesos en actividades de consulta y coordinación respecto de la prevención en el ámbito de los derechos humanos y la aplicación de recomendaciones de los mecanismos de derechos humanos también pueden contribuir a que el sistema sea eficaz, coherente y armonioso. </w:t>
      </w:r>
    </w:p>
    <w:p w:rsidR="004419F1" w:rsidRPr="00510396" w:rsidRDefault="004419F1" w:rsidP="00CD2CC2">
      <w:pPr>
        <w:pStyle w:val="SingleTxt"/>
        <w:numPr>
          <w:ilvl w:val="0"/>
          <w:numId w:val="7"/>
        </w:numPr>
        <w:suppressAutoHyphens w:val="0"/>
        <w:spacing w:line="236" w:lineRule="exact"/>
        <w:ind w:left="1267" w:firstLine="0"/>
      </w:pPr>
      <w:r w:rsidRPr="00510396">
        <w:t xml:space="preserve">La planificación, la supervisión y la rendición de cuentas en el ámbito de los compromisos sobre derechos humanos que figuran en la nueva </w:t>
      </w:r>
      <w:r w:rsidRPr="00510396">
        <w:rPr>
          <w:iCs/>
        </w:rPr>
        <w:t>agenda</w:t>
      </w:r>
      <w:r w:rsidR="00BE3D5A">
        <w:t xml:space="preserve"> </w:t>
      </w:r>
      <w:r w:rsidRPr="00510396">
        <w:t xml:space="preserve">para el desarrollo después de 2015 también serán fundamentales. En el proyecto final de los objetivos de desarrollo sostenible los Estados han afirmado que la nueva </w:t>
      </w:r>
      <w:r w:rsidRPr="00510396">
        <w:rPr>
          <w:iCs/>
        </w:rPr>
        <w:t>agenda</w:t>
      </w:r>
      <w:r w:rsidR="00BE3D5A">
        <w:rPr>
          <w:iCs/>
        </w:rPr>
        <w:t xml:space="preserve"> </w:t>
      </w:r>
      <w:r w:rsidRPr="00510396">
        <w:t xml:space="preserve">para el desarrollo después de 2015 se </w:t>
      </w:r>
      <w:r w:rsidR="00510396" w:rsidRPr="00510396">
        <w:t>guiaría</w:t>
      </w:r>
      <w:r w:rsidRPr="00510396">
        <w:t xml:space="preserve"> por los propósitos y principios de la Carta de las Naciones Unidas, como el pleno respeto del derecho internacional; y se basaría en la Declaración </w:t>
      </w:r>
      <w:r w:rsidR="00BE3D5A">
        <w:t xml:space="preserve">Universal </w:t>
      </w:r>
      <w:r w:rsidRPr="00510396">
        <w:t>de Derechos Humanos, los tratados internacionales de derechos humanos y otros instrumentos internacionales como la Declaración sobre el Derecho al Desarrollo</w:t>
      </w:r>
      <w:r w:rsidRPr="00510396">
        <w:rPr>
          <w:color w:val="943634" w:themeColor="accent2" w:themeShade="BF"/>
          <w:vertAlign w:val="superscript"/>
        </w:rPr>
        <w:footnoteReference w:id="78"/>
      </w:r>
      <w:r w:rsidRPr="00510396">
        <w:t xml:space="preserve">. El logro de una aplicación eficaz de la agenda dependerá del </w:t>
      </w:r>
      <w:r w:rsidRPr="00510396">
        <w:lastRenderedPageBreak/>
        <w:t xml:space="preserve">establecimiento de un sólido marco de </w:t>
      </w:r>
      <w:r w:rsidR="00CD2CC2" w:rsidRPr="00510396">
        <w:t>“</w:t>
      </w:r>
      <w:r w:rsidRPr="00510396">
        <w:t>seguimiento y examen</w:t>
      </w:r>
      <w:r w:rsidR="00CD2CC2" w:rsidRPr="00510396">
        <w:t>”</w:t>
      </w:r>
      <w:r w:rsidRPr="00510396">
        <w:t xml:space="preserve"> para garantizar que se cumplen los compromisos</w:t>
      </w:r>
      <w:r w:rsidRPr="00510396">
        <w:rPr>
          <w:color w:val="943634" w:themeColor="accent2" w:themeShade="BF"/>
          <w:vertAlign w:val="superscript"/>
        </w:rPr>
        <w:footnoteReference w:id="79"/>
      </w:r>
      <w:r w:rsidR="00DC21A5" w:rsidRPr="00510396">
        <w:t>.</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10396">
        <w:tab/>
        <w:t>IV.</w:t>
      </w:r>
      <w:r w:rsidRPr="00510396">
        <w:tab/>
        <w:t>Papel de los interesados internacionales y regionales en</w:t>
      </w:r>
      <w:r w:rsidR="00DC21A5" w:rsidRPr="00510396">
        <w:t> </w:t>
      </w:r>
      <w:r w:rsidRPr="00510396">
        <w:t>relación con la prevención</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 xml:space="preserve">Los interesados internacionales y regionales pueden ayudar a los Estados a delimitar y proponer medidas para subsanar las deficiencias o insuficiencias relacionadas con la protección, las leyes, las políticas y las prácticas, particularmente por conducto del Examen Periódico Universal. </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12" w:name="_Toc423075117"/>
      <w:r w:rsidRPr="00510396">
        <w:tab/>
        <w:t>A.</w:t>
      </w:r>
      <w:r w:rsidRPr="00510396">
        <w:tab/>
      </w:r>
      <w:bookmarkEnd w:id="12"/>
      <w:r w:rsidRPr="00510396">
        <w:t>Mecanismos internacionales y regionales de derechos humanos</w:t>
      </w:r>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DC21A5">
      <w:pPr>
        <w:pStyle w:val="SingleTxt"/>
        <w:numPr>
          <w:ilvl w:val="0"/>
          <w:numId w:val="7"/>
        </w:numPr>
        <w:suppressAutoHyphens w:val="0"/>
        <w:ind w:left="1267" w:firstLine="0"/>
      </w:pPr>
      <w:r w:rsidRPr="00510396">
        <w:t>Los mecanismos internacionales y regionales de derechos humanos</w:t>
      </w:r>
      <w:r w:rsidRPr="00510396">
        <w:rPr>
          <w:color w:val="943634" w:themeColor="accent2" w:themeShade="BF"/>
          <w:vertAlign w:val="superscript"/>
        </w:rPr>
        <w:footnoteReference w:id="80"/>
      </w:r>
      <w:r w:rsidRPr="00510396">
        <w:t xml:space="preserve"> complementan y sirven de asistencia a los procesos racionales de prevención de las vulneraciones de los derechos humanos por conducto de ideas y conocimientos especializados externos en relación con las situaciones, las leyes, las políticas y las prácticas, tomando como base su conocimiento de las prácticas y de los problemas enfrentados por otros Estados. Además, fomentan la interacción y el compromiso entre el Estado y otros interesados sobre cuestiones de derechos humanos y sirven para explicar el contenido de los derechos, dado que sus recomendaciones son frecuentemente públicas. El Consejo de Derechos Humanos ha recordado su papel en la prevención de las violaciones de los derechos humanos mediante la cooperación y el diálogo, de conformidad con la resolución 60/251 de la Asamblea General (A/HRC/RES/24/16, preámbulo). Si bien el sistema internacional confiere una perspectiva global y una universalidad a la protección de los derechos humanos, los mecanismos regionales pueden disponer de </w:t>
      </w:r>
      <w:r w:rsidR="00CD2CC2" w:rsidRPr="00510396">
        <w:t>“</w:t>
      </w:r>
      <w:r w:rsidRPr="00510396">
        <w:t>más medios para la detección temprana y podían aprovechar la experiencia de situaciones comparables que se daban en países de la región… ya que algunos países respondían mejor a los ejemplos basados en la experiencia de países vecinos</w:t>
      </w:r>
      <w:r w:rsidR="00CD2CC2" w:rsidRPr="00510396">
        <w:t>”</w:t>
      </w:r>
      <w:r w:rsidRPr="00510396">
        <w:t xml:space="preserve"> (A/HRC/28/30, párr. 18).</w:t>
      </w:r>
    </w:p>
    <w:p w:rsidR="004419F1" w:rsidRPr="00510396" w:rsidRDefault="004419F1" w:rsidP="00CD2CC2">
      <w:pPr>
        <w:pStyle w:val="SingleTxt"/>
        <w:numPr>
          <w:ilvl w:val="0"/>
          <w:numId w:val="7"/>
        </w:numPr>
        <w:suppressAutoHyphens w:val="0"/>
        <w:spacing w:line="236" w:lineRule="exact"/>
        <w:ind w:left="1267" w:firstLine="0"/>
        <w:rPr>
          <w:bCs/>
        </w:rPr>
      </w:pPr>
      <w:r w:rsidRPr="00510396">
        <w:rPr>
          <w:bCs/>
        </w:rPr>
        <w:t xml:space="preserve">Esos mecanismos suelen supervisar el cumplimiento de las obligaciones de los derechos humanos a través del examen de informes periódicos y de comunicaciones individuales. En sus dictámenes sobre tales comunicaciones, </w:t>
      </w:r>
      <w:r w:rsidR="00C81780">
        <w:rPr>
          <w:bCs/>
        </w:rPr>
        <w:t>los mecanismos pertinentes no so</w:t>
      </w:r>
      <w:r w:rsidRPr="00510396">
        <w:rPr>
          <w:bCs/>
        </w:rPr>
        <w:t>lo examinan si se ha producido o no una violación en un determinado caso, sino que realizan un análisis de sus causas y señalan las medidas que deberían adoptarse para impedir que vuelvan a producirse</w:t>
      </w:r>
      <w:r w:rsidRPr="00510396">
        <w:rPr>
          <w:color w:val="943634" w:themeColor="accent2" w:themeShade="BF"/>
          <w:vertAlign w:val="superscript"/>
        </w:rPr>
        <w:footnoteReference w:id="81"/>
      </w:r>
      <w:r w:rsidRPr="00510396">
        <w:rPr>
          <w:bCs/>
        </w:rPr>
        <w:t>.</w:t>
      </w:r>
      <w:r w:rsidRPr="00510396">
        <w:t xml:space="preserve"> Los mecanismos de presentación de quejas también pueden prevenir directamente las violaciones de los derechos </w:t>
      </w:r>
      <w:r w:rsidRPr="00510396">
        <w:lastRenderedPageBreak/>
        <w:t>humanos a través de sus medidas provisionales</w:t>
      </w:r>
      <w:r w:rsidRPr="00510396">
        <w:rPr>
          <w:color w:val="943634" w:themeColor="accent2" w:themeShade="BF"/>
          <w:vertAlign w:val="superscript"/>
        </w:rPr>
        <w:footnoteReference w:id="82"/>
      </w:r>
      <w:r w:rsidRPr="00510396">
        <w:t>. Otro ejemplo de las funciones de los mecanismos internacionales y regionales son los procedimientos de solución amistosa de la Comisión Interamericana de Derechos Humanos, cuyo objetivo es garantizar la no repetición para prevenir futuras violaciones de los derechos humanos</w:t>
      </w:r>
      <w:r w:rsidRPr="00510396">
        <w:rPr>
          <w:color w:val="943634" w:themeColor="accent2" w:themeShade="BF"/>
          <w:vertAlign w:val="superscript"/>
        </w:rPr>
        <w:footnoteReference w:id="83"/>
      </w:r>
      <w:r w:rsidRPr="00510396">
        <w:t>. Esas garantías han incluido la aprobación de nuevas leyes y la derogación de otras</w:t>
      </w:r>
      <w:r w:rsidRPr="00510396">
        <w:rPr>
          <w:color w:val="943634" w:themeColor="accent2" w:themeShade="BF"/>
          <w:vertAlign w:val="superscript"/>
        </w:rPr>
        <w:footnoteReference w:id="84"/>
      </w:r>
      <w:r w:rsidRPr="00510396">
        <w:t>, la aplicación de políticas públicas para proteger los derechos humanos y la formación en derechos humanos de los funcionarios públicos</w:t>
      </w:r>
      <w:r w:rsidRPr="00510396">
        <w:rPr>
          <w:color w:val="943634" w:themeColor="accent2" w:themeShade="BF"/>
          <w:vertAlign w:val="superscript"/>
        </w:rPr>
        <w:footnoteReference w:id="85"/>
      </w:r>
      <w:r w:rsidRPr="00510396">
        <w:t>.</w:t>
      </w:r>
    </w:p>
    <w:p w:rsidR="004419F1" w:rsidRPr="00510396" w:rsidRDefault="004419F1" w:rsidP="00CD2CC2">
      <w:pPr>
        <w:pStyle w:val="SingleTxt"/>
        <w:numPr>
          <w:ilvl w:val="0"/>
          <w:numId w:val="7"/>
        </w:numPr>
        <w:suppressAutoHyphens w:val="0"/>
        <w:spacing w:line="236" w:lineRule="exact"/>
        <w:ind w:left="1267" w:firstLine="0"/>
        <w:rPr>
          <w:spacing w:val="2"/>
        </w:rPr>
      </w:pPr>
      <w:r w:rsidRPr="00510396">
        <w:rPr>
          <w:spacing w:val="2"/>
        </w:rPr>
        <w:t>Los mecanismos para la prevención de la tortura</w:t>
      </w:r>
      <w:r w:rsidRPr="00510396">
        <w:rPr>
          <w:color w:val="943634" w:themeColor="accent2" w:themeShade="BF"/>
          <w:spacing w:val="2"/>
          <w:vertAlign w:val="superscript"/>
        </w:rPr>
        <w:footnoteReference w:id="86"/>
      </w:r>
      <w:r w:rsidRPr="00510396">
        <w:rPr>
          <w:spacing w:val="2"/>
        </w:rPr>
        <w:t>, los procedimientos especiales establecidos por el Consejo de Derechos Humanos y algunos órganos de tratados realizan visitas a países y elaboran informes y estudios temáticos. Muchos contribuyen también a la prevención estableciendo nuevos principios y directrices y prestando asistencia a los Estados en la interpretación de las disposiciones incluidas en los instrumentos de derechos humanos. A algunos se les ha encomendado el mandato de realizar investigaciones o adoptar medidas de alerta temprana o de carácter urgente, cuyo objetivo primordial es la prevención de las violaciones de los derechos humanos</w:t>
      </w:r>
      <w:r w:rsidRPr="00510396">
        <w:rPr>
          <w:color w:val="943634" w:themeColor="accent2" w:themeShade="BF"/>
          <w:spacing w:val="2"/>
          <w:vertAlign w:val="superscript"/>
        </w:rPr>
        <w:footnoteReference w:id="87"/>
      </w:r>
      <w:r w:rsidRPr="00510396">
        <w:rPr>
          <w:spacing w:val="2"/>
        </w:rPr>
        <w:t>.</w:t>
      </w:r>
    </w:p>
    <w:p w:rsidR="004419F1" w:rsidRPr="00510396" w:rsidRDefault="004419F1" w:rsidP="00CD2CC2">
      <w:pPr>
        <w:pStyle w:val="SingleTxt"/>
        <w:numPr>
          <w:ilvl w:val="0"/>
          <w:numId w:val="7"/>
        </w:numPr>
        <w:suppressAutoHyphens w:val="0"/>
        <w:spacing w:line="236" w:lineRule="exact"/>
        <w:ind w:left="1267" w:firstLine="0"/>
      </w:pPr>
      <w:r w:rsidRPr="00510396">
        <w:t>El Examen Periódico Universal es un procedimiento singular a través del cual se examinan los informes de derechos humanos de todas los Estados Miembros de las Naciones Unidas. Constituye una oportunidad para que los Estados faciliten información sobre las medidas adoptadas para mejorar la situación de los derechos humanos y superar los obstáculos al disfrute de tales derechos por parte de todas las personas bajo su jurisdicción. Puede servir para que los Estados delimiten posibles violaciones y el modo de abordarlas, lo que incluye compartir buenas prácticas. El seguimiento de las recomendaciones ha dado lugar a cambios legislativos y normativos positivos</w:t>
      </w:r>
      <w:r w:rsidRPr="00510396">
        <w:rPr>
          <w:color w:val="943634" w:themeColor="accent2" w:themeShade="BF"/>
          <w:vertAlign w:val="superscript"/>
        </w:rPr>
        <w:footnoteReference w:id="88"/>
      </w:r>
      <w:r w:rsidRPr="00510396">
        <w:t>.</w:t>
      </w:r>
    </w:p>
    <w:p w:rsidR="00DC21A5" w:rsidRPr="00510396" w:rsidRDefault="00DC21A5" w:rsidP="00DC21A5">
      <w:pPr>
        <w:pStyle w:val="SingleTxt"/>
        <w:suppressAutoHyphens w:val="0"/>
        <w:spacing w:after="0" w:line="120" w:lineRule="exact"/>
        <w:rPr>
          <w:sz w:val="10"/>
        </w:rPr>
      </w:pPr>
    </w:p>
    <w:p w:rsidR="00DC21A5" w:rsidRPr="00510396" w:rsidRDefault="00DC21A5" w:rsidP="00DC21A5">
      <w:pPr>
        <w:pStyle w:val="SingleTxt"/>
        <w:suppressAutoHyphens w:val="0"/>
        <w:spacing w:after="0" w:line="120" w:lineRule="exact"/>
        <w:rPr>
          <w:sz w:val="10"/>
        </w:rPr>
      </w:pPr>
    </w:p>
    <w:p w:rsidR="004419F1" w:rsidRPr="00510396" w:rsidRDefault="004419F1" w:rsidP="00DC21A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13" w:name="_Toc423075118"/>
      <w:r w:rsidRPr="00510396">
        <w:tab/>
        <w:t>B.</w:t>
      </w:r>
      <w:r w:rsidRPr="00510396">
        <w:tab/>
        <w:t>Contribución de las organizaciones internacionales y regionales a</w:t>
      </w:r>
      <w:r w:rsidR="00DC21A5" w:rsidRPr="00510396">
        <w:t> </w:t>
      </w:r>
      <w:r w:rsidRPr="00510396">
        <w:t>la</w:t>
      </w:r>
      <w:r w:rsidR="00DC21A5" w:rsidRPr="00510396">
        <w:t> </w:t>
      </w:r>
      <w:r w:rsidRPr="00510396">
        <w:t xml:space="preserve">prevención </w:t>
      </w:r>
      <w:bookmarkEnd w:id="13"/>
    </w:p>
    <w:p w:rsidR="00DC21A5" w:rsidRPr="00510396" w:rsidRDefault="00DC21A5" w:rsidP="00DC21A5">
      <w:pPr>
        <w:pStyle w:val="SingleTxt"/>
        <w:spacing w:after="0" w:line="120" w:lineRule="exact"/>
        <w:rPr>
          <w:sz w:val="10"/>
        </w:rPr>
      </w:pPr>
    </w:p>
    <w:p w:rsidR="00DC21A5" w:rsidRPr="00510396" w:rsidRDefault="00DC21A5" w:rsidP="00DC21A5">
      <w:pPr>
        <w:pStyle w:val="SingleTxt"/>
        <w:spacing w:after="0" w:line="120" w:lineRule="exact"/>
        <w:rPr>
          <w:sz w:val="10"/>
        </w:rPr>
      </w:pPr>
    </w:p>
    <w:p w:rsidR="004419F1" w:rsidRPr="00510396" w:rsidRDefault="004419F1" w:rsidP="00CD2CC2">
      <w:pPr>
        <w:pStyle w:val="SingleTxt"/>
        <w:numPr>
          <w:ilvl w:val="0"/>
          <w:numId w:val="7"/>
        </w:numPr>
        <w:suppressAutoHyphens w:val="0"/>
        <w:spacing w:line="220" w:lineRule="exact"/>
        <w:ind w:left="1267" w:firstLine="0"/>
      </w:pPr>
      <w:r w:rsidRPr="00510396">
        <w:t>Las organizaciones internacionales y regionales, incluidas las Naciones Unidas</w:t>
      </w:r>
      <w:r w:rsidRPr="00510396">
        <w:rPr>
          <w:color w:val="943634" w:themeColor="accent2" w:themeShade="BF"/>
          <w:vertAlign w:val="superscript"/>
        </w:rPr>
        <w:footnoteReference w:id="89"/>
      </w:r>
      <w:r w:rsidRPr="00510396">
        <w:t xml:space="preserve">, contribuyen a la prevención de las violaciones de los derechos humanos a través de </w:t>
      </w:r>
      <w:r w:rsidRPr="00510396">
        <w:lastRenderedPageBreak/>
        <w:t>sus respectivos mandatos, prestando apoyo a los Estados a los efectos del cumplimiento de sus obligaciones de respeto de los derechos humanos</w:t>
      </w:r>
      <w:r w:rsidRPr="00510396">
        <w:rPr>
          <w:color w:val="943634" w:themeColor="accent2" w:themeShade="BF"/>
          <w:vertAlign w:val="superscript"/>
        </w:rPr>
        <w:footnoteReference w:id="90"/>
      </w:r>
      <w:r w:rsidRPr="00510396">
        <w:t xml:space="preserve">. En su resolución 48/141, la Asamblea General asigna concretamente al ACNUDH la función de </w:t>
      </w:r>
      <w:r w:rsidR="00CD2CC2" w:rsidRPr="00510396">
        <w:t>“</w:t>
      </w:r>
      <w:r w:rsidRPr="00510396">
        <w:t>desempeñar un papel activo en la tarea de eliminar los actuales obstáculos y de hacer frente a los desafíos para la plena realización de todos los derechos humanos y de prevenir la persistencia de violaciones de los derechos humanos en todo el mundo</w:t>
      </w:r>
      <w:r w:rsidR="00CD2CC2" w:rsidRPr="00510396">
        <w:t>”</w:t>
      </w:r>
      <w:r w:rsidRPr="00510396">
        <w:t>. El ACNUDH proporciona conocimientos técnicos y en materia de fomento de la capacidad para ayudar a los gobiernos a cumplir sus obligaciones, prestar apoyo a los particulares para que reivindiquen sus derechos y denunciar objetivamente las violaciones de los derechos humanos</w:t>
      </w:r>
      <w:r w:rsidRPr="00510396">
        <w:rPr>
          <w:color w:val="943634" w:themeColor="accent2" w:themeShade="BF"/>
          <w:vertAlign w:val="superscript"/>
        </w:rPr>
        <w:footnoteReference w:id="91"/>
      </w:r>
      <w:r w:rsidRPr="00510396">
        <w:t>. Además, en el Consejo de Europa, por ejemplo, los Estados pueden recabar asistencia para preparar leyes o evaluar si estas se atienen a las normas de derechos humanos de la</w:t>
      </w:r>
      <w:r w:rsidR="00CD2CC2" w:rsidRPr="00510396">
        <w:t xml:space="preserve"> </w:t>
      </w:r>
      <w:r w:rsidRPr="00510396">
        <w:t xml:space="preserve">Dirección de Derechos Humanos del Consejo de Europa y su </w:t>
      </w:r>
      <w:r w:rsidRPr="00510396">
        <w:rPr>
          <w:bCs/>
        </w:rPr>
        <w:t>Comisión europea para la democracia a través del derecho</w:t>
      </w:r>
      <w:r w:rsidRPr="00510396">
        <w:t xml:space="preserve"> (Comisión de Venecia).</w:t>
      </w:r>
    </w:p>
    <w:p w:rsidR="004419F1" w:rsidRPr="00510396" w:rsidRDefault="004419F1" w:rsidP="00241E9E">
      <w:pPr>
        <w:pStyle w:val="SingleTxt"/>
        <w:numPr>
          <w:ilvl w:val="0"/>
          <w:numId w:val="7"/>
        </w:numPr>
        <w:suppressAutoHyphens w:val="0"/>
        <w:ind w:left="1267" w:firstLine="0"/>
      </w:pPr>
      <w:r w:rsidRPr="00510396">
        <w:t xml:space="preserve">La reciente puesta en marcha de la iniciativa </w:t>
      </w:r>
      <w:r w:rsidRPr="00510396">
        <w:rPr>
          <w:bCs/>
        </w:rPr>
        <w:t>Los Derechos Humanos Primero ha reforzado el papel crucial de las Naciones Unidas respecto de la prevención. La iniciativa, que dimana del Secretario General de las Naciones Unidas, tiene por objeto garantizar que el sistema de las Naciones Unidas adopta medidas tempranas y efectivas para prevenir las violaciones graves y en gran escala de los derechos humanos internacionales o el derecho humanitario o responder a ellas, según lo dispuesto en la Carta de las Naciones Unidas y las correspondientes resoluciones.</w:t>
      </w:r>
      <w:r w:rsidRPr="00510396">
        <w:t xml:space="preserve"> Se centra primordialmente en la prevención y en garantizar que todas las entidades de las Naciones Unidas confieren a la protección de los derechos humanos la máxima importancia dentro de las estrategias y las actividades operacionales de la Organización</w:t>
      </w:r>
      <w:r w:rsidRPr="00510396">
        <w:rPr>
          <w:color w:val="943634" w:themeColor="accent2" w:themeShade="BF"/>
          <w:vertAlign w:val="superscript"/>
        </w:rPr>
        <w:footnoteReference w:id="92"/>
      </w:r>
      <w:r w:rsidRPr="00510396">
        <w:t xml:space="preserve">, al tiempo que respalda las medidas adoptadas por los Estados en el desempeño de sus responsabilidades. </w:t>
      </w:r>
    </w:p>
    <w:p w:rsidR="004419F1" w:rsidRPr="00510396" w:rsidRDefault="004419F1" w:rsidP="00241E9E">
      <w:pPr>
        <w:pStyle w:val="SingleTxt"/>
        <w:numPr>
          <w:ilvl w:val="0"/>
          <w:numId w:val="7"/>
        </w:numPr>
        <w:suppressAutoHyphens w:val="0"/>
        <w:ind w:left="1267" w:firstLine="0"/>
      </w:pPr>
      <w:r w:rsidRPr="00510396">
        <w:t xml:space="preserve">Ciertamente muchas crisis son el resultado de procesos duraderos y dinámicos que se basan en patrones prolongados de violaciones de ciertos derechos que, al no haber sido abordadas con suficiente prontitud, han fomentado la inestabilidad, la violencia y el conflicto. Una respuesta a nivel de todo el sistema de las Naciones Unidas exige que se detecten los primeros indicios de las violaciones de los derechos humanos y se actúe oportunamente al respecto. A tal efecto, es fundamental que se disponga prontamente de información y de análisis sobre los derechos humanos en los que se vinculen los patrones de las violaciones de los derechos con acontecimientos políticos y de seguridad. Junto con las presencias de las Naciones Unidas sobre el terreno en relación con los derechos humanos, hay mecanismos que reúnen abundante información sobre cuestiones de derechos humanos, como las deficiencias en la protección de tales derechos, los riesgos de violaciones y las pautas, la escala y la naturaleza de las violaciones. Esa información, cuando se analiza, se coordina y se canaliza debidamente, sirve de base para la formulación de estrategias y respuestas en asociación con los Estados y de decisiones sobre las medidas más idóneas que pueden adoptar las Naciones Unidas. Al hacer hincapié en la prevención, la iniciativa </w:t>
      </w:r>
      <w:r w:rsidRPr="00510396">
        <w:rPr>
          <w:bCs/>
        </w:rPr>
        <w:t>Los Derechos Humanos Primero refuerza esa vinculación entre los indicios de alerta temprana respecto de las violaciones y la pronta adopción de medidas por las Naciones Unidas</w:t>
      </w:r>
      <w:r w:rsidRPr="00510396">
        <w:rPr>
          <w:color w:val="943634" w:themeColor="accent2" w:themeShade="BF"/>
          <w:vertAlign w:val="superscript"/>
        </w:rPr>
        <w:footnoteReference w:id="93"/>
      </w:r>
      <w:r w:rsidRPr="00510396">
        <w:rPr>
          <w:bCs/>
        </w:rPr>
        <w:t>.</w:t>
      </w:r>
    </w:p>
    <w:p w:rsidR="004419F1" w:rsidRPr="00510396" w:rsidRDefault="004419F1" w:rsidP="00241E9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10396">
        <w:lastRenderedPageBreak/>
        <w:tab/>
        <w:t>V.</w:t>
      </w:r>
      <w:r w:rsidRPr="00510396">
        <w:tab/>
        <w:t>Conclusiones y recomendaciones</w:t>
      </w:r>
    </w:p>
    <w:p w:rsidR="00241E9E" w:rsidRPr="00510396" w:rsidRDefault="00241E9E" w:rsidP="00241E9E">
      <w:pPr>
        <w:pStyle w:val="SingleTxt"/>
        <w:spacing w:after="0" w:line="120" w:lineRule="exact"/>
        <w:rPr>
          <w:sz w:val="10"/>
        </w:rPr>
      </w:pPr>
    </w:p>
    <w:p w:rsidR="00241E9E" w:rsidRPr="00510396" w:rsidRDefault="00241E9E" w:rsidP="00241E9E">
      <w:pPr>
        <w:pStyle w:val="SingleTxt"/>
        <w:spacing w:after="0" w:line="120" w:lineRule="exact"/>
        <w:rPr>
          <w:sz w:val="10"/>
        </w:rPr>
      </w:pPr>
    </w:p>
    <w:p w:rsidR="004419F1" w:rsidRPr="00510396" w:rsidRDefault="004419F1" w:rsidP="00241E9E">
      <w:pPr>
        <w:pStyle w:val="SingleTxt"/>
        <w:numPr>
          <w:ilvl w:val="0"/>
          <w:numId w:val="7"/>
        </w:numPr>
        <w:suppressAutoHyphens w:val="0"/>
        <w:ind w:left="1267" w:firstLine="0"/>
        <w:rPr>
          <w:b/>
        </w:rPr>
      </w:pPr>
      <w:r w:rsidRPr="00510396">
        <w:rPr>
          <w:b/>
        </w:rPr>
        <w:t>La prevención de las violaciones de los derechos humanos es primordialmente una responsabilidad del Estado. Requiere un proceso dinámico, constante y sistémico para abordar los factores de riesgo y las causas de tales violaciones a través de la adopción de diversas medidas, particularmente en los ámbitos de las leyes, las políticas y la práctica, a fin de garantizar el respeto y la protección de todos los derechos humanos de todas las personas dentro del territorio o la jurisdicción del Estado. Las organizaciones internacionales y regionales contribuyen a la prevención de las violaciones de los derechos humanos a través de sus respectivos mandatos, prestando apoyo a los Estados en el cumplimiento de sus obligaciones en materia de derechos humanos.</w:t>
      </w:r>
    </w:p>
    <w:p w:rsidR="004419F1" w:rsidRPr="00510396" w:rsidRDefault="004419F1" w:rsidP="00241E9E">
      <w:pPr>
        <w:pStyle w:val="SingleTxt"/>
        <w:numPr>
          <w:ilvl w:val="0"/>
          <w:numId w:val="7"/>
        </w:numPr>
        <w:suppressAutoHyphens w:val="0"/>
        <w:ind w:left="1267" w:firstLine="0"/>
        <w:rPr>
          <w:b/>
        </w:rPr>
      </w:pPr>
      <w:r w:rsidRPr="00510396">
        <w:rPr>
          <w:b/>
        </w:rPr>
        <w:t>Un marco para la prevención de las violaciones de los derechos humanos requiere ratificar tratados de derechos humanos y aplicarlos a nivel nacional; examinar periódica e independientemente las leyes y políticas vigentes y propuestas a los efectos del cumplimiento de tales disposiciones; y garantizar recursos efectivos para las violaciones de los derechos humanos que den lugar a una reparación a la víctima y a un cambio institucional para evitar que se repitan. A su vez, eso requiere establecer instituciones independientes, lo que incluye INDH y un ordenamiento jurídico accesible y efectivo.</w:t>
      </w:r>
    </w:p>
    <w:p w:rsidR="004419F1" w:rsidRPr="00510396" w:rsidRDefault="004419F1" w:rsidP="00241E9E">
      <w:pPr>
        <w:pStyle w:val="SingleTxt"/>
        <w:numPr>
          <w:ilvl w:val="0"/>
          <w:numId w:val="7"/>
        </w:numPr>
        <w:suppressAutoHyphens w:val="0"/>
        <w:ind w:left="1267" w:firstLine="0"/>
        <w:rPr>
          <w:b/>
        </w:rPr>
      </w:pPr>
      <w:r w:rsidRPr="00510396">
        <w:rPr>
          <w:b/>
        </w:rPr>
        <w:t>Debe establecerse una cultura de observancia de los derechos humanos a través de medidas de supervisión e inspección efectivas, independientes y transparentes que plasmen en una intervención crítica y constructiva de todos los interesados, incluidos los titulares de derechos, y particularmente las mujeres y los miembros de los grupos más vulnerables y marginados.</w:t>
      </w:r>
    </w:p>
    <w:p w:rsidR="004419F1" w:rsidRPr="00510396" w:rsidRDefault="004419F1" w:rsidP="00241E9E">
      <w:pPr>
        <w:pStyle w:val="SingleTxt"/>
        <w:numPr>
          <w:ilvl w:val="0"/>
          <w:numId w:val="7"/>
        </w:numPr>
        <w:suppressAutoHyphens w:val="0"/>
        <w:ind w:left="1267" w:firstLine="0"/>
        <w:rPr>
          <w:b/>
        </w:rPr>
      </w:pPr>
      <w:r w:rsidRPr="00510396">
        <w:rPr>
          <w:b/>
        </w:rPr>
        <w:t>Una educación efectiva en derechos humanos, que desarrolle los conocimientos teóricos y prácticos y las actitudes impulsoras de la actuación en pro de los derechos humanos y utilice metodologías adecuadas es esencial y complementaria respecto de otras medidas preventivas.</w:t>
      </w:r>
    </w:p>
    <w:p w:rsidR="004419F1" w:rsidRPr="00510396" w:rsidRDefault="004419F1" w:rsidP="00241E9E">
      <w:pPr>
        <w:pStyle w:val="SingleTxt"/>
        <w:numPr>
          <w:ilvl w:val="0"/>
          <w:numId w:val="7"/>
        </w:numPr>
        <w:suppressAutoHyphens w:val="0"/>
        <w:ind w:left="1267" w:firstLine="0"/>
        <w:rPr>
          <w:b/>
        </w:rPr>
      </w:pPr>
      <w:r w:rsidRPr="00510396">
        <w:rPr>
          <w:b/>
        </w:rPr>
        <w:t xml:space="preserve">Los Estados han de brindar protección contra las violaciones de los derechos humanos por los agentes privados y pueden incumplir sus obligaciones en relación con el derecho internacional de los derechos humanos cuando no adoptan medidas apropiadas para prevenir, investigar, castigar y reparar las violaciones cometidas por agentes privados. Los Estados deben examinar toda la gama de medidas de prevención y reparación admisibles, en particular medidas políticas, legislativas, reglamentarias y de sometimiento a la justicia. Paralelamente, los agentes privados deben respetar asimismo los derechos humanos de los demás y las empresas deben cumplir su obligación de respetar los derechos humanos. Ello requiere adoptar medidas para prevenir, mitigar y, cuando corresponda, reparar las consecuencias perjudiciales para los derechos humanos. </w:t>
      </w:r>
    </w:p>
    <w:p w:rsidR="004419F1" w:rsidRPr="00510396" w:rsidRDefault="004419F1" w:rsidP="00241E9E">
      <w:pPr>
        <w:pStyle w:val="SingleTxt"/>
        <w:numPr>
          <w:ilvl w:val="0"/>
          <w:numId w:val="7"/>
        </w:numPr>
        <w:suppressAutoHyphens w:val="0"/>
        <w:ind w:left="1267" w:firstLine="0"/>
        <w:rPr>
          <w:b/>
        </w:rPr>
      </w:pPr>
      <w:r w:rsidRPr="00510396">
        <w:rPr>
          <w:b/>
        </w:rPr>
        <w:t xml:space="preserve">El Estado debe establecer un entorno propicio para que las INDH y la sociedad civil desempeñen sus funciones, lo que contribuirá asimismo al desempeño de su responsabilidad primordial de prevenir las violaciones de los derechos humanos. Las INDH y la sociedad civil proporcionan conocimientos especializados y asistencia independientes a las víctimas e información a la </w:t>
      </w:r>
      <w:r w:rsidRPr="00510396">
        <w:rPr>
          <w:b/>
        </w:rPr>
        <w:lastRenderedPageBreak/>
        <w:t>opinión pública y a grupos concretos acerca de sus derechos y del modo de acceder a ellos y realizan otras funciones como la de visitar lugares en que hay personas privadas de libertad.</w:t>
      </w:r>
    </w:p>
    <w:p w:rsidR="004419F1" w:rsidRPr="00510396" w:rsidRDefault="004419F1" w:rsidP="00241E9E">
      <w:pPr>
        <w:pStyle w:val="SingleTxt"/>
        <w:numPr>
          <w:ilvl w:val="0"/>
          <w:numId w:val="7"/>
        </w:numPr>
        <w:suppressAutoHyphens w:val="0"/>
        <w:ind w:left="1267" w:firstLine="0"/>
        <w:rPr>
          <w:b/>
        </w:rPr>
      </w:pPr>
      <w:r w:rsidRPr="00510396">
        <w:rPr>
          <w:b/>
        </w:rPr>
        <w:t>Los mecanismos de planificación y supervisión, incluidas las evaluaciones sobre los efectos en los derechos humanos, pueden ayudar a los Estados a promover y proteger los derechos humanos y a prevenir sus violaciones mediante los indicadores de derechos humanos y la reunión y el análisis de estadísticas, teniendo en cuenta el marco del ACNUDH</w:t>
      </w:r>
      <w:r w:rsidRPr="00510396">
        <w:t xml:space="preserve"> </w:t>
      </w:r>
      <w:r w:rsidRPr="00510396">
        <w:rPr>
          <w:b/>
        </w:rPr>
        <w:t>(HR/PUB/12/5).</w:t>
      </w:r>
    </w:p>
    <w:p w:rsidR="004419F1" w:rsidRPr="00510396" w:rsidRDefault="004419F1" w:rsidP="00241E9E">
      <w:pPr>
        <w:pStyle w:val="SingleTxt"/>
        <w:numPr>
          <w:ilvl w:val="0"/>
          <w:numId w:val="7"/>
        </w:numPr>
        <w:suppressAutoHyphens w:val="0"/>
        <w:ind w:left="1267" w:firstLine="0"/>
      </w:pPr>
      <w:r w:rsidRPr="00510396">
        <w:rPr>
          <w:b/>
        </w:rPr>
        <w:t>Los mecanismos internacionales y regionales de derechos humanos aportan conocimientos especializados independientes e impulsan la adopción de medidas y la reflexión en el plano nacional. Los procedimientos de presentación de quejas y los mecanismos de alerta temprana también contribuyen a la prevención de las violaciones de los derechos humanos.</w:t>
      </w:r>
    </w:p>
    <w:p w:rsidR="00241E9E" w:rsidRPr="00510396" w:rsidRDefault="00241E9E" w:rsidP="00241E9E">
      <w:pPr>
        <w:pStyle w:val="SingleTxt"/>
        <w:suppressAutoHyphens w:val="0"/>
      </w:pPr>
      <w:r w:rsidRPr="00510396">
        <w:rPr>
          <w:noProof/>
          <w:w w:val="100"/>
          <w:lang w:val="en-US"/>
        </w:rPr>
        <mc:AlternateContent>
          <mc:Choice Requires="wps">
            <w:drawing>
              <wp:anchor distT="0" distB="0" distL="114300" distR="114300" simplePos="0" relativeHeight="251659264" behindDoc="0" locked="0" layoutInCell="1" allowOverlap="1" wp14:anchorId="050FD41A" wp14:editId="4B48AB75">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241E9E" w:rsidRPr="00510396" w:rsidSect="002D47DA">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17:25:00Z" w:initials="Start">
    <w:p w:rsidR="00C67532" w:rsidRPr="004419F1" w:rsidRDefault="00C67532">
      <w:pPr>
        <w:pStyle w:val="CommentText"/>
        <w:rPr>
          <w:lang w:val="en-US"/>
        </w:rPr>
      </w:pPr>
      <w:r>
        <w:fldChar w:fldCharType="begin"/>
      </w:r>
      <w:r w:rsidRPr="004419F1">
        <w:rPr>
          <w:rStyle w:val="CommentReference"/>
          <w:lang w:val="en-US"/>
        </w:rPr>
        <w:instrText xml:space="preserve"> </w:instrText>
      </w:r>
      <w:r w:rsidRPr="004419F1">
        <w:rPr>
          <w:lang w:val="en-US"/>
        </w:rPr>
        <w:instrText>PAGE \# "'Page: '#'</w:instrText>
      </w:r>
      <w:r w:rsidRPr="004419F1">
        <w:rPr>
          <w:lang w:val="en-US"/>
        </w:rPr>
        <w:br/>
        <w:instrText>'"</w:instrText>
      </w:r>
      <w:r w:rsidRPr="004419F1">
        <w:rPr>
          <w:rStyle w:val="CommentReference"/>
          <w:lang w:val="en-US"/>
        </w:rPr>
        <w:instrText xml:space="preserve"> </w:instrText>
      </w:r>
      <w:r>
        <w:fldChar w:fldCharType="end"/>
      </w:r>
      <w:r>
        <w:rPr>
          <w:rStyle w:val="CommentReference"/>
        </w:rPr>
        <w:annotationRef/>
      </w:r>
      <w:r w:rsidRPr="004419F1">
        <w:rPr>
          <w:lang w:val="en-US"/>
        </w:rPr>
        <w:t>&lt;&lt;ODS JOB NO&gt;&gt;N1515930S&lt;&lt;ODS JOB NO&gt;&gt;</w:t>
      </w:r>
    </w:p>
    <w:p w:rsidR="00C67532" w:rsidRDefault="00C67532">
      <w:pPr>
        <w:pStyle w:val="CommentText"/>
      </w:pPr>
      <w:r>
        <w:t>&lt;&lt;ODS DOC SYMBOL1&gt;&gt;A/HRC/30/20&lt;&lt;ODS DOC SYMBOL1&gt;&gt;</w:t>
      </w:r>
    </w:p>
    <w:p w:rsidR="00C67532" w:rsidRDefault="00C6753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0EA" w:rsidRDefault="00C920EA" w:rsidP="008F1E8F">
      <w:pPr>
        <w:spacing w:line="240" w:lineRule="auto"/>
      </w:pPr>
      <w:r>
        <w:separator/>
      </w:r>
    </w:p>
  </w:endnote>
  <w:endnote w:type="continuationSeparator" w:id="0">
    <w:p w:rsidR="00C920EA" w:rsidRDefault="00C920EA"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67532" w:rsidTr="00C67532">
      <w:trPr>
        <w:jc w:val="center"/>
      </w:trPr>
      <w:tc>
        <w:tcPr>
          <w:tcW w:w="5126" w:type="dxa"/>
          <w:shd w:val="clear" w:color="auto" w:fill="auto"/>
        </w:tcPr>
        <w:p w:rsidR="00C67532" w:rsidRPr="00C67532" w:rsidRDefault="00C67532" w:rsidP="00C67532">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341D4">
            <w:rPr>
              <w:b w:val="0"/>
              <w:color w:val="000000"/>
              <w:w w:val="103"/>
              <w:sz w:val="14"/>
            </w:rPr>
            <w:t>GE.15-12082</w:t>
          </w:r>
          <w:r>
            <w:rPr>
              <w:b w:val="0"/>
              <w:color w:val="000000"/>
              <w:w w:val="103"/>
              <w:sz w:val="14"/>
            </w:rPr>
            <w:fldChar w:fldCharType="end"/>
          </w:r>
        </w:p>
      </w:tc>
      <w:tc>
        <w:tcPr>
          <w:tcW w:w="5127" w:type="dxa"/>
          <w:shd w:val="clear" w:color="auto" w:fill="auto"/>
        </w:tcPr>
        <w:p w:rsidR="00C67532" w:rsidRPr="00C67532" w:rsidRDefault="00C67532" w:rsidP="00C67532">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341D4">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341D4">
            <w:rPr>
              <w:color w:val="000000"/>
              <w:w w:val="103"/>
            </w:rPr>
            <w:t>20</w:t>
          </w:r>
          <w:r>
            <w:rPr>
              <w:color w:val="000000"/>
              <w:w w:val="103"/>
            </w:rPr>
            <w:fldChar w:fldCharType="end"/>
          </w:r>
        </w:p>
      </w:tc>
    </w:tr>
  </w:tbl>
  <w:p w:rsidR="00C67532" w:rsidRPr="00C67532" w:rsidRDefault="00C67532" w:rsidP="00C67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67532" w:rsidTr="00C67532">
      <w:trPr>
        <w:jc w:val="center"/>
      </w:trPr>
      <w:tc>
        <w:tcPr>
          <w:tcW w:w="5126" w:type="dxa"/>
          <w:shd w:val="clear" w:color="auto" w:fill="auto"/>
        </w:tcPr>
        <w:p w:rsidR="00C67532" w:rsidRPr="00C67532" w:rsidRDefault="00C67532" w:rsidP="00C67532">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341D4">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341D4">
            <w:rPr>
              <w:color w:val="000000"/>
              <w:w w:val="103"/>
            </w:rPr>
            <w:t>20</w:t>
          </w:r>
          <w:r>
            <w:rPr>
              <w:color w:val="000000"/>
              <w:w w:val="103"/>
            </w:rPr>
            <w:fldChar w:fldCharType="end"/>
          </w:r>
        </w:p>
      </w:tc>
      <w:tc>
        <w:tcPr>
          <w:tcW w:w="5127" w:type="dxa"/>
          <w:shd w:val="clear" w:color="auto" w:fill="auto"/>
        </w:tcPr>
        <w:p w:rsidR="00C67532" w:rsidRPr="00C67532" w:rsidRDefault="00C67532" w:rsidP="00C67532">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341D4">
            <w:rPr>
              <w:b w:val="0"/>
              <w:color w:val="000000"/>
              <w:w w:val="103"/>
              <w:sz w:val="14"/>
            </w:rPr>
            <w:t>GE.15-12082</w:t>
          </w:r>
          <w:r>
            <w:rPr>
              <w:b w:val="0"/>
              <w:color w:val="000000"/>
              <w:w w:val="103"/>
              <w:sz w:val="14"/>
            </w:rPr>
            <w:fldChar w:fldCharType="end"/>
          </w:r>
        </w:p>
      </w:tc>
    </w:tr>
  </w:tbl>
  <w:p w:rsidR="00C67532" w:rsidRPr="00C67532" w:rsidRDefault="00C67532" w:rsidP="00C675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32" w:rsidRPr="00C67532" w:rsidRDefault="00C67532" w:rsidP="00C67532">
    <w:pPr>
      <w:pStyle w:val="Footer"/>
      <w:spacing w:line="120" w:lineRule="exact"/>
      <w:rPr>
        <w:b w:val="0"/>
        <w:sz w:val="10"/>
      </w:rPr>
    </w:pPr>
    <w:r>
      <w:rPr>
        <w:b w:val="0"/>
        <w:sz w:val="10"/>
      </w:rPr>
      <w:drawing>
        <wp:anchor distT="0" distB="0" distL="114300" distR="114300" simplePos="0" relativeHeight="251658240" behindDoc="0" locked="0" layoutInCell="1" allowOverlap="1" wp14:anchorId="1B296795" wp14:editId="1E777C93">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20&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0&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C67532" w:rsidTr="00C67532">
      <w:tc>
        <w:tcPr>
          <w:tcW w:w="3859" w:type="dxa"/>
        </w:tcPr>
        <w:p w:rsidR="00C67532" w:rsidRDefault="00C67532" w:rsidP="00C67532">
          <w:pPr>
            <w:pStyle w:val="ReleaseDate"/>
          </w:pPr>
          <w:r>
            <w:t xml:space="preserve">GE.15-12082 (S)    110815    </w:t>
          </w:r>
          <w:r w:rsidR="00DC21A5">
            <w:t>12</w:t>
          </w:r>
          <w:r>
            <w:t>0815</w:t>
          </w:r>
        </w:p>
        <w:p w:rsidR="00C67532" w:rsidRPr="00C67532" w:rsidRDefault="00C67532" w:rsidP="00C67532">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*1512082*</w:t>
          </w:r>
        </w:p>
      </w:tc>
      <w:tc>
        <w:tcPr>
          <w:tcW w:w="5127" w:type="dxa"/>
        </w:tcPr>
        <w:p w:rsidR="00C67532" w:rsidRDefault="00C67532" w:rsidP="00C67532">
          <w:pPr>
            <w:pStyle w:val="Footer"/>
            <w:jc w:val="right"/>
            <w:rPr>
              <w:b w:val="0"/>
              <w:sz w:val="20"/>
            </w:rPr>
          </w:pPr>
          <w:r>
            <w:rPr>
              <w:b w:val="0"/>
              <w:sz w:val="20"/>
            </w:rPr>
            <w:drawing>
              <wp:inline distT="0" distB="0" distL="0" distR="0" wp14:anchorId="68F2C4C7" wp14:editId="4473FB08">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C67532" w:rsidRPr="00C67532" w:rsidRDefault="00C67532" w:rsidP="00C67532">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0EA" w:rsidRPr="0039161A" w:rsidRDefault="0039161A" w:rsidP="0039161A">
      <w:pPr>
        <w:pStyle w:val="Footer"/>
        <w:spacing w:after="80"/>
        <w:ind w:left="792"/>
        <w:rPr>
          <w:sz w:val="16"/>
        </w:rPr>
      </w:pPr>
      <w:r w:rsidRPr="0039161A">
        <w:rPr>
          <w:sz w:val="16"/>
        </w:rPr>
        <w:t>__________________</w:t>
      </w:r>
    </w:p>
  </w:footnote>
  <w:footnote w:type="continuationSeparator" w:id="0">
    <w:p w:rsidR="00C920EA" w:rsidRPr="0039161A" w:rsidRDefault="0039161A" w:rsidP="0039161A">
      <w:pPr>
        <w:pStyle w:val="Footer"/>
        <w:spacing w:after="80"/>
        <w:ind w:left="792"/>
        <w:rPr>
          <w:sz w:val="16"/>
        </w:rPr>
      </w:pPr>
      <w:r w:rsidRPr="0039161A">
        <w:rPr>
          <w:sz w:val="16"/>
        </w:rPr>
        <w:t>__________________</w:t>
      </w:r>
    </w:p>
  </w:footnote>
  <w:footnote w:id="1">
    <w:p w:rsidR="004419F1" w:rsidRPr="00897DE5"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897DE5">
        <w:tab/>
        <w:t xml:space="preserve">El texto </w:t>
      </w:r>
      <w:r>
        <w:t>íntegro</w:t>
      </w:r>
      <w:r w:rsidRPr="00897DE5">
        <w:t xml:space="preserve"> de la</w:t>
      </w:r>
      <w:r>
        <w:t>s</w:t>
      </w:r>
      <w:r w:rsidRPr="00897DE5">
        <w:t xml:space="preserve"> respuestas</w:t>
      </w:r>
      <w:r>
        <w:t xml:space="preserve"> p</w:t>
      </w:r>
      <w:r w:rsidR="00BE3D5A">
        <w:t>uede consultarse en la Secretarí</w:t>
      </w:r>
      <w:r>
        <w:t>a.</w:t>
      </w:r>
    </w:p>
  </w:footnote>
  <w:footnote w:id="2">
    <w:p w:rsidR="004419F1" w:rsidRPr="004576E4" w:rsidRDefault="004419F1" w:rsidP="0039161A">
      <w:pPr>
        <w:pStyle w:val="FootnoteText"/>
        <w:tabs>
          <w:tab w:val="clear" w:pos="418"/>
          <w:tab w:val="right" w:pos="1195"/>
          <w:tab w:val="left" w:pos="1267"/>
          <w:tab w:val="left" w:pos="1742"/>
          <w:tab w:val="left" w:pos="2218"/>
          <w:tab w:val="left" w:pos="2693"/>
        </w:tabs>
        <w:ind w:left="1267" w:right="1267" w:hanging="432"/>
      </w:pPr>
      <w:r w:rsidRPr="00897DE5">
        <w:tab/>
      </w:r>
      <w:r w:rsidRPr="00D61533">
        <w:rPr>
          <w:rStyle w:val="FootnoteReference"/>
        </w:rPr>
        <w:footnoteRef/>
      </w:r>
      <w:r w:rsidRPr="004576E4">
        <w:tab/>
        <w:t xml:space="preserve">Art. 2 del Pacto Internacional de Derechos Civiles y Políticos y observación general </w:t>
      </w:r>
      <w:r w:rsidR="00BE3D5A">
        <w:t xml:space="preserve">núm. </w:t>
      </w:r>
      <w:r w:rsidRPr="004576E4">
        <w:t xml:space="preserve">31 (2004) del Comité de Derechos Humanos; </w:t>
      </w:r>
      <w:r>
        <w:t xml:space="preserve">art. 2 de la Convención sobre los Derechos del Niño y observación general </w:t>
      </w:r>
      <w:r w:rsidR="00BE3D5A">
        <w:t xml:space="preserve">núm. </w:t>
      </w:r>
      <w:r>
        <w:t>5 (2003) del Comité de los Derechos del Niño</w:t>
      </w:r>
      <w:r w:rsidRPr="004576E4">
        <w:t xml:space="preserve">. </w:t>
      </w:r>
    </w:p>
  </w:footnote>
  <w:footnote w:id="3">
    <w:p w:rsidR="004419F1" w:rsidRPr="004B7B7B" w:rsidRDefault="004419F1" w:rsidP="0039161A">
      <w:pPr>
        <w:pStyle w:val="FootnoteText"/>
        <w:tabs>
          <w:tab w:val="clear" w:pos="418"/>
          <w:tab w:val="right" w:pos="1195"/>
          <w:tab w:val="left" w:pos="1267"/>
          <w:tab w:val="left" w:pos="1742"/>
          <w:tab w:val="left" w:pos="2218"/>
          <w:tab w:val="left" w:pos="2693"/>
        </w:tabs>
        <w:ind w:left="1267" w:right="1267" w:hanging="432"/>
        <w:rPr>
          <w:lang w:val="fr-CH"/>
        </w:rPr>
      </w:pPr>
      <w:r w:rsidRPr="004576E4">
        <w:tab/>
      </w:r>
      <w:r w:rsidRPr="00D61533">
        <w:rPr>
          <w:rStyle w:val="FootnoteReference"/>
        </w:rPr>
        <w:footnoteRef/>
      </w:r>
      <w:r w:rsidRPr="00136467">
        <w:tab/>
        <w:t>A/HRC/RES/24/16, p</w:t>
      </w:r>
      <w:r>
        <w:t>árr. </w:t>
      </w:r>
      <w:r w:rsidRPr="00E425F6">
        <w:t xml:space="preserve">2. La Corte Interamericana de Derechos Humanos ha afirmado que los Estados </w:t>
      </w:r>
      <w:r>
        <w:t xml:space="preserve">tienen </w:t>
      </w:r>
      <w:r w:rsidR="00CD2CC2">
        <w:t>“</w:t>
      </w:r>
      <w:r>
        <w:t>una obligación jurídica de adoptar medidas razonables para prevenir las violaciones de los derechos humanos</w:t>
      </w:r>
      <w:r w:rsidR="00CD2CC2">
        <w:t>”</w:t>
      </w:r>
      <w:r w:rsidRPr="00E425F6">
        <w:t xml:space="preserve"> (</w:t>
      </w:r>
      <w:r w:rsidRPr="00E425F6">
        <w:rPr>
          <w:i/>
          <w:iCs/>
        </w:rPr>
        <w:t>Vel</w:t>
      </w:r>
      <w:r>
        <w:rPr>
          <w:i/>
          <w:iCs/>
        </w:rPr>
        <w:t>á</w:t>
      </w:r>
      <w:r w:rsidRPr="00E425F6">
        <w:rPr>
          <w:i/>
          <w:iCs/>
        </w:rPr>
        <w:t xml:space="preserve">squez Rodriguez </w:t>
      </w:r>
      <w:r w:rsidR="00BE3D5A">
        <w:rPr>
          <w:i/>
          <w:iCs/>
        </w:rPr>
        <w:t>v</w:t>
      </w:r>
      <w:r w:rsidRPr="00E425F6">
        <w:rPr>
          <w:i/>
          <w:iCs/>
        </w:rPr>
        <w:t>. </w:t>
      </w:r>
      <w:r w:rsidRPr="00BE3D5A">
        <w:rPr>
          <w:i/>
          <w:iCs/>
        </w:rPr>
        <w:t>Honduras</w:t>
      </w:r>
      <w:r w:rsidRPr="00BE3D5A">
        <w:t xml:space="preserve">, 29 de julio de 1988). </w:t>
      </w:r>
      <w:r w:rsidRPr="004B7B7B">
        <w:rPr>
          <w:lang w:val="fr-CH"/>
        </w:rPr>
        <w:t>E.</w:t>
      </w:r>
      <w:r w:rsidR="00BE3D5A">
        <w:rPr>
          <w:lang w:val="fr-CH"/>
        </w:rPr>
        <w:t xml:space="preserve"> Decaux </w:t>
      </w:r>
      <w:r>
        <w:rPr>
          <w:lang w:val="fr-CH"/>
        </w:rPr>
        <w:t>y</w:t>
      </w:r>
      <w:r w:rsidRPr="004B7B7B">
        <w:rPr>
          <w:lang w:val="fr-CH"/>
        </w:rPr>
        <w:t xml:space="preserve"> S. Touzé</w:t>
      </w:r>
      <w:r>
        <w:rPr>
          <w:lang w:val="fr-CH"/>
        </w:rPr>
        <w:t xml:space="preserve">, </w:t>
      </w:r>
      <w:r w:rsidRPr="005A20A4">
        <w:rPr>
          <w:i/>
          <w:iCs/>
          <w:lang w:val="fr-CH"/>
        </w:rPr>
        <w:t>La Prévention des Violations des Droits de l’Homme</w:t>
      </w:r>
      <w:r>
        <w:rPr>
          <w:i/>
          <w:iCs/>
          <w:lang w:val="fr-CH"/>
        </w:rPr>
        <w:t xml:space="preserve"> </w:t>
      </w:r>
      <w:r>
        <w:rPr>
          <w:lang w:val="fr-CH"/>
        </w:rPr>
        <w:t xml:space="preserve">(París, Ediciones </w:t>
      </w:r>
      <w:r w:rsidRPr="004B7B7B">
        <w:rPr>
          <w:lang w:val="fr-CH"/>
        </w:rPr>
        <w:t>A.</w:t>
      </w:r>
      <w:r w:rsidR="00BE3D5A">
        <w:rPr>
          <w:lang w:val="fr-CH"/>
        </w:rPr>
        <w:t> </w:t>
      </w:r>
      <w:r w:rsidRPr="004B7B7B">
        <w:rPr>
          <w:lang w:val="fr-CH"/>
        </w:rPr>
        <w:t>Pedone</w:t>
      </w:r>
      <w:r>
        <w:rPr>
          <w:lang w:val="fr-CH"/>
        </w:rPr>
        <w:t>,</w:t>
      </w:r>
      <w:r w:rsidRPr="004B7B7B">
        <w:rPr>
          <w:lang w:val="fr-CH"/>
        </w:rPr>
        <w:t xml:space="preserve"> 2015).</w:t>
      </w:r>
    </w:p>
  </w:footnote>
  <w:footnote w:id="4">
    <w:p w:rsidR="004419F1" w:rsidRPr="00BF70DA" w:rsidRDefault="004419F1" w:rsidP="0039161A">
      <w:pPr>
        <w:pStyle w:val="FootnoteText"/>
        <w:tabs>
          <w:tab w:val="clear" w:pos="418"/>
          <w:tab w:val="right" w:pos="1195"/>
          <w:tab w:val="left" w:pos="1267"/>
          <w:tab w:val="left" w:pos="1742"/>
          <w:tab w:val="left" w:pos="2218"/>
          <w:tab w:val="left" w:pos="2693"/>
        </w:tabs>
        <w:ind w:left="1267" w:right="1267" w:hanging="432"/>
      </w:pPr>
      <w:r w:rsidRPr="004B7B7B">
        <w:rPr>
          <w:lang w:val="fr-CH"/>
        </w:rPr>
        <w:tab/>
      </w:r>
      <w:r w:rsidRPr="00D61533">
        <w:rPr>
          <w:rStyle w:val="FootnoteReference"/>
        </w:rPr>
        <w:footnoteRef/>
      </w:r>
      <w:r w:rsidRPr="00D6122F">
        <w:tab/>
        <w:t>Véa</w:t>
      </w:r>
      <w:r>
        <w:t>n</w:t>
      </w:r>
      <w:r w:rsidRPr="00D6122F">
        <w:t xml:space="preserve">se </w:t>
      </w:r>
      <w:r>
        <w:t xml:space="preserve">la observación general </w:t>
      </w:r>
      <w:r w:rsidR="00BE3D5A">
        <w:t xml:space="preserve">núm. </w:t>
      </w:r>
      <w:r>
        <w:t>31 del Comité de Derechos Humanos, párr</w:t>
      </w:r>
      <w:r w:rsidR="00510396">
        <w:t>.</w:t>
      </w:r>
      <w:r>
        <w:t xml:space="preserve"> </w:t>
      </w:r>
      <w:r w:rsidRPr="00BF70DA">
        <w:t xml:space="preserve">8, y la comunicación núm. 195/1985, </w:t>
      </w:r>
      <w:r w:rsidRPr="00BF70DA">
        <w:rPr>
          <w:i/>
          <w:iCs/>
        </w:rPr>
        <w:t>Delgado Páez c. Colombia</w:t>
      </w:r>
      <w:r w:rsidRPr="00BF70DA">
        <w:t xml:space="preserve">, dictamen aprobado el 12 de julio de 1990; </w:t>
      </w:r>
      <w:r>
        <w:t xml:space="preserve">y </w:t>
      </w:r>
      <w:r w:rsidRPr="00BF70DA">
        <w:t xml:space="preserve">las recomendaciones 19 y 28 del </w:t>
      </w:r>
      <w:r w:rsidRPr="00BF70DA">
        <w:rPr>
          <w:lang w:val="es-ES_tradnl"/>
        </w:rPr>
        <w:t>Comité para la Eliminación de la Discriminación contra la Mujer</w:t>
      </w:r>
      <w:r>
        <w:rPr>
          <w:lang w:val="es-ES_tradnl"/>
        </w:rPr>
        <w:t xml:space="preserve">. </w:t>
      </w:r>
      <w:r w:rsidRPr="00BF70DA">
        <w:t xml:space="preserve">El Tribunal Europeo de Derechos Humanos ha determinado que pueden surgir reclamaciones contra el Estado cuando la policía no protege a los particulares de las violaciones de sus derechos por otros particulares </w:t>
      </w:r>
      <w:r w:rsidRPr="00BE3D5A">
        <w:rPr>
          <w:i/>
        </w:rPr>
        <w:t>(</w:t>
      </w:r>
      <w:r w:rsidRPr="00BE3D5A">
        <w:rPr>
          <w:i/>
          <w:iCs/>
        </w:rPr>
        <w:t>Osman v.United Kingdom</w:t>
      </w:r>
      <w:r w:rsidRPr="00BE3D5A">
        <w:rPr>
          <w:i/>
        </w:rPr>
        <w:t>)</w:t>
      </w:r>
      <w:r>
        <w:t xml:space="preserve">, demanda núm. </w:t>
      </w:r>
      <w:r w:rsidRPr="00BF70DA">
        <w:t>87/1997/871/1083,</w:t>
      </w:r>
      <w:r>
        <w:t xml:space="preserve"> sentencia de </w:t>
      </w:r>
      <w:r w:rsidRPr="00BF70DA">
        <w:t>28</w:t>
      </w:r>
      <w:r w:rsidR="00CD2CC2">
        <w:t> </w:t>
      </w:r>
      <w:r>
        <w:t xml:space="preserve">de octubre de </w:t>
      </w:r>
      <w:r w:rsidRPr="00BF70DA">
        <w:t>1998.</w:t>
      </w:r>
    </w:p>
  </w:footnote>
  <w:footnote w:id="5">
    <w:p w:rsidR="004419F1" w:rsidRPr="002C0581" w:rsidRDefault="004419F1" w:rsidP="0039161A">
      <w:pPr>
        <w:pStyle w:val="FootnoteText"/>
        <w:tabs>
          <w:tab w:val="clear" w:pos="418"/>
          <w:tab w:val="right" w:pos="1195"/>
          <w:tab w:val="left" w:pos="1267"/>
          <w:tab w:val="left" w:pos="1742"/>
          <w:tab w:val="left" w:pos="2218"/>
          <w:tab w:val="left" w:pos="2693"/>
        </w:tabs>
        <w:ind w:left="1267" w:right="1267" w:hanging="432"/>
      </w:pPr>
      <w:r w:rsidRPr="00BF70DA">
        <w:tab/>
      </w:r>
      <w:r w:rsidRPr="00D61533">
        <w:rPr>
          <w:rStyle w:val="FootnoteReference"/>
        </w:rPr>
        <w:footnoteRef/>
      </w:r>
      <w:r w:rsidRPr="002C0581">
        <w:tab/>
      </w:r>
      <w:r w:rsidRPr="002C0581">
        <w:rPr>
          <w:lang w:val="es-ES_tradnl"/>
        </w:rPr>
        <w:t xml:space="preserve">Principios Rectores sobre las </w:t>
      </w:r>
      <w:r w:rsidR="00BE3D5A">
        <w:rPr>
          <w:lang w:val="es-ES_tradnl"/>
        </w:rPr>
        <w:t>E</w:t>
      </w:r>
      <w:r w:rsidRPr="002C0581">
        <w:rPr>
          <w:lang w:val="es-ES_tradnl"/>
        </w:rPr>
        <w:t xml:space="preserve">mpresas y los </w:t>
      </w:r>
      <w:r w:rsidR="00BE3D5A">
        <w:rPr>
          <w:lang w:val="es-ES_tradnl"/>
        </w:rPr>
        <w:t>D</w:t>
      </w:r>
      <w:r w:rsidRPr="002C0581">
        <w:rPr>
          <w:lang w:val="es-ES_tradnl"/>
        </w:rPr>
        <w:t xml:space="preserve">erechos </w:t>
      </w:r>
      <w:r w:rsidR="00BE3D5A">
        <w:rPr>
          <w:lang w:val="es-ES_tradnl"/>
        </w:rPr>
        <w:t>H</w:t>
      </w:r>
      <w:r w:rsidRPr="002C0581">
        <w:rPr>
          <w:lang w:val="es-ES_tradnl"/>
        </w:rPr>
        <w:t xml:space="preserve">umanos: puesta en práctica del marco de las Naciones Unidas para </w:t>
      </w:r>
      <w:r w:rsidR="00CD2CC2">
        <w:rPr>
          <w:lang w:val="es-ES_tradnl"/>
        </w:rPr>
        <w:t>“</w:t>
      </w:r>
      <w:r w:rsidRPr="002C0581">
        <w:rPr>
          <w:lang w:val="es-ES_tradnl"/>
        </w:rPr>
        <w:t>proteger, respetar y remediar</w:t>
      </w:r>
      <w:r w:rsidR="00CD2CC2">
        <w:rPr>
          <w:lang w:val="es-ES_tradnl"/>
        </w:rPr>
        <w:t>”</w:t>
      </w:r>
      <w:r w:rsidRPr="002C0581">
        <w:t xml:space="preserve"> (</w:t>
      </w:r>
      <w:r>
        <w:t>anexo del documento</w:t>
      </w:r>
      <w:r w:rsidRPr="002C0581">
        <w:t xml:space="preserve"> A/HRC/17/31), </w:t>
      </w:r>
      <w:r>
        <w:t xml:space="preserve">que el Consejo de Derechos Humanos hizo suyo en su resolución </w:t>
      </w:r>
      <w:r w:rsidRPr="002C0581">
        <w:t>17/4.</w:t>
      </w:r>
    </w:p>
  </w:footnote>
  <w:footnote w:id="6">
    <w:p w:rsidR="004419F1" w:rsidRPr="00555417" w:rsidRDefault="004419F1" w:rsidP="0039161A">
      <w:pPr>
        <w:pStyle w:val="FootnoteText"/>
        <w:tabs>
          <w:tab w:val="clear" w:pos="418"/>
          <w:tab w:val="right" w:pos="1195"/>
          <w:tab w:val="left" w:pos="1267"/>
          <w:tab w:val="left" w:pos="1742"/>
          <w:tab w:val="left" w:pos="2218"/>
          <w:tab w:val="left" w:pos="2693"/>
        </w:tabs>
        <w:ind w:left="1267" w:right="1267" w:hanging="432"/>
      </w:pPr>
      <w:r w:rsidRPr="002C0581">
        <w:tab/>
      </w:r>
      <w:r w:rsidRPr="00D61533">
        <w:rPr>
          <w:rStyle w:val="FootnoteReference"/>
        </w:rPr>
        <w:footnoteRef/>
      </w:r>
      <w:r w:rsidRPr="00555417">
        <w:tab/>
        <w:t xml:space="preserve">Por ejemplo, la </w:t>
      </w:r>
      <w:r w:rsidRPr="00555417">
        <w:rPr>
          <w:lang w:val="es-ES_tradnl"/>
        </w:rPr>
        <w:t>Convención contra la Tortura y Otros Tratos o Penas Crueles, Inhumanos o Degradantes</w:t>
      </w:r>
      <w:r w:rsidR="00CD2CC2">
        <w:rPr>
          <w:lang w:val="es-ES_tradnl"/>
        </w:rPr>
        <w:t xml:space="preserve"> </w:t>
      </w:r>
      <w:r w:rsidRPr="00555417">
        <w:t xml:space="preserve">(art. 2); </w:t>
      </w:r>
      <w:r>
        <w:t xml:space="preserve">y la </w:t>
      </w:r>
      <w:r w:rsidRPr="00555417">
        <w:rPr>
          <w:lang w:val="es-ES_tradnl"/>
        </w:rPr>
        <w:t>Convención para la Prevención y la Sanción del Delito de Genocidio</w:t>
      </w:r>
      <w:r w:rsidR="00CD2CC2">
        <w:rPr>
          <w:lang w:val="es-ES_tradnl"/>
        </w:rPr>
        <w:t xml:space="preserve"> </w:t>
      </w:r>
      <w:r w:rsidRPr="00555417">
        <w:t>(art. 1).</w:t>
      </w:r>
    </w:p>
  </w:footnote>
  <w:footnote w:id="7">
    <w:p w:rsidR="004419F1" w:rsidRPr="00491640" w:rsidRDefault="004419F1" w:rsidP="0039161A">
      <w:pPr>
        <w:pStyle w:val="FootnoteText"/>
        <w:tabs>
          <w:tab w:val="clear" w:pos="418"/>
          <w:tab w:val="right" w:pos="1195"/>
          <w:tab w:val="left" w:pos="1267"/>
          <w:tab w:val="left" w:pos="1742"/>
          <w:tab w:val="left" w:pos="2218"/>
          <w:tab w:val="left" w:pos="2693"/>
        </w:tabs>
        <w:ind w:left="1267" w:right="1267" w:hanging="432"/>
      </w:pPr>
      <w:r w:rsidRPr="00555417">
        <w:tab/>
      </w:r>
      <w:r w:rsidRPr="00D61533">
        <w:rPr>
          <w:rStyle w:val="FootnoteReference"/>
        </w:rPr>
        <w:footnoteRef/>
      </w:r>
      <w:r w:rsidRPr="002C3582">
        <w:tab/>
        <w:t xml:space="preserve">Más recientemente, la </w:t>
      </w:r>
      <w:r>
        <w:rPr>
          <w:lang w:val="es-ES_tradnl"/>
        </w:rPr>
        <w:t>r</w:t>
      </w:r>
      <w:r w:rsidRPr="00491640">
        <w:rPr>
          <w:lang w:val="es-ES_tradnl"/>
        </w:rPr>
        <w:t xml:space="preserve">ecomendación general núm. 31 del Comité para la Eliminación de la Discriminación contra la Mujer y </w:t>
      </w:r>
      <w:r>
        <w:rPr>
          <w:lang w:val="es-ES_tradnl"/>
        </w:rPr>
        <w:t xml:space="preserve">la </w:t>
      </w:r>
      <w:r w:rsidRPr="00491640">
        <w:rPr>
          <w:lang w:val="es-ES_tradnl"/>
        </w:rPr>
        <w:t>observación general núm. 18 del Comité de los Derechos del Niño sobre las prácticas nocivas, adoptadas de manera conjunta</w:t>
      </w:r>
      <w:r w:rsidRPr="00491640">
        <w:t xml:space="preserve"> (CEDAW/C/GC/31-CRC/C/GC/18).</w:t>
      </w:r>
    </w:p>
  </w:footnote>
  <w:footnote w:id="8">
    <w:p w:rsidR="004419F1" w:rsidRPr="00136467" w:rsidRDefault="004419F1" w:rsidP="0039161A">
      <w:pPr>
        <w:pStyle w:val="FootnoteText"/>
        <w:tabs>
          <w:tab w:val="clear" w:pos="418"/>
          <w:tab w:val="right" w:pos="1195"/>
          <w:tab w:val="left" w:pos="1267"/>
          <w:tab w:val="left" w:pos="1742"/>
          <w:tab w:val="left" w:pos="2218"/>
          <w:tab w:val="left" w:pos="2693"/>
        </w:tabs>
        <w:ind w:left="1267" w:right="1267" w:hanging="432"/>
      </w:pPr>
      <w:r w:rsidRPr="00491640">
        <w:tab/>
      </w:r>
      <w:r w:rsidRPr="00D61533">
        <w:rPr>
          <w:rStyle w:val="FootnoteReference"/>
        </w:rPr>
        <w:footnoteRef/>
      </w:r>
      <w:r w:rsidRPr="00491640">
        <w:tab/>
        <w:t xml:space="preserve">Por ejemplo, el Subcomité para la Prevención de la Tortura del </w:t>
      </w:r>
      <w:r w:rsidRPr="00491640">
        <w:rPr>
          <w:lang w:val="es-ES_tradnl"/>
        </w:rPr>
        <w:t>Protocolo Facultativo de la Convención contra la Tortura y Otros Tratos o Penas Crueles, Inhumanos o Degradantes</w:t>
      </w:r>
      <w:r w:rsidRPr="00491640">
        <w:t xml:space="preserve"> (CAT/OP/12/6); A/HRC/18/24, p</w:t>
      </w:r>
      <w:r>
        <w:t>árr</w:t>
      </w:r>
      <w:r w:rsidRPr="00491640">
        <w:t>. </w:t>
      </w:r>
      <w:r w:rsidRPr="00136467">
        <w:t>8.</w:t>
      </w:r>
    </w:p>
  </w:footnote>
  <w:footnote w:id="9">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tab/>
      </w:r>
      <w:r w:rsidRPr="00D61533">
        <w:rPr>
          <w:rStyle w:val="FootnoteReference"/>
        </w:rPr>
        <w:footnoteRef/>
      </w:r>
      <w:r w:rsidRPr="00F557A3">
        <w:tab/>
        <w:t xml:space="preserve">Por ejemplo, la Oficina del </w:t>
      </w:r>
      <w:r w:rsidRPr="00F557A3">
        <w:rPr>
          <w:lang w:val="es-ES_tradnl"/>
        </w:rPr>
        <w:t>Asesor Especial sobre la Prevención del Genocidio</w:t>
      </w:r>
      <w:r w:rsidRPr="00F557A3">
        <w:t xml:space="preserve"> </w:t>
      </w:r>
      <w:r>
        <w:t>y del</w:t>
      </w:r>
      <w:r w:rsidR="00CD2CC2">
        <w:t xml:space="preserve"> </w:t>
      </w:r>
      <w:r w:rsidRPr="00F557A3">
        <w:rPr>
          <w:lang w:val="es-ES_tradnl"/>
        </w:rPr>
        <w:t>Asesor Especial sobre la Responsabilidad de Proteger</w:t>
      </w:r>
      <w:r w:rsidRPr="00F557A3">
        <w:t>.</w:t>
      </w:r>
      <w:r w:rsidR="00BE3D5A">
        <w:t xml:space="preserve"> </w:t>
      </w:r>
      <w:r w:rsidRPr="00C81780">
        <w:rPr>
          <w:lang w:val="en-US"/>
        </w:rPr>
        <w:t>E/CN.4/2000/12, párrs.</w:t>
      </w:r>
      <w:r w:rsidR="00CD2CC2" w:rsidRPr="00C81780">
        <w:rPr>
          <w:lang w:val="en-US"/>
        </w:rPr>
        <w:t xml:space="preserve"> </w:t>
      </w:r>
      <w:r w:rsidRPr="00E9577E">
        <w:rPr>
          <w:lang w:val="en-US"/>
        </w:rPr>
        <w:t>3 a 10; A/HRC/10/25.</w:t>
      </w:r>
    </w:p>
  </w:footnote>
  <w:footnote w:id="10">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rsidRPr="00E9577E">
        <w:rPr>
          <w:lang w:val="en-US"/>
        </w:rPr>
        <w:tab/>
      </w:r>
      <w:r w:rsidRPr="00D61533">
        <w:rPr>
          <w:rStyle w:val="FootnoteReference"/>
        </w:rPr>
        <w:footnoteRef/>
      </w:r>
      <w:r w:rsidRPr="00E9577E">
        <w:rPr>
          <w:lang w:val="en-US"/>
        </w:rPr>
        <w:tab/>
      </w:r>
      <w:r w:rsidR="00CD2CC2">
        <w:rPr>
          <w:lang w:val="en-US"/>
        </w:rPr>
        <w:t>“</w:t>
      </w:r>
      <w:r w:rsidRPr="00E9577E">
        <w:rPr>
          <w:lang w:val="en-US"/>
        </w:rPr>
        <w:t>Framework of Analysis for Atrocity Crimes: A tool for prevention</w:t>
      </w:r>
      <w:r w:rsidR="00CD2CC2">
        <w:rPr>
          <w:lang w:val="en-US"/>
        </w:rPr>
        <w:t>”</w:t>
      </w:r>
      <w:r w:rsidRPr="00E9577E">
        <w:rPr>
          <w:lang w:val="en-US"/>
        </w:rPr>
        <w:t xml:space="preserve"> (Naciones Unidas, 2014); A/64/864.</w:t>
      </w:r>
    </w:p>
  </w:footnote>
  <w:footnote w:id="11">
    <w:p w:rsidR="004419F1" w:rsidRPr="005675E1" w:rsidRDefault="004419F1" w:rsidP="0039161A">
      <w:pPr>
        <w:pStyle w:val="FootnoteText"/>
        <w:tabs>
          <w:tab w:val="clear" w:pos="418"/>
          <w:tab w:val="right" w:pos="1195"/>
          <w:tab w:val="left" w:pos="1267"/>
          <w:tab w:val="left" w:pos="1742"/>
          <w:tab w:val="left" w:pos="2218"/>
          <w:tab w:val="left" w:pos="2693"/>
        </w:tabs>
        <w:ind w:left="1267" w:right="1267" w:hanging="432"/>
      </w:pPr>
      <w:r w:rsidRPr="00E9577E">
        <w:rPr>
          <w:lang w:val="en-US"/>
        </w:rPr>
        <w:tab/>
      </w:r>
      <w:r w:rsidRPr="005675E1">
        <w:rPr>
          <w:vertAlign w:val="superscript"/>
        </w:rPr>
        <w:t>11</w:t>
      </w:r>
      <w:r w:rsidRPr="005675E1">
        <w:tab/>
      </w:r>
      <w:r w:rsidRPr="005675E1">
        <w:rPr>
          <w:lang w:val="es-ES_tradnl"/>
        </w:rPr>
        <w:t>Plan de Acción de Rabat sobre la prohibición de la apología del odio nacional, racial o religioso que constituye incitación a la discriminación, la hostilidad o la violencia</w:t>
      </w:r>
      <w:r w:rsidRPr="005675E1">
        <w:t xml:space="preserve"> (A/HRC/22/17/Add.4),</w:t>
      </w:r>
      <w:r>
        <w:t xml:space="preserve"> apéndice</w:t>
      </w:r>
      <w:r w:rsidRPr="005675E1">
        <w:t>.</w:t>
      </w:r>
    </w:p>
  </w:footnote>
  <w:footnote w:id="12">
    <w:p w:rsidR="004419F1" w:rsidRPr="00FC0DFC" w:rsidRDefault="004419F1" w:rsidP="0039161A">
      <w:pPr>
        <w:pStyle w:val="FootnoteText"/>
        <w:tabs>
          <w:tab w:val="clear" w:pos="418"/>
          <w:tab w:val="right" w:pos="1195"/>
          <w:tab w:val="left" w:pos="1267"/>
          <w:tab w:val="left" w:pos="1742"/>
          <w:tab w:val="left" w:pos="2218"/>
          <w:tab w:val="left" w:pos="2693"/>
        </w:tabs>
        <w:ind w:left="1267" w:right="1267" w:hanging="432"/>
      </w:pPr>
      <w:r w:rsidRPr="005675E1">
        <w:tab/>
      </w:r>
      <w:r w:rsidRPr="00D61533">
        <w:rPr>
          <w:rStyle w:val="FootnoteReference"/>
        </w:rPr>
        <w:footnoteRef/>
      </w:r>
      <w:r w:rsidRPr="00FC0DFC">
        <w:tab/>
      </w:r>
      <w:r>
        <w:t xml:space="preserve">En febrero de </w:t>
      </w:r>
      <w:r w:rsidRPr="00FC0DFC">
        <w:t>2015</w:t>
      </w:r>
      <w:r>
        <w:t>, el</w:t>
      </w:r>
      <w:r w:rsidRPr="00FC0DFC">
        <w:t xml:space="preserve"> Secretario General anunció la preparación de un </w:t>
      </w:r>
      <w:r w:rsidRPr="00D45012">
        <w:t>plan de acción para prevenir el extremismo violento</w:t>
      </w:r>
      <w:r w:rsidRPr="00FC0DFC">
        <w:t>.</w:t>
      </w:r>
    </w:p>
  </w:footnote>
  <w:footnote w:id="13">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rsidRPr="00FC0DFC">
        <w:tab/>
      </w:r>
      <w:r w:rsidRPr="00D61533">
        <w:rPr>
          <w:rStyle w:val="FootnoteReference"/>
        </w:rPr>
        <w:footnoteRef/>
      </w:r>
      <w:r w:rsidRPr="008E1DCA">
        <w:tab/>
      </w:r>
      <w:r w:rsidRPr="008E1DCA">
        <w:rPr>
          <w:lang w:val="es-ES_tradnl"/>
        </w:rPr>
        <w:t>Comité para la Eliminación de la Discriminación </w:t>
      </w:r>
      <w:r w:rsidRPr="008E1DCA">
        <w:rPr>
          <w:iCs/>
          <w:lang w:val="es-ES_tradnl"/>
        </w:rPr>
        <w:t>Racial</w:t>
      </w:r>
      <w:r w:rsidRPr="008E1DCA">
        <w:t>.</w:t>
      </w:r>
      <w:r>
        <w:t xml:space="preserve"> </w:t>
      </w:r>
      <w:r w:rsidRPr="00E9577E">
        <w:rPr>
          <w:lang w:val="en-US"/>
        </w:rPr>
        <w:t xml:space="preserve">Véase </w:t>
      </w:r>
      <w:r w:rsidR="00CD2CC2">
        <w:rPr>
          <w:lang w:val="en-US"/>
        </w:rPr>
        <w:t>“</w:t>
      </w:r>
      <w:r w:rsidRPr="00E9577E">
        <w:rPr>
          <w:lang w:val="en-US"/>
        </w:rPr>
        <w:t>Developing National Action Plans Against Racial Discrimination: A Practical Guide</w:t>
      </w:r>
      <w:r w:rsidR="00CD2CC2">
        <w:rPr>
          <w:lang w:val="en-US"/>
        </w:rPr>
        <w:t>”</w:t>
      </w:r>
      <w:r w:rsidRPr="00E9577E">
        <w:rPr>
          <w:lang w:val="en-US"/>
        </w:rPr>
        <w:t xml:space="preserve"> (Naciones Unidas, 2014).</w:t>
      </w:r>
    </w:p>
  </w:footnote>
  <w:footnote w:id="14">
    <w:p w:rsidR="004419F1" w:rsidRPr="008E1DCA" w:rsidRDefault="004419F1" w:rsidP="0039161A">
      <w:pPr>
        <w:pStyle w:val="FootnoteText"/>
        <w:tabs>
          <w:tab w:val="clear" w:pos="418"/>
          <w:tab w:val="right" w:pos="1195"/>
          <w:tab w:val="left" w:pos="1267"/>
          <w:tab w:val="left" w:pos="1742"/>
          <w:tab w:val="left" w:pos="2218"/>
          <w:tab w:val="left" w:pos="2693"/>
        </w:tabs>
        <w:ind w:left="1267" w:right="1267" w:hanging="432"/>
      </w:pPr>
      <w:r w:rsidRPr="00E9577E">
        <w:rPr>
          <w:lang w:val="en-US"/>
        </w:rPr>
        <w:tab/>
      </w:r>
      <w:r w:rsidRPr="00D61533">
        <w:rPr>
          <w:rStyle w:val="FootnoteReference"/>
        </w:rPr>
        <w:footnoteRef/>
      </w:r>
      <w:r w:rsidRPr="008E1DCA">
        <w:tab/>
      </w:r>
      <w:r w:rsidRPr="008E1DCA">
        <w:rPr>
          <w:lang w:val="es-ES_tradnl"/>
        </w:rPr>
        <w:t>Declaración sobre la Eliminación de Todas las Formas de Intolerancia y Discriminación Fundadas en la Religión o las Convicciones</w:t>
      </w:r>
      <w:r w:rsidRPr="008E1DCA">
        <w:t>.</w:t>
      </w:r>
    </w:p>
  </w:footnote>
  <w:footnote w:id="15">
    <w:p w:rsidR="004419F1" w:rsidRPr="00FE5FDD" w:rsidRDefault="004419F1" w:rsidP="0039161A">
      <w:pPr>
        <w:pStyle w:val="FootnoteText"/>
        <w:tabs>
          <w:tab w:val="clear" w:pos="418"/>
          <w:tab w:val="right" w:pos="1195"/>
          <w:tab w:val="left" w:pos="1267"/>
          <w:tab w:val="left" w:pos="1742"/>
          <w:tab w:val="left" w:pos="2218"/>
          <w:tab w:val="left" w:pos="2693"/>
        </w:tabs>
        <w:ind w:left="1267" w:right="1267" w:hanging="432"/>
      </w:pPr>
      <w:r w:rsidRPr="008E1DCA">
        <w:tab/>
      </w:r>
      <w:r w:rsidRPr="00D61533">
        <w:rPr>
          <w:rStyle w:val="FootnoteReference"/>
        </w:rPr>
        <w:footnoteRef/>
      </w:r>
      <w:r w:rsidRPr="00FE5FDD">
        <w:tab/>
        <w:t>Véase la amplia gama de medidas que se exigen a los Estados en el art. 2</w:t>
      </w:r>
      <w:r>
        <w:t xml:space="preserve"> de la</w:t>
      </w:r>
      <w:r w:rsidRPr="00FE5FDD">
        <w:t xml:space="preserve"> </w:t>
      </w:r>
      <w:r w:rsidRPr="00FE5FDD">
        <w:rPr>
          <w:lang w:val="es-ES_tradnl"/>
        </w:rPr>
        <w:t>Convención sobre la Eliminación de Todas las Formas de Discriminación contra la Mujer</w:t>
      </w:r>
      <w:r w:rsidRPr="00FE5FDD">
        <w:t>.</w:t>
      </w:r>
    </w:p>
  </w:footnote>
  <w:footnote w:id="16">
    <w:p w:rsidR="004419F1" w:rsidRPr="00D839C2" w:rsidRDefault="004419F1" w:rsidP="0039161A">
      <w:pPr>
        <w:pStyle w:val="FootnoteText"/>
        <w:tabs>
          <w:tab w:val="clear" w:pos="418"/>
          <w:tab w:val="right" w:pos="1195"/>
          <w:tab w:val="left" w:pos="1267"/>
          <w:tab w:val="left" w:pos="1742"/>
          <w:tab w:val="left" w:pos="2218"/>
          <w:tab w:val="left" w:pos="2693"/>
        </w:tabs>
        <w:ind w:left="1267" w:right="1267" w:hanging="432"/>
      </w:pPr>
      <w:r w:rsidRPr="00FE5FDD">
        <w:tab/>
      </w:r>
      <w:r w:rsidRPr="00D61533">
        <w:rPr>
          <w:rStyle w:val="FootnoteReference"/>
        </w:rPr>
        <w:footnoteRef/>
      </w:r>
      <w:r w:rsidRPr="00D839C2">
        <w:tab/>
        <w:t xml:space="preserve">Arts. 12 y 16 de la </w:t>
      </w:r>
      <w:r w:rsidRPr="00FE5FDD">
        <w:rPr>
          <w:lang w:val="es-ES_tradnl"/>
        </w:rPr>
        <w:t>Convención sobre los Derechos de las Personas con Discapacidad</w:t>
      </w:r>
      <w:r w:rsidRPr="00D839C2">
        <w:t>.</w:t>
      </w:r>
    </w:p>
  </w:footnote>
  <w:footnote w:id="17">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rsidRPr="00D839C2">
        <w:tab/>
      </w:r>
      <w:r w:rsidRPr="00D61533">
        <w:rPr>
          <w:rStyle w:val="FootnoteReference"/>
        </w:rPr>
        <w:footnoteRef/>
      </w:r>
      <w:r w:rsidRPr="00E9577E">
        <w:rPr>
          <w:lang w:val="en-US"/>
        </w:rPr>
        <w:tab/>
      </w:r>
      <w:r w:rsidR="00CD2CC2">
        <w:rPr>
          <w:lang w:val="en-US"/>
        </w:rPr>
        <w:t>“</w:t>
      </w:r>
      <w:r w:rsidRPr="00E9577E">
        <w:rPr>
          <w:lang w:val="en-US"/>
        </w:rPr>
        <w:t>Framework of Analysis</w:t>
      </w:r>
      <w:r w:rsidR="00CD2CC2">
        <w:rPr>
          <w:lang w:val="en-US"/>
        </w:rPr>
        <w:t>”</w:t>
      </w:r>
      <w:r w:rsidRPr="00E9577E">
        <w:rPr>
          <w:lang w:val="en-US"/>
        </w:rPr>
        <w:t xml:space="preserve"> (nota 10 </w:t>
      </w:r>
      <w:r w:rsidRPr="00E9577E">
        <w:rPr>
          <w:i/>
          <w:lang w:val="en-US"/>
        </w:rPr>
        <w:t>supra</w:t>
      </w:r>
      <w:r w:rsidRPr="00E9577E">
        <w:rPr>
          <w:lang w:val="en-US"/>
        </w:rPr>
        <w:t>), pág. 3.</w:t>
      </w:r>
    </w:p>
  </w:footnote>
  <w:footnote w:id="18">
    <w:p w:rsidR="004419F1" w:rsidRPr="006F5608" w:rsidRDefault="004419F1" w:rsidP="0039161A">
      <w:pPr>
        <w:pStyle w:val="FootnoteText"/>
        <w:tabs>
          <w:tab w:val="clear" w:pos="418"/>
          <w:tab w:val="right" w:pos="1195"/>
          <w:tab w:val="left" w:pos="1267"/>
          <w:tab w:val="left" w:pos="1742"/>
          <w:tab w:val="left" w:pos="2218"/>
          <w:tab w:val="left" w:pos="2693"/>
        </w:tabs>
        <w:ind w:left="1267" w:right="1267" w:hanging="432"/>
      </w:pPr>
      <w:r w:rsidRPr="00E9577E">
        <w:rPr>
          <w:lang w:val="en-US"/>
        </w:rPr>
        <w:tab/>
      </w:r>
      <w:r w:rsidRPr="00D61533">
        <w:rPr>
          <w:rStyle w:val="FootnoteReference"/>
        </w:rPr>
        <w:footnoteRef/>
      </w:r>
      <w:r w:rsidRPr="006F5608">
        <w:tab/>
      </w:r>
      <w:r w:rsidRPr="006F5608">
        <w:rPr>
          <w:lang w:val="es-ES_tradnl"/>
        </w:rPr>
        <w:t>Conferencia Internacional de la Región de los Grandes Lagos</w:t>
      </w:r>
      <w:r w:rsidRPr="006F5608">
        <w:t>, 29</w:t>
      </w:r>
      <w:r>
        <w:t xml:space="preserve"> de noviembre de </w:t>
      </w:r>
      <w:r w:rsidRPr="006F5608">
        <w:t>2006.</w:t>
      </w:r>
    </w:p>
  </w:footnote>
  <w:footnote w:id="19">
    <w:p w:rsidR="004419F1" w:rsidRPr="005B26EB" w:rsidRDefault="004419F1" w:rsidP="0039161A">
      <w:pPr>
        <w:pStyle w:val="FootnoteText"/>
        <w:tabs>
          <w:tab w:val="clear" w:pos="418"/>
          <w:tab w:val="right" w:pos="1195"/>
          <w:tab w:val="left" w:pos="1267"/>
          <w:tab w:val="left" w:pos="1742"/>
          <w:tab w:val="left" w:pos="2218"/>
          <w:tab w:val="left" w:pos="2693"/>
        </w:tabs>
        <w:ind w:left="1267" w:right="1267" w:hanging="432"/>
      </w:pPr>
      <w:r w:rsidRPr="006F5608">
        <w:tab/>
      </w:r>
      <w:r w:rsidRPr="00D61533">
        <w:rPr>
          <w:rStyle w:val="FootnoteReference"/>
        </w:rPr>
        <w:footnoteRef/>
      </w:r>
      <w:r w:rsidRPr="005B26EB">
        <w:tab/>
        <w:t xml:space="preserve">Véanse el art. 3 del </w:t>
      </w:r>
      <w:r w:rsidRPr="005B26EB">
        <w:rPr>
          <w:lang w:val="es-ES_tradnl"/>
        </w:rPr>
        <w:t>Comité para la Eliminación de la Discriminación</w:t>
      </w:r>
      <w:r w:rsidR="00CD2CC2">
        <w:rPr>
          <w:lang w:val="es-ES_tradnl"/>
        </w:rPr>
        <w:t xml:space="preserve"> </w:t>
      </w:r>
      <w:r w:rsidR="00510396" w:rsidRPr="005B26EB">
        <w:rPr>
          <w:iCs/>
          <w:lang w:val="es-ES_tradnl"/>
        </w:rPr>
        <w:t>Racial</w:t>
      </w:r>
      <w:r w:rsidR="00510396">
        <w:rPr>
          <w:iCs/>
          <w:lang w:val="es-ES_tradnl"/>
        </w:rPr>
        <w:t>;</w:t>
      </w:r>
      <w:r w:rsidRPr="005B26EB">
        <w:t xml:space="preserve"> </w:t>
      </w:r>
      <w:r>
        <w:t xml:space="preserve">el </w:t>
      </w:r>
      <w:r w:rsidRPr="005B26EB">
        <w:t>art. 2</w:t>
      </w:r>
      <w:r>
        <w:t xml:space="preserve"> de la</w:t>
      </w:r>
      <w:r w:rsidRPr="005B26EB">
        <w:t xml:space="preserve"> </w:t>
      </w:r>
      <w:r w:rsidRPr="005B26EB">
        <w:rPr>
          <w:lang w:val="es-ES_tradnl"/>
        </w:rPr>
        <w:t xml:space="preserve">Convención sobre la </w:t>
      </w:r>
      <w:r w:rsidR="00510396" w:rsidRPr="005B26EB">
        <w:rPr>
          <w:lang w:val="es-ES_tradnl"/>
        </w:rPr>
        <w:t>Esclavitud;</w:t>
      </w:r>
      <w:r w:rsidRPr="005B26EB">
        <w:t xml:space="preserve"> </w:t>
      </w:r>
      <w:r>
        <w:t xml:space="preserve">y el </w:t>
      </w:r>
      <w:r w:rsidRPr="005B26EB">
        <w:t>art. 1</w:t>
      </w:r>
      <w:r>
        <w:t xml:space="preserve"> de la</w:t>
      </w:r>
      <w:r w:rsidRPr="005B26EB">
        <w:t xml:space="preserve"> </w:t>
      </w:r>
      <w:r w:rsidRPr="005B26EB">
        <w:rPr>
          <w:lang w:val="es-ES_tradnl"/>
        </w:rPr>
        <w:t>Convención para la Prevención y la Sanción del Delito de Genocidio</w:t>
      </w:r>
      <w:r w:rsidRPr="005B26EB">
        <w:t>.</w:t>
      </w:r>
    </w:p>
  </w:footnote>
  <w:footnote w:id="20">
    <w:p w:rsidR="004419F1" w:rsidRPr="005B26EB" w:rsidRDefault="004419F1" w:rsidP="0039161A">
      <w:pPr>
        <w:pStyle w:val="FootnoteText"/>
        <w:tabs>
          <w:tab w:val="clear" w:pos="418"/>
          <w:tab w:val="right" w:pos="1195"/>
          <w:tab w:val="left" w:pos="1267"/>
          <w:tab w:val="left" w:pos="1742"/>
          <w:tab w:val="left" w:pos="2218"/>
          <w:tab w:val="left" w:pos="2693"/>
        </w:tabs>
        <w:ind w:left="1267" w:right="1267" w:hanging="432"/>
      </w:pPr>
      <w:r w:rsidRPr="005B26EB">
        <w:tab/>
      </w:r>
      <w:r w:rsidRPr="00D61533">
        <w:rPr>
          <w:rStyle w:val="FootnoteReference"/>
        </w:rPr>
        <w:footnoteRef/>
      </w:r>
      <w:r w:rsidRPr="005B26EB">
        <w:tab/>
        <w:t>Véase el art. 19 de la Convención sobre los Derechos</w:t>
      </w:r>
      <w:r>
        <w:t xml:space="preserve"> del Niño</w:t>
      </w:r>
      <w:r w:rsidRPr="005B26EB">
        <w:t>;</w:t>
      </w:r>
      <w:r>
        <w:t xml:space="preserve"> y </w:t>
      </w:r>
      <w:r w:rsidRPr="005B26EB">
        <w:t xml:space="preserve">E. Decaux </w:t>
      </w:r>
      <w:r>
        <w:t>y</w:t>
      </w:r>
      <w:r w:rsidRPr="005B26EB">
        <w:t xml:space="preserve"> S. Touzé (</w:t>
      </w:r>
      <w:r>
        <w:t xml:space="preserve">nota </w:t>
      </w:r>
      <w:r w:rsidRPr="005B26EB">
        <w:t xml:space="preserve">3 </w:t>
      </w:r>
      <w:r w:rsidRPr="00A365B0">
        <w:rPr>
          <w:i/>
        </w:rPr>
        <w:t>supra</w:t>
      </w:r>
      <w:r w:rsidRPr="005B26EB">
        <w:t>).</w:t>
      </w:r>
    </w:p>
  </w:footnote>
  <w:footnote w:id="21">
    <w:p w:rsidR="004419F1" w:rsidRPr="00B96098" w:rsidRDefault="004419F1" w:rsidP="0039161A">
      <w:pPr>
        <w:pStyle w:val="FootnoteText"/>
        <w:tabs>
          <w:tab w:val="clear" w:pos="418"/>
          <w:tab w:val="right" w:pos="1195"/>
          <w:tab w:val="left" w:pos="1267"/>
          <w:tab w:val="left" w:pos="1742"/>
          <w:tab w:val="left" w:pos="2218"/>
          <w:tab w:val="left" w:pos="2693"/>
        </w:tabs>
        <w:ind w:left="1267" w:right="1267" w:hanging="432"/>
      </w:pPr>
      <w:r w:rsidRPr="005B26EB">
        <w:tab/>
      </w:r>
      <w:r w:rsidRPr="00D61533">
        <w:rPr>
          <w:rStyle w:val="FootnoteReference"/>
        </w:rPr>
        <w:footnoteRef/>
      </w:r>
      <w:r w:rsidRPr="00B96098">
        <w:tab/>
        <w:t xml:space="preserve"> Aplicación de la</w:t>
      </w:r>
      <w:r w:rsidR="00CD2CC2">
        <w:t xml:space="preserve"> </w:t>
      </w:r>
      <w:r w:rsidRPr="00B96098">
        <w:rPr>
          <w:lang w:val="es-ES_tradnl"/>
        </w:rPr>
        <w:t>Convención para la Prevención y la Sanción del Delito de Genocidio</w:t>
      </w:r>
      <w:r w:rsidRPr="00B96098">
        <w:t xml:space="preserve"> </w:t>
      </w:r>
      <w:r w:rsidRPr="00BE3D5A">
        <w:rPr>
          <w:i/>
        </w:rPr>
        <w:t>(</w:t>
      </w:r>
      <w:r w:rsidRPr="00BE3D5A">
        <w:rPr>
          <w:i/>
          <w:iCs/>
        </w:rPr>
        <w:t>Bosnia and Herzegovina v. Serbia and Montenegro</w:t>
      </w:r>
      <w:r w:rsidRPr="00BE3D5A">
        <w:rPr>
          <w:i/>
        </w:rPr>
        <w:t>)</w:t>
      </w:r>
      <w:r w:rsidRPr="00B96098">
        <w:t xml:space="preserve">, </w:t>
      </w:r>
      <w:r>
        <w:t>fallo</w:t>
      </w:r>
      <w:r w:rsidRPr="00B96098">
        <w:t xml:space="preserve">, </w:t>
      </w:r>
      <w:r w:rsidRPr="00B96098">
        <w:rPr>
          <w:i/>
          <w:iCs/>
        </w:rPr>
        <w:t>I.C.J. Reports 2007</w:t>
      </w:r>
      <w:r w:rsidRPr="00B96098">
        <w:t>, p</w:t>
      </w:r>
      <w:r>
        <w:t>ág</w:t>
      </w:r>
      <w:r w:rsidRPr="00B96098">
        <w:t>. 43.</w:t>
      </w:r>
    </w:p>
  </w:footnote>
  <w:footnote w:id="22">
    <w:p w:rsidR="004419F1" w:rsidRPr="00921B7F" w:rsidRDefault="004419F1" w:rsidP="0039161A">
      <w:pPr>
        <w:pStyle w:val="FootnoteText"/>
        <w:tabs>
          <w:tab w:val="clear" w:pos="418"/>
          <w:tab w:val="right" w:pos="1195"/>
          <w:tab w:val="left" w:pos="1267"/>
          <w:tab w:val="left" w:pos="1742"/>
          <w:tab w:val="left" w:pos="2218"/>
          <w:tab w:val="left" w:pos="2693"/>
        </w:tabs>
        <w:ind w:left="1267" w:right="1267" w:hanging="432"/>
      </w:pPr>
      <w:r w:rsidRPr="00B96098">
        <w:tab/>
      </w:r>
      <w:r w:rsidRPr="00D61533">
        <w:rPr>
          <w:rStyle w:val="FootnoteReference"/>
        </w:rPr>
        <w:footnoteRef/>
      </w:r>
      <w:r w:rsidRPr="00921B7F">
        <w:tab/>
        <w:t xml:space="preserve">A/HRC/18/24, párr. 36; A/HRC/28/30, párr. 22; y </w:t>
      </w:r>
      <w:r w:rsidRPr="00921B7F">
        <w:rPr>
          <w:i/>
        </w:rPr>
        <w:t>Prevención de la tortura: Guía operacional para las Instituciones Nacionales de Derechos Humanos</w:t>
      </w:r>
      <w:r>
        <w:t xml:space="preserve">, </w:t>
      </w:r>
      <w:r w:rsidRPr="00921B7F">
        <w:t>pág. 3 (ACNUDH, Asociación para la Prevención de la Tortura</w:t>
      </w:r>
      <w:r w:rsidRPr="00921B7F">
        <w:rPr>
          <w:lang w:val="es-ES_tradnl"/>
        </w:rPr>
        <w:t xml:space="preserve"> </w:t>
      </w:r>
      <w:r>
        <w:rPr>
          <w:lang w:val="es-ES_tradnl"/>
        </w:rPr>
        <w:t xml:space="preserve">y </w:t>
      </w:r>
      <w:r w:rsidRPr="00921B7F">
        <w:t xml:space="preserve">Foro Asia-Pacífico, HR/PUB/10/1). </w:t>
      </w:r>
    </w:p>
  </w:footnote>
  <w:footnote w:id="23">
    <w:p w:rsidR="004419F1" w:rsidRPr="003E1FFA" w:rsidRDefault="004419F1" w:rsidP="0039161A">
      <w:pPr>
        <w:pStyle w:val="FootnoteText"/>
        <w:tabs>
          <w:tab w:val="clear" w:pos="418"/>
          <w:tab w:val="right" w:pos="1195"/>
          <w:tab w:val="left" w:pos="1267"/>
          <w:tab w:val="left" w:pos="1742"/>
          <w:tab w:val="left" w:pos="2218"/>
          <w:tab w:val="left" w:pos="2693"/>
        </w:tabs>
        <w:ind w:left="1267" w:right="1267" w:hanging="432"/>
      </w:pPr>
      <w:r w:rsidRPr="00921B7F">
        <w:tab/>
      </w:r>
      <w:r w:rsidRPr="00D61533">
        <w:rPr>
          <w:rStyle w:val="FootnoteReference"/>
        </w:rPr>
        <w:footnoteRef/>
      </w:r>
      <w:r w:rsidRPr="003E1FFA">
        <w:tab/>
        <w:t xml:space="preserve">Véase </w:t>
      </w:r>
      <w:r w:rsidRPr="003E1FFA">
        <w:rPr>
          <w:i/>
        </w:rPr>
        <w:t>Prácticas de buen gobierno para la protección de los derechos humanos</w:t>
      </w:r>
      <w:r>
        <w:t xml:space="preserve"> </w:t>
      </w:r>
      <w:r w:rsidRPr="003E1FFA">
        <w:t>(</w:t>
      </w:r>
      <w:r>
        <w:t>Naciones Unidas,</w:t>
      </w:r>
      <w:r w:rsidR="00CD2CC2">
        <w:t xml:space="preserve"> </w:t>
      </w:r>
      <w:r w:rsidRPr="003E1FFA">
        <w:t>2007).</w:t>
      </w:r>
    </w:p>
  </w:footnote>
  <w:footnote w:id="24">
    <w:p w:rsidR="004419F1" w:rsidRPr="00A865D4" w:rsidRDefault="004419F1" w:rsidP="0039161A">
      <w:pPr>
        <w:pStyle w:val="FootnoteText"/>
        <w:tabs>
          <w:tab w:val="clear" w:pos="418"/>
          <w:tab w:val="right" w:pos="1195"/>
          <w:tab w:val="left" w:pos="1267"/>
          <w:tab w:val="left" w:pos="1742"/>
          <w:tab w:val="left" w:pos="2218"/>
          <w:tab w:val="left" w:pos="2693"/>
        </w:tabs>
        <w:ind w:left="1267" w:right="1267" w:hanging="432"/>
      </w:pPr>
      <w:r w:rsidRPr="003E1FFA">
        <w:tab/>
      </w:r>
      <w:r w:rsidRPr="00D61533">
        <w:rPr>
          <w:rStyle w:val="FootnoteReference"/>
        </w:rPr>
        <w:footnoteRef/>
      </w:r>
      <w:r w:rsidRPr="00612D10">
        <w:tab/>
        <w:t>El enfoque del sistema de las Naciones Unidas respecto de la justicia de transición puede resultar de utilidad para elaborar un enfoque preventivo con el fin de</w:t>
      </w:r>
      <w:r>
        <w:t xml:space="preserve"> evitar que se repitan </w:t>
      </w:r>
      <w:r w:rsidRPr="00612D10">
        <w:t xml:space="preserve">las violaciones de los derechos humanos que se hayan </w:t>
      </w:r>
      <w:r>
        <w:t>producido (lo que incluye señalar las causas fundamentales) y emprender una reforma institucional respecto de las estructuras e instituciones del Estado que hubiesen facilitado o promovido tales violaciones</w:t>
      </w:r>
      <w:r w:rsidR="00BE3D5A">
        <w:t>.</w:t>
      </w:r>
      <w:r w:rsidRPr="00A865D4">
        <w:rPr>
          <w:rFonts w:eastAsia="Calibri"/>
          <w:color w:val="000000"/>
          <w:sz w:val="27"/>
          <w:szCs w:val="27"/>
          <w:lang w:val="es-ES_tradnl"/>
        </w:rPr>
        <w:t xml:space="preserve"> </w:t>
      </w:r>
      <w:r w:rsidR="00CD2CC2">
        <w:rPr>
          <w:lang w:val="es-ES_tradnl"/>
        </w:rPr>
        <w:t>“</w:t>
      </w:r>
      <w:r w:rsidRPr="00A865D4">
        <w:rPr>
          <w:lang w:val="es-ES_tradnl"/>
        </w:rPr>
        <w:t>Nota orientativa del Secretario General sobre el enfoque de las Naciones Unidas a la justicia de transición</w:t>
      </w:r>
      <w:r w:rsidR="00CD2CC2">
        <w:rPr>
          <w:lang w:val="es-ES_tradnl"/>
        </w:rPr>
        <w:t>”</w:t>
      </w:r>
      <w:r w:rsidRPr="00A865D4">
        <w:t xml:space="preserve"> (</w:t>
      </w:r>
      <w:r>
        <w:t>Naciones Unidas</w:t>
      </w:r>
      <w:r w:rsidRPr="00A865D4">
        <w:t>, 2010);</w:t>
      </w:r>
      <w:r>
        <w:t xml:space="preserve"> </w:t>
      </w:r>
      <w:r w:rsidRPr="00A865D4">
        <w:rPr>
          <w:i/>
        </w:rPr>
        <w:t>Justicia transicional y derechos económicos, sociales y culturales</w:t>
      </w:r>
      <w:r>
        <w:t xml:space="preserve"> </w:t>
      </w:r>
      <w:r w:rsidRPr="00A865D4">
        <w:t>(</w:t>
      </w:r>
      <w:r>
        <w:t>Naciones Unidas</w:t>
      </w:r>
      <w:r w:rsidRPr="00A865D4">
        <w:t>, 2014).</w:t>
      </w:r>
    </w:p>
  </w:footnote>
  <w:footnote w:id="25">
    <w:p w:rsidR="004419F1" w:rsidRPr="004B7B7B" w:rsidRDefault="004419F1" w:rsidP="0039161A">
      <w:pPr>
        <w:pStyle w:val="FootnoteText"/>
        <w:tabs>
          <w:tab w:val="clear" w:pos="418"/>
          <w:tab w:val="right" w:pos="1195"/>
          <w:tab w:val="left" w:pos="1267"/>
          <w:tab w:val="left" w:pos="1742"/>
          <w:tab w:val="left" w:pos="2218"/>
          <w:tab w:val="left" w:pos="2693"/>
        </w:tabs>
        <w:ind w:left="1267" w:right="1267" w:hanging="432"/>
      </w:pPr>
      <w:r w:rsidRPr="00A865D4">
        <w:tab/>
      </w:r>
      <w:r w:rsidRPr="00D61533">
        <w:rPr>
          <w:rStyle w:val="FootnoteReference"/>
        </w:rPr>
        <w:footnoteRef/>
      </w:r>
      <w:r w:rsidRPr="00EE5EAF">
        <w:tab/>
        <w:t xml:space="preserve">El Comité de Derechos Humanos sostiene </w:t>
      </w:r>
      <w:r w:rsidRPr="00EE5EAF">
        <w:rPr>
          <w:lang w:val="es-ES_tradnl"/>
        </w:rPr>
        <w:t xml:space="preserve">que el derecho a un recurso efectivo puede en algunas circunstancias hacer necesario que los Estados </w:t>
      </w:r>
      <w:r>
        <w:rPr>
          <w:lang w:val="es-ES_tradnl"/>
        </w:rPr>
        <w:t>p</w:t>
      </w:r>
      <w:r w:rsidRPr="00EE5EAF">
        <w:rPr>
          <w:lang w:val="es-ES_tradnl"/>
        </w:rPr>
        <w:t>artes adopten y apliquen medidas provisionales para evitar violaciones constantes y para reparar lo más pronto posible cualquier daño que se pueda haber causado de resultas de esas violaciones</w:t>
      </w:r>
      <w:r w:rsidRPr="00EE5EAF">
        <w:t xml:space="preserve"> (</w:t>
      </w:r>
      <w:r>
        <w:t>observación general núm.</w:t>
      </w:r>
      <w:r w:rsidRPr="00EE5EAF">
        <w:t> 31, p</w:t>
      </w:r>
      <w:r>
        <w:t>árr</w:t>
      </w:r>
      <w:r w:rsidRPr="00EE5EAF">
        <w:t>. </w:t>
      </w:r>
      <w:r w:rsidRPr="004B7B7B">
        <w:t>19).</w:t>
      </w:r>
    </w:p>
  </w:footnote>
  <w:footnote w:id="26">
    <w:p w:rsidR="004419F1" w:rsidRPr="00F71B18"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F71B18">
        <w:tab/>
        <w:t>Art. 2 del Pacto Internacional de Derechos Civiles y Políticos; art. 2</w:t>
      </w:r>
      <w:r w:rsidR="00CD2CC2">
        <w:t xml:space="preserve"> </w:t>
      </w:r>
      <w:r w:rsidRPr="00F71B18">
        <w:t xml:space="preserve">de la </w:t>
      </w:r>
      <w:r w:rsidRPr="00F71B18">
        <w:rPr>
          <w:lang w:val="es-ES_tradnl"/>
        </w:rPr>
        <w:t>Convención contra la Tortura y Otros Tratos o Penas Crueles, Inhumanos o Degradantes</w:t>
      </w:r>
      <w:r w:rsidRPr="00F71B18">
        <w:t>; art. 23</w:t>
      </w:r>
      <w:r>
        <w:t xml:space="preserve"> de la </w:t>
      </w:r>
      <w:r w:rsidRPr="00F71B18">
        <w:rPr>
          <w:lang w:val="es-ES_tradnl"/>
        </w:rPr>
        <w:t>Convención Internacional para la Protección de Todas las Personas contra las</w:t>
      </w:r>
      <w:r>
        <w:rPr>
          <w:lang w:val="es-ES_tradnl"/>
        </w:rPr>
        <w:t xml:space="preserve"> </w:t>
      </w:r>
      <w:r w:rsidRPr="00F71B18">
        <w:rPr>
          <w:iCs/>
          <w:lang w:val="es-ES_tradnl"/>
        </w:rPr>
        <w:t>Desapariciones</w:t>
      </w:r>
      <w:r w:rsidRPr="00F71B18">
        <w:rPr>
          <w:lang w:val="es-ES_tradnl"/>
        </w:rPr>
        <w:t> </w:t>
      </w:r>
      <w:r w:rsidRPr="00F71B18">
        <w:rPr>
          <w:iCs/>
          <w:lang w:val="es-ES_tradnl"/>
        </w:rPr>
        <w:t>Forzadas</w:t>
      </w:r>
      <w:r w:rsidRPr="00F71B18">
        <w:t>;</w:t>
      </w:r>
      <w:r>
        <w:t xml:space="preserve"> y causa</w:t>
      </w:r>
      <w:r w:rsidRPr="00F71B18">
        <w:t xml:space="preserve"> L</w:t>
      </w:r>
      <w:r w:rsidR="00BE3D5A">
        <w:t>a</w:t>
      </w:r>
      <w:r w:rsidRPr="00F71B18">
        <w:t xml:space="preserve">Grand </w:t>
      </w:r>
      <w:r w:rsidRPr="00BE3D5A">
        <w:rPr>
          <w:i/>
        </w:rPr>
        <w:t>(</w:t>
      </w:r>
      <w:r w:rsidRPr="00BE3D5A">
        <w:rPr>
          <w:i/>
          <w:iCs/>
        </w:rPr>
        <w:t>Germany v. United States</w:t>
      </w:r>
      <w:r w:rsidRPr="00BE3D5A">
        <w:rPr>
          <w:i/>
        </w:rPr>
        <w:t>)</w:t>
      </w:r>
      <w:r w:rsidRPr="00F71B18">
        <w:t xml:space="preserve">, </w:t>
      </w:r>
      <w:r>
        <w:t>fallo</w:t>
      </w:r>
      <w:r w:rsidRPr="00F71B18">
        <w:t xml:space="preserve">, </w:t>
      </w:r>
      <w:r w:rsidRPr="00F71B18">
        <w:rPr>
          <w:i/>
          <w:iCs/>
        </w:rPr>
        <w:t>I.C.J. Reports 2001</w:t>
      </w:r>
      <w:r w:rsidRPr="00F71B18">
        <w:t>; E/CN.4/2005/102/Add.1, princip</w:t>
      </w:r>
      <w:r>
        <w:t>io</w:t>
      </w:r>
      <w:r w:rsidRPr="00F71B18">
        <w:t xml:space="preserve"> 35.</w:t>
      </w:r>
    </w:p>
  </w:footnote>
  <w:footnote w:id="27">
    <w:p w:rsidR="004419F1" w:rsidRPr="001E62A4" w:rsidRDefault="004419F1" w:rsidP="0039161A">
      <w:pPr>
        <w:pStyle w:val="FootnoteText"/>
        <w:tabs>
          <w:tab w:val="clear" w:pos="418"/>
          <w:tab w:val="right" w:pos="1195"/>
          <w:tab w:val="left" w:pos="1267"/>
          <w:tab w:val="left" w:pos="1742"/>
          <w:tab w:val="left" w:pos="2218"/>
          <w:tab w:val="left" w:pos="2693"/>
        </w:tabs>
        <w:ind w:left="1267" w:right="1267" w:hanging="432"/>
      </w:pPr>
      <w:r w:rsidRPr="00F71B18">
        <w:tab/>
      </w:r>
      <w:r w:rsidRPr="00D61533">
        <w:rPr>
          <w:rStyle w:val="FootnoteReference"/>
        </w:rPr>
        <w:footnoteRef/>
      </w:r>
      <w:r w:rsidRPr="001E62A4">
        <w:tab/>
        <w:t>Respuesta de Madagascar.</w:t>
      </w:r>
    </w:p>
  </w:footnote>
  <w:footnote w:id="28">
    <w:p w:rsidR="004419F1" w:rsidRPr="001E62A4" w:rsidRDefault="004419F1" w:rsidP="0039161A">
      <w:pPr>
        <w:pStyle w:val="FootnoteText"/>
        <w:tabs>
          <w:tab w:val="clear" w:pos="418"/>
          <w:tab w:val="right" w:pos="1195"/>
          <w:tab w:val="left" w:pos="1267"/>
          <w:tab w:val="left" w:pos="1742"/>
          <w:tab w:val="left" w:pos="2218"/>
          <w:tab w:val="left" w:pos="2693"/>
        </w:tabs>
        <w:ind w:left="1267" w:right="1267" w:hanging="432"/>
      </w:pPr>
      <w:r w:rsidRPr="001E62A4">
        <w:tab/>
      </w:r>
      <w:r w:rsidRPr="00D61533">
        <w:rPr>
          <w:rStyle w:val="FootnoteReference"/>
        </w:rPr>
        <w:footnoteRef/>
      </w:r>
      <w:r w:rsidRPr="001E62A4">
        <w:tab/>
        <w:t>Respuesta de Irlanda.</w:t>
      </w:r>
    </w:p>
  </w:footnote>
  <w:footnote w:id="29">
    <w:p w:rsidR="004419F1" w:rsidRPr="00881322" w:rsidRDefault="004419F1" w:rsidP="0039161A">
      <w:pPr>
        <w:pStyle w:val="FootnoteText"/>
        <w:tabs>
          <w:tab w:val="clear" w:pos="418"/>
          <w:tab w:val="right" w:pos="1195"/>
          <w:tab w:val="left" w:pos="1267"/>
          <w:tab w:val="left" w:pos="1742"/>
          <w:tab w:val="left" w:pos="2218"/>
          <w:tab w:val="left" w:pos="2693"/>
        </w:tabs>
        <w:ind w:left="1267" w:right="1267" w:hanging="432"/>
      </w:pPr>
      <w:r w:rsidRPr="001E62A4">
        <w:tab/>
      </w:r>
      <w:r w:rsidRPr="00D61533">
        <w:rPr>
          <w:rStyle w:val="FootnoteReference"/>
        </w:rPr>
        <w:footnoteRef/>
      </w:r>
      <w:r w:rsidRPr="00A9294D">
        <w:tab/>
        <w:t xml:space="preserve">Por ejemplo, la Recomendación Rec(2004)5 del Comité de Ministros del Consejo de Europa </w:t>
      </w:r>
      <w:r w:rsidR="00BE3D5A">
        <w:t xml:space="preserve">a </w:t>
      </w:r>
      <w:r w:rsidRPr="00A9294D">
        <w:t xml:space="preserve">los Estados miembros respecto de la verificación de la compatibilidad de los proyectos de ley, las leyes vigentes </w:t>
      </w:r>
      <w:r>
        <w:t>y la práctica administrativa con las normas establecidas en el Convenio Europeo de Derechos Humanos</w:t>
      </w:r>
      <w:r w:rsidRPr="00881322">
        <w:t>. Véase el análisis conexo</w:t>
      </w:r>
      <w:r>
        <w:t xml:space="preserve"> que se realiza más abajo sobre la evaluación de las consecuencias de las leyes y políticas propuestas.</w:t>
      </w:r>
    </w:p>
  </w:footnote>
  <w:footnote w:id="30">
    <w:p w:rsidR="004419F1" w:rsidRPr="004B7B7B" w:rsidRDefault="004419F1" w:rsidP="0039161A">
      <w:pPr>
        <w:pStyle w:val="FootnoteText"/>
        <w:tabs>
          <w:tab w:val="clear" w:pos="418"/>
          <w:tab w:val="right" w:pos="1195"/>
          <w:tab w:val="left" w:pos="1267"/>
          <w:tab w:val="left" w:pos="1742"/>
          <w:tab w:val="left" w:pos="2218"/>
          <w:tab w:val="left" w:pos="2693"/>
        </w:tabs>
        <w:ind w:left="1267" w:right="1267" w:hanging="432"/>
      </w:pPr>
      <w:r w:rsidRPr="00881322">
        <w:tab/>
      </w:r>
      <w:r w:rsidRPr="00D61533">
        <w:rPr>
          <w:rStyle w:val="FootnoteReference"/>
        </w:rPr>
        <w:footnoteRef/>
      </w:r>
      <w:r w:rsidRPr="00881322">
        <w:tab/>
        <w:t>Respuesta de la República de Moldova;</w:t>
      </w:r>
      <w:r>
        <w:t xml:space="preserve"> respuesta de Hungría</w:t>
      </w:r>
      <w:r w:rsidRPr="00881322">
        <w:t>.</w:t>
      </w:r>
      <w:r w:rsidR="00CD2CC2">
        <w:t xml:space="preserve"> </w:t>
      </w:r>
      <w:r w:rsidRPr="00881322">
        <w:t xml:space="preserve">El Subcomité para la Prevención de la Tortura y Otros Tratos o Penas Crueles, Inhumanos o Degradantes especifica que el </w:t>
      </w:r>
      <w:r w:rsidR="00CD2CC2">
        <w:t>“</w:t>
      </w:r>
      <w:r w:rsidRPr="00881322">
        <w:rPr>
          <w:lang w:val="es-ES_tradnl"/>
        </w:rPr>
        <w:t>Estado debe informar al mecanismo nacional de prevención de todo proyecto de ley que pueda estar examinándose y que sea pertinente para su mandato y permitir al mecanismo hacer propuestas u observaciones sobre toda política o ley en vigor o en proyecto.</w:t>
      </w:r>
      <w:r w:rsidRPr="00881322">
        <w:rPr>
          <w:rFonts w:eastAsia="Calibri"/>
          <w:color w:val="000000"/>
          <w:sz w:val="27"/>
          <w:szCs w:val="27"/>
          <w:lang w:val="es-ES_tradnl"/>
        </w:rPr>
        <w:t xml:space="preserve"> </w:t>
      </w:r>
      <w:r w:rsidRPr="00881322">
        <w:rPr>
          <w:lang w:val="es-ES_tradnl"/>
        </w:rPr>
        <w:t>El Estado debe tomar en consideración las propuestas u observaciones que reciba del mecanismo en materia de esa legislación</w:t>
      </w:r>
      <w:r w:rsidRPr="00881322">
        <w:t>.</w:t>
      </w:r>
      <w:r w:rsidR="00CD2CC2">
        <w:t>”</w:t>
      </w:r>
      <w:r w:rsidRPr="00881322">
        <w:t>(CAT/OP/12/5, p</w:t>
      </w:r>
      <w:r>
        <w:t>árr</w:t>
      </w:r>
      <w:r w:rsidRPr="00881322">
        <w:t>. </w:t>
      </w:r>
      <w:r w:rsidRPr="004B7B7B">
        <w:t>28)</w:t>
      </w:r>
      <w:r>
        <w:t>.</w:t>
      </w:r>
    </w:p>
  </w:footnote>
  <w:footnote w:id="31">
    <w:p w:rsidR="004419F1" w:rsidRPr="0086240B"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86240B">
        <w:tab/>
        <w:t>Respuesta de Australia.</w:t>
      </w:r>
    </w:p>
  </w:footnote>
  <w:footnote w:id="32">
    <w:p w:rsidR="004419F1" w:rsidRPr="0086240B" w:rsidRDefault="004419F1" w:rsidP="0039161A">
      <w:pPr>
        <w:pStyle w:val="FootnoteText"/>
        <w:tabs>
          <w:tab w:val="clear" w:pos="418"/>
          <w:tab w:val="right" w:pos="1195"/>
          <w:tab w:val="left" w:pos="1267"/>
          <w:tab w:val="left" w:pos="1742"/>
          <w:tab w:val="left" w:pos="2218"/>
          <w:tab w:val="left" w:pos="2693"/>
        </w:tabs>
        <w:ind w:left="1267" w:right="1267" w:hanging="432"/>
      </w:pPr>
      <w:r w:rsidRPr="0086240B">
        <w:tab/>
      </w:r>
      <w:r w:rsidRPr="00D61533">
        <w:rPr>
          <w:rStyle w:val="FootnoteReference"/>
        </w:rPr>
        <w:footnoteRef/>
      </w:r>
      <w:r w:rsidRPr="0086240B">
        <w:tab/>
        <w:t xml:space="preserve">Respuesta de la Human Rights House </w:t>
      </w:r>
      <w:r>
        <w:t>de</w:t>
      </w:r>
      <w:r w:rsidRPr="0086240B">
        <w:t xml:space="preserve"> Albania.</w:t>
      </w:r>
    </w:p>
  </w:footnote>
  <w:footnote w:id="33">
    <w:p w:rsidR="004419F1" w:rsidRPr="009004DF" w:rsidRDefault="004419F1" w:rsidP="0039161A">
      <w:pPr>
        <w:pStyle w:val="FootnoteText"/>
        <w:tabs>
          <w:tab w:val="clear" w:pos="418"/>
          <w:tab w:val="right" w:pos="1195"/>
          <w:tab w:val="left" w:pos="1267"/>
          <w:tab w:val="left" w:pos="1742"/>
          <w:tab w:val="left" w:pos="2218"/>
          <w:tab w:val="left" w:pos="2693"/>
        </w:tabs>
        <w:ind w:left="1267" w:right="1267" w:hanging="432"/>
      </w:pPr>
      <w:r w:rsidRPr="0086240B">
        <w:tab/>
      </w:r>
      <w:r w:rsidRPr="00D61533">
        <w:rPr>
          <w:rStyle w:val="FootnoteReference"/>
        </w:rPr>
        <w:footnoteRef/>
      </w:r>
      <w:r w:rsidRPr="00634468">
        <w:tab/>
        <w:t xml:space="preserve">Respuesta del Togo. Véase </w:t>
      </w:r>
      <w:r>
        <w:t xml:space="preserve">la observación general </w:t>
      </w:r>
      <w:r w:rsidR="00BE3D5A">
        <w:t xml:space="preserve">núm. </w:t>
      </w:r>
      <w:r w:rsidRPr="00634468">
        <w:t>31</w:t>
      </w:r>
      <w:r>
        <w:t xml:space="preserve"> del Comité de Derechos Humanos</w:t>
      </w:r>
      <w:r w:rsidRPr="00634468">
        <w:t>, p</w:t>
      </w:r>
      <w:r>
        <w:t>árr</w:t>
      </w:r>
      <w:r w:rsidRPr="00634468">
        <w:t>. </w:t>
      </w:r>
      <w:r w:rsidRPr="009004DF">
        <w:t>13.</w:t>
      </w:r>
    </w:p>
  </w:footnote>
  <w:footnote w:id="34">
    <w:p w:rsidR="004419F1" w:rsidRPr="00F867AB"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F867AB">
        <w:tab/>
        <w:t>Respuesta de Promo-LEX.</w:t>
      </w:r>
    </w:p>
  </w:footnote>
  <w:footnote w:id="35">
    <w:p w:rsidR="004419F1" w:rsidRPr="00F867AB" w:rsidRDefault="004419F1" w:rsidP="0039161A">
      <w:pPr>
        <w:pStyle w:val="FootnoteText"/>
        <w:tabs>
          <w:tab w:val="clear" w:pos="418"/>
          <w:tab w:val="right" w:pos="1195"/>
          <w:tab w:val="left" w:pos="1267"/>
          <w:tab w:val="left" w:pos="1742"/>
          <w:tab w:val="left" w:pos="2218"/>
          <w:tab w:val="left" w:pos="2693"/>
        </w:tabs>
        <w:ind w:left="1267" w:right="1267" w:hanging="432"/>
      </w:pPr>
      <w:r w:rsidRPr="00F867AB">
        <w:tab/>
      </w:r>
      <w:r w:rsidRPr="00D61533">
        <w:rPr>
          <w:rStyle w:val="FootnoteReference"/>
        </w:rPr>
        <w:footnoteRef/>
      </w:r>
      <w:r w:rsidRPr="00F867AB">
        <w:tab/>
        <w:t>Respuesta de</w:t>
      </w:r>
      <w:r>
        <w:t>l</w:t>
      </w:r>
      <w:r w:rsidR="00CD2CC2">
        <w:t xml:space="preserve"> </w:t>
      </w:r>
      <w:r>
        <w:t>Movimiento Internacional de Reconciliació</w:t>
      </w:r>
      <w:r w:rsidR="00BE3D5A">
        <w:t>n.</w:t>
      </w:r>
    </w:p>
  </w:footnote>
  <w:footnote w:id="36">
    <w:p w:rsidR="004419F1" w:rsidRPr="00EC2B80" w:rsidRDefault="004419F1" w:rsidP="0039161A">
      <w:pPr>
        <w:pStyle w:val="FootnoteText"/>
        <w:tabs>
          <w:tab w:val="clear" w:pos="418"/>
          <w:tab w:val="right" w:pos="1195"/>
          <w:tab w:val="left" w:pos="1267"/>
          <w:tab w:val="left" w:pos="1742"/>
          <w:tab w:val="left" w:pos="2218"/>
          <w:tab w:val="left" w:pos="2693"/>
        </w:tabs>
        <w:ind w:left="1267" w:right="1267" w:hanging="432"/>
      </w:pPr>
      <w:r w:rsidRPr="00F867AB">
        <w:tab/>
      </w:r>
      <w:r w:rsidRPr="00D61533">
        <w:rPr>
          <w:rStyle w:val="FootnoteReference"/>
        </w:rPr>
        <w:footnoteRef/>
      </w:r>
      <w:r w:rsidRPr="009004DF">
        <w:tab/>
      </w:r>
      <w:r>
        <w:t>Por ejemplo, Tribunal Constitucional de Sudáfrica</w:t>
      </w:r>
      <w:r w:rsidRPr="009004DF">
        <w:t xml:space="preserve">: </w:t>
      </w:r>
      <w:r w:rsidRPr="005A20A4">
        <w:rPr>
          <w:i/>
          <w:iCs/>
        </w:rPr>
        <w:t xml:space="preserve">Government </w:t>
      </w:r>
      <w:r w:rsidR="00BE3D5A">
        <w:rPr>
          <w:i/>
          <w:iCs/>
        </w:rPr>
        <w:t>of the Republic of South Africa</w:t>
      </w:r>
      <w:r w:rsidRPr="005A20A4">
        <w:rPr>
          <w:i/>
          <w:iCs/>
        </w:rPr>
        <w:t xml:space="preserve"> </w:t>
      </w:r>
      <w:r w:rsidRPr="006E5A00">
        <w:rPr>
          <w:i/>
          <w:iCs/>
        </w:rPr>
        <w:t>&amp; Ors v. Grootboom &amp; Ors</w:t>
      </w:r>
      <w:r w:rsidRPr="006E5A00">
        <w:t xml:space="preserve"> 2000 (11) BCLR 1169 (CC) (causa en la que el Tribunal Constitucional afirmó que el Gobierno no había cumplido su obligación de atender a quienes necesitaban urgentemente una vivienda adecuada); y </w:t>
      </w:r>
      <w:r w:rsidRPr="006E5A00">
        <w:rPr>
          <w:i/>
          <w:iCs/>
        </w:rPr>
        <w:t>Minister of Health v. Treatment Action Campaign</w:t>
      </w:r>
      <w:r w:rsidRPr="006E5A00">
        <w:t xml:space="preserve"> (TAC) (2002) 5 SA 721 (CC) (</w:t>
      </w:r>
      <w:r>
        <w:t>causa en la que el Tribunal Constitucional declaró que</w:t>
      </w:r>
      <w:r w:rsidRPr="006E5A00">
        <w:rPr>
          <w:rFonts w:eastAsia="Calibri"/>
          <w:color w:val="000000"/>
          <w:sz w:val="27"/>
          <w:szCs w:val="27"/>
          <w:lang w:val="es-ES_tradnl"/>
        </w:rPr>
        <w:t xml:space="preserve"> </w:t>
      </w:r>
      <w:r w:rsidRPr="006E5A00">
        <w:rPr>
          <w:lang w:val="es-ES_tradnl"/>
        </w:rPr>
        <w:t>el Gobierno había infringido sus obligaciones en materia de derechos humanos al no adoptar medidas razonables (a un costo asequible)</w:t>
      </w:r>
      <w:r w:rsidRPr="006E5A00">
        <w:rPr>
          <w:rFonts w:eastAsia="Calibri"/>
          <w:color w:val="000000"/>
          <w:sz w:val="27"/>
          <w:szCs w:val="27"/>
          <w:lang w:val="es-ES_tradnl"/>
        </w:rPr>
        <w:t xml:space="preserve"> </w:t>
      </w:r>
      <w:r w:rsidRPr="006E5A00">
        <w:rPr>
          <w:lang w:val="es-ES_tradnl"/>
        </w:rPr>
        <w:t>para aumentar la disponibilidad de medicación antirretroviral para</w:t>
      </w:r>
      <w:r w:rsidRPr="006C40E9">
        <w:rPr>
          <w:rFonts w:eastAsia="Calibri"/>
          <w:color w:val="000000"/>
          <w:sz w:val="27"/>
          <w:szCs w:val="27"/>
          <w:lang w:val="es-ES_tradnl"/>
        </w:rPr>
        <w:t xml:space="preserve"> </w:t>
      </w:r>
      <w:r w:rsidRPr="006C40E9">
        <w:rPr>
          <w:lang w:val="es-ES_tradnl"/>
        </w:rPr>
        <w:t>prevenir la transmisión del VIH de la madre al niño</w:t>
      </w:r>
      <w:r w:rsidRPr="006E5A00">
        <w:t xml:space="preserve">). </w:t>
      </w:r>
      <w:r w:rsidRPr="009D1D41">
        <w:t xml:space="preserve">Véase también </w:t>
      </w:r>
      <w:r w:rsidRPr="009D1D41">
        <w:rPr>
          <w:i/>
          <w:iCs/>
        </w:rPr>
        <w:t>People’s Union for Civil Liberties and another v. Union of India and others</w:t>
      </w:r>
      <w:r w:rsidRPr="009D1D41">
        <w:t>, Tribunal Supremo de la India, jurisdicción original civil, recurso (civil) núm. 196 de 2001, fallo de 2 de mayo de 2003 (</w:t>
      </w:r>
      <w:r>
        <w:t xml:space="preserve">en relación con el derecho a la alimentación en el contexto de una hambruna prevenible en Rajastán). </w:t>
      </w:r>
      <w:r w:rsidRPr="00EC2B80">
        <w:t xml:space="preserve">Véase </w:t>
      </w:r>
      <w:r w:rsidRPr="00EC2B80">
        <w:rPr>
          <w:i/>
        </w:rPr>
        <w:t>Preguntas frecuentes sobre el enfoque de derechos humanos en la cooperación para el desarrollo</w:t>
      </w:r>
      <w:r w:rsidRPr="00EC2B80">
        <w:t xml:space="preserve"> </w:t>
      </w:r>
      <w:r>
        <w:t xml:space="preserve">(Naciones Unidas, </w:t>
      </w:r>
      <w:r w:rsidRPr="00EC2B80">
        <w:t>2006), p</w:t>
      </w:r>
      <w:r>
        <w:t>ág</w:t>
      </w:r>
      <w:r w:rsidRPr="00EC2B80">
        <w:t>. 3.</w:t>
      </w:r>
    </w:p>
  </w:footnote>
  <w:footnote w:id="37">
    <w:p w:rsidR="004419F1" w:rsidRPr="0022568A" w:rsidRDefault="004419F1" w:rsidP="0039161A">
      <w:pPr>
        <w:pStyle w:val="FootnoteText"/>
        <w:tabs>
          <w:tab w:val="clear" w:pos="418"/>
          <w:tab w:val="right" w:pos="1195"/>
          <w:tab w:val="left" w:pos="1267"/>
          <w:tab w:val="left" w:pos="1742"/>
          <w:tab w:val="left" w:pos="2218"/>
          <w:tab w:val="left" w:pos="2693"/>
        </w:tabs>
        <w:ind w:left="1267" w:right="1267" w:hanging="432"/>
      </w:pPr>
      <w:r w:rsidRPr="00EC2B80">
        <w:tab/>
      </w:r>
      <w:r w:rsidRPr="00D61533">
        <w:rPr>
          <w:rStyle w:val="FootnoteReference"/>
        </w:rPr>
        <w:footnoteRef/>
      </w:r>
      <w:r w:rsidRPr="0022568A">
        <w:tab/>
        <w:t>Principios relativos</w:t>
      </w:r>
      <w:r>
        <w:t xml:space="preserve"> al estatuto de las instituciones nacionales</w:t>
      </w:r>
      <w:r w:rsidRPr="0022568A">
        <w:t>, A/RES/48/134,</w:t>
      </w:r>
      <w:r w:rsidR="00CD2CC2">
        <w:t xml:space="preserve"> anexo</w:t>
      </w:r>
      <w:r w:rsidRPr="0022568A">
        <w:t>.</w:t>
      </w:r>
    </w:p>
  </w:footnote>
  <w:footnote w:id="38">
    <w:p w:rsidR="004419F1" w:rsidRPr="007505F4" w:rsidRDefault="004419F1" w:rsidP="0039161A">
      <w:pPr>
        <w:pStyle w:val="FootnoteText"/>
        <w:tabs>
          <w:tab w:val="clear" w:pos="418"/>
          <w:tab w:val="right" w:pos="1195"/>
          <w:tab w:val="left" w:pos="1267"/>
          <w:tab w:val="left" w:pos="1742"/>
          <w:tab w:val="left" w:pos="2218"/>
          <w:tab w:val="left" w:pos="2693"/>
        </w:tabs>
        <w:ind w:left="1267" w:right="1267" w:hanging="432"/>
      </w:pPr>
      <w:r w:rsidRPr="0022568A">
        <w:tab/>
      </w:r>
      <w:r w:rsidRPr="00D61533">
        <w:rPr>
          <w:rStyle w:val="FootnoteReference"/>
        </w:rPr>
        <w:footnoteRef/>
      </w:r>
      <w:r w:rsidRPr="00E9577E">
        <w:tab/>
        <w:t xml:space="preserve">Respuesta de la Comisión Nacional de Derechos Humanos de Rwanda. Algunas </w:t>
      </w:r>
      <w:r w:rsidRPr="007505F4">
        <w:t xml:space="preserve">NHRI son también designadas organismos independientes en virtud del artículo 33 de la </w:t>
      </w:r>
      <w:r w:rsidRPr="007505F4">
        <w:rPr>
          <w:iCs/>
          <w:lang w:val="es-ES_tradnl"/>
        </w:rPr>
        <w:t>Convención</w:t>
      </w:r>
      <w:r w:rsidR="00BE3D5A">
        <w:rPr>
          <w:iCs/>
          <w:lang w:val="es-ES_tradnl"/>
        </w:rPr>
        <w:t xml:space="preserve"> </w:t>
      </w:r>
      <w:r w:rsidRPr="007505F4">
        <w:rPr>
          <w:iCs/>
          <w:lang w:val="es-ES_tradnl"/>
        </w:rPr>
        <w:t>sobre</w:t>
      </w:r>
      <w:r w:rsidR="00BE3D5A">
        <w:rPr>
          <w:iCs/>
          <w:lang w:val="es-ES_tradnl"/>
        </w:rPr>
        <w:t xml:space="preserve"> </w:t>
      </w:r>
      <w:r w:rsidRPr="007505F4">
        <w:rPr>
          <w:iCs/>
          <w:lang w:val="es-ES_tradnl"/>
        </w:rPr>
        <w:t>los</w:t>
      </w:r>
      <w:r w:rsidR="00BE3D5A">
        <w:rPr>
          <w:iCs/>
          <w:lang w:val="es-ES_tradnl"/>
        </w:rPr>
        <w:t xml:space="preserve"> </w:t>
      </w:r>
      <w:r w:rsidRPr="007505F4">
        <w:rPr>
          <w:iCs/>
          <w:lang w:val="es-ES_tradnl"/>
        </w:rPr>
        <w:t>Derechos</w:t>
      </w:r>
      <w:r w:rsidR="00BE3D5A">
        <w:rPr>
          <w:iCs/>
          <w:lang w:val="es-ES_tradnl"/>
        </w:rPr>
        <w:t xml:space="preserve"> </w:t>
      </w:r>
      <w:r w:rsidRPr="007505F4">
        <w:rPr>
          <w:iCs/>
          <w:lang w:val="es-ES_tradnl"/>
        </w:rPr>
        <w:t>de</w:t>
      </w:r>
      <w:r w:rsidR="00BE3D5A">
        <w:rPr>
          <w:iCs/>
          <w:lang w:val="es-ES_tradnl"/>
        </w:rPr>
        <w:t xml:space="preserve"> </w:t>
      </w:r>
      <w:r w:rsidRPr="007505F4">
        <w:rPr>
          <w:iCs/>
          <w:lang w:val="es-ES_tradnl"/>
        </w:rPr>
        <w:t>las</w:t>
      </w:r>
      <w:r w:rsidR="00BE3D5A">
        <w:rPr>
          <w:iCs/>
          <w:lang w:val="es-ES_tradnl"/>
        </w:rPr>
        <w:t xml:space="preserve"> </w:t>
      </w:r>
      <w:r w:rsidRPr="007505F4">
        <w:rPr>
          <w:iCs/>
          <w:lang w:val="es-ES_tradnl"/>
        </w:rPr>
        <w:t>Personas</w:t>
      </w:r>
      <w:r w:rsidR="00BE3D5A">
        <w:rPr>
          <w:iCs/>
          <w:lang w:val="es-ES_tradnl"/>
        </w:rPr>
        <w:t xml:space="preserve"> </w:t>
      </w:r>
      <w:r w:rsidRPr="007505F4">
        <w:rPr>
          <w:iCs/>
          <w:lang w:val="es-ES_tradnl"/>
        </w:rPr>
        <w:t>con</w:t>
      </w:r>
      <w:r w:rsidR="00BE3D5A">
        <w:rPr>
          <w:iCs/>
          <w:lang w:val="es-ES_tradnl"/>
        </w:rPr>
        <w:t xml:space="preserve"> </w:t>
      </w:r>
      <w:r w:rsidRPr="007505F4">
        <w:rPr>
          <w:iCs/>
          <w:lang w:val="es-ES_tradnl"/>
        </w:rPr>
        <w:t>Discapacidad</w:t>
      </w:r>
      <w:r w:rsidRPr="007505F4">
        <w:t>.</w:t>
      </w:r>
    </w:p>
  </w:footnote>
  <w:footnote w:id="39">
    <w:p w:rsidR="004419F1" w:rsidRPr="00080D41" w:rsidRDefault="004419F1" w:rsidP="0039161A">
      <w:pPr>
        <w:pStyle w:val="FootnoteText"/>
        <w:tabs>
          <w:tab w:val="clear" w:pos="418"/>
          <w:tab w:val="right" w:pos="1195"/>
          <w:tab w:val="left" w:pos="1267"/>
          <w:tab w:val="left" w:pos="1742"/>
          <w:tab w:val="left" w:pos="2218"/>
          <w:tab w:val="left" w:pos="2693"/>
        </w:tabs>
        <w:ind w:left="1267" w:right="1267" w:hanging="432"/>
      </w:pPr>
      <w:r w:rsidRPr="007505F4">
        <w:tab/>
      </w:r>
      <w:r w:rsidRPr="00D61533">
        <w:rPr>
          <w:rStyle w:val="FootnoteReference"/>
        </w:rPr>
        <w:footnoteRef/>
      </w:r>
      <w:r w:rsidRPr="00080D41">
        <w:tab/>
        <w:t xml:space="preserve">Respuesta de la Comisión de Derechos </w:t>
      </w:r>
      <w:r>
        <w:t>Humanos de Malasia</w:t>
      </w:r>
      <w:r w:rsidRPr="00080D41">
        <w:t>.</w:t>
      </w:r>
    </w:p>
  </w:footnote>
  <w:footnote w:id="40">
    <w:p w:rsidR="004419F1" w:rsidRPr="00C95492" w:rsidRDefault="004419F1" w:rsidP="0039161A">
      <w:pPr>
        <w:pStyle w:val="FootnoteText"/>
        <w:tabs>
          <w:tab w:val="clear" w:pos="418"/>
          <w:tab w:val="right" w:pos="1195"/>
          <w:tab w:val="left" w:pos="1267"/>
          <w:tab w:val="left" w:pos="1742"/>
          <w:tab w:val="left" w:pos="2218"/>
          <w:tab w:val="left" w:pos="2693"/>
        </w:tabs>
        <w:ind w:left="1267" w:right="1267" w:hanging="432"/>
      </w:pPr>
      <w:r w:rsidRPr="00080D41">
        <w:tab/>
      </w:r>
      <w:r w:rsidRPr="00D61533">
        <w:rPr>
          <w:rStyle w:val="FootnoteReference"/>
        </w:rPr>
        <w:footnoteRef/>
      </w:r>
      <w:r w:rsidRPr="00C95492">
        <w:tab/>
      </w:r>
      <w:r>
        <w:t xml:space="preserve">Respuesta de la </w:t>
      </w:r>
      <w:r w:rsidRPr="00C95492">
        <w:t>Comisi</w:t>
      </w:r>
      <w:r>
        <w:t>ó</w:t>
      </w:r>
      <w:r w:rsidRPr="00C95492">
        <w:t>n Nacional de los Derechos Humanos</w:t>
      </w:r>
      <w:r>
        <w:t xml:space="preserve"> de México</w:t>
      </w:r>
      <w:r w:rsidRPr="00DD6639">
        <w:t>.</w:t>
      </w:r>
    </w:p>
  </w:footnote>
  <w:footnote w:id="41">
    <w:p w:rsidR="004419F1" w:rsidRPr="00F81DB9" w:rsidRDefault="004419F1" w:rsidP="0039161A">
      <w:pPr>
        <w:pStyle w:val="FootnoteText"/>
        <w:tabs>
          <w:tab w:val="clear" w:pos="418"/>
          <w:tab w:val="right" w:pos="1195"/>
          <w:tab w:val="left" w:pos="1267"/>
          <w:tab w:val="left" w:pos="1742"/>
          <w:tab w:val="left" w:pos="2218"/>
          <w:tab w:val="left" w:pos="2693"/>
        </w:tabs>
        <w:ind w:left="1267" w:right="1267" w:hanging="432"/>
      </w:pPr>
      <w:r w:rsidRPr="00C95492">
        <w:tab/>
      </w:r>
      <w:r w:rsidRPr="00D61533">
        <w:rPr>
          <w:rStyle w:val="FootnoteReference"/>
        </w:rPr>
        <w:footnoteRef/>
      </w:r>
      <w:r w:rsidRPr="00F81DB9">
        <w:tab/>
        <w:t xml:space="preserve">Respuesta de la </w:t>
      </w:r>
      <w:r w:rsidRPr="00F81DB9">
        <w:rPr>
          <w:lang w:val="es-ES_tradnl"/>
        </w:rPr>
        <w:t>Inspección Penitenciaria de Su Majestad</w:t>
      </w:r>
      <w:r w:rsidRPr="00F81DB9">
        <w:t>.</w:t>
      </w:r>
    </w:p>
  </w:footnote>
  <w:footnote w:id="42">
    <w:p w:rsidR="004419F1" w:rsidRPr="00D623DD" w:rsidRDefault="004419F1" w:rsidP="0039161A">
      <w:pPr>
        <w:pStyle w:val="FootnoteText"/>
        <w:tabs>
          <w:tab w:val="clear" w:pos="418"/>
          <w:tab w:val="right" w:pos="1195"/>
          <w:tab w:val="left" w:pos="1267"/>
          <w:tab w:val="left" w:pos="1742"/>
          <w:tab w:val="left" w:pos="2218"/>
          <w:tab w:val="left" w:pos="2693"/>
        </w:tabs>
        <w:ind w:left="1267" w:right="1267" w:hanging="432"/>
      </w:pPr>
      <w:r w:rsidRPr="00F81DB9">
        <w:tab/>
      </w:r>
      <w:r w:rsidRPr="00D61533">
        <w:rPr>
          <w:rStyle w:val="FootnoteReference"/>
        </w:rPr>
        <w:footnoteRef/>
      </w:r>
      <w:r w:rsidRPr="00D623DD">
        <w:tab/>
      </w:r>
      <w:r w:rsidRPr="00D623DD">
        <w:rPr>
          <w:lang w:val="es-ES_tradnl"/>
        </w:rPr>
        <w:t>Informe de la Relatora Especial sobre la situación de los defensores de los derechos humanos</w:t>
      </w:r>
      <w:r>
        <w:rPr>
          <w:lang w:val="es-ES_tradnl"/>
        </w:rPr>
        <w:t xml:space="preserve">: </w:t>
      </w:r>
      <w:r w:rsidR="00CD2CC2">
        <w:rPr>
          <w:lang w:val="es-ES_tradnl"/>
        </w:rPr>
        <w:t>“</w:t>
      </w:r>
      <w:r w:rsidRPr="00D623DD">
        <w:rPr>
          <w:lang w:val="es-ES_tradnl"/>
        </w:rPr>
        <w:t>Elementos de un entorno seguro y propicio para los defensores de los derechos humanos</w:t>
      </w:r>
      <w:r w:rsidR="00CD2CC2">
        <w:rPr>
          <w:lang w:val="es-ES_tradnl"/>
        </w:rPr>
        <w:t>”</w:t>
      </w:r>
      <w:r w:rsidRPr="00D623DD">
        <w:t xml:space="preserve"> (A/HRC/25/55). Véanse también </w:t>
      </w:r>
      <w:r w:rsidRPr="00D623DD">
        <w:rPr>
          <w:i/>
        </w:rPr>
        <w:t>El espacio de la sociedad civil y el sistema de derechos humanos de las Naciones Unidas</w:t>
      </w:r>
      <w:r w:rsidRPr="00D623DD">
        <w:t xml:space="preserve"> (</w:t>
      </w:r>
      <w:r>
        <w:t>ACNUDH</w:t>
      </w:r>
      <w:r w:rsidRPr="00D623DD">
        <w:t xml:space="preserve">, 2014); </w:t>
      </w:r>
      <w:r>
        <w:t xml:space="preserve">y la resolución </w:t>
      </w:r>
      <w:r w:rsidRPr="00D623DD">
        <w:t>53/144</w:t>
      </w:r>
      <w:r>
        <w:t xml:space="preserve"> de la Asamblea General: </w:t>
      </w:r>
      <w:r w:rsidRPr="00443835">
        <w:rPr>
          <w:lang w:val="es-ES_tradnl"/>
        </w:rPr>
        <w:t>Declaración sobre el derecho y el deber de los individuos, los grupos y las instituciones de promover y proteger los derechos humanos y las libertades fundamentales universalmente reconocidos</w:t>
      </w:r>
      <w:r w:rsidRPr="00D623DD">
        <w:t>.</w:t>
      </w:r>
    </w:p>
  </w:footnote>
  <w:footnote w:id="43">
    <w:p w:rsidR="004419F1" w:rsidRPr="00145043" w:rsidRDefault="004419F1" w:rsidP="0039161A">
      <w:pPr>
        <w:pStyle w:val="FootnoteText"/>
        <w:tabs>
          <w:tab w:val="clear" w:pos="418"/>
          <w:tab w:val="right" w:pos="1195"/>
          <w:tab w:val="left" w:pos="1267"/>
          <w:tab w:val="left" w:pos="1742"/>
          <w:tab w:val="left" w:pos="2218"/>
          <w:tab w:val="left" w:pos="2693"/>
        </w:tabs>
        <w:ind w:left="1267" w:right="1267" w:hanging="432"/>
      </w:pPr>
      <w:r w:rsidRPr="00D623DD">
        <w:tab/>
      </w:r>
      <w:r w:rsidRPr="00D61533">
        <w:rPr>
          <w:rStyle w:val="FootnoteReference"/>
        </w:rPr>
        <w:footnoteRef/>
      </w:r>
      <w:r w:rsidRPr="00145043">
        <w:tab/>
        <w:t xml:space="preserve">Véanse las recomendaciones en el documento A/HRC/28/63; política del </w:t>
      </w:r>
      <w:r w:rsidRPr="00145043">
        <w:rPr>
          <w:lang w:val="es-ES_tradnl"/>
        </w:rPr>
        <w:t>Subcomité para la Prevención de la Tortura</w:t>
      </w:r>
      <w:r w:rsidR="00CD2CC2">
        <w:rPr>
          <w:lang w:val="es-ES_tradnl"/>
        </w:rPr>
        <w:t xml:space="preserve"> </w:t>
      </w:r>
      <w:r>
        <w:rPr>
          <w:lang w:val="es-ES_tradnl"/>
        </w:rPr>
        <w:t>sobre las represalias en relación con su mandato de inspección</w:t>
      </w:r>
      <w:r w:rsidRPr="00145043">
        <w:t>.</w:t>
      </w:r>
    </w:p>
  </w:footnote>
  <w:footnote w:id="44">
    <w:p w:rsidR="004419F1" w:rsidRPr="00AA66AC" w:rsidRDefault="004419F1" w:rsidP="0039161A">
      <w:pPr>
        <w:pStyle w:val="FootnoteText"/>
        <w:tabs>
          <w:tab w:val="clear" w:pos="418"/>
          <w:tab w:val="right" w:pos="1195"/>
          <w:tab w:val="left" w:pos="1267"/>
          <w:tab w:val="left" w:pos="1742"/>
          <w:tab w:val="left" w:pos="2218"/>
          <w:tab w:val="left" w:pos="2693"/>
        </w:tabs>
        <w:ind w:left="1267" w:right="1267" w:hanging="432"/>
      </w:pPr>
      <w:r w:rsidRPr="00145043">
        <w:tab/>
      </w:r>
      <w:r w:rsidRPr="00D61533">
        <w:rPr>
          <w:rStyle w:val="FootnoteReference"/>
        </w:rPr>
        <w:footnoteRef/>
      </w:r>
      <w:r w:rsidRPr="00AA66AC">
        <w:tab/>
        <w:t xml:space="preserve">Respuesta de Trinidad </w:t>
      </w:r>
      <w:r w:rsidR="00BE3D5A">
        <w:t>y</w:t>
      </w:r>
      <w:r w:rsidRPr="00AA66AC">
        <w:t xml:space="preserve"> T</w:t>
      </w:r>
      <w:r>
        <w:t>a</w:t>
      </w:r>
      <w:r w:rsidRPr="00AA66AC">
        <w:t>bago.</w:t>
      </w:r>
    </w:p>
  </w:footnote>
  <w:footnote w:id="45">
    <w:p w:rsidR="004419F1" w:rsidRPr="00031207" w:rsidRDefault="004419F1" w:rsidP="0039161A">
      <w:pPr>
        <w:pStyle w:val="FootnoteText"/>
        <w:tabs>
          <w:tab w:val="clear" w:pos="418"/>
          <w:tab w:val="right" w:pos="1195"/>
          <w:tab w:val="left" w:pos="1267"/>
          <w:tab w:val="left" w:pos="1742"/>
          <w:tab w:val="left" w:pos="2218"/>
          <w:tab w:val="left" w:pos="2693"/>
        </w:tabs>
        <w:ind w:left="1267" w:right="1267" w:hanging="432"/>
      </w:pPr>
      <w:r w:rsidRPr="00AA66AC">
        <w:tab/>
      </w:r>
      <w:r w:rsidRPr="00D61533">
        <w:rPr>
          <w:rStyle w:val="FootnoteReference"/>
        </w:rPr>
        <w:footnoteRef/>
      </w:r>
      <w:r w:rsidRPr="00031207">
        <w:tab/>
        <w:t>Respuesta de</w:t>
      </w:r>
      <w:r w:rsidR="00CD2CC2">
        <w:t xml:space="preserve"> </w:t>
      </w:r>
      <w:r w:rsidRPr="00031207">
        <w:t>Cuba.</w:t>
      </w:r>
    </w:p>
  </w:footnote>
  <w:footnote w:id="46">
    <w:p w:rsidR="004419F1" w:rsidRPr="00031207" w:rsidRDefault="004419F1" w:rsidP="0039161A">
      <w:pPr>
        <w:pStyle w:val="FootnoteText"/>
        <w:tabs>
          <w:tab w:val="clear" w:pos="418"/>
          <w:tab w:val="right" w:pos="1195"/>
          <w:tab w:val="left" w:pos="1267"/>
          <w:tab w:val="left" w:pos="1742"/>
          <w:tab w:val="left" w:pos="2218"/>
          <w:tab w:val="left" w:pos="2693"/>
        </w:tabs>
        <w:ind w:left="1267" w:right="1267" w:hanging="432"/>
      </w:pPr>
      <w:r w:rsidRPr="00031207">
        <w:tab/>
      </w:r>
      <w:r w:rsidRPr="00D61533">
        <w:rPr>
          <w:rStyle w:val="FootnoteReference"/>
        </w:rPr>
        <w:footnoteRef/>
      </w:r>
      <w:r w:rsidRPr="00031207">
        <w:tab/>
      </w:r>
      <w:r w:rsidRPr="00031207">
        <w:rPr>
          <w:lang w:val="es-ES_tradnl"/>
        </w:rPr>
        <w:t xml:space="preserve">Principio Rector </w:t>
      </w:r>
      <w:r>
        <w:rPr>
          <w:lang w:val="es-ES_tradnl"/>
        </w:rPr>
        <w:t xml:space="preserve">1 </w:t>
      </w:r>
      <w:r w:rsidRPr="00031207">
        <w:rPr>
          <w:lang w:val="es-ES_tradnl"/>
        </w:rPr>
        <w:t xml:space="preserve">sobre las </w:t>
      </w:r>
      <w:r w:rsidR="00BE3D5A">
        <w:rPr>
          <w:lang w:val="es-ES_tradnl"/>
        </w:rPr>
        <w:t>E</w:t>
      </w:r>
      <w:r w:rsidRPr="00031207">
        <w:rPr>
          <w:lang w:val="es-ES_tradnl"/>
        </w:rPr>
        <w:t xml:space="preserve">mpresas y los </w:t>
      </w:r>
      <w:r w:rsidR="00BE3D5A">
        <w:rPr>
          <w:lang w:val="es-ES_tradnl"/>
        </w:rPr>
        <w:t>D</w:t>
      </w:r>
      <w:r w:rsidRPr="00031207">
        <w:rPr>
          <w:lang w:val="es-ES_tradnl"/>
        </w:rPr>
        <w:t xml:space="preserve">erechos </w:t>
      </w:r>
      <w:r w:rsidR="00BE3D5A">
        <w:rPr>
          <w:lang w:val="es-ES_tradnl"/>
        </w:rPr>
        <w:t>H</w:t>
      </w:r>
      <w:r w:rsidRPr="00031207">
        <w:rPr>
          <w:lang w:val="es-ES_tradnl"/>
        </w:rPr>
        <w:t>umanos</w:t>
      </w:r>
      <w:r w:rsidRPr="00031207">
        <w:t>.</w:t>
      </w:r>
    </w:p>
  </w:footnote>
  <w:footnote w:id="47">
    <w:p w:rsidR="004419F1" w:rsidRPr="008A7857" w:rsidRDefault="004419F1" w:rsidP="0039161A">
      <w:pPr>
        <w:pStyle w:val="FootnoteText"/>
        <w:tabs>
          <w:tab w:val="clear" w:pos="418"/>
          <w:tab w:val="right" w:pos="1195"/>
          <w:tab w:val="left" w:pos="1267"/>
          <w:tab w:val="left" w:pos="1742"/>
          <w:tab w:val="left" w:pos="2218"/>
          <w:tab w:val="left" w:pos="2693"/>
        </w:tabs>
        <w:ind w:left="1267" w:right="1267" w:hanging="432"/>
      </w:pPr>
      <w:r w:rsidRPr="00031207">
        <w:tab/>
      </w:r>
      <w:r w:rsidRPr="00D61533">
        <w:rPr>
          <w:rStyle w:val="FootnoteReference"/>
        </w:rPr>
        <w:footnoteRef/>
      </w:r>
      <w:r w:rsidRPr="00BE3D5A">
        <w:rPr>
          <w:i/>
        </w:rPr>
        <w:tab/>
        <w:t>Ibid</w:t>
      </w:r>
      <w:r w:rsidRPr="008A7857">
        <w:t>., Principio Rector 5 y comentario.</w:t>
      </w:r>
    </w:p>
  </w:footnote>
  <w:footnote w:id="48">
    <w:p w:rsidR="004419F1" w:rsidRPr="00D3076C" w:rsidRDefault="004419F1" w:rsidP="0039161A">
      <w:pPr>
        <w:pStyle w:val="FootnoteText"/>
        <w:tabs>
          <w:tab w:val="clear" w:pos="418"/>
          <w:tab w:val="right" w:pos="1195"/>
          <w:tab w:val="left" w:pos="1267"/>
          <w:tab w:val="left" w:pos="1742"/>
          <w:tab w:val="left" w:pos="2218"/>
          <w:tab w:val="left" w:pos="2693"/>
        </w:tabs>
        <w:ind w:left="1267" w:right="1267" w:hanging="432"/>
      </w:pPr>
      <w:r w:rsidRPr="008A7857">
        <w:tab/>
      </w:r>
      <w:r w:rsidRPr="00D61533">
        <w:rPr>
          <w:rStyle w:val="FootnoteReference"/>
        </w:rPr>
        <w:footnoteRef/>
      </w:r>
      <w:r w:rsidRPr="008A7857">
        <w:tab/>
        <w:t>Observación general núm. 35 del Comité de Derechos</w:t>
      </w:r>
      <w:r>
        <w:t xml:space="preserve"> Humanos</w:t>
      </w:r>
      <w:r w:rsidRPr="008A7857">
        <w:t>, p</w:t>
      </w:r>
      <w:r>
        <w:t>árr</w:t>
      </w:r>
      <w:r w:rsidRPr="008A7857">
        <w:t>. </w:t>
      </w:r>
      <w:r w:rsidRPr="00D3076C">
        <w:t>8.</w:t>
      </w:r>
    </w:p>
  </w:footnote>
  <w:footnote w:id="49">
    <w:p w:rsidR="004419F1" w:rsidRPr="00835763"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835763">
        <w:tab/>
        <w:t xml:space="preserve">Véase también </w:t>
      </w:r>
      <w:r w:rsidRPr="00835763">
        <w:rPr>
          <w:i/>
        </w:rPr>
        <w:t>La responsabilidad de las empresas de respetar los derechos humanos: Guía para la interpretación</w:t>
      </w:r>
      <w:r w:rsidRPr="00835763">
        <w:t xml:space="preserve"> (</w:t>
      </w:r>
      <w:r>
        <w:t>ACNUDH</w:t>
      </w:r>
      <w:r w:rsidRPr="00835763">
        <w:t>, 2012).</w:t>
      </w:r>
    </w:p>
  </w:footnote>
  <w:footnote w:id="50">
    <w:p w:rsidR="004419F1" w:rsidRPr="00234DE1" w:rsidRDefault="004419F1" w:rsidP="0039161A">
      <w:pPr>
        <w:pStyle w:val="FootnoteText"/>
        <w:tabs>
          <w:tab w:val="clear" w:pos="418"/>
          <w:tab w:val="right" w:pos="1195"/>
          <w:tab w:val="left" w:pos="1267"/>
          <w:tab w:val="left" w:pos="1742"/>
          <w:tab w:val="left" w:pos="2218"/>
          <w:tab w:val="left" w:pos="2693"/>
        </w:tabs>
        <w:ind w:left="1267" w:right="1267" w:hanging="432"/>
      </w:pPr>
      <w:r w:rsidRPr="00835763">
        <w:tab/>
      </w:r>
      <w:r w:rsidRPr="00D61533">
        <w:rPr>
          <w:rStyle w:val="FootnoteReference"/>
        </w:rPr>
        <w:footnoteRef/>
      </w:r>
      <w:r w:rsidRPr="00656E4E">
        <w:tab/>
      </w:r>
      <w:r w:rsidRPr="00656E4E">
        <w:rPr>
          <w:lang w:val="es-ES_tradnl"/>
        </w:rPr>
        <w:t>Declaración de las Naciones Unidas sobre Educación y Formación en materia de Derechos Humanos</w:t>
      </w:r>
      <w:r w:rsidRPr="00656E4E">
        <w:t xml:space="preserve">, </w:t>
      </w:r>
      <w:r>
        <w:t xml:space="preserve">párr. </w:t>
      </w:r>
      <w:r w:rsidRPr="00656E4E">
        <w:t>2; A/HRC/27/28,</w:t>
      </w:r>
      <w:r>
        <w:t xml:space="preserve"> párrs. </w:t>
      </w:r>
      <w:r w:rsidRPr="00234DE1">
        <w:t xml:space="preserve">1 a 9. </w:t>
      </w:r>
    </w:p>
  </w:footnote>
  <w:footnote w:id="51">
    <w:p w:rsidR="004419F1" w:rsidRPr="00234DE1" w:rsidRDefault="004419F1" w:rsidP="0039161A">
      <w:pPr>
        <w:pStyle w:val="FootnoteText"/>
        <w:tabs>
          <w:tab w:val="clear" w:pos="418"/>
          <w:tab w:val="right" w:pos="1195"/>
          <w:tab w:val="left" w:pos="1267"/>
          <w:tab w:val="left" w:pos="1742"/>
          <w:tab w:val="left" w:pos="2218"/>
          <w:tab w:val="left" w:pos="2693"/>
        </w:tabs>
        <w:ind w:left="1267" w:right="1267" w:hanging="432"/>
      </w:pPr>
      <w:r w:rsidRPr="00234DE1">
        <w:tab/>
      </w:r>
      <w:r w:rsidRPr="00D61533">
        <w:rPr>
          <w:rStyle w:val="FootnoteReference"/>
        </w:rPr>
        <w:footnoteRef/>
      </w:r>
      <w:r w:rsidRPr="00234DE1">
        <w:tab/>
        <w:t>Respuesta de Chipre, México y los Emiratos Árabes Unidos.</w:t>
      </w:r>
    </w:p>
  </w:footnote>
  <w:footnote w:id="52">
    <w:p w:rsidR="004419F1" w:rsidRPr="00D3076C" w:rsidRDefault="004419F1" w:rsidP="0039161A">
      <w:pPr>
        <w:pStyle w:val="FootnoteText"/>
        <w:tabs>
          <w:tab w:val="clear" w:pos="418"/>
          <w:tab w:val="right" w:pos="1195"/>
          <w:tab w:val="left" w:pos="1267"/>
          <w:tab w:val="left" w:pos="1742"/>
          <w:tab w:val="left" w:pos="2218"/>
          <w:tab w:val="left" w:pos="2693"/>
        </w:tabs>
        <w:ind w:left="1267" w:right="1267" w:hanging="432"/>
      </w:pPr>
      <w:r w:rsidRPr="00234DE1">
        <w:tab/>
      </w:r>
      <w:r w:rsidRPr="00D61533">
        <w:rPr>
          <w:rStyle w:val="FootnoteReference"/>
        </w:rPr>
        <w:footnoteRef/>
      </w:r>
      <w:r w:rsidRPr="00750F8B">
        <w:tab/>
        <w:t xml:space="preserve">Véase </w:t>
      </w:r>
      <w:r w:rsidR="00CD2CC2">
        <w:t>“</w:t>
      </w:r>
      <w:r w:rsidRPr="00750F8B">
        <w:t>The Right to Human Rights Education</w:t>
      </w:r>
      <w:r w:rsidR="00CD2CC2">
        <w:t>”</w:t>
      </w:r>
      <w:r w:rsidRPr="00750F8B">
        <w:t xml:space="preserve">, recurso de la web que recoge compromisos pertinentes formulados por los Estados en foros intergubernamentales de carácter internacional y regional </w:t>
      </w:r>
      <w:r>
        <w:t>y que puede consultarse en</w:t>
      </w:r>
      <w:r w:rsidRPr="00750F8B">
        <w:t>:</w:t>
      </w:r>
      <w:r w:rsidR="00BE3D5A">
        <w:t xml:space="preserve"> </w:t>
      </w:r>
      <w:hyperlink r:id="rId1" w:history="1">
        <w:r w:rsidRPr="003C37FD">
          <w:rPr>
            <w:rStyle w:val="Hyperlink"/>
          </w:rPr>
          <w:t>http://www.ohchr.org/EN/Issues/Education/</w:t>
        </w:r>
        <w:r w:rsidR="00BE3D5A">
          <w:rPr>
            <w:rStyle w:val="Hyperlink"/>
          </w:rPr>
          <w:t>Training/</w:t>
        </w:r>
        <w:r w:rsidR="00BE3D5A">
          <w:rPr>
            <w:rStyle w:val="Hyperlink"/>
          </w:rPr>
          <w:br/>
        </w:r>
        <w:r w:rsidRPr="003C37FD">
          <w:rPr>
            <w:rStyle w:val="Hyperlink"/>
          </w:rPr>
          <w:t>Compilation/Pages/Listofcontents.aspx</w:t>
        </w:r>
      </w:hyperlink>
      <w:r>
        <w:t>.</w:t>
      </w:r>
    </w:p>
  </w:footnote>
  <w:footnote w:id="53">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tab/>
      </w:r>
      <w:r w:rsidRPr="00D61533">
        <w:rPr>
          <w:rStyle w:val="FootnoteReference"/>
        </w:rPr>
        <w:footnoteRef/>
      </w:r>
      <w:r w:rsidRPr="00E9577E">
        <w:rPr>
          <w:lang w:val="en-US"/>
        </w:rPr>
        <w:tab/>
        <w:t xml:space="preserve">Bertrand G. Ramcharan, </w:t>
      </w:r>
      <w:r w:rsidRPr="00E9577E">
        <w:rPr>
          <w:i/>
          <w:iCs/>
          <w:lang w:val="en-US"/>
        </w:rPr>
        <w:t>Preventive Human Rights Strategies</w:t>
      </w:r>
      <w:r w:rsidRPr="00E9577E">
        <w:rPr>
          <w:lang w:val="en-US"/>
        </w:rPr>
        <w:t xml:space="preserve"> (Londres, Nueva York, Routledge, 2010) pág. 52.</w:t>
      </w:r>
    </w:p>
  </w:footnote>
  <w:footnote w:id="54">
    <w:p w:rsidR="004419F1" w:rsidRPr="00B06F3D" w:rsidRDefault="004419F1" w:rsidP="0039161A">
      <w:pPr>
        <w:pStyle w:val="FootnoteText"/>
        <w:tabs>
          <w:tab w:val="clear" w:pos="418"/>
          <w:tab w:val="right" w:pos="1195"/>
          <w:tab w:val="left" w:pos="1267"/>
          <w:tab w:val="left" w:pos="1742"/>
          <w:tab w:val="left" w:pos="2218"/>
          <w:tab w:val="left" w:pos="2693"/>
        </w:tabs>
        <w:ind w:left="1267" w:right="1267" w:hanging="432"/>
      </w:pPr>
      <w:r w:rsidRPr="00E9577E">
        <w:rPr>
          <w:lang w:val="en-US"/>
        </w:rPr>
        <w:tab/>
      </w:r>
      <w:r w:rsidRPr="00D61533">
        <w:rPr>
          <w:rStyle w:val="FootnoteReference"/>
        </w:rPr>
        <w:footnoteRef/>
      </w:r>
      <w:r w:rsidRPr="00B06F3D">
        <w:tab/>
        <w:t xml:space="preserve">Resolución 59/113 de la Asamblea General, </w:t>
      </w:r>
      <w:r w:rsidRPr="00B06F3D">
        <w:rPr>
          <w:lang w:val="es-ES_tradnl"/>
        </w:rPr>
        <w:t>Programa Mundial para la Educación en Derechos Humanos</w:t>
      </w:r>
      <w:r w:rsidRPr="00B06F3D">
        <w:t>.</w:t>
      </w:r>
    </w:p>
  </w:footnote>
  <w:footnote w:id="55">
    <w:p w:rsidR="004419F1" w:rsidRPr="008F4CD7" w:rsidRDefault="004419F1" w:rsidP="0039161A">
      <w:pPr>
        <w:pStyle w:val="FootnoteText"/>
        <w:tabs>
          <w:tab w:val="clear" w:pos="418"/>
          <w:tab w:val="right" w:pos="1195"/>
          <w:tab w:val="left" w:pos="1267"/>
          <w:tab w:val="left" w:pos="1742"/>
          <w:tab w:val="left" w:pos="2218"/>
          <w:tab w:val="left" w:pos="2693"/>
        </w:tabs>
        <w:ind w:left="1267" w:right="1267" w:hanging="432"/>
      </w:pPr>
      <w:r w:rsidRPr="00B06F3D">
        <w:tab/>
      </w:r>
      <w:r w:rsidRPr="00D61533">
        <w:rPr>
          <w:rStyle w:val="FootnoteReference"/>
        </w:rPr>
        <w:footnoteRef/>
      </w:r>
      <w:r w:rsidRPr="008F4CD7">
        <w:tab/>
        <w:t xml:space="preserve">Respuesta del Centro de Derechos </w:t>
      </w:r>
      <w:r>
        <w:t>Humanos de Finlandia.</w:t>
      </w:r>
    </w:p>
  </w:footnote>
  <w:footnote w:id="56">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rsidRPr="008F4CD7">
        <w:tab/>
      </w:r>
      <w:r w:rsidRPr="00D61533">
        <w:rPr>
          <w:rStyle w:val="FootnoteReference"/>
        </w:rPr>
        <w:footnoteRef/>
      </w:r>
      <w:r w:rsidRPr="00E9577E">
        <w:rPr>
          <w:lang w:val="en-US"/>
        </w:rPr>
        <w:tab/>
        <w:t>Respuesta de Scholars at Risk. Véase Global Coalition to Protect Education from Attack: Principles of State Responsibility to Protect Higher Education from Attack.</w:t>
      </w:r>
    </w:p>
  </w:footnote>
  <w:footnote w:id="57">
    <w:p w:rsidR="004419F1" w:rsidRPr="00DD6639" w:rsidRDefault="004419F1" w:rsidP="0039161A">
      <w:pPr>
        <w:pStyle w:val="FootnoteText"/>
        <w:tabs>
          <w:tab w:val="clear" w:pos="418"/>
          <w:tab w:val="right" w:pos="1195"/>
          <w:tab w:val="left" w:pos="1267"/>
          <w:tab w:val="left" w:pos="1742"/>
          <w:tab w:val="left" w:pos="2218"/>
          <w:tab w:val="left" w:pos="2693"/>
        </w:tabs>
        <w:ind w:left="1267" w:right="1267" w:hanging="432"/>
        <w:rPr>
          <w:lang w:val="fr-CH"/>
        </w:rPr>
      </w:pPr>
      <w:r w:rsidRPr="00E9577E">
        <w:rPr>
          <w:lang w:val="en-US"/>
        </w:rPr>
        <w:tab/>
      </w:r>
      <w:r w:rsidRPr="00D61533">
        <w:rPr>
          <w:rStyle w:val="FootnoteReference"/>
        </w:rPr>
        <w:footnoteRef/>
      </w:r>
      <w:r w:rsidRPr="00DD6639">
        <w:rPr>
          <w:lang w:val="fr-CH"/>
        </w:rPr>
        <w:tab/>
      </w:r>
      <w:r>
        <w:rPr>
          <w:lang w:val="fr-CH"/>
        </w:rPr>
        <w:t xml:space="preserve">Respuesta de la </w:t>
      </w:r>
      <w:r w:rsidRPr="00DD6639">
        <w:rPr>
          <w:color w:val="00000A"/>
          <w:kern w:val="1"/>
          <w:lang w:val="fr-CH" w:bidi="hi-IN"/>
        </w:rPr>
        <w:t>Agence de Diffusion de Droit International Humanitaire en Afrique Centrale</w:t>
      </w:r>
      <w:r w:rsidRPr="00DD6639">
        <w:rPr>
          <w:lang w:val="fr-CH"/>
        </w:rPr>
        <w:t xml:space="preserve">. </w:t>
      </w:r>
    </w:p>
  </w:footnote>
  <w:footnote w:id="58">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fr-CH"/>
        </w:rPr>
      </w:pPr>
      <w:r w:rsidRPr="00DD6639">
        <w:rPr>
          <w:lang w:val="fr-CH"/>
        </w:rPr>
        <w:tab/>
      </w:r>
      <w:r w:rsidRPr="00D61533">
        <w:rPr>
          <w:rStyle w:val="FootnoteReference"/>
        </w:rPr>
        <w:footnoteRef/>
      </w:r>
      <w:r w:rsidRPr="00E9577E">
        <w:rPr>
          <w:lang w:val="fr-CH"/>
        </w:rPr>
        <w:tab/>
        <w:t xml:space="preserve">Véase </w:t>
      </w:r>
      <w:hyperlink r:id="rId2" w:history="1">
        <w:r w:rsidRPr="00E9577E">
          <w:rPr>
            <w:lang w:val="fr-CH"/>
          </w:rPr>
          <w:t>http://www.ohchr.org/EN/Issues/Education/Training/Pages/</w:t>
        </w:r>
        <w:r w:rsidR="00CD2CC2">
          <w:rPr>
            <w:lang w:val="fr-CH"/>
          </w:rPr>
          <w:br/>
        </w:r>
        <w:r w:rsidRPr="00E9577E">
          <w:rPr>
            <w:lang w:val="fr-CH"/>
          </w:rPr>
          <w:t>HREducationTrainingIndex.aspx</w:t>
        </w:r>
      </w:hyperlink>
      <w:r w:rsidRPr="00E9577E">
        <w:rPr>
          <w:lang w:val="fr-CH"/>
        </w:rPr>
        <w:t>.</w:t>
      </w:r>
    </w:p>
  </w:footnote>
  <w:footnote w:id="59">
    <w:p w:rsidR="004419F1" w:rsidRPr="00423E6A" w:rsidRDefault="004419F1" w:rsidP="0039161A">
      <w:pPr>
        <w:pStyle w:val="FootnoteText"/>
        <w:tabs>
          <w:tab w:val="clear" w:pos="418"/>
          <w:tab w:val="right" w:pos="1195"/>
          <w:tab w:val="left" w:pos="1267"/>
          <w:tab w:val="left" w:pos="1742"/>
          <w:tab w:val="left" w:pos="2218"/>
          <w:tab w:val="left" w:pos="2693"/>
        </w:tabs>
        <w:ind w:left="1267" w:right="1267" w:hanging="432"/>
      </w:pPr>
      <w:r w:rsidRPr="00E9577E">
        <w:rPr>
          <w:lang w:val="fr-CH"/>
        </w:rPr>
        <w:tab/>
      </w:r>
      <w:r w:rsidRPr="00D61533">
        <w:rPr>
          <w:rStyle w:val="FootnoteReference"/>
        </w:rPr>
        <w:footnoteRef/>
      </w:r>
      <w:r w:rsidRPr="00423E6A">
        <w:tab/>
        <w:t xml:space="preserve">Respuesta de Qatar; y respuesta </w:t>
      </w:r>
      <w:r>
        <w:t xml:space="preserve">de la Comisión Nacional de Derechos Humanos de Corea. </w:t>
      </w:r>
    </w:p>
  </w:footnote>
  <w:footnote w:id="60">
    <w:p w:rsidR="004419F1" w:rsidRPr="00423E6A" w:rsidRDefault="004419F1" w:rsidP="0039161A">
      <w:pPr>
        <w:pStyle w:val="FootnoteText"/>
        <w:tabs>
          <w:tab w:val="clear" w:pos="418"/>
          <w:tab w:val="right" w:pos="1195"/>
          <w:tab w:val="left" w:pos="1267"/>
          <w:tab w:val="left" w:pos="1742"/>
          <w:tab w:val="left" w:pos="2218"/>
          <w:tab w:val="left" w:pos="2693"/>
        </w:tabs>
        <w:ind w:left="1267" w:right="1267" w:hanging="432"/>
      </w:pPr>
      <w:r w:rsidRPr="00423E6A">
        <w:tab/>
      </w:r>
      <w:r w:rsidRPr="00D61533">
        <w:rPr>
          <w:rStyle w:val="FootnoteReference"/>
        </w:rPr>
        <w:footnoteRef/>
      </w:r>
      <w:r w:rsidRPr="00423E6A">
        <w:tab/>
        <w:t xml:space="preserve">Respuesta del Centro Nacional de </w:t>
      </w:r>
      <w:r>
        <w:t xml:space="preserve">Derechos Humanos de Eslovaquia. </w:t>
      </w:r>
    </w:p>
  </w:footnote>
  <w:footnote w:id="61">
    <w:p w:rsidR="004419F1" w:rsidRPr="00423E6A" w:rsidRDefault="004419F1" w:rsidP="0039161A">
      <w:pPr>
        <w:pStyle w:val="FootnoteText"/>
        <w:tabs>
          <w:tab w:val="clear" w:pos="418"/>
          <w:tab w:val="right" w:pos="1195"/>
          <w:tab w:val="left" w:pos="1267"/>
          <w:tab w:val="left" w:pos="1742"/>
          <w:tab w:val="left" w:pos="2218"/>
          <w:tab w:val="left" w:pos="2693"/>
        </w:tabs>
        <w:ind w:left="1267" w:right="1267" w:hanging="432"/>
      </w:pPr>
      <w:r w:rsidRPr="00423E6A">
        <w:tab/>
      </w:r>
      <w:r w:rsidRPr="00D61533">
        <w:rPr>
          <w:rStyle w:val="FootnoteReference"/>
        </w:rPr>
        <w:footnoteRef/>
      </w:r>
      <w:r w:rsidRPr="00423E6A">
        <w:tab/>
        <w:t xml:space="preserve">Respuesta del Centro Nacional de </w:t>
      </w:r>
      <w:r>
        <w:t xml:space="preserve">Derechos Humanos de Jordania. </w:t>
      </w:r>
    </w:p>
  </w:footnote>
  <w:footnote w:id="62">
    <w:p w:rsidR="004419F1" w:rsidRPr="00F96E31" w:rsidRDefault="004419F1" w:rsidP="0039161A">
      <w:pPr>
        <w:pStyle w:val="FootnoteText"/>
        <w:tabs>
          <w:tab w:val="clear" w:pos="418"/>
          <w:tab w:val="right" w:pos="1195"/>
          <w:tab w:val="left" w:pos="1267"/>
          <w:tab w:val="left" w:pos="1742"/>
          <w:tab w:val="left" w:pos="2218"/>
          <w:tab w:val="left" w:pos="2693"/>
        </w:tabs>
        <w:ind w:left="1267" w:right="1267" w:hanging="432"/>
      </w:pPr>
      <w:r w:rsidRPr="00423E6A">
        <w:tab/>
      </w:r>
      <w:r w:rsidRPr="00D61533">
        <w:rPr>
          <w:rStyle w:val="FootnoteReference"/>
        </w:rPr>
        <w:footnoteRef/>
      </w:r>
      <w:r w:rsidRPr="00F96E31">
        <w:tab/>
        <w:t xml:space="preserve">Respuesta de la Oficina del Defensor </w:t>
      </w:r>
      <w:r>
        <w:t>del Pueblo de Austria</w:t>
      </w:r>
      <w:r w:rsidRPr="00F96E31">
        <w:t>.</w:t>
      </w:r>
    </w:p>
  </w:footnote>
  <w:footnote w:id="63">
    <w:p w:rsidR="004419F1" w:rsidRPr="00BE3D5A" w:rsidRDefault="004419F1" w:rsidP="0039161A">
      <w:pPr>
        <w:pStyle w:val="FootnoteText"/>
        <w:tabs>
          <w:tab w:val="clear" w:pos="418"/>
          <w:tab w:val="right" w:pos="1195"/>
          <w:tab w:val="left" w:pos="1267"/>
          <w:tab w:val="left" w:pos="1742"/>
          <w:tab w:val="left" w:pos="2218"/>
          <w:tab w:val="left" w:pos="2693"/>
        </w:tabs>
        <w:ind w:left="1267" w:right="1267" w:hanging="432"/>
      </w:pPr>
      <w:r w:rsidRPr="00BE3D5A">
        <w:tab/>
      </w:r>
      <w:r w:rsidRPr="00BE3D5A">
        <w:rPr>
          <w:rStyle w:val="FootnoteReference"/>
        </w:rPr>
        <w:footnoteRef/>
      </w:r>
      <w:r w:rsidRPr="00BE3D5A">
        <w:tab/>
        <w:t>En la Declaración y el Programa de Acción de Viena, aprobados en la</w:t>
      </w:r>
      <w:r w:rsidR="00CD2CC2" w:rsidRPr="00BE3D5A">
        <w:t xml:space="preserve"> </w:t>
      </w:r>
      <w:r w:rsidRPr="00BE3D5A">
        <w:t>Conferencia Mundial de Derechos Humanos</w:t>
      </w:r>
      <w:r w:rsidR="00CD2CC2" w:rsidRPr="00BE3D5A">
        <w:t xml:space="preserve"> </w:t>
      </w:r>
      <w:r w:rsidRPr="00BE3D5A">
        <w:t xml:space="preserve">de 1993, se recomendaba que </w:t>
      </w:r>
      <w:r w:rsidR="00CD2CC2" w:rsidRPr="00BE3D5A">
        <w:t>“</w:t>
      </w:r>
      <w:r w:rsidRPr="00BE3D5A">
        <w:rPr>
          <w:lang w:val="es-ES_tradnl"/>
        </w:rPr>
        <w:t>cada Estado considere la posibilidad de elaborar un plan de acción nacional en el que se determinen las medidas necesarias para que ese</w:t>
      </w:r>
      <w:r w:rsidR="00CD2CC2" w:rsidRPr="00BE3D5A">
        <w:rPr>
          <w:lang w:val="es-ES_tradnl"/>
        </w:rPr>
        <w:t> </w:t>
      </w:r>
      <w:r w:rsidRPr="00BE3D5A">
        <w:rPr>
          <w:lang w:val="es-ES_tradnl"/>
        </w:rPr>
        <w:t>Estado mejore la promoción y protección de los derechos humanos</w:t>
      </w:r>
      <w:r w:rsidR="00CD2CC2" w:rsidRPr="00BE3D5A">
        <w:t>”</w:t>
      </w:r>
      <w:r w:rsidRPr="00BE3D5A">
        <w:t xml:space="preserve">. Véase el </w:t>
      </w:r>
      <w:r w:rsidRPr="00BE3D5A">
        <w:rPr>
          <w:iCs/>
          <w:lang w:val="es-ES_tradnl"/>
        </w:rPr>
        <w:t>Manual para la</w:t>
      </w:r>
      <w:r w:rsidR="00CD2CC2" w:rsidRPr="00BE3D5A">
        <w:rPr>
          <w:iCs/>
          <w:lang w:val="es-ES_tradnl"/>
        </w:rPr>
        <w:t> </w:t>
      </w:r>
      <w:r w:rsidRPr="00BE3D5A">
        <w:rPr>
          <w:iCs/>
          <w:lang w:val="es-ES_tradnl"/>
        </w:rPr>
        <w:t>elaboración de planes nacionales de acción en materia de derechos humanos</w:t>
      </w:r>
      <w:r w:rsidRPr="00BE3D5A">
        <w:rPr>
          <w:iCs/>
        </w:rPr>
        <w:t xml:space="preserve"> </w:t>
      </w:r>
      <w:r w:rsidRPr="00BE3D5A">
        <w:t>(Naciones Unidas, 2002).</w:t>
      </w:r>
    </w:p>
  </w:footnote>
  <w:footnote w:id="64">
    <w:p w:rsidR="004419F1" w:rsidRPr="006E7AA6" w:rsidRDefault="004419F1" w:rsidP="0039161A">
      <w:pPr>
        <w:pStyle w:val="FootnoteText"/>
        <w:tabs>
          <w:tab w:val="clear" w:pos="418"/>
          <w:tab w:val="right" w:pos="1195"/>
          <w:tab w:val="left" w:pos="1267"/>
          <w:tab w:val="left" w:pos="1742"/>
          <w:tab w:val="left" w:pos="2218"/>
          <w:tab w:val="left" w:pos="2693"/>
        </w:tabs>
        <w:ind w:left="1267" w:right="1267" w:hanging="432"/>
      </w:pPr>
      <w:r w:rsidRPr="00C421D6">
        <w:tab/>
      </w:r>
      <w:r w:rsidRPr="00D61533">
        <w:rPr>
          <w:rStyle w:val="FootnoteReference"/>
        </w:rPr>
        <w:footnoteRef/>
      </w:r>
      <w:r w:rsidRPr="005F6C15">
        <w:tab/>
        <w:t xml:space="preserve">Respuestas de Albania, de Kazajstán y de Honduras. La respuestas se hicieron eco de una amplia gama de legislación, políticas y programas, particularmente en relación con </w:t>
      </w:r>
      <w:r>
        <w:t>la trata, la migración y la violencia contra la mujer</w:t>
      </w:r>
      <w:r w:rsidRPr="005F6C15">
        <w:t xml:space="preserve">. </w:t>
      </w:r>
      <w:r>
        <w:t xml:space="preserve">Véase también el documento </w:t>
      </w:r>
      <w:r w:rsidRPr="006E7AA6">
        <w:t>A/HRC/18/24, párrs.</w:t>
      </w:r>
      <w:r w:rsidR="00CD2CC2">
        <w:t xml:space="preserve"> </w:t>
      </w:r>
      <w:r w:rsidRPr="006E7AA6">
        <w:t>9 y 10.</w:t>
      </w:r>
    </w:p>
  </w:footnote>
  <w:footnote w:id="65">
    <w:p w:rsidR="004419F1" w:rsidRPr="00E3693E" w:rsidRDefault="004419F1" w:rsidP="0039161A">
      <w:pPr>
        <w:pStyle w:val="FootnoteText"/>
        <w:tabs>
          <w:tab w:val="clear" w:pos="418"/>
          <w:tab w:val="right" w:pos="1195"/>
          <w:tab w:val="left" w:pos="1267"/>
          <w:tab w:val="left" w:pos="1742"/>
          <w:tab w:val="left" w:pos="2218"/>
          <w:tab w:val="left" w:pos="2693"/>
        </w:tabs>
        <w:ind w:left="1267" w:right="1267" w:hanging="432"/>
      </w:pPr>
      <w:r w:rsidRPr="006E7AA6">
        <w:tab/>
      </w:r>
      <w:r w:rsidRPr="00D61533">
        <w:rPr>
          <w:rStyle w:val="FootnoteReference"/>
        </w:rPr>
        <w:footnoteRef/>
      </w:r>
      <w:r w:rsidRPr="006E7AA6">
        <w:tab/>
        <w:t xml:space="preserve">Respuestas </w:t>
      </w:r>
      <w:r>
        <w:t xml:space="preserve">de la Argentina y de </w:t>
      </w:r>
      <w:r w:rsidRPr="006E7AA6">
        <w:t>Georgia.</w:t>
      </w:r>
      <w:r w:rsidR="00BE3D5A">
        <w:t xml:space="preserve"> V</w:t>
      </w:r>
      <w:r>
        <w:t>éase también el documento</w:t>
      </w:r>
      <w:r w:rsidRPr="006E7AA6">
        <w:t xml:space="preserve"> A/HRC/18/24,</w:t>
      </w:r>
      <w:r>
        <w:t xml:space="preserve"> párrs. </w:t>
      </w:r>
      <w:r w:rsidRPr="00126A02">
        <w:t>18</w:t>
      </w:r>
      <w:r>
        <w:t xml:space="preserve"> y</w:t>
      </w:r>
      <w:r w:rsidR="00CD2CC2">
        <w:t> </w:t>
      </w:r>
      <w:r w:rsidRPr="00126A02">
        <w:t>19.</w:t>
      </w:r>
    </w:p>
  </w:footnote>
  <w:footnote w:id="66">
    <w:p w:rsidR="004419F1" w:rsidRPr="00E3693E"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tab/>
        <w:t>Respuesta de Eslovaquia</w:t>
      </w:r>
      <w:r w:rsidRPr="00E3693E">
        <w:t>.</w:t>
      </w:r>
    </w:p>
  </w:footnote>
  <w:footnote w:id="67">
    <w:p w:rsidR="004419F1" w:rsidRPr="00504D9D"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64504C">
        <w:tab/>
        <w:t>La Convención sobre los Derechos del Niño ha destacado la importancia de la presupuestación en relación con el interés superior del niño (recomendación general núm. 14 (2013),</w:t>
      </w:r>
      <w:r>
        <w:t xml:space="preserve"> párr.</w:t>
      </w:r>
      <w:r w:rsidRPr="0064504C">
        <w:t> </w:t>
      </w:r>
      <w:r w:rsidRPr="00504D9D">
        <w:t>35). Véase también el documento A/HRC/28/30, párr. 19.</w:t>
      </w:r>
    </w:p>
  </w:footnote>
  <w:footnote w:id="68">
    <w:p w:rsidR="004419F1" w:rsidRPr="00504D9D" w:rsidRDefault="004419F1" w:rsidP="0039161A">
      <w:pPr>
        <w:pStyle w:val="FootnoteText"/>
        <w:tabs>
          <w:tab w:val="clear" w:pos="418"/>
          <w:tab w:val="right" w:pos="1195"/>
          <w:tab w:val="left" w:pos="1267"/>
          <w:tab w:val="left" w:pos="1742"/>
          <w:tab w:val="left" w:pos="2218"/>
          <w:tab w:val="left" w:pos="2693"/>
        </w:tabs>
        <w:ind w:left="1267" w:right="1267" w:hanging="432"/>
      </w:pPr>
      <w:r w:rsidRPr="00504D9D">
        <w:tab/>
      </w:r>
      <w:r w:rsidRPr="00D61533">
        <w:rPr>
          <w:rStyle w:val="FootnoteReference"/>
        </w:rPr>
        <w:footnoteRef/>
      </w:r>
      <w:r w:rsidRPr="00504D9D">
        <w:tab/>
        <w:t xml:space="preserve">A título ilustrativo, </w:t>
      </w:r>
      <w:r>
        <w:t xml:space="preserve">véase el informe anual del ACNUDH correspondiente a </w:t>
      </w:r>
      <w:r w:rsidRPr="00504D9D">
        <w:t>2011, p</w:t>
      </w:r>
      <w:r>
        <w:t>ágs</w:t>
      </w:r>
      <w:r w:rsidRPr="00504D9D">
        <w:t>. 64</w:t>
      </w:r>
      <w:r>
        <w:t xml:space="preserve"> a </w:t>
      </w:r>
      <w:r w:rsidRPr="00504D9D">
        <w:t>66.</w:t>
      </w:r>
    </w:p>
  </w:footnote>
  <w:footnote w:id="69">
    <w:p w:rsidR="004419F1" w:rsidRPr="00353122" w:rsidRDefault="004419F1" w:rsidP="0039161A">
      <w:pPr>
        <w:pStyle w:val="FootnoteText"/>
        <w:tabs>
          <w:tab w:val="clear" w:pos="418"/>
          <w:tab w:val="right" w:pos="1195"/>
          <w:tab w:val="left" w:pos="1267"/>
          <w:tab w:val="left" w:pos="1742"/>
          <w:tab w:val="left" w:pos="2218"/>
          <w:tab w:val="left" w:pos="2693"/>
        </w:tabs>
        <w:ind w:left="1267" w:right="1267" w:hanging="432"/>
      </w:pPr>
      <w:r w:rsidRPr="00504D9D">
        <w:tab/>
      </w:r>
      <w:r w:rsidRPr="00D61533">
        <w:rPr>
          <w:rStyle w:val="FootnoteReference"/>
        </w:rPr>
        <w:footnoteRef/>
      </w:r>
      <w:r w:rsidRPr="00353122">
        <w:tab/>
        <w:t>Respuesta del Defensor del Pueblo de Letonia.</w:t>
      </w:r>
    </w:p>
  </w:footnote>
  <w:footnote w:id="70">
    <w:p w:rsidR="004419F1" w:rsidRPr="00353122" w:rsidRDefault="004419F1" w:rsidP="0039161A">
      <w:pPr>
        <w:pStyle w:val="FootnoteText"/>
        <w:tabs>
          <w:tab w:val="clear" w:pos="418"/>
          <w:tab w:val="right" w:pos="1195"/>
          <w:tab w:val="left" w:pos="1267"/>
          <w:tab w:val="left" w:pos="1742"/>
          <w:tab w:val="left" w:pos="2218"/>
          <w:tab w:val="left" w:pos="2693"/>
        </w:tabs>
        <w:ind w:left="1267" w:right="1267" w:hanging="432"/>
      </w:pPr>
      <w:r w:rsidRPr="00353122">
        <w:tab/>
      </w:r>
      <w:r w:rsidRPr="00D61533">
        <w:rPr>
          <w:rStyle w:val="FootnoteReference"/>
        </w:rPr>
        <w:footnoteRef/>
      </w:r>
      <w:r w:rsidRPr="00353122">
        <w:tab/>
        <w:t>Ariranga G. Pillay, Presidente</w:t>
      </w:r>
      <w:r>
        <w:t xml:space="preserve"> del Comité de Derechos Económicos, Sociales y Culturales, carta a los Estados partes de 16 de mayo de 2012, que puede consultarse en</w:t>
      </w:r>
      <w:r w:rsidRPr="00353122">
        <w:t xml:space="preserve"> </w:t>
      </w:r>
      <w:hyperlink r:id="rId3" w:history="1">
        <w:r w:rsidRPr="00353122">
          <w:t>http://www2.ohchr.org/</w:t>
        </w:r>
        <w:r w:rsidR="00CD2CC2">
          <w:br/>
        </w:r>
        <w:r w:rsidRPr="00353122">
          <w:t>english/bodies/cescr/docs/LetterCESCRtoSP16.05.12.pdf</w:t>
        </w:r>
      </w:hyperlink>
      <w:r w:rsidRPr="00353122">
        <w:t>.</w:t>
      </w:r>
    </w:p>
  </w:footnote>
  <w:footnote w:id="71">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rsidRPr="00353122">
        <w:tab/>
      </w:r>
      <w:r w:rsidRPr="00D61533">
        <w:rPr>
          <w:rStyle w:val="FootnoteReference"/>
        </w:rPr>
        <w:footnoteRef/>
      </w:r>
      <w:r w:rsidRPr="00E9577E">
        <w:rPr>
          <w:lang w:val="en-US"/>
        </w:rPr>
        <w:tab/>
      </w:r>
      <w:r w:rsidR="00CD2CC2">
        <w:rPr>
          <w:lang w:val="en-US"/>
        </w:rPr>
        <w:t>“</w:t>
      </w:r>
      <w:r w:rsidRPr="00E9577E">
        <w:rPr>
          <w:lang w:val="en-US"/>
        </w:rPr>
        <w:t>SDGs [Sustainable Development Goals] Indicator Framework: A Human Rights Approach to Data Disaggregation to Leave No One Behind</w:t>
      </w:r>
      <w:r w:rsidR="00CD2CC2">
        <w:rPr>
          <w:lang w:val="en-US"/>
        </w:rPr>
        <w:t>”</w:t>
      </w:r>
      <w:r w:rsidRPr="00E9577E">
        <w:rPr>
          <w:lang w:val="en-US"/>
        </w:rPr>
        <w:t xml:space="preserve"> (ACNUDH, 2015).</w:t>
      </w:r>
    </w:p>
  </w:footnote>
  <w:footnote w:id="72">
    <w:p w:rsidR="004419F1" w:rsidRPr="003E7EE1" w:rsidRDefault="004419F1" w:rsidP="0039161A">
      <w:pPr>
        <w:pStyle w:val="FootnoteText"/>
        <w:tabs>
          <w:tab w:val="clear" w:pos="418"/>
          <w:tab w:val="right" w:pos="1195"/>
          <w:tab w:val="left" w:pos="1267"/>
          <w:tab w:val="left" w:pos="1742"/>
          <w:tab w:val="left" w:pos="2218"/>
          <w:tab w:val="left" w:pos="2693"/>
        </w:tabs>
        <w:ind w:left="1267" w:right="1267" w:hanging="432"/>
      </w:pPr>
      <w:r w:rsidRPr="00E9577E">
        <w:rPr>
          <w:lang w:val="en-US"/>
        </w:rPr>
        <w:tab/>
      </w:r>
      <w:r w:rsidRPr="00D61533">
        <w:rPr>
          <w:rStyle w:val="FootnoteReference"/>
        </w:rPr>
        <w:footnoteRef/>
      </w:r>
      <w:r w:rsidRPr="003E7EE1">
        <w:tab/>
      </w:r>
      <w:r w:rsidRPr="003E7EE1">
        <w:rPr>
          <w:i/>
        </w:rPr>
        <w:t>Indicadores de derechos humanos: Guía para la medición y la aplicación</w:t>
      </w:r>
      <w:r w:rsidRPr="003E7EE1">
        <w:t xml:space="preserve"> (</w:t>
      </w:r>
      <w:r>
        <w:t>Naciones Unidas</w:t>
      </w:r>
      <w:r w:rsidRPr="003E7EE1">
        <w:t xml:space="preserve">, 2012). Véase también el documento E/2011/90 sobre la utilización de indicadores a los efectos de la realización </w:t>
      </w:r>
      <w:r>
        <w:t>de los derechos económicos, sociales y culturales</w:t>
      </w:r>
      <w:r w:rsidRPr="003E7EE1">
        <w:t>.</w:t>
      </w:r>
    </w:p>
  </w:footnote>
  <w:footnote w:id="73">
    <w:p w:rsidR="004419F1" w:rsidRPr="00F513CF" w:rsidRDefault="004419F1" w:rsidP="0039161A">
      <w:pPr>
        <w:pStyle w:val="FootnoteText"/>
        <w:tabs>
          <w:tab w:val="clear" w:pos="418"/>
          <w:tab w:val="right" w:pos="1195"/>
          <w:tab w:val="left" w:pos="1267"/>
          <w:tab w:val="left" w:pos="1742"/>
          <w:tab w:val="left" w:pos="2218"/>
          <w:tab w:val="left" w:pos="2693"/>
        </w:tabs>
        <w:ind w:left="1267" w:right="1267" w:hanging="432"/>
      </w:pPr>
      <w:r w:rsidRPr="003E7EE1">
        <w:tab/>
      </w:r>
      <w:r w:rsidRPr="00D61533">
        <w:rPr>
          <w:rStyle w:val="FootnoteReference"/>
        </w:rPr>
        <w:footnoteRef/>
      </w:r>
      <w:r w:rsidRPr="00B10D8E">
        <w:tab/>
        <w:t xml:space="preserve">Por ejemplo, el Comité contra la Tortura recomendó que Honduras </w:t>
      </w:r>
      <w:r>
        <w:rPr>
          <w:bCs/>
        </w:rPr>
        <w:t>siguiera</w:t>
      </w:r>
      <w:r w:rsidRPr="00A7449D">
        <w:rPr>
          <w:bCs/>
        </w:rPr>
        <w:t xml:space="preserve"> de </w:t>
      </w:r>
      <w:r w:rsidRPr="00A7449D">
        <w:rPr>
          <w:bCs/>
          <w:lang w:val="es-ES_tradnl"/>
        </w:rPr>
        <w:t>cerca y documente los casos de violencia entre reclusos con el fin de determinar las causas profundas y concebir estrategias de prevención adecuadas y proporcion</w:t>
      </w:r>
      <w:r>
        <w:rPr>
          <w:bCs/>
          <w:lang w:val="es-ES_tradnl"/>
        </w:rPr>
        <w:t>as</w:t>
      </w:r>
      <w:r w:rsidRPr="00A7449D">
        <w:rPr>
          <w:bCs/>
          <w:lang w:val="es-ES_tradnl"/>
        </w:rPr>
        <w:t>e al Comité datos al respecto, desglosados por los indicadores pertinentes</w:t>
      </w:r>
      <w:r w:rsidRPr="00A7449D">
        <w:t xml:space="preserve"> </w:t>
      </w:r>
      <w:r w:rsidRPr="00B10D8E">
        <w:t xml:space="preserve">(CAT/C/HND/CO/1, </w:t>
      </w:r>
      <w:r>
        <w:t>párr.</w:t>
      </w:r>
      <w:r w:rsidRPr="00B10D8E">
        <w:t> </w:t>
      </w:r>
      <w:r w:rsidRPr="00F513CF">
        <w:t>17).</w:t>
      </w:r>
    </w:p>
  </w:footnote>
  <w:footnote w:id="74">
    <w:p w:rsidR="004419F1" w:rsidRPr="006E7BA3"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6E7BA3">
        <w:tab/>
      </w:r>
      <w:r w:rsidRPr="003E7EE1">
        <w:rPr>
          <w:i/>
        </w:rPr>
        <w:t>Indicadores de derechos humanos</w:t>
      </w:r>
      <w:r w:rsidRPr="006E7BA3">
        <w:t xml:space="preserve"> (</w:t>
      </w:r>
      <w:r>
        <w:t xml:space="preserve">nota </w:t>
      </w:r>
      <w:r w:rsidRPr="006E7BA3">
        <w:t xml:space="preserve">72 </w:t>
      </w:r>
      <w:r w:rsidRPr="006E7BA3">
        <w:rPr>
          <w:i/>
        </w:rPr>
        <w:t>supra</w:t>
      </w:r>
      <w:r w:rsidRPr="006E7BA3">
        <w:t>), p</w:t>
      </w:r>
      <w:r>
        <w:t>ág</w:t>
      </w:r>
      <w:r w:rsidRPr="006E7BA3">
        <w:t>. 88.</w:t>
      </w:r>
    </w:p>
  </w:footnote>
  <w:footnote w:id="75">
    <w:p w:rsidR="004419F1" w:rsidRPr="00145D18" w:rsidRDefault="004419F1" w:rsidP="0039161A">
      <w:pPr>
        <w:pStyle w:val="FootnoteText"/>
        <w:tabs>
          <w:tab w:val="clear" w:pos="418"/>
          <w:tab w:val="right" w:pos="1195"/>
          <w:tab w:val="left" w:pos="1267"/>
          <w:tab w:val="left" w:pos="1742"/>
          <w:tab w:val="left" w:pos="2218"/>
          <w:tab w:val="left" w:pos="2693"/>
        </w:tabs>
        <w:ind w:left="1267" w:right="1267" w:hanging="432"/>
      </w:pPr>
      <w:r w:rsidRPr="006E7BA3">
        <w:tab/>
      </w:r>
      <w:r w:rsidRPr="00D61533">
        <w:rPr>
          <w:rStyle w:val="FootnoteReference"/>
        </w:rPr>
        <w:footnoteRef/>
      </w:r>
      <w:r w:rsidRPr="00145D18">
        <w:rPr>
          <w:vertAlign w:val="superscript"/>
        </w:rPr>
        <w:tab/>
      </w:r>
      <w:r w:rsidRPr="00145D18">
        <w:t xml:space="preserve">Por ejemplo, el </w:t>
      </w:r>
      <w:r w:rsidRPr="00145D18">
        <w:rPr>
          <w:i/>
          <w:iCs/>
        </w:rPr>
        <w:t>Índice</w:t>
      </w:r>
      <w:r w:rsidRPr="00145D18">
        <w:t> </w:t>
      </w:r>
      <w:r w:rsidRPr="00145D18">
        <w:rPr>
          <w:i/>
          <w:iCs/>
        </w:rPr>
        <w:t>Universal</w:t>
      </w:r>
      <w:r w:rsidRPr="00145D18">
        <w:t> </w:t>
      </w:r>
      <w:r w:rsidRPr="00145D18">
        <w:rPr>
          <w:i/>
          <w:iCs/>
        </w:rPr>
        <w:t>de</w:t>
      </w:r>
      <w:r w:rsidRPr="00145D18">
        <w:t> </w:t>
      </w:r>
      <w:r w:rsidRPr="00145D18">
        <w:rPr>
          <w:i/>
          <w:iCs/>
        </w:rPr>
        <w:t>los</w:t>
      </w:r>
      <w:r w:rsidRPr="00145D18">
        <w:t> </w:t>
      </w:r>
      <w:r w:rsidRPr="00145D18">
        <w:rPr>
          <w:i/>
          <w:iCs/>
        </w:rPr>
        <w:t>Derechos</w:t>
      </w:r>
      <w:r w:rsidRPr="00145D18">
        <w:t> </w:t>
      </w:r>
      <w:r w:rsidRPr="00145D18">
        <w:rPr>
          <w:i/>
          <w:iCs/>
        </w:rPr>
        <w:t xml:space="preserve">Humanos </w:t>
      </w:r>
      <w:r w:rsidRPr="00145D18">
        <w:rPr>
          <w:iCs/>
        </w:rPr>
        <w:t xml:space="preserve">sirve para acceder a información sobre </w:t>
      </w:r>
      <w:r>
        <w:rPr>
          <w:iCs/>
        </w:rPr>
        <w:t xml:space="preserve">los </w:t>
      </w:r>
      <w:r w:rsidRPr="00145D18">
        <w:rPr>
          <w:iCs/>
        </w:rPr>
        <w:t xml:space="preserve">derechos humanos </w:t>
      </w:r>
      <w:r>
        <w:rPr>
          <w:iCs/>
        </w:rPr>
        <w:t>de países concretos, la cual dimana de los mecanismos internacionales de derechos humanos del sistema de las Naciones Unidas</w:t>
      </w:r>
      <w:r w:rsidRPr="00145D18">
        <w:t xml:space="preserve">. </w:t>
      </w:r>
    </w:p>
  </w:footnote>
  <w:footnote w:id="76">
    <w:p w:rsidR="004419F1" w:rsidRPr="00E818CA" w:rsidRDefault="004419F1" w:rsidP="0039161A">
      <w:pPr>
        <w:pStyle w:val="FootnoteText"/>
        <w:tabs>
          <w:tab w:val="clear" w:pos="418"/>
          <w:tab w:val="right" w:pos="1195"/>
          <w:tab w:val="left" w:pos="1267"/>
          <w:tab w:val="left" w:pos="1742"/>
          <w:tab w:val="left" w:pos="2218"/>
          <w:tab w:val="left" w:pos="2693"/>
        </w:tabs>
        <w:ind w:left="1267" w:right="1267" w:hanging="432"/>
      </w:pPr>
      <w:r w:rsidRPr="00145D18">
        <w:tab/>
      </w:r>
      <w:r w:rsidRPr="00D61533">
        <w:rPr>
          <w:rStyle w:val="FootnoteReference"/>
        </w:rPr>
        <w:footnoteRef/>
      </w:r>
      <w:r w:rsidRPr="00E818CA">
        <w:tab/>
        <w:t>Respuesta del Paraguay.</w:t>
      </w:r>
    </w:p>
  </w:footnote>
  <w:footnote w:id="77">
    <w:p w:rsidR="004419F1" w:rsidRPr="00E818CA" w:rsidRDefault="004419F1" w:rsidP="0039161A">
      <w:pPr>
        <w:pStyle w:val="FootnoteText"/>
        <w:tabs>
          <w:tab w:val="clear" w:pos="418"/>
          <w:tab w:val="right" w:pos="1195"/>
          <w:tab w:val="left" w:pos="1267"/>
          <w:tab w:val="left" w:pos="1742"/>
          <w:tab w:val="left" w:pos="2218"/>
          <w:tab w:val="left" w:pos="2693"/>
        </w:tabs>
        <w:ind w:left="1267" w:right="1267" w:hanging="432"/>
      </w:pPr>
      <w:r w:rsidRPr="00E818CA">
        <w:tab/>
      </w:r>
      <w:r w:rsidRPr="00D61533">
        <w:rPr>
          <w:rStyle w:val="FootnoteReference"/>
        </w:rPr>
        <w:footnoteRef/>
      </w:r>
      <w:r w:rsidRPr="00E818CA">
        <w:tab/>
        <w:t>Respuesta de Ucrania.</w:t>
      </w:r>
    </w:p>
  </w:footnote>
  <w:footnote w:id="78">
    <w:p w:rsidR="004419F1" w:rsidRPr="005B3D44" w:rsidRDefault="004419F1" w:rsidP="0039161A">
      <w:pPr>
        <w:pStyle w:val="FootnoteText"/>
        <w:tabs>
          <w:tab w:val="clear" w:pos="418"/>
          <w:tab w:val="right" w:pos="1195"/>
          <w:tab w:val="left" w:pos="1267"/>
          <w:tab w:val="left" w:pos="1742"/>
          <w:tab w:val="left" w:pos="2218"/>
          <w:tab w:val="left" w:pos="2693"/>
        </w:tabs>
        <w:ind w:left="1267" w:right="1267" w:hanging="432"/>
        <w:rPr>
          <w:lang w:val="es-ES_tradnl"/>
        </w:rPr>
      </w:pPr>
      <w:r w:rsidRPr="00E818CA">
        <w:tab/>
      </w:r>
      <w:r w:rsidRPr="00D61533">
        <w:rPr>
          <w:rStyle w:val="FootnoteReference"/>
        </w:rPr>
        <w:footnoteRef/>
      </w:r>
      <w:r w:rsidRPr="005B3D44">
        <w:tab/>
        <w:t xml:space="preserve">Proyecto de </w:t>
      </w:r>
      <w:r w:rsidRPr="005B3D44">
        <w:rPr>
          <w:lang w:val="es-ES_tradnl"/>
        </w:rPr>
        <w:t>documento final relativo al desarrollo después de 2015</w:t>
      </w:r>
      <w:r>
        <w:rPr>
          <w:lang w:val="es-ES_tradnl"/>
        </w:rPr>
        <w:t xml:space="preserve"> de fecha 8 de julio de 2015, párr. </w:t>
      </w:r>
      <w:r w:rsidRPr="005B3D44">
        <w:rPr>
          <w:lang w:val="es-ES_tradnl"/>
        </w:rPr>
        <w:t>10. Véase también, por ejemplo, el proyecto de objetivo 16 (</w:t>
      </w:r>
      <w:r w:rsidR="00CD2CC2">
        <w:rPr>
          <w:lang w:val="es-ES_tradnl"/>
        </w:rPr>
        <w:t>“</w:t>
      </w:r>
      <w:r w:rsidRPr="005B3D44">
        <w:rPr>
          <w:lang w:val="es-ES_tradnl"/>
        </w:rPr>
        <w:t>Promover sociedades pacíficas e inclusivas para el desarrollo sostenible, facilitar el acceso a la justicia para todos y crear instituciones eficaces, responsables e inclusivas a todos los niveles</w:t>
      </w:r>
      <w:r w:rsidR="00CD2CC2">
        <w:rPr>
          <w:lang w:val="es-ES_tradnl"/>
        </w:rPr>
        <w:t>”</w:t>
      </w:r>
      <w:r w:rsidRPr="005B3D44">
        <w:rPr>
          <w:lang w:val="es-ES_tradnl"/>
        </w:rPr>
        <w:t>)</w:t>
      </w:r>
      <w:r>
        <w:rPr>
          <w:lang w:val="es-ES_tradnl"/>
        </w:rPr>
        <w:t>, lo que, entre otras cosas, intentaría reforzar las instituciones nacionales pertinentes, particularmente a través de la cooperación internacional, con miras al fomento de la capacidad a todos los niveles, para prevenir la violencia y luchar contra el terrorismo y la delincuencia; y promover y hacer aplicar leyes y políticas no discriminatorias en pro del desarrollo sostenible</w:t>
      </w:r>
      <w:r w:rsidRPr="005B3D44">
        <w:rPr>
          <w:lang w:val="es-ES_tradnl"/>
        </w:rPr>
        <w:t>.</w:t>
      </w:r>
    </w:p>
  </w:footnote>
  <w:footnote w:id="79">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rsidRPr="005B3D44">
        <w:rPr>
          <w:lang w:val="es-ES_tradnl"/>
        </w:rPr>
        <w:tab/>
      </w:r>
      <w:r w:rsidRPr="00D61533">
        <w:rPr>
          <w:rStyle w:val="FootnoteReference"/>
        </w:rPr>
        <w:footnoteRef/>
      </w:r>
      <w:r w:rsidRPr="00E9577E">
        <w:rPr>
          <w:lang w:val="en-US"/>
        </w:rPr>
        <w:tab/>
      </w:r>
      <w:r w:rsidR="00CD2CC2">
        <w:rPr>
          <w:lang w:val="en-US"/>
        </w:rPr>
        <w:t>“</w:t>
      </w:r>
      <w:r w:rsidRPr="00E9577E">
        <w:rPr>
          <w:lang w:val="en-US"/>
        </w:rPr>
        <w:t>Integrating Human Rights into the Post-2015 Development Agenda - Follow-up and Review: Ensuring Accountability for the SDGs</w:t>
      </w:r>
      <w:r w:rsidR="00CD2CC2">
        <w:rPr>
          <w:lang w:val="en-US"/>
        </w:rPr>
        <w:t>”</w:t>
      </w:r>
      <w:r w:rsidRPr="00E9577E">
        <w:rPr>
          <w:lang w:val="en-US"/>
        </w:rPr>
        <w:t xml:space="preserve"> (ACNUDH, mayo de 2015).</w:t>
      </w:r>
    </w:p>
  </w:footnote>
  <w:footnote w:id="80">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fr-CH"/>
        </w:rPr>
      </w:pPr>
      <w:r w:rsidRPr="00E9577E">
        <w:rPr>
          <w:lang w:val="en-US"/>
        </w:rPr>
        <w:tab/>
      </w:r>
      <w:r w:rsidRPr="00D61533">
        <w:rPr>
          <w:rStyle w:val="FootnoteReference"/>
        </w:rPr>
        <w:footnoteRef/>
      </w:r>
      <w:r w:rsidRPr="00DC1525">
        <w:tab/>
        <w:t xml:space="preserve">Incluyen los mecanismos de las Naciones Unidas y los establecidos, por ejemplo, por la Unión Europea, el Consejo de Europa, la Organización para la Seguridad y Cooperación en Europa, </w:t>
      </w:r>
      <w:r>
        <w:t xml:space="preserve">la Unión Africana y la Organización de los Estados Americanos. </w:t>
      </w:r>
      <w:r w:rsidRPr="00E9577E">
        <w:rPr>
          <w:lang w:val="fr-CH"/>
        </w:rPr>
        <w:t>Véanse K. Martin-Chenut y S.</w:t>
      </w:r>
      <w:r w:rsidR="00BE3D5A">
        <w:rPr>
          <w:lang w:val="fr-CH"/>
        </w:rPr>
        <w:t> </w:t>
      </w:r>
      <w:r w:rsidRPr="00E9577E">
        <w:rPr>
          <w:lang w:val="fr-CH"/>
        </w:rPr>
        <w:t xml:space="preserve">Turgis en E. Decaux y S. Touzé, </w:t>
      </w:r>
      <w:r w:rsidRPr="00E9577E">
        <w:rPr>
          <w:i/>
          <w:iCs/>
          <w:lang w:val="fr-CH"/>
        </w:rPr>
        <w:t xml:space="preserve">La Prévention des Violations des Droits de l’Homme </w:t>
      </w:r>
      <w:r w:rsidRPr="00E9577E">
        <w:rPr>
          <w:lang w:val="fr-CH"/>
        </w:rPr>
        <w:t xml:space="preserve">(nota 3 </w:t>
      </w:r>
      <w:r w:rsidRPr="00E9577E">
        <w:rPr>
          <w:i/>
          <w:lang w:val="fr-CH"/>
        </w:rPr>
        <w:t>supra</w:t>
      </w:r>
      <w:r w:rsidRPr="00E9577E">
        <w:rPr>
          <w:lang w:val="fr-CH"/>
        </w:rPr>
        <w:t xml:space="preserve">); Linos-Alexandre Sicilianos, </w:t>
      </w:r>
      <w:r w:rsidRPr="00E9577E">
        <w:rPr>
          <w:i/>
          <w:iCs/>
          <w:lang w:val="fr-CH"/>
        </w:rPr>
        <w:t>The Prevention of Human Rights Violations</w:t>
      </w:r>
      <w:r w:rsidRPr="00BE3D5A">
        <w:rPr>
          <w:iCs/>
          <w:lang w:val="fr-CH"/>
        </w:rPr>
        <w:t>,</w:t>
      </w:r>
      <w:r w:rsidRPr="00E9577E">
        <w:rPr>
          <w:i/>
          <w:iCs/>
          <w:lang w:val="fr-CH"/>
        </w:rPr>
        <w:t xml:space="preserve"> </w:t>
      </w:r>
      <w:r w:rsidRPr="00E9577E">
        <w:rPr>
          <w:iCs/>
          <w:lang w:val="fr-CH"/>
        </w:rPr>
        <w:t>partes</w:t>
      </w:r>
      <w:r w:rsidRPr="00E9577E">
        <w:rPr>
          <w:lang w:val="fr-CH"/>
        </w:rPr>
        <w:t xml:space="preserve"> I y II (Atenas, La Haya, Nueva York, Martinus Nijhoff, 2001).</w:t>
      </w:r>
    </w:p>
  </w:footnote>
  <w:footnote w:id="81">
    <w:p w:rsidR="004419F1" w:rsidRPr="005A4040" w:rsidRDefault="004419F1" w:rsidP="0039161A">
      <w:pPr>
        <w:pStyle w:val="FootnoteText"/>
        <w:tabs>
          <w:tab w:val="clear" w:pos="418"/>
          <w:tab w:val="right" w:pos="1195"/>
          <w:tab w:val="left" w:pos="1267"/>
          <w:tab w:val="left" w:pos="1742"/>
          <w:tab w:val="left" w:pos="2218"/>
          <w:tab w:val="left" w:pos="2693"/>
        </w:tabs>
        <w:ind w:left="1267" w:right="1267" w:hanging="432"/>
      </w:pPr>
      <w:r w:rsidRPr="00E9577E">
        <w:rPr>
          <w:lang w:val="fr-CH"/>
        </w:rPr>
        <w:tab/>
      </w:r>
      <w:r w:rsidRPr="00D61533">
        <w:rPr>
          <w:rStyle w:val="FootnoteReference"/>
        </w:rPr>
        <w:footnoteRef/>
      </w:r>
      <w:r w:rsidRPr="005A4040">
        <w:rPr>
          <w:vertAlign w:val="superscript"/>
        </w:rPr>
        <w:tab/>
      </w:r>
      <w:r w:rsidRPr="005A4040">
        <w:t xml:space="preserve">Por ejemplo, el Comité de Derechos Humanos encomió </w:t>
      </w:r>
      <w:r w:rsidR="00CD2CC2">
        <w:t>“</w:t>
      </w:r>
      <w:r w:rsidRPr="005A4040">
        <w:t xml:space="preserve">la rápida respuesta y las medidas adoptadas por el Estado </w:t>
      </w:r>
      <w:r w:rsidR="00BE3D5A">
        <w:t>p</w:t>
      </w:r>
      <w:r w:rsidRPr="005A4040">
        <w:t xml:space="preserve">arte para subsanar la vulneración de la libertad religiosa, cuestión a la que se refirió el Comité en la comunicación </w:t>
      </w:r>
      <w:r w:rsidR="00BE3D5A">
        <w:t>núm.</w:t>
      </w:r>
      <w:r w:rsidRPr="005A4040">
        <w:t xml:space="preserve"> 1155/2003</w:t>
      </w:r>
      <w:r>
        <w:t xml:space="preserve"> </w:t>
      </w:r>
      <w:r w:rsidRPr="005A4040">
        <w:t>[</w:t>
      </w:r>
      <w:r w:rsidRPr="005A4040">
        <w:rPr>
          <w:i/>
          <w:iCs/>
        </w:rPr>
        <w:t xml:space="preserve">Leirvåg </w:t>
      </w:r>
      <w:r w:rsidRPr="00BE3D5A">
        <w:rPr>
          <w:i/>
          <w:iCs/>
        </w:rPr>
        <w:t>c. Noruega</w:t>
      </w:r>
      <w:r w:rsidRPr="005A4040">
        <w:t xml:space="preserve">, </w:t>
      </w:r>
      <w:r>
        <w:t>dictamen aprobado el 3 de noviembre de 2004</w:t>
      </w:r>
      <w:r w:rsidRPr="005A4040">
        <w:t>], incluida la aprobación de enmiendas a la Ley de educación</w:t>
      </w:r>
      <w:r w:rsidR="00CD2CC2">
        <w:t>”</w:t>
      </w:r>
      <w:r>
        <w:t xml:space="preserve"> </w:t>
      </w:r>
      <w:r w:rsidRPr="005A4040">
        <w:t>(CCPR/C/NOR/CO/5).</w:t>
      </w:r>
    </w:p>
  </w:footnote>
  <w:footnote w:id="82">
    <w:p w:rsidR="004419F1" w:rsidRPr="00EE07FA" w:rsidRDefault="004419F1" w:rsidP="00CD2CC2">
      <w:pPr>
        <w:pStyle w:val="FootnoteText"/>
        <w:keepNext/>
        <w:keepLines/>
        <w:tabs>
          <w:tab w:val="clear" w:pos="418"/>
          <w:tab w:val="right" w:pos="1195"/>
          <w:tab w:val="left" w:pos="1267"/>
          <w:tab w:val="left" w:pos="1742"/>
          <w:tab w:val="left" w:pos="2218"/>
          <w:tab w:val="left" w:pos="2693"/>
        </w:tabs>
        <w:ind w:left="1267" w:right="1267" w:hanging="432"/>
      </w:pPr>
      <w:r w:rsidRPr="005A4040">
        <w:tab/>
      </w:r>
      <w:r w:rsidRPr="00D61533">
        <w:rPr>
          <w:rStyle w:val="FootnoteReference"/>
        </w:rPr>
        <w:footnoteRef/>
      </w:r>
      <w:r w:rsidRPr="000D194B">
        <w:tab/>
        <w:t xml:space="preserve">Algunos mecanismos, en cualquier momento antes de que se examine un caso, pueden solicitar al Estado que adopte </w:t>
      </w:r>
      <w:r w:rsidR="00CD2CC2">
        <w:t>“</w:t>
      </w:r>
      <w:r w:rsidRPr="000D194B">
        <w:t>medidas provisionales</w:t>
      </w:r>
      <w:r w:rsidR="00CD2CC2">
        <w:t>”</w:t>
      </w:r>
      <w:r w:rsidRPr="000D194B">
        <w:t xml:space="preserve"> a fin de prevenir un daño irreparable para el autor</w:t>
      </w:r>
      <w:r>
        <w:t xml:space="preserve"> o</w:t>
      </w:r>
      <w:r w:rsidRPr="000D194B">
        <w:t xml:space="preserve"> una presunta víctima </w:t>
      </w:r>
      <w:r>
        <w:t xml:space="preserve">en relación con el caso en cuestión. </w:t>
      </w:r>
      <w:r w:rsidRPr="000D194B">
        <w:t xml:space="preserve">En general, tales solicitudes se formulan para prevenir actuaciones que posteriormente no podrán </w:t>
      </w:r>
      <w:r>
        <w:t>remediarse</w:t>
      </w:r>
      <w:r w:rsidRPr="000D194B">
        <w:t>, como, por ejemplo, la ejecución de una condena a muerte o la expulsión de una persona que se enfrente a un riesgo de tortura</w:t>
      </w:r>
      <w:r w:rsidRPr="00EE07FA">
        <w:t>.</w:t>
      </w:r>
    </w:p>
  </w:footnote>
  <w:footnote w:id="83">
    <w:p w:rsidR="004419F1" w:rsidRPr="00EB4732" w:rsidRDefault="004419F1" w:rsidP="0039161A">
      <w:pPr>
        <w:pStyle w:val="FootnoteText"/>
        <w:tabs>
          <w:tab w:val="clear" w:pos="418"/>
          <w:tab w:val="right" w:pos="1195"/>
          <w:tab w:val="left" w:pos="1267"/>
          <w:tab w:val="left" w:pos="1742"/>
          <w:tab w:val="left" w:pos="2218"/>
          <w:tab w:val="left" w:pos="2693"/>
        </w:tabs>
        <w:ind w:left="1267" w:right="1267" w:hanging="432"/>
      </w:pPr>
      <w:r w:rsidRPr="00EE07FA">
        <w:tab/>
      </w:r>
      <w:r w:rsidRPr="00D61533">
        <w:rPr>
          <w:rStyle w:val="FootnoteReference"/>
        </w:rPr>
        <w:footnoteRef/>
      </w:r>
      <w:r w:rsidRPr="00EB4732">
        <w:tab/>
        <w:t xml:space="preserve">Comisión Interamericana de Derechos Humanos, </w:t>
      </w:r>
      <w:r w:rsidRPr="00931B66">
        <w:rPr>
          <w:i/>
        </w:rPr>
        <w:t>Impacto del procedimiento de solución amistosa</w:t>
      </w:r>
      <w:r>
        <w:t xml:space="preserve"> </w:t>
      </w:r>
      <w:r w:rsidRPr="00EB4732">
        <w:t xml:space="preserve">(OEA/Ser.L/V/II. </w:t>
      </w:r>
      <w:r>
        <w:t>d</w:t>
      </w:r>
      <w:r w:rsidRPr="00EB4732">
        <w:t xml:space="preserve">oc. 45/13 </w:t>
      </w:r>
      <w:r>
        <w:t>de</w:t>
      </w:r>
      <w:r w:rsidRPr="00EB4732">
        <w:t xml:space="preserve"> 18 </w:t>
      </w:r>
      <w:r>
        <w:t xml:space="preserve">de diciembre de </w:t>
      </w:r>
      <w:r w:rsidRPr="00EB4732">
        <w:t>2013).</w:t>
      </w:r>
    </w:p>
  </w:footnote>
  <w:footnote w:id="84">
    <w:p w:rsidR="004419F1" w:rsidRPr="00F513CF" w:rsidRDefault="004419F1" w:rsidP="0039161A">
      <w:pPr>
        <w:pStyle w:val="FootnoteText"/>
        <w:tabs>
          <w:tab w:val="clear" w:pos="418"/>
          <w:tab w:val="right" w:pos="1195"/>
          <w:tab w:val="left" w:pos="1267"/>
          <w:tab w:val="left" w:pos="1742"/>
          <w:tab w:val="left" w:pos="2218"/>
          <w:tab w:val="left" w:pos="2693"/>
        </w:tabs>
        <w:ind w:left="1267" w:right="1267" w:hanging="432"/>
      </w:pPr>
      <w:r w:rsidRPr="00EB4732">
        <w:tab/>
      </w:r>
      <w:r w:rsidRPr="00D61533">
        <w:rPr>
          <w:rStyle w:val="FootnoteReference"/>
        </w:rPr>
        <w:footnoteRef/>
      </w:r>
      <w:r>
        <w:tab/>
      </w:r>
      <w:r w:rsidRPr="00BE3D5A">
        <w:rPr>
          <w:i/>
        </w:rPr>
        <w:t>Ibid.</w:t>
      </w:r>
      <w:r w:rsidRPr="00F513CF">
        <w:t>, p</w:t>
      </w:r>
      <w:r>
        <w:t>ág</w:t>
      </w:r>
      <w:r w:rsidRPr="00F513CF">
        <w:t>.</w:t>
      </w:r>
      <w:r>
        <w:t> </w:t>
      </w:r>
      <w:r w:rsidRPr="00F513CF">
        <w:t>52.</w:t>
      </w:r>
    </w:p>
  </w:footnote>
  <w:footnote w:id="85">
    <w:p w:rsidR="004419F1" w:rsidRPr="00F513CF"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F513CF">
        <w:rPr>
          <w:vertAlign w:val="superscript"/>
        </w:rPr>
        <w:tab/>
      </w:r>
      <w:r w:rsidRPr="00BE3D5A">
        <w:rPr>
          <w:i/>
        </w:rPr>
        <w:t>Ibid.</w:t>
      </w:r>
      <w:r>
        <w:t>,</w:t>
      </w:r>
      <w:r w:rsidRPr="00F513CF">
        <w:t xml:space="preserve"> p</w:t>
      </w:r>
      <w:r>
        <w:t>ág</w:t>
      </w:r>
      <w:r w:rsidRPr="00F513CF">
        <w:t>.</w:t>
      </w:r>
      <w:r>
        <w:t> </w:t>
      </w:r>
      <w:r w:rsidRPr="00F513CF">
        <w:t>6.</w:t>
      </w:r>
    </w:p>
  </w:footnote>
  <w:footnote w:id="86">
    <w:p w:rsidR="004419F1" w:rsidRPr="00B54DD0"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B54DD0">
        <w:tab/>
        <w:t xml:space="preserve">Incluidos el </w:t>
      </w:r>
      <w:r w:rsidRPr="00B54DD0">
        <w:rPr>
          <w:bCs/>
        </w:rPr>
        <w:t xml:space="preserve">Subcomité para la Prevención de la Tortura y Otros Tratos o Penas Crueles, Inhumanos o Degradantes y el </w:t>
      </w:r>
      <w:r w:rsidRPr="00B54DD0">
        <w:rPr>
          <w:bCs/>
          <w:lang w:val="es-ES_tradnl"/>
        </w:rPr>
        <w:t>Comité Europeo para la Prevención de la Tortura y de las Penas o Tratos Inhumanos o Degradantes</w:t>
      </w:r>
      <w:r>
        <w:rPr>
          <w:bCs/>
          <w:lang w:val="es-ES_tradnl"/>
        </w:rPr>
        <w:t>, del Consejo de Europa</w:t>
      </w:r>
      <w:r w:rsidRPr="00B54DD0">
        <w:t xml:space="preserve">. </w:t>
      </w:r>
    </w:p>
  </w:footnote>
  <w:footnote w:id="87">
    <w:p w:rsidR="004419F1" w:rsidRPr="00593E6E" w:rsidRDefault="004419F1" w:rsidP="0039161A">
      <w:pPr>
        <w:pStyle w:val="FootnoteText"/>
        <w:tabs>
          <w:tab w:val="clear" w:pos="418"/>
          <w:tab w:val="right" w:pos="1195"/>
          <w:tab w:val="left" w:pos="1267"/>
          <w:tab w:val="left" w:pos="1742"/>
          <w:tab w:val="left" w:pos="2218"/>
          <w:tab w:val="left" w:pos="2693"/>
        </w:tabs>
        <w:ind w:left="1267" w:right="1267" w:hanging="432"/>
      </w:pPr>
      <w:r w:rsidRPr="00B54DD0">
        <w:tab/>
      </w:r>
      <w:r w:rsidRPr="00D61533">
        <w:rPr>
          <w:rStyle w:val="FootnoteReference"/>
        </w:rPr>
        <w:footnoteRef/>
      </w:r>
      <w:r w:rsidRPr="00593E6E">
        <w:tab/>
        <w:t xml:space="preserve">Por ejemplo, el procedimiento de alerta temprana y medidas urgentes del </w:t>
      </w:r>
      <w:r w:rsidRPr="00593E6E">
        <w:rPr>
          <w:lang w:val="es-ES_tradnl"/>
        </w:rPr>
        <w:t>Comité para la Eliminación de la Discriminación</w:t>
      </w:r>
      <w:r>
        <w:rPr>
          <w:lang w:val="es-ES_tradnl"/>
        </w:rPr>
        <w:t xml:space="preserve"> </w:t>
      </w:r>
      <w:r w:rsidRPr="00593E6E">
        <w:rPr>
          <w:iCs/>
          <w:lang w:val="es-ES_tradnl"/>
        </w:rPr>
        <w:t>Racial</w:t>
      </w:r>
      <w:r w:rsidRPr="00593E6E">
        <w:rPr>
          <w:lang w:val="es-ES_tradnl"/>
        </w:rPr>
        <w:t> </w:t>
      </w:r>
      <w:r w:rsidRPr="00593E6E">
        <w:t>y el procedimiento de comunicaciones</w:t>
      </w:r>
      <w:r>
        <w:t xml:space="preserve"> de los procedimientos especiales</w:t>
      </w:r>
      <w:r w:rsidRPr="00593E6E">
        <w:t xml:space="preserve">. </w:t>
      </w:r>
    </w:p>
  </w:footnote>
  <w:footnote w:id="88">
    <w:p w:rsidR="004419F1" w:rsidRPr="00E9577E" w:rsidRDefault="004419F1" w:rsidP="0039161A">
      <w:pPr>
        <w:pStyle w:val="FootnoteText"/>
        <w:tabs>
          <w:tab w:val="clear" w:pos="418"/>
          <w:tab w:val="right" w:pos="1195"/>
          <w:tab w:val="left" w:pos="1267"/>
          <w:tab w:val="left" w:pos="1742"/>
          <w:tab w:val="left" w:pos="2218"/>
          <w:tab w:val="left" w:pos="2693"/>
        </w:tabs>
        <w:ind w:left="1267" w:right="1267" w:hanging="432"/>
        <w:rPr>
          <w:lang w:val="en-US"/>
        </w:rPr>
      </w:pPr>
      <w:r w:rsidRPr="00593E6E">
        <w:tab/>
      </w:r>
      <w:r w:rsidRPr="00D61533">
        <w:rPr>
          <w:rStyle w:val="FootnoteReference"/>
        </w:rPr>
        <w:footnoteRef/>
      </w:r>
      <w:r w:rsidRPr="00E9577E">
        <w:rPr>
          <w:lang w:val="en-US"/>
        </w:rPr>
        <w:tab/>
        <w:t xml:space="preserve">Véase </w:t>
      </w:r>
      <w:r w:rsidRPr="00E9577E">
        <w:rPr>
          <w:i/>
          <w:lang w:val="en-US"/>
        </w:rPr>
        <w:t>A National Human Rights Action Plan – Uganda follows through on its commitment to the Universal Periodic Review</w:t>
      </w:r>
      <w:r w:rsidRPr="00E9577E">
        <w:rPr>
          <w:lang w:val="en-US"/>
        </w:rPr>
        <w:t>; puede consultarse en</w:t>
      </w:r>
      <w:r w:rsidR="00CD2CC2">
        <w:rPr>
          <w:lang w:val="en-US"/>
        </w:rPr>
        <w:t xml:space="preserve"> </w:t>
      </w:r>
      <w:hyperlink r:id="rId4" w:history="1">
        <w:r w:rsidRPr="00E9577E">
          <w:rPr>
            <w:lang w:val="en-US"/>
          </w:rPr>
          <w:t>http://www.ohchr.org/EN/NewsEvents/</w:t>
        </w:r>
        <w:r w:rsidR="00CD2CC2">
          <w:rPr>
            <w:lang w:val="en-US"/>
          </w:rPr>
          <w:br/>
        </w:r>
        <w:r w:rsidRPr="00E9577E">
          <w:rPr>
            <w:lang w:val="en-US"/>
          </w:rPr>
          <w:t>Pages/UgandaNationalHumanRightsActionPlan.aspx</w:t>
        </w:r>
      </w:hyperlink>
      <w:r w:rsidRPr="00E9577E">
        <w:rPr>
          <w:lang w:val="en-US"/>
        </w:rPr>
        <w:t>.</w:t>
      </w:r>
    </w:p>
  </w:footnote>
  <w:footnote w:id="89">
    <w:p w:rsidR="004419F1" w:rsidRPr="00C35ED6" w:rsidRDefault="004419F1" w:rsidP="0039161A">
      <w:pPr>
        <w:pStyle w:val="FootnoteText"/>
        <w:tabs>
          <w:tab w:val="clear" w:pos="418"/>
          <w:tab w:val="right" w:pos="1195"/>
          <w:tab w:val="left" w:pos="1267"/>
          <w:tab w:val="left" w:pos="1742"/>
          <w:tab w:val="left" w:pos="2218"/>
          <w:tab w:val="left" w:pos="2693"/>
        </w:tabs>
        <w:ind w:left="1267" w:right="1267" w:hanging="432"/>
      </w:pPr>
      <w:r w:rsidRPr="00E9577E">
        <w:rPr>
          <w:lang w:val="en-US"/>
        </w:rPr>
        <w:tab/>
      </w:r>
      <w:r w:rsidRPr="00D61533">
        <w:rPr>
          <w:rStyle w:val="FootnoteReference"/>
        </w:rPr>
        <w:footnoteRef/>
      </w:r>
      <w:r w:rsidRPr="00C35ED6">
        <w:tab/>
        <w:t xml:space="preserve">Uno de los propósitos de las Naciones Unidas es </w:t>
      </w:r>
      <w:r w:rsidR="00CD2CC2">
        <w:t>“</w:t>
      </w:r>
      <w:r>
        <w:t>m</w:t>
      </w:r>
      <w:r w:rsidRPr="00C35ED6">
        <w:rPr>
          <w:lang w:val="es-ES_tradnl"/>
        </w:rPr>
        <w:t>antener la paz y la seguridad internacionales, y con tal fin: tomar medidas colectivas eficaces para prevenir y eliminar amenazas a la paz</w:t>
      </w:r>
      <w:r w:rsidR="00CD2CC2">
        <w:t>”</w:t>
      </w:r>
      <w:r w:rsidRPr="00C35ED6">
        <w:t xml:space="preserve"> (</w:t>
      </w:r>
      <w:r>
        <w:t>Artículo 1 de la Carta de las Naciones Unidas). La función que desempeñan la Corte Penal Internacional y órganos similares como complemento y reforzamiento de los procesos nacionales de justicia penal también puede servir para prevenir la impunidad y futuras violaciones de los derechos humanos</w:t>
      </w:r>
      <w:r w:rsidRPr="00C35ED6">
        <w:t>.</w:t>
      </w:r>
    </w:p>
  </w:footnote>
  <w:footnote w:id="90">
    <w:p w:rsidR="004419F1" w:rsidRPr="00F513CF" w:rsidRDefault="004419F1" w:rsidP="0039161A">
      <w:pPr>
        <w:pStyle w:val="FootnoteText"/>
        <w:tabs>
          <w:tab w:val="clear" w:pos="418"/>
          <w:tab w:val="right" w:pos="1195"/>
          <w:tab w:val="left" w:pos="1267"/>
          <w:tab w:val="left" w:pos="1742"/>
          <w:tab w:val="left" w:pos="2218"/>
          <w:tab w:val="left" w:pos="2693"/>
        </w:tabs>
        <w:ind w:left="1267" w:right="1267" w:hanging="432"/>
      </w:pPr>
      <w:r w:rsidRPr="00C35ED6">
        <w:rPr>
          <w:szCs w:val="18"/>
        </w:rPr>
        <w:tab/>
      </w:r>
      <w:r w:rsidRPr="00D61533">
        <w:rPr>
          <w:rStyle w:val="FootnoteReference"/>
        </w:rPr>
        <w:footnoteRef/>
      </w:r>
      <w:r w:rsidRPr="00F513CF">
        <w:tab/>
      </w:r>
      <w:r>
        <w:t>Respuesta de Italia</w:t>
      </w:r>
      <w:r w:rsidRPr="00F513CF">
        <w:t>.</w:t>
      </w:r>
    </w:p>
  </w:footnote>
  <w:footnote w:id="91">
    <w:p w:rsidR="004419F1" w:rsidRPr="006823BE" w:rsidRDefault="004419F1" w:rsidP="0039161A">
      <w:pPr>
        <w:pStyle w:val="FootnoteText"/>
        <w:tabs>
          <w:tab w:val="clear" w:pos="418"/>
          <w:tab w:val="right" w:pos="1195"/>
          <w:tab w:val="left" w:pos="1267"/>
          <w:tab w:val="left" w:pos="1742"/>
          <w:tab w:val="left" w:pos="2218"/>
          <w:tab w:val="left" w:pos="2693"/>
        </w:tabs>
        <w:ind w:left="1267" w:right="1267" w:hanging="432"/>
      </w:pPr>
      <w:r>
        <w:tab/>
      </w:r>
      <w:r w:rsidRPr="00D61533">
        <w:rPr>
          <w:rStyle w:val="FootnoteReference"/>
        </w:rPr>
        <w:footnoteRef/>
      </w:r>
      <w:r w:rsidRPr="006823BE">
        <w:tab/>
        <w:t xml:space="preserve">Por ejemplo, el informe del ACNUDH sobre </w:t>
      </w:r>
      <w:r>
        <w:rPr>
          <w:lang w:val="es-ES_tradnl"/>
        </w:rPr>
        <w:t>p</w:t>
      </w:r>
      <w:r w:rsidRPr="006823BE">
        <w:rPr>
          <w:lang w:val="es-ES_tradnl"/>
        </w:rPr>
        <w:t>osibilidades de asistencia técnica y fomento de la capacidad para la integración de los derechos humanos en las políticas nacionales</w:t>
      </w:r>
      <w:r>
        <w:rPr>
          <w:lang w:val="es-ES_tradnl"/>
        </w:rPr>
        <w:t>, basado en las mejores prácticas de todo el mundo en ese ámbito</w:t>
      </w:r>
      <w:r w:rsidRPr="006823BE">
        <w:rPr>
          <w:lang w:val="es-ES_tradnl"/>
        </w:rPr>
        <w:t xml:space="preserve"> </w:t>
      </w:r>
      <w:r w:rsidRPr="006823BE">
        <w:t>(A/HRC/27/41).</w:t>
      </w:r>
    </w:p>
  </w:footnote>
  <w:footnote w:id="92">
    <w:p w:rsidR="004419F1" w:rsidRPr="007D1458" w:rsidRDefault="004419F1" w:rsidP="0039161A">
      <w:pPr>
        <w:pStyle w:val="FootnoteText"/>
        <w:tabs>
          <w:tab w:val="clear" w:pos="418"/>
          <w:tab w:val="right" w:pos="1195"/>
          <w:tab w:val="left" w:pos="1267"/>
          <w:tab w:val="left" w:pos="1742"/>
          <w:tab w:val="left" w:pos="2218"/>
          <w:tab w:val="left" w:pos="2693"/>
        </w:tabs>
        <w:ind w:left="1267" w:right="1267" w:hanging="432"/>
      </w:pPr>
      <w:r w:rsidRPr="006823BE">
        <w:tab/>
      </w:r>
      <w:r w:rsidRPr="00D61533">
        <w:rPr>
          <w:rStyle w:val="FootnoteReference"/>
        </w:rPr>
        <w:footnoteRef/>
      </w:r>
      <w:r w:rsidRPr="007D1458">
        <w:tab/>
        <w:t xml:space="preserve">Puede consultarse en </w:t>
      </w:r>
      <w:hyperlink r:id="rId5" w:history="1">
        <w:r w:rsidRPr="007D1458">
          <w:rPr>
            <w:rStyle w:val="Hyperlink"/>
          </w:rPr>
          <w:t>http://www.un.org/sg/rightsupfront/</w:t>
        </w:r>
      </w:hyperlink>
      <w:r w:rsidRPr="007D1458">
        <w:t>.</w:t>
      </w:r>
    </w:p>
  </w:footnote>
  <w:footnote w:id="93">
    <w:p w:rsidR="004419F1" w:rsidRPr="000069F4" w:rsidRDefault="004419F1" w:rsidP="0039161A">
      <w:pPr>
        <w:pStyle w:val="FootnoteText"/>
        <w:tabs>
          <w:tab w:val="clear" w:pos="418"/>
          <w:tab w:val="right" w:pos="1195"/>
          <w:tab w:val="left" w:pos="1267"/>
          <w:tab w:val="left" w:pos="1742"/>
          <w:tab w:val="left" w:pos="2218"/>
          <w:tab w:val="left" w:pos="2693"/>
        </w:tabs>
        <w:ind w:left="1267" w:right="1267" w:hanging="432"/>
      </w:pPr>
      <w:r w:rsidRPr="007D1458">
        <w:tab/>
      </w:r>
      <w:r w:rsidRPr="00D61533">
        <w:rPr>
          <w:rStyle w:val="FootnoteReference"/>
        </w:rPr>
        <w:footnoteRef/>
      </w:r>
      <w:r w:rsidRPr="001A7CF0">
        <w:tab/>
        <w:t xml:space="preserve">La iniciativa </w:t>
      </w:r>
      <w:r w:rsidRPr="001A7CF0">
        <w:rPr>
          <w:bCs/>
        </w:rPr>
        <w:t>Los Derechos Humanos Primero está comenzando a producir cambios en el modo en que</w:t>
      </w:r>
      <w:r>
        <w:rPr>
          <w:bCs/>
        </w:rPr>
        <w:t xml:space="preserve"> las Naciones Unidas abordan internamente situaciones que entrañan violaciones. </w:t>
      </w:r>
      <w:r w:rsidRPr="0090628C">
        <w:rPr>
          <w:bCs/>
        </w:rPr>
        <w:t>Por ejemplo, constituyó el marco conceptual y el respaldo institucional para la decisión adoptada por la jefatura de la</w:t>
      </w:r>
      <w:r w:rsidRPr="0090628C">
        <w:rPr>
          <w:rFonts w:ascii="Helvetica" w:eastAsia="Calibri" w:hAnsi="Helvetica" w:cs="Helvetica"/>
          <w:color w:val="333333"/>
          <w:szCs w:val="18"/>
          <w:shd w:val="clear" w:color="auto" w:fill="F5F5F5"/>
          <w:lang w:val="es-ES_tradnl"/>
        </w:rPr>
        <w:t xml:space="preserve"> </w:t>
      </w:r>
      <w:r w:rsidRPr="0090628C">
        <w:rPr>
          <w:bCs/>
          <w:lang w:val="es-ES_tradnl"/>
        </w:rPr>
        <w:t>Misión de las Naciones Unidas en Sudán del Sur </w:t>
      </w:r>
      <w:r>
        <w:rPr>
          <w:bCs/>
          <w:lang w:val="es-ES_tradnl"/>
        </w:rPr>
        <w:t xml:space="preserve">de abrir los portones de los recintos de las Naciones Unidas para proteger a los civiles que buscaban refugio. </w:t>
      </w:r>
      <w:r w:rsidRPr="0090628C">
        <w:rPr>
          <w:bCs/>
          <w:lang w:val="es-ES_tradnl"/>
        </w:rPr>
        <w:t>Durante la crisis en la República Centroafricana, en 2013-2014, el enfoque de la iniciativa Los Derechos Humanos Primero</w:t>
      </w:r>
      <w:r>
        <w:rPr>
          <w:bCs/>
          <w:lang w:val="es-ES_tradnl"/>
        </w:rPr>
        <w:t xml:space="preserve"> dio lugar a un nuevo sentido de la responsabilidad entre el personal directivo superior de las Naciones Unidas acerca de la necesidad de abordar la crisis desde la perspectiva de la protección de los derechos humanos</w:t>
      </w:r>
      <w:r w:rsidRPr="000069F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67532" w:rsidTr="00C67532">
      <w:trPr>
        <w:trHeight w:hRule="exact" w:val="864"/>
        <w:jc w:val="center"/>
      </w:trPr>
      <w:tc>
        <w:tcPr>
          <w:tcW w:w="4882" w:type="dxa"/>
          <w:shd w:val="clear" w:color="auto" w:fill="auto"/>
          <w:vAlign w:val="bottom"/>
        </w:tcPr>
        <w:p w:rsidR="00C67532" w:rsidRPr="00C67532" w:rsidRDefault="00C67532" w:rsidP="00C67532">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341D4">
            <w:rPr>
              <w:b/>
              <w:color w:val="000000"/>
            </w:rPr>
            <w:t>A/HRC/30/20</w:t>
          </w:r>
          <w:r>
            <w:rPr>
              <w:b/>
              <w:color w:val="000000"/>
            </w:rPr>
            <w:fldChar w:fldCharType="end"/>
          </w:r>
        </w:p>
      </w:tc>
      <w:tc>
        <w:tcPr>
          <w:tcW w:w="5127" w:type="dxa"/>
          <w:shd w:val="clear" w:color="auto" w:fill="auto"/>
          <w:vAlign w:val="bottom"/>
        </w:tcPr>
        <w:p w:rsidR="00C67532" w:rsidRDefault="00C67532" w:rsidP="00C67532">
          <w:pPr>
            <w:pStyle w:val="Header"/>
          </w:pPr>
        </w:p>
      </w:tc>
    </w:tr>
  </w:tbl>
  <w:p w:rsidR="00C67532" w:rsidRPr="00C67532" w:rsidRDefault="00C67532" w:rsidP="00C67532">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C67532" w:rsidTr="00C67532">
      <w:trPr>
        <w:trHeight w:hRule="exact" w:val="864"/>
        <w:jc w:val="center"/>
      </w:trPr>
      <w:tc>
        <w:tcPr>
          <w:tcW w:w="4882" w:type="dxa"/>
          <w:shd w:val="clear" w:color="auto" w:fill="auto"/>
          <w:vAlign w:val="bottom"/>
        </w:tcPr>
        <w:p w:rsidR="00C67532" w:rsidRDefault="00C67532" w:rsidP="00C67532">
          <w:pPr>
            <w:pStyle w:val="Header"/>
          </w:pPr>
        </w:p>
      </w:tc>
      <w:tc>
        <w:tcPr>
          <w:tcW w:w="5127" w:type="dxa"/>
          <w:shd w:val="clear" w:color="auto" w:fill="auto"/>
          <w:vAlign w:val="bottom"/>
        </w:tcPr>
        <w:p w:rsidR="00C67532" w:rsidRPr="00C67532" w:rsidRDefault="00C67532" w:rsidP="00C67532">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341D4">
            <w:rPr>
              <w:b/>
              <w:color w:val="000000"/>
            </w:rPr>
            <w:t>A/HRC/30/20</w:t>
          </w:r>
          <w:r>
            <w:rPr>
              <w:b/>
              <w:color w:val="000000"/>
            </w:rPr>
            <w:fldChar w:fldCharType="end"/>
          </w:r>
        </w:p>
      </w:tc>
    </w:tr>
  </w:tbl>
  <w:p w:rsidR="00C67532" w:rsidRPr="00C67532" w:rsidRDefault="00C67532" w:rsidP="00C67532">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C67532" w:rsidTr="00C67532">
      <w:trPr>
        <w:trHeight w:hRule="exact" w:val="864"/>
      </w:trPr>
      <w:tc>
        <w:tcPr>
          <w:tcW w:w="1267" w:type="dxa"/>
          <w:tcBorders>
            <w:bottom w:val="single" w:sz="4" w:space="0" w:color="auto"/>
          </w:tcBorders>
          <w:shd w:val="clear" w:color="auto" w:fill="auto"/>
          <w:vAlign w:val="bottom"/>
        </w:tcPr>
        <w:p w:rsidR="00C67532" w:rsidRDefault="00C67532" w:rsidP="00C67532">
          <w:pPr>
            <w:pStyle w:val="Header"/>
            <w:spacing w:after="120"/>
          </w:pPr>
        </w:p>
      </w:tc>
      <w:tc>
        <w:tcPr>
          <w:tcW w:w="2059" w:type="dxa"/>
          <w:tcBorders>
            <w:bottom w:val="single" w:sz="4" w:space="0" w:color="auto"/>
          </w:tcBorders>
          <w:shd w:val="clear" w:color="auto" w:fill="auto"/>
          <w:vAlign w:val="bottom"/>
        </w:tcPr>
        <w:p w:rsidR="00C67532" w:rsidRPr="00C67532" w:rsidRDefault="00C67532" w:rsidP="00C67532">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C67532" w:rsidRDefault="00C67532" w:rsidP="00C67532">
          <w:pPr>
            <w:pStyle w:val="Header"/>
            <w:spacing w:after="120"/>
          </w:pPr>
        </w:p>
      </w:tc>
      <w:tc>
        <w:tcPr>
          <w:tcW w:w="6653" w:type="dxa"/>
          <w:gridSpan w:val="4"/>
          <w:tcBorders>
            <w:bottom w:val="single" w:sz="4" w:space="0" w:color="auto"/>
          </w:tcBorders>
          <w:shd w:val="clear" w:color="auto" w:fill="auto"/>
          <w:vAlign w:val="bottom"/>
        </w:tcPr>
        <w:p w:rsidR="00C67532" w:rsidRPr="00C67532" w:rsidRDefault="00C67532" w:rsidP="00C67532">
          <w:pPr>
            <w:spacing w:after="80" w:line="240" w:lineRule="auto"/>
            <w:jc w:val="right"/>
            <w:rPr>
              <w:position w:val="-4"/>
            </w:rPr>
          </w:pPr>
          <w:r>
            <w:rPr>
              <w:position w:val="-4"/>
              <w:sz w:val="40"/>
            </w:rPr>
            <w:t>A</w:t>
          </w:r>
          <w:r>
            <w:rPr>
              <w:position w:val="-4"/>
            </w:rPr>
            <w:t>/HRC/30/20</w:t>
          </w:r>
        </w:p>
      </w:tc>
    </w:tr>
    <w:tr w:rsidR="00C67532" w:rsidRPr="00C67532" w:rsidTr="00C67532">
      <w:trPr>
        <w:gridAfter w:val="1"/>
        <w:wAfter w:w="18" w:type="dxa"/>
        <w:trHeight w:hRule="exact" w:val="2880"/>
      </w:trPr>
      <w:tc>
        <w:tcPr>
          <w:tcW w:w="1267" w:type="dxa"/>
          <w:tcBorders>
            <w:top w:val="single" w:sz="4" w:space="0" w:color="auto"/>
            <w:bottom w:val="single" w:sz="12" w:space="0" w:color="auto"/>
          </w:tcBorders>
          <w:shd w:val="clear" w:color="auto" w:fill="auto"/>
        </w:tcPr>
        <w:p w:rsidR="00C67532" w:rsidRPr="00C67532" w:rsidRDefault="00C67532" w:rsidP="00C67532">
          <w:pPr>
            <w:pStyle w:val="Header"/>
            <w:spacing w:before="120"/>
            <w:jc w:val="center"/>
          </w:pPr>
          <w:r>
            <w:t xml:space="preserve"> </w:t>
          </w:r>
          <w:r>
            <w:drawing>
              <wp:inline distT="0" distB="0" distL="0" distR="0" wp14:anchorId="11007419" wp14:editId="597290C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67532" w:rsidRPr="00C67532" w:rsidRDefault="00C67532" w:rsidP="00C67532">
          <w:pPr>
            <w:pStyle w:val="XLarge"/>
            <w:spacing w:before="109"/>
          </w:pPr>
          <w:r>
            <w:t>Asamblea General</w:t>
          </w:r>
        </w:p>
      </w:tc>
      <w:tc>
        <w:tcPr>
          <w:tcW w:w="245" w:type="dxa"/>
          <w:tcBorders>
            <w:top w:val="single" w:sz="4" w:space="0" w:color="auto"/>
            <w:bottom w:val="single" w:sz="12" w:space="0" w:color="auto"/>
          </w:tcBorders>
          <w:shd w:val="clear" w:color="auto" w:fill="auto"/>
        </w:tcPr>
        <w:p w:rsidR="00C67532" w:rsidRPr="00C67532" w:rsidRDefault="00C67532" w:rsidP="00C67532">
          <w:pPr>
            <w:pStyle w:val="Header"/>
            <w:spacing w:before="109"/>
          </w:pPr>
        </w:p>
      </w:tc>
      <w:tc>
        <w:tcPr>
          <w:tcW w:w="3280" w:type="dxa"/>
          <w:tcBorders>
            <w:top w:val="single" w:sz="4" w:space="0" w:color="auto"/>
            <w:bottom w:val="single" w:sz="12" w:space="0" w:color="auto"/>
          </w:tcBorders>
          <w:shd w:val="clear" w:color="auto" w:fill="auto"/>
        </w:tcPr>
        <w:p w:rsidR="00C67532" w:rsidRDefault="00C67532" w:rsidP="00C67532">
          <w:pPr>
            <w:pStyle w:val="Distribution"/>
            <w:spacing w:before="240"/>
          </w:pPr>
          <w:r>
            <w:t>Distr. general</w:t>
          </w:r>
        </w:p>
        <w:p w:rsidR="00C67532" w:rsidRDefault="00C67532" w:rsidP="00C67532">
          <w:pPr>
            <w:pStyle w:val="Publication"/>
          </w:pPr>
          <w:r>
            <w:t>16 de julio de 2015</w:t>
          </w:r>
        </w:p>
        <w:p w:rsidR="00C67532" w:rsidRDefault="00C67532" w:rsidP="00C67532">
          <w:r>
            <w:t>Español</w:t>
          </w:r>
        </w:p>
        <w:p w:rsidR="00C67532" w:rsidRDefault="00C67532" w:rsidP="00C67532">
          <w:pPr>
            <w:pStyle w:val="Original"/>
          </w:pPr>
          <w:r>
            <w:t>Original: inglés</w:t>
          </w:r>
        </w:p>
        <w:p w:rsidR="00C67532" w:rsidRPr="00C67532" w:rsidRDefault="00C67532" w:rsidP="00C67532"/>
      </w:tc>
    </w:tr>
  </w:tbl>
  <w:p w:rsidR="00C67532" w:rsidRPr="00C67532" w:rsidRDefault="00C67532" w:rsidP="00C6753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B1A"/>
    <w:multiLevelType w:val="singleLevel"/>
    <w:tmpl w:val="A7A4D3A2"/>
    <w:lvl w:ilvl="0">
      <w:start w:val="1"/>
      <w:numFmt w:val="decimal"/>
      <w:lvlText w:val="%1."/>
      <w:lvlJc w:val="left"/>
      <w:pPr>
        <w:ind w:left="720" w:hanging="360"/>
      </w:pPr>
      <w:rPr>
        <w:b w:val="0"/>
      </w:r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8261047"/>
    <w:multiLevelType w:val="multilevel"/>
    <w:tmpl w:val="AAF4E6E2"/>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nsid w:val="304B6080"/>
    <w:multiLevelType w:val="multilevel"/>
    <w:tmpl w:val="F1D2A820"/>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6">
    <w:nsid w:val="32CC6EDF"/>
    <w:multiLevelType w:val="multilevel"/>
    <w:tmpl w:val="608C6030"/>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7">
    <w:nsid w:val="34C81FFA"/>
    <w:multiLevelType w:val="singleLevel"/>
    <w:tmpl w:val="0409000F"/>
    <w:lvl w:ilvl="0">
      <w:start w:val="1"/>
      <w:numFmt w:val="decimal"/>
      <w:lvlText w:val="%1."/>
      <w:lvlJc w:val="left"/>
      <w:pPr>
        <w:ind w:left="720" w:hanging="360"/>
      </w:pPr>
    </w:lvl>
  </w:abstractNum>
  <w:abstractNum w:abstractNumId="8">
    <w:nsid w:val="369A7B8E"/>
    <w:multiLevelType w:val="multilevel"/>
    <w:tmpl w:val="59B26D1C"/>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9">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3"/>
  </w:num>
  <w:num w:numId="3">
    <w:abstractNumId w:val="9"/>
  </w:num>
  <w:num w:numId="4">
    <w:abstractNumId w:val="10"/>
  </w:num>
  <w:num w:numId="5">
    <w:abstractNumId w:val="4"/>
  </w:num>
  <w:num w:numId="6">
    <w:abstractNumId w:val="5"/>
  </w:num>
  <w:num w:numId="7">
    <w:abstractNumId w:val="0"/>
  </w:num>
  <w:num w:numId="8">
    <w:abstractNumId w:val="7"/>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082*"/>
    <w:docVar w:name="CreationDt" w:val="8/11/2015 5:25: PM"/>
    <w:docVar w:name="DocCategory" w:val="Doc"/>
    <w:docVar w:name="DocType" w:val="Final"/>
    <w:docVar w:name="DutyStation" w:val="Geneva"/>
    <w:docVar w:name="FooterJN" w:val="GE.15-12082"/>
    <w:docVar w:name="jobn" w:val="GE.15-12082 (S)"/>
    <w:docVar w:name="jobnDT" w:val="GE.15-12082 (S)   110815"/>
    <w:docVar w:name="jobnDTDT" w:val="GE.15-12082 (S)   110815   110815"/>
    <w:docVar w:name="JobNo" w:val="GE.1512082S"/>
    <w:docVar w:name="JobNo2" w:val="15159305:25: PM"/>
    <w:docVar w:name="LocalDrive" w:val="0"/>
    <w:docVar w:name="OandT" w:val="CB"/>
    <w:docVar w:name="PaperSize" w:val="A4"/>
    <w:docVar w:name="sss1" w:val="A/HRC/30/20"/>
    <w:docVar w:name="sss2" w:val="-"/>
    <w:docVar w:name="Symbol1" w:val="A/HRC/30/20"/>
    <w:docVar w:name="Symbol2" w:val="-"/>
  </w:docVars>
  <w:rsids>
    <w:rsidRoot w:val="00C920EA"/>
    <w:rsid w:val="0000104C"/>
    <w:rsid w:val="00001CC4"/>
    <w:rsid w:val="000025A2"/>
    <w:rsid w:val="00002B98"/>
    <w:rsid w:val="0000430F"/>
    <w:rsid w:val="00005995"/>
    <w:rsid w:val="0001023A"/>
    <w:rsid w:val="00011ED9"/>
    <w:rsid w:val="000145F1"/>
    <w:rsid w:val="0001710A"/>
    <w:rsid w:val="0002313C"/>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22D"/>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41E9E"/>
    <w:rsid w:val="00242088"/>
    <w:rsid w:val="0024283D"/>
    <w:rsid w:val="00244CF4"/>
    <w:rsid w:val="00247894"/>
    <w:rsid w:val="00251995"/>
    <w:rsid w:val="0025615B"/>
    <w:rsid w:val="00260DF5"/>
    <w:rsid w:val="00261CCA"/>
    <w:rsid w:val="002639B8"/>
    <w:rsid w:val="002652F7"/>
    <w:rsid w:val="00266F6B"/>
    <w:rsid w:val="00272964"/>
    <w:rsid w:val="002744AC"/>
    <w:rsid w:val="002841B4"/>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47DA"/>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161A"/>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12CC4"/>
    <w:rsid w:val="004211F7"/>
    <w:rsid w:val="0042642D"/>
    <w:rsid w:val="00431501"/>
    <w:rsid w:val="004318E8"/>
    <w:rsid w:val="00433FB5"/>
    <w:rsid w:val="00434234"/>
    <w:rsid w:val="004374B8"/>
    <w:rsid w:val="00437612"/>
    <w:rsid w:val="004419F1"/>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0396"/>
    <w:rsid w:val="00511D5E"/>
    <w:rsid w:val="005130D6"/>
    <w:rsid w:val="00523F4C"/>
    <w:rsid w:val="00524C14"/>
    <w:rsid w:val="00533E81"/>
    <w:rsid w:val="005341D4"/>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75C51"/>
    <w:rsid w:val="0058043D"/>
    <w:rsid w:val="00582B10"/>
    <w:rsid w:val="00585931"/>
    <w:rsid w:val="00587E23"/>
    <w:rsid w:val="005906B3"/>
    <w:rsid w:val="00595DE1"/>
    <w:rsid w:val="00596535"/>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6C1C"/>
    <w:rsid w:val="0072046A"/>
    <w:rsid w:val="00723B89"/>
    <w:rsid w:val="007253D7"/>
    <w:rsid w:val="00727C56"/>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0347E"/>
    <w:rsid w:val="00813690"/>
    <w:rsid w:val="00813C40"/>
    <w:rsid w:val="00815287"/>
    <w:rsid w:val="00815EA8"/>
    <w:rsid w:val="00817D11"/>
    <w:rsid w:val="00821E34"/>
    <w:rsid w:val="00823340"/>
    <w:rsid w:val="00823BE3"/>
    <w:rsid w:val="00824B02"/>
    <w:rsid w:val="00827734"/>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15B8"/>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37F0"/>
    <w:rsid w:val="00AD5D6A"/>
    <w:rsid w:val="00AD778A"/>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65627"/>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3D5A"/>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67532"/>
    <w:rsid w:val="00C71D8C"/>
    <w:rsid w:val="00C72875"/>
    <w:rsid w:val="00C72AD9"/>
    <w:rsid w:val="00C7369D"/>
    <w:rsid w:val="00C8131F"/>
    <w:rsid w:val="00C81780"/>
    <w:rsid w:val="00C833E6"/>
    <w:rsid w:val="00C847F0"/>
    <w:rsid w:val="00C859E1"/>
    <w:rsid w:val="00C91CE9"/>
    <w:rsid w:val="00C920EA"/>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2CC2"/>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6FEB"/>
    <w:rsid w:val="00D40561"/>
    <w:rsid w:val="00D42CA0"/>
    <w:rsid w:val="00D5080B"/>
    <w:rsid w:val="00D535F0"/>
    <w:rsid w:val="00D60200"/>
    <w:rsid w:val="00D61533"/>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21A5"/>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119D6"/>
    <w:rsid w:val="00E1561C"/>
    <w:rsid w:val="00E22845"/>
    <w:rsid w:val="00E241A1"/>
    <w:rsid w:val="00E266F2"/>
    <w:rsid w:val="00E26954"/>
    <w:rsid w:val="00E274F9"/>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5323"/>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5E96"/>
    <w:rsid w:val="00F16127"/>
    <w:rsid w:val="00F20CFF"/>
    <w:rsid w:val="00F21DF3"/>
    <w:rsid w:val="00F249E4"/>
    <w:rsid w:val="00F254E2"/>
    <w:rsid w:val="00F274AF"/>
    <w:rsid w:val="00F3021B"/>
    <w:rsid w:val="00F3034B"/>
    <w:rsid w:val="00F35068"/>
    <w:rsid w:val="00F35B3D"/>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851"/>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9015B8"/>
    <w:rPr>
      <w:color w:val="943634" w:themeColor="accent2" w:themeShade="BF"/>
      <w:spacing w:val="5"/>
      <w:w w:val="103"/>
      <w:position w:val="0"/>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C67532"/>
    <w:pPr>
      <w:spacing w:line="240" w:lineRule="auto"/>
    </w:pPr>
    <w:rPr>
      <w:szCs w:val="20"/>
    </w:rPr>
  </w:style>
  <w:style w:type="character" w:customStyle="1" w:styleId="CommentTextChar">
    <w:name w:val="Comment Text Char"/>
    <w:basedOn w:val="DefaultParagraphFont"/>
    <w:link w:val="CommentText"/>
    <w:rsid w:val="00C67532"/>
    <w:rPr>
      <w:rFonts w:ascii="Times New Roman" w:hAnsi="Times New Roman"/>
      <w:spacing w:val="4"/>
      <w:w w:val="103"/>
      <w:lang w:val="es-ES"/>
    </w:rPr>
  </w:style>
  <w:style w:type="paragraph" w:styleId="CommentSubject">
    <w:name w:val="annotation subject"/>
    <w:basedOn w:val="CommentText"/>
    <w:next w:val="CommentText"/>
    <w:link w:val="CommentSubjectChar"/>
    <w:rsid w:val="00C67532"/>
    <w:rPr>
      <w:b/>
      <w:bCs/>
    </w:rPr>
  </w:style>
  <w:style w:type="character" w:customStyle="1" w:styleId="CommentSubjectChar">
    <w:name w:val="Comment Subject Char"/>
    <w:basedOn w:val="CommentTextChar"/>
    <w:link w:val="CommentSubject"/>
    <w:rsid w:val="00C67532"/>
    <w:rPr>
      <w:rFonts w:ascii="Times New Roman" w:hAnsi="Times New Roman"/>
      <w:b/>
      <w:bCs/>
      <w:spacing w:val="4"/>
      <w:w w:val="103"/>
      <w:lang w:val="es-ES"/>
    </w:rPr>
  </w:style>
  <w:style w:type="character" w:styleId="Hyperlink">
    <w:name w:val="Hyperlink"/>
    <w:uiPriority w:val="99"/>
    <w:rsid w:val="004419F1"/>
    <w:rPr>
      <w:color w:val="auto"/>
      <w:u w:val="none"/>
    </w:rPr>
  </w:style>
  <w:style w:type="paragraph" w:styleId="ListParagraph">
    <w:name w:val="List Paragraph"/>
    <w:basedOn w:val="Normal"/>
    <w:uiPriority w:val="34"/>
    <w:rsid w:val="0039161A"/>
    <w:pPr>
      <w:ind w:left="720"/>
      <w:contextualSpacing/>
    </w:pPr>
  </w:style>
  <w:style w:type="paragraph" w:styleId="Revision">
    <w:name w:val="Revision"/>
    <w:hidden/>
    <w:uiPriority w:val="99"/>
    <w:semiHidden/>
    <w:rsid w:val="00412CC4"/>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9015B8"/>
    <w:rPr>
      <w:color w:val="943634" w:themeColor="accent2" w:themeShade="BF"/>
      <w:spacing w:val="5"/>
      <w:w w:val="103"/>
      <w:position w:val="0"/>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C67532"/>
    <w:pPr>
      <w:spacing w:line="240" w:lineRule="auto"/>
    </w:pPr>
    <w:rPr>
      <w:szCs w:val="20"/>
    </w:rPr>
  </w:style>
  <w:style w:type="character" w:customStyle="1" w:styleId="CommentTextChar">
    <w:name w:val="Comment Text Char"/>
    <w:basedOn w:val="DefaultParagraphFont"/>
    <w:link w:val="CommentText"/>
    <w:rsid w:val="00C67532"/>
    <w:rPr>
      <w:rFonts w:ascii="Times New Roman" w:hAnsi="Times New Roman"/>
      <w:spacing w:val="4"/>
      <w:w w:val="103"/>
      <w:lang w:val="es-ES"/>
    </w:rPr>
  </w:style>
  <w:style w:type="paragraph" w:styleId="CommentSubject">
    <w:name w:val="annotation subject"/>
    <w:basedOn w:val="CommentText"/>
    <w:next w:val="CommentText"/>
    <w:link w:val="CommentSubjectChar"/>
    <w:rsid w:val="00C67532"/>
    <w:rPr>
      <w:b/>
      <w:bCs/>
    </w:rPr>
  </w:style>
  <w:style w:type="character" w:customStyle="1" w:styleId="CommentSubjectChar">
    <w:name w:val="Comment Subject Char"/>
    <w:basedOn w:val="CommentTextChar"/>
    <w:link w:val="CommentSubject"/>
    <w:rsid w:val="00C67532"/>
    <w:rPr>
      <w:rFonts w:ascii="Times New Roman" w:hAnsi="Times New Roman"/>
      <w:b/>
      <w:bCs/>
      <w:spacing w:val="4"/>
      <w:w w:val="103"/>
      <w:lang w:val="es-ES"/>
    </w:rPr>
  </w:style>
  <w:style w:type="character" w:styleId="Hyperlink">
    <w:name w:val="Hyperlink"/>
    <w:uiPriority w:val="99"/>
    <w:rsid w:val="004419F1"/>
    <w:rPr>
      <w:color w:val="auto"/>
      <w:u w:val="none"/>
    </w:rPr>
  </w:style>
  <w:style w:type="paragraph" w:styleId="ListParagraph">
    <w:name w:val="List Paragraph"/>
    <w:basedOn w:val="Normal"/>
    <w:uiPriority w:val="34"/>
    <w:rsid w:val="0039161A"/>
    <w:pPr>
      <w:ind w:left="720"/>
      <w:contextualSpacing/>
    </w:pPr>
  </w:style>
  <w:style w:type="paragraph" w:styleId="Revision">
    <w:name w:val="Revision"/>
    <w:hidden/>
    <w:uiPriority w:val="99"/>
    <w:semiHidden/>
    <w:rsid w:val="00412CC4"/>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2.ohchr.org/english/bodies/cescr/docs/LetterCESCRtoSP16.05.12.pdf" TargetMode="External"/><Relationship Id="rId2" Type="http://schemas.openxmlformats.org/officeDocument/2006/relationships/hyperlink" Target="http://www.ohchr.org/EN/Issues/Education/Training/Pages/HREducationTrainingIndex.aspx" TargetMode="External"/><Relationship Id="rId1" Type="http://schemas.openxmlformats.org/officeDocument/2006/relationships/hyperlink" Target="http://www.ohchr.org/EN/Issues/Education/Training/Compilation/Pages/Listofcontents.aspx" TargetMode="External"/><Relationship Id="rId5" Type="http://schemas.openxmlformats.org/officeDocument/2006/relationships/hyperlink" Target="http://www.un.org/sg/rightsupfront/" TargetMode="External"/><Relationship Id="rId4" Type="http://schemas.openxmlformats.org/officeDocument/2006/relationships/hyperlink" Target="http://www.ohchr.org/EN/NewsEvents/Pages/UgandaNationalHumanRightsActionPlan.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634AC-8CCE-4912-985E-040F6C626F58}"/>
</file>

<file path=customXml/itemProps2.xml><?xml version="1.0" encoding="utf-8"?>
<ds:datastoreItem xmlns:ds="http://schemas.openxmlformats.org/officeDocument/2006/customXml" ds:itemID="{A5ECD0A4-4E56-43FD-AB91-0662C78D4969}"/>
</file>

<file path=customXml/itemProps3.xml><?xml version="1.0" encoding="utf-8"?>
<ds:datastoreItem xmlns:ds="http://schemas.openxmlformats.org/officeDocument/2006/customXml" ds:itemID="{4CFDCD41-D5FC-4902-A843-BA9B827D3A30}"/>
</file>

<file path=customXml/itemProps4.xml><?xml version="1.0" encoding="utf-8"?>
<ds:datastoreItem xmlns:ds="http://schemas.openxmlformats.org/officeDocument/2006/customXml" ds:itemID="{35B2605A-76BE-47A3-90A9-ABD66A933F32}"/>
</file>

<file path=docProps/app.xml><?xml version="1.0" encoding="utf-8"?>
<Properties xmlns="http://schemas.openxmlformats.org/officeDocument/2006/extended-properties" xmlns:vt="http://schemas.openxmlformats.org/officeDocument/2006/docPropsVTypes">
  <Template>Normal.dotm</Template>
  <TotalTime>0</TotalTime>
  <Pages>20</Pages>
  <Words>7796</Words>
  <Characters>43351</Characters>
  <Application>Microsoft Office Word</Application>
  <DocSecurity>0</DocSecurity>
  <Lines>774</Lines>
  <Paragraphs>125</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prevention of human rights violations and its practical implementation in Spanish</dc:title>
  <dc:subject/>
  <dc:creator>Temporaire</dc:creator>
  <cp:keywords/>
  <dc:description/>
  <cp:lastModifiedBy>Bragunde</cp:lastModifiedBy>
  <cp:revision>3</cp:revision>
  <cp:lastPrinted>2015-08-12T15:23:00Z</cp:lastPrinted>
  <dcterms:created xsi:type="dcterms:W3CDTF">2015-08-12T15:23:00Z</dcterms:created>
  <dcterms:modified xsi:type="dcterms:W3CDTF">2015-08-12T15:23:00Z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1512082</vt:lpwstr>
  </property>
  <property fmtid="{D5CDD505-2E9C-101B-9397-08002B2CF9AE}" pid="3" name="ODSRefJobNo">
    <vt:lpwstr>1515930</vt:lpwstr>
  </property>
  <property fmtid="{D5CDD505-2E9C-101B-9397-08002B2CF9AE}" pid="4" name="Symbol1">
    <vt:lpwstr>A/HRC/30/20</vt:lpwstr>
  </property>
  <property fmtid="{D5CDD505-2E9C-101B-9397-08002B2CF9AE}" pid="5" name="Symbol2">
    <vt:lpwstr/>
  </property>
  <property fmtid="{D5CDD505-2E9C-101B-9397-08002B2CF9AE}" pid="6" name="Translator">
    <vt:lpwstr/>
  </property>
  <property fmtid="{D5CDD505-2E9C-101B-9397-08002B2CF9AE}" pid="7" name="Operator">
    <vt:lpwstr>CB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de julio de 2015</vt:lpwstr>
  </property>
  <property fmtid="{D5CDD505-2E9C-101B-9397-08002B2CF9AE}" pid="12" name="Original">
    <vt:lpwstr>inglés</vt:lpwstr>
  </property>
  <property fmtid="{D5CDD505-2E9C-101B-9397-08002B2CF9AE}" pid="13" name="Release Date">
    <vt:lpwstr>110815</vt:lpwstr>
  </property>
  <property fmtid="{D5CDD505-2E9C-101B-9397-08002B2CF9AE}" pid="14" name="ContentTypeId">
    <vt:lpwstr>0x010100EF670F518423CB4F888C4265EEC2C475</vt:lpwstr>
  </property>
  <property fmtid="{D5CDD505-2E9C-101B-9397-08002B2CF9AE}" pid="15" name="Order">
    <vt:r8>12400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