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B10916" w14:paraId="5E0479DD" w14:textId="77777777" w:rsidTr="00E806EE">
        <w:trPr>
          <w:trHeight w:val="851"/>
        </w:trPr>
        <w:tc>
          <w:tcPr>
            <w:tcW w:w="1259" w:type="dxa"/>
            <w:tcBorders>
              <w:top w:val="nil"/>
              <w:left w:val="nil"/>
              <w:bottom w:val="single" w:sz="4" w:space="0" w:color="auto"/>
              <w:right w:val="nil"/>
            </w:tcBorders>
          </w:tcPr>
          <w:p w14:paraId="70846845" w14:textId="48BA1021" w:rsidR="00446DE4" w:rsidRPr="00D22B3F" w:rsidRDefault="00446DE4" w:rsidP="00D22B3F">
            <w:pPr>
              <w:tabs>
                <w:tab w:val="right" w:pos="850"/>
                <w:tab w:val="left" w:pos="1134"/>
                <w:tab w:val="right" w:leader="dot" w:pos="8504"/>
              </w:tabs>
              <w:spacing w:line="20" w:lineRule="exact"/>
              <w:rPr>
                <w:sz w:val="2"/>
              </w:rPr>
            </w:pPr>
            <w:bookmarkStart w:id="0" w:name="_GoBack"/>
            <w:bookmarkEnd w:id="0"/>
          </w:p>
          <w:p w14:paraId="25099D1A" w14:textId="77777777" w:rsidR="00D22B3F" w:rsidRPr="007A7A7A" w:rsidRDefault="00D22B3F" w:rsidP="007A7A7A">
            <w:pPr>
              <w:tabs>
                <w:tab w:val="right" w:pos="850"/>
                <w:tab w:val="left" w:pos="1134"/>
                <w:tab w:val="right" w:leader="dot" w:pos="8504"/>
              </w:tabs>
              <w:spacing w:line="20" w:lineRule="exact"/>
              <w:rPr>
                <w:sz w:val="2"/>
              </w:rPr>
            </w:pPr>
          </w:p>
          <w:p w14:paraId="4943B58C" w14:textId="2E077E48" w:rsidR="007A7A7A" w:rsidRPr="0081406C" w:rsidRDefault="007A7A7A"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598A895" w14:textId="77777777" w:rsidR="00446DE4" w:rsidRPr="00B10916" w:rsidRDefault="00B3317B" w:rsidP="0022130F">
            <w:pPr>
              <w:spacing w:after="80" w:line="300" w:lineRule="exact"/>
              <w:rPr>
                <w:sz w:val="28"/>
                <w:szCs w:val="28"/>
              </w:rPr>
            </w:pPr>
            <w:r w:rsidRPr="00B10916">
              <w:rPr>
                <w:sz w:val="28"/>
                <w:szCs w:val="28"/>
              </w:rPr>
              <w:t>United Nations</w:t>
            </w:r>
          </w:p>
        </w:tc>
        <w:tc>
          <w:tcPr>
            <w:tcW w:w="6144" w:type="dxa"/>
            <w:gridSpan w:val="2"/>
            <w:tcBorders>
              <w:top w:val="nil"/>
              <w:left w:val="nil"/>
              <w:bottom w:val="single" w:sz="4" w:space="0" w:color="auto"/>
              <w:right w:val="nil"/>
            </w:tcBorders>
            <w:vAlign w:val="bottom"/>
          </w:tcPr>
          <w:p w14:paraId="0C88251D" w14:textId="77777777" w:rsidR="00446DE4" w:rsidRPr="00B10916" w:rsidRDefault="00E81122" w:rsidP="00514BCC">
            <w:pPr>
              <w:jc w:val="right"/>
            </w:pPr>
            <w:r w:rsidRPr="00B10916">
              <w:rPr>
                <w:sz w:val="40"/>
              </w:rPr>
              <w:t>A</w:t>
            </w:r>
            <w:r w:rsidRPr="00B10916">
              <w:t>/HRC/</w:t>
            </w:r>
            <w:r w:rsidR="005641AB" w:rsidRPr="00B10916">
              <w:t>30/25</w:t>
            </w:r>
          </w:p>
        </w:tc>
      </w:tr>
      <w:tr w:rsidR="003107FA" w:rsidRPr="00B10916" w14:paraId="2570D441" w14:textId="77777777" w:rsidTr="00E806EE">
        <w:trPr>
          <w:trHeight w:val="2835"/>
        </w:trPr>
        <w:tc>
          <w:tcPr>
            <w:tcW w:w="1259" w:type="dxa"/>
            <w:tcBorders>
              <w:top w:val="single" w:sz="4" w:space="0" w:color="auto"/>
              <w:left w:val="nil"/>
              <w:bottom w:val="single" w:sz="12" w:space="0" w:color="auto"/>
              <w:right w:val="nil"/>
            </w:tcBorders>
          </w:tcPr>
          <w:p w14:paraId="6CC3F331" w14:textId="77777777" w:rsidR="003107FA" w:rsidRPr="00B10916" w:rsidRDefault="00F85C9D" w:rsidP="00956D9B">
            <w:pPr>
              <w:spacing w:before="120"/>
              <w:jc w:val="center"/>
            </w:pPr>
            <w:r w:rsidRPr="00B10916">
              <w:rPr>
                <w:noProof/>
                <w:lang w:eastAsia="en-GB"/>
              </w:rPr>
              <w:drawing>
                <wp:inline distT="0" distB="0" distL="0" distR="0" wp14:anchorId="1180EE43" wp14:editId="1A414BCC">
                  <wp:extent cx="714375" cy="59055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34558BD3" w14:textId="77777777" w:rsidR="003107FA" w:rsidRPr="00B10916" w:rsidRDefault="00B3317B" w:rsidP="00EF5BDB">
            <w:pPr>
              <w:spacing w:before="120" w:line="420" w:lineRule="exact"/>
              <w:rPr>
                <w:b/>
                <w:sz w:val="40"/>
                <w:szCs w:val="40"/>
              </w:rPr>
            </w:pPr>
            <w:r w:rsidRPr="00B10916">
              <w:rPr>
                <w:b/>
                <w:sz w:val="40"/>
                <w:szCs w:val="40"/>
              </w:rPr>
              <w:t>General Assembly</w:t>
            </w:r>
          </w:p>
        </w:tc>
        <w:tc>
          <w:tcPr>
            <w:tcW w:w="2930" w:type="dxa"/>
            <w:tcBorders>
              <w:top w:val="single" w:sz="4" w:space="0" w:color="auto"/>
              <w:left w:val="nil"/>
              <w:bottom w:val="single" w:sz="12" w:space="0" w:color="auto"/>
              <w:right w:val="nil"/>
            </w:tcBorders>
          </w:tcPr>
          <w:p w14:paraId="50E1DC37" w14:textId="77777777" w:rsidR="003107FA" w:rsidRPr="00B10916" w:rsidRDefault="00E81122" w:rsidP="00E81122">
            <w:pPr>
              <w:spacing w:before="240" w:line="240" w:lineRule="exact"/>
            </w:pPr>
            <w:r w:rsidRPr="00B10916">
              <w:t>Distr.: General</w:t>
            </w:r>
          </w:p>
          <w:p w14:paraId="03CA1D86" w14:textId="783ABA5A" w:rsidR="00E81122" w:rsidRPr="00B10916" w:rsidRDefault="002976D4" w:rsidP="00A361FC">
            <w:pPr>
              <w:spacing w:line="240" w:lineRule="exact"/>
            </w:pPr>
            <w:r w:rsidRPr="00B10916">
              <w:t>1</w:t>
            </w:r>
            <w:r w:rsidR="00D30ABD">
              <w:t>6</w:t>
            </w:r>
            <w:r w:rsidRPr="00B10916">
              <w:t xml:space="preserve"> </w:t>
            </w:r>
            <w:r w:rsidR="005641AB" w:rsidRPr="00B10916">
              <w:t>July</w:t>
            </w:r>
            <w:r w:rsidR="00514BCC" w:rsidRPr="00B10916">
              <w:t xml:space="preserve"> 2015</w:t>
            </w:r>
          </w:p>
          <w:p w14:paraId="7BDB5499" w14:textId="77777777" w:rsidR="00E81122" w:rsidRPr="00B10916" w:rsidRDefault="00E81122" w:rsidP="00E81122">
            <w:pPr>
              <w:spacing w:line="240" w:lineRule="exact"/>
            </w:pPr>
          </w:p>
          <w:p w14:paraId="28497742" w14:textId="77777777" w:rsidR="00E81122" w:rsidRPr="00B10916" w:rsidRDefault="00E81122" w:rsidP="00E81122">
            <w:pPr>
              <w:spacing w:line="240" w:lineRule="exact"/>
            </w:pPr>
            <w:r w:rsidRPr="00B10916">
              <w:t>Original: English</w:t>
            </w:r>
          </w:p>
        </w:tc>
      </w:tr>
    </w:tbl>
    <w:p w14:paraId="748B7AB5" w14:textId="77777777" w:rsidR="00E81122" w:rsidRPr="00B10916" w:rsidRDefault="00E81122" w:rsidP="00E81122">
      <w:pPr>
        <w:spacing w:before="120"/>
        <w:rPr>
          <w:b/>
          <w:sz w:val="24"/>
          <w:szCs w:val="24"/>
        </w:rPr>
      </w:pPr>
      <w:r w:rsidRPr="00B10916">
        <w:rPr>
          <w:b/>
          <w:sz w:val="24"/>
          <w:szCs w:val="24"/>
        </w:rPr>
        <w:t>Human Rights Council</w:t>
      </w:r>
    </w:p>
    <w:p w14:paraId="25EF5B54" w14:textId="77777777" w:rsidR="00E81122" w:rsidRPr="00B10916" w:rsidRDefault="000048B0" w:rsidP="00E81122">
      <w:pPr>
        <w:rPr>
          <w:b/>
        </w:rPr>
      </w:pPr>
      <w:r w:rsidRPr="00B10916">
        <w:rPr>
          <w:b/>
        </w:rPr>
        <w:t>Thirtieth session</w:t>
      </w:r>
    </w:p>
    <w:p w14:paraId="6A8F7CCE" w14:textId="77777777" w:rsidR="00E81122" w:rsidRPr="00B10916" w:rsidRDefault="00E81122" w:rsidP="00E81122">
      <w:r w:rsidRPr="00B10916">
        <w:t>Item</w:t>
      </w:r>
      <w:r w:rsidR="00290CE7" w:rsidRPr="00B10916">
        <w:t>s</w:t>
      </w:r>
      <w:r w:rsidRPr="00B10916">
        <w:t xml:space="preserve"> </w:t>
      </w:r>
      <w:r w:rsidR="006B727A" w:rsidRPr="00B10916">
        <w:t xml:space="preserve">2 and 3 </w:t>
      </w:r>
      <w:r w:rsidRPr="00B10916">
        <w:t>of the provisional agenda</w:t>
      </w:r>
    </w:p>
    <w:p w14:paraId="1DB3DC21" w14:textId="77777777" w:rsidR="00E81122" w:rsidRPr="00B10916" w:rsidRDefault="00290CE7" w:rsidP="00E175FD">
      <w:pPr>
        <w:rPr>
          <w:b/>
        </w:rPr>
      </w:pPr>
      <w:r w:rsidRPr="00B10916">
        <w:rPr>
          <w:b/>
          <w:bCs/>
          <w:lang w:eastAsia="en-GB"/>
        </w:rPr>
        <w:t>Annual report of the U</w:t>
      </w:r>
      <w:r w:rsidR="009A4AA3" w:rsidRPr="00B10916">
        <w:rPr>
          <w:b/>
          <w:bCs/>
          <w:lang w:eastAsia="en-GB"/>
        </w:rPr>
        <w:t xml:space="preserve">nited </w:t>
      </w:r>
      <w:r w:rsidRPr="00B10916">
        <w:rPr>
          <w:b/>
          <w:bCs/>
          <w:lang w:eastAsia="en-GB"/>
        </w:rPr>
        <w:t>N</w:t>
      </w:r>
      <w:r w:rsidR="009A4AA3" w:rsidRPr="00B10916">
        <w:rPr>
          <w:b/>
          <w:bCs/>
          <w:lang w:eastAsia="en-GB"/>
        </w:rPr>
        <w:t>ations</w:t>
      </w:r>
      <w:r w:rsidRPr="00B10916">
        <w:rPr>
          <w:b/>
          <w:bCs/>
          <w:lang w:eastAsia="en-GB"/>
        </w:rPr>
        <w:t xml:space="preserve"> High Commissioner for Human Rights</w:t>
      </w:r>
      <w:r w:rsidR="00972169" w:rsidRPr="00B10916">
        <w:rPr>
          <w:b/>
          <w:bCs/>
          <w:lang w:eastAsia="en-GB"/>
        </w:rPr>
        <w:t xml:space="preserve"> </w:t>
      </w:r>
      <w:r w:rsidR="00625F45" w:rsidRPr="00B10916">
        <w:rPr>
          <w:b/>
          <w:bCs/>
          <w:lang w:eastAsia="en-GB"/>
        </w:rPr>
        <w:br/>
      </w:r>
      <w:r w:rsidRPr="00B10916">
        <w:rPr>
          <w:b/>
          <w:bCs/>
          <w:lang w:eastAsia="en-GB"/>
        </w:rPr>
        <w:t>and</w:t>
      </w:r>
      <w:r w:rsidR="00625F45" w:rsidRPr="00B10916">
        <w:rPr>
          <w:b/>
          <w:bCs/>
          <w:lang w:eastAsia="en-GB"/>
        </w:rPr>
        <w:t xml:space="preserve"> </w:t>
      </w:r>
      <w:r w:rsidRPr="00B10916">
        <w:rPr>
          <w:b/>
          <w:bCs/>
          <w:lang w:eastAsia="en-GB"/>
        </w:rPr>
        <w:t xml:space="preserve">reports of the </w:t>
      </w:r>
      <w:r w:rsidR="00E175FD" w:rsidRPr="00B10916">
        <w:rPr>
          <w:b/>
          <w:bCs/>
          <w:lang w:eastAsia="en-GB"/>
        </w:rPr>
        <w:t>Office of the High Commissioner</w:t>
      </w:r>
      <w:r w:rsidR="00E175FD" w:rsidRPr="00B10916" w:rsidDel="00E175FD">
        <w:rPr>
          <w:b/>
          <w:bCs/>
          <w:lang w:eastAsia="en-GB"/>
        </w:rPr>
        <w:t xml:space="preserve"> </w:t>
      </w:r>
      <w:r w:rsidRPr="00B10916">
        <w:rPr>
          <w:b/>
          <w:bCs/>
          <w:lang w:eastAsia="en-GB"/>
        </w:rPr>
        <w:t>and the Secretary-General</w:t>
      </w:r>
    </w:p>
    <w:p w14:paraId="1810AA0B" w14:textId="77777777" w:rsidR="00EF39B2" w:rsidRPr="00B10916" w:rsidRDefault="00290CE7" w:rsidP="00625F45">
      <w:pPr>
        <w:spacing w:before="120"/>
      </w:pPr>
      <w:r w:rsidRPr="00B10916">
        <w:rPr>
          <w:b/>
          <w:bCs/>
          <w:lang w:eastAsia="en-GB"/>
        </w:rPr>
        <w:t>Promotion and protection of all human rights,</w:t>
      </w:r>
      <w:r w:rsidR="00972169" w:rsidRPr="00B10916">
        <w:rPr>
          <w:b/>
          <w:bCs/>
          <w:lang w:eastAsia="en-GB"/>
        </w:rPr>
        <w:t xml:space="preserve"> </w:t>
      </w:r>
      <w:r w:rsidRPr="00B10916">
        <w:rPr>
          <w:b/>
          <w:bCs/>
          <w:lang w:eastAsia="en-GB"/>
        </w:rPr>
        <w:t>civil, political, economic,</w:t>
      </w:r>
      <w:r w:rsidR="00972169" w:rsidRPr="00B10916">
        <w:rPr>
          <w:b/>
          <w:bCs/>
          <w:lang w:eastAsia="en-GB"/>
        </w:rPr>
        <w:t xml:space="preserve"> </w:t>
      </w:r>
      <w:r w:rsidR="00625F45" w:rsidRPr="00B10916">
        <w:rPr>
          <w:b/>
          <w:bCs/>
          <w:lang w:eastAsia="en-GB"/>
        </w:rPr>
        <w:br/>
      </w:r>
      <w:r w:rsidRPr="00B10916">
        <w:rPr>
          <w:b/>
          <w:bCs/>
          <w:lang w:eastAsia="en-GB"/>
        </w:rPr>
        <w:t>social</w:t>
      </w:r>
      <w:r w:rsidR="00625F45" w:rsidRPr="00B10916">
        <w:rPr>
          <w:b/>
          <w:bCs/>
          <w:lang w:eastAsia="en-GB"/>
        </w:rPr>
        <w:t xml:space="preserve"> </w:t>
      </w:r>
      <w:r w:rsidRPr="00B10916">
        <w:rPr>
          <w:b/>
          <w:bCs/>
          <w:lang w:eastAsia="en-GB"/>
        </w:rPr>
        <w:t>and cultural rights, including the right to development</w:t>
      </w:r>
    </w:p>
    <w:p w14:paraId="5258297C" w14:textId="77777777" w:rsidR="00CD5938" w:rsidRPr="00B10916" w:rsidRDefault="005641AB" w:rsidP="00B10916">
      <w:pPr>
        <w:pStyle w:val="HChG"/>
        <w:rPr>
          <w:sz w:val="18"/>
          <w:szCs w:val="18"/>
        </w:rPr>
      </w:pPr>
      <w:r w:rsidRPr="00B10916">
        <w:tab/>
      </w:r>
      <w:r w:rsidRPr="00B10916">
        <w:tab/>
        <w:t xml:space="preserve">Report of the United Nations High Commissioner </w:t>
      </w:r>
      <w:r w:rsidR="002650B6" w:rsidRPr="00B10916">
        <w:br/>
      </w:r>
      <w:r w:rsidRPr="00B10916">
        <w:t xml:space="preserve">for Human Rights </w:t>
      </w:r>
      <w:r w:rsidRPr="00B10916">
        <w:rPr>
          <w:bCs/>
        </w:rPr>
        <w:t>on the rights of indigenous peoples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EF39B2" w:rsidRPr="00B10916" w14:paraId="7300CD6E" w14:textId="77777777" w:rsidTr="00B9795B">
        <w:trPr>
          <w:jc w:val="center"/>
        </w:trPr>
        <w:tc>
          <w:tcPr>
            <w:tcW w:w="9637" w:type="dxa"/>
            <w:shd w:val="clear" w:color="auto" w:fill="auto"/>
          </w:tcPr>
          <w:p w14:paraId="1B3C4A73" w14:textId="77777777" w:rsidR="00EF39B2" w:rsidRPr="00B10916" w:rsidRDefault="00EF39B2" w:rsidP="00B9795B">
            <w:pPr>
              <w:spacing w:before="240" w:after="120"/>
              <w:ind w:left="255"/>
            </w:pPr>
            <w:r w:rsidRPr="00B10916">
              <w:rPr>
                <w:i/>
                <w:sz w:val="24"/>
              </w:rPr>
              <w:t>Summary</w:t>
            </w:r>
          </w:p>
        </w:tc>
      </w:tr>
      <w:tr w:rsidR="00EF39B2" w:rsidRPr="00B10916" w14:paraId="150DFF67" w14:textId="77777777" w:rsidTr="00B9795B">
        <w:trPr>
          <w:jc w:val="center"/>
        </w:trPr>
        <w:tc>
          <w:tcPr>
            <w:tcW w:w="9637" w:type="dxa"/>
            <w:shd w:val="clear" w:color="auto" w:fill="auto"/>
          </w:tcPr>
          <w:p w14:paraId="00D5E2E3" w14:textId="3D8AA478" w:rsidR="00E86D36" w:rsidRPr="00B10916" w:rsidRDefault="005641AB">
            <w:pPr>
              <w:pStyle w:val="SingleTxtG"/>
              <w:ind w:firstLine="567"/>
            </w:pPr>
            <w:r w:rsidRPr="00B10916">
              <w:t xml:space="preserve">The present report is submitted pursuant to </w:t>
            </w:r>
            <w:r w:rsidR="006232FC" w:rsidRPr="00B10916">
              <w:t xml:space="preserve">Human Rights Council </w:t>
            </w:r>
            <w:r w:rsidRPr="00B10916">
              <w:t xml:space="preserve">resolution 27/13. It contains information on relevant developments relating to human rights bodies and mechanisms and outlines the activities undertaken by the Office of the </w:t>
            </w:r>
            <w:r w:rsidR="00EB37CE" w:rsidRPr="00B10916">
              <w:t xml:space="preserve">United Nations </w:t>
            </w:r>
            <w:r w:rsidRPr="00B10916">
              <w:t xml:space="preserve">High Commissioner for Human Rights at </w:t>
            </w:r>
            <w:r w:rsidR="00EB37CE" w:rsidRPr="00B10916">
              <w:t>H</w:t>
            </w:r>
            <w:r w:rsidRPr="00B10916">
              <w:t xml:space="preserve">eadquarters and in the field that contribute to the promotion and full application of the provisions of the United Nations Declaration </w:t>
            </w:r>
            <w:r w:rsidR="00EB37CE" w:rsidRPr="00B10916">
              <w:t xml:space="preserve">on </w:t>
            </w:r>
            <w:r w:rsidRPr="00B10916">
              <w:t>the Rights of Indigenous Peoples, and follow-up on the effectiveness of the Declaration. The report covers the period from May 2014 to May 2015</w:t>
            </w:r>
            <w:r w:rsidR="00E86D36" w:rsidRPr="00B10916">
              <w:t>.</w:t>
            </w:r>
          </w:p>
          <w:p w14:paraId="286DBD90" w14:textId="77777777" w:rsidR="00EF39B2" w:rsidRPr="00B10916" w:rsidRDefault="00EF39B2" w:rsidP="009939D8">
            <w:pPr>
              <w:pStyle w:val="SingleTxtG"/>
              <w:ind w:firstLine="567"/>
            </w:pPr>
          </w:p>
        </w:tc>
      </w:tr>
    </w:tbl>
    <w:p w14:paraId="550BD956" w14:textId="77777777" w:rsidR="00E81122" w:rsidRPr="00B10916" w:rsidRDefault="00E81122" w:rsidP="00E81122"/>
    <w:p w14:paraId="5F7108FD" w14:textId="56793EFF" w:rsidR="00AA7E31" w:rsidRPr="00B10916" w:rsidRDefault="00E81122">
      <w:pPr>
        <w:pStyle w:val="HChG"/>
      </w:pPr>
      <w:r w:rsidRPr="00B10916">
        <w:br w:type="page"/>
      </w:r>
      <w:r w:rsidR="00AA7E31" w:rsidRPr="00B10916">
        <w:lastRenderedPageBreak/>
        <w:tab/>
        <w:t>I.</w:t>
      </w:r>
      <w:r w:rsidR="00AA7E31" w:rsidRPr="00B10916">
        <w:tab/>
        <w:t>Introduction</w:t>
      </w:r>
    </w:p>
    <w:p w14:paraId="0E72B964" w14:textId="13577BE0" w:rsidR="00AA7E31" w:rsidRPr="00B10916" w:rsidRDefault="00B10916" w:rsidP="00B10916">
      <w:pPr>
        <w:pStyle w:val="SingleTxtG"/>
        <w:tabs>
          <w:tab w:val="left" w:pos="1701"/>
        </w:tabs>
      </w:pPr>
      <w:r w:rsidRPr="00B10916">
        <w:rPr>
          <w:bCs/>
        </w:rPr>
        <w:t>1.</w:t>
      </w:r>
      <w:r w:rsidRPr="00B10916">
        <w:rPr>
          <w:bCs/>
        </w:rPr>
        <w:tab/>
      </w:r>
      <w:r w:rsidR="00AA7E31" w:rsidRPr="00B10916">
        <w:t xml:space="preserve">In its resolution 27/13 </w:t>
      </w:r>
      <w:r w:rsidR="00EB37CE" w:rsidRPr="00B10916">
        <w:t xml:space="preserve">on </w:t>
      </w:r>
      <w:r w:rsidR="00AA7E31" w:rsidRPr="00B10916">
        <w:t xml:space="preserve">human rights and indigenous peoples, the Human Rights Council requested the </w:t>
      </w:r>
      <w:r w:rsidR="00EB37CE" w:rsidRPr="00B10916">
        <w:t xml:space="preserve">United Nations </w:t>
      </w:r>
      <w:r w:rsidR="00AA7E31" w:rsidRPr="00B10916">
        <w:t xml:space="preserve">High Commissioner for Human Rights to continue to submit to </w:t>
      </w:r>
      <w:r w:rsidR="00EB37CE" w:rsidRPr="00B10916">
        <w:t xml:space="preserve">it </w:t>
      </w:r>
      <w:r w:rsidR="00AA7E31" w:rsidRPr="00B10916">
        <w:t xml:space="preserve">an annual report on the rights of indigenous peoples containing information on relevant developments in human rights bodies and mechanisms. It also requested the High Commissioner to report on activities undertaken by the Office of the </w:t>
      </w:r>
      <w:r w:rsidR="00EB37CE" w:rsidRPr="00B10916">
        <w:t xml:space="preserve">United Nations </w:t>
      </w:r>
      <w:r w:rsidR="00AA7E31" w:rsidRPr="00B10916">
        <w:t xml:space="preserve">High Commissioner </w:t>
      </w:r>
      <w:r w:rsidR="00EB37CE" w:rsidRPr="00B10916">
        <w:t xml:space="preserve">for Human Rights (OHCHR) </w:t>
      </w:r>
      <w:r w:rsidR="00AA7E31" w:rsidRPr="00B10916">
        <w:t>at Headquarters and in the field that contribute to the promotion of, respect for and full application of the provisions of the United Nations Declaration on the Rights of Indigenous Peoples.</w:t>
      </w:r>
    </w:p>
    <w:p w14:paraId="623EDEE2" w14:textId="766171CB" w:rsidR="00AA7E31" w:rsidRPr="00B10916" w:rsidRDefault="00B10916" w:rsidP="00B10916">
      <w:pPr>
        <w:pStyle w:val="SingleTxtG"/>
        <w:tabs>
          <w:tab w:val="left" w:pos="1701"/>
        </w:tabs>
      </w:pPr>
      <w:r w:rsidRPr="00B10916">
        <w:rPr>
          <w:bCs/>
        </w:rPr>
        <w:t>2.</w:t>
      </w:r>
      <w:r w:rsidRPr="00B10916">
        <w:rPr>
          <w:bCs/>
        </w:rPr>
        <w:tab/>
      </w:r>
      <w:r w:rsidR="002F2482" w:rsidRPr="00B10916">
        <w:t>R</w:t>
      </w:r>
      <w:r w:rsidR="00AA7E31" w:rsidRPr="00B10916">
        <w:t xml:space="preserve">ather than providing an exhaustive overview of the work of OHCHR on </w:t>
      </w:r>
      <w:r w:rsidR="002F2482" w:rsidRPr="00B10916">
        <w:t xml:space="preserve">the </w:t>
      </w:r>
      <w:r w:rsidR="00AA7E31" w:rsidRPr="00B10916">
        <w:t>rights</w:t>
      </w:r>
      <w:r w:rsidR="002F2482" w:rsidRPr="00B10916">
        <w:t xml:space="preserve"> of indigenous peoples</w:t>
      </w:r>
      <w:r w:rsidR="00AA7E31" w:rsidRPr="00B10916">
        <w:t xml:space="preserve">, </w:t>
      </w:r>
      <w:r w:rsidR="002F2482" w:rsidRPr="00B10916">
        <w:t xml:space="preserve">the present report </w:t>
      </w:r>
      <w:r w:rsidR="00AA7E31" w:rsidRPr="00B10916">
        <w:t xml:space="preserve">focuses on some illustrative examples of OHCHR activities and initiatives undertaken at </w:t>
      </w:r>
      <w:r w:rsidR="002F2482" w:rsidRPr="00B10916">
        <w:t>H</w:t>
      </w:r>
      <w:r w:rsidR="00AA7E31" w:rsidRPr="00B10916">
        <w:t xml:space="preserve">eadquarters and by field </w:t>
      </w:r>
      <w:r w:rsidR="009F601F" w:rsidRPr="00B10916">
        <w:t xml:space="preserve">offices </w:t>
      </w:r>
      <w:r w:rsidR="00AA7E31" w:rsidRPr="00B10916">
        <w:t>that contribute to the full application of the rights of indigenous peoples.</w:t>
      </w:r>
      <w:r w:rsidR="000024B6" w:rsidRPr="00B10916">
        <w:t xml:space="preserve"> </w:t>
      </w:r>
      <w:r w:rsidR="002F2482" w:rsidRPr="00B10916">
        <w:t xml:space="preserve">It </w:t>
      </w:r>
      <w:r w:rsidR="00AA7E31" w:rsidRPr="00B10916">
        <w:t>also outlines recent developments within United Nations human rights mechanisms as far as their work pertains to indigenous peoples.</w:t>
      </w:r>
    </w:p>
    <w:p w14:paraId="20F96EBA" w14:textId="77777777" w:rsidR="00AA7E31" w:rsidRPr="00B10916" w:rsidRDefault="00AA7E31" w:rsidP="00174A97">
      <w:pPr>
        <w:pStyle w:val="HChG"/>
      </w:pPr>
      <w:r w:rsidRPr="00B10916">
        <w:tab/>
        <w:t>II.</w:t>
      </w:r>
      <w:r w:rsidRPr="00B10916">
        <w:tab/>
        <w:t>Activities of the Office of the United Nations High</w:t>
      </w:r>
      <w:r w:rsidR="00174A97" w:rsidRPr="00B10916">
        <w:t> </w:t>
      </w:r>
      <w:r w:rsidRPr="00B10916">
        <w:t>Commissioner for Human Rights</w:t>
      </w:r>
    </w:p>
    <w:p w14:paraId="1C199B42" w14:textId="40B838A2" w:rsidR="00AA7E31" w:rsidRPr="00B10916" w:rsidRDefault="00B10916" w:rsidP="00B10916">
      <w:pPr>
        <w:pStyle w:val="SingleTxtG"/>
        <w:tabs>
          <w:tab w:val="left" w:pos="1701"/>
        </w:tabs>
      </w:pPr>
      <w:r w:rsidRPr="00B10916">
        <w:rPr>
          <w:bCs/>
        </w:rPr>
        <w:t>3.</w:t>
      </w:r>
      <w:r w:rsidRPr="00B10916">
        <w:rPr>
          <w:bCs/>
        </w:rPr>
        <w:tab/>
      </w:r>
      <w:r w:rsidR="00AA7E31" w:rsidRPr="00B10916">
        <w:t xml:space="preserve">During the period under review, OHCHR continued to work in a wide range of contexts for the promotion and full application of the Declaration. </w:t>
      </w:r>
      <w:r w:rsidR="003B3BB1" w:rsidRPr="00B10916">
        <w:t>The r</w:t>
      </w:r>
      <w:r w:rsidR="00AA7E31" w:rsidRPr="00B10916">
        <w:t>ights of indigenous peoples have continued to be a priority topic for the High Commissioner</w:t>
      </w:r>
      <w:r w:rsidR="003B3BB1" w:rsidRPr="00B10916">
        <w:t>,</w:t>
      </w:r>
      <w:r w:rsidR="00AA7E31" w:rsidRPr="00B10916">
        <w:t xml:space="preserve"> and indigenous issues figure prominently in the OHCHR Management Plan</w:t>
      </w:r>
      <w:r w:rsidR="003B3BB1" w:rsidRPr="00B10916">
        <w:t>,</w:t>
      </w:r>
      <w:r w:rsidR="00AA7E31" w:rsidRPr="00B10916">
        <w:t xml:space="preserve"> </w:t>
      </w:r>
      <w:r w:rsidR="00174A97" w:rsidRPr="00B10916">
        <w:t>2014–</w:t>
      </w:r>
      <w:r w:rsidR="00AA7E31" w:rsidRPr="00B10916">
        <w:t>2017,</w:t>
      </w:r>
      <w:r w:rsidR="003B3BB1" w:rsidRPr="00B10916">
        <w:rPr>
          <w:rStyle w:val="FootnoteReference"/>
        </w:rPr>
        <w:footnoteReference w:id="2"/>
      </w:r>
      <w:r w:rsidR="00AA7E31" w:rsidRPr="00B10916">
        <w:t xml:space="preserve"> including in connection with the key thematic priorities of enhancing equality and combating discrimination.</w:t>
      </w:r>
    </w:p>
    <w:p w14:paraId="1D65E39C" w14:textId="750AF725" w:rsidR="00AA7E31" w:rsidRPr="00B10916" w:rsidRDefault="00B10916" w:rsidP="00B10916">
      <w:pPr>
        <w:pStyle w:val="H1G"/>
        <w:tabs>
          <w:tab w:val="clear" w:pos="851"/>
        </w:tabs>
        <w:ind w:hanging="567"/>
      </w:pPr>
      <w:r w:rsidRPr="00B10916">
        <w:t>A.</w:t>
      </w:r>
      <w:r w:rsidRPr="00B10916">
        <w:tab/>
      </w:r>
      <w:r w:rsidR="00AA7E31" w:rsidRPr="00B10916">
        <w:t xml:space="preserve">World Conference on Indigenous Peoples and its </w:t>
      </w:r>
      <w:r w:rsidR="001E01CB" w:rsidRPr="00B10916">
        <w:t>o</w:t>
      </w:r>
      <w:r w:rsidR="00AA7E31" w:rsidRPr="00B10916">
        <w:t xml:space="preserve">utcome </w:t>
      </w:r>
      <w:r w:rsidR="001E01CB" w:rsidRPr="00B10916">
        <w:t>d</w:t>
      </w:r>
      <w:r w:rsidR="00AA7E31" w:rsidRPr="00B10916">
        <w:t>ocument</w:t>
      </w:r>
    </w:p>
    <w:p w14:paraId="68D986BA" w14:textId="2F6B40BA" w:rsidR="00AA7E31" w:rsidRPr="00B10916" w:rsidRDefault="00B10916" w:rsidP="00B10916">
      <w:pPr>
        <w:pStyle w:val="SingleTxtG"/>
        <w:tabs>
          <w:tab w:val="left" w:pos="1701"/>
        </w:tabs>
      </w:pPr>
      <w:r w:rsidRPr="00B10916">
        <w:rPr>
          <w:bCs/>
        </w:rPr>
        <w:t>4.</w:t>
      </w:r>
      <w:r w:rsidRPr="00B10916">
        <w:rPr>
          <w:bCs/>
        </w:rPr>
        <w:tab/>
      </w:r>
      <w:r w:rsidR="00AA7E31" w:rsidRPr="00B10916">
        <w:t xml:space="preserve">In the lead-up to the World Conference on </w:t>
      </w:r>
      <w:r w:rsidR="00174A97" w:rsidRPr="00B10916">
        <w:t>Indigenous Peoples</w:t>
      </w:r>
      <w:r w:rsidR="001E01CB" w:rsidRPr="00B10916">
        <w:t>,</w:t>
      </w:r>
      <w:r w:rsidR="00174A97" w:rsidRPr="00B10916">
        <w:t xml:space="preserve"> held </w:t>
      </w:r>
      <w:r w:rsidR="001E01CB" w:rsidRPr="00B10916">
        <w:t xml:space="preserve">on </w:t>
      </w:r>
      <w:r w:rsidR="00174A97" w:rsidRPr="00B10916">
        <w:t>22</w:t>
      </w:r>
      <w:r w:rsidR="001E01CB" w:rsidRPr="00B10916">
        <w:t xml:space="preserve"> and </w:t>
      </w:r>
      <w:r w:rsidR="00AA7E31" w:rsidRPr="00B10916">
        <w:t>23</w:t>
      </w:r>
      <w:r w:rsidR="00174A97" w:rsidRPr="00B10916">
        <w:t> </w:t>
      </w:r>
      <w:r w:rsidR="00AA7E31" w:rsidRPr="00B10916">
        <w:t xml:space="preserve">September </w:t>
      </w:r>
      <w:r w:rsidR="0037170B">
        <w:t xml:space="preserve"> 2014</w:t>
      </w:r>
      <w:r w:rsidR="00AA7E31" w:rsidRPr="00B10916">
        <w:t>, the High Commissioner consistently stressed the importance of the full and effective participation of indigenous peoples.</w:t>
      </w:r>
      <w:r w:rsidR="000024B6" w:rsidRPr="00B10916">
        <w:t xml:space="preserve"> </w:t>
      </w:r>
      <w:r w:rsidR="00AA7E31" w:rsidRPr="00B10916">
        <w:t xml:space="preserve">The World Conference was among the first meetings attended by the High Commissioner upon assuming office. In his opening remarks at the Conference, </w:t>
      </w:r>
      <w:r w:rsidR="001E01CB" w:rsidRPr="00B10916">
        <w:t xml:space="preserve">he </w:t>
      </w:r>
      <w:r w:rsidR="00AA7E31" w:rsidRPr="00B10916">
        <w:t xml:space="preserve">emphasized the need for the United Nations to open its doors even wider for indigenous peoples and strengthen efforts to involve indigenous peoples in all international initiatives that affect them, including the </w:t>
      </w:r>
      <w:r w:rsidR="001E01CB" w:rsidRPr="00B10916">
        <w:t>p</w:t>
      </w:r>
      <w:r w:rsidR="00AA7E31" w:rsidRPr="00B10916">
        <w:t xml:space="preserve">ost-2015 </w:t>
      </w:r>
      <w:r w:rsidR="001E01CB" w:rsidRPr="00B10916">
        <w:t>d</w:t>
      </w:r>
      <w:r w:rsidR="00AA7E31" w:rsidRPr="00B10916">
        <w:t>evelopment agenda.</w:t>
      </w:r>
      <w:r w:rsidR="000024B6" w:rsidRPr="00B10916">
        <w:t xml:space="preserve"> </w:t>
      </w:r>
      <w:r w:rsidR="001E01CB" w:rsidRPr="00B10916">
        <w:t xml:space="preserve">He </w:t>
      </w:r>
      <w:r w:rsidR="00AA7E31" w:rsidRPr="00B10916">
        <w:t>also called for national action plans and strategies to be developed</w:t>
      </w:r>
      <w:r w:rsidR="001E01CB" w:rsidRPr="00B10916">
        <w:t>,</w:t>
      </w:r>
      <w:r w:rsidR="00AA7E31" w:rsidRPr="00B10916">
        <w:t xml:space="preserve"> and underlined that such plans should be fully consistent with the principles and objectives of the Declaration.</w:t>
      </w:r>
      <w:r w:rsidR="000024B6" w:rsidRPr="00B10916">
        <w:t xml:space="preserve"> </w:t>
      </w:r>
      <w:r w:rsidR="00AA7E31" w:rsidRPr="00B10916">
        <w:t xml:space="preserve">OHCHR, in its capacity as </w:t>
      </w:r>
      <w:r w:rsidR="001E01CB" w:rsidRPr="00B10916">
        <w:t>c</w:t>
      </w:r>
      <w:r w:rsidR="00AA7E31" w:rsidRPr="00B10916">
        <w:t xml:space="preserve">hair of the Inter-Agency Support Group on Indigenous </w:t>
      </w:r>
      <w:r w:rsidR="00957641" w:rsidRPr="00B10916">
        <w:t>Peoples</w:t>
      </w:r>
      <w:r w:rsidR="009F601F" w:rsidRPr="00B10916">
        <w:t>’</w:t>
      </w:r>
      <w:r w:rsidR="00957641" w:rsidRPr="00B10916">
        <w:t xml:space="preserve"> </w:t>
      </w:r>
      <w:r w:rsidR="00AA7E31" w:rsidRPr="00B10916">
        <w:t xml:space="preserve">Issues, also drew attention to a series of papers on themes ranging from land rights to traditional knowledge prepared by </w:t>
      </w:r>
      <w:r w:rsidR="00957641" w:rsidRPr="00B10916">
        <w:t xml:space="preserve">the </w:t>
      </w:r>
      <w:r w:rsidR="006E250C" w:rsidRPr="00B10916">
        <w:t xml:space="preserve">Support </w:t>
      </w:r>
      <w:r w:rsidR="00957641" w:rsidRPr="00B10916">
        <w:t xml:space="preserve">Group </w:t>
      </w:r>
      <w:r w:rsidR="00AA7E31" w:rsidRPr="00B10916">
        <w:t>as contributions to the World Conference.</w:t>
      </w:r>
    </w:p>
    <w:p w14:paraId="7C126A1A" w14:textId="7031235F" w:rsidR="00AA7E31" w:rsidRPr="00B10916" w:rsidRDefault="00B10916" w:rsidP="00B10916">
      <w:pPr>
        <w:pStyle w:val="SingleTxtG"/>
        <w:tabs>
          <w:tab w:val="left" w:pos="1701"/>
        </w:tabs>
      </w:pPr>
      <w:r w:rsidRPr="00B10916">
        <w:rPr>
          <w:bCs/>
        </w:rPr>
        <w:t>5.</w:t>
      </w:r>
      <w:r w:rsidRPr="00B10916">
        <w:rPr>
          <w:bCs/>
        </w:rPr>
        <w:tab/>
      </w:r>
      <w:r w:rsidR="009F601F" w:rsidRPr="00B10916">
        <w:t xml:space="preserve">The </w:t>
      </w:r>
      <w:r w:rsidR="00AA7E31" w:rsidRPr="00B10916">
        <w:t xml:space="preserve">regional and country </w:t>
      </w:r>
      <w:r w:rsidR="009F601F" w:rsidRPr="00B10916">
        <w:t xml:space="preserve">offices of OHCHR </w:t>
      </w:r>
      <w:r w:rsidR="00AA7E31" w:rsidRPr="00B10916">
        <w:t xml:space="preserve">participated actively in the preparations for the World Conference </w:t>
      </w:r>
      <w:r w:rsidR="009F601F" w:rsidRPr="00B10916">
        <w:t xml:space="preserve">by </w:t>
      </w:r>
      <w:r w:rsidR="00AA7E31" w:rsidRPr="00B10916">
        <w:t>drafting information notes and facilitating discussions among indigenous representatives about their contributions to the Conference.</w:t>
      </w:r>
      <w:r w:rsidR="000024B6" w:rsidRPr="00B10916">
        <w:t xml:space="preserve"> </w:t>
      </w:r>
      <w:r w:rsidR="00AA7E31" w:rsidRPr="00B10916">
        <w:t xml:space="preserve">In July 2014, the </w:t>
      </w:r>
      <w:r w:rsidR="00AA7E31" w:rsidRPr="00B10916">
        <w:lastRenderedPageBreak/>
        <w:t xml:space="preserve">OHCHR </w:t>
      </w:r>
      <w:r w:rsidR="009F601F" w:rsidRPr="00B10916">
        <w:t>o</w:t>
      </w:r>
      <w:r w:rsidR="00AA7E31" w:rsidRPr="00B10916">
        <w:t>ffice in Guatemala facilitated bilateral meetings with indigenous representatives and the Ministry of Foreign Affairs to promote indigenous peoples’ participation in the preparatory activities for the World Conference.</w:t>
      </w:r>
      <w:r w:rsidR="000024B6" w:rsidRPr="00B10916">
        <w:t xml:space="preserve"> </w:t>
      </w:r>
      <w:r w:rsidR="00AA7E31" w:rsidRPr="00B10916">
        <w:t xml:space="preserve">The OHCHR </w:t>
      </w:r>
      <w:r w:rsidR="00D13311" w:rsidRPr="00B10916">
        <w:t>r</w:t>
      </w:r>
      <w:r w:rsidR="00AA7E31" w:rsidRPr="00B10916">
        <w:t xml:space="preserve">egional </w:t>
      </w:r>
      <w:r w:rsidR="00D13311" w:rsidRPr="00B10916">
        <w:t>o</w:t>
      </w:r>
      <w:r w:rsidR="00AA7E31" w:rsidRPr="00B10916">
        <w:t>ffice for South America</w:t>
      </w:r>
      <w:r w:rsidR="00D13311" w:rsidRPr="00B10916">
        <w:t>,</w:t>
      </w:r>
      <w:r w:rsidR="00AA7E31" w:rsidRPr="00B10916">
        <w:t xml:space="preserve"> </w:t>
      </w:r>
      <w:r w:rsidR="00D13311" w:rsidRPr="00B10916">
        <w:t xml:space="preserve">in </w:t>
      </w:r>
      <w:r w:rsidR="00AA7E31" w:rsidRPr="00B10916">
        <w:t>Chile</w:t>
      </w:r>
      <w:r w:rsidR="00D13311" w:rsidRPr="00B10916">
        <w:t>,</w:t>
      </w:r>
      <w:r w:rsidR="00AA7E31" w:rsidRPr="00B10916">
        <w:t xml:space="preserve"> organized and participated in </w:t>
      </w:r>
      <w:r w:rsidR="00D13311" w:rsidRPr="00B10916">
        <w:t>a n</w:t>
      </w:r>
      <w:r w:rsidR="00AA7E31" w:rsidRPr="00B10916">
        <w:t xml:space="preserve">ational </w:t>
      </w:r>
      <w:r w:rsidR="00D13311" w:rsidRPr="00B10916">
        <w:t>m</w:t>
      </w:r>
      <w:r w:rsidR="00AA7E31" w:rsidRPr="00B10916">
        <w:t xml:space="preserve">eeting of </w:t>
      </w:r>
      <w:r w:rsidR="00D13311" w:rsidRPr="00B10916">
        <w:t>i</w:t>
      </w:r>
      <w:r w:rsidR="00AA7E31" w:rsidRPr="00B10916">
        <w:t xml:space="preserve">ndigenous </w:t>
      </w:r>
      <w:r w:rsidR="00D13311" w:rsidRPr="00B10916">
        <w:t>p</w:t>
      </w:r>
      <w:r w:rsidR="00AA7E31" w:rsidRPr="00B10916">
        <w:t>eoples towards the World Conference</w:t>
      </w:r>
      <w:r w:rsidR="00D13311" w:rsidRPr="00B10916">
        <w:t>,</w:t>
      </w:r>
      <w:r w:rsidR="00AA7E31" w:rsidRPr="00B10916">
        <w:t xml:space="preserve"> within the framework of an inter-agency project with indigenous leaders.</w:t>
      </w:r>
      <w:r w:rsidR="000024B6" w:rsidRPr="00B10916">
        <w:t xml:space="preserve"> </w:t>
      </w:r>
      <w:r w:rsidR="00AA7E31" w:rsidRPr="00B10916">
        <w:t xml:space="preserve">The meeting aimed at promoting </w:t>
      </w:r>
      <w:r w:rsidR="00D13311" w:rsidRPr="00B10916">
        <w:t xml:space="preserve">the </w:t>
      </w:r>
      <w:r w:rsidR="00AA7E31" w:rsidRPr="00B10916">
        <w:t xml:space="preserve">participation of indigenous leaders in the World Conference and in the drafting of the </w:t>
      </w:r>
      <w:r w:rsidR="00D13311" w:rsidRPr="00B10916">
        <w:t>o</w:t>
      </w:r>
      <w:r w:rsidR="00AA7E31" w:rsidRPr="00B10916">
        <w:t xml:space="preserve">utcome </w:t>
      </w:r>
      <w:r w:rsidR="00D13311" w:rsidRPr="00B10916">
        <w:t>d</w:t>
      </w:r>
      <w:r w:rsidR="00AA7E31" w:rsidRPr="00B10916">
        <w:t>ocument.</w:t>
      </w:r>
      <w:r w:rsidR="00D13311" w:rsidRPr="00B10916">
        <w:rPr>
          <w:rStyle w:val="FootnoteReference"/>
        </w:rPr>
        <w:footnoteReference w:id="3"/>
      </w:r>
    </w:p>
    <w:p w14:paraId="697D7429" w14:textId="4F3CF288" w:rsidR="00AA7E31" w:rsidRPr="00B10916" w:rsidRDefault="00B10916" w:rsidP="00B10916">
      <w:pPr>
        <w:pStyle w:val="SingleTxtG"/>
        <w:tabs>
          <w:tab w:val="left" w:pos="1701"/>
        </w:tabs>
      </w:pPr>
      <w:r w:rsidRPr="00B10916">
        <w:rPr>
          <w:bCs/>
        </w:rPr>
        <w:t>6.</w:t>
      </w:r>
      <w:r w:rsidRPr="00B10916">
        <w:rPr>
          <w:bCs/>
        </w:rPr>
        <w:tab/>
      </w:r>
      <w:r w:rsidR="00AA7E31" w:rsidRPr="00B10916">
        <w:t>In the lead-up to the World Conference</w:t>
      </w:r>
      <w:r w:rsidR="003446CA" w:rsidRPr="00B10916">
        <w:t>,</w:t>
      </w:r>
      <w:r w:rsidR="00AA7E31" w:rsidRPr="00B10916">
        <w:t xml:space="preserve"> indigenous representatives focused on the need to introduce more inclusive </w:t>
      </w:r>
      <w:r w:rsidR="003446CA" w:rsidRPr="00B10916">
        <w:t xml:space="preserve">United Nations </w:t>
      </w:r>
      <w:r w:rsidR="00AA7E31" w:rsidRPr="00B10916">
        <w:t>processes and to accord indigenous representative structures a status that would facilitate their effective participation.</w:t>
      </w:r>
      <w:r w:rsidR="000024B6" w:rsidRPr="00B10916">
        <w:t xml:space="preserve"> </w:t>
      </w:r>
      <w:r w:rsidR="00AA7E31" w:rsidRPr="00B10916">
        <w:t xml:space="preserve">As such, the </w:t>
      </w:r>
      <w:r w:rsidR="00C62048" w:rsidRPr="00B10916">
        <w:t>o</w:t>
      </w:r>
      <w:r w:rsidR="00AA7E31" w:rsidRPr="00B10916">
        <w:t xml:space="preserve">utcome document </w:t>
      </w:r>
      <w:r w:rsidR="00C62048" w:rsidRPr="00B10916">
        <w:t xml:space="preserve">includes a </w:t>
      </w:r>
      <w:r w:rsidR="00AA7E31" w:rsidRPr="00B10916">
        <w:t xml:space="preserve">request </w:t>
      </w:r>
      <w:r w:rsidR="00C62048" w:rsidRPr="00B10916">
        <w:t xml:space="preserve">for </w:t>
      </w:r>
      <w:r w:rsidR="00AA7E31" w:rsidRPr="00B10916">
        <w:t>the Secretary</w:t>
      </w:r>
      <w:r w:rsidR="00C62048" w:rsidRPr="00B10916">
        <w:t>-</w:t>
      </w:r>
      <w:r w:rsidR="00AA7E31" w:rsidRPr="00B10916">
        <w:t xml:space="preserve">General to submit specific recommendations on how to enable participation of indigenous peoples at the </w:t>
      </w:r>
      <w:r w:rsidR="003446CA" w:rsidRPr="00B10916">
        <w:t>United Nations</w:t>
      </w:r>
      <w:r w:rsidR="00C62048" w:rsidRPr="00B10916">
        <w:t>,</w:t>
      </w:r>
      <w:r w:rsidR="003446CA" w:rsidRPr="00B10916">
        <w:t xml:space="preserve"> </w:t>
      </w:r>
      <w:r w:rsidR="00AA7E31" w:rsidRPr="00B10916">
        <w:t xml:space="preserve">through </w:t>
      </w:r>
      <w:r w:rsidR="00C62048" w:rsidRPr="00B10916">
        <w:t xml:space="preserve">the Economic and Social Council, </w:t>
      </w:r>
      <w:r w:rsidR="00AA7E31" w:rsidRPr="00B10916">
        <w:t>to the General Assembly</w:t>
      </w:r>
      <w:r w:rsidR="00C62048" w:rsidRPr="00B10916">
        <w:t xml:space="preserve"> at its seventieth session</w:t>
      </w:r>
      <w:r w:rsidR="00AA7E31" w:rsidRPr="00B10916">
        <w:t>.</w:t>
      </w:r>
    </w:p>
    <w:p w14:paraId="0CDE2788" w14:textId="17AC7CD0" w:rsidR="00AA7E31" w:rsidRPr="00B10916" w:rsidRDefault="00B10916" w:rsidP="00B10916">
      <w:pPr>
        <w:pStyle w:val="SingleTxtG"/>
        <w:tabs>
          <w:tab w:val="left" w:pos="1701"/>
        </w:tabs>
      </w:pPr>
      <w:r w:rsidRPr="00B10916">
        <w:rPr>
          <w:bCs/>
        </w:rPr>
        <w:t>7.</w:t>
      </w:r>
      <w:r w:rsidRPr="00B10916">
        <w:rPr>
          <w:bCs/>
        </w:rPr>
        <w:tab/>
      </w:r>
      <w:r w:rsidR="00AA7E31" w:rsidRPr="00B10916">
        <w:t xml:space="preserve">Following the World Conference, the </w:t>
      </w:r>
      <w:r w:rsidR="00C62048" w:rsidRPr="00B10916">
        <w:t>OHCHR o</w:t>
      </w:r>
      <w:r w:rsidR="00AA7E31" w:rsidRPr="00B10916">
        <w:t xml:space="preserve">ffice in </w:t>
      </w:r>
      <w:r w:rsidR="003231A1" w:rsidRPr="00B10916">
        <w:rPr>
          <w:iCs/>
        </w:rPr>
        <w:t xml:space="preserve">the Plurinational State of </w:t>
      </w:r>
      <w:r w:rsidR="00AA7E31" w:rsidRPr="00B10916">
        <w:t xml:space="preserve">Bolivia coordinated and initiated dialogues with various </w:t>
      </w:r>
      <w:r w:rsidR="003446CA" w:rsidRPr="00B10916">
        <w:t xml:space="preserve">United Nations </w:t>
      </w:r>
      <w:r w:rsidR="00AA7E31" w:rsidRPr="00B10916">
        <w:t xml:space="preserve">agencies to provide technical assistance in the design of actions, adaptation and implementation of commitments contained in the </w:t>
      </w:r>
      <w:r w:rsidR="00FB3693" w:rsidRPr="00B10916">
        <w:t>o</w:t>
      </w:r>
      <w:r w:rsidR="00AA7E31" w:rsidRPr="00B10916">
        <w:t xml:space="preserve">utcome </w:t>
      </w:r>
      <w:r w:rsidR="00FB3693" w:rsidRPr="00B10916">
        <w:t>d</w:t>
      </w:r>
      <w:r w:rsidR="00AA7E31" w:rsidRPr="00B10916">
        <w:t>ocument.</w:t>
      </w:r>
    </w:p>
    <w:p w14:paraId="419F4FB1" w14:textId="6DACC272" w:rsidR="00AA7E31" w:rsidRPr="00B10916" w:rsidRDefault="00B10916" w:rsidP="00B10916">
      <w:pPr>
        <w:pStyle w:val="SingleTxtG"/>
        <w:tabs>
          <w:tab w:val="left" w:pos="1701"/>
        </w:tabs>
      </w:pPr>
      <w:r w:rsidRPr="00B10916">
        <w:rPr>
          <w:bCs/>
        </w:rPr>
        <w:t>8.</w:t>
      </w:r>
      <w:r w:rsidRPr="00B10916">
        <w:rPr>
          <w:bCs/>
        </w:rPr>
        <w:tab/>
      </w:r>
      <w:r w:rsidR="00AA7E31" w:rsidRPr="00B10916">
        <w:t xml:space="preserve">OHCHR continued to play an active role in various inter-agency initiatives, as it chaired the Support Group during the reporting period. The </w:t>
      </w:r>
      <w:r w:rsidR="006E250C" w:rsidRPr="00B10916">
        <w:t xml:space="preserve">Support </w:t>
      </w:r>
      <w:r w:rsidR="00957641" w:rsidRPr="00B10916">
        <w:t xml:space="preserve">Group </w:t>
      </w:r>
      <w:r w:rsidR="00AA7E31" w:rsidRPr="00B10916">
        <w:t xml:space="preserve">had engaged actively in the World Conference </w:t>
      </w:r>
      <w:r w:rsidR="006E250C" w:rsidRPr="00B10916">
        <w:t xml:space="preserve">then supported </w:t>
      </w:r>
      <w:r w:rsidR="00AA7E31" w:rsidRPr="00B10916">
        <w:t xml:space="preserve">follow-up to </w:t>
      </w:r>
      <w:r w:rsidR="006E250C" w:rsidRPr="00B10916">
        <w:t xml:space="preserve">its </w:t>
      </w:r>
      <w:r w:rsidR="00445909" w:rsidRPr="00B10916">
        <w:t>o</w:t>
      </w:r>
      <w:r w:rsidR="00AA7E31" w:rsidRPr="00B10916">
        <w:t xml:space="preserve">utcome </w:t>
      </w:r>
      <w:r w:rsidR="00445909" w:rsidRPr="00B10916">
        <w:t>d</w:t>
      </w:r>
      <w:r w:rsidR="00AA7E31" w:rsidRPr="00B10916">
        <w:t>ocument</w:t>
      </w:r>
      <w:r w:rsidR="006E250C" w:rsidRPr="00B10916">
        <w:t>,</w:t>
      </w:r>
      <w:r w:rsidR="00AA7E31" w:rsidRPr="00B10916">
        <w:t xml:space="preserve"> </w:t>
      </w:r>
      <w:r w:rsidR="00445909" w:rsidRPr="00B10916">
        <w:t xml:space="preserve">in </w:t>
      </w:r>
      <w:r w:rsidR="00AA7E31" w:rsidRPr="00B10916">
        <w:t xml:space="preserve">which the </w:t>
      </w:r>
      <w:r w:rsidR="006E250C" w:rsidRPr="00B10916">
        <w:t xml:space="preserve">Support </w:t>
      </w:r>
      <w:r w:rsidR="00957641" w:rsidRPr="00B10916">
        <w:t xml:space="preserve">Group’s </w:t>
      </w:r>
      <w:r w:rsidR="00AA7E31" w:rsidRPr="00B10916">
        <w:t xml:space="preserve">important role in ensuring coordinated and coherent </w:t>
      </w:r>
      <w:r w:rsidR="003446CA" w:rsidRPr="00B10916">
        <w:t xml:space="preserve">United Nations </w:t>
      </w:r>
      <w:r w:rsidR="00AA7E31" w:rsidRPr="00B10916">
        <w:t>action in relation to indigenous peoples</w:t>
      </w:r>
      <w:r w:rsidR="00445909" w:rsidRPr="00B10916">
        <w:t xml:space="preserve"> was recognized</w:t>
      </w:r>
      <w:r w:rsidR="00AA7E31" w:rsidRPr="00B10916">
        <w:t>.</w:t>
      </w:r>
    </w:p>
    <w:p w14:paraId="17C1177D" w14:textId="22B0A4BE" w:rsidR="00AA7E31" w:rsidRPr="00B10916" w:rsidRDefault="00B10916" w:rsidP="00B10916">
      <w:pPr>
        <w:pStyle w:val="SingleTxtG"/>
        <w:tabs>
          <w:tab w:val="left" w:pos="1701"/>
        </w:tabs>
      </w:pPr>
      <w:r w:rsidRPr="00B10916">
        <w:rPr>
          <w:bCs/>
        </w:rPr>
        <w:t>9.</w:t>
      </w:r>
      <w:r w:rsidRPr="00B10916">
        <w:rPr>
          <w:bCs/>
        </w:rPr>
        <w:tab/>
      </w:r>
      <w:r w:rsidR="00AA7E31" w:rsidRPr="00B10916">
        <w:t>Supporting such follow-up was the main focus of the annual meeting</w:t>
      </w:r>
      <w:r w:rsidR="004C7E91" w:rsidRPr="00B10916">
        <w:t xml:space="preserve"> of the Support Group</w:t>
      </w:r>
      <w:r w:rsidR="00AA7E31" w:rsidRPr="00B10916">
        <w:t>,</w:t>
      </w:r>
      <w:r w:rsidR="00174A97" w:rsidRPr="00B10916">
        <w:t xml:space="preserve"> hosted by OHCHR in Geneva on 1</w:t>
      </w:r>
      <w:r w:rsidR="004C7E91" w:rsidRPr="00B10916">
        <w:t xml:space="preserve"> and </w:t>
      </w:r>
      <w:r w:rsidR="00AA7E31" w:rsidRPr="00B10916">
        <w:t xml:space="preserve">2 December 2014. The meeting brought together focal points for indigenous peoples’ issues from 17 agencies and benefitted from </w:t>
      </w:r>
      <w:r w:rsidR="004C7E91" w:rsidRPr="00B10916">
        <w:t xml:space="preserve">the </w:t>
      </w:r>
      <w:r w:rsidR="00AA7E31" w:rsidRPr="00B10916">
        <w:t xml:space="preserve">active participation of the Special Rapporteur on the </w:t>
      </w:r>
      <w:r w:rsidR="004C7E91" w:rsidRPr="00B10916">
        <w:t>r</w:t>
      </w:r>
      <w:r w:rsidR="00AA7E31" w:rsidRPr="00B10916">
        <w:t>ights of indigenous peoples, the Chair of the Permanent Forum</w:t>
      </w:r>
      <w:r w:rsidR="006E250C" w:rsidRPr="00B10916">
        <w:t xml:space="preserve"> on Indigenous Issues</w:t>
      </w:r>
      <w:r w:rsidR="00AA7E31" w:rsidRPr="00B10916">
        <w:t xml:space="preserve"> and the focal point </w:t>
      </w:r>
      <w:r w:rsidR="006E250C" w:rsidRPr="00B10916">
        <w:t xml:space="preserve">of the Permanent Forum </w:t>
      </w:r>
      <w:r w:rsidR="00AA7E31" w:rsidRPr="00B10916">
        <w:t>for the Support Group.</w:t>
      </w:r>
    </w:p>
    <w:p w14:paraId="65AED63F" w14:textId="272DCA25" w:rsidR="00AA7E31" w:rsidRPr="00B10916" w:rsidRDefault="00B10916" w:rsidP="00B10916">
      <w:pPr>
        <w:pStyle w:val="SingleTxtG"/>
        <w:tabs>
          <w:tab w:val="left" w:pos="1701"/>
        </w:tabs>
      </w:pPr>
      <w:r w:rsidRPr="00B10916">
        <w:rPr>
          <w:bCs/>
        </w:rPr>
        <w:t>10.</w:t>
      </w:r>
      <w:r w:rsidRPr="00B10916">
        <w:rPr>
          <w:bCs/>
        </w:rPr>
        <w:tab/>
      </w:r>
      <w:r w:rsidR="00AA7E31" w:rsidRPr="00B10916">
        <w:t xml:space="preserve">At the meeting, </w:t>
      </w:r>
      <w:r w:rsidR="00957641" w:rsidRPr="00B10916">
        <w:t xml:space="preserve">the Support Group </w:t>
      </w:r>
      <w:r w:rsidR="006E250C" w:rsidRPr="00B10916">
        <w:t xml:space="preserve">began </w:t>
      </w:r>
      <w:r w:rsidR="00AA7E31" w:rsidRPr="00B10916">
        <w:t xml:space="preserve">preparation of a system-wide action plan, to be developed in consultation and cooperation with indigenous peoples and Member States. The </w:t>
      </w:r>
      <w:r w:rsidR="006E250C" w:rsidRPr="00B10916">
        <w:t xml:space="preserve">Support </w:t>
      </w:r>
      <w:r w:rsidR="00957641" w:rsidRPr="00B10916">
        <w:t xml:space="preserve">Group </w:t>
      </w:r>
      <w:r w:rsidR="00AA7E31" w:rsidRPr="00B10916">
        <w:t xml:space="preserve">discussed lessons that </w:t>
      </w:r>
      <w:r w:rsidR="006E250C" w:rsidRPr="00B10916">
        <w:t xml:space="preserve">could </w:t>
      </w:r>
      <w:r w:rsidR="00AA7E31" w:rsidRPr="00B10916">
        <w:t xml:space="preserve">be drawn from other United Nations system-wide action plans, including </w:t>
      </w:r>
      <w:r w:rsidR="006E250C" w:rsidRPr="00B10916">
        <w:t xml:space="preserve">those </w:t>
      </w:r>
      <w:r w:rsidR="00AA7E31" w:rsidRPr="00B10916">
        <w:t>on youth and gender</w:t>
      </w:r>
      <w:r w:rsidR="006E250C" w:rsidRPr="00B10916">
        <w:t>,</w:t>
      </w:r>
      <w:r w:rsidR="00AA7E31" w:rsidRPr="00B10916">
        <w:t xml:space="preserve"> and highlighted key considerations</w:t>
      </w:r>
      <w:r w:rsidR="006E250C" w:rsidRPr="00B10916">
        <w:t>,</w:t>
      </w:r>
      <w:r w:rsidR="00AA7E31" w:rsidRPr="00B10916">
        <w:t xml:space="preserve"> such as the need to root the action plan in the Declaration</w:t>
      </w:r>
      <w:r w:rsidR="006E250C" w:rsidRPr="00B10916">
        <w:t>,</w:t>
      </w:r>
      <w:r w:rsidR="00AA7E31" w:rsidRPr="00B10916">
        <w:t xml:space="preserve"> the importance of engaging </w:t>
      </w:r>
      <w:r w:rsidR="003446CA" w:rsidRPr="00B10916">
        <w:t xml:space="preserve">United Nations </w:t>
      </w:r>
      <w:r w:rsidR="00AA7E31" w:rsidRPr="00B10916">
        <w:t xml:space="preserve">regional and country presences and the relevance of the post-2015 development agenda. A small informal working group was set up to further advance work on the </w:t>
      </w:r>
      <w:r w:rsidR="006E250C" w:rsidRPr="00B10916">
        <w:t>action plan</w:t>
      </w:r>
      <w:r w:rsidR="00AA7E31" w:rsidRPr="00B10916">
        <w:t xml:space="preserve"> in cooperation with indigenous and Member State partners.</w:t>
      </w:r>
    </w:p>
    <w:p w14:paraId="7F5E25CB" w14:textId="2FDC080E" w:rsidR="00AA7E31" w:rsidRPr="00B10916" w:rsidRDefault="00B10916" w:rsidP="00B10916">
      <w:pPr>
        <w:pStyle w:val="SingleTxtG"/>
        <w:tabs>
          <w:tab w:val="left" w:pos="1701"/>
        </w:tabs>
      </w:pPr>
      <w:r w:rsidRPr="00B10916">
        <w:rPr>
          <w:bCs/>
        </w:rPr>
        <w:t>11.</w:t>
      </w:r>
      <w:r w:rsidRPr="00B10916">
        <w:rPr>
          <w:bCs/>
        </w:rPr>
        <w:tab/>
      </w:r>
      <w:r w:rsidR="00957641" w:rsidRPr="00B10916">
        <w:t xml:space="preserve">The Support Group </w:t>
      </w:r>
      <w:r w:rsidR="00AA7E31" w:rsidRPr="00B10916">
        <w:t>also took stock of various initiatives concerning the development and use of indicators related to indigenous peoples and is now working to build support for operationalizing agreed indicators, including with a view to their application in connection with the post-2015 development agenda.</w:t>
      </w:r>
      <w:r w:rsidR="000024B6" w:rsidRPr="00B10916">
        <w:t xml:space="preserve"> </w:t>
      </w:r>
      <w:r w:rsidR="00AA7E31" w:rsidRPr="00B10916">
        <w:t xml:space="preserve">In addition, the </w:t>
      </w:r>
      <w:r w:rsidR="006E250C" w:rsidRPr="00B10916">
        <w:t xml:space="preserve">Support </w:t>
      </w:r>
      <w:r w:rsidR="00957641" w:rsidRPr="00B10916">
        <w:t xml:space="preserve">Group </w:t>
      </w:r>
      <w:r w:rsidR="00AA7E31" w:rsidRPr="00B10916">
        <w:t>examined how to encourage national human rights institutions to advance indigenous peoples’ rights at the national and international level</w:t>
      </w:r>
      <w:r w:rsidR="00702E86" w:rsidRPr="00B10916">
        <w:t>s</w:t>
      </w:r>
      <w:r w:rsidR="00AA7E31" w:rsidRPr="00B10916">
        <w:t xml:space="preserve">, in line with the </w:t>
      </w:r>
      <w:r w:rsidR="00702E86" w:rsidRPr="00B10916">
        <w:t>o</w:t>
      </w:r>
      <w:r w:rsidR="00AA7E31" w:rsidRPr="00B10916">
        <w:t xml:space="preserve">utcome </w:t>
      </w:r>
      <w:r w:rsidR="00702E86" w:rsidRPr="00B10916">
        <w:t>d</w:t>
      </w:r>
      <w:r w:rsidR="00AA7E31" w:rsidRPr="00B10916">
        <w:t>ocument of the World Conference.</w:t>
      </w:r>
    </w:p>
    <w:p w14:paraId="59DCE710" w14:textId="6CAC7A48" w:rsidR="00AA7E31" w:rsidRPr="00B10916" w:rsidRDefault="00B10916" w:rsidP="00B10916">
      <w:pPr>
        <w:pStyle w:val="SingleTxtG"/>
        <w:tabs>
          <w:tab w:val="left" w:pos="1701"/>
        </w:tabs>
      </w:pPr>
      <w:r w:rsidRPr="00B10916">
        <w:rPr>
          <w:bCs/>
        </w:rPr>
        <w:t>12.</w:t>
      </w:r>
      <w:r w:rsidRPr="00B10916">
        <w:rPr>
          <w:bCs/>
        </w:rPr>
        <w:tab/>
      </w:r>
      <w:r w:rsidR="00AA7E31" w:rsidRPr="00B10916">
        <w:t xml:space="preserve">OHCHR also played an active role in raising the profile of indigenous peoples in the context of the Human Rights Council, including through its support </w:t>
      </w:r>
      <w:r w:rsidR="00702E86" w:rsidRPr="00B10916">
        <w:t xml:space="preserve">of </w:t>
      </w:r>
      <w:r w:rsidR="00AA7E31" w:rsidRPr="00B10916">
        <w:t xml:space="preserve">the Expert Mechanism on the Rights of Indigenous Peoples, </w:t>
      </w:r>
      <w:r w:rsidR="00702E86" w:rsidRPr="00B10916">
        <w:t xml:space="preserve">for example, by reviewing </w:t>
      </w:r>
      <w:r w:rsidR="00AA7E31" w:rsidRPr="00B10916">
        <w:t>the mandate by the Human Rights Council.</w:t>
      </w:r>
      <w:r w:rsidR="000024B6" w:rsidRPr="00B10916">
        <w:t xml:space="preserve"> </w:t>
      </w:r>
      <w:r w:rsidR="00702E86" w:rsidRPr="00B10916">
        <w:t>D</w:t>
      </w:r>
      <w:r w:rsidR="00AA7E31" w:rsidRPr="00B10916">
        <w:t>uring the twenty-ninth session of the Human Rights Council</w:t>
      </w:r>
      <w:r w:rsidR="00702E86" w:rsidRPr="00B10916">
        <w:t>,</w:t>
      </w:r>
      <w:r w:rsidR="00AA7E31" w:rsidRPr="00B10916">
        <w:t xml:space="preserve"> in September 2014, </w:t>
      </w:r>
      <w:r w:rsidR="00702E86" w:rsidRPr="00B10916">
        <w:t xml:space="preserve">OHCHR organized </w:t>
      </w:r>
      <w:r w:rsidR="00AA7E31" w:rsidRPr="00B10916">
        <w:t xml:space="preserve">a panel </w:t>
      </w:r>
      <w:r w:rsidR="00702E86" w:rsidRPr="00B10916">
        <w:t xml:space="preserve">discussion </w:t>
      </w:r>
      <w:r w:rsidR="00AA7E31" w:rsidRPr="00B10916">
        <w:t>on indigenous peoples’ issues devoted to prevention and protection of indigenous peoples’ in disaster risk reduction and prevention and preparedness initiatives.</w:t>
      </w:r>
    </w:p>
    <w:p w14:paraId="0A9936A5" w14:textId="628B17BD" w:rsidR="00AA7E31" w:rsidRPr="00B10916" w:rsidRDefault="00AA7E31" w:rsidP="001E1542">
      <w:pPr>
        <w:pStyle w:val="H1G"/>
      </w:pPr>
      <w:r w:rsidRPr="00B10916">
        <w:tab/>
        <w:t>B.</w:t>
      </w:r>
      <w:r w:rsidRPr="00B10916">
        <w:tab/>
        <w:t>United Nations Indigenous Peoples</w:t>
      </w:r>
      <w:r w:rsidR="00702E86" w:rsidRPr="00B10916">
        <w:t>’</w:t>
      </w:r>
      <w:r w:rsidRPr="00B10916">
        <w:t xml:space="preserve"> Partnership </w:t>
      </w:r>
      <w:r w:rsidR="00702E86" w:rsidRPr="00B10916">
        <w:t>i</w:t>
      </w:r>
      <w:r w:rsidRPr="00B10916">
        <w:t>nitiative</w:t>
      </w:r>
    </w:p>
    <w:p w14:paraId="32D205A6" w14:textId="24EE7FE0" w:rsidR="00AA7E31" w:rsidRPr="00B10916" w:rsidRDefault="00B10916" w:rsidP="00B10916">
      <w:pPr>
        <w:pStyle w:val="SingleTxtG"/>
        <w:tabs>
          <w:tab w:val="left" w:pos="1701"/>
        </w:tabs>
      </w:pPr>
      <w:r w:rsidRPr="00B10916">
        <w:rPr>
          <w:bCs/>
        </w:rPr>
        <w:t>13.</w:t>
      </w:r>
      <w:r w:rsidRPr="00B10916">
        <w:rPr>
          <w:bCs/>
        </w:rPr>
        <w:tab/>
      </w:r>
      <w:r w:rsidR="00AA7E31" w:rsidRPr="00B10916">
        <w:t xml:space="preserve">The United Nations Indigenous Peoples Partnership </w:t>
      </w:r>
      <w:r w:rsidR="00702E86" w:rsidRPr="00B10916">
        <w:t>i</w:t>
      </w:r>
      <w:r w:rsidR="00AA7E31" w:rsidRPr="00B10916">
        <w:t>nitiative, a joint initiative between OHCHR, the International Labour Organi</w:t>
      </w:r>
      <w:r w:rsidR="00E75E9F" w:rsidRPr="00B10916">
        <w:t>z</w:t>
      </w:r>
      <w:r w:rsidR="00AA7E31" w:rsidRPr="00B10916">
        <w:t>ation (ILO), the United Nations Children’s Fund (UNICEF), the United Nations Population Fund and the United Nations Development Program</w:t>
      </w:r>
      <w:r w:rsidR="000C2D11" w:rsidRPr="00B10916">
        <w:t>me</w:t>
      </w:r>
      <w:r w:rsidR="00AA7E31" w:rsidRPr="00B10916">
        <w:t xml:space="preserve"> (UNDP) completed activities under its four-yea</w:t>
      </w:r>
      <w:r w:rsidR="00174A97" w:rsidRPr="00B10916">
        <w:t xml:space="preserve">r strategic framework </w:t>
      </w:r>
      <w:r w:rsidR="000C2D11" w:rsidRPr="00B10916">
        <w:t xml:space="preserve">for </w:t>
      </w:r>
      <w:r w:rsidR="00174A97" w:rsidRPr="00B10916">
        <w:t>2011–</w:t>
      </w:r>
      <w:r w:rsidR="00AA7E31" w:rsidRPr="00B10916">
        <w:t>2014.</w:t>
      </w:r>
      <w:r w:rsidR="000024B6" w:rsidRPr="00B10916">
        <w:t xml:space="preserve"> </w:t>
      </w:r>
      <w:r w:rsidR="00702E86" w:rsidRPr="00B10916">
        <w:t>I</w:t>
      </w:r>
      <w:r w:rsidR="00AA7E31" w:rsidRPr="00B10916">
        <w:t xml:space="preserve">mplementation </w:t>
      </w:r>
      <w:r w:rsidR="00702E86" w:rsidRPr="00B10916">
        <w:t xml:space="preserve">of the </w:t>
      </w:r>
      <w:r w:rsidR="000C2D11" w:rsidRPr="00B10916">
        <w:t xml:space="preserve">Partnership </w:t>
      </w:r>
      <w:r w:rsidR="00AA7E31" w:rsidRPr="00B10916">
        <w:t xml:space="preserve">started in 2012 with six </w:t>
      </w:r>
      <w:r w:rsidR="003446CA" w:rsidRPr="00B10916">
        <w:t xml:space="preserve">United Nations </w:t>
      </w:r>
      <w:r w:rsidR="00AA7E31" w:rsidRPr="00B10916">
        <w:t xml:space="preserve">joint programmes in </w:t>
      </w:r>
      <w:r w:rsidR="003231A1" w:rsidRPr="00B10916">
        <w:rPr>
          <w:iCs/>
        </w:rPr>
        <w:t xml:space="preserve">the Plurinational State of </w:t>
      </w:r>
      <w:r w:rsidR="00AA7E31" w:rsidRPr="00B10916">
        <w:t xml:space="preserve">Bolivia, Cameroon, </w:t>
      </w:r>
      <w:r w:rsidR="003231A1" w:rsidRPr="00B10916">
        <w:t xml:space="preserve">the </w:t>
      </w:r>
      <w:r w:rsidR="00AA7E31" w:rsidRPr="00B10916">
        <w:t xml:space="preserve">Central African Republic, Nicaragua and </w:t>
      </w:r>
      <w:r w:rsidR="003231A1" w:rsidRPr="00B10916">
        <w:t xml:space="preserve">the </w:t>
      </w:r>
      <w:r w:rsidR="00AA7E31" w:rsidRPr="00B10916">
        <w:t>Congo, as well as through a regional programme in South</w:t>
      </w:r>
      <w:r w:rsidR="00275CE7" w:rsidRPr="00B10916">
        <w:t>-E</w:t>
      </w:r>
      <w:r w:rsidR="00AA7E31" w:rsidRPr="00B10916">
        <w:t xml:space="preserve">ast Asia. The programmes </w:t>
      </w:r>
      <w:r w:rsidR="00275CE7" w:rsidRPr="00B10916">
        <w:t xml:space="preserve">were </w:t>
      </w:r>
      <w:r w:rsidR="00AA7E31" w:rsidRPr="00B10916">
        <w:t xml:space="preserve">built </w:t>
      </w:r>
      <w:r w:rsidR="00275CE7" w:rsidRPr="00B10916">
        <w:t>up</w:t>
      </w:r>
      <w:r w:rsidR="00AA7E31" w:rsidRPr="00B10916">
        <w:t xml:space="preserve">on the Declaration, ILO </w:t>
      </w:r>
      <w:r w:rsidR="00E75E9F" w:rsidRPr="00B10916">
        <w:t>Indigenous and Tribal Peoples Convention, 1989 (No. 169)</w:t>
      </w:r>
      <w:r w:rsidR="00AA7E31" w:rsidRPr="00B10916">
        <w:t xml:space="preserve"> and other key standards</w:t>
      </w:r>
      <w:r w:rsidR="00275CE7" w:rsidRPr="00B10916">
        <w:t>,</w:t>
      </w:r>
      <w:r w:rsidR="000024B6" w:rsidRPr="00B10916">
        <w:t xml:space="preserve"> </w:t>
      </w:r>
      <w:r w:rsidR="00275CE7" w:rsidRPr="00B10916">
        <w:t xml:space="preserve">and </w:t>
      </w:r>
      <w:r w:rsidR="00AA7E31" w:rsidRPr="00B10916">
        <w:t xml:space="preserve">reflected </w:t>
      </w:r>
      <w:r w:rsidR="00275CE7" w:rsidRPr="00B10916">
        <w:t xml:space="preserve">the </w:t>
      </w:r>
      <w:r w:rsidR="00AA7E31" w:rsidRPr="00B10916">
        <w:t>findings of the Special Rapporteur, treaty bodies and other human rights mechanisms.</w:t>
      </w:r>
    </w:p>
    <w:p w14:paraId="3E2F8380" w14:textId="0979E90E" w:rsidR="00AA7E31" w:rsidRPr="00B10916" w:rsidRDefault="00B10916" w:rsidP="00B10916">
      <w:pPr>
        <w:pStyle w:val="SingleTxtG"/>
        <w:tabs>
          <w:tab w:val="left" w:pos="1701"/>
        </w:tabs>
      </w:pPr>
      <w:r w:rsidRPr="00B10916">
        <w:rPr>
          <w:bCs/>
        </w:rPr>
        <w:t>14.</w:t>
      </w:r>
      <w:r w:rsidRPr="00B10916">
        <w:rPr>
          <w:bCs/>
        </w:rPr>
        <w:tab/>
      </w:r>
      <w:r w:rsidR="00AA7E31" w:rsidRPr="00B10916">
        <w:t xml:space="preserve">During the course of </w:t>
      </w:r>
      <w:r w:rsidR="00702E86" w:rsidRPr="00B10916">
        <w:t xml:space="preserve">the </w:t>
      </w:r>
      <w:r w:rsidR="00275CE7" w:rsidRPr="00B10916">
        <w:t xml:space="preserve">Partnership’s </w:t>
      </w:r>
      <w:r w:rsidR="00AA7E31" w:rsidRPr="00B10916">
        <w:t>activities</w:t>
      </w:r>
      <w:r w:rsidR="00702E86" w:rsidRPr="00B10916">
        <w:t xml:space="preserve">, </w:t>
      </w:r>
      <w:r w:rsidR="00AA7E31" w:rsidRPr="00B10916">
        <w:t xml:space="preserve">through its six joint country programmes and one regional project, over </w:t>
      </w:r>
      <w:r w:rsidR="00275CE7" w:rsidRPr="00B10916">
        <w:t xml:space="preserve">100 </w:t>
      </w:r>
      <w:r w:rsidR="00AA7E31" w:rsidRPr="00B10916">
        <w:t>partners were brought together and more than 5</w:t>
      </w:r>
      <w:r w:rsidR="00275CE7" w:rsidRPr="00B10916">
        <w:t>,</w:t>
      </w:r>
      <w:r w:rsidR="00AA7E31" w:rsidRPr="00B10916">
        <w:t>500 government officials, indigenous peoples and other key stakeholders were reached through capacity</w:t>
      </w:r>
      <w:r w:rsidR="00275CE7" w:rsidRPr="00B10916">
        <w:t>-</w:t>
      </w:r>
      <w:r w:rsidR="00AA7E31" w:rsidRPr="00B10916">
        <w:t>building and training initiatives in Asia, Africa and Latin America.</w:t>
      </w:r>
      <w:r w:rsidR="000024B6" w:rsidRPr="00B10916">
        <w:t xml:space="preserve"> </w:t>
      </w:r>
      <w:r w:rsidR="00AA7E31" w:rsidRPr="00B10916">
        <w:t>Approximately 40 thematic studies and publications were produced</w:t>
      </w:r>
      <w:r w:rsidR="00275CE7" w:rsidRPr="00B10916">
        <w:t>,</w:t>
      </w:r>
      <w:r w:rsidR="00AA7E31" w:rsidRPr="00B10916">
        <w:t xml:space="preserve"> including on issues related to maternal health, reproductive rights, HIV/AIDS and conditions in the forestry sector.</w:t>
      </w:r>
      <w:r w:rsidR="000024B6" w:rsidRPr="00B10916">
        <w:t xml:space="preserve"> </w:t>
      </w:r>
      <w:r w:rsidR="00702E86" w:rsidRPr="00B10916">
        <w:t xml:space="preserve">The </w:t>
      </w:r>
      <w:r w:rsidR="00275CE7" w:rsidRPr="00B10916">
        <w:t xml:space="preserve">Partnership’s </w:t>
      </w:r>
      <w:r w:rsidR="00AA7E31" w:rsidRPr="00B10916">
        <w:t xml:space="preserve">initiatives to support legal and policy reform and access to justice have contributed to the development of national decrees </w:t>
      </w:r>
      <w:r w:rsidR="00275CE7" w:rsidRPr="00B10916">
        <w:t xml:space="preserve">and </w:t>
      </w:r>
      <w:r w:rsidR="00AA7E31" w:rsidRPr="00B10916">
        <w:t xml:space="preserve">reviews of national and municipal laws </w:t>
      </w:r>
      <w:r w:rsidR="009E2C90" w:rsidRPr="00B10916">
        <w:t xml:space="preserve">to </w:t>
      </w:r>
      <w:r w:rsidR="00AA7E31" w:rsidRPr="00B10916">
        <w:t>ensure the recognition and inclusion of indigenous peoples’ rights in local and national legal systems.</w:t>
      </w:r>
    </w:p>
    <w:p w14:paraId="3FD4A94E" w14:textId="6A1D84BB" w:rsidR="00AA7E31" w:rsidRPr="00B10916" w:rsidRDefault="00B10916" w:rsidP="00B10916">
      <w:pPr>
        <w:pStyle w:val="SingleTxtG"/>
        <w:tabs>
          <w:tab w:val="left" w:pos="1701"/>
        </w:tabs>
      </w:pPr>
      <w:r w:rsidRPr="00B10916">
        <w:rPr>
          <w:bCs/>
        </w:rPr>
        <w:t>15.</w:t>
      </w:r>
      <w:r w:rsidRPr="00B10916">
        <w:rPr>
          <w:bCs/>
        </w:rPr>
        <w:tab/>
      </w:r>
      <w:r w:rsidR="00AA7E31" w:rsidRPr="00B10916">
        <w:t xml:space="preserve">The Board </w:t>
      </w:r>
      <w:r w:rsidR="00702E86" w:rsidRPr="00B10916">
        <w:t xml:space="preserve">of the Partnership </w:t>
      </w:r>
      <w:r w:rsidR="009E2C90" w:rsidRPr="00B10916">
        <w:t xml:space="preserve">is currently discussing </w:t>
      </w:r>
      <w:r w:rsidR="00AA7E31" w:rsidRPr="00B10916">
        <w:t xml:space="preserve">how to align its next phase with the system-wide action plan mandated by the </w:t>
      </w:r>
      <w:r w:rsidR="007E54EF" w:rsidRPr="00B10916">
        <w:t>o</w:t>
      </w:r>
      <w:r w:rsidR="00AA7E31" w:rsidRPr="00B10916">
        <w:t xml:space="preserve">utcome </w:t>
      </w:r>
      <w:r w:rsidR="007E54EF" w:rsidRPr="00B10916">
        <w:t>d</w:t>
      </w:r>
      <w:r w:rsidR="00AA7E31" w:rsidRPr="00B10916">
        <w:t>ocument of the World Conference on Indigenous Peoples.</w:t>
      </w:r>
    </w:p>
    <w:p w14:paraId="5C6FED13" w14:textId="28413F13" w:rsidR="00AA7E31" w:rsidRPr="00B10916" w:rsidRDefault="00B10916" w:rsidP="00B10916">
      <w:pPr>
        <w:pStyle w:val="SingleTxtG"/>
        <w:tabs>
          <w:tab w:val="left" w:pos="1701"/>
        </w:tabs>
      </w:pPr>
      <w:r w:rsidRPr="00B10916">
        <w:rPr>
          <w:bCs/>
        </w:rPr>
        <w:t>16.</w:t>
      </w:r>
      <w:r w:rsidRPr="00B10916">
        <w:rPr>
          <w:bCs/>
        </w:rPr>
        <w:tab/>
      </w:r>
      <w:r w:rsidR="00AA7E31" w:rsidRPr="00B10916">
        <w:t xml:space="preserve">In September 2014, the OHCHR </w:t>
      </w:r>
      <w:r w:rsidR="007E54EF" w:rsidRPr="00B10916">
        <w:t>r</w:t>
      </w:r>
      <w:r w:rsidR="00AA7E31" w:rsidRPr="00B10916">
        <w:t xml:space="preserve">egional </w:t>
      </w:r>
      <w:r w:rsidR="007E54EF" w:rsidRPr="00B10916">
        <w:t>o</w:t>
      </w:r>
      <w:r w:rsidR="00AA7E31" w:rsidRPr="00B10916">
        <w:t xml:space="preserve">ffice for South America in Santiago prepared a joint proposal with </w:t>
      </w:r>
      <w:r w:rsidR="003446CA" w:rsidRPr="00B10916">
        <w:t xml:space="preserve">United Nations </w:t>
      </w:r>
      <w:r w:rsidR="00AA7E31" w:rsidRPr="00B10916">
        <w:t xml:space="preserve">agencies in Chile for submission to </w:t>
      </w:r>
      <w:r w:rsidR="00702E86" w:rsidRPr="00B10916">
        <w:t xml:space="preserve">the Partnership </w:t>
      </w:r>
      <w:r w:rsidR="00AA7E31" w:rsidRPr="00B10916">
        <w:t>on the topic of the right to consultation of indigenous youth and children.</w:t>
      </w:r>
    </w:p>
    <w:p w14:paraId="4CE6E6A4" w14:textId="09EBD23D" w:rsidR="00AA7E31" w:rsidRPr="00B10916" w:rsidRDefault="00AA7E31" w:rsidP="001E1542">
      <w:pPr>
        <w:pStyle w:val="H1G"/>
      </w:pPr>
      <w:r w:rsidRPr="00B10916">
        <w:tab/>
        <w:t>C.</w:t>
      </w:r>
      <w:r w:rsidRPr="00B10916">
        <w:tab/>
        <w:t>Capacity</w:t>
      </w:r>
      <w:r w:rsidR="00275CE7" w:rsidRPr="00B10916">
        <w:t>-</w:t>
      </w:r>
      <w:r w:rsidRPr="00B10916">
        <w:t xml:space="preserve">building and participation of indigenous peoples </w:t>
      </w:r>
      <w:r w:rsidR="003D375F" w:rsidRPr="00B10916">
        <w:br/>
      </w:r>
      <w:r w:rsidRPr="00B10916">
        <w:t xml:space="preserve">in </w:t>
      </w:r>
      <w:r w:rsidR="003446CA" w:rsidRPr="00B10916">
        <w:t xml:space="preserve">United Nations </w:t>
      </w:r>
      <w:r w:rsidRPr="00B10916">
        <w:t>processes</w:t>
      </w:r>
    </w:p>
    <w:p w14:paraId="512AFB44" w14:textId="16F0A045" w:rsidR="00AA7E31" w:rsidRPr="00B10916" w:rsidRDefault="00B10916" w:rsidP="00B10916">
      <w:pPr>
        <w:pStyle w:val="SingleTxtG"/>
        <w:tabs>
          <w:tab w:val="left" w:pos="1701"/>
        </w:tabs>
      </w:pPr>
      <w:r w:rsidRPr="00B10916">
        <w:rPr>
          <w:bCs/>
        </w:rPr>
        <w:t>17.</w:t>
      </w:r>
      <w:r w:rsidRPr="00B10916">
        <w:rPr>
          <w:bCs/>
        </w:rPr>
        <w:tab/>
      </w:r>
      <w:r w:rsidR="00AA7E31" w:rsidRPr="00B10916">
        <w:t xml:space="preserve">In 2014, </w:t>
      </w:r>
      <w:r w:rsidR="0081406C" w:rsidRPr="00B10916">
        <w:t xml:space="preserve">the </w:t>
      </w:r>
      <w:r w:rsidR="00AA7E31" w:rsidRPr="00B10916">
        <w:t xml:space="preserve">OHCHR Indigenous Peoples and Minorities Section carried out a number of training and briefing sessions for key stakeholders that included </w:t>
      </w:r>
      <w:r w:rsidR="003446CA" w:rsidRPr="00B10916">
        <w:t>United Nations c</w:t>
      </w:r>
      <w:r w:rsidR="00AA7E31" w:rsidRPr="00B10916">
        <w:t xml:space="preserve">ountry </w:t>
      </w:r>
      <w:r w:rsidR="003446CA" w:rsidRPr="00B10916">
        <w:t>t</w:t>
      </w:r>
      <w:r w:rsidR="00AA7E31" w:rsidRPr="00B10916">
        <w:t xml:space="preserve">eams, OHCHR staff, members of human rights treaty bodies, indigenous peoples’ organizations, government officials, parliamentarians </w:t>
      </w:r>
      <w:r w:rsidR="0081406C" w:rsidRPr="00B10916">
        <w:t xml:space="preserve">and </w:t>
      </w:r>
      <w:r w:rsidR="00AA7E31" w:rsidRPr="00B10916">
        <w:t>staff of national human rights institutions</w:t>
      </w:r>
      <w:r w:rsidR="0081406C" w:rsidRPr="00B10916">
        <w:t>,</w:t>
      </w:r>
      <w:r w:rsidR="00AA7E31" w:rsidRPr="00B10916">
        <w:t xml:space="preserve"> in an effort to promote the full application of the Declaration.</w:t>
      </w:r>
    </w:p>
    <w:p w14:paraId="78F649CC" w14:textId="0BD574DB" w:rsidR="00AA7E31" w:rsidRPr="00B10916" w:rsidRDefault="00B10916" w:rsidP="00B10916">
      <w:pPr>
        <w:pStyle w:val="SingleTxtG"/>
        <w:tabs>
          <w:tab w:val="left" w:pos="1701"/>
        </w:tabs>
      </w:pPr>
      <w:r w:rsidRPr="00B10916">
        <w:rPr>
          <w:bCs/>
        </w:rPr>
        <w:t>18.</w:t>
      </w:r>
      <w:r w:rsidRPr="00B10916">
        <w:rPr>
          <w:bCs/>
        </w:rPr>
        <w:tab/>
      </w:r>
      <w:r w:rsidR="00AA7E31" w:rsidRPr="00B10916">
        <w:t xml:space="preserve">During the reporting period, </w:t>
      </w:r>
      <w:r w:rsidR="00AA7E31" w:rsidRPr="00B10916">
        <w:rPr>
          <w:iCs/>
        </w:rPr>
        <w:t xml:space="preserve">OHCHR continued to build the capacity and expertise of representatives of indigenous peoples through its annual training programme on international human rights instruments and mechanisms. A total of 31 indigenous </w:t>
      </w:r>
      <w:r w:rsidR="0081406C" w:rsidRPr="00B10916">
        <w:rPr>
          <w:iCs/>
        </w:rPr>
        <w:t>people</w:t>
      </w:r>
      <w:r w:rsidR="00AA7E31" w:rsidRPr="00B10916">
        <w:rPr>
          <w:iCs/>
        </w:rPr>
        <w:t>, including 18 women</w:t>
      </w:r>
      <w:r w:rsidR="0081406C" w:rsidRPr="00B10916">
        <w:rPr>
          <w:iCs/>
        </w:rPr>
        <w:t>,</w:t>
      </w:r>
      <w:r w:rsidR="00AA7E31" w:rsidRPr="00B10916">
        <w:rPr>
          <w:iCs/>
        </w:rPr>
        <w:t xml:space="preserve"> originating from Algeria, Australia, Bangladesh, </w:t>
      </w:r>
      <w:r w:rsidR="003231A1" w:rsidRPr="00B10916">
        <w:rPr>
          <w:iCs/>
        </w:rPr>
        <w:t xml:space="preserve">the Plurinational State of </w:t>
      </w:r>
      <w:r w:rsidR="00AA7E31" w:rsidRPr="00B10916">
        <w:rPr>
          <w:iCs/>
        </w:rPr>
        <w:t xml:space="preserve">Bolivia, Brazil, Burundi, Cambodia, Colombia, Ecuador, Guatemala, Libya, Malaysia, Mexico, Morocco, Myanmar, New Zealand, Papua New Guinea, </w:t>
      </w:r>
      <w:r w:rsidR="003231A1" w:rsidRPr="00B10916">
        <w:rPr>
          <w:iCs/>
        </w:rPr>
        <w:t xml:space="preserve">the </w:t>
      </w:r>
      <w:r w:rsidR="00AA7E31" w:rsidRPr="00B10916">
        <w:rPr>
          <w:iCs/>
        </w:rPr>
        <w:t xml:space="preserve">Russian Federation, Rwanda and </w:t>
      </w:r>
      <w:r w:rsidR="003231A1" w:rsidRPr="00B10916">
        <w:rPr>
          <w:iCs/>
        </w:rPr>
        <w:t xml:space="preserve">the United Republic of </w:t>
      </w:r>
      <w:r w:rsidR="00AA7E31" w:rsidRPr="00B10916">
        <w:rPr>
          <w:iCs/>
        </w:rPr>
        <w:t xml:space="preserve">Tanzania participated in the 2014 indigenous fellowship that took place in Geneva from 16 June to 25 July. These fellows attended theoretical and practical training sessions on how to use international human rights instruments and mechanisms to more effectively advocate for and promote the rights of their respective communities at the international level. In addition, four indigenous fellows who had participated in the training in Geneva were given the opportunity to enhance their knowledge and experience by </w:t>
      </w:r>
      <w:r w:rsidR="00034737" w:rsidRPr="00B10916">
        <w:rPr>
          <w:iCs/>
        </w:rPr>
        <w:t xml:space="preserve">taking part in </w:t>
      </w:r>
      <w:r w:rsidR="00AA7E31" w:rsidRPr="00B10916">
        <w:rPr>
          <w:iCs/>
        </w:rPr>
        <w:t xml:space="preserve">national or regional fellowships with OHCHR country </w:t>
      </w:r>
      <w:r w:rsidR="00034737" w:rsidRPr="00B10916">
        <w:rPr>
          <w:iCs/>
        </w:rPr>
        <w:t xml:space="preserve">offices </w:t>
      </w:r>
      <w:r w:rsidR="00AA7E31" w:rsidRPr="00B10916">
        <w:rPr>
          <w:iCs/>
        </w:rPr>
        <w:t xml:space="preserve">in the Russian Federation, Guatemala, Mexico and Cameroon. Their active involvement in and input to the activities of </w:t>
      </w:r>
      <w:r w:rsidR="00034737" w:rsidRPr="00B10916">
        <w:rPr>
          <w:iCs/>
        </w:rPr>
        <w:t xml:space="preserve">OHCHR </w:t>
      </w:r>
      <w:r w:rsidR="00AA7E31" w:rsidRPr="00B10916">
        <w:rPr>
          <w:iCs/>
        </w:rPr>
        <w:t>were much appreciated</w:t>
      </w:r>
      <w:r w:rsidR="00034737" w:rsidRPr="00B10916">
        <w:rPr>
          <w:iCs/>
        </w:rPr>
        <w:t>,</w:t>
      </w:r>
      <w:r w:rsidR="00AA7E31" w:rsidRPr="00B10916">
        <w:rPr>
          <w:iCs/>
        </w:rPr>
        <w:t xml:space="preserve"> as was their first-hand knowledge of indigenous issues</w:t>
      </w:r>
      <w:r w:rsidR="00034737" w:rsidRPr="00B10916">
        <w:rPr>
          <w:iCs/>
        </w:rPr>
        <w:t>,</w:t>
      </w:r>
      <w:r w:rsidR="00AA7E31" w:rsidRPr="00B10916">
        <w:rPr>
          <w:iCs/>
        </w:rPr>
        <w:t xml:space="preserve"> which was an asset for </w:t>
      </w:r>
      <w:r w:rsidR="00034737" w:rsidRPr="00B10916">
        <w:rPr>
          <w:iCs/>
        </w:rPr>
        <w:t xml:space="preserve">the </w:t>
      </w:r>
      <w:r w:rsidR="00AA7E31" w:rsidRPr="00B10916">
        <w:rPr>
          <w:iCs/>
        </w:rPr>
        <w:t xml:space="preserve">work </w:t>
      </w:r>
      <w:r w:rsidR="00034737" w:rsidRPr="00B10916">
        <w:rPr>
          <w:iCs/>
        </w:rPr>
        <w:t xml:space="preserve">of OHCHR </w:t>
      </w:r>
      <w:r w:rsidR="00AA7E31" w:rsidRPr="00B10916">
        <w:rPr>
          <w:iCs/>
        </w:rPr>
        <w:t xml:space="preserve">on indigenous peoples’ issues. In order to give indigenous </w:t>
      </w:r>
      <w:r w:rsidR="001E1542" w:rsidRPr="00B10916">
        <w:rPr>
          <w:iCs/>
        </w:rPr>
        <w:t xml:space="preserve">people </w:t>
      </w:r>
      <w:r w:rsidR="00AA7E31" w:rsidRPr="00B10916">
        <w:rPr>
          <w:iCs/>
        </w:rPr>
        <w:t xml:space="preserve">the opportunity to learn through direct and practical engagement in the activities of OHCHR, the Indigenous Peoples and Minorities Section </w:t>
      </w:r>
      <w:r w:rsidR="001E1542" w:rsidRPr="00B10916">
        <w:rPr>
          <w:iCs/>
        </w:rPr>
        <w:t xml:space="preserve">continues to organize a </w:t>
      </w:r>
      <w:r w:rsidR="00AA7E31" w:rsidRPr="00B10916">
        <w:rPr>
          <w:iCs/>
        </w:rPr>
        <w:t>Senior Indigenous Fellow</w:t>
      </w:r>
      <w:r w:rsidR="001E1542" w:rsidRPr="00B10916">
        <w:rPr>
          <w:iCs/>
        </w:rPr>
        <w:t>ship</w:t>
      </w:r>
      <w:r w:rsidR="00AA7E31" w:rsidRPr="00B10916">
        <w:rPr>
          <w:iCs/>
        </w:rPr>
        <w:t xml:space="preserve"> over a period of four months to provide on-the-job training.</w:t>
      </w:r>
    </w:p>
    <w:p w14:paraId="1B7A1F1B" w14:textId="3B216967" w:rsidR="00AA7E31" w:rsidRPr="00B10916" w:rsidRDefault="00B10916" w:rsidP="00B10916">
      <w:pPr>
        <w:pStyle w:val="SingleTxtG"/>
        <w:tabs>
          <w:tab w:val="left" w:pos="1701"/>
        </w:tabs>
      </w:pPr>
      <w:r w:rsidRPr="00B10916">
        <w:rPr>
          <w:bCs/>
        </w:rPr>
        <w:t>19.</w:t>
      </w:r>
      <w:r w:rsidRPr="00B10916">
        <w:rPr>
          <w:bCs/>
        </w:rPr>
        <w:tab/>
      </w:r>
      <w:r w:rsidR="00AA7E31" w:rsidRPr="00B10916">
        <w:rPr>
          <w:iCs/>
        </w:rPr>
        <w:t xml:space="preserve">In addition to Headquarters, OHCHR regional and country </w:t>
      </w:r>
      <w:r w:rsidR="003E5526" w:rsidRPr="00B10916">
        <w:rPr>
          <w:iCs/>
        </w:rPr>
        <w:t xml:space="preserve">offices </w:t>
      </w:r>
      <w:r w:rsidR="00AA7E31" w:rsidRPr="00B10916">
        <w:rPr>
          <w:iCs/>
        </w:rPr>
        <w:t>have also run capacity</w:t>
      </w:r>
      <w:r w:rsidR="002F2482" w:rsidRPr="00B10916">
        <w:rPr>
          <w:iCs/>
        </w:rPr>
        <w:t>-</w:t>
      </w:r>
      <w:r w:rsidR="00AA7E31" w:rsidRPr="00B10916">
        <w:rPr>
          <w:iCs/>
        </w:rPr>
        <w:t>building programmes for indigenous peoples.</w:t>
      </w:r>
      <w:r w:rsidR="000024B6" w:rsidRPr="00B10916">
        <w:rPr>
          <w:iCs/>
        </w:rPr>
        <w:t xml:space="preserve"> </w:t>
      </w:r>
      <w:r w:rsidR="00AA7E31" w:rsidRPr="00B10916">
        <w:rPr>
          <w:iCs/>
        </w:rPr>
        <w:t xml:space="preserve">For example, the </w:t>
      </w:r>
      <w:r w:rsidR="003E5526" w:rsidRPr="00B10916">
        <w:rPr>
          <w:iCs/>
        </w:rPr>
        <w:t>h</w:t>
      </w:r>
      <w:r w:rsidR="00AA7E31" w:rsidRPr="00B10916">
        <w:rPr>
          <w:iCs/>
        </w:rPr>
        <w:t xml:space="preserve">uman </w:t>
      </w:r>
      <w:r w:rsidR="003E5526" w:rsidRPr="00B10916">
        <w:rPr>
          <w:iCs/>
        </w:rPr>
        <w:t>r</w:t>
      </w:r>
      <w:r w:rsidR="00AA7E31" w:rsidRPr="00B10916">
        <w:rPr>
          <w:iCs/>
        </w:rPr>
        <w:t xml:space="preserve">ights </w:t>
      </w:r>
      <w:r w:rsidR="003E5526" w:rsidRPr="00B10916">
        <w:rPr>
          <w:iCs/>
        </w:rPr>
        <w:t>a</w:t>
      </w:r>
      <w:r w:rsidR="00AA7E31" w:rsidRPr="00B10916">
        <w:rPr>
          <w:iCs/>
        </w:rPr>
        <w:t>dviser in Bangladesh served as a resource for the regional training program</w:t>
      </w:r>
      <w:r w:rsidR="003E5526" w:rsidRPr="00B10916">
        <w:rPr>
          <w:iCs/>
        </w:rPr>
        <w:t>me</w:t>
      </w:r>
      <w:r w:rsidR="00AA7E31" w:rsidRPr="00B10916">
        <w:rPr>
          <w:iCs/>
        </w:rPr>
        <w:t xml:space="preserve"> of the Asia-Pacific Forum of National Human Rights Institutions on indigenous peoples’ rights in Bangladesh, together with the Bangladesh Human Rights Commission.</w:t>
      </w:r>
    </w:p>
    <w:p w14:paraId="37081C5C" w14:textId="60731CB6" w:rsidR="00AA7E31" w:rsidRPr="00B10916" w:rsidRDefault="00B10916" w:rsidP="00B10916">
      <w:pPr>
        <w:pStyle w:val="SingleTxtG"/>
        <w:tabs>
          <w:tab w:val="left" w:pos="1701"/>
        </w:tabs>
      </w:pPr>
      <w:r w:rsidRPr="00B10916">
        <w:rPr>
          <w:bCs/>
        </w:rPr>
        <w:t>20.</w:t>
      </w:r>
      <w:r w:rsidRPr="00B10916">
        <w:rPr>
          <w:bCs/>
        </w:rPr>
        <w:tab/>
      </w:r>
      <w:r w:rsidR="00AA7E31" w:rsidRPr="00B10916">
        <w:rPr>
          <w:iCs/>
        </w:rPr>
        <w:t xml:space="preserve">The OHCHR country office in </w:t>
      </w:r>
      <w:r w:rsidR="002F2482" w:rsidRPr="00B10916">
        <w:rPr>
          <w:iCs/>
        </w:rPr>
        <w:t xml:space="preserve">the Plurinational State of </w:t>
      </w:r>
      <w:r w:rsidR="00AA7E31" w:rsidRPr="00B10916">
        <w:rPr>
          <w:iCs/>
        </w:rPr>
        <w:t>Bolivia conducted training activities for numerous indigenous peoples’ organizations that focused on collective rights and the use of national and international protection mechanisms</w:t>
      </w:r>
      <w:r w:rsidR="003E5526" w:rsidRPr="00B10916">
        <w:rPr>
          <w:iCs/>
        </w:rPr>
        <w:t>,</w:t>
      </w:r>
      <w:r w:rsidR="00AA7E31" w:rsidRPr="00B10916">
        <w:rPr>
          <w:iCs/>
        </w:rPr>
        <w:t xml:space="preserve"> and sought to develop their understanding of the right to consultation.</w:t>
      </w:r>
      <w:r w:rsidR="000024B6" w:rsidRPr="00B10916">
        <w:rPr>
          <w:iCs/>
        </w:rPr>
        <w:t xml:space="preserve"> </w:t>
      </w:r>
      <w:r w:rsidR="00AA7E31" w:rsidRPr="00B10916">
        <w:rPr>
          <w:iCs/>
        </w:rPr>
        <w:t xml:space="preserve">In coordination with the </w:t>
      </w:r>
      <w:r w:rsidR="003E5526" w:rsidRPr="00B10916">
        <w:rPr>
          <w:iCs/>
        </w:rPr>
        <w:t>i</w:t>
      </w:r>
      <w:r w:rsidR="00AA7E31" w:rsidRPr="00B10916">
        <w:rPr>
          <w:iCs/>
        </w:rPr>
        <w:t xml:space="preserve">ndigenous </w:t>
      </w:r>
      <w:r w:rsidR="003E5526" w:rsidRPr="00B10916">
        <w:rPr>
          <w:iCs/>
        </w:rPr>
        <w:t>u</w:t>
      </w:r>
      <w:r w:rsidR="00AA7E31" w:rsidRPr="00B10916">
        <w:rPr>
          <w:iCs/>
        </w:rPr>
        <w:t xml:space="preserve">niversity of “Apiaguaiki Tupa”, the </w:t>
      </w:r>
      <w:r w:rsidR="003E5526" w:rsidRPr="00B10916">
        <w:rPr>
          <w:iCs/>
        </w:rPr>
        <w:t>o</w:t>
      </w:r>
      <w:r w:rsidR="00AA7E31" w:rsidRPr="00B10916">
        <w:rPr>
          <w:iCs/>
        </w:rPr>
        <w:t xml:space="preserve">ffice developed the first version of a course </w:t>
      </w:r>
      <w:r w:rsidR="003E5526" w:rsidRPr="00B10916">
        <w:rPr>
          <w:iCs/>
        </w:rPr>
        <w:t>en</w:t>
      </w:r>
      <w:r w:rsidR="00AA7E31" w:rsidRPr="00B10916">
        <w:rPr>
          <w:iCs/>
        </w:rPr>
        <w:t>titled “Rights of indigenous peoples in the universal human rights system and introduction to cultural expertise”.</w:t>
      </w:r>
      <w:r w:rsidR="000024B6" w:rsidRPr="00B10916">
        <w:rPr>
          <w:iCs/>
        </w:rPr>
        <w:t xml:space="preserve"> </w:t>
      </w:r>
      <w:r w:rsidR="00AA7E31" w:rsidRPr="00B10916">
        <w:rPr>
          <w:iCs/>
        </w:rPr>
        <w:t xml:space="preserve">A second version of </w:t>
      </w:r>
      <w:r w:rsidR="003E5526" w:rsidRPr="00B10916">
        <w:rPr>
          <w:iCs/>
        </w:rPr>
        <w:t xml:space="preserve">the </w:t>
      </w:r>
      <w:r w:rsidR="00AA7E31" w:rsidRPr="00B10916">
        <w:rPr>
          <w:iCs/>
        </w:rPr>
        <w:t>course is currently being taught to a new group of leaders representing indigenous peoples form the East, Chaco and Amazon regions.</w:t>
      </w:r>
    </w:p>
    <w:p w14:paraId="4D34CF2F" w14:textId="39D5F70A" w:rsidR="00AA7E31" w:rsidRPr="00B10916" w:rsidRDefault="00B10916" w:rsidP="00B10916">
      <w:pPr>
        <w:pStyle w:val="SingleTxtG"/>
        <w:tabs>
          <w:tab w:val="left" w:pos="1701"/>
        </w:tabs>
      </w:pPr>
      <w:r w:rsidRPr="00B10916">
        <w:rPr>
          <w:bCs/>
        </w:rPr>
        <w:t>21.</w:t>
      </w:r>
      <w:r w:rsidRPr="00B10916">
        <w:rPr>
          <w:bCs/>
        </w:rPr>
        <w:tab/>
      </w:r>
      <w:r w:rsidR="00AA7E31" w:rsidRPr="00B10916">
        <w:t xml:space="preserve">The </w:t>
      </w:r>
      <w:r w:rsidR="002F2482" w:rsidRPr="00B10916">
        <w:t>o</w:t>
      </w:r>
      <w:r w:rsidR="00AA7E31" w:rsidRPr="00B10916">
        <w:t xml:space="preserve">ffice in </w:t>
      </w:r>
      <w:r w:rsidR="002F2482" w:rsidRPr="00B10916">
        <w:rPr>
          <w:iCs/>
        </w:rPr>
        <w:t xml:space="preserve">the Plurinational State of </w:t>
      </w:r>
      <w:r w:rsidR="00AA7E31" w:rsidRPr="00B10916">
        <w:t xml:space="preserve">Bolivia also organized a joint workshop in coordination with ILO and the </w:t>
      </w:r>
      <w:r w:rsidR="003E5526" w:rsidRPr="00B10916">
        <w:t>d</w:t>
      </w:r>
      <w:r w:rsidR="00AA7E31" w:rsidRPr="00B10916">
        <w:t xml:space="preserve">epartmental </w:t>
      </w:r>
      <w:r w:rsidR="003E5526" w:rsidRPr="00B10916">
        <w:t>a</w:t>
      </w:r>
      <w:r w:rsidR="00AA7E31" w:rsidRPr="00B10916">
        <w:t xml:space="preserve">ssembly of the Guarani </w:t>
      </w:r>
      <w:r w:rsidR="003E5526" w:rsidRPr="00B10916">
        <w:t>p</w:t>
      </w:r>
      <w:r w:rsidR="00AA7E31" w:rsidRPr="00B10916">
        <w:t>eople to inform indigenous peoples about international and regional human rights mechanisms and to train them to write communications to these mechanisms.</w:t>
      </w:r>
    </w:p>
    <w:p w14:paraId="7DFD2F23" w14:textId="5C62153F" w:rsidR="00AA7E31" w:rsidRPr="00B10916" w:rsidRDefault="00B10916" w:rsidP="00B10916">
      <w:pPr>
        <w:pStyle w:val="SingleTxtG"/>
        <w:tabs>
          <w:tab w:val="left" w:pos="1701"/>
        </w:tabs>
      </w:pPr>
      <w:r w:rsidRPr="00B10916">
        <w:rPr>
          <w:bCs/>
        </w:rPr>
        <w:t>22.</w:t>
      </w:r>
      <w:r w:rsidRPr="00B10916">
        <w:rPr>
          <w:bCs/>
        </w:rPr>
        <w:tab/>
      </w:r>
      <w:r w:rsidR="00AA7E31" w:rsidRPr="00B10916">
        <w:rPr>
          <w:iCs/>
        </w:rPr>
        <w:t xml:space="preserve">The OHCHR country office in Colombia held a workshop on the basic concepts of economic, social and cultural rights with an emphasis on the rights of indigenous peoples and Afro-Colombian communities. In June 2014, the OHCHR </w:t>
      </w:r>
      <w:r w:rsidR="003E5526" w:rsidRPr="00B10916">
        <w:rPr>
          <w:iCs/>
        </w:rPr>
        <w:t>r</w:t>
      </w:r>
      <w:r w:rsidR="00AA7E31" w:rsidRPr="00B10916">
        <w:rPr>
          <w:iCs/>
        </w:rPr>
        <w:t xml:space="preserve">egional </w:t>
      </w:r>
      <w:r w:rsidR="003E5526" w:rsidRPr="00B10916">
        <w:rPr>
          <w:iCs/>
        </w:rPr>
        <w:t>o</w:t>
      </w:r>
      <w:r w:rsidR="00AA7E31" w:rsidRPr="00B10916">
        <w:rPr>
          <w:iCs/>
        </w:rPr>
        <w:t>ffice for Central America in Panama organized training for indigenous youth organizations on the use of human rights mechanisms</w:t>
      </w:r>
      <w:r w:rsidR="004E5704" w:rsidRPr="00B10916">
        <w:rPr>
          <w:iCs/>
        </w:rPr>
        <w:t>,</w:t>
      </w:r>
      <w:r w:rsidR="00AA7E31" w:rsidRPr="00B10916">
        <w:rPr>
          <w:iCs/>
        </w:rPr>
        <w:t xml:space="preserve"> with a view to developing their capacity to submit reports to </w:t>
      </w:r>
      <w:r w:rsidR="004E5704" w:rsidRPr="00B10916">
        <w:rPr>
          <w:iCs/>
        </w:rPr>
        <w:t>the s</w:t>
      </w:r>
      <w:r w:rsidR="00AA7E31" w:rsidRPr="00B10916">
        <w:rPr>
          <w:iCs/>
        </w:rPr>
        <w:t xml:space="preserve">pecial </w:t>
      </w:r>
      <w:r w:rsidR="004E5704" w:rsidRPr="00B10916">
        <w:rPr>
          <w:iCs/>
        </w:rPr>
        <w:t>p</w:t>
      </w:r>
      <w:r w:rsidR="00AA7E31" w:rsidRPr="00B10916">
        <w:rPr>
          <w:iCs/>
        </w:rPr>
        <w:t xml:space="preserve">rocedures </w:t>
      </w:r>
      <w:r w:rsidR="004E5704" w:rsidRPr="00B10916">
        <w:rPr>
          <w:iCs/>
        </w:rPr>
        <w:t xml:space="preserve">of the Human Rights Council </w:t>
      </w:r>
      <w:r w:rsidR="00AA7E31" w:rsidRPr="00B10916">
        <w:rPr>
          <w:iCs/>
        </w:rPr>
        <w:t xml:space="preserve">and the second cycle of the </w:t>
      </w:r>
      <w:r w:rsidR="004E5704" w:rsidRPr="00B10916">
        <w:rPr>
          <w:iCs/>
        </w:rPr>
        <w:t>u</w:t>
      </w:r>
      <w:r w:rsidR="00AA7E31" w:rsidRPr="00B10916">
        <w:rPr>
          <w:iCs/>
        </w:rPr>
        <w:t xml:space="preserve">niversal </w:t>
      </w:r>
      <w:r w:rsidR="004E5704" w:rsidRPr="00B10916">
        <w:rPr>
          <w:iCs/>
        </w:rPr>
        <w:t>p</w:t>
      </w:r>
      <w:r w:rsidR="00AA7E31" w:rsidRPr="00B10916">
        <w:rPr>
          <w:iCs/>
        </w:rPr>
        <w:t xml:space="preserve">eriodic </w:t>
      </w:r>
      <w:r w:rsidR="004E5704" w:rsidRPr="00B10916">
        <w:rPr>
          <w:iCs/>
        </w:rPr>
        <w:t>r</w:t>
      </w:r>
      <w:r w:rsidR="00AA7E31" w:rsidRPr="00B10916">
        <w:rPr>
          <w:iCs/>
        </w:rPr>
        <w:t>eview.</w:t>
      </w:r>
    </w:p>
    <w:p w14:paraId="75065596" w14:textId="3FDB553F" w:rsidR="00AA7E31" w:rsidRPr="00B10916" w:rsidRDefault="00B10916" w:rsidP="00B10916">
      <w:pPr>
        <w:pStyle w:val="SingleTxtG"/>
        <w:tabs>
          <w:tab w:val="left" w:pos="1701"/>
        </w:tabs>
      </w:pPr>
      <w:r w:rsidRPr="00B10916">
        <w:rPr>
          <w:bCs/>
        </w:rPr>
        <w:t>23.</w:t>
      </w:r>
      <w:r w:rsidRPr="00B10916">
        <w:rPr>
          <w:bCs/>
        </w:rPr>
        <w:tab/>
      </w:r>
      <w:r w:rsidR="00AA7E31" w:rsidRPr="00B10916">
        <w:rPr>
          <w:iCs/>
        </w:rPr>
        <w:t xml:space="preserve">Through the Maya Programme, the </w:t>
      </w:r>
      <w:r w:rsidR="002C0945" w:rsidRPr="00B10916">
        <w:rPr>
          <w:iCs/>
        </w:rPr>
        <w:t>o</w:t>
      </w:r>
      <w:r w:rsidR="00AA7E31" w:rsidRPr="00B10916">
        <w:rPr>
          <w:iCs/>
        </w:rPr>
        <w:t xml:space="preserve">ffice in Guatemala developed several training courses specifically on the administration of justice, lands and territory and </w:t>
      </w:r>
      <w:r w:rsidR="002C0945" w:rsidRPr="00B10916">
        <w:rPr>
          <w:iCs/>
        </w:rPr>
        <w:t xml:space="preserve">the </w:t>
      </w:r>
      <w:r w:rsidR="00AA7E31" w:rsidRPr="00B10916">
        <w:rPr>
          <w:iCs/>
        </w:rPr>
        <w:t>right to consultation.</w:t>
      </w:r>
      <w:r w:rsidR="000024B6" w:rsidRPr="00B10916">
        <w:rPr>
          <w:iCs/>
        </w:rPr>
        <w:t xml:space="preserve"> </w:t>
      </w:r>
      <w:r w:rsidR="00AA7E31" w:rsidRPr="00B10916">
        <w:rPr>
          <w:iCs/>
        </w:rPr>
        <w:t>The target audience for the courses included the Public Prosecutor’s Office, the Institute of Public Defence, the Supreme Court and the Constitutional Court.</w:t>
      </w:r>
      <w:r w:rsidR="000024B6" w:rsidRPr="00B10916">
        <w:rPr>
          <w:iCs/>
        </w:rPr>
        <w:t xml:space="preserve"> </w:t>
      </w:r>
      <w:r w:rsidR="00AA7E31" w:rsidRPr="00B10916">
        <w:rPr>
          <w:iCs/>
        </w:rPr>
        <w:t>The Office also supported the Attorney General’s Office in developing a diagnosis tool on access to justice for indigenous peoples.</w:t>
      </w:r>
      <w:r w:rsidR="000024B6" w:rsidRPr="00B10916">
        <w:rPr>
          <w:iCs/>
        </w:rPr>
        <w:t xml:space="preserve"> </w:t>
      </w:r>
      <w:r w:rsidR="00AA7E31" w:rsidRPr="00B10916">
        <w:rPr>
          <w:iCs/>
        </w:rPr>
        <w:t xml:space="preserve">As a result, the Indigenous Peoples Unit in the Attorney General’s Office developed an action plan that provided for internal policy reforms </w:t>
      </w:r>
      <w:r w:rsidR="002C0945" w:rsidRPr="00B10916">
        <w:rPr>
          <w:iCs/>
        </w:rPr>
        <w:t xml:space="preserve">and </w:t>
      </w:r>
      <w:r w:rsidR="00AA7E31" w:rsidRPr="00B10916">
        <w:rPr>
          <w:iCs/>
        </w:rPr>
        <w:t>specialized training for interpreters</w:t>
      </w:r>
      <w:r w:rsidR="002C0945" w:rsidRPr="00B10916">
        <w:rPr>
          <w:iCs/>
        </w:rPr>
        <w:t>,</w:t>
      </w:r>
      <w:r w:rsidR="00AA7E31" w:rsidRPr="00B10916">
        <w:rPr>
          <w:iCs/>
        </w:rPr>
        <w:t xml:space="preserve"> and designed an institutional policy focusing on victims.</w:t>
      </w:r>
    </w:p>
    <w:p w14:paraId="0F0E4FB6" w14:textId="6C42203A" w:rsidR="00AA7E31" w:rsidRPr="00B10916" w:rsidRDefault="00B10916" w:rsidP="00B10916">
      <w:pPr>
        <w:pStyle w:val="SingleTxtG"/>
        <w:tabs>
          <w:tab w:val="left" w:pos="1701"/>
        </w:tabs>
      </w:pPr>
      <w:r w:rsidRPr="00B10916">
        <w:rPr>
          <w:bCs/>
        </w:rPr>
        <w:t>24.</w:t>
      </w:r>
      <w:r w:rsidRPr="00B10916">
        <w:rPr>
          <w:bCs/>
        </w:rPr>
        <w:tab/>
      </w:r>
      <w:r w:rsidR="00AA7E31" w:rsidRPr="00B10916">
        <w:t xml:space="preserve">The </w:t>
      </w:r>
      <w:r w:rsidR="002C0945" w:rsidRPr="00B10916">
        <w:t>o</w:t>
      </w:r>
      <w:r w:rsidR="00AA7E31" w:rsidRPr="00B10916">
        <w:t>ffice in Mexico also provided training courses on rights of indigenous peoples to federal authorities and advised representatives of indigenous communities in relation to specific cases.</w:t>
      </w:r>
    </w:p>
    <w:p w14:paraId="3314A21B" w14:textId="402F28EF" w:rsidR="00AA7E31" w:rsidRPr="00B10916" w:rsidRDefault="00B10916" w:rsidP="00B10916">
      <w:pPr>
        <w:pStyle w:val="SingleTxtG"/>
        <w:tabs>
          <w:tab w:val="left" w:pos="1701"/>
        </w:tabs>
      </w:pPr>
      <w:r w:rsidRPr="00B10916">
        <w:rPr>
          <w:bCs/>
        </w:rPr>
        <w:t>25.</w:t>
      </w:r>
      <w:r w:rsidRPr="00B10916">
        <w:rPr>
          <w:bCs/>
        </w:rPr>
        <w:tab/>
      </w:r>
      <w:r w:rsidR="00AA7E31" w:rsidRPr="00B10916">
        <w:t xml:space="preserve">The </w:t>
      </w:r>
      <w:r w:rsidR="002C0945" w:rsidRPr="00B10916">
        <w:t>r</w:t>
      </w:r>
      <w:r w:rsidR="00AA7E31" w:rsidRPr="00B10916">
        <w:t xml:space="preserve">egional </w:t>
      </w:r>
      <w:r w:rsidR="002C0945" w:rsidRPr="00B10916">
        <w:t>o</w:t>
      </w:r>
      <w:r w:rsidR="00AA7E31" w:rsidRPr="00B10916">
        <w:t>ffice in the Pacific distributed copies of the Declaration to the Pacific Islands Association of Non-</w:t>
      </w:r>
      <w:r w:rsidR="002C0945" w:rsidRPr="00B10916">
        <w:t>g</w:t>
      </w:r>
      <w:r w:rsidR="00AA7E31" w:rsidRPr="00B10916">
        <w:t>overnmental Organizations to raise awareness on the rights of indigenous peoples in the region.</w:t>
      </w:r>
      <w:r w:rsidR="000024B6" w:rsidRPr="00B10916">
        <w:t xml:space="preserve"> </w:t>
      </w:r>
      <w:r w:rsidR="00AA7E31" w:rsidRPr="00B10916">
        <w:t xml:space="preserve">The Association is a regional network of </w:t>
      </w:r>
      <w:r w:rsidR="002C0945" w:rsidRPr="00B10916">
        <w:t xml:space="preserve">non-governmental organization </w:t>
      </w:r>
      <w:r w:rsidR="00AA7E31" w:rsidRPr="00B10916">
        <w:t xml:space="preserve">focal points based in 22 Pacific </w:t>
      </w:r>
      <w:r w:rsidR="002C0945" w:rsidRPr="00B10916">
        <w:t>i</w:t>
      </w:r>
      <w:r w:rsidR="00AA7E31" w:rsidRPr="00B10916">
        <w:t>sland countries and territories.</w:t>
      </w:r>
    </w:p>
    <w:p w14:paraId="399BA6FF" w14:textId="7F998924" w:rsidR="00AA7E31" w:rsidRPr="00B10916" w:rsidRDefault="00B10916" w:rsidP="00B10916">
      <w:pPr>
        <w:pStyle w:val="SingleTxtG"/>
        <w:tabs>
          <w:tab w:val="left" w:pos="1701"/>
        </w:tabs>
      </w:pPr>
      <w:r w:rsidRPr="00B10916">
        <w:rPr>
          <w:bCs/>
        </w:rPr>
        <w:t>26.</w:t>
      </w:r>
      <w:r w:rsidRPr="00B10916">
        <w:rPr>
          <w:bCs/>
        </w:rPr>
        <w:tab/>
      </w:r>
      <w:r w:rsidR="00AA7E31" w:rsidRPr="00B10916">
        <w:t>The United Nations Voluntary Fund for Indigenous Populations</w:t>
      </w:r>
      <w:r w:rsidR="002C0945" w:rsidRPr="00B10916">
        <w:t>,</w:t>
      </w:r>
      <w:r w:rsidR="00AA7E31" w:rsidRPr="00B10916">
        <w:t xml:space="preserve"> managed by OHCHR </w:t>
      </w:r>
      <w:r w:rsidR="002C0945" w:rsidRPr="00B10916">
        <w:t xml:space="preserve">and </w:t>
      </w:r>
      <w:r w:rsidR="00AA7E31" w:rsidRPr="00B10916">
        <w:t xml:space="preserve">assisted by a </w:t>
      </w:r>
      <w:r w:rsidR="002C0945" w:rsidRPr="00B10916">
        <w:t>b</w:t>
      </w:r>
      <w:r w:rsidR="00AA7E31" w:rsidRPr="00B10916">
        <w:t xml:space="preserve">oard of </w:t>
      </w:r>
      <w:r w:rsidR="002C0945" w:rsidRPr="00B10916">
        <w:t>t</w:t>
      </w:r>
      <w:r w:rsidR="00AA7E31" w:rsidRPr="00B10916">
        <w:t>rustees</w:t>
      </w:r>
      <w:r w:rsidR="002C0945" w:rsidRPr="00B10916">
        <w:t>,</w:t>
      </w:r>
      <w:r w:rsidR="00AA7E31" w:rsidRPr="00B10916">
        <w:t xml:space="preserve"> continued to support the participation of indigenous peoples’ organizations in the sessions of the Permanent Forum on Indigenous Issues, the Expert Mechanism on the Rights of Indigenous Peoples, the Human Rights Council, including its </w:t>
      </w:r>
      <w:r w:rsidR="009069E9" w:rsidRPr="00B10916">
        <w:t>u</w:t>
      </w:r>
      <w:r w:rsidR="00AA7E31" w:rsidRPr="00B10916">
        <w:t xml:space="preserve">niversal </w:t>
      </w:r>
      <w:r w:rsidR="009069E9" w:rsidRPr="00B10916">
        <w:t>p</w:t>
      </w:r>
      <w:r w:rsidR="00AA7E31" w:rsidRPr="00B10916">
        <w:t xml:space="preserve">eriodic </w:t>
      </w:r>
      <w:r w:rsidR="009069E9" w:rsidRPr="00B10916">
        <w:t>r</w:t>
      </w:r>
      <w:r w:rsidR="00AA7E31" w:rsidRPr="00B10916">
        <w:t>eview mechanism, and the treaty bodies.</w:t>
      </w:r>
    </w:p>
    <w:p w14:paraId="23625F87" w14:textId="0B70C09A" w:rsidR="00AA7E31" w:rsidRPr="00B10916" w:rsidRDefault="00B10916" w:rsidP="00B10916">
      <w:pPr>
        <w:pStyle w:val="SingleTxtG"/>
        <w:tabs>
          <w:tab w:val="left" w:pos="1701"/>
        </w:tabs>
      </w:pPr>
      <w:r w:rsidRPr="00B10916">
        <w:rPr>
          <w:bCs/>
        </w:rPr>
        <w:t>27.</w:t>
      </w:r>
      <w:r w:rsidRPr="00B10916">
        <w:rPr>
          <w:bCs/>
        </w:rPr>
        <w:tab/>
      </w:r>
      <w:r w:rsidR="00AA7E31" w:rsidRPr="00B10916">
        <w:t xml:space="preserve">In addition to encouraging the participation of </w:t>
      </w:r>
      <w:r w:rsidR="009069E9" w:rsidRPr="00B10916">
        <w:t>i</w:t>
      </w:r>
      <w:r w:rsidR="00AA7E31" w:rsidRPr="00B10916">
        <w:t xml:space="preserve">ndigenous </w:t>
      </w:r>
      <w:r w:rsidR="009069E9" w:rsidRPr="00B10916">
        <w:t>p</w:t>
      </w:r>
      <w:r w:rsidR="00AA7E31" w:rsidRPr="00B10916">
        <w:t xml:space="preserve">eople’s representatives in the World Conference on Indigenous Peoples and the integration of human rights standards in its </w:t>
      </w:r>
      <w:r w:rsidR="009069E9" w:rsidRPr="00B10916">
        <w:t>o</w:t>
      </w:r>
      <w:r w:rsidR="00AA7E31" w:rsidRPr="00B10916">
        <w:t xml:space="preserve">utcome </w:t>
      </w:r>
      <w:r w:rsidR="009069E9" w:rsidRPr="00B10916">
        <w:t>d</w:t>
      </w:r>
      <w:r w:rsidR="00AA7E31" w:rsidRPr="00B10916">
        <w:t>ocument, OHCHR, through the Voluntary Fund</w:t>
      </w:r>
      <w:r w:rsidR="009069E9" w:rsidRPr="00B10916">
        <w:t>,</w:t>
      </w:r>
      <w:r w:rsidR="00AA7E31" w:rsidRPr="00B10916">
        <w:t xml:space="preserve"> supported indigenous peoples’ participation in the Conference and its related preparatory process.</w:t>
      </w:r>
      <w:r w:rsidR="000024B6" w:rsidRPr="00B10916">
        <w:t xml:space="preserve"> </w:t>
      </w:r>
      <w:r w:rsidR="00AA7E31" w:rsidRPr="00B10916">
        <w:t>The Fund supported the participation of 21 indigenous representatives in the preparatory meetings and the participation of 84 indigenous representatives in the Conference.</w:t>
      </w:r>
    </w:p>
    <w:p w14:paraId="0FF77E2F" w14:textId="25F38CE4" w:rsidR="00AA7E31" w:rsidRPr="00B10916" w:rsidRDefault="00B10916" w:rsidP="00B10916">
      <w:pPr>
        <w:pStyle w:val="SingleTxtG"/>
        <w:tabs>
          <w:tab w:val="left" w:pos="1701"/>
        </w:tabs>
      </w:pPr>
      <w:r w:rsidRPr="00B10916">
        <w:rPr>
          <w:bCs/>
        </w:rPr>
        <w:t>28.</w:t>
      </w:r>
      <w:r w:rsidRPr="00B10916">
        <w:rPr>
          <w:bCs/>
        </w:rPr>
        <w:tab/>
      </w:r>
      <w:r w:rsidR="00AA7E31" w:rsidRPr="00B10916">
        <w:t>In 2014, 66 grants were allocated to enable the participation of representatives of indigenous peoples’ organi</w:t>
      </w:r>
      <w:r w:rsidR="002A27EB" w:rsidRPr="00B10916">
        <w:t>z</w:t>
      </w:r>
      <w:r w:rsidR="00AA7E31" w:rsidRPr="00B10916">
        <w:t xml:space="preserve">ations and communities, </w:t>
      </w:r>
      <w:r w:rsidR="00140065" w:rsidRPr="00B10916">
        <w:t xml:space="preserve">including 25 for </w:t>
      </w:r>
      <w:r w:rsidR="00AA7E31" w:rsidRPr="00B10916">
        <w:t xml:space="preserve">the </w:t>
      </w:r>
      <w:r w:rsidR="00140065" w:rsidRPr="00B10916">
        <w:t xml:space="preserve">thirteenth </w:t>
      </w:r>
      <w:r w:rsidR="00AA7E31" w:rsidRPr="00B10916">
        <w:t xml:space="preserve">session of the Permanent Forum on Indigenous Issues; </w:t>
      </w:r>
      <w:r w:rsidR="00140065" w:rsidRPr="00B10916">
        <w:t xml:space="preserve">20 for </w:t>
      </w:r>
      <w:r w:rsidR="00AA7E31" w:rsidRPr="00B10916">
        <w:t xml:space="preserve">the </w:t>
      </w:r>
      <w:r w:rsidR="00140065" w:rsidRPr="00B10916">
        <w:t>seventh s</w:t>
      </w:r>
      <w:r w:rsidR="00AA7E31" w:rsidRPr="00B10916">
        <w:t xml:space="preserve">ession of the Expert Mechanism on the Rights of Indigenous Peoples; </w:t>
      </w:r>
      <w:r w:rsidR="00140065" w:rsidRPr="00B10916">
        <w:t xml:space="preserve">4 for </w:t>
      </w:r>
      <w:r w:rsidR="00AA7E31" w:rsidRPr="00B10916">
        <w:t xml:space="preserve">sessions of the Human Rights Council; </w:t>
      </w:r>
      <w:r w:rsidR="00140065" w:rsidRPr="00B10916">
        <w:t xml:space="preserve">2 for sessions of the </w:t>
      </w:r>
      <w:r w:rsidR="00AA7E31" w:rsidRPr="00B10916">
        <w:t xml:space="preserve">Working Group </w:t>
      </w:r>
      <w:r w:rsidR="00140065" w:rsidRPr="00B10916">
        <w:t>on the Universal Periodic Review</w:t>
      </w:r>
      <w:r w:rsidR="00AA7E31" w:rsidRPr="00B10916">
        <w:t xml:space="preserve">; </w:t>
      </w:r>
      <w:r w:rsidR="00140065" w:rsidRPr="00B10916">
        <w:t xml:space="preserve">5 for sessions of </w:t>
      </w:r>
      <w:r w:rsidR="00AA7E31" w:rsidRPr="00B10916">
        <w:t xml:space="preserve">the Human Rights Committee; </w:t>
      </w:r>
      <w:r w:rsidR="00140065" w:rsidRPr="00B10916">
        <w:t xml:space="preserve">1 for the sessions of </w:t>
      </w:r>
      <w:r w:rsidR="00AA7E31" w:rsidRPr="00B10916">
        <w:t xml:space="preserve">the Committee on the Elimination of Discrimination against Women; </w:t>
      </w:r>
      <w:r w:rsidR="00140065" w:rsidRPr="00B10916">
        <w:t xml:space="preserve">5 for the sessions of </w:t>
      </w:r>
      <w:r w:rsidR="00AA7E31" w:rsidRPr="00B10916">
        <w:t xml:space="preserve">the Committee on the Elimination of Racial Discrimination; </w:t>
      </w:r>
      <w:r w:rsidR="00140065" w:rsidRPr="00B10916">
        <w:t xml:space="preserve">1 for the sessions of </w:t>
      </w:r>
      <w:r w:rsidR="00AA7E31" w:rsidRPr="00B10916">
        <w:t xml:space="preserve">the Committee on the Rights of the Child; </w:t>
      </w:r>
      <w:r w:rsidR="00140065" w:rsidRPr="00B10916">
        <w:t xml:space="preserve">1 for the sessions of </w:t>
      </w:r>
      <w:r w:rsidR="00AA7E31" w:rsidRPr="00B10916">
        <w:t xml:space="preserve">the Committee on Economic, Social and Cultural Rights; and </w:t>
      </w:r>
      <w:r w:rsidR="00140065" w:rsidRPr="00B10916">
        <w:t xml:space="preserve">2 for the sessions of </w:t>
      </w:r>
      <w:r w:rsidR="00AA7E31" w:rsidRPr="00B10916">
        <w:t>the Committee on the Rights of Persons with Disabilities.</w:t>
      </w:r>
    </w:p>
    <w:p w14:paraId="24B09722" w14:textId="5B855AA7" w:rsidR="00AA7E31" w:rsidRPr="00B10916" w:rsidRDefault="00B10916" w:rsidP="00B10916">
      <w:pPr>
        <w:pStyle w:val="SingleTxtG"/>
        <w:tabs>
          <w:tab w:val="left" w:pos="1701"/>
        </w:tabs>
      </w:pPr>
      <w:r w:rsidRPr="00B10916">
        <w:rPr>
          <w:bCs/>
        </w:rPr>
        <w:t>29.</w:t>
      </w:r>
      <w:r w:rsidRPr="00B10916">
        <w:rPr>
          <w:bCs/>
        </w:rPr>
        <w:tab/>
      </w:r>
      <w:r w:rsidR="00AA7E31" w:rsidRPr="00B10916">
        <w:t xml:space="preserve">The Board of Trustees has selected 86 representatives of indigenous communities and organizations to attend </w:t>
      </w:r>
      <w:r w:rsidR="00140065" w:rsidRPr="00B10916">
        <w:t xml:space="preserve">various sessions, including 32 for </w:t>
      </w:r>
      <w:r w:rsidR="00AA7E31" w:rsidRPr="00B10916">
        <w:t xml:space="preserve">the 2015 sessions of the Permanent Forum on Indigenous Issues; </w:t>
      </w:r>
      <w:r w:rsidR="00140065" w:rsidRPr="00B10916">
        <w:t xml:space="preserve">32 for the sessions of </w:t>
      </w:r>
      <w:r w:rsidR="00AA7E31" w:rsidRPr="00B10916">
        <w:t xml:space="preserve">the Expert Mechanism on the Rights of Indigenous Peoples; </w:t>
      </w:r>
      <w:r w:rsidR="00140065" w:rsidRPr="00B10916">
        <w:t xml:space="preserve">6 for the </w:t>
      </w:r>
      <w:r w:rsidR="00AA7E31" w:rsidRPr="00B10916">
        <w:t xml:space="preserve">sessions of the Human Rights Council; </w:t>
      </w:r>
      <w:r w:rsidR="00140065" w:rsidRPr="00B10916">
        <w:t xml:space="preserve">4 for the sessions of </w:t>
      </w:r>
      <w:r w:rsidR="00AA7E31" w:rsidRPr="00B10916">
        <w:t xml:space="preserve">the Working Group </w:t>
      </w:r>
      <w:r w:rsidR="00140065" w:rsidRPr="00B10916">
        <w:t>on the Universal Periodic Review</w:t>
      </w:r>
      <w:r w:rsidR="00AA7E31" w:rsidRPr="00B10916">
        <w:t xml:space="preserve">; </w:t>
      </w:r>
      <w:r w:rsidR="00140065" w:rsidRPr="00B10916">
        <w:t xml:space="preserve">2 for the sessions of </w:t>
      </w:r>
      <w:r w:rsidR="00AA7E31" w:rsidRPr="00B10916">
        <w:t xml:space="preserve">the Human Rights Committee; </w:t>
      </w:r>
      <w:r w:rsidR="00140065" w:rsidRPr="00B10916">
        <w:t xml:space="preserve">1 for the sessions of </w:t>
      </w:r>
      <w:r w:rsidR="00AA7E31" w:rsidRPr="00B10916">
        <w:t xml:space="preserve">the Committee on the Elimination of Discrimination against Women; </w:t>
      </w:r>
      <w:r w:rsidR="00140065" w:rsidRPr="00B10916">
        <w:t xml:space="preserve">2 for the sessions of </w:t>
      </w:r>
      <w:r w:rsidR="00AA7E31" w:rsidRPr="00B10916">
        <w:t xml:space="preserve">the Committee on the Elimination of Racial Discrimination; </w:t>
      </w:r>
      <w:r w:rsidR="00140065" w:rsidRPr="00B10916">
        <w:t xml:space="preserve">2 for the sessions of </w:t>
      </w:r>
      <w:r w:rsidR="00AA7E31" w:rsidRPr="00B10916">
        <w:t xml:space="preserve">the Committee on the Rights of the Child; </w:t>
      </w:r>
      <w:r w:rsidR="00140065" w:rsidRPr="00B10916">
        <w:t xml:space="preserve">3 for the sessions of </w:t>
      </w:r>
      <w:r w:rsidR="00AA7E31" w:rsidRPr="00B10916">
        <w:t xml:space="preserve">the Committee on Economic Social and Cultural Rights; </w:t>
      </w:r>
      <w:r w:rsidR="00140065" w:rsidRPr="00B10916">
        <w:t xml:space="preserve">1 for the sessions of </w:t>
      </w:r>
      <w:r w:rsidR="00AA7E31" w:rsidRPr="00B10916">
        <w:t xml:space="preserve">the Committee against Torture; and </w:t>
      </w:r>
      <w:r w:rsidR="00140065" w:rsidRPr="00B10916">
        <w:t xml:space="preserve">1 for the sessions of </w:t>
      </w:r>
      <w:r w:rsidR="00AA7E31" w:rsidRPr="00B10916">
        <w:t xml:space="preserve">the Committee on the Rights of Persons with Disabilities. Furthermore, the Board </w:t>
      </w:r>
      <w:r w:rsidR="00140065" w:rsidRPr="00B10916">
        <w:t xml:space="preserve">has </w:t>
      </w:r>
      <w:r w:rsidR="00AA7E31" w:rsidRPr="00B10916">
        <w:t xml:space="preserve">set aside funds to enable representatives of indigenous communities and organizations to attend the sessions of the Human Rights Council, human rights treaty bodies and the </w:t>
      </w:r>
      <w:r w:rsidR="00140065" w:rsidRPr="00B10916">
        <w:t>universal periodic review</w:t>
      </w:r>
      <w:r w:rsidR="00BA033D" w:rsidRPr="00B10916">
        <w:t xml:space="preserve"> </w:t>
      </w:r>
      <w:r w:rsidR="00AA7E31" w:rsidRPr="00B10916">
        <w:t>to be held between September 2015 and March 2016.</w:t>
      </w:r>
      <w:r w:rsidR="000024B6" w:rsidRPr="00B10916">
        <w:t xml:space="preserve"> </w:t>
      </w:r>
      <w:r w:rsidR="00AA7E31" w:rsidRPr="00B10916">
        <w:t>The selection will be made at the intersessional meetings to be held in August and November 2015.</w:t>
      </w:r>
    </w:p>
    <w:p w14:paraId="25A2C6D3" w14:textId="0CE8D6CE" w:rsidR="00AA7E31" w:rsidRPr="00B10916" w:rsidRDefault="00B10916" w:rsidP="00B10916">
      <w:pPr>
        <w:pStyle w:val="SingleTxtG"/>
        <w:tabs>
          <w:tab w:val="left" w:pos="1701"/>
        </w:tabs>
      </w:pPr>
      <w:r w:rsidRPr="00B10916">
        <w:rPr>
          <w:bCs/>
        </w:rPr>
        <w:t>30.</w:t>
      </w:r>
      <w:r w:rsidRPr="00B10916">
        <w:rPr>
          <w:bCs/>
        </w:rPr>
        <w:tab/>
      </w:r>
      <w:r w:rsidR="00AA7E31" w:rsidRPr="00B10916">
        <w:t xml:space="preserve">The Fund also continues to employ resources to increase the capacity of indigenous peoples to effectively participate in </w:t>
      </w:r>
      <w:r w:rsidR="003446CA" w:rsidRPr="00B10916">
        <w:t xml:space="preserve">United Nations </w:t>
      </w:r>
      <w:r w:rsidR="00AA7E31" w:rsidRPr="00B10916">
        <w:t>meetings. For example, in 2014</w:t>
      </w:r>
      <w:r w:rsidR="00631AAF" w:rsidRPr="00B10916">
        <w:t>,</w:t>
      </w:r>
      <w:r w:rsidR="00AA7E31" w:rsidRPr="00B10916">
        <w:t xml:space="preserve"> the Fund organized four human rights training sessions in Geneva and New York. Moreover, in cooperation with </w:t>
      </w:r>
      <w:r w:rsidR="00631AAF" w:rsidRPr="00B10916">
        <w:t>non-governmental organization</w:t>
      </w:r>
      <w:r w:rsidR="00AA7E31" w:rsidRPr="00B10916">
        <w:t xml:space="preserve"> partners, the Fund provided assistance to indigenous peoples’ representatives in targeting their advocacy, tailoring interventions to specific sessions and contributing to the implementation of recommendations by human rights mechanisms and the implementation of the Declaration at the national level.</w:t>
      </w:r>
    </w:p>
    <w:p w14:paraId="70B24D76" w14:textId="77777777" w:rsidR="00AA7E31" w:rsidRPr="00B10916" w:rsidRDefault="00AA7E31" w:rsidP="00AA7E31">
      <w:pPr>
        <w:pStyle w:val="H1G"/>
      </w:pPr>
      <w:r w:rsidRPr="00B10916">
        <w:tab/>
        <w:t>D.</w:t>
      </w:r>
      <w:r w:rsidRPr="00B10916">
        <w:tab/>
        <w:t>Guidance tools</w:t>
      </w:r>
    </w:p>
    <w:p w14:paraId="0352ACA5" w14:textId="6496EC01" w:rsidR="00AA7E31" w:rsidRPr="00B10916" w:rsidRDefault="00B10916" w:rsidP="00B10916">
      <w:pPr>
        <w:pStyle w:val="SingleTxtG"/>
        <w:tabs>
          <w:tab w:val="left" w:pos="1701"/>
        </w:tabs>
      </w:pPr>
      <w:r w:rsidRPr="00B10916">
        <w:rPr>
          <w:bCs/>
        </w:rPr>
        <w:t>31.</w:t>
      </w:r>
      <w:r w:rsidRPr="00B10916">
        <w:rPr>
          <w:bCs/>
        </w:rPr>
        <w:tab/>
      </w:r>
      <w:r w:rsidR="00AA7E31" w:rsidRPr="00B10916">
        <w:t>OHCHR continued to support parliamentarians in fulfilling their role in protecting</w:t>
      </w:r>
      <w:r w:rsidR="000024B6" w:rsidRPr="00B10916">
        <w:t xml:space="preserve"> </w:t>
      </w:r>
      <w:r w:rsidR="00AA7E31" w:rsidRPr="00B10916">
        <w:t xml:space="preserve">the rights of indigenous peoples. </w:t>
      </w:r>
      <w:r w:rsidR="00631AAF" w:rsidRPr="00B10916">
        <w:t xml:space="preserve">A </w:t>
      </w:r>
      <w:r w:rsidR="00631AAF" w:rsidRPr="00B10916">
        <w:rPr>
          <w:iCs/>
        </w:rPr>
        <w:t>handbook for parliamentarians,</w:t>
      </w:r>
      <w:r w:rsidR="00631AAF" w:rsidRPr="00B10916">
        <w:rPr>
          <w:rStyle w:val="FootnoteReference"/>
          <w:iCs/>
        </w:rPr>
        <w:footnoteReference w:id="4"/>
      </w:r>
      <w:r w:rsidR="00631AAF" w:rsidRPr="00B10916">
        <w:t xml:space="preserve"> </w:t>
      </w:r>
      <w:r w:rsidR="00AA7E31" w:rsidRPr="00B10916">
        <w:t xml:space="preserve">jointly authored with UNDP, </w:t>
      </w:r>
      <w:r w:rsidR="00631AAF" w:rsidRPr="00B10916">
        <w:t>the International Fund for Agricultural Development</w:t>
      </w:r>
      <w:r w:rsidR="00AA7E31" w:rsidRPr="00B10916">
        <w:t xml:space="preserve">, the Inter-Parliamentary Union and the </w:t>
      </w:r>
      <w:r w:rsidR="00631AAF" w:rsidRPr="00B10916">
        <w:t>s</w:t>
      </w:r>
      <w:r w:rsidR="00AA7E31" w:rsidRPr="00B10916">
        <w:t>ecretariat of the Permanent Forum on Indigenous Issues, was officially released in the margins of the World Conference on Indigenous Peoples in September 2014.</w:t>
      </w:r>
    </w:p>
    <w:p w14:paraId="15B5E453" w14:textId="63C05558" w:rsidR="00AA7E31" w:rsidRPr="00B10916" w:rsidRDefault="00B10916" w:rsidP="00B10916">
      <w:pPr>
        <w:pStyle w:val="SingleTxtG"/>
        <w:tabs>
          <w:tab w:val="left" w:pos="1701"/>
        </w:tabs>
      </w:pPr>
      <w:r w:rsidRPr="00B10916">
        <w:rPr>
          <w:bCs/>
        </w:rPr>
        <w:t>32.</w:t>
      </w:r>
      <w:r w:rsidRPr="00B10916">
        <w:rPr>
          <w:bCs/>
        </w:rPr>
        <w:tab/>
      </w:r>
      <w:r w:rsidR="00AA7E31" w:rsidRPr="00B10916">
        <w:t xml:space="preserve">Through wide-ranging consultations, OHCHR and the Asia Pacific Forum of National Human Rights Institutions completed </w:t>
      </w:r>
      <w:r w:rsidR="00631AAF" w:rsidRPr="00B10916">
        <w:t>a manual</w:t>
      </w:r>
      <w:r w:rsidR="00631AAF" w:rsidRPr="00B10916">
        <w:rPr>
          <w:rStyle w:val="FootnoteReference"/>
        </w:rPr>
        <w:footnoteReference w:id="5"/>
      </w:r>
      <w:r w:rsidR="00631AAF" w:rsidRPr="00B10916">
        <w:t xml:space="preserve"> </w:t>
      </w:r>
      <w:r w:rsidR="00AA7E31" w:rsidRPr="00B10916">
        <w:t>in 2013.</w:t>
      </w:r>
      <w:r w:rsidR="000024B6" w:rsidRPr="00B10916">
        <w:t xml:space="preserve"> </w:t>
      </w:r>
      <w:r w:rsidR="00AA7E31" w:rsidRPr="00B10916">
        <w:t xml:space="preserve">The publication was translated into Russian, French and Spanish, and subsequently launched in June 2014 by the Indigenous Peoples and Minorities Section, and the </w:t>
      </w:r>
      <w:r w:rsidR="00631AAF" w:rsidRPr="00B10916">
        <w:t>OHCHR r</w:t>
      </w:r>
      <w:r w:rsidR="00AA7E31" w:rsidRPr="00B10916">
        <w:t xml:space="preserve">egional </w:t>
      </w:r>
      <w:r w:rsidR="00631AAF" w:rsidRPr="00B10916">
        <w:t>o</w:t>
      </w:r>
      <w:r w:rsidR="00AA7E31" w:rsidRPr="00B10916">
        <w:t>ffice for South Africa.</w:t>
      </w:r>
      <w:r w:rsidR="000024B6" w:rsidRPr="00B10916">
        <w:t xml:space="preserve"> </w:t>
      </w:r>
      <w:r w:rsidR="00AA7E31" w:rsidRPr="00B10916">
        <w:t xml:space="preserve">National </w:t>
      </w:r>
      <w:r w:rsidR="00631AAF" w:rsidRPr="00B10916">
        <w:t>h</w:t>
      </w:r>
      <w:r w:rsidR="00AA7E31" w:rsidRPr="00B10916">
        <w:t xml:space="preserve">uman </w:t>
      </w:r>
      <w:r w:rsidR="00631AAF" w:rsidRPr="00B10916">
        <w:t>r</w:t>
      </w:r>
      <w:r w:rsidR="00AA7E31" w:rsidRPr="00B10916">
        <w:t xml:space="preserve">ights </w:t>
      </w:r>
      <w:r w:rsidR="00631AAF" w:rsidRPr="00B10916">
        <w:t>i</w:t>
      </w:r>
      <w:r w:rsidR="00AA7E31" w:rsidRPr="00B10916">
        <w:t xml:space="preserve">nstitutions from Angola, Kenya, Namibia, South Africa, </w:t>
      </w:r>
      <w:r w:rsidR="003231A1" w:rsidRPr="00B10916">
        <w:rPr>
          <w:iCs/>
        </w:rPr>
        <w:t xml:space="preserve">the United Republic of </w:t>
      </w:r>
      <w:r w:rsidR="00AA7E31" w:rsidRPr="00B10916">
        <w:t>Tanzania, Uganda and Zimbabwe participated in the training, which increased their understanding about operationali</w:t>
      </w:r>
      <w:r w:rsidR="00631AAF" w:rsidRPr="00B10916">
        <w:t>z</w:t>
      </w:r>
      <w:r w:rsidR="00AA7E31" w:rsidRPr="00B10916">
        <w:t>ing the Declaration at the country level.</w:t>
      </w:r>
      <w:r w:rsidR="000024B6" w:rsidRPr="00B10916">
        <w:t xml:space="preserve"> </w:t>
      </w:r>
      <w:r w:rsidR="00AA7E31" w:rsidRPr="00B10916">
        <w:t>A meeting was organized in Krasnoyarsk</w:t>
      </w:r>
      <w:r w:rsidR="003231A1" w:rsidRPr="00B10916">
        <w:t>,</w:t>
      </w:r>
      <w:r w:rsidR="00AA7E31" w:rsidRPr="00B10916">
        <w:t xml:space="preserve"> Russian Federation</w:t>
      </w:r>
      <w:r w:rsidR="003231A1" w:rsidRPr="00B10916">
        <w:t>,</w:t>
      </w:r>
      <w:r w:rsidR="00AA7E31" w:rsidRPr="00B10916">
        <w:t xml:space="preserve"> in October 2014 to discuss the role of </w:t>
      </w:r>
      <w:r w:rsidR="00631AAF" w:rsidRPr="00B10916">
        <w:t>n</w:t>
      </w:r>
      <w:r w:rsidR="00AA7E31" w:rsidRPr="00B10916">
        <w:t xml:space="preserve">ational </w:t>
      </w:r>
      <w:r w:rsidR="00631AAF" w:rsidRPr="00B10916">
        <w:t>h</w:t>
      </w:r>
      <w:r w:rsidR="00AA7E31" w:rsidRPr="00B10916">
        <w:t xml:space="preserve">uman </w:t>
      </w:r>
      <w:r w:rsidR="00631AAF" w:rsidRPr="00B10916">
        <w:t>r</w:t>
      </w:r>
      <w:r w:rsidR="00AA7E31" w:rsidRPr="00B10916">
        <w:t xml:space="preserve">ights </w:t>
      </w:r>
      <w:r w:rsidR="00631AAF" w:rsidRPr="00B10916">
        <w:t>i</w:t>
      </w:r>
      <w:r w:rsidR="00AA7E31" w:rsidRPr="00B10916">
        <w:t xml:space="preserve">nstitutions in the follow-up process to the </w:t>
      </w:r>
      <w:r w:rsidR="00631AAF" w:rsidRPr="00B10916">
        <w:t>o</w:t>
      </w:r>
      <w:r w:rsidR="00AA7E31" w:rsidRPr="00B10916">
        <w:t xml:space="preserve">utcome </w:t>
      </w:r>
      <w:r w:rsidR="00631AAF" w:rsidRPr="00B10916">
        <w:t>d</w:t>
      </w:r>
      <w:r w:rsidR="00AA7E31" w:rsidRPr="00B10916">
        <w:t>ocument of the World Conference on Indigenous Peoples.</w:t>
      </w:r>
    </w:p>
    <w:p w14:paraId="7E050856" w14:textId="6D154336" w:rsidR="00AA7E31" w:rsidRPr="00B10916" w:rsidRDefault="00B10916" w:rsidP="00B10916">
      <w:pPr>
        <w:pStyle w:val="SingleTxtG"/>
        <w:tabs>
          <w:tab w:val="left" w:pos="1701"/>
        </w:tabs>
      </w:pPr>
      <w:r w:rsidRPr="00B10916">
        <w:rPr>
          <w:bCs/>
        </w:rPr>
        <w:t>33.</w:t>
      </w:r>
      <w:r w:rsidRPr="00B10916">
        <w:rPr>
          <w:bCs/>
        </w:rPr>
        <w:tab/>
      </w:r>
      <w:r w:rsidR="00631AAF" w:rsidRPr="00B10916">
        <w:t xml:space="preserve">The </w:t>
      </w:r>
      <w:r w:rsidR="00AA7E31" w:rsidRPr="00B10916">
        <w:t xml:space="preserve">OHCHR country office in </w:t>
      </w:r>
      <w:r w:rsidR="002F2482" w:rsidRPr="00B10916">
        <w:rPr>
          <w:iCs/>
        </w:rPr>
        <w:t xml:space="preserve">the Plurinational State of </w:t>
      </w:r>
      <w:r w:rsidR="00AA7E31" w:rsidRPr="00B10916">
        <w:t>Bolivia published a compendium of international norms relating to the protection of the rights of indigenous peoples, an informative brochure on the right to free, prior and informed consultation and three studies on decision-making systems of indigenous peoples and nations</w:t>
      </w:r>
      <w:r w:rsidR="00665557" w:rsidRPr="00B10916">
        <w:t xml:space="preserve"> </w:t>
      </w:r>
      <w:r w:rsidR="00AA7E31" w:rsidRPr="00B10916">
        <w:t>(</w:t>
      </w:r>
      <w:r w:rsidR="00665557" w:rsidRPr="00B10916">
        <w:t xml:space="preserve">on </w:t>
      </w:r>
      <w:r w:rsidR="00AA7E31" w:rsidRPr="00B10916">
        <w:t>the Captaincy of the High Parapetí, the Organi</w:t>
      </w:r>
      <w:r w:rsidR="002A27EB" w:rsidRPr="00B10916">
        <w:t>z</w:t>
      </w:r>
      <w:r w:rsidR="00AA7E31" w:rsidRPr="00B10916">
        <w:t>ation of the Mosetén Indigenous Peoples, and the Jacha’a Karangas Nation).</w:t>
      </w:r>
    </w:p>
    <w:p w14:paraId="221DC753" w14:textId="478C513C" w:rsidR="00AA7E31" w:rsidRPr="00B10916" w:rsidRDefault="00B10916" w:rsidP="00B10916">
      <w:pPr>
        <w:pStyle w:val="SingleTxtG"/>
        <w:tabs>
          <w:tab w:val="left" w:pos="1701"/>
        </w:tabs>
      </w:pPr>
      <w:r w:rsidRPr="00B10916">
        <w:rPr>
          <w:bCs/>
        </w:rPr>
        <w:t>34.</w:t>
      </w:r>
      <w:r w:rsidRPr="00B10916">
        <w:rPr>
          <w:bCs/>
        </w:rPr>
        <w:tab/>
      </w:r>
      <w:r w:rsidR="006A0C10" w:rsidRPr="00B10916">
        <w:t xml:space="preserve">The </w:t>
      </w:r>
      <w:r w:rsidR="00AA7E31" w:rsidRPr="00B10916">
        <w:t xml:space="preserve">OHCHR </w:t>
      </w:r>
      <w:r w:rsidR="006A0C10" w:rsidRPr="00B10916">
        <w:t>c</w:t>
      </w:r>
      <w:r w:rsidR="00AA7E31" w:rsidRPr="00B10916">
        <w:t xml:space="preserve">ountry </w:t>
      </w:r>
      <w:r w:rsidR="006A0C10" w:rsidRPr="00B10916">
        <w:t>o</w:t>
      </w:r>
      <w:r w:rsidR="00AA7E31" w:rsidRPr="00B10916">
        <w:t xml:space="preserve">ffice in Colombia published an updated versions of its publications on the right to consultation and prior, free and informed consent. </w:t>
      </w:r>
    </w:p>
    <w:p w14:paraId="6B748D32" w14:textId="121F0DFE" w:rsidR="00AA7E31" w:rsidRPr="008869B3" w:rsidRDefault="00AA7E31" w:rsidP="008869B3">
      <w:pPr>
        <w:pStyle w:val="H1G"/>
      </w:pPr>
      <w:r w:rsidRPr="008869B3">
        <w:tab/>
        <w:t>E.</w:t>
      </w:r>
      <w:r w:rsidRPr="008869B3">
        <w:tab/>
        <w:t>OHCHR support for the rights of indigenous peoples at the country and</w:t>
      </w:r>
      <w:r w:rsidR="003D28C9" w:rsidRPr="008869B3">
        <w:t> </w:t>
      </w:r>
      <w:r w:rsidRPr="008869B3">
        <w:t>regional levels</w:t>
      </w:r>
    </w:p>
    <w:p w14:paraId="7159B364" w14:textId="2B9328AD" w:rsidR="00AA7E31" w:rsidRPr="00B10916" w:rsidRDefault="00B10916" w:rsidP="00B10916">
      <w:pPr>
        <w:pStyle w:val="SingleTxtG"/>
        <w:tabs>
          <w:tab w:val="left" w:pos="1701"/>
        </w:tabs>
      </w:pPr>
      <w:r w:rsidRPr="00B10916">
        <w:rPr>
          <w:bCs/>
        </w:rPr>
        <w:t>35.</w:t>
      </w:r>
      <w:r w:rsidRPr="00B10916">
        <w:rPr>
          <w:bCs/>
        </w:rPr>
        <w:tab/>
      </w:r>
      <w:r w:rsidR="00AA7E31" w:rsidRPr="00B10916">
        <w:t xml:space="preserve">OHCHR field </w:t>
      </w:r>
      <w:r w:rsidR="006A0C10" w:rsidRPr="00B10916">
        <w:t xml:space="preserve">offices </w:t>
      </w:r>
      <w:r w:rsidR="00AA7E31" w:rsidRPr="00B10916">
        <w:t>carried out a range of activities on indigenous peoples’ rights at the regional and country level</w:t>
      </w:r>
      <w:r w:rsidR="006A0C10" w:rsidRPr="00B10916">
        <w:t>s</w:t>
      </w:r>
      <w:r w:rsidR="00AA7E31" w:rsidRPr="00B10916">
        <w:t xml:space="preserve">, including providing support to special procedures mandate holders. </w:t>
      </w:r>
      <w:r w:rsidR="006A0C10" w:rsidRPr="00B10916">
        <w:t xml:space="preserve">The present </w:t>
      </w:r>
      <w:r w:rsidR="00AA7E31" w:rsidRPr="00B10916">
        <w:t>section describes select projects clustered under interrelated areas.</w:t>
      </w:r>
      <w:r w:rsidR="000024B6" w:rsidRPr="00B10916">
        <w:t xml:space="preserve"> </w:t>
      </w:r>
      <w:r w:rsidR="00AA7E31" w:rsidRPr="00B10916">
        <w:t>For example, the absence of consultation or exclusion from development or mining projects may lead to forms of violence.</w:t>
      </w:r>
    </w:p>
    <w:p w14:paraId="194409D4" w14:textId="6FF1D55C" w:rsidR="00AA7E31" w:rsidRPr="00B10916" w:rsidRDefault="00B10916" w:rsidP="00B10916">
      <w:pPr>
        <w:pStyle w:val="H23G"/>
        <w:ind w:left="1215" w:hanging="506"/>
      </w:pPr>
      <w:r w:rsidRPr="00B10916">
        <w:t>1.</w:t>
      </w:r>
      <w:r w:rsidRPr="00B10916">
        <w:tab/>
      </w:r>
      <w:r w:rsidR="00AA7E31" w:rsidRPr="00B10916">
        <w:t>Right to participation, consultation and free, prior and informed consent</w:t>
      </w:r>
    </w:p>
    <w:p w14:paraId="6239BF4A" w14:textId="55A682B9" w:rsidR="00AA7E31" w:rsidRPr="00B10916" w:rsidRDefault="00B10916" w:rsidP="00B10916">
      <w:pPr>
        <w:pStyle w:val="SingleTxtG"/>
        <w:tabs>
          <w:tab w:val="left" w:pos="1701"/>
        </w:tabs>
      </w:pPr>
      <w:r w:rsidRPr="00B10916">
        <w:rPr>
          <w:bCs/>
        </w:rPr>
        <w:t>36.</w:t>
      </w:r>
      <w:r w:rsidRPr="00B10916">
        <w:rPr>
          <w:bCs/>
        </w:rPr>
        <w:tab/>
      </w:r>
      <w:r w:rsidR="00AA7E31" w:rsidRPr="00B10916">
        <w:t xml:space="preserve">In </w:t>
      </w:r>
      <w:r w:rsidR="002F2482" w:rsidRPr="00B10916">
        <w:rPr>
          <w:iCs/>
        </w:rPr>
        <w:t xml:space="preserve">the Plurinational State of </w:t>
      </w:r>
      <w:r w:rsidR="00AA7E31" w:rsidRPr="00B10916">
        <w:t xml:space="preserve">Bolivia, the </w:t>
      </w:r>
      <w:r w:rsidR="006A0C10" w:rsidRPr="00B10916">
        <w:t>o</w:t>
      </w:r>
      <w:r w:rsidR="00AA7E31" w:rsidRPr="00B10916">
        <w:t>ffice provided technical assistance during the drafting of a Law on Consultation, including through two legal opinions that set out the international human rights framework.</w:t>
      </w:r>
      <w:r w:rsidR="000024B6" w:rsidRPr="00B10916">
        <w:t xml:space="preserve"> </w:t>
      </w:r>
      <w:r w:rsidR="00AA7E31" w:rsidRPr="00B10916">
        <w:t xml:space="preserve">In May 2014, the President submitted a bill to Parliament on prior, free and informed consultation The </w:t>
      </w:r>
      <w:r w:rsidR="00AA3FD2" w:rsidRPr="00B10916">
        <w:t>o</w:t>
      </w:r>
      <w:r w:rsidR="00AA7E31" w:rsidRPr="00B10916">
        <w:t>ffice is of the view that its prompt adoption would significantly contribute to enhancing respect for the collective rights of indigenous peoples.</w:t>
      </w:r>
    </w:p>
    <w:p w14:paraId="5C6C5957" w14:textId="2886C7AA" w:rsidR="00AA7E31" w:rsidRPr="00B10916" w:rsidRDefault="00B10916" w:rsidP="00B10916">
      <w:pPr>
        <w:pStyle w:val="SingleTxtG"/>
        <w:tabs>
          <w:tab w:val="left" w:pos="1701"/>
        </w:tabs>
      </w:pPr>
      <w:r w:rsidRPr="00B10916">
        <w:rPr>
          <w:bCs/>
        </w:rPr>
        <w:t>37.</w:t>
      </w:r>
      <w:r w:rsidRPr="00B10916">
        <w:rPr>
          <w:bCs/>
        </w:rPr>
        <w:tab/>
      </w:r>
      <w:r w:rsidR="00AA7E31" w:rsidRPr="00B10916">
        <w:t xml:space="preserve">The </w:t>
      </w:r>
      <w:r w:rsidR="002F2482" w:rsidRPr="00B10916">
        <w:rPr>
          <w:iCs/>
        </w:rPr>
        <w:t xml:space="preserve">the Plurinational State of </w:t>
      </w:r>
      <w:r w:rsidR="00AA7E31" w:rsidRPr="00B10916">
        <w:t xml:space="preserve">Bolivia </w:t>
      </w:r>
      <w:r w:rsidR="00AA3FD2" w:rsidRPr="00B10916">
        <w:t>o</w:t>
      </w:r>
      <w:r w:rsidR="00AA7E31" w:rsidRPr="00B10916">
        <w:t>ffice also prepared a legal opinion aimed at guaranteeing consultation processes on mining projects</w:t>
      </w:r>
      <w:r w:rsidR="00AA3FD2" w:rsidRPr="00B10916">
        <w:t>’</w:t>
      </w:r>
      <w:r w:rsidR="00AA7E31" w:rsidRPr="00B10916">
        <w:t xml:space="preserve"> respect </w:t>
      </w:r>
      <w:r w:rsidR="00AA3FD2" w:rsidRPr="00B10916">
        <w:t xml:space="preserve">for </w:t>
      </w:r>
      <w:r w:rsidR="00AA7E31" w:rsidRPr="00B10916">
        <w:t>international standards.</w:t>
      </w:r>
      <w:r w:rsidR="000024B6" w:rsidRPr="00B10916">
        <w:t xml:space="preserve"> </w:t>
      </w:r>
      <w:r w:rsidR="00AA7E31" w:rsidRPr="00B10916">
        <w:t>It helped to ensure that costs relating to the consultation process in developing the bill were covered by the State.</w:t>
      </w:r>
      <w:r w:rsidR="000024B6" w:rsidRPr="00B10916">
        <w:t xml:space="preserve"> </w:t>
      </w:r>
      <w:r w:rsidR="00AA7E31" w:rsidRPr="00B10916">
        <w:t xml:space="preserve">The Mining and Metallurgy Law 535 of May 2014 recognizes the right of indigenous peoples to share the benefits </w:t>
      </w:r>
      <w:r w:rsidR="00AA3FD2" w:rsidRPr="00B10916">
        <w:t xml:space="preserve">from </w:t>
      </w:r>
      <w:r w:rsidR="00AA7E31" w:rsidRPr="00B10916">
        <w:t xml:space="preserve">the exploitation of resources </w:t>
      </w:r>
      <w:r w:rsidR="00AA3FD2" w:rsidRPr="00B10916">
        <w:t>o</w:t>
      </w:r>
      <w:r w:rsidR="00AA7E31" w:rsidRPr="00B10916">
        <w:t>n their lands, and the application of the collective right to prior, free and informed consultation.</w:t>
      </w:r>
      <w:r w:rsidR="000024B6" w:rsidRPr="00B10916">
        <w:t xml:space="preserve"> </w:t>
      </w:r>
      <w:r w:rsidR="00AA7E31" w:rsidRPr="00B10916">
        <w:t>However, the scope of the Law extends only to new mining contracts and is limited to the exploitation phase</w:t>
      </w:r>
      <w:r w:rsidR="00AA3FD2" w:rsidRPr="00B10916">
        <w:t>;</w:t>
      </w:r>
      <w:r w:rsidR="00AA7E31" w:rsidRPr="00B10916">
        <w:t xml:space="preserve"> </w:t>
      </w:r>
      <w:r w:rsidR="00AA3FD2" w:rsidRPr="00B10916">
        <w:t xml:space="preserve">it does </w:t>
      </w:r>
      <w:r w:rsidR="00AA7E31" w:rsidRPr="00B10916">
        <w:t>not mandat</w:t>
      </w:r>
      <w:r w:rsidR="00AA3FD2" w:rsidRPr="00B10916">
        <w:t>e</w:t>
      </w:r>
      <w:r w:rsidR="00AA7E31" w:rsidRPr="00B10916">
        <w:t xml:space="preserve"> consultation and consent during the prospecting and exploration phase</w:t>
      </w:r>
      <w:r w:rsidR="00AA3FD2" w:rsidRPr="00B10916">
        <w:t>s</w:t>
      </w:r>
      <w:r w:rsidR="00AA7E31" w:rsidRPr="00B10916">
        <w:t xml:space="preserve">. OHCHR is of the opinion that regulations under </w:t>
      </w:r>
      <w:r w:rsidR="00AA3FD2" w:rsidRPr="00B10916">
        <w:t xml:space="preserve">the </w:t>
      </w:r>
      <w:r w:rsidR="00AA7E31" w:rsidRPr="00B10916">
        <w:t>Act that affect the interests of indigenous peoples should be drawn up in consultation with indigenous peoples’ organi</w:t>
      </w:r>
      <w:r w:rsidR="002A27EB" w:rsidRPr="00B10916">
        <w:t>z</w:t>
      </w:r>
      <w:r w:rsidR="00AA7E31" w:rsidRPr="00B10916">
        <w:t>ations.</w:t>
      </w:r>
    </w:p>
    <w:p w14:paraId="43AC482E" w14:textId="775C3C6B" w:rsidR="00AA7E31" w:rsidRPr="00B10916" w:rsidRDefault="00B10916" w:rsidP="00B10916">
      <w:pPr>
        <w:pStyle w:val="SingleTxtG"/>
        <w:tabs>
          <w:tab w:val="left" w:pos="1701"/>
        </w:tabs>
      </w:pPr>
      <w:r w:rsidRPr="00B10916">
        <w:rPr>
          <w:bCs/>
        </w:rPr>
        <w:t>38.</w:t>
      </w:r>
      <w:r w:rsidRPr="00B10916">
        <w:rPr>
          <w:bCs/>
        </w:rPr>
        <w:tab/>
      </w:r>
      <w:r w:rsidR="00AA7E31" w:rsidRPr="00B10916">
        <w:t xml:space="preserve">To promote respect for the right to consultation, the </w:t>
      </w:r>
      <w:r w:rsidR="002F2482" w:rsidRPr="00B10916">
        <w:rPr>
          <w:iCs/>
        </w:rPr>
        <w:t xml:space="preserve">Plurinational State of </w:t>
      </w:r>
      <w:r w:rsidR="00AA7E31" w:rsidRPr="00B10916">
        <w:t xml:space="preserve">Bolivia </w:t>
      </w:r>
      <w:r w:rsidR="00594997" w:rsidRPr="00B10916">
        <w:t>o</w:t>
      </w:r>
      <w:r w:rsidR="00AA7E31" w:rsidRPr="00B10916">
        <w:t xml:space="preserve">ffice also promoted the inclusion of human rights issues </w:t>
      </w:r>
      <w:r w:rsidR="001E1542" w:rsidRPr="00B10916">
        <w:t xml:space="preserve">at an </w:t>
      </w:r>
      <w:r w:rsidR="00122450" w:rsidRPr="00B10916">
        <w:t>i</w:t>
      </w:r>
      <w:r w:rsidR="00AA7E31" w:rsidRPr="00B10916">
        <w:t xml:space="preserve">nternational </w:t>
      </w:r>
      <w:r w:rsidR="00122450" w:rsidRPr="00B10916">
        <w:t>c</w:t>
      </w:r>
      <w:r w:rsidR="00AA7E31" w:rsidRPr="00B10916">
        <w:t xml:space="preserve">onference on </w:t>
      </w:r>
      <w:r w:rsidR="00122450" w:rsidRPr="00B10916">
        <w:t>o</w:t>
      </w:r>
      <w:r w:rsidR="00AA7E31" w:rsidRPr="00B10916">
        <w:t xml:space="preserve">il and </w:t>
      </w:r>
      <w:r w:rsidR="00122450" w:rsidRPr="00B10916">
        <w:t>g</w:t>
      </w:r>
      <w:r w:rsidR="00AA7E31" w:rsidRPr="00B10916">
        <w:t>as and conducted several meetings with relevant ministries.</w:t>
      </w:r>
    </w:p>
    <w:p w14:paraId="4359E3ED" w14:textId="36911841" w:rsidR="00AA7E31" w:rsidRPr="00B10916" w:rsidRDefault="00B10916" w:rsidP="00B10916">
      <w:pPr>
        <w:pStyle w:val="SingleTxtG"/>
        <w:tabs>
          <w:tab w:val="left" w:pos="1701"/>
        </w:tabs>
      </w:pPr>
      <w:r w:rsidRPr="00B10916">
        <w:rPr>
          <w:bCs/>
        </w:rPr>
        <w:t>39.</w:t>
      </w:r>
      <w:r w:rsidRPr="00B10916">
        <w:rPr>
          <w:bCs/>
        </w:rPr>
        <w:tab/>
      </w:r>
      <w:r w:rsidR="00AA7E31" w:rsidRPr="00B10916">
        <w:t>In the context of Colombia, OHCHR continues to advocate for space for social dialogue on public policy issues of participation, consultation and representation of indigenous communities. It continues work with rights holders to strengthen their organizations and the design of protocols in dealing with authorities, as well as business enterprises.</w:t>
      </w:r>
    </w:p>
    <w:p w14:paraId="6A89E56B" w14:textId="4DD9C616" w:rsidR="00AA7E31" w:rsidRPr="00B10916" w:rsidRDefault="00B10916" w:rsidP="00B10916">
      <w:pPr>
        <w:pStyle w:val="SingleTxtG"/>
        <w:tabs>
          <w:tab w:val="left" w:pos="1701"/>
        </w:tabs>
      </w:pPr>
      <w:r w:rsidRPr="00B10916">
        <w:rPr>
          <w:bCs/>
        </w:rPr>
        <w:t>40.</w:t>
      </w:r>
      <w:r w:rsidRPr="00B10916">
        <w:rPr>
          <w:bCs/>
        </w:rPr>
        <w:tab/>
      </w:r>
      <w:r w:rsidR="00AA7E31" w:rsidRPr="00B10916">
        <w:t xml:space="preserve">The </w:t>
      </w:r>
      <w:r w:rsidR="002D6371" w:rsidRPr="00B10916">
        <w:t>o</w:t>
      </w:r>
      <w:r w:rsidR="00AA7E31" w:rsidRPr="00B10916">
        <w:t>ffice in Guatemala monitored various social protests of indigenous peoples as high</w:t>
      </w:r>
      <w:r w:rsidR="002D6371" w:rsidRPr="00B10916">
        <w:t>-</w:t>
      </w:r>
      <w:r w:rsidR="00AA7E31" w:rsidRPr="00B10916">
        <w:t>level dialogues with authorities were not effective.</w:t>
      </w:r>
      <w:r w:rsidR="000024B6" w:rsidRPr="00B10916">
        <w:t xml:space="preserve"> </w:t>
      </w:r>
      <w:r w:rsidR="00AA7E31" w:rsidRPr="00B10916">
        <w:t xml:space="preserve">The </w:t>
      </w:r>
      <w:r w:rsidR="002D6371" w:rsidRPr="00B10916">
        <w:t>o</w:t>
      </w:r>
      <w:r w:rsidR="00AA7E31" w:rsidRPr="00B10916">
        <w:t>ffice also provided assistance to the Ixil Mayan communities of San Juan Cotzal</w:t>
      </w:r>
      <w:r w:rsidR="002D6371" w:rsidRPr="00B10916">
        <w:t>,</w:t>
      </w:r>
      <w:r w:rsidR="00AA7E31" w:rsidRPr="00B10916">
        <w:t xml:space="preserve"> who claimed that the </w:t>
      </w:r>
      <w:r w:rsidR="002D6371" w:rsidRPr="00B10916">
        <w:t>S</w:t>
      </w:r>
      <w:r w:rsidR="00AA7E31" w:rsidRPr="00B10916">
        <w:t>tate had not respected its duty to consult with indigenous peoples. In April 2015</w:t>
      </w:r>
      <w:r w:rsidR="002D6371" w:rsidRPr="00B10916">
        <w:t>,</w:t>
      </w:r>
      <w:r w:rsidR="00AA7E31" w:rsidRPr="00B10916">
        <w:t xml:space="preserve"> </w:t>
      </w:r>
      <w:r w:rsidR="002D6371" w:rsidRPr="00B10916">
        <w:t xml:space="preserve">a court ruling was made </w:t>
      </w:r>
      <w:r w:rsidR="00AA7E31" w:rsidRPr="00B10916">
        <w:t>in favour of the claims made by the communities in this case.</w:t>
      </w:r>
    </w:p>
    <w:p w14:paraId="47333068" w14:textId="29F59820" w:rsidR="00AA7E31" w:rsidRPr="00B10916" w:rsidRDefault="00B10916" w:rsidP="00B10916">
      <w:pPr>
        <w:pStyle w:val="SingleTxtG"/>
        <w:tabs>
          <w:tab w:val="left" w:pos="1701"/>
        </w:tabs>
      </w:pPr>
      <w:r w:rsidRPr="00B10916">
        <w:rPr>
          <w:bCs/>
        </w:rPr>
        <w:t>41.</w:t>
      </w:r>
      <w:r w:rsidRPr="00B10916">
        <w:rPr>
          <w:bCs/>
        </w:rPr>
        <w:tab/>
      </w:r>
      <w:r w:rsidR="00AA7E31" w:rsidRPr="00B10916">
        <w:t>In Mexico</w:t>
      </w:r>
      <w:r w:rsidR="002D6371" w:rsidRPr="00B10916">
        <w:t>,</w:t>
      </w:r>
      <w:r w:rsidR="00AA7E31" w:rsidRPr="00B10916">
        <w:t xml:space="preserve"> the </w:t>
      </w:r>
      <w:r w:rsidR="002D6371" w:rsidRPr="00B10916">
        <w:t>o</w:t>
      </w:r>
      <w:r w:rsidR="00AA7E31" w:rsidRPr="00B10916">
        <w:t xml:space="preserve">ffice documented and monitored consultation processes and was in contact with different stakeholders, including federal, state and municipal authorities and civil society organizations. The </w:t>
      </w:r>
      <w:r w:rsidR="002D6371" w:rsidRPr="00B10916">
        <w:t>o</w:t>
      </w:r>
      <w:r w:rsidR="00AA7E31" w:rsidRPr="00B10916">
        <w:t xml:space="preserve">ffice opened communication channels between indigenous peoples and the authorities responsible for the development of consultation processes in line with international standards. In addition, </w:t>
      </w:r>
      <w:r w:rsidR="002D6371" w:rsidRPr="00B10916">
        <w:t xml:space="preserve">it </w:t>
      </w:r>
      <w:r w:rsidR="00AA7E31" w:rsidRPr="00B10916">
        <w:t>submitted information on standards on the rights of indigenous peoples</w:t>
      </w:r>
      <w:r w:rsidR="002D6371" w:rsidRPr="00B10916">
        <w:t>,</w:t>
      </w:r>
      <w:r w:rsidR="00AA7E31" w:rsidRPr="00B10916">
        <w:t xml:space="preserve"> more specifically the recognition of customs and traditions and traditional legal systems</w:t>
      </w:r>
      <w:r w:rsidR="002D6371" w:rsidRPr="00B10916">
        <w:t>,</w:t>
      </w:r>
      <w:r w:rsidR="00AA7E31" w:rsidRPr="00B10916">
        <w:t xml:space="preserve"> to the judiciary in relation to a case of an alleged arbitrary arrest of an indigenous leader.</w:t>
      </w:r>
    </w:p>
    <w:p w14:paraId="11D4ED43" w14:textId="37EA135D" w:rsidR="00AA7E31" w:rsidRPr="00B10916" w:rsidRDefault="00B10916" w:rsidP="00B10916">
      <w:pPr>
        <w:pStyle w:val="SingleTxtG"/>
        <w:tabs>
          <w:tab w:val="left" w:pos="1701"/>
        </w:tabs>
      </w:pPr>
      <w:r w:rsidRPr="00B10916">
        <w:rPr>
          <w:bCs/>
        </w:rPr>
        <w:t>42.</w:t>
      </w:r>
      <w:r w:rsidRPr="00B10916">
        <w:rPr>
          <w:bCs/>
        </w:rPr>
        <w:tab/>
      </w:r>
      <w:r w:rsidR="00AA7E31" w:rsidRPr="00B10916">
        <w:t xml:space="preserve">In the context of the World Conference on Indigenous Peoples, the </w:t>
      </w:r>
      <w:r w:rsidR="002D6371" w:rsidRPr="00B10916">
        <w:t>r</w:t>
      </w:r>
      <w:r w:rsidR="00AA7E31" w:rsidRPr="00B10916">
        <w:t xml:space="preserve">egional </w:t>
      </w:r>
      <w:r w:rsidR="002D6371" w:rsidRPr="00B10916">
        <w:t>o</w:t>
      </w:r>
      <w:r w:rsidR="00AA7E31" w:rsidRPr="00B10916">
        <w:t xml:space="preserve">ffice for Central America organized two workshops to facilitate a more inclusive dialogue between indigenous peoples and the Government of Costa Rica, during which the World Conference </w:t>
      </w:r>
      <w:r w:rsidR="002D6371" w:rsidRPr="00B10916">
        <w:t>o</w:t>
      </w:r>
      <w:r w:rsidR="00AA7E31" w:rsidRPr="00B10916">
        <w:t xml:space="preserve">utcome </w:t>
      </w:r>
      <w:r w:rsidR="002D6371" w:rsidRPr="00B10916">
        <w:t>d</w:t>
      </w:r>
      <w:r w:rsidR="00AA7E31" w:rsidRPr="00B10916">
        <w:t xml:space="preserve">ocument was disseminated. As a result, indigenous peoples and </w:t>
      </w:r>
      <w:r w:rsidR="002D6371" w:rsidRPr="00B10916">
        <w:t>g</w:t>
      </w:r>
      <w:r w:rsidR="00AA7E31" w:rsidRPr="00B10916">
        <w:t xml:space="preserve">overnment authorities agreed on the need to relaunch a dialogue with special attention to land tenure. The </w:t>
      </w:r>
      <w:r w:rsidR="002D6371" w:rsidRPr="00B10916">
        <w:t>r</w:t>
      </w:r>
      <w:r w:rsidR="00AA7E31" w:rsidRPr="00B10916">
        <w:t xml:space="preserve">egional </w:t>
      </w:r>
      <w:r w:rsidR="002D6371" w:rsidRPr="00B10916">
        <w:t>o</w:t>
      </w:r>
      <w:r w:rsidR="00AA7E31" w:rsidRPr="00B10916">
        <w:t>ffice</w:t>
      </w:r>
      <w:r w:rsidR="002D6371" w:rsidRPr="00B10916">
        <w:t>,</w:t>
      </w:r>
      <w:r w:rsidR="00AA7E31" w:rsidRPr="00B10916">
        <w:t xml:space="preserve"> along with the </w:t>
      </w:r>
      <w:r w:rsidR="003446CA" w:rsidRPr="00B10916">
        <w:t xml:space="preserve">United Nations </w:t>
      </w:r>
      <w:r w:rsidR="00AA7E31" w:rsidRPr="00B10916">
        <w:t xml:space="preserve">Resident Coordinator, </w:t>
      </w:r>
      <w:r w:rsidR="002D6371" w:rsidRPr="00B10916">
        <w:t>ILO</w:t>
      </w:r>
      <w:r w:rsidR="00AA7E31" w:rsidRPr="00B10916">
        <w:t xml:space="preserve"> and the </w:t>
      </w:r>
      <w:r w:rsidR="002D6371" w:rsidRPr="00B10916">
        <w:t>n</w:t>
      </w:r>
      <w:r w:rsidR="00AA7E31" w:rsidRPr="00B10916">
        <w:t xml:space="preserve">ational </w:t>
      </w:r>
      <w:r w:rsidR="002D6371" w:rsidRPr="00B10916">
        <w:t>h</w:t>
      </w:r>
      <w:r w:rsidR="00AA7E31" w:rsidRPr="00B10916">
        <w:t xml:space="preserve">uman </w:t>
      </w:r>
      <w:r w:rsidR="002D6371" w:rsidRPr="00B10916">
        <w:t>r</w:t>
      </w:r>
      <w:r w:rsidR="00AA7E31" w:rsidRPr="00B10916">
        <w:t xml:space="preserve">ights </w:t>
      </w:r>
      <w:r w:rsidR="002D6371" w:rsidRPr="00B10916">
        <w:t>i</w:t>
      </w:r>
      <w:r w:rsidR="00AA7E31" w:rsidRPr="00B10916">
        <w:t>nstitution</w:t>
      </w:r>
      <w:r w:rsidR="002D6371" w:rsidRPr="00B10916">
        <w:t>,</w:t>
      </w:r>
      <w:r w:rsidR="00AA7E31" w:rsidRPr="00B10916">
        <w:t xml:space="preserve"> </w:t>
      </w:r>
      <w:r w:rsidR="002D6371" w:rsidRPr="00B10916">
        <w:t xml:space="preserve">are seeking </w:t>
      </w:r>
      <w:r w:rsidR="00AA7E31" w:rsidRPr="00B10916">
        <w:t>to expand the dialogue to cover other urgent issues that indigenous peoples face.</w:t>
      </w:r>
    </w:p>
    <w:p w14:paraId="309ED0E6" w14:textId="296F8FBD" w:rsidR="00AA7E31" w:rsidRPr="00B10916" w:rsidRDefault="00B10916" w:rsidP="00B10916">
      <w:pPr>
        <w:pStyle w:val="SingleTxtG"/>
        <w:tabs>
          <w:tab w:val="left" w:pos="1701"/>
        </w:tabs>
      </w:pPr>
      <w:r w:rsidRPr="00B10916">
        <w:rPr>
          <w:bCs/>
        </w:rPr>
        <w:t>43.</w:t>
      </w:r>
      <w:r w:rsidRPr="00B10916">
        <w:rPr>
          <w:bCs/>
        </w:rPr>
        <w:tab/>
      </w:r>
      <w:r w:rsidR="00AA7E31" w:rsidRPr="00B10916">
        <w:t>In Panama, the indigenous round</w:t>
      </w:r>
      <w:r w:rsidR="002D6371" w:rsidRPr="00B10916">
        <w:t>-</w:t>
      </w:r>
      <w:r w:rsidR="00AA7E31" w:rsidRPr="00B10916">
        <w:t xml:space="preserve">table, established by OHCHR and the Office of the Resident Coordinator to advance the ratification of </w:t>
      </w:r>
      <w:r w:rsidR="00E75E9F" w:rsidRPr="00B10916">
        <w:t>the ILO Indigenous and Tribal Peoples Convention, 1989 (No. 169)</w:t>
      </w:r>
      <w:r w:rsidR="00AA7E31" w:rsidRPr="00B10916">
        <w:t xml:space="preserve"> and the adoption of the law for a </w:t>
      </w:r>
      <w:r w:rsidR="002D6371" w:rsidRPr="00B10916">
        <w:t>n</w:t>
      </w:r>
      <w:r w:rsidR="00AA7E31" w:rsidRPr="00B10916">
        <w:t xml:space="preserve">ational </w:t>
      </w:r>
      <w:r w:rsidR="002D6371" w:rsidRPr="00B10916">
        <w:t>d</w:t>
      </w:r>
      <w:r w:rsidR="00AA7E31" w:rsidRPr="00B10916">
        <w:t xml:space="preserve">evelopment </w:t>
      </w:r>
      <w:r w:rsidR="002D6371" w:rsidRPr="00B10916">
        <w:t>p</w:t>
      </w:r>
      <w:r w:rsidR="00AA7E31" w:rsidRPr="00B10916">
        <w:t xml:space="preserve">lan </w:t>
      </w:r>
      <w:r w:rsidR="002D6371" w:rsidRPr="00B10916">
        <w:t>for i</w:t>
      </w:r>
      <w:r w:rsidR="00AA7E31" w:rsidRPr="00B10916">
        <w:t xml:space="preserve">ndigenous </w:t>
      </w:r>
      <w:r w:rsidR="002D6371" w:rsidRPr="00B10916">
        <w:t>p</w:t>
      </w:r>
      <w:r w:rsidR="00AA7E31" w:rsidRPr="00B10916">
        <w:t>eoples</w:t>
      </w:r>
      <w:r w:rsidR="002D6371" w:rsidRPr="00B10916">
        <w:t>,</w:t>
      </w:r>
      <w:r w:rsidR="00AA7E31" w:rsidRPr="00B10916">
        <w:t xml:space="preserve"> continued its work.</w:t>
      </w:r>
      <w:r w:rsidR="000024B6" w:rsidRPr="00B10916">
        <w:t xml:space="preserve"> </w:t>
      </w:r>
      <w:r w:rsidR="00AA7E31" w:rsidRPr="00B10916">
        <w:t xml:space="preserve">The </w:t>
      </w:r>
      <w:r w:rsidR="002D6371" w:rsidRPr="00B10916">
        <w:t>r</w:t>
      </w:r>
      <w:r w:rsidR="00AA7E31" w:rsidRPr="00B10916">
        <w:t xml:space="preserve">egional </w:t>
      </w:r>
      <w:r w:rsidR="002D6371" w:rsidRPr="00B10916">
        <w:t>r</w:t>
      </w:r>
      <w:r w:rsidR="00AA7E31" w:rsidRPr="00B10916">
        <w:t xml:space="preserve">epresentative and Resident Coordinator facilitated the dialogue between indigenous peoples opposed to the construction of the Barro Blanco hydroelectric dam and the high-level government commission appointed by the President and led by the Vice President and Minister </w:t>
      </w:r>
      <w:r w:rsidR="002D6371" w:rsidRPr="00B10916">
        <w:t xml:space="preserve">for </w:t>
      </w:r>
      <w:r w:rsidR="00AA7E31" w:rsidRPr="00B10916">
        <w:t>Foreign Affairs.</w:t>
      </w:r>
    </w:p>
    <w:p w14:paraId="57C0CBD0" w14:textId="24F6C1A5" w:rsidR="00AA7E31" w:rsidRPr="00B10916" w:rsidRDefault="00B10916" w:rsidP="00B10916">
      <w:pPr>
        <w:pStyle w:val="SingleTxtG"/>
        <w:tabs>
          <w:tab w:val="left" w:pos="1701"/>
        </w:tabs>
      </w:pPr>
      <w:r w:rsidRPr="00B10916">
        <w:rPr>
          <w:bCs/>
        </w:rPr>
        <w:t>44.</w:t>
      </w:r>
      <w:r w:rsidRPr="00B10916">
        <w:rPr>
          <w:bCs/>
        </w:rPr>
        <w:tab/>
      </w:r>
      <w:r w:rsidR="00AA7E31" w:rsidRPr="00B10916">
        <w:t xml:space="preserve">Likewise, the OHCHR </w:t>
      </w:r>
      <w:r w:rsidR="002D6371" w:rsidRPr="00B10916">
        <w:t>r</w:t>
      </w:r>
      <w:r w:rsidR="00AA7E31" w:rsidRPr="00B10916">
        <w:t xml:space="preserve">egional </w:t>
      </w:r>
      <w:r w:rsidR="002D6371" w:rsidRPr="00B10916">
        <w:t>o</w:t>
      </w:r>
      <w:r w:rsidR="00AA7E31" w:rsidRPr="00B10916">
        <w:t>ffice for South America in Santiago</w:t>
      </w:r>
      <w:r w:rsidR="002D6371" w:rsidRPr="00B10916">
        <w:t>,</w:t>
      </w:r>
      <w:r w:rsidR="00AA7E31" w:rsidRPr="00B10916">
        <w:t xml:space="preserve"> </w:t>
      </w:r>
      <w:r w:rsidR="002D6371" w:rsidRPr="00B10916">
        <w:t xml:space="preserve">along </w:t>
      </w:r>
      <w:r w:rsidR="00AA7E31" w:rsidRPr="00B10916">
        <w:t xml:space="preserve">with other </w:t>
      </w:r>
      <w:r w:rsidR="003446CA" w:rsidRPr="00B10916">
        <w:t xml:space="preserve">United Nations </w:t>
      </w:r>
      <w:r w:rsidR="00AA7E31" w:rsidRPr="00B10916">
        <w:t>agencies in Chile</w:t>
      </w:r>
      <w:r w:rsidR="002D6371" w:rsidRPr="00B10916">
        <w:t>,</w:t>
      </w:r>
      <w:r w:rsidR="00AA7E31" w:rsidRPr="00B10916">
        <w:t xml:space="preserve"> raised the need for inclusive government consultations with indigenous peoples</w:t>
      </w:r>
      <w:r w:rsidR="002D6371" w:rsidRPr="00B10916">
        <w:t>,</w:t>
      </w:r>
      <w:r w:rsidR="00AA7E31" w:rsidRPr="00B10916">
        <w:t xml:space="preserve"> emphasizing the need to ensure the participation of indigenous women and children.</w:t>
      </w:r>
    </w:p>
    <w:p w14:paraId="1A57D69D" w14:textId="55A13839" w:rsidR="00AA7E31" w:rsidRPr="00B10916" w:rsidRDefault="00B10916" w:rsidP="00B10916">
      <w:pPr>
        <w:pStyle w:val="SingleTxtG"/>
        <w:tabs>
          <w:tab w:val="left" w:pos="1701"/>
        </w:tabs>
      </w:pPr>
      <w:r w:rsidRPr="00B10916">
        <w:rPr>
          <w:bCs/>
        </w:rPr>
        <w:t>45.</w:t>
      </w:r>
      <w:r w:rsidRPr="00B10916">
        <w:rPr>
          <w:bCs/>
        </w:rPr>
        <w:tab/>
      </w:r>
      <w:r w:rsidR="00AA7E31" w:rsidRPr="00B10916">
        <w:t>In the context of Nepal, OHCHR organized two stakeholder engagement meetings at the district level in cooperation with the Office of the Resident Coordinator to enhance dialogue between Constituent Assembly members, civil society actors and indigenous peoples’ representatives on promoting the rights of indigenous peoples in the country.</w:t>
      </w:r>
      <w:r w:rsidR="000024B6" w:rsidRPr="00B10916">
        <w:t xml:space="preserve"> </w:t>
      </w:r>
      <w:r w:rsidR="00AA7E31" w:rsidRPr="00B10916">
        <w:t>Participation in decision-making processes were stressed as critical in preventing conflict and promoting dialogue.</w:t>
      </w:r>
    </w:p>
    <w:p w14:paraId="36D0F5AA" w14:textId="2F9A8306" w:rsidR="00AA7E31" w:rsidRPr="00B10916" w:rsidRDefault="00B10916" w:rsidP="00B10916">
      <w:pPr>
        <w:pStyle w:val="H23G"/>
        <w:ind w:left="1215" w:hanging="506"/>
      </w:pPr>
      <w:r w:rsidRPr="00B10916">
        <w:t>2.</w:t>
      </w:r>
      <w:r w:rsidRPr="00B10916">
        <w:tab/>
      </w:r>
      <w:r w:rsidR="00AA7E31" w:rsidRPr="00B10916">
        <w:t>Recognition, autonomous governance, economic, social and cultural rights</w:t>
      </w:r>
    </w:p>
    <w:p w14:paraId="096D502E" w14:textId="6A75430F" w:rsidR="00AA7E31" w:rsidRPr="00B10916" w:rsidRDefault="00B10916" w:rsidP="00B10916">
      <w:pPr>
        <w:pStyle w:val="SingleTxtG"/>
        <w:tabs>
          <w:tab w:val="left" w:pos="1701"/>
        </w:tabs>
      </w:pPr>
      <w:r w:rsidRPr="00B10916">
        <w:rPr>
          <w:bCs/>
        </w:rPr>
        <w:t>46.</w:t>
      </w:r>
      <w:r w:rsidRPr="00B10916">
        <w:rPr>
          <w:bCs/>
        </w:rPr>
        <w:tab/>
      </w:r>
      <w:r w:rsidR="00AA7E31" w:rsidRPr="00B10916">
        <w:t xml:space="preserve">In Colombia, the </w:t>
      </w:r>
      <w:r w:rsidR="00034046" w:rsidRPr="00B10916">
        <w:t>o</w:t>
      </w:r>
      <w:r w:rsidR="00AA7E31" w:rsidRPr="00B10916">
        <w:t xml:space="preserve">ffice attended meetings of the </w:t>
      </w:r>
      <w:r w:rsidR="00034046" w:rsidRPr="00B10916">
        <w:t>i</w:t>
      </w:r>
      <w:r w:rsidR="00AA7E31" w:rsidRPr="00B10916">
        <w:t xml:space="preserve">nter-administrative </w:t>
      </w:r>
      <w:r w:rsidR="00034046" w:rsidRPr="00B10916">
        <w:t>w</w:t>
      </w:r>
      <w:r w:rsidR="00AA7E31" w:rsidRPr="00B10916">
        <w:t xml:space="preserve">orking </w:t>
      </w:r>
      <w:r w:rsidR="00034046" w:rsidRPr="00B10916">
        <w:t>g</w:t>
      </w:r>
      <w:r w:rsidR="00AA7E31" w:rsidRPr="00B10916">
        <w:t xml:space="preserve">roup, which constitutes a forum for the </w:t>
      </w:r>
      <w:r w:rsidR="00034046" w:rsidRPr="00B10916">
        <w:t>d</w:t>
      </w:r>
      <w:r w:rsidR="00AA7E31" w:rsidRPr="00B10916">
        <w:t xml:space="preserve">epartmental </w:t>
      </w:r>
      <w:r w:rsidR="00034046" w:rsidRPr="00B10916">
        <w:t>g</w:t>
      </w:r>
      <w:r w:rsidR="00AA7E31" w:rsidRPr="00B10916">
        <w:t xml:space="preserve">overnment of the Amazon, </w:t>
      </w:r>
      <w:r w:rsidR="00034046" w:rsidRPr="00B10916">
        <w:t>a</w:t>
      </w:r>
      <w:r w:rsidR="00AA7E31" w:rsidRPr="00B10916">
        <w:t xml:space="preserve">ssociations of </w:t>
      </w:r>
      <w:r w:rsidR="00034046" w:rsidRPr="00B10916">
        <w:t>i</w:t>
      </w:r>
      <w:r w:rsidR="00AA7E31" w:rsidRPr="00B10916">
        <w:t xml:space="preserve">ndigenous </w:t>
      </w:r>
      <w:r w:rsidR="00034046" w:rsidRPr="00B10916">
        <w:t>t</w:t>
      </w:r>
      <w:r w:rsidR="00AA7E31" w:rsidRPr="00B10916">
        <w:t xml:space="preserve">raditional </w:t>
      </w:r>
      <w:r w:rsidR="00034046" w:rsidRPr="00B10916">
        <w:t>a</w:t>
      </w:r>
      <w:r w:rsidR="00AA7E31" w:rsidRPr="00B10916">
        <w:t xml:space="preserve">uthorities and </w:t>
      </w:r>
      <w:r w:rsidR="00034046" w:rsidRPr="00B10916">
        <w:t>e</w:t>
      </w:r>
      <w:r w:rsidR="00AA7E31" w:rsidRPr="00B10916">
        <w:t xml:space="preserve">nvironmental entities to pursue an intercultural dialogue and for indigenous peoples to articulate their demands in relation to their education and health systems, territory and government. With a view to illustrating difficulties in implementing the Victims and Land Restitution Law and sharing relevant expertise, three meetings were held with concerned institutions. The </w:t>
      </w:r>
      <w:r w:rsidR="00230758" w:rsidRPr="00B10916">
        <w:t>o</w:t>
      </w:r>
      <w:r w:rsidR="00AA7E31" w:rsidRPr="00B10916">
        <w:t xml:space="preserve">ffice in Colombia </w:t>
      </w:r>
      <w:r w:rsidR="00230758" w:rsidRPr="00B10916">
        <w:t xml:space="preserve">is also seeking </w:t>
      </w:r>
      <w:r w:rsidR="00AA7E31" w:rsidRPr="00B10916">
        <w:t>to enhance coordination between the indigenous and the national health systems.</w:t>
      </w:r>
      <w:r w:rsidR="000024B6" w:rsidRPr="00B10916">
        <w:t xml:space="preserve"> </w:t>
      </w:r>
      <w:r w:rsidR="00AA7E31" w:rsidRPr="00B10916">
        <w:t>It follows up on relevant cases</w:t>
      </w:r>
      <w:r w:rsidR="00B11F40" w:rsidRPr="00B10916">
        <w:t>,</w:t>
      </w:r>
      <w:r w:rsidR="00AA7E31" w:rsidRPr="00B10916">
        <w:t xml:space="preserve"> such as the death of indigenous children in Chocó and Río Sucio, and on lack of access to health care for indigenous peoples in the Amazon.</w:t>
      </w:r>
      <w:r w:rsidR="000024B6" w:rsidRPr="00B10916">
        <w:t xml:space="preserve"> </w:t>
      </w:r>
      <w:r w:rsidR="00AA7E31" w:rsidRPr="00B10916">
        <w:t>It monitors incidents of human poisoning and territorial contamination with mercury and cyanide, as a result of gold mining.</w:t>
      </w:r>
      <w:r w:rsidR="000024B6" w:rsidRPr="00B10916">
        <w:t xml:space="preserve"> </w:t>
      </w:r>
      <w:r w:rsidR="00AA7E31" w:rsidRPr="00B10916">
        <w:t>With a view to drawing attention to the critical health situation of indigenous peoples and Afro</w:t>
      </w:r>
      <w:r w:rsidR="00946FC2" w:rsidRPr="00B10916">
        <w:t>-</w:t>
      </w:r>
      <w:r w:rsidR="00AA7E31" w:rsidRPr="00B10916">
        <w:t xml:space="preserve">Colombians and the extreme vulnerability of Hitnü peoples in Arauca, the </w:t>
      </w:r>
      <w:r w:rsidR="00946FC2" w:rsidRPr="00B10916">
        <w:t>r</w:t>
      </w:r>
      <w:r w:rsidR="00AA7E31" w:rsidRPr="00B10916">
        <w:t xml:space="preserve">epresentative of the </w:t>
      </w:r>
      <w:r w:rsidR="00946FC2" w:rsidRPr="00B10916">
        <w:t>o</w:t>
      </w:r>
      <w:r w:rsidR="00AA7E31" w:rsidRPr="00B10916">
        <w:t xml:space="preserve">ffice in Colombia and the </w:t>
      </w:r>
      <w:r w:rsidR="00946FC2" w:rsidRPr="00B10916">
        <w:t>o</w:t>
      </w:r>
      <w:r w:rsidR="00AA7E31" w:rsidRPr="00B10916">
        <w:t>mbudsman travelled to Chocó and Arauca in order to give greater visibility to the critical health situation of indigenous peoples and Afro</w:t>
      </w:r>
      <w:r w:rsidR="00946FC2" w:rsidRPr="00B10916">
        <w:t>-</w:t>
      </w:r>
      <w:r w:rsidR="00AA7E31" w:rsidRPr="00B10916">
        <w:t>Colombians, as well as the extreme vulnerability of Hitnü peoples in Arauca.</w:t>
      </w:r>
    </w:p>
    <w:p w14:paraId="41A9AAE2" w14:textId="13CAE9BA" w:rsidR="00AA7E31" w:rsidRPr="00B10916" w:rsidRDefault="00B10916" w:rsidP="00B10916">
      <w:pPr>
        <w:pStyle w:val="SingleTxtG"/>
        <w:tabs>
          <w:tab w:val="left" w:pos="1701"/>
        </w:tabs>
      </w:pPr>
      <w:r w:rsidRPr="00B10916">
        <w:rPr>
          <w:bCs/>
        </w:rPr>
        <w:t>47.</w:t>
      </w:r>
      <w:r w:rsidRPr="00B10916">
        <w:rPr>
          <w:bCs/>
        </w:rPr>
        <w:tab/>
      </w:r>
      <w:r w:rsidR="00AA7E31" w:rsidRPr="00B10916">
        <w:t xml:space="preserve">The </w:t>
      </w:r>
      <w:r w:rsidR="00946FC2" w:rsidRPr="00B10916">
        <w:t>o</w:t>
      </w:r>
      <w:r w:rsidR="00AA7E31" w:rsidRPr="00B10916">
        <w:t xml:space="preserve">ffice in </w:t>
      </w:r>
      <w:r w:rsidR="002F2482" w:rsidRPr="00B10916">
        <w:rPr>
          <w:iCs/>
        </w:rPr>
        <w:t xml:space="preserve">the Plurinational State of </w:t>
      </w:r>
      <w:r w:rsidR="00AA7E31" w:rsidRPr="00B10916">
        <w:t xml:space="preserve">Bolivia continued to monitor </w:t>
      </w:r>
      <w:r w:rsidR="00B61283" w:rsidRPr="00B10916">
        <w:t xml:space="preserve">the </w:t>
      </w:r>
      <w:r w:rsidR="00AA7E31" w:rsidRPr="00B10916">
        <w:t>applications to the Plurinational Constitutional Court</w:t>
      </w:r>
      <w:r w:rsidR="00B61283" w:rsidRPr="00B10916">
        <w:t xml:space="preserve"> of six municipalities for autonomy statutes</w:t>
      </w:r>
      <w:r w:rsidR="00AA7E31" w:rsidRPr="00B10916">
        <w:t>, four of which have been declared constitutional</w:t>
      </w:r>
      <w:r w:rsidR="00B61283" w:rsidRPr="00B10916">
        <w:t>.</w:t>
      </w:r>
      <w:r w:rsidR="00AA7E31" w:rsidRPr="00B10916">
        <w:t xml:space="preserve"> </w:t>
      </w:r>
    </w:p>
    <w:p w14:paraId="250D8675" w14:textId="072E3C45" w:rsidR="00AA7E31" w:rsidRPr="00B10916" w:rsidRDefault="00B10916" w:rsidP="00B10916">
      <w:pPr>
        <w:pStyle w:val="SingleTxtG"/>
        <w:tabs>
          <w:tab w:val="left" w:pos="1701"/>
        </w:tabs>
      </w:pPr>
      <w:r w:rsidRPr="00B10916">
        <w:rPr>
          <w:bCs/>
        </w:rPr>
        <w:t>48.</w:t>
      </w:r>
      <w:r w:rsidRPr="00B10916">
        <w:rPr>
          <w:bCs/>
        </w:rPr>
        <w:tab/>
      </w:r>
      <w:r w:rsidR="00AA7E31" w:rsidRPr="00B10916">
        <w:t xml:space="preserve">The </w:t>
      </w:r>
      <w:r w:rsidR="00B61283" w:rsidRPr="00B10916">
        <w:t>o</w:t>
      </w:r>
      <w:r w:rsidR="00AA7E31" w:rsidRPr="00B10916">
        <w:t xml:space="preserve">ffice in Guatemala undertook missions to the interior of the country to assess the situation of the rights of indigenous peoples, especially </w:t>
      </w:r>
      <w:r w:rsidR="00B61283" w:rsidRPr="00B10916">
        <w:t xml:space="preserve">in </w:t>
      </w:r>
      <w:r w:rsidR="00AA7E31" w:rsidRPr="00B10916">
        <w:t xml:space="preserve">terms of agricultural labour and the exploitation of natural resources in indigenous territories in the departments of Huehuetenango, Quiché, Alta Verapaz, Chiquimula and the municipalities of San Juan Sacatepéquez and San Jóse Del Golfo. The </w:t>
      </w:r>
      <w:r w:rsidR="00B61283" w:rsidRPr="00B10916">
        <w:t>o</w:t>
      </w:r>
      <w:r w:rsidR="00AA7E31" w:rsidRPr="00B10916">
        <w:t xml:space="preserve">ffice also provided technical assistance to the Gender and Multiculturalism Unit of the Ministry of </w:t>
      </w:r>
      <w:r w:rsidR="00B61283" w:rsidRPr="00B10916">
        <w:t xml:space="preserve">the </w:t>
      </w:r>
      <w:r w:rsidR="00AA7E31" w:rsidRPr="00B10916">
        <w:t>Environment and Natural Resources.</w:t>
      </w:r>
      <w:r w:rsidR="000024B6" w:rsidRPr="00B10916">
        <w:t xml:space="preserve"> </w:t>
      </w:r>
      <w:r w:rsidR="00AA7E31" w:rsidRPr="00B10916">
        <w:t xml:space="preserve">In August 2014, the </w:t>
      </w:r>
      <w:r w:rsidR="00B61283" w:rsidRPr="00B10916">
        <w:t>o</w:t>
      </w:r>
      <w:r w:rsidR="00AA7E31" w:rsidRPr="00B10916">
        <w:t>ffice organized several events on environmental and social impact assessments with different actors</w:t>
      </w:r>
      <w:r w:rsidR="00B61283" w:rsidRPr="00B10916">
        <w:t>,</w:t>
      </w:r>
      <w:r w:rsidR="00AA7E31" w:rsidRPr="00B10916">
        <w:t xml:space="preserve"> including civil servants of </w:t>
      </w:r>
      <w:r w:rsidR="00B61283" w:rsidRPr="00B10916">
        <w:t>the Ministry</w:t>
      </w:r>
      <w:r w:rsidR="00AA7E31" w:rsidRPr="00B10916">
        <w:t xml:space="preserve">, the National Council of Protected Areas, the National </w:t>
      </w:r>
      <w:r w:rsidR="00B61283" w:rsidRPr="00B10916">
        <w:t xml:space="preserve">Forest </w:t>
      </w:r>
      <w:r w:rsidR="00AA7E31" w:rsidRPr="00B10916">
        <w:t>Institute and representatives of indigenous communities.</w:t>
      </w:r>
      <w:r w:rsidR="000024B6" w:rsidRPr="00B10916">
        <w:t xml:space="preserve"> </w:t>
      </w:r>
      <w:r w:rsidR="00AA7E31" w:rsidRPr="00B10916">
        <w:t xml:space="preserve">Against that backdrop, a panel discussion on the Guiding Principles on Business and Human Rights was held. In addition, the </w:t>
      </w:r>
      <w:r w:rsidR="00393793" w:rsidRPr="00B10916">
        <w:t>o</w:t>
      </w:r>
      <w:r w:rsidR="00AA7E31" w:rsidRPr="00B10916">
        <w:t xml:space="preserve">ffice in Guatemala and the </w:t>
      </w:r>
      <w:r w:rsidR="00393793" w:rsidRPr="00B10916">
        <w:t>n</w:t>
      </w:r>
      <w:r w:rsidR="00AA7E31" w:rsidRPr="00B10916">
        <w:t xml:space="preserve">ational </w:t>
      </w:r>
      <w:r w:rsidR="00393793" w:rsidRPr="00B10916">
        <w:t>h</w:t>
      </w:r>
      <w:r w:rsidR="00AA7E31" w:rsidRPr="00B10916">
        <w:t xml:space="preserve">uman </w:t>
      </w:r>
      <w:r w:rsidR="00393793" w:rsidRPr="00B10916">
        <w:t>r</w:t>
      </w:r>
      <w:r w:rsidR="00AA7E31" w:rsidRPr="00B10916">
        <w:t xml:space="preserve">ights </w:t>
      </w:r>
      <w:r w:rsidR="00393793" w:rsidRPr="00B10916">
        <w:t>i</w:t>
      </w:r>
      <w:r w:rsidR="00AA7E31" w:rsidRPr="00B10916">
        <w:t xml:space="preserve">nstitution evaluated the </w:t>
      </w:r>
      <w:r w:rsidR="00393793" w:rsidRPr="00B10916">
        <w:t>“</w:t>
      </w:r>
      <w:r w:rsidR="00AA7E31" w:rsidRPr="00B10916">
        <w:t>Zero Hunger Plan</w:t>
      </w:r>
      <w:r w:rsidR="00393793" w:rsidRPr="00B10916">
        <w:t>”,</w:t>
      </w:r>
      <w:r w:rsidR="00AA7E31" w:rsidRPr="00B10916">
        <w:t xml:space="preserve"> a </w:t>
      </w:r>
      <w:r w:rsidR="00393793" w:rsidRPr="00B10916">
        <w:t>g</w:t>
      </w:r>
      <w:r w:rsidR="00AA7E31" w:rsidRPr="00B10916">
        <w:t>overnment strategy aimed at the eradication of chronic and acute malnutrition in the country. In the same vein</w:t>
      </w:r>
      <w:r w:rsidR="00393793" w:rsidRPr="00B10916">
        <w:t>,</w:t>
      </w:r>
      <w:r w:rsidR="00AA7E31" w:rsidRPr="00B10916">
        <w:t xml:space="preserve"> the </w:t>
      </w:r>
      <w:r w:rsidR="00393793" w:rsidRPr="00B10916">
        <w:t>o</w:t>
      </w:r>
      <w:r w:rsidR="00AA7E31" w:rsidRPr="00B10916">
        <w:t xml:space="preserve">ffice accompanied various actors involved in the implementation of the National Court’s ruling on the violation of the right to food of five Chortí children that called for a </w:t>
      </w:r>
      <w:r w:rsidR="00393793" w:rsidRPr="00B10916">
        <w:t>p</w:t>
      </w:r>
      <w:r w:rsidR="00AA7E31" w:rsidRPr="00B10916">
        <w:t xml:space="preserve">rotocol to </w:t>
      </w:r>
      <w:r w:rsidR="00393793" w:rsidRPr="00B10916">
        <w:t xml:space="preserve">establish </w:t>
      </w:r>
      <w:r w:rsidR="00AA7E31" w:rsidRPr="00B10916">
        <w:t>the right to food at the administrative level.</w:t>
      </w:r>
    </w:p>
    <w:p w14:paraId="12EBEEA1" w14:textId="4984D00C" w:rsidR="00AA7E31" w:rsidRPr="00B10916" w:rsidRDefault="00B10916" w:rsidP="00B10916">
      <w:pPr>
        <w:pStyle w:val="SingleTxtG"/>
        <w:tabs>
          <w:tab w:val="left" w:pos="1701"/>
        </w:tabs>
      </w:pPr>
      <w:r w:rsidRPr="00B10916">
        <w:rPr>
          <w:bCs/>
        </w:rPr>
        <w:t>49.</w:t>
      </w:r>
      <w:r w:rsidRPr="00B10916">
        <w:rPr>
          <w:bCs/>
        </w:rPr>
        <w:tab/>
      </w:r>
      <w:r w:rsidR="00AA7E31" w:rsidRPr="00B10916">
        <w:t xml:space="preserve">In the context of the Democratic Republic of </w:t>
      </w:r>
      <w:r w:rsidR="00D72474" w:rsidRPr="00B10916">
        <w:t xml:space="preserve">the </w:t>
      </w:r>
      <w:r w:rsidR="00AA7E31" w:rsidRPr="00B10916">
        <w:t xml:space="preserve">Congo, the </w:t>
      </w:r>
      <w:r w:rsidR="00393793" w:rsidRPr="00B10916">
        <w:t xml:space="preserve">United Nations </w:t>
      </w:r>
      <w:r w:rsidR="00AA7E31" w:rsidRPr="00B10916">
        <w:t>Joint Human Rights Office has assessed that Pygmy peoples have very limited access to health and education as they live in remote areas of the country.</w:t>
      </w:r>
    </w:p>
    <w:p w14:paraId="002E4BD7" w14:textId="35103317" w:rsidR="00AA7E31" w:rsidRPr="00B10916" w:rsidRDefault="00B10916" w:rsidP="00B10916">
      <w:pPr>
        <w:pStyle w:val="H23G"/>
        <w:ind w:left="1215" w:hanging="506"/>
      </w:pPr>
      <w:r w:rsidRPr="00B10916">
        <w:t>3.</w:t>
      </w:r>
      <w:r w:rsidRPr="00B10916">
        <w:tab/>
      </w:r>
      <w:r w:rsidR="00AA7E31" w:rsidRPr="00B10916">
        <w:t>Violence against indigenous peoples</w:t>
      </w:r>
    </w:p>
    <w:p w14:paraId="0B20372C" w14:textId="2E7AB8CC" w:rsidR="00AA7E31" w:rsidRPr="00B10916" w:rsidRDefault="00B10916" w:rsidP="00B10916">
      <w:pPr>
        <w:pStyle w:val="SingleTxtG"/>
        <w:tabs>
          <w:tab w:val="left" w:pos="1701"/>
        </w:tabs>
      </w:pPr>
      <w:r w:rsidRPr="00B10916">
        <w:rPr>
          <w:bCs/>
        </w:rPr>
        <w:t>50.</w:t>
      </w:r>
      <w:r w:rsidRPr="00B10916">
        <w:rPr>
          <w:bCs/>
        </w:rPr>
        <w:tab/>
      </w:r>
      <w:r w:rsidR="00AA7E31" w:rsidRPr="00B10916">
        <w:t xml:space="preserve">In the Democratic Republic of </w:t>
      </w:r>
      <w:r w:rsidR="00D72474" w:rsidRPr="00B10916">
        <w:t xml:space="preserve">the </w:t>
      </w:r>
      <w:r w:rsidR="00AA7E31" w:rsidRPr="00B10916">
        <w:t>Congo, exclusion from public life, discrimination and extreme marginalization have not only led to adverse health outcomes, but also increased tensions between communities. From 16 to 19 September 2014</w:t>
      </w:r>
      <w:r w:rsidR="0077592E" w:rsidRPr="00B10916">
        <w:t>,</w:t>
      </w:r>
      <w:r w:rsidR="00AA7E31" w:rsidRPr="00B10916">
        <w:t xml:space="preserve"> a </w:t>
      </w:r>
      <w:r w:rsidR="0077592E" w:rsidRPr="00B10916">
        <w:t>j</w:t>
      </w:r>
      <w:r w:rsidR="00AA7E31" w:rsidRPr="00B10916">
        <w:t xml:space="preserve">oint </w:t>
      </w:r>
      <w:r w:rsidR="0077592E" w:rsidRPr="00B10916">
        <w:t>h</w:t>
      </w:r>
      <w:r w:rsidR="00AA7E31" w:rsidRPr="00B10916">
        <w:t xml:space="preserve">uman </w:t>
      </w:r>
      <w:r w:rsidR="0077592E" w:rsidRPr="00B10916">
        <w:t>r</w:t>
      </w:r>
      <w:r w:rsidR="00AA7E31" w:rsidRPr="00B10916">
        <w:t xml:space="preserve">ights </w:t>
      </w:r>
      <w:r w:rsidR="0077592E" w:rsidRPr="00B10916">
        <w:t>o</w:t>
      </w:r>
      <w:r w:rsidR="00AA7E31" w:rsidRPr="00B10916">
        <w:t>ffice investigation mission to Kabalo, Katanga province</w:t>
      </w:r>
      <w:r w:rsidR="0077592E" w:rsidRPr="00B10916">
        <w:t>,</w:t>
      </w:r>
      <w:r w:rsidR="00AA7E31" w:rsidRPr="00B10916">
        <w:t xml:space="preserve"> learned about serious allegations of human rights violations</w:t>
      </w:r>
      <w:r w:rsidR="0077592E" w:rsidRPr="00B10916">
        <w:t>,</w:t>
      </w:r>
      <w:r w:rsidR="00AA7E31" w:rsidRPr="00B10916">
        <w:t xml:space="preserve"> including killings </w:t>
      </w:r>
      <w:r w:rsidR="0077592E" w:rsidRPr="00B10916">
        <w:t xml:space="preserve">and </w:t>
      </w:r>
      <w:r w:rsidR="00AA7E31" w:rsidRPr="00B10916">
        <w:t>inhumane, cruel and degrading treatment, as well as abductions and lootings.</w:t>
      </w:r>
      <w:r w:rsidR="000024B6" w:rsidRPr="00B10916">
        <w:t xml:space="preserve"> </w:t>
      </w:r>
      <w:r w:rsidR="00AA7E31" w:rsidRPr="00B10916">
        <w:t xml:space="preserve">These violations were allegedly committed by Bantu militia and </w:t>
      </w:r>
      <w:r w:rsidR="00AA7E31" w:rsidRPr="00B10916">
        <w:rPr>
          <w:i/>
        </w:rPr>
        <w:t>Buzolezole</w:t>
      </w:r>
      <w:r w:rsidR="00AA7E31" w:rsidRPr="00B10916">
        <w:t>-Luba militia and targeted mostly Batwa Pygmies.</w:t>
      </w:r>
    </w:p>
    <w:p w14:paraId="6DF15213" w14:textId="66F3B52F" w:rsidR="00AA7E31" w:rsidRPr="00B10916" w:rsidRDefault="00B10916" w:rsidP="00B10916">
      <w:pPr>
        <w:pStyle w:val="SingleTxtG"/>
        <w:tabs>
          <w:tab w:val="left" w:pos="1701"/>
        </w:tabs>
      </w:pPr>
      <w:r w:rsidRPr="00B10916">
        <w:rPr>
          <w:bCs/>
        </w:rPr>
        <w:t>51.</w:t>
      </w:r>
      <w:r w:rsidRPr="00B10916">
        <w:rPr>
          <w:bCs/>
        </w:rPr>
        <w:tab/>
      </w:r>
      <w:r w:rsidR="0077592E" w:rsidRPr="00B10916">
        <w:t>The United Nations Joint Human Rights Office</w:t>
      </w:r>
      <w:r w:rsidR="00AA7E31" w:rsidRPr="00B10916">
        <w:t xml:space="preserve"> investigated another recent large-scale attack </w:t>
      </w:r>
      <w:r w:rsidR="0077592E" w:rsidRPr="00B10916">
        <w:t xml:space="preserve">on </w:t>
      </w:r>
      <w:r w:rsidR="00AA7E31" w:rsidRPr="00B10916">
        <w:t xml:space="preserve">the </w:t>
      </w:r>
      <w:r w:rsidR="0077592E" w:rsidRPr="00B10916">
        <w:t xml:space="preserve">internally displaced persons </w:t>
      </w:r>
      <w:r w:rsidR="00AA7E31" w:rsidRPr="00B10916">
        <w:t xml:space="preserve">site in Nyunzu on 30 May 2015, allegedly perpetrated by Bantu-Luba militia called </w:t>
      </w:r>
      <w:r w:rsidR="0077592E" w:rsidRPr="008869B3">
        <w:rPr>
          <w:i/>
        </w:rPr>
        <w:t>Eléments</w:t>
      </w:r>
      <w:r w:rsidR="00AA7E31" w:rsidRPr="00B10916">
        <w:rPr>
          <w:i/>
        </w:rPr>
        <w:t xml:space="preserve"> Katangais, </w:t>
      </w:r>
      <w:r w:rsidR="00AA7E31" w:rsidRPr="00B10916">
        <w:t>which resulted in numerous human rights violations, namely</w:t>
      </w:r>
      <w:r w:rsidR="0077592E" w:rsidRPr="00B10916">
        <w:t>,</w:t>
      </w:r>
      <w:r w:rsidR="00AA7E31" w:rsidRPr="00B10916">
        <w:t xml:space="preserve"> 44 killings, 8 rapes and 57 cases of abduction.</w:t>
      </w:r>
      <w:r w:rsidR="000024B6" w:rsidRPr="00B10916">
        <w:t xml:space="preserve"> </w:t>
      </w:r>
      <w:r w:rsidR="00AA7E31" w:rsidRPr="00B10916">
        <w:t>The victims were mainly of Batwa Pygmy ethnicity.</w:t>
      </w:r>
    </w:p>
    <w:p w14:paraId="5DE688DE" w14:textId="55C7A437" w:rsidR="00AA7E31" w:rsidRPr="00B10916" w:rsidRDefault="00B10916" w:rsidP="00B10916">
      <w:pPr>
        <w:pStyle w:val="SingleTxtG"/>
        <w:tabs>
          <w:tab w:val="left" w:pos="1701"/>
        </w:tabs>
      </w:pPr>
      <w:r w:rsidRPr="00B10916">
        <w:rPr>
          <w:bCs/>
        </w:rPr>
        <w:t>52.</w:t>
      </w:r>
      <w:r w:rsidRPr="00B10916">
        <w:rPr>
          <w:bCs/>
        </w:rPr>
        <w:tab/>
      </w:r>
      <w:r w:rsidR="00AA7E31" w:rsidRPr="00B10916">
        <w:t xml:space="preserve">The </w:t>
      </w:r>
      <w:r w:rsidR="0077592E" w:rsidRPr="00B10916">
        <w:t xml:space="preserve">United Nations </w:t>
      </w:r>
      <w:r w:rsidR="00AA7E31" w:rsidRPr="00B10916">
        <w:t xml:space="preserve">Joint Human Rights Office also monitored the arrest of a Batwa Pygmy </w:t>
      </w:r>
      <w:r w:rsidR="00631AAF" w:rsidRPr="00B10916">
        <w:t>non-governmental organization</w:t>
      </w:r>
      <w:r w:rsidR="00AA7E31" w:rsidRPr="00B10916">
        <w:t xml:space="preserve"> activist who </w:t>
      </w:r>
      <w:r w:rsidR="00996E49" w:rsidRPr="00B10916">
        <w:t xml:space="preserve">had been </w:t>
      </w:r>
      <w:r w:rsidR="00AA7E31" w:rsidRPr="00B10916">
        <w:t>accused of incitement to hatred.</w:t>
      </w:r>
      <w:r w:rsidR="000024B6" w:rsidRPr="00B10916">
        <w:t xml:space="preserve"> </w:t>
      </w:r>
      <w:r w:rsidR="00AA7E31" w:rsidRPr="00B10916">
        <w:t>The trial at the Tribunal of Grand Instance led to his release.</w:t>
      </w:r>
      <w:r w:rsidR="00015ECC" w:rsidRPr="00B10916">
        <w:t xml:space="preserve"> </w:t>
      </w:r>
      <w:r w:rsidR="00AA7E31" w:rsidRPr="00B10916">
        <w:t>In another emblematic case</w:t>
      </w:r>
      <w:r w:rsidR="00015ECC" w:rsidRPr="00B10916">
        <w:t>,</w:t>
      </w:r>
      <w:r w:rsidR="00AA7E31" w:rsidRPr="00B10916">
        <w:t xml:space="preserve"> on 19 May 2015, the </w:t>
      </w:r>
      <w:r w:rsidR="00015ECC" w:rsidRPr="00B10916">
        <w:t xml:space="preserve">United Nations </w:t>
      </w:r>
      <w:r w:rsidR="00AA7E31" w:rsidRPr="00B10916">
        <w:t xml:space="preserve">Joint Human Rights Office and </w:t>
      </w:r>
      <w:r w:rsidR="00015ECC" w:rsidRPr="00B10916">
        <w:t>the United Nations Organization Stabilization Mission in the Democratic Republic of the Congo</w:t>
      </w:r>
      <w:r w:rsidR="00AA7E31" w:rsidRPr="00B10916">
        <w:t xml:space="preserve"> placed under protection and later relocated a Batwa activist from Nyunzu to a safe place. Allegedly, </w:t>
      </w:r>
      <w:r w:rsidR="00C92F43" w:rsidRPr="00B10916">
        <w:t xml:space="preserve">elements of the </w:t>
      </w:r>
      <w:r w:rsidR="00AA7E31" w:rsidRPr="00B10916">
        <w:t xml:space="preserve">Luba militia </w:t>
      </w:r>
      <w:r w:rsidR="00C92F43" w:rsidRPr="00B10916">
        <w:t xml:space="preserve">had </w:t>
      </w:r>
      <w:r w:rsidR="00AA7E31" w:rsidRPr="00B10916">
        <w:t xml:space="preserve">threatened him for opposing the Luba </w:t>
      </w:r>
      <w:r w:rsidR="00C92F43" w:rsidRPr="00B10916">
        <w:t>l</w:t>
      </w:r>
      <w:r w:rsidR="00AA7E31" w:rsidRPr="00B10916">
        <w:t>eadership, burned his house and forced his family</w:t>
      </w:r>
      <w:r w:rsidR="000024B6" w:rsidRPr="00B10916">
        <w:t xml:space="preserve"> </w:t>
      </w:r>
      <w:r w:rsidR="00AA7E31" w:rsidRPr="00B10916">
        <w:t>into hiding.</w:t>
      </w:r>
    </w:p>
    <w:p w14:paraId="701DA5CE" w14:textId="182EC852" w:rsidR="00AA7E31" w:rsidRPr="00B10916" w:rsidRDefault="00B10916" w:rsidP="00B10916">
      <w:pPr>
        <w:pStyle w:val="SingleTxtG"/>
        <w:tabs>
          <w:tab w:val="left" w:pos="1701"/>
        </w:tabs>
      </w:pPr>
      <w:r w:rsidRPr="00B10916">
        <w:rPr>
          <w:bCs/>
        </w:rPr>
        <w:t>53.</w:t>
      </w:r>
      <w:r w:rsidRPr="00B10916">
        <w:rPr>
          <w:bCs/>
        </w:rPr>
        <w:tab/>
      </w:r>
      <w:r w:rsidR="00AA7E31" w:rsidRPr="00B10916">
        <w:t xml:space="preserve">In </w:t>
      </w:r>
      <w:r w:rsidR="002F2482" w:rsidRPr="00B10916">
        <w:rPr>
          <w:iCs/>
        </w:rPr>
        <w:t xml:space="preserve">the Plurinational State of </w:t>
      </w:r>
      <w:r w:rsidR="00AA7E31" w:rsidRPr="00B10916">
        <w:t xml:space="preserve">Bolivia, the </w:t>
      </w:r>
      <w:r w:rsidR="00C92F43" w:rsidRPr="00B10916">
        <w:t>o</w:t>
      </w:r>
      <w:r w:rsidR="00AA7E31" w:rsidRPr="00B10916">
        <w:t xml:space="preserve">ffice expressed concern about the lack of police protection for Yampara and Qhara Qhara indigenous leaders during a vigil in June 2014, when they were subjected to physical violence </w:t>
      </w:r>
      <w:r w:rsidR="00C92F43" w:rsidRPr="00B10916">
        <w:t xml:space="preserve">and </w:t>
      </w:r>
      <w:r w:rsidR="00AA7E31" w:rsidRPr="00B10916">
        <w:t>discriminatory language and behaviour</w:t>
      </w:r>
      <w:r w:rsidR="00C92F43" w:rsidRPr="00B10916">
        <w:t>.</w:t>
      </w:r>
      <w:r w:rsidR="00AA7E31" w:rsidRPr="00B10916">
        <w:t xml:space="preserve"> </w:t>
      </w:r>
      <w:r w:rsidR="00C92F43" w:rsidRPr="00B10916">
        <w:t>S</w:t>
      </w:r>
      <w:r w:rsidR="00AA7E31" w:rsidRPr="00B10916">
        <w:t xml:space="preserve">ymbols of indigenous authorities were </w:t>
      </w:r>
      <w:r w:rsidR="00C92F43" w:rsidRPr="00B10916">
        <w:t xml:space="preserve">also </w:t>
      </w:r>
      <w:r w:rsidR="00AA7E31" w:rsidRPr="00B10916">
        <w:t>destroyed by peasants from the area.</w:t>
      </w:r>
      <w:r w:rsidR="000024B6" w:rsidRPr="00B10916">
        <w:t xml:space="preserve"> </w:t>
      </w:r>
      <w:r w:rsidR="00AA7E31" w:rsidRPr="00B10916">
        <w:t>Acts of violence between a group of leaders belonging to the National Council of Ayllus and Markas of Qullasuyu were also highlighted.</w:t>
      </w:r>
    </w:p>
    <w:p w14:paraId="3C6EC506" w14:textId="4022F571" w:rsidR="00AA7E31" w:rsidRPr="00B10916" w:rsidRDefault="00B10916" w:rsidP="00B10916">
      <w:pPr>
        <w:pStyle w:val="SingleTxtG"/>
        <w:tabs>
          <w:tab w:val="left" w:pos="1701"/>
        </w:tabs>
      </w:pPr>
      <w:r w:rsidRPr="00B10916">
        <w:rPr>
          <w:bCs/>
        </w:rPr>
        <w:t>54.</w:t>
      </w:r>
      <w:r w:rsidRPr="00B10916">
        <w:rPr>
          <w:bCs/>
        </w:rPr>
        <w:tab/>
      </w:r>
      <w:r w:rsidR="00AA7E31" w:rsidRPr="00B10916">
        <w:t xml:space="preserve">The </w:t>
      </w:r>
      <w:r w:rsidR="00C92F43" w:rsidRPr="00B10916">
        <w:t>o</w:t>
      </w:r>
      <w:r w:rsidR="00AA7E31" w:rsidRPr="00B10916">
        <w:t xml:space="preserve">ffice in Colombia continued field monitoring activities in </w:t>
      </w:r>
      <w:r w:rsidR="00C92F43" w:rsidRPr="00B10916">
        <w:t xml:space="preserve">the </w:t>
      </w:r>
      <w:r w:rsidR="00AA7E31" w:rsidRPr="00B10916">
        <w:t xml:space="preserve">Amazon, Cauca, Chocó, Nariño, Caribbean Coast </w:t>
      </w:r>
      <w:r w:rsidR="00C92F43" w:rsidRPr="00B10916">
        <w:t xml:space="preserve">and </w:t>
      </w:r>
      <w:r w:rsidR="00AA7E31" w:rsidRPr="00B10916">
        <w:t xml:space="preserve">Putumayo, where armed actors </w:t>
      </w:r>
      <w:r w:rsidR="00C92F43" w:rsidRPr="00B10916">
        <w:t xml:space="preserve">had </w:t>
      </w:r>
      <w:r w:rsidR="00AA7E31" w:rsidRPr="00B10916">
        <w:t>commit</w:t>
      </w:r>
      <w:r w:rsidR="00C92F43" w:rsidRPr="00B10916">
        <w:t>ted</w:t>
      </w:r>
      <w:r w:rsidR="00AA7E31" w:rsidRPr="00B10916">
        <w:t xml:space="preserve"> abuses, including killings of leaders.</w:t>
      </w:r>
      <w:r w:rsidR="000024B6" w:rsidRPr="00B10916">
        <w:t xml:space="preserve"> </w:t>
      </w:r>
      <w:r w:rsidR="00AA7E31" w:rsidRPr="00B10916">
        <w:t xml:space="preserve">Situations where legal and illegal mining </w:t>
      </w:r>
      <w:r w:rsidR="00C92F43" w:rsidRPr="00B10916">
        <w:t xml:space="preserve">had </w:t>
      </w:r>
      <w:r w:rsidR="00AA7E31" w:rsidRPr="00B10916">
        <w:t xml:space="preserve">led to violence also were of concern, </w:t>
      </w:r>
      <w:r w:rsidR="00C92F43" w:rsidRPr="00B10916">
        <w:t>for example,</w:t>
      </w:r>
      <w:r w:rsidR="00AA7E31" w:rsidRPr="00B10916">
        <w:t xml:space="preserve"> in La Toma, where abuses </w:t>
      </w:r>
      <w:r w:rsidR="00C92F43" w:rsidRPr="00B10916">
        <w:t xml:space="preserve">had been </w:t>
      </w:r>
      <w:r w:rsidR="00AA7E31" w:rsidRPr="00B10916">
        <w:t>committed against representatives of a women’s organization, including sexual violence</w:t>
      </w:r>
      <w:r w:rsidR="00C92F43" w:rsidRPr="00B10916">
        <w:t>,</w:t>
      </w:r>
      <w:r w:rsidR="00AA7E31" w:rsidRPr="00B10916">
        <w:t xml:space="preserve"> by illegal miners in their territory.</w:t>
      </w:r>
      <w:r w:rsidR="000024B6" w:rsidRPr="00B10916">
        <w:t xml:space="preserve"> </w:t>
      </w:r>
      <w:r w:rsidR="00AA7E31" w:rsidRPr="00B10916">
        <w:t>The organization has asked OHCHR for accompaniment as they are threatened and in need of protection.</w:t>
      </w:r>
    </w:p>
    <w:p w14:paraId="00895452" w14:textId="5AC12E88" w:rsidR="00AA7E31" w:rsidRPr="00B10916" w:rsidRDefault="00B10916" w:rsidP="00B10916">
      <w:pPr>
        <w:pStyle w:val="SingleTxtG"/>
        <w:tabs>
          <w:tab w:val="left" w:pos="1701"/>
        </w:tabs>
      </w:pPr>
      <w:r w:rsidRPr="00B10916">
        <w:rPr>
          <w:bCs/>
        </w:rPr>
        <w:t>55.</w:t>
      </w:r>
      <w:r w:rsidRPr="00B10916">
        <w:rPr>
          <w:bCs/>
        </w:rPr>
        <w:tab/>
      </w:r>
      <w:r w:rsidR="00AA7E31" w:rsidRPr="00B10916">
        <w:t xml:space="preserve">The </w:t>
      </w:r>
      <w:r w:rsidR="00C92F43" w:rsidRPr="00B10916">
        <w:t>o</w:t>
      </w:r>
      <w:r w:rsidR="00AA7E31" w:rsidRPr="00B10916">
        <w:t>ffice in Guatemala held a dialogue with indigenous authorities of Totonicapán, Sololá, Chichicastenango, Nebaj and Quiché to assess the situation of the rights of indigenous peoples.</w:t>
      </w:r>
      <w:r w:rsidR="000024B6" w:rsidRPr="00B10916">
        <w:t xml:space="preserve"> </w:t>
      </w:r>
      <w:r w:rsidR="00AA7E31" w:rsidRPr="00B10916">
        <w:t>As a follow</w:t>
      </w:r>
      <w:r w:rsidR="000A1E75" w:rsidRPr="00B10916">
        <w:t>-</w:t>
      </w:r>
      <w:r w:rsidR="00AA7E31" w:rsidRPr="00B10916">
        <w:t xml:space="preserve">up to the dialogue, the </w:t>
      </w:r>
      <w:r w:rsidR="00C92F43" w:rsidRPr="00B10916">
        <w:t>o</w:t>
      </w:r>
      <w:r w:rsidR="00AA7E31" w:rsidRPr="00B10916">
        <w:t xml:space="preserve">ffice undertook observation missions to identify best practices for the prevention of violence in indigenous communities. The </w:t>
      </w:r>
      <w:r w:rsidR="00C92F43" w:rsidRPr="00B10916">
        <w:t>o</w:t>
      </w:r>
      <w:r w:rsidR="00AA7E31" w:rsidRPr="00B10916">
        <w:t xml:space="preserve">ffice in Guatemala also maintained regular meetings with the </w:t>
      </w:r>
      <w:r w:rsidR="00C92F43" w:rsidRPr="00B10916">
        <w:t>c</w:t>
      </w:r>
      <w:r w:rsidR="00AA7E31" w:rsidRPr="00B10916">
        <w:t xml:space="preserve">onflict </w:t>
      </w:r>
      <w:r w:rsidR="00C92F43" w:rsidRPr="00B10916">
        <w:t>a</w:t>
      </w:r>
      <w:r w:rsidR="00AA7E31" w:rsidRPr="00B10916">
        <w:t xml:space="preserve">nalysis </w:t>
      </w:r>
      <w:r w:rsidR="00C92F43" w:rsidRPr="00B10916">
        <w:t xml:space="preserve">unit </w:t>
      </w:r>
      <w:r w:rsidR="00AA7E31" w:rsidRPr="00B10916">
        <w:t xml:space="preserve">of the </w:t>
      </w:r>
      <w:r w:rsidR="00C92F43" w:rsidRPr="00B10916">
        <w:t>n</w:t>
      </w:r>
      <w:r w:rsidR="00AA7E31" w:rsidRPr="00B10916">
        <w:t xml:space="preserve">ational </w:t>
      </w:r>
      <w:r w:rsidR="00C92F43" w:rsidRPr="00B10916">
        <w:t>h</w:t>
      </w:r>
      <w:r w:rsidR="00AA7E31" w:rsidRPr="00B10916">
        <w:t xml:space="preserve">uman </w:t>
      </w:r>
      <w:r w:rsidR="00C92F43" w:rsidRPr="00B10916">
        <w:t>r</w:t>
      </w:r>
      <w:r w:rsidR="00AA7E31" w:rsidRPr="00B10916">
        <w:t xml:space="preserve">ights </w:t>
      </w:r>
      <w:r w:rsidR="00C92F43" w:rsidRPr="00B10916">
        <w:t>i</w:t>
      </w:r>
      <w:r w:rsidR="00AA7E31" w:rsidRPr="00B10916">
        <w:t>nstitution in order to exchange information on a set of six priority conflicts and to build a common strategy</w:t>
      </w:r>
      <w:r w:rsidR="000A1E75" w:rsidRPr="00B10916">
        <w:t>,</w:t>
      </w:r>
      <w:r w:rsidR="00AA7E31" w:rsidRPr="00B10916">
        <w:t xml:space="preserve"> </w:t>
      </w:r>
      <w:r w:rsidR="000A1E75" w:rsidRPr="00B10916">
        <w:t xml:space="preserve">including on a </w:t>
      </w:r>
      <w:r w:rsidR="00AA7E31" w:rsidRPr="00B10916">
        <w:t xml:space="preserve">process to remedy the human rights violations that </w:t>
      </w:r>
      <w:r w:rsidR="000A1E75" w:rsidRPr="00B10916">
        <w:t xml:space="preserve">had </w:t>
      </w:r>
      <w:r w:rsidR="00AA7E31" w:rsidRPr="00B10916">
        <w:t>occurred in the 1980s due to the construction of the Chixoy Dam</w:t>
      </w:r>
      <w:r w:rsidR="000A1E75" w:rsidRPr="00B10916">
        <w:t>,</w:t>
      </w:r>
      <w:r w:rsidR="00AA7E31" w:rsidRPr="00B10916">
        <w:t xml:space="preserve"> and </w:t>
      </w:r>
      <w:r w:rsidR="000A1E75" w:rsidRPr="00B10916">
        <w:t xml:space="preserve">on </w:t>
      </w:r>
      <w:r w:rsidR="00AA7E31" w:rsidRPr="00B10916">
        <w:t xml:space="preserve">the current conflict in the </w:t>
      </w:r>
      <w:r w:rsidR="000A1E75" w:rsidRPr="00B10916">
        <w:t>m</w:t>
      </w:r>
      <w:r w:rsidR="00AA7E31" w:rsidRPr="00B10916">
        <w:t xml:space="preserve">unicipality of San Juan Sacatepequez due to the construction of a concrete </w:t>
      </w:r>
      <w:r w:rsidR="000A1E75" w:rsidRPr="00B10916">
        <w:t>f</w:t>
      </w:r>
      <w:r w:rsidR="00AA7E31" w:rsidRPr="00B10916">
        <w:t xml:space="preserve">actory of </w:t>
      </w:r>
      <w:r w:rsidR="000A1E75" w:rsidRPr="00B10916">
        <w:t xml:space="preserve">the company </w:t>
      </w:r>
      <w:r w:rsidR="000A1E75" w:rsidRPr="00B10916">
        <w:rPr>
          <w:iCs/>
        </w:rPr>
        <w:t>Cementos Progreso</w:t>
      </w:r>
      <w:r w:rsidR="00AA7E31" w:rsidRPr="00B10916">
        <w:t>.</w:t>
      </w:r>
      <w:r w:rsidR="000024B6" w:rsidRPr="00B10916">
        <w:t xml:space="preserve"> </w:t>
      </w:r>
      <w:r w:rsidR="00AA7E31" w:rsidRPr="00B10916">
        <w:t xml:space="preserve">The </w:t>
      </w:r>
      <w:r w:rsidR="00ED48D3" w:rsidRPr="00B10916">
        <w:t>o</w:t>
      </w:r>
      <w:r w:rsidR="00AA7E31" w:rsidRPr="00B10916">
        <w:t xml:space="preserve">ffice in Guatemala and the </w:t>
      </w:r>
      <w:r w:rsidR="00ED48D3" w:rsidRPr="00B10916">
        <w:t>n</w:t>
      </w:r>
      <w:r w:rsidR="00AA7E31" w:rsidRPr="00B10916">
        <w:t xml:space="preserve">ational </w:t>
      </w:r>
      <w:r w:rsidR="00ED48D3" w:rsidRPr="00B10916">
        <w:t>h</w:t>
      </w:r>
      <w:r w:rsidR="00AA7E31" w:rsidRPr="00B10916">
        <w:t xml:space="preserve">uman </w:t>
      </w:r>
      <w:r w:rsidR="00ED48D3" w:rsidRPr="00B10916">
        <w:t>r</w:t>
      </w:r>
      <w:r w:rsidR="00AA7E31" w:rsidRPr="00B10916">
        <w:t xml:space="preserve">ights </w:t>
      </w:r>
      <w:r w:rsidR="00ED48D3" w:rsidRPr="00B10916">
        <w:t>i</w:t>
      </w:r>
      <w:r w:rsidR="00AA7E31" w:rsidRPr="00B10916">
        <w:t>nstitution were designated as “honour witness</w:t>
      </w:r>
      <w:r w:rsidR="00ED48D3" w:rsidRPr="00B10916">
        <w:t>es</w:t>
      </w:r>
      <w:r w:rsidR="00AA7E31" w:rsidRPr="00B10916">
        <w:t>” in the dialogue established by the State authorities to address both conflicts.</w:t>
      </w:r>
    </w:p>
    <w:p w14:paraId="2F7478CD" w14:textId="7E21337D" w:rsidR="00AA7E31" w:rsidRPr="00B10916" w:rsidRDefault="00B10916" w:rsidP="00B10916">
      <w:pPr>
        <w:pStyle w:val="H23G"/>
        <w:ind w:left="1215" w:hanging="506"/>
      </w:pPr>
      <w:r w:rsidRPr="00B10916">
        <w:t>4.</w:t>
      </w:r>
      <w:r w:rsidRPr="00B10916">
        <w:tab/>
      </w:r>
      <w:r w:rsidR="00AA7E31" w:rsidRPr="00B10916">
        <w:t>Follow</w:t>
      </w:r>
      <w:r w:rsidR="00F34E11" w:rsidRPr="00B10916">
        <w:t>-</w:t>
      </w:r>
      <w:r w:rsidR="00AA7E31" w:rsidRPr="00B10916">
        <w:t xml:space="preserve">up to recommendations of </w:t>
      </w:r>
      <w:r w:rsidR="003446CA" w:rsidRPr="00B10916">
        <w:t xml:space="preserve">United Nations </w:t>
      </w:r>
      <w:r w:rsidR="00AA7E31" w:rsidRPr="00B10916">
        <w:t xml:space="preserve">mechanisms and developing </w:t>
      </w:r>
      <w:r w:rsidR="003446CA" w:rsidRPr="00B10916">
        <w:t xml:space="preserve">United Nations </w:t>
      </w:r>
      <w:r w:rsidR="00AA7E31" w:rsidRPr="00B10916">
        <w:t>programmes</w:t>
      </w:r>
    </w:p>
    <w:p w14:paraId="224B0DFE" w14:textId="7D995365" w:rsidR="00AA7E31" w:rsidRPr="00B10916" w:rsidRDefault="00B10916" w:rsidP="00B10916">
      <w:pPr>
        <w:pStyle w:val="SingleTxtG"/>
        <w:tabs>
          <w:tab w:val="left" w:pos="1701"/>
        </w:tabs>
      </w:pPr>
      <w:r w:rsidRPr="00B10916">
        <w:rPr>
          <w:bCs/>
        </w:rPr>
        <w:t>56.</w:t>
      </w:r>
      <w:r w:rsidRPr="00B10916">
        <w:rPr>
          <w:bCs/>
        </w:rPr>
        <w:tab/>
      </w:r>
      <w:r w:rsidR="00AA7E31" w:rsidRPr="00B10916">
        <w:t>The Human Rights Adviser in Bangladesh has been promoting the use of and interaction with international human rights mechanisms by various indigenous peoples’ organizations and the International Chittagong Hill Tracts Commission.</w:t>
      </w:r>
      <w:r w:rsidR="000024B6" w:rsidRPr="00B10916">
        <w:t xml:space="preserve"> </w:t>
      </w:r>
      <w:r w:rsidR="00AA7E31" w:rsidRPr="00B10916">
        <w:t xml:space="preserve">He works closely with </w:t>
      </w:r>
      <w:r w:rsidR="003446CA" w:rsidRPr="00B10916">
        <w:t xml:space="preserve">United Nations </w:t>
      </w:r>
      <w:r w:rsidR="00AA7E31" w:rsidRPr="00B10916">
        <w:t xml:space="preserve">agencies, programmes and funds to ensure that the principles contained in the Declaration are integrated into ongoing and planned </w:t>
      </w:r>
      <w:r w:rsidR="003446CA" w:rsidRPr="00B10916">
        <w:t xml:space="preserve">United Nations </w:t>
      </w:r>
      <w:r w:rsidR="00AA7E31" w:rsidRPr="00B10916">
        <w:t xml:space="preserve">programmes and activities, such as the Chittagong Hill Tracts development programme and a new nation-wide </w:t>
      </w:r>
      <w:r w:rsidR="003446CA" w:rsidRPr="00B10916">
        <w:t xml:space="preserve">United Nations </w:t>
      </w:r>
      <w:r w:rsidR="00AA7E31" w:rsidRPr="00B10916">
        <w:t>program</w:t>
      </w:r>
      <w:r w:rsidR="003446CA" w:rsidRPr="00B10916">
        <w:t>me</w:t>
      </w:r>
      <w:r w:rsidR="00AA7E31" w:rsidRPr="00B10916">
        <w:t xml:space="preserve"> related to indigenous peoples.</w:t>
      </w:r>
    </w:p>
    <w:p w14:paraId="34648D1F" w14:textId="2FEEF77D" w:rsidR="00AA7E31" w:rsidRPr="00B10916" w:rsidRDefault="00B10916" w:rsidP="00B10916">
      <w:pPr>
        <w:pStyle w:val="SingleTxtG"/>
        <w:tabs>
          <w:tab w:val="left" w:pos="1701"/>
        </w:tabs>
      </w:pPr>
      <w:r w:rsidRPr="00B10916">
        <w:rPr>
          <w:bCs/>
        </w:rPr>
        <w:t>57.</w:t>
      </w:r>
      <w:r w:rsidRPr="00B10916">
        <w:rPr>
          <w:bCs/>
        </w:rPr>
        <w:tab/>
      </w:r>
      <w:r w:rsidR="00AA7E31" w:rsidRPr="00B10916">
        <w:t xml:space="preserve">The </w:t>
      </w:r>
      <w:r w:rsidR="00F34E11" w:rsidRPr="00B10916">
        <w:t>o</w:t>
      </w:r>
      <w:r w:rsidR="00AA7E31" w:rsidRPr="00B10916">
        <w:t xml:space="preserve">ffice in </w:t>
      </w:r>
      <w:r w:rsidR="002F2482" w:rsidRPr="00B10916">
        <w:rPr>
          <w:iCs/>
        </w:rPr>
        <w:t xml:space="preserve">the Plurinational State of </w:t>
      </w:r>
      <w:r w:rsidR="00AA7E31" w:rsidRPr="00B10916">
        <w:t xml:space="preserve">Bolivia sought to strengthen coordination mechanisms among relevant </w:t>
      </w:r>
      <w:r w:rsidR="003446CA" w:rsidRPr="00B10916">
        <w:t xml:space="preserve">United Nations </w:t>
      </w:r>
      <w:r w:rsidR="00AA7E31" w:rsidRPr="00B10916">
        <w:t xml:space="preserve">and other actors with a view to developing a plan of action to facilitate the implementation of the Declaration. It also provided technical assistance to representatives of indigenous peoples who participated in the </w:t>
      </w:r>
      <w:r w:rsidR="00F34E11" w:rsidRPr="00B10916">
        <w:t xml:space="preserve">fourteenth </w:t>
      </w:r>
      <w:r w:rsidR="00AA7E31" w:rsidRPr="00B10916">
        <w:t xml:space="preserve">session of the </w:t>
      </w:r>
      <w:r w:rsidR="003446CA" w:rsidRPr="00B10916">
        <w:t xml:space="preserve">United Nations </w:t>
      </w:r>
      <w:r w:rsidR="00AA7E31" w:rsidRPr="00B10916">
        <w:t>Permanent Forum on Indigenous Issues.</w:t>
      </w:r>
    </w:p>
    <w:p w14:paraId="1086B72B" w14:textId="4EA1CAD4" w:rsidR="00AA7E31" w:rsidRPr="00B10916" w:rsidRDefault="00B10916" w:rsidP="00B10916">
      <w:pPr>
        <w:pStyle w:val="SingleTxtG"/>
        <w:tabs>
          <w:tab w:val="left" w:pos="1701"/>
        </w:tabs>
      </w:pPr>
      <w:r w:rsidRPr="00B10916">
        <w:rPr>
          <w:bCs/>
        </w:rPr>
        <w:t>58.</w:t>
      </w:r>
      <w:r w:rsidRPr="00B10916">
        <w:rPr>
          <w:bCs/>
        </w:rPr>
        <w:tab/>
      </w:r>
      <w:r w:rsidR="00AA7E31" w:rsidRPr="00B10916">
        <w:t xml:space="preserve">The </w:t>
      </w:r>
      <w:r w:rsidR="00F34E11" w:rsidRPr="00B10916">
        <w:t>o</w:t>
      </w:r>
      <w:r w:rsidR="00AA7E31" w:rsidRPr="00B10916">
        <w:t xml:space="preserve">ffice in Guatemala, with a view to prioritizing human rights, helped to develop a work plan for a donor group called the Working Group on Indigenous </w:t>
      </w:r>
      <w:r w:rsidR="00F34E11" w:rsidRPr="00B10916">
        <w:t>P</w:t>
      </w:r>
      <w:r w:rsidR="00AA7E31" w:rsidRPr="00B10916">
        <w:t>eoples.</w:t>
      </w:r>
      <w:r w:rsidR="000024B6" w:rsidRPr="00B10916">
        <w:t xml:space="preserve"> </w:t>
      </w:r>
      <w:r w:rsidR="00AA7E31" w:rsidRPr="00B10916">
        <w:t xml:space="preserve">In the framework of the periodic assessment of Guatemala by the Committee on the Elimination of Racial Discrimination, the </w:t>
      </w:r>
      <w:r w:rsidR="00F34E11" w:rsidRPr="00B10916">
        <w:t>o</w:t>
      </w:r>
      <w:r w:rsidR="00AA7E31" w:rsidRPr="00B10916">
        <w:t>ffice assisted with the elaboration of an internal document by the Multicultural Society and Diversity Inter-Agency Group.</w:t>
      </w:r>
      <w:r w:rsidR="000024B6" w:rsidRPr="00B10916">
        <w:t xml:space="preserve"> </w:t>
      </w:r>
      <w:r w:rsidR="00AA7E31" w:rsidRPr="00B10916">
        <w:t>The document reviews the United Nations system’s role in helping Guatemala to implement the International Convention on the Elimination of All Forms of Racial Discrimination.</w:t>
      </w:r>
    </w:p>
    <w:p w14:paraId="1B2DA0BC" w14:textId="1452FC32" w:rsidR="00AA7E31" w:rsidRPr="00B10916" w:rsidRDefault="00B10916" w:rsidP="00B10916">
      <w:pPr>
        <w:pStyle w:val="SingleTxtG"/>
        <w:tabs>
          <w:tab w:val="left" w:pos="1701"/>
        </w:tabs>
      </w:pPr>
      <w:r w:rsidRPr="00B10916">
        <w:rPr>
          <w:bCs/>
        </w:rPr>
        <w:t>59.</w:t>
      </w:r>
      <w:r w:rsidRPr="00B10916">
        <w:rPr>
          <w:bCs/>
        </w:rPr>
        <w:tab/>
      </w:r>
      <w:r w:rsidR="00AA7E31" w:rsidRPr="00B10916">
        <w:t xml:space="preserve">In Costa Rica, the </w:t>
      </w:r>
      <w:r w:rsidR="00F34E11" w:rsidRPr="00B10916">
        <w:t>r</w:t>
      </w:r>
      <w:r w:rsidR="00AA7E31" w:rsidRPr="00B10916">
        <w:t xml:space="preserve">egional </w:t>
      </w:r>
      <w:r w:rsidR="00F34E11" w:rsidRPr="00B10916">
        <w:t>o</w:t>
      </w:r>
      <w:r w:rsidR="00AA7E31" w:rsidRPr="00B10916">
        <w:t xml:space="preserve">ffice for Central America emphasized the need to publish the </w:t>
      </w:r>
      <w:r w:rsidR="00F34E11" w:rsidRPr="00B10916">
        <w:t>n</w:t>
      </w:r>
      <w:r w:rsidR="00AA7E31" w:rsidRPr="00B10916">
        <w:t xml:space="preserve">ational </w:t>
      </w:r>
      <w:r w:rsidR="00F34E11" w:rsidRPr="00B10916">
        <w:t>p</w:t>
      </w:r>
      <w:r w:rsidR="00AA7E31" w:rsidRPr="00B10916">
        <w:t xml:space="preserve">olicy on </w:t>
      </w:r>
      <w:r w:rsidR="00F34E11" w:rsidRPr="00B10916">
        <w:t>r</w:t>
      </w:r>
      <w:r w:rsidR="00AA7E31" w:rsidRPr="00B10916">
        <w:t xml:space="preserve">acism and </w:t>
      </w:r>
      <w:r w:rsidR="00F34E11" w:rsidRPr="00B10916">
        <w:t>r</w:t>
      </w:r>
      <w:r w:rsidR="00AA7E31" w:rsidRPr="00B10916">
        <w:t xml:space="preserve">acial </w:t>
      </w:r>
      <w:r w:rsidR="00F34E11" w:rsidRPr="00B10916">
        <w:t>d</w:t>
      </w:r>
      <w:r w:rsidR="00AA7E31" w:rsidRPr="00B10916">
        <w:t xml:space="preserve">iscrimination as part of its support to the inter-institutional committee of the Government that follows up on </w:t>
      </w:r>
      <w:r w:rsidR="00F34E11" w:rsidRPr="00B10916">
        <w:t>t</w:t>
      </w:r>
      <w:r w:rsidR="00AA7E31" w:rsidRPr="00B10916">
        <w:t xml:space="preserve">reaty </w:t>
      </w:r>
      <w:r w:rsidR="00F34E11" w:rsidRPr="00B10916">
        <w:t>b</w:t>
      </w:r>
      <w:r w:rsidR="00AA7E31" w:rsidRPr="00B10916">
        <w:t xml:space="preserve">ody, </w:t>
      </w:r>
      <w:r w:rsidR="00F34E11" w:rsidRPr="00B10916">
        <w:t>s</w:t>
      </w:r>
      <w:r w:rsidR="00AA7E31" w:rsidRPr="00B10916">
        <w:t xml:space="preserve">pecial </w:t>
      </w:r>
      <w:r w:rsidR="00F34E11" w:rsidRPr="00B10916">
        <w:t>p</w:t>
      </w:r>
      <w:r w:rsidR="00AA7E31" w:rsidRPr="00B10916">
        <w:t xml:space="preserve">rocedures and </w:t>
      </w:r>
      <w:r w:rsidR="00F34E11" w:rsidRPr="00B10916">
        <w:t>u</w:t>
      </w:r>
      <w:r w:rsidR="00AA7E31" w:rsidRPr="00B10916">
        <w:t xml:space="preserve">niversal </w:t>
      </w:r>
      <w:r w:rsidR="00F34E11" w:rsidRPr="00B10916">
        <w:t>p</w:t>
      </w:r>
      <w:r w:rsidR="00AA7E31" w:rsidRPr="00B10916">
        <w:t xml:space="preserve">eriodic </w:t>
      </w:r>
      <w:r w:rsidR="00F34E11" w:rsidRPr="00B10916">
        <w:t>r</w:t>
      </w:r>
      <w:r w:rsidR="00AA7E31" w:rsidRPr="00B10916">
        <w:t>eview recommendations.</w:t>
      </w:r>
    </w:p>
    <w:p w14:paraId="407C1FA8" w14:textId="409EE3D5" w:rsidR="00AA7E31" w:rsidRPr="00B10916" w:rsidRDefault="00B10916" w:rsidP="00B10916">
      <w:pPr>
        <w:pStyle w:val="SingleTxtG"/>
        <w:tabs>
          <w:tab w:val="left" w:pos="1701"/>
        </w:tabs>
      </w:pPr>
      <w:r w:rsidRPr="00B10916">
        <w:rPr>
          <w:bCs/>
        </w:rPr>
        <w:t>60.</w:t>
      </w:r>
      <w:r w:rsidRPr="00B10916">
        <w:rPr>
          <w:bCs/>
        </w:rPr>
        <w:tab/>
      </w:r>
      <w:r w:rsidR="00AA7E31" w:rsidRPr="00B10916">
        <w:t xml:space="preserve">With a view to implementing the recommendations </w:t>
      </w:r>
      <w:r w:rsidR="00F34E11" w:rsidRPr="00B10916">
        <w:t xml:space="preserve">made </w:t>
      </w:r>
      <w:r w:rsidR="00AA7E31" w:rsidRPr="00B10916">
        <w:t>to Panama</w:t>
      </w:r>
      <w:r w:rsidR="00F34E11" w:rsidRPr="00B10916">
        <w:t xml:space="preserve"> in its 2010 universal periodic review</w:t>
      </w:r>
      <w:r w:rsidR="00AA7E31" w:rsidRPr="00B10916">
        <w:t xml:space="preserve">, the </w:t>
      </w:r>
      <w:r w:rsidR="00F34E11" w:rsidRPr="00B10916">
        <w:t>r</w:t>
      </w:r>
      <w:r w:rsidR="00AA7E31" w:rsidRPr="00B10916">
        <w:t xml:space="preserve">egional </w:t>
      </w:r>
      <w:r w:rsidR="00F34E11" w:rsidRPr="00B10916">
        <w:t>o</w:t>
      </w:r>
      <w:r w:rsidR="00AA7E31" w:rsidRPr="00B10916">
        <w:t xml:space="preserve">ffice for Central America collaborated with the </w:t>
      </w:r>
      <w:r w:rsidR="00F34E11" w:rsidRPr="00B10916">
        <w:t>c</w:t>
      </w:r>
      <w:r w:rsidR="00AA7E31" w:rsidRPr="00B10916">
        <w:t xml:space="preserve">ivil </w:t>
      </w:r>
      <w:r w:rsidR="00F34E11" w:rsidRPr="00B10916">
        <w:t>r</w:t>
      </w:r>
      <w:r w:rsidR="00AA7E31" w:rsidRPr="00B10916">
        <w:t xml:space="preserve">egistry of Panama and UNICEF in order to support </w:t>
      </w:r>
      <w:r w:rsidR="00F34E11" w:rsidRPr="00B10916">
        <w:t xml:space="preserve">the </w:t>
      </w:r>
      <w:r w:rsidR="00AA7E31" w:rsidRPr="00B10916">
        <w:t xml:space="preserve">registration at birth of indigenous children of the Mama Tata </w:t>
      </w:r>
      <w:r w:rsidR="0037170B">
        <w:t>religion</w:t>
      </w:r>
      <w:r w:rsidR="0037170B" w:rsidRPr="00B10916">
        <w:t xml:space="preserve"> </w:t>
      </w:r>
      <w:r w:rsidR="00AA7E31" w:rsidRPr="00B10916">
        <w:t>living in remote areas</w:t>
      </w:r>
      <w:r w:rsidR="00F34E11" w:rsidRPr="00B10916">
        <w:t>,</w:t>
      </w:r>
      <w:r w:rsidR="00AA7E31" w:rsidRPr="00B10916">
        <w:t xml:space="preserve"> in line with international human rights standards. </w:t>
      </w:r>
    </w:p>
    <w:p w14:paraId="74D73992" w14:textId="77777777" w:rsidR="00AA7E31" w:rsidRPr="00B10916" w:rsidRDefault="00AA7E31" w:rsidP="00AA7E31">
      <w:pPr>
        <w:pStyle w:val="HChG"/>
      </w:pPr>
      <w:r w:rsidRPr="00B10916">
        <w:tab/>
        <w:t>III.</w:t>
      </w:r>
      <w:r w:rsidRPr="00B10916">
        <w:tab/>
        <w:t>Human rights bodies and mechanisms</w:t>
      </w:r>
    </w:p>
    <w:p w14:paraId="7FC88DC5" w14:textId="77777777" w:rsidR="00AA7E31" w:rsidRPr="00B10916" w:rsidRDefault="00AA7E31" w:rsidP="00AA7E31">
      <w:pPr>
        <w:pStyle w:val="H1G"/>
        <w:rPr>
          <w:rFonts w:eastAsia="Calibri"/>
        </w:rPr>
      </w:pPr>
      <w:r w:rsidRPr="00B10916">
        <w:rPr>
          <w:rFonts w:eastAsia="Calibri"/>
        </w:rPr>
        <w:tab/>
        <w:t>A.</w:t>
      </w:r>
      <w:r w:rsidRPr="00B10916">
        <w:rPr>
          <w:rFonts w:eastAsia="Calibri"/>
        </w:rPr>
        <w:tab/>
        <w:t>Expert Mechanism on the Rights of Indigenous Peoples</w:t>
      </w:r>
    </w:p>
    <w:p w14:paraId="4BF3C8F5" w14:textId="66533128" w:rsidR="00AA7E31" w:rsidRPr="00B10916" w:rsidRDefault="00B10916" w:rsidP="00B10916">
      <w:pPr>
        <w:pStyle w:val="SingleTxtG"/>
        <w:tabs>
          <w:tab w:val="left" w:pos="1701"/>
        </w:tabs>
      </w:pPr>
      <w:r w:rsidRPr="00B10916">
        <w:rPr>
          <w:bCs/>
        </w:rPr>
        <w:t>61.</w:t>
      </w:r>
      <w:r w:rsidRPr="00B10916">
        <w:rPr>
          <w:bCs/>
        </w:rPr>
        <w:tab/>
      </w:r>
      <w:r w:rsidR="00AA7E31" w:rsidRPr="00B10916">
        <w:t>During its seventh session</w:t>
      </w:r>
      <w:r w:rsidR="00F34E11" w:rsidRPr="00B10916">
        <w:t>,</w:t>
      </w:r>
      <w:r w:rsidR="00AA7E31" w:rsidRPr="00B10916">
        <w:t xml:space="preserve"> in July 2014, the Expert Mechanism on the Rights of Indigenous Peoples conducted panel discussions on the </w:t>
      </w:r>
      <w:r w:rsidR="00F34E11" w:rsidRPr="00B10916">
        <w:t>p</w:t>
      </w:r>
      <w:r w:rsidR="00AA7E31" w:rsidRPr="00B10916">
        <w:t xml:space="preserve">ost-2015 development agenda and on the role of parliaments in the implementation of the Declaration. Furthermore, the session was an opportunity to discuss final preparations for the World Conference on Indigenous Peoples, including the draft of the </w:t>
      </w:r>
      <w:r w:rsidR="00F34E11" w:rsidRPr="00B10916">
        <w:t>o</w:t>
      </w:r>
      <w:r w:rsidR="00AA7E31" w:rsidRPr="00B10916">
        <w:t xml:space="preserve">utcome </w:t>
      </w:r>
      <w:r w:rsidR="00F34E11" w:rsidRPr="00B10916">
        <w:t>d</w:t>
      </w:r>
      <w:r w:rsidR="00AA7E31" w:rsidRPr="00B10916">
        <w:t>ocument. The Expert Mechanism also finalized and adopted its follow-up study and advice on access to justice in the promotion and protection of the rights of indigenous peoples, as well as its study and advice on the promotion and protection of the rights of indigenous peoples in natural disaster risk reduction, prevention and preparedness initiatives. These studies, together with a number of proposals made by the Expert Mechanism, were presented to the Human Rights Council at its twenty-seventh session</w:t>
      </w:r>
      <w:r w:rsidR="00F34E11" w:rsidRPr="00B10916">
        <w:t>,</w:t>
      </w:r>
      <w:r w:rsidR="00AA7E31" w:rsidRPr="00B10916">
        <w:t xml:space="preserve"> in September 2014.</w:t>
      </w:r>
    </w:p>
    <w:p w14:paraId="62714BB9" w14:textId="649C96D4" w:rsidR="00AA7E31" w:rsidRPr="00B10916" w:rsidRDefault="00B10916" w:rsidP="00B10916">
      <w:pPr>
        <w:pStyle w:val="SingleTxtG"/>
        <w:tabs>
          <w:tab w:val="left" w:pos="1701"/>
        </w:tabs>
      </w:pPr>
      <w:r w:rsidRPr="00B10916">
        <w:rPr>
          <w:bCs/>
        </w:rPr>
        <w:t>62.</w:t>
      </w:r>
      <w:r w:rsidRPr="00B10916">
        <w:rPr>
          <w:bCs/>
        </w:rPr>
        <w:tab/>
      </w:r>
      <w:r w:rsidR="00AA7E31" w:rsidRPr="00B10916">
        <w:t xml:space="preserve">The Expert Mechanism also undertook a number of intersessional activities, including participation in the World Conference on Indigenous Peoples and the thirteenth and fourteenth sessions of the United Nations Permanent Forum on Indigenous Issues. In February 2015, OHCHR and the University of Lapland (Finland) co-organized an expert seminar on the promotion and protection of the rights of indigenous peoples with respect to their cultural heritage. The main objective of the seminar was to obtain substantive input </w:t>
      </w:r>
      <w:r w:rsidR="00F34E11" w:rsidRPr="00B10916">
        <w:t xml:space="preserve">for </w:t>
      </w:r>
      <w:r w:rsidR="00AA7E31" w:rsidRPr="00B10916">
        <w:t xml:space="preserve">a study conducted by the Expert Mechanism </w:t>
      </w:r>
      <w:r w:rsidR="00F34E11" w:rsidRPr="00B10916">
        <w:t xml:space="preserve">in response to a </w:t>
      </w:r>
      <w:r w:rsidR="00AA7E31" w:rsidRPr="00B10916">
        <w:t xml:space="preserve">request </w:t>
      </w:r>
      <w:r w:rsidR="00F34E11" w:rsidRPr="00B10916">
        <w:t xml:space="preserve">made </w:t>
      </w:r>
      <w:r w:rsidR="00AA7E31" w:rsidRPr="00B10916">
        <w:t xml:space="preserve">by the Human Rights Council in </w:t>
      </w:r>
      <w:r w:rsidR="00F34E11" w:rsidRPr="00B10916">
        <w:t xml:space="preserve">its </w:t>
      </w:r>
      <w:r w:rsidR="00AA7E31" w:rsidRPr="00B10916">
        <w:t>resolution 27/13</w:t>
      </w:r>
      <w:r w:rsidR="00F34E11" w:rsidRPr="00B10916">
        <w:t>.</w:t>
      </w:r>
      <w:r w:rsidR="00AA7E31" w:rsidRPr="00B10916">
        <w:t xml:space="preserve"> </w:t>
      </w:r>
      <w:r w:rsidR="00F34E11" w:rsidRPr="00B10916">
        <w:t xml:space="preserve">The study </w:t>
      </w:r>
      <w:r w:rsidR="00AA7E31" w:rsidRPr="00B10916">
        <w:t xml:space="preserve">is to be finalized at the eighth session </w:t>
      </w:r>
      <w:r w:rsidR="00F34E11" w:rsidRPr="00B10916">
        <w:t xml:space="preserve">of the Expert Mechanism, </w:t>
      </w:r>
      <w:r w:rsidR="00AA7E31" w:rsidRPr="00B10916">
        <w:t>in July 2015. In March 2015, the Expert Mechanism held its first ever intersessional meeting in Winnipeg, Canada.</w:t>
      </w:r>
    </w:p>
    <w:p w14:paraId="2F72E78D" w14:textId="5054E9DD" w:rsidR="00AA7E31" w:rsidRPr="00B10916" w:rsidRDefault="00B10916" w:rsidP="00B10916">
      <w:pPr>
        <w:pStyle w:val="SingleTxtG"/>
        <w:tabs>
          <w:tab w:val="left" w:pos="1701"/>
        </w:tabs>
      </w:pPr>
      <w:r w:rsidRPr="00B10916">
        <w:rPr>
          <w:bCs/>
        </w:rPr>
        <w:t>63.</w:t>
      </w:r>
      <w:r w:rsidRPr="00B10916">
        <w:rPr>
          <w:bCs/>
        </w:rPr>
        <w:tab/>
      </w:r>
      <w:r w:rsidR="00AA7E31" w:rsidRPr="00B10916">
        <w:t>OHCHR also supported the review of the mandate of the Expert Mechanism,</w:t>
      </w:r>
      <w:r w:rsidR="000024B6" w:rsidRPr="00B10916">
        <w:t xml:space="preserve"> </w:t>
      </w:r>
      <w:r w:rsidR="00AA7E31" w:rsidRPr="00B10916">
        <w:t xml:space="preserve">requested by the General Assembly in the </w:t>
      </w:r>
      <w:r w:rsidR="000A6050" w:rsidRPr="00B10916">
        <w:t>o</w:t>
      </w:r>
      <w:r w:rsidR="00AA7E31" w:rsidRPr="00B10916">
        <w:t xml:space="preserve">utcome </w:t>
      </w:r>
      <w:r w:rsidR="000A6050" w:rsidRPr="00B10916">
        <w:t>d</w:t>
      </w:r>
      <w:r w:rsidR="00AA7E31" w:rsidRPr="00B10916">
        <w:t>ocument of the World Conference</w:t>
      </w:r>
      <w:r w:rsidR="000A6050" w:rsidRPr="00B10916">
        <w:t>,</w:t>
      </w:r>
      <w:r w:rsidR="00AA7E31" w:rsidRPr="00B10916">
        <w:t xml:space="preserve"> </w:t>
      </w:r>
      <w:r w:rsidR="000A6050" w:rsidRPr="00B10916">
        <w:t xml:space="preserve">including </w:t>
      </w:r>
      <w:r w:rsidR="00AA7E31" w:rsidRPr="00B10916">
        <w:t xml:space="preserve">facilitating consultations between indigenous peoples and States </w:t>
      </w:r>
      <w:r w:rsidR="000A6050" w:rsidRPr="00B10916">
        <w:t xml:space="preserve">and </w:t>
      </w:r>
      <w:r w:rsidR="00AA7E31" w:rsidRPr="00B10916">
        <w:t xml:space="preserve">supporting the </w:t>
      </w:r>
      <w:r w:rsidR="00F34E11" w:rsidRPr="00B10916">
        <w:t>Expert Mechanism</w:t>
      </w:r>
      <w:r w:rsidR="00AA7E31" w:rsidRPr="00B10916">
        <w:t xml:space="preserve"> members’ engagement in discussions </w:t>
      </w:r>
      <w:r w:rsidR="000A6050" w:rsidRPr="00B10916">
        <w:t xml:space="preserve">in </w:t>
      </w:r>
      <w:r w:rsidR="00AA7E31" w:rsidRPr="00B10916">
        <w:t>follow-up to the World Conference.</w:t>
      </w:r>
    </w:p>
    <w:p w14:paraId="6629E2EA" w14:textId="77777777" w:rsidR="00AA7E31" w:rsidRPr="00B10916" w:rsidRDefault="00AA7E31" w:rsidP="00AA7E31">
      <w:pPr>
        <w:pStyle w:val="H1G"/>
        <w:rPr>
          <w:rFonts w:eastAsia="Calibri"/>
        </w:rPr>
      </w:pPr>
      <w:r w:rsidRPr="00B10916">
        <w:rPr>
          <w:rFonts w:eastAsia="Calibri"/>
        </w:rPr>
        <w:tab/>
        <w:t>B.</w:t>
      </w:r>
      <w:r w:rsidRPr="00B10916">
        <w:rPr>
          <w:rFonts w:eastAsia="Calibri"/>
        </w:rPr>
        <w:tab/>
        <w:t>Special procedures and treaty bodies</w:t>
      </w:r>
    </w:p>
    <w:p w14:paraId="6FF30AEA" w14:textId="2A2B0B15" w:rsidR="00AA7E31" w:rsidRPr="00B10916" w:rsidRDefault="00B10916" w:rsidP="00B10916">
      <w:pPr>
        <w:pStyle w:val="SingleTxtG"/>
        <w:tabs>
          <w:tab w:val="left" w:pos="1701"/>
        </w:tabs>
      </w:pPr>
      <w:r w:rsidRPr="00B10916">
        <w:rPr>
          <w:bCs/>
        </w:rPr>
        <w:t>64.</w:t>
      </w:r>
      <w:r w:rsidRPr="00B10916">
        <w:rPr>
          <w:bCs/>
        </w:rPr>
        <w:tab/>
      </w:r>
      <w:r w:rsidR="00AA7E31" w:rsidRPr="00B10916">
        <w:t xml:space="preserve">The Special Rapporteur carried out various activities in four interrelated areas: promoting good practices; country reports; cases of alleged human rights violations; and thematic studies. She also participated in the World Conference on Indigenous Peoples in September 2014; the </w:t>
      </w:r>
      <w:r w:rsidR="006F6A8F" w:rsidRPr="00B10916">
        <w:t xml:space="preserve">nineteenth </w:t>
      </w:r>
      <w:r w:rsidR="00AA7E31" w:rsidRPr="00B10916">
        <w:t xml:space="preserve">Conference of </w:t>
      </w:r>
      <w:r w:rsidR="00117677" w:rsidRPr="00B10916">
        <w:t xml:space="preserve">the </w:t>
      </w:r>
      <w:r w:rsidR="00AA7E31" w:rsidRPr="00B10916">
        <w:t xml:space="preserve">Parties of the </w:t>
      </w:r>
      <w:r w:rsidR="00117677" w:rsidRPr="00B10916">
        <w:t>United Nations Framework Convention on Climate Change</w:t>
      </w:r>
      <w:r w:rsidR="00AA7E31" w:rsidRPr="00B10916">
        <w:t>; as an expert witness for a case under consideration by the Inter</w:t>
      </w:r>
      <w:r w:rsidR="00117677" w:rsidRPr="00B10916">
        <w:t>-</w:t>
      </w:r>
      <w:r w:rsidR="00AA7E31" w:rsidRPr="00B10916">
        <w:t xml:space="preserve">American Court </w:t>
      </w:r>
      <w:r w:rsidR="00117677" w:rsidRPr="00B10916">
        <w:t xml:space="preserve">of </w:t>
      </w:r>
      <w:r w:rsidR="00AA7E31" w:rsidRPr="00B10916">
        <w:t>Human Rights concern</w:t>
      </w:r>
      <w:r w:rsidR="00117677" w:rsidRPr="00B10916">
        <w:t>ing</w:t>
      </w:r>
      <w:r w:rsidR="00AA7E31" w:rsidRPr="00B10916">
        <w:t xml:space="preserve"> the Kaliña and Lokono indigenous peoples in Suriname in February 2015; an expert seminar on cultural heritage in Rovaniemi, Finland; as </w:t>
      </w:r>
      <w:r w:rsidR="00117677" w:rsidRPr="00B10916">
        <w:t xml:space="preserve">a </w:t>
      </w:r>
      <w:r w:rsidR="00AA7E31" w:rsidRPr="00B10916">
        <w:t xml:space="preserve">panel member in </w:t>
      </w:r>
      <w:r w:rsidR="00117677" w:rsidRPr="00B10916">
        <w:t>a h</w:t>
      </w:r>
      <w:r w:rsidR="00AA7E31" w:rsidRPr="00B10916">
        <w:t>igh</w:t>
      </w:r>
      <w:r w:rsidR="00117677" w:rsidRPr="00B10916">
        <w:t>-l</w:t>
      </w:r>
      <w:r w:rsidR="00AA7E31" w:rsidRPr="00B10916">
        <w:t xml:space="preserve">evel </w:t>
      </w:r>
      <w:r w:rsidR="00117677" w:rsidRPr="00B10916">
        <w:t>p</w:t>
      </w:r>
      <w:r w:rsidR="00AA7E31" w:rsidRPr="00B10916">
        <w:t xml:space="preserve">anel </w:t>
      </w:r>
      <w:r w:rsidR="00117677" w:rsidRPr="00B10916">
        <w:t xml:space="preserve">discussion </w:t>
      </w:r>
      <w:r w:rsidR="00AA7E31" w:rsidRPr="00B10916">
        <w:t xml:space="preserve">on human rights and climate change organized by the Human Rights Council; a global consultation with indigenous peoples convened by the World Bank; and a meeting with the Executive Board </w:t>
      </w:r>
      <w:r w:rsidR="00117677" w:rsidRPr="00B10916">
        <w:t>m</w:t>
      </w:r>
      <w:r w:rsidR="00AA7E31" w:rsidRPr="00B10916">
        <w:t>embers, the President and senior management of the World Bank.</w:t>
      </w:r>
    </w:p>
    <w:p w14:paraId="59F6A007" w14:textId="1CB36B60" w:rsidR="00AA7E31" w:rsidRPr="00B10916" w:rsidRDefault="00B10916" w:rsidP="00B10916">
      <w:pPr>
        <w:pStyle w:val="SingleTxtG"/>
        <w:tabs>
          <w:tab w:val="left" w:pos="1701"/>
        </w:tabs>
      </w:pPr>
      <w:r w:rsidRPr="00B10916">
        <w:rPr>
          <w:bCs/>
        </w:rPr>
        <w:t>65.</w:t>
      </w:r>
      <w:r w:rsidRPr="00B10916">
        <w:rPr>
          <w:bCs/>
        </w:rPr>
        <w:tab/>
      </w:r>
      <w:r w:rsidR="00AA7E31" w:rsidRPr="00B10916">
        <w:t>The Special Rapporteur carried out a visit to Paraguay to examine the situation of indigenous peoples.</w:t>
      </w:r>
      <w:r w:rsidR="000024B6" w:rsidRPr="00B10916">
        <w:t xml:space="preserve"> </w:t>
      </w:r>
      <w:r w:rsidR="004C7E91" w:rsidRPr="00B10916">
        <w:t xml:space="preserve">She </w:t>
      </w:r>
      <w:r w:rsidR="00AA7E31" w:rsidRPr="00B10916">
        <w:t xml:space="preserve">also carried out informal working visits to Australia, </w:t>
      </w:r>
      <w:r w:rsidR="00117677" w:rsidRPr="00B10916">
        <w:t xml:space="preserve">Canada, Finland, </w:t>
      </w:r>
      <w:r w:rsidR="00AA7E31" w:rsidRPr="00B10916">
        <w:t xml:space="preserve">Peru </w:t>
      </w:r>
      <w:r w:rsidR="00117677" w:rsidRPr="00B10916">
        <w:t xml:space="preserve">and </w:t>
      </w:r>
      <w:r w:rsidR="004C7E91" w:rsidRPr="00B10916">
        <w:t xml:space="preserve">the </w:t>
      </w:r>
      <w:r w:rsidR="00AA7E31" w:rsidRPr="00B10916">
        <w:t>Philippines</w:t>
      </w:r>
      <w:r w:rsidR="00117677" w:rsidRPr="00B10916">
        <w:t>.</w:t>
      </w:r>
    </w:p>
    <w:p w14:paraId="65661178" w14:textId="2EF233A1" w:rsidR="00AA7E31" w:rsidRPr="00B10916" w:rsidRDefault="00B10916" w:rsidP="00B10916">
      <w:pPr>
        <w:pStyle w:val="SingleTxtG"/>
        <w:tabs>
          <w:tab w:val="left" w:pos="1701"/>
        </w:tabs>
      </w:pPr>
      <w:r w:rsidRPr="00B10916">
        <w:rPr>
          <w:bCs/>
        </w:rPr>
        <w:t>66.</w:t>
      </w:r>
      <w:r w:rsidRPr="00B10916">
        <w:rPr>
          <w:bCs/>
        </w:rPr>
        <w:tab/>
      </w:r>
      <w:r w:rsidR="00AA7E31" w:rsidRPr="00B10916">
        <w:t xml:space="preserve">In September 2014, the Special Rapporteur submitted her first report </w:t>
      </w:r>
      <w:r w:rsidR="002976D4" w:rsidRPr="00B10916">
        <w:t xml:space="preserve">(A/HRC/27/52) </w:t>
      </w:r>
      <w:r w:rsidR="00AA7E31" w:rsidRPr="00B10916">
        <w:t xml:space="preserve">to the Human Rights Council, </w:t>
      </w:r>
      <w:r w:rsidR="00117677" w:rsidRPr="00B10916">
        <w:t xml:space="preserve">in which she </w:t>
      </w:r>
      <w:r w:rsidR="00AA7E31" w:rsidRPr="00B10916">
        <w:t xml:space="preserve">set out </w:t>
      </w:r>
      <w:r w:rsidR="00117677" w:rsidRPr="00B10916">
        <w:t xml:space="preserve">the </w:t>
      </w:r>
      <w:r w:rsidR="00AA7E31" w:rsidRPr="00B10916">
        <w:t>thematic priorities for her mandate and announce</w:t>
      </w:r>
      <w:r w:rsidR="00117677" w:rsidRPr="00B10916">
        <w:t>d</w:t>
      </w:r>
      <w:r w:rsidR="00AA7E31" w:rsidRPr="00B10916">
        <w:t xml:space="preserve"> her intention to focus on issues related to economic, social, cultural and environmental rights of indigenous peoples.</w:t>
      </w:r>
      <w:r w:rsidR="000024B6" w:rsidRPr="00B10916">
        <w:t xml:space="preserve"> </w:t>
      </w:r>
      <w:r w:rsidR="00AA7E31" w:rsidRPr="00B10916">
        <w:t>In her report to the General Assembly</w:t>
      </w:r>
      <w:r w:rsidR="004C7E91" w:rsidRPr="00B10916">
        <w:t xml:space="preserve"> at its sixty-ninth session</w:t>
      </w:r>
      <w:r w:rsidR="002976D4" w:rsidRPr="00B10916">
        <w:t xml:space="preserve"> (A/69/267)</w:t>
      </w:r>
      <w:r w:rsidR="00AA7E31" w:rsidRPr="00B10916">
        <w:t>, the Special Rapporteur reflected on these rights in the context of the post-2015 development framework.</w:t>
      </w:r>
    </w:p>
    <w:p w14:paraId="17B91C23" w14:textId="2B67248E" w:rsidR="00AA7E31" w:rsidRPr="00B10916" w:rsidRDefault="00B10916" w:rsidP="00B10916">
      <w:pPr>
        <w:pStyle w:val="SingleTxtG"/>
        <w:tabs>
          <w:tab w:val="left" w:pos="1701"/>
        </w:tabs>
      </w:pPr>
      <w:r w:rsidRPr="00B10916">
        <w:rPr>
          <w:bCs/>
        </w:rPr>
        <w:t>67.</w:t>
      </w:r>
      <w:r w:rsidRPr="00B10916">
        <w:rPr>
          <w:bCs/>
        </w:rPr>
        <w:tab/>
      </w:r>
      <w:r w:rsidR="00AA7E31" w:rsidRPr="00B10916">
        <w:t xml:space="preserve">The Special Rapporteur issued public statements relating to situations that require immediate and urgent attention by the concerned </w:t>
      </w:r>
      <w:r w:rsidR="00117677" w:rsidRPr="00B10916">
        <w:t>G</w:t>
      </w:r>
      <w:r w:rsidR="00AA7E31" w:rsidRPr="00B10916">
        <w:t>overnments.</w:t>
      </w:r>
      <w:r w:rsidR="000024B6" w:rsidRPr="00B10916">
        <w:t xml:space="preserve"> </w:t>
      </w:r>
      <w:r w:rsidR="00AA7E31" w:rsidRPr="00B10916">
        <w:t xml:space="preserve">These drew attention to: </w:t>
      </w:r>
      <w:r w:rsidR="00E32218" w:rsidRPr="00B10916">
        <w:t>(a) </w:t>
      </w:r>
      <w:r w:rsidR="00AA7E31" w:rsidRPr="00B10916">
        <w:t>the new framework for disaster risk reduction</w:t>
      </w:r>
      <w:r w:rsidR="00117677" w:rsidRPr="00B10916">
        <w:t>,</w:t>
      </w:r>
      <w:r w:rsidR="00AA7E31" w:rsidRPr="00B10916">
        <w:t xml:space="preserve"> </w:t>
      </w:r>
      <w:r w:rsidR="00E32218" w:rsidRPr="00B10916">
        <w:t>including a call for the needs of indigenous persons with disabilities to be met by effective action</w:t>
      </w:r>
      <w:r w:rsidR="00AA7E31" w:rsidRPr="00B10916">
        <w:t xml:space="preserve">; </w:t>
      </w:r>
      <w:r w:rsidR="00E32218" w:rsidRPr="00B10916">
        <w:t>(b) </w:t>
      </w:r>
      <w:r w:rsidR="00AA7E31" w:rsidRPr="00B10916">
        <w:t xml:space="preserve">a new oil project threatening further harm </w:t>
      </w:r>
      <w:r w:rsidR="00E32218" w:rsidRPr="00B10916">
        <w:t xml:space="preserve">to </w:t>
      </w:r>
      <w:r w:rsidR="00AA7E31" w:rsidRPr="00B10916">
        <w:t xml:space="preserve">indigenous peoples in Peru; </w:t>
      </w:r>
      <w:r w:rsidR="00E32218" w:rsidRPr="00B10916">
        <w:t>(c) </w:t>
      </w:r>
      <w:r w:rsidR="00AA7E31" w:rsidRPr="00B10916">
        <w:t xml:space="preserve">the elusiveness of justice in many parts of the world; and </w:t>
      </w:r>
      <w:r w:rsidR="00E32218" w:rsidRPr="00B10916">
        <w:t>(d) </w:t>
      </w:r>
      <w:r w:rsidR="00AA7E31" w:rsidRPr="00B10916">
        <w:t>a call on Member States to include indigenous peoples in development efforts.</w:t>
      </w:r>
      <w:r w:rsidR="000024B6" w:rsidRPr="00B10916">
        <w:t xml:space="preserve"> </w:t>
      </w:r>
      <w:r w:rsidR="00AA7E31" w:rsidRPr="00B10916">
        <w:t xml:space="preserve">The Special Rapporteur, together with other mandate holders, signed a number of letters to </w:t>
      </w:r>
      <w:r w:rsidR="00E32218" w:rsidRPr="00B10916">
        <w:t>the States p</w:t>
      </w:r>
      <w:r w:rsidR="00AA7E31" w:rsidRPr="00B10916">
        <w:t xml:space="preserve">arties to the </w:t>
      </w:r>
      <w:r w:rsidR="00E32218" w:rsidRPr="00B10916">
        <w:t xml:space="preserve">Framework Convention on </w:t>
      </w:r>
      <w:r w:rsidR="00AA7E31" w:rsidRPr="00B10916">
        <w:t xml:space="preserve">Climate Change, and </w:t>
      </w:r>
      <w:r w:rsidR="00E32218" w:rsidRPr="00B10916">
        <w:t xml:space="preserve">raised </w:t>
      </w:r>
      <w:r w:rsidR="00AA7E31" w:rsidRPr="00B10916">
        <w:t xml:space="preserve">concerns regarding planned amendments to the World Bank’s draft </w:t>
      </w:r>
      <w:r w:rsidR="00E32218" w:rsidRPr="00B10916">
        <w:t>e</w:t>
      </w:r>
      <w:r w:rsidR="00AA7E31" w:rsidRPr="00B10916">
        <w:t xml:space="preserve">nvironmental and </w:t>
      </w:r>
      <w:r w:rsidR="00E32218" w:rsidRPr="00B10916">
        <w:t>s</w:t>
      </w:r>
      <w:r w:rsidR="00AA7E31" w:rsidRPr="00B10916">
        <w:t xml:space="preserve">ocial </w:t>
      </w:r>
      <w:r w:rsidR="00E32218" w:rsidRPr="00B10916">
        <w:t>s</w:t>
      </w:r>
      <w:r w:rsidR="00AA7E31" w:rsidRPr="00B10916">
        <w:t xml:space="preserve">afeguards </w:t>
      </w:r>
      <w:r w:rsidR="00E32218" w:rsidRPr="00B10916">
        <w:t>f</w:t>
      </w:r>
      <w:r w:rsidR="00AA7E31" w:rsidRPr="00B10916">
        <w:t>ramework that would likely have an adverse effect on human rights.</w:t>
      </w:r>
    </w:p>
    <w:p w14:paraId="337921A3" w14:textId="45AD7B7C" w:rsidR="00AA7E31" w:rsidRPr="00B10916" w:rsidRDefault="00B10916" w:rsidP="00B10916">
      <w:pPr>
        <w:pStyle w:val="SingleTxtG"/>
        <w:tabs>
          <w:tab w:val="left" w:pos="1701"/>
        </w:tabs>
      </w:pPr>
      <w:r w:rsidRPr="00B10916">
        <w:rPr>
          <w:bCs/>
        </w:rPr>
        <w:t>68.</w:t>
      </w:r>
      <w:r w:rsidRPr="00B10916">
        <w:rPr>
          <w:bCs/>
        </w:rPr>
        <w:tab/>
      </w:r>
      <w:r w:rsidR="00AA7E31" w:rsidRPr="00B10916">
        <w:t xml:space="preserve">Other special procedures </w:t>
      </w:r>
      <w:r w:rsidR="00E32218" w:rsidRPr="00B10916">
        <w:t xml:space="preserve">also </w:t>
      </w:r>
      <w:r w:rsidR="00AA7E31" w:rsidRPr="00B10916">
        <w:t xml:space="preserve">took up </w:t>
      </w:r>
      <w:r w:rsidR="00E32218" w:rsidRPr="00B10916">
        <w:t xml:space="preserve">issues related to </w:t>
      </w:r>
      <w:r w:rsidR="00AA7E31" w:rsidRPr="00B10916">
        <w:t xml:space="preserve">indigenous </w:t>
      </w:r>
      <w:r w:rsidR="00E32218" w:rsidRPr="00B10916">
        <w:t>peoples.</w:t>
      </w:r>
      <w:r w:rsidR="00AA7E31" w:rsidRPr="00B10916">
        <w:t xml:space="preserve"> </w:t>
      </w:r>
      <w:r w:rsidR="00E32218" w:rsidRPr="00B10916">
        <w:t>T</w:t>
      </w:r>
      <w:r w:rsidR="00AA7E31" w:rsidRPr="00B10916">
        <w:t>he Special Rapporteur in the field of cultural rights paid a visit to Botswana, where she looked at policies in the fields of culture, language, education and tourism.</w:t>
      </w:r>
      <w:r w:rsidR="000024B6" w:rsidRPr="00B10916">
        <w:t xml:space="preserve"> </w:t>
      </w:r>
      <w:r w:rsidR="00AA7E31" w:rsidRPr="00B10916">
        <w:t>She met with the San people, heard their concerns and, in relation to implications of the inclusion of the Okavango Delta in the World Heritage List of UNESCO, encouraged the Government to closely consult with indigenous peoples.</w:t>
      </w:r>
    </w:p>
    <w:p w14:paraId="490C4986" w14:textId="3ABB7CBF" w:rsidR="00AA7E31" w:rsidRPr="00B10916" w:rsidRDefault="00B10916" w:rsidP="00B10916">
      <w:pPr>
        <w:pStyle w:val="SingleTxtG"/>
        <w:tabs>
          <w:tab w:val="left" w:pos="1701"/>
        </w:tabs>
      </w:pPr>
      <w:r w:rsidRPr="00B10916">
        <w:rPr>
          <w:bCs/>
        </w:rPr>
        <w:t>69.</w:t>
      </w:r>
      <w:r w:rsidRPr="00B10916">
        <w:rPr>
          <w:bCs/>
        </w:rPr>
        <w:tab/>
      </w:r>
      <w:r w:rsidR="00AA7E31" w:rsidRPr="00B10916">
        <w:t xml:space="preserve">At the </w:t>
      </w:r>
      <w:r w:rsidR="00E32218" w:rsidRPr="00B10916">
        <w:t>t</w:t>
      </w:r>
      <w:r w:rsidR="00AA7E31" w:rsidRPr="00B10916">
        <w:t>hird Forum on Business and Human Rights</w:t>
      </w:r>
      <w:r w:rsidR="00E32218" w:rsidRPr="00B10916">
        <w:t>,</w:t>
      </w:r>
      <w:r w:rsidR="00AA7E31" w:rsidRPr="00B10916">
        <w:t xml:space="preserve"> </w:t>
      </w:r>
      <w:r w:rsidR="00E32218" w:rsidRPr="00B10916">
        <w:t xml:space="preserve">held </w:t>
      </w:r>
      <w:r w:rsidR="00AA7E31" w:rsidRPr="00B10916">
        <w:t xml:space="preserve">in December 2014, during a session on the Guiding Principles </w:t>
      </w:r>
      <w:r w:rsidR="00B61283" w:rsidRPr="00B10916">
        <w:t xml:space="preserve">on Business and Human Rights </w:t>
      </w:r>
      <w:r w:rsidR="00AA7E31" w:rsidRPr="00B10916">
        <w:t xml:space="preserve">and United Nations human rights mechanisms, the impact of trade and investment agreements on indigenous peoples was flagged as an area where the Working Group </w:t>
      </w:r>
      <w:r w:rsidR="00E32218" w:rsidRPr="00B10916">
        <w:t>on the issue of human rights and transnational corporations and other business enterprises</w:t>
      </w:r>
      <w:r w:rsidR="00AA7E31" w:rsidRPr="00B10916">
        <w:t xml:space="preserve"> could compliment the work of the Special Rapporteur on the </w:t>
      </w:r>
      <w:r w:rsidR="004C7E91" w:rsidRPr="00B10916">
        <w:t>r</w:t>
      </w:r>
      <w:r w:rsidR="00AA7E31" w:rsidRPr="00B10916">
        <w:t xml:space="preserve">ights of </w:t>
      </w:r>
      <w:r w:rsidR="004C7E91" w:rsidRPr="00B10916">
        <w:t>i</w:t>
      </w:r>
      <w:r w:rsidR="00AA7E31" w:rsidRPr="00B10916">
        <w:t xml:space="preserve">ndigenous </w:t>
      </w:r>
      <w:r w:rsidR="004C7E91" w:rsidRPr="00B10916">
        <w:t>p</w:t>
      </w:r>
      <w:r w:rsidR="00AA7E31" w:rsidRPr="00B10916">
        <w:t>eoples.</w:t>
      </w:r>
      <w:r w:rsidR="000024B6" w:rsidRPr="00B10916">
        <w:t xml:space="preserve"> </w:t>
      </w:r>
      <w:r w:rsidR="00AA7E31" w:rsidRPr="00B10916">
        <w:t>Furthermore, some sessions at the Forum focused on access to justice and reparations for indigenous peoples in the context of business operations and extractive industries.</w:t>
      </w:r>
    </w:p>
    <w:p w14:paraId="776D7550" w14:textId="77777777" w:rsidR="00AA7E31" w:rsidRPr="00B10916" w:rsidRDefault="00AA7E31" w:rsidP="00AA7E31">
      <w:pPr>
        <w:pStyle w:val="H1G"/>
        <w:rPr>
          <w:rFonts w:eastAsia="Calibri"/>
        </w:rPr>
      </w:pPr>
      <w:r w:rsidRPr="00B10916">
        <w:rPr>
          <w:rFonts w:eastAsia="Calibri"/>
        </w:rPr>
        <w:tab/>
        <w:t>C.</w:t>
      </w:r>
      <w:r w:rsidRPr="00B10916">
        <w:rPr>
          <w:rFonts w:eastAsia="Calibri"/>
        </w:rPr>
        <w:tab/>
        <w:t>Treaty bodies</w:t>
      </w:r>
    </w:p>
    <w:p w14:paraId="3D3A83E3" w14:textId="75117B7E" w:rsidR="00AA7E31" w:rsidRPr="00B10916" w:rsidRDefault="00B10916" w:rsidP="00B10916">
      <w:pPr>
        <w:pStyle w:val="SingleTxtG"/>
        <w:tabs>
          <w:tab w:val="left" w:pos="1701"/>
        </w:tabs>
      </w:pPr>
      <w:r w:rsidRPr="00B10916">
        <w:rPr>
          <w:bCs/>
        </w:rPr>
        <w:t>70.</w:t>
      </w:r>
      <w:r w:rsidRPr="00B10916">
        <w:rPr>
          <w:bCs/>
        </w:rPr>
        <w:tab/>
      </w:r>
      <w:r w:rsidR="00274FD6" w:rsidRPr="00B10916">
        <w:rPr>
          <w:iCs/>
        </w:rPr>
        <w:t xml:space="preserve">During the reporting period, </w:t>
      </w:r>
      <w:r w:rsidR="00274FD6" w:rsidRPr="00B10916">
        <w:t>t</w:t>
      </w:r>
      <w:r w:rsidR="00AA7E31" w:rsidRPr="00B10916">
        <w:t>he Committee on the Elimination of Racial Discrimination expressed concern and made recommendations in relation to indigenous peoples.</w:t>
      </w:r>
      <w:r w:rsidR="000024B6" w:rsidRPr="00B10916">
        <w:t xml:space="preserve"> </w:t>
      </w:r>
      <w:r w:rsidR="00AA7E31" w:rsidRPr="00B10916">
        <w:t>Under the early warning and urgent action procedure, the Committee sent a letter of concern to the Russian Federation, while under the follow-up procedure it sent follow</w:t>
      </w:r>
      <w:r w:rsidR="007F2A3D" w:rsidRPr="00B10916">
        <w:t>-</w:t>
      </w:r>
      <w:r w:rsidR="00AA7E31" w:rsidRPr="00B10916">
        <w:t xml:space="preserve">up letters to Canada, Mexico, New Zealand and the Russian Federation. At its </w:t>
      </w:r>
      <w:r w:rsidR="007F2A3D" w:rsidRPr="00B10916">
        <w:t xml:space="preserve">eighty-fifth </w:t>
      </w:r>
      <w:r w:rsidR="00AA7E31" w:rsidRPr="00B10916">
        <w:t>session, the Committee raised issues on indigenous peoples and made recommendations to Cameroon, El Salvador, Japan, Peru and the United States</w:t>
      </w:r>
      <w:r w:rsidR="00C354BA" w:rsidRPr="00B10916">
        <w:t xml:space="preserve"> of America</w:t>
      </w:r>
      <w:r w:rsidR="00AA7E31" w:rsidRPr="00B10916">
        <w:t>.</w:t>
      </w:r>
      <w:r w:rsidR="000024B6" w:rsidRPr="00B10916">
        <w:t xml:space="preserve"> </w:t>
      </w:r>
      <w:r w:rsidR="00AA7E31" w:rsidRPr="00B10916">
        <w:t xml:space="preserve">At its </w:t>
      </w:r>
      <w:r w:rsidR="00C354BA" w:rsidRPr="00B10916">
        <w:t xml:space="preserve">eighty-sixth </w:t>
      </w:r>
      <w:r w:rsidR="00AA7E31" w:rsidRPr="00B10916">
        <w:t xml:space="preserve">session, the Committee made recommendations on the rights of indigenous peoples in Bosnia and Herzegovina, Denmark, Guatemala and </w:t>
      </w:r>
      <w:r w:rsidR="00C354BA" w:rsidRPr="00B10916">
        <w:t xml:space="preserve">the </w:t>
      </w:r>
      <w:r w:rsidR="00AA7E31" w:rsidRPr="00B10916">
        <w:t xml:space="preserve">Sudan. Concluding observations of the Committee during these sessions included issues such as </w:t>
      </w:r>
      <w:r w:rsidR="00D12DD3" w:rsidRPr="00B10916">
        <w:t xml:space="preserve">the </w:t>
      </w:r>
      <w:r w:rsidR="00AA7E31" w:rsidRPr="00B10916">
        <w:t>right</w:t>
      </w:r>
      <w:r w:rsidR="00D12DD3" w:rsidRPr="00B10916">
        <w:t>s</w:t>
      </w:r>
      <w:r w:rsidR="00AA7E31" w:rsidRPr="00B10916">
        <w:t xml:space="preserve"> to identity, self-identification and recognition of indigenous peoples, </w:t>
      </w:r>
      <w:r w:rsidR="00D12DD3" w:rsidRPr="00B10916">
        <w:t xml:space="preserve">the </w:t>
      </w:r>
      <w:r w:rsidR="00AA7E31" w:rsidRPr="00B10916">
        <w:t xml:space="preserve">lack of disaggregated data and lack of socioeconomic indicators pertaining to indigenous peoples, </w:t>
      </w:r>
      <w:r w:rsidR="00D12DD3" w:rsidRPr="00B10916">
        <w:t xml:space="preserve">the </w:t>
      </w:r>
      <w:r w:rsidR="00AA7E31" w:rsidRPr="00B10916">
        <w:t>inadequacies in legal frameworks and the structural discrimination affecting indigenous peoples.</w:t>
      </w:r>
      <w:r w:rsidR="000024B6" w:rsidRPr="00B10916">
        <w:t xml:space="preserve"> </w:t>
      </w:r>
      <w:r w:rsidR="00AA7E31" w:rsidRPr="00B10916">
        <w:t>Other observations focused on participation in political and public life, discrimination within the criminal justice system, labour market and stereotyping of indigenous peoples, as well as incidents of hate speech.</w:t>
      </w:r>
      <w:r w:rsidR="000024B6" w:rsidRPr="00B10916">
        <w:t xml:space="preserve"> </w:t>
      </w:r>
      <w:r w:rsidR="00AA7E31" w:rsidRPr="00B10916">
        <w:t xml:space="preserve">The situation of indigenous peoples in voluntary isolation, free prior and informed consent </w:t>
      </w:r>
      <w:r w:rsidR="00D12DD3" w:rsidRPr="00B10916">
        <w:t xml:space="preserve">and </w:t>
      </w:r>
      <w:r w:rsidR="00AA7E31" w:rsidRPr="00B10916">
        <w:t xml:space="preserve">the land rights of indigenous peoples </w:t>
      </w:r>
      <w:r w:rsidR="00D12DD3" w:rsidRPr="00B10916">
        <w:t>were also raised</w:t>
      </w:r>
      <w:r w:rsidR="00AA7E31" w:rsidRPr="00B10916">
        <w:t>.</w:t>
      </w:r>
    </w:p>
    <w:p w14:paraId="08E25ED4" w14:textId="1544377D" w:rsidR="00AA7E31" w:rsidRPr="00B10916" w:rsidRDefault="00B10916" w:rsidP="00B10916">
      <w:pPr>
        <w:pStyle w:val="SingleTxtG"/>
        <w:tabs>
          <w:tab w:val="left" w:pos="1701"/>
        </w:tabs>
      </w:pPr>
      <w:r w:rsidRPr="00B10916">
        <w:rPr>
          <w:bCs/>
        </w:rPr>
        <w:t>71.</w:t>
      </w:r>
      <w:r w:rsidRPr="00B10916">
        <w:rPr>
          <w:bCs/>
        </w:rPr>
        <w:tab/>
      </w:r>
      <w:r w:rsidR="00AA7E31" w:rsidRPr="00B10916">
        <w:t>The Committee on Economic</w:t>
      </w:r>
      <w:r w:rsidR="00A76AEA" w:rsidRPr="00B10916">
        <w:t>,</w:t>
      </w:r>
      <w:r w:rsidR="00AA7E31" w:rsidRPr="00B10916">
        <w:t xml:space="preserve"> Social and Cultural Rights highlighted the rights of indigenous peoples to recognition </w:t>
      </w:r>
      <w:r w:rsidR="00A76AEA" w:rsidRPr="00B10916">
        <w:t xml:space="preserve">and </w:t>
      </w:r>
      <w:r w:rsidR="00AA7E31" w:rsidRPr="00B10916">
        <w:t xml:space="preserve">self-identification, </w:t>
      </w:r>
      <w:r w:rsidR="00A76AEA" w:rsidRPr="00B10916">
        <w:t xml:space="preserve">and </w:t>
      </w:r>
      <w:r w:rsidR="00AA7E31" w:rsidRPr="00B10916">
        <w:t>to seek free prior and informed consent on decisions affecting them and their lands.</w:t>
      </w:r>
      <w:r w:rsidR="000024B6" w:rsidRPr="00B10916">
        <w:t xml:space="preserve"> </w:t>
      </w:r>
      <w:r w:rsidR="00AA7E31" w:rsidRPr="00B10916">
        <w:t>On many occasions</w:t>
      </w:r>
      <w:r w:rsidR="00A76AEA" w:rsidRPr="00B10916">
        <w:t>,</w:t>
      </w:r>
      <w:r w:rsidR="00AA7E31" w:rsidRPr="00B10916">
        <w:t xml:space="preserve"> the Committee made reference to the Declaration and the ILO </w:t>
      </w:r>
      <w:r w:rsidR="00E75E9F" w:rsidRPr="00B10916">
        <w:t xml:space="preserve">Indigenous and Tribal Peoples Convention, 1989 (No. 169) </w:t>
      </w:r>
      <w:r w:rsidR="00AA7E31" w:rsidRPr="00B10916">
        <w:t>as it considered reports of El</w:t>
      </w:r>
      <w:r w:rsidR="00A76AEA" w:rsidRPr="00B10916">
        <w:t xml:space="preserve"> </w:t>
      </w:r>
      <w:r w:rsidR="00AA7E31" w:rsidRPr="00B10916">
        <w:t>Salvador, Guatemala, Indonesia, Nepal and Paraguay. The Committee also raised questions concerning indigenous peoples and sent a list of issues to States parties</w:t>
      </w:r>
      <w:r w:rsidR="00A76AEA" w:rsidRPr="00B10916">
        <w:t>,</w:t>
      </w:r>
      <w:r w:rsidR="00AA7E31" w:rsidRPr="00B10916">
        <w:t xml:space="preserve"> including Burundi, Canada, Chile, Finland, France, Guyana, Iraq, </w:t>
      </w:r>
      <w:r w:rsidR="00A76AEA" w:rsidRPr="00B10916">
        <w:rPr>
          <w:iCs/>
        </w:rPr>
        <w:t xml:space="preserve">the Plurinational State of </w:t>
      </w:r>
      <w:r w:rsidR="00A76AEA" w:rsidRPr="00B10916">
        <w:t xml:space="preserve">Bolivia, </w:t>
      </w:r>
      <w:r w:rsidR="00AA7E31" w:rsidRPr="00B10916">
        <w:t xml:space="preserve">Thailand, Uganda and </w:t>
      </w:r>
      <w:r w:rsidR="002F2482" w:rsidRPr="00B10916">
        <w:t>Viet Nam</w:t>
      </w:r>
      <w:r w:rsidR="00AA7E31" w:rsidRPr="00B10916">
        <w:t>.</w:t>
      </w:r>
      <w:r w:rsidR="000024B6" w:rsidRPr="00B10916">
        <w:t xml:space="preserve"> </w:t>
      </w:r>
      <w:r w:rsidR="00AA7E31" w:rsidRPr="00B10916">
        <w:t xml:space="preserve">The main questions raised by the Committee related to recognition of indigenous peoples, land rights, consultation, non-discrimination, poverty, education and cultural rights. The Committee also met with the Chair of the </w:t>
      </w:r>
      <w:r w:rsidR="003446CA" w:rsidRPr="00B10916">
        <w:t xml:space="preserve">United Nations </w:t>
      </w:r>
      <w:r w:rsidR="00AA7E31" w:rsidRPr="00B10916">
        <w:t xml:space="preserve">Permanent Forum on Indigenous Issues to discuss areas of common interest in view of the </w:t>
      </w:r>
      <w:r w:rsidR="00A76AEA" w:rsidRPr="00B10916">
        <w:t xml:space="preserve">fourteenth </w:t>
      </w:r>
      <w:r w:rsidR="00AA7E31" w:rsidRPr="00B10916">
        <w:t>session of the Permanent Forum</w:t>
      </w:r>
      <w:r w:rsidR="00A76AEA" w:rsidRPr="00B10916">
        <w:t>,</w:t>
      </w:r>
      <w:r w:rsidR="00AA7E31" w:rsidRPr="00B10916">
        <w:t xml:space="preserve"> dedicated to economic, social and cultural rights.</w:t>
      </w:r>
    </w:p>
    <w:p w14:paraId="6F5CA9CE" w14:textId="5034D109" w:rsidR="00AA7E31" w:rsidRPr="00B10916" w:rsidRDefault="00B10916" w:rsidP="00B10916">
      <w:pPr>
        <w:pStyle w:val="SingleTxtG"/>
        <w:tabs>
          <w:tab w:val="left" w:pos="1701"/>
        </w:tabs>
      </w:pPr>
      <w:r w:rsidRPr="00B10916">
        <w:rPr>
          <w:bCs/>
        </w:rPr>
        <w:t>72.</w:t>
      </w:r>
      <w:r w:rsidRPr="00B10916">
        <w:rPr>
          <w:bCs/>
        </w:rPr>
        <w:tab/>
      </w:r>
      <w:r w:rsidR="00AA7E31" w:rsidRPr="00B10916">
        <w:t xml:space="preserve">The Committee against Torture considered </w:t>
      </w:r>
      <w:r w:rsidR="00A76AEA" w:rsidRPr="00B10916">
        <w:t xml:space="preserve">the </w:t>
      </w:r>
      <w:r w:rsidR="00AA7E31" w:rsidRPr="00B10916">
        <w:t>reports of Australia, Colombia and New Zealand</w:t>
      </w:r>
      <w:r w:rsidR="00274FD6" w:rsidRPr="00B10916">
        <w:t>.</w:t>
      </w:r>
      <w:r w:rsidR="00AA7E31" w:rsidRPr="00B10916">
        <w:t xml:space="preserve"> </w:t>
      </w:r>
      <w:r w:rsidR="00274FD6" w:rsidRPr="00B10916">
        <w:t xml:space="preserve">In </w:t>
      </w:r>
      <w:r w:rsidR="00AA7E31" w:rsidRPr="00B10916">
        <w:t>its concluding observations</w:t>
      </w:r>
      <w:r w:rsidR="00274FD6" w:rsidRPr="00B10916">
        <w:t>,</w:t>
      </w:r>
      <w:r w:rsidR="00AA7E31" w:rsidRPr="00B10916">
        <w:t xml:space="preserve"> </w:t>
      </w:r>
      <w:r w:rsidR="00274FD6" w:rsidRPr="00B10916">
        <w:t xml:space="preserve">it highlighted </w:t>
      </w:r>
      <w:r w:rsidR="00AA7E31" w:rsidRPr="00B10916">
        <w:t>that violence against women affected indigenous women disproportionately and urged national authorities to take additional measures to address it.</w:t>
      </w:r>
      <w:r w:rsidR="000024B6" w:rsidRPr="00B10916">
        <w:t xml:space="preserve"> </w:t>
      </w:r>
      <w:r w:rsidR="00AA7E31" w:rsidRPr="00B10916">
        <w:t>The Committee also requested information from States parties concerning indigenous peoples through the list of issues prior to reporting from Canada, Gabon, Japan and Mexico.</w:t>
      </w:r>
    </w:p>
    <w:p w14:paraId="50EB25EB" w14:textId="5AACA633" w:rsidR="00AA7E31" w:rsidRPr="00B10916" w:rsidRDefault="00AA7E31">
      <w:pPr>
        <w:pStyle w:val="H1G"/>
        <w:rPr>
          <w:rFonts w:eastAsia="Calibri"/>
        </w:rPr>
      </w:pPr>
      <w:r w:rsidRPr="00B10916">
        <w:rPr>
          <w:rFonts w:eastAsia="Calibri"/>
        </w:rPr>
        <w:tab/>
        <w:t>D.</w:t>
      </w:r>
      <w:r w:rsidRPr="00B10916">
        <w:rPr>
          <w:rFonts w:eastAsia="Calibri"/>
        </w:rPr>
        <w:tab/>
        <w:t xml:space="preserve">Universal </w:t>
      </w:r>
      <w:r w:rsidR="003231A1" w:rsidRPr="00B10916">
        <w:rPr>
          <w:rFonts w:eastAsia="Calibri"/>
        </w:rPr>
        <w:t>p</w:t>
      </w:r>
      <w:r w:rsidRPr="00B10916">
        <w:rPr>
          <w:rFonts w:eastAsia="Calibri"/>
        </w:rPr>
        <w:t xml:space="preserve">eriodic </w:t>
      </w:r>
      <w:r w:rsidR="003231A1" w:rsidRPr="00B10916">
        <w:rPr>
          <w:rFonts w:eastAsia="Calibri"/>
        </w:rPr>
        <w:t>r</w:t>
      </w:r>
      <w:r w:rsidRPr="00B10916">
        <w:rPr>
          <w:rFonts w:eastAsia="Calibri"/>
        </w:rPr>
        <w:t>eview</w:t>
      </w:r>
    </w:p>
    <w:p w14:paraId="681A795E" w14:textId="2C90F5DC" w:rsidR="00AA7E31" w:rsidRPr="00B10916" w:rsidRDefault="00B10916" w:rsidP="00B10916">
      <w:pPr>
        <w:pStyle w:val="SingleTxtG"/>
        <w:tabs>
          <w:tab w:val="left" w:pos="1701"/>
        </w:tabs>
        <w:rPr>
          <w:iCs/>
        </w:rPr>
      </w:pPr>
      <w:r w:rsidRPr="00B10916">
        <w:rPr>
          <w:bCs/>
          <w:iCs/>
        </w:rPr>
        <w:t>73.</w:t>
      </w:r>
      <w:r w:rsidRPr="00B10916">
        <w:rPr>
          <w:bCs/>
          <w:iCs/>
        </w:rPr>
        <w:tab/>
      </w:r>
      <w:r w:rsidR="00AA7E31" w:rsidRPr="00B10916">
        <w:t xml:space="preserve">Issues concerning indigenous peoples were frequently addressed in the context of the </w:t>
      </w:r>
      <w:r w:rsidR="00EB7B97" w:rsidRPr="00B10916">
        <w:t>u</w:t>
      </w:r>
      <w:r w:rsidR="00AA7E31" w:rsidRPr="00B10916">
        <w:t xml:space="preserve">niversal </w:t>
      </w:r>
      <w:r w:rsidR="00EB7B97" w:rsidRPr="00B10916">
        <w:t>p</w:t>
      </w:r>
      <w:r w:rsidR="00AA7E31" w:rsidRPr="00B10916">
        <w:t xml:space="preserve">eriodic </w:t>
      </w:r>
      <w:r w:rsidR="00EB7B97" w:rsidRPr="00B10916">
        <w:t>r</w:t>
      </w:r>
      <w:r w:rsidR="00AA7E31" w:rsidRPr="00B10916">
        <w:t>eview.</w:t>
      </w:r>
      <w:r w:rsidR="000024B6" w:rsidRPr="00B10916">
        <w:t xml:space="preserve"> </w:t>
      </w:r>
      <w:r w:rsidR="00AA7E31" w:rsidRPr="00B10916">
        <w:rPr>
          <w:iCs/>
        </w:rPr>
        <w:t xml:space="preserve">During the reporting period, 42 countries were reviewed for the second time during the </w:t>
      </w:r>
      <w:r w:rsidR="00070902" w:rsidRPr="00B10916">
        <w:rPr>
          <w:iCs/>
        </w:rPr>
        <w:t xml:space="preserve">nineteenth, twentieth and twenty-first </w:t>
      </w:r>
      <w:r w:rsidR="00AA7E31" w:rsidRPr="00B10916">
        <w:rPr>
          <w:iCs/>
        </w:rPr>
        <w:t xml:space="preserve">sessions of the Working Group </w:t>
      </w:r>
      <w:r w:rsidR="00EB7B97" w:rsidRPr="00B10916">
        <w:rPr>
          <w:iCs/>
        </w:rPr>
        <w:t xml:space="preserve">on the Universal Periodic Review </w:t>
      </w:r>
      <w:r w:rsidR="00AA7E31" w:rsidRPr="00B10916">
        <w:rPr>
          <w:iCs/>
        </w:rPr>
        <w:t>of the Human Rights Council.</w:t>
      </w:r>
      <w:r w:rsidR="000024B6" w:rsidRPr="00B10916">
        <w:rPr>
          <w:iCs/>
        </w:rPr>
        <w:t xml:space="preserve"> </w:t>
      </w:r>
      <w:r w:rsidR="00AA7E31" w:rsidRPr="00B10916">
        <w:rPr>
          <w:iCs/>
        </w:rPr>
        <w:t xml:space="preserve">Recommendations relating to indigenous peoples were made to a number of countries, in particular with regard to harmonizing legislation with obligations under </w:t>
      </w:r>
      <w:r w:rsidR="00E75E9F" w:rsidRPr="00B10916">
        <w:rPr>
          <w:iCs/>
        </w:rPr>
        <w:t xml:space="preserve">the </w:t>
      </w:r>
      <w:r w:rsidR="00AA7E31" w:rsidRPr="00B10916">
        <w:rPr>
          <w:iCs/>
        </w:rPr>
        <w:t xml:space="preserve">ILO </w:t>
      </w:r>
      <w:r w:rsidR="00E75E9F" w:rsidRPr="00B10916">
        <w:t xml:space="preserve">Indigenous and Tribal Peoples Convention, 1989 (No. 169) </w:t>
      </w:r>
      <w:r w:rsidR="00AA7E31" w:rsidRPr="00B10916">
        <w:rPr>
          <w:iCs/>
        </w:rPr>
        <w:t>and strengthening of the legal and institutional framework for the protection and promotion of the rights of indigenous peoples.</w:t>
      </w:r>
      <w:r w:rsidR="000024B6" w:rsidRPr="00B10916">
        <w:rPr>
          <w:iCs/>
        </w:rPr>
        <w:t xml:space="preserve"> </w:t>
      </w:r>
      <w:r w:rsidR="00AA7E31" w:rsidRPr="00B10916">
        <w:rPr>
          <w:iCs/>
        </w:rPr>
        <w:t xml:space="preserve">Calls were also made, </w:t>
      </w:r>
      <w:r w:rsidR="00070902" w:rsidRPr="00B10916">
        <w:t>inter alia</w:t>
      </w:r>
      <w:r w:rsidR="00AA7E31" w:rsidRPr="00B10916">
        <w:rPr>
          <w:iCs/>
        </w:rPr>
        <w:t xml:space="preserve">, to reinforce efforts to eliminate discrimination against indigenous peoples; guarantee birth registration of all indigenous children; ensure access to education and health services </w:t>
      </w:r>
      <w:r w:rsidR="00274FD6" w:rsidRPr="00B10916">
        <w:rPr>
          <w:iCs/>
        </w:rPr>
        <w:t xml:space="preserve">and </w:t>
      </w:r>
      <w:r w:rsidR="00AA7E31" w:rsidRPr="00B10916">
        <w:rPr>
          <w:iCs/>
        </w:rPr>
        <w:t>to land and natural resources; and enhance cooperation and involvement of indigenous peoples in decision-making.</w:t>
      </w:r>
    </w:p>
    <w:p w14:paraId="5AAEF28C" w14:textId="5F1B1211" w:rsidR="00AA7E31" w:rsidRPr="00B10916" w:rsidRDefault="00B10916" w:rsidP="00B10916">
      <w:pPr>
        <w:pStyle w:val="SingleTxtG"/>
        <w:tabs>
          <w:tab w:val="left" w:pos="1701"/>
        </w:tabs>
      </w:pPr>
      <w:r w:rsidRPr="00B10916">
        <w:rPr>
          <w:bCs/>
        </w:rPr>
        <w:t>74.</w:t>
      </w:r>
      <w:r w:rsidRPr="00B10916">
        <w:rPr>
          <w:bCs/>
        </w:rPr>
        <w:tab/>
      </w:r>
      <w:r w:rsidR="00936296" w:rsidRPr="00B10916">
        <w:rPr>
          <w:iCs/>
        </w:rPr>
        <w:t>E</w:t>
      </w:r>
      <w:r w:rsidR="00AA7E31" w:rsidRPr="00B10916">
        <w:rPr>
          <w:iCs/>
        </w:rPr>
        <w:t>xamples of the above</w:t>
      </w:r>
      <w:r w:rsidR="00936296" w:rsidRPr="00B10916">
        <w:rPr>
          <w:iCs/>
        </w:rPr>
        <w:t>-mentioned</w:t>
      </w:r>
      <w:r w:rsidR="00AA7E31" w:rsidRPr="00B10916">
        <w:rPr>
          <w:iCs/>
        </w:rPr>
        <w:t xml:space="preserve"> recommendations </w:t>
      </w:r>
      <w:r w:rsidR="00936296" w:rsidRPr="00B10916">
        <w:rPr>
          <w:iCs/>
        </w:rPr>
        <w:t xml:space="preserve">included </w:t>
      </w:r>
      <w:r w:rsidR="00AA7E31" w:rsidRPr="00B10916">
        <w:rPr>
          <w:iCs/>
        </w:rPr>
        <w:t xml:space="preserve">the adoption of a law on </w:t>
      </w:r>
      <w:r w:rsidR="00936296" w:rsidRPr="00B10916">
        <w:rPr>
          <w:iCs/>
        </w:rPr>
        <w:t xml:space="preserve">the </w:t>
      </w:r>
      <w:r w:rsidR="00AA7E31" w:rsidRPr="00B10916">
        <w:rPr>
          <w:iCs/>
        </w:rPr>
        <w:t xml:space="preserve">autonomous development of indigenous peoples in Costa Rica; special attention to land rights of Pygmy peoples in the Democratic Republic of </w:t>
      </w:r>
      <w:r w:rsidR="00D72474" w:rsidRPr="00B10916">
        <w:rPr>
          <w:iCs/>
        </w:rPr>
        <w:t xml:space="preserve">the </w:t>
      </w:r>
      <w:r w:rsidR="00AA7E31" w:rsidRPr="00B10916">
        <w:rPr>
          <w:iCs/>
        </w:rPr>
        <w:t>Congo; efforts to eliminate discrimination against indigenous women and girls in Nicaragua; and strategies to combat discrimination against indigenous peoples and others in Norway</w:t>
      </w:r>
      <w:r w:rsidR="00A736D5" w:rsidRPr="00B10916">
        <w:rPr>
          <w:iCs/>
        </w:rPr>
        <w:t>.</w:t>
      </w:r>
    </w:p>
    <w:p w14:paraId="049BD82E" w14:textId="77777777" w:rsidR="00AA7E31" w:rsidRPr="00B10916" w:rsidRDefault="00AA7E31" w:rsidP="00AA7E31">
      <w:pPr>
        <w:pStyle w:val="HChG"/>
      </w:pPr>
      <w:r w:rsidRPr="00B10916">
        <w:tab/>
        <w:t>IV.</w:t>
      </w:r>
      <w:r w:rsidRPr="00B10916">
        <w:tab/>
        <w:t>Conclusions</w:t>
      </w:r>
    </w:p>
    <w:p w14:paraId="69C0FEBA" w14:textId="50C2E013" w:rsidR="00AA7E31" w:rsidRPr="00B10916" w:rsidRDefault="00B10916" w:rsidP="00B10916">
      <w:pPr>
        <w:pStyle w:val="SingleTxtG"/>
        <w:tabs>
          <w:tab w:val="left" w:pos="1701"/>
        </w:tabs>
        <w:rPr>
          <w:b/>
        </w:rPr>
      </w:pPr>
      <w:r w:rsidRPr="00B10916">
        <w:rPr>
          <w:bCs/>
        </w:rPr>
        <w:t>75.</w:t>
      </w:r>
      <w:r w:rsidRPr="00B10916">
        <w:rPr>
          <w:bCs/>
        </w:rPr>
        <w:tab/>
      </w:r>
      <w:r w:rsidR="00AA7E31" w:rsidRPr="00B10916">
        <w:rPr>
          <w:b/>
        </w:rPr>
        <w:t xml:space="preserve">The rights of indigenous peoples have remained a priority for </w:t>
      </w:r>
      <w:r w:rsidR="004C16D2" w:rsidRPr="00B10916">
        <w:rPr>
          <w:b/>
        </w:rPr>
        <w:t>the Office of the United Nations High Commissioner for Human Rights (</w:t>
      </w:r>
      <w:r w:rsidR="00AA7E31" w:rsidRPr="00B10916">
        <w:rPr>
          <w:b/>
        </w:rPr>
        <w:t>OHCHR</w:t>
      </w:r>
      <w:r w:rsidR="004C16D2" w:rsidRPr="00B10916">
        <w:rPr>
          <w:b/>
        </w:rPr>
        <w:t>),</w:t>
      </w:r>
      <w:r w:rsidR="00AA7E31" w:rsidRPr="00B10916">
        <w:rPr>
          <w:b/>
        </w:rPr>
        <w:t xml:space="preserve"> as illustrated by its actions in the country and regional contexts and its support to mechanisms of the Human Rights Council and other intergovernmental bodies, as well as international processes.</w:t>
      </w:r>
    </w:p>
    <w:p w14:paraId="2BF9113E" w14:textId="35B3E0C6" w:rsidR="00AA7E31" w:rsidRPr="00B10916" w:rsidRDefault="00B10916" w:rsidP="00B10916">
      <w:pPr>
        <w:pStyle w:val="SingleTxtG"/>
        <w:tabs>
          <w:tab w:val="left" w:pos="1701"/>
        </w:tabs>
        <w:rPr>
          <w:b/>
        </w:rPr>
      </w:pPr>
      <w:r w:rsidRPr="00B10916">
        <w:rPr>
          <w:bCs/>
        </w:rPr>
        <w:t>76.</w:t>
      </w:r>
      <w:r w:rsidRPr="00B10916">
        <w:rPr>
          <w:bCs/>
        </w:rPr>
        <w:tab/>
      </w:r>
      <w:r w:rsidR="00AA7E31" w:rsidRPr="00B10916">
        <w:rPr>
          <w:b/>
        </w:rPr>
        <w:t>The first</w:t>
      </w:r>
      <w:r w:rsidR="004C16D2" w:rsidRPr="00B10916">
        <w:rPr>
          <w:b/>
        </w:rPr>
        <w:t xml:space="preserve"> </w:t>
      </w:r>
      <w:r w:rsidR="00AA7E31" w:rsidRPr="00B10916">
        <w:rPr>
          <w:b/>
        </w:rPr>
        <w:t>ever World Conference on Indigenous Peoples</w:t>
      </w:r>
      <w:r w:rsidR="004C16D2" w:rsidRPr="00B10916">
        <w:rPr>
          <w:b/>
        </w:rPr>
        <w:t>,</w:t>
      </w:r>
      <w:r w:rsidR="00AA7E31" w:rsidRPr="00B10916">
        <w:rPr>
          <w:b/>
        </w:rPr>
        <w:t xml:space="preserve"> held in 2014, was a landmark event in the advancement of indigenous peoples’ rights. It resulted in commitments by Member States to enhance the implementation of the </w:t>
      </w:r>
      <w:r w:rsidR="00560D85" w:rsidRPr="00B10916">
        <w:rPr>
          <w:b/>
          <w:bCs/>
        </w:rPr>
        <w:t xml:space="preserve">United Nations </w:t>
      </w:r>
      <w:r w:rsidR="00AA7E31" w:rsidRPr="00B10916">
        <w:rPr>
          <w:b/>
        </w:rPr>
        <w:t xml:space="preserve">Declaration on the Rights of Indigenous Peoples through national action plans and other measures in key areas ranging from violence against indigenous women to addressing the impact of major development projects on indigenous peoples. It is essential that Member States, in partnership with indigenous peoples and with support from OHCHR and other </w:t>
      </w:r>
      <w:r w:rsidR="003446CA" w:rsidRPr="00B10916">
        <w:rPr>
          <w:b/>
          <w:bCs/>
        </w:rPr>
        <w:t xml:space="preserve">United Nations </w:t>
      </w:r>
      <w:r w:rsidR="00AA7E31" w:rsidRPr="00B10916">
        <w:rPr>
          <w:b/>
        </w:rPr>
        <w:t xml:space="preserve">partners, ensure robust follow-up to these and other commitments contained the </w:t>
      </w:r>
      <w:r w:rsidR="004C16D2" w:rsidRPr="00B10916">
        <w:rPr>
          <w:b/>
        </w:rPr>
        <w:t>o</w:t>
      </w:r>
      <w:r w:rsidR="00AA7E31" w:rsidRPr="00B10916">
        <w:rPr>
          <w:b/>
        </w:rPr>
        <w:t xml:space="preserve">utcome </w:t>
      </w:r>
      <w:r w:rsidR="004C16D2" w:rsidRPr="00B10916">
        <w:rPr>
          <w:b/>
        </w:rPr>
        <w:t>d</w:t>
      </w:r>
      <w:r w:rsidR="00AA7E31" w:rsidRPr="00B10916">
        <w:rPr>
          <w:b/>
        </w:rPr>
        <w:t>ocument.</w:t>
      </w:r>
    </w:p>
    <w:p w14:paraId="0D17520A" w14:textId="504D0489" w:rsidR="00AA7E31" w:rsidRPr="00B10916" w:rsidRDefault="00B10916" w:rsidP="00B10916">
      <w:pPr>
        <w:pStyle w:val="SingleTxtG"/>
        <w:tabs>
          <w:tab w:val="left" w:pos="1701"/>
        </w:tabs>
        <w:rPr>
          <w:b/>
        </w:rPr>
      </w:pPr>
      <w:r w:rsidRPr="00B10916">
        <w:rPr>
          <w:bCs/>
        </w:rPr>
        <w:t>77.</w:t>
      </w:r>
      <w:r w:rsidRPr="00B10916">
        <w:rPr>
          <w:bCs/>
        </w:rPr>
        <w:tab/>
      </w:r>
      <w:r w:rsidR="00AA7E31" w:rsidRPr="00B10916">
        <w:rPr>
          <w:b/>
        </w:rPr>
        <w:t>During the period under review, OHCHR further expanded its work on advancing the rights of indigenous peoples at the country level.</w:t>
      </w:r>
      <w:r w:rsidR="000024B6" w:rsidRPr="00B10916">
        <w:rPr>
          <w:b/>
        </w:rPr>
        <w:t xml:space="preserve"> </w:t>
      </w:r>
      <w:r w:rsidR="00AA7E31" w:rsidRPr="00B10916">
        <w:rPr>
          <w:b/>
        </w:rPr>
        <w:t>Various capacity</w:t>
      </w:r>
      <w:r w:rsidR="00275CE7" w:rsidRPr="00B10916">
        <w:rPr>
          <w:b/>
        </w:rPr>
        <w:t>-</w:t>
      </w:r>
      <w:r w:rsidR="00AA7E31" w:rsidRPr="00B10916">
        <w:rPr>
          <w:b/>
        </w:rPr>
        <w:t>building initiatives have revealed persistent obstacles to the exercise of the right to consultation across sectors in some country contexts.</w:t>
      </w:r>
      <w:r w:rsidR="000024B6" w:rsidRPr="00B10916">
        <w:rPr>
          <w:b/>
        </w:rPr>
        <w:t xml:space="preserve"> </w:t>
      </w:r>
      <w:r w:rsidR="00AA7E31" w:rsidRPr="00B10916">
        <w:rPr>
          <w:b/>
        </w:rPr>
        <w:t>The absence of consultation in many instances has led to unfavourable outcomes for indigenous peoples.</w:t>
      </w:r>
      <w:r w:rsidR="000024B6" w:rsidRPr="00B10916">
        <w:rPr>
          <w:b/>
        </w:rPr>
        <w:t xml:space="preserve"> </w:t>
      </w:r>
      <w:r w:rsidR="00AA7E31" w:rsidRPr="00B10916">
        <w:rPr>
          <w:b/>
        </w:rPr>
        <w:t>Even where legal frameworks contain provisions on consultation and consent</w:t>
      </w:r>
      <w:r w:rsidR="008A2556" w:rsidRPr="00B10916">
        <w:rPr>
          <w:b/>
        </w:rPr>
        <w:t>,</w:t>
      </w:r>
      <w:r w:rsidR="00AA7E31" w:rsidRPr="00B10916">
        <w:rPr>
          <w:b/>
        </w:rPr>
        <w:t xml:space="preserve"> multiple challenges hinder their implementation, contrary to </w:t>
      </w:r>
      <w:r w:rsidR="008A2556" w:rsidRPr="00B10916">
        <w:rPr>
          <w:b/>
        </w:rPr>
        <w:t xml:space="preserve">the </w:t>
      </w:r>
      <w:r w:rsidR="00AA7E31" w:rsidRPr="00B10916">
        <w:rPr>
          <w:b/>
        </w:rPr>
        <w:t>provisions of the Declaration.</w:t>
      </w:r>
    </w:p>
    <w:p w14:paraId="52B30D4B" w14:textId="07FB5733" w:rsidR="00AA7E31" w:rsidRPr="00B10916" w:rsidRDefault="00B10916" w:rsidP="00B10916">
      <w:pPr>
        <w:pStyle w:val="SingleTxtG"/>
        <w:tabs>
          <w:tab w:val="left" w:pos="1701"/>
        </w:tabs>
        <w:rPr>
          <w:b/>
        </w:rPr>
      </w:pPr>
      <w:r w:rsidRPr="00B10916">
        <w:rPr>
          <w:bCs/>
        </w:rPr>
        <w:t>78.</w:t>
      </w:r>
      <w:r w:rsidRPr="00B10916">
        <w:rPr>
          <w:bCs/>
        </w:rPr>
        <w:tab/>
      </w:r>
      <w:r w:rsidR="008A2556" w:rsidRPr="00B10916">
        <w:rPr>
          <w:b/>
        </w:rPr>
        <w:t xml:space="preserve">The </w:t>
      </w:r>
      <w:r w:rsidR="00AA7E31" w:rsidRPr="00B10916">
        <w:rPr>
          <w:b/>
        </w:rPr>
        <w:t xml:space="preserve">work </w:t>
      </w:r>
      <w:r w:rsidR="008A2556" w:rsidRPr="00B10916">
        <w:rPr>
          <w:b/>
        </w:rPr>
        <w:t xml:space="preserve">of OHCHR </w:t>
      </w:r>
      <w:r w:rsidR="00AA7E31" w:rsidRPr="00B10916">
        <w:rPr>
          <w:b/>
        </w:rPr>
        <w:t xml:space="preserve">across the globe, assessments by the Special Rapporteur on the rights of indigenous peoples, concluding observations by </w:t>
      </w:r>
      <w:r w:rsidR="003446CA" w:rsidRPr="00B10916">
        <w:rPr>
          <w:b/>
        </w:rPr>
        <w:t>the t</w:t>
      </w:r>
      <w:r w:rsidR="00AA7E31" w:rsidRPr="00B10916">
        <w:rPr>
          <w:b/>
        </w:rPr>
        <w:t xml:space="preserve">reaty </w:t>
      </w:r>
      <w:r w:rsidR="003446CA" w:rsidRPr="00B10916">
        <w:rPr>
          <w:b/>
        </w:rPr>
        <w:t>b</w:t>
      </w:r>
      <w:r w:rsidR="00AA7E31" w:rsidRPr="00B10916">
        <w:rPr>
          <w:b/>
        </w:rPr>
        <w:t xml:space="preserve">odies and recommendations of other </w:t>
      </w:r>
      <w:r w:rsidR="003446CA" w:rsidRPr="00B10916">
        <w:rPr>
          <w:b/>
          <w:bCs/>
        </w:rPr>
        <w:t xml:space="preserve">United Nations </w:t>
      </w:r>
      <w:r w:rsidR="00AA7E31" w:rsidRPr="00B10916">
        <w:rPr>
          <w:b/>
        </w:rPr>
        <w:t>mechanisms reveal recurring patterns of human rights concerns.</w:t>
      </w:r>
      <w:r w:rsidR="000024B6" w:rsidRPr="00B10916">
        <w:rPr>
          <w:b/>
        </w:rPr>
        <w:t xml:space="preserve"> </w:t>
      </w:r>
      <w:r w:rsidR="00AA7E31" w:rsidRPr="00B10916">
        <w:rPr>
          <w:b/>
        </w:rPr>
        <w:t xml:space="preserve">Problematic areas include </w:t>
      </w:r>
      <w:r w:rsidR="008A2556" w:rsidRPr="00B10916">
        <w:rPr>
          <w:b/>
        </w:rPr>
        <w:t xml:space="preserve">the </w:t>
      </w:r>
      <w:r w:rsidR="00AA7E31" w:rsidRPr="00B10916">
        <w:rPr>
          <w:b/>
        </w:rPr>
        <w:t xml:space="preserve">recognition of indigenous peoples and their self-determination with respect to autonomous governance; </w:t>
      </w:r>
      <w:r w:rsidR="008A2556" w:rsidRPr="00B10916">
        <w:rPr>
          <w:b/>
        </w:rPr>
        <w:t xml:space="preserve">the </w:t>
      </w:r>
      <w:r w:rsidR="00AA7E31" w:rsidRPr="00B10916">
        <w:rPr>
          <w:b/>
        </w:rPr>
        <w:t xml:space="preserve">rights to lands, territories and resources; </w:t>
      </w:r>
      <w:r w:rsidR="008A2556" w:rsidRPr="00B10916">
        <w:rPr>
          <w:b/>
        </w:rPr>
        <w:t xml:space="preserve">the </w:t>
      </w:r>
      <w:r w:rsidR="00AA7E31" w:rsidRPr="00B10916">
        <w:rPr>
          <w:b/>
        </w:rPr>
        <w:t xml:space="preserve">absence of mechanisms for justice and </w:t>
      </w:r>
      <w:r w:rsidR="008A2556" w:rsidRPr="00B10916">
        <w:rPr>
          <w:b/>
        </w:rPr>
        <w:t xml:space="preserve">the </w:t>
      </w:r>
      <w:r w:rsidR="00AA7E31" w:rsidRPr="00B10916">
        <w:rPr>
          <w:b/>
        </w:rPr>
        <w:t xml:space="preserve">adjudication of claims; inadequacies in legal frameworks; </w:t>
      </w:r>
      <w:r w:rsidR="008A2556" w:rsidRPr="00B10916">
        <w:rPr>
          <w:b/>
        </w:rPr>
        <w:t xml:space="preserve">the </w:t>
      </w:r>
      <w:r w:rsidR="00AA7E31" w:rsidRPr="00B10916">
        <w:rPr>
          <w:b/>
        </w:rPr>
        <w:t xml:space="preserve">absence of disaggregated data that could serve as </w:t>
      </w:r>
      <w:r w:rsidR="008A2556" w:rsidRPr="00B10916">
        <w:rPr>
          <w:b/>
        </w:rPr>
        <w:t xml:space="preserve">an </w:t>
      </w:r>
      <w:r w:rsidR="00AA7E31" w:rsidRPr="00B10916">
        <w:rPr>
          <w:b/>
        </w:rPr>
        <w:t>evidence-base for policymaking; and the exclusion of indigenous peoples from decision-making on laws and policies that affect them, particularly in the sectors of development and the environment.</w:t>
      </w:r>
    </w:p>
    <w:p w14:paraId="3A11D0E9" w14:textId="6DA25748" w:rsidR="00AA7E31" w:rsidRPr="00B10916" w:rsidRDefault="00B10916" w:rsidP="00B10916">
      <w:pPr>
        <w:pStyle w:val="SingleTxtG"/>
        <w:tabs>
          <w:tab w:val="left" w:pos="1701"/>
        </w:tabs>
        <w:rPr>
          <w:b/>
        </w:rPr>
      </w:pPr>
      <w:r w:rsidRPr="00B10916">
        <w:rPr>
          <w:bCs/>
        </w:rPr>
        <w:t>79.</w:t>
      </w:r>
      <w:r w:rsidRPr="00B10916">
        <w:rPr>
          <w:bCs/>
        </w:rPr>
        <w:tab/>
      </w:r>
      <w:r w:rsidR="00AA7E31" w:rsidRPr="00B10916">
        <w:rPr>
          <w:b/>
        </w:rPr>
        <w:t>In terms of joint programmes, the United Nations Indigenous Peoples</w:t>
      </w:r>
      <w:r w:rsidR="00E81A8F" w:rsidRPr="00B10916">
        <w:rPr>
          <w:b/>
        </w:rPr>
        <w:t>’</w:t>
      </w:r>
      <w:r w:rsidR="00AA7E31" w:rsidRPr="00B10916">
        <w:rPr>
          <w:b/>
        </w:rPr>
        <w:t xml:space="preserve"> Partnership initiative has prompted </w:t>
      </w:r>
      <w:r w:rsidR="003446CA" w:rsidRPr="00B10916">
        <w:rPr>
          <w:b/>
          <w:bCs/>
        </w:rPr>
        <w:t>United Nations</w:t>
      </w:r>
      <w:r w:rsidR="003446CA" w:rsidRPr="00B10916">
        <w:rPr>
          <w:b/>
        </w:rPr>
        <w:t xml:space="preserve"> </w:t>
      </w:r>
      <w:r w:rsidR="00AA7E31" w:rsidRPr="00B10916">
        <w:rPr>
          <w:b/>
        </w:rPr>
        <w:t xml:space="preserve">partners to come together in a strategic manner, guided by the principles set forth in the Declaration and </w:t>
      </w:r>
      <w:r w:rsidR="00E75E9F" w:rsidRPr="00B10916">
        <w:rPr>
          <w:b/>
        </w:rPr>
        <w:t xml:space="preserve">the </w:t>
      </w:r>
      <w:r w:rsidR="00AA7E31" w:rsidRPr="00B10916">
        <w:rPr>
          <w:b/>
        </w:rPr>
        <w:t xml:space="preserve">ILO </w:t>
      </w:r>
      <w:r w:rsidR="00E75E9F" w:rsidRPr="00B10916">
        <w:rPr>
          <w:b/>
        </w:rPr>
        <w:t>Indigenous and Tribal Peoples Convention, 1989 (No. 169)</w:t>
      </w:r>
      <w:r w:rsidR="00AA7E31" w:rsidRPr="00B10916">
        <w:rPr>
          <w:b/>
        </w:rPr>
        <w:t xml:space="preserve">. OHCHR has worked closely with indigenous experts and relevant </w:t>
      </w:r>
      <w:r w:rsidR="003446CA" w:rsidRPr="00B10916">
        <w:rPr>
          <w:b/>
          <w:bCs/>
        </w:rPr>
        <w:t xml:space="preserve">United Nations </w:t>
      </w:r>
      <w:r w:rsidR="00AA7E31" w:rsidRPr="00B10916">
        <w:rPr>
          <w:b/>
        </w:rPr>
        <w:t xml:space="preserve">agencies to ensure that all </w:t>
      </w:r>
      <w:r w:rsidR="00702E86" w:rsidRPr="00B10916">
        <w:rPr>
          <w:b/>
        </w:rPr>
        <w:t xml:space="preserve">Partnership </w:t>
      </w:r>
      <w:r w:rsidR="00AA7E31" w:rsidRPr="00B10916">
        <w:rPr>
          <w:b/>
        </w:rPr>
        <w:t>country programmes are designed with indigenous peoples’ participation and implemented in true partnerships between indigenous peoples and States.</w:t>
      </w:r>
    </w:p>
    <w:p w14:paraId="58884C3E" w14:textId="3EDE34F4" w:rsidR="00AA7E31" w:rsidRPr="001E1542" w:rsidRDefault="00B10916" w:rsidP="00B10916">
      <w:pPr>
        <w:pStyle w:val="SingleTxtG"/>
        <w:tabs>
          <w:tab w:val="left" w:pos="1701"/>
        </w:tabs>
        <w:rPr>
          <w:b/>
        </w:rPr>
      </w:pPr>
      <w:r w:rsidRPr="00B10916">
        <w:rPr>
          <w:bCs/>
        </w:rPr>
        <w:t>80.</w:t>
      </w:r>
      <w:r w:rsidRPr="00B10916">
        <w:rPr>
          <w:bCs/>
        </w:rPr>
        <w:tab/>
      </w:r>
      <w:r w:rsidR="00AA7E31" w:rsidRPr="00B10916">
        <w:rPr>
          <w:b/>
        </w:rPr>
        <w:t>The present report captures many achievements on the normative front at the international level and some successes at the country level. However, much remains to be done to fill the gaps in national policies and strategies and fully comply with the Declaration.</w:t>
      </w:r>
      <w:r w:rsidR="000024B6" w:rsidRPr="00B10916">
        <w:rPr>
          <w:b/>
        </w:rPr>
        <w:t xml:space="preserve"> </w:t>
      </w:r>
      <w:r w:rsidR="00AA7E31" w:rsidRPr="00B10916">
        <w:rPr>
          <w:b/>
        </w:rPr>
        <w:t xml:space="preserve">OHCHR continues to work in partnership with indigenous peoples, the </w:t>
      </w:r>
      <w:r w:rsidR="003446CA" w:rsidRPr="00B10916">
        <w:rPr>
          <w:b/>
          <w:bCs/>
        </w:rPr>
        <w:t>United Nations</w:t>
      </w:r>
      <w:r w:rsidR="003446CA" w:rsidRPr="00B10916">
        <w:rPr>
          <w:b/>
        </w:rPr>
        <w:t xml:space="preserve"> </w:t>
      </w:r>
      <w:r w:rsidR="00AA7E31" w:rsidRPr="00B10916">
        <w:rPr>
          <w:b/>
        </w:rPr>
        <w:t>system and Member States to contribute to the promotion and full application of the Declaration, as well as to the follow up on its effectiveness at the national and local levels.</w:t>
      </w:r>
    </w:p>
    <w:p w14:paraId="7FE1B8F1" w14:textId="77777777" w:rsidR="00AA7E31" w:rsidRPr="00B10916" w:rsidRDefault="00AA7E31" w:rsidP="00AA7E31">
      <w:pPr>
        <w:pStyle w:val="SingleTxtG"/>
        <w:tabs>
          <w:tab w:val="left" w:pos="1701"/>
        </w:tabs>
        <w:spacing w:before="240" w:after="0"/>
        <w:jc w:val="center"/>
        <w:rPr>
          <w:u w:val="single"/>
        </w:rPr>
      </w:pPr>
      <w:r w:rsidRPr="00B10916">
        <w:rPr>
          <w:u w:val="single"/>
        </w:rPr>
        <w:tab/>
      </w:r>
      <w:r w:rsidRPr="00B10916">
        <w:rPr>
          <w:u w:val="single"/>
        </w:rPr>
        <w:tab/>
      </w:r>
      <w:r w:rsidRPr="00B10916">
        <w:rPr>
          <w:u w:val="single"/>
        </w:rPr>
        <w:tab/>
      </w:r>
    </w:p>
    <w:sectPr w:rsidR="00AA7E31" w:rsidRPr="00B10916" w:rsidSect="00D22B3F">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E0CDB" w14:textId="77777777" w:rsidR="009549C6" w:rsidRDefault="009549C6"/>
  </w:endnote>
  <w:endnote w:type="continuationSeparator" w:id="0">
    <w:p w14:paraId="628F02F4" w14:textId="77777777" w:rsidR="009549C6" w:rsidRDefault="009549C6"/>
  </w:endnote>
  <w:endnote w:type="continuationNotice" w:id="1">
    <w:p w14:paraId="481842C4" w14:textId="77777777" w:rsidR="009549C6" w:rsidRDefault="00954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EBDA7" w14:textId="77777777" w:rsidR="009439A8" w:rsidRPr="00E81122" w:rsidRDefault="009439A8" w:rsidP="00E81122">
    <w:pPr>
      <w:pStyle w:val="Footer"/>
      <w:tabs>
        <w:tab w:val="right" w:pos="9638"/>
      </w:tabs>
    </w:pPr>
    <w:r w:rsidRPr="00E81122">
      <w:rPr>
        <w:b/>
        <w:sz w:val="18"/>
      </w:rPr>
      <w:fldChar w:fldCharType="begin"/>
    </w:r>
    <w:r w:rsidRPr="00E81122">
      <w:rPr>
        <w:b/>
        <w:sz w:val="18"/>
      </w:rPr>
      <w:instrText xml:space="preserve"> PAGE  \* MERGEFORMAT </w:instrText>
    </w:r>
    <w:r w:rsidRPr="00E81122">
      <w:rPr>
        <w:b/>
        <w:sz w:val="18"/>
      </w:rPr>
      <w:fldChar w:fldCharType="separate"/>
    </w:r>
    <w:r w:rsidR="00E0517F">
      <w:rPr>
        <w:b/>
        <w:noProof/>
        <w:sz w:val="18"/>
      </w:rPr>
      <w:t>14</w:t>
    </w:r>
    <w:r w:rsidRPr="00E81122">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6D29E" w14:textId="77777777" w:rsidR="009439A8" w:rsidRPr="00E81122" w:rsidRDefault="009439A8" w:rsidP="00E81122">
    <w:pPr>
      <w:pStyle w:val="Footer"/>
      <w:tabs>
        <w:tab w:val="right" w:pos="9638"/>
      </w:tabs>
      <w:rPr>
        <w:b/>
        <w:sz w:val="18"/>
      </w:rPr>
    </w:pPr>
    <w:r>
      <w:tab/>
    </w:r>
    <w:r w:rsidRPr="00E81122">
      <w:rPr>
        <w:b/>
        <w:sz w:val="18"/>
      </w:rPr>
      <w:fldChar w:fldCharType="begin"/>
    </w:r>
    <w:r w:rsidRPr="00E81122">
      <w:rPr>
        <w:b/>
        <w:sz w:val="18"/>
      </w:rPr>
      <w:instrText xml:space="preserve"> PAGE  \* MERGEFORMAT </w:instrText>
    </w:r>
    <w:r w:rsidRPr="00E81122">
      <w:rPr>
        <w:b/>
        <w:sz w:val="18"/>
      </w:rPr>
      <w:fldChar w:fldCharType="separate"/>
    </w:r>
    <w:r w:rsidR="00E0517F">
      <w:rPr>
        <w:b/>
        <w:noProof/>
        <w:sz w:val="18"/>
      </w:rPr>
      <w:t>15</w:t>
    </w:r>
    <w:r w:rsidRPr="00E8112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D22B3F" w14:paraId="71E091A0" w14:textId="77777777" w:rsidTr="00D22B3F">
      <w:tc>
        <w:tcPr>
          <w:tcW w:w="3614" w:type="dxa"/>
          <w:shd w:val="clear" w:color="auto" w:fill="auto"/>
        </w:tcPr>
        <w:p w14:paraId="27294B2E" w14:textId="1BEDAFF0" w:rsidR="00D22B3F" w:rsidRDefault="00D22B3F" w:rsidP="00D22B3F">
          <w:pPr>
            <w:pStyle w:val="Footer"/>
            <w:rPr>
              <w:sz w:val="20"/>
            </w:rPr>
          </w:pPr>
          <w:r>
            <w:rPr>
              <w:noProof/>
              <w:sz w:val="20"/>
              <w:lang w:eastAsia="en-GB"/>
            </w:rPr>
            <w:drawing>
              <wp:anchor distT="0" distB="0" distL="114300" distR="114300" simplePos="0" relativeHeight="251658240" behindDoc="0" locked="0" layoutInCell="1" allowOverlap="1" wp14:anchorId="19F6EA61" wp14:editId="0DFB9507">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25&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5&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GE.15-12072(E)</w:t>
          </w:r>
        </w:p>
        <w:p w14:paraId="728D28F9" w14:textId="7635DD54" w:rsidR="00D22B3F" w:rsidRPr="00D22B3F" w:rsidRDefault="00D22B3F" w:rsidP="00D22B3F">
          <w:pPr>
            <w:pStyle w:val="Footer"/>
            <w:rPr>
              <w:rFonts w:ascii="Barcode 3 of 9 by request" w:hAnsi="Barcode 3 of 9 by request"/>
              <w:sz w:val="24"/>
            </w:rPr>
          </w:pPr>
          <w:r>
            <w:rPr>
              <w:rFonts w:ascii="Barcode 3 of 9 by request" w:hAnsi="Barcode 3 of 9 by request"/>
              <w:sz w:val="24"/>
            </w:rPr>
            <w:t>*1512072*</w:t>
          </w:r>
        </w:p>
      </w:tc>
      <w:tc>
        <w:tcPr>
          <w:tcW w:w="4752" w:type="dxa"/>
          <w:shd w:val="clear" w:color="auto" w:fill="auto"/>
        </w:tcPr>
        <w:p w14:paraId="2C69CCBF" w14:textId="1CA46C01" w:rsidR="00D22B3F" w:rsidRDefault="00D22B3F" w:rsidP="00D22B3F">
          <w:pPr>
            <w:pStyle w:val="Footer"/>
            <w:spacing w:line="240" w:lineRule="atLeast"/>
            <w:jc w:val="right"/>
            <w:rPr>
              <w:sz w:val="20"/>
            </w:rPr>
          </w:pPr>
          <w:r>
            <w:rPr>
              <w:noProof/>
              <w:sz w:val="20"/>
              <w:lang w:eastAsia="en-GB"/>
            </w:rPr>
            <w:drawing>
              <wp:inline distT="0" distB="0" distL="0" distR="0" wp14:anchorId="6AD01756" wp14:editId="6F3EB37E">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33E84F86" w14:textId="77777777" w:rsidR="00D22B3F" w:rsidRPr="00D22B3F" w:rsidRDefault="00D22B3F" w:rsidP="00D22B3F">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E7958" w14:textId="77777777" w:rsidR="009549C6" w:rsidRPr="000B175B" w:rsidRDefault="009549C6" w:rsidP="000B175B">
      <w:pPr>
        <w:tabs>
          <w:tab w:val="right" w:pos="2155"/>
        </w:tabs>
        <w:spacing w:after="80"/>
        <w:ind w:left="680"/>
        <w:rPr>
          <w:u w:val="single"/>
        </w:rPr>
      </w:pPr>
      <w:r>
        <w:rPr>
          <w:u w:val="single"/>
        </w:rPr>
        <w:tab/>
      </w:r>
    </w:p>
  </w:footnote>
  <w:footnote w:type="continuationSeparator" w:id="0">
    <w:p w14:paraId="3F3AC7FF" w14:textId="77777777" w:rsidR="009549C6" w:rsidRPr="00FC68B7" w:rsidRDefault="009549C6" w:rsidP="00FC68B7">
      <w:pPr>
        <w:tabs>
          <w:tab w:val="left" w:pos="2155"/>
        </w:tabs>
        <w:spacing w:after="80"/>
        <w:ind w:left="680"/>
        <w:rPr>
          <w:u w:val="single"/>
        </w:rPr>
      </w:pPr>
      <w:r>
        <w:rPr>
          <w:u w:val="single"/>
        </w:rPr>
        <w:tab/>
      </w:r>
    </w:p>
  </w:footnote>
  <w:footnote w:type="continuationNotice" w:id="1">
    <w:p w14:paraId="12C71863" w14:textId="77777777" w:rsidR="009549C6" w:rsidRDefault="009549C6"/>
  </w:footnote>
  <w:footnote w:id="2">
    <w:p w14:paraId="45BC0295" w14:textId="27EB8A89" w:rsidR="009439A8" w:rsidRDefault="008869B3" w:rsidP="003B3BB1">
      <w:pPr>
        <w:pStyle w:val="FootnoteText"/>
      </w:pPr>
      <w:r>
        <w:tab/>
      </w:r>
      <w:r w:rsidR="009439A8">
        <w:rPr>
          <w:rStyle w:val="FootnoteReference"/>
        </w:rPr>
        <w:footnoteRef/>
      </w:r>
      <w:r>
        <w:tab/>
      </w:r>
      <w:r w:rsidR="009439A8">
        <w:t xml:space="preserve">Available from </w:t>
      </w:r>
      <w:r w:rsidR="009439A8" w:rsidRPr="003B3BB1">
        <w:t>www2.ohchr.org/english/OHCHRreport2014_2017/OMP_Web_version/media</w:t>
      </w:r>
      <w:r w:rsidR="009439A8">
        <w:br/>
      </w:r>
      <w:r w:rsidR="009439A8" w:rsidRPr="003B3BB1">
        <w:t>/pdf/0_THE_WHOLE_REPORT.pdf</w:t>
      </w:r>
    </w:p>
  </w:footnote>
  <w:footnote w:id="3">
    <w:p w14:paraId="58BBDB3B" w14:textId="1F8DFB5D" w:rsidR="009439A8" w:rsidRDefault="008869B3">
      <w:pPr>
        <w:pStyle w:val="FootnoteText"/>
      </w:pPr>
      <w:r>
        <w:tab/>
      </w:r>
      <w:r w:rsidR="009439A8">
        <w:rPr>
          <w:rStyle w:val="FootnoteReference"/>
        </w:rPr>
        <w:footnoteRef/>
      </w:r>
      <w:r>
        <w:tab/>
      </w:r>
      <w:r w:rsidR="009439A8">
        <w:t xml:space="preserve">General Assembly resolution 69/2. </w:t>
      </w:r>
    </w:p>
  </w:footnote>
  <w:footnote w:id="4">
    <w:p w14:paraId="39D63CC0" w14:textId="452E9846" w:rsidR="009439A8" w:rsidRDefault="008869B3" w:rsidP="001E1542">
      <w:pPr>
        <w:pStyle w:val="FootnoteText"/>
      </w:pPr>
      <w:r>
        <w:tab/>
      </w:r>
      <w:r w:rsidR="009439A8">
        <w:rPr>
          <w:rStyle w:val="FootnoteReference"/>
        </w:rPr>
        <w:footnoteRef/>
      </w:r>
      <w:r>
        <w:tab/>
      </w:r>
      <w:r w:rsidR="009439A8">
        <w:t xml:space="preserve">Inter-Parliamentary Union, </w:t>
      </w:r>
      <w:r w:rsidR="009439A8" w:rsidRPr="006809E5">
        <w:rPr>
          <w:i/>
          <w:lang w:val="en-GB"/>
        </w:rPr>
        <w:t xml:space="preserve">United Nations </w:t>
      </w:r>
      <w:r w:rsidR="009439A8">
        <w:rPr>
          <w:i/>
          <w:lang w:val="en-GB"/>
        </w:rPr>
        <w:t>H</w:t>
      </w:r>
      <w:r w:rsidR="009439A8" w:rsidRPr="006809E5">
        <w:rPr>
          <w:i/>
          <w:lang w:val="en-GB"/>
        </w:rPr>
        <w:t xml:space="preserve">andbook for </w:t>
      </w:r>
      <w:r w:rsidR="009439A8">
        <w:rPr>
          <w:i/>
          <w:lang w:val="en-GB"/>
        </w:rPr>
        <w:t>P</w:t>
      </w:r>
      <w:r w:rsidR="009439A8" w:rsidRPr="006809E5">
        <w:rPr>
          <w:i/>
          <w:lang w:val="en-GB"/>
        </w:rPr>
        <w:t xml:space="preserve">arliamentarians: </w:t>
      </w:r>
      <w:r w:rsidR="009439A8">
        <w:rPr>
          <w:i/>
          <w:lang w:val="en-GB"/>
        </w:rPr>
        <w:t>I</w:t>
      </w:r>
      <w:r w:rsidR="009439A8" w:rsidRPr="006809E5">
        <w:rPr>
          <w:i/>
          <w:lang w:val="en-GB"/>
        </w:rPr>
        <w:t>mplementing the United Nations Declaration on the Rights of Indigenous Peoples</w:t>
      </w:r>
      <w:r w:rsidR="009439A8" w:rsidRPr="006809E5">
        <w:rPr>
          <w:lang w:val="en-GB"/>
        </w:rPr>
        <w:t xml:space="preserve"> </w:t>
      </w:r>
      <w:r w:rsidR="009439A8">
        <w:rPr>
          <w:lang w:val="en-GB"/>
        </w:rPr>
        <w:t xml:space="preserve">(Geneva, 2014). Available from </w:t>
      </w:r>
      <w:r w:rsidR="009439A8" w:rsidRPr="00631AAF">
        <w:rPr>
          <w:lang w:val="en-GB"/>
        </w:rPr>
        <w:t>www.undp.org/content/undp/en/home/librarypage/democratic-governance/human_rights/Indigenous-Peoples-Parliamentarians-Handbook.html</w:t>
      </w:r>
      <w:r w:rsidR="009439A8">
        <w:rPr>
          <w:lang w:val="en-GB"/>
        </w:rPr>
        <w:t>.</w:t>
      </w:r>
    </w:p>
  </w:footnote>
  <w:footnote w:id="5">
    <w:p w14:paraId="6AE5752D" w14:textId="5F91E637" w:rsidR="009439A8" w:rsidRDefault="008869B3">
      <w:pPr>
        <w:pStyle w:val="FootnoteText"/>
      </w:pPr>
      <w:r>
        <w:tab/>
      </w:r>
      <w:r w:rsidR="009439A8">
        <w:rPr>
          <w:rStyle w:val="FootnoteReference"/>
        </w:rPr>
        <w:footnoteRef/>
      </w:r>
      <w:r>
        <w:tab/>
      </w:r>
      <w:r w:rsidR="009439A8" w:rsidRPr="006809E5">
        <w:rPr>
          <w:lang w:val="en-GB"/>
        </w:rPr>
        <w:t>Asia Pacific Forum of National Human Rights Institutions</w:t>
      </w:r>
      <w:r w:rsidR="009439A8">
        <w:rPr>
          <w:lang w:val="en-GB"/>
        </w:rPr>
        <w:t xml:space="preserve"> and </w:t>
      </w:r>
      <w:r w:rsidR="009439A8">
        <w:t>Office of the United Nations High Commissioner for Human Rights</w:t>
      </w:r>
      <w:r w:rsidR="009439A8">
        <w:rPr>
          <w:lang w:val="en-GB"/>
        </w:rPr>
        <w:t xml:space="preserve">, </w:t>
      </w:r>
      <w:r w:rsidR="009439A8" w:rsidRPr="006809E5">
        <w:rPr>
          <w:i/>
          <w:lang w:val="en-GB"/>
        </w:rPr>
        <w:t>The United Nations Declaration on the Rights of Indigenous Peoples: A Manual for National Human Rights Institutions</w:t>
      </w:r>
      <w:r w:rsidR="009439A8" w:rsidRPr="006809E5">
        <w:rPr>
          <w:lang w:val="en-GB"/>
        </w:rPr>
        <w:t xml:space="preserve"> </w:t>
      </w:r>
      <w:r w:rsidR="009439A8">
        <w:rPr>
          <w:lang w:val="en-GB"/>
        </w:rPr>
        <w:t xml:space="preserve">(Sydney, Australia, and Geneva, 2013). Available from </w:t>
      </w:r>
      <w:r w:rsidR="009439A8" w:rsidRPr="00631AAF">
        <w:rPr>
          <w:lang w:val="en-GB"/>
        </w:rPr>
        <w:t>http://www.ohchr.org/Documents/Issues/IPeoples/UNDRIPManualForNHRIs.pdf</w:t>
      </w:r>
      <w:r w:rsidR="009439A8">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FFEC" w14:textId="77777777" w:rsidR="009439A8" w:rsidRPr="00E81122" w:rsidRDefault="009439A8">
    <w:pPr>
      <w:pStyle w:val="Header"/>
    </w:pPr>
    <w:r>
      <w:t>A/HRC/30/25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25ACB" w14:textId="77777777" w:rsidR="009439A8" w:rsidRPr="00E81122" w:rsidRDefault="009439A8" w:rsidP="00E81122">
    <w:pPr>
      <w:pStyle w:val="Header"/>
      <w:jc w:val="right"/>
    </w:pPr>
    <w:r>
      <w:t>A/HRC/30/25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871"/>
        </w:tabs>
        <w:ind w:left="1871" w:hanging="170"/>
      </w:pPr>
      <w:rPr>
        <w:rFonts w:ascii="Times New Roman" w:hAnsi="Times New Roman" w:cs="Times New Roman" w:hint="default"/>
      </w:rPr>
    </w:lvl>
    <w:lvl w:ilvl="1" w:tplc="040C0003">
      <w:start w:val="1"/>
      <w:numFmt w:val="bullet"/>
      <w:lvlText w:val="o"/>
      <w:lvlJc w:val="left"/>
      <w:pPr>
        <w:tabs>
          <w:tab w:val="num" w:pos="1610"/>
        </w:tabs>
        <w:ind w:left="1610" w:hanging="360"/>
      </w:pPr>
      <w:rPr>
        <w:rFonts w:ascii="Courier New" w:hAnsi="Courier New" w:cs="Courier New" w:hint="default"/>
      </w:rPr>
    </w:lvl>
    <w:lvl w:ilvl="2" w:tplc="040C0005" w:tentative="1">
      <w:start w:val="1"/>
      <w:numFmt w:val="bullet"/>
      <w:lvlText w:val=""/>
      <w:lvlJc w:val="left"/>
      <w:pPr>
        <w:tabs>
          <w:tab w:val="num" w:pos="2330"/>
        </w:tabs>
        <w:ind w:left="2330" w:hanging="360"/>
      </w:pPr>
      <w:rPr>
        <w:rFonts w:ascii="Wingdings" w:hAnsi="Wingdings" w:hint="default"/>
      </w:rPr>
    </w:lvl>
    <w:lvl w:ilvl="3" w:tplc="040C0001" w:tentative="1">
      <w:start w:val="1"/>
      <w:numFmt w:val="bullet"/>
      <w:lvlText w:val=""/>
      <w:lvlJc w:val="left"/>
      <w:pPr>
        <w:tabs>
          <w:tab w:val="num" w:pos="3050"/>
        </w:tabs>
        <w:ind w:left="3050" w:hanging="360"/>
      </w:pPr>
      <w:rPr>
        <w:rFonts w:ascii="Symbol" w:hAnsi="Symbol" w:hint="default"/>
      </w:rPr>
    </w:lvl>
    <w:lvl w:ilvl="4" w:tplc="040C0003" w:tentative="1">
      <w:start w:val="1"/>
      <w:numFmt w:val="bullet"/>
      <w:lvlText w:val="o"/>
      <w:lvlJc w:val="left"/>
      <w:pPr>
        <w:tabs>
          <w:tab w:val="num" w:pos="3770"/>
        </w:tabs>
        <w:ind w:left="3770" w:hanging="360"/>
      </w:pPr>
      <w:rPr>
        <w:rFonts w:ascii="Courier New" w:hAnsi="Courier New" w:cs="Courier New" w:hint="default"/>
      </w:rPr>
    </w:lvl>
    <w:lvl w:ilvl="5" w:tplc="040C0005" w:tentative="1">
      <w:start w:val="1"/>
      <w:numFmt w:val="bullet"/>
      <w:lvlText w:val=""/>
      <w:lvlJc w:val="left"/>
      <w:pPr>
        <w:tabs>
          <w:tab w:val="num" w:pos="4490"/>
        </w:tabs>
        <w:ind w:left="4490" w:hanging="360"/>
      </w:pPr>
      <w:rPr>
        <w:rFonts w:ascii="Wingdings" w:hAnsi="Wingdings" w:hint="default"/>
      </w:rPr>
    </w:lvl>
    <w:lvl w:ilvl="6" w:tplc="040C0001" w:tentative="1">
      <w:start w:val="1"/>
      <w:numFmt w:val="bullet"/>
      <w:lvlText w:val=""/>
      <w:lvlJc w:val="left"/>
      <w:pPr>
        <w:tabs>
          <w:tab w:val="num" w:pos="5210"/>
        </w:tabs>
        <w:ind w:left="5210" w:hanging="360"/>
      </w:pPr>
      <w:rPr>
        <w:rFonts w:ascii="Symbol" w:hAnsi="Symbol" w:hint="default"/>
      </w:rPr>
    </w:lvl>
    <w:lvl w:ilvl="7" w:tplc="040C0003" w:tentative="1">
      <w:start w:val="1"/>
      <w:numFmt w:val="bullet"/>
      <w:lvlText w:val="o"/>
      <w:lvlJc w:val="left"/>
      <w:pPr>
        <w:tabs>
          <w:tab w:val="num" w:pos="5930"/>
        </w:tabs>
        <w:ind w:left="5930" w:hanging="360"/>
      </w:pPr>
      <w:rPr>
        <w:rFonts w:ascii="Courier New" w:hAnsi="Courier New" w:cs="Courier New" w:hint="default"/>
      </w:rPr>
    </w:lvl>
    <w:lvl w:ilvl="8" w:tplc="040C0005" w:tentative="1">
      <w:start w:val="1"/>
      <w:numFmt w:val="bullet"/>
      <w:lvlText w:val=""/>
      <w:lvlJc w:val="left"/>
      <w:pPr>
        <w:tabs>
          <w:tab w:val="num" w:pos="6650"/>
        </w:tabs>
        <w:ind w:left="6650" w:hanging="360"/>
      </w:pPr>
      <w:rPr>
        <w:rFonts w:ascii="Wingdings" w:hAnsi="Wingdings" w:hint="default"/>
      </w:rPr>
    </w:lvl>
  </w:abstractNum>
  <w:abstractNum w:abstractNumId="1">
    <w:nsid w:val="0417220B"/>
    <w:multiLevelType w:val="hybridMultilevel"/>
    <w:tmpl w:val="3D4ABDFE"/>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325F2CDE"/>
    <w:multiLevelType w:val="hybridMultilevel"/>
    <w:tmpl w:val="D9C2652E"/>
    <w:lvl w:ilvl="0" w:tplc="F0EE7A8C">
      <w:start w:val="1"/>
      <w:numFmt w:val="decimal"/>
      <w:lvlText w:val="%1."/>
      <w:lvlJc w:val="left"/>
      <w:pPr>
        <w:ind w:left="1215" w:hanging="8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263726A"/>
    <w:multiLevelType w:val="hybridMultilevel"/>
    <w:tmpl w:val="6A525B2E"/>
    <w:lvl w:ilvl="0" w:tplc="2E805684">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
    <w:nsid w:val="568C07DC"/>
    <w:multiLevelType w:val="hybridMultilevel"/>
    <w:tmpl w:val="60EA8B6E"/>
    <w:lvl w:ilvl="0" w:tplc="985EF044">
      <w:start w:val="1"/>
      <w:numFmt w:val="decimal"/>
      <w:lvlText w:val="%1."/>
      <w:lvlJc w:val="left"/>
      <w:pPr>
        <w:ind w:left="1689" w:hanging="555"/>
      </w:pPr>
      <w:rPr>
        <w:rFonts w:hint="default"/>
        <w:b w:val="0"/>
        <w:bCs/>
        <w:sz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956296A"/>
    <w:multiLevelType w:val="hybridMultilevel"/>
    <w:tmpl w:val="040EFF3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5"/>
  </w:num>
  <w:num w:numId="3">
    <w:abstractNumId w:val="1"/>
  </w:num>
  <w:num w:numId="4">
    <w:abstractNumId w:val="3"/>
  </w:num>
  <w:num w:numId="5">
    <w:abstractNumId w:val="2"/>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2"/>
    <w:rsid w:val="00001B76"/>
    <w:rsid w:val="000024B6"/>
    <w:rsid w:val="000027FE"/>
    <w:rsid w:val="0000373E"/>
    <w:rsid w:val="000048B0"/>
    <w:rsid w:val="00007F7F"/>
    <w:rsid w:val="000104E9"/>
    <w:rsid w:val="0001166D"/>
    <w:rsid w:val="00015ECC"/>
    <w:rsid w:val="00021BE4"/>
    <w:rsid w:val="00021F17"/>
    <w:rsid w:val="00022DB5"/>
    <w:rsid w:val="00027004"/>
    <w:rsid w:val="0002756C"/>
    <w:rsid w:val="000307D2"/>
    <w:rsid w:val="00030B1A"/>
    <w:rsid w:val="00033572"/>
    <w:rsid w:val="00034046"/>
    <w:rsid w:val="00034737"/>
    <w:rsid w:val="00037AE4"/>
    <w:rsid w:val="000402B9"/>
    <w:rsid w:val="000403D1"/>
    <w:rsid w:val="000415E0"/>
    <w:rsid w:val="00041BD4"/>
    <w:rsid w:val="000436AB"/>
    <w:rsid w:val="000445A3"/>
    <w:rsid w:val="000449AA"/>
    <w:rsid w:val="00047DC6"/>
    <w:rsid w:val="00050F6B"/>
    <w:rsid w:val="00052764"/>
    <w:rsid w:val="00052876"/>
    <w:rsid w:val="00057753"/>
    <w:rsid w:val="00063301"/>
    <w:rsid w:val="00070902"/>
    <w:rsid w:val="00072C8C"/>
    <w:rsid w:val="00073E70"/>
    <w:rsid w:val="00074FD0"/>
    <w:rsid w:val="00075703"/>
    <w:rsid w:val="0007625C"/>
    <w:rsid w:val="000862A6"/>
    <w:rsid w:val="000876EB"/>
    <w:rsid w:val="00090E9B"/>
    <w:rsid w:val="00091419"/>
    <w:rsid w:val="000931C0"/>
    <w:rsid w:val="00093837"/>
    <w:rsid w:val="000974BD"/>
    <w:rsid w:val="000A09B9"/>
    <w:rsid w:val="000A0F1E"/>
    <w:rsid w:val="000A1E75"/>
    <w:rsid w:val="000A6050"/>
    <w:rsid w:val="000B00AD"/>
    <w:rsid w:val="000B175B"/>
    <w:rsid w:val="000B23BF"/>
    <w:rsid w:val="000B2C7E"/>
    <w:rsid w:val="000B345E"/>
    <w:rsid w:val="000B3A0F"/>
    <w:rsid w:val="000B4181"/>
    <w:rsid w:val="000B4A3B"/>
    <w:rsid w:val="000B59C0"/>
    <w:rsid w:val="000C2D11"/>
    <w:rsid w:val="000C61B8"/>
    <w:rsid w:val="000C730B"/>
    <w:rsid w:val="000C7C4B"/>
    <w:rsid w:val="000D0A3B"/>
    <w:rsid w:val="000D1851"/>
    <w:rsid w:val="000D3487"/>
    <w:rsid w:val="000E0415"/>
    <w:rsid w:val="000F2403"/>
    <w:rsid w:val="000F3A39"/>
    <w:rsid w:val="000F50FB"/>
    <w:rsid w:val="001027FD"/>
    <w:rsid w:val="001142BC"/>
    <w:rsid w:val="00117677"/>
    <w:rsid w:val="00120170"/>
    <w:rsid w:val="0012156C"/>
    <w:rsid w:val="00122450"/>
    <w:rsid w:val="001225E2"/>
    <w:rsid w:val="00126DAB"/>
    <w:rsid w:val="00127BAB"/>
    <w:rsid w:val="00130D08"/>
    <w:rsid w:val="001317F6"/>
    <w:rsid w:val="0013403B"/>
    <w:rsid w:val="0013622F"/>
    <w:rsid w:val="00140065"/>
    <w:rsid w:val="00143DED"/>
    <w:rsid w:val="00146306"/>
    <w:rsid w:val="00146D32"/>
    <w:rsid w:val="001509BA"/>
    <w:rsid w:val="00162E42"/>
    <w:rsid w:val="001677AD"/>
    <w:rsid w:val="0017020F"/>
    <w:rsid w:val="00171952"/>
    <w:rsid w:val="001740CF"/>
    <w:rsid w:val="00174A97"/>
    <w:rsid w:val="001760B6"/>
    <w:rsid w:val="00183862"/>
    <w:rsid w:val="001845AE"/>
    <w:rsid w:val="00186E0B"/>
    <w:rsid w:val="0018729E"/>
    <w:rsid w:val="001921F9"/>
    <w:rsid w:val="001953DF"/>
    <w:rsid w:val="00196B33"/>
    <w:rsid w:val="001A0906"/>
    <w:rsid w:val="001A2774"/>
    <w:rsid w:val="001A6016"/>
    <w:rsid w:val="001B0910"/>
    <w:rsid w:val="001B4B04"/>
    <w:rsid w:val="001B5D01"/>
    <w:rsid w:val="001C1815"/>
    <w:rsid w:val="001C46DB"/>
    <w:rsid w:val="001C56C4"/>
    <w:rsid w:val="001C62E2"/>
    <w:rsid w:val="001C6663"/>
    <w:rsid w:val="001C6A06"/>
    <w:rsid w:val="001C7895"/>
    <w:rsid w:val="001D0063"/>
    <w:rsid w:val="001D1268"/>
    <w:rsid w:val="001D26DE"/>
    <w:rsid w:val="001D26DF"/>
    <w:rsid w:val="001D4597"/>
    <w:rsid w:val="001E01CB"/>
    <w:rsid w:val="001E1542"/>
    <w:rsid w:val="001E2790"/>
    <w:rsid w:val="001E32D6"/>
    <w:rsid w:val="001F3581"/>
    <w:rsid w:val="001F4728"/>
    <w:rsid w:val="001F7FB4"/>
    <w:rsid w:val="00203769"/>
    <w:rsid w:val="00205D60"/>
    <w:rsid w:val="00211231"/>
    <w:rsid w:val="00211E0B"/>
    <w:rsid w:val="00211E72"/>
    <w:rsid w:val="00214047"/>
    <w:rsid w:val="0022130F"/>
    <w:rsid w:val="00226539"/>
    <w:rsid w:val="00227BB8"/>
    <w:rsid w:val="00230758"/>
    <w:rsid w:val="002324C3"/>
    <w:rsid w:val="002324F2"/>
    <w:rsid w:val="00233083"/>
    <w:rsid w:val="002337DE"/>
    <w:rsid w:val="00237785"/>
    <w:rsid w:val="00237929"/>
    <w:rsid w:val="00240A05"/>
    <w:rsid w:val="002410DD"/>
    <w:rsid w:val="00241466"/>
    <w:rsid w:val="00242515"/>
    <w:rsid w:val="0024256C"/>
    <w:rsid w:val="0024338D"/>
    <w:rsid w:val="002433E7"/>
    <w:rsid w:val="002461FD"/>
    <w:rsid w:val="00251CBD"/>
    <w:rsid w:val="00253128"/>
    <w:rsid w:val="00253370"/>
    <w:rsid w:val="00253D58"/>
    <w:rsid w:val="002545E4"/>
    <w:rsid w:val="0025604D"/>
    <w:rsid w:val="002603C5"/>
    <w:rsid w:val="002611D1"/>
    <w:rsid w:val="002650B6"/>
    <w:rsid w:val="00265113"/>
    <w:rsid w:val="00266B3F"/>
    <w:rsid w:val="0027101A"/>
    <w:rsid w:val="00274FD6"/>
    <w:rsid w:val="00275208"/>
    <w:rsid w:val="00275CE7"/>
    <w:rsid w:val="0027725F"/>
    <w:rsid w:val="00283DB1"/>
    <w:rsid w:val="00284F53"/>
    <w:rsid w:val="00285C7F"/>
    <w:rsid w:val="002864F6"/>
    <w:rsid w:val="00290CE7"/>
    <w:rsid w:val="00291AB8"/>
    <w:rsid w:val="0029564B"/>
    <w:rsid w:val="0029697E"/>
    <w:rsid w:val="00297265"/>
    <w:rsid w:val="002976D4"/>
    <w:rsid w:val="002A2280"/>
    <w:rsid w:val="002A27EB"/>
    <w:rsid w:val="002A57A1"/>
    <w:rsid w:val="002B039F"/>
    <w:rsid w:val="002B0F9A"/>
    <w:rsid w:val="002B62B9"/>
    <w:rsid w:val="002C0945"/>
    <w:rsid w:val="002C21F0"/>
    <w:rsid w:val="002C3BD8"/>
    <w:rsid w:val="002C53C7"/>
    <w:rsid w:val="002C77F3"/>
    <w:rsid w:val="002D3720"/>
    <w:rsid w:val="002D3A4B"/>
    <w:rsid w:val="002D6371"/>
    <w:rsid w:val="002E100E"/>
    <w:rsid w:val="002E391D"/>
    <w:rsid w:val="002E5D10"/>
    <w:rsid w:val="002E6F51"/>
    <w:rsid w:val="002F2482"/>
    <w:rsid w:val="002F636A"/>
    <w:rsid w:val="003107FA"/>
    <w:rsid w:val="00311321"/>
    <w:rsid w:val="0031360D"/>
    <w:rsid w:val="00314DAF"/>
    <w:rsid w:val="00317977"/>
    <w:rsid w:val="0032066E"/>
    <w:rsid w:val="003229D8"/>
    <w:rsid w:val="003231A1"/>
    <w:rsid w:val="003253AA"/>
    <w:rsid w:val="00326648"/>
    <w:rsid w:val="00326FBC"/>
    <w:rsid w:val="003314D1"/>
    <w:rsid w:val="00335A2F"/>
    <w:rsid w:val="003361D2"/>
    <w:rsid w:val="00340C39"/>
    <w:rsid w:val="00340EE6"/>
    <w:rsid w:val="00341109"/>
    <w:rsid w:val="00341937"/>
    <w:rsid w:val="003446CA"/>
    <w:rsid w:val="003501F8"/>
    <w:rsid w:val="0035028D"/>
    <w:rsid w:val="00353895"/>
    <w:rsid w:val="00353B4D"/>
    <w:rsid w:val="00361270"/>
    <w:rsid w:val="003621FF"/>
    <w:rsid w:val="00362CB9"/>
    <w:rsid w:val="0037170B"/>
    <w:rsid w:val="00372B32"/>
    <w:rsid w:val="0037761E"/>
    <w:rsid w:val="0039277A"/>
    <w:rsid w:val="00393793"/>
    <w:rsid w:val="00394529"/>
    <w:rsid w:val="003972E0"/>
    <w:rsid w:val="003975ED"/>
    <w:rsid w:val="003A1602"/>
    <w:rsid w:val="003A6071"/>
    <w:rsid w:val="003B1980"/>
    <w:rsid w:val="003B1C69"/>
    <w:rsid w:val="003B3BB1"/>
    <w:rsid w:val="003B504E"/>
    <w:rsid w:val="003C2CC4"/>
    <w:rsid w:val="003C3FF1"/>
    <w:rsid w:val="003C7701"/>
    <w:rsid w:val="003D09D5"/>
    <w:rsid w:val="003D288C"/>
    <w:rsid w:val="003D28C9"/>
    <w:rsid w:val="003D375F"/>
    <w:rsid w:val="003D4B23"/>
    <w:rsid w:val="003D5F21"/>
    <w:rsid w:val="003E5526"/>
    <w:rsid w:val="003E587A"/>
    <w:rsid w:val="003F697F"/>
    <w:rsid w:val="003F738C"/>
    <w:rsid w:val="004025CE"/>
    <w:rsid w:val="004041C5"/>
    <w:rsid w:val="004056E4"/>
    <w:rsid w:val="004062AF"/>
    <w:rsid w:val="00410935"/>
    <w:rsid w:val="00412778"/>
    <w:rsid w:val="00417B6D"/>
    <w:rsid w:val="00422DED"/>
    <w:rsid w:val="00424489"/>
    <w:rsid w:val="00424A42"/>
    <w:rsid w:val="00424C80"/>
    <w:rsid w:val="0042610E"/>
    <w:rsid w:val="00427A1A"/>
    <w:rsid w:val="004301CA"/>
    <w:rsid w:val="00430701"/>
    <w:rsid w:val="00430EF4"/>
    <w:rsid w:val="00431B14"/>
    <w:rsid w:val="004325CB"/>
    <w:rsid w:val="0043299B"/>
    <w:rsid w:val="00432FB8"/>
    <w:rsid w:val="00435D09"/>
    <w:rsid w:val="004406BA"/>
    <w:rsid w:val="00440B94"/>
    <w:rsid w:val="00442770"/>
    <w:rsid w:val="00443A69"/>
    <w:rsid w:val="0044503A"/>
    <w:rsid w:val="00445909"/>
    <w:rsid w:val="00446DE4"/>
    <w:rsid w:val="004476AD"/>
    <w:rsid w:val="00447761"/>
    <w:rsid w:val="00451494"/>
    <w:rsid w:val="00451EC3"/>
    <w:rsid w:val="00463084"/>
    <w:rsid w:val="00464213"/>
    <w:rsid w:val="00467147"/>
    <w:rsid w:val="004713E5"/>
    <w:rsid w:val="004721B1"/>
    <w:rsid w:val="004806AC"/>
    <w:rsid w:val="00483F9E"/>
    <w:rsid w:val="004859EC"/>
    <w:rsid w:val="00491A7E"/>
    <w:rsid w:val="0049248E"/>
    <w:rsid w:val="0049322D"/>
    <w:rsid w:val="0049573B"/>
    <w:rsid w:val="00496A15"/>
    <w:rsid w:val="004A03DA"/>
    <w:rsid w:val="004A35F0"/>
    <w:rsid w:val="004A4817"/>
    <w:rsid w:val="004A75AA"/>
    <w:rsid w:val="004B01AF"/>
    <w:rsid w:val="004B048E"/>
    <w:rsid w:val="004B3B33"/>
    <w:rsid w:val="004B59B2"/>
    <w:rsid w:val="004B75D2"/>
    <w:rsid w:val="004C16D2"/>
    <w:rsid w:val="004C3141"/>
    <w:rsid w:val="004C7E91"/>
    <w:rsid w:val="004D1140"/>
    <w:rsid w:val="004D6D37"/>
    <w:rsid w:val="004E3A35"/>
    <w:rsid w:val="004E5704"/>
    <w:rsid w:val="004E5A39"/>
    <w:rsid w:val="004E6CFF"/>
    <w:rsid w:val="004F002B"/>
    <w:rsid w:val="004F0DD7"/>
    <w:rsid w:val="004F1866"/>
    <w:rsid w:val="004F55ED"/>
    <w:rsid w:val="0050696A"/>
    <w:rsid w:val="00506B6D"/>
    <w:rsid w:val="005070D0"/>
    <w:rsid w:val="005116BA"/>
    <w:rsid w:val="00513D25"/>
    <w:rsid w:val="00514595"/>
    <w:rsid w:val="00514BCC"/>
    <w:rsid w:val="00515E7F"/>
    <w:rsid w:val="0052176C"/>
    <w:rsid w:val="005261E5"/>
    <w:rsid w:val="00536925"/>
    <w:rsid w:val="0054098C"/>
    <w:rsid w:val="00541A02"/>
    <w:rsid w:val="005420F2"/>
    <w:rsid w:val="00542574"/>
    <w:rsid w:val="00542D24"/>
    <w:rsid w:val="005436AB"/>
    <w:rsid w:val="00546DBF"/>
    <w:rsid w:val="00553551"/>
    <w:rsid w:val="00553D76"/>
    <w:rsid w:val="0055412B"/>
    <w:rsid w:val="005552B5"/>
    <w:rsid w:val="00557F14"/>
    <w:rsid w:val="00560BAA"/>
    <w:rsid w:val="00560D85"/>
    <w:rsid w:val="0056117B"/>
    <w:rsid w:val="0056338C"/>
    <w:rsid w:val="005641AB"/>
    <w:rsid w:val="00571365"/>
    <w:rsid w:val="00572F48"/>
    <w:rsid w:val="00573C37"/>
    <w:rsid w:val="00580807"/>
    <w:rsid w:val="00591482"/>
    <w:rsid w:val="0059238E"/>
    <w:rsid w:val="0059398D"/>
    <w:rsid w:val="005945DD"/>
    <w:rsid w:val="00594997"/>
    <w:rsid w:val="00595375"/>
    <w:rsid w:val="005961A3"/>
    <w:rsid w:val="00597C0A"/>
    <w:rsid w:val="005A20F3"/>
    <w:rsid w:val="005A2890"/>
    <w:rsid w:val="005A2A09"/>
    <w:rsid w:val="005A4E3A"/>
    <w:rsid w:val="005A5711"/>
    <w:rsid w:val="005A5A67"/>
    <w:rsid w:val="005B3DB3"/>
    <w:rsid w:val="005B4D14"/>
    <w:rsid w:val="005B6E48"/>
    <w:rsid w:val="005C59C8"/>
    <w:rsid w:val="005C676A"/>
    <w:rsid w:val="005D4AD4"/>
    <w:rsid w:val="005E1712"/>
    <w:rsid w:val="005E1810"/>
    <w:rsid w:val="005E2BD9"/>
    <w:rsid w:val="005E2E60"/>
    <w:rsid w:val="005E340C"/>
    <w:rsid w:val="005E4E55"/>
    <w:rsid w:val="005E66E6"/>
    <w:rsid w:val="005E76AA"/>
    <w:rsid w:val="005F4237"/>
    <w:rsid w:val="005F481E"/>
    <w:rsid w:val="005F5058"/>
    <w:rsid w:val="006103DF"/>
    <w:rsid w:val="0061138B"/>
    <w:rsid w:val="00611FC4"/>
    <w:rsid w:val="00616E76"/>
    <w:rsid w:val="006176FB"/>
    <w:rsid w:val="006232FC"/>
    <w:rsid w:val="006238E9"/>
    <w:rsid w:val="00625F45"/>
    <w:rsid w:val="00626B39"/>
    <w:rsid w:val="00630013"/>
    <w:rsid w:val="0063004A"/>
    <w:rsid w:val="0063087A"/>
    <w:rsid w:val="00630AE5"/>
    <w:rsid w:val="00631A2A"/>
    <w:rsid w:val="00631AAE"/>
    <w:rsid w:val="00631AAF"/>
    <w:rsid w:val="00633660"/>
    <w:rsid w:val="00634D3B"/>
    <w:rsid w:val="00637A16"/>
    <w:rsid w:val="00640B26"/>
    <w:rsid w:val="00642008"/>
    <w:rsid w:val="006445AC"/>
    <w:rsid w:val="00646219"/>
    <w:rsid w:val="006463F1"/>
    <w:rsid w:val="00647E36"/>
    <w:rsid w:val="00654DC6"/>
    <w:rsid w:val="0065638A"/>
    <w:rsid w:val="006644D2"/>
    <w:rsid w:val="00665557"/>
    <w:rsid w:val="00666E37"/>
    <w:rsid w:val="00670741"/>
    <w:rsid w:val="00673C13"/>
    <w:rsid w:val="006748A7"/>
    <w:rsid w:val="00684457"/>
    <w:rsid w:val="006877E8"/>
    <w:rsid w:val="00692393"/>
    <w:rsid w:val="006943C2"/>
    <w:rsid w:val="00696BD6"/>
    <w:rsid w:val="006A0C10"/>
    <w:rsid w:val="006A6B9D"/>
    <w:rsid w:val="006A7392"/>
    <w:rsid w:val="006B3189"/>
    <w:rsid w:val="006B323E"/>
    <w:rsid w:val="006B46E4"/>
    <w:rsid w:val="006B727A"/>
    <w:rsid w:val="006B7D65"/>
    <w:rsid w:val="006C04DC"/>
    <w:rsid w:val="006C5E68"/>
    <w:rsid w:val="006C724B"/>
    <w:rsid w:val="006D447A"/>
    <w:rsid w:val="006D6DA6"/>
    <w:rsid w:val="006E250C"/>
    <w:rsid w:val="006E4B42"/>
    <w:rsid w:val="006E564B"/>
    <w:rsid w:val="006E5D3E"/>
    <w:rsid w:val="006E62A8"/>
    <w:rsid w:val="006E7C2C"/>
    <w:rsid w:val="006F015D"/>
    <w:rsid w:val="006F083F"/>
    <w:rsid w:val="006F13F0"/>
    <w:rsid w:val="006F1D62"/>
    <w:rsid w:val="006F26D9"/>
    <w:rsid w:val="006F5035"/>
    <w:rsid w:val="006F6352"/>
    <w:rsid w:val="006F6A8F"/>
    <w:rsid w:val="00701AE3"/>
    <w:rsid w:val="00702E86"/>
    <w:rsid w:val="00703B4E"/>
    <w:rsid w:val="00705149"/>
    <w:rsid w:val="00705824"/>
    <w:rsid w:val="007065EB"/>
    <w:rsid w:val="007079A1"/>
    <w:rsid w:val="00712431"/>
    <w:rsid w:val="0072013E"/>
    <w:rsid w:val="00720183"/>
    <w:rsid w:val="00723A6A"/>
    <w:rsid w:val="00723D67"/>
    <w:rsid w:val="00723D6F"/>
    <w:rsid w:val="0072632A"/>
    <w:rsid w:val="00726ABA"/>
    <w:rsid w:val="00730265"/>
    <w:rsid w:val="0073166A"/>
    <w:rsid w:val="00732C09"/>
    <w:rsid w:val="00732ED3"/>
    <w:rsid w:val="00732FAF"/>
    <w:rsid w:val="00735CCA"/>
    <w:rsid w:val="00737EA8"/>
    <w:rsid w:val="0074200B"/>
    <w:rsid w:val="00745D64"/>
    <w:rsid w:val="00750483"/>
    <w:rsid w:val="00750D9E"/>
    <w:rsid w:val="00756B3D"/>
    <w:rsid w:val="00762722"/>
    <w:rsid w:val="00764EC1"/>
    <w:rsid w:val="00771B94"/>
    <w:rsid w:val="0077592E"/>
    <w:rsid w:val="00786878"/>
    <w:rsid w:val="00787C13"/>
    <w:rsid w:val="00791608"/>
    <w:rsid w:val="007952EB"/>
    <w:rsid w:val="007956BE"/>
    <w:rsid w:val="007A1BFF"/>
    <w:rsid w:val="007A5C53"/>
    <w:rsid w:val="007A6296"/>
    <w:rsid w:val="007A6E01"/>
    <w:rsid w:val="007A713A"/>
    <w:rsid w:val="007A74C1"/>
    <w:rsid w:val="007A7A7A"/>
    <w:rsid w:val="007B1FAC"/>
    <w:rsid w:val="007B37AE"/>
    <w:rsid w:val="007B37C6"/>
    <w:rsid w:val="007B5A9B"/>
    <w:rsid w:val="007B6489"/>
    <w:rsid w:val="007B6BA5"/>
    <w:rsid w:val="007C0C6D"/>
    <w:rsid w:val="007C1B62"/>
    <w:rsid w:val="007C2365"/>
    <w:rsid w:val="007C3390"/>
    <w:rsid w:val="007C40C9"/>
    <w:rsid w:val="007C4F4B"/>
    <w:rsid w:val="007C553A"/>
    <w:rsid w:val="007D2CDC"/>
    <w:rsid w:val="007D5327"/>
    <w:rsid w:val="007D5B19"/>
    <w:rsid w:val="007D7A0A"/>
    <w:rsid w:val="007E29F6"/>
    <w:rsid w:val="007E54EF"/>
    <w:rsid w:val="007E5CB7"/>
    <w:rsid w:val="007E6338"/>
    <w:rsid w:val="007F00F8"/>
    <w:rsid w:val="007F2A3D"/>
    <w:rsid w:val="007F4C6E"/>
    <w:rsid w:val="007F567F"/>
    <w:rsid w:val="007F5B08"/>
    <w:rsid w:val="007F6611"/>
    <w:rsid w:val="007F6779"/>
    <w:rsid w:val="007F719B"/>
    <w:rsid w:val="0080110F"/>
    <w:rsid w:val="00802CAD"/>
    <w:rsid w:val="00805E9C"/>
    <w:rsid w:val="0080650A"/>
    <w:rsid w:val="0081406C"/>
    <w:rsid w:val="008147BA"/>
    <w:rsid w:val="008155C3"/>
    <w:rsid w:val="008161C2"/>
    <w:rsid w:val="00816D64"/>
    <w:rsid w:val="008175E9"/>
    <w:rsid w:val="0082243E"/>
    <w:rsid w:val="00823962"/>
    <w:rsid w:val="008242D7"/>
    <w:rsid w:val="0082638F"/>
    <w:rsid w:val="00826585"/>
    <w:rsid w:val="0083246E"/>
    <w:rsid w:val="00837836"/>
    <w:rsid w:val="008401F2"/>
    <w:rsid w:val="00843C22"/>
    <w:rsid w:val="0084476F"/>
    <w:rsid w:val="00845222"/>
    <w:rsid w:val="00845367"/>
    <w:rsid w:val="008457FA"/>
    <w:rsid w:val="00846B8F"/>
    <w:rsid w:val="00850F29"/>
    <w:rsid w:val="008533C5"/>
    <w:rsid w:val="00853951"/>
    <w:rsid w:val="00856CD2"/>
    <w:rsid w:val="0085770C"/>
    <w:rsid w:val="00861BC6"/>
    <w:rsid w:val="00862F24"/>
    <w:rsid w:val="008642A3"/>
    <w:rsid w:val="008648BE"/>
    <w:rsid w:val="008675B6"/>
    <w:rsid w:val="00871FD5"/>
    <w:rsid w:val="008734F2"/>
    <w:rsid w:val="008743D2"/>
    <w:rsid w:val="00875C2D"/>
    <w:rsid w:val="00875FDC"/>
    <w:rsid w:val="00876713"/>
    <w:rsid w:val="00876E5F"/>
    <w:rsid w:val="0088364C"/>
    <w:rsid w:val="008869B3"/>
    <w:rsid w:val="00887B2F"/>
    <w:rsid w:val="0089178C"/>
    <w:rsid w:val="00892058"/>
    <w:rsid w:val="008928EE"/>
    <w:rsid w:val="00893326"/>
    <w:rsid w:val="008979B1"/>
    <w:rsid w:val="008A2556"/>
    <w:rsid w:val="008A2DE9"/>
    <w:rsid w:val="008A6B25"/>
    <w:rsid w:val="008A6C4F"/>
    <w:rsid w:val="008B283F"/>
    <w:rsid w:val="008C087E"/>
    <w:rsid w:val="008C1E4D"/>
    <w:rsid w:val="008D1569"/>
    <w:rsid w:val="008E0E46"/>
    <w:rsid w:val="008E2DCD"/>
    <w:rsid w:val="008E3C68"/>
    <w:rsid w:val="008E4120"/>
    <w:rsid w:val="008F0E47"/>
    <w:rsid w:val="008F290A"/>
    <w:rsid w:val="008F3A1B"/>
    <w:rsid w:val="008F7924"/>
    <w:rsid w:val="00902A68"/>
    <w:rsid w:val="0090452C"/>
    <w:rsid w:val="00904B5A"/>
    <w:rsid w:val="00904D0C"/>
    <w:rsid w:val="0090545F"/>
    <w:rsid w:val="009069E9"/>
    <w:rsid w:val="009071C0"/>
    <w:rsid w:val="00907C3F"/>
    <w:rsid w:val="009105BC"/>
    <w:rsid w:val="00912BD1"/>
    <w:rsid w:val="009142E3"/>
    <w:rsid w:val="009166B7"/>
    <w:rsid w:val="00917650"/>
    <w:rsid w:val="0092237C"/>
    <w:rsid w:val="0092367C"/>
    <w:rsid w:val="00923F7F"/>
    <w:rsid w:val="009267BB"/>
    <w:rsid w:val="0093098B"/>
    <w:rsid w:val="009311EF"/>
    <w:rsid w:val="00936296"/>
    <w:rsid w:val="0093707B"/>
    <w:rsid w:val="009400EB"/>
    <w:rsid w:val="00941147"/>
    <w:rsid w:val="009415BC"/>
    <w:rsid w:val="009417DB"/>
    <w:rsid w:val="009427E3"/>
    <w:rsid w:val="0094345F"/>
    <w:rsid w:val="009439A8"/>
    <w:rsid w:val="00944755"/>
    <w:rsid w:val="00945DC7"/>
    <w:rsid w:val="00946FC2"/>
    <w:rsid w:val="009525BF"/>
    <w:rsid w:val="00952BE6"/>
    <w:rsid w:val="009549C6"/>
    <w:rsid w:val="00956CEC"/>
    <w:rsid w:val="00956D9B"/>
    <w:rsid w:val="0095744C"/>
    <w:rsid w:val="00957641"/>
    <w:rsid w:val="00963CBA"/>
    <w:rsid w:val="009654B7"/>
    <w:rsid w:val="00970638"/>
    <w:rsid w:val="009715A7"/>
    <w:rsid w:val="009716D2"/>
    <w:rsid w:val="00972169"/>
    <w:rsid w:val="009813E0"/>
    <w:rsid w:val="009849F0"/>
    <w:rsid w:val="009851FD"/>
    <w:rsid w:val="00987FCF"/>
    <w:rsid w:val="00991261"/>
    <w:rsid w:val="0099157A"/>
    <w:rsid w:val="009939D8"/>
    <w:rsid w:val="00993CF1"/>
    <w:rsid w:val="00994160"/>
    <w:rsid w:val="009944E2"/>
    <w:rsid w:val="00994CEF"/>
    <w:rsid w:val="00996E49"/>
    <w:rsid w:val="00997C60"/>
    <w:rsid w:val="009A0B83"/>
    <w:rsid w:val="009A1A95"/>
    <w:rsid w:val="009A4AA3"/>
    <w:rsid w:val="009A7191"/>
    <w:rsid w:val="009A7A9A"/>
    <w:rsid w:val="009A7B23"/>
    <w:rsid w:val="009B0768"/>
    <w:rsid w:val="009B358B"/>
    <w:rsid w:val="009B3800"/>
    <w:rsid w:val="009B449C"/>
    <w:rsid w:val="009B4520"/>
    <w:rsid w:val="009B78A0"/>
    <w:rsid w:val="009C293F"/>
    <w:rsid w:val="009C3790"/>
    <w:rsid w:val="009C6366"/>
    <w:rsid w:val="009D22AC"/>
    <w:rsid w:val="009D50DB"/>
    <w:rsid w:val="009D63B8"/>
    <w:rsid w:val="009E1C4E"/>
    <w:rsid w:val="009E260B"/>
    <w:rsid w:val="009E2C90"/>
    <w:rsid w:val="009E41CB"/>
    <w:rsid w:val="009E5FD7"/>
    <w:rsid w:val="009E6593"/>
    <w:rsid w:val="009F0449"/>
    <w:rsid w:val="009F2886"/>
    <w:rsid w:val="009F5A5D"/>
    <w:rsid w:val="009F601F"/>
    <w:rsid w:val="00A05E0B"/>
    <w:rsid w:val="00A10603"/>
    <w:rsid w:val="00A12773"/>
    <w:rsid w:val="00A1427D"/>
    <w:rsid w:val="00A14B13"/>
    <w:rsid w:val="00A16FF8"/>
    <w:rsid w:val="00A23137"/>
    <w:rsid w:val="00A25000"/>
    <w:rsid w:val="00A27DD2"/>
    <w:rsid w:val="00A3026E"/>
    <w:rsid w:val="00A361FC"/>
    <w:rsid w:val="00A36AF3"/>
    <w:rsid w:val="00A4634F"/>
    <w:rsid w:val="00A51189"/>
    <w:rsid w:val="00A51CF3"/>
    <w:rsid w:val="00A56EF2"/>
    <w:rsid w:val="00A61483"/>
    <w:rsid w:val="00A62B42"/>
    <w:rsid w:val="00A649FF"/>
    <w:rsid w:val="00A64C39"/>
    <w:rsid w:val="00A65B10"/>
    <w:rsid w:val="00A6752A"/>
    <w:rsid w:val="00A72F22"/>
    <w:rsid w:val="00A736D5"/>
    <w:rsid w:val="00A748A6"/>
    <w:rsid w:val="00A76AEA"/>
    <w:rsid w:val="00A8196F"/>
    <w:rsid w:val="00A82A8F"/>
    <w:rsid w:val="00A86D0D"/>
    <w:rsid w:val="00A879A4"/>
    <w:rsid w:val="00A87E95"/>
    <w:rsid w:val="00A92E29"/>
    <w:rsid w:val="00A95788"/>
    <w:rsid w:val="00AA36E2"/>
    <w:rsid w:val="00AA3FD2"/>
    <w:rsid w:val="00AA48C7"/>
    <w:rsid w:val="00AA5595"/>
    <w:rsid w:val="00AA7E31"/>
    <w:rsid w:val="00AB609B"/>
    <w:rsid w:val="00AB71F5"/>
    <w:rsid w:val="00AC2A37"/>
    <w:rsid w:val="00AC3A65"/>
    <w:rsid w:val="00AC55D1"/>
    <w:rsid w:val="00AC63BA"/>
    <w:rsid w:val="00AC6CB5"/>
    <w:rsid w:val="00AD0175"/>
    <w:rsid w:val="00AD09E9"/>
    <w:rsid w:val="00AD3464"/>
    <w:rsid w:val="00AD4A7A"/>
    <w:rsid w:val="00AE17B2"/>
    <w:rsid w:val="00AE50DB"/>
    <w:rsid w:val="00AE6C28"/>
    <w:rsid w:val="00AE78F5"/>
    <w:rsid w:val="00AE7BCE"/>
    <w:rsid w:val="00AF0576"/>
    <w:rsid w:val="00AF3829"/>
    <w:rsid w:val="00AF3CF1"/>
    <w:rsid w:val="00AF4C34"/>
    <w:rsid w:val="00AF53DE"/>
    <w:rsid w:val="00B037F0"/>
    <w:rsid w:val="00B07FDF"/>
    <w:rsid w:val="00B10916"/>
    <w:rsid w:val="00B10DF7"/>
    <w:rsid w:val="00B11F40"/>
    <w:rsid w:val="00B23236"/>
    <w:rsid w:val="00B2327D"/>
    <w:rsid w:val="00B23F0E"/>
    <w:rsid w:val="00B2718F"/>
    <w:rsid w:val="00B27970"/>
    <w:rsid w:val="00B30179"/>
    <w:rsid w:val="00B31E5E"/>
    <w:rsid w:val="00B3317B"/>
    <w:rsid w:val="00B334DC"/>
    <w:rsid w:val="00B35DB8"/>
    <w:rsid w:val="00B3631A"/>
    <w:rsid w:val="00B43131"/>
    <w:rsid w:val="00B439D6"/>
    <w:rsid w:val="00B50539"/>
    <w:rsid w:val="00B51454"/>
    <w:rsid w:val="00B52854"/>
    <w:rsid w:val="00B53013"/>
    <w:rsid w:val="00B54088"/>
    <w:rsid w:val="00B55058"/>
    <w:rsid w:val="00B56971"/>
    <w:rsid w:val="00B61283"/>
    <w:rsid w:val="00B61B6E"/>
    <w:rsid w:val="00B642D2"/>
    <w:rsid w:val="00B650FF"/>
    <w:rsid w:val="00B67F5E"/>
    <w:rsid w:val="00B70376"/>
    <w:rsid w:val="00B71126"/>
    <w:rsid w:val="00B7194B"/>
    <w:rsid w:val="00B73E65"/>
    <w:rsid w:val="00B77F2A"/>
    <w:rsid w:val="00B81C52"/>
    <w:rsid w:val="00B81E12"/>
    <w:rsid w:val="00B82A94"/>
    <w:rsid w:val="00B8313C"/>
    <w:rsid w:val="00B87110"/>
    <w:rsid w:val="00B912E8"/>
    <w:rsid w:val="00B965E5"/>
    <w:rsid w:val="00B96994"/>
    <w:rsid w:val="00B9795B"/>
    <w:rsid w:val="00B97FA8"/>
    <w:rsid w:val="00BA033D"/>
    <w:rsid w:val="00BA3B22"/>
    <w:rsid w:val="00BA59E9"/>
    <w:rsid w:val="00BA7AE3"/>
    <w:rsid w:val="00BB1740"/>
    <w:rsid w:val="00BB2576"/>
    <w:rsid w:val="00BB35DD"/>
    <w:rsid w:val="00BC1385"/>
    <w:rsid w:val="00BC74E9"/>
    <w:rsid w:val="00BD5776"/>
    <w:rsid w:val="00BD6C3B"/>
    <w:rsid w:val="00BD7A29"/>
    <w:rsid w:val="00BE1010"/>
    <w:rsid w:val="00BE164E"/>
    <w:rsid w:val="00BE1E39"/>
    <w:rsid w:val="00BE52D9"/>
    <w:rsid w:val="00BE584E"/>
    <w:rsid w:val="00BE615B"/>
    <w:rsid w:val="00BE618E"/>
    <w:rsid w:val="00BE789F"/>
    <w:rsid w:val="00BF2153"/>
    <w:rsid w:val="00BF46CD"/>
    <w:rsid w:val="00BF7D65"/>
    <w:rsid w:val="00C04557"/>
    <w:rsid w:val="00C04FAC"/>
    <w:rsid w:val="00C06EA2"/>
    <w:rsid w:val="00C07CC4"/>
    <w:rsid w:val="00C108D2"/>
    <w:rsid w:val="00C12B8B"/>
    <w:rsid w:val="00C15162"/>
    <w:rsid w:val="00C1782D"/>
    <w:rsid w:val="00C23D56"/>
    <w:rsid w:val="00C24692"/>
    <w:rsid w:val="00C24693"/>
    <w:rsid w:val="00C32BC7"/>
    <w:rsid w:val="00C332EE"/>
    <w:rsid w:val="00C354BA"/>
    <w:rsid w:val="00C359BD"/>
    <w:rsid w:val="00C35F0B"/>
    <w:rsid w:val="00C36C22"/>
    <w:rsid w:val="00C463DD"/>
    <w:rsid w:val="00C46604"/>
    <w:rsid w:val="00C50D54"/>
    <w:rsid w:val="00C51162"/>
    <w:rsid w:val="00C612D8"/>
    <w:rsid w:val="00C619D2"/>
    <w:rsid w:val="00C62048"/>
    <w:rsid w:val="00C624B3"/>
    <w:rsid w:val="00C626FD"/>
    <w:rsid w:val="00C62AC3"/>
    <w:rsid w:val="00C636E2"/>
    <w:rsid w:val="00C64458"/>
    <w:rsid w:val="00C71822"/>
    <w:rsid w:val="00C73066"/>
    <w:rsid w:val="00C745C3"/>
    <w:rsid w:val="00C76176"/>
    <w:rsid w:val="00C8087F"/>
    <w:rsid w:val="00C82E76"/>
    <w:rsid w:val="00C87C5D"/>
    <w:rsid w:val="00C911B0"/>
    <w:rsid w:val="00C92F43"/>
    <w:rsid w:val="00C93428"/>
    <w:rsid w:val="00C96074"/>
    <w:rsid w:val="00CA0B73"/>
    <w:rsid w:val="00CA1440"/>
    <w:rsid w:val="00CA2A58"/>
    <w:rsid w:val="00CA6704"/>
    <w:rsid w:val="00CA7968"/>
    <w:rsid w:val="00CB1EAE"/>
    <w:rsid w:val="00CB2A8B"/>
    <w:rsid w:val="00CB3CDD"/>
    <w:rsid w:val="00CB4DEC"/>
    <w:rsid w:val="00CB63CE"/>
    <w:rsid w:val="00CB641C"/>
    <w:rsid w:val="00CC0946"/>
    <w:rsid w:val="00CC0B55"/>
    <w:rsid w:val="00CC3248"/>
    <w:rsid w:val="00CC3C55"/>
    <w:rsid w:val="00CC4C0C"/>
    <w:rsid w:val="00CC7CAE"/>
    <w:rsid w:val="00CD0C5E"/>
    <w:rsid w:val="00CD15B0"/>
    <w:rsid w:val="00CD1AE1"/>
    <w:rsid w:val="00CD467B"/>
    <w:rsid w:val="00CD5938"/>
    <w:rsid w:val="00CD6995"/>
    <w:rsid w:val="00CE4A8F"/>
    <w:rsid w:val="00CF0214"/>
    <w:rsid w:val="00CF586F"/>
    <w:rsid w:val="00CF6052"/>
    <w:rsid w:val="00CF6D86"/>
    <w:rsid w:val="00CF70F4"/>
    <w:rsid w:val="00CF7D43"/>
    <w:rsid w:val="00D017D5"/>
    <w:rsid w:val="00D046D8"/>
    <w:rsid w:val="00D0544D"/>
    <w:rsid w:val="00D11129"/>
    <w:rsid w:val="00D11DD4"/>
    <w:rsid w:val="00D12DD3"/>
    <w:rsid w:val="00D13311"/>
    <w:rsid w:val="00D15517"/>
    <w:rsid w:val="00D2031B"/>
    <w:rsid w:val="00D22332"/>
    <w:rsid w:val="00D226FD"/>
    <w:rsid w:val="00D22B3F"/>
    <w:rsid w:val="00D25FE2"/>
    <w:rsid w:val="00D26261"/>
    <w:rsid w:val="00D30ABD"/>
    <w:rsid w:val="00D3449F"/>
    <w:rsid w:val="00D40C5B"/>
    <w:rsid w:val="00D41D81"/>
    <w:rsid w:val="00D43252"/>
    <w:rsid w:val="00D45803"/>
    <w:rsid w:val="00D4592B"/>
    <w:rsid w:val="00D5314C"/>
    <w:rsid w:val="00D550F9"/>
    <w:rsid w:val="00D56653"/>
    <w:rsid w:val="00D568B3"/>
    <w:rsid w:val="00D572B0"/>
    <w:rsid w:val="00D611E1"/>
    <w:rsid w:val="00D619F0"/>
    <w:rsid w:val="00D62BA1"/>
    <w:rsid w:val="00D62E90"/>
    <w:rsid w:val="00D65B94"/>
    <w:rsid w:val="00D676E6"/>
    <w:rsid w:val="00D72474"/>
    <w:rsid w:val="00D73902"/>
    <w:rsid w:val="00D7429C"/>
    <w:rsid w:val="00D76BE5"/>
    <w:rsid w:val="00D7743A"/>
    <w:rsid w:val="00D80C5D"/>
    <w:rsid w:val="00D866CB"/>
    <w:rsid w:val="00D87FB6"/>
    <w:rsid w:val="00D9502B"/>
    <w:rsid w:val="00D9532A"/>
    <w:rsid w:val="00D978C6"/>
    <w:rsid w:val="00DA0A02"/>
    <w:rsid w:val="00DA1F0E"/>
    <w:rsid w:val="00DA67AD"/>
    <w:rsid w:val="00DB18CE"/>
    <w:rsid w:val="00DB1F01"/>
    <w:rsid w:val="00DC377F"/>
    <w:rsid w:val="00DC6E24"/>
    <w:rsid w:val="00DD2F51"/>
    <w:rsid w:val="00DD6C9C"/>
    <w:rsid w:val="00DD7D67"/>
    <w:rsid w:val="00DE04E2"/>
    <w:rsid w:val="00DE23C3"/>
    <w:rsid w:val="00DE3EC0"/>
    <w:rsid w:val="00DF0D81"/>
    <w:rsid w:val="00DF39E4"/>
    <w:rsid w:val="00DF6C1C"/>
    <w:rsid w:val="00DF6D69"/>
    <w:rsid w:val="00E002DB"/>
    <w:rsid w:val="00E02926"/>
    <w:rsid w:val="00E030C3"/>
    <w:rsid w:val="00E048E0"/>
    <w:rsid w:val="00E0517F"/>
    <w:rsid w:val="00E11593"/>
    <w:rsid w:val="00E12B6B"/>
    <w:rsid w:val="00E130AB"/>
    <w:rsid w:val="00E15698"/>
    <w:rsid w:val="00E175FD"/>
    <w:rsid w:val="00E20AC0"/>
    <w:rsid w:val="00E241B6"/>
    <w:rsid w:val="00E241FA"/>
    <w:rsid w:val="00E253BC"/>
    <w:rsid w:val="00E260BC"/>
    <w:rsid w:val="00E31B38"/>
    <w:rsid w:val="00E32218"/>
    <w:rsid w:val="00E349AC"/>
    <w:rsid w:val="00E35F30"/>
    <w:rsid w:val="00E37ACC"/>
    <w:rsid w:val="00E428A0"/>
    <w:rsid w:val="00E42C2C"/>
    <w:rsid w:val="00E438D9"/>
    <w:rsid w:val="00E43E4C"/>
    <w:rsid w:val="00E5644E"/>
    <w:rsid w:val="00E56EA0"/>
    <w:rsid w:val="00E63DCB"/>
    <w:rsid w:val="00E65F4E"/>
    <w:rsid w:val="00E678E8"/>
    <w:rsid w:val="00E717CC"/>
    <w:rsid w:val="00E7260F"/>
    <w:rsid w:val="00E74B64"/>
    <w:rsid w:val="00E75A62"/>
    <w:rsid w:val="00E75E9E"/>
    <w:rsid w:val="00E75E9F"/>
    <w:rsid w:val="00E77198"/>
    <w:rsid w:val="00E806EE"/>
    <w:rsid w:val="00E81122"/>
    <w:rsid w:val="00E81186"/>
    <w:rsid w:val="00E81A8F"/>
    <w:rsid w:val="00E8315D"/>
    <w:rsid w:val="00E86065"/>
    <w:rsid w:val="00E86D36"/>
    <w:rsid w:val="00E92066"/>
    <w:rsid w:val="00E95BBE"/>
    <w:rsid w:val="00E96630"/>
    <w:rsid w:val="00E96AA1"/>
    <w:rsid w:val="00EA6E2E"/>
    <w:rsid w:val="00EB0FB9"/>
    <w:rsid w:val="00EB132E"/>
    <w:rsid w:val="00EB37CE"/>
    <w:rsid w:val="00EB4000"/>
    <w:rsid w:val="00EB4C8F"/>
    <w:rsid w:val="00EB53CC"/>
    <w:rsid w:val="00EB7B97"/>
    <w:rsid w:val="00EC00AC"/>
    <w:rsid w:val="00EC5250"/>
    <w:rsid w:val="00ED0CA9"/>
    <w:rsid w:val="00ED48D3"/>
    <w:rsid w:val="00ED5566"/>
    <w:rsid w:val="00ED5C94"/>
    <w:rsid w:val="00ED7A2A"/>
    <w:rsid w:val="00EE4B20"/>
    <w:rsid w:val="00EE67DE"/>
    <w:rsid w:val="00EE7648"/>
    <w:rsid w:val="00EF1D7F"/>
    <w:rsid w:val="00EF39B2"/>
    <w:rsid w:val="00EF40B7"/>
    <w:rsid w:val="00EF4AF2"/>
    <w:rsid w:val="00EF5BDB"/>
    <w:rsid w:val="00EF73D7"/>
    <w:rsid w:val="00F009CB"/>
    <w:rsid w:val="00F00A37"/>
    <w:rsid w:val="00F0260B"/>
    <w:rsid w:val="00F07FD9"/>
    <w:rsid w:val="00F1027B"/>
    <w:rsid w:val="00F10E20"/>
    <w:rsid w:val="00F1267C"/>
    <w:rsid w:val="00F13872"/>
    <w:rsid w:val="00F13C0D"/>
    <w:rsid w:val="00F22BE3"/>
    <w:rsid w:val="00F22CA0"/>
    <w:rsid w:val="00F23933"/>
    <w:rsid w:val="00F23FCD"/>
    <w:rsid w:val="00F24119"/>
    <w:rsid w:val="00F24553"/>
    <w:rsid w:val="00F314F9"/>
    <w:rsid w:val="00F3274F"/>
    <w:rsid w:val="00F3392F"/>
    <w:rsid w:val="00F34599"/>
    <w:rsid w:val="00F347CD"/>
    <w:rsid w:val="00F34E11"/>
    <w:rsid w:val="00F36A70"/>
    <w:rsid w:val="00F40E75"/>
    <w:rsid w:val="00F42CD9"/>
    <w:rsid w:val="00F43224"/>
    <w:rsid w:val="00F45129"/>
    <w:rsid w:val="00F46ED5"/>
    <w:rsid w:val="00F47BA8"/>
    <w:rsid w:val="00F52936"/>
    <w:rsid w:val="00F5578D"/>
    <w:rsid w:val="00F56398"/>
    <w:rsid w:val="00F5648E"/>
    <w:rsid w:val="00F575F9"/>
    <w:rsid w:val="00F60158"/>
    <w:rsid w:val="00F608AC"/>
    <w:rsid w:val="00F63BEE"/>
    <w:rsid w:val="00F64779"/>
    <w:rsid w:val="00F6700B"/>
    <w:rsid w:val="00F677CB"/>
    <w:rsid w:val="00F72547"/>
    <w:rsid w:val="00F80308"/>
    <w:rsid w:val="00F81A4E"/>
    <w:rsid w:val="00F824DF"/>
    <w:rsid w:val="00F85C9D"/>
    <w:rsid w:val="00F86942"/>
    <w:rsid w:val="00F93096"/>
    <w:rsid w:val="00F96DFC"/>
    <w:rsid w:val="00FA1434"/>
    <w:rsid w:val="00FA2AF9"/>
    <w:rsid w:val="00FA604E"/>
    <w:rsid w:val="00FA7DF3"/>
    <w:rsid w:val="00FB220D"/>
    <w:rsid w:val="00FB27A0"/>
    <w:rsid w:val="00FB3693"/>
    <w:rsid w:val="00FB4AA5"/>
    <w:rsid w:val="00FB4F8D"/>
    <w:rsid w:val="00FB5C95"/>
    <w:rsid w:val="00FB6FCE"/>
    <w:rsid w:val="00FB745A"/>
    <w:rsid w:val="00FC142B"/>
    <w:rsid w:val="00FC2F9B"/>
    <w:rsid w:val="00FC429F"/>
    <w:rsid w:val="00FC62F4"/>
    <w:rsid w:val="00FC68B7"/>
    <w:rsid w:val="00FC6C2F"/>
    <w:rsid w:val="00FD3882"/>
    <w:rsid w:val="00FD59AC"/>
    <w:rsid w:val="00FD63CB"/>
    <w:rsid w:val="00FD7C12"/>
    <w:rsid w:val="00FE09AD"/>
    <w:rsid w:val="00FE3118"/>
    <w:rsid w:val="00FE5CBB"/>
    <w:rsid w:val="00FE619B"/>
    <w:rsid w:val="00FF0EC7"/>
    <w:rsid w:val="00FF673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46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25604D"/>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25604D"/>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E81122"/>
    <w:rPr>
      <w:rFonts w:eastAsia="SimSun"/>
      <w:sz w:val="18"/>
      <w:lang w:val="en-US" w:eastAsia="zh-CN"/>
    </w:rPr>
  </w:style>
  <w:style w:type="character" w:customStyle="1" w:styleId="longdesc">
    <w:name w:val="long_desc"/>
    <w:rsid w:val="00E81122"/>
  </w:style>
  <w:style w:type="paragraph" w:customStyle="1" w:styleId="Default">
    <w:name w:val="Default"/>
    <w:rsid w:val="00CD5938"/>
    <w:pPr>
      <w:autoSpaceDE w:val="0"/>
      <w:autoSpaceDN w:val="0"/>
      <w:adjustRightInd w:val="0"/>
    </w:pPr>
    <w:rPr>
      <w:color w:val="000000"/>
      <w:sz w:val="24"/>
      <w:szCs w:val="24"/>
    </w:rPr>
  </w:style>
  <w:style w:type="paragraph" w:styleId="BalloonText">
    <w:name w:val="Balloon Text"/>
    <w:basedOn w:val="Normal"/>
    <w:link w:val="BalloonTextChar"/>
    <w:rsid w:val="009C6366"/>
    <w:pPr>
      <w:spacing w:line="240" w:lineRule="auto"/>
    </w:pPr>
    <w:rPr>
      <w:rFonts w:ascii="Tahoma" w:hAnsi="Tahoma" w:cs="Tahoma"/>
      <w:sz w:val="16"/>
      <w:szCs w:val="16"/>
    </w:rPr>
  </w:style>
  <w:style w:type="character" w:customStyle="1" w:styleId="BalloonTextChar">
    <w:name w:val="Balloon Text Char"/>
    <w:link w:val="BalloonText"/>
    <w:rsid w:val="009C6366"/>
    <w:rPr>
      <w:rFonts w:ascii="Tahoma" w:hAnsi="Tahoma" w:cs="Tahoma"/>
      <w:sz w:val="16"/>
      <w:szCs w:val="16"/>
      <w:lang w:eastAsia="en-US"/>
    </w:rPr>
  </w:style>
  <w:style w:type="character" w:styleId="CommentReference">
    <w:name w:val="annotation reference"/>
    <w:rsid w:val="00B51454"/>
    <w:rPr>
      <w:sz w:val="16"/>
      <w:szCs w:val="16"/>
    </w:rPr>
  </w:style>
  <w:style w:type="paragraph" w:styleId="CommentText">
    <w:name w:val="annotation text"/>
    <w:basedOn w:val="Normal"/>
    <w:link w:val="CommentTextChar"/>
    <w:rsid w:val="00B51454"/>
  </w:style>
  <w:style w:type="character" w:customStyle="1" w:styleId="CommentTextChar">
    <w:name w:val="Comment Text Char"/>
    <w:link w:val="CommentText"/>
    <w:rsid w:val="00B51454"/>
    <w:rPr>
      <w:lang w:eastAsia="en-US"/>
    </w:rPr>
  </w:style>
  <w:style w:type="paragraph" w:styleId="CommentSubject">
    <w:name w:val="annotation subject"/>
    <w:basedOn w:val="CommentText"/>
    <w:next w:val="CommentText"/>
    <w:link w:val="CommentSubjectChar"/>
    <w:rsid w:val="00B51454"/>
    <w:rPr>
      <w:b/>
      <w:bCs/>
    </w:rPr>
  </w:style>
  <w:style w:type="character" w:customStyle="1" w:styleId="CommentSubjectChar">
    <w:name w:val="Comment Subject Char"/>
    <w:link w:val="CommentSubject"/>
    <w:rsid w:val="00B51454"/>
    <w:rPr>
      <w:b/>
      <w:bCs/>
      <w:lang w:eastAsia="en-US"/>
    </w:rPr>
  </w:style>
  <w:style w:type="paragraph" w:customStyle="1" w:styleId="ColorfulShading-Accent11">
    <w:name w:val="Colorful Shading - Accent 11"/>
    <w:hidden/>
    <w:uiPriority w:val="99"/>
    <w:semiHidden/>
    <w:rsid w:val="00705149"/>
    <w:rPr>
      <w:lang w:eastAsia="en-US"/>
    </w:rPr>
  </w:style>
  <w:style w:type="character" w:customStyle="1" w:styleId="SingleTxtGChar">
    <w:name w:val="_ Single Txt_G Char"/>
    <w:link w:val="SingleTxtG"/>
    <w:uiPriority w:val="99"/>
    <w:rsid w:val="00EF39B2"/>
    <w:rPr>
      <w:lang w:eastAsia="en-US"/>
    </w:rPr>
  </w:style>
  <w:style w:type="paragraph" w:styleId="BodyText">
    <w:name w:val="Body Text"/>
    <w:basedOn w:val="Normal"/>
    <w:link w:val="BodyTextChar"/>
    <w:rsid w:val="000C730B"/>
    <w:pPr>
      <w:tabs>
        <w:tab w:val="left" w:pos="709"/>
      </w:tabs>
      <w:suppressAutoHyphens w:val="0"/>
      <w:spacing w:line="240" w:lineRule="auto"/>
      <w:ind w:right="680"/>
    </w:pPr>
    <w:rPr>
      <w:rFonts w:ascii="Arial" w:hAnsi="Arial" w:cs="Arial"/>
      <w:spacing w:val="-2"/>
      <w:w w:val="99"/>
      <w:kern w:val="22"/>
      <w:sz w:val="24"/>
      <w:lang w:val="en-US"/>
    </w:rPr>
  </w:style>
  <w:style w:type="character" w:customStyle="1" w:styleId="BodyTextChar">
    <w:name w:val="Body Text Char"/>
    <w:link w:val="BodyText"/>
    <w:rsid w:val="000C730B"/>
    <w:rPr>
      <w:rFonts w:ascii="Arial" w:hAnsi="Arial" w:cs="Arial"/>
      <w:spacing w:val="-2"/>
      <w:w w:val="99"/>
      <w:kern w:val="22"/>
      <w:sz w:val="24"/>
      <w:lang w:val="en-US" w:eastAsia="en-US"/>
    </w:rPr>
  </w:style>
  <w:style w:type="paragraph" w:styleId="Revision">
    <w:name w:val="Revision"/>
    <w:hidden/>
    <w:uiPriority w:val="99"/>
    <w:semiHidden/>
    <w:rsid w:val="001E154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25604D"/>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25604D"/>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E81122"/>
    <w:rPr>
      <w:rFonts w:eastAsia="SimSun"/>
      <w:sz w:val="18"/>
      <w:lang w:val="en-US" w:eastAsia="zh-CN"/>
    </w:rPr>
  </w:style>
  <w:style w:type="character" w:customStyle="1" w:styleId="longdesc">
    <w:name w:val="long_desc"/>
    <w:rsid w:val="00E81122"/>
  </w:style>
  <w:style w:type="paragraph" w:customStyle="1" w:styleId="Default">
    <w:name w:val="Default"/>
    <w:rsid w:val="00CD5938"/>
    <w:pPr>
      <w:autoSpaceDE w:val="0"/>
      <w:autoSpaceDN w:val="0"/>
      <w:adjustRightInd w:val="0"/>
    </w:pPr>
    <w:rPr>
      <w:color w:val="000000"/>
      <w:sz w:val="24"/>
      <w:szCs w:val="24"/>
    </w:rPr>
  </w:style>
  <w:style w:type="paragraph" w:styleId="BalloonText">
    <w:name w:val="Balloon Text"/>
    <w:basedOn w:val="Normal"/>
    <w:link w:val="BalloonTextChar"/>
    <w:rsid w:val="009C6366"/>
    <w:pPr>
      <w:spacing w:line="240" w:lineRule="auto"/>
    </w:pPr>
    <w:rPr>
      <w:rFonts w:ascii="Tahoma" w:hAnsi="Tahoma" w:cs="Tahoma"/>
      <w:sz w:val="16"/>
      <w:szCs w:val="16"/>
    </w:rPr>
  </w:style>
  <w:style w:type="character" w:customStyle="1" w:styleId="BalloonTextChar">
    <w:name w:val="Balloon Text Char"/>
    <w:link w:val="BalloonText"/>
    <w:rsid w:val="009C6366"/>
    <w:rPr>
      <w:rFonts w:ascii="Tahoma" w:hAnsi="Tahoma" w:cs="Tahoma"/>
      <w:sz w:val="16"/>
      <w:szCs w:val="16"/>
      <w:lang w:eastAsia="en-US"/>
    </w:rPr>
  </w:style>
  <w:style w:type="character" w:styleId="CommentReference">
    <w:name w:val="annotation reference"/>
    <w:rsid w:val="00B51454"/>
    <w:rPr>
      <w:sz w:val="16"/>
      <w:szCs w:val="16"/>
    </w:rPr>
  </w:style>
  <w:style w:type="paragraph" w:styleId="CommentText">
    <w:name w:val="annotation text"/>
    <w:basedOn w:val="Normal"/>
    <w:link w:val="CommentTextChar"/>
    <w:rsid w:val="00B51454"/>
  </w:style>
  <w:style w:type="character" w:customStyle="1" w:styleId="CommentTextChar">
    <w:name w:val="Comment Text Char"/>
    <w:link w:val="CommentText"/>
    <w:rsid w:val="00B51454"/>
    <w:rPr>
      <w:lang w:eastAsia="en-US"/>
    </w:rPr>
  </w:style>
  <w:style w:type="paragraph" w:styleId="CommentSubject">
    <w:name w:val="annotation subject"/>
    <w:basedOn w:val="CommentText"/>
    <w:next w:val="CommentText"/>
    <w:link w:val="CommentSubjectChar"/>
    <w:rsid w:val="00B51454"/>
    <w:rPr>
      <w:b/>
      <w:bCs/>
    </w:rPr>
  </w:style>
  <w:style w:type="character" w:customStyle="1" w:styleId="CommentSubjectChar">
    <w:name w:val="Comment Subject Char"/>
    <w:link w:val="CommentSubject"/>
    <w:rsid w:val="00B51454"/>
    <w:rPr>
      <w:b/>
      <w:bCs/>
      <w:lang w:eastAsia="en-US"/>
    </w:rPr>
  </w:style>
  <w:style w:type="paragraph" w:customStyle="1" w:styleId="ColorfulShading-Accent11">
    <w:name w:val="Colorful Shading - Accent 11"/>
    <w:hidden/>
    <w:uiPriority w:val="99"/>
    <w:semiHidden/>
    <w:rsid w:val="00705149"/>
    <w:rPr>
      <w:lang w:eastAsia="en-US"/>
    </w:rPr>
  </w:style>
  <w:style w:type="character" w:customStyle="1" w:styleId="SingleTxtGChar">
    <w:name w:val="_ Single Txt_G Char"/>
    <w:link w:val="SingleTxtG"/>
    <w:uiPriority w:val="99"/>
    <w:rsid w:val="00EF39B2"/>
    <w:rPr>
      <w:lang w:eastAsia="en-US"/>
    </w:rPr>
  </w:style>
  <w:style w:type="paragraph" w:styleId="BodyText">
    <w:name w:val="Body Text"/>
    <w:basedOn w:val="Normal"/>
    <w:link w:val="BodyTextChar"/>
    <w:rsid w:val="000C730B"/>
    <w:pPr>
      <w:tabs>
        <w:tab w:val="left" w:pos="709"/>
      </w:tabs>
      <w:suppressAutoHyphens w:val="0"/>
      <w:spacing w:line="240" w:lineRule="auto"/>
      <w:ind w:right="680"/>
    </w:pPr>
    <w:rPr>
      <w:rFonts w:ascii="Arial" w:hAnsi="Arial" w:cs="Arial"/>
      <w:spacing w:val="-2"/>
      <w:w w:val="99"/>
      <w:kern w:val="22"/>
      <w:sz w:val="24"/>
      <w:lang w:val="en-US"/>
    </w:rPr>
  </w:style>
  <w:style w:type="character" w:customStyle="1" w:styleId="BodyTextChar">
    <w:name w:val="Body Text Char"/>
    <w:link w:val="BodyText"/>
    <w:rsid w:val="000C730B"/>
    <w:rPr>
      <w:rFonts w:ascii="Arial" w:hAnsi="Arial" w:cs="Arial"/>
      <w:spacing w:val="-2"/>
      <w:w w:val="99"/>
      <w:kern w:val="22"/>
      <w:sz w:val="24"/>
      <w:lang w:val="en-US" w:eastAsia="en-US"/>
    </w:rPr>
  </w:style>
  <w:style w:type="paragraph" w:styleId="Revision">
    <w:name w:val="Revision"/>
    <w:hidden/>
    <w:uiPriority w:val="99"/>
    <w:semiHidden/>
    <w:rsid w:val="001E15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46707">
      <w:bodyDiv w:val="1"/>
      <w:marLeft w:val="0"/>
      <w:marRight w:val="0"/>
      <w:marTop w:val="0"/>
      <w:marBottom w:val="0"/>
      <w:divBdr>
        <w:top w:val="none" w:sz="0" w:space="0" w:color="auto"/>
        <w:left w:val="none" w:sz="0" w:space="0" w:color="auto"/>
        <w:bottom w:val="none" w:sz="0" w:space="0" w:color="auto"/>
        <w:right w:val="none" w:sz="0" w:space="0" w:color="auto"/>
      </w:divBdr>
    </w:div>
    <w:div w:id="1600989091">
      <w:bodyDiv w:val="1"/>
      <w:marLeft w:val="0"/>
      <w:marRight w:val="0"/>
      <w:marTop w:val="0"/>
      <w:marBottom w:val="0"/>
      <w:divBdr>
        <w:top w:val="none" w:sz="0" w:space="0" w:color="auto"/>
        <w:left w:val="none" w:sz="0" w:space="0" w:color="auto"/>
        <w:bottom w:val="none" w:sz="0" w:space="0" w:color="auto"/>
        <w:right w:val="none" w:sz="0" w:space="0" w:color="auto"/>
      </w:divBdr>
    </w:div>
    <w:div w:id="213598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D3FDE-C7C5-45C6-8286-EA9E57F495ED}"/>
</file>

<file path=customXml/itemProps2.xml><?xml version="1.0" encoding="utf-8"?>
<ds:datastoreItem xmlns:ds="http://schemas.openxmlformats.org/officeDocument/2006/customXml" ds:itemID="{3B6D4DEE-7010-4464-99A4-DB5A802C3AFF}"/>
</file>

<file path=customXml/itemProps3.xml><?xml version="1.0" encoding="utf-8"?>
<ds:datastoreItem xmlns:ds="http://schemas.openxmlformats.org/officeDocument/2006/customXml" ds:itemID="{E42534F3-D6F9-4889-9624-135E6FCB1F3E}"/>
</file>

<file path=customXml/itemProps4.xml><?xml version="1.0" encoding="utf-8"?>
<ds:datastoreItem xmlns:ds="http://schemas.openxmlformats.org/officeDocument/2006/customXml" ds:itemID="{84489D84-44C3-4926-A927-1D2D60E0A3AC}"/>
</file>

<file path=docProps/app.xml><?xml version="1.0" encoding="utf-8"?>
<Properties xmlns="http://schemas.openxmlformats.org/officeDocument/2006/extended-properties" xmlns:vt="http://schemas.openxmlformats.org/officeDocument/2006/docPropsVTypes">
  <Template>A_E</Template>
  <TotalTime>0</TotalTime>
  <Pages>15</Pages>
  <Words>7574</Words>
  <Characters>43175</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50648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rights of indigenous peoples - Report of the United Nations High Commissioner for Human Rights in English</dc:title>
  <dc:creator>Isabelle SEVIN</dc:creator>
  <cp:lastModifiedBy>Somova Iuliia</cp:lastModifiedBy>
  <cp:revision>2</cp:revision>
  <cp:lastPrinted>2015-08-05T14:45:00Z</cp:lastPrinted>
  <dcterms:created xsi:type="dcterms:W3CDTF">2015-08-07T14:48:00Z</dcterms:created>
  <dcterms:modified xsi:type="dcterms:W3CDTF">2015-08-07T14:48:00Z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-1422611935</vt:i4>
  </property>
  <property fmtid="{D5CDD505-2E9C-101B-9397-08002B2CF9AE}" pid="3" name="ContentTypeId">
    <vt:lpwstr>0x010100EF670F518423CB4F888C4265EEC2C475</vt:lpwstr>
  </property>
  <property fmtid="{D5CDD505-2E9C-101B-9397-08002B2CF9AE}" pid="4" name="Order">
    <vt:r8>5600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xd_Signature">
    <vt:bool>false</vt:bool>
  </property>
</Properties>
</file>