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wmf" ContentType="image/x-wmf"/>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92" w:rsidRPr="00AA3D92" w:rsidRDefault="00AA3D92" w:rsidP="00AA3D92">
      <w:pPr>
        <w:spacing w:line="20" w:lineRule="exact"/>
        <w:rPr>
          <w:sz w:val="2"/>
          <w:szCs w:val="2"/>
          <w:lang w:val="fr-CH"/>
        </w:rPr>
      </w:pPr>
      <w:r>
        <w:rPr>
          <w:rStyle w:val="CommentReference"/>
          <w:rFonts w:ascii="Calibri" w:eastAsia="SimSun" w:hAnsi="Calibri"/>
          <w:lang w:val="en-US"/>
        </w:rPr>
        <w:commentReference w:id="0"/>
      </w:r>
    </w:p>
    <w:p w:rsidR="008C52AB" w:rsidRPr="00AA3D92" w:rsidRDefault="00AA3D92" w:rsidP="00AA3D92">
      <w:pPr>
        <w:spacing w:line="240" w:lineRule="auto"/>
        <w:rPr>
          <w:sz w:val="6"/>
          <w:szCs w:val="2"/>
          <w:lang w:val="fr-CH"/>
        </w:rPr>
      </w:pPr>
      <w:r>
        <w:rPr>
          <w:sz w:val="6"/>
          <w:szCs w:val="2"/>
          <w:lang w:val="fr-CH"/>
        </w:rPr>
        <w:t xml:space="preserve">  </w:t>
      </w:r>
    </w:p>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850D17" w:rsidTr="00E806EE">
        <w:trPr>
          <w:trHeight w:val="851"/>
        </w:trPr>
        <w:tc>
          <w:tcPr>
            <w:tcW w:w="1259" w:type="dxa"/>
            <w:tcBorders>
              <w:top w:val="nil"/>
              <w:left w:val="nil"/>
              <w:bottom w:val="single" w:sz="4" w:space="0" w:color="auto"/>
              <w:right w:val="nil"/>
            </w:tcBorders>
          </w:tcPr>
          <w:p w:rsidR="008C52AB" w:rsidRPr="00850D17" w:rsidRDefault="008C52AB" w:rsidP="008C52AB">
            <w:pPr>
              <w:tabs>
                <w:tab w:val="right" w:pos="850"/>
                <w:tab w:val="left" w:pos="1134"/>
                <w:tab w:val="right" w:leader="dot" w:pos="8504"/>
              </w:tabs>
              <w:spacing w:before="360" w:after="240"/>
              <w:rPr>
                <w:lang w:val="fr-CH"/>
              </w:rPr>
            </w:pPr>
          </w:p>
        </w:tc>
        <w:tc>
          <w:tcPr>
            <w:tcW w:w="2236" w:type="dxa"/>
            <w:tcBorders>
              <w:top w:val="nil"/>
              <w:left w:val="nil"/>
              <w:bottom w:val="single" w:sz="4" w:space="0" w:color="auto"/>
              <w:right w:val="nil"/>
            </w:tcBorders>
            <w:vAlign w:val="bottom"/>
          </w:tcPr>
          <w:p w:rsidR="00446DE4" w:rsidRPr="00850D17" w:rsidRDefault="00B3317B" w:rsidP="0022130F">
            <w:pPr>
              <w:spacing w:after="80" w:line="300" w:lineRule="exact"/>
              <w:rPr>
                <w:sz w:val="28"/>
                <w:szCs w:val="28"/>
                <w:lang w:val="fr-CH"/>
              </w:rPr>
            </w:pPr>
            <w:r w:rsidRPr="00850D17">
              <w:rPr>
                <w:sz w:val="28"/>
                <w:szCs w:val="28"/>
                <w:lang w:val="fr-CH"/>
              </w:rPr>
              <w:t>Nations</w:t>
            </w:r>
            <w:r w:rsidR="007F2D0E" w:rsidRPr="00850D17">
              <w:rPr>
                <w:sz w:val="28"/>
                <w:szCs w:val="28"/>
                <w:lang w:val="fr-CH"/>
              </w:rPr>
              <w:t xml:space="preserve"> </w:t>
            </w:r>
            <w:r w:rsidR="00507004" w:rsidRPr="00850D17">
              <w:rPr>
                <w:sz w:val="28"/>
                <w:szCs w:val="28"/>
                <w:lang w:val="fr-CH"/>
              </w:rPr>
              <w:t>Unies</w:t>
            </w:r>
          </w:p>
        </w:tc>
        <w:tc>
          <w:tcPr>
            <w:tcW w:w="6144" w:type="dxa"/>
            <w:gridSpan w:val="2"/>
            <w:tcBorders>
              <w:top w:val="nil"/>
              <w:left w:val="nil"/>
              <w:bottom w:val="single" w:sz="4" w:space="0" w:color="auto"/>
              <w:right w:val="nil"/>
            </w:tcBorders>
            <w:vAlign w:val="bottom"/>
          </w:tcPr>
          <w:p w:rsidR="00446DE4" w:rsidRPr="00850D17" w:rsidRDefault="003B6054" w:rsidP="00684B71">
            <w:pPr>
              <w:jc w:val="right"/>
              <w:rPr>
                <w:lang w:val="fr-CH"/>
              </w:rPr>
            </w:pPr>
            <w:r w:rsidRPr="00850D17">
              <w:rPr>
                <w:sz w:val="40"/>
                <w:lang w:val="fr-CH"/>
              </w:rPr>
              <w:t>A</w:t>
            </w:r>
            <w:r w:rsidRPr="00850D17">
              <w:rPr>
                <w:lang w:val="fr-CH"/>
              </w:rPr>
              <w:t>/HRC/30/</w:t>
            </w:r>
            <w:r w:rsidR="00684B71" w:rsidRPr="00850D17">
              <w:rPr>
                <w:lang w:val="fr-CH"/>
              </w:rPr>
              <w:t>33</w:t>
            </w:r>
          </w:p>
        </w:tc>
      </w:tr>
      <w:tr w:rsidR="003107FA" w:rsidRPr="00FE0ABB" w:rsidTr="00E806EE">
        <w:trPr>
          <w:trHeight w:val="2835"/>
        </w:trPr>
        <w:tc>
          <w:tcPr>
            <w:tcW w:w="1259" w:type="dxa"/>
            <w:tcBorders>
              <w:top w:val="single" w:sz="4" w:space="0" w:color="auto"/>
              <w:left w:val="nil"/>
              <w:bottom w:val="single" w:sz="12" w:space="0" w:color="auto"/>
              <w:right w:val="nil"/>
            </w:tcBorders>
          </w:tcPr>
          <w:p w:rsidR="003107FA" w:rsidRPr="00850D17" w:rsidRDefault="00C65A99" w:rsidP="00956D9B">
            <w:pPr>
              <w:spacing w:before="120"/>
              <w:jc w:val="center"/>
              <w:rPr>
                <w:lang w:val="fr-CH"/>
              </w:rPr>
            </w:pPr>
            <w:r w:rsidRPr="00850D17">
              <w:rPr>
                <w:noProof/>
                <w:lang w:val="en-US"/>
              </w:rPr>
              <w:drawing>
                <wp:inline distT="0" distB="0" distL="0" distR="0" wp14:anchorId="05D22260" wp14:editId="697D7E23">
                  <wp:extent cx="714375" cy="590550"/>
                  <wp:effectExtent l="0" t="0" r="9525" b="0"/>
                  <wp:docPr id="6" name="Picture 6"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850D17" w:rsidRDefault="00B3317B" w:rsidP="007F2D0E">
            <w:pPr>
              <w:spacing w:before="120" w:line="420" w:lineRule="exact"/>
              <w:rPr>
                <w:b/>
                <w:sz w:val="40"/>
                <w:szCs w:val="40"/>
                <w:lang w:val="fr-CH"/>
              </w:rPr>
            </w:pPr>
            <w:r w:rsidRPr="00850D17">
              <w:rPr>
                <w:b/>
                <w:sz w:val="40"/>
                <w:szCs w:val="40"/>
                <w:lang w:val="fr-CH"/>
              </w:rPr>
              <w:t>Assembl</w:t>
            </w:r>
            <w:r w:rsidR="007F2D0E" w:rsidRPr="00850D17">
              <w:rPr>
                <w:b/>
                <w:sz w:val="40"/>
                <w:szCs w:val="40"/>
                <w:lang w:val="fr-CH"/>
              </w:rPr>
              <w:t>ée générale</w:t>
            </w:r>
          </w:p>
        </w:tc>
        <w:tc>
          <w:tcPr>
            <w:tcW w:w="2930" w:type="dxa"/>
            <w:tcBorders>
              <w:top w:val="single" w:sz="4" w:space="0" w:color="auto"/>
              <w:left w:val="nil"/>
              <w:bottom w:val="single" w:sz="12" w:space="0" w:color="auto"/>
              <w:right w:val="nil"/>
            </w:tcBorders>
          </w:tcPr>
          <w:p w:rsidR="003107FA" w:rsidRPr="00850D17" w:rsidRDefault="007F2D0E" w:rsidP="003B6054">
            <w:pPr>
              <w:spacing w:before="240" w:line="240" w:lineRule="exact"/>
              <w:rPr>
                <w:lang w:val="fr-CH"/>
              </w:rPr>
            </w:pPr>
            <w:r w:rsidRPr="00850D17">
              <w:rPr>
                <w:lang w:val="fr-CH"/>
              </w:rPr>
              <w:t>Distr. générale</w:t>
            </w:r>
          </w:p>
          <w:p w:rsidR="003B6054" w:rsidRPr="00850D17" w:rsidRDefault="00FB0F1D" w:rsidP="00DC48E3">
            <w:pPr>
              <w:spacing w:line="240" w:lineRule="exact"/>
              <w:rPr>
                <w:lang w:val="fr-CH"/>
              </w:rPr>
            </w:pPr>
            <w:r w:rsidRPr="00C36970">
              <w:rPr>
                <w:lang w:val="fr-CH"/>
              </w:rPr>
              <w:t>2</w:t>
            </w:r>
            <w:r w:rsidR="00FE0ABB">
              <w:rPr>
                <w:lang w:val="fr-CH"/>
              </w:rPr>
              <w:t>4</w:t>
            </w:r>
            <w:r w:rsidR="005023BC" w:rsidRPr="00906A04">
              <w:rPr>
                <w:lang w:val="fr-CH"/>
              </w:rPr>
              <w:t xml:space="preserve"> août</w:t>
            </w:r>
            <w:r w:rsidR="005C5CD7" w:rsidRPr="0062258F">
              <w:rPr>
                <w:lang w:val="fr-CH"/>
              </w:rPr>
              <w:t xml:space="preserve"> </w:t>
            </w:r>
            <w:r w:rsidR="003B6054" w:rsidRPr="0062258F">
              <w:rPr>
                <w:lang w:val="fr-CH"/>
              </w:rPr>
              <w:t>2015</w:t>
            </w:r>
          </w:p>
          <w:p w:rsidR="00680A41" w:rsidRPr="00850D17" w:rsidRDefault="00680A41" w:rsidP="003B6054">
            <w:pPr>
              <w:spacing w:line="240" w:lineRule="exact"/>
              <w:rPr>
                <w:lang w:val="fr-CH"/>
              </w:rPr>
            </w:pPr>
          </w:p>
          <w:p w:rsidR="00904B15" w:rsidRPr="00850D17" w:rsidRDefault="003B6054" w:rsidP="007F2D0E">
            <w:pPr>
              <w:spacing w:line="240" w:lineRule="exact"/>
              <w:rPr>
                <w:color w:val="FF0000"/>
                <w:sz w:val="28"/>
                <w:szCs w:val="28"/>
                <w:lang w:val="fr-CH"/>
              </w:rPr>
            </w:pPr>
            <w:r w:rsidRPr="00850D17">
              <w:rPr>
                <w:lang w:val="fr-CH"/>
              </w:rPr>
              <w:t xml:space="preserve">Original: </w:t>
            </w:r>
            <w:r w:rsidR="00C935E1" w:rsidRPr="00850D17">
              <w:rPr>
                <w:lang w:val="fr-CH"/>
              </w:rPr>
              <w:t>français</w:t>
            </w:r>
          </w:p>
        </w:tc>
      </w:tr>
    </w:tbl>
    <w:p w:rsidR="007F2D0E" w:rsidRPr="00850D17" w:rsidRDefault="005C5CD7" w:rsidP="005C5CD7">
      <w:pPr>
        <w:spacing w:before="120"/>
        <w:rPr>
          <w:b/>
          <w:sz w:val="24"/>
          <w:szCs w:val="24"/>
          <w:lang w:val="fr-CH"/>
        </w:rPr>
      </w:pPr>
      <w:r w:rsidRPr="00850D17">
        <w:rPr>
          <w:b/>
          <w:sz w:val="24"/>
          <w:szCs w:val="24"/>
          <w:lang w:val="fr-CH"/>
        </w:rPr>
        <w:t>C</w:t>
      </w:r>
      <w:r w:rsidR="007F2D0E" w:rsidRPr="00850D17">
        <w:rPr>
          <w:b/>
          <w:sz w:val="24"/>
          <w:szCs w:val="24"/>
          <w:lang w:val="fr-CH"/>
        </w:rPr>
        <w:t>onseil des droits de l’homme</w:t>
      </w:r>
    </w:p>
    <w:p w:rsidR="007F2D0E" w:rsidRPr="00850D17" w:rsidRDefault="007F2D0E" w:rsidP="007F2D0E">
      <w:pPr>
        <w:rPr>
          <w:b/>
          <w:lang w:val="fr-CH"/>
        </w:rPr>
      </w:pPr>
      <w:r w:rsidRPr="00850D17">
        <w:rPr>
          <w:b/>
          <w:lang w:val="fr-CH"/>
        </w:rPr>
        <w:t>Trentième session</w:t>
      </w:r>
    </w:p>
    <w:p w:rsidR="007F2D0E" w:rsidRDefault="007F2D0E" w:rsidP="005023BC">
      <w:pPr>
        <w:rPr>
          <w:lang w:val="fr-CH"/>
        </w:rPr>
      </w:pPr>
      <w:r w:rsidRPr="00850D17">
        <w:rPr>
          <w:lang w:val="fr-CH"/>
        </w:rPr>
        <w:t>Point</w:t>
      </w:r>
      <w:r w:rsidR="00E553AA">
        <w:rPr>
          <w:lang w:val="fr-CH"/>
        </w:rPr>
        <w:t xml:space="preserve"> 2 et</w:t>
      </w:r>
      <w:r w:rsidRPr="00850D17">
        <w:rPr>
          <w:lang w:val="fr-CH"/>
        </w:rPr>
        <w:t xml:space="preserve"> </w:t>
      </w:r>
      <w:r w:rsidR="005023BC">
        <w:rPr>
          <w:lang w:val="fr-CH"/>
        </w:rPr>
        <w:t>10</w:t>
      </w:r>
      <w:r w:rsidRPr="00850D17">
        <w:rPr>
          <w:lang w:val="fr-CH"/>
        </w:rPr>
        <w:t xml:space="preserve"> de l’ordre du jour</w:t>
      </w:r>
    </w:p>
    <w:p w:rsidR="00E553AA" w:rsidRDefault="00E553AA" w:rsidP="005023BC">
      <w:pPr>
        <w:rPr>
          <w:b/>
          <w:lang w:val="fr-CH"/>
        </w:rPr>
      </w:pPr>
      <w:r w:rsidRPr="00FE0ABB">
        <w:rPr>
          <w:b/>
          <w:lang w:val="fr-CH"/>
        </w:rPr>
        <w:t>Rapport annuel du Haut-Commissaire des Nations Unies</w:t>
      </w:r>
      <w:r w:rsidRPr="00FE0ABB">
        <w:rPr>
          <w:b/>
          <w:lang w:val="fr-CH"/>
        </w:rPr>
        <w:br/>
        <w:t>aux droits de l’homme et rapports du Haut-Commissariat</w:t>
      </w:r>
      <w:r w:rsidRPr="00FE0ABB">
        <w:rPr>
          <w:b/>
          <w:lang w:val="fr-CH"/>
        </w:rPr>
        <w:br/>
        <w:t>et du Secrétaire général</w:t>
      </w:r>
    </w:p>
    <w:p w:rsidR="00220406" w:rsidRPr="00220406" w:rsidRDefault="00220406" w:rsidP="00220406">
      <w:pPr>
        <w:spacing w:line="120" w:lineRule="exact"/>
        <w:rPr>
          <w:b/>
          <w:sz w:val="10"/>
          <w:lang w:val="fr-CH"/>
        </w:rPr>
      </w:pPr>
    </w:p>
    <w:p w:rsidR="00680A41" w:rsidRPr="00850D17" w:rsidRDefault="00680A41" w:rsidP="007F2D0E">
      <w:pPr>
        <w:rPr>
          <w:b/>
          <w:lang w:val="fr-CH"/>
        </w:rPr>
      </w:pPr>
      <w:r w:rsidRPr="00850D17">
        <w:rPr>
          <w:b/>
          <w:lang w:val="fr-CH"/>
        </w:rPr>
        <w:t>Assistance technique et renforcement des capacités</w:t>
      </w:r>
    </w:p>
    <w:p w:rsidR="00D932E4" w:rsidRDefault="00202232" w:rsidP="00482CDF">
      <w:pPr>
        <w:pStyle w:val="HChG"/>
        <w:rPr>
          <w:b w:val="0"/>
          <w:sz w:val="20"/>
          <w:lang w:val="fr-CH"/>
        </w:rPr>
      </w:pPr>
      <w:r w:rsidRPr="00850D17">
        <w:rPr>
          <w:lang w:val="fr-CH"/>
        </w:rPr>
        <w:tab/>
      </w:r>
      <w:r w:rsidRPr="00850D17">
        <w:rPr>
          <w:lang w:val="fr-CH"/>
        </w:rPr>
        <w:tab/>
      </w:r>
      <w:r w:rsidR="00B40FD8" w:rsidRPr="00850D17">
        <w:rPr>
          <w:lang w:val="fr-CH"/>
        </w:rPr>
        <w:t>É</w:t>
      </w:r>
      <w:r w:rsidR="00520D8D" w:rsidRPr="00850D17">
        <w:rPr>
          <w:lang w:val="fr-CH"/>
        </w:rPr>
        <w:t>tude sur l</w:t>
      </w:r>
      <w:r w:rsidR="0012008D" w:rsidRPr="00850D17">
        <w:rPr>
          <w:lang w:val="fr-CH"/>
        </w:rPr>
        <w:t>’</w:t>
      </w:r>
      <w:r w:rsidR="00520D8D" w:rsidRPr="00850D17">
        <w:rPr>
          <w:lang w:val="fr-CH"/>
        </w:rPr>
        <w:t>impact de l</w:t>
      </w:r>
      <w:r w:rsidR="0012008D" w:rsidRPr="00850D17">
        <w:rPr>
          <w:lang w:val="fr-CH"/>
        </w:rPr>
        <w:t>’</w:t>
      </w:r>
      <w:r w:rsidR="00520D8D" w:rsidRPr="00850D17">
        <w:rPr>
          <w:lang w:val="fr-CH"/>
        </w:rPr>
        <w:t>assistance technique et du renforcement des capac</w:t>
      </w:r>
      <w:bookmarkStart w:id="1" w:name="_GoBack"/>
      <w:bookmarkEnd w:id="1"/>
      <w:r w:rsidR="00520D8D" w:rsidRPr="00850D17">
        <w:rPr>
          <w:lang w:val="fr-CH"/>
        </w:rPr>
        <w:t>ités sur la situation des droits de l</w:t>
      </w:r>
      <w:r w:rsidR="0012008D" w:rsidRPr="00850D17">
        <w:rPr>
          <w:lang w:val="fr-CH"/>
        </w:rPr>
        <w:t>’</w:t>
      </w:r>
      <w:r w:rsidR="00520D8D" w:rsidRPr="00850D17">
        <w:rPr>
          <w:lang w:val="fr-CH"/>
        </w:rPr>
        <w:t xml:space="preserve">homme en République </w:t>
      </w:r>
      <w:r w:rsidR="00035234" w:rsidRPr="00850D17">
        <w:rPr>
          <w:lang w:val="fr-CH"/>
        </w:rPr>
        <w:t xml:space="preserve">démocratique </w:t>
      </w:r>
      <w:r w:rsidR="00520D8D" w:rsidRPr="00850D17">
        <w:rPr>
          <w:lang w:val="fr-CH"/>
        </w:rPr>
        <w:t xml:space="preserve">du Congo </w:t>
      </w:r>
      <w:r w:rsidR="00B40FD8">
        <w:rPr>
          <w:lang w:val="fr-CH"/>
        </w:rPr>
        <w:t>(</w:t>
      </w:r>
      <w:r w:rsidR="00520D8D" w:rsidRPr="00850D17">
        <w:rPr>
          <w:lang w:val="fr-CH"/>
        </w:rPr>
        <w:t>2008-2014</w:t>
      </w:r>
      <w:r w:rsidR="00B40FD8">
        <w:rPr>
          <w:lang w:val="fr-CH"/>
        </w:rPr>
        <w:t>)</w:t>
      </w:r>
    </w:p>
    <w:p w:rsidR="00520D8D" w:rsidRDefault="00D932E4" w:rsidP="00C36970">
      <w:pPr>
        <w:pStyle w:val="H1G"/>
        <w:rPr>
          <w:sz w:val="20"/>
          <w:lang w:val="fr-CH"/>
        </w:rPr>
      </w:pPr>
      <w:r>
        <w:rPr>
          <w:lang w:val="fr-CH"/>
        </w:rPr>
        <w:tab/>
      </w:r>
      <w:r>
        <w:rPr>
          <w:lang w:val="fr-CH"/>
        </w:rPr>
        <w:tab/>
      </w:r>
      <w:r w:rsidR="00B40FD8" w:rsidRPr="00482CDF">
        <w:rPr>
          <w:lang w:val="fr-CH"/>
        </w:rPr>
        <w:t>Rapport du Haut-Commissaire des Nations Unies aux droits de l’homme</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BA27A1" w:rsidRPr="00850D17" w:rsidTr="00BA27A1">
        <w:trPr>
          <w:jc w:val="center"/>
        </w:trPr>
        <w:tc>
          <w:tcPr>
            <w:tcW w:w="9637" w:type="dxa"/>
            <w:shd w:val="clear" w:color="auto" w:fill="auto"/>
          </w:tcPr>
          <w:p w:rsidR="00BA27A1" w:rsidRPr="00850D17" w:rsidRDefault="00BA27A1" w:rsidP="00BA27A1">
            <w:pPr>
              <w:spacing w:before="240" w:after="120"/>
              <w:ind w:left="255"/>
              <w:rPr>
                <w:i/>
                <w:sz w:val="24"/>
                <w:lang w:val="fr-CH"/>
              </w:rPr>
            </w:pPr>
            <w:r w:rsidRPr="00850D17">
              <w:rPr>
                <w:i/>
                <w:sz w:val="24"/>
                <w:lang w:val="fr-CH"/>
              </w:rPr>
              <w:t>Résumé</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 xml:space="preserve">La présente étude est soumise en application de la résolution du Conseil des droits de l’homme </w:t>
            </w:r>
            <w:r w:rsidR="00856879">
              <w:rPr>
                <w:lang w:val="fr-CH"/>
              </w:rPr>
              <w:t>A/</w:t>
            </w:r>
            <w:r w:rsidRPr="00850D17">
              <w:rPr>
                <w:lang w:val="fr-CH"/>
              </w:rPr>
              <w:t>HRC/</w:t>
            </w:r>
            <w:r w:rsidR="00856879">
              <w:rPr>
                <w:lang w:val="fr-CH"/>
              </w:rPr>
              <w:t>RES/</w:t>
            </w:r>
            <w:r w:rsidRPr="00850D17">
              <w:rPr>
                <w:lang w:val="fr-CH"/>
              </w:rPr>
              <w:t xml:space="preserve">27/27 du </w:t>
            </w:r>
            <w:r w:rsidR="007765E4">
              <w:rPr>
                <w:lang w:val="fr-CH"/>
              </w:rPr>
              <w:t>26 septembre</w:t>
            </w:r>
            <w:r w:rsidRPr="00850D17">
              <w:rPr>
                <w:lang w:val="fr-CH"/>
              </w:rPr>
              <w:t xml:space="preserve"> 2014, demandant au Haut-Commissariat des Nations </w:t>
            </w:r>
            <w:r w:rsidR="002B7CA5" w:rsidRPr="00850D17">
              <w:rPr>
                <w:lang w:val="fr-CH"/>
              </w:rPr>
              <w:t>U</w:t>
            </w:r>
            <w:r w:rsidRPr="00850D17">
              <w:rPr>
                <w:lang w:val="fr-CH"/>
              </w:rPr>
              <w:t xml:space="preserve">nies aux droits de l’homme de </w:t>
            </w:r>
            <w:r w:rsidR="0012008D" w:rsidRPr="00850D17">
              <w:rPr>
                <w:lang w:val="fr-CH"/>
              </w:rPr>
              <w:t>«</w:t>
            </w:r>
            <w:r w:rsidRPr="00850D17">
              <w:rPr>
                <w:lang w:val="fr-CH"/>
              </w:rPr>
              <w:t>commanditer une étude sur l</w:t>
            </w:r>
            <w:r w:rsidR="0012008D" w:rsidRPr="00850D17">
              <w:rPr>
                <w:lang w:val="fr-CH"/>
              </w:rPr>
              <w:t>’</w:t>
            </w:r>
            <w:r w:rsidRPr="00850D17">
              <w:rPr>
                <w:lang w:val="fr-CH"/>
              </w:rPr>
              <w:t>impact de l</w:t>
            </w:r>
            <w:r w:rsidR="0012008D" w:rsidRPr="00850D17">
              <w:rPr>
                <w:lang w:val="fr-CH"/>
              </w:rPr>
              <w:t>’</w:t>
            </w:r>
            <w:r w:rsidRPr="00850D17">
              <w:rPr>
                <w:lang w:val="fr-CH"/>
              </w:rPr>
              <w:t>assistance technique et du renforcement des capacités sur la situation des droits de l</w:t>
            </w:r>
            <w:r w:rsidR="0012008D" w:rsidRPr="00850D17">
              <w:rPr>
                <w:lang w:val="fr-CH"/>
              </w:rPr>
              <w:t>’</w:t>
            </w:r>
            <w:r w:rsidRPr="00850D17">
              <w:rPr>
                <w:lang w:val="fr-CH"/>
              </w:rPr>
              <w:t>homme en République démocratique du Congo et de la présenter, dans le cadre d</w:t>
            </w:r>
            <w:r w:rsidR="0012008D" w:rsidRPr="00850D17">
              <w:rPr>
                <w:lang w:val="fr-CH"/>
              </w:rPr>
              <w:t>’</w:t>
            </w:r>
            <w:r w:rsidRPr="00850D17">
              <w:rPr>
                <w:lang w:val="fr-CH"/>
              </w:rPr>
              <w:t>un dialogue interactif, lors de sa trentième session</w:t>
            </w:r>
            <w:r w:rsidR="0012008D" w:rsidRPr="00850D17">
              <w:rPr>
                <w:lang w:val="fr-CH"/>
              </w:rPr>
              <w:t>»</w:t>
            </w:r>
            <w:r w:rsidRPr="00850D17">
              <w:rPr>
                <w:lang w:val="fr-CH"/>
              </w:rPr>
              <w:t>. L’étude se base sur les activités menées dans l’ensemble du pays, de 2008 à fin 2014, par l</w:t>
            </w:r>
            <w:r w:rsidR="00C43FAD" w:rsidRPr="00C43FAD">
              <w:rPr>
                <w:lang w:val="fr-CH"/>
              </w:rPr>
              <w:t>’</w:t>
            </w:r>
            <w:r w:rsidR="00C43FAD">
              <w:rPr>
                <w:lang w:val="fr-CH"/>
              </w:rPr>
              <w:t>Organisation des</w:t>
            </w:r>
            <w:r w:rsidRPr="00850D17">
              <w:rPr>
                <w:lang w:val="fr-CH"/>
              </w:rPr>
              <w:t xml:space="preserve"> Nations </w:t>
            </w:r>
            <w:r w:rsidR="002B7CA5" w:rsidRPr="00850D17">
              <w:rPr>
                <w:lang w:val="fr-CH"/>
              </w:rPr>
              <w:t>U</w:t>
            </w:r>
            <w:r w:rsidRPr="00850D17">
              <w:rPr>
                <w:lang w:val="fr-CH"/>
              </w:rPr>
              <w:t>nies et les organisations non gouvernementales internationales, avec l’appui d’</w:t>
            </w:r>
            <w:r w:rsidR="0012008D" w:rsidRPr="00850D17">
              <w:rPr>
                <w:lang w:val="fr-CH"/>
              </w:rPr>
              <w:t>États</w:t>
            </w:r>
            <w:r w:rsidRPr="00850D17">
              <w:rPr>
                <w:lang w:val="fr-CH"/>
              </w:rPr>
              <w:t xml:space="preserve"> membres.</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 xml:space="preserve">Durant la période </w:t>
            </w:r>
            <w:r w:rsidR="00685A51">
              <w:rPr>
                <w:lang w:val="fr-CH"/>
              </w:rPr>
              <w:t>considérée</w:t>
            </w:r>
            <w:r w:rsidRPr="00850D17">
              <w:rPr>
                <w:lang w:val="fr-CH"/>
              </w:rPr>
              <w:t xml:space="preserve">, l’assistance technique de la communauté internationale a </w:t>
            </w:r>
            <w:r w:rsidR="00685A51">
              <w:rPr>
                <w:lang w:val="fr-CH"/>
              </w:rPr>
              <w:t>permis</w:t>
            </w:r>
            <w:r w:rsidRPr="00850D17">
              <w:rPr>
                <w:lang w:val="fr-CH"/>
              </w:rPr>
              <w:t xml:space="preserve"> des avancées importantes sur le plan normatif et institutionnel, et dans le comportement des porteurs d’obligations et des titulaires de droits.</w:t>
            </w:r>
          </w:p>
        </w:tc>
      </w:tr>
      <w:tr w:rsidR="00BA27A1" w:rsidRPr="00FE0ABB" w:rsidTr="000744CA">
        <w:trPr>
          <w:jc w:val="center"/>
        </w:trPr>
        <w:tc>
          <w:tcPr>
            <w:tcW w:w="9637" w:type="dxa"/>
            <w:tcBorders>
              <w:bottom w:val="nil"/>
            </w:tcBorders>
            <w:shd w:val="clear" w:color="auto" w:fill="auto"/>
          </w:tcPr>
          <w:p w:rsidR="00BA27A1" w:rsidRPr="00850D17" w:rsidRDefault="00BA27A1" w:rsidP="00C36970">
            <w:pPr>
              <w:pStyle w:val="SingleTxtG"/>
              <w:ind w:firstLine="567"/>
              <w:rPr>
                <w:lang w:val="fr-CH"/>
              </w:rPr>
            </w:pPr>
            <w:r w:rsidRPr="00850D17">
              <w:rPr>
                <w:lang w:val="fr-CH"/>
              </w:rPr>
              <w:t xml:space="preserve">Le cadre juridique national a évolué, notamment par l’adoption, en 2013, de la loi organique conférant aux </w:t>
            </w:r>
            <w:r w:rsidR="00C43FAD">
              <w:rPr>
                <w:lang w:val="fr-CH"/>
              </w:rPr>
              <w:t>c</w:t>
            </w:r>
            <w:r w:rsidRPr="00850D17">
              <w:rPr>
                <w:lang w:val="fr-CH"/>
              </w:rPr>
              <w:t>ours d’</w:t>
            </w:r>
            <w:r w:rsidR="00C43FAD">
              <w:rPr>
                <w:lang w:val="fr-CH"/>
              </w:rPr>
              <w:t>a</w:t>
            </w:r>
            <w:r w:rsidRPr="00850D17">
              <w:rPr>
                <w:lang w:val="fr-CH"/>
              </w:rPr>
              <w:t xml:space="preserve">ppel la prérogative de connaître des crimes de génocide, des crimes de guerre et des crimes contre l’humanité. </w:t>
            </w:r>
          </w:p>
        </w:tc>
      </w:tr>
      <w:tr w:rsidR="00BA27A1" w:rsidRPr="00FE0ABB" w:rsidTr="000744CA">
        <w:trPr>
          <w:jc w:val="center"/>
        </w:trPr>
        <w:tc>
          <w:tcPr>
            <w:tcW w:w="9637" w:type="dxa"/>
            <w:tcBorders>
              <w:top w:val="nil"/>
              <w:left w:val="single" w:sz="4" w:space="0" w:color="auto"/>
              <w:bottom w:val="nil"/>
              <w:right w:val="single" w:sz="4" w:space="0" w:color="auto"/>
            </w:tcBorders>
            <w:shd w:val="clear" w:color="auto" w:fill="auto"/>
          </w:tcPr>
          <w:p w:rsidR="00BA27A1" w:rsidRPr="00850D17" w:rsidRDefault="00BA27A1" w:rsidP="00C36970">
            <w:pPr>
              <w:pStyle w:val="SingleTxtG"/>
              <w:ind w:firstLine="567"/>
              <w:rPr>
                <w:lang w:val="fr-CH"/>
              </w:rPr>
            </w:pPr>
            <w:r w:rsidRPr="00850D17">
              <w:rPr>
                <w:lang w:val="fr-CH"/>
              </w:rPr>
              <w:t>Les développements institutionnels relatifs aux droits de l’homme incluent la création de l’Entité de liaison des droits de l’homme et de la Cellule de protection des défenseurs des droits de l’homme. La Commission nationale des droits de l</w:t>
            </w:r>
            <w:r w:rsidR="0012008D" w:rsidRPr="00850D17">
              <w:rPr>
                <w:lang w:val="fr-CH"/>
              </w:rPr>
              <w:t>’</w:t>
            </w:r>
            <w:r w:rsidRPr="00850D17">
              <w:rPr>
                <w:lang w:val="fr-CH"/>
              </w:rPr>
              <w:t xml:space="preserve">homme a été créée en 2013 et ses membres ont été nommés en 2015. </w:t>
            </w:r>
          </w:p>
        </w:tc>
      </w:tr>
      <w:tr w:rsidR="00BA27A1" w:rsidRPr="00FE0ABB" w:rsidTr="000744CA">
        <w:trPr>
          <w:jc w:val="center"/>
        </w:trPr>
        <w:tc>
          <w:tcPr>
            <w:tcW w:w="9637" w:type="dxa"/>
            <w:tcBorders>
              <w:top w:val="nil"/>
            </w:tcBorders>
            <w:shd w:val="clear" w:color="auto" w:fill="auto"/>
          </w:tcPr>
          <w:p w:rsidR="00BA27A1" w:rsidRPr="00850D17" w:rsidRDefault="00BA27A1" w:rsidP="00C36970">
            <w:pPr>
              <w:pStyle w:val="SingleTxtG"/>
              <w:keepNext/>
              <w:ind w:firstLine="567"/>
              <w:rPr>
                <w:lang w:val="fr-CH"/>
              </w:rPr>
            </w:pPr>
            <w:r w:rsidRPr="00C36970">
              <w:rPr>
                <w:lang w:val="fr-CH"/>
              </w:rPr>
              <w:lastRenderedPageBreak/>
              <w:t>L</w:t>
            </w:r>
            <w:r w:rsidR="005F49F1" w:rsidRPr="00C36970">
              <w:rPr>
                <w:lang w:val="fr-CH"/>
              </w:rPr>
              <w:t xml:space="preserve">e fait que les </w:t>
            </w:r>
            <w:r w:rsidRPr="00C36970">
              <w:rPr>
                <w:lang w:val="fr-CH"/>
              </w:rPr>
              <w:t xml:space="preserve">victimes de violences sexuelles </w:t>
            </w:r>
            <w:r w:rsidR="005F49F1" w:rsidRPr="00C36970">
              <w:rPr>
                <w:lang w:val="fr-CH"/>
              </w:rPr>
              <w:t>ont progressivement pris conscience</w:t>
            </w:r>
            <w:r w:rsidR="005F49F1">
              <w:rPr>
                <w:lang w:val="fr-CH"/>
              </w:rPr>
              <w:t xml:space="preserve"> </w:t>
            </w:r>
            <w:r w:rsidRPr="00850D17">
              <w:rPr>
                <w:lang w:val="fr-CH"/>
              </w:rPr>
              <w:t>de leur besoin de justice et d’assistance a contribué à la lutte contre l’impunité pour les crimes internationaux et les violences sexuelles et sexistes commis par des membres du haut commandement des forces de défense et de sécurité et par des groupes armés. Un nombre croissant de membres des forces de défense et de sécurité et de groupes armés ont été condamnés pour</w:t>
            </w:r>
            <w:r w:rsidR="00347ACF" w:rsidRPr="00850D17">
              <w:rPr>
                <w:lang w:val="fr-CH"/>
              </w:rPr>
              <w:t xml:space="preserve"> </w:t>
            </w:r>
            <w:r w:rsidRPr="00850D17">
              <w:rPr>
                <w:lang w:val="fr-CH"/>
              </w:rPr>
              <w:t>des massacres, violences sexuelles et pillages, y compris à l’emprisonnement à perpétuité.</w:t>
            </w:r>
            <w:r w:rsidR="0012008D" w:rsidRPr="00850D17">
              <w:rPr>
                <w:lang w:val="fr-CH"/>
              </w:rPr>
              <w:t xml:space="preserve"> </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 xml:space="preserve">Le renforcement des capacités des membres des forces de défense et de sécurité et de la société civile, </w:t>
            </w:r>
            <w:r w:rsidR="00F11541">
              <w:rPr>
                <w:lang w:val="fr-CH"/>
              </w:rPr>
              <w:t>de même que</w:t>
            </w:r>
            <w:r w:rsidRPr="00850D17">
              <w:rPr>
                <w:lang w:val="fr-CH"/>
              </w:rPr>
              <w:t xml:space="preserve"> la surveillance accrue des droits de l’homme par la société civile et les Nations </w:t>
            </w:r>
            <w:r w:rsidR="00A13616">
              <w:rPr>
                <w:lang w:val="fr-CH"/>
              </w:rPr>
              <w:t>U</w:t>
            </w:r>
            <w:r w:rsidRPr="00850D17">
              <w:rPr>
                <w:lang w:val="fr-CH"/>
              </w:rPr>
              <w:t xml:space="preserve">nies, la publication de rapports et </w:t>
            </w:r>
            <w:r w:rsidR="00F11541">
              <w:rPr>
                <w:lang w:val="fr-CH"/>
              </w:rPr>
              <w:t>le</w:t>
            </w:r>
            <w:r w:rsidR="00F11541" w:rsidRPr="00850D17">
              <w:rPr>
                <w:lang w:val="fr-CH"/>
              </w:rPr>
              <w:t xml:space="preserve"> </w:t>
            </w:r>
            <w:r w:rsidRPr="00850D17">
              <w:rPr>
                <w:lang w:val="fr-CH"/>
              </w:rPr>
              <w:t xml:space="preserve">plaidoyer, et </w:t>
            </w:r>
            <w:r w:rsidR="00F11541">
              <w:rPr>
                <w:lang w:val="fr-CH"/>
              </w:rPr>
              <w:t>les</w:t>
            </w:r>
            <w:r w:rsidR="00F11541" w:rsidRPr="00850D17">
              <w:rPr>
                <w:lang w:val="fr-CH"/>
              </w:rPr>
              <w:t xml:space="preserve"> </w:t>
            </w:r>
            <w:r w:rsidRPr="00850D17">
              <w:rPr>
                <w:lang w:val="fr-CH"/>
              </w:rPr>
              <w:t xml:space="preserve">condamnations susmentionnées ont globalement contribué à une plus grande prise de conscience des autorités concernant leurs obligations et à une diminution </w:t>
            </w:r>
            <w:r w:rsidR="00052A98">
              <w:rPr>
                <w:lang w:val="fr-CH"/>
              </w:rPr>
              <w:t xml:space="preserve">du nombre </w:t>
            </w:r>
            <w:r w:rsidRPr="00850D17">
              <w:rPr>
                <w:lang w:val="fr-CH"/>
              </w:rPr>
              <w:t xml:space="preserve">de </w:t>
            </w:r>
            <w:r w:rsidR="00F54FF5">
              <w:rPr>
                <w:lang w:val="fr-CH"/>
              </w:rPr>
              <w:t xml:space="preserve">cas de </w:t>
            </w:r>
            <w:r w:rsidRPr="00850D17">
              <w:rPr>
                <w:lang w:val="fr-CH"/>
              </w:rPr>
              <w:t>violations des droits de l’homme.</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Les mécanismes de protection des civils mis en place dans les zones en proie aux attaques armées dans l’</w:t>
            </w:r>
            <w:r w:rsidR="00F54FF5">
              <w:rPr>
                <w:lang w:val="fr-CH"/>
              </w:rPr>
              <w:t>e</w:t>
            </w:r>
            <w:r w:rsidRPr="00850D17">
              <w:rPr>
                <w:lang w:val="fr-CH"/>
              </w:rPr>
              <w:t>st du pays ont permis de renforcer la protection des populations.</w:t>
            </w:r>
            <w:r w:rsidR="0012008D" w:rsidRPr="00850D17">
              <w:rPr>
                <w:lang w:val="fr-CH"/>
              </w:rPr>
              <w:t xml:space="preserve"> </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 xml:space="preserve">Malgré l’impact positif de l’assistance technique fournie par la communauté internationale en matière de droits de l’homme, de nombreux problèmes subsistent. La lutte contre l’impunité demeure une préoccupation majeure. Des défis subsistent sur le plan juridique car des lois importantes en matière de protection des droits de l’homme n’ont pas été adoptées, concernant </w:t>
            </w:r>
            <w:r w:rsidR="001A20B5" w:rsidRPr="00850D17">
              <w:rPr>
                <w:lang w:val="fr-CH"/>
              </w:rPr>
              <w:t xml:space="preserve">notamment </w:t>
            </w:r>
            <w:r w:rsidRPr="00850D17">
              <w:rPr>
                <w:lang w:val="fr-CH"/>
              </w:rPr>
              <w:t>les défenseurs des droits de l’homme ou la parité homme-femme et le genre.</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Sur le plan institutionnel, des conflits de compétences existent, notamment</w:t>
            </w:r>
            <w:r w:rsidR="00EA747F">
              <w:rPr>
                <w:lang w:val="fr-CH"/>
              </w:rPr>
              <w:t xml:space="preserve"> </w:t>
            </w:r>
            <w:r w:rsidRPr="00850D17">
              <w:rPr>
                <w:lang w:val="fr-CH"/>
              </w:rPr>
              <w:t xml:space="preserve">entre les attributions de la </w:t>
            </w:r>
            <w:r w:rsidR="00C30C98" w:rsidRPr="00850D17">
              <w:rPr>
                <w:lang w:val="fr-CH"/>
              </w:rPr>
              <w:t>Commission nationale des droits de l’homme</w:t>
            </w:r>
            <w:r w:rsidRPr="00850D17">
              <w:rPr>
                <w:lang w:val="fr-CH"/>
              </w:rPr>
              <w:t xml:space="preserve"> et l’Entité de liaison des droits de l’homme, et aucun mécanisme national de prévention de la torture n’a été établi,</w:t>
            </w:r>
            <w:r w:rsidR="0012008D" w:rsidRPr="00850D17">
              <w:rPr>
                <w:lang w:val="fr-CH"/>
              </w:rPr>
              <w:t xml:space="preserve"> </w:t>
            </w:r>
            <w:r w:rsidRPr="00850D17">
              <w:rPr>
                <w:lang w:val="fr-CH"/>
              </w:rPr>
              <w:t xml:space="preserve">bien que la </w:t>
            </w:r>
            <w:r w:rsidR="00C43FAD" w:rsidRPr="00850D17">
              <w:rPr>
                <w:lang w:val="fr-CH"/>
              </w:rPr>
              <w:t>République démocratique du Congo</w:t>
            </w:r>
            <w:r w:rsidRPr="00850D17">
              <w:rPr>
                <w:lang w:val="fr-CH"/>
              </w:rPr>
              <w:t xml:space="preserve"> soit partie</w:t>
            </w:r>
            <w:r w:rsidR="00A37B46">
              <w:rPr>
                <w:lang w:val="fr-CH"/>
              </w:rPr>
              <w:t xml:space="preserve"> </w:t>
            </w:r>
            <w:r w:rsidRPr="00850D17">
              <w:rPr>
                <w:lang w:val="fr-CH"/>
              </w:rPr>
              <w:t xml:space="preserve">au Protocole facultatif se rapportant à la Convention contre la torture et autres peines ou traitements cruels, inhumains ou dégradants. </w:t>
            </w:r>
          </w:p>
        </w:tc>
      </w:tr>
      <w:tr w:rsidR="00BA27A1" w:rsidRPr="00FE0ABB" w:rsidTr="00BA27A1">
        <w:trPr>
          <w:jc w:val="center"/>
        </w:trPr>
        <w:tc>
          <w:tcPr>
            <w:tcW w:w="9637" w:type="dxa"/>
            <w:shd w:val="clear" w:color="auto" w:fill="auto"/>
          </w:tcPr>
          <w:p w:rsidR="00BA27A1" w:rsidRPr="00850D17" w:rsidRDefault="00BA27A1" w:rsidP="00C36970">
            <w:pPr>
              <w:pStyle w:val="SingleTxtG"/>
              <w:ind w:firstLine="567"/>
              <w:rPr>
                <w:lang w:val="fr-CH"/>
              </w:rPr>
            </w:pPr>
            <w:r w:rsidRPr="00850D17">
              <w:rPr>
                <w:lang w:val="fr-CH"/>
              </w:rPr>
              <w:t>La majorité des interventions de la communauté internationale se sont concentrées sur l’</w:t>
            </w:r>
            <w:r w:rsidR="00572B0E">
              <w:rPr>
                <w:lang w:val="fr-CH"/>
              </w:rPr>
              <w:t>e</w:t>
            </w:r>
            <w:r w:rsidRPr="00850D17">
              <w:rPr>
                <w:lang w:val="fr-CH"/>
              </w:rPr>
              <w:t>st du pays et ont été, pour la plupart, de nature conjoncturelle, ce qui n’a pas favorisé la pérennisation des résultats.</w:t>
            </w:r>
          </w:p>
        </w:tc>
      </w:tr>
      <w:tr w:rsidR="00BA27A1" w:rsidRPr="00FE0ABB" w:rsidTr="00BA27A1">
        <w:trPr>
          <w:jc w:val="center"/>
        </w:trPr>
        <w:tc>
          <w:tcPr>
            <w:tcW w:w="9637" w:type="dxa"/>
            <w:shd w:val="clear" w:color="auto" w:fill="auto"/>
          </w:tcPr>
          <w:p w:rsidR="00BA27A1" w:rsidRPr="00850D17" w:rsidRDefault="00BA27A1" w:rsidP="00BA27A1">
            <w:pPr>
              <w:rPr>
                <w:lang w:val="fr-CH"/>
              </w:rPr>
            </w:pPr>
          </w:p>
        </w:tc>
      </w:tr>
    </w:tbl>
    <w:p w:rsidR="00BA27A1" w:rsidRPr="00850D17" w:rsidRDefault="00BA27A1" w:rsidP="00BA27A1">
      <w:pPr>
        <w:rPr>
          <w:lang w:val="fr-CH"/>
        </w:rPr>
      </w:pPr>
    </w:p>
    <w:p w:rsidR="00347ACF" w:rsidRPr="00850D17" w:rsidRDefault="00D20F51" w:rsidP="00C36970">
      <w:pPr>
        <w:pStyle w:val="HChG"/>
        <w:rPr>
          <w:sz w:val="24"/>
          <w:szCs w:val="24"/>
          <w:lang w:val="fr-CH"/>
        </w:rPr>
      </w:pPr>
      <w:r w:rsidRPr="00850D17">
        <w:rPr>
          <w:sz w:val="24"/>
          <w:szCs w:val="24"/>
          <w:lang w:val="fr-CH"/>
        </w:rPr>
        <w:br w:type="page"/>
      </w:r>
    </w:p>
    <w:p w:rsidR="00F30381" w:rsidRDefault="00F30381" w:rsidP="00F30381">
      <w:pPr>
        <w:spacing w:after="120"/>
        <w:rPr>
          <w:sz w:val="28"/>
          <w:lang w:val="fr-CH"/>
        </w:rPr>
      </w:pPr>
      <w:r>
        <w:rPr>
          <w:sz w:val="28"/>
          <w:lang w:val="fr-CH"/>
        </w:rPr>
        <w:lastRenderedPageBreak/>
        <w:t>Table des matières</w:t>
      </w:r>
    </w:p>
    <w:p w:rsidR="00F30381" w:rsidRDefault="00F30381" w:rsidP="00F30381">
      <w:pPr>
        <w:tabs>
          <w:tab w:val="right" w:pos="9638"/>
        </w:tabs>
        <w:spacing w:after="120"/>
        <w:ind w:left="283"/>
        <w:rPr>
          <w:sz w:val="18"/>
          <w:lang w:val="fr-CH"/>
        </w:rPr>
      </w:pPr>
      <w:r>
        <w:rPr>
          <w:i/>
          <w:sz w:val="18"/>
          <w:lang w:val="fr-CH"/>
        </w:rPr>
        <w:tab/>
        <w:t>Page</w:t>
      </w:r>
    </w:p>
    <w:p w:rsidR="00F30381" w:rsidRDefault="00257A23" w:rsidP="00F30381">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 xml:space="preserve">Liste des </w:t>
      </w:r>
      <w:r w:rsidR="00F30381">
        <w:rPr>
          <w:lang w:val="fr-CH"/>
        </w:rPr>
        <w:t>abréviations</w:t>
      </w:r>
      <w:r w:rsidR="00F30381">
        <w:rPr>
          <w:lang w:val="fr-CH"/>
        </w:rPr>
        <w:tab/>
      </w:r>
      <w:r w:rsidR="00F30381">
        <w:rPr>
          <w:lang w:val="fr-CH"/>
        </w:rPr>
        <w:tab/>
        <w:t>4</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I.</w:t>
      </w:r>
      <w:r>
        <w:rPr>
          <w:lang w:val="fr-CH"/>
        </w:rPr>
        <w:tab/>
        <w:t>Introduction</w:t>
      </w:r>
      <w:r>
        <w:rPr>
          <w:lang w:val="fr-CH"/>
        </w:rPr>
        <w:tab/>
      </w:r>
      <w:r>
        <w:rPr>
          <w:lang w:val="fr-CH"/>
        </w:rPr>
        <w:tab/>
      </w:r>
      <w:r w:rsidR="00840AA4">
        <w:rPr>
          <w:lang w:val="fr-CH"/>
        </w:rPr>
        <w:t>5</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II.</w:t>
      </w:r>
      <w:r>
        <w:rPr>
          <w:lang w:val="fr-CH"/>
        </w:rPr>
        <w:tab/>
        <w:t>Délimitation de l’étude</w:t>
      </w:r>
      <w:r>
        <w:rPr>
          <w:lang w:val="fr-CH"/>
        </w:rPr>
        <w:tab/>
      </w:r>
      <w:r>
        <w:rPr>
          <w:lang w:val="fr-CH"/>
        </w:rPr>
        <w:tab/>
      </w:r>
      <w:r w:rsidR="00840AA4">
        <w:rPr>
          <w:lang w:val="fr-CH"/>
        </w:rPr>
        <w:t>5</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III.</w:t>
      </w:r>
      <w:r>
        <w:rPr>
          <w:lang w:val="fr-CH"/>
        </w:rPr>
        <w:tab/>
        <w:t>Méthodologie</w:t>
      </w:r>
      <w:r>
        <w:rPr>
          <w:lang w:val="fr-CH"/>
        </w:rPr>
        <w:tab/>
      </w:r>
      <w:r>
        <w:rPr>
          <w:lang w:val="fr-CH"/>
        </w:rPr>
        <w:tab/>
      </w:r>
      <w:r w:rsidR="00840AA4">
        <w:rPr>
          <w:lang w:val="fr-CH"/>
        </w:rPr>
        <w:t>6</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IV.</w:t>
      </w:r>
      <w:r>
        <w:rPr>
          <w:lang w:val="fr-CH"/>
        </w:rPr>
        <w:tab/>
        <w:t xml:space="preserve">Principales interventions de la communauté internationale </w:t>
      </w:r>
      <w:r>
        <w:rPr>
          <w:lang w:val="fr-CH"/>
        </w:rPr>
        <w:tab/>
      </w:r>
      <w:r>
        <w:rPr>
          <w:lang w:val="fr-CH"/>
        </w:rPr>
        <w:tab/>
      </w:r>
      <w:r w:rsidR="00840AA4">
        <w:rPr>
          <w:lang w:val="fr-CH"/>
        </w:rPr>
        <w:t>7</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A.</w:t>
      </w:r>
      <w:r>
        <w:rPr>
          <w:lang w:val="fr-CH"/>
        </w:rPr>
        <w:tab/>
        <w:t xml:space="preserve">Appui à l’administration de la justice dans la lutte contre l’impunité </w:t>
      </w:r>
      <w:r>
        <w:rPr>
          <w:lang w:val="fr-CH"/>
        </w:rPr>
        <w:tab/>
      </w:r>
      <w:r>
        <w:rPr>
          <w:lang w:val="fr-CH"/>
        </w:rPr>
        <w:tab/>
      </w:r>
      <w:r w:rsidR="00840AA4">
        <w:rPr>
          <w:lang w:val="fr-CH"/>
        </w:rPr>
        <w:t>7</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B.</w:t>
      </w:r>
      <w:r>
        <w:rPr>
          <w:lang w:val="fr-CH"/>
        </w:rPr>
        <w:tab/>
        <w:t xml:space="preserve">Renforcement du système national de protection des droits de l’homme </w:t>
      </w:r>
      <w:r>
        <w:rPr>
          <w:lang w:val="fr-CH"/>
        </w:rPr>
        <w:br/>
      </w:r>
      <w:r>
        <w:rPr>
          <w:lang w:val="fr-CH"/>
        </w:rPr>
        <w:tab/>
      </w:r>
      <w:r>
        <w:rPr>
          <w:lang w:val="fr-CH"/>
        </w:rPr>
        <w:tab/>
      </w:r>
      <w:r>
        <w:rPr>
          <w:lang w:val="fr-CH"/>
        </w:rPr>
        <w:tab/>
        <w:t xml:space="preserve">et collaboration avec les mécanismes internationaux </w:t>
      </w:r>
      <w:r w:rsidRPr="00C36970">
        <w:rPr>
          <w:lang w:val="fr-CH"/>
        </w:rPr>
        <w:t>des droits de l’homme</w:t>
      </w:r>
      <w:r>
        <w:rPr>
          <w:lang w:val="fr-CH"/>
        </w:rPr>
        <w:tab/>
      </w:r>
      <w:r>
        <w:rPr>
          <w:lang w:val="fr-CH"/>
        </w:rPr>
        <w:tab/>
        <w:t>1</w:t>
      </w:r>
      <w:r w:rsidR="00840AA4">
        <w:rPr>
          <w:lang w:val="fr-CH"/>
        </w:rPr>
        <w:t>1</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C.</w:t>
      </w:r>
      <w:r>
        <w:rPr>
          <w:lang w:val="fr-CH"/>
        </w:rPr>
        <w:tab/>
        <w:t xml:space="preserve">Protection des civils dans le cadre du conflit armé </w:t>
      </w:r>
      <w:r>
        <w:rPr>
          <w:lang w:val="fr-CH"/>
        </w:rPr>
        <w:tab/>
      </w:r>
      <w:r>
        <w:rPr>
          <w:lang w:val="fr-CH"/>
        </w:rPr>
        <w:tab/>
        <w:t>1</w:t>
      </w:r>
      <w:r w:rsidR="00840AA4">
        <w:rPr>
          <w:lang w:val="fr-CH"/>
        </w:rPr>
        <w:t>3</w:t>
      </w:r>
    </w:p>
    <w:p w:rsidR="00F30381" w:rsidRDefault="00F30381" w:rsidP="00F30381">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D.</w:t>
      </w:r>
      <w:r>
        <w:rPr>
          <w:lang w:val="fr-CH"/>
        </w:rPr>
        <w:tab/>
        <w:t xml:space="preserve">Droits économiques et sociaux </w:t>
      </w:r>
      <w:r>
        <w:rPr>
          <w:lang w:val="fr-CH"/>
        </w:rPr>
        <w:tab/>
      </w:r>
      <w:r>
        <w:rPr>
          <w:lang w:val="fr-CH"/>
        </w:rPr>
        <w:tab/>
        <w:t>16</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V.</w:t>
      </w:r>
      <w:r>
        <w:rPr>
          <w:lang w:val="fr-CH"/>
        </w:rPr>
        <w:tab/>
        <w:t>Prise en compte des questions de genre</w:t>
      </w:r>
      <w:r>
        <w:rPr>
          <w:lang w:val="fr-CH"/>
        </w:rPr>
        <w:tab/>
      </w:r>
      <w:r>
        <w:rPr>
          <w:lang w:val="fr-CH"/>
        </w:rPr>
        <w:tab/>
        <w:t>1</w:t>
      </w:r>
      <w:r w:rsidR="00840AA4">
        <w:rPr>
          <w:lang w:val="fr-CH"/>
        </w:rPr>
        <w:t>7</w:t>
      </w:r>
    </w:p>
    <w:p w:rsidR="00F30381" w:rsidRDefault="00F30381" w:rsidP="00F30381">
      <w:pPr>
        <w:tabs>
          <w:tab w:val="right" w:pos="850"/>
          <w:tab w:val="left" w:pos="1134"/>
          <w:tab w:val="left" w:pos="1559"/>
          <w:tab w:val="left" w:pos="1984"/>
          <w:tab w:val="left" w:leader="dot" w:pos="8929"/>
          <w:tab w:val="right" w:pos="9638"/>
        </w:tabs>
        <w:spacing w:after="120"/>
        <w:rPr>
          <w:lang w:val="fr-CH"/>
        </w:rPr>
      </w:pPr>
      <w:r>
        <w:rPr>
          <w:lang w:val="fr-CH"/>
        </w:rPr>
        <w:tab/>
        <w:t>VI.</w:t>
      </w:r>
      <w:r>
        <w:rPr>
          <w:lang w:val="fr-CH"/>
        </w:rPr>
        <w:tab/>
        <w:t>Conclusion</w:t>
      </w:r>
      <w:r>
        <w:rPr>
          <w:lang w:val="fr-CH"/>
        </w:rPr>
        <w:tab/>
      </w:r>
      <w:r>
        <w:rPr>
          <w:lang w:val="fr-CH"/>
        </w:rPr>
        <w:tab/>
        <w:t>18</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t>VII.</w:t>
      </w:r>
      <w:r>
        <w:rPr>
          <w:lang w:val="fr-CH"/>
        </w:rPr>
        <w:tab/>
        <w:t xml:space="preserve">Recommandations </w:t>
      </w:r>
      <w:r>
        <w:rPr>
          <w:lang w:val="fr-CH"/>
        </w:rPr>
        <w:tab/>
      </w:r>
      <w:r>
        <w:rPr>
          <w:lang w:val="fr-CH"/>
        </w:rPr>
        <w:tab/>
        <w:t>1</w:t>
      </w:r>
      <w:r w:rsidR="00840AA4">
        <w:rPr>
          <w:lang w:val="fr-CH"/>
        </w:rPr>
        <w:t>8</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A.</w:t>
      </w:r>
      <w:r>
        <w:rPr>
          <w:lang w:val="fr-CH"/>
        </w:rPr>
        <w:tab/>
      </w:r>
      <w:r w:rsidR="00840AA4">
        <w:rPr>
          <w:rFonts w:eastAsia="SimSun"/>
          <w:lang w:val="fr-CH"/>
        </w:rPr>
        <w:t>Au G</w:t>
      </w:r>
      <w:r>
        <w:rPr>
          <w:rFonts w:eastAsia="SimSun"/>
          <w:lang w:val="fr-CH"/>
        </w:rPr>
        <w:t>ouvernement</w:t>
      </w:r>
      <w:r>
        <w:rPr>
          <w:lang w:val="fr-CH"/>
        </w:rPr>
        <w:tab/>
      </w:r>
      <w:r>
        <w:rPr>
          <w:lang w:val="fr-CH"/>
        </w:rPr>
        <w:tab/>
        <w:t>1</w:t>
      </w:r>
      <w:r w:rsidR="00840AA4">
        <w:rPr>
          <w:lang w:val="fr-CH"/>
        </w:rPr>
        <w:t>8</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B.</w:t>
      </w:r>
      <w:r>
        <w:rPr>
          <w:lang w:val="fr-CH"/>
        </w:rPr>
        <w:tab/>
      </w:r>
      <w:r>
        <w:rPr>
          <w:rFonts w:eastAsia="SimSun"/>
          <w:lang w:val="fr-CH"/>
        </w:rPr>
        <w:t>Au B</w:t>
      </w:r>
      <w:r w:rsidR="001D7555">
        <w:rPr>
          <w:rFonts w:eastAsia="SimSun"/>
          <w:lang w:val="fr-CH"/>
        </w:rPr>
        <w:t>ureau conjoint des Nations Unies pour les droits de l</w:t>
      </w:r>
      <w:r w:rsidR="001D7555" w:rsidRPr="001D7555">
        <w:rPr>
          <w:rFonts w:eastAsia="SimSun"/>
          <w:lang w:val="fr-CH"/>
        </w:rPr>
        <w:t>’</w:t>
      </w:r>
      <w:r w:rsidR="001D7555">
        <w:rPr>
          <w:rFonts w:eastAsia="SimSun"/>
          <w:lang w:val="fr-CH"/>
        </w:rPr>
        <w:t>homme et à l’é</w:t>
      </w:r>
      <w:r>
        <w:rPr>
          <w:rFonts w:eastAsia="SimSun"/>
          <w:lang w:val="fr-CH"/>
        </w:rPr>
        <w:t xml:space="preserve">quipe </w:t>
      </w:r>
      <w:r w:rsidR="0036788B">
        <w:rPr>
          <w:rFonts w:eastAsia="SimSun"/>
          <w:lang w:val="fr-CH"/>
        </w:rPr>
        <w:t xml:space="preserve">de </w:t>
      </w:r>
      <w:r>
        <w:rPr>
          <w:rFonts w:eastAsia="SimSun"/>
          <w:lang w:val="fr-CH"/>
        </w:rPr>
        <w:t xml:space="preserve">pays </w:t>
      </w:r>
      <w:r w:rsidR="0036788B">
        <w:rPr>
          <w:lang w:val="fr-CH"/>
        </w:rPr>
        <w:br/>
      </w:r>
      <w:r w:rsidR="0036788B">
        <w:rPr>
          <w:rFonts w:eastAsia="SimSun"/>
          <w:lang w:val="fr-CH"/>
        </w:rPr>
        <w:tab/>
      </w:r>
      <w:r w:rsidR="0036788B">
        <w:rPr>
          <w:rFonts w:eastAsia="SimSun"/>
          <w:lang w:val="fr-CH"/>
        </w:rPr>
        <w:tab/>
      </w:r>
      <w:r w:rsidR="006F6BD4">
        <w:rPr>
          <w:rFonts w:eastAsia="SimSun"/>
          <w:lang w:val="fr-CH"/>
        </w:rPr>
        <w:tab/>
      </w:r>
      <w:r>
        <w:rPr>
          <w:rFonts w:eastAsia="SimSun"/>
          <w:lang w:val="fr-CH"/>
        </w:rPr>
        <w:t>des Nations Unies</w:t>
      </w:r>
      <w:r>
        <w:rPr>
          <w:lang w:val="fr-CH"/>
        </w:rPr>
        <w:tab/>
      </w:r>
      <w:r>
        <w:rPr>
          <w:lang w:val="fr-CH"/>
        </w:rPr>
        <w:tab/>
        <w:t>19</w:t>
      </w:r>
    </w:p>
    <w:p w:rsidR="00F30381" w:rsidRDefault="00F30381" w:rsidP="00C36970">
      <w:pPr>
        <w:tabs>
          <w:tab w:val="right" w:pos="850"/>
          <w:tab w:val="left" w:pos="1134"/>
          <w:tab w:val="left" w:pos="1559"/>
          <w:tab w:val="left" w:pos="1984"/>
          <w:tab w:val="left" w:leader="dot" w:pos="8929"/>
          <w:tab w:val="right" w:pos="9638"/>
        </w:tabs>
        <w:spacing w:after="120"/>
        <w:rPr>
          <w:lang w:val="fr-CH"/>
        </w:rPr>
      </w:pPr>
      <w:r>
        <w:rPr>
          <w:lang w:val="fr-CH"/>
        </w:rPr>
        <w:tab/>
      </w:r>
      <w:r>
        <w:rPr>
          <w:lang w:val="fr-CH"/>
        </w:rPr>
        <w:tab/>
        <w:t>C.</w:t>
      </w:r>
      <w:r>
        <w:rPr>
          <w:lang w:val="fr-CH"/>
        </w:rPr>
        <w:tab/>
      </w:r>
      <w:r>
        <w:rPr>
          <w:rFonts w:eastAsia="SimSun"/>
          <w:lang w:val="fr-CH"/>
        </w:rPr>
        <w:t>À la communauté internationale</w:t>
      </w:r>
      <w:r>
        <w:rPr>
          <w:lang w:val="fr-CH"/>
        </w:rPr>
        <w:tab/>
      </w:r>
      <w:r>
        <w:rPr>
          <w:lang w:val="fr-CH"/>
        </w:rPr>
        <w:tab/>
      </w:r>
      <w:r w:rsidR="00840AA4">
        <w:rPr>
          <w:lang w:val="fr-CH"/>
        </w:rPr>
        <w:t>19</w:t>
      </w:r>
    </w:p>
    <w:p w:rsidR="00AD56AA" w:rsidRPr="00850D17" w:rsidRDefault="00F30381" w:rsidP="00C36970">
      <w:pPr>
        <w:pStyle w:val="HChG"/>
        <w:rPr>
          <w:color w:val="000000"/>
          <w:sz w:val="24"/>
          <w:szCs w:val="24"/>
          <w:lang w:val="fr-CH"/>
        </w:rPr>
      </w:pPr>
      <w:r>
        <w:rPr>
          <w:sz w:val="24"/>
          <w:szCs w:val="24"/>
          <w:lang w:val="fr-CH"/>
        </w:rPr>
        <w:br w:type="page"/>
      </w:r>
      <w:r w:rsidR="00BA3E41" w:rsidRPr="00850D17">
        <w:rPr>
          <w:sz w:val="24"/>
          <w:szCs w:val="24"/>
          <w:lang w:val="fr-CH"/>
        </w:rPr>
        <w:lastRenderedPageBreak/>
        <w:tab/>
      </w:r>
      <w:r w:rsidR="00BA3E41" w:rsidRPr="00850D17">
        <w:rPr>
          <w:sz w:val="24"/>
          <w:szCs w:val="24"/>
          <w:lang w:val="fr-CH"/>
        </w:rPr>
        <w:tab/>
      </w:r>
      <w:r w:rsidR="00AD56AA" w:rsidRPr="00C36970">
        <w:rPr>
          <w:lang w:val="fr-CH"/>
        </w:rPr>
        <w:t>Liste des abréviations</w:t>
      </w: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418"/>
        <w:gridCol w:w="5954"/>
      </w:tblGrid>
      <w:tr w:rsidR="00776A36" w:rsidRPr="00850D17"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ANR</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Agence nationale de renseignements</w:t>
            </w:r>
          </w:p>
        </w:tc>
      </w:tr>
      <w:tr w:rsidR="00776A36" w:rsidRPr="00FE0ABB" w:rsidTr="00C36970">
        <w:tc>
          <w:tcPr>
            <w:tcW w:w="1418" w:type="dxa"/>
            <w:tcBorders>
              <w:top w:val="nil"/>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BCNUDH</w:t>
            </w:r>
          </w:p>
        </w:tc>
        <w:tc>
          <w:tcPr>
            <w:tcW w:w="5954" w:type="dxa"/>
            <w:tcBorders>
              <w:top w:val="nil"/>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 xml:space="preserve">Bureau conjoint des Nations </w:t>
            </w:r>
            <w:r w:rsidR="002B7CA5" w:rsidRPr="00850D17">
              <w:rPr>
                <w:lang w:val="fr-CH"/>
              </w:rPr>
              <w:t>U</w:t>
            </w:r>
            <w:r w:rsidRPr="00850D17">
              <w:rPr>
                <w:lang w:val="fr-CH"/>
              </w:rPr>
              <w:t>nies pour les droits de l’homme</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CIDH</w:t>
            </w:r>
          </w:p>
        </w:tc>
        <w:tc>
          <w:tcPr>
            <w:tcW w:w="5954" w:type="dxa"/>
            <w:shd w:val="clear" w:color="auto" w:fill="auto"/>
          </w:tcPr>
          <w:p w:rsidR="00776A36" w:rsidRPr="00850D17" w:rsidRDefault="00776A36" w:rsidP="00084C23">
            <w:pPr>
              <w:suppressAutoHyphens w:val="0"/>
              <w:spacing w:after="120"/>
              <w:ind w:right="113"/>
              <w:rPr>
                <w:lang w:val="fr-CH"/>
              </w:rPr>
            </w:pPr>
            <w:r w:rsidRPr="00850D17">
              <w:rPr>
                <w:lang w:val="fr-CH"/>
              </w:rPr>
              <w:t xml:space="preserve">Comité technique interministériel </w:t>
            </w:r>
            <w:r w:rsidR="00B3389E">
              <w:rPr>
                <w:lang w:val="fr-CH"/>
              </w:rPr>
              <w:t>chargé de l</w:t>
            </w:r>
            <w:r w:rsidRPr="00850D17">
              <w:rPr>
                <w:lang w:val="fr-CH"/>
              </w:rPr>
              <w:t>’élaboration et d</w:t>
            </w:r>
            <w:r w:rsidR="00B3389E">
              <w:rPr>
                <w:lang w:val="fr-CH"/>
              </w:rPr>
              <w:t>u</w:t>
            </w:r>
            <w:r w:rsidRPr="00850D17">
              <w:rPr>
                <w:lang w:val="fr-CH"/>
              </w:rPr>
              <w:t xml:space="preserve"> suivi des rapports initiaux et périodiques </w:t>
            </w:r>
            <w:r w:rsidR="00B3389E">
              <w:rPr>
                <w:lang w:val="fr-CH"/>
              </w:rPr>
              <w:t>au titre des instruments relatifs aux</w:t>
            </w:r>
            <w:r w:rsidRPr="00850D17">
              <w:rPr>
                <w:lang w:val="fr-CH"/>
              </w:rPr>
              <w:t xml:space="preserve"> droits de l’homme</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CNDH</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Commission </w:t>
            </w:r>
            <w:r w:rsidR="00C5162C">
              <w:rPr>
                <w:lang w:val="fr-CH"/>
              </w:rPr>
              <w:t xml:space="preserve">nationale </w:t>
            </w:r>
            <w:r w:rsidRPr="00850D17">
              <w:rPr>
                <w:lang w:val="fr-CH"/>
              </w:rPr>
              <w:t>des droits de l’homme</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shd w:val="clear" w:color="auto" w:fill="FFFFFF"/>
                <w:lang w:val="fr-CH"/>
              </w:rPr>
              <w:t>DSCRP</w:t>
            </w:r>
          </w:p>
        </w:tc>
        <w:tc>
          <w:tcPr>
            <w:tcW w:w="5954" w:type="dxa"/>
            <w:shd w:val="clear" w:color="auto" w:fill="auto"/>
          </w:tcPr>
          <w:p w:rsidR="00776A36" w:rsidRPr="00850D17" w:rsidRDefault="00776A36" w:rsidP="002B7CA5">
            <w:pPr>
              <w:suppressAutoHyphens w:val="0"/>
              <w:spacing w:after="120"/>
              <w:ind w:right="113"/>
              <w:rPr>
                <w:shd w:val="clear" w:color="auto" w:fill="FFFFFF"/>
                <w:lang w:val="fr-CH"/>
              </w:rPr>
            </w:pPr>
            <w:r w:rsidRPr="00850D17">
              <w:rPr>
                <w:shd w:val="clear" w:color="auto" w:fill="FFFFFF"/>
                <w:lang w:val="fr-CH"/>
              </w:rPr>
              <w:t>Document de la stratégie de croissance et de réduction de la pauvreté</w:t>
            </w:r>
          </w:p>
        </w:tc>
      </w:tr>
      <w:tr w:rsidR="00776A36" w:rsidRPr="00850D17"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EPU</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Examen périodique universel </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FARDC</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Forces armées de la République démocratique du Congo </w:t>
            </w:r>
          </w:p>
        </w:tc>
      </w:tr>
      <w:tr w:rsidR="00126DE3" w:rsidRPr="00FE0ABB" w:rsidTr="00EC2635">
        <w:tc>
          <w:tcPr>
            <w:tcW w:w="1418" w:type="dxa"/>
            <w:shd w:val="clear" w:color="auto" w:fill="auto"/>
          </w:tcPr>
          <w:p w:rsidR="00126DE3" w:rsidRPr="00850D17" w:rsidRDefault="00126DE3" w:rsidP="002B7CA5">
            <w:pPr>
              <w:suppressAutoHyphens w:val="0"/>
              <w:spacing w:after="120"/>
              <w:ind w:right="113"/>
              <w:rPr>
                <w:shd w:val="clear" w:color="auto" w:fill="FFFFFF"/>
                <w:lang w:val="fr-CH"/>
              </w:rPr>
            </w:pPr>
            <w:r>
              <w:rPr>
                <w:lang w:val="fr-CH"/>
              </w:rPr>
              <w:t>FNUAP</w:t>
            </w:r>
          </w:p>
        </w:tc>
        <w:tc>
          <w:tcPr>
            <w:tcW w:w="5954" w:type="dxa"/>
            <w:shd w:val="clear" w:color="auto" w:fill="auto"/>
          </w:tcPr>
          <w:p w:rsidR="00126DE3" w:rsidRPr="00850D17" w:rsidRDefault="00126DE3" w:rsidP="002B7CA5">
            <w:pPr>
              <w:suppressAutoHyphens w:val="0"/>
              <w:spacing w:after="120"/>
              <w:ind w:right="113"/>
              <w:rPr>
                <w:shd w:val="clear" w:color="auto" w:fill="FFFFFF"/>
                <w:lang w:val="fr-CH"/>
              </w:rPr>
            </w:pPr>
            <w:r w:rsidRPr="00850D17">
              <w:rPr>
                <w:lang w:val="fr-CH"/>
              </w:rPr>
              <w:t>Fonds des Nations U</w:t>
            </w:r>
            <w:r>
              <w:rPr>
                <w:lang w:val="fr-CH"/>
              </w:rPr>
              <w:t>nies pour la population</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shd w:val="clear" w:color="auto" w:fill="FFFFFF"/>
                <w:lang w:val="fr-CH"/>
              </w:rPr>
              <w:t>HCDH</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shd w:val="clear" w:color="auto" w:fill="FFFFFF"/>
                <w:lang w:val="fr-CH"/>
              </w:rPr>
              <w:t xml:space="preserve">Haut-Commissariat des Nations </w:t>
            </w:r>
            <w:r w:rsidR="002B7CA5" w:rsidRPr="00850D17">
              <w:rPr>
                <w:shd w:val="clear" w:color="auto" w:fill="FFFFFF"/>
                <w:lang w:val="fr-CH"/>
              </w:rPr>
              <w:t>U</w:t>
            </w:r>
            <w:r w:rsidRPr="00850D17">
              <w:rPr>
                <w:shd w:val="clear" w:color="auto" w:fill="FFFFFF"/>
                <w:lang w:val="fr-CH"/>
              </w:rPr>
              <w:t>nies aux droits de l’homme</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HCR</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Haut-Commissariat des Nations </w:t>
            </w:r>
            <w:r w:rsidR="002B7CA5" w:rsidRPr="00850D17">
              <w:rPr>
                <w:lang w:val="fr-CH"/>
              </w:rPr>
              <w:t>U</w:t>
            </w:r>
            <w:r w:rsidRPr="00850D17">
              <w:rPr>
                <w:lang w:val="fr-CH"/>
              </w:rPr>
              <w:t>nies pour les réfugiés</w:t>
            </w:r>
          </w:p>
        </w:tc>
      </w:tr>
      <w:tr w:rsidR="00776A36" w:rsidRPr="00FE0ABB" w:rsidTr="00C36970">
        <w:tc>
          <w:tcPr>
            <w:tcW w:w="1418" w:type="dxa"/>
            <w:shd w:val="clear" w:color="auto" w:fill="auto"/>
          </w:tcPr>
          <w:p w:rsidR="00776A36" w:rsidRPr="00850D17" w:rsidRDefault="00776A36" w:rsidP="00D26E7C">
            <w:pPr>
              <w:suppressAutoHyphens w:val="0"/>
              <w:spacing w:after="120"/>
              <w:ind w:right="113"/>
              <w:rPr>
                <w:lang w:val="fr-CH"/>
              </w:rPr>
            </w:pPr>
            <w:r w:rsidRPr="00850D17">
              <w:rPr>
                <w:lang w:val="fr-CH"/>
              </w:rPr>
              <w:t>MONUSCO</w:t>
            </w:r>
          </w:p>
        </w:tc>
        <w:tc>
          <w:tcPr>
            <w:tcW w:w="5954" w:type="dxa"/>
            <w:shd w:val="clear" w:color="auto" w:fill="auto"/>
          </w:tcPr>
          <w:p w:rsidR="00776A36" w:rsidRPr="00850D17" w:rsidRDefault="00776A36">
            <w:pPr>
              <w:suppressAutoHyphens w:val="0"/>
              <w:spacing w:after="120"/>
              <w:ind w:right="113"/>
              <w:rPr>
                <w:lang w:val="fr-CH"/>
              </w:rPr>
            </w:pPr>
            <w:r w:rsidRPr="00850D17">
              <w:rPr>
                <w:lang w:val="fr-CH"/>
              </w:rPr>
              <w:t>Mission de l</w:t>
            </w:r>
            <w:r w:rsidR="0012008D" w:rsidRPr="00850D17">
              <w:rPr>
                <w:lang w:val="fr-CH"/>
              </w:rPr>
              <w:t>’</w:t>
            </w:r>
            <w:r w:rsidRPr="00850D17">
              <w:rPr>
                <w:lang w:val="fr-CH"/>
              </w:rPr>
              <w:t>O</w:t>
            </w:r>
            <w:r w:rsidR="00D543D5">
              <w:rPr>
                <w:lang w:val="fr-CH"/>
              </w:rPr>
              <w:t xml:space="preserve">rganisation des Nations Unies </w:t>
            </w:r>
            <w:r w:rsidRPr="00850D17">
              <w:rPr>
                <w:lang w:val="fr-CH"/>
              </w:rPr>
              <w:t xml:space="preserve">pour la </w:t>
            </w:r>
            <w:r w:rsidR="00D543D5">
              <w:rPr>
                <w:lang w:val="fr-CH"/>
              </w:rPr>
              <w:t>s</w:t>
            </w:r>
            <w:r w:rsidRPr="00850D17">
              <w:rPr>
                <w:lang w:val="fr-CH"/>
              </w:rPr>
              <w:t>tabilisation en République démocratique du</w:t>
            </w:r>
            <w:r w:rsidR="00ED062B">
              <w:rPr>
                <w:lang w:val="fr-CH"/>
              </w:rPr>
              <w:t> </w:t>
            </w:r>
            <w:r w:rsidRPr="00850D17">
              <w:rPr>
                <w:lang w:val="fr-CH"/>
              </w:rPr>
              <w:t>Congo</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OCHA</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shd w:val="clear" w:color="auto" w:fill="FFFFFF"/>
                <w:lang w:val="fr-CH"/>
              </w:rPr>
              <w:t>Bureau de la coordination des affaires humanitaires</w:t>
            </w:r>
          </w:p>
        </w:tc>
      </w:tr>
      <w:tr w:rsidR="00776A36" w:rsidRPr="00850D17"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shd w:val="clear" w:color="auto" w:fill="FFFFFF"/>
                <w:lang w:val="fr-CH"/>
              </w:rPr>
              <w:t>ONG</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Organisation non</w:t>
            </w:r>
            <w:r w:rsidR="00C21C53">
              <w:rPr>
                <w:lang w:val="fr-CH"/>
              </w:rPr>
              <w:t xml:space="preserve"> </w:t>
            </w:r>
            <w:r w:rsidRPr="00850D17">
              <w:rPr>
                <w:lang w:val="fr-CH"/>
              </w:rPr>
              <w:t>gouvernementale</w:t>
            </w:r>
          </w:p>
        </w:tc>
      </w:tr>
      <w:tr w:rsidR="00776A36" w:rsidRPr="00FE0ABB" w:rsidTr="00C36970">
        <w:tc>
          <w:tcPr>
            <w:tcW w:w="1418" w:type="dxa"/>
            <w:tcBorders>
              <w:bottom w:val="nil"/>
            </w:tcBorders>
            <w:shd w:val="clear" w:color="auto" w:fill="auto"/>
          </w:tcPr>
          <w:p w:rsidR="00776A36" w:rsidRPr="00850D17" w:rsidRDefault="00776A36" w:rsidP="00D26E7C">
            <w:pPr>
              <w:suppressAutoHyphens w:val="0"/>
              <w:spacing w:after="120"/>
              <w:ind w:right="113"/>
              <w:rPr>
                <w:lang w:val="fr-CH"/>
              </w:rPr>
            </w:pPr>
            <w:r w:rsidRPr="00850D17">
              <w:rPr>
                <w:lang w:val="fr-CH"/>
              </w:rPr>
              <w:t>ONU</w:t>
            </w:r>
            <w:r w:rsidR="00032FE5">
              <w:rPr>
                <w:lang w:val="fr-CH"/>
              </w:rPr>
              <w:t>-</w:t>
            </w:r>
            <w:r w:rsidRPr="00850D17">
              <w:rPr>
                <w:lang w:val="fr-CH"/>
              </w:rPr>
              <w:t>F</w:t>
            </w:r>
            <w:r w:rsidR="00032FE5" w:rsidRPr="00850D17">
              <w:rPr>
                <w:lang w:val="fr-CH"/>
              </w:rPr>
              <w:t>emmes</w:t>
            </w:r>
          </w:p>
        </w:tc>
        <w:tc>
          <w:tcPr>
            <w:tcW w:w="5954" w:type="dxa"/>
            <w:tcBorders>
              <w:bottom w:val="nil"/>
            </w:tcBorders>
            <w:shd w:val="clear" w:color="auto" w:fill="auto"/>
          </w:tcPr>
          <w:p w:rsidR="00776A36" w:rsidRPr="00850D17" w:rsidRDefault="00776A36" w:rsidP="00EC2635">
            <w:pPr>
              <w:suppressAutoHyphens w:val="0"/>
              <w:spacing w:after="120"/>
              <w:ind w:right="113"/>
              <w:rPr>
                <w:lang w:val="fr-CH"/>
              </w:rPr>
            </w:pPr>
            <w:r w:rsidRPr="00850D17">
              <w:rPr>
                <w:lang w:val="fr-CH"/>
              </w:rPr>
              <w:t xml:space="preserve">Entité des Nations </w:t>
            </w:r>
            <w:r w:rsidR="002B7CA5" w:rsidRPr="00850D17">
              <w:rPr>
                <w:lang w:val="fr-CH"/>
              </w:rPr>
              <w:t>U</w:t>
            </w:r>
            <w:r w:rsidRPr="00850D17">
              <w:rPr>
                <w:lang w:val="fr-CH"/>
              </w:rPr>
              <w:t>nies pour l</w:t>
            </w:r>
            <w:r w:rsidR="0012008D" w:rsidRPr="00850D17">
              <w:rPr>
                <w:lang w:val="fr-CH"/>
              </w:rPr>
              <w:t>’</w:t>
            </w:r>
            <w:r w:rsidRPr="00850D17">
              <w:rPr>
                <w:lang w:val="fr-CH"/>
              </w:rPr>
              <w:t>égalité des sexes et l</w:t>
            </w:r>
            <w:r w:rsidR="0012008D" w:rsidRPr="00850D17">
              <w:rPr>
                <w:lang w:val="fr-CH"/>
              </w:rPr>
              <w:t>’</w:t>
            </w:r>
            <w:r w:rsidRPr="00850D17">
              <w:rPr>
                <w:lang w:val="fr-CH"/>
              </w:rPr>
              <w:t>autonomisation des</w:t>
            </w:r>
            <w:r w:rsidR="00EC2635">
              <w:rPr>
                <w:lang w:val="fr-CH"/>
              </w:rPr>
              <w:t> </w:t>
            </w:r>
            <w:r w:rsidRPr="00850D17">
              <w:rPr>
                <w:lang w:val="fr-CH"/>
              </w:rPr>
              <w:t>femmes</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OSISA</w:t>
            </w:r>
          </w:p>
        </w:tc>
        <w:tc>
          <w:tcPr>
            <w:tcW w:w="5954" w:type="dxa"/>
            <w:shd w:val="clear" w:color="auto" w:fill="auto"/>
          </w:tcPr>
          <w:p w:rsidR="00776A36" w:rsidRPr="00D3670E" w:rsidRDefault="00D3670E" w:rsidP="002B7CA5">
            <w:pPr>
              <w:suppressAutoHyphens w:val="0"/>
              <w:spacing w:after="120"/>
              <w:ind w:right="113"/>
              <w:rPr>
                <w:lang w:val="fr-CH"/>
              </w:rPr>
            </w:pPr>
            <w:r>
              <w:rPr>
                <w:lang w:val="fr-CH"/>
              </w:rPr>
              <w:t>Initiative pour une société ouverte en Afrique australe</w:t>
            </w:r>
          </w:p>
        </w:tc>
      </w:tr>
      <w:tr w:rsidR="00776A36" w:rsidRPr="00850D17"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PNC</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Police national congolaise </w:t>
            </w:r>
          </w:p>
        </w:tc>
      </w:tr>
      <w:tr w:rsidR="00126DE3" w:rsidRPr="00FE0ABB" w:rsidTr="00EC2635">
        <w:tc>
          <w:tcPr>
            <w:tcW w:w="1418" w:type="dxa"/>
            <w:shd w:val="clear" w:color="auto" w:fill="auto"/>
          </w:tcPr>
          <w:p w:rsidR="00126DE3" w:rsidRPr="00850D17" w:rsidRDefault="00126DE3" w:rsidP="002B7CA5">
            <w:pPr>
              <w:suppressAutoHyphens w:val="0"/>
              <w:spacing w:after="120"/>
              <w:ind w:right="113"/>
              <w:rPr>
                <w:lang w:val="fr-CH"/>
              </w:rPr>
            </w:pPr>
            <w:r>
              <w:rPr>
                <w:shd w:val="clear" w:color="auto" w:fill="FFFFFF"/>
                <w:lang w:val="fr-CH"/>
              </w:rPr>
              <w:t>PNUAD</w:t>
            </w:r>
          </w:p>
        </w:tc>
        <w:tc>
          <w:tcPr>
            <w:tcW w:w="5954" w:type="dxa"/>
            <w:shd w:val="clear" w:color="auto" w:fill="auto"/>
          </w:tcPr>
          <w:p w:rsidR="00126DE3" w:rsidRPr="00850D17" w:rsidRDefault="00126DE3" w:rsidP="002B7CA5">
            <w:pPr>
              <w:suppressAutoHyphens w:val="0"/>
              <w:spacing w:after="120"/>
              <w:ind w:right="113"/>
              <w:rPr>
                <w:lang w:val="fr-CH"/>
              </w:rPr>
            </w:pPr>
            <w:r w:rsidRPr="00850D17">
              <w:rPr>
                <w:shd w:val="clear" w:color="auto" w:fill="FFFFFF"/>
                <w:lang w:val="fr-CH"/>
              </w:rPr>
              <w:t>Plan</w:t>
            </w:r>
            <w:r>
              <w:rPr>
                <w:shd w:val="clear" w:color="auto" w:fill="FFFFFF"/>
                <w:lang w:val="fr-CH"/>
              </w:rPr>
              <w:t>-</w:t>
            </w:r>
            <w:r w:rsidRPr="00850D17">
              <w:rPr>
                <w:shd w:val="clear" w:color="auto" w:fill="FFFFFF"/>
                <w:lang w:val="fr-CH"/>
              </w:rPr>
              <w:t>cadre des Nations Unies pour l’</w:t>
            </w:r>
            <w:r>
              <w:rPr>
                <w:shd w:val="clear" w:color="auto" w:fill="FFFFFF"/>
                <w:lang w:val="fr-CH"/>
              </w:rPr>
              <w:t>aide</w:t>
            </w:r>
            <w:r w:rsidRPr="00850D17">
              <w:rPr>
                <w:shd w:val="clear" w:color="auto" w:fill="FFFFFF"/>
                <w:lang w:val="fr-CH"/>
              </w:rPr>
              <w:t xml:space="preserve"> au développement</w:t>
            </w:r>
          </w:p>
        </w:tc>
      </w:tr>
      <w:tr w:rsidR="00776A36" w:rsidRPr="00FE0ABB"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PNUD</w:t>
            </w:r>
          </w:p>
        </w:tc>
        <w:tc>
          <w:tcPr>
            <w:tcW w:w="5954" w:type="dxa"/>
            <w:shd w:val="clear" w:color="auto" w:fill="auto"/>
          </w:tcPr>
          <w:p w:rsidR="00776A36" w:rsidRPr="00850D17" w:rsidRDefault="00776A36" w:rsidP="002B7CA5">
            <w:pPr>
              <w:suppressAutoHyphens w:val="0"/>
              <w:spacing w:after="120"/>
              <w:ind w:right="113"/>
              <w:rPr>
                <w:lang w:val="fr-CH"/>
              </w:rPr>
            </w:pPr>
            <w:r w:rsidRPr="00850D17">
              <w:rPr>
                <w:lang w:val="fr-CH"/>
              </w:rPr>
              <w:t xml:space="preserve">Programme des Nations </w:t>
            </w:r>
            <w:r w:rsidR="002B7CA5" w:rsidRPr="00850D17">
              <w:rPr>
                <w:lang w:val="fr-CH"/>
              </w:rPr>
              <w:t>U</w:t>
            </w:r>
            <w:r w:rsidRPr="00850D17">
              <w:rPr>
                <w:lang w:val="fr-CH"/>
              </w:rPr>
              <w:t>nies pour le développement</w:t>
            </w:r>
          </w:p>
        </w:tc>
      </w:tr>
      <w:tr w:rsidR="00776A36" w:rsidRPr="00850D17" w:rsidTr="00C36970">
        <w:tc>
          <w:tcPr>
            <w:tcW w:w="1418" w:type="dxa"/>
            <w:shd w:val="clear" w:color="auto" w:fill="auto"/>
          </w:tcPr>
          <w:p w:rsidR="00776A36" w:rsidRPr="00850D17" w:rsidRDefault="00776A36" w:rsidP="002B7CA5">
            <w:pPr>
              <w:suppressAutoHyphens w:val="0"/>
              <w:spacing w:after="120"/>
              <w:ind w:right="113"/>
              <w:rPr>
                <w:lang w:val="fr-CH"/>
              </w:rPr>
            </w:pPr>
            <w:r w:rsidRPr="00850D17">
              <w:rPr>
                <w:lang w:val="fr-CH"/>
              </w:rPr>
              <w:t>S</w:t>
            </w:r>
            <w:r w:rsidR="00D3670E">
              <w:rPr>
                <w:lang w:val="fr-CH"/>
              </w:rPr>
              <w:t>ida</w:t>
            </w:r>
          </w:p>
        </w:tc>
        <w:tc>
          <w:tcPr>
            <w:tcW w:w="5954" w:type="dxa"/>
            <w:shd w:val="clear" w:color="auto" w:fill="auto"/>
          </w:tcPr>
          <w:p w:rsidR="00776A36" w:rsidRPr="00850D17" w:rsidRDefault="00DF49FD" w:rsidP="002B7CA5">
            <w:pPr>
              <w:suppressAutoHyphens w:val="0"/>
              <w:spacing w:after="120"/>
              <w:ind w:right="113"/>
              <w:rPr>
                <w:lang w:val="fr-CH"/>
              </w:rPr>
            </w:pPr>
            <w:r w:rsidRPr="00850D17">
              <w:rPr>
                <w:shd w:val="clear" w:color="auto" w:fill="FFFFFF"/>
                <w:lang w:val="fr-CH"/>
              </w:rPr>
              <w:t>S</w:t>
            </w:r>
            <w:r w:rsidR="00776A36" w:rsidRPr="00850D17">
              <w:rPr>
                <w:shd w:val="clear" w:color="auto" w:fill="FFFFFF"/>
                <w:lang w:val="fr-CH"/>
              </w:rPr>
              <w:t>yndrome d</w:t>
            </w:r>
            <w:r w:rsidR="0012008D" w:rsidRPr="00850D17">
              <w:rPr>
                <w:shd w:val="clear" w:color="auto" w:fill="FFFFFF"/>
                <w:lang w:val="fr-CH"/>
              </w:rPr>
              <w:t>’</w:t>
            </w:r>
            <w:r w:rsidR="00776A36" w:rsidRPr="00850D17">
              <w:rPr>
                <w:shd w:val="clear" w:color="auto" w:fill="FFFFFF"/>
                <w:lang w:val="fr-CH"/>
              </w:rPr>
              <w:t>immunodéficience acquise</w:t>
            </w:r>
          </w:p>
        </w:tc>
      </w:tr>
      <w:tr w:rsidR="00776A36" w:rsidRPr="00FE0ABB" w:rsidTr="00C36970">
        <w:tc>
          <w:tcPr>
            <w:tcW w:w="1418" w:type="dxa"/>
            <w:tcBorders>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UNICEF</w:t>
            </w:r>
          </w:p>
        </w:tc>
        <w:tc>
          <w:tcPr>
            <w:tcW w:w="5954" w:type="dxa"/>
            <w:tcBorders>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 xml:space="preserve">Fonds des Nations </w:t>
            </w:r>
            <w:r w:rsidR="002B7CA5" w:rsidRPr="00850D17">
              <w:rPr>
                <w:lang w:val="fr-CH"/>
              </w:rPr>
              <w:t>U</w:t>
            </w:r>
            <w:r w:rsidRPr="00850D17">
              <w:rPr>
                <w:lang w:val="fr-CH"/>
              </w:rPr>
              <w:t>nies pour l</w:t>
            </w:r>
            <w:r w:rsidR="0012008D" w:rsidRPr="00850D17">
              <w:rPr>
                <w:lang w:val="fr-CH"/>
              </w:rPr>
              <w:t>’</w:t>
            </w:r>
            <w:r w:rsidRPr="00850D17">
              <w:rPr>
                <w:lang w:val="fr-CH"/>
              </w:rPr>
              <w:t>enfance</w:t>
            </w:r>
          </w:p>
        </w:tc>
      </w:tr>
      <w:tr w:rsidR="00776A36" w:rsidRPr="00850D17" w:rsidTr="00C36970">
        <w:tc>
          <w:tcPr>
            <w:tcW w:w="1418" w:type="dxa"/>
            <w:tcBorders>
              <w:top w:val="nil"/>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VIH</w:t>
            </w:r>
          </w:p>
        </w:tc>
        <w:tc>
          <w:tcPr>
            <w:tcW w:w="5954" w:type="dxa"/>
            <w:tcBorders>
              <w:top w:val="nil"/>
              <w:bottom w:val="nil"/>
            </w:tcBorders>
            <w:shd w:val="clear" w:color="auto" w:fill="auto"/>
          </w:tcPr>
          <w:p w:rsidR="00776A36" w:rsidRPr="00850D17" w:rsidRDefault="00776A36" w:rsidP="002B7CA5">
            <w:pPr>
              <w:suppressAutoHyphens w:val="0"/>
              <w:spacing w:after="120"/>
              <w:ind w:right="113"/>
              <w:rPr>
                <w:lang w:val="fr-CH"/>
              </w:rPr>
            </w:pPr>
            <w:r w:rsidRPr="00850D17">
              <w:rPr>
                <w:lang w:val="fr-CH"/>
              </w:rPr>
              <w:t>Virus de l’immunodéficience humaine</w:t>
            </w:r>
          </w:p>
        </w:tc>
      </w:tr>
    </w:tbl>
    <w:p w:rsidR="008423E1" w:rsidRPr="00850D17" w:rsidRDefault="005D66D6" w:rsidP="002B7CA5">
      <w:pPr>
        <w:pStyle w:val="HChG"/>
        <w:rPr>
          <w:rFonts w:eastAsia="SimSun"/>
          <w:lang w:val="fr-CH"/>
        </w:rPr>
      </w:pPr>
      <w:r w:rsidRPr="00850D17">
        <w:rPr>
          <w:sz w:val="24"/>
          <w:szCs w:val="24"/>
          <w:lang w:val="fr-CH"/>
        </w:rPr>
        <w:br w:type="page"/>
      </w:r>
      <w:r w:rsidR="002B7CA5" w:rsidRPr="00850D17">
        <w:rPr>
          <w:sz w:val="24"/>
          <w:szCs w:val="24"/>
          <w:lang w:val="fr-CH"/>
        </w:rPr>
        <w:lastRenderedPageBreak/>
        <w:tab/>
      </w:r>
      <w:r w:rsidR="009E5DE5" w:rsidRPr="00850D17">
        <w:rPr>
          <w:rFonts w:eastAsia="SimSun"/>
          <w:lang w:val="fr-CH"/>
        </w:rPr>
        <w:t>I.</w:t>
      </w:r>
      <w:r w:rsidR="009E5DE5" w:rsidRPr="00850D17">
        <w:rPr>
          <w:rFonts w:eastAsia="SimSun"/>
          <w:lang w:val="fr-CH"/>
        </w:rPr>
        <w:tab/>
      </w:r>
      <w:r w:rsidR="008423E1" w:rsidRPr="00850D17">
        <w:rPr>
          <w:rFonts w:eastAsia="SimSun"/>
          <w:lang w:val="fr-CH"/>
        </w:rPr>
        <w:t>Introduction</w:t>
      </w:r>
    </w:p>
    <w:p w:rsidR="008423E1" w:rsidRPr="00850D17" w:rsidRDefault="008423E1" w:rsidP="00C36970">
      <w:pPr>
        <w:pStyle w:val="SingleTxtG"/>
        <w:numPr>
          <w:ilvl w:val="0"/>
          <w:numId w:val="7"/>
        </w:numPr>
        <w:tabs>
          <w:tab w:val="left" w:pos="1134"/>
        </w:tabs>
        <w:ind w:left="1134" w:firstLine="0"/>
        <w:rPr>
          <w:lang w:val="fr-CH"/>
        </w:rPr>
      </w:pPr>
      <w:r w:rsidRPr="00850D17">
        <w:rPr>
          <w:lang w:val="fr-CH"/>
        </w:rPr>
        <w:t xml:space="preserve">Le Conseil des droits de l’homme, dans sa </w:t>
      </w:r>
      <w:r w:rsidR="002F6CF7" w:rsidRPr="00850D17">
        <w:rPr>
          <w:lang w:val="fr-CH"/>
        </w:rPr>
        <w:t>r</w:t>
      </w:r>
      <w:r w:rsidRPr="00850D17">
        <w:rPr>
          <w:lang w:val="fr-CH"/>
        </w:rPr>
        <w:t xml:space="preserve">ésolution </w:t>
      </w:r>
      <w:r w:rsidR="003D0202">
        <w:rPr>
          <w:lang w:val="fr-CH"/>
        </w:rPr>
        <w:t>A/</w:t>
      </w:r>
      <w:r w:rsidRPr="00850D17">
        <w:rPr>
          <w:lang w:val="fr-CH"/>
        </w:rPr>
        <w:t>HRC</w:t>
      </w:r>
      <w:r w:rsidR="003D0202">
        <w:rPr>
          <w:lang w:val="fr-CH"/>
        </w:rPr>
        <w:t>/RES</w:t>
      </w:r>
      <w:r w:rsidRPr="00850D17">
        <w:rPr>
          <w:lang w:val="fr-CH"/>
        </w:rPr>
        <w:t xml:space="preserve">/27/27 du </w:t>
      </w:r>
      <w:r w:rsidR="007765E4">
        <w:rPr>
          <w:lang w:val="fr-CH"/>
        </w:rPr>
        <w:t>26 septembre</w:t>
      </w:r>
      <w:r w:rsidRPr="00850D17">
        <w:rPr>
          <w:lang w:val="fr-CH"/>
        </w:rPr>
        <w:t xml:space="preserve"> 2014, a demandé au Haut-Commissariat des Nations </w:t>
      </w:r>
      <w:r w:rsidR="00922BB4" w:rsidRPr="00850D17">
        <w:rPr>
          <w:lang w:val="fr-CH"/>
        </w:rPr>
        <w:t>U</w:t>
      </w:r>
      <w:r w:rsidR="00507004" w:rsidRPr="00850D17">
        <w:rPr>
          <w:lang w:val="fr-CH"/>
        </w:rPr>
        <w:t>nies</w:t>
      </w:r>
      <w:r w:rsidRPr="00850D17">
        <w:rPr>
          <w:lang w:val="fr-CH"/>
        </w:rPr>
        <w:t xml:space="preserve"> aux droits de l’homme (HCDH) </w:t>
      </w:r>
      <w:r w:rsidR="00122674" w:rsidRPr="00850D17">
        <w:rPr>
          <w:lang w:val="fr-CH"/>
        </w:rPr>
        <w:t>d</w:t>
      </w:r>
      <w:r w:rsidR="00122674">
        <w:rPr>
          <w:lang w:val="fr-CH"/>
        </w:rPr>
        <w:t>e commanditer</w:t>
      </w:r>
      <w:r w:rsidR="00122674" w:rsidRPr="00850D17">
        <w:rPr>
          <w:lang w:val="fr-CH"/>
        </w:rPr>
        <w:t xml:space="preserve"> </w:t>
      </w:r>
      <w:r w:rsidRPr="00850D17">
        <w:rPr>
          <w:lang w:val="fr-CH"/>
        </w:rPr>
        <w:t>une étude sur l</w:t>
      </w:r>
      <w:r w:rsidR="0012008D" w:rsidRPr="00850D17">
        <w:rPr>
          <w:lang w:val="fr-CH"/>
        </w:rPr>
        <w:t>’</w:t>
      </w:r>
      <w:r w:rsidRPr="00850D17">
        <w:rPr>
          <w:lang w:val="fr-CH"/>
        </w:rPr>
        <w:t>impact de l</w:t>
      </w:r>
      <w:r w:rsidR="0012008D" w:rsidRPr="00850D17">
        <w:rPr>
          <w:lang w:val="fr-CH"/>
        </w:rPr>
        <w:t>’</w:t>
      </w:r>
      <w:r w:rsidRPr="00850D17">
        <w:rPr>
          <w:lang w:val="fr-CH"/>
        </w:rPr>
        <w:t>assistance technique et du renforcement des capacités sur la situation des droits de l</w:t>
      </w:r>
      <w:r w:rsidR="0012008D" w:rsidRPr="00850D17">
        <w:rPr>
          <w:lang w:val="fr-CH"/>
        </w:rPr>
        <w:t>’</w:t>
      </w:r>
      <w:r w:rsidRPr="00850D17">
        <w:rPr>
          <w:lang w:val="fr-CH"/>
        </w:rPr>
        <w:t xml:space="preserve">homme en République démocratique du Congo. </w:t>
      </w:r>
    </w:p>
    <w:p w:rsidR="00782508" w:rsidRPr="00850D17" w:rsidRDefault="009D257A" w:rsidP="00C36970">
      <w:pPr>
        <w:pStyle w:val="SingleTxtG"/>
        <w:numPr>
          <w:ilvl w:val="0"/>
          <w:numId w:val="7"/>
        </w:numPr>
        <w:tabs>
          <w:tab w:val="left" w:pos="1134"/>
        </w:tabs>
        <w:ind w:left="1134" w:firstLine="0"/>
        <w:rPr>
          <w:lang w:val="fr-CH"/>
        </w:rPr>
      </w:pPr>
      <w:r w:rsidRPr="00850D17">
        <w:rPr>
          <w:lang w:val="fr-CH"/>
        </w:rPr>
        <w:t>Basée sur un</w:t>
      </w:r>
      <w:r w:rsidR="005711F4">
        <w:rPr>
          <w:lang w:val="fr-CH"/>
        </w:rPr>
        <w:t xml:space="preserve"> examen</w:t>
      </w:r>
      <w:r w:rsidRPr="00850D17">
        <w:rPr>
          <w:lang w:val="fr-CH"/>
        </w:rPr>
        <w:t xml:space="preserve"> des interventions des Nations </w:t>
      </w:r>
      <w:r w:rsidR="002B7CA5" w:rsidRPr="00850D17">
        <w:rPr>
          <w:lang w:val="fr-CH"/>
        </w:rPr>
        <w:t>U</w:t>
      </w:r>
      <w:r w:rsidRPr="00850D17">
        <w:rPr>
          <w:lang w:val="fr-CH"/>
        </w:rPr>
        <w:t xml:space="preserve">nies et des </w:t>
      </w:r>
      <w:r w:rsidR="006E4BB7" w:rsidRPr="00850D17">
        <w:rPr>
          <w:lang w:val="fr-CH"/>
        </w:rPr>
        <w:t>organisations non gouvernementales (</w:t>
      </w:r>
      <w:r w:rsidRPr="00850D17">
        <w:rPr>
          <w:lang w:val="fr-CH"/>
        </w:rPr>
        <w:t>ONG</w:t>
      </w:r>
      <w:r w:rsidR="006E4BB7" w:rsidRPr="00850D17">
        <w:rPr>
          <w:lang w:val="fr-CH"/>
        </w:rPr>
        <w:t>)</w:t>
      </w:r>
      <w:r w:rsidRPr="00850D17">
        <w:rPr>
          <w:lang w:val="fr-CH"/>
        </w:rPr>
        <w:t xml:space="preserve"> internationales </w:t>
      </w:r>
      <w:r w:rsidR="00334836" w:rsidRPr="00850D17">
        <w:rPr>
          <w:lang w:val="fr-CH"/>
        </w:rPr>
        <w:t xml:space="preserve">en matière de promotion et de protection des droits de l’homme, </w:t>
      </w:r>
      <w:r w:rsidRPr="00850D17">
        <w:rPr>
          <w:lang w:val="fr-CH"/>
        </w:rPr>
        <w:t>l</w:t>
      </w:r>
      <w:r w:rsidR="00334836" w:rsidRPr="00850D17">
        <w:rPr>
          <w:lang w:val="fr-CH"/>
        </w:rPr>
        <w:t xml:space="preserve">a présente </w:t>
      </w:r>
      <w:r w:rsidRPr="00850D17">
        <w:rPr>
          <w:lang w:val="fr-CH"/>
        </w:rPr>
        <w:t xml:space="preserve">étude évalue les progrès accomplis suite </w:t>
      </w:r>
      <w:r w:rsidR="00334836" w:rsidRPr="00850D17">
        <w:rPr>
          <w:lang w:val="fr-CH"/>
        </w:rPr>
        <w:t xml:space="preserve">à ces </w:t>
      </w:r>
      <w:r w:rsidRPr="00850D17">
        <w:rPr>
          <w:lang w:val="fr-CH"/>
        </w:rPr>
        <w:t>activités, ainsi que leurs limites par rapport à la situation des droits de l’homme</w:t>
      </w:r>
      <w:r w:rsidR="00334836" w:rsidRPr="00850D17">
        <w:rPr>
          <w:lang w:val="fr-CH"/>
        </w:rPr>
        <w:t xml:space="preserve"> en </w:t>
      </w:r>
      <w:r w:rsidR="00F066C0" w:rsidRPr="00850D17">
        <w:rPr>
          <w:lang w:val="fr-CH"/>
        </w:rPr>
        <w:t>République démocratique du Congo</w:t>
      </w:r>
      <w:r w:rsidRPr="00850D17">
        <w:rPr>
          <w:lang w:val="fr-CH"/>
        </w:rPr>
        <w:t>.</w:t>
      </w:r>
      <w:r w:rsidR="003E7ECE" w:rsidRPr="00850D17">
        <w:rPr>
          <w:lang w:val="fr-CH"/>
        </w:rPr>
        <w:t xml:space="preserve"> Elle couvre la période </w:t>
      </w:r>
      <w:r w:rsidR="005711F4">
        <w:rPr>
          <w:lang w:val="fr-CH"/>
        </w:rPr>
        <w:t>allant de</w:t>
      </w:r>
      <w:r w:rsidR="005711F4" w:rsidRPr="00850D17">
        <w:rPr>
          <w:lang w:val="fr-CH"/>
        </w:rPr>
        <w:t xml:space="preserve"> </w:t>
      </w:r>
      <w:r w:rsidR="003E7ECE" w:rsidRPr="00850D17">
        <w:rPr>
          <w:lang w:val="fr-CH"/>
        </w:rPr>
        <w:t xml:space="preserve">2008 </w:t>
      </w:r>
      <w:r w:rsidR="005711F4">
        <w:rPr>
          <w:lang w:val="fr-CH"/>
        </w:rPr>
        <w:t>à</w:t>
      </w:r>
      <w:r w:rsidR="005711F4" w:rsidRPr="00850D17">
        <w:rPr>
          <w:lang w:val="fr-CH"/>
        </w:rPr>
        <w:t xml:space="preserve"> </w:t>
      </w:r>
      <w:r w:rsidR="003E7ECE" w:rsidRPr="00850D17">
        <w:rPr>
          <w:lang w:val="fr-CH"/>
        </w:rPr>
        <w:t>201</w:t>
      </w:r>
      <w:r w:rsidR="004E4D75" w:rsidRPr="00850D17">
        <w:rPr>
          <w:lang w:val="fr-CH"/>
        </w:rPr>
        <w:t>4</w:t>
      </w:r>
      <w:r w:rsidR="003E7ECE" w:rsidRPr="00850D17">
        <w:rPr>
          <w:lang w:val="fr-CH"/>
        </w:rPr>
        <w:t>, le début de l’année 2008 marquant le démarrage du premier Plan</w:t>
      </w:r>
      <w:r w:rsidR="005711F4">
        <w:rPr>
          <w:lang w:val="fr-CH"/>
        </w:rPr>
        <w:t>-</w:t>
      </w:r>
      <w:r w:rsidR="003E7ECE" w:rsidRPr="00850D17">
        <w:rPr>
          <w:lang w:val="fr-CH"/>
        </w:rPr>
        <w:t xml:space="preserve">cadre des Nations </w:t>
      </w:r>
      <w:r w:rsidR="002B7CA5" w:rsidRPr="00850D17">
        <w:rPr>
          <w:lang w:val="fr-CH"/>
        </w:rPr>
        <w:t>U</w:t>
      </w:r>
      <w:r w:rsidR="003E7ECE" w:rsidRPr="00850D17">
        <w:rPr>
          <w:lang w:val="fr-CH"/>
        </w:rPr>
        <w:t xml:space="preserve">nies pour </w:t>
      </w:r>
      <w:r w:rsidR="005711F4" w:rsidRPr="00850D17">
        <w:rPr>
          <w:lang w:val="fr-CH"/>
        </w:rPr>
        <w:t>l’</w:t>
      </w:r>
      <w:r w:rsidR="005711F4">
        <w:rPr>
          <w:lang w:val="fr-CH"/>
        </w:rPr>
        <w:t>aide</w:t>
      </w:r>
      <w:r w:rsidR="005711F4" w:rsidRPr="00850D17">
        <w:rPr>
          <w:lang w:val="fr-CH"/>
        </w:rPr>
        <w:t xml:space="preserve"> </w:t>
      </w:r>
      <w:r w:rsidR="003E7ECE" w:rsidRPr="00850D17">
        <w:rPr>
          <w:lang w:val="fr-CH"/>
        </w:rPr>
        <w:t>au développement (</w:t>
      </w:r>
      <w:r w:rsidR="0097770C">
        <w:rPr>
          <w:lang w:val="fr-CH"/>
        </w:rPr>
        <w:t>PNUAD</w:t>
      </w:r>
      <w:r w:rsidR="003E7ECE" w:rsidRPr="00850D17">
        <w:rPr>
          <w:lang w:val="fr-CH"/>
        </w:rPr>
        <w:t xml:space="preserve">) </w:t>
      </w:r>
      <w:r w:rsidR="00C94C70">
        <w:rPr>
          <w:lang w:val="fr-CH"/>
        </w:rPr>
        <w:t>en vue d</w:t>
      </w:r>
      <w:r w:rsidR="00C94C70" w:rsidRPr="00C94C70">
        <w:rPr>
          <w:lang w:val="fr-CH"/>
        </w:rPr>
        <w:t>’</w:t>
      </w:r>
      <w:r w:rsidR="00C94C70">
        <w:rPr>
          <w:lang w:val="fr-CH"/>
        </w:rPr>
        <w:t>une</w:t>
      </w:r>
      <w:r w:rsidR="003E7ECE" w:rsidRPr="00850D17">
        <w:rPr>
          <w:lang w:val="fr-CH"/>
        </w:rPr>
        <w:t xml:space="preserve"> sortie de crise après l’élection présidentielle de 2006.</w:t>
      </w:r>
    </w:p>
    <w:p w:rsidR="00206AF6" w:rsidRPr="00850D17" w:rsidRDefault="009D257A" w:rsidP="005C5CD7">
      <w:pPr>
        <w:pStyle w:val="SingleTxtG"/>
        <w:numPr>
          <w:ilvl w:val="0"/>
          <w:numId w:val="7"/>
        </w:numPr>
        <w:tabs>
          <w:tab w:val="left" w:pos="1134"/>
        </w:tabs>
        <w:ind w:left="1134" w:firstLine="0"/>
        <w:rPr>
          <w:lang w:val="fr-CH"/>
        </w:rPr>
      </w:pPr>
      <w:r w:rsidRPr="00850D17">
        <w:rPr>
          <w:lang w:val="fr-CH"/>
        </w:rPr>
        <w:t>L’</w:t>
      </w:r>
      <w:r w:rsidR="008423E1" w:rsidRPr="00850D17">
        <w:rPr>
          <w:lang w:val="fr-CH"/>
        </w:rPr>
        <w:t xml:space="preserve">étude </w:t>
      </w:r>
      <w:r w:rsidRPr="00850D17">
        <w:rPr>
          <w:lang w:val="fr-CH"/>
        </w:rPr>
        <w:t xml:space="preserve">tente de </w:t>
      </w:r>
      <w:r w:rsidR="008423E1" w:rsidRPr="00850D17">
        <w:rPr>
          <w:lang w:val="fr-CH"/>
        </w:rPr>
        <w:t>mesurer les éléments suivants:</w:t>
      </w:r>
    </w:p>
    <w:p w:rsidR="008423E1" w:rsidRPr="00850D17" w:rsidRDefault="00F03ACD" w:rsidP="00C36970">
      <w:pPr>
        <w:pStyle w:val="Bullet1G"/>
        <w:rPr>
          <w:rFonts w:eastAsia="SimSun"/>
          <w:lang w:val="fr-CH"/>
        </w:rPr>
      </w:pPr>
      <w:r w:rsidRPr="00850D17">
        <w:rPr>
          <w:rFonts w:eastAsia="SimSun"/>
          <w:lang w:val="fr-CH"/>
        </w:rPr>
        <w:t xml:space="preserve">La </w:t>
      </w:r>
      <w:r w:rsidR="008423E1" w:rsidRPr="00850D17">
        <w:rPr>
          <w:rFonts w:eastAsia="SimSun"/>
          <w:lang w:val="fr-CH"/>
        </w:rPr>
        <w:t>pertinence des interventions de la communauté internationale en matière de droits de l’homme</w:t>
      </w:r>
      <w:r w:rsidRPr="00850D17">
        <w:rPr>
          <w:rFonts w:eastAsia="SimSun"/>
          <w:lang w:val="fr-CH"/>
        </w:rPr>
        <w:t>;</w:t>
      </w:r>
    </w:p>
    <w:p w:rsidR="008423E1" w:rsidRPr="00850D17" w:rsidRDefault="00F03ACD" w:rsidP="00C36970">
      <w:pPr>
        <w:pStyle w:val="Bullet1G"/>
        <w:rPr>
          <w:rFonts w:eastAsia="SimSun"/>
          <w:lang w:val="fr-CH"/>
        </w:rPr>
      </w:pPr>
      <w:r w:rsidRPr="00850D17">
        <w:rPr>
          <w:rFonts w:eastAsia="SimSun"/>
          <w:lang w:val="fr-CH"/>
        </w:rPr>
        <w:t>L</w:t>
      </w:r>
      <w:r w:rsidR="008423E1" w:rsidRPr="00850D17">
        <w:rPr>
          <w:rFonts w:eastAsia="SimSun"/>
          <w:lang w:val="fr-CH"/>
        </w:rPr>
        <w:t>’efficacité des interventions en termes de résultats</w:t>
      </w:r>
      <w:r w:rsidRPr="00850D17">
        <w:rPr>
          <w:rFonts w:eastAsia="SimSun"/>
          <w:lang w:val="fr-CH"/>
        </w:rPr>
        <w:t>;</w:t>
      </w:r>
    </w:p>
    <w:p w:rsidR="008423E1" w:rsidRPr="00850D17" w:rsidRDefault="00F03ACD" w:rsidP="00C36970">
      <w:pPr>
        <w:pStyle w:val="Bullet1G"/>
        <w:rPr>
          <w:rFonts w:eastAsia="SimSun"/>
          <w:lang w:val="fr-CH"/>
        </w:rPr>
      </w:pPr>
      <w:r w:rsidRPr="00850D17">
        <w:rPr>
          <w:rFonts w:eastAsia="SimSun"/>
          <w:lang w:val="fr-CH"/>
        </w:rPr>
        <w:t>L</w:t>
      </w:r>
      <w:r w:rsidR="008423E1" w:rsidRPr="00850D17">
        <w:rPr>
          <w:rFonts w:eastAsia="SimSun"/>
          <w:lang w:val="fr-CH"/>
        </w:rPr>
        <w:t xml:space="preserve">’impact de l’assistance technique sur la </w:t>
      </w:r>
      <w:r w:rsidR="000C1EDC" w:rsidRPr="00850D17">
        <w:rPr>
          <w:rFonts w:eastAsia="SimSun"/>
          <w:lang w:val="fr-CH"/>
        </w:rPr>
        <w:t xml:space="preserve">jouissance </w:t>
      </w:r>
      <w:r w:rsidR="008423E1" w:rsidRPr="00850D17">
        <w:rPr>
          <w:rFonts w:eastAsia="SimSun"/>
          <w:lang w:val="fr-CH"/>
        </w:rPr>
        <w:t>des droits de l’homme</w:t>
      </w:r>
      <w:r w:rsidRPr="00850D17">
        <w:rPr>
          <w:rFonts w:eastAsia="SimSun"/>
          <w:lang w:val="fr-CH"/>
        </w:rPr>
        <w:t>;</w:t>
      </w:r>
    </w:p>
    <w:p w:rsidR="008423E1" w:rsidRPr="00850D17" w:rsidRDefault="00F03ACD" w:rsidP="00C36970">
      <w:pPr>
        <w:pStyle w:val="Bullet1G"/>
        <w:rPr>
          <w:rFonts w:eastAsia="SimSun"/>
          <w:lang w:val="fr-CH"/>
        </w:rPr>
      </w:pPr>
      <w:r w:rsidRPr="00850D17">
        <w:rPr>
          <w:rFonts w:eastAsia="SimSun"/>
          <w:lang w:val="fr-CH"/>
        </w:rPr>
        <w:t>L</w:t>
      </w:r>
      <w:r w:rsidR="008423E1" w:rsidRPr="00850D17">
        <w:rPr>
          <w:rFonts w:eastAsia="SimSun"/>
          <w:lang w:val="fr-CH"/>
        </w:rPr>
        <w:t>a prise en compte transversale de la dimension genre.</w:t>
      </w:r>
    </w:p>
    <w:p w:rsidR="00717C3C" w:rsidRPr="00850D17" w:rsidRDefault="00D33B1B" w:rsidP="005C5CD7">
      <w:pPr>
        <w:pStyle w:val="HChG"/>
        <w:rPr>
          <w:rFonts w:eastAsia="SimSun"/>
          <w:lang w:val="fr-CH"/>
        </w:rPr>
      </w:pPr>
      <w:r w:rsidRPr="00850D17">
        <w:rPr>
          <w:rFonts w:eastAsia="SimSun"/>
          <w:lang w:val="fr-CH"/>
        </w:rPr>
        <w:tab/>
      </w:r>
      <w:r w:rsidR="00B76E78" w:rsidRPr="00850D17">
        <w:rPr>
          <w:rFonts w:eastAsia="SimSun"/>
          <w:lang w:val="fr-CH"/>
        </w:rPr>
        <w:t>II</w:t>
      </w:r>
      <w:r w:rsidR="00206AF6" w:rsidRPr="00850D17">
        <w:rPr>
          <w:rFonts w:eastAsia="SimSun"/>
          <w:lang w:val="fr-CH"/>
        </w:rPr>
        <w:t>.</w:t>
      </w:r>
      <w:r w:rsidR="00206AF6" w:rsidRPr="00850D17">
        <w:rPr>
          <w:rFonts w:eastAsia="SimSun"/>
          <w:lang w:val="fr-CH"/>
        </w:rPr>
        <w:tab/>
      </w:r>
      <w:r w:rsidR="00717C3C" w:rsidRPr="00850D17">
        <w:rPr>
          <w:rFonts w:eastAsia="SimSun"/>
          <w:lang w:val="fr-CH"/>
        </w:rPr>
        <w:t>Délimitation de l’étude</w:t>
      </w:r>
    </w:p>
    <w:p w:rsidR="00334836" w:rsidRPr="00850D17" w:rsidRDefault="002D416D" w:rsidP="00C36970">
      <w:pPr>
        <w:pStyle w:val="SingleTxtG"/>
        <w:numPr>
          <w:ilvl w:val="0"/>
          <w:numId w:val="7"/>
        </w:numPr>
        <w:tabs>
          <w:tab w:val="left" w:pos="1134"/>
        </w:tabs>
        <w:ind w:left="1134" w:firstLine="0"/>
        <w:rPr>
          <w:lang w:val="fr-CH"/>
        </w:rPr>
      </w:pPr>
      <w:r w:rsidRPr="00850D17">
        <w:rPr>
          <w:lang w:val="fr-CH"/>
        </w:rPr>
        <w:t xml:space="preserve">L’étude </w:t>
      </w:r>
      <w:r w:rsidR="00454332" w:rsidRPr="00850D17">
        <w:rPr>
          <w:lang w:val="fr-CH"/>
        </w:rPr>
        <w:t xml:space="preserve">prend en compte le cycle 2008-2012 et la moitié du cycle 2013-2017 </w:t>
      </w:r>
      <w:r w:rsidR="00EC5B6E">
        <w:rPr>
          <w:lang w:val="fr-CH"/>
        </w:rPr>
        <w:t>du PNUAD</w:t>
      </w:r>
      <w:r w:rsidR="00334836" w:rsidRPr="00850D17">
        <w:rPr>
          <w:lang w:val="fr-CH"/>
        </w:rPr>
        <w:t>,</w:t>
      </w:r>
      <w:r w:rsidR="00441FD5" w:rsidRPr="00850D17">
        <w:rPr>
          <w:lang w:val="fr-CH"/>
        </w:rPr>
        <w:t xml:space="preserve"> </w:t>
      </w:r>
      <w:r w:rsidR="00334836" w:rsidRPr="00850D17">
        <w:rPr>
          <w:lang w:val="fr-CH"/>
        </w:rPr>
        <w:t>l</w:t>
      </w:r>
      <w:r w:rsidR="008C5663" w:rsidRPr="00850D17">
        <w:rPr>
          <w:lang w:val="fr-CH"/>
        </w:rPr>
        <w:t xml:space="preserve">es programmes </w:t>
      </w:r>
      <w:r w:rsidR="00F15819">
        <w:rPr>
          <w:lang w:val="fr-CH"/>
        </w:rPr>
        <w:t xml:space="preserve">de </w:t>
      </w:r>
      <w:r w:rsidR="008C5663" w:rsidRPr="00850D17">
        <w:rPr>
          <w:lang w:val="fr-CH"/>
        </w:rPr>
        <w:t xml:space="preserve">pays des différentes </w:t>
      </w:r>
      <w:r w:rsidR="00EC5B6E">
        <w:rPr>
          <w:lang w:val="fr-CH"/>
        </w:rPr>
        <w:t>institutions spécialisées</w:t>
      </w:r>
      <w:r w:rsidR="00EC5B6E" w:rsidRPr="00850D17">
        <w:rPr>
          <w:lang w:val="fr-CH"/>
        </w:rPr>
        <w:t xml:space="preserve"> </w:t>
      </w:r>
      <w:r w:rsidR="008C5663" w:rsidRPr="00850D17">
        <w:rPr>
          <w:lang w:val="fr-CH"/>
        </w:rPr>
        <w:t xml:space="preserve">des Nations </w:t>
      </w:r>
      <w:r w:rsidR="002B7CA5" w:rsidRPr="00850D17">
        <w:rPr>
          <w:lang w:val="fr-CH"/>
        </w:rPr>
        <w:t>U</w:t>
      </w:r>
      <w:r w:rsidR="008C5663" w:rsidRPr="00850D17">
        <w:rPr>
          <w:lang w:val="fr-CH"/>
        </w:rPr>
        <w:t xml:space="preserve">nies et </w:t>
      </w:r>
      <w:r w:rsidR="00334836" w:rsidRPr="00850D17">
        <w:rPr>
          <w:lang w:val="fr-CH"/>
        </w:rPr>
        <w:t xml:space="preserve">ceux </w:t>
      </w:r>
      <w:r w:rsidR="008C5663" w:rsidRPr="00850D17">
        <w:rPr>
          <w:lang w:val="fr-CH"/>
        </w:rPr>
        <w:t xml:space="preserve">des ONG internationales. </w:t>
      </w:r>
    </w:p>
    <w:p w:rsidR="00B76E78" w:rsidRPr="00850D17" w:rsidRDefault="00334836" w:rsidP="00C36970">
      <w:pPr>
        <w:pStyle w:val="SingleTxtG"/>
        <w:numPr>
          <w:ilvl w:val="0"/>
          <w:numId w:val="7"/>
        </w:numPr>
        <w:tabs>
          <w:tab w:val="left" w:pos="1134"/>
        </w:tabs>
        <w:ind w:left="1134" w:firstLine="0"/>
        <w:rPr>
          <w:lang w:val="fr-CH"/>
        </w:rPr>
      </w:pPr>
      <w:r w:rsidRPr="00850D17">
        <w:rPr>
          <w:lang w:val="fr-CH"/>
        </w:rPr>
        <w:t xml:space="preserve">Il est à noter que </w:t>
      </w:r>
      <w:r w:rsidR="00F15819" w:rsidRPr="00850D17">
        <w:rPr>
          <w:lang w:val="fr-CH"/>
        </w:rPr>
        <w:t>l</w:t>
      </w:r>
      <w:r w:rsidR="00F15819">
        <w:rPr>
          <w:lang w:val="fr-CH"/>
        </w:rPr>
        <w:t>e PNUAD</w:t>
      </w:r>
      <w:r w:rsidR="00F15819" w:rsidRPr="00850D17">
        <w:rPr>
          <w:lang w:val="fr-CH"/>
        </w:rPr>
        <w:t xml:space="preserve"> </w:t>
      </w:r>
      <w:r w:rsidR="00AA2BB1" w:rsidRPr="00850D17">
        <w:rPr>
          <w:lang w:val="fr-CH"/>
        </w:rPr>
        <w:t xml:space="preserve">s’est aligné </w:t>
      </w:r>
      <w:r w:rsidR="00AE48B9">
        <w:rPr>
          <w:lang w:val="fr-CH"/>
        </w:rPr>
        <w:t>sur</w:t>
      </w:r>
      <w:r w:rsidR="00AE48B9" w:rsidRPr="00850D17">
        <w:rPr>
          <w:lang w:val="fr-CH"/>
        </w:rPr>
        <w:t xml:space="preserve"> </w:t>
      </w:r>
      <w:r w:rsidR="00DC184E" w:rsidRPr="00850D17">
        <w:rPr>
          <w:lang w:val="fr-CH"/>
        </w:rPr>
        <w:t xml:space="preserve">les </w:t>
      </w:r>
      <w:r w:rsidR="008C5663" w:rsidRPr="00850D17">
        <w:rPr>
          <w:lang w:val="fr-CH"/>
        </w:rPr>
        <w:t xml:space="preserve">priorités </w:t>
      </w:r>
      <w:r w:rsidR="00756039" w:rsidRPr="00850D17">
        <w:rPr>
          <w:lang w:val="fr-CH"/>
        </w:rPr>
        <w:t xml:space="preserve">du </w:t>
      </w:r>
      <w:r w:rsidR="00F15819">
        <w:rPr>
          <w:lang w:val="fr-CH"/>
        </w:rPr>
        <w:t>G</w:t>
      </w:r>
      <w:r w:rsidR="008C5663" w:rsidRPr="00850D17">
        <w:rPr>
          <w:lang w:val="fr-CH"/>
        </w:rPr>
        <w:t>ouvernement</w:t>
      </w:r>
      <w:r w:rsidR="00756039" w:rsidRPr="00850D17">
        <w:rPr>
          <w:lang w:val="fr-CH"/>
        </w:rPr>
        <w:t xml:space="preserve"> </w:t>
      </w:r>
      <w:r w:rsidR="00454332" w:rsidRPr="00850D17">
        <w:rPr>
          <w:lang w:val="fr-CH"/>
        </w:rPr>
        <w:t xml:space="preserve">en matière de gouvernance </w:t>
      </w:r>
      <w:r w:rsidR="00AA2BB1" w:rsidRPr="00850D17">
        <w:rPr>
          <w:lang w:val="fr-CH"/>
        </w:rPr>
        <w:t xml:space="preserve">et </w:t>
      </w:r>
      <w:r w:rsidRPr="00850D17">
        <w:rPr>
          <w:lang w:val="fr-CH"/>
        </w:rPr>
        <w:t xml:space="preserve">de </w:t>
      </w:r>
      <w:r w:rsidR="00AA2BB1" w:rsidRPr="00850D17">
        <w:rPr>
          <w:lang w:val="fr-CH"/>
        </w:rPr>
        <w:t xml:space="preserve">droits de l’homme </w:t>
      </w:r>
      <w:r w:rsidR="00754CC5" w:rsidRPr="00850D17">
        <w:rPr>
          <w:lang w:val="fr-CH"/>
        </w:rPr>
        <w:t>tel</w:t>
      </w:r>
      <w:r w:rsidRPr="00850D17">
        <w:rPr>
          <w:lang w:val="fr-CH"/>
        </w:rPr>
        <w:t>les</w:t>
      </w:r>
      <w:r w:rsidR="00DC184E" w:rsidRPr="00850D17">
        <w:rPr>
          <w:lang w:val="fr-CH"/>
        </w:rPr>
        <w:t xml:space="preserve"> que </w:t>
      </w:r>
      <w:r w:rsidR="00756039" w:rsidRPr="00850D17">
        <w:rPr>
          <w:lang w:val="fr-CH"/>
        </w:rPr>
        <w:t>définies dans le Document de la stratégie de croissance et de réduction de la pauvreté (DSCRP)</w:t>
      </w:r>
      <w:r w:rsidR="009E1277" w:rsidRPr="00850D17">
        <w:rPr>
          <w:lang w:val="fr-CH"/>
        </w:rPr>
        <w:t>.</w:t>
      </w:r>
      <w:r w:rsidRPr="00850D17">
        <w:rPr>
          <w:lang w:val="fr-CH"/>
        </w:rPr>
        <w:t xml:space="preserve"> </w:t>
      </w:r>
    </w:p>
    <w:p w:rsidR="00EC42C2" w:rsidRPr="00850D17" w:rsidRDefault="00EC42C2" w:rsidP="00C36970">
      <w:pPr>
        <w:pStyle w:val="SingleTxtG"/>
        <w:numPr>
          <w:ilvl w:val="0"/>
          <w:numId w:val="7"/>
        </w:numPr>
        <w:tabs>
          <w:tab w:val="left" w:pos="1134"/>
        </w:tabs>
        <w:ind w:left="1134" w:firstLine="0"/>
        <w:rPr>
          <w:lang w:val="fr-CH"/>
        </w:rPr>
      </w:pPr>
      <w:r w:rsidRPr="00850D17">
        <w:rPr>
          <w:lang w:val="fr-CH"/>
        </w:rPr>
        <w:t xml:space="preserve">Les priorités du </w:t>
      </w:r>
      <w:r w:rsidR="00621832">
        <w:rPr>
          <w:lang w:val="fr-CH"/>
        </w:rPr>
        <w:t>G</w:t>
      </w:r>
      <w:r w:rsidR="00621832" w:rsidRPr="00850D17">
        <w:rPr>
          <w:lang w:val="fr-CH"/>
        </w:rPr>
        <w:t xml:space="preserve">ouvernement </w:t>
      </w:r>
      <w:r w:rsidRPr="00850D17">
        <w:rPr>
          <w:lang w:val="fr-CH"/>
        </w:rPr>
        <w:t>en matière de droits de l’homme énoncées dans les DSCRP 2006 et 2011-2015 sont les suivantes</w:t>
      </w:r>
      <w:r w:rsidR="00F03ACD" w:rsidRPr="00850D17">
        <w:rPr>
          <w:lang w:val="fr-CH"/>
        </w:rPr>
        <w:t>:</w:t>
      </w:r>
      <w:r w:rsidRPr="00850D17">
        <w:rPr>
          <w:lang w:val="fr-CH"/>
        </w:rPr>
        <w:t xml:space="preserve"> l’amélioration du cadre juridique</w:t>
      </w:r>
      <w:r w:rsidR="0012008D" w:rsidRPr="00850D17">
        <w:rPr>
          <w:lang w:val="fr-CH"/>
        </w:rPr>
        <w:t xml:space="preserve"> </w:t>
      </w:r>
      <w:r w:rsidRPr="00850D17">
        <w:rPr>
          <w:lang w:val="fr-CH"/>
        </w:rPr>
        <w:t>et de l’accès à la justice</w:t>
      </w:r>
      <w:r w:rsidR="00F03ACD" w:rsidRPr="00850D17">
        <w:rPr>
          <w:lang w:val="fr-CH"/>
        </w:rPr>
        <w:t>;</w:t>
      </w:r>
      <w:r w:rsidRPr="00850D17">
        <w:rPr>
          <w:lang w:val="fr-CH"/>
        </w:rPr>
        <w:t xml:space="preserve"> la formation des magistrats et auxiliaires de justice et la construction d’une école nationale de la </w:t>
      </w:r>
      <w:r w:rsidR="00550ADA">
        <w:rPr>
          <w:lang w:val="fr-CH"/>
        </w:rPr>
        <w:t>m</w:t>
      </w:r>
      <w:r w:rsidR="00550ADA" w:rsidRPr="00850D17">
        <w:rPr>
          <w:lang w:val="fr-CH"/>
        </w:rPr>
        <w:t>agistrature</w:t>
      </w:r>
      <w:r w:rsidR="00F03ACD" w:rsidRPr="00850D17">
        <w:rPr>
          <w:lang w:val="fr-CH"/>
        </w:rPr>
        <w:t>;</w:t>
      </w:r>
      <w:r w:rsidRPr="00850D17">
        <w:rPr>
          <w:lang w:val="fr-CH"/>
        </w:rPr>
        <w:t xml:space="preserve"> la mise en place de </w:t>
      </w:r>
      <w:r w:rsidR="004E1AC8" w:rsidRPr="00850D17">
        <w:rPr>
          <w:lang w:val="fr-CH"/>
        </w:rPr>
        <w:t xml:space="preserve">l’Entité </w:t>
      </w:r>
      <w:r w:rsidRPr="00850D17">
        <w:rPr>
          <w:lang w:val="fr-CH"/>
        </w:rPr>
        <w:t>de liaison des droits de l’homme</w:t>
      </w:r>
      <w:r w:rsidR="00F03ACD" w:rsidRPr="00850D17">
        <w:rPr>
          <w:lang w:val="fr-CH"/>
        </w:rPr>
        <w:t>;</w:t>
      </w:r>
      <w:r w:rsidRPr="00850D17">
        <w:rPr>
          <w:lang w:val="fr-CH"/>
        </w:rPr>
        <w:t xml:space="preserve"> la vulgarisation des conventions de</w:t>
      </w:r>
      <w:r w:rsidR="00550ADA">
        <w:rPr>
          <w:lang w:val="fr-CH"/>
        </w:rPr>
        <w:t>s</w:t>
      </w:r>
      <w:r w:rsidRPr="00850D17">
        <w:rPr>
          <w:lang w:val="fr-CH"/>
        </w:rPr>
        <w:t xml:space="preserve"> droits de l’homme</w:t>
      </w:r>
      <w:r w:rsidR="00F03ACD" w:rsidRPr="00850D17">
        <w:rPr>
          <w:lang w:val="fr-CH"/>
        </w:rPr>
        <w:t>;</w:t>
      </w:r>
      <w:r w:rsidRPr="00850D17">
        <w:rPr>
          <w:lang w:val="fr-CH"/>
        </w:rPr>
        <w:t xml:space="preserve"> l’amélioration des conditions de détention</w:t>
      </w:r>
      <w:r w:rsidR="00F03ACD" w:rsidRPr="00850D17">
        <w:rPr>
          <w:lang w:val="fr-CH"/>
        </w:rPr>
        <w:t>;</w:t>
      </w:r>
      <w:r w:rsidRPr="00850D17">
        <w:rPr>
          <w:lang w:val="fr-CH"/>
        </w:rPr>
        <w:t xml:space="preserve"> l’amélioration de la protection des groupes vulnérables</w:t>
      </w:r>
      <w:r w:rsidR="00F03ACD" w:rsidRPr="00850D17">
        <w:rPr>
          <w:lang w:val="fr-CH"/>
        </w:rPr>
        <w:t>;</w:t>
      </w:r>
      <w:r w:rsidR="00EF3A04" w:rsidRPr="00850D17">
        <w:rPr>
          <w:lang w:val="fr-CH"/>
        </w:rPr>
        <w:t xml:space="preserve"> </w:t>
      </w:r>
      <w:r w:rsidRPr="00850D17">
        <w:rPr>
          <w:lang w:val="fr-CH"/>
        </w:rPr>
        <w:t>et une meilleure gestion et valorisation des ressources naturelles.</w:t>
      </w:r>
    </w:p>
    <w:p w:rsidR="00246169" w:rsidRPr="00850D17" w:rsidRDefault="00334836" w:rsidP="00BD258D">
      <w:pPr>
        <w:pStyle w:val="SingleTxtG"/>
        <w:numPr>
          <w:ilvl w:val="0"/>
          <w:numId w:val="7"/>
        </w:numPr>
        <w:tabs>
          <w:tab w:val="left" w:pos="1134"/>
        </w:tabs>
        <w:ind w:left="1134" w:firstLine="0"/>
        <w:rPr>
          <w:lang w:val="fr-CH"/>
        </w:rPr>
      </w:pPr>
      <w:r w:rsidRPr="00850D17">
        <w:rPr>
          <w:lang w:val="fr-CH"/>
        </w:rPr>
        <w:t>D</w:t>
      </w:r>
      <w:r w:rsidR="00246169" w:rsidRPr="00850D17">
        <w:rPr>
          <w:lang w:val="fr-CH"/>
        </w:rPr>
        <w:t>es documents programmatiques de</w:t>
      </w:r>
      <w:r w:rsidR="00EA0AC6" w:rsidRPr="00850D17">
        <w:rPr>
          <w:lang w:val="fr-CH"/>
        </w:rPr>
        <w:t xml:space="preserve"> certains</w:t>
      </w:r>
      <w:r w:rsidR="00246169" w:rsidRPr="00850D17">
        <w:rPr>
          <w:lang w:val="fr-CH"/>
        </w:rPr>
        <w:t xml:space="preserve"> acteurs </w:t>
      </w:r>
      <w:r w:rsidRPr="00850D17">
        <w:rPr>
          <w:lang w:val="fr-CH"/>
        </w:rPr>
        <w:t xml:space="preserve">et des </w:t>
      </w:r>
      <w:r w:rsidR="00246169" w:rsidRPr="00850D17">
        <w:rPr>
          <w:lang w:val="fr-CH"/>
        </w:rPr>
        <w:t xml:space="preserve">entretiens avec </w:t>
      </w:r>
      <w:r w:rsidR="00754CC5" w:rsidRPr="00850D17">
        <w:rPr>
          <w:lang w:val="fr-CH"/>
        </w:rPr>
        <w:t>ces derniers</w:t>
      </w:r>
      <w:r w:rsidR="00246169" w:rsidRPr="00850D17">
        <w:rPr>
          <w:lang w:val="fr-CH"/>
        </w:rPr>
        <w:t xml:space="preserve"> et </w:t>
      </w:r>
      <w:r w:rsidRPr="00850D17">
        <w:rPr>
          <w:lang w:val="fr-CH"/>
        </w:rPr>
        <w:t xml:space="preserve">avec </w:t>
      </w:r>
      <w:r w:rsidR="00246169" w:rsidRPr="00850D17">
        <w:rPr>
          <w:lang w:val="fr-CH"/>
        </w:rPr>
        <w:t>les autorités nationales</w:t>
      </w:r>
      <w:r w:rsidRPr="00850D17">
        <w:rPr>
          <w:lang w:val="fr-CH"/>
        </w:rPr>
        <w:t xml:space="preserve"> émergent</w:t>
      </w:r>
      <w:r w:rsidR="00B76E78" w:rsidRPr="00850D17">
        <w:rPr>
          <w:lang w:val="fr-CH"/>
        </w:rPr>
        <w:t xml:space="preserve"> </w:t>
      </w:r>
      <w:r w:rsidRPr="00850D17">
        <w:rPr>
          <w:lang w:val="fr-CH"/>
        </w:rPr>
        <w:t>q</w:t>
      </w:r>
      <w:r w:rsidR="00246169" w:rsidRPr="00850D17">
        <w:rPr>
          <w:lang w:val="fr-CH"/>
        </w:rPr>
        <w:t>uatre principaux domaines re</w:t>
      </w:r>
      <w:r w:rsidR="00EC42C2" w:rsidRPr="00850D17">
        <w:rPr>
          <w:lang w:val="fr-CH"/>
        </w:rPr>
        <w:t>group</w:t>
      </w:r>
      <w:r w:rsidR="001A2FD7" w:rsidRPr="00850D17">
        <w:rPr>
          <w:lang w:val="fr-CH"/>
        </w:rPr>
        <w:t>a</w:t>
      </w:r>
      <w:r w:rsidR="00EC42C2" w:rsidRPr="00850D17">
        <w:rPr>
          <w:lang w:val="fr-CH"/>
        </w:rPr>
        <w:t xml:space="preserve">nt </w:t>
      </w:r>
      <w:r w:rsidR="00246169" w:rsidRPr="00850D17">
        <w:rPr>
          <w:lang w:val="fr-CH"/>
        </w:rPr>
        <w:t xml:space="preserve">l’essentiel des interventions en matière de droits de l’homme en </w:t>
      </w:r>
      <w:r w:rsidR="00BD258D" w:rsidRPr="00850D17">
        <w:rPr>
          <w:lang w:val="fr-CH"/>
        </w:rPr>
        <w:t>République démocratique du Congo</w:t>
      </w:r>
      <w:r w:rsidR="00246169" w:rsidRPr="00850D17">
        <w:rPr>
          <w:lang w:val="fr-CH"/>
        </w:rPr>
        <w:t>:</w:t>
      </w:r>
    </w:p>
    <w:p w:rsidR="00AF0EE1" w:rsidRPr="00C36970" w:rsidRDefault="00EF3A04" w:rsidP="00C36970">
      <w:pPr>
        <w:pStyle w:val="Bullet1G"/>
        <w:rPr>
          <w:rFonts w:eastAsia="SimSun"/>
          <w:lang w:val="fr-CH"/>
        </w:rPr>
      </w:pPr>
      <w:r w:rsidRPr="00C36970">
        <w:rPr>
          <w:rFonts w:eastAsia="SimSun"/>
          <w:lang w:val="fr-CH"/>
        </w:rPr>
        <w:t>L</w:t>
      </w:r>
      <w:r w:rsidR="00035234" w:rsidRPr="00C36970">
        <w:rPr>
          <w:rFonts w:eastAsia="SimSun"/>
          <w:lang w:val="fr-CH"/>
        </w:rPr>
        <w:t xml:space="preserve">’appui </w:t>
      </w:r>
      <w:r w:rsidR="009E1277" w:rsidRPr="00C36970">
        <w:rPr>
          <w:rFonts w:eastAsia="SimSun"/>
          <w:lang w:val="fr-CH"/>
        </w:rPr>
        <w:t xml:space="preserve">à l’administration de la justice </w:t>
      </w:r>
      <w:r w:rsidR="00B357A6" w:rsidRPr="00C36970">
        <w:rPr>
          <w:rFonts w:eastAsia="SimSun"/>
          <w:lang w:val="fr-CH"/>
        </w:rPr>
        <w:t>dans la</w:t>
      </w:r>
      <w:r w:rsidR="009E1277" w:rsidRPr="00C36970">
        <w:rPr>
          <w:rFonts w:eastAsia="SimSun"/>
          <w:lang w:val="fr-CH"/>
        </w:rPr>
        <w:t xml:space="preserve"> lutte contre l’impunité</w:t>
      </w:r>
      <w:r w:rsidR="00F03ACD" w:rsidRPr="00C36970">
        <w:rPr>
          <w:rFonts w:eastAsia="SimSun"/>
          <w:lang w:val="fr-CH"/>
        </w:rPr>
        <w:t>;</w:t>
      </w:r>
      <w:r w:rsidR="00AF0EE1" w:rsidRPr="00C36970">
        <w:rPr>
          <w:rFonts w:eastAsia="SimSun"/>
          <w:lang w:val="fr-CH"/>
        </w:rPr>
        <w:t xml:space="preserve"> </w:t>
      </w:r>
    </w:p>
    <w:p w:rsidR="00AF0EE1" w:rsidRPr="00C36970" w:rsidRDefault="00EF3A04" w:rsidP="00C36970">
      <w:pPr>
        <w:pStyle w:val="Bullet1G"/>
        <w:rPr>
          <w:rFonts w:eastAsia="SimSun"/>
          <w:lang w:val="fr-CH"/>
        </w:rPr>
      </w:pPr>
      <w:r w:rsidRPr="00C36970">
        <w:rPr>
          <w:rFonts w:eastAsia="SimSun"/>
          <w:lang w:val="fr-CH"/>
        </w:rPr>
        <w:t>L</w:t>
      </w:r>
      <w:r w:rsidR="00EA0AC6" w:rsidRPr="00C36970">
        <w:rPr>
          <w:rFonts w:eastAsia="SimSun"/>
          <w:lang w:val="fr-CH"/>
        </w:rPr>
        <w:t>e r</w:t>
      </w:r>
      <w:r w:rsidR="00AF0EE1" w:rsidRPr="00C36970">
        <w:rPr>
          <w:rFonts w:eastAsia="SimSun"/>
          <w:lang w:val="fr-CH"/>
        </w:rPr>
        <w:t xml:space="preserve">enforcement du système national de protection des droits de l’homme et </w:t>
      </w:r>
      <w:r w:rsidR="00EC42C2" w:rsidRPr="00C36970">
        <w:rPr>
          <w:rFonts w:eastAsia="SimSun"/>
          <w:lang w:val="fr-CH"/>
        </w:rPr>
        <w:t xml:space="preserve">de </w:t>
      </w:r>
      <w:r w:rsidR="00AA2BB1" w:rsidRPr="00C36970">
        <w:rPr>
          <w:rFonts w:eastAsia="SimSun"/>
          <w:lang w:val="fr-CH"/>
        </w:rPr>
        <w:t xml:space="preserve">la </w:t>
      </w:r>
      <w:r w:rsidR="00AF0EE1" w:rsidRPr="00C36970">
        <w:rPr>
          <w:rFonts w:eastAsia="SimSun"/>
          <w:lang w:val="fr-CH"/>
        </w:rPr>
        <w:t>collaboration avec les mécanismes internationaux des droits de l’homme</w:t>
      </w:r>
      <w:r w:rsidR="00F03ACD" w:rsidRPr="00C36970">
        <w:rPr>
          <w:rFonts w:eastAsia="SimSun"/>
          <w:lang w:val="fr-CH"/>
        </w:rPr>
        <w:t>;</w:t>
      </w:r>
      <w:r w:rsidR="00AF0EE1" w:rsidRPr="00C36970">
        <w:rPr>
          <w:rFonts w:eastAsia="SimSun"/>
          <w:lang w:val="fr-CH"/>
        </w:rPr>
        <w:t xml:space="preserve"> </w:t>
      </w:r>
    </w:p>
    <w:p w:rsidR="00AF0EE1" w:rsidRPr="00C36970" w:rsidRDefault="00EF3A04" w:rsidP="00C36970">
      <w:pPr>
        <w:pStyle w:val="Bullet1G"/>
        <w:rPr>
          <w:rFonts w:eastAsia="SimSun"/>
          <w:lang w:val="fr-CH"/>
        </w:rPr>
      </w:pPr>
      <w:r w:rsidRPr="00C36970">
        <w:rPr>
          <w:rFonts w:eastAsia="SimSun"/>
          <w:lang w:val="fr-CH"/>
        </w:rPr>
        <w:t>L</w:t>
      </w:r>
      <w:r w:rsidR="00EA0AC6" w:rsidRPr="00C36970">
        <w:rPr>
          <w:rFonts w:eastAsia="SimSun"/>
          <w:lang w:val="fr-CH"/>
        </w:rPr>
        <w:t>a p</w:t>
      </w:r>
      <w:r w:rsidR="00AF0EE1" w:rsidRPr="00C36970">
        <w:rPr>
          <w:rFonts w:eastAsia="SimSun"/>
          <w:lang w:val="fr-CH"/>
        </w:rPr>
        <w:t xml:space="preserve">rotection des civils </w:t>
      </w:r>
      <w:r w:rsidR="009E1277" w:rsidRPr="00C36970">
        <w:rPr>
          <w:rFonts w:eastAsia="SimSun"/>
          <w:lang w:val="fr-CH"/>
        </w:rPr>
        <w:t>dans le cadre des conflits armés</w:t>
      </w:r>
      <w:r w:rsidR="00F03ACD" w:rsidRPr="00C36970">
        <w:rPr>
          <w:rFonts w:eastAsia="SimSun"/>
          <w:lang w:val="fr-CH"/>
        </w:rPr>
        <w:t>;</w:t>
      </w:r>
    </w:p>
    <w:p w:rsidR="002D416D" w:rsidRPr="00C36970" w:rsidRDefault="00EF3A04" w:rsidP="00C36970">
      <w:pPr>
        <w:pStyle w:val="Bullet1G"/>
        <w:rPr>
          <w:rFonts w:eastAsia="SimSun"/>
          <w:lang w:val="fr-CH"/>
        </w:rPr>
      </w:pPr>
      <w:r w:rsidRPr="00C36970">
        <w:rPr>
          <w:rFonts w:eastAsia="SimSun"/>
          <w:lang w:val="fr-CH"/>
        </w:rPr>
        <w:lastRenderedPageBreak/>
        <w:t>L</w:t>
      </w:r>
      <w:r w:rsidR="00EA0AC6" w:rsidRPr="00C36970">
        <w:rPr>
          <w:rFonts w:eastAsia="SimSun"/>
          <w:lang w:val="fr-CH"/>
        </w:rPr>
        <w:t>es d</w:t>
      </w:r>
      <w:r w:rsidR="00AF0EE1" w:rsidRPr="00C36970">
        <w:rPr>
          <w:rFonts w:eastAsia="SimSun"/>
          <w:lang w:val="fr-CH"/>
        </w:rPr>
        <w:t>roits économiques</w:t>
      </w:r>
      <w:r w:rsidR="00B76E78" w:rsidRPr="00C36970">
        <w:rPr>
          <w:rFonts w:eastAsia="SimSun"/>
          <w:lang w:val="fr-CH"/>
        </w:rPr>
        <w:t xml:space="preserve"> et </w:t>
      </w:r>
      <w:r w:rsidR="00AF0EE1" w:rsidRPr="00C36970">
        <w:rPr>
          <w:rFonts w:eastAsia="SimSun"/>
          <w:lang w:val="fr-CH"/>
        </w:rPr>
        <w:t>sociaux.</w:t>
      </w:r>
    </w:p>
    <w:p w:rsidR="00546692" w:rsidRPr="00850D17" w:rsidRDefault="00D33B1B" w:rsidP="005C5CD7">
      <w:pPr>
        <w:pStyle w:val="HChG"/>
        <w:rPr>
          <w:rFonts w:eastAsia="SimSun"/>
          <w:lang w:val="fr-CH"/>
        </w:rPr>
      </w:pPr>
      <w:r w:rsidRPr="00850D17">
        <w:rPr>
          <w:rFonts w:eastAsia="SimSun"/>
          <w:lang w:val="fr-CH"/>
        </w:rPr>
        <w:tab/>
      </w:r>
      <w:r w:rsidR="001D5378" w:rsidRPr="00850D17">
        <w:rPr>
          <w:rFonts w:eastAsia="SimSun"/>
          <w:lang w:val="fr-CH"/>
        </w:rPr>
        <w:t>III</w:t>
      </w:r>
      <w:r w:rsidR="005C5CD7" w:rsidRPr="00850D17">
        <w:rPr>
          <w:rFonts w:eastAsia="SimSun"/>
          <w:lang w:val="fr-CH"/>
        </w:rPr>
        <w:t>.</w:t>
      </w:r>
      <w:r w:rsidR="005C5CD7" w:rsidRPr="00850D17">
        <w:rPr>
          <w:rFonts w:eastAsia="SimSun"/>
          <w:lang w:val="fr-CH"/>
        </w:rPr>
        <w:tab/>
      </w:r>
      <w:r w:rsidR="00546692" w:rsidRPr="00850D17">
        <w:rPr>
          <w:rFonts w:eastAsia="SimSun"/>
          <w:lang w:val="fr-CH"/>
        </w:rPr>
        <w:t>Méthodologie</w:t>
      </w:r>
    </w:p>
    <w:p w:rsidR="004540AC" w:rsidRPr="00850D17" w:rsidRDefault="004540AC" w:rsidP="00DE1CD3">
      <w:pPr>
        <w:pStyle w:val="SingleTxtG"/>
        <w:numPr>
          <w:ilvl w:val="0"/>
          <w:numId w:val="7"/>
        </w:numPr>
        <w:tabs>
          <w:tab w:val="left" w:pos="1134"/>
        </w:tabs>
        <w:ind w:left="1134" w:firstLine="0"/>
        <w:rPr>
          <w:lang w:val="fr-CH"/>
        </w:rPr>
      </w:pPr>
      <w:r w:rsidRPr="00850D17">
        <w:rPr>
          <w:lang w:val="fr-CH"/>
        </w:rPr>
        <w:t>L’étude a été conduite pendant trois mois</w:t>
      </w:r>
      <w:r w:rsidR="00EC42C2" w:rsidRPr="00850D17">
        <w:rPr>
          <w:lang w:val="fr-CH"/>
        </w:rPr>
        <w:t xml:space="preserve"> par </w:t>
      </w:r>
      <w:r w:rsidRPr="00850D17">
        <w:rPr>
          <w:lang w:val="fr-CH"/>
        </w:rPr>
        <w:t xml:space="preserve">un fonctionnaire du HCDH </w:t>
      </w:r>
      <w:r w:rsidR="00EC42C2" w:rsidRPr="00850D17">
        <w:rPr>
          <w:lang w:val="fr-CH"/>
        </w:rPr>
        <w:t xml:space="preserve">déployé </w:t>
      </w:r>
      <w:r w:rsidRPr="00850D17">
        <w:rPr>
          <w:lang w:val="fr-CH"/>
        </w:rPr>
        <w:t xml:space="preserve">en </w:t>
      </w:r>
      <w:r w:rsidR="009F165C" w:rsidRPr="00850D17">
        <w:rPr>
          <w:lang w:val="fr-CH"/>
        </w:rPr>
        <w:t>République démocratique du Congo</w:t>
      </w:r>
      <w:r w:rsidRPr="00850D17">
        <w:rPr>
          <w:lang w:val="fr-CH"/>
        </w:rPr>
        <w:t xml:space="preserve">. </w:t>
      </w:r>
      <w:r w:rsidR="00334836" w:rsidRPr="00850D17">
        <w:rPr>
          <w:lang w:val="fr-CH"/>
        </w:rPr>
        <w:t xml:space="preserve">Elle </w:t>
      </w:r>
      <w:r w:rsidRPr="00850D17">
        <w:rPr>
          <w:lang w:val="fr-CH"/>
        </w:rPr>
        <w:t>a bénéficié de l’encadrement institutionnel d’un groupe de référence composé du HCDH, du</w:t>
      </w:r>
      <w:r w:rsidR="00B76E78" w:rsidRPr="00850D17">
        <w:rPr>
          <w:lang w:val="fr-CH"/>
        </w:rPr>
        <w:t xml:space="preserve"> Bureau conjoint des Nations </w:t>
      </w:r>
      <w:r w:rsidR="002B7CA5" w:rsidRPr="00850D17">
        <w:rPr>
          <w:lang w:val="fr-CH"/>
        </w:rPr>
        <w:t>U</w:t>
      </w:r>
      <w:r w:rsidR="00B76E78" w:rsidRPr="00850D17">
        <w:rPr>
          <w:lang w:val="fr-CH"/>
        </w:rPr>
        <w:t>nies pour les droits de l’homme (BCNUDH)</w:t>
      </w:r>
      <w:r w:rsidR="00F93171" w:rsidRPr="00850D17">
        <w:rPr>
          <w:rStyle w:val="FootnoteReference"/>
          <w:lang w:val="fr-CH"/>
        </w:rPr>
        <w:footnoteReference w:id="2"/>
      </w:r>
      <w:r w:rsidRPr="00850D17">
        <w:rPr>
          <w:lang w:val="fr-CH"/>
        </w:rPr>
        <w:t xml:space="preserve"> et du Bureau intégré des Nations Unies en </w:t>
      </w:r>
      <w:r w:rsidR="00DE1CD3" w:rsidRPr="00850D17">
        <w:rPr>
          <w:lang w:val="fr-CH"/>
        </w:rPr>
        <w:t>République démocratique du Congo</w:t>
      </w:r>
      <w:r w:rsidRPr="00850D17">
        <w:rPr>
          <w:lang w:val="fr-CH"/>
        </w:rPr>
        <w:t>.</w:t>
      </w:r>
    </w:p>
    <w:p w:rsidR="004540AC" w:rsidRPr="00850D17" w:rsidRDefault="004540AC" w:rsidP="005C5CD7">
      <w:pPr>
        <w:pStyle w:val="SingleTxtG"/>
        <w:numPr>
          <w:ilvl w:val="0"/>
          <w:numId w:val="7"/>
        </w:numPr>
        <w:tabs>
          <w:tab w:val="left" w:pos="1134"/>
        </w:tabs>
        <w:ind w:left="1134" w:firstLine="0"/>
        <w:rPr>
          <w:lang w:val="fr-CH"/>
        </w:rPr>
      </w:pPr>
      <w:r w:rsidRPr="00850D17">
        <w:rPr>
          <w:lang w:val="fr-CH"/>
        </w:rPr>
        <w:t xml:space="preserve">Cette étude se fonde sur la méthodologie </w:t>
      </w:r>
      <w:r w:rsidR="00334836" w:rsidRPr="00850D17">
        <w:rPr>
          <w:lang w:val="fr-CH"/>
        </w:rPr>
        <w:t>suivante</w:t>
      </w:r>
      <w:r w:rsidRPr="00850D17">
        <w:rPr>
          <w:lang w:val="fr-CH"/>
        </w:rPr>
        <w:t>:</w:t>
      </w:r>
    </w:p>
    <w:p w:rsidR="004540AC" w:rsidRPr="00850D17" w:rsidRDefault="005E2578" w:rsidP="00C36970">
      <w:pPr>
        <w:pStyle w:val="Bullet1G"/>
        <w:rPr>
          <w:rFonts w:eastAsia="SimSun"/>
          <w:lang w:val="fr-CH"/>
        </w:rPr>
      </w:pPr>
      <w:r>
        <w:rPr>
          <w:rFonts w:eastAsia="SimSun"/>
          <w:lang w:val="fr-CH"/>
        </w:rPr>
        <w:t>Examen</w:t>
      </w:r>
      <w:r w:rsidRPr="00850D17">
        <w:rPr>
          <w:rFonts w:eastAsia="SimSun"/>
          <w:lang w:val="fr-CH"/>
        </w:rPr>
        <w:t xml:space="preserve"> </w:t>
      </w:r>
      <w:r w:rsidR="004540AC" w:rsidRPr="00850D17">
        <w:rPr>
          <w:rFonts w:eastAsia="SimSun"/>
          <w:lang w:val="fr-CH"/>
        </w:rPr>
        <w:t>de divers documents (</w:t>
      </w:r>
      <w:r w:rsidR="00EC42C2" w:rsidRPr="00850D17">
        <w:rPr>
          <w:rFonts w:eastAsia="SimSun"/>
          <w:lang w:val="fr-CH"/>
        </w:rPr>
        <w:t xml:space="preserve">notamment </w:t>
      </w:r>
      <w:r w:rsidR="004540AC" w:rsidRPr="00850D17">
        <w:rPr>
          <w:rFonts w:eastAsia="SimSun"/>
          <w:lang w:val="fr-CH"/>
        </w:rPr>
        <w:t>études et rapports, législation, documents programmatiques)</w:t>
      </w:r>
      <w:r w:rsidR="00F03ACD" w:rsidRPr="00850D17">
        <w:rPr>
          <w:rFonts w:eastAsia="SimSun"/>
          <w:lang w:val="fr-CH"/>
        </w:rPr>
        <w:t>;</w:t>
      </w:r>
    </w:p>
    <w:p w:rsidR="004540AC" w:rsidRPr="00850D17" w:rsidRDefault="00850D17" w:rsidP="00C36970">
      <w:pPr>
        <w:pStyle w:val="Bullet1G"/>
        <w:rPr>
          <w:rFonts w:eastAsia="SimSun"/>
          <w:lang w:val="fr-CH"/>
        </w:rPr>
      </w:pPr>
      <w:r w:rsidRPr="00850D17">
        <w:rPr>
          <w:rFonts w:eastAsia="SimSun"/>
          <w:lang w:val="fr-CH"/>
        </w:rPr>
        <w:t xml:space="preserve">Discussions </w:t>
      </w:r>
      <w:r w:rsidR="004540AC" w:rsidRPr="00850D17">
        <w:rPr>
          <w:rFonts w:eastAsia="SimSun"/>
          <w:lang w:val="fr-CH"/>
        </w:rPr>
        <w:t>avec</w:t>
      </w:r>
      <w:r w:rsidR="000C03C2">
        <w:rPr>
          <w:rFonts w:eastAsia="SimSun"/>
          <w:lang w:val="fr-CH"/>
        </w:rPr>
        <w:t xml:space="preserve"> </w:t>
      </w:r>
      <w:r w:rsidR="000C03C2" w:rsidRPr="00C36970">
        <w:rPr>
          <w:rFonts w:eastAsia="SimSun"/>
          <w:lang w:val="fr-CH"/>
        </w:rPr>
        <w:t>des membres de</w:t>
      </w:r>
      <w:r w:rsidR="004540AC" w:rsidRPr="00850D17">
        <w:rPr>
          <w:rFonts w:eastAsia="SimSun"/>
          <w:lang w:val="fr-CH"/>
        </w:rPr>
        <w:t xml:space="preserve"> la société civile locale afin d’apprécier </w:t>
      </w:r>
      <w:r w:rsidR="000C03C2">
        <w:rPr>
          <w:rFonts w:eastAsia="SimSun"/>
          <w:lang w:val="fr-CH"/>
        </w:rPr>
        <w:t>leur</w:t>
      </w:r>
      <w:r w:rsidR="000C03C2" w:rsidRPr="00850D17">
        <w:rPr>
          <w:rFonts w:eastAsia="SimSun"/>
          <w:lang w:val="fr-CH"/>
        </w:rPr>
        <w:t xml:space="preserve"> </w:t>
      </w:r>
      <w:r w:rsidR="004540AC" w:rsidRPr="00850D17">
        <w:rPr>
          <w:rFonts w:eastAsia="SimSun"/>
          <w:lang w:val="fr-CH"/>
        </w:rPr>
        <w:t>lecture des interventions des acteurs internationaux</w:t>
      </w:r>
      <w:r w:rsidR="00F03ACD" w:rsidRPr="00850D17">
        <w:rPr>
          <w:rFonts w:eastAsia="SimSun"/>
          <w:lang w:val="fr-CH"/>
        </w:rPr>
        <w:t>;</w:t>
      </w:r>
    </w:p>
    <w:p w:rsidR="00EA0AC6" w:rsidRPr="00850D17" w:rsidRDefault="00850D17" w:rsidP="00C36970">
      <w:pPr>
        <w:pStyle w:val="Bullet1G"/>
        <w:rPr>
          <w:rFonts w:eastAsia="SimSun"/>
          <w:lang w:val="fr-CH"/>
        </w:rPr>
      </w:pPr>
      <w:r w:rsidRPr="00850D17">
        <w:rPr>
          <w:rFonts w:eastAsia="SimSun"/>
          <w:lang w:val="fr-CH"/>
        </w:rPr>
        <w:t xml:space="preserve">Soumission </w:t>
      </w:r>
      <w:r w:rsidR="00120686" w:rsidRPr="00850D17">
        <w:rPr>
          <w:rFonts w:eastAsia="SimSun"/>
          <w:lang w:val="fr-CH"/>
        </w:rPr>
        <w:t xml:space="preserve">de questionnaires </w:t>
      </w:r>
      <w:r w:rsidR="00A2378F" w:rsidRPr="00850D17">
        <w:rPr>
          <w:rFonts w:eastAsia="SimSun"/>
          <w:lang w:val="fr-CH"/>
        </w:rPr>
        <w:t>aux</w:t>
      </w:r>
      <w:r w:rsidR="00EA0AC6" w:rsidRPr="00850D17">
        <w:rPr>
          <w:rFonts w:eastAsia="SimSun"/>
          <w:lang w:val="fr-CH"/>
        </w:rPr>
        <w:t xml:space="preserve"> principaux intervenants de</w:t>
      </w:r>
      <w:r w:rsidR="00A2378F" w:rsidRPr="00850D17">
        <w:rPr>
          <w:rFonts w:eastAsia="SimSun"/>
          <w:lang w:val="fr-CH"/>
        </w:rPr>
        <w:t xml:space="preserve">s Nations </w:t>
      </w:r>
      <w:r w:rsidR="00A13616">
        <w:rPr>
          <w:rFonts w:eastAsia="SimSun"/>
          <w:lang w:val="fr-CH"/>
        </w:rPr>
        <w:t>U</w:t>
      </w:r>
      <w:r w:rsidR="00A2378F" w:rsidRPr="00850D17">
        <w:rPr>
          <w:rFonts w:eastAsia="SimSun"/>
          <w:lang w:val="fr-CH"/>
        </w:rPr>
        <w:t xml:space="preserve">nies, </w:t>
      </w:r>
      <w:r w:rsidR="00EA0AC6" w:rsidRPr="00850D17">
        <w:rPr>
          <w:rFonts w:eastAsia="SimSun"/>
          <w:lang w:val="fr-CH"/>
        </w:rPr>
        <w:t xml:space="preserve">autorités gouvernementales et ONG </w:t>
      </w:r>
      <w:r w:rsidR="00A2378F" w:rsidRPr="00850D17">
        <w:rPr>
          <w:rFonts w:eastAsia="SimSun"/>
          <w:lang w:val="fr-CH"/>
        </w:rPr>
        <w:t>internationales</w:t>
      </w:r>
      <w:r w:rsidR="00EA0AC6" w:rsidRPr="00850D17">
        <w:rPr>
          <w:rFonts w:eastAsia="SimSun"/>
          <w:lang w:val="fr-CH"/>
        </w:rPr>
        <w:t xml:space="preserve"> à Kinshasa et dans les provinces</w:t>
      </w:r>
      <w:r w:rsidR="00F03ACD" w:rsidRPr="00850D17">
        <w:rPr>
          <w:rFonts w:eastAsia="SimSun"/>
          <w:lang w:val="fr-CH"/>
        </w:rPr>
        <w:t>;</w:t>
      </w:r>
    </w:p>
    <w:p w:rsidR="004540AC" w:rsidRPr="00850D17" w:rsidRDefault="00850D17" w:rsidP="00C36970">
      <w:pPr>
        <w:pStyle w:val="Bullet1G"/>
        <w:rPr>
          <w:rFonts w:eastAsia="SimSun"/>
          <w:lang w:val="fr-CH"/>
        </w:rPr>
      </w:pPr>
      <w:r w:rsidRPr="00850D17">
        <w:rPr>
          <w:rFonts w:eastAsia="SimSun"/>
          <w:lang w:val="fr-CH"/>
        </w:rPr>
        <w:t xml:space="preserve">Échanges </w:t>
      </w:r>
      <w:r w:rsidR="004540AC" w:rsidRPr="00850D17">
        <w:rPr>
          <w:rFonts w:eastAsia="SimSun"/>
          <w:lang w:val="fr-CH"/>
        </w:rPr>
        <w:t>par courrier électronique avec des intervenants non</w:t>
      </w:r>
      <w:r w:rsidR="003338C2">
        <w:rPr>
          <w:rFonts w:eastAsia="SimSun"/>
          <w:lang w:val="fr-CH"/>
        </w:rPr>
        <w:t xml:space="preserve"> </w:t>
      </w:r>
      <w:r w:rsidR="004540AC" w:rsidRPr="00850D17">
        <w:rPr>
          <w:rFonts w:eastAsia="SimSun"/>
          <w:lang w:val="fr-CH"/>
        </w:rPr>
        <w:t xml:space="preserve">résidents en </w:t>
      </w:r>
      <w:r w:rsidR="003338C2" w:rsidRPr="00850D17">
        <w:rPr>
          <w:lang w:val="fr-CH"/>
        </w:rPr>
        <w:t>République démocratique du Congo</w:t>
      </w:r>
      <w:r w:rsidR="00F03ACD" w:rsidRPr="00850D17">
        <w:rPr>
          <w:rFonts w:eastAsia="SimSun"/>
          <w:lang w:val="fr-CH"/>
        </w:rPr>
        <w:t>;</w:t>
      </w:r>
    </w:p>
    <w:p w:rsidR="004540AC" w:rsidRPr="00850D17" w:rsidRDefault="00850D17" w:rsidP="00C36970">
      <w:pPr>
        <w:pStyle w:val="Bullet1G"/>
        <w:rPr>
          <w:rFonts w:eastAsia="SimSun"/>
          <w:lang w:val="fr-CH"/>
        </w:rPr>
      </w:pPr>
      <w:r w:rsidRPr="00850D17">
        <w:rPr>
          <w:rFonts w:eastAsia="SimSun"/>
          <w:lang w:val="fr-CH"/>
        </w:rPr>
        <w:t xml:space="preserve">Missions </w:t>
      </w:r>
      <w:r w:rsidR="004540AC" w:rsidRPr="00850D17">
        <w:rPr>
          <w:rFonts w:eastAsia="SimSun"/>
          <w:lang w:val="fr-CH"/>
        </w:rPr>
        <w:t xml:space="preserve">d’observation </w:t>
      </w:r>
      <w:r w:rsidR="00EC42C2" w:rsidRPr="00850D17">
        <w:rPr>
          <w:rFonts w:eastAsia="SimSun"/>
          <w:lang w:val="fr-CH"/>
        </w:rPr>
        <w:t xml:space="preserve">au </w:t>
      </w:r>
      <w:r w:rsidR="004540AC" w:rsidRPr="00850D17">
        <w:rPr>
          <w:rFonts w:eastAsia="SimSun"/>
          <w:lang w:val="fr-CH"/>
        </w:rPr>
        <w:t xml:space="preserve">Bas-Congo (Mbanza-Ngungu, </w:t>
      </w:r>
      <w:r w:rsidR="00925B5E" w:rsidRPr="00850D17">
        <w:rPr>
          <w:rFonts w:eastAsia="SimSun"/>
          <w:lang w:val="fr-CH"/>
        </w:rPr>
        <w:t xml:space="preserve">Kimbemba </w:t>
      </w:r>
      <w:r w:rsidR="004540AC" w:rsidRPr="00850D17">
        <w:rPr>
          <w:rFonts w:eastAsia="SimSun"/>
          <w:lang w:val="fr-CH"/>
        </w:rPr>
        <w:t>et Lamba) sur les activités génératrices de revenus</w:t>
      </w:r>
      <w:r w:rsidR="008D5B63">
        <w:rPr>
          <w:rFonts w:eastAsia="SimSun"/>
          <w:lang w:val="fr-CH"/>
        </w:rPr>
        <w:t xml:space="preserve"> </w:t>
      </w:r>
      <w:r w:rsidR="004540AC" w:rsidRPr="00850D17">
        <w:rPr>
          <w:rFonts w:eastAsia="SimSun"/>
          <w:lang w:val="fr-CH"/>
        </w:rPr>
        <w:t xml:space="preserve">et l’assistance aux migrants </w:t>
      </w:r>
      <w:r w:rsidR="004540AC" w:rsidRPr="00C36970">
        <w:rPr>
          <w:rFonts w:eastAsia="SimSun"/>
          <w:lang w:val="fr-CH"/>
        </w:rPr>
        <w:t>retournés</w:t>
      </w:r>
      <w:r w:rsidR="00F03ACD" w:rsidRPr="00850D17">
        <w:rPr>
          <w:rFonts w:eastAsia="SimSun"/>
          <w:lang w:val="fr-CH"/>
        </w:rPr>
        <w:t>;</w:t>
      </w:r>
      <w:r w:rsidR="004540AC" w:rsidRPr="00850D17">
        <w:rPr>
          <w:rFonts w:eastAsia="SimSun"/>
          <w:lang w:val="fr-CH"/>
        </w:rPr>
        <w:t xml:space="preserve"> </w:t>
      </w:r>
      <w:r w:rsidR="00EC42C2" w:rsidRPr="00850D17">
        <w:rPr>
          <w:rFonts w:eastAsia="SimSun"/>
          <w:lang w:val="fr-CH"/>
        </w:rPr>
        <w:t>a</w:t>
      </w:r>
      <w:r w:rsidR="004540AC" w:rsidRPr="00850D17">
        <w:rPr>
          <w:rFonts w:eastAsia="SimSun"/>
          <w:lang w:val="fr-CH"/>
        </w:rPr>
        <w:t>u Katanga (Kalemie et Lubumbashi) sur la gouvernance dans l’exploitation des ressources naturelles et la protection des populations autochtones</w:t>
      </w:r>
      <w:r w:rsidR="00F03ACD" w:rsidRPr="00850D17">
        <w:rPr>
          <w:rFonts w:eastAsia="SimSun"/>
          <w:lang w:val="fr-CH"/>
        </w:rPr>
        <w:t>;</w:t>
      </w:r>
      <w:r w:rsidR="004540AC" w:rsidRPr="00850D17">
        <w:rPr>
          <w:rFonts w:eastAsia="SimSun"/>
          <w:lang w:val="fr-CH"/>
        </w:rPr>
        <w:t xml:space="preserve"> </w:t>
      </w:r>
      <w:r w:rsidR="00EC42C2" w:rsidRPr="00850D17">
        <w:rPr>
          <w:rFonts w:eastAsia="SimSun"/>
          <w:lang w:val="fr-CH"/>
        </w:rPr>
        <w:t xml:space="preserve">au </w:t>
      </w:r>
      <w:r w:rsidR="004540AC" w:rsidRPr="00850D17">
        <w:rPr>
          <w:rFonts w:eastAsia="SimSun"/>
          <w:lang w:val="fr-CH"/>
        </w:rPr>
        <w:t>Nord-Kivu (Goma) sur la protection des civils, la lutte contre les violences sexuelles</w:t>
      </w:r>
      <w:r w:rsidR="00A2378F" w:rsidRPr="00850D17">
        <w:rPr>
          <w:rFonts w:eastAsia="SimSun"/>
          <w:lang w:val="fr-CH"/>
        </w:rPr>
        <w:t xml:space="preserve"> et la prise en charge d</w:t>
      </w:r>
      <w:r w:rsidR="00C2119A">
        <w:rPr>
          <w:rFonts w:eastAsia="SimSun"/>
          <w:lang w:val="fr-CH"/>
        </w:rPr>
        <w:t xml:space="preserve">es </w:t>
      </w:r>
      <w:r w:rsidR="00A2378F" w:rsidRPr="00850D17">
        <w:rPr>
          <w:rFonts w:eastAsia="SimSun"/>
          <w:lang w:val="fr-CH"/>
        </w:rPr>
        <w:t xml:space="preserve">enfants démobilisés </w:t>
      </w:r>
      <w:r w:rsidR="00334836" w:rsidRPr="00850D17">
        <w:rPr>
          <w:rFonts w:eastAsia="SimSun"/>
          <w:lang w:val="fr-CH"/>
        </w:rPr>
        <w:t>par</w:t>
      </w:r>
      <w:r w:rsidR="00A2378F" w:rsidRPr="00850D17">
        <w:rPr>
          <w:rFonts w:eastAsia="SimSun"/>
          <w:lang w:val="fr-CH"/>
        </w:rPr>
        <w:t xml:space="preserve"> </w:t>
      </w:r>
      <w:r w:rsidR="00334836" w:rsidRPr="00850D17">
        <w:rPr>
          <w:rFonts w:eastAsia="SimSun"/>
          <w:lang w:val="fr-CH"/>
        </w:rPr>
        <w:t xml:space="preserve">les </w:t>
      </w:r>
      <w:r w:rsidR="00A2378F" w:rsidRPr="00850D17">
        <w:rPr>
          <w:rFonts w:eastAsia="SimSun"/>
          <w:lang w:val="fr-CH"/>
        </w:rPr>
        <w:t xml:space="preserve">groupes armés et </w:t>
      </w:r>
      <w:r w:rsidR="00334836" w:rsidRPr="00850D17">
        <w:rPr>
          <w:rFonts w:eastAsia="SimSun"/>
          <w:lang w:val="fr-CH"/>
        </w:rPr>
        <w:t xml:space="preserve">des </w:t>
      </w:r>
      <w:r w:rsidR="00A2378F" w:rsidRPr="00850D17">
        <w:rPr>
          <w:rFonts w:eastAsia="SimSun"/>
          <w:lang w:val="fr-CH"/>
        </w:rPr>
        <w:t>victimes de violences sexuelles</w:t>
      </w:r>
      <w:r w:rsidR="004540AC" w:rsidRPr="00850D17">
        <w:rPr>
          <w:rFonts w:eastAsia="SimSun"/>
          <w:lang w:val="fr-CH"/>
        </w:rPr>
        <w:t xml:space="preserve">; et </w:t>
      </w:r>
      <w:r w:rsidR="00EC42C2" w:rsidRPr="00850D17">
        <w:rPr>
          <w:rFonts w:eastAsia="SimSun"/>
          <w:lang w:val="fr-CH"/>
        </w:rPr>
        <w:t xml:space="preserve">au </w:t>
      </w:r>
      <w:r w:rsidR="004540AC" w:rsidRPr="00850D17">
        <w:rPr>
          <w:rFonts w:eastAsia="SimSun"/>
          <w:lang w:val="fr-CH"/>
        </w:rPr>
        <w:t>Sud-Kivu (Bukavu) sur la prise en charge holistique de victimes de violences sexuelles</w:t>
      </w:r>
      <w:r w:rsidR="00120686" w:rsidRPr="00850D17">
        <w:rPr>
          <w:rFonts w:eastAsia="SimSun"/>
          <w:lang w:val="fr-CH"/>
        </w:rPr>
        <w:t>. L</w:t>
      </w:r>
      <w:r w:rsidR="004540AC" w:rsidRPr="00850D17">
        <w:rPr>
          <w:rFonts w:eastAsia="SimSun"/>
          <w:lang w:val="fr-CH"/>
        </w:rPr>
        <w:t xml:space="preserve">a clinique juridique de Mungunga </w:t>
      </w:r>
      <w:r w:rsidR="00A2378F" w:rsidRPr="00850D17">
        <w:rPr>
          <w:rFonts w:eastAsia="SimSun"/>
          <w:lang w:val="fr-CH"/>
        </w:rPr>
        <w:t>et le bureau du centre d’appels de War Child UK</w:t>
      </w:r>
      <w:r w:rsidR="008A4435">
        <w:rPr>
          <w:rFonts w:eastAsia="SimSun"/>
          <w:lang w:val="fr-CH"/>
        </w:rPr>
        <w:t>,</w:t>
      </w:r>
      <w:r w:rsidR="00A2378F" w:rsidRPr="00850D17">
        <w:rPr>
          <w:rFonts w:eastAsia="SimSun"/>
          <w:lang w:val="fr-CH"/>
        </w:rPr>
        <w:t xml:space="preserve"> </w:t>
      </w:r>
      <w:r w:rsidR="004540AC" w:rsidRPr="00850D17">
        <w:rPr>
          <w:rFonts w:eastAsia="SimSun"/>
          <w:lang w:val="fr-CH"/>
        </w:rPr>
        <w:t>au N</w:t>
      </w:r>
      <w:r w:rsidR="00A2378F" w:rsidRPr="00850D17">
        <w:rPr>
          <w:rFonts w:eastAsia="SimSun"/>
          <w:lang w:val="fr-CH"/>
        </w:rPr>
        <w:t>ord-</w:t>
      </w:r>
      <w:r w:rsidR="004540AC" w:rsidRPr="00850D17">
        <w:rPr>
          <w:rFonts w:eastAsia="SimSun"/>
          <w:lang w:val="fr-CH"/>
        </w:rPr>
        <w:t>Kivu</w:t>
      </w:r>
      <w:r w:rsidR="00A2378F" w:rsidRPr="00850D17">
        <w:rPr>
          <w:rFonts w:eastAsia="SimSun"/>
          <w:lang w:val="fr-CH"/>
        </w:rPr>
        <w:t>, et</w:t>
      </w:r>
      <w:r w:rsidR="004540AC" w:rsidRPr="00850D17">
        <w:rPr>
          <w:rFonts w:eastAsia="SimSun"/>
          <w:lang w:val="fr-CH"/>
        </w:rPr>
        <w:t xml:space="preserve"> la Fondation Panzi</w:t>
      </w:r>
      <w:r w:rsidR="008A4435">
        <w:rPr>
          <w:rFonts w:eastAsia="SimSun"/>
          <w:lang w:val="fr-CH"/>
        </w:rPr>
        <w:t>,</w:t>
      </w:r>
      <w:r w:rsidR="004540AC" w:rsidRPr="00850D17">
        <w:rPr>
          <w:rFonts w:eastAsia="SimSun"/>
          <w:lang w:val="fr-CH"/>
        </w:rPr>
        <w:t xml:space="preserve"> </w:t>
      </w:r>
      <w:r w:rsidR="00A2378F" w:rsidRPr="00850D17">
        <w:rPr>
          <w:rFonts w:eastAsia="SimSun"/>
          <w:lang w:val="fr-CH"/>
        </w:rPr>
        <w:t>au Sud-</w:t>
      </w:r>
      <w:r w:rsidR="004540AC" w:rsidRPr="00850D17">
        <w:rPr>
          <w:rFonts w:eastAsia="SimSun"/>
          <w:lang w:val="fr-CH"/>
        </w:rPr>
        <w:t>Kivu</w:t>
      </w:r>
      <w:r w:rsidR="008A4435">
        <w:rPr>
          <w:rFonts w:eastAsia="SimSun"/>
          <w:lang w:val="fr-CH"/>
        </w:rPr>
        <w:t>,</w:t>
      </w:r>
      <w:r w:rsidR="00120686" w:rsidRPr="00850D17">
        <w:rPr>
          <w:rFonts w:eastAsia="SimSun"/>
          <w:lang w:val="fr-CH"/>
        </w:rPr>
        <w:t xml:space="preserve"> ont été visités</w:t>
      </w:r>
      <w:r w:rsidR="004540AC" w:rsidRPr="00850D17">
        <w:rPr>
          <w:rFonts w:eastAsia="SimSun"/>
          <w:lang w:val="fr-CH"/>
        </w:rPr>
        <w:t>.</w:t>
      </w:r>
      <w:r w:rsidR="0012008D" w:rsidRPr="00850D17">
        <w:rPr>
          <w:rFonts w:eastAsia="SimSun"/>
          <w:lang w:val="fr-CH"/>
        </w:rPr>
        <w:t xml:space="preserve"> </w:t>
      </w:r>
    </w:p>
    <w:p w:rsidR="004540AC" w:rsidRPr="00850D17" w:rsidRDefault="0014353A" w:rsidP="005C5CD7">
      <w:pPr>
        <w:pStyle w:val="SingleTxtG"/>
        <w:numPr>
          <w:ilvl w:val="0"/>
          <w:numId w:val="7"/>
        </w:numPr>
        <w:tabs>
          <w:tab w:val="left" w:pos="1134"/>
        </w:tabs>
        <w:ind w:left="1134" w:firstLine="0"/>
        <w:rPr>
          <w:lang w:val="fr-CH"/>
        </w:rPr>
      </w:pPr>
      <w:r>
        <w:rPr>
          <w:lang w:val="fr-CH"/>
        </w:rPr>
        <w:t>Les</w:t>
      </w:r>
      <w:r w:rsidR="004540AC" w:rsidRPr="00850D17">
        <w:rPr>
          <w:lang w:val="fr-CH"/>
        </w:rPr>
        <w:t xml:space="preserve"> difficultés rencontr</w:t>
      </w:r>
      <w:r w:rsidR="00A11A07" w:rsidRPr="00850D17">
        <w:rPr>
          <w:lang w:val="fr-CH"/>
        </w:rPr>
        <w:t>ées dans la conduite de l’étude</w:t>
      </w:r>
      <w:r w:rsidR="00C17E01">
        <w:rPr>
          <w:lang w:val="fr-CH"/>
        </w:rPr>
        <w:t xml:space="preserve"> </w:t>
      </w:r>
      <w:r>
        <w:rPr>
          <w:lang w:val="fr-CH"/>
        </w:rPr>
        <w:t>ont</w:t>
      </w:r>
      <w:r w:rsidR="00C17E01">
        <w:rPr>
          <w:lang w:val="fr-CH"/>
        </w:rPr>
        <w:t xml:space="preserve"> été</w:t>
      </w:r>
      <w:r>
        <w:rPr>
          <w:lang w:val="fr-CH"/>
        </w:rPr>
        <w:t xml:space="preserve"> les suivantes</w:t>
      </w:r>
      <w:r w:rsidR="004540AC" w:rsidRPr="00850D17">
        <w:rPr>
          <w:lang w:val="fr-CH"/>
        </w:rPr>
        <w:t>:</w:t>
      </w:r>
      <w:r w:rsidR="0012008D" w:rsidRPr="00850D17">
        <w:rPr>
          <w:lang w:val="fr-CH"/>
        </w:rPr>
        <w:t xml:space="preserve"> </w:t>
      </w:r>
    </w:p>
    <w:p w:rsidR="004540AC" w:rsidRPr="00850D17" w:rsidRDefault="008D5B63" w:rsidP="00C6078F">
      <w:pPr>
        <w:pStyle w:val="Bullet1G"/>
        <w:rPr>
          <w:rFonts w:eastAsia="SimSun"/>
          <w:lang w:val="fr-CH"/>
        </w:rPr>
      </w:pPr>
      <w:r w:rsidRPr="00850D17">
        <w:rPr>
          <w:rFonts w:eastAsia="SimSun"/>
          <w:lang w:val="fr-CH"/>
        </w:rPr>
        <w:t>L</w:t>
      </w:r>
      <w:r w:rsidR="004540AC" w:rsidRPr="00850D17">
        <w:rPr>
          <w:rFonts w:eastAsia="SimSun"/>
          <w:lang w:val="fr-CH"/>
        </w:rPr>
        <w:t>’absence de réponse aux demandes de rencontres et aux questionnaires</w:t>
      </w:r>
      <w:r w:rsidR="00A13616">
        <w:rPr>
          <w:rFonts w:eastAsia="SimSun"/>
          <w:lang w:val="fr-CH"/>
        </w:rPr>
        <w:t xml:space="preserve"> </w:t>
      </w:r>
      <w:r w:rsidR="004540AC" w:rsidRPr="00850D17">
        <w:rPr>
          <w:rFonts w:eastAsia="SimSun"/>
          <w:lang w:val="fr-CH"/>
        </w:rPr>
        <w:t xml:space="preserve">de </w:t>
      </w:r>
      <w:r w:rsidR="00ED3B2F" w:rsidRPr="00850D17">
        <w:rPr>
          <w:rFonts w:eastAsia="SimSun"/>
          <w:lang w:val="fr-CH"/>
        </w:rPr>
        <w:t>certains</w:t>
      </w:r>
      <w:r w:rsidR="004540AC" w:rsidRPr="00850D17">
        <w:rPr>
          <w:rFonts w:eastAsia="SimSun"/>
          <w:lang w:val="fr-CH"/>
        </w:rPr>
        <w:t xml:space="preserve"> interlocuteurs</w:t>
      </w:r>
      <w:r w:rsidR="00C17E01">
        <w:rPr>
          <w:rFonts w:eastAsia="SimSun"/>
          <w:lang w:val="fr-CH"/>
        </w:rPr>
        <w:t xml:space="preserve"> </w:t>
      </w:r>
      <w:r w:rsidR="004540AC" w:rsidRPr="00850D17">
        <w:rPr>
          <w:rFonts w:eastAsia="SimSun"/>
          <w:lang w:val="fr-CH"/>
        </w:rPr>
        <w:t>clés</w:t>
      </w:r>
      <w:r w:rsidR="00F03ACD" w:rsidRPr="00850D17">
        <w:rPr>
          <w:rFonts w:eastAsia="SimSun"/>
          <w:lang w:val="fr-CH"/>
        </w:rPr>
        <w:t>;</w:t>
      </w:r>
    </w:p>
    <w:p w:rsidR="004540AC" w:rsidRPr="00850D17" w:rsidRDefault="008D5B63" w:rsidP="005E2578">
      <w:pPr>
        <w:pStyle w:val="Bullet1G"/>
        <w:rPr>
          <w:rFonts w:eastAsia="SimSun"/>
          <w:lang w:val="fr-CH"/>
        </w:rPr>
      </w:pPr>
      <w:r w:rsidRPr="00850D17">
        <w:rPr>
          <w:rFonts w:eastAsia="SimSun"/>
          <w:lang w:val="fr-CH"/>
        </w:rPr>
        <w:t>L</w:t>
      </w:r>
      <w:r w:rsidR="004540AC" w:rsidRPr="00850D17">
        <w:rPr>
          <w:rFonts w:eastAsia="SimSun"/>
          <w:lang w:val="fr-CH"/>
        </w:rPr>
        <w:t>’</w:t>
      </w:r>
      <w:r w:rsidR="004046ED" w:rsidRPr="00850D17">
        <w:rPr>
          <w:rFonts w:eastAsia="SimSun"/>
          <w:lang w:val="fr-CH"/>
        </w:rPr>
        <w:t>indisponibilité d</w:t>
      </w:r>
      <w:r w:rsidR="00EC42C2" w:rsidRPr="00850D17">
        <w:rPr>
          <w:rFonts w:eastAsia="SimSun"/>
          <w:lang w:val="fr-CH"/>
        </w:rPr>
        <w:t>e</w:t>
      </w:r>
      <w:r w:rsidR="004540AC" w:rsidRPr="00850D17">
        <w:rPr>
          <w:rFonts w:eastAsia="SimSun"/>
          <w:lang w:val="fr-CH"/>
        </w:rPr>
        <w:t xml:space="preserve"> </w:t>
      </w:r>
      <w:r w:rsidR="00C17E01">
        <w:rPr>
          <w:rFonts w:eastAsia="SimSun"/>
          <w:lang w:val="fr-CH"/>
        </w:rPr>
        <w:t xml:space="preserve">la </w:t>
      </w:r>
      <w:r w:rsidR="004540AC" w:rsidRPr="00850D17">
        <w:rPr>
          <w:rFonts w:eastAsia="SimSun"/>
          <w:lang w:val="fr-CH"/>
        </w:rPr>
        <w:t xml:space="preserve">documentation </w:t>
      </w:r>
      <w:r w:rsidR="00A2378F" w:rsidRPr="00850D17">
        <w:rPr>
          <w:rFonts w:eastAsia="SimSun"/>
          <w:lang w:val="fr-CH"/>
        </w:rPr>
        <w:t>et</w:t>
      </w:r>
      <w:r w:rsidR="00ED3B2F" w:rsidRPr="00850D17">
        <w:rPr>
          <w:rFonts w:eastAsia="SimSun"/>
          <w:lang w:val="fr-CH"/>
        </w:rPr>
        <w:t xml:space="preserve"> </w:t>
      </w:r>
      <w:r w:rsidR="00A2378F" w:rsidRPr="00850D17">
        <w:rPr>
          <w:rFonts w:eastAsia="SimSun"/>
          <w:lang w:val="fr-CH"/>
        </w:rPr>
        <w:t xml:space="preserve">de données </w:t>
      </w:r>
      <w:r w:rsidR="004540AC" w:rsidRPr="00850D17">
        <w:rPr>
          <w:rFonts w:eastAsia="SimSun"/>
          <w:lang w:val="fr-CH"/>
        </w:rPr>
        <w:t>exhaustive</w:t>
      </w:r>
      <w:r w:rsidR="00A2378F" w:rsidRPr="00850D17">
        <w:rPr>
          <w:rFonts w:eastAsia="SimSun"/>
          <w:lang w:val="fr-CH"/>
        </w:rPr>
        <w:t>s</w:t>
      </w:r>
      <w:r w:rsidR="004540AC" w:rsidRPr="00850D17">
        <w:rPr>
          <w:rFonts w:eastAsia="SimSun"/>
          <w:lang w:val="fr-CH"/>
        </w:rPr>
        <w:t xml:space="preserve"> et </w:t>
      </w:r>
      <w:r w:rsidR="00B76E78" w:rsidRPr="00850D17">
        <w:rPr>
          <w:rFonts w:eastAsia="SimSun"/>
          <w:lang w:val="fr-CH"/>
        </w:rPr>
        <w:t>précises</w:t>
      </w:r>
      <w:r w:rsidR="004540AC" w:rsidRPr="00850D17">
        <w:rPr>
          <w:rFonts w:eastAsia="SimSun"/>
          <w:lang w:val="fr-CH"/>
        </w:rPr>
        <w:t xml:space="preserve"> sur les interventions </w:t>
      </w:r>
      <w:r w:rsidR="00A2378F" w:rsidRPr="00850D17">
        <w:rPr>
          <w:rFonts w:eastAsia="SimSun"/>
          <w:lang w:val="fr-CH"/>
        </w:rPr>
        <w:t>de</w:t>
      </w:r>
      <w:r w:rsidR="00120686" w:rsidRPr="00850D17">
        <w:rPr>
          <w:rFonts w:eastAsia="SimSun"/>
          <w:lang w:val="fr-CH"/>
        </w:rPr>
        <w:t xml:space="preserve"> la communauté internationale </w:t>
      </w:r>
      <w:r w:rsidR="0047584B" w:rsidRPr="00850D17">
        <w:rPr>
          <w:rFonts w:eastAsia="SimSun"/>
          <w:lang w:val="fr-CH"/>
        </w:rPr>
        <w:t>concernant</w:t>
      </w:r>
      <w:r w:rsidR="00120686" w:rsidRPr="00850D17">
        <w:rPr>
          <w:rFonts w:eastAsia="SimSun"/>
          <w:lang w:val="fr-CH"/>
        </w:rPr>
        <w:t xml:space="preserve"> </w:t>
      </w:r>
      <w:r w:rsidR="009567A3" w:rsidRPr="00850D17">
        <w:rPr>
          <w:rFonts w:eastAsia="SimSun"/>
          <w:lang w:val="fr-CH"/>
        </w:rPr>
        <w:t xml:space="preserve">toute </w:t>
      </w:r>
      <w:r w:rsidR="00120686" w:rsidRPr="00850D17">
        <w:rPr>
          <w:rFonts w:eastAsia="SimSun"/>
          <w:lang w:val="fr-CH"/>
        </w:rPr>
        <w:t xml:space="preserve">la période </w:t>
      </w:r>
      <w:r w:rsidR="005E2578">
        <w:rPr>
          <w:rFonts w:eastAsia="SimSun"/>
          <w:lang w:val="fr-CH"/>
        </w:rPr>
        <w:t>considérée</w:t>
      </w:r>
      <w:r w:rsidR="00F03ACD" w:rsidRPr="00850D17">
        <w:rPr>
          <w:rFonts w:eastAsia="SimSun"/>
          <w:lang w:val="fr-CH"/>
        </w:rPr>
        <w:t>;</w:t>
      </w:r>
    </w:p>
    <w:p w:rsidR="004046ED" w:rsidRPr="00850D17" w:rsidRDefault="008D5B63" w:rsidP="00C6078F">
      <w:pPr>
        <w:pStyle w:val="Bullet1G"/>
        <w:rPr>
          <w:rFonts w:eastAsia="SimSun"/>
          <w:lang w:val="fr-CH"/>
        </w:rPr>
      </w:pPr>
      <w:r w:rsidRPr="00850D17">
        <w:rPr>
          <w:rFonts w:eastAsia="SimSun"/>
          <w:lang w:val="fr-CH"/>
        </w:rPr>
        <w:t>L</w:t>
      </w:r>
      <w:r w:rsidR="0047584B" w:rsidRPr="00850D17">
        <w:rPr>
          <w:rFonts w:eastAsia="SimSun"/>
          <w:lang w:val="fr-CH"/>
        </w:rPr>
        <w:t xml:space="preserve">’absence de mémoire institutionnelle liée à la </w:t>
      </w:r>
      <w:r w:rsidR="004540AC" w:rsidRPr="00850D17">
        <w:rPr>
          <w:rFonts w:eastAsia="SimSun"/>
          <w:lang w:val="fr-CH"/>
        </w:rPr>
        <w:t>mobilité de certains acteurs internationaux</w:t>
      </w:r>
      <w:r w:rsidR="00F03ACD" w:rsidRPr="00850D17">
        <w:rPr>
          <w:rFonts w:eastAsia="SimSun"/>
          <w:lang w:val="fr-CH"/>
        </w:rPr>
        <w:t>;</w:t>
      </w:r>
    </w:p>
    <w:p w:rsidR="004540AC" w:rsidRPr="00850D17" w:rsidRDefault="008D5B63" w:rsidP="00C6078F">
      <w:pPr>
        <w:pStyle w:val="Bullet1G"/>
        <w:rPr>
          <w:rFonts w:eastAsia="SimSun"/>
          <w:lang w:val="fr-CH"/>
        </w:rPr>
      </w:pPr>
      <w:r w:rsidRPr="00850D17">
        <w:rPr>
          <w:rFonts w:eastAsia="SimSun"/>
          <w:lang w:val="fr-CH"/>
        </w:rPr>
        <w:t>L</w:t>
      </w:r>
      <w:r w:rsidR="004540AC" w:rsidRPr="00850D17">
        <w:rPr>
          <w:rFonts w:eastAsia="SimSun"/>
          <w:lang w:val="fr-CH"/>
        </w:rPr>
        <w:t xml:space="preserve">’inaccessibilité de certaines localités à </w:t>
      </w:r>
      <w:r w:rsidR="00035234" w:rsidRPr="00850D17">
        <w:rPr>
          <w:rFonts w:eastAsia="SimSun"/>
          <w:lang w:val="fr-CH"/>
        </w:rPr>
        <w:t>l’</w:t>
      </w:r>
      <w:r w:rsidR="00572B0E">
        <w:rPr>
          <w:rFonts w:eastAsia="SimSun"/>
          <w:lang w:val="fr-CH"/>
        </w:rPr>
        <w:t>o</w:t>
      </w:r>
      <w:r w:rsidR="00035234" w:rsidRPr="00850D17">
        <w:rPr>
          <w:rFonts w:eastAsia="SimSun"/>
          <w:lang w:val="fr-CH"/>
        </w:rPr>
        <w:t xml:space="preserve">uest </w:t>
      </w:r>
      <w:r w:rsidR="004540AC" w:rsidRPr="00850D17">
        <w:rPr>
          <w:rFonts w:eastAsia="SimSun"/>
          <w:lang w:val="fr-CH"/>
        </w:rPr>
        <w:t>du pays (</w:t>
      </w:r>
      <w:r w:rsidRPr="00850D17">
        <w:rPr>
          <w:rFonts w:eastAsia="SimSun"/>
          <w:lang w:val="fr-CH"/>
        </w:rPr>
        <w:t>Équateur</w:t>
      </w:r>
      <w:r w:rsidR="004540AC" w:rsidRPr="00850D17">
        <w:rPr>
          <w:rFonts w:eastAsia="SimSun"/>
          <w:lang w:val="fr-CH"/>
        </w:rPr>
        <w:t>, Maniema, Kasaï) en raison de l’arrêt du trafic aérien suite au retrait progressif de la M</w:t>
      </w:r>
      <w:r w:rsidR="00C17E01">
        <w:rPr>
          <w:rFonts w:eastAsia="SimSun"/>
          <w:lang w:val="fr-CH"/>
        </w:rPr>
        <w:t>ission de l</w:t>
      </w:r>
      <w:r w:rsidR="00C17E01" w:rsidRPr="00C17E01">
        <w:rPr>
          <w:rFonts w:eastAsia="SimSun"/>
          <w:lang w:val="fr-CH"/>
        </w:rPr>
        <w:t>’</w:t>
      </w:r>
      <w:r w:rsidR="00C17E01">
        <w:rPr>
          <w:rFonts w:eastAsia="SimSun"/>
          <w:lang w:val="fr-CH"/>
        </w:rPr>
        <w:t>Organisation des Natio</w:t>
      </w:r>
      <w:r w:rsidR="00F27BA7">
        <w:rPr>
          <w:rFonts w:eastAsia="SimSun"/>
          <w:lang w:val="fr-CH"/>
        </w:rPr>
        <w:t xml:space="preserve">ns Unies pour la stabilisation </w:t>
      </w:r>
      <w:r w:rsidR="00C17E01">
        <w:rPr>
          <w:rFonts w:eastAsia="SimSun"/>
          <w:lang w:val="fr-CH"/>
        </w:rPr>
        <w:t>en République démocratique du Congo (M</w:t>
      </w:r>
      <w:r w:rsidR="004540AC" w:rsidRPr="00850D17">
        <w:rPr>
          <w:rFonts w:eastAsia="SimSun"/>
          <w:lang w:val="fr-CH"/>
        </w:rPr>
        <w:t>ONUSCO</w:t>
      </w:r>
      <w:r w:rsidR="00C17E01">
        <w:rPr>
          <w:rFonts w:eastAsia="SimSun"/>
          <w:lang w:val="fr-CH"/>
        </w:rPr>
        <w:t>)</w:t>
      </w:r>
      <w:r w:rsidR="00F03ACD" w:rsidRPr="00850D17">
        <w:rPr>
          <w:rFonts w:eastAsia="SimSun"/>
          <w:lang w:val="fr-CH"/>
        </w:rPr>
        <w:t>;</w:t>
      </w:r>
    </w:p>
    <w:p w:rsidR="0047584B" w:rsidRPr="00850D17" w:rsidRDefault="008D5B63" w:rsidP="00C6078F">
      <w:pPr>
        <w:pStyle w:val="Bullet1G"/>
        <w:rPr>
          <w:rFonts w:eastAsia="SimSun"/>
          <w:lang w:val="fr-CH"/>
        </w:rPr>
      </w:pPr>
      <w:r w:rsidRPr="00850D17">
        <w:rPr>
          <w:rFonts w:eastAsia="SimSun"/>
          <w:lang w:val="fr-CH"/>
        </w:rPr>
        <w:t>L</w:t>
      </w:r>
      <w:r w:rsidR="0047584B" w:rsidRPr="00850D17">
        <w:rPr>
          <w:rFonts w:eastAsia="SimSun"/>
          <w:lang w:val="fr-CH"/>
        </w:rPr>
        <w:t xml:space="preserve">a durée relativement courte </w:t>
      </w:r>
      <w:r w:rsidR="00C17E01">
        <w:rPr>
          <w:rFonts w:eastAsia="SimSun"/>
          <w:lang w:val="fr-CH"/>
        </w:rPr>
        <w:t xml:space="preserve">prévue </w:t>
      </w:r>
      <w:r w:rsidR="0047584B" w:rsidRPr="00850D17">
        <w:rPr>
          <w:rFonts w:eastAsia="SimSun"/>
          <w:lang w:val="fr-CH"/>
        </w:rPr>
        <w:t>pour la conduite de l’étude.</w:t>
      </w:r>
    </w:p>
    <w:p w:rsidR="00F633BC" w:rsidRPr="005023BC" w:rsidRDefault="00F73BA1">
      <w:pPr>
        <w:pStyle w:val="HChG"/>
        <w:rPr>
          <w:rFonts w:eastAsia="SimSun"/>
          <w:lang w:val="fr-CH"/>
        </w:rPr>
      </w:pPr>
      <w:r w:rsidRPr="00850D17">
        <w:rPr>
          <w:rFonts w:eastAsia="SimSun"/>
          <w:lang w:val="fr-CH"/>
        </w:rPr>
        <w:lastRenderedPageBreak/>
        <w:tab/>
      </w:r>
      <w:r w:rsidR="00851EB5" w:rsidRPr="00850D17">
        <w:rPr>
          <w:rFonts w:eastAsia="SimSun"/>
          <w:lang w:val="fr-CH"/>
        </w:rPr>
        <w:t>I</w:t>
      </w:r>
      <w:r w:rsidR="005C5CD7" w:rsidRPr="00850D17">
        <w:rPr>
          <w:rFonts w:eastAsia="SimSun"/>
          <w:lang w:val="fr-CH"/>
        </w:rPr>
        <w:t>V.</w:t>
      </w:r>
      <w:r w:rsidRPr="00850D17">
        <w:rPr>
          <w:rFonts w:eastAsia="SimSun"/>
          <w:lang w:val="fr-CH"/>
        </w:rPr>
        <w:tab/>
      </w:r>
      <w:r w:rsidR="00F633BC" w:rsidRPr="00850D17">
        <w:rPr>
          <w:rFonts w:eastAsia="SimSun"/>
          <w:lang w:val="fr-CH"/>
        </w:rPr>
        <w:t>Principales interventions de la communauté internationale</w:t>
      </w:r>
    </w:p>
    <w:p w:rsidR="009D257A" w:rsidRPr="00850D17" w:rsidRDefault="009D257A" w:rsidP="003809E1">
      <w:pPr>
        <w:pStyle w:val="SingleTxtG"/>
        <w:numPr>
          <w:ilvl w:val="0"/>
          <w:numId w:val="7"/>
        </w:numPr>
        <w:tabs>
          <w:tab w:val="left" w:pos="1134"/>
        </w:tabs>
        <w:ind w:left="1134" w:firstLine="0"/>
        <w:rPr>
          <w:lang w:val="fr-CH"/>
        </w:rPr>
      </w:pPr>
      <w:r w:rsidRPr="00850D17">
        <w:rPr>
          <w:lang w:val="fr-CH"/>
        </w:rPr>
        <w:t xml:space="preserve">Depuis 1996, la </w:t>
      </w:r>
      <w:r w:rsidR="003809E1">
        <w:rPr>
          <w:rFonts w:eastAsia="SimSun"/>
          <w:lang w:val="fr-CH"/>
        </w:rPr>
        <w:t>République démocratique du Congo</w:t>
      </w:r>
      <w:r w:rsidRPr="00850D17">
        <w:rPr>
          <w:lang w:val="fr-CH"/>
        </w:rPr>
        <w:t xml:space="preserve"> a subi une succession de guerres qui ont causé une instabilité politique et sécuritaire, une déliquescence de l’économie et un retard considérable dans le développement du pays. Cette situation a engendré des crises humanitaires chroniques et des violations graves des droits de l’homme, en particulier des violences sexuelles et sexistes.</w:t>
      </w:r>
    </w:p>
    <w:p w:rsidR="009D257A" w:rsidRPr="00850D17" w:rsidRDefault="009D257A" w:rsidP="00482CDF">
      <w:pPr>
        <w:pStyle w:val="SingleTxtG"/>
        <w:numPr>
          <w:ilvl w:val="0"/>
          <w:numId w:val="7"/>
        </w:numPr>
        <w:tabs>
          <w:tab w:val="left" w:pos="1134"/>
        </w:tabs>
        <w:ind w:left="1134" w:firstLine="0"/>
        <w:rPr>
          <w:lang w:val="fr-CH"/>
        </w:rPr>
      </w:pPr>
      <w:r w:rsidRPr="00850D17">
        <w:rPr>
          <w:lang w:val="fr-CH"/>
        </w:rPr>
        <w:t xml:space="preserve">En réponse à cette situation, la communauté internationale a fourni des efforts considérables dans le domaine des droits de l’homme. C’est le cas de nombreuses ONG internationales, de la MONUSCO, dont le mandat relatif aux droits de l’homme est </w:t>
      </w:r>
      <w:r w:rsidR="002D35A7" w:rsidRPr="00C36970">
        <w:rPr>
          <w:lang w:val="fr-CH"/>
        </w:rPr>
        <w:t>exécuté</w:t>
      </w:r>
      <w:r w:rsidR="002D35A7">
        <w:rPr>
          <w:lang w:val="fr-CH"/>
        </w:rPr>
        <w:t xml:space="preserve"> </w:t>
      </w:r>
      <w:r w:rsidRPr="00850D17">
        <w:rPr>
          <w:lang w:val="fr-CH"/>
        </w:rPr>
        <w:t xml:space="preserve">par le BCNUDH, et </w:t>
      </w:r>
      <w:r w:rsidR="0047584B" w:rsidRPr="00850D17">
        <w:rPr>
          <w:lang w:val="fr-CH"/>
        </w:rPr>
        <w:t xml:space="preserve">de </w:t>
      </w:r>
      <w:r w:rsidRPr="00850D17">
        <w:rPr>
          <w:lang w:val="fr-CH"/>
        </w:rPr>
        <w:t>l’</w:t>
      </w:r>
      <w:r w:rsidR="0099755F">
        <w:rPr>
          <w:lang w:val="fr-CH"/>
        </w:rPr>
        <w:t>é</w:t>
      </w:r>
      <w:r w:rsidR="008D5B63" w:rsidRPr="00850D17">
        <w:rPr>
          <w:lang w:val="fr-CH"/>
        </w:rPr>
        <w:t>quipe</w:t>
      </w:r>
      <w:r w:rsidRPr="00850D17">
        <w:rPr>
          <w:lang w:val="fr-CH"/>
        </w:rPr>
        <w:t xml:space="preserve"> </w:t>
      </w:r>
      <w:r w:rsidR="0099755F">
        <w:rPr>
          <w:lang w:val="fr-CH"/>
        </w:rPr>
        <w:t xml:space="preserve">de </w:t>
      </w:r>
      <w:r w:rsidRPr="00850D17">
        <w:rPr>
          <w:lang w:val="fr-CH"/>
        </w:rPr>
        <w:t xml:space="preserve">pays des Nations </w:t>
      </w:r>
      <w:r w:rsidR="00A13616">
        <w:rPr>
          <w:lang w:val="fr-CH"/>
        </w:rPr>
        <w:t>U</w:t>
      </w:r>
      <w:r w:rsidRPr="00850D17">
        <w:rPr>
          <w:lang w:val="fr-CH"/>
        </w:rPr>
        <w:t>nies</w:t>
      </w:r>
      <w:r w:rsidRPr="00850D17">
        <w:rPr>
          <w:rStyle w:val="FootnoteReference"/>
          <w:lang w:val="fr-CH"/>
        </w:rPr>
        <w:footnoteReference w:id="3"/>
      </w:r>
      <w:r w:rsidRPr="00850D17">
        <w:rPr>
          <w:lang w:val="fr-CH"/>
        </w:rPr>
        <w:t>.</w:t>
      </w:r>
    </w:p>
    <w:p w:rsidR="009E1277" w:rsidRPr="00850D17" w:rsidRDefault="000B6BE2">
      <w:pPr>
        <w:pStyle w:val="H1G"/>
        <w:rPr>
          <w:rFonts w:eastAsia="SimSun"/>
          <w:lang w:val="fr-CH"/>
        </w:rPr>
      </w:pPr>
      <w:r w:rsidRPr="00850D17">
        <w:rPr>
          <w:rFonts w:eastAsia="SimSun"/>
          <w:lang w:val="fr-CH"/>
        </w:rPr>
        <w:tab/>
        <w:t>A.</w:t>
      </w:r>
      <w:r w:rsidRPr="00850D17">
        <w:rPr>
          <w:rFonts w:eastAsia="SimSun"/>
          <w:lang w:val="fr-CH"/>
        </w:rPr>
        <w:tab/>
      </w:r>
      <w:r w:rsidR="009E1277" w:rsidRPr="00850D17">
        <w:rPr>
          <w:rFonts w:eastAsia="SimSun"/>
          <w:lang w:val="fr-CH"/>
        </w:rPr>
        <w:t xml:space="preserve">Appui à l’administration de la justice </w:t>
      </w:r>
      <w:r w:rsidR="000C4673" w:rsidRPr="00850D17">
        <w:rPr>
          <w:rFonts w:eastAsia="SimSun"/>
          <w:lang w:val="fr-CH"/>
        </w:rPr>
        <w:t xml:space="preserve">dans la </w:t>
      </w:r>
      <w:r w:rsidR="009E1277" w:rsidRPr="00850D17">
        <w:rPr>
          <w:rFonts w:eastAsia="SimSun"/>
          <w:lang w:val="fr-CH"/>
        </w:rPr>
        <w:t>l</w:t>
      </w:r>
      <w:r w:rsidR="00F633BC" w:rsidRPr="00850D17">
        <w:rPr>
          <w:rFonts w:eastAsia="SimSun"/>
          <w:lang w:val="fr-CH"/>
        </w:rPr>
        <w:t xml:space="preserve">utte contre l’impunité </w:t>
      </w:r>
    </w:p>
    <w:p w:rsidR="00B76E78" w:rsidRPr="00850D17" w:rsidRDefault="00516486" w:rsidP="00482CDF">
      <w:pPr>
        <w:pStyle w:val="SingleTxtG"/>
        <w:numPr>
          <w:ilvl w:val="0"/>
          <w:numId w:val="7"/>
        </w:numPr>
        <w:tabs>
          <w:tab w:val="left" w:pos="1134"/>
        </w:tabs>
        <w:ind w:left="1134" w:firstLine="0"/>
        <w:rPr>
          <w:lang w:val="fr-CH"/>
        </w:rPr>
      </w:pPr>
      <w:r w:rsidRPr="00850D17">
        <w:rPr>
          <w:lang w:val="fr-CH"/>
        </w:rPr>
        <w:t>L’</w:t>
      </w:r>
      <w:r w:rsidR="00B76E78" w:rsidRPr="00850D17">
        <w:rPr>
          <w:lang w:val="fr-CH"/>
        </w:rPr>
        <w:t>instabilité politique et sécuritaire</w:t>
      </w:r>
      <w:r w:rsidRPr="00850D17">
        <w:rPr>
          <w:lang w:val="fr-CH"/>
        </w:rPr>
        <w:t xml:space="preserve"> qu’a </w:t>
      </w:r>
      <w:r w:rsidR="00805F32" w:rsidRPr="00850D17">
        <w:rPr>
          <w:lang w:val="fr-CH"/>
        </w:rPr>
        <w:t>connue</w:t>
      </w:r>
      <w:r w:rsidRPr="00850D17">
        <w:rPr>
          <w:lang w:val="fr-CH"/>
        </w:rPr>
        <w:t xml:space="preserve"> la </w:t>
      </w:r>
      <w:r w:rsidR="00A557CF">
        <w:rPr>
          <w:rFonts w:eastAsia="SimSun"/>
          <w:lang w:val="fr-CH"/>
        </w:rPr>
        <w:t>République démocratique du Congo</w:t>
      </w:r>
      <w:r w:rsidRPr="00850D17">
        <w:rPr>
          <w:lang w:val="fr-CH"/>
        </w:rPr>
        <w:t xml:space="preserve"> </w:t>
      </w:r>
      <w:r w:rsidR="00B76E78" w:rsidRPr="00850D17">
        <w:rPr>
          <w:lang w:val="fr-CH"/>
        </w:rPr>
        <w:t xml:space="preserve">a </w:t>
      </w:r>
      <w:r w:rsidR="001C0017" w:rsidRPr="00850D17">
        <w:rPr>
          <w:lang w:val="fr-CH"/>
        </w:rPr>
        <w:t xml:space="preserve">engendré </w:t>
      </w:r>
      <w:r w:rsidRPr="00850D17">
        <w:rPr>
          <w:lang w:val="fr-CH"/>
        </w:rPr>
        <w:t xml:space="preserve">des crimes graves et </w:t>
      </w:r>
      <w:r w:rsidR="001A2FD7" w:rsidRPr="00850D17">
        <w:rPr>
          <w:lang w:val="fr-CH"/>
        </w:rPr>
        <w:t xml:space="preserve">des </w:t>
      </w:r>
      <w:r w:rsidRPr="00850D17">
        <w:rPr>
          <w:lang w:val="fr-CH"/>
        </w:rPr>
        <w:t xml:space="preserve">violations massives des droits de l’homme </w:t>
      </w:r>
      <w:r w:rsidR="00F93171" w:rsidRPr="00850D17">
        <w:rPr>
          <w:lang w:val="fr-CH"/>
        </w:rPr>
        <w:t>perpétrées</w:t>
      </w:r>
      <w:r w:rsidRPr="00850D17">
        <w:rPr>
          <w:lang w:val="fr-CH"/>
        </w:rPr>
        <w:t xml:space="preserve"> par les forces de </w:t>
      </w:r>
      <w:r w:rsidR="00F93171" w:rsidRPr="00850D17">
        <w:rPr>
          <w:lang w:val="fr-CH"/>
        </w:rPr>
        <w:t>défense</w:t>
      </w:r>
      <w:r w:rsidRPr="00850D17">
        <w:rPr>
          <w:lang w:val="fr-CH"/>
        </w:rPr>
        <w:t xml:space="preserve"> et de </w:t>
      </w:r>
      <w:r w:rsidR="00F93171" w:rsidRPr="00850D17">
        <w:rPr>
          <w:lang w:val="fr-CH"/>
        </w:rPr>
        <w:t>sécurité</w:t>
      </w:r>
      <w:r w:rsidRPr="00850D17">
        <w:rPr>
          <w:lang w:val="fr-CH"/>
        </w:rPr>
        <w:t xml:space="preserve"> et des groupes </w:t>
      </w:r>
      <w:r w:rsidR="005C171B" w:rsidRPr="00850D17">
        <w:rPr>
          <w:lang w:val="fr-CH"/>
        </w:rPr>
        <w:t>armés</w:t>
      </w:r>
      <w:r w:rsidRPr="00850D17">
        <w:rPr>
          <w:lang w:val="fr-CH"/>
        </w:rPr>
        <w:t xml:space="preserve">. Au nombre de ces violations, on peut citer </w:t>
      </w:r>
      <w:r w:rsidR="00F93171" w:rsidRPr="00850D17">
        <w:rPr>
          <w:lang w:val="fr-CH"/>
        </w:rPr>
        <w:t xml:space="preserve">des </w:t>
      </w:r>
      <w:r w:rsidRPr="00850D17">
        <w:rPr>
          <w:lang w:val="fr-CH"/>
        </w:rPr>
        <w:t xml:space="preserve">exécutions extrajudiciaires, </w:t>
      </w:r>
      <w:r w:rsidR="00F93171" w:rsidRPr="00850D17">
        <w:rPr>
          <w:lang w:val="fr-CH"/>
        </w:rPr>
        <w:t xml:space="preserve">des </w:t>
      </w:r>
      <w:r w:rsidRPr="00850D17">
        <w:rPr>
          <w:lang w:val="fr-CH"/>
        </w:rPr>
        <w:t xml:space="preserve">arrestations arbitraires, </w:t>
      </w:r>
      <w:r w:rsidR="00F93171" w:rsidRPr="00850D17">
        <w:rPr>
          <w:lang w:val="fr-CH"/>
        </w:rPr>
        <w:t xml:space="preserve">des </w:t>
      </w:r>
      <w:r w:rsidRPr="00850D17">
        <w:rPr>
          <w:lang w:val="fr-CH"/>
        </w:rPr>
        <w:t xml:space="preserve">violences sexuelles et sexistes, </w:t>
      </w:r>
      <w:r w:rsidR="00F93171" w:rsidRPr="00850D17">
        <w:rPr>
          <w:lang w:val="fr-CH"/>
        </w:rPr>
        <w:t xml:space="preserve">des </w:t>
      </w:r>
      <w:r w:rsidRPr="00850D17">
        <w:rPr>
          <w:lang w:val="fr-CH"/>
        </w:rPr>
        <w:t>atteintes à la propriété et</w:t>
      </w:r>
      <w:r w:rsidR="002C6572" w:rsidRPr="00850D17">
        <w:rPr>
          <w:lang w:val="fr-CH"/>
        </w:rPr>
        <w:t xml:space="preserve"> le</w:t>
      </w:r>
      <w:r w:rsidRPr="00850D17">
        <w:rPr>
          <w:lang w:val="fr-CH"/>
        </w:rPr>
        <w:t xml:space="preserve"> travail forcé</w:t>
      </w:r>
      <w:r w:rsidR="00B76E78" w:rsidRPr="00850D17">
        <w:rPr>
          <w:lang w:val="fr-CH"/>
        </w:rPr>
        <w:t>.</w:t>
      </w:r>
    </w:p>
    <w:p w:rsidR="00B76E78" w:rsidRPr="00850D17" w:rsidRDefault="00B76E78" w:rsidP="000F7290">
      <w:pPr>
        <w:pStyle w:val="SingleTxtG"/>
        <w:numPr>
          <w:ilvl w:val="0"/>
          <w:numId w:val="7"/>
        </w:numPr>
        <w:tabs>
          <w:tab w:val="left" w:pos="1134"/>
        </w:tabs>
        <w:ind w:left="1134" w:firstLine="0"/>
        <w:rPr>
          <w:lang w:val="fr-CH"/>
        </w:rPr>
      </w:pPr>
      <w:r w:rsidRPr="00850D17">
        <w:rPr>
          <w:lang w:val="fr-CH"/>
        </w:rPr>
        <w:t xml:space="preserve">En l’absence de données </w:t>
      </w:r>
      <w:r w:rsidR="00CC7EDC" w:rsidRPr="00850D17">
        <w:rPr>
          <w:lang w:val="fr-CH"/>
        </w:rPr>
        <w:t xml:space="preserve">exhaustives </w:t>
      </w:r>
      <w:r w:rsidRPr="00850D17">
        <w:rPr>
          <w:lang w:val="fr-CH"/>
        </w:rPr>
        <w:t xml:space="preserve">sur toute la période </w:t>
      </w:r>
      <w:r w:rsidR="005E2578">
        <w:rPr>
          <w:lang w:val="fr-CH"/>
        </w:rPr>
        <w:t>considérée</w:t>
      </w:r>
      <w:r w:rsidRPr="00850D17">
        <w:rPr>
          <w:lang w:val="fr-CH"/>
        </w:rPr>
        <w:t>, le graphique ci-dessous présente l’évolution des violations des droits de l’homme et d</w:t>
      </w:r>
      <w:r w:rsidR="000F7290">
        <w:rPr>
          <w:lang w:val="fr-CH"/>
        </w:rPr>
        <w:t>u nombre de</w:t>
      </w:r>
      <w:r w:rsidRPr="00850D17">
        <w:rPr>
          <w:lang w:val="fr-CH"/>
        </w:rPr>
        <w:t xml:space="preserve"> victimes </w:t>
      </w:r>
      <w:r w:rsidR="002C6572" w:rsidRPr="00850D17">
        <w:rPr>
          <w:lang w:val="fr-CH"/>
        </w:rPr>
        <w:t>de ces violations</w:t>
      </w:r>
      <w:r w:rsidRPr="00850D17">
        <w:rPr>
          <w:lang w:val="fr-CH"/>
        </w:rPr>
        <w:t xml:space="preserve"> entre 2011 et 2014. </w:t>
      </w:r>
    </w:p>
    <w:p w:rsidR="00B76E78" w:rsidRPr="00C36970" w:rsidRDefault="00B76E78" w:rsidP="005C5CD7">
      <w:pPr>
        <w:pStyle w:val="SingleTxtG"/>
        <w:spacing w:line="240" w:lineRule="auto"/>
        <w:rPr>
          <w:rFonts w:eastAsia="SimSun"/>
          <w:sz w:val="2"/>
          <w:szCs w:val="2"/>
          <w:lang w:val="fr-CH"/>
        </w:rPr>
      </w:pPr>
    </w:p>
    <w:p w:rsidR="00B76E78" w:rsidRPr="00850D17" w:rsidRDefault="00C65A99" w:rsidP="00C36970">
      <w:pPr>
        <w:pStyle w:val="SingleTxtG"/>
        <w:spacing w:line="240" w:lineRule="auto"/>
        <w:jc w:val="left"/>
        <w:rPr>
          <w:rFonts w:eastAsia="SimSun"/>
          <w:lang w:val="fr-CH"/>
        </w:rPr>
      </w:pPr>
      <w:r w:rsidRPr="00850D17">
        <w:rPr>
          <w:rFonts w:eastAsia="SimSun"/>
          <w:noProof/>
          <w:lang w:val="en-US"/>
        </w:rPr>
        <w:drawing>
          <wp:inline distT="0" distB="0" distL="0" distR="0" wp14:anchorId="30726061" wp14:editId="2EE832AC">
            <wp:extent cx="4257040" cy="1953260"/>
            <wp:effectExtent l="0" t="0" r="10160" b="2794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6E78" w:rsidRPr="00C36970" w:rsidRDefault="00B76E78" w:rsidP="00C36970">
      <w:pPr>
        <w:pStyle w:val="SingleTxtG"/>
        <w:spacing w:before="120" w:after="240" w:line="240" w:lineRule="auto"/>
        <w:ind w:firstLine="170"/>
        <w:jc w:val="left"/>
        <w:rPr>
          <w:rFonts w:eastAsia="SimSun"/>
          <w:sz w:val="18"/>
          <w:szCs w:val="18"/>
          <w:lang w:val="fr-CH"/>
        </w:rPr>
      </w:pPr>
      <w:r w:rsidRPr="00C36970">
        <w:rPr>
          <w:rFonts w:eastAsia="SimSun"/>
          <w:i/>
          <w:iCs/>
          <w:sz w:val="18"/>
          <w:szCs w:val="18"/>
          <w:lang w:val="fr-CH"/>
        </w:rPr>
        <w:t>Source</w:t>
      </w:r>
      <w:r w:rsidRPr="00C36970">
        <w:rPr>
          <w:rFonts w:eastAsia="SimSun"/>
          <w:sz w:val="18"/>
          <w:szCs w:val="18"/>
          <w:lang w:val="fr-CH"/>
        </w:rPr>
        <w:t>: Données du BCNUDH</w:t>
      </w:r>
      <w:r w:rsidR="008D5B63" w:rsidRPr="00C36970">
        <w:rPr>
          <w:rFonts w:eastAsia="SimSun"/>
          <w:sz w:val="18"/>
          <w:szCs w:val="18"/>
          <w:lang w:val="fr-CH"/>
        </w:rPr>
        <w:t>.</w:t>
      </w:r>
    </w:p>
    <w:p w:rsidR="00B76E78" w:rsidRPr="00850D17" w:rsidRDefault="00A37E60" w:rsidP="00FE2E5C">
      <w:pPr>
        <w:pStyle w:val="SingleTxtG"/>
        <w:numPr>
          <w:ilvl w:val="0"/>
          <w:numId w:val="7"/>
        </w:numPr>
        <w:tabs>
          <w:tab w:val="left" w:pos="1134"/>
        </w:tabs>
        <w:ind w:left="1134" w:firstLine="0"/>
        <w:rPr>
          <w:lang w:val="fr-CH"/>
        </w:rPr>
      </w:pPr>
      <w:r>
        <w:rPr>
          <w:lang w:val="fr-CH"/>
        </w:rPr>
        <w:t>Le</w:t>
      </w:r>
      <w:r w:rsidR="00B76E78" w:rsidRPr="00850D17">
        <w:rPr>
          <w:lang w:val="fr-CH"/>
        </w:rPr>
        <w:t xml:space="preserve"> graphique ci-dessus </w:t>
      </w:r>
      <w:r>
        <w:rPr>
          <w:lang w:val="fr-CH"/>
        </w:rPr>
        <w:t xml:space="preserve">montre </w:t>
      </w:r>
      <w:r w:rsidR="00B76E78" w:rsidRPr="00850D17">
        <w:rPr>
          <w:lang w:val="fr-CH"/>
        </w:rPr>
        <w:t xml:space="preserve">une légère diminution des cas de violations des droits de l’homme sur la période </w:t>
      </w:r>
      <w:r w:rsidR="005E2578">
        <w:rPr>
          <w:lang w:val="fr-CH"/>
        </w:rPr>
        <w:t>considérée</w:t>
      </w:r>
      <w:r w:rsidR="005E2578" w:rsidRPr="00850D17">
        <w:rPr>
          <w:lang w:val="fr-CH"/>
        </w:rPr>
        <w:t xml:space="preserve"> </w:t>
      </w:r>
      <w:r w:rsidR="00B76E78" w:rsidRPr="00850D17">
        <w:rPr>
          <w:lang w:val="fr-CH"/>
        </w:rPr>
        <w:t>mais une augmentation sensible du nombre de victimes</w:t>
      </w:r>
      <w:r w:rsidR="00A516CB" w:rsidRPr="00850D17">
        <w:rPr>
          <w:lang w:val="fr-CH"/>
        </w:rPr>
        <w:t xml:space="preserve">. </w:t>
      </w:r>
      <w:r w:rsidR="00B52A74" w:rsidRPr="00850D17">
        <w:rPr>
          <w:lang w:val="fr-CH"/>
        </w:rPr>
        <w:t>Au total, 21</w:t>
      </w:r>
      <w:r w:rsidR="004F356B">
        <w:rPr>
          <w:lang w:val="fr-CH"/>
        </w:rPr>
        <w:t> </w:t>
      </w:r>
      <w:r w:rsidR="00B52A74" w:rsidRPr="00850D17">
        <w:rPr>
          <w:lang w:val="fr-CH"/>
        </w:rPr>
        <w:t>940 victimes ont été e</w:t>
      </w:r>
      <w:r w:rsidR="003D5445" w:rsidRPr="00850D17">
        <w:rPr>
          <w:lang w:val="fr-CH"/>
        </w:rPr>
        <w:t>nregistrées par le BCNUDH entre</w:t>
      </w:r>
      <w:r w:rsidR="00B52A74" w:rsidRPr="00850D17">
        <w:rPr>
          <w:lang w:val="fr-CH"/>
        </w:rPr>
        <w:t xml:space="preserve"> 2011 et 2014</w:t>
      </w:r>
      <w:r w:rsidR="004670DA">
        <w:rPr>
          <w:lang w:val="fr-CH"/>
        </w:rPr>
        <w:t>,</w:t>
      </w:r>
      <w:r w:rsidR="00B52A74" w:rsidRPr="00850D17">
        <w:rPr>
          <w:lang w:val="fr-CH"/>
        </w:rPr>
        <w:t xml:space="preserve"> dont 14 851</w:t>
      </w:r>
      <w:r w:rsidR="000E64CE">
        <w:rPr>
          <w:lang w:val="fr-CH"/>
        </w:rPr>
        <w:t> </w:t>
      </w:r>
      <w:r w:rsidR="00B52A74" w:rsidRPr="00850D17">
        <w:rPr>
          <w:lang w:val="fr-CH"/>
        </w:rPr>
        <w:t>hommes, 4 149</w:t>
      </w:r>
      <w:r w:rsidR="000E64CE">
        <w:rPr>
          <w:lang w:val="fr-CH"/>
        </w:rPr>
        <w:t> </w:t>
      </w:r>
      <w:r w:rsidR="00B52A74" w:rsidRPr="00850D17">
        <w:rPr>
          <w:lang w:val="fr-CH"/>
        </w:rPr>
        <w:t>femmes et 2</w:t>
      </w:r>
      <w:r w:rsidR="004F356B">
        <w:rPr>
          <w:lang w:val="fr-CH"/>
        </w:rPr>
        <w:t> </w:t>
      </w:r>
      <w:r w:rsidR="00B52A74" w:rsidRPr="00850D17">
        <w:rPr>
          <w:lang w:val="fr-CH"/>
        </w:rPr>
        <w:t>940</w:t>
      </w:r>
      <w:r w:rsidR="000E64CE">
        <w:rPr>
          <w:lang w:val="fr-CH"/>
        </w:rPr>
        <w:t> </w:t>
      </w:r>
      <w:r w:rsidR="00B52A74" w:rsidRPr="00850D17">
        <w:rPr>
          <w:lang w:val="fr-CH"/>
        </w:rPr>
        <w:t>enfants. Parmi les victimes ayant bénéficié d</w:t>
      </w:r>
      <w:r w:rsidR="0012008D" w:rsidRPr="00850D17">
        <w:rPr>
          <w:lang w:val="fr-CH"/>
        </w:rPr>
        <w:t>’</w:t>
      </w:r>
      <w:r w:rsidR="00B52A74" w:rsidRPr="00850D17">
        <w:rPr>
          <w:lang w:val="fr-CH"/>
        </w:rPr>
        <w:t xml:space="preserve">une prise en charge </w:t>
      </w:r>
      <w:r w:rsidR="004670DA">
        <w:rPr>
          <w:lang w:val="fr-CH"/>
        </w:rPr>
        <w:t>globale</w:t>
      </w:r>
      <w:r w:rsidR="00B52A74" w:rsidRPr="00850D17">
        <w:rPr>
          <w:lang w:val="fr-CH"/>
        </w:rPr>
        <w:t xml:space="preserve"> figurent les victimes de violences sexuelles.</w:t>
      </w:r>
    </w:p>
    <w:p w:rsidR="00C935E1" w:rsidRPr="005023BC" w:rsidRDefault="000B6BE2">
      <w:pPr>
        <w:pStyle w:val="H23G"/>
        <w:rPr>
          <w:rFonts w:eastAsia="SimSun"/>
          <w:lang w:val="fr-CH"/>
        </w:rPr>
      </w:pPr>
      <w:r w:rsidRPr="00850D17">
        <w:rPr>
          <w:rFonts w:eastAsia="SimSun"/>
          <w:lang w:val="fr-CH"/>
        </w:rPr>
        <w:lastRenderedPageBreak/>
        <w:tab/>
        <w:t>1.</w:t>
      </w:r>
      <w:r w:rsidRPr="00850D17">
        <w:rPr>
          <w:rFonts w:eastAsia="SimSun"/>
          <w:lang w:val="fr-CH"/>
        </w:rPr>
        <w:tab/>
      </w:r>
      <w:r w:rsidR="00F633BC" w:rsidRPr="00850D17">
        <w:rPr>
          <w:rFonts w:eastAsia="SimSun"/>
          <w:lang w:val="fr-CH"/>
        </w:rPr>
        <w:t xml:space="preserve">Prise en charge holistique des victimes </w:t>
      </w:r>
      <w:r w:rsidR="00352515" w:rsidRPr="00850D17">
        <w:rPr>
          <w:rFonts w:eastAsia="SimSun"/>
          <w:lang w:val="fr-CH"/>
        </w:rPr>
        <w:t>de violences sexuelles et sexistes</w:t>
      </w:r>
    </w:p>
    <w:p w:rsidR="00E874D9" w:rsidRPr="00850D17" w:rsidRDefault="00E874D9" w:rsidP="001C6E5D">
      <w:pPr>
        <w:pStyle w:val="SingleTxtG"/>
        <w:numPr>
          <w:ilvl w:val="0"/>
          <w:numId w:val="7"/>
        </w:numPr>
        <w:tabs>
          <w:tab w:val="left" w:pos="1134"/>
        </w:tabs>
        <w:ind w:left="1134" w:firstLine="0"/>
        <w:rPr>
          <w:lang w:val="fr-CH"/>
        </w:rPr>
      </w:pPr>
      <w:r w:rsidRPr="00850D17">
        <w:rPr>
          <w:lang w:val="fr-CH"/>
        </w:rPr>
        <w:t xml:space="preserve">En 2008, </w:t>
      </w:r>
      <w:r w:rsidR="00326704" w:rsidRPr="00850D17">
        <w:rPr>
          <w:lang w:val="fr-CH"/>
        </w:rPr>
        <w:t xml:space="preserve">dans son rapport </w:t>
      </w:r>
      <w:r w:rsidR="00FF783A">
        <w:rPr>
          <w:lang w:val="fr-CH"/>
        </w:rPr>
        <w:t>sur la p</w:t>
      </w:r>
      <w:r w:rsidR="00FE2E5C">
        <w:rPr>
          <w:lang w:val="fr-CH"/>
        </w:rPr>
        <w:t>romotion et protection de tous les droits de l</w:t>
      </w:r>
      <w:r w:rsidR="00FE2E5C" w:rsidRPr="00FE2E5C">
        <w:rPr>
          <w:lang w:val="fr-CH"/>
        </w:rPr>
        <w:t>’</w:t>
      </w:r>
      <w:r w:rsidR="00FE2E5C">
        <w:rPr>
          <w:lang w:val="fr-CH"/>
        </w:rPr>
        <w:t>homme</w:t>
      </w:r>
      <w:r w:rsidR="004E6C44">
        <w:rPr>
          <w:lang w:val="fr-CH"/>
        </w:rPr>
        <w:t>,</w:t>
      </w:r>
      <w:r w:rsidR="00FE2E5C">
        <w:rPr>
          <w:lang w:val="fr-CH"/>
        </w:rPr>
        <w:t xml:space="preserve"> civils, politiques, économiques, sociaux et culturels, y compris le droit au développement (</w:t>
      </w:r>
      <w:r w:rsidR="00326704" w:rsidRPr="00850D17">
        <w:rPr>
          <w:lang w:val="fr-CH"/>
        </w:rPr>
        <w:t>A/HRC/7/6/Add.4</w:t>
      </w:r>
      <w:r w:rsidR="00FE2E5C">
        <w:rPr>
          <w:lang w:val="fr-CH"/>
        </w:rPr>
        <w:t>)</w:t>
      </w:r>
      <w:r w:rsidR="00326704" w:rsidRPr="00850D17">
        <w:rPr>
          <w:lang w:val="fr-CH"/>
        </w:rPr>
        <w:t xml:space="preserve">, </w:t>
      </w:r>
      <w:r w:rsidR="00A1302E" w:rsidRPr="00850D17">
        <w:rPr>
          <w:lang w:val="fr-CH"/>
        </w:rPr>
        <w:t xml:space="preserve">la </w:t>
      </w:r>
      <w:r w:rsidRPr="00850D17">
        <w:rPr>
          <w:lang w:val="fr-CH"/>
        </w:rPr>
        <w:t xml:space="preserve">Rapporteuse spéciale sur la violence contre les femmes, ses causes et </w:t>
      </w:r>
      <w:r w:rsidR="00846F42" w:rsidRPr="00850D17">
        <w:rPr>
          <w:lang w:val="fr-CH"/>
        </w:rPr>
        <w:t xml:space="preserve">ses </w:t>
      </w:r>
      <w:r w:rsidRPr="00850D17">
        <w:rPr>
          <w:lang w:val="fr-CH"/>
        </w:rPr>
        <w:t xml:space="preserve">conséquences </w:t>
      </w:r>
      <w:r w:rsidR="007F3985" w:rsidRPr="00850D17">
        <w:rPr>
          <w:lang w:val="fr-CH"/>
        </w:rPr>
        <w:t xml:space="preserve">a constaté </w:t>
      </w:r>
      <w:r w:rsidR="008041F2" w:rsidRPr="00850D17">
        <w:rPr>
          <w:lang w:val="fr-CH"/>
        </w:rPr>
        <w:t xml:space="preserve">que </w:t>
      </w:r>
      <w:r w:rsidRPr="00850D17">
        <w:rPr>
          <w:lang w:val="fr-CH"/>
        </w:rPr>
        <w:t xml:space="preserve">les </w:t>
      </w:r>
      <w:r w:rsidR="00846F42" w:rsidRPr="00850D17">
        <w:rPr>
          <w:lang w:val="fr-CH"/>
        </w:rPr>
        <w:t xml:space="preserve">survivantes de </w:t>
      </w:r>
      <w:r w:rsidRPr="00850D17">
        <w:rPr>
          <w:lang w:val="fr-CH"/>
        </w:rPr>
        <w:t>viol</w:t>
      </w:r>
      <w:r w:rsidR="00846F42" w:rsidRPr="00850D17">
        <w:rPr>
          <w:lang w:val="fr-CH"/>
        </w:rPr>
        <w:t>s</w:t>
      </w:r>
      <w:r w:rsidRPr="00850D17">
        <w:rPr>
          <w:lang w:val="fr-CH"/>
        </w:rPr>
        <w:t xml:space="preserve"> </w:t>
      </w:r>
      <w:r w:rsidR="008041F2" w:rsidRPr="00850D17">
        <w:rPr>
          <w:lang w:val="fr-CH"/>
        </w:rPr>
        <w:t xml:space="preserve">en </w:t>
      </w:r>
      <w:r w:rsidR="00FE2E5C">
        <w:rPr>
          <w:rFonts w:eastAsia="SimSun"/>
          <w:lang w:val="fr-CH"/>
        </w:rPr>
        <w:t>République démocratique du Congo</w:t>
      </w:r>
      <w:r w:rsidR="008041F2" w:rsidRPr="00850D17">
        <w:rPr>
          <w:lang w:val="fr-CH"/>
        </w:rPr>
        <w:t xml:space="preserve"> </w:t>
      </w:r>
      <w:r w:rsidRPr="00850D17">
        <w:rPr>
          <w:lang w:val="fr-CH"/>
        </w:rPr>
        <w:t>ne bénéfici</w:t>
      </w:r>
      <w:r w:rsidR="00D833C6" w:rsidRPr="00850D17">
        <w:rPr>
          <w:lang w:val="fr-CH"/>
        </w:rPr>
        <w:t>ai</w:t>
      </w:r>
      <w:r w:rsidRPr="00850D17">
        <w:rPr>
          <w:lang w:val="fr-CH"/>
        </w:rPr>
        <w:t>ent pas de soins adéquats</w:t>
      </w:r>
      <w:r w:rsidR="00352515" w:rsidRPr="00850D17">
        <w:rPr>
          <w:lang w:val="fr-CH"/>
        </w:rPr>
        <w:t xml:space="preserve"> ni </w:t>
      </w:r>
      <w:r w:rsidR="003B5A6F" w:rsidRPr="00850D17">
        <w:rPr>
          <w:lang w:val="fr-CH"/>
        </w:rPr>
        <w:t>d</w:t>
      </w:r>
      <w:r w:rsidR="00405A6F" w:rsidRPr="00850D17">
        <w:rPr>
          <w:lang w:val="fr-CH"/>
        </w:rPr>
        <w:t>e l</w:t>
      </w:r>
      <w:r w:rsidR="00352515" w:rsidRPr="00850D17">
        <w:rPr>
          <w:lang w:val="fr-CH"/>
        </w:rPr>
        <w:t>’</w:t>
      </w:r>
      <w:r w:rsidRPr="00850D17">
        <w:rPr>
          <w:lang w:val="fr-CH"/>
        </w:rPr>
        <w:t xml:space="preserve">indemnisation à laquelle elles </w:t>
      </w:r>
      <w:r w:rsidR="00583727" w:rsidRPr="00850D17">
        <w:rPr>
          <w:lang w:val="fr-CH"/>
        </w:rPr>
        <w:t>pouvaient</w:t>
      </w:r>
      <w:r w:rsidRPr="00850D17">
        <w:rPr>
          <w:lang w:val="fr-CH"/>
        </w:rPr>
        <w:t xml:space="preserve"> prétendre en vertu du </w:t>
      </w:r>
      <w:r w:rsidR="008E43E3" w:rsidRPr="00850D17">
        <w:rPr>
          <w:lang w:val="fr-CH"/>
        </w:rPr>
        <w:t xml:space="preserve">cadre juridique </w:t>
      </w:r>
      <w:r w:rsidR="00FE2E5C">
        <w:rPr>
          <w:lang w:val="fr-CH"/>
        </w:rPr>
        <w:t xml:space="preserve">national et </w:t>
      </w:r>
      <w:r w:rsidR="008E43E3" w:rsidRPr="00850D17">
        <w:rPr>
          <w:lang w:val="fr-CH"/>
        </w:rPr>
        <w:t>international</w:t>
      </w:r>
      <w:r w:rsidR="00326704" w:rsidRPr="00850D17">
        <w:rPr>
          <w:lang w:val="fr-CH"/>
        </w:rPr>
        <w:t>.</w:t>
      </w:r>
      <w:r w:rsidR="008E43E3" w:rsidRPr="00850D17">
        <w:rPr>
          <w:lang w:val="fr-CH"/>
        </w:rPr>
        <w:t xml:space="preserve"> </w:t>
      </w:r>
    </w:p>
    <w:p w:rsidR="00B814B2" w:rsidRPr="00850D17" w:rsidRDefault="008041F2" w:rsidP="00D26E7C">
      <w:pPr>
        <w:pStyle w:val="SingleTxtG"/>
        <w:numPr>
          <w:ilvl w:val="0"/>
          <w:numId w:val="7"/>
        </w:numPr>
        <w:tabs>
          <w:tab w:val="left" w:pos="1134"/>
        </w:tabs>
        <w:ind w:left="1134" w:firstLine="0"/>
        <w:rPr>
          <w:lang w:val="fr-CH"/>
        </w:rPr>
      </w:pPr>
      <w:r w:rsidRPr="00850D17">
        <w:rPr>
          <w:lang w:val="fr-CH"/>
        </w:rPr>
        <w:t>L</w:t>
      </w:r>
      <w:r w:rsidR="007F3985" w:rsidRPr="00850D17">
        <w:rPr>
          <w:lang w:val="fr-CH"/>
        </w:rPr>
        <w:t xml:space="preserve">es </w:t>
      </w:r>
      <w:r w:rsidR="00D833C6" w:rsidRPr="00850D17">
        <w:rPr>
          <w:lang w:val="fr-CH"/>
        </w:rPr>
        <w:t>efforts conjugués de l’</w:t>
      </w:r>
      <w:r w:rsidR="00463C7B">
        <w:rPr>
          <w:lang w:val="fr-CH"/>
        </w:rPr>
        <w:t>American Bar Association</w:t>
      </w:r>
      <w:r w:rsidR="00D833C6" w:rsidRPr="00850D17">
        <w:rPr>
          <w:lang w:val="fr-CH"/>
        </w:rPr>
        <w:t xml:space="preserve">, </w:t>
      </w:r>
      <w:r w:rsidRPr="006D110B">
        <w:rPr>
          <w:lang w:val="fr-CH"/>
        </w:rPr>
        <w:t>d</w:t>
      </w:r>
      <w:r w:rsidR="00405A6F" w:rsidRPr="006D110B">
        <w:rPr>
          <w:lang w:val="fr-CH"/>
        </w:rPr>
        <w:t>’</w:t>
      </w:r>
      <w:r w:rsidR="00D833C6" w:rsidRPr="006D110B">
        <w:rPr>
          <w:lang w:val="fr-CH"/>
        </w:rPr>
        <w:t xml:space="preserve">Avocats </w:t>
      </w:r>
      <w:r w:rsidR="002F0A5D" w:rsidRPr="001C6E5D">
        <w:rPr>
          <w:lang w:val="fr-CH"/>
        </w:rPr>
        <w:t>s</w:t>
      </w:r>
      <w:r w:rsidR="00D833C6" w:rsidRPr="001C6E5D">
        <w:rPr>
          <w:lang w:val="fr-CH"/>
        </w:rPr>
        <w:t xml:space="preserve">ans </w:t>
      </w:r>
      <w:r w:rsidR="002F0A5D" w:rsidRPr="00363774">
        <w:rPr>
          <w:lang w:val="fr-CH"/>
        </w:rPr>
        <w:t>f</w:t>
      </w:r>
      <w:r w:rsidR="00D833C6" w:rsidRPr="00363774">
        <w:rPr>
          <w:lang w:val="fr-CH"/>
        </w:rPr>
        <w:t xml:space="preserve">rontières, </w:t>
      </w:r>
      <w:r w:rsidRPr="00363774">
        <w:rPr>
          <w:lang w:val="fr-CH"/>
        </w:rPr>
        <w:t xml:space="preserve">du </w:t>
      </w:r>
      <w:r w:rsidR="00D833C6" w:rsidRPr="00363774">
        <w:rPr>
          <w:lang w:val="fr-CH"/>
        </w:rPr>
        <w:t xml:space="preserve">BCNUDH, </w:t>
      </w:r>
      <w:r w:rsidRPr="00463C7B">
        <w:rPr>
          <w:lang w:val="fr-CH"/>
        </w:rPr>
        <w:t xml:space="preserve">de </w:t>
      </w:r>
      <w:r w:rsidR="00D833C6" w:rsidRPr="00463C7B">
        <w:rPr>
          <w:lang w:val="fr-CH"/>
        </w:rPr>
        <w:t xml:space="preserve">Cordaid, </w:t>
      </w:r>
      <w:r w:rsidRPr="00463C7B">
        <w:rPr>
          <w:lang w:val="fr-CH"/>
        </w:rPr>
        <w:t xml:space="preserve">du </w:t>
      </w:r>
      <w:r w:rsidR="00BD32E4" w:rsidRPr="00463C7B">
        <w:rPr>
          <w:lang w:val="fr-CH"/>
        </w:rPr>
        <w:t xml:space="preserve">Fonds des Nations </w:t>
      </w:r>
      <w:r w:rsidR="002B7CA5" w:rsidRPr="00463C7B">
        <w:rPr>
          <w:lang w:val="fr-CH"/>
        </w:rPr>
        <w:t>U</w:t>
      </w:r>
      <w:r w:rsidR="00BD32E4" w:rsidRPr="00463C7B">
        <w:rPr>
          <w:lang w:val="fr-CH"/>
        </w:rPr>
        <w:t>nies pour l</w:t>
      </w:r>
      <w:r w:rsidR="0012008D" w:rsidRPr="00463C7B">
        <w:rPr>
          <w:lang w:val="fr-CH"/>
        </w:rPr>
        <w:t>’</w:t>
      </w:r>
      <w:r w:rsidR="00BD32E4" w:rsidRPr="00463C7B">
        <w:rPr>
          <w:lang w:val="fr-CH"/>
        </w:rPr>
        <w:t xml:space="preserve">enfance (UNICEF), </w:t>
      </w:r>
      <w:r w:rsidRPr="00463C7B">
        <w:rPr>
          <w:lang w:val="fr-CH"/>
        </w:rPr>
        <w:t xml:space="preserve">du </w:t>
      </w:r>
      <w:r w:rsidR="00BD32E4" w:rsidRPr="00463C7B">
        <w:rPr>
          <w:lang w:val="fr-CH"/>
        </w:rPr>
        <w:t xml:space="preserve">Fonds des Nations </w:t>
      </w:r>
      <w:r w:rsidR="002B7CA5" w:rsidRPr="00463C7B">
        <w:rPr>
          <w:lang w:val="fr-CH"/>
        </w:rPr>
        <w:t>U</w:t>
      </w:r>
      <w:r w:rsidR="00BD32E4" w:rsidRPr="00463C7B">
        <w:rPr>
          <w:lang w:val="fr-CH"/>
        </w:rPr>
        <w:t>nies pour la population (</w:t>
      </w:r>
      <w:r w:rsidR="00463C7B">
        <w:rPr>
          <w:lang w:val="fr-CH"/>
        </w:rPr>
        <w:t>FNUAP</w:t>
      </w:r>
      <w:r w:rsidR="00BD32E4" w:rsidRPr="00C36970">
        <w:rPr>
          <w:lang w:val="fr-CH"/>
        </w:rPr>
        <w:t>),</w:t>
      </w:r>
      <w:r w:rsidR="00463C7B" w:rsidRPr="00C36970">
        <w:rPr>
          <w:lang w:val="fr-CH"/>
        </w:rPr>
        <w:t xml:space="preserve"> </w:t>
      </w:r>
      <w:r w:rsidR="00463C7B">
        <w:rPr>
          <w:lang w:val="fr-CH"/>
        </w:rPr>
        <w:t>du Centre international pour la justice transitionnelle</w:t>
      </w:r>
      <w:r w:rsidR="00BD32E4" w:rsidRPr="00363774">
        <w:rPr>
          <w:lang w:val="fr-CH"/>
        </w:rPr>
        <w:t xml:space="preserve">, </w:t>
      </w:r>
      <w:r w:rsidRPr="00363774">
        <w:rPr>
          <w:lang w:val="fr-CH"/>
        </w:rPr>
        <w:t>d</w:t>
      </w:r>
      <w:r w:rsidR="00463C7B" w:rsidRPr="00463C7B">
        <w:rPr>
          <w:lang w:val="fr-CH"/>
        </w:rPr>
        <w:t>’</w:t>
      </w:r>
      <w:r w:rsidR="00BD32E4" w:rsidRPr="006D110B">
        <w:rPr>
          <w:lang w:val="fr-CH"/>
        </w:rPr>
        <w:t>ONU</w:t>
      </w:r>
      <w:r w:rsidR="00463C7B">
        <w:rPr>
          <w:lang w:val="fr-CH"/>
        </w:rPr>
        <w:t>-</w:t>
      </w:r>
      <w:r w:rsidR="00BD32E4" w:rsidRPr="006D110B">
        <w:rPr>
          <w:lang w:val="fr-CH"/>
        </w:rPr>
        <w:t xml:space="preserve">Femmes, </w:t>
      </w:r>
      <w:r w:rsidR="004D2CC2">
        <w:rPr>
          <w:lang w:val="fr-CH"/>
        </w:rPr>
        <w:t>de l</w:t>
      </w:r>
      <w:r w:rsidR="004D2CC2" w:rsidRPr="004D2CC2">
        <w:rPr>
          <w:lang w:val="fr-CH"/>
        </w:rPr>
        <w:t>’</w:t>
      </w:r>
      <w:r w:rsidR="00674A3B">
        <w:rPr>
          <w:lang w:val="fr-CH"/>
        </w:rPr>
        <w:t>Initiative pour une socié</w:t>
      </w:r>
      <w:r w:rsidR="004D2CC2">
        <w:rPr>
          <w:lang w:val="fr-CH"/>
        </w:rPr>
        <w:t>té ouverte en Afrique australe</w:t>
      </w:r>
      <w:r w:rsidR="00D833C6" w:rsidRPr="006D110B">
        <w:rPr>
          <w:lang w:val="fr-CH"/>
        </w:rPr>
        <w:t xml:space="preserve"> (OSISA), </w:t>
      </w:r>
      <w:r w:rsidR="00B044DF">
        <w:rPr>
          <w:lang w:val="fr-CH"/>
        </w:rPr>
        <w:t>de Médecins pour les droits de l</w:t>
      </w:r>
      <w:r w:rsidR="00B044DF" w:rsidRPr="00B044DF">
        <w:rPr>
          <w:lang w:val="fr-CH"/>
        </w:rPr>
        <w:t>’</w:t>
      </w:r>
      <w:r w:rsidR="00B044DF">
        <w:rPr>
          <w:lang w:val="fr-CH"/>
        </w:rPr>
        <w:t>homme</w:t>
      </w:r>
      <w:r w:rsidR="00BD32E4" w:rsidRPr="006D110B">
        <w:rPr>
          <w:lang w:val="fr-CH"/>
        </w:rPr>
        <w:t>,</w:t>
      </w:r>
      <w:r w:rsidR="004F356B" w:rsidRPr="006D110B">
        <w:rPr>
          <w:lang w:val="fr-CH"/>
        </w:rPr>
        <w:t xml:space="preserve"> </w:t>
      </w:r>
      <w:r w:rsidRPr="00363774">
        <w:rPr>
          <w:lang w:val="fr-CH"/>
        </w:rPr>
        <w:t xml:space="preserve">du </w:t>
      </w:r>
      <w:r w:rsidR="00D833C6" w:rsidRPr="00363774">
        <w:rPr>
          <w:lang w:val="fr-CH"/>
        </w:rPr>
        <w:t xml:space="preserve">Programme des Nations </w:t>
      </w:r>
      <w:r w:rsidR="002B7CA5" w:rsidRPr="00363774">
        <w:rPr>
          <w:lang w:val="fr-CH"/>
        </w:rPr>
        <w:t>U</w:t>
      </w:r>
      <w:r w:rsidR="00D833C6" w:rsidRPr="00463C7B">
        <w:rPr>
          <w:lang w:val="fr-CH"/>
        </w:rPr>
        <w:t>nies pour le développement (PNUD) et</w:t>
      </w:r>
      <w:r w:rsidR="00BD32E4" w:rsidRPr="00463C7B">
        <w:rPr>
          <w:lang w:val="fr-CH"/>
        </w:rPr>
        <w:t xml:space="preserve"> </w:t>
      </w:r>
      <w:r w:rsidR="00B044DF">
        <w:rPr>
          <w:lang w:val="fr-CH"/>
        </w:rPr>
        <w:t xml:space="preserve">de </w:t>
      </w:r>
      <w:r w:rsidR="00BD32E4" w:rsidRPr="00C36970">
        <w:rPr>
          <w:lang w:val="fr-CH"/>
        </w:rPr>
        <w:t>Trial</w:t>
      </w:r>
      <w:r w:rsidR="004046ED" w:rsidRPr="006D110B">
        <w:rPr>
          <w:lang w:val="fr-CH"/>
        </w:rPr>
        <w:t>,</w:t>
      </w:r>
      <w:r w:rsidR="0012008D" w:rsidRPr="00850D17">
        <w:rPr>
          <w:lang w:val="fr-CH"/>
        </w:rPr>
        <w:t xml:space="preserve"> </w:t>
      </w:r>
      <w:r w:rsidR="004046ED" w:rsidRPr="00850D17">
        <w:rPr>
          <w:lang w:val="fr-CH"/>
        </w:rPr>
        <w:t xml:space="preserve">appuyés par plusieurs </w:t>
      </w:r>
      <w:r w:rsidR="002B7CA5" w:rsidRPr="00850D17">
        <w:rPr>
          <w:lang w:val="fr-CH"/>
        </w:rPr>
        <w:t>États</w:t>
      </w:r>
      <w:r w:rsidR="004046ED" w:rsidRPr="00850D17">
        <w:rPr>
          <w:lang w:val="fr-CH"/>
        </w:rPr>
        <w:t xml:space="preserve"> membres, </w:t>
      </w:r>
      <w:r w:rsidR="00D833C6" w:rsidRPr="00850D17">
        <w:rPr>
          <w:lang w:val="fr-CH"/>
        </w:rPr>
        <w:t xml:space="preserve">ont permis </w:t>
      </w:r>
      <w:r w:rsidR="003B5A6F" w:rsidRPr="00850D17">
        <w:rPr>
          <w:lang w:val="fr-CH"/>
        </w:rPr>
        <w:t xml:space="preserve">l’organisation </w:t>
      </w:r>
      <w:r w:rsidR="00ED3B2F" w:rsidRPr="00850D17">
        <w:rPr>
          <w:lang w:val="fr-CH"/>
        </w:rPr>
        <w:t>de</w:t>
      </w:r>
      <w:r w:rsidR="00D833C6" w:rsidRPr="00850D17">
        <w:rPr>
          <w:lang w:val="fr-CH"/>
        </w:rPr>
        <w:t xml:space="preserve"> </w:t>
      </w:r>
      <w:r w:rsidR="00B814B2" w:rsidRPr="00850D17">
        <w:rPr>
          <w:lang w:val="fr-CH"/>
        </w:rPr>
        <w:t>89</w:t>
      </w:r>
      <w:r w:rsidR="00427C07">
        <w:rPr>
          <w:lang w:val="fr-CH"/>
        </w:rPr>
        <w:t> </w:t>
      </w:r>
      <w:r w:rsidR="00D833C6" w:rsidRPr="00850D17">
        <w:rPr>
          <w:lang w:val="fr-CH"/>
        </w:rPr>
        <w:t xml:space="preserve">audiences foraines </w:t>
      </w:r>
      <w:r w:rsidR="002F0A5D" w:rsidRPr="00850D17">
        <w:rPr>
          <w:lang w:val="fr-CH"/>
        </w:rPr>
        <w:t xml:space="preserve">par </w:t>
      </w:r>
      <w:r w:rsidR="00D833C6" w:rsidRPr="00850D17">
        <w:rPr>
          <w:lang w:val="fr-CH"/>
        </w:rPr>
        <w:t xml:space="preserve">des cours et tribunaux militaires et civils dans les provinces du Bas-Congo, </w:t>
      </w:r>
      <w:r w:rsidR="008320E7">
        <w:rPr>
          <w:lang w:val="fr-CH"/>
        </w:rPr>
        <w:t>d</w:t>
      </w:r>
      <w:r w:rsidR="00A17B98">
        <w:rPr>
          <w:lang w:val="fr-CH"/>
        </w:rPr>
        <w:t>e l</w:t>
      </w:r>
      <w:r w:rsidR="008320E7" w:rsidRPr="008320E7">
        <w:rPr>
          <w:lang w:val="fr-CH"/>
        </w:rPr>
        <w:t>’</w:t>
      </w:r>
      <w:r w:rsidR="004F356B" w:rsidRPr="00850D17">
        <w:rPr>
          <w:lang w:val="fr-CH"/>
        </w:rPr>
        <w:t>Équateur</w:t>
      </w:r>
      <w:r w:rsidR="00D833C6" w:rsidRPr="00850D17">
        <w:rPr>
          <w:lang w:val="fr-CH"/>
        </w:rPr>
        <w:t xml:space="preserve">, </w:t>
      </w:r>
      <w:r w:rsidR="008320E7">
        <w:rPr>
          <w:lang w:val="fr-CH"/>
        </w:rPr>
        <w:t xml:space="preserve">du </w:t>
      </w:r>
      <w:r w:rsidR="00D833C6" w:rsidRPr="00850D17">
        <w:rPr>
          <w:lang w:val="fr-CH"/>
        </w:rPr>
        <w:t>Kasaï</w:t>
      </w:r>
      <w:r w:rsidR="006C3B04">
        <w:rPr>
          <w:lang w:val="fr-CH"/>
        </w:rPr>
        <w:t>-</w:t>
      </w:r>
      <w:r w:rsidR="00D833C6" w:rsidRPr="00850D17">
        <w:rPr>
          <w:lang w:val="fr-CH"/>
        </w:rPr>
        <w:t xml:space="preserve">Oriental, </w:t>
      </w:r>
      <w:r w:rsidR="004F27C3">
        <w:rPr>
          <w:lang w:val="fr-CH"/>
        </w:rPr>
        <w:t>du</w:t>
      </w:r>
      <w:r w:rsidR="008320E7">
        <w:rPr>
          <w:lang w:val="fr-CH"/>
        </w:rPr>
        <w:t xml:space="preserve"> </w:t>
      </w:r>
      <w:r w:rsidR="00D833C6" w:rsidRPr="00850D17">
        <w:rPr>
          <w:lang w:val="fr-CH"/>
        </w:rPr>
        <w:t xml:space="preserve">Katanga, </w:t>
      </w:r>
      <w:r w:rsidR="008320E7">
        <w:rPr>
          <w:lang w:val="fr-CH"/>
        </w:rPr>
        <w:t xml:space="preserve">du </w:t>
      </w:r>
      <w:r w:rsidR="00D833C6" w:rsidRPr="00850D17">
        <w:rPr>
          <w:lang w:val="fr-CH"/>
        </w:rPr>
        <w:t xml:space="preserve">Nord-Kivu, Orientale, </w:t>
      </w:r>
      <w:r w:rsidR="008320E7">
        <w:rPr>
          <w:lang w:val="fr-CH"/>
        </w:rPr>
        <w:t xml:space="preserve">du </w:t>
      </w:r>
      <w:r w:rsidR="00D833C6" w:rsidRPr="00850D17">
        <w:rPr>
          <w:lang w:val="fr-CH"/>
        </w:rPr>
        <w:t xml:space="preserve">Sud-Kivu et </w:t>
      </w:r>
      <w:r w:rsidR="008320E7">
        <w:rPr>
          <w:lang w:val="fr-CH"/>
        </w:rPr>
        <w:t xml:space="preserve">de </w:t>
      </w:r>
      <w:r w:rsidR="00D833C6" w:rsidRPr="00850D17">
        <w:rPr>
          <w:lang w:val="fr-CH"/>
        </w:rPr>
        <w:t>Kinshasa</w:t>
      </w:r>
      <w:r w:rsidR="00B814B2" w:rsidRPr="00850D17">
        <w:rPr>
          <w:lang w:val="fr-CH"/>
        </w:rPr>
        <w:t xml:space="preserve"> d</w:t>
      </w:r>
      <w:r w:rsidR="00D833C6" w:rsidRPr="00850D17">
        <w:rPr>
          <w:lang w:val="fr-CH"/>
        </w:rPr>
        <w:t>e 2008 à 201</w:t>
      </w:r>
      <w:r w:rsidR="00583727" w:rsidRPr="00850D17">
        <w:rPr>
          <w:lang w:val="fr-CH"/>
        </w:rPr>
        <w:t>4</w:t>
      </w:r>
      <w:r w:rsidR="00B814B2" w:rsidRPr="00850D17">
        <w:rPr>
          <w:lang w:val="fr-CH"/>
        </w:rPr>
        <w:t xml:space="preserve">. </w:t>
      </w:r>
      <w:r w:rsidR="00352515" w:rsidRPr="00850D17">
        <w:rPr>
          <w:lang w:val="fr-CH"/>
        </w:rPr>
        <w:t>L</w:t>
      </w:r>
      <w:r w:rsidR="00326704" w:rsidRPr="00850D17">
        <w:rPr>
          <w:lang w:val="fr-CH"/>
        </w:rPr>
        <w:t>es</w:t>
      </w:r>
      <w:r w:rsidR="00352515" w:rsidRPr="00850D17">
        <w:rPr>
          <w:lang w:val="fr-CH"/>
        </w:rPr>
        <w:t xml:space="preserve"> </w:t>
      </w:r>
      <w:r w:rsidR="00326704" w:rsidRPr="00850D17">
        <w:rPr>
          <w:lang w:val="fr-CH"/>
        </w:rPr>
        <w:t xml:space="preserve">efforts de plaidoyer de la communauté internationale en matière de lutte contre l’impunité </w:t>
      </w:r>
      <w:r w:rsidR="00405A6F" w:rsidRPr="00850D17">
        <w:rPr>
          <w:lang w:val="fr-CH"/>
        </w:rPr>
        <w:t>pour</w:t>
      </w:r>
      <w:r w:rsidR="00326704" w:rsidRPr="00850D17">
        <w:rPr>
          <w:lang w:val="fr-CH"/>
        </w:rPr>
        <w:t xml:space="preserve"> les violences sexuelles ont été renforcés </w:t>
      </w:r>
      <w:r w:rsidR="004A3250" w:rsidRPr="00850D17">
        <w:rPr>
          <w:lang w:val="fr-CH"/>
        </w:rPr>
        <w:t>par les mandats</w:t>
      </w:r>
      <w:r w:rsidR="00352515" w:rsidRPr="00850D17">
        <w:rPr>
          <w:lang w:val="fr-CH"/>
        </w:rPr>
        <w:t xml:space="preserve"> de la Représentante spéciale du Secrétaire général chargée </w:t>
      </w:r>
      <w:r w:rsidR="00D53C0D" w:rsidRPr="00850D17">
        <w:rPr>
          <w:lang w:val="fr-CH"/>
        </w:rPr>
        <w:t xml:space="preserve">de la question des violences sexuelles commises en période de conflit </w:t>
      </w:r>
      <w:r w:rsidR="00352515" w:rsidRPr="00850D17">
        <w:rPr>
          <w:lang w:val="fr-CH"/>
        </w:rPr>
        <w:t xml:space="preserve">et </w:t>
      </w:r>
      <w:r w:rsidR="008B14B8" w:rsidRPr="00850D17">
        <w:rPr>
          <w:lang w:val="fr-CH"/>
        </w:rPr>
        <w:t>d</w:t>
      </w:r>
      <w:r w:rsidR="004A3250" w:rsidRPr="00850D17">
        <w:rPr>
          <w:lang w:val="fr-CH"/>
        </w:rPr>
        <w:t>e</w:t>
      </w:r>
      <w:r w:rsidR="00352515" w:rsidRPr="00850D17">
        <w:rPr>
          <w:lang w:val="fr-CH"/>
        </w:rPr>
        <w:t xml:space="preserve"> </w:t>
      </w:r>
      <w:r w:rsidR="003B5A6F" w:rsidRPr="00850D17">
        <w:rPr>
          <w:lang w:val="fr-CH"/>
        </w:rPr>
        <w:t>l’Équipe d’experts de l’état de droit et des questions touchant l</w:t>
      </w:r>
      <w:r w:rsidR="001B7E3E">
        <w:rPr>
          <w:lang w:val="fr-CH"/>
        </w:rPr>
        <w:t>es</w:t>
      </w:r>
      <w:r w:rsidR="003B5A6F" w:rsidRPr="00850D17">
        <w:rPr>
          <w:lang w:val="fr-CH"/>
        </w:rPr>
        <w:t xml:space="preserve"> violence</w:t>
      </w:r>
      <w:r w:rsidR="001B7E3E">
        <w:rPr>
          <w:lang w:val="fr-CH"/>
        </w:rPr>
        <w:t>s</w:t>
      </w:r>
      <w:r w:rsidR="003B5A6F" w:rsidRPr="00850D17">
        <w:rPr>
          <w:lang w:val="fr-CH"/>
        </w:rPr>
        <w:t xml:space="preserve"> sexuelle</w:t>
      </w:r>
      <w:r w:rsidR="001B7E3E">
        <w:rPr>
          <w:lang w:val="fr-CH"/>
        </w:rPr>
        <w:t>s commises en période de</w:t>
      </w:r>
      <w:r w:rsidR="003B5A6F" w:rsidRPr="00850D17">
        <w:rPr>
          <w:lang w:val="fr-CH"/>
        </w:rPr>
        <w:t xml:space="preserve"> conflit</w:t>
      </w:r>
      <w:r w:rsidR="008B14B8" w:rsidRPr="00850D17">
        <w:rPr>
          <w:lang w:val="fr-CH"/>
        </w:rPr>
        <w:t>.</w:t>
      </w:r>
    </w:p>
    <w:p w:rsidR="00B814B2" w:rsidRPr="00850D17" w:rsidRDefault="00B814B2" w:rsidP="00C36970">
      <w:pPr>
        <w:pStyle w:val="SingleTxtG"/>
        <w:numPr>
          <w:ilvl w:val="0"/>
          <w:numId w:val="7"/>
        </w:numPr>
        <w:tabs>
          <w:tab w:val="left" w:pos="1134"/>
        </w:tabs>
        <w:ind w:left="1134" w:firstLine="0"/>
        <w:rPr>
          <w:lang w:val="fr-CH"/>
        </w:rPr>
      </w:pPr>
      <w:r w:rsidRPr="00850D17">
        <w:rPr>
          <w:lang w:val="fr-CH"/>
        </w:rPr>
        <w:t>En 2013, le BCNUDH a apporté une assistance juridique gratuite à 1</w:t>
      </w:r>
      <w:r w:rsidR="004F356B">
        <w:rPr>
          <w:lang w:val="fr-CH"/>
        </w:rPr>
        <w:t> </w:t>
      </w:r>
      <w:r w:rsidRPr="00850D17">
        <w:rPr>
          <w:lang w:val="fr-CH"/>
        </w:rPr>
        <w:t>507</w:t>
      </w:r>
      <w:r w:rsidR="004F356B">
        <w:rPr>
          <w:lang w:val="fr-CH"/>
        </w:rPr>
        <w:t> </w:t>
      </w:r>
      <w:r w:rsidRPr="00850D17">
        <w:rPr>
          <w:lang w:val="fr-CH"/>
        </w:rPr>
        <w:t xml:space="preserve">victimes de violences sexuelles, </w:t>
      </w:r>
      <w:r w:rsidR="004A3250" w:rsidRPr="00850D17">
        <w:rPr>
          <w:lang w:val="fr-CH"/>
        </w:rPr>
        <w:t>à travers</w:t>
      </w:r>
      <w:r w:rsidRPr="00850D17">
        <w:rPr>
          <w:lang w:val="fr-CH"/>
        </w:rPr>
        <w:t xml:space="preserve"> 12</w:t>
      </w:r>
      <w:r w:rsidR="004F356B">
        <w:rPr>
          <w:lang w:val="fr-CH"/>
        </w:rPr>
        <w:t> </w:t>
      </w:r>
      <w:r w:rsidRPr="00850D17">
        <w:rPr>
          <w:lang w:val="fr-CH"/>
        </w:rPr>
        <w:t>cliniques juridiques et 25</w:t>
      </w:r>
      <w:r w:rsidR="004F356B">
        <w:rPr>
          <w:lang w:val="fr-CH"/>
        </w:rPr>
        <w:t> </w:t>
      </w:r>
      <w:r w:rsidRPr="00850D17">
        <w:rPr>
          <w:lang w:val="fr-CH"/>
        </w:rPr>
        <w:t>antennes de conseils juridiques (</w:t>
      </w:r>
      <w:r w:rsidR="00004706" w:rsidRPr="00850D17">
        <w:rPr>
          <w:lang w:val="fr-CH"/>
        </w:rPr>
        <w:t xml:space="preserve">dans tout le pays </w:t>
      </w:r>
      <w:r w:rsidRPr="00850D17">
        <w:rPr>
          <w:lang w:val="fr-CH"/>
        </w:rPr>
        <w:t xml:space="preserve">sauf </w:t>
      </w:r>
      <w:r w:rsidR="00AF4B30">
        <w:rPr>
          <w:lang w:val="fr-CH"/>
        </w:rPr>
        <w:t>dans la</w:t>
      </w:r>
      <w:r w:rsidR="00AF4B30" w:rsidRPr="00850D17">
        <w:rPr>
          <w:lang w:val="fr-CH"/>
        </w:rPr>
        <w:t xml:space="preserve"> </w:t>
      </w:r>
      <w:r w:rsidRPr="00850D17">
        <w:rPr>
          <w:lang w:val="fr-CH"/>
        </w:rPr>
        <w:t>province Orientale)</w:t>
      </w:r>
      <w:r w:rsidR="00405A6F" w:rsidRPr="00850D17">
        <w:rPr>
          <w:lang w:val="fr-CH"/>
        </w:rPr>
        <w:t>,</w:t>
      </w:r>
      <w:r w:rsidRPr="00850D17">
        <w:rPr>
          <w:lang w:val="fr-CH"/>
        </w:rPr>
        <w:t xml:space="preserve"> avec le financement de l’Agence canadienne de développement international, de l’Agence </w:t>
      </w:r>
      <w:r w:rsidR="002F0A5D" w:rsidRPr="00850D17">
        <w:rPr>
          <w:lang w:val="fr-CH"/>
        </w:rPr>
        <w:t>s</w:t>
      </w:r>
      <w:r w:rsidRPr="00850D17">
        <w:rPr>
          <w:lang w:val="fr-CH"/>
        </w:rPr>
        <w:t xml:space="preserve">uédoise pour l’aide </w:t>
      </w:r>
      <w:r w:rsidR="00925B5E" w:rsidRPr="00850D17">
        <w:rPr>
          <w:lang w:val="fr-CH"/>
        </w:rPr>
        <w:t xml:space="preserve">internationale </w:t>
      </w:r>
      <w:r w:rsidRPr="00850D17">
        <w:rPr>
          <w:lang w:val="fr-CH"/>
        </w:rPr>
        <w:t xml:space="preserve">au </w:t>
      </w:r>
      <w:r w:rsidR="002F0A5D" w:rsidRPr="00850D17">
        <w:rPr>
          <w:lang w:val="fr-CH"/>
        </w:rPr>
        <w:t>d</w:t>
      </w:r>
      <w:r w:rsidRPr="00850D17">
        <w:rPr>
          <w:lang w:val="fr-CH"/>
        </w:rPr>
        <w:t>éveloppement</w:t>
      </w:r>
      <w:r w:rsidR="004046ED" w:rsidRPr="00850D17">
        <w:rPr>
          <w:lang w:val="fr-CH"/>
        </w:rPr>
        <w:t>, du Brésil</w:t>
      </w:r>
      <w:r w:rsidR="007C584B" w:rsidRPr="00850D17">
        <w:rPr>
          <w:lang w:val="fr-CH"/>
        </w:rPr>
        <w:t xml:space="preserve">, de </w:t>
      </w:r>
      <w:r w:rsidR="008B71BA">
        <w:rPr>
          <w:lang w:val="fr-CH"/>
        </w:rPr>
        <w:t xml:space="preserve">la </w:t>
      </w:r>
      <w:r w:rsidR="007C584B" w:rsidRPr="00850D17">
        <w:rPr>
          <w:lang w:val="fr-CH"/>
        </w:rPr>
        <w:t>Belgique</w:t>
      </w:r>
      <w:r w:rsidRPr="00850D17">
        <w:rPr>
          <w:lang w:val="fr-CH"/>
        </w:rPr>
        <w:t xml:space="preserve"> et </w:t>
      </w:r>
      <w:r w:rsidR="002F0A5D" w:rsidRPr="006D110B">
        <w:rPr>
          <w:lang w:val="fr-CH"/>
        </w:rPr>
        <w:t xml:space="preserve">de </w:t>
      </w:r>
      <w:r w:rsidRPr="00C36970">
        <w:rPr>
          <w:lang w:val="fr-CH"/>
        </w:rPr>
        <w:t>UKAid</w:t>
      </w:r>
      <w:r w:rsidRPr="006D110B">
        <w:rPr>
          <w:lang w:val="fr-CH"/>
        </w:rPr>
        <w:t>.</w:t>
      </w:r>
    </w:p>
    <w:p w:rsidR="00583727" w:rsidRPr="00850D17" w:rsidRDefault="008041F2" w:rsidP="00C36970">
      <w:pPr>
        <w:pStyle w:val="SingleTxtG"/>
        <w:numPr>
          <w:ilvl w:val="0"/>
          <w:numId w:val="7"/>
        </w:numPr>
        <w:tabs>
          <w:tab w:val="left" w:pos="1134"/>
        </w:tabs>
        <w:ind w:left="1134" w:firstLine="0"/>
        <w:rPr>
          <w:lang w:val="fr-CH"/>
        </w:rPr>
      </w:pPr>
      <w:r w:rsidRPr="00850D17">
        <w:rPr>
          <w:lang w:val="fr-CH"/>
        </w:rPr>
        <w:t>U</w:t>
      </w:r>
      <w:r w:rsidR="00D833C6" w:rsidRPr="00850D17">
        <w:rPr>
          <w:lang w:val="fr-CH"/>
        </w:rPr>
        <w:t xml:space="preserve">ne </w:t>
      </w:r>
      <w:r w:rsidR="001D3F87">
        <w:rPr>
          <w:lang w:val="fr-CH"/>
        </w:rPr>
        <w:t>augmentation</w:t>
      </w:r>
      <w:r w:rsidR="001D3F87" w:rsidRPr="00850D17">
        <w:rPr>
          <w:lang w:val="fr-CH"/>
        </w:rPr>
        <w:t xml:space="preserve"> </w:t>
      </w:r>
      <w:r w:rsidR="00D833C6" w:rsidRPr="00850D17">
        <w:rPr>
          <w:lang w:val="fr-CH"/>
        </w:rPr>
        <w:t xml:space="preserve">progressive </w:t>
      </w:r>
      <w:r w:rsidR="00754CC5" w:rsidRPr="00850D17">
        <w:rPr>
          <w:lang w:val="fr-CH"/>
        </w:rPr>
        <w:t xml:space="preserve">du </w:t>
      </w:r>
      <w:r w:rsidR="009258EB" w:rsidRPr="00850D17">
        <w:rPr>
          <w:lang w:val="fr-CH"/>
        </w:rPr>
        <w:t xml:space="preserve">pourcentage </w:t>
      </w:r>
      <w:r w:rsidR="0038250B" w:rsidRPr="00850D17">
        <w:rPr>
          <w:lang w:val="fr-CH"/>
        </w:rPr>
        <w:t>de</w:t>
      </w:r>
      <w:r w:rsidR="00D833C6" w:rsidRPr="00850D17">
        <w:rPr>
          <w:lang w:val="fr-CH"/>
        </w:rPr>
        <w:t xml:space="preserve"> jugements rendus en matière de violences sexuelles</w:t>
      </w:r>
      <w:r w:rsidR="009258EB" w:rsidRPr="00850D17">
        <w:rPr>
          <w:lang w:val="fr-CH"/>
        </w:rPr>
        <w:t xml:space="preserve"> </w:t>
      </w:r>
      <w:r w:rsidR="0038250B" w:rsidRPr="00850D17">
        <w:rPr>
          <w:lang w:val="fr-CH"/>
        </w:rPr>
        <w:t xml:space="preserve">par rapport au nombre total de jugements </w:t>
      </w:r>
      <w:r w:rsidR="003E74CB" w:rsidRPr="00850D17">
        <w:rPr>
          <w:lang w:val="fr-CH"/>
        </w:rPr>
        <w:t xml:space="preserve">rendus </w:t>
      </w:r>
      <w:r w:rsidR="00D96745" w:rsidRPr="00850D17">
        <w:rPr>
          <w:lang w:val="fr-CH"/>
        </w:rPr>
        <w:t>par les juridictions nationales</w:t>
      </w:r>
      <w:r w:rsidR="00D833C6" w:rsidRPr="00850D17">
        <w:rPr>
          <w:lang w:val="fr-CH"/>
        </w:rPr>
        <w:t xml:space="preserve"> a été observée entre 2009 </w:t>
      </w:r>
      <w:r w:rsidR="00E33E59" w:rsidRPr="00850D17">
        <w:rPr>
          <w:lang w:val="fr-CH"/>
        </w:rPr>
        <w:t xml:space="preserve">et </w:t>
      </w:r>
      <w:r w:rsidR="00D833C6" w:rsidRPr="00850D17">
        <w:rPr>
          <w:lang w:val="fr-CH"/>
        </w:rPr>
        <w:t xml:space="preserve">2014, </w:t>
      </w:r>
      <w:r w:rsidRPr="00850D17">
        <w:rPr>
          <w:lang w:val="fr-CH"/>
        </w:rPr>
        <w:t>selon les données de la MONUSCO</w:t>
      </w:r>
      <w:r w:rsidR="00F03ACD" w:rsidRPr="00850D17">
        <w:rPr>
          <w:lang w:val="fr-CH"/>
        </w:rPr>
        <w:t>:</w:t>
      </w:r>
      <w:r w:rsidRPr="00850D17">
        <w:rPr>
          <w:lang w:val="fr-CH"/>
        </w:rPr>
        <w:t xml:space="preserve"> </w:t>
      </w:r>
      <w:r w:rsidR="00D833C6" w:rsidRPr="00850D17">
        <w:rPr>
          <w:lang w:val="fr-CH"/>
        </w:rPr>
        <w:t>14</w:t>
      </w:r>
      <w:r w:rsidR="004F356B">
        <w:rPr>
          <w:lang w:val="fr-CH"/>
        </w:rPr>
        <w:t> </w:t>
      </w:r>
      <w:r w:rsidR="007613A6">
        <w:rPr>
          <w:lang w:val="fr-CH"/>
        </w:rPr>
        <w:t>%</w:t>
      </w:r>
      <w:r w:rsidR="007613A6" w:rsidRPr="00850D17">
        <w:rPr>
          <w:lang w:val="fr-CH"/>
        </w:rPr>
        <w:t xml:space="preserve"> </w:t>
      </w:r>
      <w:r w:rsidR="00D833C6" w:rsidRPr="00850D17">
        <w:rPr>
          <w:lang w:val="fr-CH"/>
        </w:rPr>
        <w:t>(2009/2010), 17</w:t>
      </w:r>
      <w:r w:rsidR="004F356B">
        <w:rPr>
          <w:lang w:val="fr-CH"/>
        </w:rPr>
        <w:t> </w:t>
      </w:r>
      <w:r w:rsidR="007613A6">
        <w:rPr>
          <w:lang w:val="fr-CH"/>
        </w:rPr>
        <w:t>%</w:t>
      </w:r>
      <w:r w:rsidR="00D833C6" w:rsidRPr="00850D17">
        <w:rPr>
          <w:lang w:val="fr-CH"/>
        </w:rPr>
        <w:t xml:space="preserve"> (2010/2011), 22</w:t>
      </w:r>
      <w:r w:rsidR="004F356B">
        <w:rPr>
          <w:lang w:val="fr-CH"/>
        </w:rPr>
        <w:t> </w:t>
      </w:r>
      <w:r w:rsidR="007613A6">
        <w:rPr>
          <w:lang w:val="fr-CH"/>
        </w:rPr>
        <w:t>%</w:t>
      </w:r>
      <w:r w:rsidR="00D833C6" w:rsidRPr="00850D17">
        <w:rPr>
          <w:lang w:val="fr-CH"/>
        </w:rPr>
        <w:t xml:space="preserve"> (2011/2012), 25</w:t>
      </w:r>
      <w:r w:rsidR="004F356B">
        <w:rPr>
          <w:lang w:val="fr-CH"/>
        </w:rPr>
        <w:t> </w:t>
      </w:r>
      <w:r w:rsidR="007613A6">
        <w:rPr>
          <w:lang w:val="fr-CH"/>
        </w:rPr>
        <w:t>%</w:t>
      </w:r>
      <w:r w:rsidR="00D833C6" w:rsidRPr="00850D17">
        <w:rPr>
          <w:lang w:val="fr-CH"/>
        </w:rPr>
        <w:t xml:space="preserve"> (2012/2013) et 23</w:t>
      </w:r>
      <w:r w:rsidR="004F356B">
        <w:rPr>
          <w:lang w:val="fr-CH"/>
        </w:rPr>
        <w:t> </w:t>
      </w:r>
      <w:r w:rsidR="007613A6">
        <w:rPr>
          <w:lang w:val="fr-CH"/>
        </w:rPr>
        <w:t>%</w:t>
      </w:r>
      <w:r w:rsidR="00D833C6" w:rsidRPr="00850D17">
        <w:rPr>
          <w:lang w:val="fr-CH"/>
        </w:rPr>
        <w:t xml:space="preserve"> (2013/2014). </w:t>
      </w:r>
    </w:p>
    <w:p w:rsidR="00B814B2" w:rsidRPr="00850D17" w:rsidRDefault="007F3985" w:rsidP="00906A04">
      <w:pPr>
        <w:pStyle w:val="SingleTxtG"/>
        <w:numPr>
          <w:ilvl w:val="0"/>
          <w:numId w:val="7"/>
        </w:numPr>
        <w:tabs>
          <w:tab w:val="left" w:pos="1134"/>
        </w:tabs>
        <w:ind w:left="1134" w:firstLine="0"/>
        <w:rPr>
          <w:lang w:val="fr-CH"/>
        </w:rPr>
      </w:pPr>
      <w:r w:rsidRPr="00850D17">
        <w:rPr>
          <w:lang w:val="fr-CH"/>
        </w:rPr>
        <w:t xml:space="preserve">Pendant la période </w:t>
      </w:r>
      <w:r w:rsidR="005E2578">
        <w:rPr>
          <w:lang w:val="fr-CH"/>
        </w:rPr>
        <w:t>considérée</w:t>
      </w:r>
      <w:r w:rsidRPr="00850D17">
        <w:rPr>
          <w:lang w:val="fr-CH"/>
        </w:rPr>
        <w:t xml:space="preserve">, </w:t>
      </w:r>
      <w:r w:rsidR="004A3250" w:rsidRPr="00850D17">
        <w:rPr>
          <w:lang w:val="fr-CH"/>
        </w:rPr>
        <w:t>environ</w:t>
      </w:r>
      <w:r w:rsidR="005570AE" w:rsidRPr="00850D17">
        <w:rPr>
          <w:lang w:val="fr-CH"/>
        </w:rPr>
        <w:t xml:space="preserve"> 33</w:t>
      </w:r>
      <w:r w:rsidR="00466BBD">
        <w:rPr>
          <w:lang w:val="fr-CH"/>
        </w:rPr>
        <w:t> </w:t>
      </w:r>
      <w:r w:rsidR="005570AE" w:rsidRPr="00850D17">
        <w:rPr>
          <w:lang w:val="fr-CH"/>
        </w:rPr>
        <w:t>057</w:t>
      </w:r>
      <w:r w:rsidR="00427C07">
        <w:rPr>
          <w:lang w:val="fr-CH"/>
        </w:rPr>
        <w:t> </w:t>
      </w:r>
      <w:r w:rsidR="005570AE" w:rsidRPr="00850D17">
        <w:rPr>
          <w:lang w:val="fr-CH"/>
        </w:rPr>
        <w:t>victimes</w:t>
      </w:r>
      <w:r w:rsidR="005570AE" w:rsidRPr="00850D17">
        <w:rPr>
          <w:rStyle w:val="FootnoteReference"/>
          <w:lang w:val="fr-CH"/>
        </w:rPr>
        <w:footnoteReference w:id="4"/>
      </w:r>
      <w:r w:rsidR="005570AE" w:rsidRPr="00850D17">
        <w:rPr>
          <w:lang w:val="fr-CH"/>
        </w:rPr>
        <w:t xml:space="preserve"> de violences sexuelles ont bénéficié d’une </w:t>
      </w:r>
      <w:r w:rsidR="00F93171" w:rsidRPr="00850D17">
        <w:rPr>
          <w:lang w:val="fr-CH"/>
        </w:rPr>
        <w:t xml:space="preserve">prise en charge holistique </w:t>
      </w:r>
      <w:r w:rsidR="00421EA5" w:rsidRPr="00850D17">
        <w:rPr>
          <w:lang w:val="fr-CH"/>
        </w:rPr>
        <w:t xml:space="preserve">comprenant </w:t>
      </w:r>
      <w:r w:rsidR="00F93171" w:rsidRPr="00850D17">
        <w:rPr>
          <w:lang w:val="fr-CH"/>
        </w:rPr>
        <w:t xml:space="preserve">une assistance </w:t>
      </w:r>
      <w:r w:rsidR="00B814B2" w:rsidRPr="00850D17">
        <w:rPr>
          <w:lang w:val="fr-CH"/>
        </w:rPr>
        <w:t xml:space="preserve">judiciaire, </w:t>
      </w:r>
      <w:r w:rsidR="005570AE" w:rsidRPr="00850D17">
        <w:rPr>
          <w:lang w:val="fr-CH"/>
        </w:rPr>
        <w:t>médicale, psychosociale</w:t>
      </w:r>
      <w:r w:rsidR="00B814B2" w:rsidRPr="00850D17">
        <w:rPr>
          <w:lang w:val="fr-CH"/>
        </w:rPr>
        <w:t xml:space="preserve"> et </w:t>
      </w:r>
      <w:r w:rsidR="005570AE" w:rsidRPr="00850D17">
        <w:rPr>
          <w:lang w:val="fr-CH"/>
        </w:rPr>
        <w:t xml:space="preserve">socio-économique </w:t>
      </w:r>
      <w:r w:rsidR="00A17B98">
        <w:rPr>
          <w:lang w:val="fr-CH"/>
        </w:rPr>
        <w:t xml:space="preserve">fournie </w:t>
      </w:r>
      <w:r w:rsidR="005570AE" w:rsidRPr="00850D17">
        <w:rPr>
          <w:lang w:val="fr-CH"/>
        </w:rPr>
        <w:t>par le BCNUDH, ONU</w:t>
      </w:r>
      <w:r w:rsidR="006D110B">
        <w:rPr>
          <w:lang w:val="fr-CH"/>
        </w:rPr>
        <w:t>-</w:t>
      </w:r>
      <w:r w:rsidR="005570AE" w:rsidRPr="00850D17">
        <w:rPr>
          <w:lang w:val="fr-CH"/>
        </w:rPr>
        <w:t xml:space="preserve">Femmes, </w:t>
      </w:r>
      <w:r w:rsidR="006D110B">
        <w:rPr>
          <w:lang w:val="fr-CH"/>
        </w:rPr>
        <w:t>l</w:t>
      </w:r>
      <w:r w:rsidR="006D110B" w:rsidRPr="006D110B">
        <w:rPr>
          <w:lang w:val="fr-CH"/>
        </w:rPr>
        <w:t>’</w:t>
      </w:r>
      <w:r w:rsidR="004A68A0" w:rsidRPr="00850D17">
        <w:rPr>
          <w:lang w:val="fr-CH"/>
        </w:rPr>
        <w:t xml:space="preserve">OSISA, </w:t>
      </w:r>
      <w:r w:rsidR="006D110B">
        <w:rPr>
          <w:lang w:val="fr-CH"/>
        </w:rPr>
        <w:t>le FNUAP</w:t>
      </w:r>
      <w:r w:rsidR="004A68A0" w:rsidRPr="00850D17">
        <w:rPr>
          <w:lang w:val="fr-CH"/>
        </w:rPr>
        <w:t xml:space="preserve"> et </w:t>
      </w:r>
      <w:r w:rsidR="006D110B">
        <w:rPr>
          <w:lang w:val="fr-CH"/>
        </w:rPr>
        <w:t>l</w:t>
      </w:r>
      <w:r w:rsidR="006D110B" w:rsidRPr="006D110B">
        <w:rPr>
          <w:lang w:val="fr-CH"/>
        </w:rPr>
        <w:t>’</w:t>
      </w:r>
      <w:r w:rsidR="005570AE" w:rsidRPr="00850D17">
        <w:rPr>
          <w:lang w:val="fr-CH"/>
        </w:rPr>
        <w:t>UNICEF</w:t>
      </w:r>
      <w:r w:rsidR="004A68A0" w:rsidRPr="00850D17">
        <w:rPr>
          <w:lang w:val="fr-CH"/>
        </w:rPr>
        <w:t>,</w:t>
      </w:r>
      <w:r w:rsidR="005570AE" w:rsidRPr="00850D17">
        <w:rPr>
          <w:lang w:val="fr-CH"/>
        </w:rPr>
        <w:t xml:space="preserve"> </w:t>
      </w:r>
      <w:r w:rsidR="00BE2802" w:rsidRPr="00850D17">
        <w:rPr>
          <w:lang w:val="fr-CH"/>
        </w:rPr>
        <w:t xml:space="preserve">souvent </w:t>
      </w:r>
      <w:r w:rsidR="005570AE" w:rsidRPr="00850D17">
        <w:rPr>
          <w:lang w:val="fr-CH"/>
        </w:rPr>
        <w:t xml:space="preserve">à travers des ONG locales. </w:t>
      </w:r>
      <w:r w:rsidR="0088157B" w:rsidRPr="00850D17">
        <w:rPr>
          <w:lang w:val="fr-CH"/>
        </w:rPr>
        <w:t xml:space="preserve">En 2010, suite aux travaux du Panel sur les </w:t>
      </w:r>
      <w:r w:rsidR="00DB1F9D">
        <w:rPr>
          <w:lang w:val="fr-CH"/>
        </w:rPr>
        <w:t xml:space="preserve">moyens de </w:t>
      </w:r>
      <w:r w:rsidR="0088157B" w:rsidRPr="00850D17">
        <w:rPr>
          <w:lang w:val="fr-CH"/>
        </w:rPr>
        <w:t xml:space="preserve">recours et </w:t>
      </w:r>
      <w:r w:rsidR="00DB1F9D">
        <w:rPr>
          <w:lang w:val="fr-CH"/>
        </w:rPr>
        <w:t>de</w:t>
      </w:r>
      <w:r w:rsidR="00DB1F9D" w:rsidRPr="00850D17">
        <w:rPr>
          <w:lang w:val="fr-CH"/>
        </w:rPr>
        <w:t xml:space="preserve"> </w:t>
      </w:r>
      <w:r w:rsidR="0088157B" w:rsidRPr="00850D17">
        <w:rPr>
          <w:lang w:val="fr-CH"/>
        </w:rPr>
        <w:t>réparation</w:t>
      </w:r>
      <w:r w:rsidR="00DB1F9D">
        <w:rPr>
          <w:lang w:val="fr-CH"/>
        </w:rPr>
        <w:t xml:space="preserve"> pour les victimes de violences sexuelles</w:t>
      </w:r>
      <w:r w:rsidR="0088157B" w:rsidRPr="00850D17">
        <w:rPr>
          <w:lang w:val="fr-CH"/>
        </w:rPr>
        <w:t xml:space="preserve"> en </w:t>
      </w:r>
      <w:r w:rsidR="00290656">
        <w:rPr>
          <w:rFonts w:eastAsia="SimSun"/>
          <w:lang w:val="fr-CH"/>
        </w:rPr>
        <w:t>République démocratique du Congo</w:t>
      </w:r>
      <w:r w:rsidR="0088157B" w:rsidRPr="00850D17">
        <w:rPr>
          <w:lang w:val="fr-CH"/>
        </w:rPr>
        <w:t xml:space="preserve">, le BCNUDH </w:t>
      </w:r>
      <w:r w:rsidR="00B814B2" w:rsidRPr="00850D17">
        <w:rPr>
          <w:lang w:val="fr-CH"/>
        </w:rPr>
        <w:t xml:space="preserve">et </w:t>
      </w:r>
      <w:r w:rsidR="00A17B98">
        <w:rPr>
          <w:lang w:val="fr-CH"/>
        </w:rPr>
        <w:t>le FNUAP</w:t>
      </w:r>
      <w:r w:rsidR="00A17B98" w:rsidRPr="00850D17">
        <w:rPr>
          <w:lang w:val="fr-CH"/>
        </w:rPr>
        <w:t xml:space="preserve"> </w:t>
      </w:r>
      <w:r w:rsidR="00B814B2" w:rsidRPr="00850D17">
        <w:rPr>
          <w:lang w:val="fr-CH"/>
        </w:rPr>
        <w:t>ont</w:t>
      </w:r>
      <w:r w:rsidR="0012008D" w:rsidRPr="00850D17">
        <w:rPr>
          <w:lang w:val="fr-CH"/>
        </w:rPr>
        <w:t xml:space="preserve"> </w:t>
      </w:r>
      <w:r w:rsidR="0088157B" w:rsidRPr="00850D17">
        <w:rPr>
          <w:lang w:val="fr-CH"/>
        </w:rPr>
        <w:t>apporté une assi</w:t>
      </w:r>
      <w:r w:rsidR="00B814B2" w:rsidRPr="00850D17">
        <w:rPr>
          <w:lang w:val="fr-CH"/>
        </w:rPr>
        <w:t>stance socio-économique collective à</w:t>
      </w:r>
      <w:r w:rsidR="005570AE" w:rsidRPr="00850D17">
        <w:rPr>
          <w:lang w:val="fr-CH"/>
        </w:rPr>
        <w:t xml:space="preserve"> 30</w:t>
      </w:r>
      <w:r w:rsidR="001E3E97">
        <w:rPr>
          <w:lang w:val="fr-CH"/>
        </w:rPr>
        <w:t> </w:t>
      </w:r>
      <w:r w:rsidR="005570AE" w:rsidRPr="00850D17">
        <w:rPr>
          <w:lang w:val="fr-CH"/>
        </w:rPr>
        <w:t xml:space="preserve">femmes victimes de violences sexuelles de </w:t>
      </w:r>
      <w:r w:rsidR="003E69A7" w:rsidRPr="00850D17">
        <w:rPr>
          <w:lang w:val="fr-CH"/>
        </w:rPr>
        <w:t>Songo-</w:t>
      </w:r>
      <w:r w:rsidR="00BD32E4" w:rsidRPr="00850D17">
        <w:rPr>
          <w:lang w:val="fr-CH"/>
        </w:rPr>
        <w:t>Mboyo (Province de l’</w:t>
      </w:r>
      <w:r w:rsidR="00466BBD" w:rsidRPr="00850D17">
        <w:rPr>
          <w:lang w:val="fr-CH"/>
        </w:rPr>
        <w:t>Équateur</w:t>
      </w:r>
      <w:r w:rsidR="00BD32E4" w:rsidRPr="00850D17">
        <w:rPr>
          <w:lang w:val="fr-CH"/>
        </w:rPr>
        <w:t>)</w:t>
      </w:r>
      <w:r w:rsidR="00E942A7" w:rsidRPr="00850D17">
        <w:rPr>
          <w:lang w:val="fr-CH"/>
        </w:rPr>
        <w:t xml:space="preserve">. </w:t>
      </w:r>
      <w:r w:rsidR="00466BBD" w:rsidRPr="00850D17">
        <w:rPr>
          <w:lang w:val="fr-CH"/>
        </w:rPr>
        <w:t>À</w:t>
      </w:r>
      <w:r w:rsidR="00F633BC" w:rsidRPr="00850D17">
        <w:rPr>
          <w:lang w:val="fr-CH"/>
        </w:rPr>
        <w:t xml:space="preserve"> leur demande, une baleinière </w:t>
      </w:r>
      <w:r w:rsidR="003A3CAB" w:rsidRPr="00850D17">
        <w:rPr>
          <w:lang w:val="fr-CH"/>
        </w:rPr>
        <w:t xml:space="preserve">leur a été offerte afin d’écouler leurs marchandises </w:t>
      </w:r>
      <w:r w:rsidR="00F633BC" w:rsidRPr="00850D17">
        <w:rPr>
          <w:lang w:val="fr-CH"/>
        </w:rPr>
        <w:t xml:space="preserve">et </w:t>
      </w:r>
      <w:r w:rsidR="004A3250" w:rsidRPr="00850D17">
        <w:rPr>
          <w:lang w:val="fr-CH"/>
        </w:rPr>
        <w:t xml:space="preserve">elles ont été formées pour </w:t>
      </w:r>
      <w:r w:rsidR="00760721" w:rsidRPr="00850D17">
        <w:rPr>
          <w:lang w:val="fr-CH"/>
        </w:rPr>
        <w:t>s</w:t>
      </w:r>
      <w:r w:rsidR="00F633BC" w:rsidRPr="00850D17">
        <w:rPr>
          <w:lang w:val="fr-CH"/>
        </w:rPr>
        <w:t xml:space="preserve">a gestion. </w:t>
      </w:r>
      <w:r w:rsidR="002F0A5D" w:rsidRPr="00850D17">
        <w:rPr>
          <w:lang w:val="fr-CH"/>
        </w:rPr>
        <w:t>En 2014, g</w:t>
      </w:r>
      <w:r w:rsidR="0038250B" w:rsidRPr="00850D17">
        <w:rPr>
          <w:lang w:val="fr-CH"/>
        </w:rPr>
        <w:t xml:space="preserve">râce au plaidoyer de la communauté internationale, </w:t>
      </w:r>
      <w:r w:rsidR="007D6838" w:rsidRPr="00850D17">
        <w:rPr>
          <w:lang w:val="fr-CH"/>
        </w:rPr>
        <w:t>l</w:t>
      </w:r>
      <w:r w:rsidR="004A3250" w:rsidRPr="00850D17">
        <w:rPr>
          <w:lang w:val="fr-CH"/>
        </w:rPr>
        <w:t xml:space="preserve">e </w:t>
      </w:r>
      <w:r w:rsidR="00621832">
        <w:rPr>
          <w:lang w:val="fr-CH"/>
        </w:rPr>
        <w:t>G</w:t>
      </w:r>
      <w:r w:rsidR="004A3250" w:rsidRPr="00850D17">
        <w:rPr>
          <w:lang w:val="fr-CH"/>
        </w:rPr>
        <w:t xml:space="preserve">ouvernement de la </w:t>
      </w:r>
      <w:r w:rsidR="00B975FF">
        <w:rPr>
          <w:rFonts w:eastAsia="SimSun"/>
          <w:lang w:val="fr-CH"/>
        </w:rPr>
        <w:t>République démocratique du Congo</w:t>
      </w:r>
      <w:r w:rsidR="004A3250" w:rsidRPr="00850D17">
        <w:rPr>
          <w:lang w:val="fr-CH"/>
        </w:rPr>
        <w:t xml:space="preserve"> a accordé</w:t>
      </w:r>
      <w:r w:rsidR="0038250B" w:rsidRPr="00850D17">
        <w:rPr>
          <w:lang w:val="fr-CH"/>
        </w:rPr>
        <w:t xml:space="preserve"> </w:t>
      </w:r>
      <w:r w:rsidR="002F0A5D" w:rsidRPr="00850D17">
        <w:rPr>
          <w:lang w:val="fr-CH"/>
        </w:rPr>
        <w:t xml:space="preserve">pour la </w:t>
      </w:r>
      <w:r w:rsidR="00603F7D" w:rsidRPr="00850D17">
        <w:rPr>
          <w:lang w:val="fr-CH"/>
        </w:rPr>
        <w:t xml:space="preserve">première </w:t>
      </w:r>
      <w:r w:rsidR="002F0A5D" w:rsidRPr="00850D17">
        <w:rPr>
          <w:lang w:val="fr-CH"/>
        </w:rPr>
        <w:t xml:space="preserve">fois </w:t>
      </w:r>
      <w:r w:rsidR="00B975FF">
        <w:rPr>
          <w:lang w:val="fr-CH"/>
        </w:rPr>
        <w:t>une</w:t>
      </w:r>
      <w:r w:rsidR="00B975FF" w:rsidRPr="00850D17">
        <w:rPr>
          <w:lang w:val="fr-CH"/>
        </w:rPr>
        <w:t xml:space="preserve"> </w:t>
      </w:r>
      <w:r w:rsidR="00731A9D" w:rsidRPr="00850D17">
        <w:rPr>
          <w:lang w:val="fr-CH"/>
        </w:rPr>
        <w:t>réparation</w:t>
      </w:r>
      <w:r w:rsidR="00603F7D" w:rsidRPr="00850D17">
        <w:rPr>
          <w:lang w:val="fr-CH"/>
        </w:rPr>
        <w:t xml:space="preserve"> </w:t>
      </w:r>
      <w:r w:rsidR="00731A9D" w:rsidRPr="00850D17">
        <w:rPr>
          <w:lang w:val="fr-CH"/>
        </w:rPr>
        <w:t xml:space="preserve">aux </w:t>
      </w:r>
      <w:r w:rsidR="006E6F99" w:rsidRPr="00850D17">
        <w:rPr>
          <w:lang w:val="fr-CH"/>
        </w:rPr>
        <w:t xml:space="preserve">30 </w:t>
      </w:r>
      <w:r w:rsidR="00F633BC" w:rsidRPr="00850D17">
        <w:rPr>
          <w:lang w:val="fr-CH"/>
        </w:rPr>
        <w:t xml:space="preserve">victimes </w:t>
      </w:r>
      <w:r w:rsidR="006E6F99" w:rsidRPr="00850D17">
        <w:rPr>
          <w:lang w:val="fr-CH"/>
        </w:rPr>
        <w:t>de Songo</w:t>
      </w:r>
      <w:r w:rsidR="003E69A7" w:rsidRPr="00850D17">
        <w:rPr>
          <w:lang w:val="fr-CH"/>
        </w:rPr>
        <w:t>-</w:t>
      </w:r>
      <w:r w:rsidR="00BD32E4" w:rsidRPr="00850D17">
        <w:rPr>
          <w:lang w:val="fr-CH"/>
        </w:rPr>
        <w:t>M</w:t>
      </w:r>
      <w:r w:rsidR="006E6F99" w:rsidRPr="00850D17">
        <w:rPr>
          <w:lang w:val="fr-CH"/>
        </w:rPr>
        <w:t>boyo</w:t>
      </w:r>
      <w:r w:rsidR="0038250B" w:rsidRPr="00850D17">
        <w:rPr>
          <w:rStyle w:val="FootnoteReference"/>
          <w:lang w:val="fr-CH"/>
        </w:rPr>
        <w:footnoteReference w:id="5"/>
      </w:r>
      <w:r w:rsidR="0038250B" w:rsidRPr="00850D17">
        <w:rPr>
          <w:lang w:val="fr-CH"/>
        </w:rPr>
        <w:t>.</w:t>
      </w:r>
    </w:p>
    <w:p w:rsidR="004C2C68" w:rsidRPr="00C36970" w:rsidRDefault="00C173BB" w:rsidP="00C36970">
      <w:pPr>
        <w:pStyle w:val="H23G"/>
        <w:rPr>
          <w:lang w:val="fr-CH"/>
        </w:rPr>
      </w:pPr>
      <w:r w:rsidRPr="00850D17">
        <w:rPr>
          <w:rFonts w:eastAsia="SimSun"/>
          <w:lang w:val="fr-CH"/>
        </w:rPr>
        <w:lastRenderedPageBreak/>
        <w:tab/>
        <w:t>2.</w:t>
      </w:r>
      <w:r w:rsidRPr="00850D17">
        <w:rPr>
          <w:rFonts w:eastAsia="SimSun"/>
          <w:lang w:val="fr-CH"/>
        </w:rPr>
        <w:tab/>
      </w:r>
      <w:r w:rsidR="004C2C68" w:rsidRPr="00850D17">
        <w:rPr>
          <w:rFonts w:eastAsia="SimSun"/>
          <w:lang w:val="fr-CH"/>
        </w:rPr>
        <w:t>Renfo</w:t>
      </w:r>
      <w:r w:rsidR="001D5378" w:rsidRPr="00850D17">
        <w:rPr>
          <w:rFonts w:eastAsia="SimSun"/>
          <w:lang w:val="fr-CH"/>
        </w:rPr>
        <w:t>r</w:t>
      </w:r>
      <w:r w:rsidR="004C2C68" w:rsidRPr="00850D17">
        <w:rPr>
          <w:rFonts w:eastAsia="SimSun"/>
          <w:lang w:val="fr-CH"/>
        </w:rPr>
        <w:t>cement de l’administration de la justice</w:t>
      </w:r>
      <w:r w:rsidR="005570AE" w:rsidRPr="00850D17">
        <w:rPr>
          <w:rFonts w:eastAsia="SimSun"/>
          <w:lang w:val="fr-CH"/>
        </w:rPr>
        <w:t xml:space="preserve"> </w:t>
      </w:r>
    </w:p>
    <w:p w:rsidR="001C0017" w:rsidRPr="00850D17" w:rsidRDefault="001C0017" w:rsidP="005C5CD7">
      <w:pPr>
        <w:pStyle w:val="SingleTxtG"/>
        <w:numPr>
          <w:ilvl w:val="0"/>
          <w:numId w:val="7"/>
        </w:numPr>
        <w:tabs>
          <w:tab w:val="left" w:pos="1134"/>
        </w:tabs>
        <w:ind w:left="1134" w:firstLine="0"/>
        <w:rPr>
          <w:lang w:val="fr-CH"/>
        </w:rPr>
      </w:pPr>
      <w:r w:rsidRPr="00850D17">
        <w:rPr>
          <w:lang w:val="fr-CH"/>
        </w:rPr>
        <w:t xml:space="preserve">En 2006, le DSCRP a posé le diagnostic d’un appareil judiciaire inefficace, engendrant des règlements extrajudiciaires et des décisions de justice non exécutées, et une profonde méfiance des populations envers le système judiciaire. </w:t>
      </w:r>
    </w:p>
    <w:p w:rsidR="00C97466" w:rsidRPr="00850D17" w:rsidRDefault="00614994" w:rsidP="001C6E5D">
      <w:pPr>
        <w:pStyle w:val="SingleTxtG"/>
        <w:numPr>
          <w:ilvl w:val="0"/>
          <w:numId w:val="7"/>
        </w:numPr>
        <w:tabs>
          <w:tab w:val="left" w:pos="1134"/>
        </w:tabs>
        <w:ind w:left="1134" w:firstLine="0"/>
        <w:rPr>
          <w:lang w:val="fr-CH"/>
        </w:rPr>
      </w:pPr>
      <w:r w:rsidRPr="00850D17">
        <w:rPr>
          <w:lang w:val="fr-CH"/>
        </w:rPr>
        <w:t xml:space="preserve">Dans son </w:t>
      </w:r>
      <w:r w:rsidR="00A11F46" w:rsidRPr="00850D17">
        <w:rPr>
          <w:lang w:val="fr-CH"/>
        </w:rPr>
        <w:t xml:space="preserve">rapport </w:t>
      </w:r>
      <w:r w:rsidR="00B077CD" w:rsidRPr="00850D17">
        <w:rPr>
          <w:lang w:val="fr-CH"/>
        </w:rPr>
        <w:t>de 2008</w:t>
      </w:r>
      <w:r w:rsidR="00B077CD">
        <w:rPr>
          <w:lang w:val="fr-CH"/>
        </w:rPr>
        <w:t xml:space="preserve"> </w:t>
      </w:r>
      <w:r w:rsidR="00FF783A">
        <w:rPr>
          <w:lang w:val="fr-CH"/>
        </w:rPr>
        <w:t>sur la promotion et protection de tous les droits de l</w:t>
      </w:r>
      <w:r w:rsidR="00FF783A" w:rsidRPr="00FE2E5C">
        <w:rPr>
          <w:lang w:val="fr-CH"/>
        </w:rPr>
        <w:t>’</w:t>
      </w:r>
      <w:r w:rsidR="00FF783A">
        <w:rPr>
          <w:lang w:val="fr-CH"/>
        </w:rPr>
        <w:t>homme, civils, politiques, économiques, sociaux et culturels, y compris le droit au développement (</w:t>
      </w:r>
      <w:r w:rsidR="004A3250" w:rsidRPr="00850D17">
        <w:rPr>
          <w:lang w:val="fr-CH"/>
        </w:rPr>
        <w:t>A/HRC/8/4/Add.2</w:t>
      </w:r>
      <w:r w:rsidR="00FF783A">
        <w:rPr>
          <w:lang w:val="fr-CH"/>
        </w:rPr>
        <w:t>)</w:t>
      </w:r>
      <w:r w:rsidRPr="00850D17">
        <w:rPr>
          <w:lang w:val="fr-CH"/>
        </w:rPr>
        <w:t xml:space="preserve">, le Rapporteur spécial sur l’indépendance des juges et </w:t>
      </w:r>
      <w:r w:rsidR="00900316">
        <w:rPr>
          <w:lang w:val="fr-CH"/>
        </w:rPr>
        <w:t xml:space="preserve">des </w:t>
      </w:r>
      <w:r w:rsidRPr="00850D17">
        <w:rPr>
          <w:lang w:val="fr-CH"/>
        </w:rPr>
        <w:t xml:space="preserve">avocats a constaté que l’absence d’école de la magistrature et le manque de formation </w:t>
      </w:r>
      <w:r w:rsidR="00381DB0" w:rsidRPr="00850D17">
        <w:rPr>
          <w:lang w:val="fr-CH"/>
        </w:rPr>
        <w:t xml:space="preserve">adéquate des </w:t>
      </w:r>
      <w:r w:rsidRPr="00850D17">
        <w:rPr>
          <w:lang w:val="fr-CH"/>
        </w:rPr>
        <w:t xml:space="preserve">magistrats </w:t>
      </w:r>
      <w:r w:rsidR="00381DB0" w:rsidRPr="00850D17">
        <w:rPr>
          <w:lang w:val="fr-CH"/>
        </w:rPr>
        <w:t xml:space="preserve">rendaient leurs jugements peu fiables. </w:t>
      </w:r>
      <w:r w:rsidR="004A3250" w:rsidRPr="00850D17">
        <w:rPr>
          <w:lang w:val="fr-CH"/>
        </w:rPr>
        <w:t>Il</w:t>
      </w:r>
      <w:r w:rsidR="00381DB0" w:rsidRPr="00850D17">
        <w:rPr>
          <w:lang w:val="fr-CH"/>
        </w:rPr>
        <w:t xml:space="preserve"> </w:t>
      </w:r>
      <w:r w:rsidRPr="00850D17">
        <w:rPr>
          <w:lang w:val="fr-CH"/>
        </w:rPr>
        <w:t>a</w:t>
      </w:r>
      <w:r w:rsidR="0012008D" w:rsidRPr="00850D17">
        <w:rPr>
          <w:lang w:val="fr-CH"/>
        </w:rPr>
        <w:t xml:space="preserve"> </w:t>
      </w:r>
      <w:r w:rsidR="00C97466" w:rsidRPr="00850D17">
        <w:rPr>
          <w:lang w:val="fr-CH"/>
        </w:rPr>
        <w:t xml:space="preserve">recommandé </w:t>
      </w:r>
      <w:r w:rsidR="00FD46BB" w:rsidRPr="00850D17">
        <w:rPr>
          <w:lang w:val="fr-CH"/>
        </w:rPr>
        <w:t>le renforcement des capacités d</w:t>
      </w:r>
      <w:r w:rsidR="00C97466" w:rsidRPr="00850D17">
        <w:rPr>
          <w:lang w:val="fr-CH"/>
        </w:rPr>
        <w:t>es magistrats</w:t>
      </w:r>
      <w:r w:rsidR="00381DB0" w:rsidRPr="00850D17">
        <w:rPr>
          <w:lang w:val="fr-CH"/>
        </w:rPr>
        <w:t xml:space="preserve"> et du personnel auxiliaire</w:t>
      </w:r>
      <w:r w:rsidR="00C97466" w:rsidRPr="00850D17">
        <w:rPr>
          <w:lang w:val="fr-CH"/>
        </w:rPr>
        <w:t xml:space="preserve"> </w:t>
      </w:r>
      <w:r w:rsidR="00B077CD">
        <w:rPr>
          <w:lang w:val="fr-CH"/>
        </w:rPr>
        <w:t>en matière de</w:t>
      </w:r>
      <w:r w:rsidR="00B077CD" w:rsidRPr="00850D17">
        <w:rPr>
          <w:lang w:val="fr-CH"/>
        </w:rPr>
        <w:t xml:space="preserve"> </w:t>
      </w:r>
      <w:r w:rsidR="00C97466" w:rsidRPr="00850D17">
        <w:rPr>
          <w:lang w:val="fr-CH"/>
        </w:rPr>
        <w:t xml:space="preserve">normes d’éthique et de déontologie et </w:t>
      </w:r>
      <w:r w:rsidR="00B077CD">
        <w:rPr>
          <w:lang w:val="fr-CH"/>
        </w:rPr>
        <w:t>de</w:t>
      </w:r>
      <w:r w:rsidR="00B077CD" w:rsidRPr="00850D17">
        <w:rPr>
          <w:lang w:val="fr-CH"/>
        </w:rPr>
        <w:t xml:space="preserve"> </w:t>
      </w:r>
      <w:r w:rsidR="00C97466" w:rsidRPr="00850D17">
        <w:rPr>
          <w:lang w:val="fr-CH"/>
        </w:rPr>
        <w:t>droits de l’homme.</w:t>
      </w:r>
    </w:p>
    <w:p w:rsidR="002465E5" w:rsidRPr="00850D17" w:rsidRDefault="0002160E" w:rsidP="00C36970">
      <w:pPr>
        <w:pStyle w:val="SingleTxtG"/>
        <w:numPr>
          <w:ilvl w:val="0"/>
          <w:numId w:val="7"/>
        </w:numPr>
        <w:tabs>
          <w:tab w:val="left" w:pos="1134"/>
        </w:tabs>
        <w:ind w:left="1134" w:firstLine="0"/>
        <w:rPr>
          <w:lang w:val="fr-CH"/>
        </w:rPr>
      </w:pPr>
      <w:r w:rsidRPr="00850D17">
        <w:rPr>
          <w:lang w:val="fr-CH"/>
        </w:rPr>
        <w:t xml:space="preserve">De 2008 à 2014, </w:t>
      </w:r>
      <w:r w:rsidR="0038250B" w:rsidRPr="00850D17">
        <w:rPr>
          <w:lang w:val="fr-CH"/>
        </w:rPr>
        <w:t xml:space="preserve">les acteurs internationaux ont formé </w:t>
      </w:r>
      <w:r w:rsidRPr="00850D17">
        <w:rPr>
          <w:lang w:val="fr-CH"/>
        </w:rPr>
        <w:t>p</w:t>
      </w:r>
      <w:r w:rsidR="00614994" w:rsidRPr="00850D17">
        <w:rPr>
          <w:lang w:val="fr-CH"/>
        </w:rPr>
        <w:t xml:space="preserve">lus </w:t>
      </w:r>
      <w:r w:rsidR="004A3250" w:rsidRPr="00850D17">
        <w:rPr>
          <w:lang w:val="fr-CH"/>
        </w:rPr>
        <w:t xml:space="preserve">de </w:t>
      </w:r>
      <w:r w:rsidR="00614994" w:rsidRPr="00850D17">
        <w:rPr>
          <w:lang w:val="fr-CH"/>
        </w:rPr>
        <w:t>25</w:t>
      </w:r>
      <w:r w:rsidR="00466BBD">
        <w:rPr>
          <w:lang w:val="fr-CH"/>
        </w:rPr>
        <w:t> </w:t>
      </w:r>
      <w:r w:rsidR="00614994" w:rsidRPr="00850D17">
        <w:rPr>
          <w:lang w:val="fr-CH"/>
        </w:rPr>
        <w:t>000</w:t>
      </w:r>
      <w:r w:rsidR="00F762FE">
        <w:rPr>
          <w:lang w:val="fr-CH"/>
        </w:rPr>
        <w:t> </w:t>
      </w:r>
      <w:r w:rsidR="001C569B" w:rsidRPr="00850D17">
        <w:rPr>
          <w:lang w:val="fr-CH"/>
        </w:rPr>
        <w:t>acteurs de la chaîne pénale (civils et militaires)</w:t>
      </w:r>
      <w:r w:rsidR="00614994" w:rsidRPr="00850D17">
        <w:rPr>
          <w:lang w:val="fr-CH"/>
        </w:rPr>
        <w:t>, dont environ 10</w:t>
      </w:r>
      <w:r w:rsidR="00466BBD">
        <w:rPr>
          <w:lang w:val="fr-CH"/>
        </w:rPr>
        <w:t> </w:t>
      </w:r>
      <w:r w:rsidR="00FD62E7">
        <w:rPr>
          <w:lang w:val="fr-CH"/>
        </w:rPr>
        <w:t>%</w:t>
      </w:r>
      <w:r w:rsidR="00614994" w:rsidRPr="00850D17">
        <w:rPr>
          <w:lang w:val="fr-CH"/>
        </w:rPr>
        <w:t xml:space="preserve"> de femmes</w:t>
      </w:r>
      <w:r w:rsidR="00966B9D" w:rsidRPr="00850D17">
        <w:rPr>
          <w:lang w:val="fr-CH"/>
        </w:rPr>
        <w:t>,</w:t>
      </w:r>
      <w:r w:rsidR="0012008D" w:rsidRPr="00850D17">
        <w:rPr>
          <w:lang w:val="fr-CH"/>
        </w:rPr>
        <w:t xml:space="preserve"> </w:t>
      </w:r>
      <w:r w:rsidR="00614994" w:rsidRPr="00850D17">
        <w:rPr>
          <w:lang w:val="fr-CH"/>
        </w:rPr>
        <w:t>dans toutes les provinces du pays</w:t>
      </w:r>
      <w:r w:rsidR="00966B9D" w:rsidRPr="00850D17">
        <w:rPr>
          <w:lang w:val="fr-CH"/>
        </w:rPr>
        <w:t>,</w:t>
      </w:r>
      <w:r w:rsidR="00614994" w:rsidRPr="00850D17">
        <w:rPr>
          <w:lang w:val="fr-CH"/>
        </w:rPr>
        <w:t xml:space="preserve"> sur le suivi judiciaire des crimes internationaux</w:t>
      </w:r>
      <w:r w:rsidR="00417036" w:rsidRPr="00850D17">
        <w:rPr>
          <w:lang w:val="fr-CH"/>
        </w:rPr>
        <w:t>, des</w:t>
      </w:r>
      <w:r w:rsidR="00614994" w:rsidRPr="00850D17">
        <w:rPr>
          <w:lang w:val="fr-CH"/>
        </w:rPr>
        <w:t xml:space="preserve"> violences sexuelles</w:t>
      </w:r>
      <w:r w:rsidR="00417036" w:rsidRPr="00850D17">
        <w:rPr>
          <w:lang w:val="fr-CH"/>
        </w:rPr>
        <w:t xml:space="preserve"> et autres violations des droits de l’homme</w:t>
      </w:r>
      <w:r w:rsidR="00614994" w:rsidRPr="00850D17">
        <w:rPr>
          <w:lang w:val="fr-CH"/>
        </w:rPr>
        <w:t xml:space="preserve">, l’expertise médico-légale, la lutte contre la torture et le traitement de dossiers relatifs aux enfants en conflit avec la loi. </w:t>
      </w:r>
    </w:p>
    <w:p w:rsidR="00614994" w:rsidRPr="00850D17" w:rsidRDefault="0002160E" w:rsidP="001C6E5D">
      <w:pPr>
        <w:pStyle w:val="SingleTxtG"/>
        <w:numPr>
          <w:ilvl w:val="0"/>
          <w:numId w:val="7"/>
        </w:numPr>
        <w:tabs>
          <w:tab w:val="left" w:pos="1134"/>
        </w:tabs>
        <w:ind w:left="1134" w:firstLine="0"/>
        <w:rPr>
          <w:lang w:val="fr-CH"/>
        </w:rPr>
      </w:pPr>
      <w:r w:rsidRPr="00850D17">
        <w:rPr>
          <w:lang w:val="fr-CH"/>
        </w:rPr>
        <w:t xml:space="preserve">Le manque </w:t>
      </w:r>
      <w:r w:rsidR="002465E5" w:rsidRPr="00850D17">
        <w:rPr>
          <w:lang w:val="fr-CH"/>
        </w:rPr>
        <w:t xml:space="preserve">de coordination </w:t>
      </w:r>
      <w:r w:rsidR="00490CB8" w:rsidRPr="00850D17">
        <w:rPr>
          <w:lang w:val="fr-CH"/>
        </w:rPr>
        <w:t>entre les intervenants de la communauté internationale eux-mêmes et avec le</w:t>
      </w:r>
      <w:r w:rsidR="002465E5" w:rsidRPr="00850D17">
        <w:rPr>
          <w:lang w:val="fr-CH"/>
        </w:rPr>
        <w:t xml:space="preserve"> </w:t>
      </w:r>
      <w:r w:rsidR="00621832">
        <w:rPr>
          <w:lang w:val="fr-CH"/>
        </w:rPr>
        <w:t>G</w:t>
      </w:r>
      <w:r w:rsidR="002465E5" w:rsidRPr="00850D17">
        <w:rPr>
          <w:lang w:val="fr-CH"/>
        </w:rPr>
        <w:t xml:space="preserve">ouvernement, </w:t>
      </w:r>
      <w:r w:rsidR="00CE5C0F" w:rsidRPr="00850D17">
        <w:rPr>
          <w:lang w:val="fr-CH"/>
        </w:rPr>
        <w:t xml:space="preserve">l’absence </w:t>
      </w:r>
      <w:r w:rsidR="000C46B7">
        <w:rPr>
          <w:lang w:val="fr-CH"/>
        </w:rPr>
        <w:t>de</w:t>
      </w:r>
      <w:r w:rsidR="000C46B7" w:rsidRPr="00850D17">
        <w:rPr>
          <w:lang w:val="fr-CH"/>
        </w:rPr>
        <w:t xml:space="preserve"> </w:t>
      </w:r>
      <w:r w:rsidR="00CE5C0F" w:rsidRPr="00850D17">
        <w:rPr>
          <w:lang w:val="fr-CH"/>
        </w:rPr>
        <w:t>politique sectorielle et</w:t>
      </w:r>
      <w:r w:rsidR="001A2FD7" w:rsidRPr="00850D17">
        <w:rPr>
          <w:lang w:val="fr-CH"/>
        </w:rPr>
        <w:t xml:space="preserve"> </w:t>
      </w:r>
      <w:r w:rsidR="000C46B7">
        <w:rPr>
          <w:lang w:val="fr-CH"/>
        </w:rPr>
        <w:t>de</w:t>
      </w:r>
      <w:r w:rsidR="00CE5C0F" w:rsidRPr="00850D17">
        <w:rPr>
          <w:lang w:val="fr-CH"/>
        </w:rPr>
        <w:t xml:space="preserve"> plan stratégique en matière de droits humains </w:t>
      </w:r>
      <w:r w:rsidR="000C46B7">
        <w:rPr>
          <w:lang w:val="fr-CH"/>
        </w:rPr>
        <w:t>ainsi que</w:t>
      </w:r>
      <w:r w:rsidR="000C46B7" w:rsidRPr="00850D17">
        <w:rPr>
          <w:lang w:val="fr-CH"/>
        </w:rPr>
        <w:t xml:space="preserve"> </w:t>
      </w:r>
      <w:r w:rsidRPr="00850D17">
        <w:rPr>
          <w:lang w:val="fr-CH"/>
        </w:rPr>
        <w:t xml:space="preserve">l’absence </w:t>
      </w:r>
      <w:r w:rsidR="00381DB0" w:rsidRPr="00850D17">
        <w:rPr>
          <w:lang w:val="fr-CH"/>
        </w:rPr>
        <w:t xml:space="preserve">d’une </w:t>
      </w:r>
      <w:r w:rsidR="002465E5" w:rsidRPr="00850D17">
        <w:rPr>
          <w:lang w:val="fr-CH"/>
        </w:rPr>
        <w:t xml:space="preserve">école de </w:t>
      </w:r>
      <w:r w:rsidRPr="00850D17">
        <w:rPr>
          <w:lang w:val="fr-CH"/>
        </w:rPr>
        <w:t xml:space="preserve">la </w:t>
      </w:r>
      <w:r w:rsidR="002465E5" w:rsidRPr="00850D17">
        <w:rPr>
          <w:lang w:val="fr-CH"/>
        </w:rPr>
        <w:t xml:space="preserve">magistrature </w:t>
      </w:r>
      <w:r w:rsidR="00966B9D" w:rsidRPr="00850D17">
        <w:rPr>
          <w:lang w:val="fr-CH"/>
        </w:rPr>
        <w:t xml:space="preserve">ont donné lieu </w:t>
      </w:r>
      <w:r w:rsidR="00490CB8" w:rsidRPr="00850D17">
        <w:rPr>
          <w:lang w:val="fr-CH"/>
        </w:rPr>
        <w:t xml:space="preserve">à </w:t>
      </w:r>
      <w:r w:rsidR="00966B9D" w:rsidRPr="00850D17">
        <w:rPr>
          <w:lang w:val="fr-CH"/>
        </w:rPr>
        <w:t>une</w:t>
      </w:r>
      <w:r w:rsidR="002465E5" w:rsidRPr="00850D17">
        <w:rPr>
          <w:lang w:val="fr-CH"/>
        </w:rPr>
        <w:t xml:space="preserve"> duplication d</w:t>
      </w:r>
      <w:r w:rsidRPr="00850D17">
        <w:rPr>
          <w:lang w:val="fr-CH"/>
        </w:rPr>
        <w:t>es</w:t>
      </w:r>
      <w:r w:rsidR="009258EB" w:rsidRPr="00850D17">
        <w:rPr>
          <w:lang w:val="fr-CH"/>
        </w:rPr>
        <w:t xml:space="preserve"> </w:t>
      </w:r>
      <w:r w:rsidR="002465E5" w:rsidRPr="00850D17">
        <w:rPr>
          <w:lang w:val="fr-CH"/>
        </w:rPr>
        <w:t xml:space="preserve">activités de renforcement des capacités </w:t>
      </w:r>
      <w:r w:rsidR="00966B9D" w:rsidRPr="00850D17">
        <w:rPr>
          <w:lang w:val="fr-CH"/>
        </w:rPr>
        <w:t>destinées aux</w:t>
      </w:r>
      <w:r w:rsidR="002465E5" w:rsidRPr="00850D17">
        <w:rPr>
          <w:lang w:val="fr-CH"/>
        </w:rPr>
        <w:t xml:space="preserve"> acteurs de l’administration de la justice</w:t>
      </w:r>
      <w:r w:rsidR="004A3250" w:rsidRPr="00850D17">
        <w:rPr>
          <w:lang w:val="fr-CH"/>
        </w:rPr>
        <w:t xml:space="preserve">. </w:t>
      </w:r>
      <w:r w:rsidR="00CD1E6A" w:rsidRPr="00850D17">
        <w:rPr>
          <w:lang w:val="fr-CH"/>
        </w:rPr>
        <w:t>Certains</w:t>
      </w:r>
      <w:r w:rsidR="00490CB8" w:rsidRPr="00850D17">
        <w:rPr>
          <w:lang w:val="fr-CH"/>
        </w:rPr>
        <w:t xml:space="preserve"> </w:t>
      </w:r>
      <w:r w:rsidR="00381DB0" w:rsidRPr="00850D17">
        <w:rPr>
          <w:lang w:val="fr-CH"/>
        </w:rPr>
        <w:t xml:space="preserve">ont </w:t>
      </w:r>
      <w:r w:rsidRPr="00850D17">
        <w:rPr>
          <w:lang w:val="fr-CH"/>
        </w:rPr>
        <w:t xml:space="preserve">ainsi </w:t>
      </w:r>
      <w:r w:rsidR="00381DB0" w:rsidRPr="00850D17">
        <w:rPr>
          <w:lang w:val="fr-CH"/>
        </w:rPr>
        <w:t xml:space="preserve">suivi </w:t>
      </w:r>
      <w:r w:rsidRPr="00850D17">
        <w:rPr>
          <w:lang w:val="fr-CH"/>
        </w:rPr>
        <w:t xml:space="preserve">plusieurs fois de suite </w:t>
      </w:r>
      <w:r w:rsidR="00CD1E6A" w:rsidRPr="00850D17">
        <w:rPr>
          <w:lang w:val="fr-CH"/>
        </w:rPr>
        <w:t>d</w:t>
      </w:r>
      <w:r w:rsidRPr="00850D17">
        <w:rPr>
          <w:lang w:val="fr-CH"/>
        </w:rPr>
        <w:t xml:space="preserve">es </w:t>
      </w:r>
      <w:r w:rsidR="002465E5" w:rsidRPr="00850D17">
        <w:rPr>
          <w:lang w:val="fr-CH"/>
        </w:rPr>
        <w:t>formation</w:t>
      </w:r>
      <w:r w:rsidR="00381DB0" w:rsidRPr="00850D17">
        <w:rPr>
          <w:lang w:val="fr-CH"/>
        </w:rPr>
        <w:t xml:space="preserve">s </w:t>
      </w:r>
      <w:r w:rsidR="00CD1E6A" w:rsidRPr="00850D17">
        <w:rPr>
          <w:lang w:val="fr-CH"/>
        </w:rPr>
        <w:t xml:space="preserve">similaires </w:t>
      </w:r>
      <w:r w:rsidR="00381DB0" w:rsidRPr="00850D17">
        <w:rPr>
          <w:lang w:val="fr-CH"/>
        </w:rPr>
        <w:t>organisées</w:t>
      </w:r>
      <w:r w:rsidR="002465E5" w:rsidRPr="00850D17">
        <w:rPr>
          <w:lang w:val="fr-CH"/>
        </w:rPr>
        <w:t xml:space="preserve"> par des partenaires différents.</w:t>
      </w:r>
      <w:r w:rsidR="00CE5C0F" w:rsidRPr="00850D17">
        <w:rPr>
          <w:lang w:val="fr-CH"/>
        </w:rPr>
        <w:t xml:space="preserve"> </w:t>
      </w:r>
    </w:p>
    <w:p w:rsidR="00417036" w:rsidRPr="00850D17" w:rsidRDefault="005541A1" w:rsidP="00363774">
      <w:pPr>
        <w:pStyle w:val="SingleTxtG"/>
        <w:numPr>
          <w:ilvl w:val="0"/>
          <w:numId w:val="7"/>
        </w:numPr>
        <w:tabs>
          <w:tab w:val="left" w:pos="1134"/>
        </w:tabs>
        <w:ind w:left="1134" w:firstLine="0"/>
        <w:rPr>
          <w:lang w:val="fr-CH"/>
        </w:rPr>
      </w:pPr>
      <w:r w:rsidRPr="00850D17">
        <w:rPr>
          <w:lang w:val="fr-CH"/>
        </w:rPr>
        <w:t>Entre 20</w:t>
      </w:r>
      <w:r w:rsidR="004A3250" w:rsidRPr="00850D17">
        <w:rPr>
          <w:lang w:val="fr-CH"/>
        </w:rPr>
        <w:t>08</w:t>
      </w:r>
      <w:r w:rsidRPr="00850D17">
        <w:rPr>
          <w:lang w:val="fr-CH"/>
        </w:rPr>
        <w:t xml:space="preserve"> et 2014, </w:t>
      </w:r>
      <w:r w:rsidR="0002160E" w:rsidRPr="00850D17">
        <w:rPr>
          <w:lang w:val="fr-CH"/>
        </w:rPr>
        <w:t xml:space="preserve">la communauté internationale a appuyé la tenue de procès </w:t>
      </w:r>
      <w:r w:rsidR="00917C80">
        <w:rPr>
          <w:lang w:val="fr-CH"/>
        </w:rPr>
        <w:t>pour</w:t>
      </w:r>
      <w:r w:rsidR="00917C80" w:rsidRPr="00850D17">
        <w:rPr>
          <w:lang w:val="fr-CH"/>
        </w:rPr>
        <w:t xml:space="preserve"> </w:t>
      </w:r>
      <w:r w:rsidR="0002160E" w:rsidRPr="00850D17">
        <w:rPr>
          <w:lang w:val="fr-CH"/>
        </w:rPr>
        <w:t>crimes internationaux et violations graves des droits de l’homme</w:t>
      </w:r>
      <w:r w:rsidR="00490CB8" w:rsidRPr="00850D17">
        <w:rPr>
          <w:lang w:val="fr-CH"/>
        </w:rPr>
        <w:t xml:space="preserve"> </w:t>
      </w:r>
      <w:r w:rsidR="00622966" w:rsidRPr="00850D17">
        <w:rPr>
          <w:lang w:val="fr-CH"/>
        </w:rPr>
        <w:t xml:space="preserve">par la protection </w:t>
      </w:r>
      <w:r w:rsidR="0067230E" w:rsidRPr="00850D17">
        <w:rPr>
          <w:lang w:val="fr-CH"/>
        </w:rPr>
        <w:t xml:space="preserve">et la prise en charge </w:t>
      </w:r>
      <w:r w:rsidR="002745A4" w:rsidRPr="00850D17">
        <w:rPr>
          <w:lang w:val="fr-CH"/>
        </w:rPr>
        <w:t xml:space="preserve">des victimes, </w:t>
      </w:r>
      <w:r w:rsidR="00917C80">
        <w:rPr>
          <w:lang w:val="fr-CH"/>
        </w:rPr>
        <w:t xml:space="preserve">des </w:t>
      </w:r>
      <w:r w:rsidR="002745A4" w:rsidRPr="00850D17">
        <w:rPr>
          <w:lang w:val="fr-CH"/>
        </w:rPr>
        <w:t>témoins</w:t>
      </w:r>
      <w:r w:rsidR="0067230E" w:rsidRPr="00850D17">
        <w:rPr>
          <w:lang w:val="fr-CH"/>
        </w:rPr>
        <w:t xml:space="preserve"> </w:t>
      </w:r>
      <w:r w:rsidR="00622966" w:rsidRPr="00850D17">
        <w:rPr>
          <w:lang w:val="fr-CH"/>
        </w:rPr>
        <w:t xml:space="preserve">et </w:t>
      </w:r>
      <w:r w:rsidR="00917C80">
        <w:rPr>
          <w:lang w:val="fr-CH"/>
        </w:rPr>
        <w:t xml:space="preserve">de </w:t>
      </w:r>
      <w:r w:rsidR="0067230E" w:rsidRPr="00850D17">
        <w:rPr>
          <w:lang w:val="fr-CH"/>
        </w:rPr>
        <w:t>leur conseil,</w:t>
      </w:r>
      <w:r w:rsidR="00622966" w:rsidRPr="00850D17">
        <w:rPr>
          <w:lang w:val="fr-CH"/>
        </w:rPr>
        <w:t xml:space="preserve"> et </w:t>
      </w:r>
      <w:r w:rsidR="002F0A5D" w:rsidRPr="00850D17">
        <w:rPr>
          <w:lang w:val="fr-CH"/>
        </w:rPr>
        <w:t>la facilitation d</w:t>
      </w:r>
      <w:r w:rsidR="00622966" w:rsidRPr="00850D17">
        <w:rPr>
          <w:lang w:val="fr-CH"/>
        </w:rPr>
        <w:t>e</w:t>
      </w:r>
      <w:r w:rsidR="002745A4" w:rsidRPr="00850D17">
        <w:rPr>
          <w:lang w:val="fr-CH"/>
        </w:rPr>
        <w:t>s</w:t>
      </w:r>
      <w:r w:rsidR="00622966" w:rsidRPr="00850D17">
        <w:rPr>
          <w:lang w:val="fr-CH"/>
        </w:rPr>
        <w:t xml:space="preserve"> déplacement</w:t>
      </w:r>
      <w:r w:rsidR="002745A4" w:rsidRPr="00850D17">
        <w:rPr>
          <w:lang w:val="fr-CH"/>
        </w:rPr>
        <w:t>s</w:t>
      </w:r>
      <w:r w:rsidR="00622966" w:rsidRPr="00850D17">
        <w:rPr>
          <w:lang w:val="fr-CH"/>
        </w:rPr>
        <w:t xml:space="preserve"> </w:t>
      </w:r>
      <w:r w:rsidR="002745A4" w:rsidRPr="00850D17">
        <w:rPr>
          <w:lang w:val="fr-CH"/>
        </w:rPr>
        <w:t>des acteurs de la justice</w:t>
      </w:r>
      <w:r w:rsidR="002F0A5D" w:rsidRPr="00850D17">
        <w:rPr>
          <w:lang w:val="fr-CH"/>
        </w:rPr>
        <w:t xml:space="preserve">. </w:t>
      </w:r>
      <w:r w:rsidR="00466BBD" w:rsidRPr="00850D17">
        <w:rPr>
          <w:lang w:val="fr-CH"/>
        </w:rPr>
        <w:t>À</w:t>
      </w:r>
      <w:r w:rsidR="003F7D00" w:rsidRPr="00850D17">
        <w:rPr>
          <w:lang w:val="fr-CH"/>
        </w:rPr>
        <w:t xml:space="preserve"> l’issue de ces procès,</w:t>
      </w:r>
      <w:r w:rsidR="002F0A5D" w:rsidRPr="00850D17">
        <w:rPr>
          <w:lang w:val="fr-CH"/>
        </w:rPr>
        <w:t xml:space="preserve"> </w:t>
      </w:r>
      <w:r w:rsidR="00417036" w:rsidRPr="00850D17">
        <w:rPr>
          <w:lang w:val="fr-CH"/>
        </w:rPr>
        <w:t>582</w:t>
      </w:r>
      <w:r w:rsidR="00466BBD">
        <w:rPr>
          <w:lang w:val="fr-CH"/>
        </w:rPr>
        <w:t> </w:t>
      </w:r>
      <w:r w:rsidR="00417036" w:rsidRPr="00850D17">
        <w:rPr>
          <w:lang w:val="fr-CH"/>
        </w:rPr>
        <w:t xml:space="preserve">membres des Forces </w:t>
      </w:r>
      <w:r w:rsidR="009258EB" w:rsidRPr="00850D17">
        <w:rPr>
          <w:lang w:val="fr-CH"/>
        </w:rPr>
        <w:t>a</w:t>
      </w:r>
      <w:r w:rsidR="00417036" w:rsidRPr="00850D17">
        <w:rPr>
          <w:lang w:val="fr-CH"/>
        </w:rPr>
        <w:t>rmées de la République démocratique du Congo (FARDC) et 367</w:t>
      </w:r>
      <w:r w:rsidR="00466BBD">
        <w:rPr>
          <w:lang w:val="fr-CH"/>
        </w:rPr>
        <w:t> </w:t>
      </w:r>
      <w:r w:rsidR="00417036" w:rsidRPr="00850D17">
        <w:rPr>
          <w:lang w:val="fr-CH"/>
        </w:rPr>
        <w:t>membres de la Police nationale congolaise</w:t>
      </w:r>
      <w:r w:rsidR="00BE2802" w:rsidRPr="00850D17">
        <w:rPr>
          <w:rStyle w:val="FootnoteReference"/>
          <w:lang w:val="fr-CH"/>
        </w:rPr>
        <w:footnoteReference w:id="6"/>
      </w:r>
      <w:r w:rsidR="00417036" w:rsidRPr="00850D17">
        <w:rPr>
          <w:lang w:val="fr-CH"/>
        </w:rPr>
        <w:t xml:space="preserve"> </w:t>
      </w:r>
      <w:r w:rsidR="001C569B" w:rsidRPr="00850D17">
        <w:rPr>
          <w:lang w:val="fr-CH"/>
        </w:rPr>
        <w:t xml:space="preserve">ont été </w:t>
      </w:r>
      <w:r w:rsidR="0002160E" w:rsidRPr="00850D17">
        <w:rPr>
          <w:lang w:val="fr-CH"/>
        </w:rPr>
        <w:t xml:space="preserve">condamnés </w:t>
      </w:r>
      <w:r w:rsidR="00CD1E6A" w:rsidRPr="00850D17">
        <w:rPr>
          <w:lang w:val="fr-CH"/>
        </w:rPr>
        <w:t>à</w:t>
      </w:r>
      <w:r w:rsidR="00417036" w:rsidRPr="00850D17">
        <w:rPr>
          <w:lang w:val="fr-CH"/>
        </w:rPr>
        <w:t xml:space="preserve"> des peines de </w:t>
      </w:r>
      <w:r w:rsidR="00CD1E6A" w:rsidRPr="00850D17">
        <w:rPr>
          <w:lang w:val="fr-CH"/>
        </w:rPr>
        <w:t>trois</w:t>
      </w:r>
      <w:r w:rsidR="00417036" w:rsidRPr="00850D17">
        <w:rPr>
          <w:lang w:val="fr-CH"/>
        </w:rPr>
        <w:t xml:space="preserve"> à </w:t>
      </w:r>
      <w:r w:rsidR="001C6E5D">
        <w:rPr>
          <w:lang w:val="fr-CH"/>
        </w:rPr>
        <w:t xml:space="preserve">vingt </w:t>
      </w:r>
      <w:r w:rsidR="00417036" w:rsidRPr="00850D17">
        <w:rPr>
          <w:lang w:val="fr-CH"/>
        </w:rPr>
        <w:t>ans</w:t>
      </w:r>
      <w:r w:rsidR="00CD1E6A" w:rsidRPr="00850D17">
        <w:rPr>
          <w:lang w:val="fr-CH"/>
        </w:rPr>
        <w:t xml:space="preserve"> d’emprisonnement</w:t>
      </w:r>
      <w:r w:rsidR="00417036" w:rsidRPr="00850D17">
        <w:rPr>
          <w:lang w:val="fr-CH"/>
        </w:rPr>
        <w:t xml:space="preserve">. </w:t>
      </w:r>
      <w:r w:rsidR="00CD1E6A" w:rsidRPr="00850D17">
        <w:rPr>
          <w:lang w:val="fr-CH"/>
        </w:rPr>
        <w:t xml:space="preserve">En vertu du </w:t>
      </w:r>
      <w:r w:rsidR="006A1361">
        <w:rPr>
          <w:lang w:val="fr-CH"/>
        </w:rPr>
        <w:t>S</w:t>
      </w:r>
      <w:r w:rsidR="00CD1E6A" w:rsidRPr="00850D17">
        <w:rPr>
          <w:lang w:val="fr-CH"/>
        </w:rPr>
        <w:t>tatut de Rome, l</w:t>
      </w:r>
      <w:r w:rsidR="0038250B" w:rsidRPr="00850D17">
        <w:rPr>
          <w:lang w:val="fr-CH"/>
        </w:rPr>
        <w:t xml:space="preserve">a justice a condamné </w:t>
      </w:r>
      <w:r w:rsidR="00417036" w:rsidRPr="00850D17">
        <w:rPr>
          <w:lang w:val="fr-CH"/>
        </w:rPr>
        <w:t xml:space="preserve">de hauts gradés </w:t>
      </w:r>
      <w:r w:rsidR="00CD1E6A" w:rsidRPr="00850D17">
        <w:rPr>
          <w:lang w:val="fr-CH"/>
        </w:rPr>
        <w:t xml:space="preserve">des </w:t>
      </w:r>
      <w:r w:rsidR="00417036" w:rsidRPr="00850D17">
        <w:rPr>
          <w:lang w:val="fr-CH"/>
        </w:rPr>
        <w:t xml:space="preserve">forces de défense et de sécurité et </w:t>
      </w:r>
      <w:r w:rsidR="00CD1E6A" w:rsidRPr="00850D17">
        <w:rPr>
          <w:lang w:val="fr-CH"/>
        </w:rPr>
        <w:t>des membres de</w:t>
      </w:r>
      <w:r w:rsidR="00417036" w:rsidRPr="00850D17">
        <w:rPr>
          <w:lang w:val="fr-CH"/>
        </w:rPr>
        <w:t xml:space="preserve"> groupes armés</w:t>
      </w:r>
      <w:r w:rsidR="005E174F" w:rsidRPr="00850D17">
        <w:rPr>
          <w:lang w:val="fr-CH"/>
        </w:rPr>
        <w:t xml:space="preserve">, </w:t>
      </w:r>
      <w:r w:rsidR="007D6838" w:rsidRPr="00850D17">
        <w:rPr>
          <w:lang w:val="fr-CH"/>
        </w:rPr>
        <w:t>marqu</w:t>
      </w:r>
      <w:r w:rsidR="002264C9" w:rsidRPr="00850D17">
        <w:rPr>
          <w:lang w:val="fr-CH"/>
        </w:rPr>
        <w:t>a</w:t>
      </w:r>
      <w:r w:rsidR="007D6838" w:rsidRPr="00850D17">
        <w:rPr>
          <w:lang w:val="fr-CH"/>
        </w:rPr>
        <w:t xml:space="preserve">nt un pas </w:t>
      </w:r>
      <w:r w:rsidR="009258EB" w:rsidRPr="00850D17">
        <w:rPr>
          <w:lang w:val="fr-CH"/>
        </w:rPr>
        <w:t xml:space="preserve">important </w:t>
      </w:r>
      <w:r w:rsidR="007D6838" w:rsidRPr="00850D17">
        <w:rPr>
          <w:lang w:val="fr-CH"/>
        </w:rPr>
        <w:t>dans la lutte contre l’impunité</w:t>
      </w:r>
      <w:r w:rsidR="00CD1E6A" w:rsidRPr="00850D17">
        <w:rPr>
          <w:lang w:val="fr-CH"/>
        </w:rPr>
        <w:t xml:space="preserve">. </w:t>
      </w:r>
      <w:r w:rsidR="002608E1" w:rsidRPr="00850D17">
        <w:rPr>
          <w:lang w:val="fr-CH"/>
        </w:rPr>
        <w:t xml:space="preserve">Au nombre des </w:t>
      </w:r>
      <w:r w:rsidR="00CD1E6A" w:rsidRPr="00850D17">
        <w:rPr>
          <w:lang w:val="fr-CH"/>
        </w:rPr>
        <w:t>cas emblématiques</w:t>
      </w:r>
      <w:r w:rsidR="002608E1" w:rsidRPr="00850D17">
        <w:rPr>
          <w:lang w:val="fr-CH"/>
        </w:rPr>
        <w:t xml:space="preserve"> figurent les suivants</w:t>
      </w:r>
      <w:r w:rsidR="00417036" w:rsidRPr="00850D17">
        <w:rPr>
          <w:lang w:val="fr-CH"/>
        </w:rPr>
        <w:t>:</w:t>
      </w:r>
    </w:p>
    <w:p w:rsidR="00417036" w:rsidRPr="00850D17" w:rsidRDefault="00466BBD">
      <w:pPr>
        <w:pStyle w:val="Bullet1G"/>
        <w:rPr>
          <w:rFonts w:eastAsia="SimSun"/>
          <w:lang w:val="fr-CH"/>
        </w:rPr>
      </w:pPr>
      <w:r w:rsidRPr="00850D17">
        <w:rPr>
          <w:rFonts w:eastAsia="SimSun"/>
          <w:lang w:val="fr-CH"/>
        </w:rPr>
        <w:t>Le</w:t>
      </w:r>
      <w:r w:rsidR="00CD1E6A" w:rsidRPr="00850D17">
        <w:rPr>
          <w:rFonts w:eastAsia="SimSun"/>
          <w:lang w:val="fr-CH"/>
        </w:rPr>
        <w:t xml:space="preserve"> 15 décembre 2014</w:t>
      </w:r>
      <w:r w:rsidR="00B558EA">
        <w:rPr>
          <w:rFonts w:eastAsia="SimSun"/>
          <w:lang w:val="fr-CH"/>
        </w:rPr>
        <w:t>,</w:t>
      </w:r>
      <w:r w:rsidR="00CD1E6A" w:rsidRPr="00850D17">
        <w:rPr>
          <w:rFonts w:eastAsia="SimSun"/>
          <w:lang w:val="fr-CH"/>
        </w:rPr>
        <w:t xml:space="preserve"> </w:t>
      </w:r>
      <w:r w:rsidR="00417036" w:rsidRPr="00850D17">
        <w:rPr>
          <w:rFonts w:eastAsia="SimSun"/>
          <w:lang w:val="fr-CH"/>
        </w:rPr>
        <w:t xml:space="preserve">la </w:t>
      </w:r>
      <w:r w:rsidR="0079741E">
        <w:rPr>
          <w:rFonts w:eastAsia="SimSun"/>
          <w:lang w:val="fr-CH"/>
        </w:rPr>
        <w:t>c</w:t>
      </w:r>
      <w:r w:rsidR="00417036" w:rsidRPr="00850D17">
        <w:rPr>
          <w:rFonts w:eastAsia="SimSun"/>
          <w:lang w:val="fr-CH"/>
        </w:rPr>
        <w:t xml:space="preserve">our militaire du Sud-Kivu </w:t>
      </w:r>
      <w:r w:rsidR="00A85690" w:rsidRPr="00850D17">
        <w:rPr>
          <w:rFonts w:eastAsia="SimSun"/>
          <w:lang w:val="fr-CH"/>
        </w:rPr>
        <w:t xml:space="preserve">a </w:t>
      </w:r>
      <w:r w:rsidR="00417036" w:rsidRPr="00850D17">
        <w:rPr>
          <w:rFonts w:eastAsia="SimSun"/>
          <w:lang w:val="fr-CH"/>
        </w:rPr>
        <w:t xml:space="preserve">condamné </w:t>
      </w:r>
      <w:r w:rsidR="00A85690" w:rsidRPr="00850D17">
        <w:rPr>
          <w:rFonts w:eastAsia="SimSun"/>
          <w:lang w:val="fr-CH"/>
        </w:rPr>
        <w:t>le</w:t>
      </w:r>
      <w:r w:rsidR="00417036" w:rsidRPr="00850D17">
        <w:rPr>
          <w:rFonts w:eastAsia="SimSun"/>
          <w:lang w:val="fr-CH"/>
        </w:rPr>
        <w:t xml:space="preserve"> </w:t>
      </w:r>
      <w:r w:rsidR="00B558EA">
        <w:rPr>
          <w:rFonts w:eastAsia="SimSun"/>
          <w:lang w:val="fr-CH"/>
        </w:rPr>
        <w:t>c</w:t>
      </w:r>
      <w:r w:rsidR="00417036" w:rsidRPr="00850D17">
        <w:rPr>
          <w:rFonts w:eastAsia="SimSun"/>
          <w:lang w:val="fr-CH"/>
        </w:rPr>
        <w:t>olonel Engangela alias «colonel 106» à la réclusion criminelle à perpétuité</w:t>
      </w:r>
      <w:r w:rsidR="00CD1E6A" w:rsidRPr="00850D17">
        <w:rPr>
          <w:rFonts w:eastAsia="SimSun"/>
          <w:lang w:val="fr-CH"/>
        </w:rPr>
        <w:t xml:space="preserve"> et </w:t>
      </w:r>
      <w:r w:rsidR="00417036" w:rsidRPr="00850D17">
        <w:rPr>
          <w:rFonts w:eastAsia="SimSun"/>
          <w:lang w:val="fr-CH"/>
        </w:rPr>
        <w:t xml:space="preserve">à </w:t>
      </w:r>
      <w:r w:rsidR="00B558EA">
        <w:rPr>
          <w:rFonts w:eastAsia="SimSun"/>
          <w:lang w:val="fr-CH"/>
        </w:rPr>
        <w:t xml:space="preserve">vingt </w:t>
      </w:r>
      <w:r w:rsidR="00417036" w:rsidRPr="00850D17">
        <w:rPr>
          <w:rFonts w:eastAsia="SimSun"/>
          <w:lang w:val="fr-CH"/>
        </w:rPr>
        <w:t xml:space="preserve">ans de servitude pénale pour crimes contre l’humanité, torture et séquestration, esclavage sexuel commis contre </w:t>
      </w:r>
      <w:r w:rsidR="001C569B" w:rsidRPr="00850D17">
        <w:rPr>
          <w:rFonts w:eastAsia="SimSun"/>
          <w:lang w:val="fr-CH"/>
        </w:rPr>
        <w:t>approximativement</w:t>
      </w:r>
      <w:r w:rsidR="00417036" w:rsidRPr="00850D17">
        <w:rPr>
          <w:rFonts w:eastAsia="SimSun"/>
          <w:lang w:val="fr-CH"/>
        </w:rPr>
        <w:t xml:space="preserve"> 1</w:t>
      </w:r>
      <w:r w:rsidR="00F762FE">
        <w:rPr>
          <w:rFonts w:eastAsia="SimSun"/>
          <w:lang w:val="fr-CH"/>
        </w:rPr>
        <w:t> </w:t>
      </w:r>
      <w:r w:rsidR="00417036" w:rsidRPr="00850D17">
        <w:rPr>
          <w:rFonts w:eastAsia="SimSun"/>
          <w:lang w:val="fr-CH"/>
        </w:rPr>
        <w:t>200</w:t>
      </w:r>
      <w:r w:rsidR="00F762FE">
        <w:rPr>
          <w:rFonts w:eastAsia="SimSun"/>
          <w:lang w:val="fr-CH"/>
        </w:rPr>
        <w:t> </w:t>
      </w:r>
      <w:r w:rsidR="00417036" w:rsidRPr="00850D17">
        <w:rPr>
          <w:rFonts w:eastAsia="SimSun"/>
          <w:lang w:val="fr-CH"/>
        </w:rPr>
        <w:t>victimes au Sud-Kivu, entre 2005 et 2007</w:t>
      </w:r>
      <w:r w:rsidR="006F271B" w:rsidRPr="00850D17">
        <w:rPr>
          <w:rFonts w:eastAsia="SimSun"/>
          <w:lang w:val="fr-CH"/>
        </w:rPr>
        <w:t>;</w:t>
      </w:r>
    </w:p>
    <w:p w:rsidR="00417036" w:rsidRPr="00850D17" w:rsidRDefault="00466BBD" w:rsidP="00B06C89">
      <w:pPr>
        <w:pStyle w:val="Bullet1G"/>
        <w:rPr>
          <w:rFonts w:eastAsia="SimSun"/>
          <w:lang w:val="fr-CH"/>
        </w:rPr>
      </w:pPr>
      <w:r w:rsidRPr="00850D17">
        <w:rPr>
          <w:rFonts w:eastAsia="SimSun"/>
          <w:lang w:val="fr-CH"/>
        </w:rPr>
        <w:t>Le</w:t>
      </w:r>
      <w:r w:rsidR="00CD1E6A" w:rsidRPr="00850D17">
        <w:rPr>
          <w:rFonts w:eastAsia="SimSun"/>
          <w:lang w:val="fr-CH"/>
        </w:rPr>
        <w:t xml:space="preserve"> 9 août 2010, </w:t>
      </w:r>
      <w:r w:rsidR="008F593A" w:rsidRPr="00850D17">
        <w:rPr>
          <w:rFonts w:eastAsia="SimSun"/>
          <w:lang w:val="fr-CH"/>
        </w:rPr>
        <w:t xml:space="preserve">le </w:t>
      </w:r>
      <w:r w:rsidR="0079741E">
        <w:rPr>
          <w:rFonts w:eastAsia="SimSun"/>
          <w:lang w:val="fr-CH"/>
        </w:rPr>
        <w:t>t</w:t>
      </w:r>
      <w:r w:rsidR="008F593A" w:rsidRPr="00850D17">
        <w:rPr>
          <w:rFonts w:eastAsia="SimSun"/>
          <w:lang w:val="fr-CH"/>
        </w:rPr>
        <w:t>ribunal militaire de garnison de Bunia</w:t>
      </w:r>
      <w:r w:rsidR="00417036" w:rsidRPr="00850D17">
        <w:rPr>
          <w:rFonts w:eastAsia="SimSun"/>
          <w:lang w:val="fr-CH"/>
        </w:rPr>
        <w:t xml:space="preserve"> a condamné</w:t>
      </w:r>
      <w:r w:rsidR="005C092A" w:rsidRPr="00850D17">
        <w:rPr>
          <w:rFonts w:eastAsia="SimSun"/>
          <w:lang w:val="fr-CH"/>
        </w:rPr>
        <w:t xml:space="preserve"> </w:t>
      </w:r>
      <w:r w:rsidR="00417036" w:rsidRPr="00850D17">
        <w:rPr>
          <w:rFonts w:eastAsia="SimSun"/>
          <w:lang w:val="fr-CH"/>
        </w:rPr>
        <w:t>Bernard Kakodo, responsable du groupe armé Force de résistance patriotique de l’Ituri, à la servitude pénale à perpétuité pour crimes contre l’humanité suite aux massacres de populations, viols</w:t>
      </w:r>
      <w:r w:rsidR="00CD1E6A" w:rsidRPr="00850D17">
        <w:rPr>
          <w:rFonts w:eastAsia="SimSun"/>
          <w:lang w:val="fr-CH"/>
        </w:rPr>
        <w:t>,</w:t>
      </w:r>
      <w:r w:rsidR="00417036" w:rsidRPr="00850D17">
        <w:rPr>
          <w:rFonts w:eastAsia="SimSun"/>
          <w:lang w:val="fr-CH"/>
        </w:rPr>
        <w:t xml:space="preserve"> esclavage </w:t>
      </w:r>
      <w:r w:rsidR="00CD1E6A" w:rsidRPr="00850D17">
        <w:rPr>
          <w:rFonts w:eastAsia="SimSun"/>
          <w:lang w:val="fr-CH"/>
        </w:rPr>
        <w:t xml:space="preserve">et pillage perpétrés </w:t>
      </w:r>
      <w:r w:rsidR="00417036" w:rsidRPr="00850D17">
        <w:rPr>
          <w:rFonts w:eastAsia="SimSun"/>
          <w:lang w:val="fr-CH"/>
        </w:rPr>
        <w:t>à Bunia (province Orientale)</w:t>
      </w:r>
      <w:r w:rsidR="00F762FE">
        <w:rPr>
          <w:rFonts w:eastAsia="SimSun"/>
          <w:lang w:val="fr-CH"/>
        </w:rPr>
        <w:t xml:space="preserve"> </w:t>
      </w:r>
      <w:r w:rsidR="00417036" w:rsidRPr="00850D17">
        <w:rPr>
          <w:rFonts w:eastAsia="SimSun"/>
          <w:lang w:val="fr-CH"/>
        </w:rPr>
        <w:t>en 2002</w:t>
      </w:r>
      <w:r w:rsidR="006F271B" w:rsidRPr="00850D17">
        <w:rPr>
          <w:rFonts w:eastAsia="SimSun"/>
          <w:lang w:val="fr-CH"/>
        </w:rPr>
        <w:t>;</w:t>
      </w:r>
    </w:p>
    <w:p w:rsidR="00417036" w:rsidRPr="00850D17" w:rsidRDefault="00466BBD">
      <w:pPr>
        <w:pStyle w:val="Bullet1G"/>
        <w:rPr>
          <w:rFonts w:eastAsia="SimSun"/>
          <w:lang w:val="fr-CH"/>
        </w:rPr>
      </w:pPr>
      <w:r w:rsidRPr="00850D17">
        <w:rPr>
          <w:rFonts w:eastAsia="SimSun"/>
          <w:lang w:val="fr-CH"/>
        </w:rPr>
        <w:t>Le</w:t>
      </w:r>
      <w:r w:rsidR="00CD1E6A" w:rsidRPr="00850D17">
        <w:rPr>
          <w:rFonts w:eastAsia="SimSun"/>
          <w:lang w:val="fr-CH"/>
        </w:rPr>
        <w:t xml:space="preserve"> 4 juin 2009, </w:t>
      </w:r>
      <w:r w:rsidR="006F271B" w:rsidRPr="00850D17">
        <w:rPr>
          <w:rFonts w:eastAsia="SimSun"/>
          <w:lang w:val="fr-CH"/>
        </w:rPr>
        <w:t>l</w:t>
      </w:r>
      <w:r w:rsidR="008F593A" w:rsidRPr="00850D17">
        <w:rPr>
          <w:rFonts w:eastAsia="SimSun"/>
          <w:lang w:val="fr-CH"/>
        </w:rPr>
        <w:t xml:space="preserve">e </w:t>
      </w:r>
      <w:r w:rsidR="0079741E">
        <w:rPr>
          <w:rFonts w:eastAsia="SimSun"/>
          <w:lang w:val="fr-CH"/>
        </w:rPr>
        <w:t>t</w:t>
      </w:r>
      <w:r w:rsidR="008F593A" w:rsidRPr="00850D17">
        <w:rPr>
          <w:rFonts w:eastAsia="SimSun"/>
          <w:lang w:val="fr-CH"/>
        </w:rPr>
        <w:t xml:space="preserve">ribunal militaire de garnison de Kisangani </w:t>
      </w:r>
      <w:r w:rsidR="00417036" w:rsidRPr="00850D17">
        <w:rPr>
          <w:rFonts w:eastAsia="SimSun"/>
          <w:lang w:val="fr-CH"/>
        </w:rPr>
        <w:t>a condamné</w:t>
      </w:r>
      <w:r w:rsidR="0073128E" w:rsidRPr="00850D17">
        <w:rPr>
          <w:rFonts w:eastAsia="SimSun"/>
          <w:lang w:val="fr-CH"/>
        </w:rPr>
        <w:t xml:space="preserve"> </w:t>
      </w:r>
      <w:r w:rsidR="00417036" w:rsidRPr="00850D17">
        <w:rPr>
          <w:rFonts w:eastAsia="SimSun"/>
          <w:lang w:val="fr-CH"/>
        </w:rPr>
        <w:t xml:space="preserve">le </w:t>
      </w:r>
      <w:r w:rsidR="00822F20">
        <w:rPr>
          <w:rFonts w:eastAsia="SimSun"/>
          <w:lang w:val="fr-CH"/>
        </w:rPr>
        <w:t>c</w:t>
      </w:r>
      <w:r w:rsidR="00417036" w:rsidRPr="00850D17">
        <w:rPr>
          <w:rFonts w:eastAsia="SimSun"/>
          <w:lang w:val="fr-CH"/>
        </w:rPr>
        <w:t>olonel Thom’s, chef du groupe de miliciens Maï-Maï</w:t>
      </w:r>
      <w:r w:rsidR="008F593A" w:rsidRPr="00850D17">
        <w:rPr>
          <w:rFonts w:eastAsia="SimSun"/>
          <w:lang w:val="fr-CH"/>
        </w:rPr>
        <w:t>,</w:t>
      </w:r>
      <w:r w:rsidR="0012008D" w:rsidRPr="00850D17">
        <w:rPr>
          <w:rFonts w:eastAsia="SimSun"/>
          <w:lang w:val="fr-CH"/>
        </w:rPr>
        <w:t xml:space="preserve"> </w:t>
      </w:r>
      <w:r w:rsidR="008F593A" w:rsidRPr="00850D17">
        <w:rPr>
          <w:rFonts w:eastAsia="SimSun"/>
          <w:lang w:val="fr-CH"/>
        </w:rPr>
        <w:t>à la servitude pénale à perpétuité pour crime contre l’humanité</w:t>
      </w:r>
      <w:r w:rsidR="00417036" w:rsidRPr="00850D17">
        <w:rPr>
          <w:rFonts w:eastAsia="SimSun"/>
          <w:lang w:val="fr-CH"/>
        </w:rPr>
        <w:t xml:space="preserve"> sur approximativement 135</w:t>
      </w:r>
      <w:r w:rsidR="00F762FE">
        <w:rPr>
          <w:rFonts w:eastAsia="SimSun"/>
          <w:lang w:val="fr-CH"/>
        </w:rPr>
        <w:t> </w:t>
      </w:r>
      <w:r w:rsidR="008F593A" w:rsidRPr="00850D17">
        <w:rPr>
          <w:rFonts w:eastAsia="SimSun"/>
          <w:lang w:val="fr-CH"/>
        </w:rPr>
        <w:t>femmes</w:t>
      </w:r>
      <w:r w:rsidR="00CD1E6A" w:rsidRPr="00850D17">
        <w:rPr>
          <w:rFonts w:eastAsia="SimSun"/>
          <w:lang w:val="fr-CH"/>
        </w:rPr>
        <w:t>,</w:t>
      </w:r>
      <w:r w:rsidR="008F593A" w:rsidRPr="00850D17">
        <w:rPr>
          <w:rFonts w:eastAsia="SimSun"/>
          <w:lang w:val="fr-CH"/>
        </w:rPr>
        <w:t xml:space="preserve"> dont 8</w:t>
      </w:r>
      <w:r>
        <w:rPr>
          <w:rFonts w:eastAsia="SimSun"/>
          <w:lang w:val="fr-CH"/>
        </w:rPr>
        <w:t> </w:t>
      </w:r>
      <w:r w:rsidR="008F593A" w:rsidRPr="00850D17">
        <w:rPr>
          <w:rFonts w:eastAsia="SimSun"/>
          <w:lang w:val="fr-CH"/>
        </w:rPr>
        <w:t>mineures</w:t>
      </w:r>
      <w:r w:rsidR="00417036" w:rsidRPr="00850D17">
        <w:rPr>
          <w:rFonts w:eastAsia="SimSun"/>
          <w:lang w:val="fr-CH"/>
        </w:rPr>
        <w:t>, dans le village de Lieke Lesole, vers Kisangani (province Orientale), en 2007.</w:t>
      </w:r>
    </w:p>
    <w:p w:rsidR="00047B8A" w:rsidRPr="005023BC" w:rsidRDefault="00CF23F8" w:rsidP="00C36970">
      <w:pPr>
        <w:pStyle w:val="H23G"/>
        <w:rPr>
          <w:rFonts w:eastAsia="SimSun"/>
          <w:lang w:val="fr-CH"/>
        </w:rPr>
      </w:pPr>
      <w:r w:rsidRPr="00850D17">
        <w:rPr>
          <w:rFonts w:eastAsia="SimSun"/>
          <w:lang w:val="fr-CH"/>
        </w:rPr>
        <w:lastRenderedPageBreak/>
        <w:tab/>
        <w:t>3.</w:t>
      </w:r>
      <w:r w:rsidRPr="00850D17">
        <w:rPr>
          <w:rFonts w:eastAsia="SimSun"/>
          <w:lang w:val="fr-CH"/>
        </w:rPr>
        <w:tab/>
      </w:r>
      <w:r w:rsidR="00047B8A" w:rsidRPr="00850D17">
        <w:rPr>
          <w:rFonts w:eastAsia="SimSun"/>
          <w:lang w:val="fr-CH"/>
        </w:rPr>
        <w:t xml:space="preserve">Renforcement des capacités des forces de défense et de sécurité </w:t>
      </w:r>
    </w:p>
    <w:p w:rsidR="00614994" w:rsidRPr="00850D17" w:rsidRDefault="00BD6947" w:rsidP="00363774">
      <w:pPr>
        <w:pStyle w:val="SingleTxtG"/>
        <w:numPr>
          <w:ilvl w:val="0"/>
          <w:numId w:val="7"/>
        </w:numPr>
        <w:tabs>
          <w:tab w:val="left" w:pos="1134"/>
        </w:tabs>
        <w:ind w:left="1134" w:firstLine="0"/>
        <w:rPr>
          <w:lang w:val="fr-CH"/>
        </w:rPr>
      </w:pPr>
      <w:r w:rsidRPr="00850D17">
        <w:rPr>
          <w:lang w:val="fr-CH"/>
        </w:rPr>
        <w:t xml:space="preserve">En </w:t>
      </w:r>
      <w:r w:rsidR="00614994" w:rsidRPr="00850D17">
        <w:rPr>
          <w:lang w:val="fr-CH"/>
        </w:rPr>
        <w:t>2008</w:t>
      </w:r>
      <w:r w:rsidRPr="00850D17">
        <w:rPr>
          <w:lang w:val="fr-CH"/>
        </w:rPr>
        <w:t>, l</w:t>
      </w:r>
      <w:r w:rsidR="00614994" w:rsidRPr="00850D17">
        <w:rPr>
          <w:lang w:val="fr-CH"/>
        </w:rPr>
        <w:t>e Rapporteur spécial sur l’indépendance des juges et des avocats s’</w:t>
      </w:r>
      <w:r w:rsidRPr="00850D17">
        <w:rPr>
          <w:lang w:val="fr-CH"/>
        </w:rPr>
        <w:t>est inquiété</w:t>
      </w:r>
      <w:r w:rsidR="00614994" w:rsidRPr="00850D17">
        <w:rPr>
          <w:lang w:val="fr-CH"/>
        </w:rPr>
        <w:t xml:space="preserve"> du fait que </w:t>
      </w:r>
      <w:r w:rsidRPr="00850D17">
        <w:rPr>
          <w:lang w:val="fr-CH"/>
        </w:rPr>
        <w:t>86</w:t>
      </w:r>
      <w:r w:rsidR="00466BBD">
        <w:rPr>
          <w:lang w:val="fr-CH"/>
        </w:rPr>
        <w:t> </w:t>
      </w:r>
      <w:r w:rsidR="00294AE6">
        <w:rPr>
          <w:lang w:val="fr-CH"/>
        </w:rPr>
        <w:t>%</w:t>
      </w:r>
      <w:r w:rsidRPr="00850D17">
        <w:rPr>
          <w:lang w:val="fr-CH"/>
        </w:rPr>
        <w:t xml:space="preserve"> d</w:t>
      </w:r>
      <w:r w:rsidR="00614994" w:rsidRPr="00850D17">
        <w:rPr>
          <w:lang w:val="fr-CH"/>
        </w:rPr>
        <w:t>es violations des droits de</w:t>
      </w:r>
      <w:r w:rsidRPr="00850D17">
        <w:rPr>
          <w:lang w:val="fr-CH"/>
        </w:rPr>
        <w:t xml:space="preserve"> </w:t>
      </w:r>
      <w:r w:rsidR="00614994" w:rsidRPr="00850D17">
        <w:rPr>
          <w:lang w:val="fr-CH"/>
        </w:rPr>
        <w:t xml:space="preserve">l’homme </w:t>
      </w:r>
      <w:r w:rsidRPr="00850D17">
        <w:rPr>
          <w:lang w:val="fr-CH"/>
        </w:rPr>
        <w:t xml:space="preserve">en </w:t>
      </w:r>
      <w:r w:rsidR="00294AE6">
        <w:rPr>
          <w:rFonts w:eastAsia="SimSun"/>
          <w:lang w:val="fr-CH"/>
        </w:rPr>
        <w:t>République démocratique du Congo</w:t>
      </w:r>
      <w:r w:rsidRPr="00850D17">
        <w:rPr>
          <w:lang w:val="fr-CH"/>
        </w:rPr>
        <w:t xml:space="preserve"> étaient </w:t>
      </w:r>
      <w:r w:rsidR="00614994" w:rsidRPr="00850D17">
        <w:rPr>
          <w:lang w:val="fr-CH"/>
        </w:rPr>
        <w:t>commises par des policiers et des militaires</w:t>
      </w:r>
      <w:r w:rsidRPr="00850D17">
        <w:rPr>
          <w:lang w:val="fr-CH"/>
        </w:rPr>
        <w:t>.</w:t>
      </w:r>
      <w:r w:rsidR="00614994" w:rsidRPr="00850D17" w:rsidDel="004C5827">
        <w:rPr>
          <w:lang w:val="fr-CH"/>
        </w:rPr>
        <w:t xml:space="preserve"> </w:t>
      </w:r>
    </w:p>
    <w:p w:rsidR="008B6318" w:rsidRPr="00850D17" w:rsidRDefault="00BD6947" w:rsidP="00F6598A">
      <w:pPr>
        <w:pStyle w:val="SingleTxtG"/>
        <w:numPr>
          <w:ilvl w:val="0"/>
          <w:numId w:val="7"/>
        </w:numPr>
        <w:tabs>
          <w:tab w:val="left" w:pos="1134"/>
        </w:tabs>
        <w:ind w:left="1134" w:firstLine="0"/>
        <w:rPr>
          <w:lang w:val="fr-CH"/>
        </w:rPr>
      </w:pPr>
      <w:r w:rsidRPr="00850D17">
        <w:rPr>
          <w:lang w:val="fr-CH"/>
        </w:rPr>
        <w:t xml:space="preserve">Dans le but de remédier à cette situation, le BCNUDH a appuyé le Ministère de la </w:t>
      </w:r>
      <w:r w:rsidR="00363774">
        <w:rPr>
          <w:lang w:val="fr-CH"/>
        </w:rPr>
        <w:t>j</w:t>
      </w:r>
      <w:r w:rsidRPr="00850D17">
        <w:rPr>
          <w:lang w:val="fr-CH"/>
        </w:rPr>
        <w:t xml:space="preserve">ustice et </w:t>
      </w:r>
      <w:r w:rsidR="00363774">
        <w:rPr>
          <w:lang w:val="fr-CH"/>
        </w:rPr>
        <w:t xml:space="preserve">des </w:t>
      </w:r>
      <w:r w:rsidRPr="00850D17">
        <w:rPr>
          <w:lang w:val="fr-CH"/>
        </w:rPr>
        <w:t>droits humains</w:t>
      </w:r>
      <w:r w:rsidR="003F7D00" w:rsidRPr="00850D17">
        <w:rPr>
          <w:lang w:val="fr-CH"/>
        </w:rPr>
        <w:t>, notamment</w:t>
      </w:r>
      <w:r w:rsidRPr="00850D17">
        <w:rPr>
          <w:lang w:val="fr-CH"/>
        </w:rPr>
        <w:t xml:space="preserve"> </w:t>
      </w:r>
      <w:r w:rsidR="00D65AD9" w:rsidRPr="00850D17">
        <w:rPr>
          <w:lang w:val="fr-CH"/>
        </w:rPr>
        <w:t>pour la mise en œuvre</w:t>
      </w:r>
      <w:r w:rsidR="001C0017" w:rsidRPr="00850D17">
        <w:rPr>
          <w:lang w:val="fr-CH"/>
        </w:rPr>
        <w:t xml:space="preserve"> du cadre juridique national en matière de détention.</w:t>
      </w:r>
      <w:r w:rsidR="001A7B1F" w:rsidRPr="00850D17">
        <w:rPr>
          <w:lang w:val="fr-CH"/>
        </w:rPr>
        <w:t xml:space="preserve"> Entre 2013 et 2014, </w:t>
      </w:r>
      <w:r w:rsidR="005271B0" w:rsidRPr="00850D17">
        <w:rPr>
          <w:lang w:val="fr-CH"/>
        </w:rPr>
        <w:t xml:space="preserve">le BCNUDH </w:t>
      </w:r>
      <w:r w:rsidR="00134669" w:rsidRPr="00850D17">
        <w:rPr>
          <w:lang w:val="fr-CH"/>
        </w:rPr>
        <w:t xml:space="preserve">et le Ministère ont </w:t>
      </w:r>
      <w:r w:rsidR="001A7B1F" w:rsidRPr="00850D17">
        <w:rPr>
          <w:lang w:val="fr-CH"/>
        </w:rPr>
        <w:t>visit</w:t>
      </w:r>
      <w:r w:rsidR="003F7D00" w:rsidRPr="00850D17">
        <w:rPr>
          <w:lang w:val="fr-CH"/>
        </w:rPr>
        <w:t>é</w:t>
      </w:r>
      <w:r w:rsidR="001A7B1F" w:rsidRPr="00850D17">
        <w:rPr>
          <w:lang w:val="fr-CH"/>
        </w:rPr>
        <w:t xml:space="preserve"> de</w:t>
      </w:r>
      <w:r w:rsidR="006F271B" w:rsidRPr="00850D17">
        <w:rPr>
          <w:lang w:val="fr-CH"/>
        </w:rPr>
        <w:t xml:space="preserve">s lieux de détention de la </w:t>
      </w:r>
      <w:r w:rsidR="00363774" w:rsidRPr="00850D17">
        <w:rPr>
          <w:lang w:val="fr-CH"/>
        </w:rPr>
        <w:t>P</w:t>
      </w:r>
      <w:r w:rsidR="00363774">
        <w:rPr>
          <w:lang w:val="fr-CH"/>
        </w:rPr>
        <w:t>olice nationale</w:t>
      </w:r>
      <w:r w:rsidR="00363774" w:rsidRPr="00850D17">
        <w:rPr>
          <w:lang w:val="fr-CH"/>
        </w:rPr>
        <w:t xml:space="preserve"> </w:t>
      </w:r>
      <w:r w:rsidR="001A7B1F" w:rsidRPr="00850D17">
        <w:rPr>
          <w:lang w:val="fr-CH"/>
        </w:rPr>
        <w:t xml:space="preserve">et </w:t>
      </w:r>
      <w:r w:rsidR="005271B0" w:rsidRPr="00850D17">
        <w:rPr>
          <w:lang w:val="fr-CH"/>
        </w:rPr>
        <w:t xml:space="preserve">des </w:t>
      </w:r>
      <w:r w:rsidR="001A7B1F" w:rsidRPr="00850D17">
        <w:rPr>
          <w:lang w:val="fr-CH"/>
        </w:rPr>
        <w:t>maisons d’arrêt dan</w:t>
      </w:r>
      <w:r w:rsidR="007D6838" w:rsidRPr="00850D17">
        <w:rPr>
          <w:lang w:val="fr-CH"/>
        </w:rPr>
        <w:t>s tout le pays.</w:t>
      </w:r>
      <w:r w:rsidR="009258EB" w:rsidRPr="00850D17">
        <w:rPr>
          <w:lang w:val="fr-CH"/>
        </w:rPr>
        <w:t xml:space="preserve"> </w:t>
      </w:r>
      <w:r w:rsidR="000C4673" w:rsidRPr="00850D17">
        <w:rPr>
          <w:lang w:val="fr-CH"/>
        </w:rPr>
        <w:t>Le plaidoyer mené par le BCNUDH suite à ces visites a</w:t>
      </w:r>
      <w:r w:rsidR="001A7B1F" w:rsidRPr="00850D17">
        <w:rPr>
          <w:lang w:val="fr-CH"/>
        </w:rPr>
        <w:t xml:space="preserve"> </w:t>
      </w:r>
      <w:r w:rsidR="008452DA" w:rsidRPr="00850D17">
        <w:rPr>
          <w:lang w:val="fr-CH"/>
        </w:rPr>
        <w:t xml:space="preserve">abouti </w:t>
      </w:r>
      <w:r w:rsidRPr="00850D17">
        <w:rPr>
          <w:lang w:val="fr-CH"/>
        </w:rPr>
        <w:t>à la libération de 1</w:t>
      </w:r>
      <w:r w:rsidR="00466BBD">
        <w:rPr>
          <w:lang w:val="fr-CH"/>
        </w:rPr>
        <w:t> </w:t>
      </w:r>
      <w:r w:rsidR="006F271B" w:rsidRPr="00850D17">
        <w:rPr>
          <w:lang w:val="fr-CH"/>
        </w:rPr>
        <w:t>177</w:t>
      </w:r>
      <w:r w:rsidR="00466BBD">
        <w:rPr>
          <w:lang w:val="fr-CH"/>
        </w:rPr>
        <w:t> </w:t>
      </w:r>
      <w:r w:rsidRPr="00850D17">
        <w:rPr>
          <w:lang w:val="fr-CH"/>
        </w:rPr>
        <w:t>détenus</w:t>
      </w:r>
      <w:r w:rsidR="006F271B" w:rsidRPr="00850D17">
        <w:rPr>
          <w:lang w:val="fr-CH"/>
        </w:rPr>
        <w:t xml:space="preserve"> </w:t>
      </w:r>
      <w:r w:rsidRPr="00850D17">
        <w:rPr>
          <w:lang w:val="fr-CH"/>
        </w:rPr>
        <w:t>pour vice de procédure et détention</w:t>
      </w:r>
      <w:r w:rsidR="006F271B" w:rsidRPr="00850D17">
        <w:rPr>
          <w:lang w:val="fr-CH"/>
        </w:rPr>
        <w:t xml:space="preserve"> illégale</w:t>
      </w:r>
      <w:r w:rsidRPr="00850D17">
        <w:rPr>
          <w:lang w:val="fr-CH"/>
        </w:rPr>
        <w:t xml:space="preserve">. </w:t>
      </w:r>
      <w:r w:rsidR="0024767E" w:rsidRPr="00850D17">
        <w:rPr>
          <w:lang w:val="fr-CH"/>
        </w:rPr>
        <w:t>De plus,</w:t>
      </w:r>
      <w:r w:rsidRPr="00850D17">
        <w:rPr>
          <w:lang w:val="fr-CH"/>
        </w:rPr>
        <w:t xml:space="preserve"> </w:t>
      </w:r>
      <w:r w:rsidR="0073128E" w:rsidRPr="00850D17">
        <w:rPr>
          <w:lang w:val="fr-CH"/>
        </w:rPr>
        <w:t xml:space="preserve">grâce à l’appui du BCNUDH, </w:t>
      </w:r>
      <w:r w:rsidRPr="00850D17">
        <w:rPr>
          <w:lang w:val="fr-CH"/>
        </w:rPr>
        <w:t>17</w:t>
      </w:r>
      <w:r w:rsidR="00466BBD">
        <w:rPr>
          <w:lang w:val="fr-CH"/>
        </w:rPr>
        <w:t> </w:t>
      </w:r>
      <w:r w:rsidR="00363774">
        <w:rPr>
          <w:lang w:val="fr-CH"/>
        </w:rPr>
        <w:t>o</w:t>
      </w:r>
      <w:r w:rsidRPr="00850D17">
        <w:rPr>
          <w:lang w:val="fr-CH"/>
        </w:rPr>
        <w:t xml:space="preserve">fficiers de police judiciaire ont été arrêtés et cinq ont été radiés de la </w:t>
      </w:r>
      <w:r w:rsidR="00363774" w:rsidRPr="00850D17">
        <w:rPr>
          <w:lang w:val="fr-CH"/>
        </w:rPr>
        <w:t>P</w:t>
      </w:r>
      <w:r w:rsidR="00363774">
        <w:rPr>
          <w:lang w:val="fr-CH"/>
        </w:rPr>
        <w:t>olice nationale</w:t>
      </w:r>
      <w:r w:rsidR="00363774" w:rsidRPr="00850D17">
        <w:rPr>
          <w:lang w:val="fr-CH"/>
        </w:rPr>
        <w:t xml:space="preserve"> </w:t>
      </w:r>
      <w:r w:rsidR="001A7B1F" w:rsidRPr="00850D17">
        <w:rPr>
          <w:lang w:val="fr-CH"/>
        </w:rPr>
        <w:t>pour des violations graves des droits de l’homme</w:t>
      </w:r>
      <w:r w:rsidR="00C370D9">
        <w:rPr>
          <w:lang w:val="fr-CH"/>
        </w:rPr>
        <w:t>. D</w:t>
      </w:r>
      <w:r w:rsidRPr="00850D17">
        <w:rPr>
          <w:lang w:val="fr-CH"/>
        </w:rPr>
        <w:t xml:space="preserve">eux centres de détention illégaux ont </w:t>
      </w:r>
      <w:r w:rsidR="00C370D9">
        <w:rPr>
          <w:lang w:val="fr-CH"/>
        </w:rPr>
        <w:t xml:space="preserve">également </w:t>
      </w:r>
      <w:r w:rsidRPr="00850D17">
        <w:rPr>
          <w:lang w:val="fr-CH"/>
        </w:rPr>
        <w:t>été fermés à Kinshasa et à Kisangani</w:t>
      </w:r>
      <w:r w:rsidR="00097703" w:rsidRPr="00850D17">
        <w:rPr>
          <w:lang w:val="fr-CH"/>
        </w:rPr>
        <w:t xml:space="preserve"> en 2014</w:t>
      </w:r>
      <w:r w:rsidRPr="00850D17">
        <w:rPr>
          <w:lang w:val="fr-CH"/>
        </w:rPr>
        <w:t>.</w:t>
      </w:r>
      <w:r w:rsidR="003F7D00" w:rsidRPr="00850D17">
        <w:rPr>
          <w:lang w:val="fr-CH"/>
        </w:rPr>
        <w:t xml:space="preserve"> </w:t>
      </w:r>
    </w:p>
    <w:p w:rsidR="007D2E95" w:rsidRPr="00850D17" w:rsidRDefault="005271B0" w:rsidP="00C36970">
      <w:pPr>
        <w:pStyle w:val="SingleTxtG"/>
        <w:numPr>
          <w:ilvl w:val="0"/>
          <w:numId w:val="7"/>
        </w:numPr>
        <w:tabs>
          <w:tab w:val="left" w:pos="1134"/>
        </w:tabs>
        <w:ind w:left="1134" w:firstLine="0"/>
        <w:rPr>
          <w:lang w:val="fr-CH"/>
        </w:rPr>
      </w:pPr>
      <w:r w:rsidRPr="00850D17">
        <w:rPr>
          <w:lang w:val="fr-CH"/>
        </w:rPr>
        <w:t>De 2008 à 2014</w:t>
      </w:r>
      <w:r w:rsidR="007D6838" w:rsidRPr="00850D17">
        <w:rPr>
          <w:lang w:val="fr-CH"/>
        </w:rPr>
        <w:t>,</w:t>
      </w:r>
      <w:r w:rsidR="00A55BE7" w:rsidRPr="00850D17">
        <w:rPr>
          <w:lang w:val="fr-CH"/>
        </w:rPr>
        <w:t xml:space="preserve"> dans toutes les provinces du pays</w:t>
      </w:r>
      <w:r w:rsidR="007D6838" w:rsidRPr="00850D17">
        <w:rPr>
          <w:lang w:val="fr-CH"/>
        </w:rPr>
        <w:t>,</w:t>
      </w:r>
      <w:r w:rsidRPr="00850D17">
        <w:rPr>
          <w:lang w:val="fr-CH"/>
        </w:rPr>
        <w:t xml:space="preserve"> le </w:t>
      </w:r>
      <w:r w:rsidR="007D2E95" w:rsidRPr="00850D17">
        <w:rPr>
          <w:lang w:val="fr-CH"/>
        </w:rPr>
        <w:t xml:space="preserve">BCNUDH, la MONUSCO et </w:t>
      </w:r>
      <w:r w:rsidR="006F271B" w:rsidRPr="00850D17">
        <w:rPr>
          <w:lang w:val="fr-CH"/>
        </w:rPr>
        <w:t>l</w:t>
      </w:r>
      <w:r w:rsidR="007B734B">
        <w:rPr>
          <w:lang w:val="fr-CH"/>
        </w:rPr>
        <w:t>e FNUAP</w:t>
      </w:r>
      <w:r w:rsidR="007D2E95" w:rsidRPr="00850D17">
        <w:rPr>
          <w:lang w:val="fr-CH"/>
        </w:rPr>
        <w:t xml:space="preserve"> </w:t>
      </w:r>
      <w:r w:rsidRPr="00850D17">
        <w:rPr>
          <w:lang w:val="fr-CH"/>
        </w:rPr>
        <w:t xml:space="preserve">ont formé </w:t>
      </w:r>
      <w:r w:rsidR="006F271B" w:rsidRPr="00850D17">
        <w:rPr>
          <w:lang w:val="fr-CH"/>
        </w:rPr>
        <w:t>environ</w:t>
      </w:r>
      <w:r w:rsidR="007D2E95" w:rsidRPr="00850D17">
        <w:rPr>
          <w:lang w:val="fr-CH"/>
        </w:rPr>
        <w:t xml:space="preserve"> 421</w:t>
      </w:r>
      <w:r w:rsidR="00466BBD">
        <w:rPr>
          <w:lang w:val="fr-CH"/>
        </w:rPr>
        <w:t> </w:t>
      </w:r>
      <w:r w:rsidR="007D2E95" w:rsidRPr="00850D17">
        <w:rPr>
          <w:lang w:val="fr-CH"/>
        </w:rPr>
        <w:t>856</w:t>
      </w:r>
      <w:r w:rsidR="00466BBD">
        <w:rPr>
          <w:lang w:val="fr-CH"/>
        </w:rPr>
        <w:t> </w:t>
      </w:r>
      <w:r w:rsidR="008452DA" w:rsidRPr="00850D17">
        <w:rPr>
          <w:lang w:val="fr-CH"/>
        </w:rPr>
        <w:t xml:space="preserve">membres </w:t>
      </w:r>
      <w:r w:rsidR="007D2E95" w:rsidRPr="00850D17">
        <w:rPr>
          <w:lang w:val="fr-CH"/>
        </w:rPr>
        <w:t xml:space="preserve">des FARDC, </w:t>
      </w:r>
      <w:r w:rsidR="007B734B">
        <w:rPr>
          <w:lang w:val="fr-CH"/>
        </w:rPr>
        <w:t>de la Police nationale</w:t>
      </w:r>
      <w:r w:rsidR="007D2E95" w:rsidRPr="00850D17">
        <w:rPr>
          <w:lang w:val="fr-CH"/>
        </w:rPr>
        <w:t xml:space="preserve"> et de l’Agence nationale de renseignements </w:t>
      </w:r>
      <w:r w:rsidRPr="00850D17">
        <w:rPr>
          <w:lang w:val="fr-CH"/>
        </w:rPr>
        <w:t xml:space="preserve">dans </w:t>
      </w:r>
      <w:r w:rsidRPr="00C36970">
        <w:rPr>
          <w:lang w:val="fr-CH"/>
        </w:rPr>
        <w:t>le</w:t>
      </w:r>
      <w:r w:rsidR="00AB27F0" w:rsidRPr="00C36970">
        <w:rPr>
          <w:lang w:val="fr-CH"/>
        </w:rPr>
        <w:t>s</w:t>
      </w:r>
      <w:r w:rsidRPr="00C36970">
        <w:rPr>
          <w:lang w:val="fr-CH"/>
        </w:rPr>
        <w:t xml:space="preserve"> domaine</w:t>
      </w:r>
      <w:r w:rsidR="00AB27F0" w:rsidRPr="00C36970">
        <w:rPr>
          <w:lang w:val="fr-CH"/>
        </w:rPr>
        <w:t>s</w:t>
      </w:r>
      <w:r w:rsidRPr="00850D17">
        <w:rPr>
          <w:lang w:val="fr-CH"/>
        </w:rPr>
        <w:t xml:space="preserve"> de la lutte contre les violences sexuelles</w:t>
      </w:r>
      <w:r w:rsidR="00AB27F0">
        <w:rPr>
          <w:lang w:val="fr-CH"/>
        </w:rPr>
        <w:t>,</w:t>
      </w:r>
      <w:r w:rsidRPr="00850D17">
        <w:rPr>
          <w:lang w:val="fr-CH"/>
        </w:rPr>
        <w:t xml:space="preserve"> </w:t>
      </w:r>
      <w:r w:rsidR="00A55BE7" w:rsidRPr="00850D17">
        <w:rPr>
          <w:lang w:val="fr-CH"/>
        </w:rPr>
        <w:t>du respect</w:t>
      </w:r>
      <w:r w:rsidRPr="00850D17">
        <w:rPr>
          <w:lang w:val="fr-CH"/>
        </w:rPr>
        <w:t xml:space="preserve"> </w:t>
      </w:r>
      <w:r w:rsidR="007D6838" w:rsidRPr="00850D17">
        <w:rPr>
          <w:lang w:val="fr-CH"/>
        </w:rPr>
        <w:t xml:space="preserve">des droits de l’homme et du </w:t>
      </w:r>
      <w:r w:rsidRPr="00850D17">
        <w:rPr>
          <w:lang w:val="fr-CH"/>
        </w:rPr>
        <w:t>droit international humanitaire</w:t>
      </w:r>
      <w:r w:rsidR="007D2E95" w:rsidRPr="00850D17">
        <w:rPr>
          <w:lang w:val="fr-CH"/>
        </w:rPr>
        <w:t xml:space="preserve">. </w:t>
      </w:r>
      <w:r w:rsidR="002264C9" w:rsidRPr="00850D17">
        <w:rPr>
          <w:lang w:val="fr-CH"/>
        </w:rPr>
        <w:t>L</w:t>
      </w:r>
      <w:r w:rsidR="0024767E" w:rsidRPr="00850D17">
        <w:rPr>
          <w:lang w:val="fr-CH"/>
        </w:rPr>
        <w:t>e</w:t>
      </w:r>
      <w:r w:rsidR="002264C9" w:rsidRPr="00850D17">
        <w:rPr>
          <w:lang w:val="fr-CH"/>
        </w:rPr>
        <w:t>s</w:t>
      </w:r>
      <w:r w:rsidR="007D2E95" w:rsidRPr="00850D17">
        <w:rPr>
          <w:lang w:val="fr-CH"/>
        </w:rPr>
        <w:t xml:space="preserve"> </w:t>
      </w:r>
      <w:r w:rsidR="00041A77" w:rsidRPr="00850D17">
        <w:rPr>
          <w:lang w:val="fr-CH"/>
        </w:rPr>
        <w:t xml:space="preserve">acteurs suscités et </w:t>
      </w:r>
      <w:r w:rsidR="00633D6E">
        <w:rPr>
          <w:lang w:val="fr-CH"/>
        </w:rPr>
        <w:t>l</w:t>
      </w:r>
      <w:r w:rsidR="0012008D" w:rsidRPr="00850D17">
        <w:rPr>
          <w:lang w:val="fr-CH"/>
        </w:rPr>
        <w:t>’</w:t>
      </w:r>
      <w:r w:rsidR="00041A77" w:rsidRPr="00850D17">
        <w:rPr>
          <w:lang w:val="fr-CH"/>
        </w:rPr>
        <w:t xml:space="preserve">UNICEF ont élaboré des </w:t>
      </w:r>
      <w:r w:rsidR="007D2E95" w:rsidRPr="00850D17">
        <w:rPr>
          <w:lang w:val="fr-CH"/>
        </w:rPr>
        <w:t>modules de formation sur la lutte contre les violences sexuelles et le droit international humanitaire</w:t>
      </w:r>
      <w:r w:rsidR="00AE029E">
        <w:rPr>
          <w:lang w:val="fr-CH"/>
        </w:rPr>
        <w:t>,</w:t>
      </w:r>
      <w:r w:rsidR="007D2E95" w:rsidRPr="00850D17">
        <w:rPr>
          <w:lang w:val="fr-CH"/>
        </w:rPr>
        <w:t xml:space="preserve"> </w:t>
      </w:r>
      <w:r w:rsidR="00041A77" w:rsidRPr="00850D17">
        <w:rPr>
          <w:lang w:val="fr-CH"/>
        </w:rPr>
        <w:t xml:space="preserve">qui </w:t>
      </w:r>
      <w:r w:rsidR="000C4673" w:rsidRPr="00850D17">
        <w:rPr>
          <w:lang w:val="fr-CH"/>
        </w:rPr>
        <w:t>ont</w:t>
      </w:r>
      <w:r w:rsidR="007D2E95" w:rsidRPr="00850D17">
        <w:rPr>
          <w:lang w:val="fr-CH"/>
        </w:rPr>
        <w:t xml:space="preserve"> </w:t>
      </w:r>
      <w:r w:rsidR="00D65AD9" w:rsidRPr="00850D17">
        <w:rPr>
          <w:lang w:val="fr-CH"/>
        </w:rPr>
        <w:t xml:space="preserve">été intégrés dans le </w:t>
      </w:r>
      <w:r w:rsidR="00003ADA">
        <w:rPr>
          <w:lang w:val="fr-CH"/>
        </w:rPr>
        <w:t>programme</w:t>
      </w:r>
      <w:r w:rsidR="00003ADA" w:rsidRPr="00850D17">
        <w:rPr>
          <w:lang w:val="fr-CH"/>
        </w:rPr>
        <w:t xml:space="preserve"> </w:t>
      </w:r>
      <w:r w:rsidR="007D2E95" w:rsidRPr="00850D17">
        <w:rPr>
          <w:lang w:val="fr-CH"/>
        </w:rPr>
        <w:t xml:space="preserve">de formation de la </w:t>
      </w:r>
      <w:r w:rsidR="00003ADA">
        <w:rPr>
          <w:lang w:val="fr-CH"/>
        </w:rPr>
        <w:t>Police nationale</w:t>
      </w:r>
      <w:r w:rsidR="00003ADA" w:rsidRPr="00850D17">
        <w:rPr>
          <w:lang w:val="fr-CH"/>
        </w:rPr>
        <w:t xml:space="preserve"> </w:t>
      </w:r>
      <w:r w:rsidR="007D2E95" w:rsidRPr="00850D17">
        <w:rPr>
          <w:lang w:val="fr-CH"/>
        </w:rPr>
        <w:t xml:space="preserve">et des FARDC. </w:t>
      </w:r>
    </w:p>
    <w:p w:rsidR="007D2E95" w:rsidRPr="00850D17" w:rsidRDefault="009258EB" w:rsidP="00F6598A">
      <w:pPr>
        <w:pStyle w:val="SingleTxtG"/>
        <w:numPr>
          <w:ilvl w:val="0"/>
          <w:numId w:val="7"/>
        </w:numPr>
        <w:tabs>
          <w:tab w:val="left" w:pos="1134"/>
        </w:tabs>
        <w:ind w:left="1134" w:firstLine="0"/>
        <w:rPr>
          <w:lang w:val="fr-CH"/>
        </w:rPr>
      </w:pPr>
      <w:r w:rsidRPr="00850D17">
        <w:rPr>
          <w:lang w:val="fr-CH"/>
        </w:rPr>
        <w:t xml:space="preserve">Le graphique </w:t>
      </w:r>
      <w:r w:rsidR="007D2E95" w:rsidRPr="00850D17">
        <w:rPr>
          <w:lang w:val="fr-CH"/>
        </w:rPr>
        <w:t xml:space="preserve">ci-dessous montre une diminution des violations des droits de l’homme </w:t>
      </w:r>
      <w:r w:rsidR="003F7D00" w:rsidRPr="00850D17">
        <w:rPr>
          <w:lang w:val="fr-CH"/>
        </w:rPr>
        <w:t>entre</w:t>
      </w:r>
      <w:r w:rsidR="007D2E95" w:rsidRPr="00850D17">
        <w:rPr>
          <w:lang w:val="fr-CH"/>
        </w:rPr>
        <w:t xml:space="preserve"> 2011 </w:t>
      </w:r>
      <w:r w:rsidR="00224698" w:rsidRPr="00850D17">
        <w:rPr>
          <w:lang w:val="fr-CH"/>
        </w:rPr>
        <w:t xml:space="preserve">et </w:t>
      </w:r>
      <w:r w:rsidR="007D2E95" w:rsidRPr="00850D17">
        <w:rPr>
          <w:lang w:val="fr-CH"/>
        </w:rPr>
        <w:t>2014</w:t>
      </w:r>
      <w:r w:rsidR="00ED7350">
        <w:rPr>
          <w:lang w:val="fr-CH"/>
        </w:rPr>
        <w:t>,</w:t>
      </w:r>
      <w:r w:rsidR="00F93171" w:rsidRPr="00850D17">
        <w:rPr>
          <w:lang w:val="fr-CH"/>
        </w:rPr>
        <w:t xml:space="preserve"> </w:t>
      </w:r>
      <w:r w:rsidR="001C0017" w:rsidRPr="00850D17">
        <w:rPr>
          <w:lang w:val="fr-CH"/>
        </w:rPr>
        <w:t>dont</w:t>
      </w:r>
      <w:r w:rsidR="00421EA5" w:rsidRPr="00850D17">
        <w:rPr>
          <w:lang w:val="fr-CH"/>
        </w:rPr>
        <w:t xml:space="preserve"> </w:t>
      </w:r>
      <w:r w:rsidR="00F93171" w:rsidRPr="00850D17">
        <w:rPr>
          <w:lang w:val="fr-CH"/>
        </w:rPr>
        <w:t>53</w:t>
      </w:r>
      <w:r w:rsidR="0067342E">
        <w:rPr>
          <w:lang w:val="fr-CH"/>
        </w:rPr>
        <w:t> </w:t>
      </w:r>
      <w:r w:rsidR="00174A26">
        <w:rPr>
          <w:lang w:val="fr-CH"/>
        </w:rPr>
        <w:t>%</w:t>
      </w:r>
      <w:r w:rsidR="00041A77" w:rsidRPr="00850D17">
        <w:rPr>
          <w:lang w:val="fr-CH"/>
        </w:rPr>
        <w:t xml:space="preserve"> de violations commises par les FARDC et la </w:t>
      </w:r>
      <w:r w:rsidR="00174A26">
        <w:rPr>
          <w:lang w:val="fr-CH"/>
        </w:rPr>
        <w:t>Police nationale</w:t>
      </w:r>
      <w:r w:rsidR="00174A26" w:rsidRPr="00850D17">
        <w:rPr>
          <w:lang w:val="fr-CH"/>
        </w:rPr>
        <w:t xml:space="preserve"> </w:t>
      </w:r>
      <w:r w:rsidR="00041A77" w:rsidRPr="00850D17">
        <w:rPr>
          <w:lang w:val="fr-CH"/>
        </w:rPr>
        <w:t>en 2014</w:t>
      </w:r>
      <w:r w:rsidR="00946309" w:rsidRPr="00850D17">
        <w:rPr>
          <w:lang w:val="fr-CH"/>
        </w:rPr>
        <w:t xml:space="preserve">. </w:t>
      </w:r>
      <w:r w:rsidR="00AE2E53" w:rsidRPr="00850D17">
        <w:rPr>
          <w:lang w:val="fr-CH"/>
        </w:rPr>
        <w:t>Ce</w:t>
      </w:r>
      <w:r w:rsidR="00AE2E53">
        <w:rPr>
          <w:lang w:val="fr-CH"/>
        </w:rPr>
        <w:t>la</w:t>
      </w:r>
      <w:r w:rsidR="00AE2E53" w:rsidRPr="00850D17">
        <w:rPr>
          <w:lang w:val="fr-CH"/>
        </w:rPr>
        <w:t xml:space="preserve"> </w:t>
      </w:r>
      <w:r w:rsidR="007D2E95" w:rsidRPr="00850D17">
        <w:rPr>
          <w:lang w:val="fr-CH"/>
        </w:rPr>
        <w:t>peut s</w:t>
      </w:r>
      <w:r w:rsidR="0012008D" w:rsidRPr="00850D17">
        <w:rPr>
          <w:lang w:val="fr-CH"/>
        </w:rPr>
        <w:t>’</w:t>
      </w:r>
      <w:r w:rsidR="007D2E95" w:rsidRPr="00850D17">
        <w:rPr>
          <w:lang w:val="fr-CH"/>
        </w:rPr>
        <w:t xml:space="preserve">expliquer </w:t>
      </w:r>
      <w:r w:rsidR="000C4673" w:rsidRPr="00850D17">
        <w:rPr>
          <w:lang w:val="fr-CH"/>
        </w:rPr>
        <w:t xml:space="preserve">notamment </w:t>
      </w:r>
      <w:r w:rsidR="007D2E95" w:rsidRPr="00850D17">
        <w:rPr>
          <w:lang w:val="fr-CH"/>
        </w:rPr>
        <w:t>par le renforcement de leurs capacités</w:t>
      </w:r>
      <w:r w:rsidR="00242998" w:rsidRPr="00850D17">
        <w:rPr>
          <w:lang w:val="fr-CH"/>
        </w:rPr>
        <w:t xml:space="preserve"> et </w:t>
      </w:r>
      <w:r w:rsidR="006F271B" w:rsidRPr="00850D17">
        <w:rPr>
          <w:lang w:val="fr-CH"/>
        </w:rPr>
        <w:t xml:space="preserve">la tenue </w:t>
      </w:r>
      <w:r w:rsidR="00242998" w:rsidRPr="00850D17">
        <w:rPr>
          <w:lang w:val="fr-CH"/>
        </w:rPr>
        <w:t>de procès contre les auteurs de violations</w:t>
      </w:r>
      <w:r w:rsidR="0024767E" w:rsidRPr="00850D17">
        <w:rPr>
          <w:lang w:val="fr-CH"/>
        </w:rPr>
        <w:t xml:space="preserve"> de</w:t>
      </w:r>
      <w:r w:rsidR="00AE2E53">
        <w:rPr>
          <w:lang w:val="fr-CH"/>
        </w:rPr>
        <w:t>s</w:t>
      </w:r>
      <w:r w:rsidR="0024767E" w:rsidRPr="00850D17">
        <w:rPr>
          <w:lang w:val="fr-CH"/>
        </w:rPr>
        <w:t xml:space="preserve"> droits de l’homme</w:t>
      </w:r>
      <w:r w:rsidR="007D2E95" w:rsidRPr="00850D17">
        <w:rPr>
          <w:lang w:val="fr-CH"/>
        </w:rPr>
        <w:t xml:space="preserve">. </w:t>
      </w:r>
      <w:r w:rsidR="008452DA" w:rsidRPr="00850D17">
        <w:rPr>
          <w:lang w:val="fr-CH"/>
        </w:rPr>
        <w:t>L</w:t>
      </w:r>
      <w:r w:rsidR="007D2E95" w:rsidRPr="00850D17">
        <w:rPr>
          <w:lang w:val="fr-CH"/>
        </w:rPr>
        <w:t>es pics observés en 2012</w:t>
      </w:r>
      <w:r w:rsidR="008452DA" w:rsidRPr="00850D17">
        <w:rPr>
          <w:lang w:val="fr-CH"/>
        </w:rPr>
        <w:t xml:space="preserve"> s’expliquent par </w:t>
      </w:r>
      <w:r w:rsidR="00495B78" w:rsidRPr="00850D17">
        <w:rPr>
          <w:lang w:val="fr-CH"/>
        </w:rPr>
        <w:t>une</w:t>
      </w:r>
      <w:r w:rsidR="008452DA" w:rsidRPr="00850D17">
        <w:rPr>
          <w:lang w:val="fr-CH"/>
        </w:rPr>
        <w:t xml:space="preserve"> recrudescence des activités des groupes armés </w:t>
      </w:r>
      <w:r w:rsidR="00421EA5" w:rsidRPr="00850D17">
        <w:rPr>
          <w:lang w:val="fr-CH"/>
        </w:rPr>
        <w:t xml:space="preserve">dans </w:t>
      </w:r>
      <w:r w:rsidR="008452DA" w:rsidRPr="00850D17">
        <w:rPr>
          <w:lang w:val="fr-CH"/>
        </w:rPr>
        <w:t>l’</w:t>
      </w:r>
      <w:r w:rsidR="00572B0E">
        <w:rPr>
          <w:lang w:val="fr-CH"/>
        </w:rPr>
        <w:t>e</w:t>
      </w:r>
      <w:r w:rsidR="008452DA" w:rsidRPr="00850D17">
        <w:rPr>
          <w:lang w:val="fr-CH"/>
        </w:rPr>
        <w:t>st du pays.</w:t>
      </w:r>
      <w:r w:rsidR="00F93171" w:rsidRPr="00850D17">
        <w:rPr>
          <w:lang w:val="fr-CH"/>
        </w:rPr>
        <w:t xml:space="preserve"> </w:t>
      </w:r>
    </w:p>
    <w:p w:rsidR="004C2C68" w:rsidRPr="00C36970" w:rsidRDefault="004C2C68" w:rsidP="005C5CD7">
      <w:pPr>
        <w:pStyle w:val="SingleTxtG"/>
        <w:spacing w:line="240" w:lineRule="auto"/>
        <w:rPr>
          <w:rFonts w:eastAsia="SimSun"/>
          <w:sz w:val="2"/>
          <w:szCs w:val="2"/>
          <w:lang w:val="fr-CH"/>
        </w:rPr>
      </w:pPr>
    </w:p>
    <w:p w:rsidR="004C2C68" w:rsidRPr="00850D17" w:rsidRDefault="00C65A99" w:rsidP="00C36970">
      <w:pPr>
        <w:autoSpaceDE w:val="0"/>
        <w:autoSpaceDN w:val="0"/>
        <w:adjustRightInd w:val="0"/>
        <w:spacing w:after="120" w:line="240" w:lineRule="auto"/>
        <w:ind w:left="1134" w:right="1134"/>
        <w:rPr>
          <w:sz w:val="24"/>
          <w:szCs w:val="24"/>
          <w:lang w:val="fr-CH"/>
        </w:rPr>
      </w:pPr>
      <w:r w:rsidRPr="00850D17">
        <w:rPr>
          <w:noProof/>
          <w:lang w:val="en-US"/>
        </w:rPr>
        <w:drawing>
          <wp:inline distT="0" distB="0" distL="0" distR="0" wp14:anchorId="6BCC235D" wp14:editId="1175A771">
            <wp:extent cx="4591050" cy="2564130"/>
            <wp:effectExtent l="0" t="0" r="19050" b="266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C2C68" w:rsidRPr="00C36970" w:rsidRDefault="004C2C68" w:rsidP="00C36970">
      <w:pPr>
        <w:autoSpaceDE w:val="0"/>
        <w:autoSpaceDN w:val="0"/>
        <w:adjustRightInd w:val="0"/>
        <w:spacing w:before="120" w:after="240" w:line="240" w:lineRule="auto"/>
        <w:ind w:left="1134" w:right="1134" w:firstLine="170"/>
        <w:rPr>
          <w:sz w:val="18"/>
          <w:szCs w:val="18"/>
          <w:lang w:val="fr-CH"/>
        </w:rPr>
      </w:pPr>
      <w:r w:rsidRPr="00C36970">
        <w:rPr>
          <w:i/>
          <w:iCs/>
          <w:sz w:val="18"/>
          <w:szCs w:val="18"/>
          <w:lang w:val="fr-CH"/>
        </w:rPr>
        <w:t>Source</w:t>
      </w:r>
      <w:r w:rsidR="00F03ACD" w:rsidRPr="00C36970">
        <w:rPr>
          <w:sz w:val="18"/>
          <w:szCs w:val="18"/>
          <w:lang w:val="fr-CH"/>
        </w:rPr>
        <w:t>:</w:t>
      </w:r>
      <w:r w:rsidRPr="00C36970">
        <w:rPr>
          <w:sz w:val="18"/>
          <w:szCs w:val="18"/>
          <w:lang w:val="fr-CH"/>
        </w:rPr>
        <w:t xml:space="preserve"> Données du BCNUDH</w:t>
      </w:r>
      <w:r w:rsidR="0067342E" w:rsidRPr="00C36970">
        <w:rPr>
          <w:sz w:val="18"/>
          <w:szCs w:val="18"/>
          <w:lang w:val="fr-CH"/>
        </w:rPr>
        <w:t>.</w:t>
      </w:r>
    </w:p>
    <w:p w:rsidR="00495B78" w:rsidRPr="00850D17" w:rsidRDefault="00982DD4" w:rsidP="00C36970">
      <w:pPr>
        <w:pStyle w:val="SingleTxtG"/>
        <w:numPr>
          <w:ilvl w:val="0"/>
          <w:numId w:val="7"/>
        </w:numPr>
        <w:tabs>
          <w:tab w:val="left" w:pos="1134"/>
        </w:tabs>
        <w:ind w:left="1134" w:firstLine="0"/>
        <w:rPr>
          <w:lang w:val="fr-CH"/>
        </w:rPr>
      </w:pPr>
      <w:r w:rsidRPr="00850D17">
        <w:rPr>
          <w:lang w:val="fr-CH"/>
        </w:rPr>
        <w:t>Sous la coordination d</w:t>
      </w:r>
      <w:r w:rsidR="000775B9">
        <w:rPr>
          <w:lang w:val="fr-CH"/>
        </w:rPr>
        <w:t>u FNUAP</w:t>
      </w:r>
      <w:r w:rsidRPr="00850D17">
        <w:rPr>
          <w:lang w:val="fr-CH"/>
        </w:rPr>
        <w:t>, plusieurs partenaires tels que le BCNUDH</w:t>
      </w:r>
      <w:r w:rsidRPr="00F6598A">
        <w:rPr>
          <w:lang w:val="fr-CH"/>
        </w:rPr>
        <w:t xml:space="preserve">, </w:t>
      </w:r>
      <w:r w:rsidR="00134669" w:rsidRPr="00C36970">
        <w:rPr>
          <w:lang w:val="fr-CH"/>
        </w:rPr>
        <w:t>Heal Africa</w:t>
      </w:r>
      <w:r w:rsidR="00134669" w:rsidRPr="00F6598A">
        <w:rPr>
          <w:lang w:val="fr-CH"/>
        </w:rPr>
        <w:t xml:space="preserve">, </w:t>
      </w:r>
      <w:r w:rsidR="00F6598A">
        <w:rPr>
          <w:lang w:val="fr-CH"/>
        </w:rPr>
        <w:t>le Comité international de secours</w:t>
      </w:r>
      <w:r w:rsidRPr="00850D17">
        <w:rPr>
          <w:lang w:val="fr-CH"/>
        </w:rPr>
        <w:t xml:space="preserve">, </w:t>
      </w:r>
      <w:r w:rsidR="00242998" w:rsidRPr="00850D17">
        <w:rPr>
          <w:lang w:val="fr-CH"/>
        </w:rPr>
        <w:t>Magna Enfants en Péril</w:t>
      </w:r>
      <w:r w:rsidR="00495B78" w:rsidRPr="00850D17">
        <w:rPr>
          <w:lang w:val="fr-CH"/>
        </w:rPr>
        <w:t xml:space="preserve"> </w:t>
      </w:r>
      <w:r w:rsidRPr="00850D17">
        <w:rPr>
          <w:lang w:val="fr-CH"/>
        </w:rPr>
        <w:t xml:space="preserve">et </w:t>
      </w:r>
      <w:r w:rsidR="00134669" w:rsidRPr="00850D17">
        <w:rPr>
          <w:lang w:val="fr-CH"/>
        </w:rPr>
        <w:t>l’UNICEF</w:t>
      </w:r>
      <w:r w:rsidR="003F7D00" w:rsidRPr="00850D17">
        <w:rPr>
          <w:lang w:val="fr-CH"/>
        </w:rPr>
        <w:t>,</w:t>
      </w:r>
      <w:r w:rsidR="00134669" w:rsidRPr="00850D17">
        <w:rPr>
          <w:lang w:val="fr-CH"/>
        </w:rPr>
        <w:t xml:space="preserve"> </w:t>
      </w:r>
      <w:r w:rsidR="00BE2802" w:rsidRPr="00850D17">
        <w:rPr>
          <w:lang w:val="fr-CH"/>
        </w:rPr>
        <w:t xml:space="preserve">avec l’appui </w:t>
      </w:r>
      <w:r w:rsidR="000C4673" w:rsidRPr="00850D17">
        <w:rPr>
          <w:lang w:val="fr-CH"/>
        </w:rPr>
        <w:t>d</w:t>
      </w:r>
      <w:r w:rsidR="0073128E" w:rsidRPr="00850D17">
        <w:rPr>
          <w:lang w:val="fr-CH"/>
        </w:rPr>
        <w:t>’</w:t>
      </w:r>
      <w:r w:rsidR="00F06DCB" w:rsidRPr="00850D17">
        <w:rPr>
          <w:lang w:val="fr-CH"/>
        </w:rPr>
        <w:t>États</w:t>
      </w:r>
      <w:r w:rsidR="00BE2802" w:rsidRPr="00850D17">
        <w:rPr>
          <w:lang w:val="fr-CH"/>
        </w:rPr>
        <w:t xml:space="preserve"> membres,</w:t>
      </w:r>
      <w:r w:rsidRPr="00850D17">
        <w:rPr>
          <w:lang w:val="fr-CH"/>
        </w:rPr>
        <w:t xml:space="preserve"> </w:t>
      </w:r>
      <w:r w:rsidR="00242998" w:rsidRPr="00850D17">
        <w:rPr>
          <w:lang w:val="fr-CH"/>
        </w:rPr>
        <w:t xml:space="preserve">ont créé et rétrocédé </w:t>
      </w:r>
      <w:r w:rsidR="008452DA" w:rsidRPr="00850D17">
        <w:rPr>
          <w:lang w:val="fr-CH"/>
        </w:rPr>
        <w:t xml:space="preserve">au </w:t>
      </w:r>
      <w:r w:rsidR="00621832">
        <w:rPr>
          <w:lang w:val="fr-CH"/>
        </w:rPr>
        <w:t>G</w:t>
      </w:r>
      <w:r w:rsidR="008452DA" w:rsidRPr="00850D17">
        <w:rPr>
          <w:lang w:val="fr-CH"/>
        </w:rPr>
        <w:t xml:space="preserve">ouvernement (Ministère </w:t>
      </w:r>
      <w:r w:rsidR="00CF3EBD">
        <w:rPr>
          <w:lang w:val="fr-CH"/>
        </w:rPr>
        <w:t>du g</w:t>
      </w:r>
      <w:r w:rsidR="008452DA" w:rsidRPr="00850D17">
        <w:rPr>
          <w:lang w:val="fr-CH"/>
        </w:rPr>
        <w:t xml:space="preserve">enre, </w:t>
      </w:r>
      <w:r w:rsidR="00CF3EBD">
        <w:rPr>
          <w:lang w:val="fr-CH"/>
        </w:rPr>
        <w:t>de la f</w:t>
      </w:r>
      <w:r w:rsidR="008452DA" w:rsidRPr="00850D17">
        <w:rPr>
          <w:lang w:val="fr-CH"/>
        </w:rPr>
        <w:t xml:space="preserve">amille et </w:t>
      </w:r>
      <w:r w:rsidR="00CF3EBD">
        <w:rPr>
          <w:lang w:val="fr-CH"/>
        </w:rPr>
        <w:t>de l</w:t>
      </w:r>
      <w:r w:rsidR="00CF3EBD" w:rsidRPr="00CF3EBD">
        <w:rPr>
          <w:lang w:val="fr-CH"/>
        </w:rPr>
        <w:t>’</w:t>
      </w:r>
      <w:r w:rsidR="00CF3EBD">
        <w:rPr>
          <w:lang w:val="fr-CH"/>
        </w:rPr>
        <w:t>e</w:t>
      </w:r>
      <w:r w:rsidR="00CF3EBD" w:rsidRPr="00850D17">
        <w:rPr>
          <w:lang w:val="fr-CH"/>
        </w:rPr>
        <w:t>nfant</w:t>
      </w:r>
      <w:r w:rsidR="008452DA" w:rsidRPr="00850D17">
        <w:rPr>
          <w:lang w:val="fr-CH"/>
        </w:rPr>
        <w:t xml:space="preserve">) </w:t>
      </w:r>
      <w:r w:rsidR="00242998" w:rsidRPr="00850D17">
        <w:rPr>
          <w:lang w:val="fr-CH"/>
        </w:rPr>
        <w:t xml:space="preserve">une base </w:t>
      </w:r>
      <w:r w:rsidRPr="00850D17">
        <w:rPr>
          <w:lang w:val="fr-CH"/>
        </w:rPr>
        <w:t xml:space="preserve">de données sur les violences sexuelles commises entre 2010 et 2014. </w:t>
      </w:r>
      <w:r w:rsidR="00242998" w:rsidRPr="00850D17">
        <w:rPr>
          <w:lang w:val="fr-CH"/>
        </w:rPr>
        <w:t>Cette base de donnée</w:t>
      </w:r>
      <w:r w:rsidR="00495B78" w:rsidRPr="00850D17">
        <w:rPr>
          <w:lang w:val="fr-CH"/>
        </w:rPr>
        <w:t>s</w:t>
      </w:r>
      <w:r w:rsidR="00242998" w:rsidRPr="00850D17">
        <w:rPr>
          <w:lang w:val="fr-CH"/>
        </w:rPr>
        <w:t xml:space="preserve"> </w:t>
      </w:r>
      <w:r w:rsidR="00BF4BC5" w:rsidRPr="00850D17">
        <w:rPr>
          <w:lang w:val="fr-CH"/>
        </w:rPr>
        <w:t xml:space="preserve">officielle </w:t>
      </w:r>
      <w:r w:rsidR="00242998" w:rsidRPr="00850D17">
        <w:rPr>
          <w:lang w:val="fr-CH"/>
        </w:rPr>
        <w:t xml:space="preserve">vise </w:t>
      </w:r>
      <w:r w:rsidRPr="00850D17">
        <w:rPr>
          <w:lang w:val="fr-CH"/>
        </w:rPr>
        <w:t>à cartographie</w:t>
      </w:r>
      <w:r w:rsidR="00946309" w:rsidRPr="00850D17">
        <w:rPr>
          <w:lang w:val="fr-CH"/>
        </w:rPr>
        <w:t>r</w:t>
      </w:r>
      <w:r w:rsidRPr="00850D17">
        <w:rPr>
          <w:lang w:val="fr-CH"/>
        </w:rPr>
        <w:t xml:space="preserve"> </w:t>
      </w:r>
      <w:r w:rsidR="00495B78" w:rsidRPr="00850D17">
        <w:rPr>
          <w:lang w:val="fr-CH"/>
        </w:rPr>
        <w:t xml:space="preserve">et coordonner les </w:t>
      </w:r>
      <w:r w:rsidR="00495B78" w:rsidRPr="00850D17">
        <w:rPr>
          <w:lang w:val="fr-CH"/>
        </w:rPr>
        <w:lastRenderedPageBreak/>
        <w:t>interventions de la communauté internationale</w:t>
      </w:r>
      <w:r w:rsidR="00372ABF" w:rsidRPr="00850D17">
        <w:rPr>
          <w:lang w:val="fr-CH"/>
        </w:rPr>
        <w:t xml:space="preserve"> dans neuf provinces</w:t>
      </w:r>
      <w:r w:rsidRPr="00850D17">
        <w:rPr>
          <w:lang w:val="fr-CH"/>
        </w:rPr>
        <w:t xml:space="preserve">. </w:t>
      </w:r>
      <w:r w:rsidR="00134669" w:rsidRPr="00850D17">
        <w:rPr>
          <w:lang w:val="fr-CH"/>
        </w:rPr>
        <w:t xml:space="preserve">L’obstacle majeur à la mise à jour des données est la </w:t>
      </w:r>
      <w:r w:rsidRPr="00850D17">
        <w:rPr>
          <w:lang w:val="fr-CH"/>
        </w:rPr>
        <w:t>réticence de certains partenaires</w:t>
      </w:r>
      <w:r w:rsidR="000C4673" w:rsidRPr="00850D17">
        <w:rPr>
          <w:lang w:val="fr-CH"/>
        </w:rPr>
        <w:t xml:space="preserve"> </w:t>
      </w:r>
      <w:r w:rsidR="00622966" w:rsidRPr="00850D17">
        <w:rPr>
          <w:lang w:val="fr-CH"/>
        </w:rPr>
        <w:t xml:space="preserve">à partager les </w:t>
      </w:r>
      <w:r w:rsidR="003F7D00" w:rsidRPr="00850D17">
        <w:rPr>
          <w:lang w:val="fr-CH"/>
        </w:rPr>
        <w:t xml:space="preserve">informations </w:t>
      </w:r>
      <w:r w:rsidR="00622966" w:rsidRPr="00850D17">
        <w:rPr>
          <w:lang w:val="fr-CH"/>
        </w:rPr>
        <w:t xml:space="preserve">qu’ils estiment </w:t>
      </w:r>
      <w:r w:rsidR="003F7D00" w:rsidRPr="00850D17">
        <w:rPr>
          <w:lang w:val="fr-CH"/>
        </w:rPr>
        <w:t xml:space="preserve">leur </w:t>
      </w:r>
      <w:r w:rsidR="00622966" w:rsidRPr="00850D17">
        <w:rPr>
          <w:lang w:val="fr-CH"/>
        </w:rPr>
        <w:t>appart</w:t>
      </w:r>
      <w:r w:rsidR="003F7D00" w:rsidRPr="00850D17">
        <w:rPr>
          <w:lang w:val="fr-CH"/>
        </w:rPr>
        <w:t>enir</w:t>
      </w:r>
      <w:r w:rsidR="00134669" w:rsidRPr="00850D17">
        <w:rPr>
          <w:lang w:val="fr-CH"/>
        </w:rPr>
        <w:t>.</w:t>
      </w:r>
      <w:r w:rsidRPr="00850D17">
        <w:rPr>
          <w:lang w:val="fr-CH"/>
        </w:rPr>
        <w:t xml:space="preserve"> </w:t>
      </w:r>
    </w:p>
    <w:p w:rsidR="00456960" w:rsidRPr="00850D17" w:rsidRDefault="00456960" w:rsidP="00C36970">
      <w:pPr>
        <w:pStyle w:val="SingleTxtG"/>
        <w:numPr>
          <w:ilvl w:val="0"/>
          <w:numId w:val="7"/>
        </w:numPr>
        <w:tabs>
          <w:tab w:val="left" w:pos="1134"/>
        </w:tabs>
        <w:ind w:left="1134" w:firstLine="0"/>
        <w:rPr>
          <w:lang w:val="fr-CH"/>
        </w:rPr>
      </w:pPr>
      <w:r w:rsidRPr="00850D17">
        <w:rPr>
          <w:lang w:val="fr-CH"/>
        </w:rPr>
        <w:t xml:space="preserve">Depuis 2012, le BCNUDH </w:t>
      </w:r>
      <w:r w:rsidR="003F7D00" w:rsidRPr="00850D17">
        <w:rPr>
          <w:lang w:val="fr-CH"/>
        </w:rPr>
        <w:t>assiste le</w:t>
      </w:r>
      <w:r w:rsidRPr="00850D17">
        <w:rPr>
          <w:lang w:val="fr-CH"/>
        </w:rPr>
        <w:t xml:space="preserve"> Ministère de la justice et </w:t>
      </w:r>
      <w:r w:rsidR="003232EC">
        <w:rPr>
          <w:lang w:val="fr-CH"/>
        </w:rPr>
        <w:t xml:space="preserve">des </w:t>
      </w:r>
      <w:r w:rsidRPr="00850D17">
        <w:rPr>
          <w:lang w:val="fr-CH"/>
        </w:rPr>
        <w:t>droits humains dans la consolidation des données sur les jugements rendus par les juridictions nationales en matière de violences sexuelles. L’assistance consiste à</w:t>
      </w:r>
      <w:r w:rsidR="0012008D" w:rsidRPr="00850D17">
        <w:rPr>
          <w:lang w:val="fr-CH"/>
        </w:rPr>
        <w:t xml:space="preserve"> </w:t>
      </w:r>
      <w:r w:rsidR="000C4673" w:rsidRPr="00850D17">
        <w:rPr>
          <w:lang w:val="fr-CH"/>
        </w:rPr>
        <w:t xml:space="preserve">développer </w:t>
      </w:r>
      <w:r w:rsidRPr="00850D17">
        <w:rPr>
          <w:lang w:val="fr-CH"/>
        </w:rPr>
        <w:t xml:space="preserve">des outils de collecte des données, </w:t>
      </w:r>
      <w:r w:rsidR="00F41D1E">
        <w:rPr>
          <w:lang w:val="fr-CH"/>
        </w:rPr>
        <w:t>à</w:t>
      </w:r>
      <w:r w:rsidRPr="00850D17">
        <w:rPr>
          <w:lang w:val="fr-CH"/>
        </w:rPr>
        <w:t xml:space="preserve"> analyse</w:t>
      </w:r>
      <w:r w:rsidR="00F41D1E">
        <w:rPr>
          <w:lang w:val="fr-CH"/>
        </w:rPr>
        <w:t>r les données</w:t>
      </w:r>
      <w:r w:rsidRPr="00850D17">
        <w:rPr>
          <w:lang w:val="fr-CH"/>
        </w:rPr>
        <w:t xml:space="preserve"> et </w:t>
      </w:r>
      <w:r w:rsidR="00F41D1E">
        <w:rPr>
          <w:lang w:val="fr-CH"/>
        </w:rPr>
        <w:t>à produire</w:t>
      </w:r>
      <w:r w:rsidRPr="00850D17">
        <w:rPr>
          <w:lang w:val="fr-CH"/>
        </w:rPr>
        <w:t xml:space="preserve"> d</w:t>
      </w:r>
      <w:r w:rsidR="003F7D00" w:rsidRPr="00850D17">
        <w:rPr>
          <w:lang w:val="fr-CH"/>
        </w:rPr>
        <w:t>e</w:t>
      </w:r>
      <w:r w:rsidR="00F41D1E">
        <w:rPr>
          <w:lang w:val="fr-CH"/>
        </w:rPr>
        <w:t>s</w:t>
      </w:r>
      <w:r w:rsidRPr="00850D17">
        <w:rPr>
          <w:lang w:val="fr-CH"/>
        </w:rPr>
        <w:t xml:space="preserve"> rapport</w:t>
      </w:r>
      <w:r w:rsidR="003F7D00" w:rsidRPr="00850D17">
        <w:rPr>
          <w:lang w:val="fr-CH"/>
        </w:rPr>
        <w:t>s</w:t>
      </w:r>
      <w:r w:rsidRPr="00850D17">
        <w:rPr>
          <w:lang w:val="fr-CH"/>
        </w:rPr>
        <w:t xml:space="preserve"> statistique</w:t>
      </w:r>
      <w:r w:rsidR="003F7D00" w:rsidRPr="00850D17">
        <w:rPr>
          <w:lang w:val="fr-CH"/>
        </w:rPr>
        <w:t>s</w:t>
      </w:r>
      <w:r w:rsidRPr="00850D17">
        <w:rPr>
          <w:lang w:val="fr-CH"/>
        </w:rPr>
        <w:t xml:space="preserve">. Le BCNUDH a mis des ressources matérielles à la disposition du Ministère </w:t>
      </w:r>
      <w:r w:rsidR="000C4673" w:rsidRPr="00850D17">
        <w:rPr>
          <w:lang w:val="fr-CH"/>
        </w:rPr>
        <w:t>et y</w:t>
      </w:r>
      <w:r w:rsidRPr="00850D17">
        <w:rPr>
          <w:lang w:val="fr-CH"/>
        </w:rPr>
        <w:t xml:space="preserve"> a déployé un</w:t>
      </w:r>
      <w:r w:rsidR="000C4673" w:rsidRPr="00850D17">
        <w:rPr>
          <w:lang w:val="fr-CH"/>
        </w:rPr>
        <w:t xml:space="preserve"> </w:t>
      </w:r>
      <w:r w:rsidRPr="00850D17">
        <w:rPr>
          <w:lang w:val="fr-CH"/>
        </w:rPr>
        <w:t xml:space="preserve">expert </w:t>
      </w:r>
      <w:r w:rsidR="000C4673" w:rsidRPr="00850D17">
        <w:rPr>
          <w:lang w:val="fr-CH"/>
        </w:rPr>
        <w:t xml:space="preserve">pour </w:t>
      </w:r>
      <w:r w:rsidR="00D52F3C">
        <w:rPr>
          <w:lang w:val="fr-CH"/>
        </w:rPr>
        <w:t>gérer</w:t>
      </w:r>
      <w:r w:rsidR="00D52F3C" w:rsidRPr="00850D17">
        <w:rPr>
          <w:lang w:val="fr-CH"/>
        </w:rPr>
        <w:t xml:space="preserve"> </w:t>
      </w:r>
      <w:r w:rsidRPr="00850D17">
        <w:rPr>
          <w:lang w:val="fr-CH"/>
        </w:rPr>
        <w:t>la base de données. D</w:t>
      </w:r>
      <w:r w:rsidR="0012008D" w:rsidRPr="00850D17">
        <w:rPr>
          <w:lang w:val="fr-CH"/>
        </w:rPr>
        <w:t>’</w:t>
      </w:r>
      <w:r w:rsidRPr="00850D17">
        <w:rPr>
          <w:lang w:val="fr-CH"/>
        </w:rPr>
        <w:t xml:space="preserve">autres acteurs des Nations </w:t>
      </w:r>
      <w:r w:rsidR="00A13616">
        <w:rPr>
          <w:lang w:val="fr-CH"/>
        </w:rPr>
        <w:t>U</w:t>
      </w:r>
      <w:r w:rsidRPr="00850D17">
        <w:rPr>
          <w:lang w:val="fr-CH"/>
        </w:rPr>
        <w:t>nies</w:t>
      </w:r>
      <w:r w:rsidR="00691DCE" w:rsidRPr="00850D17">
        <w:rPr>
          <w:lang w:val="fr-CH"/>
        </w:rPr>
        <w:t>,</w:t>
      </w:r>
      <w:r w:rsidRPr="00850D17">
        <w:rPr>
          <w:lang w:val="fr-CH"/>
        </w:rPr>
        <w:t xml:space="preserve"> des ONG internationales</w:t>
      </w:r>
      <w:r w:rsidR="00691DCE" w:rsidRPr="00850D17">
        <w:rPr>
          <w:lang w:val="fr-CH"/>
        </w:rPr>
        <w:t xml:space="preserve"> et le BCNUDH </w:t>
      </w:r>
      <w:r w:rsidR="00070C96" w:rsidRPr="00850D17">
        <w:rPr>
          <w:lang w:val="fr-CH"/>
        </w:rPr>
        <w:t>ont du mal à coordonner leurs efforts pour l</w:t>
      </w:r>
      <w:r w:rsidR="0012008D" w:rsidRPr="00850D17">
        <w:rPr>
          <w:lang w:val="fr-CH"/>
        </w:rPr>
        <w:t>’</w:t>
      </w:r>
      <w:r w:rsidR="00070C96" w:rsidRPr="00850D17">
        <w:rPr>
          <w:lang w:val="fr-CH"/>
        </w:rPr>
        <w:t>octroi du même type d</w:t>
      </w:r>
      <w:r w:rsidR="0012008D" w:rsidRPr="00850D17">
        <w:rPr>
          <w:lang w:val="fr-CH"/>
        </w:rPr>
        <w:t>’</w:t>
      </w:r>
      <w:r w:rsidR="00070C96" w:rsidRPr="00850D17">
        <w:rPr>
          <w:lang w:val="fr-CH"/>
        </w:rPr>
        <w:t xml:space="preserve">assistance au </w:t>
      </w:r>
      <w:r w:rsidR="00F95051">
        <w:rPr>
          <w:lang w:val="fr-CH"/>
        </w:rPr>
        <w:t>M</w:t>
      </w:r>
      <w:r w:rsidR="00070C96" w:rsidRPr="00850D17">
        <w:rPr>
          <w:lang w:val="fr-CH"/>
        </w:rPr>
        <w:t>inistère.</w:t>
      </w:r>
      <w:r w:rsidR="005518BF" w:rsidRPr="00850D17">
        <w:rPr>
          <w:lang w:val="fr-CH"/>
        </w:rPr>
        <w:t xml:space="preserve"> </w:t>
      </w:r>
      <w:r w:rsidR="00D53C0D" w:rsidRPr="00850D17">
        <w:rPr>
          <w:lang w:val="fr-CH"/>
        </w:rPr>
        <w:t>U</w:t>
      </w:r>
      <w:r w:rsidRPr="00850D17">
        <w:rPr>
          <w:lang w:val="fr-CH"/>
        </w:rPr>
        <w:t xml:space="preserve">ne meilleure coordination des </w:t>
      </w:r>
      <w:r w:rsidR="001D112D" w:rsidRPr="00850D17">
        <w:rPr>
          <w:lang w:val="fr-CH"/>
        </w:rPr>
        <w:t xml:space="preserve">diverses </w:t>
      </w:r>
      <w:r w:rsidRPr="00850D17">
        <w:rPr>
          <w:lang w:val="fr-CH"/>
        </w:rPr>
        <w:t xml:space="preserve">interventions </w:t>
      </w:r>
      <w:r w:rsidR="001D112D" w:rsidRPr="00850D17">
        <w:rPr>
          <w:lang w:val="fr-CH"/>
        </w:rPr>
        <w:t>par l</w:t>
      </w:r>
      <w:r w:rsidRPr="00850D17">
        <w:rPr>
          <w:lang w:val="fr-CH"/>
        </w:rPr>
        <w:t xml:space="preserve">e Ministère de la </w:t>
      </w:r>
      <w:r w:rsidR="003232EC">
        <w:rPr>
          <w:lang w:val="fr-CH"/>
        </w:rPr>
        <w:t>j</w:t>
      </w:r>
      <w:r w:rsidRPr="00850D17">
        <w:rPr>
          <w:lang w:val="fr-CH"/>
        </w:rPr>
        <w:t xml:space="preserve">ustice et des droits humains </w:t>
      </w:r>
      <w:r w:rsidR="001D112D" w:rsidRPr="00850D17">
        <w:rPr>
          <w:lang w:val="fr-CH"/>
        </w:rPr>
        <w:t xml:space="preserve">devrait </w:t>
      </w:r>
      <w:r w:rsidRPr="00850D17">
        <w:rPr>
          <w:lang w:val="fr-CH"/>
        </w:rPr>
        <w:t>permettr</w:t>
      </w:r>
      <w:r w:rsidR="001D112D" w:rsidRPr="00850D17">
        <w:rPr>
          <w:lang w:val="fr-CH"/>
        </w:rPr>
        <w:t>e</w:t>
      </w:r>
      <w:r w:rsidRPr="00850D17">
        <w:rPr>
          <w:lang w:val="fr-CH"/>
        </w:rPr>
        <w:t xml:space="preserve"> une issue </w:t>
      </w:r>
      <w:r w:rsidR="00D65AD9" w:rsidRPr="00850D17">
        <w:rPr>
          <w:lang w:val="fr-CH"/>
        </w:rPr>
        <w:t xml:space="preserve">positive </w:t>
      </w:r>
      <w:r w:rsidRPr="00850D17">
        <w:rPr>
          <w:lang w:val="fr-CH"/>
        </w:rPr>
        <w:t>à cette situation</w:t>
      </w:r>
      <w:r w:rsidR="00D96745" w:rsidRPr="00850D17">
        <w:rPr>
          <w:lang w:val="fr-CH"/>
        </w:rPr>
        <w:t>.</w:t>
      </w:r>
    </w:p>
    <w:p w:rsidR="00AE4F59" w:rsidRPr="005023BC" w:rsidRDefault="00062138">
      <w:pPr>
        <w:pStyle w:val="H1G"/>
        <w:rPr>
          <w:lang w:val="fr-CH"/>
        </w:rPr>
      </w:pPr>
      <w:r w:rsidRPr="00850D17">
        <w:rPr>
          <w:rFonts w:eastAsia="SimSun"/>
          <w:lang w:val="fr-CH"/>
        </w:rPr>
        <w:tab/>
        <w:t>B.</w:t>
      </w:r>
      <w:r w:rsidRPr="00850D17">
        <w:rPr>
          <w:rFonts w:eastAsia="SimSun"/>
          <w:lang w:val="fr-CH"/>
        </w:rPr>
        <w:tab/>
      </w:r>
      <w:r w:rsidR="004C2C68" w:rsidRPr="00850D17">
        <w:rPr>
          <w:rFonts w:eastAsia="SimSun"/>
          <w:lang w:val="fr-CH"/>
        </w:rPr>
        <w:t xml:space="preserve">Renforcement du système </w:t>
      </w:r>
      <w:r w:rsidR="004C2C68" w:rsidRPr="00C81DE4">
        <w:rPr>
          <w:rFonts w:eastAsia="SimSun"/>
          <w:lang w:val="fr-CH"/>
        </w:rPr>
        <w:t>national</w:t>
      </w:r>
      <w:r w:rsidR="004C2C68" w:rsidRPr="00850D17">
        <w:rPr>
          <w:rFonts w:eastAsia="SimSun"/>
          <w:lang w:val="fr-CH"/>
        </w:rPr>
        <w:t xml:space="preserve"> de protection des droits de l’homme et collaboration avec les mécanismes internationaux</w:t>
      </w:r>
      <w:r w:rsidR="003C037D">
        <w:rPr>
          <w:rFonts w:eastAsia="SimSun"/>
          <w:lang w:val="fr-CH"/>
        </w:rPr>
        <w:t xml:space="preserve"> des droits de l</w:t>
      </w:r>
      <w:r w:rsidR="003C037D" w:rsidRPr="003C037D">
        <w:rPr>
          <w:rFonts w:eastAsia="SimSun"/>
          <w:lang w:val="fr-CH"/>
        </w:rPr>
        <w:t>’</w:t>
      </w:r>
      <w:r w:rsidR="003C037D">
        <w:rPr>
          <w:rFonts w:eastAsia="SimSun"/>
          <w:lang w:val="fr-CH"/>
        </w:rPr>
        <w:t>homme</w:t>
      </w:r>
    </w:p>
    <w:p w:rsidR="00495B78" w:rsidRPr="005023BC" w:rsidRDefault="00101FE5">
      <w:pPr>
        <w:pStyle w:val="H23G"/>
        <w:rPr>
          <w:rFonts w:eastAsia="SimSun"/>
          <w:lang w:val="fr-CH"/>
        </w:rPr>
      </w:pPr>
      <w:r w:rsidRPr="00850D17">
        <w:rPr>
          <w:rFonts w:eastAsia="SimSun"/>
          <w:lang w:val="fr-CH"/>
        </w:rPr>
        <w:tab/>
      </w:r>
      <w:r w:rsidR="003F7D00" w:rsidRPr="00850D17">
        <w:rPr>
          <w:rFonts w:eastAsia="SimSun"/>
          <w:lang w:val="fr-CH"/>
        </w:rPr>
        <w:t>1.</w:t>
      </w:r>
      <w:r w:rsidR="003F7D00" w:rsidRPr="00850D17">
        <w:rPr>
          <w:rFonts w:eastAsia="SimSun"/>
          <w:lang w:val="fr-CH"/>
        </w:rPr>
        <w:tab/>
        <w:t>Ratification des conventions internationales et régionales</w:t>
      </w:r>
    </w:p>
    <w:p w:rsidR="00421EA5" w:rsidRPr="00850D17" w:rsidRDefault="00D52F3C" w:rsidP="00C36970">
      <w:pPr>
        <w:pStyle w:val="SingleTxtG"/>
        <w:numPr>
          <w:ilvl w:val="0"/>
          <w:numId w:val="7"/>
        </w:numPr>
        <w:tabs>
          <w:tab w:val="left" w:pos="1134"/>
        </w:tabs>
        <w:ind w:left="1134" w:firstLine="0"/>
        <w:rPr>
          <w:lang w:val="fr-CH"/>
        </w:rPr>
      </w:pPr>
      <w:r>
        <w:rPr>
          <w:lang w:val="fr-CH"/>
        </w:rPr>
        <w:t>À</w:t>
      </w:r>
      <w:r w:rsidR="00421EA5" w:rsidRPr="00850D17">
        <w:rPr>
          <w:lang w:val="fr-CH"/>
        </w:rPr>
        <w:t xml:space="preserve"> la faveur du plaidoyer des acteurs internationaux, pendant la période </w:t>
      </w:r>
      <w:r w:rsidR="005E2578">
        <w:rPr>
          <w:lang w:val="fr-CH"/>
        </w:rPr>
        <w:t>considérée</w:t>
      </w:r>
      <w:r w:rsidR="00421EA5" w:rsidRPr="00850D17">
        <w:rPr>
          <w:lang w:val="fr-CH"/>
        </w:rPr>
        <w:t xml:space="preserve">, la </w:t>
      </w:r>
      <w:r w:rsidR="00487BE2" w:rsidRPr="00850D17">
        <w:rPr>
          <w:lang w:val="fr-CH"/>
        </w:rPr>
        <w:t>République démocratique du Congo</w:t>
      </w:r>
      <w:r w:rsidR="00421EA5" w:rsidRPr="00850D17">
        <w:rPr>
          <w:lang w:val="fr-CH"/>
        </w:rPr>
        <w:t xml:space="preserve"> a </w:t>
      </w:r>
      <w:r w:rsidR="00670271">
        <w:rPr>
          <w:lang w:val="fr-CH"/>
        </w:rPr>
        <w:t>adhéré</w:t>
      </w:r>
      <w:r w:rsidR="00670271" w:rsidRPr="00850D17">
        <w:rPr>
          <w:lang w:val="fr-CH"/>
        </w:rPr>
        <w:t xml:space="preserve"> </w:t>
      </w:r>
      <w:r w:rsidR="00421EA5" w:rsidRPr="00850D17">
        <w:rPr>
          <w:lang w:val="fr-CH"/>
        </w:rPr>
        <w:t>à d</w:t>
      </w:r>
      <w:r w:rsidR="005C72B6" w:rsidRPr="00850D17">
        <w:rPr>
          <w:lang w:val="fr-CH"/>
        </w:rPr>
        <w:t xml:space="preserve">e nouveaux </w:t>
      </w:r>
      <w:r w:rsidR="00421EA5" w:rsidRPr="00850D17">
        <w:rPr>
          <w:lang w:val="fr-CH"/>
        </w:rPr>
        <w:t>instruments internationaux et régionaux des droits de l’homme:</w:t>
      </w:r>
    </w:p>
    <w:p w:rsidR="00421EA5" w:rsidRPr="00850D17" w:rsidRDefault="00F06DCB">
      <w:pPr>
        <w:pStyle w:val="Bullet1G"/>
        <w:rPr>
          <w:rFonts w:eastAsia="SimSun"/>
          <w:lang w:val="fr-CH"/>
        </w:rPr>
      </w:pPr>
      <w:r w:rsidRPr="00850D17">
        <w:rPr>
          <w:rFonts w:eastAsia="SimSun"/>
          <w:lang w:val="fr-CH"/>
        </w:rPr>
        <w:t xml:space="preserve">Le </w:t>
      </w:r>
      <w:r w:rsidR="00421EA5" w:rsidRPr="00850D17">
        <w:rPr>
          <w:rFonts w:eastAsia="SimSun"/>
          <w:lang w:val="fr-CH"/>
        </w:rPr>
        <w:t>Protocole à la Charte africaine des droits de l</w:t>
      </w:r>
      <w:r w:rsidR="0012008D" w:rsidRPr="00850D17">
        <w:rPr>
          <w:rFonts w:eastAsia="SimSun"/>
          <w:lang w:val="fr-CH"/>
        </w:rPr>
        <w:t>’</w:t>
      </w:r>
      <w:r w:rsidR="00421EA5" w:rsidRPr="00850D17">
        <w:rPr>
          <w:rFonts w:eastAsia="SimSun"/>
          <w:lang w:val="fr-CH"/>
        </w:rPr>
        <w:t xml:space="preserve">homme et des peuples </w:t>
      </w:r>
      <w:r w:rsidR="00EE3F9E">
        <w:rPr>
          <w:rFonts w:eastAsia="SimSun"/>
          <w:lang w:val="fr-CH"/>
        </w:rPr>
        <w:t>relatif</w:t>
      </w:r>
      <w:r w:rsidR="00421EA5" w:rsidRPr="00850D17">
        <w:rPr>
          <w:rFonts w:eastAsia="SimSun"/>
          <w:lang w:val="fr-CH"/>
        </w:rPr>
        <w:t xml:space="preserve"> aux droits de</w:t>
      </w:r>
      <w:r w:rsidR="001C633D">
        <w:rPr>
          <w:rFonts w:eastAsia="SimSun"/>
          <w:lang w:val="fr-CH"/>
        </w:rPr>
        <w:t xml:space="preserve"> la</w:t>
      </w:r>
      <w:r w:rsidR="00421EA5" w:rsidRPr="00850D17">
        <w:rPr>
          <w:rFonts w:eastAsia="SimSun"/>
          <w:lang w:val="fr-CH"/>
        </w:rPr>
        <w:t xml:space="preserve"> femme </w:t>
      </w:r>
      <w:r w:rsidR="00EE3F9E">
        <w:rPr>
          <w:rFonts w:eastAsia="SimSun"/>
          <w:lang w:val="fr-CH"/>
        </w:rPr>
        <w:t xml:space="preserve">en Afrique </w:t>
      </w:r>
      <w:r w:rsidR="00421EA5" w:rsidRPr="00850D17">
        <w:rPr>
          <w:rFonts w:eastAsia="SimSun"/>
          <w:lang w:val="fr-CH"/>
        </w:rPr>
        <w:t>(en juin 2008)</w:t>
      </w:r>
      <w:r w:rsidR="00F03ACD" w:rsidRPr="00850D17">
        <w:rPr>
          <w:rFonts w:eastAsia="SimSun"/>
          <w:lang w:val="fr-CH"/>
        </w:rPr>
        <w:t>;</w:t>
      </w:r>
      <w:r w:rsidR="00421EA5" w:rsidRPr="00850D17">
        <w:rPr>
          <w:rFonts w:eastAsia="SimSun"/>
          <w:lang w:val="fr-CH"/>
        </w:rPr>
        <w:t xml:space="preserve"> la Charte africaine de la démocratie, </w:t>
      </w:r>
      <w:r w:rsidR="00E24434">
        <w:rPr>
          <w:rFonts w:eastAsia="SimSun"/>
          <w:lang w:val="fr-CH"/>
        </w:rPr>
        <w:t>d</w:t>
      </w:r>
      <w:r w:rsidR="00421EA5" w:rsidRPr="00850D17">
        <w:rPr>
          <w:rFonts w:eastAsia="SimSun"/>
          <w:lang w:val="fr-CH"/>
        </w:rPr>
        <w:t>es élections et</w:t>
      </w:r>
      <w:r w:rsidR="00E24434">
        <w:rPr>
          <w:rFonts w:eastAsia="SimSun"/>
          <w:lang w:val="fr-CH"/>
        </w:rPr>
        <w:t xml:space="preserve"> de</w:t>
      </w:r>
      <w:r w:rsidR="00421EA5" w:rsidRPr="00850D17">
        <w:rPr>
          <w:rFonts w:eastAsia="SimSun"/>
          <w:lang w:val="fr-CH"/>
        </w:rPr>
        <w:t xml:space="preserve"> la gouvernance et la Charte africaine des droits et du bien-être de l</w:t>
      </w:r>
      <w:r w:rsidR="0012008D" w:rsidRPr="00850D17">
        <w:rPr>
          <w:rFonts w:eastAsia="SimSun"/>
          <w:lang w:val="fr-CH"/>
        </w:rPr>
        <w:t>’</w:t>
      </w:r>
      <w:r w:rsidR="00421EA5" w:rsidRPr="00850D17">
        <w:rPr>
          <w:rFonts w:eastAsia="SimSun"/>
          <w:lang w:val="fr-CH"/>
        </w:rPr>
        <w:t>enfant (signées respectivement en juin 2008 et février 2014)</w:t>
      </w:r>
      <w:r w:rsidR="00F03ACD" w:rsidRPr="00850D17">
        <w:rPr>
          <w:rFonts w:eastAsia="SimSun"/>
          <w:lang w:val="fr-CH"/>
        </w:rPr>
        <w:t>;</w:t>
      </w:r>
      <w:r w:rsidR="00421EA5" w:rsidRPr="00850D17">
        <w:rPr>
          <w:rFonts w:eastAsia="SimSun"/>
          <w:lang w:val="fr-CH"/>
        </w:rPr>
        <w:t xml:space="preserve"> </w:t>
      </w:r>
    </w:p>
    <w:p w:rsidR="00421EA5" w:rsidRPr="00850D17" w:rsidRDefault="00F06DCB">
      <w:pPr>
        <w:pStyle w:val="Bullet1G"/>
        <w:rPr>
          <w:rFonts w:eastAsia="SimSun"/>
          <w:lang w:val="fr-CH"/>
        </w:rPr>
      </w:pPr>
      <w:r w:rsidRPr="00850D17">
        <w:rPr>
          <w:rFonts w:eastAsia="SimSun"/>
          <w:lang w:val="fr-CH"/>
        </w:rPr>
        <w:t xml:space="preserve">Le </w:t>
      </w:r>
      <w:r w:rsidR="00421EA5" w:rsidRPr="00850D17">
        <w:rPr>
          <w:rFonts w:eastAsia="SimSun"/>
          <w:lang w:val="fr-CH"/>
        </w:rPr>
        <w:t>Protocole facultatif se rapportant à la Convention contre la torture et autres peines ou traitements cruels, inhumains ou dégradants (en septembre 2010)</w:t>
      </w:r>
      <w:r w:rsidR="00F03ACD" w:rsidRPr="00850D17">
        <w:rPr>
          <w:rFonts w:eastAsia="SimSun"/>
          <w:lang w:val="fr-CH"/>
        </w:rPr>
        <w:t>;</w:t>
      </w:r>
      <w:r w:rsidR="00421EA5" w:rsidRPr="00850D17">
        <w:rPr>
          <w:rFonts w:eastAsia="SimSun"/>
          <w:lang w:val="fr-CH"/>
        </w:rPr>
        <w:t xml:space="preserve"> </w:t>
      </w:r>
    </w:p>
    <w:p w:rsidR="00421EA5" w:rsidRPr="00850D17" w:rsidRDefault="00421EA5">
      <w:pPr>
        <w:pStyle w:val="Bullet1G"/>
        <w:rPr>
          <w:rFonts w:eastAsia="SimSun"/>
          <w:lang w:val="fr-CH"/>
        </w:rPr>
      </w:pPr>
      <w:r w:rsidRPr="00850D17">
        <w:rPr>
          <w:rFonts w:eastAsia="SimSun"/>
          <w:lang w:val="fr-CH"/>
        </w:rPr>
        <w:t xml:space="preserve">La loi autorisant la ratification de la Convention </w:t>
      </w:r>
      <w:r w:rsidR="00143B0E">
        <w:rPr>
          <w:rFonts w:eastAsia="SimSun"/>
          <w:lang w:val="fr-CH"/>
        </w:rPr>
        <w:t>relative aux</w:t>
      </w:r>
      <w:r w:rsidRPr="00850D17">
        <w:rPr>
          <w:rFonts w:eastAsia="SimSun"/>
          <w:lang w:val="fr-CH"/>
        </w:rPr>
        <w:t xml:space="preserve"> droits des personnes handicapées a été votée en 2013 et le processus de ratification est en cours. </w:t>
      </w:r>
    </w:p>
    <w:p w:rsidR="00FD5E4F" w:rsidRPr="00850D17" w:rsidRDefault="00F06DCB" w:rsidP="00C36970">
      <w:pPr>
        <w:pStyle w:val="SingleTxtG"/>
        <w:numPr>
          <w:ilvl w:val="0"/>
          <w:numId w:val="7"/>
        </w:numPr>
        <w:tabs>
          <w:tab w:val="left" w:pos="1134"/>
        </w:tabs>
        <w:ind w:left="1134" w:firstLine="0"/>
        <w:rPr>
          <w:lang w:val="fr-CH"/>
        </w:rPr>
      </w:pPr>
      <w:r w:rsidRPr="00850D17">
        <w:rPr>
          <w:lang w:val="fr-CH"/>
        </w:rPr>
        <w:t>À</w:t>
      </w:r>
      <w:r w:rsidR="00041A77" w:rsidRPr="00850D17">
        <w:rPr>
          <w:lang w:val="fr-CH"/>
        </w:rPr>
        <w:t xml:space="preserve"> ce jour, la </w:t>
      </w:r>
      <w:r w:rsidR="00A802EB" w:rsidRPr="00850D17">
        <w:rPr>
          <w:lang w:val="fr-CH"/>
        </w:rPr>
        <w:t>République démocratique du Congo</w:t>
      </w:r>
      <w:r w:rsidR="00041A77" w:rsidRPr="00850D17">
        <w:rPr>
          <w:lang w:val="fr-CH"/>
        </w:rPr>
        <w:t xml:space="preserve"> </w:t>
      </w:r>
      <w:r w:rsidR="00691DCE" w:rsidRPr="00850D17">
        <w:rPr>
          <w:lang w:val="fr-CH"/>
        </w:rPr>
        <w:t xml:space="preserve">n’est </w:t>
      </w:r>
      <w:r w:rsidR="00041A77" w:rsidRPr="00850D17">
        <w:rPr>
          <w:lang w:val="fr-CH"/>
        </w:rPr>
        <w:t xml:space="preserve">toujours pas </w:t>
      </w:r>
      <w:r w:rsidR="00691DCE" w:rsidRPr="00850D17">
        <w:rPr>
          <w:lang w:val="fr-CH"/>
        </w:rPr>
        <w:t xml:space="preserve">partie </w:t>
      </w:r>
      <w:r w:rsidR="00041A77" w:rsidRPr="00850D17">
        <w:rPr>
          <w:lang w:val="fr-CH"/>
        </w:rPr>
        <w:t>aux instruments ci-après</w:t>
      </w:r>
      <w:r w:rsidR="00F03ACD" w:rsidRPr="00850D17">
        <w:rPr>
          <w:lang w:val="fr-CH"/>
        </w:rPr>
        <w:t>:</w:t>
      </w:r>
      <w:r w:rsidR="00041A77" w:rsidRPr="00850D17">
        <w:rPr>
          <w:lang w:val="fr-CH"/>
        </w:rPr>
        <w:t xml:space="preserve"> </w:t>
      </w:r>
    </w:p>
    <w:p w:rsidR="00766F5D" w:rsidRPr="00850D17" w:rsidRDefault="00F06DCB" w:rsidP="00C6078F">
      <w:pPr>
        <w:pStyle w:val="Bullet1G"/>
        <w:rPr>
          <w:rFonts w:eastAsia="SimSun"/>
          <w:lang w:val="fr-CH"/>
        </w:rPr>
      </w:pPr>
      <w:r w:rsidRPr="00850D17">
        <w:rPr>
          <w:rFonts w:eastAsia="SimSun"/>
          <w:lang w:val="fr-CH"/>
        </w:rPr>
        <w:t xml:space="preserve">La </w:t>
      </w:r>
      <w:r w:rsidR="00766F5D" w:rsidRPr="00850D17">
        <w:rPr>
          <w:rFonts w:eastAsia="SimSun"/>
          <w:lang w:val="fr-CH"/>
        </w:rPr>
        <w:t>Convention internationale sur la protection des droits de tous les travailleurs migrants et des membres de leur famille</w:t>
      </w:r>
      <w:r w:rsidR="00F03ACD" w:rsidRPr="00850D17">
        <w:rPr>
          <w:rFonts w:eastAsia="SimSun"/>
          <w:lang w:val="fr-CH"/>
        </w:rPr>
        <w:t>;</w:t>
      </w:r>
    </w:p>
    <w:p w:rsidR="00766F5D" w:rsidRPr="00850D17" w:rsidRDefault="00F06DCB" w:rsidP="00C6078F">
      <w:pPr>
        <w:pStyle w:val="Bullet1G"/>
        <w:rPr>
          <w:rFonts w:eastAsia="SimSun"/>
          <w:lang w:val="fr-CH"/>
        </w:rPr>
      </w:pPr>
      <w:r w:rsidRPr="00850D17">
        <w:rPr>
          <w:rFonts w:eastAsia="SimSun"/>
          <w:lang w:val="fr-CH"/>
        </w:rPr>
        <w:t xml:space="preserve">La </w:t>
      </w:r>
      <w:r w:rsidR="00766F5D" w:rsidRPr="00850D17">
        <w:rPr>
          <w:rFonts w:eastAsia="SimSun"/>
          <w:lang w:val="fr-CH"/>
        </w:rPr>
        <w:t>Convention internationale pour la protection de toutes les</w:t>
      </w:r>
      <w:r w:rsidR="00F762FE">
        <w:rPr>
          <w:rFonts w:eastAsia="SimSun"/>
          <w:lang w:val="fr-CH"/>
        </w:rPr>
        <w:t xml:space="preserve"> </w:t>
      </w:r>
      <w:r w:rsidR="00766F5D" w:rsidRPr="00850D17">
        <w:rPr>
          <w:rFonts w:eastAsia="SimSun"/>
          <w:lang w:val="fr-CH"/>
        </w:rPr>
        <w:t xml:space="preserve">personnes </w:t>
      </w:r>
      <w:r w:rsidR="00D30BEB" w:rsidRPr="00850D17">
        <w:rPr>
          <w:rFonts w:eastAsia="SimSun"/>
          <w:lang w:val="fr-CH"/>
        </w:rPr>
        <w:t>contre les disparitions forcées</w:t>
      </w:r>
      <w:r w:rsidR="00766F5D" w:rsidRPr="00850D17">
        <w:rPr>
          <w:rFonts w:eastAsia="SimSun"/>
          <w:lang w:val="fr-CH"/>
        </w:rPr>
        <w:t>;</w:t>
      </w:r>
    </w:p>
    <w:p w:rsidR="00FD5E4F" w:rsidRPr="00850D17" w:rsidRDefault="00F06DCB" w:rsidP="00C6078F">
      <w:pPr>
        <w:pStyle w:val="Bullet1G"/>
        <w:rPr>
          <w:rFonts w:eastAsia="SimSun"/>
          <w:lang w:val="fr-CH"/>
        </w:rPr>
      </w:pPr>
      <w:r>
        <w:rPr>
          <w:rFonts w:eastAsia="SimSun"/>
          <w:lang w:val="fr-CH"/>
        </w:rPr>
        <w:t>L</w:t>
      </w:r>
      <w:r w:rsidRPr="00850D17">
        <w:rPr>
          <w:rFonts w:eastAsia="SimSun"/>
          <w:lang w:val="fr-CH"/>
        </w:rPr>
        <w:t xml:space="preserve">e </w:t>
      </w:r>
      <w:r w:rsidR="00FD5E4F" w:rsidRPr="00850D17">
        <w:rPr>
          <w:rFonts w:eastAsia="SimSun"/>
          <w:lang w:val="fr-CH"/>
        </w:rPr>
        <w:t xml:space="preserve">deuxième </w:t>
      </w:r>
      <w:r w:rsidR="00DD0C8C">
        <w:rPr>
          <w:rFonts w:eastAsia="SimSun"/>
          <w:lang w:val="fr-CH"/>
        </w:rPr>
        <w:t>P</w:t>
      </w:r>
      <w:r w:rsidR="00FD5E4F" w:rsidRPr="00850D17">
        <w:rPr>
          <w:rFonts w:eastAsia="SimSun"/>
          <w:lang w:val="fr-CH"/>
        </w:rPr>
        <w:t xml:space="preserve">rotocole facultatif se rapportant au Pacte international relatif aux droits civils et politiques, visant à abolir la peine de mort; </w:t>
      </w:r>
    </w:p>
    <w:p w:rsidR="00372ABF" w:rsidRPr="00850D17" w:rsidRDefault="00F06DCB" w:rsidP="00C6078F">
      <w:pPr>
        <w:pStyle w:val="Bullet1G"/>
        <w:rPr>
          <w:rFonts w:eastAsia="SimSun"/>
          <w:lang w:val="fr-CH"/>
        </w:rPr>
      </w:pPr>
      <w:r w:rsidRPr="00850D17">
        <w:rPr>
          <w:rFonts w:eastAsia="SimSun"/>
          <w:lang w:val="fr-CH"/>
        </w:rPr>
        <w:t xml:space="preserve">Le </w:t>
      </w:r>
      <w:r w:rsidR="00372ABF" w:rsidRPr="00850D17">
        <w:rPr>
          <w:rFonts w:eastAsia="SimSun"/>
          <w:lang w:val="fr-CH"/>
        </w:rPr>
        <w:t>Protocole</w:t>
      </w:r>
      <w:r w:rsidR="00DE751D">
        <w:rPr>
          <w:rFonts w:eastAsia="SimSun"/>
          <w:lang w:val="fr-CH"/>
        </w:rPr>
        <w:t xml:space="preserve"> </w:t>
      </w:r>
      <w:r w:rsidR="00372ABF" w:rsidRPr="00850D17">
        <w:rPr>
          <w:rFonts w:eastAsia="SimSun"/>
          <w:lang w:val="fr-CH"/>
        </w:rPr>
        <w:t>facultatif se rapportant au Pacte international relatif aux</w:t>
      </w:r>
      <w:r w:rsidR="00DE751D">
        <w:rPr>
          <w:rFonts w:eastAsia="SimSun"/>
          <w:lang w:val="fr-CH"/>
        </w:rPr>
        <w:t xml:space="preserve"> </w:t>
      </w:r>
      <w:r w:rsidR="00372ABF" w:rsidRPr="00850D17">
        <w:rPr>
          <w:rFonts w:eastAsia="SimSun"/>
          <w:lang w:val="fr-CH"/>
        </w:rPr>
        <w:t>droits économiques,</w:t>
      </w:r>
      <w:r w:rsidR="00DE751D">
        <w:rPr>
          <w:rFonts w:eastAsia="SimSun"/>
          <w:lang w:val="fr-CH"/>
        </w:rPr>
        <w:t xml:space="preserve"> </w:t>
      </w:r>
      <w:r w:rsidR="00372ABF" w:rsidRPr="00850D17">
        <w:rPr>
          <w:rFonts w:eastAsia="SimSun"/>
          <w:lang w:val="fr-CH"/>
        </w:rPr>
        <w:t>sociaux et culturels;</w:t>
      </w:r>
    </w:p>
    <w:p w:rsidR="00A11F46" w:rsidRPr="00850D17" w:rsidRDefault="00F06DCB" w:rsidP="00C6078F">
      <w:pPr>
        <w:pStyle w:val="Bullet1G"/>
        <w:rPr>
          <w:rFonts w:eastAsia="SimSun"/>
          <w:lang w:val="fr-CH"/>
        </w:rPr>
      </w:pPr>
      <w:r w:rsidRPr="00850D17">
        <w:rPr>
          <w:rFonts w:eastAsia="SimSun"/>
          <w:lang w:val="fr-CH"/>
        </w:rPr>
        <w:t xml:space="preserve">Le </w:t>
      </w:r>
      <w:r w:rsidR="00372ABF" w:rsidRPr="00850D17">
        <w:rPr>
          <w:rFonts w:eastAsia="SimSun"/>
          <w:lang w:val="fr-CH"/>
        </w:rPr>
        <w:t>Protocole</w:t>
      </w:r>
      <w:r w:rsidR="0012008D" w:rsidRPr="00850D17">
        <w:rPr>
          <w:rFonts w:eastAsia="SimSun"/>
          <w:lang w:val="fr-CH"/>
        </w:rPr>
        <w:t xml:space="preserve"> </w:t>
      </w:r>
      <w:r w:rsidR="00372ABF" w:rsidRPr="00850D17">
        <w:rPr>
          <w:rFonts w:eastAsia="SimSun"/>
          <w:lang w:val="fr-CH"/>
        </w:rPr>
        <w:t>facultatif à la Convention sur l</w:t>
      </w:r>
      <w:r w:rsidR="0012008D" w:rsidRPr="00850D17">
        <w:rPr>
          <w:rFonts w:eastAsia="SimSun"/>
          <w:lang w:val="fr-CH"/>
        </w:rPr>
        <w:t>’</w:t>
      </w:r>
      <w:r w:rsidR="00372ABF" w:rsidRPr="00850D17">
        <w:rPr>
          <w:rFonts w:eastAsia="SimSun"/>
          <w:lang w:val="fr-CH"/>
        </w:rPr>
        <w:t>élimination de toutes les formes de</w:t>
      </w:r>
      <w:r w:rsidR="001F06EF" w:rsidRPr="00850D17">
        <w:rPr>
          <w:rFonts w:eastAsia="SimSun"/>
          <w:lang w:val="fr-CH"/>
        </w:rPr>
        <w:t xml:space="preserve"> </w:t>
      </w:r>
      <w:r w:rsidR="00372ABF" w:rsidRPr="00850D17">
        <w:rPr>
          <w:rFonts w:eastAsia="SimSun"/>
          <w:lang w:val="fr-CH"/>
        </w:rPr>
        <w:t>discrimination</w:t>
      </w:r>
      <w:r w:rsidR="0012008D" w:rsidRPr="00850D17">
        <w:rPr>
          <w:rFonts w:eastAsia="SimSun"/>
          <w:lang w:val="fr-CH"/>
        </w:rPr>
        <w:t xml:space="preserve"> </w:t>
      </w:r>
      <w:r w:rsidR="00372ABF" w:rsidRPr="00850D17">
        <w:rPr>
          <w:rFonts w:eastAsia="SimSun"/>
          <w:lang w:val="fr-CH"/>
        </w:rPr>
        <w:t>à l</w:t>
      </w:r>
      <w:r w:rsidR="0012008D" w:rsidRPr="00850D17">
        <w:rPr>
          <w:rFonts w:eastAsia="SimSun"/>
          <w:lang w:val="fr-CH"/>
        </w:rPr>
        <w:t>’</w:t>
      </w:r>
      <w:r w:rsidR="00372ABF" w:rsidRPr="00850D17">
        <w:rPr>
          <w:rFonts w:eastAsia="SimSun"/>
          <w:lang w:val="fr-CH"/>
        </w:rPr>
        <w:t>égard des</w:t>
      </w:r>
      <w:r w:rsidR="0012008D" w:rsidRPr="00850D17">
        <w:rPr>
          <w:rFonts w:eastAsia="SimSun"/>
          <w:lang w:val="fr-CH"/>
        </w:rPr>
        <w:t xml:space="preserve"> </w:t>
      </w:r>
      <w:r w:rsidR="00372ABF" w:rsidRPr="00850D17">
        <w:rPr>
          <w:rFonts w:eastAsia="SimSun"/>
          <w:lang w:val="fr-CH"/>
        </w:rPr>
        <w:t>femmes;</w:t>
      </w:r>
      <w:r w:rsidR="00A11F46" w:rsidRPr="00850D17">
        <w:rPr>
          <w:rFonts w:eastAsia="SimSun"/>
          <w:lang w:val="fr-CH"/>
        </w:rPr>
        <w:t xml:space="preserve"> </w:t>
      </w:r>
    </w:p>
    <w:p w:rsidR="00A11F46" w:rsidRPr="00850D17" w:rsidRDefault="00F06DCB" w:rsidP="00C6078F">
      <w:pPr>
        <w:pStyle w:val="Bullet1G"/>
        <w:rPr>
          <w:rFonts w:eastAsia="SimSun"/>
          <w:lang w:val="fr-CH"/>
        </w:rPr>
      </w:pPr>
      <w:r w:rsidRPr="00850D17">
        <w:rPr>
          <w:rFonts w:eastAsia="SimSun"/>
          <w:lang w:val="fr-CH"/>
        </w:rPr>
        <w:t xml:space="preserve">Le </w:t>
      </w:r>
      <w:r w:rsidR="00A11F46" w:rsidRPr="00850D17">
        <w:rPr>
          <w:rFonts w:eastAsia="SimSun"/>
          <w:lang w:val="fr-CH"/>
        </w:rPr>
        <w:t xml:space="preserve">protocole facultatif à la Convention relative aux droits de l’enfant établissant une procédure de présentation de communications. </w:t>
      </w:r>
    </w:p>
    <w:p w:rsidR="00776A36" w:rsidRPr="005023BC" w:rsidRDefault="00727F4C" w:rsidP="00B06C89">
      <w:pPr>
        <w:pStyle w:val="H23G"/>
        <w:rPr>
          <w:rFonts w:eastAsia="SimSun"/>
          <w:lang w:val="fr-CH"/>
        </w:rPr>
      </w:pPr>
      <w:r w:rsidRPr="00850D17">
        <w:rPr>
          <w:rFonts w:eastAsia="SimSun"/>
          <w:lang w:val="fr-CH"/>
        </w:rPr>
        <w:lastRenderedPageBreak/>
        <w:tab/>
        <w:t>2.</w:t>
      </w:r>
      <w:r w:rsidRPr="00850D17">
        <w:rPr>
          <w:rFonts w:eastAsia="SimSun"/>
          <w:lang w:val="fr-CH"/>
        </w:rPr>
        <w:tab/>
      </w:r>
      <w:r w:rsidR="00805F87" w:rsidRPr="00850D17">
        <w:rPr>
          <w:lang w:val="fr-CH"/>
        </w:rPr>
        <w:t xml:space="preserve">Soumission des rapports </w:t>
      </w:r>
      <w:r w:rsidR="004E3E6F" w:rsidRPr="00850D17">
        <w:rPr>
          <w:lang w:val="fr-CH"/>
        </w:rPr>
        <w:t xml:space="preserve">aux organes </w:t>
      </w:r>
      <w:r w:rsidR="00237EB3" w:rsidRPr="00C36970">
        <w:rPr>
          <w:lang w:val="fr-CH"/>
        </w:rPr>
        <w:t>conventionnels</w:t>
      </w:r>
      <w:r w:rsidR="004E3E6F" w:rsidRPr="00850D17">
        <w:rPr>
          <w:lang w:val="fr-CH"/>
        </w:rPr>
        <w:t xml:space="preserve"> et à l’</w:t>
      </w:r>
      <w:r w:rsidR="0070481F">
        <w:rPr>
          <w:lang w:val="fr-CH"/>
        </w:rPr>
        <w:t>e</w:t>
      </w:r>
      <w:r w:rsidR="004E3E6F" w:rsidRPr="00850D17">
        <w:rPr>
          <w:lang w:val="fr-CH"/>
        </w:rPr>
        <w:t xml:space="preserve">xamen périodique universel, </w:t>
      </w:r>
      <w:r w:rsidR="00805F87" w:rsidRPr="00850D17">
        <w:rPr>
          <w:lang w:val="fr-CH"/>
        </w:rPr>
        <w:t>et</w:t>
      </w:r>
      <w:r w:rsidR="00244A78">
        <w:rPr>
          <w:lang w:val="fr-CH"/>
        </w:rPr>
        <w:t> </w:t>
      </w:r>
      <w:r w:rsidR="00805F87" w:rsidRPr="00850D17">
        <w:rPr>
          <w:lang w:val="fr-CH"/>
        </w:rPr>
        <w:t xml:space="preserve">collaboration avec les procédures spéciales des Nations </w:t>
      </w:r>
      <w:r w:rsidR="00DE751D">
        <w:rPr>
          <w:lang w:val="fr-CH"/>
        </w:rPr>
        <w:t>U</w:t>
      </w:r>
      <w:r w:rsidR="00805F87" w:rsidRPr="00850D17">
        <w:rPr>
          <w:lang w:val="fr-CH"/>
        </w:rPr>
        <w:t>nies</w:t>
      </w:r>
    </w:p>
    <w:p w:rsidR="00902AC4" w:rsidRPr="00850D17" w:rsidRDefault="00902AC4" w:rsidP="00991597">
      <w:pPr>
        <w:pStyle w:val="SingleTxtG"/>
        <w:numPr>
          <w:ilvl w:val="0"/>
          <w:numId w:val="7"/>
        </w:numPr>
        <w:tabs>
          <w:tab w:val="left" w:pos="1134"/>
        </w:tabs>
        <w:ind w:left="1134" w:firstLine="0"/>
        <w:rPr>
          <w:lang w:val="fr-CH"/>
        </w:rPr>
      </w:pPr>
      <w:r w:rsidRPr="00850D17">
        <w:rPr>
          <w:lang w:val="fr-CH"/>
        </w:rPr>
        <w:t xml:space="preserve">Dans son rapport </w:t>
      </w:r>
      <w:r w:rsidR="004F691D">
        <w:rPr>
          <w:lang w:val="fr-CH"/>
        </w:rPr>
        <w:t>de mission en République démocratique du Congo (</w:t>
      </w:r>
      <w:r w:rsidRPr="00850D17">
        <w:rPr>
          <w:lang w:val="fr-CH"/>
        </w:rPr>
        <w:t>A/HRC/13/22/Add.2</w:t>
      </w:r>
      <w:r w:rsidR="004F691D">
        <w:rPr>
          <w:lang w:val="fr-CH"/>
        </w:rPr>
        <w:t>),</w:t>
      </w:r>
      <w:r w:rsidRPr="00850D17">
        <w:rPr>
          <w:lang w:val="fr-CH"/>
        </w:rPr>
        <w:t xml:space="preserve"> </w:t>
      </w:r>
      <w:r w:rsidR="004F691D">
        <w:rPr>
          <w:lang w:val="fr-CH"/>
        </w:rPr>
        <w:t>en</w:t>
      </w:r>
      <w:r w:rsidRPr="00850D17">
        <w:rPr>
          <w:lang w:val="fr-CH"/>
        </w:rPr>
        <w:t xml:space="preserve"> 2009, l</w:t>
      </w:r>
      <w:r w:rsidR="004F691D">
        <w:rPr>
          <w:lang w:val="fr-CH"/>
        </w:rPr>
        <w:t>a</w:t>
      </w:r>
      <w:r w:rsidRPr="00850D17">
        <w:rPr>
          <w:lang w:val="fr-CH"/>
        </w:rPr>
        <w:t xml:space="preserve"> Rapporteu</w:t>
      </w:r>
      <w:r w:rsidR="004F691D">
        <w:rPr>
          <w:lang w:val="fr-CH"/>
        </w:rPr>
        <w:t>se</w:t>
      </w:r>
      <w:r w:rsidRPr="00850D17">
        <w:rPr>
          <w:lang w:val="fr-CH"/>
        </w:rPr>
        <w:t xml:space="preserve"> spécial</w:t>
      </w:r>
      <w:r w:rsidR="004F691D">
        <w:rPr>
          <w:lang w:val="fr-CH"/>
        </w:rPr>
        <w:t>e</w:t>
      </w:r>
      <w:r w:rsidRPr="00850D17">
        <w:rPr>
          <w:lang w:val="fr-CH"/>
        </w:rPr>
        <w:t xml:space="preserve"> sur la situation des défenseurs des droits de l’homme </w:t>
      </w:r>
      <w:r w:rsidR="00767EBD" w:rsidRPr="00850D17">
        <w:rPr>
          <w:lang w:val="fr-CH"/>
        </w:rPr>
        <w:t xml:space="preserve">a </w:t>
      </w:r>
      <w:r w:rsidRPr="00850D17">
        <w:rPr>
          <w:lang w:val="fr-CH"/>
        </w:rPr>
        <w:t xml:space="preserve">recommandé l’amélioration des capacités du Comité technique interministériel </w:t>
      </w:r>
      <w:r w:rsidR="00AA7E3F">
        <w:rPr>
          <w:lang w:val="fr-CH"/>
        </w:rPr>
        <w:t>chargé de l</w:t>
      </w:r>
      <w:r w:rsidRPr="00850D17">
        <w:rPr>
          <w:lang w:val="fr-CH"/>
        </w:rPr>
        <w:t>’élaboration et d</w:t>
      </w:r>
      <w:r w:rsidR="00AA7E3F">
        <w:rPr>
          <w:lang w:val="fr-CH"/>
        </w:rPr>
        <w:t>u</w:t>
      </w:r>
      <w:r w:rsidRPr="00850D17">
        <w:rPr>
          <w:lang w:val="fr-CH"/>
        </w:rPr>
        <w:t xml:space="preserve"> suivi des rapports initiaux et périodiques </w:t>
      </w:r>
      <w:r w:rsidR="002A1229">
        <w:rPr>
          <w:lang w:val="fr-CH"/>
        </w:rPr>
        <w:t xml:space="preserve">au titre </w:t>
      </w:r>
      <w:r w:rsidRPr="00850D17">
        <w:rPr>
          <w:lang w:val="fr-CH"/>
        </w:rPr>
        <w:t xml:space="preserve">des </w:t>
      </w:r>
      <w:r w:rsidR="002A1229">
        <w:rPr>
          <w:lang w:val="fr-CH"/>
        </w:rPr>
        <w:t xml:space="preserve">instruments relatifs aux </w:t>
      </w:r>
      <w:r w:rsidRPr="00850D17">
        <w:rPr>
          <w:lang w:val="fr-CH"/>
        </w:rPr>
        <w:t xml:space="preserve">droits de l’homme (CIDH) afin de </w:t>
      </w:r>
      <w:r w:rsidR="001D112D" w:rsidRPr="00850D17">
        <w:rPr>
          <w:lang w:val="fr-CH"/>
        </w:rPr>
        <w:t xml:space="preserve">faciliter la soumission ponctuelle </w:t>
      </w:r>
      <w:r w:rsidRPr="00850D17">
        <w:rPr>
          <w:lang w:val="fr-CH"/>
        </w:rPr>
        <w:t xml:space="preserve">des rapports. </w:t>
      </w:r>
    </w:p>
    <w:p w:rsidR="0064702E" w:rsidRPr="00850D17" w:rsidRDefault="0041283B" w:rsidP="00C36970">
      <w:pPr>
        <w:pStyle w:val="SingleTxtG"/>
        <w:numPr>
          <w:ilvl w:val="0"/>
          <w:numId w:val="7"/>
        </w:numPr>
        <w:tabs>
          <w:tab w:val="left" w:pos="1134"/>
        </w:tabs>
        <w:ind w:left="1134" w:firstLine="0"/>
        <w:rPr>
          <w:lang w:val="fr-CH"/>
        </w:rPr>
      </w:pPr>
      <w:r w:rsidRPr="00850D17">
        <w:rPr>
          <w:lang w:val="fr-CH"/>
        </w:rPr>
        <w:t xml:space="preserve">Entre 2011 et 2012, </w:t>
      </w:r>
      <w:r w:rsidR="001F06EF" w:rsidRPr="00850D17">
        <w:rPr>
          <w:lang w:val="fr-CH"/>
        </w:rPr>
        <w:t>les</w:t>
      </w:r>
      <w:r w:rsidRPr="00850D17">
        <w:rPr>
          <w:lang w:val="fr-CH"/>
        </w:rPr>
        <w:t xml:space="preserve"> rapports </w:t>
      </w:r>
      <w:r w:rsidR="00E72ED4" w:rsidRPr="00850D17">
        <w:rPr>
          <w:lang w:val="fr-CH"/>
        </w:rPr>
        <w:t>périodiques cumulés au Comité des droits de l</w:t>
      </w:r>
      <w:r w:rsidR="0012008D" w:rsidRPr="00850D17">
        <w:rPr>
          <w:lang w:val="fr-CH"/>
        </w:rPr>
        <w:t>’</w:t>
      </w:r>
      <w:r w:rsidR="00E72ED4" w:rsidRPr="00850D17">
        <w:rPr>
          <w:lang w:val="fr-CH"/>
        </w:rPr>
        <w:t>enfant, au Comité pour l</w:t>
      </w:r>
      <w:r w:rsidR="0012008D" w:rsidRPr="00850D17">
        <w:rPr>
          <w:lang w:val="fr-CH"/>
        </w:rPr>
        <w:t>’</w:t>
      </w:r>
      <w:r w:rsidR="00E72ED4" w:rsidRPr="00850D17">
        <w:rPr>
          <w:lang w:val="fr-CH"/>
        </w:rPr>
        <w:t>élimination de la discrimination à l</w:t>
      </w:r>
      <w:r w:rsidR="0012008D" w:rsidRPr="00850D17">
        <w:rPr>
          <w:lang w:val="fr-CH"/>
        </w:rPr>
        <w:t>’</w:t>
      </w:r>
      <w:r w:rsidR="00E72ED4" w:rsidRPr="00850D17">
        <w:rPr>
          <w:lang w:val="fr-CH"/>
        </w:rPr>
        <w:t>égard des femmes et au Comité des droits de l</w:t>
      </w:r>
      <w:r w:rsidR="0012008D" w:rsidRPr="00850D17">
        <w:rPr>
          <w:lang w:val="fr-CH"/>
        </w:rPr>
        <w:t>’</w:t>
      </w:r>
      <w:r w:rsidR="00E72ED4" w:rsidRPr="00850D17">
        <w:rPr>
          <w:lang w:val="fr-CH"/>
        </w:rPr>
        <w:t xml:space="preserve">homme </w:t>
      </w:r>
      <w:r w:rsidR="001F06EF" w:rsidRPr="00850D17">
        <w:rPr>
          <w:lang w:val="fr-CH"/>
        </w:rPr>
        <w:t xml:space="preserve">ont été soumis </w:t>
      </w:r>
      <w:r w:rsidRPr="00850D17">
        <w:rPr>
          <w:lang w:val="fr-CH"/>
        </w:rPr>
        <w:t xml:space="preserve">grâce à l’assistance </w:t>
      </w:r>
      <w:r w:rsidR="009A27DE" w:rsidRPr="00850D17">
        <w:rPr>
          <w:lang w:val="fr-CH"/>
        </w:rPr>
        <w:t>octroyée au CIDH</w:t>
      </w:r>
      <w:r w:rsidR="009A27DE">
        <w:rPr>
          <w:lang w:val="fr-CH"/>
        </w:rPr>
        <w:t xml:space="preserve"> par le</w:t>
      </w:r>
      <w:r w:rsidRPr="00850D17">
        <w:rPr>
          <w:lang w:val="fr-CH"/>
        </w:rPr>
        <w:t xml:space="preserve"> BCNUDH, </w:t>
      </w:r>
      <w:r w:rsidR="009A27DE">
        <w:rPr>
          <w:lang w:val="fr-CH"/>
        </w:rPr>
        <w:t>le</w:t>
      </w:r>
      <w:r w:rsidR="009A27DE" w:rsidRPr="00850D17">
        <w:rPr>
          <w:lang w:val="fr-CH"/>
        </w:rPr>
        <w:t xml:space="preserve"> </w:t>
      </w:r>
      <w:r w:rsidRPr="00850D17">
        <w:rPr>
          <w:lang w:val="fr-CH"/>
        </w:rPr>
        <w:t xml:space="preserve">PNUD et l’UNICEF. </w:t>
      </w:r>
    </w:p>
    <w:p w:rsidR="0041283B" w:rsidRPr="00850D17" w:rsidRDefault="0064702E" w:rsidP="005C5CD7">
      <w:pPr>
        <w:pStyle w:val="SingleTxtG"/>
        <w:numPr>
          <w:ilvl w:val="0"/>
          <w:numId w:val="7"/>
        </w:numPr>
        <w:tabs>
          <w:tab w:val="left" w:pos="1134"/>
        </w:tabs>
        <w:ind w:left="1134" w:firstLine="0"/>
        <w:rPr>
          <w:lang w:val="fr-CH"/>
        </w:rPr>
      </w:pPr>
      <w:r w:rsidRPr="00850D17">
        <w:rPr>
          <w:lang w:val="fr-CH"/>
        </w:rPr>
        <w:t>Des</w:t>
      </w:r>
      <w:r w:rsidR="001F06EF" w:rsidRPr="00850D17">
        <w:rPr>
          <w:lang w:val="fr-CH"/>
        </w:rPr>
        <w:t xml:space="preserve"> </w:t>
      </w:r>
      <w:r w:rsidR="0041283B" w:rsidRPr="00850D17">
        <w:rPr>
          <w:lang w:val="fr-CH"/>
        </w:rPr>
        <w:t xml:space="preserve">rapports </w:t>
      </w:r>
      <w:r w:rsidRPr="00850D17">
        <w:rPr>
          <w:lang w:val="fr-CH"/>
        </w:rPr>
        <w:t>restent à soumettre au</w:t>
      </w:r>
      <w:r w:rsidR="0041283B" w:rsidRPr="00850D17">
        <w:rPr>
          <w:lang w:val="fr-CH"/>
        </w:rPr>
        <w:t xml:space="preserve"> Comité contre la torture (depuis 2009)</w:t>
      </w:r>
      <w:r w:rsidRPr="00850D17">
        <w:rPr>
          <w:lang w:val="fr-CH"/>
        </w:rPr>
        <w:t>,</w:t>
      </w:r>
      <w:r w:rsidR="002B559A" w:rsidRPr="00850D17">
        <w:rPr>
          <w:lang w:val="fr-CH"/>
        </w:rPr>
        <w:t xml:space="preserve"> </w:t>
      </w:r>
      <w:r w:rsidRPr="00850D17">
        <w:rPr>
          <w:lang w:val="fr-CH"/>
        </w:rPr>
        <w:t>au</w:t>
      </w:r>
      <w:r w:rsidR="0041283B" w:rsidRPr="00850D17">
        <w:rPr>
          <w:lang w:val="fr-CH"/>
        </w:rPr>
        <w:t xml:space="preserve"> Comité pour l’élimination de la discrimination raciale (depuis 2011)</w:t>
      </w:r>
      <w:r w:rsidRPr="00850D17">
        <w:rPr>
          <w:lang w:val="fr-CH"/>
        </w:rPr>
        <w:t xml:space="preserve"> </w:t>
      </w:r>
      <w:r w:rsidR="002B559A" w:rsidRPr="00850D17">
        <w:rPr>
          <w:lang w:val="fr-CH"/>
        </w:rPr>
        <w:t>e</w:t>
      </w:r>
      <w:r w:rsidRPr="00850D17">
        <w:rPr>
          <w:lang w:val="fr-CH"/>
        </w:rPr>
        <w:t>t</w:t>
      </w:r>
      <w:r w:rsidR="002B559A" w:rsidRPr="00850D17">
        <w:rPr>
          <w:lang w:val="fr-CH"/>
        </w:rPr>
        <w:t xml:space="preserve"> </w:t>
      </w:r>
      <w:r w:rsidRPr="00850D17">
        <w:rPr>
          <w:lang w:val="fr-CH"/>
        </w:rPr>
        <w:t>au</w:t>
      </w:r>
      <w:r w:rsidR="0041283B" w:rsidRPr="00850D17">
        <w:rPr>
          <w:lang w:val="fr-CH"/>
        </w:rPr>
        <w:t xml:space="preserve"> Comité des droits économiques, sociaux et culturels (depuis 2013). </w:t>
      </w:r>
    </w:p>
    <w:p w:rsidR="0041283B" w:rsidRPr="00850D17" w:rsidRDefault="002100C7" w:rsidP="00991597">
      <w:pPr>
        <w:pStyle w:val="SingleTxtG"/>
        <w:numPr>
          <w:ilvl w:val="0"/>
          <w:numId w:val="7"/>
        </w:numPr>
        <w:tabs>
          <w:tab w:val="left" w:pos="1134"/>
        </w:tabs>
        <w:ind w:left="1134" w:firstLine="0"/>
        <w:rPr>
          <w:rFonts w:eastAsia="SimSun"/>
          <w:lang w:val="fr-CH"/>
        </w:rPr>
      </w:pPr>
      <w:r w:rsidRPr="00850D17">
        <w:rPr>
          <w:lang w:val="fr-CH"/>
        </w:rPr>
        <w:t xml:space="preserve">Dans le cadre de la participation de la </w:t>
      </w:r>
      <w:r w:rsidR="0070481F">
        <w:rPr>
          <w:lang w:val="fr-CH"/>
        </w:rPr>
        <w:t>République démocratique du Congo</w:t>
      </w:r>
      <w:r w:rsidRPr="00850D17">
        <w:rPr>
          <w:lang w:val="fr-CH"/>
        </w:rPr>
        <w:t xml:space="preserve"> à l’</w:t>
      </w:r>
      <w:r w:rsidR="0070481F">
        <w:rPr>
          <w:lang w:val="fr-CH"/>
        </w:rPr>
        <w:t>examen périodique universel (</w:t>
      </w:r>
      <w:r w:rsidRPr="00850D17">
        <w:rPr>
          <w:lang w:val="fr-CH"/>
        </w:rPr>
        <w:t>EPU</w:t>
      </w:r>
      <w:r w:rsidR="0070481F">
        <w:rPr>
          <w:lang w:val="fr-CH"/>
        </w:rPr>
        <w:t>)</w:t>
      </w:r>
      <w:r w:rsidRPr="00850D17">
        <w:rPr>
          <w:lang w:val="fr-CH"/>
        </w:rPr>
        <w:t xml:space="preserve"> en 2009 et 2014, </w:t>
      </w:r>
      <w:r w:rsidR="0041283B" w:rsidRPr="00850D17">
        <w:rPr>
          <w:lang w:val="fr-CH"/>
        </w:rPr>
        <w:t>le BCNUDH</w:t>
      </w:r>
      <w:r w:rsidR="00E72ED4" w:rsidRPr="00850D17">
        <w:rPr>
          <w:lang w:val="fr-CH"/>
        </w:rPr>
        <w:t xml:space="preserve"> a</w:t>
      </w:r>
      <w:r w:rsidR="0041283B" w:rsidRPr="00850D17">
        <w:rPr>
          <w:lang w:val="fr-CH"/>
        </w:rPr>
        <w:t xml:space="preserve"> apporté un appui </w:t>
      </w:r>
      <w:r w:rsidR="00FD4C6C" w:rsidRPr="00850D17">
        <w:rPr>
          <w:lang w:val="fr-CH"/>
        </w:rPr>
        <w:t xml:space="preserve">technique et financier </w:t>
      </w:r>
      <w:r w:rsidRPr="00850D17">
        <w:rPr>
          <w:lang w:val="fr-CH"/>
        </w:rPr>
        <w:t xml:space="preserve">au CIDH </w:t>
      </w:r>
      <w:r w:rsidR="0041283B" w:rsidRPr="00850D17">
        <w:rPr>
          <w:lang w:val="fr-CH"/>
        </w:rPr>
        <w:t>pour la so</w:t>
      </w:r>
      <w:r w:rsidRPr="00850D17">
        <w:rPr>
          <w:lang w:val="fr-CH"/>
        </w:rPr>
        <w:t>umission des rapports étatiques. Le</w:t>
      </w:r>
      <w:r w:rsidR="0041283B" w:rsidRPr="00850D17">
        <w:rPr>
          <w:lang w:val="fr-CH"/>
        </w:rPr>
        <w:t xml:space="preserve"> pays a accepté 190</w:t>
      </w:r>
      <w:r w:rsidR="00BA42C4">
        <w:rPr>
          <w:lang w:val="fr-CH"/>
        </w:rPr>
        <w:t> </w:t>
      </w:r>
      <w:r w:rsidR="0041283B" w:rsidRPr="00850D17">
        <w:rPr>
          <w:lang w:val="fr-CH"/>
        </w:rPr>
        <w:t xml:space="preserve">recommandations et </w:t>
      </w:r>
      <w:r w:rsidR="0064702E" w:rsidRPr="00850D17">
        <w:rPr>
          <w:lang w:val="fr-CH"/>
        </w:rPr>
        <w:t xml:space="preserve">a </w:t>
      </w:r>
      <w:r w:rsidR="006C22D5" w:rsidRPr="00850D17">
        <w:rPr>
          <w:lang w:val="fr-CH"/>
        </w:rPr>
        <w:t>pris note</w:t>
      </w:r>
      <w:r w:rsidR="00414EDE" w:rsidRPr="00850D17">
        <w:rPr>
          <w:lang w:val="fr-CH"/>
        </w:rPr>
        <w:t xml:space="preserve"> de 39</w:t>
      </w:r>
      <w:r w:rsidR="00D55FA4">
        <w:rPr>
          <w:lang w:val="fr-CH"/>
        </w:rPr>
        <w:t xml:space="preserve"> </w:t>
      </w:r>
      <w:r w:rsidR="00D55FA4" w:rsidRPr="00850D17">
        <w:rPr>
          <w:lang w:val="fr-CH"/>
        </w:rPr>
        <w:t>autres</w:t>
      </w:r>
      <w:r w:rsidR="006C22D5" w:rsidRPr="00850D17">
        <w:rPr>
          <w:rStyle w:val="FootnoteReference"/>
          <w:lang w:val="fr-CH"/>
        </w:rPr>
        <w:footnoteReference w:id="7"/>
      </w:r>
      <w:r w:rsidR="001A2FD7" w:rsidRPr="00850D17">
        <w:rPr>
          <w:lang w:val="fr-CH"/>
        </w:rPr>
        <w:t xml:space="preserve"> à l</w:t>
      </w:r>
      <w:r w:rsidR="0012008D" w:rsidRPr="00850D17">
        <w:rPr>
          <w:lang w:val="fr-CH"/>
        </w:rPr>
        <w:t>’</w:t>
      </w:r>
      <w:r w:rsidR="001A2FD7" w:rsidRPr="00850D17">
        <w:rPr>
          <w:lang w:val="fr-CH"/>
        </w:rPr>
        <w:t>issue</w:t>
      </w:r>
      <w:r w:rsidR="0041283B" w:rsidRPr="00850D17">
        <w:rPr>
          <w:lang w:val="fr-CH"/>
        </w:rPr>
        <w:t xml:space="preserve"> </w:t>
      </w:r>
      <w:r w:rsidR="001A2FD7" w:rsidRPr="00850D17">
        <w:rPr>
          <w:lang w:val="fr-CH"/>
        </w:rPr>
        <w:t>du</w:t>
      </w:r>
      <w:r w:rsidR="0041283B" w:rsidRPr="00850D17">
        <w:rPr>
          <w:lang w:val="fr-CH"/>
        </w:rPr>
        <w:t xml:space="preserve"> deuxième cycle de l</w:t>
      </w:r>
      <w:r w:rsidR="0012008D" w:rsidRPr="00850D17">
        <w:rPr>
          <w:lang w:val="fr-CH"/>
        </w:rPr>
        <w:t>’</w:t>
      </w:r>
      <w:r w:rsidR="0041283B" w:rsidRPr="00850D17">
        <w:rPr>
          <w:lang w:val="fr-CH"/>
        </w:rPr>
        <w:t>EPU</w:t>
      </w:r>
      <w:r w:rsidR="00805F87" w:rsidRPr="00850D17">
        <w:rPr>
          <w:lang w:val="fr-CH"/>
        </w:rPr>
        <w:t xml:space="preserve">. </w:t>
      </w:r>
      <w:r w:rsidR="0064702E" w:rsidRPr="00850D17">
        <w:rPr>
          <w:lang w:val="fr-CH"/>
        </w:rPr>
        <w:t>L</w:t>
      </w:r>
      <w:r w:rsidR="0012008D" w:rsidRPr="00850D17">
        <w:rPr>
          <w:lang w:val="fr-CH"/>
        </w:rPr>
        <w:t>’</w:t>
      </w:r>
      <w:r w:rsidR="0041283B" w:rsidRPr="00850D17">
        <w:rPr>
          <w:lang w:val="fr-CH"/>
        </w:rPr>
        <w:t xml:space="preserve">appui </w:t>
      </w:r>
      <w:r w:rsidR="001F06EF" w:rsidRPr="00850D17">
        <w:rPr>
          <w:lang w:val="fr-CH"/>
        </w:rPr>
        <w:t>du</w:t>
      </w:r>
      <w:r w:rsidR="0041283B" w:rsidRPr="00850D17">
        <w:rPr>
          <w:rFonts w:eastAsia="SimSun"/>
          <w:lang w:val="fr-CH"/>
        </w:rPr>
        <w:t xml:space="preserve"> BCNUDH</w:t>
      </w:r>
      <w:r w:rsidR="00E72ED4" w:rsidRPr="00850D17">
        <w:rPr>
          <w:rFonts w:eastAsia="SimSun"/>
          <w:lang w:val="fr-CH"/>
        </w:rPr>
        <w:t xml:space="preserve"> </w:t>
      </w:r>
      <w:r w:rsidR="001F06EF" w:rsidRPr="00850D17">
        <w:rPr>
          <w:rFonts w:eastAsia="SimSun"/>
          <w:lang w:val="fr-CH"/>
        </w:rPr>
        <w:t xml:space="preserve">a permis </w:t>
      </w:r>
      <w:r w:rsidR="00C32BFB" w:rsidRPr="00850D17">
        <w:rPr>
          <w:rFonts w:eastAsia="SimSun"/>
          <w:lang w:val="fr-CH"/>
        </w:rPr>
        <w:t xml:space="preserve">l’élaboration d’un plan de mise en œuvre des recommandations, y compris grâce au financement </w:t>
      </w:r>
      <w:r w:rsidR="00C32BFB" w:rsidRPr="00991597">
        <w:rPr>
          <w:rFonts w:eastAsia="SimSun"/>
          <w:lang w:val="fr-CH"/>
        </w:rPr>
        <w:t>du</w:t>
      </w:r>
      <w:r w:rsidR="0012008D" w:rsidRPr="00991597">
        <w:rPr>
          <w:rFonts w:eastAsia="SimSun"/>
          <w:lang w:val="fr-CH"/>
        </w:rPr>
        <w:t xml:space="preserve"> </w:t>
      </w:r>
      <w:r w:rsidR="00A24E61" w:rsidRPr="00C36970">
        <w:rPr>
          <w:lang w:val="fr-CH"/>
        </w:rPr>
        <w:t>Fonds de c</w:t>
      </w:r>
      <w:r w:rsidR="00A24E61" w:rsidRPr="00991597">
        <w:rPr>
          <w:lang w:val="fr-CH"/>
        </w:rPr>
        <w:t>ontributions volontaires pour l</w:t>
      </w:r>
      <w:r w:rsidR="00A24E61" w:rsidRPr="00A24E61">
        <w:rPr>
          <w:lang w:val="fr-CH"/>
        </w:rPr>
        <w:t>’</w:t>
      </w:r>
      <w:r w:rsidR="00A24E61" w:rsidRPr="00C36970">
        <w:rPr>
          <w:lang w:val="fr-CH"/>
        </w:rPr>
        <w:t>assistance financière et technique aux fins de la mise en œuvre</w:t>
      </w:r>
      <w:r w:rsidR="00A24E61" w:rsidRPr="00991597">
        <w:rPr>
          <w:lang w:val="fr-CH"/>
        </w:rPr>
        <w:t xml:space="preserve"> des recommandations faites à l</w:t>
      </w:r>
      <w:r w:rsidR="00A24E61" w:rsidRPr="00A24E61">
        <w:rPr>
          <w:lang w:val="fr-CH"/>
        </w:rPr>
        <w:t>’</w:t>
      </w:r>
      <w:r w:rsidR="00A24E61" w:rsidRPr="00991597">
        <w:rPr>
          <w:lang w:val="fr-CH"/>
        </w:rPr>
        <w:t>issue de l</w:t>
      </w:r>
      <w:r w:rsidR="00A24E61" w:rsidRPr="00A24E61">
        <w:rPr>
          <w:lang w:val="fr-CH"/>
        </w:rPr>
        <w:t>’</w:t>
      </w:r>
      <w:r w:rsidR="00A24E61" w:rsidRPr="00C36970">
        <w:rPr>
          <w:lang w:val="fr-CH"/>
        </w:rPr>
        <w:t>EPU</w:t>
      </w:r>
      <w:r w:rsidR="00C32BFB" w:rsidRPr="00850D17">
        <w:rPr>
          <w:rFonts w:eastAsia="SimSun"/>
          <w:lang w:val="fr-CH"/>
        </w:rPr>
        <w:t>.</w:t>
      </w:r>
    </w:p>
    <w:p w:rsidR="004E3E6F" w:rsidRPr="00850D17" w:rsidRDefault="005F627F" w:rsidP="00C36970">
      <w:pPr>
        <w:pStyle w:val="SingleTxtG"/>
        <w:numPr>
          <w:ilvl w:val="0"/>
          <w:numId w:val="7"/>
        </w:numPr>
        <w:tabs>
          <w:tab w:val="left" w:pos="1134"/>
        </w:tabs>
        <w:ind w:left="1134" w:firstLine="0"/>
        <w:rPr>
          <w:lang w:val="fr-CH"/>
        </w:rPr>
      </w:pPr>
      <w:r w:rsidRPr="00850D17">
        <w:rPr>
          <w:lang w:val="fr-CH"/>
        </w:rPr>
        <w:t xml:space="preserve">Pendant la période </w:t>
      </w:r>
      <w:r w:rsidR="005E2578">
        <w:rPr>
          <w:lang w:val="fr-CH"/>
        </w:rPr>
        <w:t>considérée</w:t>
      </w:r>
      <w:r w:rsidRPr="00850D17">
        <w:rPr>
          <w:lang w:val="fr-CH"/>
        </w:rPr>
        <w:t>, l</w:t>
      </w:r>
      <w:r w:rsidR="001F06EF" w:rsidRPr="00850D17">
        <w:rPr>
          <w:lang w:val="fr-CH"/>
        </w:rPr>
        <w:t xml:space="preserve">a </w:t>
      </w:r>
      <w:r w:rsidR="00670271" w:rsidRPr="00850D17">
        <w:rPr>
          <w:lang w:val="fr-CH"/>
        </w:rPr>
        <w:t>République démocratique du Congo</w:t>
      </w:r>
      <w:r w:rsidR="001F06EF" w:rsidRPr="00850D17">
        <w:rPr>
          <w:lang w:val="fr-CH"/>
        </w:rPr>
        <w:t xml:space="preserve"> a enregistré </w:t>
      </w:r>
      <w:r w:rsidR="00F56501">
        <w:rPr>
          <w:lang w:val="fr-CH"/>
        </w:rPr>
        <w:t>cinq</w:t>
      </w:r>
      <w:r w:rsidR="00F56501" w:rsidRPr="00850D17">
        <w:rPr>
          <w:lang w:val="fr-CH"/>
        </w:rPr>
        <w:t xml:space="preserve"> </w:t>
      </w:r>
      <w:r w:rsidRPr="00C36970">
        <w:rPr>
          <w:lang w:val="fr-CH"/>
        </w:rPr>
        <w:t>visit</w:t>
      </w:r>
      <w:r w:rsidR="001F06EF" w:rsidRPr="00C36970">
        <w:rPr>
          <w:lang w:val="fr-CH"/>
        </w:rPr>
        <w:t>e</w:t>
      </w:r>
      <w:r w:rsidR="00F56501" w:rsidRPr="00C36970">
        <w:rPr>
          <w:lang w:val="fr-CH"/>
        </w:rPr>
        <w:t>s au titre des</w:t>
      </w:r>
      <w:r w:rsidR="001F06EF" w:rsidRPr="00C36970">
        <w:rPr>
          <w:lang w:val="fr-CH"/>
        </w:rPr>
        <w:t xml:space="preserve"> </w:t>
      </w:r>
      <w:r w:rsidRPr="00C36970">
        <w:rPr>
          <w:lang w:val="fr-CH"/>
        </w:rPr>
        <w:t>procédures spéciales</w:t>
      </w:r>
      <w:r w:rsidR="001F06EF" w:rsidRPr="00850D17">
        <w:rPr>
          <w:rStyle w:val="FootnoteReference"/>
          <w:lang w:val="fr-CH"/>
        </w:rPr>
        <w:footnoteReference w:id="8"/>
      </w:r>
      <w:r w:rsidR="0064702E" w:rsidRPr="00850D17">
        <w:rPr>
          <w:lang w:val="fr-CH"/>
        </w:rPr>
        <w:t>,</w:t>
      </w:r>
      <w:r w:rsidRPr="00850D17">
        <w:rPr>
          <w:lang w:val="fr-CH"/>
        </w:rPr>
        <w:t xml:space="preserve"> </w:t>
      </w:r>
      <w:r w:rsidR="00180BF7" w:rsidRPr="00850D17">
        <w:rPr>
          <w:lang w:val="fr-CH"/>
        </w:rPr>
        <w:t>en plus des</w:t>
      </w:r>
      <w:r w:rsidR="003C41F3" w:rsidRPr="00850D17">
        <w:rPr>
          <w:lang w:val="fr-CH"/>
        </w:rPr>
        <w:t xml:space="preserve"> 11</w:t>
      </w:r>
      <w:r w:rsidR="00BA42C4">
        <w:rPr>
          <w:lang w:val="fr-CH"/>
        </w:rPr>
        <w:t> </w:t>
      </w:r>
      <w:r w:rsidR="003C41F3" w:rsidRPr="00850D17">
        <w:rPr>
          <w:lang w:val="fr-CH"/>
        </w:rPr>
        <w:t>visites</w:t>
      </w:r>
      <w:r w:rsidRPr="00850D17">
        <w:rPr>
          <w:lang w:val="fr-CH"/>
        </w:rPr>
        <w:t xml:space="preserve"> enregistrées avant 2008</w:t>
      </w:r>
      <w:r w:rsidR="00180BF7" w:rsidRPr="00850D17">
        <w:rPr>
          <w:lang w:val="fr-CH"/>
        </w:rPr>
        <w:t>. Le HCDH a apporté l</w:t>
      </w:r>
      <w:r w:rsidR="0012008D" w:rsidRPr="00850D17">
        <w:rPr>
          <w:lang w:val="fr-CH"/>
        </w:rPr>
        <w:t>’</w:t>
      </w:r>
      <w:r w:rsidR="00180BF7" w:rsidRPr="00850D17">
        <w:rPr>
          <w:lang w:val="fr-CH"/>
        </w:rPr>
        <w:t xml:space="preserve">appui </w:t>
      </w:r>
      <w:r w:rsidR="008B3C5E" w:rsidRPr="00850D17">
        <w:rPr>
          <w:lang w:val="fr-CH"/>
        </w:rPr>
        <w:t>nécessaire</w:t>
      </w:r>
      <w:r w:rsidR="00180BF7" w:rsidRPr="00850D17">
        <w:rPr>
          <w:lang w:val="fr-CH"/>
        </w:rPr>
        <w:t xml:space="preserve"> à l</w:t>
      </w:r>
      <w:r w:rsidR="0012008D" w:rsidRPr="00850D17">
        <w:rPr>
          <w:lang w:val="fr-CH"/>
        </w:rPr>
        <w:t>’</w:t>
      </w:r>
      <w:r w:rsidR="00180BF7" w:rsidRPr="00850D17">
        <w:rPr>
          <w:lang w:val="fr-CH"/>
        </w:rPr>
        <w:t>organisation de ces visites.</w:t>
      </w:r>
    </w:p>
    <w:p w:rsidR="00FD4C6C" w:rsidRPr="00850D17" w:rsidRDefault="002100C7" w:rsidP="00B127E5">
      <w:pPr>
        <w:pStyle w:val="SingleTxtG"/>
        <w:numPr>
          <w:ilvl w:val="0"/>
          <w:numId w:val="7"/>
        </w:numPr>
        <w:tabs>
          <w:tab w:val="left" w:pos="1134"/>
        </w:tabs>
        <w:ind w:left="1134" w:firstLine="0"/>
        <w:rPr>
          <w:lang w:val="fr-CH"/>
        </w:rPr>
      </w:pPr>
      <w:r w:rsidRPr="00850D17">
        <w:rPr>
          <w:lang w:val="fr-CH"/>
        </w:rPr>
        <w:t>L</w:t>
      </w:r>
      <w:r w:rsidR="006E50BA" w:rsidRPr="00850D17">
        <w:rPr>
          <w:lang w:val="fr-CH"/>
        </w:rPr>
        <w:t xml:space="preserve">a société civile a </w:t>
      </w:r>
      <w:r w:rsidR="005F627F" w:rsidRPr="00850D17">
        <w:rPr>
          <w:lang w:val="fr-CH"/>
        </w:rPr>
        <w:t>soumis les rapports alternatifs auprès d</w:t>
      </w:r>
      <w:r w:rsidR="0001569F">
        <w:rPr>
          <w:lang w:val="fr-CH"/>
        </w:rPr>
        <w:t>u</w:t>
      </w:r>
      <w:r w:rsidR="005F627F" w:rsidRPr="00850D17">
        <w:rPr>
          <w:lang w:val="fr-CH"/>
        </w:rPr>
        <w:t xml:space="preserve"> </w:t>
      </w:r>
      <w:r w:rsidR="00991597" w:rsidRPr="00850D17">
        <w:rPr>
          <w:lang w:val="fr-CH"/>
        </w:rPr>
        <w:t>Comité des droits de l’enfant</w:t>
      </w:r>
      <w:r w:rsidR="005F627F" w:rsidRPr="00850D17">
        <w:rPr>
          <w:lang w:val="fr-CH"/>
        </w:rPr>
        <w:t xml:space="preserve">, </w:t>
      </w:r>
      <w:r w:rsidR="0001569F">
        <w:rPr>
          <w:lang w:val="fr-CH"/>
        </w:rPr>
        <w:t xml:space="preserve">du </w:t>
      </w:r>
      <w:r w:rsidR="00991597" w:rsidRPr="00850D17">
        <w:rPr>
          <w:lang w:val="fr-CH"/>
        </w:rPr>
        <w:t>Comité pour l’élimination de la discrimination à l’égard des femmes</w:t>
      </w:r>
      <w:r w:rsidR="005F627F" w:rsidRPr="00850D17">
        <w:rPr>
          <w:lang w:val="fr-CH"/>
        </w:rPr>
        <w:t xml:space="preserve"> et de la Commission africaine des droits de l’homme et des peuples</w:t>
      </w:r>
      <w:r w:rsidR="004E3E6F" w:rsidRPr="00850D17">
        <w:rPr>
          <w:lang w:val="fr-CH"/>
        </w:rPr>
        <w:t>,</w:t>
      </w:r>
      <w:r w:rsidR="005F627F" w:rsidRPr="00850D17">
        <w:rPr>
          <w:lang w:val="fr-CH"/>
        </w:rPr>
        <w:t xml:space="preserve"> </w:t>
      </w:r>
      <w:r w:rsidR="004E3E6F" w:rsidRPr="00850D17">
        <w:rPr>
          <w:lang w:val="fr-CH"/>
        </w:rPr>
        <w:t>ainsi que</w:t>
      </w:r>
      <w:r w:rsidR="005F627F" w:rsidRPr="00850D17">
        <w:rPr>
          <w:lang w:val="fr-CH"/>
        </w:rPr>
        <w:t xml:space="preserve"> pour l’EPU </w:t>
      </w:r>
      <w:r w:rsidR="004E3E6F" w:rsidRPr="00850D17">
        <w:rPr>
          <w:lang w:val="fr-CH"/>
        </w:rPr>
        <w:t xml:space="preserve">en </w:t>
      </w:r>
      <w:r w:rsidR="005F627F" w:rsidRPr="00850D17">
        <w:rPr>
          <w:lang w:val="fr-CH"/>
        </w:rPr>
        <w:t>2014</w:t>
      </w:r>
      <w:r w:rsidR="006D6221" w:rsidRPr="00850D17">
        <w:rPr>
          <w:lang w:val="fr-CH"/>
        </w:rPr>
        <w:t xml:space="preserve">. L’appui technique et financier du BCNUDH, du Centre Carter et du Centre pour les droits civils et politiques en </w:t>
      </w:r>
      <w:r w:rsidR="00CB5543" w:rsidRPr="00850D17">
        <w:rPr>
          <w:lang w:val="fr-CH"/>
        </w:rPr>
        <w:t>République démocratique du Congo</w:t>
      </w:r>
      <w:r w:rsidR="006D6221" w:rsidRPr="00850D17">
        <w:rPr>
          <w:lang w:val="fr-CH"/>
        </w:rPr>
        <w:t xml:space="preserve"> a contribué au</w:t>
      </w:r>
      <w:r w:rsidRPr="00850D17">
        <w:rPr>
          <w:lang w:val="fr-CH"/>
        </w:rPr>
        <w:t xml:space="preserve"> </w:t>
      </w:r>
      <w:r w:rsidR="000330A2" w:rsidRPr="00850D17">
        <w:rPr>
          <w:lang w:val="fr-CH"/>
        </w:rPr>
        <w:t xml:space="preserve">développement de plans de mise en œuvre des recommandations formulées par lesdits organes. </w:t>
      </w:r>
    </w:p>
    <w:p w:rsidR="004C2C68" w:rsidRPr="00C36970" w:rsidRDefault="00727F4C">
      <w:pPr>
        <w:pStyle w:val="H23G"/>
        <w:rPr>
          <w:rFonts w:eastAsia="SimSun"/>
        </w:rPr>
      </w:pPr>
      <w:r w:rsidRPr="00850D17">
        <w:rPr>
          <w:rFonts w:eastAsia="SimSun"/>
          <w:lang w:val="fr-CH"/>
        </w:rPr>
        <w:tab/>
      </w:r>
      <w:r w:rsidR="00101FE5" w:rsidRPr="00850D17">
        <w:rPr>
          <w:rFonts w:eastAsia="SimSun"/>
          <w:lang w:val="fr-CH"/>
        </w:rPr>
        <w:t>3.</w:t>
      </w:r>
      <w:r w:rsidRPr="00850D17">
        <w:rPr>
          <w:rFonts w:eastAsia="SimSun"/>
          <w:lang w:val="fr-CH"/>
        </w:rPr>
        <w:tab/>
      </w:r>
      <w:r w:rsidR="004C2C68" w:rsidRPr="00850D17">
        <w:rPr>
          <w:rFonts w:eastAsia="SimSun"/>
          <w:lang w:val="fr-CH"/>
        </w:rPr>
        <w:t>Cadre juridique et institutionnel</w:t>
      </w:r>
    </w:p>
    <w:p w:rsidR="00463097" w:rsidRPr="00850D17" w:rsidRDefault="006D6221" w:rsidP="00B127E5">
      <w:pPr>
        <w:pStyle w:val="SingleTxtG"/>
        <w:numPr>
          <w:ilvl w:val="0"/>
          <w:numId w:val="7"/>
        </w:numPr>
        <w:tabs>
          <w:tab w:val="left" w:pos="1134"/>
        </w:tabs>
        <w:ind w:left="1134" w:firstLine="0"/>
        <w:rPr>
          <w:lang w:val="fr-CH"/>
        </w:rPr>
      </w:pPr>
      <w:r w:rsidRPr="00850D17">
        <w:rPr>
          <w:lang w:val="fr-CH"/>
        </w:rPr>
        <w:t xml:space="preserve">Le rapport </w:t>
      </w:r>
      <w:r w:rsidR="0039064B">
        <w:rPr>
          <w:lang w:val="fr-CH"/>
        </w:rPr>
        <w:t>de mission</w:t>
      </w:r>
      <w:r w:rsidRPr="00850D17">
        <w:rPr>
          <w:lang w:val="fr-CH"/>
        </w:rPr>
        <w:t xml:space="preserve"> de 2009 </w:t>
      </w:r>
      <w:r w:rsidR="0039064B" w:rsidRPr="00850D17">
        <w:rPr>
          <w:lang w:val="fr-CH"/>
        </w:rPr>
        <w:t>d</w:t>
      </w:r>
      <w:r w:rsidR="0039064B">
        <w:rPr>
          <w:lang w:val="fr-CH"/>
        </w:rPr>
        <w:t>e la</w:t>
      </w:r>
      <w:r w:rsidR="0039064B" w:rsidRPr="00850D17">
        <w:rPr>
          <w:lang w:val="fr-CH"/>
        </w:rPr>
        <w:t xml:space="preserve"> </w:t>
      </w:r>
      <w:r w:rsidRPr="00850D17">
        <w:rPr>
          <w:lang w:val="fr-CH"/>
        </w:rPr>
        <w:t>Rapporteu</w:t>
      </w:r>
      <w:r w:rsidR="0039064B">
        <w:rPr>
          <w:lang w:val="fr-CH"/>
        </w:rPr>
        <w:t>se</w:t>
      </w:r>
      <w:r w:rsidRPr="00850D17">
        <w:rPr>
          <w:lang w:val="fr-CH"/>
        </w:rPr>
        <w:t xml:space="preserve"> spécial</w:t>
      </w:r>
      <w:r w:rsidR="0039064B">
        <w:rPr>
          <w:lang w:val="fr-CH"/>
        </w:rPr>
        <w:t>e</w:t>
      </w:r>
      <w:r w:rsidRPr="00850D17">
        <w:rPr>
          <w:lang w:val="fr-CH"/>
        </w:rPr>
        <w:t xml:space="preserve"> sur la situation des défenseurs des droits de l’homme relève </w:t>
      </w:r>
      <w:r w:rsidR="005131B9" w:rsidRPr="00850D17">
        <w:rPr>
          <w:lang w:val="fr-CH"/>
        </w:rPr>
        <w:t xml:space="preserve">des </w:t>
      </w:r>
      <w:r w:rsidR="00463097" w:rsidRPr="00850D17">
        <w:rPr>
          <w:lang w:val="fr-CH"/>
        </w:rPr>
        <w:t xml:space="preserve">lacunes </w:t>
      </w:r>
      <w:r w:rsidR="005131B9" w:rsidRPr="00850D17">
        <w:rPr>
          <w:lang w:val="fr-CH"/>
        </w:rPr>
        <w:t xml:space="preserve">dans le </w:t>
      </w:r>
      <w:r w:rsidR="00463097" w:rsidRPr="00850D17">
        <w:rPr>
          <w:lang w:val="fr-CH"/>
        </w:rPr>
        <w:t xml:space="preserve">dispositif </w:t>
      </w:r>
      <w:r w:rsidR="005131B9" w:rsidRPr="00850D17">
        <w:rPr>
          <w:lang w:val="fr-CH"/>
        </w:rPr>
        <w:t xml:space="preserve">juridique congolais, </w:t>
      </w:r>
      <w:r w:rsidR="00F11D27" w:rsidRPr="00850D17">
        <w:rPr>
          <w:lang w:val="fr-CH"/>
        </w:rPr>
        <w:t>notamment</w:t>
      </w:r>
      <w:r w:rsidR="0093304F" w:rsidRPr="00850D17">
        <w:rPr>
          <w:lang w:val="fr-CH"/>
        </w:rPr>
        <w:t xml:space="preserve"> </w:t>
      </w:r>
      <w:r w:rsidR="00DE5E06" w:rsidRPr="00850D17">
        <w:rPr>
          <w:lang w:val="fr-CH"/>
        </w:rPr>
        <w:t xml:space="preserve">l’absence </w:t>
      </w:r>
      <w:r w:rsidR="00D725EA" w:rsidRPr="00850D17">
        <w:rPr>
          <w:lang w:val="fr-CH"/>
        </w:rPr>
        <w:t xml:space="preserve">de lois </w:t>
      </w:r>
      <w:r w:rsidR="00517511" w:rsidRPr="00850D17">
        <w:rPr>
          <w:lang w:val="fr-CH"/>
        </w:rPr>
        <w:t>sur</w:t>
      </w:r>
      <w:r w:rsidR="0012008D" w:rsidRPr="00850D17">
        <w:rPr>
          <w:lang w:val="fr-CH"/>
        </w:rPr>
        <w:t xml:space="preserve"> </w:t>
      </w:r>
      <w:r w:rsidR="00DE5E06" w:rsidRPr="00850D17">
        <w:rPr>
          <w:lang w:val="fr-CH"/>
        </w:rPr>
        <w:t>la protection des défenseurs des droits de l’homme</w:t>
      </w:r>
      <w:r w:rsidR="00F73B3A">
        <w:rPr>
          <w:lang w:val="fr-CH"/>
        </w:rPr>
        <w:t xml:space="preserve">, </w:t>
      </w:r>
      <w:r w:rsidR="00D725EA" w:rsidRPr="00850D17">
        <w:rPr>
          <w:lang w:val="fr-CH"/>
        </w:rPr>
        <w:t>la</w:t>
      </w:r>
      <w:r w:rsidR="00517511" w:rsidRPr="00850D17">
        <w:rPr>
          <w:lang w:val="fr-CH"/>
        </w:rPr>
        <w:t xml:space="preserve"> </w:t>
      </w:r>
      <w:r w:rsidR="00D725EA" w:rsidRPr="00850D17">
        <w:rPr>
          <w:lang w:val="fr-CH"/>
        </w:rPr>
        <w:t xml:space="preserve">limitation des </w:t>
      </w:r>
      <w:r w:rsidR="00517511" w:rsidRPr="00850D17">
        <w:rPr>
          <w:lang w:val="fr-CH"/>
        </w:rPr>
        <w:t>juridictions militaires à la gestion des cas d’infractions commises par des membres des forces armées et de police</w:t>
      </w:r>
      <w:r w:rsidR="00207BF2">
        <w:rPr>
          <w:lang w:val="fr-CH"/>
        </w:rPr>
        <w:t>,</w:t>
      </w:r>
      <w:r w:rsidR="00517511" w:rsidRPr="00850D17">
        <w:rPr>
          <w:lang w:val="fr-CH"/>
        </w:rPr>
        <w:t xml:space="preserve"> en application de l’article</w:t>
      </w:r>
      <w:r w:rsidR="0016258B">
        <w:rPr>
          <w:lang w:val="fr-CH"/>
        </w:rPr>
        <w:t> </w:t>
      </w:r>
      <w:r w:rsidR="00517511" w:rsidRPr="00850D17">
        <w:rPr>
          <w:lang w:val="fr-CH"/>
        </w:rPr>
        <w:t xml:space="preserve">156 de la Constitution </w:t>
      </w:r>
      <w:r w:rsidR="00517511" w:rsidRPr="00850D17">
        <w:rPr>
          <w:lang w:val="fr-CH"/>
        </w:rPr>
        <w:lastRenderedPageBreak/>
        <w:t>de 2006</w:t>
      </w:r>
      <w:r w:rsidR="0039064B">
        <w:rPr>
          <w:lang w:val="fr-CH"/>
        </w:rPr>
        <w:t>,</w:t>
      </w:r>
      <w:r w:rsidR="00D922EF" w:rsidRPr="00850D17">
        <w:rPr>
          <w:lang w:val="fr-CH"/>
        </w:rPr>
        <w:t xml:space="preserve"> </w:t>
      </w:r>
      <w:r w:rsidR="00517511" w:rsidRPr="00850D17">
        <w:rPr>
          <w:lang w:val="fr-CH"/>
        </w:rPr>
        <w:t xml:space="preserve">et </w:t>
      </w:r>
      <w:r w:rsidR="00207BF2">
        <w:rPr>
          <w:lang w:val="fr-CH"/>
        </w:rPr>
        <w:t>l</w:t>
      </w:r>
      <w:r w:rsidR="00207BF2" w:rsidRPr="00207BF2">
        <w:rPr>
          <w:lang w:val="fr-CH"/>
        </w:rPr>
        <w:t>’</w:t>
      </w:r>
      <w:r w:rsidR="00207BF2">
        <w:rPr>
          <w:lang w:val="fr-CH"/>
        </w:rPr>
        <w:t xml:space="preserve">absence de lois </w:t>
      </w:r>
      <w:r w:rsidR="00517511" w:rsidRPr="00850D17">
        <w:rPr>
          <w:lang w:val="fr-CH"/>
        </w:rPr>
        <w:t>sur la protection des victimes et des témoins</w:t>
      </w:r>
      <w:r w:rsidR="00207BF2">
        <w:rPr>
          <w:lang w:val="fr-CH"/>
        </w:rPr>
        <w:t>,</w:t>
      </w:r>
      <w:r w:rsidR="00517511" w:rsidRPr="00850D17">
        <w:rPr>
          <w:lang w:val="fr-CH"/>
        </w:rPr>
        <w:t xml:space="preserve"> en application de l’article</w:t>
      </w:r>
      <w:r w:rsidR="0016258B">
        <w:rPr>
          <w:lang w:val="fr-CH"/>
        </w:rPr>
        <w:t> </w:t>
      </w:r>
      <w:r w:rsidR="00517511" w:rsidRPr="00850D17">
        <w:rPr>
          <w:lang w:val="fr-CH"/>
        </w:rPr>
        <w:t xml:space="preserve">68 du Statut de Rome, ratifié par la </w:t>
      </w:r>
      <w:r w:rsidR="0039064B" w:rsidRPr="00850D17">
        <w:rPr>
          <w:lang w:val="fr-CH"/>
        </w:rPr>
        <w:t>République démocratique du Congo</w:t>
      </w:r>
      <w:r w:rsidR="00517511" w:rsidRPr="00850D17">
        <w:rPr>
          <w:lang w:val="fr-CH"/>
        </w:rPr>
        <w:t xml:space="preserve"> en 2002.</w:t>
      </w:r>
      <w:r w:rsidR="00463097" w:rsidRPr="00850D17">
        <w:rPr>
          <w:lang w:val="fr-CH"/>
        </w:rPr>
        <w:t xml:space="preserve"> </w:t>
      </w:r>
    </w:p>
    <w:p w:rsidR="00414EDE" w:rsidRPr="00850D17" w:rsidRDefault="00414EDE" w:rsidP="00C36970">
      <w:pPr>
        <w:pStyle w:val="SingleTxtG"/>
        <w:numPr>
          <w:ilvl w:val="0"/>
          <w:numId w:val="7"/>
        </w:numPr>
        <w:tabs>
          <w:tab w:val="left" w:pos="1134"/>
        </w:tabs>
        <w:ind w:left="1134" w:firstLine="0"/>
        <w:rPr>
          <w:lang w:val="fr-CH"/>
        </w:rPr>
      </w:pPr>
      <w:r w:rsidRPr="00850D17">
        <w:rPr>
          <w:lang w:val="fr-CH"/>
        </w:rPr>
        <w:t xml:space="preserve">Grâce au plaidoyer et à l’assistance technique de la communauté internationale, le </w:t>
      </w:r>
      <w:r w:rsidR="00621832">
        <w:rPr>
          <w:lang w:val="fr-CH"/>
        </w:rPr>
        <w:t>G</w:t>
      </w:r>
      <w:r w:rsidRPr="00850D17">
        <w:rPr>
          <w:lang w:val="fr-CH"/>
        </w:rPr>
        <w:t>ouvernement a adopté des textes législatifs et règlementaires importants</w:t>
      </w:r>
      <w:r w:rsidR="00630AA6" w:rsidRPr="00850D17">
        <w:rPr>
          <w:lang w:val="fr-CH"/>
        </w:rPr>
        <w:t>,</w:t>
      </w:r>
      <w:r w:rsidRPr="00850D17">
        <w:rPr>
          <w:lang w:val="fr-CH"/>
        </w:rPr>
        <w:t xml:space="preserve"> notamment la loi organique </w:t>
      </w:r>
      <w:r w:rsidR="0016258B">
        <w:rPr>
          <w:lang w:val="fr-CH"/>
        </w:rPr>
        <w:t>n</w:t>
      </w:r>
      <w:r w:rsidR="0016258B" w:rsidRPr="00C36970">
        <w:rPr>
          <w:vertAlign w:val="superscript"/>
          <w:lang w:val="fr-CH"/>
        </w:rPr>
        <w:t>o</w:t>
      </w:r>
      <w:r w:rsidR="0016258B">
        <w:rPr>
          <w:lang w:val="fr-CH"/>
        </w:rPr>
        <w:t> </w:t>
      </w:r>
      <w:r w:rsidRPr="00850D17">
        <w:rPr>
          <w:lang w:val="fr-CH"/>
        </w:rPr>
        <w:t xml:space="preserve">13/011B du 11 avril 2013 portant organisation, fonctionnement et compétences des juridictions de l’ordre judiciaire, qui confère aux </w:t>
      </w:r>
      <w:r w:rsidR="007A16FC">
        <w:rPr>
          <w:lang w:val="fr-CH"/>
        </w:rPr>
        <w:t>c</w:t>
      </w:r>
      <w:r w:rsidRPr="00850D17">
        <w:rPr>
          <w:lang w:val="fr-CH"/>
        </w:rPr>
        <w:t>ours d’</w:t>
      </w:r>
      <w:r w:rsidR="007A16FC">
        <w:rPr>
          <w:lang w:val="fr-CH"/>
        </w:rPr>
        <w:t>a</w:t>
      </w:r>
      <w:r w:rsidRPr="00850D17">
        <w:rPr>
          <w:lang w:val="fr-CH"/>
        </w:rPr>
        <w:t>ppel la prérogative de reconnaître des crimes de génocide, des crimes de guerre et des crimes contre l’humanité</w:t>
      </w:r>
      <w:r w:rsidR="004B2415">
        <w:rPr>
          <w:lang w:val="fr-CH"/>
        </w:rPr>
        <w:t>,</w:t>
      </w:r>
      <w:r w:rsidRPr="00850D17">
        <w:rPr>
          <w:lang w:val="fr-CH"/>
        </w:rPr>
        <w:t xml:space="preserve"> </w:t>
      </w:r>
      <w:r w:rsidR="004B2415">
        <w:rPr>
          <w:lang w:val="fr-CH"/>
        </w:rPr>
        <w:t xml:space="preserve">et </w:t>
      </w:r>
      <w:r w:rsidRPr="00850D17">
        <w:rPr>
          <w:lang w:val="fr-CH"/>
        </w:rPr>
        <w:t xml:space="preserve">la loi organique </w:t>
      </w:r>
      <w:r w:rsidR="0016258B">
        <w:rPr>
          <w:lang w:val="fr-CH"/>
        </w:rPr>
        <w:t>n</w:t>
      </w:r>
      <w:r w:rsidR="0016258B" w:rsidRPr="00A8159E">
        <w:rPr>
          <w:vertAlign w:val="superscript"/>
          <w:lang w:val="fr-CH"/>
        </w:rPr>
        <w:t>o</w:t>
      </w:r>
      <w:r w:rsidR="0016258B">
        <w:rPr>
          <w:lang w:val="fr-CH"/>
        </w:rPr>
        <w:t> </w:t>
      </w:r>
      <w:r w:rsidRPr="00850D17">
        <w:rPr>
          <w:lang w:val="fr-CH"/>
        </w:rPr>
        <w:t>13/011 portant institution, organisation et fonctionnement de la Commission nationale des droits de l</w:t>
      </w:r>
      <w:r w:rsidR="0012008D" w:rsidRPr="00850D17">
        <w:rPr>
          <w:lang w:val="fr-CH"/>
        </w:rPr>
        <w:t>’</w:t>
      </w:r>
      <w:r w:rsidRPr="00850D17">
        <w:rPr>
          <w:lang w:val="fr-CH"/>
        </w:rPr>
        <w:t>homme</w:t>
      </w:r>
      <w:r w:rsidR="00A705A5">
        <w:rPr>
          <w:lang w:val="fr-CH"/>
        </w:rPr>
        <w:t xml:space="preserve"> </w:t>
      </w:r>
      <w:r w:rsidR="00A705A5" w:rsidRPr="00C36970">
        <w:rPr>
          <w:lang w:val="fr-CH"/>
        </w:rPr>
        <w:t>(CNDH)</w:t>
      </w:r>
      <w:r w:rsidR="00630AA6" w:rsidRPr="00850D17">
        <w:rPr>
          <w:lang w:val="fr-CH"/>
        </w:rPr>
        <w:t>,</w:t>
      </w:r>
      <w:r w:rsidRPr="00850D17">
        <w:rPr>
          <w:lang w:val="fr-CH"/>
        </w:rPr>
        <w:t xml:space="preserve"> adoptée en 2013 conformément aux Principes de Paris</w:t>
      </w:r>
      <w:r w:rsidRPr="00850D17">
        <w:rPr>
          <w:rStyle w:val="FootnoteReference"/>
          <w:lang w:val="fr-CH"/>
        </w:rPr>
        <w:footnoteReference w:id="9"/>
      </w:r>
      <w:r w:rsidRPr="00850D17">
        <w:rPr>
          <w:lang w:val="fr-CH"/>
        </w:rPr>
        <w:t>. D</w:t>
      </w:r>
      <w:r w:rsidR="0012008D" w:rsidRPr="00850D17">
        <w:rPr>
          <w:lang w:val="fr-CH"/>
        </w:rPr>
        <w:t>’</w:t>
      </w:r>
      <w:r w:rsidRPr="00850D17">
        <w:rPr>
          <w:lang w:val="fr-CH"/>
        </w:rPr>
        <w:t xml:space="preserve">autres textes adoptés portent sur la mise en place d’une justice juvénile et la criminalisation de la torture. </w:t>
      </w:r>
      <w:r w:rsidR="003C41F3" w:rsidRPr="00850D17">
        <w:rPr>
          <w:lang w:val="fr-CH"/>
        </w:rPr>
        <w:t>Cependant, d</w:t>
      </w:r>
      <w:r w:rsidRPr="00850D17">
        <w:rPr>
          <w:lang w:val="fr-CH"/>
        </w:rPr>
        <w:t xml:space="preserve">es efforts restent à </w:t>
      </w:r>
      <w:r w:rsidR="00630AA6" w:rsidRPr="00850D17">
        <w:rPr>
          <w:lang w:val="fr-CH"/>
        </w:rPr>
        <w:t xml:space="preserve">entreprendre </w:t>
      </w:r>
      <w:r w:rsidRPr="00850D17">
        <w:rPr>
          <w:lang w:val="fr-CH"/>
        </w:rPr>
        <w:t>pour aboutir à l</w:t>
      </w:r>
      <w:r w:rsidR="0012008D" w:rsidRPr="00850D17">
        <w:rPr>
          <w:lang w:val="fr-CH"/>
        </w:rPr>
        <w:t>’</w:t>
      </w:r>
      <w:r w:rsidRPr="00850D17">
        <w:rPr>
          <w:lang w:val="fr-CH"/>
        </w:rPr>
        <w:t>adoption d</w:t>
      </w:r>
      <w:r w:rsidR="0012008D" w:rsidRPr="00850D17">
        <w:rPr>
          <w:lang w:val="fr-CH"/>
        </w:rPr>
        <w:t>’</w:t>
      </w:r>
      <w:r w:rsidRPr="00850D17">
        <w:rPr>
          <w:lang w:val="fr-CH"/>
        </w:rPr>
        <w:t xml:space="preserve">autres textes législatifs, y compris sur la question de la protection des victimes et témoins et </w:t>
      </w:r>
      <w:r w:rsidR="00630AA6" w:rsidRPr="00850D17">
        <w:rPr>
          <w:lang w:val="fr-CH"/>
        </w:rPr>
        <w:t>d</w:t>
      </w:r>
      <w:r w:rsidRPr="00850D17">
        <w:rPr>
          <w:lang w:val="fr-CH"/>
        </w:rPr>
        <w:t>es défenseurs des droits de l</w:t>
      </w:r>
      <w:r w:rsidR="0012008D" w:rsidRPr="00850D17">
        <w:rPr>
          <w:lang w:val="fr-CH"/>
        </w:rPr>
        <w:t>’</w:t>
      </w:r>
      <w:r w:rsidRPr="00850D17">
        <w:rPr>
          <w:lang w:val="fr-CH"/>
        </w:rPr>
        <w:t>homme.</w:t>
      </w:r>
    </w:p>
    <w:p w:rsidR="005429F8" w:rsidRPr="00850D17" w:rsidRDefault="00E30435" w:rsidP="00DC3DFC">
      <w:pPr>
        <w:pStyle w:val="SingleTxtG"/>
        <w:numPr>
          <w:ilvl w:val="0"/>
          <w:numId w:val="7"/>
        </w:numPr>
        <w:tabs>
          <w:tab w:val="left" w:pos="1134"/>
        </w:tabs>
        <w:ind w:left="1134" w:firstLine="0"/>
        <w:rPr>
          <w:rFonts w:eastAsia="SimSun"/>
          <w:lang w:val="fr-CH"/>
        </w:rPr>
      </w:pPr>
      <w:r w:rsidRPr="00850D17">
        <w:rPr>
          <w:lang w:val="fr-CH"/>
        </w:rPr>
        <w:t>L</w:t>
      </w:r>
      <w:r w:rsidR="008C165E" w:rsidRPr="00850D17">
        <w:rPr>
          <w:lang w:val="fr-CH"/>
        </w:rPr>
        <w:t>’Entité de liaison des droits de l’homme</w:t>
      </w:r>
      <w:r w:rsidR="00495B4B" w:rsidRPr="00850D17">
        <w:rPr>
          <w:lang w:val="fr-CH"/>
        </w:rPr>
        <w:t>,</w:t>
      </w:r>
      <w:r w:rsidR="008C165E" w:rsidRPr="00850D17">
        <w:rPr>
          <w:lang w:val="fr-CH"/>
        </w:rPr>
        <w:t xml:space="preserve"> </w:t>
      </w:r>
      <w:r w:rsidRPr="00850D17">
        <w:rPr>
          <w:lang w:val="fr-CH"/>
        </w:rPr>
        <w:t>créé</w:t>
      </w:r>
      <w:r w:rsidR="005429F8" w:rsidRPr="00850D17">
        <w:rPr>
          <w:lang w:val="fr-CH"/>
        </w:rPr>
        <w:t>e</w:t>
      </w:r>
      <w:r w:rsidRPr="00850D17">
        <w:rPr>
          <w:lang w:val="fr-CH"/>
        </w:rPr>
        <w:t xml:space="preserve"> en 2009</w:t>
      </w:r>
      <w:r w:rsidR="000A7D64" w:rsidRPr="00850D17">
        <w:rPr>
          <w:lang w:val="fr-CH"/>
        </w:rPr>
        <w:t xml:space="preserve"> </w:t>
      </w:r>
      <w:r w:rsidR="00495B4B" w:rsidRPr="00850D17">
        <w:rPr>
          <w:lang w:val="fr-CH"/>
        </w:rPr>
        <w:t xml:space="preserve">et </w:t>
      </w:r>
      <w:r w:rsidR="00EC3FFD" w:rsidRPr="00850D17">
        <w:rPr>
          <w:lang w:val="fr-CH"/>
        </w:rPr>
        <w:t>composé</w:t>
      </w:r>
      <w:r w:rsidR="00495B4B" w:rsidRPr="00850D17">
        <w:rPr>
          <w:lang w:val="fr-CH"/>
        </w:rPr>
        <w:t>e</w:t>
      </w:r>
      <w:r w:rsidR="00EC3FFD" w:rsidRPr="00850D17">
        <w:rPr>
          <w:lang w:val="fr-CH"/>
        </w:rPr>
        <w:t xml:space="preserve"> </w:t>
      </w:r>
      <w:r w:rsidR="00A10D59" w:rsidRPr="00850D17">
        <w:rPr>
          <w:lang w:val="fr-CH"/>
        </w:rPr>
        <w:t>d’experts nationaux</w:t>
      </w:r>
      <w:r w:rsidR="00EC3FFD" w:rsidRPr="00850D17">
        <w:rPr>
          <w:lang w:val="fr-CH"/>
        </w:rPr>
        <w:t>, du</w:t>
      </w:r>
      <w:r w:rsidR="00A10D59" w:rsidRPr="00850D17">
        <w:rPr>
          <w:lang w:val="fr-CH"/>
        </w:rPr>
        <w:t xml:space="preserve"> BCNUDH et </w:t>
      </w:r>
      <w:r w:rsidR="00495B4B" w:rsidRPr="00850D17">
        <w:rPr>
          <w:lang w:val="fr-CH"/>
        </w:rPr>
        <w:t xml:space="preserve">de </w:t>
      </w:r>
      <w:r w:rsidR="00A10D59" w:rsidRPr="00850D17">
        <w:rPr>
          <w:lang w:val="fr-CH"/>
        </w:rPr>
        <w:t>quelques ONG internationales et locales</w:t>
      </w:r>
      <w:r w:rsidR="00495B4B" w:rsidRPr="00850D17">
        <w:rPr>
          <w:lang w:val="fr-CH"/>
        </w:rPr>
        <w:t>,</w:t>
      </w:r>
      <w:r w:rsidR="00A10D59" w:rsidRPr="00850D17">
        <w:rPr>
          <w:lang w:val="fr-CH"/>
        </w:rPr>
        <w:t xml:space="preserve"> </w:t>
      </w:r>
      <w:r w:rsidR="000A7D64" w:rsidRPr="00850D17">
        <w:rPr>
          <w:lang w:val="fr-CH"/>
        </w:rPr>
        <w:t>est charg</w:t>
      </w:r>
      <w:r w:rsidR="00311E73" w:rsidRPr="00850D17">
        <w:rPr>
          <w:lang w:val="fr-CH"/>
        </w:rPr>
        <w:t>é</w:t>
      </w:r>
      <w:r w:rsidR="00495B4B" w:rsidRPr="00850D17">
        <w:rPr>
          <w:lang w:val="fr-CH"/>
        </w:rPr>
        <w:t>e</w:t>
      </w:r>
      <w:r w:rsidR="000A7D64" w:rsidRPr="00850D17">
        <w:rPr>
          <w:lang w:val="fr-CH"/>
        </w:rPr>
        <w:t xml:space="preserve"> </w:t>
      </w:r>
      <w:r w:rsidR="00A10D59" w:rsidRPr="00850D17">
        <w:rPr>
          <w:lang w:val="fr-CH"/>
        </w:rPr>
        <w:t xml:space="preserve">entre autres de </w:t>
      </w:r>
      <w:r w:rsidR="00771AFC" w:rsidRPr="00850D17">
        <w:rPr>
          <w:lang w:val="fr-CH"/>
        </w:rPr>
        <w:t>suggérer les orientations nécessaires à une bonne protection des droits de l’homme</w:t>
      </w:r>
      <w:r w:rsidR="00ED1D1C" w:rsidRPr="00850D17">
        <w:rPr>
          <w:lang w:val="fr-CH"/>
        </w:rPr>
        <w:t>,</w:t>
      </w:r>
      <w:r w:rsidR="00771AFC" w:rsidRPr="00850D17">
        <w:rPr>
          <w:lang w:val="fr-CH"/>
        </w:rPr>
        <w:t xml:space="preserve"> </w:t>
      </w:r>
      <w:r w:rsidR="00ED1D1C" w:rsidRPr="00850D17">
        <w:rPr>
          <w:lang w:val="fr-CH"/>
        </w:rPr>
        <w:t>d’</w:t>
      </w:r>
      <w:r w:rsidR="00771AFC" w:rsidRPr="00850D17">
        <w:rPr>
          <w:lang w:val="fr-CH"/>
        </w:rPr>
        <w:t>assurer le suivi et l’exécution du plan national de promotion et de protection des droits de l’homme</w:t>
      </w:r>
      <w:r w:rsidR="00ED1D1C" w:rsidRPr="00850D17">
        <w:rPr>
          <w:lang w:val="fr-CH"/>
        </w:rPr>
        <w:t xml:space="preserve">, </w:t>
      </w:r>
      <w:r w:rsidR="00771AFC" w:rsidRPr="00850D17">
        <w:rPr>
          <w:lang w:val="fr-CH"/>
        </w:rPr>
        <w:t>et</w:t>
      </w:r>
      <w:r w:rsidR="00ED1D1C" w:rsidRPr="00850D17">
        <w:rPr>
          <w:lang w:val="fr-CH"/>
        </w:rPr>
        <w:t xml:space="preserve"> de</w:t>
      </w:r>
      <w:r w:rsidR="00771AFC" w:rsidRPr="00850D17">
        <w:rPr>
          <w:lang w:val="fr-CH"/>
        </w:rPr>
        <w:t xml:space="preserve"> veiller à l’élaboration des rapports initiaux et périodiques des droits de l’homme. </w:t>
      </w:r>
      <w:r w:rsidR="006942A0" w:rsidRPr="00850D17">
        <w:rPr>
          <w:lang w:val="fr-CH"/>
        </w:rPr>
        <w:t>Depuis sa création, l’Entité de liaison n’a pas</w:t>
      </w:r>
      <w:r w:rsidR="006942A0" w:rsidRPr="00850D17">
        <w:rPr>
          <w:rFonts w:eastAsia="SimSun"/>
          <w:lang w:val="fr-CH"/>
        </w:rPr>
        <w:t xml:space="preserve"> fonctionné bien que certains de ses membres aient été nommés en 2010 et 2012. </w:t>
      </w:r>
      <w:r w:rsidR="00ED1D1C" w:rsidRPr="00850D17">
        <w:rPr>
          <w:rFonts w:eastAsia="SimSun"/>
          <w:lang w:val="fr-CH"/>
        </w:rPr>
        <w:t>I</w:t>
      </w:r>
      <w:r w:rsidR="00495B4B" w:rsidRPr="00850D17">
        <w:rPr>
          <w:rFonts w:eastAsia="SimSun"/>
          <w:lang w:val="fr-CH"/>
        </w:rPr>
        <w:t xml:space="preserve">l existe un </w:t>
      </w:r>
      <w:r w:rsidR="00A10D59" w:rsidRPr="00850D17">
        <w:rPr>
          <w:rFonts w:eastAsia="SimSun"/>
          <w:lang w:val="fr-CH"/>
        </w:rPr>
        <w:t>c</w:t>
      </w:r>
      <w:r w:rsidR="000A7D64" w:rsidRPr="00850D17">
        <w:rPr>
          <w:rFonts w:eastAsia="SimSun"/>
          <w:lang w:val="fr-CH"/>
        </w:rPr>
        <w:t xml:space="preserve">onflit de compétences entre </w:t>
      </w:r>
      <w:r w:rsidR="00ED1D1C" w:rsidRPr="00850D17">
        <w:rPr>
          <w:rFonts w:eastAsia="SimSun"/>
          <w:lang w:val="fr-CH"/>
        </w:rPr>
        <w:t>l’</w:t>
      </w:r>
      <w:r w:rsidR="00C366A2" w:rsidRPr="00850D17">
        <w:rPr>
          <w:rFonts w:eastAsia="SimSun"/>
          <w:lang w:val="fr-CH"/>
        </w:rPr>
        <w:t>E</w:t>
      </w:r>
      <w:r w:rsidR="00A65485" w:rsidRPr="00850D17">
        <w:rPr>
          <w:rFonts w:eastAsia="SimSun"/>
          <w:lang w:val="fr-CH"/>
        </w:rPr>
        <w:t>ntité</w:t>
      </w:r>
      <w:r w:rsidR="00ED1D1C" w:rsidRPr="00850D17">
        <w:rPr>
          <w:rFonts w:eastAsia="SimSun"/>
          <w:lang w:val="fr-CH"/>
        </w:rPr>
        <w:t xml:space="preserve"> de liaison et </w:t>
      </w:r>
      <w:r w:rsidR="00495B4B" w:rsidRPr="00850D17">
        <w:rPr>
          <w:rFonts w:eastAsia="SimSun"/>
          <w:lang w:val="fr-CH"/>
        </w:rPr>
        <w:t xml:space="preserve">certaines </w:t>
      </w:r>
      <w:r w:rsidR="000A7D64" w:rsidRPr="00850D17">
        <w:rPr>
          <w:rFonts w:eastAsia="SimSun"/>
          <w:lang w:val="fr-CH"/>
        </w:rPr>
        <w:t>attributions de la CNDH</w:t>
      </w:r>
      <w:r w:rsidR="00375AFC">
        <w:rPr>
          <w:rFonts w:eastAsia="SimSun"/>
          <w:lang w:val="fr-CH"/>
        </w:rPr>
        <w:t>,</w:t>
      </w:r>
      <w:r w:rsidR="00C32BFB" w:rsidRPr="00850D17">
        <w:rPr>
          <w:rFonts w:eastAsia="SimSun"/>
          <w:lang w:val="fr-CH"/>
        </w:rPr>
        <w:t xml:space="preserve"> en particulier </w:t>
      </w:r>
      <w:r w:rsidR="00A65485" w:rsidRPr="00850D17">
        <w:rPr>
          <w:rFonts w:eastAsia="SimSun"/>
          <w:lang w:val="fr-CH"/>
        </w:rPr>
        <w:t xml:space="preserve">l’examen des problèmes </w:t>
      </w:r>
      <w:r w:rsidR="00862FDF">
        <w:rPr>
          <w:rFonts w:eastAsia="SimSun"/>
          <w:lang w:val="fr-CH"/>
        </w:rPr>
        <w:t xml:space="preserve">se trouvant </w:t>
      </w:r>
      <w:r w:rsidR="00A65485" w:rsidRPr="00850D17">
        <w:rPr>
          <w:rFonts w:eastAsia="SimSun"/>
          <w:lang w:val="fr-CH"/>
        </w:rPr>
        <w:t>à la base des violations des droits de l’homme et la proposition de solutions</w:t>
      </w:r>
      <w:r w:rsidR="00630AA6" w:rsidRPr="00850D17">
        <w:rPr>
          <w:rFonts w:eastAsia="SimSun"/>
          <w:lang w:val="fr-CH"/>
        </w:rPr>
        <w:t>,</w:t>
      </w:r>
      <w:r w:rsidR="00A65485" w:rsidRPr="00850D17">
        <w:rPr>
          <w:rFonts w:eastAsia="SimSun"/>
          <w:lang w:val="fr-CH"/>
        </w:rPr>
        <w:t xml:space="preserve"> ainsi que l’</w:t>
      </w:r>
      <w:r w:rsidR="006C22D5" w:rsidRPr="00850D17">
        <w:rPr>
          <w:rFonts w:eastAsia="SimSun"/>
          <w:lang w:val="fr-CH"/>
        </w:rPr>
        <w:t>évaluation</w:t>
      </w:r>
      <w:r w:rsidR="00A65485" w:rsidRPr="00850D17">
        <w:rPr>
          <w:rFonts w:eastAsia="SimSun"/>
          <w:lang w:val="fr-CH"/>
        </w:rPr>
        <w:t xml:space="preserve"> des activités nationales dans le domaine </w:t>
      </w:r>
      <w:r w:rsidR="00C32BFB" w:rsidRPr="00850D17">
        <w:rPr>
          <w:rFonts w:eastAsia="SimSun"/>
          <w:lang w:val="fr-CH"/>
        </w:rPr>
        <w:t xml:space="preserve">des droits de l’homme. Cette situation pourrait créer une </w:t>
      </w:r>
      <w:r w:rsidR="005A2A3D" w:rsidRPr="00C36970">
        <w:rPr>
          <w:rFonts w:eastAsia="SimSun"/>
          <w:lang w:val="fr-CH"/>
        </w:rPr>
        <w:t>concurrence</w:t>
      </w:r>
      <w:r w:rsidR="005A2A3D" w:rsidRPr="00850D17">
        <w:rPr>
          <w:rFonts w:eastAsia="SimSun"/>
          <w:lang w:val="fr-CH"/>
        </w:rPr>
        <w:t xml:space="preserve"> </w:t>
      </w:r>
      <w:r w:rsidR="00630AA6" w:rsidRPr="00850D17">
        <w:rPr>
          <w:rFonts w:eastAsia="SimSun"/>
          <w:lang w:val="fr-CH"/>
        </w:rPr>
        <w:t>entre les deux institutions, notamment en termes de</w:t>
      </w:r>
      <w:r w:rsidR="0012008D" w:rsidRPr="00850D17">
        <w:rPr>
          <w:rFonts w:eastAsia="SimSun"/>
          <w:lang w:val="fr-CH"/>
        </w:rPr>
        <w:t xml:space="preserve"> </w:t>
      </w:r>
      <w:r w:rsidR="00C32BFB" w:rsidRPr="00850D17">
        <w:rPr>
          <w:rFonts w:eastAsia="SimSun"/>
          <w:lang w:val="fr-CH"/>
        </w:rPr>
        <w:t>financement</w:t>
      </w:r>
      <w:r w:rsidR="00D32DA7" w:rsidRPr="00850D17">
        <w:rPr>
          <w:rFonts w:eastAsia="SimSun"/>
          <w:lang w:val="fr-CH"/>
        </w:rPr>
        <w:t>.</w:t>
      </w:r>
      <w:r w:rsidR="00495B4B" w:rsidRPr="00850D17">
        <w:rPr>
          <w:rFonts w:eastAsia="SimSun"/>
          <w:lang w:val="fr-CH"/>
        </w:rPr>
        <w:t xml:space="preserve"> </w:t>
      </w:r>
      <w:r w:rsidR="00EC3FFD" w:rsidRPr="00850D17">
        <w:rPr>
          <w:rFonts w:eastAsia="SimSun"/>
          <w:lang w:val="fr-CH"/>
        </w:rPr>
        <w:t xml:space="preserve">Il en est de même </w:t>
      </w:r>
      <w:r w:rsidR="00ED1D1C" w:rsidRPr="00850D17">
        <w:rPr>
          <w:rFonts w:eastAsia="SimSun"/>
          <w:lang w:val="fr-CH"/>
        </w:rPr>
        <w:t>pour</w:t>
      </w:r>
      <w:r w:rsidR="00EC3FFD" w:rsidRPr="00850D17">
        <w:rPr>
          <w:rFonts w:eastAsia="SimSun"/>
          <w:lang w:val="fr-CH"/>
        </w:rPr>
        <w:t xml:space="preserve"> la Commission </w:t>
      </w:r>
      <w:r w:rsidR="00C024FC" w:rsidRPr="00850D17">
        <w:rPr>
          <w:rFonts w:eastAsia="SimSun"/>
          <w:lang w:val="fr-CH"/>
        </w:rPr>
        <w:t>nationale de préparation et de suivi de l’</w:t>
      </w:r>
      <w:r w:rsidR="0070481F">
        <w:rPr>
          <w:rFonts w:eastAsia="SimSun"/>
          <w:lang w:val="fr-CH"/>
        </w:rPr>
        <w:t>e</w:t>
      </w:r>
      <w:r w:rsidR="00C024FC" w:rsidRPr="00850D17">
        <w:rPr>
          <w:rFonts w:eastAsia="SimSun"/>
          <w:lang w:val="fr-CH"/>
        </w:rPr>
        <w:t xml:space="preserve">xamen périodique universel </w:t>
      </w:r>
      <w:r w:rsidR="00EC3FFD" w:rsidRPr="00850D17">
        <w:rPr>
          <w:rFonts w:eastAsia="SimSun"/>
          <w:lang w:val="fr-CH"/>
        </w:rPr>
        <w:t xml:space="preserve">et </w:t>
      </w:r>
      <w:r w:rsidR="0043538C" w:rsidRPr="00850D17">
        <w:rPr>
          <w:rFonts w:eastAsia="SimSun"/>
          <w:lang w:val="fr-CH"/>
        </w:rPr>
        <w:t xml:space="preserve">du </w:t>
      </w:r>
      <w:r w:rsidR="00EC3FFD" w:rsidRPr="00850D17">
        <w:rPr>
          <w:rFonts w:eastAsia="SimSun"/>
          <w:lang w:val="fr-CH"/>
        </w:rPr>
        <w:t>CIDH</w:t>
      </w:r>
      <w:r w:rsidR="00630AA6" w:rsidRPr="00850D17">
        <w:rPr>
          <w:rFonts w:eastAsia="SimSun"/>
          <w:lang w:val="fr-CH"/>
        </w:rPr>
        <w:t>,</w:t>
      </w:r>
      <w:r w:rsidR="003D2B18" w:rsidRPr="00850D17">
        <w:rPr>
          <w:rFonts w:eastAsia="SimSun"/>
          <w:lang w:val="fr-CH"/>
        </w:rPr>
        <w:t xml:space="preserve"> </w:t>
      </w:r>
      <w:r w:rsidR="00D32DA7" w:rsidRPr="00850D17">
        <w:rPr>
          <w:rFonts w:eastAsia="SimSun"/>
          <w:lang w:val="fr-CH"/>
        </w:rPr>
        <w:t>tous les deux</w:t>
      </w:r>
      <w:r w:rsidR="003D2B18" w:rsidRPr="00850D17">
        <w:rPr>
          <w:rFonts w:eastAsia="SimSun"/>
          <w:lang w:val="fr-CH"/>
        </w:rPr>
        <w:t xml:space="preserve"> </w:t>
      </w:r>
      <w:r w:rsidR="00ED1D1C" w:rsidRPr="00850D17">
        <w:rPr>
          <w:rFonts w:eastAsia="SimSun"/>
          <w:lang w:val="fr-CH"/>
        </w:rPr>
        <w:t>responsab</w:t>
      </w:r>
      <w:r w:rsidR="00D32DA7" w:rsidRPr="00850D17">
        <w:rPr>
          <w:rFonts w:eastAsia="SimSun"/>
          <w:lang w:val="fr-CH"/>
        </w:rPr>
        <w:t>les de</w:t>
      </w:r>
      <w:r w:rsidR="00ED1D1C" w:rsidRPr="00850D17">
        <w:rPr>
          <w:rFonts w:eastAsia="SimSun"/>
          <w:lang w:val="fr-CH"/>
        </w:rPr>
        <w:t xml:space="preserve"> la </w:t>
      </w:r>
      <w:r w:rsidR="003D2B18" w:rsidRPr="00850D17">
        <w:rPr>
          <w:rFonts w:eastAsia="SimSun"/>
          <w:lang w:val="fr-CH"/>
        </w:rPr>
        <w:t xml:space="preserve">soumission de rapports auprès des mécanismes des droits de l’homme et </w:t>
      </w:r>
      <w:r w:rsidR="00630AA6" w:rsidRPr="00850D17">
        <w:rPr>
          <w:rFonts w:eastAsia="SimSun"/>
          <w:lang w:val="fr-CH"/>
        </w:rPr>
        <w:t xml:space="preserve">du </w:t>
      </w:r>
      <w:r w:rsidR="003D2B18" w:rsidRPr="00850D17">
        <w:rPr>
          <w:rFonts w:eastAsia="SimSun"/>
          <w:lang w:val="fr-CH"/>
        </w:rPr>
        <w:t>suivi de</w:t>
      </w:r>
      <w:r w:rsidR="00ED1D1C" w:rsidRPr="00850D17">
        <w:rPr>
          <w:rFonts w:eastAsia="SimSun"/>
          <w:lang w:val="fr-CH"/>
        </w:rPr>
        <w:t xml:space="preserve"> leurs</w:t>
      </w:r>
      <w:r w:rsidR="003D2B18" w:rsidRPr="00850D17">
        <w:rPr>
          <w:rFonts w:eastAsia="SimSun"/>
          <w:lang w:val="fr-CH"/>
        </w:rPr>
        <w:t xml:space="preserve"> recommandations. </w:t>
      </w:r>
      <w:r w:rsidR="00BA42C4" w:rsidRPr="00850D17">
        <w:rPr>
          <w:rFonts w:eastAsia="SimSun"/>
          <w:lang w:val="fr-CH"/>
        </w:rPr>
        <w:t>Étant</w:t>
      </w:r>
      <w:r w:rsidR="00FC7AF1" w:rsidRPr="00850D17">
        <w:rPr>
          <w:rFonts w:eastAsia="SimSun"/>
          <w:lang w:val="fr-CH"/>
        </w:rPr>
        <w:t xml:space="preserve"> donné que </w:t>
      </w:r>
      <w:r w:rsidR="00862FDF">
        <w:rPr>
          <w:rFonts w:eastAsia="SimSun"/>
          <w:lang w:val="fr-CH"/>
        </w:rPr>
        <w:t>cette c</w:t>
      </w:r>
      <w:r w:rsidR="003D2B18" w:rsidRPr="00850D17">
        <w:rPr>
          <w:rFonts w:eastAsia="SimSun"/>
          <w:lang w:val="fr-CH"/>
        </w:rPr>
        <w:t xml:space="preserve">ommission </w:t>
      </w:r>
      <w:r w:rsidR="0046713E" w:rsidRPr="00850D17">
        <w:rPr>
          <w:rFonts w:eastAsia="SimSun"/>
          <w:lang w:val="fr-CH"/>
        </w:rPr>
        <w:t>n’a</w:t>
      </w:r>
      <w:r w:rsidR="00ED1D1C" w:rsidRPr="00850D17">
        <w:rPr>
          <w:rFonts w:eastAsia="SimSun"/>
          <w:lang w:val="fr-CH"/>
        </w:rPr>
        <w:t xml:space="preserve"> jamais</w:t>
      </w:r>
      <w:r w:rsidR="0046713E" w:rsidRPr="00850D17">
        <w:rPr>
          <w:rFonts w:eastAsia="SimSun"/>
          <w:lang w:val="fr-CH"/>
        </w:rPr>
        <w:t xml:space="preserve"> été </w:t>
      </w:r>
      <w:r w:rsidR="00630AA6" w:rsidRPr="00850D17">
        <w:rPr>
          <w:rFonts w:eastAsia="SimSun"/>
          <w:lang w:val="fr-CH"/>
        </w:rPr>
        <w:t xml:space="preserve">vraiment </w:t>
      </w:r>
      <w:r w:rsidR="00D32DA7" w:rsidRPr="00850D17">
        <w:rPr>
          <w:rFonts w:eastAsia="SimSun"/>
          <w:lang w:val="fr-CH"/>
        </w:rPr>
        <w:t xml:space="preserve">opérationnelle, </w:t>
      </w:r>
      <w:r w:rsidR="00ED1D1C" w:rsidRPr="00850D17">
        <w:rPr>
          <w:rFonts w:eastAsia="SimSun"/>
          <w:lang w:val="fr-CH"/>
        </w:rPr>
        <w:t xml:space="preserve">ses fonctions pourraient être </w:t>
      </w:r>
      <w:r w:rsidR="00D32DA7" w:rsidRPr="00850D17">
        <w:rPr>
          <w:rFonts w:eastAsia="SimSun"/>
          <w:lang w:val="fr-CH"/>
        </w:rPr>
        <w:t>intégrées</w:t>
      </w:r>
      <w:r w:rsidR="00ED1D1C" w:rsidRPr="00850D17">
        <w:rPr>
          <w:rFonts w:eastAsia="SimSun"/>
          <w:lang w:val="fr-CH"/>
        </w:rPr>
        <w:t xml:space="preserve"> dans celles </w:t>
      </w:r>
      <w:r w:rsidR="0043538C" w:rsidRPr="00850D17">
        <w:rPr>
          <w:rFonts w:eastAsia="SimSun"/>
          <w:lang w:val="fr-CH"/>
        </w:rPr>
        <w:t xml:space="preserve">du </w:t>
      </w:r>
      <w:r w:rsidR="00ED1D1C" w:rsidRPr="00850D17">
        <w:rPr>
          <w:rFonts w:eastAsia="SimSun"/>
          <w:lang w:val="fr-CH"/>
        </w:rPr>
        <w:t>CIDH</w:t>
      </w:r>
      <w:r w:rsidR="0046713E" w:rsidRPr="00850D17">
        <w:rPr>
          <w:rFonts w:eastAsia="SimSun"/>
          <w:lang w:val="fr-CH"/>
        </w:rPr>
        <w:t>.</w:t>
      </w:r>
    </w:p>
    <w:p w:rsidR="00525559" w:rsidRPr="00850D17" w:rsidRDefault="005429F8" w:rsidP="008E1BBD">
      <w:pPr>
        <w:pStyle w:val="SingleTxtG"/>
        <w:numPr>
          <w:ilvl w:val="0"/>
          <w:numId w:val="7"/>
        </w:numPr>
        <w:tabs>
          <w:tab w:val="left" w:pos="1134"/>
        </w:tabs>
        <w:ind w:left="1134" w:firstLine="0"/>
        <w:rPr>
          <w:lang w:val="fr-CH"/>
        </w:rPr>
      </w:pPr>
      <w:r w:rsidRPr="00850D17">
        <w:rPr>
          <w:lang w:val="fr-CH"/>
        </w:rPr>
        <w:t xml:space="preserve">L’assistance technique octroyée par </w:t>
      </w:r>
      <w:r w:rsidR="008E1BBD" w:rsidRPr="00C36970">
        <w:rPr>
          <w:lang w:val="fr-CH"/>
        </w:rPr>
        <w:t>Avocats sans frontières</w:t>
      </w:r>
      <w:r w:rsidRPr="00850D17">
        <w:rPr>
          <w:lang w:val="fr-CH"/>
        </w:rPr>
        <w:t xml:space="preserve">, le BCNUDH, </w:t>
      </w:r>
      <w:r w:rsidRPr="00C36970">
        <w:rPr>
          <w:iCs/>
          <w:lang w:val="fr-CH"/>
        </w:rPr>
        <w:t>Human Rights Watch</w:t>
      </w:r>
      <w:r w:rsidRPr="00850D17">
        <w:rPr>
          <w:lang w:val="fr-CH"/>
        </w:rPr>
        <w:t xml:space="preserve"> et </w:t>
      </w:r>
      <w:r w:rsidR="00B127E5">
        <w:rPr>
          <w:lang w:val="fr-CH"/>
        </w:rPr>
        <w:t>l</w:t>
      </w:r>
      <w:r w:rsidR="00B127E5" w:rsidRPr="00B127E5">
        <w:rPr>
          <w:lang w:val="fr-CH"/>
        </w:rPr>
        <w:t>’</w:t>
      </w:r>
      <w:r w:rsidRPr="00850D17">
        <w:rPr>
          <w:lang w:val="fr-CH"/>
        </w:rPr>
        <w:t xml:space="preserve">OSISA </w:t>
      </w:r>
      <w:r w:rsidR="00132DE9">
        <w:rPr>
          <w:lang w:val="fr-CH"/>
        </w:rPr>
        <w:t>a</w:t>
      </w:r>
      <w:r w:rsidR="00132DE9" w:rsidRPr="00850D17">
        <w:rPr>
          <w:lang w:val="fr-CH"/>
        </w:rPr>
        <w:t xml:space="preserve"> </w:t>
      </w:r>
      <w:r w:rsidRPr="00850D17">
        <w:rPr>
          <w:lang w:val="fr-CH"/>
        </w:rPr>
        <w:t>abouti</w:t>
      </w:r>
      <w:r w:rsidR="00495B4B" w:rsidRPr="00850D17">
        <w:rPr>
          <w:lang w:val="fr-CH"/>
        </w:rPr>
        <w:t xml:space="preserve">, en 2011, </w:t>
      </w:r>
      <w:r w:rsidRPr="00850D17">
        <w:rPr>
          <w:lang w:val="fr-CH"/>
        </w:rPr>
        <w:t xml:space="preserve">à l’adoption </w:t>
      </w:r>
      <w:r w:rsidR="00884DF9" w:rsidRPr="00850D17">
        <w:rPr>
          <w:lang w:val="fr-CH"/>
        </w:rPr>
        <w:t>d</w:t>
      </w:r>
      <w:r w:rsidR="0012008D" w:rsidRPr="00850D17">
        <w:rPr>
          <w:lang w:val="fr-CH"/>
        </w:rPr>
        <w:t>’</w:t>
      </w:r>
      <w:r w:rsidR="00884DF9" w:rsidRPr="00850D17">
        <w:rPr>
          <w:lang w:val="fr-CH"/>
        </w:rPr>
        <w:t xml:space="preserve">un </w:t>
      </w:r>
      <w:r w:rsidR="001D272C" w:rsidRPr="00850D17">
        <w:rPr>
          <w:lang w:val="fr-CH"/>
        </w:rPr>
        <w:t xml:space="preserve">arrêté </w:t>
      </w:r>
      <w:r w:rsidR="005A6040" w:rsidRPr="00850D17">
        <w:rPr>
          <w:lang w:val="fr-CH"/>
        </w:rPr>
        <w:t>ministériel</w:t>
      </w:r>
      <w:r w:rsidRPr="00850D17">
        <w:rPr>
          <w:lang w:val="fr-CH"/>
        </w:rPr>
        <w:t xml:space="preserve"> </w:t>
      </w:r>
      <w:r w:rsidR="001D272C" w:rsidRPr="00850D17">
        <w:rPr>
          <w:lang w:val="fr-CH"/>
        </w:rPr>
        <w:t>créant</w:t>
      </w:r>
      <w:r w:rsidRPr="00850D17">
        <w:rPr>
          <w:lang w:val="fr-CH"/>
        </w:rPr>
        <w:t xml:space="preserve"> une Cellule de protection des défenseurs des droits de l’homme. Cette structure peine à fonctionner par manque de ressources adéquates. </w:t>
      </w:r>
      <w:r w:rsidR="00495B4B" w:rsidRPr="00850D17">
        <w:rPr>
          <w:lang w:val="fr-CH"/>
        </w:rPr>
        <w:t xml:space="preserve">En outre, </w:t>
      </w:r>
      <w:r w:rsidRPr="00850D17">
        <w:rPr>
          <w:lang w:val="fr-CH"/>
        </w:rPr>
        <w:t>l’absence d</w:t>
      </w:r>
      <w:r w:rsidR="0012008D" w:rsidRPr="00850D17">
        <w:rPr>
          <w:lang w:val="fr-CH"/>
        </w:rPr>
        <w:t>’</w:t>
      </w:r>
      <w:r w:rsidR="00884DF9" w:rsidRPr="00850D17">
        <w:rPr>
          <w:lang w:val="fr-CH"/>
        </w:rPr>
        <w:t>une</w:t>
      </w:r>
      <w:r w:rsidRPr="00850D17">
        <w:rPr>
          <w:lang w:val="fr-CH"/>
        </w:rPr>
        <w:t xml:space="preserve"> loi sur la protection des défenseurs des droits de l’homme</w:t>
      </w:r>
      <w:r w:rsidR="00D73117" w:rsidRPr="00850D17">
        <w:rPr>
          <w:lang w:val="fr-CH"/>
        </w:rPr>
        <w:t xml:space="preserve"> </w:t>
      </w:r>
      <w:r w:rsidR="00884DF9" w:rsidRPr="00850D17">
        <w:rPr>
          <w:lang w:val="fr-CH"/>
        </w:rPr>
        <w:t>constitue</w:t>
      </w:r>
      <w:r w:rsidR="00D73117" w:rsidRPr="00850D17">
        <w:rPr>
          <w:lang w:val="fr-CH"/>
        </w:rPr>
        <w:t xml:space="preserve"> un frein </w:t>
      </w:r>
      <w:r w:rsidR="00D922EF" w:rsidRPr="00850D17">
        <w:rPr>
          <w:lang w:val="fr-CH"/>
        </w:rPr>
        <w:t>à</w:t>
      </w:r>
      <w:r w:rsidR="00D73117" w:rsidRPr="00850D17">
        <w:rPr>
          <w:lang w:val="fr-CH"/>
        </w:rPr>
        <w:t xml:space="preserve"> leur protection légale.</w:t>
      </w:r>
      <w:r w:rsidR="00D80923" w:rsidRPr="00850D17">
        <w:rPr>
          <w:lang w:val="fr-CH"/>
        </w:rPr>
        <w:t xml:space="preserve"> </w:t>
      </w:r>
    </w:p>
    <w:p w:rsidR="006C22D5" w:rsidRPr="005023BC" w:rsidRDefault="00EF11DA">
      <w:pPr>
        <w:pStyle w:val="H1G"/>
        <w:rPr>
          <w:rFonts w:eastAsia="SimSun"/>
          <w:lang w:val="fr-CH"/>
        </w:rPr>
      </w:pPr>
      <w:r w:rsidRPr="00850D17">
        <w:rPr>
          <w:rFonts w:eastAsia="SimSun"/>
          <w:lang w:val="fr-CH"/>
        </w:rPr>
        <w:tab/>
        <w:t>C.</w:t>
      </w:r>
      <w:r w:rsidRPr="00850D17">
        <w:rPr>
          <w:rFonts w:eastAsia="SimSun"/>
          <w:lang w:val="fr-CH"/>
        </w:rPr>
        <w:tab/>
      </w:r>
      <w:r w:rsidR="006C22D5" w:rsidRPr="00850D17">
        <w:rPr>
          <w:rFonts w:eastAsia="SimSun"/>
          <w:lang w:val="fr-CH"/>
        </w:rPr>
        <w:t>Protection des civils dans le cadre du conflit armé</w:t>
      </w:r>
    </w:p>
    <w:p w:rsidR="001C0017" w:rsidRPr="00850D17" w:rsidRDefault="001C0017" w:rsidP="00DC3DFC">
      <w:pPr>
        <w:pStyle w:val="SingleTxtG"/>
        <w:numPr>
          <w:ilvl w:val="0"/>
          <w:numId w:val="7"/>
        </w:numPr>
        <w:tabs>
          <w:tab w:val="left" w:pos="1134"/>
        </w:tabs>
        <w:ind w:left="1134" w:firstLine="0"/>
        <w:rPr>
          <w:lang w:val="fr-CH"/>
        </w:rPr>
      </w:pPr>
      <w:r w:rsidRPr="00850D17">
        <w:rPr>
          <w:lang w:val="fr-CH"/>
        </w:rPr>
        <w:t>Les activités des groupes armés dans l</w:t>
      </w:r>
      <w:r w:rsidR="0012008D" w:rsidRPr="00850D17">
        <w:rPr>
          <w:lang w:val="fr-CH"/>
        </w:rPr>
        <w:t>’</w:t>
      </w:r>
      <w:r w:rsidR="00AA54F9">
        <w:rPr>
          <w:lang w:val="fr-CH"/>
        </w:rPr>
        <w:t>e</w:t>
      </w:r>
      <w:r w:rsidRPr="00850D17">
        <w:rPr>
          <w:lang w:val="fr-CH"/>
        </w:rPr>
        <w:t xml:space="preserve">st de la </w:t>
      </w:r>
      <w:r w:rsidR="00AA54F9" w:rsidRPr="00850D17">
        <w:rPr>
          <w:lang w:val="fr-CH"/>
        </w:rPr>
        <w:t>République démocratique du Congo</w:t>
      </w:r>
      <w:r w:rsidRPr="00850D17">
        <w:rPr>
          <w:lang w:val="fr-CH"/>
        </w:rPr>
        <w:t xml:space="preserve"> constituent une menace majeure </w:t>
      </w:r>
      <w:r w:rsidR="00AA54F9">
        <w:rPr>
          <w:lang w:val="fr-CH"/>
        </w:rPr>
        <w:t>pour</w:t>
      </w:r>
      <w:r w:rsidR="00AA54F9" w:rsidRPr="00850D17">
        <w:rPr>
          <w:lang w:val="fr-CH"/>
        </w:rPr>
        <w:t xml:space="preserve"> </w:t>
      </w:r>
      <w:r w:rsidRPr="00850D17">
        <w:rPr>
          <w:lang w:val="fr-CH"/>
        </w:rPr>
        <w:t xml:space="preserve">la protection des civils et </w:t>
      </w:r>
      <w:r w:rsidR="005A36DD" w:rsidRPr="00850D17">
        <w:rPr>
          <w:lang w:val="fr-CH"/>
        </w:rPr>
        <w:t>ont</w:t>
      </w:r>
      <w:r w:rsidR="00822E93" w:rsidRPr="00850D17">
        <w:rPr>
          <w:lang w:val="fr-CH"/>
        </w:rPr>
        <w:t xml:space="preserve"> </w:t>
      </w:r>
      <w:r w:rsidR="00630AA6" w:rsidRPr="00850D17">
        <w:rPr>
          <w:lang w:val="fr-CH"/>
        </w:rPr>
        <w:t>engendré</w:t>
      </w:r>
      <w:r w:rsidRPr="00850D17">
        <w:rPr>
          <w:lang w:val="fr-CH"/>
        </w:rPr>
        <w:t xml:space="preserve"> de nombreuses violations des droits de l</w:t>
      </w:r>
      <w:r w:rsidR="0012008D" w:rsidRPr="00850D17">
        <w:rPr>
          <w:lang w:val="fr-CH"/>
        </w:rPr>
        <w:t>’</w:t>
      </w:r>
      <w:r w:rsidRPr="00850D17">
        <w:rPr>
          <w:lang w:val="fr-CH"/>
        </w:rPr>
        <w:t>homme et de</w:t>
      </w:r>
      <w:r w:rsidR="00AA54F9">
        <w:rPr>
          <w:lang w:val="fr-CH"/>
        </w:rPr>
        <w:t>s</w:t>
      </w:r>
      <w:r w:rsidRPr="00850D17">
        <w:rPr>
          <w:lang w:val="fr-CH"/>
        </w:rPr>
        <w:t xml:space="preserve"> déplacement</w:t>
      </w:r>
      <w:r w:rsidR="00AA54F9">
        <w:rPr>
          <w:lang w:val="fr-CH"/>
        </w:rPr>
        <w:t>s</w:t>
      </w:r>
      <w:r w:rsidRPr="00850D17">
        <w:rPr>
          <w:lang w:val="fr-CH"/>
        </w:rPr>
        <w:t xml:space="preserve"> massif</w:t>
      </w:r>
      <w:r w:rsidR="00AA54F9">
        <w:rPr>
          <w:lang w:val="fr-CH"/>
        </w:rPr>
        <w:t>s</w:t>
      </w:r>
      <w:r w:rsidRPr="00850D17">
        <w:rPr>
          <w:lang w:val="fr-CH"/>
        </w:rPr>
        <w:t xml:space="preserve"> de populations. </w:t>
      </w:r>
      <w:r w:rsidR="005A36DD" w:rsidRPr="00850D17">
        <w:rPr>
          <w:lang w:val="fr-CH"/>
        </w:rPr>
        <w:t>L</w:t>
      </w:r>
      <w:r w:rsidRPr="00850D17">
        <w:rPr>
          <w:lang w:val="fr-CH"/>
        </w:rPr>
        <w:t>es groupes armés cherch</w:t>
      </w:r>
      <w:r w:rsidR="005A36DD" w:rsidRPr="00850D17">
        <w:rPr>
          <w:lang w:val="fr-CH"/>
        </w:rPr>
        <w:t>a</w:t>
      </w:r>
      <w:r w:rsidRPr="00850D17">
        <w:rPr>
          <w:lang w:val="fr-CH"/>
        </w:rPr>
        <w:t xml:space="preserve">nt à étendre leur influence et leur contrôle à de riches territoires n’hésitent pas à </w:t>
      </w:r>
      <w:r w:rsidR="005A36DD" w:rsidRPr="00850D17">
        <w:rPr>
          <w:lang w:val="fr-CH"/>
        </w:rPr>
        <w:t>attaquer</w:t>
      </w:r>
      <w:r w:rsidRPr="00850D17">
        <w:rPr>
          <w:lang w:val="fr-CH"/>
        </w:rPr>
        <w:t xml:space="preserve"> </w:t>
      </w:r>
      <w:r w:rsidR="005A36DD" w:rsidRPr="00850D17">
        <w:rPr>
          <w:lang w:val="fr-CH"/>
        </w:rPr>
        <w:t>l</w:t>
      </w:r>
      <w:r w:rsidRPr="00850D17">
        <w:rPr>
          <w:lang w:val="fr-CH"/>
        </w:rPr>
        <w:t>es populations.</w:t>
      </w:r>
      <w:r w:rsidR="005A36DD" w:rsidRPr="00850D17">
        <w:rPr>
          <w:lang w:val="fr-CH"/>
        </w:rPr>
        <w:t xml:space="preserve"> </w:t>
      </w:r>
      <w:r w:rsidR="00630AA6" w:rsidRPr="00850D17">
        <w:rPr>
          <w:lang w:val="fr-CH"/>
        </w:rPr>
        <w:t>En outre</w:t>
      </w:r>
      <w:r w:rsidR="005A36DD" w:rsidRPr="00850D17">
        <w:rPr>
          <w:lang w:val="fr-CH"/>
        </w:rPr>
        <w:t>,</w:t>
      </w:r>
      <w:r w:rsidRPr="00850D17">
        <w:rPr>
          <w:lang w:val="fr-CH"/>
        </w:rPr>
        <w:t xml:space="preserve"> </w:t>
      </w:r>
      <w:r w:rsidR="005A36DD" w:rsidRPr="00850D17">
        <w:rPr>
          <w:lang w:val="fr-CH"/>
        </w:rPr>
        <w:t>d</w:t>
      </w:r>
      <w:r w:rsidRPr="00850D17">
        <w:rPr>
          <w:lang w:val="fr-CH"/>
        </w:rPr>
        <w:t xml:space="preserve">ans le contexte des opérations contre ces groupes armés, </w:t>
      </w:r>
      <w:r w:rsidR="00630AA6" w:rsidRPr="00850D17">
        <w:rPr>
          <w:lang w:val="fr-CH"/>
        </w:rPr>
        <w:t>d</w:t>
      </w:r>
      <w:r w:rsidRPr="00850D17">
        <w:rPr>
          <w:lang w:val="fr-CH"/>
        </w:rPr>
        <w:t xml:space="preserve">es membres des forces de défense et de sécurité congolaises commettent </w:t>
      </w:r>
      <w:r w:rsidR="00DC3DFC" w:rsidRPr="00C36970">
        <w:rPr>
          <w:lang w:val="fr-CH"/>
        </w:rPr>
        <w:t>par</w:t>
      </w:r>
      <w:r w:rsidR="00E67DF7" w:rsidRPr="00C36970">
        <w:rPr>
          <w:lang w:val="fr-CH"/>
        </w:rPr>
        <w:t>fois</w:t>
      </w:r>
      <w:r w:rsidR="00E67DF7" w:rsidRPr="00850D17">
        <w:rPr>
          <w:lang w:val="fr-CH"/>
        </w:rPr>
        <w:t xml:space="preserve"> </w:t>
      </w:r>
      <w:r w:rsidRPr="00850D17">
        <w:rPr>
          <w:lang w:val="fr-CH"/>
        </w:rPr>
        <w:t>des violations des droits de l’homme et du droit international humanitaire.</w:t>
      </w:r>
      <w:r w:rsidR="0012008D" w:rsidRPr="00850D17">
        <w:rPr>
          <w:lang w:val="fr-CH"/>
        </w:rPr>
        <w:t xml:space="preserve"> </w:t>
      </w:r>
    </w:p>
    <w:p w:rsidR="006C22D5" w:rsidRPr="00C36970" w:rsidRDefault="006C22D5">
      <w:pPr>
        <w:pStyle w:val="H23G"/>
      </w:pPr>
      <w:r w:rsidRPr="00850D17">
        <w:rPr>
          <w:rFonts w:eastAsia="SimSun"/>
          <w:lang w:val="fr-CH"/>
        </w:rPr>
        <w:lastRenderedPageBreak/>
        <w:tab/>
        <w:t>1.</w:t>
      </w:r>
      <w:r w:rsidRPr="00850D17">
        <w:rPr>
          <w:rFonts w:eastAsia="SimSun"/>
          <w:lang w:val="fr-CH"/>
        </w:rPr>
        <w:tab/>
        <w:t>Protection des civils</w:t>
      </w:r>
    </w:p>
    <w:p w:rsidR="006C22D5" w:rsidRPr="00850D17" w:rsidRDefault="006C22D5" w:rsidP="00281CC6">
      <w:pPr>
        <w:pStyle w:val="SingleTxtG"/>
        <w:numPr>
          <w:ilvl w:val="0"/>
          <w:numId w:val="7"/>
        </w:numPr>
        <w:tabs>
          <w:tab w:val="left" w:pos="1134"/>
        </w:tabs>
        <w:ind w:left="1134" w:firstLine="0"/>
        <w:rPr>
          <w:lang w:val="fr-CH"/>
        </w:rPr>
      </w:pPr>
      <w:r w:rsidRPr="00850D17">
        <w:rPr>
          <w:lang w:val="fr-CH"/>
        </w:rPr>
        <w:t xml:space="preserve">La sécurisation des personnes et de leurs biens est demeurée une préoccupation dans </w:t>
      </w:r>
      <w:r w:rsidR="00610991" w:rsidRPr="00C36970">
        <w:rPr>
          <w:lang w:val="fr-CH"/>
        </w:rPr>
        <w:t>l</w:t>
      </w:r>
      <w:r w:rsidR="005A36DD" w:rsidRPr="00C36970">
        <w:rPr>
          <w:lang w:val="fr-CH"/>
        </w:rPr>
        <w:t xml:space="preserve">es </w:t>
      </w:r>
      <w:r w:rsidRPr="00C36970">
        <w:rPr>
          <w:lang w:val="fr-CH"/>
        </w:rPr>
        <w:t xml:space="preserve">zones </w:t>
      </w:r>
      <w:r w:rsidR="005A36DD" w:rsidRPr="00C36970">
        <w:rPr>
          <w:lang w:val="fr-CH"/>
        </w:rPr>
        <w:t xml:space="preserve">de conflits </w:t>
      </w:r>
      <w:r w:rsidR="0088660C" w:rsidRPr="00C36970">
        <w:rPr>
          <w:lang w:val="fr-CH"/>
        </w:rPr>
        <w:t xml:space="preserve">ou </w:t>
      </w:r>
      <w:r w:rsidR="00B811EE" w:rsidRPr="00C36970">
        <w:rPr>
          <w:lang w:val="fr-CH"/>
        </w:rPr>
        <w:t>qui se relèven</w:t>
      </w:r>
      <w:r w:rsidR="0088660C" w:rsidRPr="00C36970">
        <w:rPr>
          <w:lang w:val="fr-CH"/>
        </w:rPr>
        <w:t xml:space="preserve">t d’un </w:t>
      </w:r>
      <w:r w:rsidR="005A36DD" w:rsidRPr="00C36970">
        <w:rPr>
          <w:lang w:val="fr-CH"/>
        </w:rPr>
        <w:t>conflit</w:t>
      </w:r>
      <w:r w:rsidRPr="00850D17">
        <w:rPr>
          <w:lang w:val="fr-CH"/>
        </w:rPr>
        <w:t>. Face à ces défis, la communauté internationale a contribué à la mise en place de mécanismes de protection des civils dans l’</w:t>
      </w:r>
      <w:r w:rsidR="00572B0E">
        <w:rPr>
          <w:lang w:val="fr-CH"/>
        </w:rPr>
        <w:t>e</w:t>
      </w:r>
      <w:r w:rsidRPr="00850D17">
        <w:rPr>
          <w:lang w:val="fr-CH"/>
        </w:rPr>
        <w:t>st du pays:</w:t>
      </w:r>
    </w:p>
    <w:p w:rsidR="006C22D5" w:rsidRPr="00850D17" w:rsidRDefault="006C22D5" w:rsidP="0053539D">
      <w:pPr>
        <w:pStyle w:val="Bullet1G"/>
        <w:rPr>
          <w:rFonts w:eastAsia="SimSun"/>
          <w:lang w:val="fr-CH"/>
        </w:rPr>
      </w:pPr>
      <w:r w:rsidRPr="00850D17">
        <w:rPr>
          <w:rFonts w:eastAsia="SimSun"/>
          <w:lang w:val="fr-CH"/>
        </w:rPr>
        <w:t>Le BCNUDH, en collaboration avec la MONUSCO, a mis en place environ 312</w:t>
      </w:r>
      <w:r w:rsidR="007A669B">
        <w:rPr>
          <w:rFonts w:eastAsia="SimSun"/>
          <w:lang w:val="fr-CH"/>
        </w:rPr>
        <w:t> </w:t>
      </w:r>
      <w:r w:rsidRPr="00850D17">
        <w:rPr>
          <w:rFonts w:eastAsia="SimSun"/>
          <w:lang w:val="fr-CH"/>
        </w:rPr>
        <w:t>équipes mixtes de protection pour prévenir des attaques contre les civils à l’</w:t>
      </w:r>
      <w:r w:rsidR="003F3428">
        <w:rPr>
          <w:rFonts w:eastAsia="SimSun"/>
          <w:lang w:val="fr-CH"/>
        </w:rPr>
        <w:t>e</w:t>
      </w:r>
      <w:r w:rsidRPr="00850D17">
        <w:rPr>
          <w:rFonts w:eastAsia="SimSun"/>
          <w:lang w:val="fr-CH"/>
        </w:rPr>
        <w:t xml:space="preserve">st </w:t>
      </w:r>
      <w:r w:rsidR="003F3428">
        <w:rPr>
          <w:rFonts w:eastAsia="SimSun"/>
          <w:lang w:val="fr-CH"/>
        </w:rPr>
        <w:t>du pays</w:t>
      </w:r>
      <w:r w:rsidRPr="00850D17">
        <w:rPr>
          <w:rFonts w:eastAsia="SimSun"/>
          <w:lang w:val="fr-CH"/>
        </w:rPr>
        <w:t xml:space="preserve"> entre 2009 et 2014. Ces équipes ont élaboré des plans de protection dans différentes localités et conduit 117</w:t>
      </w:r>
      <w:r w:rsidR="007A669B">
        <w:rPr>
          <w:rFonts w:eastAsia="SimSun"/>
          <w:lang w:val="fr-CH"/>
        </w:rPr>
        <w:t> </w:t>
      </w:r>
      <w:r w:rsidRPr="00850D17">
        <w:rPr>
          <w:rFonts w:eastAsia="SimSun"/>
          <w:lang w:val="fr-CH"/>
        </w:rPr>
        <w:t>019</w:t>
      </w:r>
      <w:r w:rsidR="007A669B">
        <w:rPr>
          <w:rFonts w:eastAsia="SimSun"/>
          <w:lang w:val="fr-CH"/>
        </w:rPr>
        <w:t> </w:t>
      </w:r>
      <w:r w:rsidRPr="00850D17">
        <w:rPr>
          <w:rFonts w:eastAsia="SimSun"/>
          <w:lang w:val="fr-CH"/>
        </w:rPr>
        <w:t>patrouilles mixtes</w:t>
      </w:r>
      <w:r w:rsidR="00CC31BF">
        <w:rPr>
          <w:rFonts w:eastAsia="SimSun"/>
          <w:lang w:val="fr-CH"/>
        </w:rPr>
        <w:t>;</w:t>
      </w:r>
    </w:p>
    <w:p w:rsidR="006C22D5" w:rsidRPr="00850D17" w:rsidRDefault="006C22D5">
      <w:pPr>
        <w:pStyle w:val="Bullet1G"/>
        <w:rPr>
          <w:rFonts w:eastAsia="SimSun"/>
          <w:lang w:val="fr-CH"/>
        </w:rPr>
      </w:pPr>
      <w:r w:rsidRPr="00850D17">
        <w:rPr>
          <w:rFonts w:eastAsia="SimSun"/>
          <w:lang w:val="fr-CH"/>
        </w:rPr>
        <w:t xml:space="preserve">Entre 2013 et 2014, la </w:t>
      </w:r>
      <w:r w:rsidR="000E32AD">
        <w:rPr>
          <w:rFonts w:eastAsia="SimSun"/>
          <w:lang w:val="fr-CH"/>
        </w:rPr>
        <w:t>S</w:t>
      </w:r>
      <w:r w:rsidRPr="00850D17">
        <w:rPr>
          <w:rFonts w:eastAsia="SimSun"/>
          <w:lang w:val="fr-CH"/>
        </w:rPr>
        <w:t xml:space="preserve">ection des </w:t>
      </w:r>
      <w:r w:rsidR="000E32AD">
        <w:rPr>
          <w:rFonts w:eastAsia="SimSun"/>
          <w:lang w:val="fr-CH"/>
        </w:rPr>
        <w:t>a</w:t>
      </w:r>
      <w:r w:rsidRPr="00850D17">
        <w:rPr>
          <w:rFonts w:eastAsia="SimSun"/>
          <w:lang w:val="fr-CH"/>
        </w:rPr>
        <w:t>ffaires civiles de la MONUSCO et le BCNUDH ont apporté leur appui à plusieurs communautés pour développer plus de 49</w:t>
      </w:r>
      <w:r w:rsidR="0056773C">
        <w:rPr>
          <w:rFonts w:eastAsia="SimSun"/>
          <w:lang w:val="fr-CH"/>
        </w:rPr>
        <w:t> </w:t>
      </w:r>
      <w:r w:rsidRPr="00850D17">
        <w:rPr>
          <w:rFonts w:eastAsia="SimSun"/>
          <w:lang w:val="fr-CH"/>
        </w:rPr>
        <w:t>plans communautaires pour la protection des civils. Dura</w:t>
      </w:r>
      <w:r w:rsidR="005F1A20" w:rsidRPr="00850D17">
        <w:rPr>
          <w:rFonts w:eastAsia="SimSun"/>
          <w:lang w:val="fr-CH"/>
        </w:rPr>
        <w:t>nt cette période</w:t>
      </w:r>
      <w:r w:rsidRPr="00850D17">
        <w:rPr>
          <w:rFonts w:eastAsia="SimSun"/>
          <w:lang w:val="fr-CH"/>
        </w:rPr>
        <w:t xml:space="preserve">, la Section des </w:t>
      </w:r>
      <w:r w:rsidR="000E32AD">
        <w:rPr>
          <w:rFonts w:eastAsia="SimSun"/>
          <w:lang w:val="fr-CH"/>
        </w:rPr>
        <w:t>a</w:t>
      </w:r>
      <w:r w:rsidRPr="00850D17">
        <w:rPr>
          <w:rFonts w:eastAsia="SimSun"/>
          <w:lang w:val="fr-CH"/>
        </w:rPr>
        <w:t>ffaires civiles de la MONUSCO a déployé 40</w:t>
      </w:r>
      <w:r w:rsidR="00BA42C4">
        <w:rPr>
          <w:rFonts w:eastAsia="SimSun"/>
          <w:lang w:val="fr-CH"/>
        </w:rPr>
        <w:t> </w:t>
      </w:r>
      <w:r w:rsidRPr="00850D17">
        <w:rPr>
          <w:rFonts w:eastAsia="SimSun"/>
          <w:lang w:val="fr-CH"/>
        </w:rPr>
        <w:t>assistants de liaison communautaires auprès des communautés concernées</w:t>
      </w:r>
      <w:r w:rsidR="00CC31BF">
        <w:rPr>
          <w:rFonts w:eastAsia="SimSun"/>
          <w:lang w:val="fr-CH"/>
        </w:rPr>
        <w:t>;</w:t>
      </w:r>
    </w:p>
    <w:p w:rsidR="006C22D5" w:rsidRPr="00850D17" w:rsidRDefault="006C22D5">
      <w:pPr>
        <w:pStyle w:val="Bullet1G"/>
        <w:rPr>
          <w:rFonts w:eastAsia="SimSun"/>
          <w:lang w:val="fr-CH"/>
        </w:rPr>
      </w:pPr>
      <w:r w:rsidRPr="00850D17">
        <w:rPr>
          <w:rFonts w:eastAsia="SimSun"/>
          <w:lang w:val="fr-CH"/>
        </w:rPr>
        <w:t xml:space="preserve">Pendant la période </w:t>
      </w:r>
      <w:r w:rsidR="005E2578">
        <w:rPr>
          <w:rFonts w:eastAsia="SimSun"/>
          <w:lang w:val="fr-CH"/>
        </w:rPr>
        <w:t>considérée</w:t>
      </w:r>
      <w:r w:rsidRPr="00850D17">
        <w:rPr>
          <w:rFonts w:eastAsia="SimSun"/>
          <w:lang w:val="fr-CH"/>
        </w:rPr>
        <w:t>, la MONUSCO, Catholic Relief Services et Caritas ont fourni plus de 900</w:t>
      </w:r>
      <w:r w:rsidR="0056773C">
        <w:rPr>
          <w:rFonts w:eastAsia="SimSun"/>
          <w:lang w:val="fr-CH"/>
        </w:rPr>
        <w:t> </w:t>
      </w:r>
      <w:r w:rsidRPr="00850D17">
        <w:rPr>
          <w:rFonts w:eastAsia="SimSun"/>
          <w:lang w:val="fr-CH"/>
        </w:rPr>
        <w:t>téléphones portables et réhabilité des réseaux de communications radio de haute fréquence dans les provinces de l’</w:t>
      </w:r>
      <w:r w:rsidR="0056773C" w:rsidRPr="00850D17">
        <w:rPr>
          <w:rFonts w:eastAsia="SimSun"/>
          <w:lang w:val="fr-CH"/>
        </w:rPr>
        <w:t>Équateur</w:t>
      </w:r>
      <w:r w:rsidRPr="00850D17">
        <w:rPr>
          <w:rFonts w:eastAsia="SimSun"/>
          <w:lang w:val="fr-CH"/>
        </w:rPr>
        <w:t xml:space="preserve">, </w:t>
      </w:r>
      <w:r w:rsidR="00AC214E">
        <w:rPr>
          <w:rFonts w:eastAsia="SimSun"/>
          <w:lang w:val="fr-CH"/>
        </w:rPr>
        <w:t>du</w:t>
      </w:r>
      <w:r w:rsidR="0027462B">
        <w:rPr>
          <w:rFonts w:eastAsia="SimSun"/>
          <w:lang w:val="fr-CH"/>
        </w:rPr>
        <w:t xml:space="preserve"> </w:t>
      </w:r>
      <w:r w:rsidRPr="00850D17">
        <w:rPr>
          <w:rFonts w:eastAsia="SimSun"/>
          <w:lang w:val="fr-CH"/>
        </w:rPr>
        <w:t>Katanga,</w:t>
      </w:r>
      <w:r w:rsidR="0027462B">
        <w:rPr>
          <w:rFonts w:eastAsia="SimSun"/>
          <w:lang w:val="fr-CH"/>
        </w:rPr>
        <w:t xml:space="preserve"> du</w:t>
      </w:r>
      <w:r w:rsidRPr="00850D17">
        <w:rPr>
          <w:rFonts w:eastAsia="SimSun"/>
          <w:lang w:val="fr-CH"/>
        </w:rPr>
        <w:t xml:space="preserve"> Nord-Kivu, Orientale et </w:t>
      </w:r>
      <w:r w:rsidR="0027462B">
        <w:rPr>
          <w:rFonts w:eastAsia="SimSun"/>
          <w:lang w:val="fr-CH"/>
        </w:rPr>
        <w:t xml:space="preserve">du </w:t>
      </w:r>
      <w:r w:rsidRPr="00850D17">
        <w:rPr>
          <w:rFonts w:eastAsia="SimSun"/>
          <w:lang w:val="fr-CH"/>
        </w:rPr>
        <w:t>Sud</w:t>
      </w:r>
      <w:r w:rsidR="006169F4">
        <w:rPr>
          <w:rFonts w:eastAsia="SimSun"/>
          <w:lang w:val="fr-CH"/>
        </w:rPr>
        <w:t>-</w:t>
      </w:r>
      <w:r w:rsidRPr="00850D17">
        <w:rPr>
          <w:rFonts w:eastAsia="SimSun"/>
          <w:lang w:val="fr-CH"/>
        </w:rPr>
        <w:t>Kivu. Grâce à cette aide, les interventions des FARDC et de la force de la MONUSCO ont permis de protéger les civils</w:t>
      </w:r>
      <w:r w:rsidR="00CC31BF">
        <w:rPr>
          <w:rFonts w:eastAsia="SimSun"/>
          <w:lang w:val="fr-CH"/>
        </w:rPr>
        <w:t>;</w:t>
      </w:r>
    </w:p>
    <w:p w:rsidR="006C22D5" w:rsidRPr="00850D17" w:rsidRDefault="006C22D5">
      <w:pPr>
        <w:pStyle w:val="Bullet1G"/>
        <w:rPr>
          <w:rFonts w:eastAsia="SimSun"/>
          <w:lang w:val="fr-CH"/>
        </w:rPr>
      </w:pPr>
      <w:r w:rsidRPr="00850D17">
        <w:rPr>
          <w:rFonts w:eastAsia="SimSun"/>
          <w:lang w:val="fr-CH"/>
        </w:rPr>
        <w:t>Entre 2011 et 2012, le BCNUDH a mis en place 93</w:t>
      </w:r>
      <w:r w:rsidR="0056773C">
        <w:rPr>
          <w:rFonts w:eastAsia="SimSun"/>
          <w:lang w:val="fr-CH"/>
        </w:rPr>
        <w:t> </w:t>
      </w:r>
      <w:r w:rsidRPr="00850D17">
        <w:rPr>
          <w:rFonts w:eastAsia="SimSun"/>
          <w:lang w:val="fr-CH"/>
        </w:rPr>
        <w:t>cellules d’alerte, d’analyse et de réponse rapide de la force de la MONUSCO</w:t>
      </w:r>
      <w:r w:rsidR="0061753A">
        <w:rPr>
          <w:rFonts w:eastAsia="SimSun"/>
          <w:lang w:val="fr-CH"/>
        </w:rPr>
        <w:t>,</w:t>
      </w:r>
      <w:r w:rsidRPr="00850D17">
        <w:rPr>
          <w:rFonts w:eastAsia="SimSun"/>
          <w:lang w:val="fr-CH"/>
        </w:rPr>
        <w:t xml:space="preserve"> qui ont reçu 1</w:t>
      </w:r>
      <w:r w:rsidR="0056773C">
        <w:rPr>
          <w:rFonts w:eastAsia="SimSun"/>
          <w:lang w:val="fr-CH"/>
        </w:rPr>
        <w:t> </w:t>
      </w:r>
      <w:r w:rsidRPr="00850D17">
        <w:rPr>
          <w:rFonts w:eastAsia="SimSun"/>
          <w:lang w:val="fr-CH"/>
        </w:rPr>
        <w:t>890</w:t>
      </w:r>
      <w:r w:rsidR="0056773C">
        <w:rPr>
          <w:rFonts w:eastAsia="SimSun"/>
          <w:lang w:val="fr-CH"/>
        </w:rPr>
        <w:t> </w:t>
      </w:r>
      <w:r w:rsidRPr="00850D17">
        <w:rPr>
          <w:rFonts w:eastAsia="SimSun"/>
          <w:lang w:val="fr-CH"/>
        </w:rPr>
        <w:t xml:space="preserve">alertes relatives à des menaces d’attaques armées </w:t>
      </w:r>
      <w:r w:rsidR="005F1A20" w:rsidRPr="00850D17">
        <w:rPr>
          <w:rFonts w:eastAsia="SimSun"/>
          <w:lang w:val="fr-CH"/>
        </w:rPr>
        <w:t>contre les populations civiles</w:t>
      </w:r>
      <w:r w:rsidRPr="00850D17">
        <w:rPr>
          <w:rFonts w:eastAsia="SimSun"/>
          <w:lang w:val="fr-CH"/>
        </w:rPr>
        <w:t>.</w:t>
      </w:r>
    </w:p>
    <w:p w:rsidR="006C22D5" w:rsidRPr="00850D17" w:rsidRDefault="00CB1C75" w:rsidP="0053539D">
      <w:pPr>
        <w:pStyle w:val="SingleTxtG"/>
        <w:numPr>
          <w:ilvl w:val="0"/>
          <w:numId w:val="7"/>
        </w:numPr>
        <w:tabs>
          <w:tab w:val="left" w:pos="1134"/>
        </w:tabs>
        <w:ind w:left="1134" w:firstLine="0"/>
        <w:rPr>
          <w:lang w:val="fr-CH"/>
        </w:rPr>
      </w:pPr>
      <w:r w:rsidRPr="00850D17">
        <w:rPr>
          <w:lang w:val="fr-CH"/>
        </w:rPr>
        <w:t>En dépit</w:t>
      </w:r>
      <w:r w:rsidR="006C22D5" w:rsidRPr="00850D17">
        <w:rPr>
          <w:lang w:val="fr-CH"/>
        </w:rPr>
        <w:t xml:space="preserve"> </w:t>
      </w:r>
      <w:r w:rsidRPr="00850D17">
        <w:rPr>
          <w:lang w:val="fr-CH"/>
        </w:rPr>
        <w:t>d</w:t>
      </w:r>
      <w:r w:rsidR="006C22D5" w:rsidRPr="00850D17">
        <w:rPr>
          <w:lang w:val="fr-CH"/>
        </w:rPr>
        <w:t>es résultats enregistrés</w:t>
      </w:r>
      <w:r w:rsidR="005F1A20" w:rsidRPr="00850D17">
        <w:rPr>
          <w:lang w:val="fr-CH"/>
        </w:rPr>
        <w:t xml:space="preserve"> </w:t>
      </w:r>
      <w:r w:rsidR="00247002" w:rsidRPr="00850D17">
        <w:rPr>
          <w:lang w:val="fr-CH"/>
        </w:rPr>
        <w:t>et</w:t>
      </w:r>
      <w:r w:rsidR="006C22D5" w:rsidRPr="00850D17">
        <w:rPr>
          <w:lang w:val="fr-CH"/>
        </w:rPr>
        <w:t xml:space="preserve"> </w:t>
      </w:r>
      <w:r w:rsidR="003540EC">
        <w:rPr>
          <w:lang w:val="fr-CH"/>
        </w:rPr>
        <w:t xml:space="preserve">de </w:t>
      </w:r>
      <w:r w:rsidR="006C22D5" w:rsidRPr="00850D17">
        <w:rPr>
          <w:lang w:val="fr-CH"/>
        </w:rPr>
        <w:t>l’adoption</w:t>
      </w:r>
      <w:r w:rsidR="003540EC">
        <w:rPr>
          <w:lang w:val="fr-CH"/>
        </w:rPr>
        <w:t>,</w:t>
      </w:r>
      <w:r w:rsidR="006C22D5" w:rsidRPr="00850D17">
        <w:rPr>
          <w:lang w:val="fr-CH"/>
        </w:rPr>
        <w:t xml:space="preserve"> </w:t>
      </w:r>
      <w:r w:rsidR="00247002" w:rsidRPr="00850D17">
        <w:rPr>
          <w:lang w:val="fr-CH"/>
        </w:rPr>
        <w:t>en 2013</w:t>
      </w:r>
      <w:r w:rsidR="003540EC">
        <w:rPr>
          <w:lang w:val="fr-CH"/>
        </w:rPr>
        <w:t>,</w:t>
      </w:r>
      <w:r w:rsidR="00247002" w:rsidRPr="00850D17">
        <w:rPr>
          <w:lang w:val="fr-CH"/>
        </w:rPr>
        <w:t xml:space="preserve"> </w:t>
      </w:r>
      <w:r w:rsidR="006C22D5" w:rsidRPr="00850D17">
        <w:rPr>
          <w:lang w:val="fr-CH"/>
        </w:rPr>
        <w:t xml:space="preserve">par les acteurs humanitaires d’une directive pour la coordination </w:t>
      </w:r>
      <w:r w:rsidR="00F53347" w:rsidRPr="00850D17">
        <w:rPr>
          <w:lang w:val="fr-CH"/>
        </w:rPr>
        <w:t>civil</w:t>
      </w:r>
      <w:r w:rsidR="00DE2F90">
        <w:rPr>
          <w:lang w:val="fr-CH"/>
        </w:rPr>
        <w:t xml:space="preserve">e et </w:t>
      </w:r>
      <w:r w:rsidR="00F53347" w:rsidRPr="00850D17">
        <w:rPr>
          <w:lang w:val="fr-CH"/>
        </w:rPr>
        <w:t>mi</w:t>
      </w:r>
      <w:r w:rsidR="00670B4C" w:rsidRPr="00850D17">
        <w:rPr>
          <w:lang w:val="fr-CH"/>
        </w:rPr>
        <w:t>litaire</w:t>
      </w:r>
      <w:r w:rsidR="00247002" w:rsidRPr="00850D17">
        <w:rPr>
          <w:lang w:val="fr-CH"/>
        </w:rPr>
        <w:t xml:space="preserve"> portant</w:t>
      </w:r>
      <w:r w:rsidR="00670B4C" w:rsidRPr="00850D17">
        <w:rPr>
          <w:lang w:val="fr-CH"/>
        </w:rPr>
        <w:t xml:space="preserve"> </w:t>
      </w:r>
      <w:r w:rsidR="006C22D5" w:rsidRPr="00850D17">
        <w:rPr>
          <w:lang w:val="fr-CH"/>
        </w:rPr>
        <w:t>sur</w:t>
      </w:r>
      <w:r w:rsidR="005F1A20" w:rsidRPr="00850D17">
        <w:rPr>
          <w:lang w:val="fr-CH"/>
        </w:rPr>
        <w:t xml:space="preserve"> </w:t>
      </w:r>
      <w:r w:rsidR="006C22D5" w:rsidRPr="00850D17">
        <w:rPr>
          <w:lang w:val="fr-CH"/>
        </w:rPr>
        <w:t xml:space="preserve">le partage de l’information et </w:t>
      </w:r>
      <w:r w:rsidR="00D70769" w:rsidRPr="00850D17">
        <w:rPr>
          <w:lang w:val="fr-CH"/>
        </w:rPr>
        <w:t>la</w:t>
      </w:r>
      <w:r w:rsidR="006C22D5" w:rsidRPr="00850D17">
        <w:rPr>
          <w:lang w:val="fr-CH"/>
        </w:rPr>
        <w:t xml:space="preserve"> stratégie élargie des Nations </w:t>
      </w:r>
      <w:r w:rsidR="002B7CA5" w:rsidRPr="00850D17">
        <w:rPr>
          <w:lang w:val="fr-CH"/>
        </w:rPr>
        <w:t>U</w:t>
      </w:r>
      <w:r w:rsidR="006C22D5" w:rsidRPr="00850D17">
        <w:rPr>
          <w:lang w:val="fr-CH"/>
        </w:rPr>
        <w:t>nies sur la protection des civils, des insuffisances de coordination subsistent entre les acteurs humanitaires, le BCNUDH et la force de la MONUSCO pour le partage d’informations et la prévention de</w:t>
      </w:r>
      <w:r w:rsidR="00DB5777">
        <w:rPr>
          <w:lang w:val="fr-CH"/>
        </w:rPr>
        <w:t>s</w:t>
      </w:r>
      <w:r w:rsidR="006C22D5" w:rsidRPr="00850D17">
        <w:rPr>
          <w:lang w:val="fr-CH"/>
        </w:rPr>
        <w:t xml:space="preserve"> risques d’attaques armées contre des populations civiles. Certains membres des groupes </w:t>
      </w:r>
      <w:r w:rsidR="005F1A20" w:rsidRPr="00850D17">
        <w:rPr>
          <w:lang w:val="fr-CH"/>
        </w:rPr>
        <w:t xml:space="preserve">de travail </w:t>
      </w:r>
      <w:r w:rsidR="00670B4C" w:rsidRPr="00850D17">
        <w:rPr>
          <w:lang w:val="fr-CH"/>
        </w:rPr>
        <w:t>sur la</w:t>
      </w:r>
      <w:r w:rsidR="00247002" w:rsidRPr="00850D17">
        <w:rPr>
          <w:lang w:val="fr-CH"/>
        </w:rPr>
        <w:t xml:space="preserve"> </w:t>
      </w:r>
      <w:r w:rsidR="006C22D5" w:rsidRPr="00850D17">
        <w:rPr>
          <w:lang w:val="fr-CH"/>
        </w:rPr>
        <w:t>protection sont réticents à partager des informations en raison d’une lecture rigide des principes humanitaires (neutralité et impartialité) depuis l’intégration à la MONUSCO</w:t>
      </w:r>
      <w:r w:rsidR="00445054" w:rsidRPr="00850D17">
        <w:rPr>
          <w:lang w:val="fr-CH"/>
        </w:rPr>
        <w:t>,</w:t>
      </w:r>
      <w:r w:rsidR="006C22D5" w:rsidRPr="00850D17">
        <w:rPr>
          <w:lang w:val="fr-CH"/>
        </w:rPr>
        <w:t xml:space="preserve"> en 2013</w:t>
      </w:r>
      <w:r w:rsidR="00445054" w:rsidRPr="00850D17">
        <w:rPr>
          <w:lang w:val="fr-CH"/>
        </w:rPr>
        <w:t>,</w:t>
      </w:r>
      <w:r w:rsidR="006C22D5" w:rsidRPr="00850D17">
        <w:rPr>
          <w:lang w:val="fr-CH"/>
        </w:rPr>
        <w:t xml:space="preserve"> de la brigade d’intervention</w:t>
      </w:r>
      <w:r w:rsidRPr="00850D17">
        <w:rPr>
          <w:lang w:val="fr-CH"/>
        </w:rPr>
        <w:t>,</w:t>
      </w:r>
      <w:r w:rsidR="006C22D5" w:rsidRPr="00850D17">
        <w:rPr>
          <w:lang w:val="fr-CH"/>
        </w:rPr>
        <w:t xml:space="preserve"> </w:t>
      </w:r>
      <w:r w:rsidR="00CC4ABB" w:rsidRPr="00850D17">
        <w:rPr>
          <w:lang w:val="fr-CH"/>
        </w:rPr>
        <w:t xml:space="preserve">lui </w:t>
      </w:r>
      <w:r w:rsidR="006C22D5" w:rsidRPr="00850D17">
        <w:rPr>
          <w:lang w:val="fr-CH"/>
        </w:rPr>
        <w:t xml:space="preserve">conférant un mandat offensif pour </w:t>
      </w:r>
      <w:r w:rsidRPr="00850D17">
        <w:rPr>
          <w:lang w:val="fr-CH"/>
        </w:rPr>
        <w:t>répondre</w:t>
      </w:r>
      <w:r w:rsidR="006C22D5" w:rsidRPr="00850D17">
        <w:rPr>
          <w:lang w:val="fr-CH"/>
        </w:rPr>
        <w:t xml:space="preserve"> </w:t>
      </w:r>
      <w:r w:rsidR="00247002" w:rsidRPr="00850D17">
        <w:rPr>
          <w:lang w:val="fr-CH"/>
        </w:rPr>
        <w:t>aux</w:t>
      </w:r>
      <w:r w:rsidR="006C22D5" w:rsidRPr="00850D17">
        <w:rPr>
          <w:lang w:val="fr-CH"/>
        </w:rPr>
        <w:t xml:space="preserve"> attaques imminentes </w:t>
      </w:r>
      <w:r w:rsidR="00247002" w:rsidRPr="00850D17">
        <w:rPr>
          <w:lang w:val="fr-CH"/>
        </w:rPr>
        <w:t xml:space="preserve">contre </w:t>
      </w:r>
      <w:r w:rsidR="00B9159C">
        <w:rPr>
          <w:lang w:val="fr-CH"/>
        </w:rPr>
        <w:t>d</w:t>
      </w:r>
      <w:r w:rsidR="006C22D5" w:rsidRPr="00850D17">
        <w:rPr>
          <w:lang w:val="fr-CH"/>
        </w:rPr>
        <w:t>es civils.</w:t>
      </w:r>
      <w:r w:rsidR="0012008D" w:rsidRPr="00850D17">
        <w:rPr>
          <w:lang w:val="fr-CH"/>
        </w:rPr>
        <w:t xml:space="preserve"> </w:t>
      </w:r>
    </w:p>
    <w:p w:rsidR="006C22D5" w:rsidRPr="00C36970" w:rsidRDefault="006C22D5">
      <w:pPr>
        <w:pStyle w:val="H23G"/>
        <w:rPr>
          <w:rFonts w:eastAsia="SimSun"/>
        </w:rPr>
      </w:pPr>
      <w:r w:rsidRPr="00850D17">
        <w:rPr>
          <w:rFonts w:eastAsia="SimSun"/>
          <w:lang w:val="fr-CH"/>
        </w:rPr>
        <w:tab/>
        <w:t>2.</w:t>
      </w:r>
      <w:r w:rsidRPr="00850D17">
        <w:rPr>
          <w:rFonts w:eastAsia="SimSun"/>
          <w:lang w:val="fr-CH"/>
        </w:rPr>
        <w:tab/>
        <w:t xml:space="preserve">Protection </w:t>
      </w:r>
      <w:r w:rsidRPr="00C36970">
        <w:rPr>
          <w:rFonts w:eastAsia="SimSun"/>
          <w:lang w:val="fr-CH"/>
        </w:rPr>
        <w:t>de</w:t>
      </w:r>
      <w:r w:rsidR="00B06C89" w:rsidRPr="00C36970">
        <w:rPr>
          <w:rFonts w:eastAsia="SimSun"/>
          <w:lang w:val="fr-CH"/>
        </w:rPr>
        <w:t>s</w:t>
      </w:r>
      <w:r w:rsidRPr="00C36970">
        <w:rPr>
          <w:rFonts w:eastAsia="SimSun"/>
          <w:lang w:val="fr-CH"/>
        </w:rPr>
        <w:t xml:space="preserve"> enfant</w:t>
      </w:r>
      <w:r w:rsidR="00B06C89" w:rsidRPr="00C36970">
        <w:rPr>
          <w:rFonts w:eastAsia="SimSun"/>
          <w:lang w:val="fr-CH"/>
        </w:rPr>
        <w:t>s</w:t>
      </w:r>
      <w:r w:rsidRPr="00850D17">
        <w:rPr>
          <w:rFonts w:eastAsia="SimSun"/>
          <w:lang w:val="fr-CH"/>
        </w:rPr>
        <w:t xml:space="preserve"> </w:t>
      </w:r>
    </w:p>
    <w:p w:rsidR="006C22D5" w:rsidRPr="00850D17" w:rsidRDefault="006C22D5" w:rsidP="00C36970">
      <w:pPr>
        <w:pStyle w:val="SingleTxtG"/>
        <w:numPr>
          <w:ilvl w:val="0"/>
          <w:numId w:val="7"/>
        </w:numPr>
        <w:tabs>
          <w:tab w:val="left" w:pos="1134"/>
        </w:tabs>
        <w:ind w:left="1134" w:firstLine="0"/>
        <w:rPr>
          <w:lang w:val="fr-CH"/>
        </w:rPr>
      </w:pPr>
      <w:r w:rsidRPr="00850D17">
        <w:rPr>
          <w:lang w:val="fr-CH"/>
        </w:rPr>
        <w:t xml:space="preserve">Le 4 octobre 2012, le </w:t>
      </w:r>
      <w:r w:rsidR="00621832">
        <w:rPr>
          <w:lang w:val="fr-CH"/>
        </w:rPr>
        <w:t>G</w:t>
      </w:r>
      <w:r w:rsidR="00621832" w:rsidRPr="00850D17">
        <w:rPr>
          <w:lang w:val="fr-CH"/>
        </w:rPr>
        <w:t xml:space="preserve">ouvernement </w:t>
      </w:r>
      <w:r w:rsidRPr="00850D17">
        <w:rPr>
          <w:lang w:val="fr-CH"/>
        </w:rPr>
        <w:t xml:space="preserve">et l’équipe spéciale des Nations </w:t>
      </w:r>
      <w:r w:rsidR="002B7CA5" w:rsidRPr="00850D17">
        <w:rPr>
          <w:lang w:val="fr-CH"/>
        </w:rPr>
        <w:t>U</w:t>
      </w:r>
      <w:r w:rsidRPr="00850D17">
        <w:rPr>
          <w:lang w:val="fr-CH"/>
        </w:rPr>
        <w:t xml:space="preserve">nies chargée des enfants dans les conflits armés ont signé un plan d’action de lutte contre le recrutement et l’utilisation des enfants dans les forces et groupes armés, conformément aux résolutions 1539 (2004), 1612 (2005), 1882 (2009) et 1998 (2011) du Conseil de sécurité. Un comité interministériel et un </w:t>
      </w:r>
      <w:r w:rsidR="00CA655E">
        <w:rPr>
          <w:lang w:val="fr-CH"/>
        </w:rPr>
        <w:t>g</w:t>
      </w:r>
      <w:r w:rsidRPr="00850D17">
        <w:rPr>
          <w:lang w:val="fr-CH"/>
        </w:rPr>
        <w:t xml:space="preserve">roupe de travail technique conjoint ont été créés pour la mise en œuvre du plan d’action, regroupant le </w:t>
      </w:r>
      <w:r w:rsidR="00621832">
        <w:rPr>
          <w:lang w:val="fr-CH"/>
        </w:rPr>
        <w:t>G</w:t>
      </w:r>
      <w:r w:rsidRPr="00850D17">
        <w:rPr>
          <w:lang w:val="fr-CH"/>
        </w:rPr>
        <w:t>ouvernement</w:t>
      </w:r>
      <w:r w:rsidR="00CA655E">
        <w:rPr>
          <w:lang w:val="fr-CH"/>
        </w:rPr>
        <w:t xml:space="preserve"> et des</w:t>
      </w:r>
      <w:r w:rsidRPr="00850D17">
        <w:rPr>
          <w:lang w:val="fr-CH"/>
        </w:rPr>
        <w:t xml:space="preserve"> </w:t>
      </w:r>
      <w:r w:rsidR="00621832">
        <w:rPr>
          <w:lang w:val="fr-CH"/>
        </w:rPr>
        <w:t>institutions spécialisées</w:t>
      </w:r>
      <w:r w:rsidR="00621832" w:rsidRPr="00850D17">
        <w:rPr>
          <w:lang w:val="fr-CH"/>
        </w:rPr>
        <w:t xml:space="preserve"> </w:t>
      </w:r>
      <w:r w:rsidRPr="00850D17">
        <w:rPr>
          <w:lang w:val="fr-CH"/>
        </w:rPr>
        <w:t xml:space="preserve">des Nations </w:t>
      </w:r>
      <w:r w:rsidR="00A13616">
        <w:rPr>
          <w:lang w:val="fr-CH"/>
        </w:rPr>
        <w:t>U</w:t>
      </w:r>
      <w:r w:rsidRPr="00850D17">
        <w:rPr>
          <w:lang w:val="fr-CH"/>
        </w:rPr>
        <w:t>nies</w:t>
      </w:r>
      <w:r w:rsidRPr="00850D17">
        <w:rPr>
          <w:rStyle w:val="FootnoteReference"/>
          <w:lang w:val="fr-CH"/>
        </w:rPr>
        <w:footnoteReference w:id="10"/>
      </w:r>
      <w:r w:rsidR="005F1A20" w:rsidRPr="00850D17">
        <w:rPr>
          <w:lang w:val="fr-CH"/>
        </w:rPr>
        <w:t>.</w:t>
      </w:r>
      <w:r w:rsidRPr="00850D17">
        <w:rPr>
          <w:lang w:val="fr-CH"/>
        </w:rPr>
        <w:t xml:space="preserve"> La Section de </w:t>
      </w:r>
      <w:r w:rsidR="00B07C52">
        <w:rPr>
          <w:lang w:val="fr-CH"/>
        </w:rPr>
        <w:t xml:space="preserve">la </w:t>
      </w:r>
      <w:r w:rsidRPr="00850D17">
        <w:rPr>
          <w:lang w:val="fr-CH"/>
        </w:rPr>
        <w:t>protection de l’enfan</w:t>
      </w:r>
      <w:r w:rsidR="00B07C52">
        <w:rPr>
          <w:lang w:val="fr-CH"/>
        </w:rPr>
        <w:t>ce</w:t>
      </w:r>
      <w:r w:rsidRPr="00850D17">
        <w:rPr>
          <w:lang w:val="fr-CH"/>
        </w:rPr>
        <w:t xml:space="preserve"> de la MONUSCO assure la coordination du </w:t>
      </w:r>
      <w:r w:rsidR="00CA655E">
        <w:rPr>
          <w:lang w:val="fr-CH"/>
        </w:rPr>
        <w:t>g</w:t>
      </w:r>
      <w:r w:rsidR="00CA655E" w:rsidRPr="00850D17">
        <w:rPr>
          <w:lang w:val="fr-CH"/>
        </w:rPr>
        <w:t>roupe de travail technique conjoint</w:t>
      </w:r>
      <w:r w:rsidRPr="00850D17">
        <w:rPr>
          <w:lang w:val="fr-CH"/>
        </w:rPr>
        <w:t xml:space="preserve"> et est engagée dans l’identification et la séparation d’enfants des groupes armés. </w:t>
      </w:r>
    </w:p>
    <w:p w:rsidR="006C22D5" w:rsidRPr="00850D17" w:rsidRDefault="006C22D5" w:rsidP="005C5CD7">
      <w:pPr>
        <w:pStyle w:val="SingleTxtG"/>
        <w:numPr>
          <w:ilvl w:val="0"/>
          <w:numId w:val="7"/>
        </w:numPr>
        <w:tabs>
          <w:tab w:val="left" w:pos="1134"/>
        </w:tabs>
        <w:ind w:left="1134" w:firstLine="0"/>
        <w:rPr>
          <w:lang w:val="fr-CH"/>
        </w:rPr>
      </w:pPr>
      <w:r w:rsidRPr="00850D17">
        <w:rPr>
          <w:lang w:val="fr-CH"/>
        </w:rPr>
        <w:lastRenderedPageBreak/>
        <w:t>D’après le rapport A/69/926–S/2015/409 (2015) du Secrétaire général au Conseil de sécurité sur le sort des enfants en temps de conflit armé, au moins 1</w:t>
      </w:r>
      <w:r w:rsidR="00E02364">
        <w:rPr>
          <w:lang w:val="fr-CH"/>
        </w:rPr>
        <w:t> </w:t>
      </w:r>
      <w:r w:rsidRPr="00850D17">
        <w:rPr>
          <w:lang w:val="fr-CH"/>
        </w:rPr>
        <w:t>030</w:t>
      </w:r>
      <w:r w:rsidR="00E02364">
        <w:rPr>
          <w:lang w:val="fr-CH"/>
        </w:rPr>
        <w:t> </w:t>
      </w:r>
      <w:r w:rsidRPr="00850D17">
        <w:rPr>
          <w:lang w:val="fr-CH"/>
        </w:rPr>
        <w:t>enfants ont été retirés des groupes armés en 2014 (973</w:t>
      </w:r>
      <w:r w:rsidR="00E02364">
        <w:rPr>
          <w:lang w:val="fr-CH"/>
        </w:rPr>
        <w:t> </w:t>
      </w:r>
      <w:r w:rsidRPr="00850D17">
        <w:rPr>
          <w:lang w:val="fr-CH"/>
        </w:rPr>
        <w:t>garçons et 57</w:t>
      </w:r>
      <w:r w:rsidR="00E02364">
        <w:rPr>
          <w:lang w:val="fr-CH"/>
        </w:rPr>
        <w:t> </w:t>
      </w:r>
      <w:r w:rsidRPr="00850D17">
        <w:rPr>
          <w:lang w:val="fr-CH"/>
        </w:rPr>
        <w:t xml:space="preserve">filles) dans les provinces Orientale </w:t>
      </w:r>
      <w:r w:rsidR="00EF3A3D">
        <w:rPr>
          <w:lang w:val="fr-CH"/>
        </w:rPr>
        <w:t xml:space="preserve">et </w:t>
      </w:r>
      <w:r w:rsidRPr="00850D17">
        <w:rPr>
          <w:lang w:val="fr-CH"/>
        </w:rPr>
        <w:t>du Nord et du Sud</w:t>
      </w:r>
      <w:r w:rsidR="006169F4">
        <w:rPr>
          <w:lang w:val="fr-CH"/>
        </w:rPr>
        <w:t>-</w:t>
      </w:r>
      <w:r w:rsidRPr="00850D17">
        <w:rPr>
          <w:lang w:val="fr-CH"/>
        </w:rPr>
        <w:t>Kivu</w:t>
      </w:r>
      <w:r w:rsidR="00A509CC" w:rsidRPr="00850D17">
        <w:rPr>
          <w:lang w:val="fr-CH"/>
        </w:rPr>
        <w:t>.</w:t>
      </w:r>
      <w:r w:rsidR="0012008D" w:rsidRPr="00850D17">
        <w:rPr>
          <w:lang w:val="fr-CH"/>
        </w:rPr>
        <w:t xml:space="preserve"> </w:t>
      </w:r>
    </w:p>
    <w:p w:rsidR="006C22D5" w:rsidRPr="00850D17" w:rsidRDefault="00A509CC" w:rsidP="005C5CD7">
      <w:pPr>
        <w:pStyle w:val="SingleTxtG"/>
        <w:numPr>
          <w:ilvl w:val="0"/>
          <w:numId w:val="7"/>
        </w:numPr>
        <w:tabs>
          <w:tab w:val="left" w:pos="1134"/>
        </w:tabs>
        <w:ind w:left="1134" w:firstLine="0"/>
        <w:rPr>
          <w:lang w:val="fr-CH"/>
        </w:rPr>
      </w:pPr>
      <w:r w:rsidRPr="00850D17">
        <w:rPr>
          <w:lang w:val="fr-CH"/>
        </w:rPr>
        <w:t>L’UNICEF et ses</w:t>
      </w:r>
      <w:r w:rsidR="006C22D5" w:rsidRPr="00850D17">
        <w:rPr>
          <w:lang w:val="fr-CH"/>
        </w:rPr>
        <w:t xml:space="preserve"> partenaires ont apporté une assistance holistique à 863</w:t>
      </w:r>
      <w:r w:rsidR="00E02364">
        <w:rPr>
          <w:lang w:val="fr-CH"/>
        </w:rPr>
        <w:t> </w:t>
      </w:r>
      <w:r w:rsidR="006C22D5" w:rsidRPr="00850D17">
        <w:rPr>
          <w:lang w:val="fr-CH"/>
        </w:rPr>
        <w:t xml:space="preserve">enfants victimes de violences sexuelles en 2014. </w:t>
      </w:r>
    </w:p>
    <w:p w:rsidR="006C22D5" w:rsidRPr="00850D17" w:rsidRDefault="006C22D5" w:rsidP="0053539D">
      <w:pPr>
        <w:pStyle w:val="SingleTxtG"/>
        <w:numPr>
          <w:ilvl w:val="0"/>
          <w:numId w:val="7"/>
        </w:numPr>
        <w:tabs>
          <w:tab w:val="left" w:pos="1134"/>
        </w:tabs>
        <w:ind w:left="1134" w:firstLine="0"/>
        <w:rPr>
          <w:lang w:val="fr-CH"/>
        </w:rPr>
      </w:pPr>
      <w:r w:rsidRPr="00850D17">
        <w:rPr>
          <w:lang w:val="fr-CH"/>
        </w:rPr>
        <w:t xml:space="preserve">Entre 2012 et 2014, </w:t>
      </w:r>
      <w:r w:rsidRPr="00C36970">
        <w:rPr>
          <w:iCs/>
          <w:lang w:val="fr-CH"/>
        </w:rPr>
        <w:t>War Child UK</w:t>
      </w:r>
      <w:r w:rsidRPr="00850D17">
        <w:rPr>
          <w:lang w:val="fr-CH"/>
        </w:rPr>
        <w:t xml:space="preserve"> a appuyé la création et le transfert d’un centre d’appels au Ministère </w:t>
      </w:r>
      <w:r w:rsidR="001F41D6">
        <w:rPr>
          <w:lang w:val="fr-CH"/>
        </w:rPr>
        <w:t>du g</w:t>
      </w:r>
      <w:r w:rsidRPr="00850D17">
        <w:rPr>
          <w:lang w:val="fr-CH"/>
        </w:rPr>
        <w:t xml:space="preserve">enre, </w:t>
      </w:r>
      <w:r w:rsidR="001F41D6">
        <w:rPr>
          <w:lang w:val="fr-CH"/>
        </w:rPr>
        <w:t>de la f</w:t>
      </w:r>
      <w:r w:rsidRPr="00850D17">
        <w:rPr>
          <w:lang w:val="fr-CH"/>
        </w:rPr>
        <w:t xml:space="preserve">amille et </w:t>
      </w:r>
      <w:r w:rsidR="001F41D6">
        <w:rPr>
          <w:lang w:val="fr-CH"/>
        </w:rPr>
        <w:t>de l</w:t>
      </w:r>
      <w:r w:rsidR="001F41D6" w:rsidRPr="001F41D6">
        <w:rPr>
          <w:lang w:val="fr-CH"/>
        </w:rPr>
        <w:t>’</w:t>
      </w:r>
      <w:r w:rsidR="001F41D6">
        <w:rPr>
          <w:lang w:val="fr-CH"/>
        </w:rPr>
        <w:t>e</w:t>
      </w:r>
      <w:r w:rsidRPr="00850D17">
        <w:rPr>
          <w:lang w:val="fr-CH"/>
        </w:rPr>
        <w:t xml:space="preserve">nfant, couvrant les provinces du Nord et </w:t>
      </w:r>
      <w:r w:rsidR="00EF3A3D">
        <w:rPr>
          <w:lang w:val="fr-CH"/>
        </w:rPr>
        <w:t xml:space="preserve">du </w:t>
      </w:r>
      <w:r w:rsidRPr="00850D17">
        <w:rPr>
          <w:lang w:val="fr-CH"/>
        </w:rPr>
        <w:t>Sud</w:t>
      </w:r>
      <w:r w:rsidR="006169F4">
        <w:rPr>
          <w:lang w:val="fr-CH"/>
        </w:rPr>
        <w:t>-</w:t>
      </w:r>
      <w:r w:rsidRPr="00850D17">
        <w:rPr>
          <w:lang w:val="fr-CH"/>
        </w:rPr>
        <w:t xml:space="preserve">Kivu et </w:t>
      </w:r>
      <w:r w:rsidR="00B074B0">
        <w:rPr>
          <w:lang w:val="fr-CH"/>
        </w:rPr>
        <w:t xml:space="preserve">de </w:t>
      </w:r>
      <w:r w:rsidRPr="00850D17">
        <w:rPr>
          <w:lang w:val="fr-CH"/>
        </w:rPr>
        <w:t xml:space="preserve">Kinshasa. </w:t>
      </w:r>
      <w:r w:rsidR="00B074B0">
        <w:rPr>
          <w:lang w:val="fr-CH"/>
        </w:rPr>
        <w:t>C</w:t>
      </w:r>
      <w:r w:rsidRPr="00850D17">
        <w:rPr>
          <w:lang w:val="fr-CH"/>
        </w:rPr>
        <w:t xml:space="preserve">e </w:t>
      </w:r>
      <w:r w:rsidR="00B074B0">
        <w:rPr>
          <w:lang w:val="fr-CH"/>
        </w:rPr>
        <w:t>c</w:t>
      </w:r>
      <w:r w:rsidRPr="00850D17">
        <w:rPr>
          <w:lang w:val="fr-CH"/>
        </w:rPr>
        <w:t>entre prend en charge les enfants démobilisés des groupes armés ou victimes de violences sexuelles. Entre 2013 et 2014, les assistants sociaux de la Division provinciale des affaires sociales du Nord-Kivu ont ainsi reçu et traité 10 945</w:t>
      </w:r>
      <w:r w:rsidR="00E02364">
        <w:rPr>
          <w:lang w:val="fr-CH"/>
        </w:rPr>
        <w:t> </w:t>
      </w:r>
      <w:r w:rsidRPr="00850D17">
        <w:rPr>
          <w:lang w:val="fr-CH"/>
        </w:rPr>
        <w:t>appels. En mars 2015, la Représentante spéciale</w:t>
      </w:r>
      <w:r w:rsidR="0012008D" w:rsidRPr="00850D17">
        <w:rPr>
          <w:lang w:val="fr-CH"/>
        </w:rPr>
        <w:t xml:space="preserve"> </w:t>
      </w:r>
      <w:r w:rsidRPr="00850D17">
        <w:rPr>
          <w:lang w:val="fr-CH"/>
        </w:rPr>
        <w:t xml:space="preserve">du </w:t>
      </w:r>
      <w:r w:rsidR="00277646">
        <w:rPr>
          <w:lang w:val="fr-CH"/>
        </w:rPr>
        <w:t>C</w:t>
      </w:r>
      <w:r w:rsidRPr="00850D17">
        <w:rPr>
          <w:lang w:val="fr-CH"/>
        </w:rPr>
        <w:t>hef de l</w:t>
      </w:r>
      <w:r w:rsidR="0012008D" w:rsidRPr="00850D17">
        <w:rPr>
          <w:lang w:val="fr-CH"/>
        </w:rPr>
        <w:t>’État</w:t>
      </w:r>
      <w:r w:rsidRPr="00850D17">
        <w:rPr>
          <w:lang w:val="fr-CH"/>
        </w:rPr>
        <w:t xml:space="preserve"> en charge de la lutte contre les violences sexuelles</w:t>
      </w:r>
      <w:r w:rsidR="000C124D">
        <w:rPr>
          <w:lang w:val="fr-CH"/>
        </w:rPr>
        <w:t xml:space="preserve"> </w:t>
      </w:r>
      <w:r w:rsidRPr="00850D17">
        <w:rPr>
          <w:lang w:val="fr-CH"/>
        </w:rPr>
        <w:t>et le recrutement d</w:t>
      </w:r>
      <w:r w:rsidR="0012008D" w:rsidRPr="00850D17">
        <w:rPr>
          <w:lang w:val="fr-CH"/>
        </w:rPr>
        <w:t>’</w:t>
      </w:r>
      <w:r w:rsidRPr="00850D17">
        <w:rPr>
          <w:lang w:val="fr-CH"/>
        </w:rPr>
        <w:t>enfants</w:t>
      </w:r>
      <w:r w:rsidR="0012008D" w:rsidRPr="00850D17">
        <w:rPr>
          <w:lang w:val="fr-CH"/>
        </w:rPr>
        <w:t xml:space="preserve"> </w:t>
      </w:r>
      <w:r w:rsidRPr="00850D17">
        <w:rPr>
          <w:lang w:val="fr-CH"/>
        </w:rPr>
        <w:t>soldats a lancé une initiative similaire au niveau national. Il est important d</w:t>
      </w:r>
      <w:r w:rsidR="0012008D" w:rsidRPr="00850D17">
        <w:rPr>
          <w:lang w:val="fr-CH"/>
        </w:rPr>
        <w:t>’</w:t>
      </w:r>
      <w:r w:rsidRPr="00850D17">
        <w:rPr>
          <w:lang w:val="fr-CH"/>
        </w:rPr>
        <w:t xml:space="preserve">assurer la complémentarité de ces deux mécanismes pour une meilleure coordination de l’assistance aux enfants concernés. </w:t>
      </w:r>
    </w:p>
    <w:p w:rsidR="006C22D5" w:rsidRPr="00850D17" w:rsidRDefault="006C22D5" w:rsidP="0053539D">
      <w:pPr>
        <w:pStyle w:val="H23G"/>
        <w:rPr>
          <w:rFonts w:eastAsia="SimSun"/>
          <w:lang w:val="fr-CH"/>
        </w:rPr>
      </w:pPr>
      <w:r w:rsidRPr="00850D17">
        <w:rPr>
          <w:rFonts w:eastAsia="SimSun"/>
          <w:lang w:val="fr-CH"/>
        </w:rPr>
        <w:tab/>
        <w:t>3.</w:t>
      </w:r>
      <w:r w:rsidRPr="00850D17">
        <w:rPr>
          <w:rFonts w:eastAsia="SimSun"/>
          <w:lang w:val="fr-CH"/>
        </w:rPr>
        <w:tab/>
        <w:t xml:space="preserve">Protection des personnes déplacées internes et </w:t>
      </w:r>
      <w:r w:rsidRPr="00C36970">
        <w:rPr>
          <w:rFonts w:eastAsia="SimSun"/>
          <w:lang w:val="fr-CH"/>
        </w:rPr>
        <w:t>retourné</w:t>
      </w:r>
      <w:r w:rsidR="00B06C89" w:rsidRPr="00C36970">
        <w:rPr>
          <w:rFonts w:eastAsia="SimSun"/>
          <w:lang w:val="fr-CH"/>
        </w:rPr>
        <w:t>e</w:t>
      </w:r>
      <w:r w:rsidRPr="00C36970">
        <w:rPr>
          <w:rFonts w:eastAsia="SimSun"/>
          <w:lang w:val="fr-CH"/>
        </w:rPr>
        <w:t>s</w:t>
      </w:r>
    </w:p>
    <w:p w:rsidR="006C22D5" w:rsidRPr="00850D17" w:rsidRDefault="006C22D5" w:rsidP="00C36970">
      <w:pPr>
        <w:pStyle w:val="SingleTxtG"/>
        <w:numPr>
          <w:ilvl w:val="0"/>
          <w:numId w:val="7"/>
        </w:numPr>
        <w:tabs>
          <w:tab w:val="left" w:pos="1134"/>
        </w:tabs>
        <w:ind w:left="1134" w:firstLine="0"/>
        <w:rPr>
          <w:lang w:val="fr-CH"/>
        </w:rPr>
      </w:pPr>
      <w:r w:rsidRPr="00850D17">
        <w:rPr>
          <w:lang w:val="fr-CH"/>
        </w:rPr>
        <w:t>Selon le Bureau de la coordination des affaires humanitaires (OCHA), environ 2,7</w:t>
      </w:r>
      <w:r w:rsidR="000C124D">
        <w:rPr>
          <w:lang w:val="fr-CH"/>
        </w:rPr>
        <w:t> </w:t>
      </w:r>
      <w:r w:rsidRPr="00850D17">
        <w:rPr>
          <w:lang w:val="fr-CH"/>
        </w:rPr>
        <w:t>millions de personnes ont été déplacées sur le territoire congolais et 1,4</w:t>
      </w:r>
      <w:r w:rsidR="000C124D">
        <w:rPr>
          <w:lang w:val="fr-CH"/>
        </w:rPr>
        <w:t> </w:t>
      </w:r>
      <w:r w:rsidRPr="00850D17">
        <w:rPr>
          <w:lang w:val="fr-CH"/>
        </w:rPr>
        <w:t>million de retours ont été enregistrés</w:t>
      </w:r>
      <w:r w:rsidRPr="00850D17">
        <w:rPr>
          <w:rStyle w:val="FootnoteReference"/>
          <w:lang w:val="fr-CH"/>
        </w:rPr>
        <w:footnoteReference w:id="11"/>
      </w:r>
      <w:r w:rsidR="006E4BB7" w:rsidRPr="00850D17">
        <w:rPr>
          <w:lang w:val="fr-CH"/>
        </w:rPr>
        <w:t xml:space="preserve"> en 2014</w:t>
      </w:r>
      <w:r w:rsidRPr="00850D17">
        <w:rPr>
          <w:lang w:val="fr-CH"/>
        </w:rPr>
        <w:t>.</w:t>
      </w:r>
    </w:p>
    <w:p w:rsidR="006C22D5" w:rsidRPr="00850D17" w:rsidRDefault="006C22D5" w:rsidP="00C36970">
      <w:pPr>
        <w:pStyle w:val="SingleTxtG"/>
        <w:numPr>
          <w:ilvl w:val="0"/>
          <w:numId w:val="7"/>
        </w:numPr>
        <w:tabs>
          <w:tab w:val="left" w:pos="1134"/>
        </w:tabs>
        <w:ind w:left="1134" w:firstLine="0"/>
        <w:rPr>
          <w:rFonts w:eastAsia="SimSun"/>
          <w:lang w:val="fr-CH"/>
        </w:rPr>
      </w:pPr>
      <w:r w:rsidRPr="00850D17">
        <w:rPr>
          <w:lang w:val="fr-CH"/>
        </w:rPr>
        <w:t xml:space="preserve">La résolution des conflits fonciers relatifs au retour des déplacés dans leurs zones d’origine a amené le </w:t>
      </w:r>
      <w:r w:rsidR="00084C23" w:rsidRPr="00C36970">
        <w:rPr>
          <w:lang w:val="fr-FR"/>
        </w:rPr>
        <w:t>Haut-Commissariat des Nations Unies pour les réfugiés</w:t>
      </w:r>
      <w:r w:rsidR="00084C23" w:rsidRPr="00ED2AEF">
        <w:rPr>
          <w:lang w:val="fr-FR"/>
        </w:rPr>
        <w:t xml:space="preserve"> </w:t>
      </w:r>
      <w:r w:rsidR="00084C23" w:rsidRPr="00C92CFE">
        <w:rPr>
          <w:lang w:val="fr-FR"/>
        </w:rPr>
        <w:t>(</w:t>
      </w:r>
      <w:r w:rsidRPr="00850D17">
        <w:rPr>
          <w:lang w:val="fr-CH"/>
        </w:rPr>
        <w:t>HCR</w:t>
      </w:r>
      <w:r w:rsidR="00084C23">
        <w:rPr>
          <w:lang w:val="fr-CH"/>
        </w:rPr>
        <w:t>)</w:t>
      </w:r>
      <w:r w:rsidRPr="00850D17">
        <w:rPr>
          <w:lang w:val="fr-CH"/>
        </w:rPr>
        <w:t xml:space="preserve"> à appuyer des </w:t>
      </w:r>
      <w:r w:rsidR="0053539D">
        <w:rPr>
          <w:lang w:val="fr-CH"/>
        </w:rPr>
        <w:t>c</w:t>
      </w:r>
      <w:r w:rsidRPr="00850D17">
        <w:rPr>
          <w:lang w:val="fr-CH"/>
        </w:rPr>
        <w:t>omités locaux permanents de conciliation, dont plus de 700 ont été établis à l’est du pays. De 2013 à</w:t>
      </w:r>
      <w:r w:rsidRPr="00850D17">
        <w:rPr>
          <w:rFonts w:eastAsia="SimSun"/>
          <w:lang w:val="fr-CH"/>
        </w:rPr>
        <w:t xml:space="preserve"> 2014, environ 70</w:t>
      </w:r>
      <w:r w:rsidR="000C124D">
        <w:rPr>
          <w:rFonts w:eastAsia="SimSun"/>
          <w:lang w:val="fr-CH"/>
        </w:rPr>
        <w:t> </w:t>
      </w:r>
      <w:r w:rsidR="0053539D">
        <w:rPr>
          <w:rFonts w:eastAsia="SimSun"/>
          <w:lang w:val="fr-CH"/>
        </w:rPr>
        <w:t>%</w:t>
      </w:r>
      <w:r w:rsidRPr="00850D17">
        <w:rPr>
          <w:rFonts w:eastAsia="SimSun"/>
          <w:lang w:val="fr-CH"/>
        </w:rPr>
        <w:t xml:space="preserve"> des conflits fonciers ont été résolus, 20</w:t>
      </w:r>
      <w:r w:rsidR="004E627C">
        <w:rPr>
          <w:rFonts w:eastAsia="SimSun"/>
          <w:lang w:val="fr-CH"/>
        </w:rPr>
        <w:t> </w:t>
      </w:r>
      <w:r w:rsidR="0053539D">
        <w:rPr>
          <w:rFonts w:eastAsia="SimSun"/>
          <w:lang w:val="fr-CH"/>
        </w:rPr>
        <w:t>%</w:t>
      </w:r>
      <w:r w:rsidRPr="00850D17">
        <w:rPr>
          <w:rFonts w:eastAsia="SimSun"/>
          <w:lang w:val="fr-CH"/>
        </w:rPr>
        <w:t xml:space="preserve"> ont été renvoyés devant les instances judiciaires et 10</w:t>
      </w:r>
      <w:r w:rsidR="000C124D">
        <w:rPr>
          <w:rFonts w:eastAsia="SimSun"/>
          <w:lang w:val="fr-CH"/>
        </w:rPr>
        <w:t> </w:t>
      </w:r>
      <w:r w:rsidR="0053539D">
        <w:rPr>
          <w:rFonts w:eastAsia="SimSun"/>
          <w:lang w:val="fr-CH"/>
        </w:rPr>
        <w:t>%</w:t>
      </w:r>
      <w:r w:rsidR="0053539D" w:rsidRPr="00850D17">
        <w:rPr>
          <w:rFonts w:eastAsia="SimSun"/>
          <w:lang w:val="fr-CH"/>
        </w:rPr>
        <w:t xml:space="preserve"> </w:t>
      </w:r>
      <w:r w:rsidRPr="00850D17">
        <w:rPr>
          <w:rFonts w:eastAsia="SimSun"/>
          <w:lang w:val="fr-CH"/>
        </w:rPr>
        <w:t>n’ont pas été résolus.</w:t>
      </w:r>
    </w:p>
    <w:p w:rsidR="006C22D5" w:rsidRPr="00850D17" w:rsidRDefault="006C22D5" w:rsidP="00CC31BF">
      <w:pPr>
        <w:pStyle w:val="SingleTxtG"/>
        <w:numPr>
          <w:ilvl w:val="0"/>
          <w:numId w:val="7"/>
        </w:numPr>
        <w:tabs>
          <w:tab w:val="left" w:pos="1134"/>
        </w:tabs>
        <w:ind w:left="1134" w:firstLine="0"/>
        <w:rPr>
          <w:lang w:val="fr-CH"/>
        </w:rPr>
      </w:pPr>
      <w:r w:rsidRPr="00850D17">
        <w:rPr>
          <w:lang w:val="fr-CH"/>
        </w:rPr>
        <w:t xml:space="preserve">D’octobre 2010 à janvier 2014, dans la province du Bas-Congo, le </w:t>
      </w:r>
      <w:r w:rsidRPr="00C36970">
        <w:rPr>
          <w:iCs/>
          <w:lang w:val="fr-CH"/>
        </w:rPr>
        <w:t>Comitato Internazionale Per Lo Sviluppo Dei Popoli</w:t>
      </w:r>
      <w:r w:rsidR="000C124D" w:rsidRPr="00C36970">
        <w:rPr>
          <w:iCs/>
          <w:lang w:val="fr-CH"/>
        </w:rPr>
        <w:t xml:space="preserve"> </w:t>
      </w:r>
      <w:r w:rsidRPr="00850D17">
        <w:rPr>
          <w:lang w:val="fr-CH"/>
        </w:rPr>
        <w:t xml:space="preserve">a apporté une assistance alimentaire, médicale et logistique </w:t>
      </w:r>
      <w:r w:rsidR="000C124D">
        <w:rPr>
          <w:lang w:val="fr-CH"/>
        </w:rPr>
        <w:t>–</w:t>
      </w:r>
      <w:r w:rsidRPr="00850D17">
        <w:rPr>
          <w:lang w:val="fr-CH"/>
        </w:rPr>
        <w:t xml:space="preserve"> par l’intermédiaire d’ONG locales </w:t>
      </w:r>
      <w:r w:rsidR="000C124D">
        <w:rPr>
          <w:lang w:val="fr-CH"/>
        </w:rPr>
        <w:t>–</w:t>
      </w:r>
      <w:r w:rsidRPr="00850D17">
        <w:rPr>
          <w:lang w:val="fr-CH"/>
        </w:rPr>
        <w:t xml:space="preserve"> à 10</w:t>
      </w:r>
      <w:r w:rsidR="00A74458">
        <w:rPr>
          <w:lang w:val="fr-CH"/>
        </w:rPr>
        <w:t> </w:t>
      </w:r>
      <w:r w:rsidRPr="00850D17">
        <w:rPr>
          <w:lang w:val="fr-CH"/>
        </w:rPr>
        <w:t>000</w:t>
      </w:r>
      <w:r w:rsidR="00A74458">
        <w:rPr>
          <w:lang w:val="fr-CH"/>
        </w:rPr>
        <w:t> </w:t>
      </w:r>
      <w:r w:rsidRPr="00850D17">
        <w:rPr>
          <w:lang w:val="fr-CH"/>
        </w:rPr>
        <w:t>Congolais expulsé</w:t>
      </w:r>
      <w:r w:rsidR="00EA0AA1">
        <w:rPr>
          <w:lang w:val="fr-CH"/>
        </w:rPr>
        <w:t>s</w:t>
      </w:r>
      <w:r w:rsidRPr="00850D17">
        <w:rPr>
          <w:lang w:val="fr-CH"/>
        </w:rPr>
        <w:t xml:space="preserve"> d’Angola. La courte durée de ces projets et la modicité des financements portent préjudice à la durabilité des résultats obtenus.</w:t>
      </w:r>
    </w:p>
    <w:p w:rsidR="006C22D5" w:rsidRPr="00850D17" w:rsidRDefault="006C22D5" w:rsidP="00101FE5">
      <w:pPr>
        <w:pStyle w:val="H23G"/>
        <w:rPr>
          <w:rFonts w:eastAsia="SimSun"/>
          <w:lang w:val="fr-CH"/>
        </w:rPr>
      </w:pPr>
      <w:r w:rsidRPr="00850D17">
        <w:rPr>
          <w:rFonts w:eastAsia="SimSun"/>
          <w:lang w:val="fr-CH"/>
        </w:rPr>
        <w:tab/>
        <w:t>4.</w:t>
      </w:r>
      <w:r w:rsidRPr="00850D17">
        <w:rPr>
          <w:rFonts w:eastAsia="SimSun"/>
          <w:lang w:val="fr-CH"/>
        </w:rPr>
        <w:tab/>
        <w:t xml:space="preserve">Protection des peuples autochtones </w:t>
      </w:r>
    </w:p>
    <w:p w:rsidR="006C22D5" w:rsidRPr="00850D17" w:rsidRDefault="006C22D5" w:rsidP="00CC31BF">
      <w:pPr>
        <w:pStyle w:val="SingleTxtG"/>
        <w:numPr>
          <w:ilvl w:val="0"/>
          <w:numId w:val="7"/>
        </w:numPr>
        <w:tabs>
          <w:tab w:val="left" w:pos="1134"/>
        </w:tabs>
        <w:ind w:left="1134" w:firstLine="0"/>
        <w:rPr>
          <w:lang w:val="fr-CH"/>
        </w:rPr>
      </w:pPr>
      <w:r w:rsidRPr="00850D17">
        <w:rPr>
          <w:lang w:val="fr-CH"/>
        </w:rPr>
        <w:t>Selon le DSCRP 2011-2015, 80</w:t>
      </w:r>
      <w:r w:rsidR="00A74458">
        <w:rPr>
          <w:lang w:val="fr-CH"/>
        </w:rPr>
        <w:t> </w:t>
      </w:r>
      <w:r w:rsidR="006F1B01">
        <w:rPr>
          <w:lang w:val="fr-CH"/>
        </w:rPr>
        <w:t>%</w:t>
      </w:r>
      <w:r w:rsidRPr="00850D17">
        <w:rPr>
          <w:lang w:val="fr-CH"/>
        </w:rPr>
        <w:t xml:space="preserve"> des affaires portées devant les cours et tribunaux relèvent des conflits fonciers. Depuis 2012, des conflits intercommunautaires sont récurrents entre les Luba et les Twas (peuples autochtones) dans la province du Katanga (Kabalo, Kalemie, Kongolo, Manono, Moba et Nyunzu) et ont causé le déplacement d’environ 4</w:t>
      </w:r>
      <w:r w:rsidR="00A74458">
        <w:rPr>
          <w:lang w:val="fr-CH"/>
        </w:rPr>
        <w:t> </w:t>
      </w:r>
      <w:r w:rsidRPr="00850D17">
        <w:rPr>
          <w:lang w:val="fr-CH"/>
        </w:rPr>
        <w:t>000</w:t>
      </w:r>
      <w:r w:rsidR="00A74458">
        <w:rPr>
          <w:lang w:val="fr-CH"/>
        </w:rPr>
        <w:t> </w:t>
      </w:r>
      <w:r w:rsidRPr="00850D17">
        <w:rPr>
          <w:lang w:val="fr-CH"/>
        </w:rPr>
        <w:t>Twas. Ces conflits trouvent leur</w:t>
      </w:r>
      <w:r w:rsidR="00BD2108">
        <w:rPr>
          <w:lang w:val="fr-CH"/>
        </w:rPr>
        <w:t xml:space="preserve"> origine</w:t>
      </w:r>
      <w:r w:rsidRPr="00850D17">
        <w:rPr>
          <w:lang w:val="fr-CH"/>
        </w:rPr>
        <w:t xml:space="preserve"> dans les discriminations à l’égard des Twas, y compris pour l</w:t>
      </w:r>
      <w:r w:rsidR="0012008D" w:rsidRPr="00850D17">
        <w:rPr>
          <w:lang w:val="fr-CH"/>
        </w:rPr>
        <w:t>’</w:t>
      </w:r>
      <w:r w:rsidRPr="00850D17">
        <w:rPr>
          <w:lang w:val="fr-CH"/>
        </w:rPr>
        <w:t xml:space="preserve">accès à la propriété foncière. Le HCR, à travers son partenaire de mise en œuvre </w:t>
      </w:r>
      <w:r w:rsidRPr="00C36970">
        <w:rPr>
          <w:iCs/>
          <w:lang w:val="fr-CH"/>
        </w:rPr>
        <w:t>Search for Common G</w:t>
      </w:r>
      <w:r w:rsidR="007A6F3B" w:rsidRPr="00C36970">
        <w:rPr>
          <w:iCs/>
          <w:lang w:val="fr-CH"/>
        </w:rPr>
        <w:t>r</w:t>
      </w:r>
      <w:r w:rsidRPr="00C36970">
        <w:rPr>
          <w:iCs/>
          <w:lang w:val="fr-CH"/>
        </w:rPr>
        <w:t>ound</w:t>
      </w:r>
      <w:r w:rsidRPr="00850D17">
        <w:rPr>
          <w:lang w:val="fr-CH"/>
        </w:rPr>
        <w:t xml:space="preserve">, a sensibilisé les déplacés internes et retournés à la cohabitation pacifique. Le dialogue établi entre les communautés et le gouvernement local, avec l’appui technique du BCNUDH et du HCR, a abouti à une accalmie à Kalemie. </w:t>
      </w:r>
    </w:p>
    <w:p w:rsidR="00851EB5" w:rsidRPr="005D6C0F" w:rsidRDefault="00101FE5">
      <w:pPr>
        <w:pStyle w:val="H1G"/>
        <w:rPr>
          <w:rFonts w:eastAsia="SimSun"/>
          <w:lang w:val="fr-CH"/>
        </w:rPr>
      </w:pPr>
      <w:r w:rsidRPr="00850D17">
        <w:rPr>
          <w:rFonts w:eastAsia="SimSun"/>
          <w:lang w:val="fr-CH"/>
        </w:rPr>
        <w:lastRenderedPageBreak/>
        <w:tab/>
        <w:t>D.</w:t>
      </w:r>
      <w:r w:rsidR="00851EB5" w:rsidRPr="00850D17">
        <w:rPr>
          <w:rFonts w:eastAsia="SimSun"/>
          <w:lang w:val="fr-CH"/>
        </w:rPr>
        <w:tab/>
      </w:r>
      <w:r w:rsidR="006632CF" w:rsidRPr="00850D17">
        <w:rPr>
          <w:rFonts w:eastAsia="SimSun"/>
          <w:lang w:val="fr-CH"/>
        </w:rPr>
        <w:t>Droits économiques</w:t>
      </w:r>
      <w:r w:rsidR="00A65485" w:rsidRPr="00850D17">
        <w:rPr>
          <w:rFonts w:eastAsia="SimSun"/>
          <w:lang w:val="fr-CH"/>
        </w:rPr>
        <w:t xml:space="preserve"> et </w:t>
      </w:r>
      <w:r w:rsidR="006632CF" w:rsidRPr="00850D17">
        <w:rPr>
          <w:rFonts w:eastAsia="SimSun"/>
          <w:lang w:val="fr-CH"/>
        </w:rPr>
        <w:t>sociaux</w:t>
      </w:r>
    </w:p>
    <w:p w:rsidR="00155078" w:rsidRPr="00850D17" w:rsidRDefault="00ED1D1C" w:rsidP="00946B1F">
      <w:pPr>
        <w:pStyle w:val="SingleTxtG"/>
        <w:numPr>
          <w:ilvl w:val="0"/>
          <w:numId w:val="7"/>
        </w:numPr>
        <w:tabs>
          <w:tab w:val="left" w:pos="1134"/>
        </w:tabs>
        <w:ind w:left="1134" w:firstLine="0"/>
        <w:rPr>
          <w:lang w:val="fr-CH"/>
        </w:rPr>
      </w:pPr>
      <w:r w:rsidRPr="00850D17">
        <w:rPr>
          <w:lang w:val="fr-CH"/>
        </w:rPr>
        <w:t>L</w:t>
      </w:r>
      <w:r w:rsidR="00155078" w:rsidRPr="00850D17">
        <w:rPr>
          <w:lang w:val="fr-CH"/>
        </w:rPr>
        <w:t xml:space="preserve">a </w:t>
      </w:r>
      <w:r w:rsidR="00946B1F" w:rsidRPr="00850D17">
        <w:rPr>
          <w:lang w:val="fr-CH"/>
        </w:rPr>
        <w:t xml:space="preserve">République démocratique du Congo </w:t>
      </w:r>
      <w:r w:rsidR="00495B4B" w:rsidRPr="00850D17">
        <w:rPr>
          <w:lang w:val="fr-CH"/>
        </w:rPr>
        <w:t>dispose</w:t>
      </w:r>
      <w:r w:rsidR="00732067" w:rsidRPr="00850D17">
        <w:rPr>
          <w:lang w:val="fr-CH"/>
        </w:rPr>
        <w:t xml:space="preserve"> d’importantes ressources naturelles</w:t>
      </w:r>
      <w:r w:rsidR="002468D0" w:rsidRPr="00850D17">
        <w:rPr>
          <w:lang w:val="fr-CH"/>
        </w:rPr>
        <w:t xml:space="preserve"> qui font </w:t>
      </w:r>
      <w:r w:rsidR="000078DC" w:rsidRPr="00850D17">
        <w:rPr>
          <w:lang w:val="fr-CH"/>
        </w:rPr>
        <w:t xml:space="preserve">souvent </w:t>
      </w:r>
      <w:r w:rsidR="002468D0" w:rsidRPr="00850D17">
        <w:rPr>
          <w:lang w:val="fr-CH"/>
        </w:rPr>
        <w:t>l</w:t>
      </w:r>
      <w:r w:rsidR="0012008D" w:rsidRPr="00850D17">
        <w:rPr>
          <w:lang w:val="fr-CH"/>
        </w:rPr>
        <w:t>’</w:t>
      </w:r>
      <w:r w:rsidR="002468D0" w:rsidRPr="00850D17">
        <w:rPr>
          <w:lang w:val="fr-CH"/>
        </w:rPr>
        <w:t>objet d</w:t>
      </w:r>
      <w:r w:rsidR="009917A7" w:rsidRPr="00850D17">
        <w:rPr>
          <w:lang w:val="fr-CH"/>
        </w:rPr>
        <w:t>’</w:t>
      </w:r>
      <w:r w:rsidR="0094292B">
        <w:rPr>
          <w:lang w:val="fr-CH"/>
        </w:rPr>
        <w:t xml:space="preserve">une </w:t>
      </w:r>
      <w:r w:rsidR="009917A7" w:rsidRPr="00850D17">
        <w:rPr>
          <w:lang w:val="fr-CH"/>
        </w:rPr>
        <w:t>exploitation illégale</w:t>
      </w:r>
      <w:r w:rsidR="002468D0" w:rsidRPr="00850D17">
        <w:rPr>
          <w:lang w:val="fr-CH"/>
        </w:rPr>
        <w:t>. Cette situation</w:t>
      </w:r>
      <w:r w:rsidR="009917A7" w:rsidRPr="00850D17">
        <w:rPr>
          <w:lang w:val="fr-CH"/>
        </w:rPr>
        <w:t xml:space="preserve"> </w:t>
      </w:r>
      <w:r w:rsidRPr="00850D17">
        <w:rPr>
          <w:lang w:val="fr-CH"/>
        </w:rPr>
        <w:t>demeure</w:t>
      </w:r>
      <w:r w:rsidR="009917A7" w:rsidRPr="00850D17">
        <w:rPr>
          <w:lang w:val="fr-CH"/>
        </w:rPr>
        <w:t xml:space="preserve"> une cause importante de conflits</w:t>
      </w:r>
      <w:r w:rsidR="002468D0" w:rsidRPr="00850D17">
        <w:rPr>
          <w:lang w:val="fr-CH"/>
        </w:rPr>
        <w:t xml:space="preserve"> et de violations des droits de l</w:t>
      </w:r>
      <w:r w:rsidR="0012008D" w:rsidRPr="00850D17">
        <w:rPr>
          <w:lang w:val="fr-CH"/>
        </w:rPr>
        <w:t>’</w:t>
      </w:r>
      <w:r w:rsidR="002468D0" w:rsidRPr="00850D17">
        <w:rPr>
          <w:lang w:val="fr-CH"/>
        </w:rPr>
        <w:t>homme, y compris de</w:t>
      </w:r>
      <w:r w:rsidR="000078DC" w:rsidRPr="00850D17">
        <w:rPr>
          <w:lang w:val="fr-CH"/>
        </w:rPr>
        <w:t>s</w:t>
      </w:r>
      <w:r w:rsidR="002468D0" w:rsidRPr="00850D17">
        <w:rPr>
          <w:lang w:val="fr-CH"/>
        </w:rPr>
        <w:t xml:space="preserve"> droits économiques et sociaux</w:t>
      </w:r>
      <w:r w:rsidR="003D6AF1" w:rsidRPr="00850D17">
        <w:rPr>
          <w:rStyle w:val="FootnoteReference"/>
          <w:lang w:val="fr-CH"/>
        </w:rPr>
        <w:footnoteReference w:id="12"/>
      </w:r>
      <w:r w:rsidR="00155078" w:rsidRPr="00850D17">
        <w:rPr>
          <w:lang w:val="fr-CH"/>
        </w:rPr>
        <w:t>.</w:t>
      </w:r>
      <w:r w:rsidR="002468D0" w:rsidRPr="00850D17">
        <w:rPr>
          <w:lang w:val="fr-CH"/>
        </w:rPr>
        <w:t xml:space="preserve"> Les interventions des acteurs internationaux portent notamment sur l</w:t>
      </w:r>
      <w:r w:rsidR="0012008D" w:rsidRPr="00850D17">
        <w:rPr>
          <w:lang w:val="fr-CH"/>
        </w:rPr>
        <w:t>’</w:t>
      </w:r>
      <w:r w:rsidR="002468D0" w:rsidRPr="00850D17">
        <w:rPr>
          <w:lang w:val="fr-CH"/>
        </w:rPr>
        <w:t>accès à la santé et le développement des capacités des communautés locales</w:t>
      </w:r>
      <w:r w:rsidR="000078DC" w:rsidRPr="00850D17">
        <w:rPr>
          <w:lang w:val="fr-CH"/>
        </w:rPr>
        <w:t xml:space="preserve"> pour leur</w:t>
      </w:r>
      <w:r w:rsidR="002468D0" w:rsidRPr="00850D17">
        <w:rPr>
          <w:lang w:val="fr-CH"/>
        </w:rPr>
        <w:t xml:space="preserve"> participation </w:t>
      </w:r>
      <w:r w:rsidR="000078DC" w:rsidRPr="00850D17">
        <w:rPr>
          <w:lang w:val="fr-CH"/>
        </w:rPr>
        <w:t>à l</w:t>
      </w:r>
      <w:r w:rsidR="0012008D" w:rsidRPr="00850D17">
        <w:rPr>
          <w:lang w:val="fr-CH"/>
        </w:rPr>
        <w:t>’</w:t>
      </w:r>
      <w:r w:rsidR="000078DC" w:rsidRPr="00850D17">
        <w:rPr>
          <w:lang w:val="fr-CH"/>
        </w:rPr>
        <w:t xml:space="preserve">élaboration de </w:t>
      </w:r>
      <w:r w:rsidR="002468D0" w:rsidRPr="00850D17">
        <w:rPr>
          <w:lang w:val="fr-CH"/>
        </w:rPr>
        <w:t xml:space="preserve">plans de </w:t>
      </w:r>
      <w:r w:rsidR="000078DC" w:rsidRPr="00850D17">
        <w:rPr>
          <w:lang w:val="fr-CH"/>
        </w:rPr>
        <w:t>développement</w:t>
      </w:r>
      <w:r w:rsidR="002468D0" w:rsidRPr="00850D17">
        <w:rPr>
          <w:lang w:val="fr-CH"/>
        </w:rPr>
        <w:t xml:space="preserve"> loca</w:t>
      </w:r>
      <w:r w:rsidR="000078DC" w:rsidRPr="00850D17">
        <w:rPr>
          <w:lang w:val="fr-CH"/>
        </w:rPr>
        <w:t>ux</w:t>
      </w:r>
      <w:r w:rsidR="002468D0" w:rsidRPr="00850D17">
        <w:rPr>
          <w:lang w:val="fr-CH"/>
        </w:rPr>
        <w:t xml:space="preserve"> en vue d</w:t>
      </w:r>
      <w:r w:rsidR="0012008D" w:rsidRPr="00850D17">
        <w:rPr>
          <w:lang w:val="fr-CH"/>
        </w:rPr>
        <w:t>’</w:t>
      </w:r>
      <w:r w:rsidR="002468D0" w:rsidRPr="00850D17">
        <w:rPr>
          <w:lang w:val="fr-CH"/>
        </w:rPr>
        <w:t xml:space="preserve">une meilleure jouissance de leurs droits </w:t>
      </w:r>
      <w:r w:rsidR="000078DC" w:rsidRPr="00850D17">
        <w:rPr>
          <w:lang w:val="fr-CH"/>
        </w:rPr>
        <w:t>économiques</w:t>
      </w:r>
      <w:r w:rsidR="002468D0" w:rsidRPr="00850D17">
        <w:rPr>
          <w:lang w:val="fr-CH"/>
        </w:rPr>
        <w:t xml:space="preserve"> et sociaux.</w:t>
      </w:r>
      <w:r w:rsidR="0012008D" w:rsidRPr="00850D17">
        <w:rPr>
          <w:lang w:val="fr-CH"/>
        </w:rPr>
        <w:t xml:space="preserve"> </w:t>
      </w:r>
    </w:p>
    <w:p w:rsidR="006632CF" w:rsidRPr="005023BC" w:rsidRDefault="008D15F3">
      <w:pPr>
        <w:pStyle w:val="H23G"/>
        <w:rPr>
          <w:rFonts w:eastAsia="SimSun"/>
          <w:lang w:val="fr-CH"/>
        </w:rPr>
      </w:pPr>
      <w:r w:rsidRPr="00850D17">
        <w:rPr>
          <w:rFonts w:eastAsia="SimSun"/>
          <w:lang w:val="fr-CH"/>
        </w:rPr>
        <w:tab/>
        <w:t>1.</w:t>
      </w:r>
      <w:r w:rsidRPr="00850D17">
        <w:rPr>
          <w:rFonts w:eastAsia="SimSun"/>
          <w:lang w:val="fr-CH"/>
        </w:rPr>
        <w:tab/>
      </w:r>
      <w:r w:rsidR="006632CF" w:rsidRPr="00850D17">
        <w:rPr>
          <w:rFonts w:eastAsia="SimSun"/>
          <w:lang w:val="fr-CH"/>
        </w:rPr>
        <w:t>Accès aux soins de santé de base</w:t>
      </w:r>
    </w:p>
    <w:p w:rsidR="00F04C91" w:rsidRPr="00850D17" w:rsidRDefault="00B10D82" w:rsidP="00C36970">
      <w:pPr>
        <w:pStyle w:val="SingleTxtG"/>
        <w:numPr>
          <w:ilvl w:val="0"/>
          <w:numId w:val="7"/>
        </w:numPr>
        <w:tabs>
          <w:tab w:val="left" w:pos="1134"/>
        </w:tabs>
        <w:ind w:left="1134" w:firstLine="0"/>
        <w:rPr>
          <w:lang w:val="fr-CH"/>
        </w:rPr>
      </w:pPr>
      <w:r w:rsidRPr="00850D17">
        <w:rPr>
          <w:lang w:val="fr-CH"/>
        </w:rPr>
        <w:t xml:space="preserve">Selon </w:t>
      </w:r>
      <w:r w:rsidR="00FB66A5" w:rsidRPr="00850D17">
        <w:rPr>
          <w:lang w:val="fr-CH"/>
        </w:rPr>
        <w:t xml:space="preserve">les </w:t>
      </w:r>
      <w:r w:rsidR="00843FDF">
        <w:rPr>
          <w:lang w:val="fr-CH"/>
        </w:rPr>
        <w:t>e</w:t>
      </w:r>
      <w:r w:rsidR="00FB66A5" w:rsidRPr="00850D17">
        <w:rPr>
          <w:lang w:val="fr-CH"/>
        </w:rPr>
        <w:t xml:space="preserve">nquêtes </w:t>
      </w:r>
      <w:r w:rsidRPr="00850D17">
        <w:rPr>
          <w:lang w:val="fr-CH"/>
        </w:rPr>
        <w:t>démographique</w:t>
      </w:r>
      <w:r w:rsidR="00FB66A5" w:rsidRPr="00850D17">
        <w:rPr>
          <w:lang w:val="fr-CH"/>
        </w:rPr>
        <w:t>s</w:t>
      </w:r>
      <w:r w:rsidRPr="00850D17">
        <w:rPr>
          <w:lang w:val="fr-CH"/>
        </w:rPr>
        <w:t xml:space="preserve"> et de santé</w:t>
      </w:r>
      <w:r w:rsidR="002E02E9" w:rsidRPr="00850D17">
        <w:rPr>
          <w:lang w:val="fr-CH"/>
        </w:rPr>
        <w:t xml:space="preserve">, </w:t>
      </w:r>
      <w:r w:rsidRPr="00850D17">
        <w:rPr>
          <w:lang w:val="fr-CH"/>
        </w:rPr>
        <w:t xml:space="preserve">le nombre de femmes </w:t>
      </w:r>
      <w:r w:rsidR="00AD3FC4" w:rsidRPr="00850D17">
        <w:rPr>
          <w:lang w:val="fr-CH"/>
        </w:rPr>
        <w:t xml:space="preserve">ayant </w:t>
      </w:r>
      <w:r w:rsidRPr="00850D17">
        <w:rPr>
          <w:lang w:val="fr-CH"/>
        </w:rPr>
        <w:t>bénéfici</w:t>
      </w:r>
      <w:r w:rsidR="00AD3FC4" w:rsidRPr="00850D17">
        <w:rPr>
          <w:lang w:val="fr-CH"/>
        </w:rPr>
        <w:t>é</w:t>
      </w:r>
      <w:r w:rsidRPr="00850D17">
        <w:rPr>
          <w:lang w:val="fr-CH"/>
        </w:rPr>
        <w:t xml:space="preserve"> d’un accouchement assisté dans des structures médicales </w:t>
      </w:r>
      <w:r w:rsidR="005131B9" w:rsidRPr="00850D17">
        <w:rPr>
          <w:lang w:val="fr-CH"/>
        </w:rPr>
        <w:t xml:space="preserve">est passé </w:t>
      </w:r>
      <w:r w:rsidRPr="00850D17">
        <w:rPr>
          <w:lang w:val="fr-CH"/>
        </w:rPr>
        <w:t>de 74</w:t>
      </w:r>
      <w:r w:rsidR="00E14762">
        <w:rPr>
          <w:lang w:val="fr-CH"/>
        </w:rPr>
        <w:t> </w:t>
      </w:r>
      <w:r w:rsidR="00FA2AE3">
        <w:rPr>
          <w:lang w:val="fr-CH"/>
        </w:rPr>
        <w:t>%</w:t>
      </w:r>
      <w:r w:rsidRPr="00850D17">
        <w:rPr>
          <w:lang w:val="fr-CH"/>
        </w:rPr>
        <w:t xml:space="preserve"> en 2007</w:t>
      </w:r>
      <w:r w:rsidR="00F6145C" w:rsidRPr="00850D17">
        <w:rPr>
          <w:lang w:val="fr-CH"/>
        </w:rPr>
        <w:t xml:space="preserve"> à 80</w:t>
      </w:r>
      <w:r w:rsidR="00E14762">
        <w:rPr>
          <w:lang w:val="fr-CH"/>
        </w:rPr>
        <w:t> </w:t>
      </w:r>
      <w:r w:rsidR="00FA2AE3">
        <w:rPr>
          <w:lang w:val="fr-CH"/>
        </w:rPr>
        <w:t>%</w:t>
      </w:r>
      <w:r w:rsidR="00F6145C" w:rsidRPr="00850D17">
        <w:rPr>
          <w:lang w:val="fr-CH"/>
        </w:rPr>
        <w:t xml:space="preserve"> en 2014</w:t>
      </w:r>
      <w:r w:rsidR="00877A29" w:rsidRPr="00850D17">
        <w:rPr>
          <w:rStyle w:val="FootnoteReference"/>
          <w:lang w:val="fr-CH"/>
        </w:rPr>
        <w:footnoteReference w:id="13"/>
      </w:r>
      <w:r w:rsidRPr="00850D17">
        <w:rPr>
          <w:lang w:val="fr-CH"/>
        </w:rPr>
        <w:t xml:space="preserve">. </w:t>
      </w:r>
      <w:r w:rsidR="00910B40" w:rsidRPr="00850D17">
        <w:rPr>
          <w:lang w:val="fr-CH"/>
        </w:rPr>
        <w:t>L</w:t>
      </w:r>
      <w:r w:rsidR="000775B9">
        <w:rPr>
          <w:lang w:val="fr-CH"/>
        </w:rPr>
        <w:t>e FNUAP</w:t>
      </w:r>
      <w:r w:rsidR="00910B40" w:rsidRPr="00850D17">
        <w:rPr>
          <w:lang w:val="fr-CH"/>
        </w:rPr>
        <w:t xml:space="preserve"> et </w:t>
      </w:r>
      <w:r w:rsidR="00C35068">
        <w:rPr>
          <w:lang w:val="fr-CH"/>
        </w:rPr>
        <w:t>l</w:t>
      </w:r>
      <w:r w:rsidR="00C35068" w:rsidRPr="00C35068">
        <w:rPr>
          <w:lang w:val="fr-CH"/>
        </w:rPr>
        <w:t>’</w:t>
      </w:r>
      <w:r w:rsidR="00C35068">
        <w:rPr>
          <w:lang w:val="fr-CH"/>
        </w:rPr>
        <w:t>Agence des États-Unis pour le développement international</w:t>
      </w:r>
      <w:r w:rsidR="00910B40" w:rsidRPr="00CC31BF">
        <w:rPr>
          <w:lang w:val="fr-CH"/>
        </w:rPr>
        <w:t xml:space="preserve"> </w:t>
      </w:r>
      <w:r w:rsidR="00910B40" w:rsidRPr="00850D17">
        <w:rPr>
          <w:lang w:val="fr-CH"/>
        </w:rPr>
        <w:t>ont mené des actions de plaidoyer et d’assistance technique qui ont abou</w:t>
      </w:r>
      <w:r w:rsidR="00455DC4" w:rsidRPr="00850D17">
        <w:rPr>
          <w:lang w:val="fr-CH"/>
        </w:rPr>
        <w:t>ti à l’élaboration d’une loi</w:t>
      </w:r>
      <w:r w:rsidR="00910B40" w:rsidRPr="00850D17">
        <w:rPr>
          <w:lang w:val="fr-CH"/>
        </w:rPr>
        <w:t xml:space="preserve"> sur la santé </w:t>
      </w:r>
      <w:r w:rsidR="00D922EF" w:rsidRPr="00850D17">
        <w:rPr>
          <w:lang w:val="fr-CH"/>
        </w:rPr>
        <w:t>de la</w:t>
      </w:r>
      <w:r w:rsidR="00910B40" w:rsidRPr="00850D17">
        <w:rPr>
          <w:lang w:val="fr-CH"/>
        </w:rPr>
        <w:t xml:space="preserve"> reproduction</w:t>
      </w:r>
      <w:r w:rsidR="005111E4" w:rsidRPr="00850D17">
        <w:rPr>
          <w:lang w:val="fr-CH"/>
        </w:rPr>
        <w:t xml:space="preserve"> et d</w:t>
      </w:r>
      <w:r w:rsidR="00D922EF" w:rsidRPr="00850D17">
        <w:rPr>
          <w:lang w:val="fr-CH"/>
        </w:rPr>
        <w:t>’</w:t>
      </w:r>
      <w:r w:rsidR="005111E4" w:rsidRPr="00850D17">
        <w:rPr>
          <w:lang w:val="fr-CH"/>
        </w:rPr>
        <w:t>u</w:t>
      </w:r>
      <w:r w:rsidR="00910B40" w:rsidRPr="00850D17">
        <w:rPr>
          <w:lang w:val="fr-CH"/>
        </w:rPr>
        <w:t xml:space="preserve">n plan stratégique national de planification familiale en 2013. </w:t>
      </w:r>
      <w:r w:rsidR="005131B9" w:rsidRPr="00850D17">
        <w:rPr>
          <w:lang w:val="fr-CH"/>
        </w:rPr>
        <w:t>L</w:t>
      </w:r>
      <w:r w:rsidR="00910B40" w:rsidRPr="00850D17">
        <w:rPr>
          <w:lang w:val="fr-CH"/>
        </w:rPr>
        <w:t xml:space="preserve">e programme national </w:t>
      </w:r>
      <w:r w:rsidR="00D922EF" w:rsidRPr="00850D17">
        <w:rPr>
          <w:lang w:val="fr-CH"/>
        </w:rPr>
        <w:t>de</w:t>
      </w:r>
      <w:r w:rsidR="005B4F99" w:rsidRPr="00850D17">
        <w:rPr>
          <w:lang w:val="fr-CH"/>
        </w:rPr>
        <w:t xml:space="preserve"> </w:t>
      </w:r>
      <w:r w:rsidR="00910B40" w:rsidRPr="00850D17">
        <w:rPr>
          <w:lang w:val="fr-CH"/>
        </w:rPr>
        <w:t xml:space="preserve">santé </w:t>
      </w:r>
      <w:r w:rsidR="005B4F99" w:rsidRPr="00850D17">
        <w:rPr>
          <w:lang w:val="fr-CH"/>
        </w:rPr>
        <w:t xml:space="preserve">de </w:t>
      </w:r>
      <w:r w:rsidR="00311E73" w:rsidRPr="00850D17">
        <w:rPr>
          <w:lang w:val="fr-CH"/>
        </w:rPr>
        <w:t xml:space="preserve">la </w:t>
      </w:r>
      <w:r w:rsidR="00910B40" w:rsidRPr="00850D17">
        <w:rPr>
          <w:lang w:val="fr-CH"/>
        </w:rPr>
        <w:t xml:space="preserve">reproduction et le Ministère de l’enseignement supérieur et universitaire ont </w:t>
      </w:r>
      <w:r w:rsidR="005B4F99" w:rsidRPr="00850D17">
        <w:rPr>
          <w:lang w:val="fr-CH"/>
        </w:rPr>
        <w:t>bénéficié d</w:t>
      </w:r>
      <w:r w:rsidR="00D0050B" w:rsidRPr="00850D17">
        <w:rPr>
          <w:lang w:val="fr-CH"/>
        </w:rPr>
        <w:t>e l’</w:t>
      </w:r>
      <w:r w:rsidR="005B4F99" w:rsidRPr="00850D17">
        <w:rPr>
          <w:lang w:val="fr-CH"/>
        </w:rPr>
        <w:t>appui</w:t>
      </w:r>
      <w:r w:rsidR="00D0050B" w:rsidRPr="00850D17">
        <w:rPr>
          <w:lang w:val="fr-CH"/>
        </w:rPr>
        <w:t xml:space="preserve"> d</w:t>
      </w:r>
      <w:r w:rsidR="000775B9">
        <w:rPr>
          <w:lang w:val="fr-CH"/>
        </w:rPr>
        <w:t>u FNUAP</w:t>
      </w:r>
      <w:r w:rsidR="005111E4" w:rsidRPr="00850D17">
        <w:rPr>
          <w:lang w:val="fr-CH"/>
        </w:rPr>
        <w:t xml:space="preserve"> afin </w:t>
      </w:r>
      <w:r w:rsidR="00311E73" w:rsidRPr="00850D17">
        <w:rPr>
          <w:lang w:val="fr-CH"/>
        </w:rPr>
        <w:t>d</w:t>
      </w:r>
      <w:r w:rsidR="0012008D" w:rsidRPr="00850D17">
        <w:rPr>
          <w:lang w:val="fr-CH"/>
        </w:rPr>
        <w:t>’</w:t>
      </w:r>
      <w:r w:rsidR="00311E73" w:rsidRPr="00850D17">
        <w:rPr>
          <w:lang w:val="fr-CH"/>
        </w:rPr>
        <w:t>intégrer la formation de sages-femmes</w:t>
      </w:r>
      <w:r w:rsidR="006E18A4" w:rsidRPr="00850D17">
        <w:rPr>
          <w:lang w:val="fr-CH"/>
        </w:rPr>
        <w:t xml:space="preserve">. </w:t>
      </w:r>
      <w:r w:rsidR="00311E73" w:rsidRPr="00850D17">
        <w:rPr>
          <w:lang w:val="fr-CH"/>
        </w:rPr>
        <w:t>En outre, g</w:t>
      </w:r>
      <w:r w:rsidR="002E432C" w:rsidRPr="00850D17">
        <w:rPr>
          <w:lang w:val="fr-CH"/>
        </w:rPr>
        <w:t>r</w:t>
      </w:r>
      <w:r w:rsidRPr="00850D17">
        <w:rPr>
          <w:lang w:val="fr-CH"/>
        </w:rPr>
        <w:t>â</w:t>
      </w:r>
      <w:r w:rsidR="00910B40" w:rsidRPr="00850D17">
        <w:rPr>
          <w:lang w:val="fr-CH"/>
        </w:rPr>
        <w:t xml:space="preserve">ce aux efforts conjugués de </w:t>
      </w:r>
      <w:r w:rsidR="00026DCD" w:rsidRPr="00850D17">
        <w:rPr>
          <w:lang w:val="fr-CH"/>
        </w:rPr>
        <w:t xml:space="preserve">Cordaid, </w:t>
      </w:r>
      <w:r w:rsidR="00B573BE">
        <w:rPr>
          <w:lang w:val="fr-CH"/>
        </w:rPr>
        <w:t xml:space="preserve">de </w:t>
      </w:r>
      <w:r w:rsidR="00B752DA" w:rsidRPr="00C36970">
        <w:rPr>
          <w:lang w:val="fr-CH"/>
        </w:rPr>
        <w:t>l’O</w:t>
      </w:r>
      <w:r w:rsidR="0011464F" w:rsidRPr="00C36970">
        <w:rPr>
          <w:lang w:val="fr-CH"/>
        </w:rPr>
        <w:t>rganisation mondiale de la Santé</w:t>
      </w:r>
      <w:r w:rsidR="00B752DA" w:rsidRPr="00850D17">
        <w:rPr>
          <w:lang w:val="fr-CH"/>
        </w:rPr>
        <w:t xml:space="preserve">, </w:t>
      </w:r>
      <w:r w:rsidR="00B573BE" w:rsidRPr="00C36970">
        <w:rPr>
          <w:lang w:val="fr-CH"/>
        </w:rPr>
        <w:t>du</w:t>
      </w:r>
      <w:r w:rsidR="00B573BE">
        <w:rPr>
          <w:lang w:val="fr-CH"/>
        </w:rPr>
        <w:t xml:space="preserve"> </w:t>
      </w:r>
      <w:r w:rsidR="000775B9">
        <w:rPr>
          <w:lang w:val="fr-CH"/>
        </w:rPr>
        <w:t>FNUAP</w:t>
      </w:r>
      <w:r w:rsidR="00B752DA" w:rsidRPr="00850D17">
        <w:rPr>
          <w:lang w:val="fr-CH"/>
        </w:rPr>
        <w:t xml:space="preserve"> et </w:t>
      </w:r>
      <w:r w:rsidR="00B573BE" w:rsidRPr="00C36970">
        <w:rPr>
          <w:lang w:val="fr-CH"/>
        </w:rPr>
        <w:t>de</w:t>
      </w:r>
      <w:r w:rsidR="00B573BE">
        <w:rPr>
          <w:lang w:val="fr-CH"/>
        </w:rPr>
        <w:t xml:space="preserve"> </w:t>
      </w:r>
      <w:r w:rsidRPr="00850D17">
        <w:rPr>
          <w:lang w:val="fr-CH"/>
        </w:rPr>
        <w:t>l’</w:t>
      </w:r>
      <w:r w:rsidR="00910B40" w:rsidRPr="00850D17">
        <w:rPr>
          <w:lang w:val="fr-CH"/>
        </w:rPr>
        <w:t xml:space="preserve">UNICEF, </w:t>
      </w:r>
      <w:r w:rsidRPr="00850D17">
        <w:rPr>
          <w:lang w:val="fr-CH"/>
        </w:rPr>
        <w:t>l</w:t>
      </w:r>
      <w:r w:rsidR="00910B40" w:rsidRPr="00850D17">
        <w:rPr>
          <w:lang w:val="fr-CH"/>
        </w:rPr>
        <w:t xml:space="preserve">’équipement des structures médicales et l’approvisionnement </w:t>
      </w:r>
      <w:r w:rsidR="00D922EF" w:rsidRPr="00850D17">
        <w:rPr>
          <w:lang w:val="fr-CH"/>
        </w:rPr>
        <w:t>régulier</w:t>
      </w:r>
      <w:r w:rsidR="00910B40" w:rsidRPr="00850D17">
        <w:rPr>
          <w:lang w:val="fr-CH"/>
        </w:rPr>
        <w:t xml:space="preserve"> en médicaments et produits de santé a permis d’améliorer l’offre de services en matière de santé de la reproduction. </w:t>
      </w:r>
      <w:r w:rsidR="00AD3FC4" w:rsidRPr="00850D17">
        <w:rPr>
          <w:lang w:val="fr-CH"/>
        </w:rPr>
        <w:t xml:space="preserve">Ces progrès </w:t>
      </w:r>
      <w:r w:rsidR="00E76328" w:rsidRPr="00850D17">
        <w:rPr>
          <w:lang w:val="fr-CH"/>
        </w:rPr>
        <w:t xml:space="preserve">ont été </w:t>
      </w:r>
      <w:r w:rsidR="009917A7" w:rsidRPr="00850D17">
        <w:rPr>
          <w:lang w:val="fr-CH"/>
        </w:rPr>
        <w:t>obtenus</w:t>
      </w:r>
      <w:r w:rsidR="00E76328" w:rsidRPr="00850D17">
        <w:rPr>
          <w:lang w:val="fr-CH"/>
        </w:rPr>
        <w:t xml:space="preserve"> grâce à </w:t>
      </w:r>
      <w:r w:rsidR="00910B40" w:rsidRPr="00850D17">
        <w:rPr>
          <w:lang w:val="fr-CH"/>
        </w:rPr>
        <w:t>une bonne planification stratégique</w:t>
      </w:r>
      <w:r w:rsidR="00E76328" w:rsidRPr="00850D17">
        <w:rPr>
          <w:lang w:val="fr-CH"/>
        </w:rPr>
        <w:t xml:space="preserve"> et </w:t>
      </w:r>
      <w:r w:rsidR="006E18A4" w:rsidRPr="00850D17">
        <w:rPr>
          <w:lang w:val="fr-CH"/>
        </w:rPr>
        <w:t>une coordination</w:t>
      </w:r>
      <w:r w:rsidR="00910B40" w:rsidRPr="00850D17">
        <w:rPr>
          <w:lang w:val="fr-CH"/>
        </w:rPr>
        <w:t xml:space="preserve"> </w:t>
      </w:r>
      <w:r w:rsidR="006E18A4" w:rsidRPr="00850D17">
        <w:rPr>
          <w:lang w:val="fr-CH"/>
        </w:rPr>
        <w:t xml:space="preserve">des efforts de la communauté internationale </w:t>
      </w:r>
      <w:r w:rsidR="00AD3FC4" w:rsidRPr="00850D17">
        <w:rPr>
          <w:lang w:val="fr-CH"/>
        </w:rPr>
        <w:t>impliquant</w:t>
      </w:r>
      <w:r w:rsidR="00E76328" w:rsidRPr="00850D17">
        <w:rPr>
          <w:lang w:val="fr-CH"/>
        </w:rPr>
        <w:t xml:space="preserve"> les</w:t>
      </w:r>
      <w:r w:rsidR="00910B40" w:rsidRPr="00850D17">
        <w:rPr>
          <w:lang w:val="fr-CH"/>
        </w:rPr>
        <w:t xml:space="preserve"> autorités nationales et provinciales</w:t>
      </w:r>
      <w:r w:rsidR="00311E73" w:rsidRPr="00850D17">
        <w:rPr>
          <w:lang w:val="fr-CH"/>
        </w:rPr>
        <w:t>.</w:t>
      </w:r>
      <w:r w:rsidR="00910B40" w:rsidRPr="00850D17">
        <w:rPr>
          <w:lang w:val="fr-CH"/>
        </w:rPr>
        <w:t xml:space="preserve"> </w:t>
      </w:r>
    </w:p>
    <w:p w:rsidR="006632CF" w:rsidRPr="005023BC" w:rsidRDefault="008B4CB9">
      <w:pPr>
        <w:pStyle w:val="H23G"/>
        <w:rPr>
          <w:rFonts w:eastAsia="SimSun"/>
          <w:lang w:val="fr-CH"/>
        </w:rPr>
      </w:pPr>
      <w:r w:rsidRPr="00850D17">
        <w:rPr>
          <w:rFonts w:eastAsia="SimSun"/>
          <w:lang w:val="fr-CH"/>
        </w:rPr>
        <w:tab/>
        <w:t>2.</w:t>
      </w:r>
      <w:r w:rsidRPr="00850D17">
        <w:rPr>
          <w:rFonts w:eastAsia="SimSun"/>
          <w:lang w:val="fr-CH"/>
        </w:rPr>
        <w:tab/>
      </w:r>
      <w:r w:rsidR="006632CF" w:rsidRPr="00850D17">
        <w:rPr>
          <w:rFonts w:eastAsia="SimSun"/>
          <w:lang w:val="fr-CH"/>
        </w:rPr>
        <w:t xml:space="preserve">Lutte contre la discrimination à l’égard des </w:t>
      </w:r>
      <w:r w:rsidR="00CB21FE" w:rsidRPr="00850D17">
        <w:rPr>
          <w:rFonts w:eastAsia="SimSun"/>
          <w:lang w:val="fr-CH"/>
        </w:rPr>
        <w:t>p</w:t>
      </w:r>
      <w:r w:rsidR="0027637F" w:rsidRPr="00850D17">
        <w:rPr>
          <w:rFonts w:eastAsia="SimSun"/>
          <w:lang w:val="fr-CH"/>
        </w:rPr>
        <w:t xml:space="preserve">ersonnes vivant avec le </w:t>
      </w:r>
      <w:r w:rsidR="006632CF" w:rsidRPr="00850D17">
        <w:rPr>
          <w:rFonts w:eastAsia="SimSun"/>
          <w:lang w:val="fr-CH"/>
        </w:rPr>
        <w:t>VIH</w:t>
      </w:r>
    </w:p>
    <w:p w:rsidR="00807E8C" w:rsidRPr="00850D17" w:rsidRDefault="00F6145C" w:rsidP="00C36970">
      <w:pPr>
        <w:pStyle w:val="SingleTxtG"/>
        <w:numPr>
          <w:ilvl w:val="0"/>
          <w:numId w:val="7"/>
        </w:numPr>
        <w:tabs>
          <w:tab w:val="left" w:pos="1134"/>
        </w:tabs>
        <w:ind w:left="1134" w:firstLine="0"/>
        <w:rPr>
          <w:lang w:val="fr-CH"/>
        </w:rPr>
      </w:pPr>
      <w:r w:rsidRPr="00850D17">
        <w:rPr>
          <w:lang w:val="fr-CH"/>
        </w:rPr>
        <w:t xml:space="preserve">Le niveau global de tolérance envers les personnes vivant avec le </w:t>
      </w:r>
      <w:r w:rsidR="00FA6FC8">
        <w:rPr>
          <w:lang w:val="fr-CH"/>
        </w:rPr>
        <w:t>virus de l</w:t>
      </w:r>
      <w:r w:rsidR="00FA6FC8" w:rsidRPr="00FA6FC8">
        <w:rPr>
          <w:lang w:val="fr-CH"/>
        </w:rPr>
        <w:t>’</w:t>
      </w:r>
      <w:r w:rsidR="00FA6FC8">
        <w:rPr>
          <w:lang w:val="fr-CH"/>
        </w:rPr>
        <w:t>immunodéficience humaine (</w:t>
      </w:r>
      <w:r w:rsidRPr="00850D17">
        <w:rPr>
          <w:lang w:val="fr-CH"/>
        </w:rPr>
        <w:t>VIH</w:t>
      </w:r>
      <w:r w:rsidR="00FA6FC8">
        <w:rPr>
          <w:lang w:val="fr-CH"/>
        </w:rPr>
        <w:t>)</w:t>
      </w:r>
      <w:r w:rsidR="0027637F" w:rsidRPr="00850D17">
        <w:rPr>
          <w:lang w:val="fr-CH"/>
        </w:rPr>
        <w:t xml:space="preserve"> </w:t>
      </w:r>
      <w:r w:rsidR="000E0CAF" w:rsidRPr="00850D17">
        <w:rPr>
          <w:lang w:val="fr-CH"/>
        </w:rPr>
        <w:t xml:space="preserve">était </w:t>
      </w:r>
      <w:r w:rsidR="00B2378D" w:rsidRPr="00850D17">
        <w:rPr>
          <w:lang w:val="fr-CH"/>
        </w:rPr>
        <w:t xml:space="preserve">estimé à </w:t>
      </w:r>
      <w:r w:rsidR="00DF4900" w:rsidRPr="00850D17">
        <w:rPr>
          <w:lang w:val="fr-CH"/>
        </w:rPr>
        <w:t>6</w:t>
      </w:r>
      <w:r w:rsidR="00E14762">
        <w:rPr>
          <w:lang w:val="fr-CH"/>
        </w:rPr>
        <w:t>,</w:t>
      </w:r>
      <w:r w:rsidR="00DF4900" w:rsidRPr="00850D17">
        <w:rPr>
          <w:lang w:val="fr-CH"/>
        </w:rPr>
        <w:t>4</w:t>
      </w:r>
      <w:r w:rsidR="00E14762">
        <w:rPr>
          <w:lang w:val="fr-CH"/>
        </w:rPr>
        <w:t> </w:t>
      </w:r>
      <w:r w:rsidR="00FA6FC8">
        <w:rPr>
          <w:lang w:val="fr-CH"/>
        </w:rPr>
        <w:t>%</w:t>
      </w:r>
      <w:r w:rsidR="001833F9" w:rsidRPr="00850D17">
        <w:rPr>
          <w:lang w:val="fr-CH"/>
        </w:rPr>
        <w:t xml:space="preserve"> en 2007</w:t>
      </w:r>
      <w:r w:rsidR="00B2378D" w:rsidRPr="00850D17">
        <w:rPr>
          <w:rStyle w:val="FootnoteReference"/>
          <w:lang w:val="fr-CH"/>
        </w:rPr>
        <w:footnoteReference w:id="14"/>
      </w:r>
      <w:r w:rsidR="000E0CAF" w:rsidRPr="00850D17">
        <w:rPr>
          <w:lang w:val="fr-CH"/>
        </w:rPr>
        <w:t xml:space="preserve">. </w:t>
      </w:r>
      <w:r w:rsidR="00B10D82" w:rsidRPr="00850D17">
        <w:rPr>
          <w:lang w:val="fr-CH"/>
        </w:rPr>
        <w:t>L</w:t>
      </w:r>
      <w:r w:rsidR="00DE44F3">
        <w:rPr>
          <w:lang w:val="fr-CH"/>
        </w:rPr>
        <w:t>e Programme commun des Nations Unies sur le VIH/sida</w:t>
      </w:r>
      <w:r w:rsidR="002046EE" w:rsidRPr="00850D17">
        <w:rPr>
          <w:lang w:val="fr-CH"/>
        </w:rPr>
        <w:t xml:space="preserve"> et l</w:t>
      </w:r>
      <w:r w:rsidR="000775B9">
        <w:rPr>
          <w:lang w:val="fr-CH"/>
        </w:rPr>
        <w:t>e FNUAP</w:t>
      </w:r>
      <w:r w:rsidR="002046EE" w:rsidRPr="00850D17">
        <w:rPr>
          <w:lang w:val="fr-CH"/>
        </w:rPr>
        <w:t xml:space="preserve"> ont apporté leur assistance technique à </w:t>
      </w:r>
      <w:r w:rsidR="00B10D82" w:rsidRPr="00850D17">
        <w:rPr>
          <w:lang w:val="fr-CH"/>
        </w:rPr>
        <w:t>l</w:t>
      </w:r>
      <w:r w:rsidR="0012008D" w:rsidRPr="00850D17">
        <w:rPr>
          <w:lang w:val="fr-CH"/>
        </w:rPr>
        <w:t>’</w:t>
      </w:r>
      <w:r w:rsidR="00B10D82" w:rsidRPr="00850D17">
        <w:rPr>
          <w:lang w:val="fr-CH"/>
        </w:rPr>
        <w:t xml:space="preserve">adoption de la loi nationale </w:t>
      </w:r>
      <w:r w:rsidR="00E14762">
        <w:rPr>
          <w:lang w:val="fr-CH"/>
        </w:rPr>
        <w:t>n</w:t>
      </w:r>
      <w:r w:rsidR="00E14762" w:rsidRPr="00A8159E">
        <w:rPr>
          <w:vertAlign w:val="superscript"/>
          <w:lang w:val="fr-CH"/>
        </w:rPr>
        <w:t>o</w:t>
      </w:r>
      <w:r w:rsidR="00E14762">
        <w:rPr>
          <w:lang w:val="fr-CH"/>
        </w:rPr>
        <w:t> </w:t>
      </w:r>
      <w:r w:rsidR="00B10D82" w:rsidRPr="00850D17">
        <w:rPr>
          <w:lang w:val="fr-CH"/>
        </w:rPr>
        <w:t xml:space="preserve">08/011 du 14 juillet 2008 portant protection des droits des </w:t>
      </w:r>
      <w:r w:rsidR="0039707F" w:rsidRPr="00850D17">
        <w:rPr>
          <w:lang w:val="fr-CH"/>
        </w:rPr>
        <w:t>personnes vivant avec le</w:t>
      </w:r>
      <w:r w:rsidR="0039707F">
        <w:rPr>
          <w:lang w:val="fr-CH"/>
        </w:rPr>
        <w:t xml:space="preserve"> VIH</w:t>
      </w:r>
      <w:r w:rsidR="00843143">
        <w:rPr>
          <w:lang w:val="fr-CH"/>
        </w:rPr>
        <w:t>/</w:t>
      </w:r>
      <w:r w:rsidR="00843143" w:rsidRPr="00C36970">
        <w:rPr>
          <w:lang w:val="fr-CH"/>
        </w:rPr>
        <w:t>sida et des personnes affectées</w:t>
      </w:r>
      <w:r w:rsidR="00B10D82" w:rsidRPr="00850D17">
        <w:rPr>
          <w:lang w:val="fr-CH"/>
        </w:rPr>
        <w:t xml:space="preserve">. </w:t>
      </w:r>
      <w:r w:rsidR="000E0CAF" w:rsidRPr="00850D17">
        <w:rPr>
          <w:lang w:val="fr-CH"/>
        </w:rPr>
        <w:t>I</w:t>
      </w:r>
      <w:r w:rsidR="002046EE" w:rsidRPr="00850D17">
        <w:rPr>
          <w:lang w:val="fr-CH"/>
        </w:rPr>
        <w:t>ls</w:t>
      </w:r>
      <w:r w:rsidR="00B10D82" w:rsidRPr="00850D17">
        <w:rPr>
          <w:lang w:val="fr-CH"/>
        </w:rPr>
        <w:t xml:space="preserve"> </w:t>
      </w:r>
      <w:r w:rsidR="000E0CAF" w:rsidRPr="00850D17">
        <w:rPr>
          <w:lang w:val="fr-CH"/>
        </w:rPr>
        <w:t>ont appuyé</w:t>
      </w:r>
      <w:r w:rsidR="00B10D82" w:rsidRPr="00850D17">
        <w:rPr>
          <w:lang w:val="fr-CH"/>
        </w:rPr>
        <w:t xml:space="preserve"> </w:t>
      </w:r>
      <w:r w:rsidR="000E0CAF" w:rsidRPr="00850D17">
        <w:rPr>
          <w:lang w:val="fr-CH"/>
        </w:rPr>
        <w:t>le</w:t>
      </w:r>
      <w:r w:rsidR="00B10D82" w:rsidRPr="00850D17">
        <w:rPr>
          <w:lang w:val="fr-CH"/>
        </w:rPr>
        <w:t xml:space="preserve"> Programme national multisectoriel de lutte contre le sida et soutenu l’actualisation du plan stratégique national de lutte contre le VIH. </w:t>
      </w:r>
      <w:r w:rsidR="002046EE" w:rsidRPr="00850D17">
        <w:rPr>
          <w:lang w:val="fr-CH"/>
        </w:rPr>
        <w:t xml:space="preserve">Le </w:t>
      </w:r>
      <w:r w:rsidR="00621832">
        <w:rPr>
          <w:lang w:val="fr-CH"/>
        </w:rPr>
        <w:t>G</w:t>
      </w:r>
      <w:r w:rsidR="00621832" w:rsidRPr="00850D17">
        <w:rPr>
          <w:lang w:val="fr-CH"/>
        </w:rPr>
        <w:t xml:space="preserve">ouvernement </w:t>
      </w:r>
      <w:r w:rsidR="002046EE" w:rsidRPr="00850D17">
        <w:rPr>
          <w:lang w:val="fr-CH"/>
        </w:rPr>
        <w:t xml:space="preserve">a créé des </w:t>
      </w:r>
      <w:r w:rsidR="00B10D82" w:rsidRPr="00850D17">
        <w:rPr>
          <w:lang w:val="fr-CH"/>
        </w:rPr>
        <w:t xml:space="preserve">cellules de lutte contre le VIH </w:t>
      </w:r>
      <w:r w:rsidR="002046EE" w:rsidRPr="00850D17">
        <w:rPr>
          <w:lang w:val="fr-CH"/>
        </w:rPr>
        <w:t>central</w:t>
      </w:r>
      <w:r w:rsidR="007A20FC">
        <w:rPr>
          <w:lang w:val="fr-CH"/>
        </w:rPr>
        <w:t>isant les efforts</w:t>
      </w:r>
      <w:r w:rsidR="002046EE" w:rsidRPr="00850D17">
        <w:rPr>
          <w:lang w:val="fr-CH"/>
        </w:rPr>
        <w:t xml:space="preserve"> de </w:t>
      </w:r>
      <w:r w:rsidR="00B10D82" w:rsidRPr="00850D17">
        <w:rPr>
          <w:lang w:val="fr-CH"/>
        </w:rPr>
        <w:t xml:space="preserve">toutes les administrations. </w:t>
      </w:r>
      <w:r w:rsidR="000E0CAF" w:rsidRPr="00850D17">
        <w:rPr>
          <w:lang w:val="fr-CH"/>
        </w:rPr>
        <w:t>Malgré ces développements juridiques et institutionnels, le niveau global de tolérance envers les personnes vivant avec le VIH est de 4</w:t>
      </w:r>
      <w:r w:rsidR="00E14762">
        <w:rPr>
          <w:lang w:val="fr-CH"/>
        </w:rPr>
        <w:t>,</w:t>
      </w:r>
      <w:r w:rsidR="000E0CAF" w:rsidRPr="00850D17">
        <w:rPr>
          <w:lang w:val="fr-CH"/>
        </w:rPr>
        <w:t>2</w:t>
      </w:r>
      <w:r w:rsidR="00E14762">
        <w:rPr>
          <w:lang w:val="fr-CH"/>
        </w:rPr>
        <w:t> </w:t>
      </w:r>
      <w:r w:rsidR="007F2D97">
        <w:rPr>
          <w:lang w:val="fr-CH"/>
        </w:rPr>
        <w:t>%</w:t>
      </w:r>
      <w:r w:rsidR="000E0CAF" w:rsidRPr="00850D17">
        <w:rPr>
          <w:lang w:val="fr-CH"/>
        </w:rPr>
        <w:t xml:space="preserve"> (</w:t>
      </w:r>
      <w:r w:rsidR="007F2D97" w:rsidRPr="00850D17">
        <w:rPr>
          <w:rFonts w:eastAsia="SimSun"/>
          <w:lang w:val="fr-CH"/>
        </w:rPr>
        <w:t>Enquête démographique et de santé</w:t>
      </w:r>
      <w:r w:rsidR="000E0CAF" w:rsidRPr="00850D17">
        <w:rPr>
          <w:lang w:val="fr-CH"/>
        </w:rPr>
        <w:t xml:space="preserve"> 2014).</w:t>
      </w:r>
      <w:r w:rsidR="00A80F55" w:rsidRPr="00850D17">
        <w:rPr>
          <w:lang w:val="fr-CH"/>
        </w:rPr>
        <w:t xml:space="preserve"> C</w:t>
      </w:r>
      <w:r w:rsidR="00877A29" w:rsidRPr="00850D17">
        <w:rPr>
          <w:lang w:val="fr-CH"/>
        </w:rPr>
        <w:t xml:space="preserve">e </w:t>
      </w:r>
      <w:r w:rsidR="000F362A" w:rsidRPr="00850D17">
        <w:rPr>
          <w:lang w:val="fr-CH"/>
        </w:rPr>
        <w:t xml:space="preserve">léger </w:t>
      </w:r>
      <w:r w:rsidR="00877A29" w:rsidRPr="00850D17">
        <w:rPr>
          <w:lang w:val="fr-CH"/>
        </w:rPr>
        <w:t xml:space="preserve">recul de </w:t>
      </w:r>
      <w:r w:rsidR="003D58AD">
        <w:rPr>
          <w:lang w:val="fr-CH"/>
        </w:rPr>
        <w:t xml:space="preserve">la </w:t>
      </w:r>
      <w:r w:rsidR="00877A29" w:rsidRPr="00850D17">
        <w:rPr>
          <w:lang w:val="fr-CH"/>
        </w:rPr>
        <w:t>tolérance peut s’expliquer</w:t>
      </w:r>
      <w:r w:rsidR="003E69A7" w:rsidRPr="00850D17">
        <w:rPr>
          <w:lang w:val="fr-CH"/>
        </w:rPr>
        <w:t>,</w:t>
      </w:r>
      <w:r w:rsidR="00877A29" w:rsidRPr="00850D17">
        <w:rPr>
          <w:lang w:val="fr-CH"/>
        </w:rPr>
        <w:t xml:space="preserve"> </w:t>
      </w:r>
      <w:r w:rsidR="003E69A7" w:rsidRPr="00850D17">
        <w:rPr>
          <w:lang w:val="fr-CH"/>
        </w:rPr>
        <w:t xml:space="preserve">entre autres, </w:t>
      </w:r>
      <w:r w:rsidR="00877A29" w:rsidRPr="00850D17">
        <w:rPr>
          <w:lang w:val="fr-CH"/>
        </w:rPr>
        <w:t xml:space="preserve">par l’absence de mesures d’accompagnement de la loi protégeant les </w:t>
      </w:r>
      <w:r w:rsidR="003D58AD" w:rsidRPr="00850D17">
        <w:rPr>
          <w:lang w:val="fr-CH"/>
        </w:rPr>
        <w:t xml:space="preserve">personnes vivant avec le </w:t>
      </w:r>
      <w:r w:rsidR="00877A29" w:rsidRPr="00850D17">
        <w:rPr>
          <w:lang w:val="fr-CH"/>
        </w:rPr>
        <w:t>VIH</w:t>
      </w:r>
      <w:r w:rsidR="008343A3" w:rsidRPr="00850D17">
        <w:rPr>
          <w:lang w:val="fr-CH"/>
        </w:rPr>
        <w:t>,</w:t>
      </w:r>
      <w:r w:rsidR="00807E8C" w:rsidRPr="00850D17">
        <w:rPr>
          <w:lang w:val="fr-CH"/>
        </w:rPr>
        <w:t xml:space="preserve"> </w:t>
      </w:r>
      <w:r w:rsidR="008343A3" w:rsidRPr="00850D17">
        <w:rPr>
          <w:lang w:val="fr-CH"/>
        </w:rPr>
        <w:t xml:space="preserve">l’impunité à l’égard des auteurs de stigmatisation et </w:t>
      </w:r>
      <w:r w:rsidR="001F2B16" w:rsidRPr="00850D17">
        <w:rPr>
          <w:lang w:val="fr-CH"/>
        </w:rPr>
        <w:t xml:space="preserve">de </w:t>
      </w:r>
      <w:r w:rsidR="008343A3" w:rsidRPr="00850D17">
        <w:rPr>
          <w:lang w:val="fr-CH"/>
        </w:rPr>
        <w:t>discrimination</w:t>
      </w:r>
      <w:r w:rsidR="001F2B16" w:rsidRPr="00850D17">
        <w:rPr>
          <w:lang w:val="fr-CH"/>
        </w:rPr>
        <w:t>,</w:t>
      </w:r>
      <w:r w:rsidR="008343A3" w:rsidRPr="00850D17">
        <w:rPr>
          <w:lang w:val="fr-CH"/>
        </w:rPr>
        <w:t xml:space="preserve"> et la non-dénonciation par les victimes et la communauté des </w:t>
      </w:r>
      <w:r w:rsidR="001F2B16" w:rsidRPr="00850D17">
        <w:rPr>
          <w:lang w:val="fr-CH"/>
        </w:rPr>
        <w:t xml:space="preserve">actes </w:t>
      </w:r>
      <w:r w:rsidR="008343A3" w:rsidRPr="00850D17">
        <w:rPr>
          <w:lang w:val="fr-CH"/>
        </w:rPr>
        <w:t>de stigmatisation</w:t>
      </w:r>
      <w:r w:rsidR="001F2B16" w:rsidRPr="00850D17">
        <w:rPr>
          <w:lang w:val="fr-CH"/>
        </w:rPr>
        <w:t xml:space="preserve"> et de </w:t>
      </w:r>
      <w:r w:rsidR="00851EB5" w:rsidRPr="00850D17">
        <w:rPr>
          <w:lang w:val="fr-CH"/>
        </w:rPr>
        <w:t>discrimination</w:t>
      </w:r>
      <w:r w:rsidR="00A43E6F" w:rsidRPr="00850D17">
        <w:rPr>
          <w:rStyle w:val="FootnoteReference"/>
          <w:lang w:val="fr-CH"/>
        </w:rPr>
        <w:footnoteReference w:id="15"/>
      </w:r>
      <w:r w:rsidR="00851EB5" w:rsidRPr="00850D17">
        <w:rPr>
          <w:lang w:val="fr-CH"/>
        </w:rPr>
        <w:t>.</w:t>
      </w:r>
    </w:p>
    <w:p w:rsidR="00851EB5" w:rsidRPr="005023BC" w:rsidRDefault="00E14762" w:rsidP="00C36970">
      <w:pPr>
        <w:pStyle w:val="H23G"/>
        <w:rPr>
          <w:rFonts w:eastAsia="SimSun"/>
          <w:lang w:val="fr-CH"/>
        </w:rPr>
      </w:pPr>
      <w:r>
        <w:rPr>
          <w:rFonts w:eastAsia="SimSun"/>
          <w:lang w:val="fr-CH"/>
        </w:rPr>
        <w:tab/>
        <w:t>3.</w:t>
      </w:r>
      <w:r>
        <w:rPr>
          <w:rFonts w:eastAsia="SimSun"/>
          <w:lang w:val="fr-CH"/>
        </w:rPr>
        <w:tab/>
      </w:r>
      <w:r w:rsidR="007A3706" w:rsidRPr="00850D17">
        <w:rPr>
          <w:rFonts w:eastAsia="SimSun"/>
          <w:lang w:val="fr-CH"/>
        </w:rPr>
        <w:t xml:space="preserve">Prise en compte des droits de l’homme </w:t>
      </w:r>
      <w:r w:rsidR="00B10D82" w:rsidRPr="00850D17">
        <w:rPr>
          <w:rFonts w:eastAsia="SimSun"/>
          <w:lang w:val="fr-CH"/>
        </w:rPr>
        <w:t>en matière de ressources naturelles</w:t>
      </w:r>
    </w:p>
    <w:p w:rsidR="00981D21" w:rsidRPr="00850D17" w:rsidRDefault="00AD3FC4" w:rsidP="00C36970">
      <w:pPr>
        <w:pStyle w:val="SingleTxtG"/>
        <w:numPr>
          <w:ilvl w:val="0"/>
          <w:numId w:val="7"/>
        </w:numPr>
        <w:tabs>
          <w:tab w:val="left" w:pos="1134"/>
        </w:tabs>
        <w:ind w:left="1134" w:firstLine="0"/>
        <w:rPr>
          <w:lang w:val="fr-CH"/>
        </w:rPr>
      </w:pPr>
      <w:r w:rsidRPr="00850D17">
        <w:rPr>
          <w:lang w:val="fr-CH"/>
        </w:rPr>
        <w:t>L</w:t>
      </w:r>
      <w:r w:rsidR="00617950" w:rsidRPr="00850D17">
        <w:rPr>
          <w:lang w:val="fr-CH"/>
        </w:rPr>
        <w:t>e renforcement du cadre</w:t>
      </w:r>
      <w:r w:rsidR="0046713E" w:rsidRPr="00850D17">
        <w:rPr>
          <w:lang w:val="fr-CH"/>
        </w:rPr>
        <w:t xml:space="preserve"> </w:t>
      </w:r>
      <w:r w:rsidR="00726DCF" w:rsidRPr="00850D17">
        <w:rPr>
          <w:lang w:val="fr-CH"/>
        </w:rPr>
        <w:t>juridique</w:t>
      </w:r>
      <w:r w:rsidR="0063294C" w:rsidRPr="00850D17">
        <w:rPr>
          <w:lang w:val="fr-CH"/>
        </w:rPr>
        <w:t xml:space="preserve"> </w:t>
      </w:r>
      <w:r w:rsidR="00617950" w:rsidRPr="00850D17">
        <w:rPr>
          <w:lang w:val="fr-CH"/>
        </w:rPr>
        <w:t xml:space="preserve">et </w:t>
      </w:r>
      <w:r w:rsidR="00467519" w:rsidRPr="00850D17">
        <w:rPr>
          <w:lang w:val="fr-CH"/>
        </w:rPr>
        <w:t xml:space="preserve">réglementaire </w:t>
      </w:r>
      <w:r w:rsidR="000E0CAF" w:rsidRPr="00850D17">
        <w:rPr>
          <w:lang w:val="fr-CH"/>
        </w:rPr>
        <w:t>du secteur minier</w:t>
      </w:r>
      <w:r w:rsidR="001F2B16" w:rsidRPr="00850D17">
        <w:rPr>
          <w:lang w:val="fr-CH"/>
        </w:rPr>
        <w:t xml:space="preserve"> </w:t>
      </w:r>
      <w:r w:rsidRPr="00850D17">
        <w:rPr>
          <w:lang w:val="fr-CH"/>
        </w:rPr>
        <w:t>fait partie de</w:t>
      </w:r>
      <w:r w:rsidR="001F2B16" w:rsidRPr="00850D17">
        <w:rPr>
          <w:lang w:val="fr-CH"/>
        </w:rPr>
        <w:t>s principaux objectifs</w:t>
      </w:r>
      <w:r w:rsidRPr="00850D17">
        <w:rPr>
          <w:lang w:val="fr-CH"/>
        </w:rPr>
        <w:t xml:space="preserve"> du DSCRP 2011-2015</w:t>
      </w:r>
      <w:r w:rsidR="00617950" w:rsidRPr="00850D17">
        <w:rPr>
          <w:lang w:val="fr-CH"/>
        </w:rPr>
        <w:t>.</w:t>
      </w:r>
      <w:r w:rsidR="00981D21" w:rsidRPr="00850D17">
        <w:rPr>
          <w:lang w:val="fr-CH"/>
        </w:rPr>
        <w:t xml:space="preserve"> Les communautés riveraines des zones </w:t>
      </w:r>
      <w:r w:rsidR="00981D21" w:rsidRPr="00850D17">
        <w:rPr>
          <w:lang w:val="fr-CH"/>
        </w:rPr>
        <w:lastRenderedPageBreak/>
        <w:t>d’exploitation de ressources extractives ne jouissent pas de certains droits économiques</w:t>
      </w:r>
      <w:r w:rsidR="007F1EE6" w:rsidRPr="00850D17">
        <w:rPr>
          <w:lang w:val="fr-CH"/>
        </w:rPr>
        <w:t xml:space="preserve"> et</w:t>
      </w:r>
      <w:r w:rsidR="00981D21" w:rsidRPr="00850D17">
        <w:rPr>
          <w:lang w:val="fr-CH"/>
        </w:rPr>
        <w:t xml:space="preserve"> sociaux (santé, éducation, accès </w:t>
      </w:r>
      <w:r w:rsidRPr="00850D17">
        <w:rPr>
          <w:lang w:val="fr-CH"/>
        </w:rPr>
        <w:t xml:space="preserve">à </w:t>
      </w:r>
      <w:r w:rsidR="00981D21" w:rsidRPr="00850D17">
        <w:rPr>
          <w:lang w:val="fr-CH"/>
        </w:rPr>
        <w:t xml:space="preserve">l’eau potable et </w:t>
      </w:r>
      <w:r w:rsidRPr="00850D17">
        <w:rPr>
          <w:lang w:val="fr-CH"/>
        </w:rPr>
        <w:t>à des</w:t>
      </w:r>
      <w:r w:rsidR="00981D21" w:rsidRPr="00850D17">
        <w:rPr>
          <w:lang w:val="fr-CH"/>
        </w:rPr>
        <w:t xml:space="preserve"> indemnisations justes et équitables) en raison de leurs capacités limitées à s</w:t>
      </w:r>
      <w:r w:rsidR="0012008D" w:rsidRPr="00850D17">
        <w:rPr>
          <w:lang w:val="fr-CH"/>
        </w:rPr>
        <w:t>’</w:t>
      </w:r>
      <w:r w:rsidR="00981D21" w:rsidRPr="00850D17">
        <w:rPr>
          <w:lang w:val="fr-CH"/>
        </w:rPr>
        <w:t>organiser en comités pour la défense de leurs droits</w:t>
      </w:r>
      <w:r w:rsidR="0012008D" w:rsidRPr="00850D17">
        <w:rPr>
          <w:lang w:val="fr-CH"/>
        </w:rPr>
        <w:t xml:space="preserve"> </w:t>
      </w:r>
      <w:r w:rsidR="00D74996" w:rsidRPr="00850D17">
        <w:rPr>
          <w:lang w:val="fr-CH"/>
        </w:rPr>
        <w:t xml:space="preserve">face à </w:t>
      </w:r>
      <w:r w:rsidR="00313B17" w:rsidRPr="00850D17">
        <w:rPr>
          <w:lang w:val="fr-CH"/>
        </w:rPr>
        <w:t>l</w:t>
      </w:r>
      <w:r w:rsidR="0012008D" w:rsidRPr="00850D17">
        <w:rPr>
          <w:lang w:val="fr-CH"/>
        </w:rPr>
        <w:t>’</w:t>
      </w:r>
      <w:r w:rsidR="00313B17" w:rsidRPr="00850D17">
        <w:rPr>
          <w:lang w:val="fr-CH"/>
        </w:rPr>
        <w:t xml:space="preserve">action insuffisante </w:t>
      </w:r>
      <w:r w:rsidR="00D74996" w:rsidRPr="00850D17">
        <w:rPr>
          <w:lang w:val="fr-CH"/>
        </w:rPr>
        <w:t xml:space="preserve">du </w:t>
      </w:r>
      <w:r w:rsidR="00621832">
        <w:rPr>
          <w:lang w:val="fr-CH"/>
        </w:rPr>
        <w:t>G</w:t>
      </w:r>
      <w:r w:rsidR="00621832" w:rsidRPr="00850D17">
        <w:rPr>
          <w:lang w:val="fr-CH"/>
        </w:rPr>
        <w:t xml:space="preserve">ouvernement </w:t>
      </w:r>
      <w:r w:rsidR="00D74996" w:rsidRPr="00850D17">
        <w:rPr>
          <w:lang w:val="fr-CH"/>
        </w:rPr>
        <w:t xml:space="preserve">pour </w:t>
      </w:r>
      <w:r w:rsidR="00313B17" w:rsidRPr="00850D17">
        <w:rPr>
          <w:lang w:val="fr-CH"/>
        </w:rPr>
        <w:t>protéger</w:t>
      </w:r>
      <w:r w:rsidR="00D74996" w:rsidRPr="00850D17">
        <w:rPr>
          <w:lang w:val="fr-CH"/>
        </w:rPr>
        <w:t xml:space="preserve"> </w:t>
      </w:r>
      <w:r w:rsidR="00F84989">
        <w:rPr>
          <w:lang w:val="fr-CH"/>
        </w:rPr>
        <w:t>ces</w:t>
      </w:r>
      <w:r w:rsidR="00F84989" w:rsidRPr="00850D17">
        <w:rPr>
          <w:lang w:val="fr-CH"/>
        </w:rPr>
        <w:t xml:space="preserve"> </w:t>
      </w:r>
      <w:r w:rsidR="00D74996" w:rsidRPr="00850D17">
        <w:rPr>
          <w:lang w:val="fr-CH"/>
        </w:rPr>
        <w:t>droits.</w:t>
      </w:r>
      <w:r w:rsidR="00D010F7" w:rsidRPr="00850D17" w:rsidDel="00D010F7">
        <w:rPr>
          <w:lang w:val="fr-CH"/>
        </w:rPr>
        <w:t xml:space="preserve"> </w:t>
      </w:r>
    </w:p>
    <w:p w:rsidR="006632CF" w:rsidRPr="00850D17" w:rsidRDefault="00467519" w:rsidP="00C36970">
      <w:pPr>
        <w:pStyle w:val="SingleTxtG"/>
        <w:numPr>
          <w:ilvl w:val="0"/>
          <w:numId w:val="7"/>
        </w:numPr>
        <w:tabs>
          <w:tab w:val="left" w:pos="1134"/>
        </w:tabs>
        <w:ind w:left="1134" w:firstLine="0"/>
        <w:rPr>
          <w:lang w:val="fr-CH"/>
        </w:rPr>
      </w:pPr>
      <w:r w:rsidRPr="00850D17">
        <w:rPr>
          <w:lang w:val="fr-CH"/>
        </w:rPr>
        <w:t>Entre 2012 et 2014, l</w:t>
      </w:r>
      <w:r w:rsidR="00B10D82" w:rsidRPr="00850D17">
        <w:rPr>
          <w:lang w:val="fr-CH"/>
        </w:rPr>
        <w:t xml:space="preserve">e BCNUDH, le Centre Carter, Cordaid et </w:t>
      </w:r>
      <w:r w:rsidR="00B127E5">
        <w:rPr>
          <w:lang w:val="fr-CH"/>
        </w:rPr>
        <w:t>l</w:t>
      </w:r>
      <w:r w:rsidR="00B127E5" w:rsidRPr="00B127E5">
        <w:rPr>
          <w:lang w:val="fr-CH"/>
        </w:rPr>
        <w:t>’</w:t>
      </w:r>
      <w:r w:rsidR="00B10D82" w:rsidRPr="00850D17">
        <w:rPr>
          <w:lang w:val="fr-CH"/>
        </w:rPr>
        <w:t xml:space="preserve">OSISA ont apporté un appui </w:t>
      </w:r>
      <w:r w:rsidR="000E0CAF" w:rsidRPr="00850D17">
        <w:rPr>
          <w:lang w:val="fr-CH"/>
        </w:rPr>
        <w:t xml:space="preserve">technique </w:t>
      </w:r>
      <w:r w:rsidR="00B10D82" w:rsidRPr="00850D17">
        <w:rPr>
          <w:lang w:val="fr-CH"/>
        </w:rPr>
        <w:t>à plus de 3</w:t>
      </w:r>
      <w:r w:rsidR="00E14762">
        <w:rPr>
          <w:lang w:val="fr-CH"/>
        </w:rPr>
        <w:t> </w:t>
      </w:r>
      <w:r w:rsidR="00B10D82" w:rsidRPr="00850D17">
        <w:rPr>
          <w:lang w:val="fr-CH"/>
        </w:rPr>
        <w:t>000</w:t>
      </w:r>
      <w:r w:rsidR="00E14762">
        <w:rPr>
          <w:lang w:val="fr-CH"/>
        </w:rPr>
        <w:t> </w:t>
      </w:r>
      <w:r w:rsidR="00B10D82" w:rsidRPr="00850D17">
        <w:rPr>
          <w:lang w:val="fr-CH"/>
        </w:rPr>
        <w:t xml:space="preserve">membres de la société </w:t>
      </w:r>
      <w:r w:rsidR="008D79B5" w:rsidRPr="00850D17">
        <w:rPr>
          <w:lang w:val="fr-CH"/>
        </w:rPr>
        <w:t xml:space="preserve">civile </w:t>
      </w:r>
      <w:r w:rsidR="00B10D82" w:rsidRPr="00850D17">
        <w:rPr>
          <w:lang w:val="fr-CH"/>
        </w:rPr>
        <w:t xml:space="preserve">et </w:t>
      </w:r>
      <w:r w:rsidR="00506FF9" w:rsidRPr="00850D17">
        <w:rPr>
          <w:lang w:val="fr-CH"/>
        </w:rPr>
        <w:t xml:space="preserve">à </w:t>
      </w:r>
      <w:r w:rsidR="00B10D82" w:rsidRPr="00850D17">
        <w:rPr>
          <w:lang w:val="fr-CH"/>
        </w:rPr>
        <w:t xml:space="preserve">des communautés locales pour </w:t>
      </w:r>
      <w:r w:rsidR="001F2B16" w:rsidRPr="00850D17">
        <w:rPr>
          <w:lang w:val="fr-CH"/>
        </w:rPr>
        <w:t xml:space="preserve">assurer </w:t>
      </w:r>
      <w:r w:rsidR="00B10D82" w:rsidRPr="00850D17">
        <w:rPr>
          <w:lang w:val="fr-CH"/>
        </w:rPr>
        <w:t>l</w:t>
      </w:r>
      <w:r w:rsidR="001F2B16" w:rsidRPr="00850D17">
        <w:rPr>
          <w:lang w:val="fr-CH"/>
        </w:rPr>
        <w:t>eur</w:t>
      </w:r>
      <w:r w:rsidR="00B10D82" w:rsidRPr="00850D17">
        <w:rPr>
          <w:lang w:val="fr-CH"/>
        </w:rPr>
        <w:t xml:space="preserve"> contribution </w:t>
      </w:r>
      <w:r w:rsidR="00506FF9" w:rsidRPr="00850D17">
        <w:rPr>
          <w:lang w:val="fr-CH"/>
        </w:rPr>
        <w:t xml:space="preserve">à la </w:t>
      </w:r>
      <w:r w:rsidR="00B10D82" w:rsidRPr="00850D17">
        <w:rPr>
          <w:lang w:val="fr-CH"/>
        </w:rPr>
        <w:t>révision du Code minier.</w:t>
      </w:r>
      <w:r w:rsidR="00AF0041" w:rsidRPr="00850D17">
        <w:rPr>
          <w:lang w:val="fr-CH"/>
        </w:rPr>
        <w:t xml:space="preserve"> </w:t>
      </w:r>
      <w:r w:rsidR="000E0CAF" w:rsidRPr="00850D17">
        <w:rPr>
          <w:lang w:val="fr-CH"/>
        </w:rPr>
        <w:t>L</w:t>
      </w:r>
      <w:r w:rsidR="00AF0041" w:rsidRPr="00850D17">
        <w:rPr>
          <w:lang w:val="fr-CH"/>
        </w:rPr>
        <w:t xml:space="preserve">a société civile </w:t>
      </w:r>
      <w:r w:rsidR="000E0CAF" w:rsidRPr="00850D17">
        <w:rPr>
          <w:lang w:val="fr-CH"/>
        </w:rPr>
        <w:t>a</w:t>
      </w:r>
      <w:r w:rsidR="00AF0041" w:rsidRPr="00850D17">
        <w:rPr>
          <w:lang w:val="fr-CH"/>
        </w:rPr>
        <w:t xml:space="preserve"> </w:t>
      </w:r>
      <w:r w:rsidR="001F2B16" w:rsidRPr="00850D17">
        <w:rPr>
          <w:lang w:val="fr-CH"/>
        </w:rPr>
        <w:t xml:space="preserve">ainsi </w:t>
      </w:r>
      <w:r w:rsidR="000E0CAF" w:rsidRPr="00850D17">
        <w:rPr>
          <w:lang w:val="fr-CH"/>
        </w:rPr>
        <w:t>formulé</w:t>
      </w:r>
      <w:r w:rsidR="00AF0041" w:rsidRPr="00850D17">
        <w:rPr>
          <w:lang w:val="fr-CH"/>
        </w:rPr>
        <w:t xml:space="preserve"> des recommandations </w:t>
      </w:r>
      <w:r w:rsidR="00621832">
        <w:rPr>
          <w:lang w:val="fr-CH"/>
        </w:rPr>
        <w:t>à l</w:t>
      </w:r>
      <w:r w:rsidR="00621832" w:rsidRPr="00621832">
        <w:rPr>
          <w:lang w:val="fr-CH"/>
        </w:rPr>
        <w:t>’</w:t>
      </w:r>
      <w:r w:rsidR="00621832">
        <w:rPr>
          <w:lang w:val="fr-CH"/>
        </w:rPr>
        <w:t>intention d</w:t>
      </w:r>
      <w:r w:rsidR="00621832" w:rsidRPr="00850D17">
        <w:rPr>
          <w:lang w:val="fr-CH"/>
        </w:rPr>
        <w:t xml:space="preserve">u </w:t>
      </w:r>
      <w:r w:rsidR="00621832">
        <w:rPr>
          <w:lang w:val="fr-CH"/>
        </w:rPr>
        <w:t>G</w:t>
      </w:r>
      <w:r w:rsidR="00621832" w:rsidRPr="00850D17">
        <w:rPr>
          <w:lang w:val="fr-CH"/>
        </w:rPr>
        <w:t xml:space="preserve">ouvernement </w:t>
      </w:r>
      <w:r w:rsidR="00AF0041" w:rsidRPr="00850D17">
        <w:rPr>
          <w:lang w:val="fr-CH"/>
        </w:rPr>
        <w:t>pour la prise en compte des besoins des communautés locales dans les zones d’exploitation de ressources naturelles</w:t>
      </w:r>
      <w:r w:rsidR="008D79B5" w:rsidRPr="00850D17">
        <w:rPr>
          <w:lang w:val="fr-CH"/>
        </w:rPr>
        <w:t>. Ces recommandations ont mis en lumière l’</w:t>
      </w:r>
      <w:r w:rsidR="00B10D82" w:rsidRPr="00850D17">
        <w:rPr>
          <w:lang w:val="fr-CH"/>
        </w:rPr>
        <w:t>insuffisance</w:t>
      </w:r>
      <w:r w:rsidR="008D79B5" w:rsidRPr="00850D17">
        <w:rPr>
          <w:lang w:val="fr-CH"/>
        </w:rPr>
        <w:t xml:space="preserve"> </w:t>
      </w:r>
      <w:r w:rsidRPr="00850D17">
        <w:rPr>
          <w:lang w:val="fr-CH"/>
        </w:rPr>
        <w:t>de</w:t>
      </w:r>
      <w:r w:rsidR="002D4265">
        <w:rPr>
          <w:lang w:val="fr-CH"/>
        </w:rPr>
        <w:t>s</w:t>
      </w:r>
      <w:r w:rsidRPr="00850D17">
        <w:rPr>
          <w:lang w:val="fr-CH"/>
        </w:rPr>
        <w:t xml:space="preserve"> consultation</w:t>
      </w:r>
      <w:r w:rsidR="008D79B5" w:rsidRPr="00850D17">
        <w:rPr>
          <w:lang w:val="fr-CH"/>
        </w:rPr>
        <w:t>s</w:t>
      </w:r>
      <w:r w:rsidRPr="00850D17">
        <w:rPr>
          <w:lang w:val="fr-CH"/>
        </w:rPr>
        <w:t xml:space="preserve"> </w:t>
      </w:r>
      <w:r w:rsidR="009B27EC" w:rsidRPr="00850D17">
        <w:rPr>
          <w:lang w:val="fr-CH"/>
        </w:rPr>
        <w:t xml:space="preserve">auprès </w:t>
      </w:r>
      <w:r w:rsidRPr="00850D17">
        <w:rPr>
          <w:lang w:val="fr-CH"/>
        </w:rPr>
        <w:t xml:space="preserve">des communautés locales </w:t>
      </w:r>
      <w:r w:rsidR="001F2B16" w:rsidRPr="00850D17">
        <w:rPr>
          <w:lang w:val="fr-CH"/>
        </w:rPr>
        <w:t>quant</w:t>
      </w:r>
      <w:r w:rsidRPr="00850D17">
        <w:rPr>
          <w:lang w:val="fr-CH"/>
        </w:rPr>
        <w:t xml:space="preserve"> </w:t>
      </w:r>
      <w:r w:rsidR="001F2B16" w:rsidRPr="00850D17">
        <w:rPr>
          <w:lang w:val="fr-CH"/>
        </w:rPr>
        <w:t xml:space="preserve">à </w:t>
      </w:r>
      <w:r w:rsidRPr="00850D17">
        <w:rPr>
          <w:lang w:val="fr-CH"/>
        </w:rPr>
        <w:t>le</w:t>
      </w:r>
      <w:r w:rsidR="008D79B5" w:rsidRPr="00850D17">
        <w:rPr>
          <w:lang w:val="fr-CH"/>
        </w:rPr>
        <w:t>ur</w:t>
      </w:r>
      <w:r w:rsidRPr="00850D17">
        <w:rPr>
          <w:lang w:val="fr-CH"/>
        </w:rPr>
        <w:t xml:space="preserve"> développement </w:t>
      </w:r>
      <w:r w:rsidR="008D79B5" w:rsidRPr="00850D17">
        <w:rPr>
          <w:lang w:val="fr-CH"/>
        </w:rPr>
        <w:t>et</w:t>
      </w:r>
      <w:r w:rsidRPr="00850D17">
        <w:rPr>
          <w:lang w:val="fr-CH"/>
        </w:rPr>
        <w:t xml:space="preserve"> </w:t>
      </w:r>
      <w:r w:rsidR="001F2B16" w:rsidRPr="00850D17">
        <w:rPr>
          <w:lang w:val="fr-CH"/>
        </w:rPr>
        <w:t xml:space="preserve">à </w:t>
      </w:r>
      <w:r w:rsidRPr="00850D17">
        <w:rPr>
          <w:lang w:val="fr-CH"/>
        </w:rPr>
        <w:t>la jouissance de leurs droits économiques</w:t>
      </w:r>
      <w:r w:rsidR="007F1EE6" w:rsidRPr="00850D17">
        <w:rPr>
          <w:lang w:val="fr-CH"/>
        </w:rPr>
        <w:t xml:space="preserve"> et </w:t>
      </w:r>
      <w:r w:rsidRPr="00850D17">
        <w:rPr>
          <w:lang w:val="fr-CH"/>
        </w:rPr>
        <w:t xml:space="preserve">sociaux. </w:t>
      </w:r>
      <w:r w:rsidR="006632CF" w:rsidRPr="00850D17">
        <w:rPr>
          <w:lang w:val="fr-CH"/>
        </w:rPr>
        <w:t xml:space="preserve">L’adoption du nouveau Code est toujours attendue. </w:t>
      </w:r>
    </w:p>
    <w:p w:rsidR="00851EB5" w:rsidRPr="00850D17" w:rsidRDefault="00F66818" w:rsidP="005C5CD7">
      <w:pPr>
        <w:pStyle w:val="SingleTxtG"/>
        <w:numPr>
          <w:ilvl w:val="0"/>
          <w:numId w:val="7"/>
        </w:numPr>
        <w:tabs>
          <w:tab w:val="left" w:pos="1134"/>
        </w:tabs>
        <w:ind w:left="1134" w:firstLine="0"/>
        <w:rPr>
          <w:lang w:val="fr-CH"/>
        </w:rPr>
      </w:pPr>
      <w:r w:rsidRPr="00850D17">
        <w:rPr>
          <w:lang w:val="fr-CH"/>
        </w:rPr>
        <w:t>Le</w:t>
      </w:r>
      <w:r w:rsidR="00934F8E" w:rsidRPr="00850D17">
        <w:rPr>
          <w:lang w:val="fr-CH"/>
        </w:rPr>
        <w:t xml:space="preserve"> DSCRP 2011-201</w:t>
      </w:r>
      <w:r w:rsidR="00A40788" w:rsidRPr="00850D17">
        <w:rPr>
          <w:lang w:val="fr-CH"/>
        </w:rPr>
        <w:t>5</w:t>
      </w:r>
      <w:r w:rsidR="00934F8E" w:rsidRPr="00850D17">
        <w:rPr>
          <w:lang w:val="fr-CH"/>
        </w:rPr>
        <w:t xml:space="preserve"> </w:t>
      </w:r>
      <w:r w:rsidRPr="00850D17">
        <w:rPr>
          <w:lang w:val="fr-CH"/>
        </w:rPr>
        <w:t xml:space="preserve">cible </w:t>
      </w:r>
      <w:r w:rsidR="000E0CAF" w:rsidRPr="00850D17">
        <w:rPr>
          <w:lang w:val="fr-CH"/>
        </w:rPr>
        <w:t xml:space="preserve">aussi </w:t>
      </w:r>
      <w:r w:rsidR="00467519" w:rsidRPr="00850D17">
        <w:rPr>
          <w:lang w:val="fr-CH"/>
        </w:rPr>
        <w:t xml:space="preserve">l’amélioration de la gestion du secteur </w:t>
      </w:r>
      <w:r w:rsidR="00934F8E" w:rsidRPr="00850D17">
        <w:rPr>
          <w:lang w:val="fr-CH"/>
        </w:rPr>
        <w:t xml:space="preserve">minier </w:t>
      </w:r>
      <w:r w:rsidR="00467519" w:rsidRPr="00850D17">
        <w:rPr>
          <w:lang w:val="fr-CH"/>
        </w:rPr>
        <w:t>pour un développement durable d</w:t>
      </w:r>
      <w:r w:rsidR="00934F8E" w:rsidRPr="00850D17">
        <w:rPr>
          <w:lang w:val="fr-CH"/>
        </w:rPr>
        <w:t>u</w:t>
      </w:r>
      <w:r w:rsidR="00467519" w:rsidRPr="00850D17">
        <w:rPr>
          <w:lang w:val="fr-CH"/>
        </w:rPr>
        <w:t xml:space="preserve"> volet social</w:t>
      </w:r>
      <w:r w:rsidRPr="00850D17">
        <w:rPr>
          <w:lang w:val="fr-CH"/>
        </w:rPr>
        <w:t xml:space="preserve">. De 2012 à 2014, </w:t>
      </w:r>
      <w:r w:rsidR="00467519" w:rsidRPr="00850D17">
        <w:rPr>
          <w:lang w:val="fr-CH"/>
        </w:rPr>
        <w:t>Cordaid a appuyé les communautés locales de Kolwezi et Fungurume (Province du Katanga) pour l’élaboration de leurs plans de développement loca</w:t>
      </w:r>
      <w:r w:rsidR="005F70CD">
        <w:rPr>
          <w:lang w:val="fr-CH"/>
        </w:rPr>
        <w:t>ux</w:t>
      </w:r>
      <w:r w:rsidR="00467519" w:rsidRPr="00850D17">
        <w:rPr>
          <w:lang w:val="fr-CH"/>
        </w:rPr>
        <w:t xml:space="preserve"> </w:t>
      </w:r>
      <w:r w:rsidRPr="00850D17">
        <w:rPr>
          <w:lang w:val="fr-CH"/>
        </w:rPr>
        <w:t xml:space="preserve">pour </w:t>
      </w:r>
      <w:r w:rsidR="00467519" w:rsidRPr="00850D17">
        <w:rPr>
          <w:lang w:val="fr-CH"/>
        </w:rPr>
        <w:t>2016-2020 et 2015-2019</w:t>
      </w:r>
      <w:r w:rsidR="001F2B16" w:rsidRPr="00850D17">
        <w:rPr>
          <w:lang w:val="fr-CH"/>
        </w:rPr>
        <w:t xml:space="preserve"> respectivement</w:t>
      </w:r>
      <w:r w:rsidR="00467519" w:rsidRPr="00850D17">
        <w:rPr>
          <w:lang w:val="fr-CH"/>
        </w:rPr>
        <w:t xml:space="preserve">. Ces plans </w:t>
      </w:r>
      <w:r w:rsidRPr="00850D17">
        <w:rPr>
          <w:lang w:val="fr-CH"/>
        </w:rPr>
        <w:t xml:space="preserve">visent à </w:t>
      </w:r>
      <w:r w:rsidR="00467519" w:rsidRPr="00850D17">
        <w:rPr>
          <w:lang w:val="fr-CH"/>
        </w:rPr>
        <w:t xml:space="preserve">établir un dialogue constructif entre les communautés, les compagnies Kamoa Copper SA et Tenke Fungurume Mining et les autorités </w:t>
      </w:r>
      <w:r w:rsidR="008D79B5" w:rsidRPr="00850D17">
        <w:rPr>
          <w:lang w:val="fr-CH"/>
        </w:rPr>
        <w:t xml:space="preserve">locales </w:t>
      </w:r>
      <w:r w:rsidR="009F4580" w:rsidRPr="00850D17">
        <w:rPr>
          <w:lang w:val="fr-CH"/>
        </w:rPr>
        <w:t>afin de tenir</w:t>
      </w:r>
      <w:r w:rsidR="00467519" w:rsidRPr="00850D17">
        <w:rPr>
          <w:lang w:val="fr-CH"/>
        </w:rPr>
        <w:t xml:space="preserve"> compte des priorités de développement </w:t>
      </w:r>
      <w:r w:rsidRPr="00850D17">
        <w:rPr>
          <w:lang w:val="fr-CH"/>
        </w:rPr>
        <w:t xml:space="preserve">et </w:t>
      </w:r>
      <w:r w:rsidR="00FE0F5B" w:rsidRPr="00850D17">
        <w:rPr>
          <w:lang w:val="fr-CH"/>
        </w:rPr>
        <w:t xml:space="preserve">de </w:t>
      </w:r>
      <w:r w:rsidRPr="00850D17">
        <w:rPr>
          <w:lang w:val="fr-CH"/>
        </w:rPr>
        <w:t>protéger les droits économiques</w:t>
      </w:r>
      <w:r w:rsidR="00506FF9" w:rsidRPr="00850D17">
        <w:rPr>
          <w:lang w:val="fr-CH"/>
        </w:rPr>
        <w:t xml:space="preserve"> et sociaux des communautés</w:t>
      </w:r>
      <w:r w:rsidR="00467519" w:rsidRPr="00850D17">
        <w:rPr>
          <w:lang w:val="fr-CH"/>
        </w:rPr>
        <w:t xml:space="preserve">. </w:t>
      </w:r>
    </w:p>
    <w:p w:rsidR="00467519" w:rsidRPr="00850D17" w:rsidRDefault="000E0CAF" w:rsidP="00CC31BF">
      <w:pPr>
        <w:pStyle w:val="SingleTxtG"/>
        <w:numPr>
          <w:ilvl w:val="0"/>
          <w:numId w:val="7"/>
        </w:numPr>
        <w:tabs>
          <w:tab w:val="left" w:pos="1134"/>
        </w:tabs>
        <w:ind w:left="1134" w:firstLine="0"/>
        <w:rPr>
          <w:lang w:val="fr-CH"/>
        </w:rPr>
      </w:pPr>
      <w:r w:rsidRPr="00850D17">
        <w:rPr>
          <w:lang w:val="fr-CH"/>
        </w:rPr>
        <w:t>La</w:t>
      </w:r>
      <w:r w:rsidR="008D79B5" w:rsidRPr="00850D17">
        <w:rPr>
          <w:lang w:val="fr-CH"/>
        </w:rPr>
        <w:t xml:space="preserve"> sensibilisation d</w:t>
      </w:r>
      <w:r w:rsidR="00467519" w:rsidRPr="00850D17">
        <w:rPr>
          <w:lang w:val="fr-CH"/>
        </w:rPr>
        <w:t>es acteurs nationaux</w:t>
      </w:r>
      <w:r w:rsidR="008D79B5" w:rsidRPr="00850D17">
        <w:rPr>
          <w:lang w:val="fr-CH"/>
        </w:rPr>
        <w:t>, d</w:t>
      </w:r>
      <w:r w:rsidR="00F66818" w:rsidRPr="00850D17">
        <w:rPr>
          <w:lang w:val="fr-CH"/>
        </w:rPr>
        <w:t>es communautés locales</w:t>
      </w:r>
      <w:r w:rsidR="00467519" w:rsidRPr="00850D17">
        <w:rPr>
          <w:lang w:val="fr-CH"/>
        </w:rPr>
        <w:t xml:space="preserve"> et </w:t>
      </w:r>
      <w:r w:rsidR="008D79B5" w:rsidRPr="00850D17">
        <w:rPr>
          <w:lang w:val="fr-CH"/>
        </w:rPr>
        <w:t>d</w:t>
      </w:r>
      <w:r w:rsidR="00F66818" w:rsidRPr="00850D17">
        <w:rPr>
          <w:lang w:val="fr-CH"/>
        </w:rPr>
        <w:t xml:space="preserve">es </w:t>
      </w:r>
      <w:r w:rsidR="00467519" w:rsidRPr="00850D17">
        <w:rPr>
          <w:lang w:val="fr-CH"/>
        </w:rPr>
        <w:t xml:space="preserve">entreprises aux principes et </w:t>
      </w:r>
      <w:r w:rsidR="00646224">
        <w:rPr>
          <w:lang w:val="fr-CH"/>
        </w:rPr>
        <w:t>normes</w:t>
      </w:r>
      <w:r w:rsidR="00646224" w:rsidRPr="00850D17">
        <w:rPr>
          <w:lang w:val="fr-CH"/>
        </w:rPr>
        <w:t xml:space="preserve"> </w:t>
      </w:r>
      <w:r w:rsidR="00467519" w:rsidRPr="00850D17">
        <w:rPr>
          <w:lang w:val="fr-CH"/>
        </w:rPr>
        <w:t xml:space="preserve">des droits de l’homme dans </w:t>
      </w:r>
      <w:r w:rsidR="001F2B16" w:rsidRPr="00850D17">
        <w:rPr>
          <w:lang w:val="fr-CH"/>
        </w:rPr>
        <w:t xml:space="preserve">le cadre de </w:t>
      </w:r>
      <w:r w:rsidR="00467519" w:rsidRPr="00850D17">
        <w:rPr>
          <w:lang w:val="fr-CH"/>
        </w:rPr>
        <w:t>l’exploitation des ressources naturelles</w:t>
      </w:r>
      <w:r w:rsidR="001F2B16" w:rsidRPr="00850D17">
        <w:rPr>
          <w:lang w:val="fr-CH"/>
        </w:rPr>
        <w:t>,</w:t>
      </w:r>
      <w:r w:rsidR="00467519" w:rsidRPr="00850D17">
        <w:rPr>
          <w:lang w:val="fr-CH"/>
        </w:rPr>
        <w:t xml:space="preserve"> notamment </w:t>
      </w:r>
      <w:r w:rsidR="00646224">
        <w:rPr>
          <w:lang w:val="fr-CH"/>
        </w:rPr>
        <w:t>aux</w:t>
      </w:r>
      <w:r w:rsidR="00646224" w:rsidRPr="00850D17">
        <w:rPr>
          <w:lang w:val="fr-CH"/>
        </w:rPr>
        <w:t xml:space="preserve"> </w:t>
      </w:r>
      <w:r w:rsidR="00467519" w:rsidRPr="00850D17">
        <w:rPr>
          <w:lang w:val="fr-CH"/>
        </w:rPr>
        <w:t>principes de John Ruggie</w:t>
      </w:r>
      <w:r w:rsidR="00467519" w:rsidRPr="00850D17">
        <w:rPr>
          <w:rStyle w:val="FootnoteReference"/>
          <w:lang w:val="fr-CH"/>
        </w:rPr>
        <w:footnoteReference w:id="16"/>
      </w:r>
      <w:r w:rsidR="008D79B5" w:rsidRPr="00850D17">
        <w:rPr>
          <w:lang w:val="fr-CH"/>
        </w:rPr>
        <w:t>,</w:t>
      </w:r>
      <w:r w:rsidR="00F66818" w:rsidRPr="00850D17">
        <w:rPr>
          <w:lang w:val="fr-CH"/>
        </w:rPr>
        <w:t xml:space="preserve"> </w:t>
      </w:r>
      <w:r w:rsidR="008D79B5" w:rsidRPr="00850D17">
        <w:rPr>
          <w:lang w:val="fr-CH"/>
        </w:rPr>
        <w:t>devrait être accentuée</w:t>
      </w:r>
      <w:r w:rsidR="00467519" w:rsidRPr="00850D17">
        <w:rPr>
          <w:lang w:val="fr-CH"/>
        </w:rPr>
        <w:t xml:space="preserve">. </w:t>
      </w:r>
      <w:r w:rsidR="009B27EC" w:rsidRPr="00850D17">
        <w:rPr>
          <w:lang w:val="fr-CH"/>
        </w:rPr>
        <w:t>L</w:t>
      </w:r>
      <w:r w:rsidR="008D0F0B" w:rsidRPr="00850D17">
        <w:rPr>
          <w:lang w:val="fr-CH"/>
        </w:rPr>
        <w:t>a communauté internationale</w:t>
      </w:r>
      <w:r w:rsidR="00EB7A2F" w:rsidRPr="00850D17">
        <w:rPr>
          <w:lang w:val="fr-CH"/>
        </w:rPr>
        <w:t xml:space="preserve"> </w:t>
      </w:r>
      <w:r w:rsidR="008D0F0B" w:rsidRPr="00850D17">
        <w:rPr>
          <w:lang w:val="fr-CH"/>
        </w:rPr>
        <w:t xml:space="preserve">devrait </w:t>
      </w:r>
      <w:r w:rsidR="00EB7A2F" w:rsidRPr="00850D17">
        <w:rPr>
          <w:lang w:val="fr-CH"/>
        </w:rPr>
        <w:t xml:space="preserve">faire des droits </w:t>
      </w:r>
      <w:r w:rsidR="00DC6D66" w:rsidRPr="00850D17">
        <w:rPr>
          <w:lang w:val="fr-CH"/>
        </w:rPr>
        <w:t>économiques</w:t>
      </w:r>
      <w:r w:rsidR="00EB7A2F" w:rsidRPr="00850D17">
        <w:rPr>
          <w:lang w:val="fr-CH"/>
        </w:rPr>
        <w:t xml:space="preserve"> et sociaux une priorité d</w:t>
      </w:r>
      <w:r w:rsidR="0012008D" w:rsidRPr="00850D17">
        <w:rPr>
          <w:lang w:val="fr-CH"/>
        </w:rPr>
        <w:t>’</w:t>
      </w:r>
      <w:r w:rsidR="00EB7A2F" w:rsidRPr="00850D17">
        <w:rPr>
          <w:lang w:val="fr-CH"/>
        </w:rPr>
        <w:t xml:space="preserve">intervention, y compris en apportant </w:t>
      </w:r>
      <w:r w:rsidR="008D0F0B" w:rsidRPr="00850D17">
        <w:rPr>
          <w:lang w:val="fr-CH"/>
        </w:rPr>
        <w:t xml:space="preserve">l’assistance </w:t>
      </w:r>
      <w:r w:rsidR="00DC6D66" w:rsidRPr="00850D17">
        <w:rPr>
          <w:lang w:val="fr-CH"/>
        </w:rPr>
        <w:t>nécessaire</w:t>
      </w:r>
      <w:r w:rsidR="00EB7A2F" w:rsidRPr="00850D17">
        <w:rPr>
          <w:lang w:val="fr-CH"/>
        </w:rPr>
        <w:t xml:space="preserve"> </w:t>
      </w:r>
      <w:r w:rsidR="008D0F0B" w:rsidRPr="00850D17">
        <w:rPr>
          <w:lang w:val="fr-CH"/>
        </w:rPr>
        <w:t xml:space="preserve">dans </w:t>
      </w:r>
      <w:r w:rsidR="00DC6D66" w:rsidRPr="00850D17">
        <w:rPr>
          <w:lang w:val="fr-CH"/>
        </w:rPr>
        <w:t>ce</w:t>
      </w:r>
      <w:r w:rsidR="008D0F0B" w:rsidRPr="00850D17">
        <w:rPr>
          <w:lang w:val="fr-CH"/>
        </w:rPr>
        <w:t xml:space="preserve"> domaine </w:t>
      </w:r>
      <w:r w:rsidR="00EB7A2F" w:rsidRPr="00850D17">
        <w:rPr>
          <w:lang w:val="fr-CH"/>
        </w:rPr>
        <w:t>à toutes les parties concernées. Par ailleurs, elle devra</w:t>
      </w:r>
      <w:r w:rsidR="00E07925" w:rsidRPr="00850D17">
        <w:rPr>
          <w:lang w:val="fr-CH"/>
        </w:rPr>
        <w:t xml:space="preserve"> continuer à appuyer le </w:t>
      </w:r>
      <w:r w:rsidR="00621832">
        <w:rPr>
          <w:lang w:val="fr-CH"/>
        </w:rPr>
        <w:t>G</w:t>
      </w:r>
      <w:r w:rsidR="00851EB5" w:rsidRPr="00850D17">
        <w:rPr>
          <w:lang w:val="fr-CH"/>
        </w:rPr>
        <w:t>ouvernement</w:t>
      </w:r>
      <w:r w:rsidR="00E07925" w:rsidRPr="00850D17">
        <w:rPr>
          <w:lang w:val="fr-CH"/>
        </w:rPr>
        <w:t xml:space="preserve"> pour combattre les groupes armés qui sont à l</w:t>
      </w:r>
      <w:r w:rsidR="0012008D" w:rsidRPr="00850D17">
        <w:rPr>
          <w:lang w:val="fr-CH"/>
        </w:rPr>
        <w:t>’</w:t>
      </w:r>
      <w:r w:rsidR="00E07925" w:rsidRPr="00850D17">
        <w:rPr>
          <w:lang w:val="fr-CH"/>
        </w:rPr>
        <w:t>origine de l</w:t>
      </w:r>
      <w:r w:rsidR="0012008D" w:rsidRPr="00850D17">
        <w:rPr>
          <w:lang w:val="fr-CH"/>
        </w:rPr>
        <w:t>’</w:t>
      </w:r>
      <w:r w:rsidR="00E07925" w:rsidRPr="00850D17">
        <w:rPr>
          <w:lang w:val="fr-CH"/>
        </w:rPr>
        <w:t>exploitation illégale des ressources et de la précarité extrême dans laquelle est plongée la population</w:t>
      </w:r>
      <w:r w:rsidR="008D0F0B" w:rsidRPr="00850D17">
        <w:rPr>
          <w:lang w:val="fr-CH"/>
        </w:rPr>
        <w:t>.</w:t>
      </w:r>
    </w:p>
    <w:p w:rsidR="00594D0C" w:rsidRPr="00850D17" w:rsidRDefault="006C22D5" w:rsidP="00101FE5">
      <w:pPr>
        <w:pStyle w:val="HChG"/>
        <w:rPr>
          <w:rFonts w:eastAsia="SimSun"/>
          <w:lang w:val="fr-CH"/>
        </w:rPr>
      </w:pPr>
      <w:r w:rsidRPr="00850D17">
        <w:rPr>
          <w:rFonts w:eastAsia="SimSun"/>
          <w:lang w:val="fr-CH"/>
        </w:rPr>
        <w:tab/>
      </w:r>
      <w:r w:rsidR="00927C57" w:rsidRPr="00850D17">
        <w:rPr>
          <w:rFonts w:eastAsia="SimSun"/>
          <w:lang w:val="fr-CH"/>
        </w:rPr>
        <w:t>V.</w:t>
      </w:r>
      <w:r w:rsidR="00927C57" w:rsidRPr="00850D17">
        <w:rPr>
          <w:rFonts w:eastAsia="SimSun"/>
          <w:lang w:val="fr-CH"/>
        </w:rPr>
        <w:tab/>
      </w:r>
      <w:r w:rsidR="00594D0C" w:rsidRPr="00850D17">
        <w:rPr>
          <w:rFonts w:eastAsia="SimSun"/>
          <w:lang w:val="fr-CH"/>
        </w:rPr>
        <w:t>Prise en compte de</w:t>
      </w:r>
      <w:r w:rsidR="00150B92" w:rsidRPr="00850D17">
        <w:rPr>
          <w:rFonts w:eastAsia="SimSun"/>
          <w:lang w:val="fr-CH"/>
        </w:rPr>
        <w:t>s questions de</w:t>
      </w:r>
      <w:r w:rsidR="00594D0C" w:rsidRPr="00850D17">
        <w:rPr>
          <w:rFonts w:eastAsia="SimSun"/>
          <w:lang w:val="fr-CH"/>
        </w:rPr>
        <w:t xml:space="preserve"> genre</w:t>
      </w:r>
    </w:p>
    <w:p w:rsidR="0011072C" w:rsidRPr="00850D17" w:rsidRDefault="00B5690F" w:rsidP="00C36970">
      <w:pPr>
        <w:pStyle w:val="SingleTxtG"/>
        <w:numPr>
          <w:ilvl w:val="0"/>
          <w:numId w:val="7"/>
        </w:numPr>
        <w:tabs>
          <w:tab w:val="left" w:pos="1134"/>
        </w:tabs>
        <w:ind w:left="1134" w:firstLine="0"/>
        <w:rPr>
          <w:lang w:val="fr-CH"/>
        </w:rPr>
      </w:pPr>
      <w:r w:rsidRPr="00850D17">
        <w:rPr>
          <w:lang w:val="fr-CH"/>
        </w:rPr>
        <w:t xml:space="preserve">Les </w:t>
      </w:r>
      <w:r w:rsidR="00142BF5" w:rsidRPr="00850D17">
        <w:rPr>
          <w:lang w:val="fr-CH"/>
        </w:rPr>
        <w:t>DSCRP 2006</w:t>
      </w:r>
      <w:r w:rsidR="005429F8" w:rsidRPr="00850D17">
        <w:rPr>
          <w:lang w:val="fr-CH"/>
        </w:rPr>
        <w:t xml:space="preserve"> et 2011-2015</w:t>
      </w:r>
      <w:r w:rsidR="00150B92" w:rsidRPr="00850D17">
        <w:rPr>
          <w:lang w:val="fr-CH"/>
        </w:rPr>
        <w:t xml:space="preserve"> ont re</w:t>
      </w:r>
      <w:r w:rsidR="0060752D" w:rsidRPr="00850D17">
        <w:rPr>
          <w:lang w:val="fr-CH"/>
        </w:rPr>
        <w:t>levé</w:t>
      </w:r>
      <w:r w:rsidR="00150B92" w:rsidRPr="00850D17">
        <w:rPr>
          <w:lang w:val="fr-CH"/>
        </w:rPr>
        <w:t xml:space="preserve"> </w:t>
      </w:r>
      <w:r w:rsidR="0011072C" w:rsidRPr="00850D17">
        <w:rPr>
          <w:lang w:val="fr-CH"/>
        </w:rPr>
        <w:t>l’impact négatif de</w:t>
      </w:r>
      <w:r w:rsidR="00150B92" w:rsidRPr="00850D17">
        <w:rPr>
          <w:lang w:val="fr-CH"/>
        </w:rPr>
        <w:t xml:space="preserve"> </w:t>
      </w:r>
      <w:r w:rsidR="00142BF5" w:rsidRPr="00850D17">
        <w:rPr>
          <w:lang w:val="fr-CH"/>
        </w:rPr>
        <w:t>l</w:t>
      </w:r>
      <w:r w:rsidR="00CA62F8" w:rsidRPr="00850D17">
        <w:rPr>
          <w:lang w:val="fr-CH"/>
        </w:rPr>
        <w:t xml:space="preserve">a situation socio-politique </w:t>
      </w:r>
      <w:r w:rsidR="0011072C" w:rsidRPr="00850D17">
        <w:rPr>
          <w:lang w:val="fr-CH"/>
        </w:rPr>
        <w:t>en</w:t>
      </w:r>
      <w:r w:rsidR="00CA62F8" w:rsidRPr="00850D17">
        <w:rPr>
          <w:lang w:val="fr-CH"/>
        </w:rPr>
        <w:t xml:space="preserve"> </w:t>
      </w:r>
      <w:r w:rsidR="00224983" w:rsidRPr="00850D17">
        <w:rPr>
          <w:lang w:val="fr-CH"/>
        </w:rPr>
        <w:t xml:space="preserve">République démocratique du Congo </w:t>
      </w:r>
      <w:r w:rsidR="00CA62F8" w:rsidRPr="00850D17">
        <w:rPr>
          <w:lang w:val="fr-CH"/>
        </w:rPr>
        <w:t>sur le</w:t>
      </w:r>
      <w:r w:rsidR="00225F7C" w:rsidRPr="00850D17">
        <w:rPr>
          <w:lang w:val="fr-CH"/>
        </w:rPr>
        <w:t xml:space="preserve">s questions de </w:t>
      </w:r>
      <w:r w:rsidR="00CA62F8" w:rsidRPr="00850D17">
        <w:rPr>
          <w:lang w:val="fr-CH"/>
        </w:rPr>
        <w:t>genre</w:t>
      </w:r>
      <w:r w:rsidR="005429F8" w:rsidRPr="00850D17">
        <w:rPr>
          <w:lang w:val="fr-CH"/>
        </w:rPr>
        <w:t xml:space="preserve">. </w:t>
      </w:r>
      <w:r w:rsidR="00CA62F8" w:rsidRPr="00850D17">
        <w:rPr>
          <w:lang w:val="fr-CH"/>
        </w:rPr>
        <w:t xml:space="preserve">Avec l’appui de la communauté internationale, le </w:t>
      </w:r>
      <w:r w:rsidR="00621832">
        <w:rPr>
          <w:lang w:val="fr-CH"/>
        </w:rPr>
        <w:t>G</w:t>
      </w:r>
      <w:r w:rsidR="00621832" w:rsidRPr="00850D17">
        <w:rPr>
          <w:lang w:val="fr-CH"/>
        </w:rPr>
        <w:t xml:space="preserve">ouvernement </w:t>
      </w:r>
      <w:r w:rsidR="00CA62F8" w:rsidRPr="00850D17">
        <w:rPr>
          <w:lang w:val="fr-CH"/>
        </w:rPr>
        <w:t xml:space="preserve">a œuvré à la réduction de la vulnérabilité de la femme du point de vue </w:t>
      </w:r>
      <w:r w:rsidR="00D22574" w:rsidRPr="00850D17">
        <w:rPr>
          <w:lang w:val="fr-CH"/>
        </w:rPr>
        <w:t>juridique</w:t>
      </w:r>
      <w:r w:rsidR="00CA62F8" w:rsidRPr="00850D17">
        <w:rPr>
          <w:lang w:val="fr-CH"/>
        </w:rPr>
        <w:t xml:space="preserve"> et institutionnel. </w:t>
      </w:r>
    </w:p>
    <w:p w:rsidR="00026DCD" w:rsidRPr="00850D17" w:rsidRDefault="00FD5C7A" w:rsidP="00C36970">
      <w:pPr>
        <w:pStyle w:val="SingleTxtG"/>
        <w:numPr>
          <w:ilvl w:val="0"/>
          <w:numId w:val="7"/>
        </w:numPr>
        <w:tabs>
          <w:tab w:val="left" w:pos="1134"/>
        </w:tabs>
        <w:ind w:left="1134" w:firstLine="0"/>
        <w:rPr>
          <w:lang w:val="fr-CH"/>
        </w:rPr>
      </w:pPr>
      <w:r w:rsidRPr="00850D17">
        <w:rPr>
          <w:lang w:val="fr-CH"/>
        </w:rPr>
        <w:t>L</w:t>
      </w:r>
      <w:r w:rsidR="00CA62F8" w:rsidRPr="00850D17">
        <w:rPr>
          <w:lang w:val="fr-CH"/>
        </w:rPr>
        <w:t>’application de la loi sur les violences sexuelles de 2006</w:t>
      </w:r>
      <w:r w:rsidRPr="00850D17">
        <w:rPr>
          <w:lang w:val="fr-CH"/>
        </w:rPr>
        <w:t xml:space="preserve"> a été renforcée</w:t>
      </w:r>
      <w:r w:rsidR="00163898" w:rsidRPr="00850D17">
        <w:rPr>
          <w:lang w:val="fr-CH"/>
        </w:rPr>
        <w:t xml:space="preserve"> par les acteurs de la justice et les forces de défense et de sécurité</w:t>
      </w:r>
      <w:r w:rsidR="00CA62F8" w:rsidRPr="00850D17">
        <w:rPr>
          <w:lang w:val="fr-CH"/>
        </w:rPr>
        <w:t xml:space="preserve">. </w:t>
      </w:r>
      <w:r w:rsidRPr="00850D17">
        <w:rPr>
          <w:lang w:val="fr-CH"/>
        </w:rPr>
        <w:t xml:space="preserve">La </w:t>
      </w:r>
      <w:r w:rsidR="00FE655E">
        <w:rPr>
          <w:lang w:val="fr-CH"/>
        </w:rPr>
        <w:t>p</w:t>
      </w:r>
      <w:r w:rsidRPr="00850D17">
        <w:rPr>
          <w:lang w:val="fr-CH"/>
        </w:rPr>
        <w:t xml:space="preserve">olitique </w:t>
      </w:r>
      <w:r w:rsidR="00150B92" w:rsidRPr="00850D17">
        <w:rPr>
          <w:lang w:val="fr-CH"/>
        </w:rPr>
        <w:t>n</w:t>
      </w:r>
      <w:r w:rsidRPr="00850D17">
        <w:rPr>
          <w:lang w:val="fr-CH"/>
        </w:rPr>
        <w:t xml:space="preserve">ationale </w:t>
      </w:r>
      <w:r w:rsidR="00150B92" w:rsidRPr="00850D17">
        <w:rPr>
          <w:lang w:val="fr-CH"/>
        </w:rPr>
        <w:t>g</w:t>
      </w:r>
      <w:r w:rsidRPr="00850D17">
        <w:rPr>
          <w:lang w:val="fr-CH"/>
        </w:rPr>
        <w:t xml:space="preserve">enre et son plan d’action ont été adoptés en 2009 et </w:t>
      </w:r>
      <w:r w:rsidR="00C20C7B" w:rsidRPr="00850D17">
        <w:rPr>
          <w:lang w:val="fr-CH"/>
        </w:rPr>
        <w:t xml:space="preserve">intégrés </w:t>
      </w:r>
      <w:r w:rsidR="00D22574" w:rsidRPr="00850D17">
        <w:rPr>
          <w:lang w:val="fr-CH"/>
        </w:rPr>
        <w:t>à</w:t>
      </w:r>
      <w:r w:rsidR="00C20C7B" w:rsidRPr="00850D17">
        <w:rPr>
          <w:lang w:val="fr-CH"/>
        </w:rPr>
        <w:t xml:space="preserve"> </w:t>
      </w:r>
      <w:r w:rsidRPr="00850D17">
        <w:rPr>
          <w:lang w:val="fr-CH"/>
        </w:rPr>
        <w:t xml:space="preserve">la </w:t>
      </w:r>
      <w:r w:rsidR="00FE655E">
        <w:rPr>
          <w:lang w:val="fr-CH"/>
        </w:rPr>
        <w:t>s</w:t>
      </w:r>
      <w:r w:rsidRPr="00850D17">
        <w:rPr>
          <w:lang w:val="fr-CH"/>
        </w:rPr>
        <w:t xml:space="preserve">tratégie </w:t>
      </w:r>
      <w:r w:rsidR="00150B92" w:rsidRPr="00850D17">
        <w:rPr>
          <w:lang w:val="fr-CH"/>
        </w:rPr>
        <w:t>n</w:t>
      </w:r>
      <w:r w:rsidRPr="00850D17">
        <w:rPr>
          <w:lang w:val="fr-CH"/>
        </w:rPr>
        <w:t xml:space="preserve">ationale de </w:t>
      </w:r>
      <w:r w:rsidR="00150B92" w:rsidRPr="00850D17">
        <w:rPr>
          <w:lang w:val="fr-CH"/>
        </w:rPr>
        <w:t>l</w:t>
      </w:r>
      <w:r w:rsidRPr="00850D17">
        <w:rPr>
          <w:lang w:val="fr-CH"/>
        </w:rPr>
        <w:t xml:space="preserve">utte contre les </w:t>
      </w:r>
      <w:r w:rsidR="00150B92" w:rsidRPr="00850D17">
        <w:rPr>
          <w:lang w:val="fr-CH"/>
        </w:rPr>
        <w:t>v</w:t>
      </w:r>
      <w:r w:rsidRPr="00850D17">
        <w:rPr>
          <w:lang w:val="fr-CH"/>
        </w:rPr>
        <w:t xml:space="preserve">iolences basées sur le </w:t>
      </w:r>
      <w:r w:rsidR="00150B92" w:rsidRPr="00850D17">
        <w:rPr>
          <w:lang w:val="fr-CH"/>
        </w:rPr>
        <w:t>g</w:t>
      </w:r>
      <w:r w:rsidRPr="00850D17">
        <w:rPr>
          <w:lang w:val="fr-CH"/>
        </w:rPr>
        <w:t xml:space="preserve">enre. </w:t>
      </w:r>
      <w:r w:rsidR="00D36109" w:rsidRPr="00850D17">
        <w:rPr>
          <w:lang w:val="fr-CH"/>
        </w:rPr>
        <w:t xml:space="preserve">En 2010, le </w:t>
      </w:r>
      <w:r w:rsidR="00621832">
        <w:rPr>
          <w:lang w:val="fr-CH"/>
        </w:rPr>
        <w:t>G</w:t>
      </w:r>
      <w:r w:rsidR="00621832" w:rsidRPr="00850D17">
        <w:rPr>
          <w:lang w:val="fr-CH"/>
        </w:rPr>
        <w:t xml:space="preserve">ouvernement </w:t>
      </w:r>
      <w:r w:rsidR="00D36109" w:rsidRPr="00850D17">
        <w:rPr>
          <w:lang w:val="fr-CH"/>
        </w:rPr>
        <w:t xml:space="preserve">a adopté un </w:t>
      </w:r>
      <w:r w:rsidRPr="00850D17">
        <w:rPr>
          <w:lang w:val="fr-CH"/>
        </w:rPr>
        <w:t xml:space="preserve">plan de mise en œuvre de la résolution 1325 </w:t>
      </w:r>
      <w:r w:rsidR="00DC48E3">
        <w:rPr>
          <w:lang w:val="fr-CH"/>
        </w:rPr>
        <w:t xml:space="preserve">(2000) </w:t>
      </w:r>
      <w:r w:rsidRPr="00850D17">
        <w:rPr>
          <w:lang w:val="fr-CH"/>
        </w:rPr>
        <w:t xml:space="preserve">du Conseil de </w:t>
      </w:r>
      <w:r w:rsidR="00150B92" w:rsidRPr="00850D17">
        <w:rPr>
          <w:lang w:val="fr-CH"/>
        </w:rPr>
        <w:t>s</w:t>
      </w:r>
      <w:r w:rsidRPr="00850D17">
        <w:rPr>
          <w:lang w:val="fr-CH"/>
        </w:rPr>
        <w:t xml:space="preserve">écurité pour </w:t>
      </w:r>
      <w:r w:rsidR="00CA62F8" w:rsidRPr="00850D17">
        <w:rPr>
          <w:lang w:val="fr-CH"/>
        </w:rPr>
        <w:t xml:space="preserve">la participation et la représentation des femmes dans les processus de paix et </w:t>
      </w:r>
      <w:r w:rsidR="00FE655E">
        <w:rPr>
          <w:lang w:val="fr-CH"/>
        </w:rPr>
        <w:t xml:space="preserve">de </w:t>
      </w:r>
      <w:r w:rsidR="00CA62F8" w:rsidRPr="00850D17">
        <w:rPr>
          <w:lang w:val="fr-CH"/>
        </w:rPr>
        <w:t>sécurité</w:t>
      </w:r>
      <w:r w:rsidRPr="00850D17">
        <w:rPr>
          <w:lang w:val="fr-CH"/>
        </w:rPr>
        <w:t>.</w:t>
      </w:r>
      <w:r w:rsidR="0011072C" w:rsidRPr="00850D17">
        <w:rPr>
          <w:lang w:val="fr-CH"/>
        </w:rPr>
        <w:t xml:space="preserve"> </w:t>
      </w:r>
    </w:p>
    <w:p w:rsidR="00C51901" w:rsidRPr="00850D17" w:rsidRDefault="00C51901" w:rsidP="004A49E3">
      <w:pPr>
        <w:pStyle w:val="SingleTxtG"/>
        <w:numPr>
          <w:ilvl w:val="0"/>
          <w:numId w:val="7"/>
        </w:numPr>
        <w:tabs>
          <w:tab w:val="left" w:pos="1134"/>
        </w:tabs>
        <w:ind w:left="1134" w:firstLine="0"/>
        <w:rPr>
          <w:lang w:val="fr-CH"/>
        </w:rPr>
      </w:pPr>
      <w:r w:rsidRPr="00850D17">
        <w:rPr>
          <w:lang w:val="fr-CH"/>
        </w:rPr>
        <w:t xml:space="preserve">Conformément à la recommandation </w:t>
      </w:r>
      <w:r w:rsidR="00A516CB" w:rsidRPr="00850D17">
        <w:rPr>
          <w:lang w:val="fr-CH"/>
        </w:rPr>
        <w:t xml:space="preserve">de la </w:t>
      </w:r>
      <w:r w:rsidR="004A49E3" w:rsidRPr="00850D17">
        <w:rPr>
          <w:lang w:val="fr-CH"/>
        </w:rPr>
        <w:t>Représentante spéciale du Secrét</w:t>
      </w:r>
      <w:r w:rsidR="004A49E3">
        <w:rPr>
          <w:lang w:val="fr-CH"/>
        </w:rPr>
        <w:t>aire général</w:t>
      </w:r>
      <w:r w:rsidR="00A516CB" w:rsidRPr="00850D17">
        <w:rPr>
          <w:lang w:val="fr-CH"/>
        </w:rPr>
        <w:t xml:space="preserve"> chargée de la question des violences sexuelles </w:t>
      </w:r>
      <w:r w:rsidR="00D53C0D" w:rsidRPr="00850D17">
        <w:rPr>
          <w:lang w:val="fr-CH"/>
        </w:rPr>
        <w:t xml:space="preserve">commises </w:t>
      </w:r>
      <w:r w:rsidR="00A516CB" w:rsidRPr="00850D17">
        <w:rPr>
          <w:lang w:val="fr-CH"/>
        </w:rPr>
        <w:t xml:space="preserve">en </w:t>
      </w:r>
      <w:r w:rsidR="00D53C0D" w:rsidRPr="00850D17">
        <w:rPr>
          <w:lang w:val="fr-CH"/>
        </w:rPr>
        <w:t xml:space="preserve">période de </w:t>
      </w:r>
      <w:r w:rsidR="00A516CB" w:rsidRPr="00850D17">
        <w:rPr>
          <w:lang w:val="fr-CH"/>
        </w:rPr>
        <w:t>conflit</w:t>
      </w:r>
      <w:r w:rsidRPr="00850D17">
        <w:rPr>
          <w:lang w:val="fr-CH"/>
        </w:rPr>
        <w:t>, le plaidoyer de la communauté internationale a abouti</w:t>
      </w:r>
      <w:r w:rsidR="0011072C" w:rsidRPr="00850D17">
        <w:rPr>
          <w:lang w:val="fr-CH"/>
        </w:rPr>
        <w:t>,</w:t>
      </w:r>
      <w:r w:rsidR="00D22574" w:rsidRPr="00850D17">
        <w:rPr>
          <w:lang w:val="fr-CH"/>
        </w:rPr>
        <w:t xml:space="preserve"> en 2014</w:t>
      </w:r>
      <w:r w:rsidR="0011072C" w:rsidRPr="00850D17">
        <w:rPr>
          <w:lang w:val="fr-CH"/>
        </w:rPr>
        <w:t>,</w:t>
      </w:r>
      <w:r w:rsidRPr="00850D17">
        <w:rPr>
          <w:lang w:val="fr-CH"/>
        </w:rPr>
        <w:t xml:space="preserve"> à la nomination de la </w:t>
      </w:r>
      <w:r w:rsidRPr="00850D17">
        <w:rPr>
          <w:lang w:val="fr-CH"/>
        </w:rPr>
        <w:lastRenderedPageBreak/>
        <w:t xml:space="preserve">Représentante </w:t>
      </w:r>
      <w:r w:rsidR="00A40788" w:rsidRPr="00850D17">
        <w:rPr>
          <w:lang w:val="fr-CH"/>
        </w:rPr>
        <w:t>p</w:t>
      </w:r>
      <w:r w:rsidRPr="00850D17">
        <w:rPr>
          <w:lang w:val="fr-CH"/>
        </w:rPr>
        <w:t>ersonnelle</w:t>
      </w:r>
      <w:r w:rsidR="00277646">
        <w:rPr>
          <w:lang w:val="fr-CH"/>
        </w:rPr>
        <w:t xml:space="preserve"> </w:t>
      </w:r>
      <w:r w:rsidRPr="00850D17">
        <w:rPr>
          <w:lang w:val="fr-CH"/>
        </w:rPr>
        <w:t>du Chef de l</w:t>
      </w:r>
      <w:r w:rsidR="0012008D" w:rsidRPr="00850D17">
        <w:rPr>
          <w:lang w:val="fr-CH"/>
        </w:rPr>
        <w:t>’État</w:t>
      </w:r>
      <w:r w:rsidRPr="00850D17">
        <w:rPr>
          <w:lang w:val="fr-CH"/>
        </w:rPr>
        <w:t xml:space="preserve"> en charge de la lutte contre les violences sexuelles</w:t>
      </w:r>
      <w:r w:rsidR="00E14762">
        <w:rPr>
          <w:lang w:val="fr-CH"/>
        </w:rPr>
        <w:t xml:space="preserve"> </w:t>
      </w:r>
      <w:r w:rsidRPr="00850D17">
        <w:rPr>
          <w:lang w:val="fr-CH"/>
        </w:rPr>
        <w:t>et le recrutement d</w:t>
      </w:r>
      <w:r w:rsidR="0012008D" w:rsidRPr="00850D17">
        <w:rPr>
          <w:lang w:val="fr-CH"/>
        </w:rPr>
        <w:t>’</w:t>
      </w:r>
      <w:r w:rsidRPr="00850D17">
        <w:rPr>
          <w:lang w:val="fr-CH"/>
        </w:rPr>
        <w:t>enfants</w:t>
      </w:r>
      <w:r w:rsidR="00277646">
        <w:rPr>
          <w:lang w:val="fr-CH"/>
        </w:rPr>
        <w:t xml:space="preserve"> soldats</w:t>
      </w:r>
      <w:r w:rsidR="00A04668" w:rsidRPr="00850D17">
        <w:rPr>
          <w:lang w:val="fr-CH"/>
        </w:rPr>
        <w:t>.</w:t>
      </w:r>
    </w:p>
    <w:p w:rsidR="00351DC9" w:rsidRPr="00850D17" w:rsidRDefault="00927C57" w:rsidP="00101FE5">
      <w:pPr>
        <w:pStyle w:val="HChG"/>
        <w:rPr>
          <w:rFonts w:eastAsia="SimSun"/>
          <w:lang w:val="fr-CH"/>
        </w:rPr>
      </w:pPr>
      <w:r w:rsidRPr="00850D17">
        <w:rPr>
          <w:rFonts w:eastAsia="SimSun"/>
          <w:lang w:val="fr-CH"/>
        </w:rPr>
        <w:tab/>
        <w:t>VI.</w:t>
      </w:r>
      <w:r w:rsidRPr="00850D17">
        <w:rPr>
          <w:rFonts w:eastAsia="SimSun"/>
          <w:lang w:val="fr-CH"/>
        </w:rPr>
        <w:tab/>
      </w:r>
      <w:r w:rsidR="00351DC9" w:rsidRPr="00850D17">
        <w:rPr>
          <w:rFonts w:eastAsia="SimSun"/>
          <w:lang w:val="fr-CH"/>
        </w:rPr>
        <w:t>Conclusion</w:t>
      </w:r>
    </w:p>
    <w:p w:rsidR="004C3575" w:rsidRPr="00850D17" w:rsidRDefault="00E66752" w:rsidP="001677F7">
      <w:pPr>
        <w:pStyle w:val="SingleTxtG"/>
        <w:numPr>
          <w:ilvl w:val="0"/>
          <w:numId w:val="7"/>
        </w:numPr>
        <w:tabs>
          <w:tab w:val="left" w:pos="1134"/>
        </w:tabs>
        <w:ind w:left="1134" w:firstLine="0"/>
        <w:rPr>
          <w:b/>
          <w:lang w:val="fr-CH"/>
        </w:rPr>
      </w:pPr>
      <w:r w:rsidRPr="00850D17">
        <w:rPr>
          <w:b/>
          <w:lang w:val="fr-CH"/>
        </w:rPr>
        <w:t>Le contexte politico-sécuritaire et économique volatile en R</w:t>
      </w:r>
      <w:r w:rsidR="00224983">
        <w:rPr>
          <w:b/>
          <w:lang w:val="fr-CH"/>
        </w:rPr>
        <w:t>épublique démocratique du Congo</w:t>
      </w:r>
      <w:r w:rsidRPr="00850D17">
        <w:rPr>
          <w:b/>
          <w:lang w:val="fr-CH"/>
        </w:rPr>
        <w:t xml:space="preserve"> a </w:t>
      </w:r>
      <w:r w:rsidR="00486F12" w:rsidRPr="00C36970">
        <w:rPr>
          <w:b/>
          <w:lang w:val="fr-CH"/>
        </w:rPr>
        <w:t>posé</w:t>
      </w:r>
      <w:r w:rsidR="00486F12" w:rsidRPr="00850D17">
        <w:rPr>
          <w:b/>
          <w:lang w:val="fr-CH"/>
        </w:rPr>
        <w:t xml:space="preserve"> </w:t>
      </w:r>
      <w:r w:rsidRPr="00850D17">
        <w:rPr>
          <w:b/>
          <w:lang w:val="fr-CH"/>
        </w:rPr>
        <w:t>de nombreux défis en matière de droits de l’homme</w:t>
      </w:r>
      <w:r w:rsidR="0004724E" w:rsidRPr="00850D17">
        <w:rPr>
          <w:b/>
          <w:lang w:val="fr-CH"/>
        </w:rPr>
        <w:t>.</w:t>
      </w:r>
    </w:p>
    <w:p w:rsidR="00D07933" w:rsidRPr="00850D17" w:rsidRDefault="00EB6430" w:rsidP="00C36970">
      <w:pPr>
        <w:pStyle w:val="SingleTxtG"/>
        <w:numPr>
          <w:ilvl w:val="0"/>
          <w:numId w:val="7"/>
        </w:numPr>
        <w:tabs>
          <w:tab w:val="left" w:pos="1134"/>
        </w:tabs>
        <w:ind w:left="1134" w:firstLine="0"/>
        <w:rPr>
          <w:b/>
          <w:lang w:val="fr-CH"/>
        </w:rPr>
      </w:pPr>
      <w:r w:rsidRPr="00850D17">
        <w:rPr>
          <w:b/>
          <w:lang w:val="fr-CH"/>
        </w:rPr>
        <w:t>L</w:t>
      </w:r>
      <w:r w:rsidR="00E66752" w:rsidRPr="00850D17">
        <w:rPr>
          <w:b/>
          <w:lang w:val="fr-CH"/>
        </w:rPr>
        <w:t>es interventions de la communauté internationale ont été pertinentes et efficaces</w:t>
      </w:r>
      <w:r w:rsidRPr="00850D17">
        <w:rPr>
          <w:b/>
          <w:lang w:val="fr-CH"/>
        </w:rPr>
        <w:t xml:space="preserve"> pour juguler ces défis</w:t>
      </w:r>
      <w:r w:rsidR="00FC553C" w:rsidRPr="00850D17">
        <w:rPr>
          <w:b/>
          <w:lang w:val="fr-CH"/>
        </w:rPr>
        <w:t xml:space="preserve">. </w:t>
      </w:r>
      <w:r w:rsidR="004C3575" w:rsidRPr="00850D17">
        <w:rPr>
          <w:b/>
          <w:lang w:val="fr-CH"/>
        </w:rPr>
        <w:t xml:space="preserve">Elles </w:t>
      </w:r>
      <w:r w:rsidR="009B3022" w:rsidRPr="00850D17">
        <w:rPr>
          <w:b/>
          <w:lang w:val="fr-CH"/>
        </w:rPr>
        <w:t xml:space="preserve">ont </w:t>
      </w:r>
      <w:r w:rsidR="00001E81" w:rsidRPr="00850D17">
        <w:rPr>
          <w:b/>
          <w:lang w:val="fr-CH"/>
        </w:rPr>
        <w:t xml:space="preserve">notamment </w:t>
      </w:r>
      <w:r w:rsidR="00D07933" w:rsidRPr="00850D17">
        <w:rPr>
          <w:b/>
          <w:lang w:val="fr-CH"/>
        </w:rPr>
        <w:t>contribué à l’amélioration du cadre juridique et institutionnel.</w:t>
      </w:r>
      <w:r w:rsidR="00001E81" w:rsidRPr="00850D17">
        <w:rPr>
          <w:b/>
          <w:lang w:val="fr-CH"/>
        </w:rPr>
        <w:t xml:space="preserve"> Elles ont également permis </w:t>
      </w:r>
      <w:r w:rsidR="007F1EE6" w:rsidRPr="00850D17">
        <w:rPr>
          <w:b/>
          <w:lang w:val="fr-CH"/>
        </w:rPr>
        <w:t>de</w:t>
      </w:r>
      <w:r w:rsidR="00001E81" w:rsidRPr="00850D17">
        <w:rPr>
          <w:b/>
          <w:lang w:val="fr-CH"/>
        </w:rPr>
        <w:t xml:space="preserve"> renforcer les capacités de nombreux acteurs nationaux</w:t>
      </w:r>
      <w:r w:rsidRPr="00850D17">
        <w:rPr>
          <w:b/>
          <w:lang w:val="fr-CH"/>
        </w:rPr>
        <w:t xml:space="preserve"> </w:t>
      </w:r>
      <w:r w:rsidR="00001E81" w:rsidRPr="00850D17">
        <w:rPr>
          <w:b/>
          <w:lang w:val="fr-CH"/>
        </w:rPr>
        <w:t xml:space="preserve">et conduit à une plus grande prise de conscience de leurs obligations par les autorités, et à une connaissance accrue des droits de l’homme au sein </w:t>
      </w:r>
      <w:r w:rsidR="00FC553C" w:rsidRPr="00850D17">
        <w:rPr>
          <w:b/>
          <w:lang w:val="fr-CH"/>
        </w:rPr>
        <w:t>des populations et de la société civile.</w:t>
      </w:r>
      <w:r w:rsidR="00001E81" w:rsidRPr="00850D17">
        <w:rPr>
          <w:b/>
          <w:lang w:val="fr-CH"/>
        </w:rPr>
        <w:t xml:space="preserve"> Des progrès considérables ont ainsi </w:t>
      </w:r>
      <w:r w:rsidR="00726314">
        <w:rPr>
          <w:b/>
          <w:lang w:val="fr-CH"/>
        </w:rPr>
        <w:t>été faits</w:t>
      </w:r>
      <w:r w:rsidR="00001E81" w:rsidRPr="00850D17">
        <w:rPr>
          <w:b/>
          <w:lang w:val="fr-CH"/>
        </w:rPr>
        <w:t xml:space="preserve"> dans la lutte contre l’impunité </w:t>
      </w:r>
      <w:r w:rsidR="004C3575" w:rsidRPr="00850D17">
        <w:rPr>
          <w:b/>
          <w:lang w:val="fr-CH"/>
        </w:rPr>
        <w:t xml:space="preserve">et </w:t>
      </w:r>
      <w:r w:rsidR="00001E81" w:rsidRPr="00850D17">
        <w:rPr>
          <w:b/>
          <w:lang w:val="fr-CH"/>
        </w:rPr>
        <w:t xml:space="preserve">de </w:t>
      </w:r>
      <w:r w:rsidR="00981D21" w:rsidRPr="00850D17">
        <w:rPr>
          <w:b/>
          <w:lang w:val="fr-CH"/>
        </w:rPr>
        <w:t xml:space="preserve">nombreuses interventions ont permis d’améliorer </w:t>
      </w:r>
      <w:r w:rsidR="00001E81" w:rsidRPr="00850D17">
        <w:rPr>
          <w:b/>
          <w:lang w:val="fr-CH"/>
        </w:rPr>
        <w:t>la protection de</w:t>
      </w:r>
      <w:r w:rsidR="00726314">
        <w:rPr>
          <w:b/>
          <w:lang w:val="fr-CH"/>
        </w:rPr>
        <w:t>s</w:t>
      </w:r>
      <w:r w:rsidR="00001E81" w:rsidRPr="00850D17">
        <w:rPr>
          <w:b/>
          <w:lang w:val="fr-CH"/>
        </w:rPr>
        <w:t xml:space="preserve"> civils dans l’</w:t>
      </w:r>
      <w:r w:rsidR="00572B0E">
        <w:rPr>
          <w:b/>
          <w:lang w:val="fr-CH"/>
        </w:rPr>
        <w:t>e</w:t>
      </w:r>
      <w:r w:rsidR="00001E81" w:rsidRPr="00850D17">
        <w:rPr>
          <w:b/>
          <w:lang w:val="fr-CH"/>
        </w:rPr>
        <w:t>st du pays.</w:t>
      </w:r>
      <w:r w:rsidR="0012008D" w:rsidRPr="00850D17">
        <w:rPr>
          <w:b/>
          <w:lang w:val="fr-CH"/>
        </w:rPr>
        <w:t xml:space="preserve"> </w:t>
      </w:r>
    </w:p>
    <w:p w:rsidR="00981D21" w:rsidRPr="00850D17" w:rsidRDefault="00981D21" w:rsidP="00C36970">
      <w:pPr>
        <w:pStyle w:val="SingleTxtG"/>
        <w:numPr>
          <w:ilvl w:val="0"/>
          <w:numId w:val="7"/>
        </w:numPr>
        <w:tabs>
          <w:tab w:val="left" w:pos="1134"/>
        </w:tabs>
        <w:ind w:left="1134" w:firstLine="0"/>
        <w:rPr>
          <w:rFonts w:eastAsia="SimSun"/>
          <w:b/>
          <w:lang w:val="fr-CH"/>
        </w:rPr>
      </w:pPr>
      <w:r w:rsidRPr="00850D17">
        <w:rPr>
          <w:b/>
          <w:lang w:val="fr-CH"/>
        </w:rPr>
        <w:t xml:space="preserve">Toutefois, la majorité des interventions d’assistance technique se sont inscrites dans un contexte d’urgence et ont été de courte durée. </w:t>
      </w:r>
      <w:r w:rsidR="005A4D51" w:rsidRPr="00850D17">
        <w:rPr>
          <w:b/>
          <w:lang w:val="fr-CH"/>
        </w:rPr>
        <w:t>La pérennisation et l’appropriation des interventions aura été un défi majeur</w:t>
      </w:r>
      <w:r w:rsidR="004C3575" w:rsidRPr="00850D17">
        <w:rPr>
          <w:b/>
          <w:lang w:val="fr-CH"/>
        </w:rPr>
        <w:t>,</w:t>
      </w:r>
      <w:r w:rsidR="005A4D51" w:rsidRPr="00850D17">
        <w:rPr>
          <w:b/>
          <w:lang w:val="fr-CH"/>
        </w:rPr>
        <w:t xml:space="preserve"> tant pour les titulaires de droits que les porteurs d’obligations. </w:t>
      </w:r>
      <w:r w:rsidRPr="00850D17">
        <w:rPr>
          <w:b/>
          <w:lang w:val="fr-CH"/>
        </w:rPr>
        <w:t xml:space="preserve">En outre, des duplications et </w:t>
      </w:r>
      <w:r w:rsidR="002B0284">
        <w:rPr>
          <w:b/>
          <w:lang w:val="fr-CH"/>
        </w:rPr>
        <w:t>une concurrence</w:t>
      </w:r>
      <w:r w:rsidR="002B0284" w:rsidRPr="00850D17">
        <w:rPr>
          <w:b/>
          <w:lang w:val="fr-CH"/>
        </w:rPr>
        <w:t xml:space="preserve"> </w:t>
      </w:r>
      <w:r w:rsidRPr="00850D17">
        <w:rPr>
          <w:b/>
          <w:lang w:val="fr-CH"/>
        </w:rPr>
        <w:t>ont pu caractériser certaines interventions de la</w:t>
      </w:r>
      <w:r w:rsidRPr="00850D17">
        <w:rPr>
          <w:rFonts w:eastAsia="SimSun"/>
          <w:b/>
          <w:lang w:val="fr-CH"/>
        </w:rPr>
        <w:t xml:space="preserve"> communauté internationale, parfois </w:t>
      </w:r>
      <w:r w:rsidR="00FC553C" w:rsidRPr="00850D17">
        <w:rPr>
          <w:rFonts w:eastAsia="SimSun"/>
          <w:b/>
          <w:lang w:val="fr-CH"/>
        </w:rPr>
        <w:t>par manque de coordination</w:t>
      </w:r>
      <w:r w:rsidR="005E4000" w:rsidRPr="00850D17">
        <w:rPr>
          <w:rFonts w:eastAsia="SimSun"/>
          <w:b/>
          <w:lang w:val="fr-CH"/>
        </w:rPr>
        <w:t xml:space="preserve"> </w:t>
      </w:r>
      <w:r w:rsidR="00E66752" w:rsidRPr="00850D17">
        <w:rPr>
          <w:rFonts w:eastAsia="SimSun"/>
          <w:b/>
          <w:lang w:val="fr-CH"/>
        </w:rPr>
        <w:t>avec d’</w:t>
      </w:r>
      <w:r w:rsidR="005E4000" w:rsidRPr="00850D17">
        <w:rPr>
          <w:rFonts w:eastAsia="SimSun"/>
          <w:b/>
          <w:lang w:val="fr-CH"/>
        </w:rPr>
        <w:t>autres intervenants</w:t>
      </w:r>
      <w:r w:rsidR="00FC553C" w:rsidRPr="00850D17">
        <w:rPr>
          <w:rFonts w:eastAsia="SimSun"/>
          <w:b/>
          <w:lang w:val="fr-CH"/>
        </w:rPr>
        <w:t xml:space="preserve">, </w:t>
      </w:r>
      <w:r w:rsidR="005E4000" w:rsidRPr="00850D17">
        <w:rPr>
          <w:rFonts w:eastAsia="SimSun"/>
          <w:b/>
          <w:lang w:val="fr-CH"/>
        </w:rPr>
        <w:t xml:space="preserve">en raison de </w:t>
      </w:r>
      <w:r w:rsidR="00FC553C" w:rsidRPr="00850D17">
        <w:rPr>
          <w:rFonts w:eastAsia="SimSun"/>
          <w:b/>
          <w:lang w:val="fr-CH"/>
        </w:rPr>
        <w:t xml:space="preserve">l’intérêt </w:t>
      </w:r>
      <w:r w:rsidR="005A4D51" w:rsidRPr="00850D17">
        <w:rPr>
          <w:rFonts w:eastAsia="SimSun"/>
          <w:b/>
          <w:lang w:val="fr-CH"/>
        </w:rPr>
        <w:t xml:space="preserve">accordé par </w:t>
      </w:r>
      <w:r w:rsidR="00E66752" w:rsidRPr="00850D17">
        <w:rPr>
          <w:rFonts w:eastAsia="SimSun"/>
          <w:b/>
          <w:lang w:val="fr-CH"/>
        </w:rPr>
        <w:t>c</w:t>
      </w:r>
      <w:r w:rsidR="00FC553C" w:rsidRPr="00850D17">
        <w:rPr>
          <w:rFonts w:eastAsia="SimSun"/>
          <w:b/>
          <w:lang w:val="fr-CH"/>
        </w:rPr>
        <w:t xml:space="preserve">ertains bailleurs de fonds </w:t>
      </w:r>
      <w:r w:rsidR="005A4D51" w:rsidRPr="00850D17">
        <w:rPr>
          <w:rFonts w:eastAsia="SimSun"/>
          <w:b/>
          <w:lang w:val="fr-CH"/>
        </w:rPr>
        <w:t>à</w:t>
      </w:r>
      <w:r w:rsidR="00FC553C" w:rsidRPr="00850D17">
        <w:rPr>
          <w:rFonts w:eastAsia="SimSun"/>
          <w:b/>
          <w:lang w:val="fr-CH"/>
        </w:rPr>
        <w:t xml:space="preserve"> des thématiques et des localités précises</w:t>
      </w:r>
      <w:r w:rsidR="005A4D51" w:rsidRPr="00850D17">
        <w:rPr>
          <w:rFonts w:eastAsia="SimSun"/>
          <w:b/>
          <w:lang w:val="fr-CH"/>
        </w:rPr>
        <w:t>,</w:t>
      </w:r>
      <w:r w:rsidR="00FC553C" w:rsidRPr="00850D17">
        <w:rPr>
          <w:rFonts w:eastAsia="SimSun"/>
          <w:b/>
          <w:lang w:val="fr-CH"/>
        </w:rPr>
        <w:t xml:space="preserve"> ou </w:t>
      </w:r>
      <w:r w:rsidR="004C3575" w:rsidRPr="00850D17">
        <w:rPr>
          <w:rFonts w:eastAsia="SimSun"/>
          <w:b/>
          <w:lang w:val="fr-CH"/>
        </w:rPr>
        <w:t>dans un but de</w:t>
      </w:r>
      <w:r w:rsidRPr="00850D17">
        <w:rPr>
          <w:rFonts w:eastAsia="SimSun"/>
          <w:b/>
          <w:lang w:val="fr-CH"/>
        </w:rPr>
        <w:t xml:space="preserve"> visibilité et </w:t>
      </w:r>
      <w:r w:rsidR="004C3575" w:rsidRPr="00850D17">
        <w:rPr>
          <w:rFonts w:eastAsia="SimSun"/>
          <w:b/>
          <w:lang w:val="fr-CH"/>
        </w:rPr>
        <w:t xml:space="preserve">de </w:t>
      </w:r>
      <w:r w:rsidRPr="00850D17">
        <w:rPr>
          <w:rFonts w:eastAsia="SimSun"/>
          <w:b/>
          <w:lang w:val="fr-CH"/>
        </w:rPr>
        <w:t>recherche accrue de financements.</w:t>
      </w:r>
    </w:p>
    <w:p w:rsidR="00981D21" w:rsidRPr="00850D17" w:rsidRDefault="00981D21" w:rsidP="00C36970">
      <w:pPr>
        <w:pStyle w:val="SingleTxtG"/>
        <w:numPr>
          <w:ilvl w:val="0"/>
          <w:numId w:val="7"/>
        </w:numPr>
        <w:tabs>
          <w:tab w:val="left" w:pos="1134"/>
        </w:tabs>
        <w:ind w:left="1134" w:firstLine="0"/>
        <w:rPr>
          <w:b/>
          <w:lang w:val="fr-CH"/>
        </w:rPr>
      </w:pPr>
      <w:r w:rsidRPr="00850D17">
        <w:rPr>
          <w:b/>
          <w:lang w:val="fr-CH"/>
        </w:rPr>
        <w:t xml:space="preserve">Les défis en matière de promotion et de protection des droits de l’homme demeurent importants, exigeant une assistance technique soutenue et stratégique de la part de la communauté internationale, </w:t>
      </w:r>
      <w:r w:rsidR="003F17BA">
        <w:rPr>
          <w:b/>
          <w:lang w:val="fr-CH"/>
        </w:rPr>
        <w:t>ainsi qu</w:t>
      </w:r>
      <w:r w:rsidR="003F17BA" w:rsidRPr="003F17BA">
        <w:rPr>
          <w:b/>
          <w:lang w:val="fr-CH"/>
        </w:rPr>
        <w:t>’</w:t>
      </w:r>
      <w:r w:rsidRPr="00850D17">
        <w:rPr>
          <w:b/>
          <w:lang w:val="fr-CH"/>
        </w:rPr>
        <w:t xml:space="preserve">un renforcement de la coordination entre les partenaires internationaux et entre les intervenants et le </w:t>
      </w:r>
      <w:r w:rsidR="00621832">
        <w:rPr>
          <w:b/>
          <w:lang w:val="fr-CH"/>
        </w:rPr>
        <w:t>G</w:t>
      </w:r>
      <w:r w:rsidR="00621832" w:rsidRPr="00850D17">
        <w:rPr>
          <w:b/>
          <w:lang w:val="fr-CH"/>
        </w:rPr>
        <w:t xml:space="preserve">ouvernement </w:t>
      </w:r>
      <w:r w:rsidRPr="00850D17">
        <w:rPr>
          <w:b/>
          <w:lang w:val="fr-CH"/>
        </w:rPr>
        <w:t xml:space="preserve">dans l’identification, la </w:t>
      </w:r>
      <w:r w:rsidR="004C3606" w:rsidRPr="00850D17">
        <w:rPr>
          <w:b/>
          <w:lang w:val="fr-CH"/>
        </w:rPr>
        <w:t xml:space="preserve">mise en œuvre et le suivi des interventions </w:t>
      </w:r>
      <w:r w:rsidR="00ED062B">
        <w:rPr>
          <w:b/>
          <w:lang w:val="fr-CH"/>
        </w:rPr>
        <w:t>–</w:t>
      </w:r>
      <w:r w:rsidRPr="00850D17">
        <w:rPr>
          <w:b/>
          <w:lang w:val="fr-CH"/>
        </w:rPr>
        <w:t xml:space="preserve"> sans omettre d’impliquer les bénéficiaires.</w:t>
      </w:r>
    </w:p>
    <w:p w:rsidR="00351DC9" w:rsidRPr="00850D17" w:rsidRDefault="00927C57" w:rsidP="00101FE5">
      <w:pPr>
        <w:pStyle w:val="HChG"/>
        <w:rPr>
          <w:rFonts w:eastAsia="SimSun"/>
          <w:lang w:val="fr-CH"/>
        </w:rPr>
      </w:pPr>
      <w:r w:rsidRPr="00850D17">
        <w:rPr>
          <w:rFonts w:eastAsia="SimSun"/>
          <w:lang w:val="fr-CH"/>
        </w:rPr>
        <w:tab/>
        <w:t>VII.</w:t>
      </w:r>
      <w:r w:rsidRPr="00850D17">
        <w:rPr>
          <w:rFonts w:eastAsia="SimSun"/>
          <w:lang w:val="fr-CH"/>
        </w:rPr>
        <w:tab/>
      </w:r>
      <w:r w:rsidR="00351DC9" w:rsidRPr="00850D17">
        <w:rPr>
          <w:rFonts w:eastAsia="SimSun"/>
          <w:lang w:val="fr-CH"/>
        </w:rPr>
        <w:t>Recommandations</w:t>
      </w:r>
    </w:p>
    <w:p w:rsidR="00351DC9" w:rsidRPr="00850D17" w:rsidRDefault="00927C57">
      <w:pPr>
        <w:pStyle w:val="H1G"/>
        <w:rPr>
          <w:rFonts w:eastAsia="SimSun"/>
          <w:lang w:val="fr-CH"/>
        </w:rPr>
      </w:pPr>
      <w:r w:rsidRPr="00850D17">
        <w:rPr>
          <w:rFonts w:eastAsia="SimSun"/>
          <w:lang w:val="fr-CH"/>
        </w:rPr>
        <w:tab/>
        <w:t>A.</w:t>
      </w:r>
      <w:r w:rsidRPr="00850D17">
        <w:rPr>
          <w:rFonts w:eastAsia="SimSun"/>
          <w:lang w:val="fr-CH"/>
        </w:rPr>
        <w:tab/>
      </w:r>
      <w:r w:rsidR="00351DC9" w:rsidRPr="00850D17">
        <w:rPr>
          <w:rFonts w:eastAsia="SimSun"/>
          <w:lang w:val="fr-CH"/>
        </w:rPr>
        <w:t xml:space="preserve">Au </w:t>
      </w:r>
      <w:r w:rsidR="00621832">
        <w:rPr>
          <w:rFonts w:eastAsia="SimSun"/>
          <w:lang w:val="fr-CH"/>
        </w:rPr>
        <w:t>G</w:t>
      </w:r>
      <w:r w:rsidR="00621832" w:rsidRPr="00850D17">
        <w:rPr>
          <w:rFonts w:eastAsia="SimSun"/>
          <w:lang w:val="fr-CH"/>
        </w:rPr>
        <w:t>ouvernement</w:t>
      </w:r>
    </w:p>
    <w:p w:rsidR="00E45DB4" w:rsidRPr="000744CA" w:rsidRDefault="00E14762" w:rsidP="00C36970">
      <w:pPr>
        <w:pStyle w:val="SingleTxtG"/>
        <w:ind w:firstLine="567"/>
        <w:rPr>
          <w:b/>
          <w:bCs/>
          <w:lang w:val="fr-CH"/>
        </w:rPr>
      </w:pPr>
      <w:r w:rsidRPr="000744CA">
        <w:rPr>
          <w:b/>
          <w:lang w:val="fr-CH"/>
        </w:rPr>
        <w:t>a)</w:t>
      </w:r>
      <w:r w:rsidRPr="000744CA">
        <w:rPr>
          <w:b/>
          <w:bCs/>
          <w:lang w:val="fr-CH"/>
        </w:rPr>
        <w:tab/>
      </w:r>
      <w:r w:rsidR="005A4D51" w:rsidRPr="000744CA">
        <w:rPr>
          <w:b/>
          <w:bCs/>
          <w:lang w:val="fr-CH"/>
        </w:rPr>
        <w:t xml:space="preserve">Définir les priorités sectorielles de la justice et des droits de l’homme et coordonner les </w:t>
      </w:r>
      <w:r w:rsidR="00E45DB4" w:rsidRPr="000744CA">
        <w:rPr>
          <w:b/>
          <w:bCs/>
          <w:lang w:val="fr-CH"/>
        </w:rPr>
        <w:t xml:space="preserve">interventions de la communauté internationale </w:t>
      </w:r>
      <w:r w:rsidR="004C3606" w:rsidRPr="000744CA">
        <w:rPr>
          <w:b/>
          <w:bCs/>
          <w:lang w:val="fr-CH"/>
        </w:rPr>
        <w:t xml:space="preserve">pour la promotion et la protection des droits de l’homme </w:t>
      </w:r>
      <w:r w:rsidR="00E45DB4" w:rsidRPr="000744CA">
        <w:rPr>
          <w:b/>
          <w:bCs/>
          <w:lang w:val="fr-CH"/>
        </w:rPr>
        <w:t>au niveau central, provincial et local</w:t>
      </w:r>
      <w:r w:rsidR="00E632AB" w:rsidRPr="000744CA">
        <w:rPr>
          <w:b/>
          <w:bCs/>
          <w:lang w:val="fr-CH"/>
        </w:rPr>
        <w:t>.</w:t>
      </w:r>
    </w:p>
    <w:p w:rsidR="004C3606" w:rsidRPr="000744CA" w:rsidRDefault="00E14762" w:rsidP="00C36970">
      <w:pPr>
        <w:pStyle w:val="SingleTxtG"/>
        <w:ind w:firstLine="567"/>
        <w:rPr>
          <w:b/>
          <w:bCs/>
          <w:lang w:val="fr-CH"/>
        </w:rPr>
      </w:pPr>
      <w:r w:rsidRPr="000744CA">
        <w:rPr>
          <w:b/>
          <w:lang w:val="fr-CH"/>
        </w:rPr>
        <w:t>b)</w:t>
      </w:r>
      <w:r w:rsidRPr="000744CA">
        <w:rPr>
          <w:b/>
          <w:bCs/>
          <w:lang w:val="fr-CH"/>
        </w:rPr>
        <w:tab/>
      </w:r>
      <w:r w:rsidR="00E45DB4" w:rsidRPr="000744CA">
        <w:rPr>
          <w:b/>
          <w:bCs/>
          <w:lang w:val="fr-CH"/>
        </w:rPr>
        <w:t>Prendre des mesures appropriées pour assurer le fonctionnement harmonieux de</w:t>
      </w:r>
      <w:r w:rsidR="0043538C" w:rsidRPr="000744CA">
        <w:rPr>
          <w:b/>
          <w:bCs/>
          <w:lang w:val="fr-CH"/>
        </w:rPr>
        <w:t xml:space="preserve"> toute</w:t>
      </w:r>
      <w:r w:rsidR="00E45DB4" w:rsidRPr="000744CA">
        <w:rPr>
          <w:b/>
          <w:bCs/>
          <w:lang w:val="fr-CH"/>
        </w:rPr>
        <w:t>s</w:t>
      </w:r>
      <w:r w:rsidR="0043538C" w:rsidRPr="000744CA">
        <w:rPr>
          <w:b/>
          <w:bCs/>
          <w:lang w:val="fr-CH"/>
        </w:rPr>
        <w:t xml:space="preserve"> les</w:t>
      </w:r>
      <w:r w:rsidR="00E45DB4" w:rsidRPr="000744CA">
        <w:rPr>
          <w:b/>
          <w:bCs/>
          <w:lang w:val="fr-CH"/>
        </w:rPr>
        <w:t xml:space="preserve"> institutions de mise en œuvre des droits de l’homme (Entité de liaison</w:t>
      </w:r>
      <w:r w:rsidR="00FC62E8" w:rsidRPr="000744CA">
        <w:rPr>
          <w:b/>
          <w:bCs/>
          <w:lang w:val="fr-CH"/>
        </w:rPr>
        <w:t xml:space="preserve"> des droits de l’homme</w:t>
      </w:r>
      <w:r w:rsidR="00E45DB4" w:rsidRPr="000744CA">
        <w:rPr>
          <w:b/>
          <w:bCs/>
          <w:lang w:val="fr-CH"/>
        </w:rPr>
        <w:t xml:space="preserve">, CNDH, CIDH et Commission </w:t>
      </w:r>
      <w:r w:rsidR="0040577F" w:rsidRPr="000744CA">
        <w:rPr>
          <w:rFonts w:eastAsia="SimSun"/>
          <w:b/>
          <w:bCs/>
          <w:lang w:val="fr-CH"/>
        </w:rPr>
        <w:t>nationale de préparation et de suivi de l’</w:t>
      </w:r>
      <w:r w:rsidR="00E45DB4" w:rsidRPr="000744CA">
        <w:rPr>
          <w:b/>
          <w:bCs/>
          <w:lang w:val="fr-CH"/>
        </w:rPr>
        <w:t xml:space="preserve">EPU) et l’efficacité de la </w:t>
      </w:r>
      <w:r w:rsidR="004C3606" w:rsidRPr="000744CA">
        <w:rPr>
          <w:b/>
          <w:bCs/>
          <w:lang w:val="fr-CH"/>
        </w:rPr>
        <w:t xml:space="preserve">CNDH et de la </w:t>
      </w:r>
      <w:r w:rsidR="00B17494" w:rsidRPr="000744CA">
        <w:rPr>
          <w:b/>
          <w:bCs/>
          <w:lang w:val="fr-CH"/>
        </w:rPr>
        <w:t>C</w:t>
      </w:r>
      <w:r w:rsidR="00E45DB4" w:rsidRPr="000744CA">
        <w:rPr>
          <w:b/>
          <w:bCs/>
          <w:lang w:val="fr-CH"/>
        </w:rPr>
        <w:t xml:space="preserve">ellule de protection des défenseurs des droits de l’homme; </w:t>
      </w:r>
      <w:r w:rsidR="004C3606" w:rsidRPr="000744CA">
        <w:rPr>
          <w:b/>
          <w:bCs/>
          <w:lang w:val="fr-CH"/>
        </w:rPr>
        <w:t>mettre en place un mécanisme national indépendant de prévention de la torture</w:t>
      </w:r>
      <w:r w:rsidR="00E632AB" w:rsidRPr="000744CA">
        <w:rPr>
          <w:b/>
          <w:bCs/>
          <w:lang w:val="fr-CH"/>
        </w:rPr>
        <w:t>.</w:t>
      </w:r>
      <w:r w:rsidR="00E33A83" w:rsidRPr="000744CA">
        <w:rPr>
          <w:b/>
          <w:bCs/>
          <w:lang w:val="fr-CH"/>
        </w:rPr>
        <w:t xml:space="preserve"> </w:t>
      </w:r>
    </w:p>
    <w:p w:rsidR="00E45DB4" w:rsidRPr="000744CA" w:rsidRDefault="00E14762" w:rsidP="00C36970">
      <w:pPr>
        <w:pStyle w:val="SingleTxtG"/>
        <w:ind w:firstLine="567"/>
        <w:rPr>
          <w:b/>
          <w:bCs/>
          <w:lang w:val="fr-CH"/>
        </w:rPr>
      </w:pPr>
      <w:r w:rsidRPr="000744CA">
        <w:rPr>
          <w:b/>
          <w:lang w:val="fr-CH"/>
        </w:rPr>
        <w:t>c)</w:t>
      </w:r>
      <w:r w:rsidRPr="000744CA">
        <w:rPr>
          <w:b/>
          <w:bCs/>
          <w:lang w:val="fr-CH"/>
        </w:rPr>
        <w:tab/>
      </w:r>
      <w:r w:rsidR="00C45034" w:rsidRPr="000744CA">
        <w:rPr>
          <w:b/>
          <w:bCs/>
          <w:lang w:val="fr-CH"/>
        </w:rPr>
        <w:t xml:space="preserve">Améliorer le cadre juridique des droits de l’homme en </w:t>
      </w:r>
      <w:r w:rsidR="00C73178" w:rsidRPr="000744CA">
        <w:rPr>
          <w:b/>
          <w:bCs/>
          <w:lang w:val="fr-CH"/>
        </w:rPr>
        <w:t xml:space="preserve">adhérant </w:t>
      </w:r>
      <w:r w:rsidR="00C45034" w:rsidRPr="000744CA">
        <w:rPr>
          <w:b/>
          <w:bCs/>
          <w:lang w:val="fr-CH"/>
        </w:rPr>
        <w:t xml:space="preserve">aux conventions non encore ratifiées et en adoptant </w:t>
      </w:r>
      <w:r w:rsidR="004C3606" w:rsidRPr="000744CA">
        <w:rPr>
          <w:b/>
          <w:bCs/>
          <w:lang w:val="fr-CH"/>
        </w:rPr>
        <w:t>d</w:t>
      </w:r>
      <w:r w:rsidR="00C45034" w:rsidRPr="000744CA">
        <w:rPr>
          <w:b/>
          <w:bCs/>
          <w:lang w:val="fr-CH"/>
        </w:rPr>
        <w:t xml:space="preserve">es lois </w:t>
      </w:r>
      <w:r w:rsidR="004C3606" w:rsidRPr="000744CA">
        <w:rPr>
          <w:b/>
          <w:bCs/>
          <w:lang w:val="fr-CH"/>
        </w:rPr>
        <w:t xml:space="preserve">pertinentes, notamment celles </w:t>
      </w:r>
      <w:r w:rsidR="00C45034" w:rsidRPr="000744CA">
        <w:rPr>
          <w:b/>
          <w:bCs/>
          <w:lang w:val="fr-CH"/>
        </w:rPr>
        <w:t>en instance</w:t>
      </w:r>
      <w:r w:rsidR="00E632AB" w:rsidRPr="000744CA">
        <w:rPr>
          <w:b/>
          <w:bCs/>
          <w:lang w:val="fr-CH"/>
        </w:rPr>
        <w:t>.</w:t>
      </w:r>
    </w:p>
    <w:p w:rsidR="00E45DB4" w:rsidRPr="00850D17" w:rsidRDefault="00E14762" w:rsidP="00C36970">
      <w:pPr>
        <w:pStyle w:val="SingleTxtG"/>
        <w:ind w:firstLine="567"/>
        <w:rPr>
          <w:b/>
          <w:bCs/>
          <w:lang w:val="fr-CH"/>
        </w:rPr>
      </w:pPr>
      <w:r w:rsidRPr="000744CA">
        <w:rPr>
          <w:b/>
          <w:lang w:val="fr-CH"/>
        </w:rPr>
        <w:lastRenderedPageBreak/>
        <w:t>d)</w:t>
      </w:r>
      <w:r>
        <w:rPr>
          <w:b/>
          <w:bCs/>
          <w:lang w:val="fr-CH"/>
        </w:rPr>
        <w:tab/>
      </w:r>
      <w:r w:rsidR="00C73178">
        <w:rPr>
          <w:b/>
          <w:bCs/>
          <w:lang w:val="fr-CH"/>
        </w:rPr>
        <w:t>A</w:t>
      </w:r>
      <w:r w:rsidR="00E45DB4" w:rsidRPr="00850D17">
        <w:rPr>
          <w:b/>
          <w:bCs/>
          <w:lang w:val="fr-CH"/>
        </w:rPr>
        <w:t>dopt</w:t>
      </w:r>
      <w:r w:rsidR="00C73178">
        <w:rPr>
          <w:b/>
          <w:bCs/>
          <w:lang w:val="fr-CH"/>
        </w:rPr>
        <w:t>er</w:t>
      </w:r>
      <w:r w:rsidR="00E45DB4" w:rsidRPr="00850D17">
        <w:rPr>
          <w:b/>
          <w:bCs/>
          <w:lang w:val="fr-CH"/>
        </w:rPr>
        <w:t xml:space="preserve"> une approche inclusive </w:t>
      </w:r>
      <w:r w:rsidR="00C73178">
        <w:rPr>
          <w:b/>
          <w:bCs/>
          <w:lang w:val="fr-CH"/>
        </w:rPr>
        <w:t>de</w:t>
      </w:r>
      <w:r w:rsidR="00C73178" w:rsidRPr="00850D17">
        <w:rPr>
          <w:b/>
          <w:bCs/>
          <w:lang w:val="fr-CH"/>
        </w:rPr>
        <w:t xml:space="preserve"> </w:t>
      </w:r>
      <w:r w:rsidR="00E45DB4" w:rsidRPr="00850D17">
        <w:rPr>
          <w:b/>
          <w:bCs/>
          <w:lang w:val="fr-CH"/>
        </w:rPr>
        <w:t>l’assistance technique par le renforcement des capacités des individus, des institutions et des relations avec la société civile</w:t>
      </w:r>
      <w:r w:rsidR="00E33A83" w:rsidRPr="00850D17">
        <w:rPr>
          <w:b/>
          <w:bCs/>
          <w:lang w:val="fr-CH"/>
        </w:rPr>
        <w:t>.</w:t>
      </w:r>
    </w:p>
    <w:p w:rsidR="00C45034" w:rsidRPr="005023BC" w:rsidRDefault="00927C57" w:rsidP="00C17705">
      <w:pPr>
        <w:pStyle w:val="H1G"/>
        <w:rPr>
          <w:rFonts w:eastAsia="SimSun"/>
          <w:lang w:val="fr-CH"/>
        </w:rPr>
      </w:pPr>
      <w:r w:rsidRPr="00850D17">
        <w:rPr>
          <w:rFonts w:eastAsia="SimSun"/>
          <w:lang w:val="fr-CH"/>
        </w:rPr>
        <w:tab/>
        <w:t>B.</w:t>
      </w:r>
      <w:r w:rsidRPr="00850D17">
        <w:rPr>
          <w:rFonts w:eastAsia="SimSun"/>
          <w:lang w:val="fr-CH"/>
        </w:rPr>
        <w:tab/>
      </w:r>
      <w:r w:rsidR="00C45034" w:rsidRPr="00850D17">
        <w:rPr>
          <w:rFonts w:eastAsia="SimSun"/>
          <w:lang w:val="fr-CH"/>
        </w:rPr>
        <w:t>A</w:t>
      </w:r>
      <w:r w:rsidR="00FE00B9" w:rsidRPr="00850D17">
        <w:rPr>
          <w:rFonts w:eastAsia="SimSun"/>
          <w:lang w:val="fr-CH"/>
        </w:rPr>
        <w:t xml:space="preserve">u </w:t>
      </w:r>
      <w:r w:rsidR="00C17705" w:rsidRPr="00C36970">
        <w:rPr>
          <w:lang w:val="fr-CH"/>
        </w:rPr>
        <w:t>Bureau conjoint des Nations Unies pour les droits de l’homme</w:t>
      </w:r>
      <w:r w:rsidR="00FE00B9" w:rsidRPr="00850D17">
        <w:rPr>
          <w:rFonts w:eastAsia="SimSun"/>
          <w:lang w:val="fr-CH"/>
        </w:rPr>
        <w:t xml:space="preserve"> et à</w:t>
      </w:r>
      <w:r w:rsidR="00C45034" w:rsidRPr="00850D17">
        <w:rPr>
          <w:rFonts w:eastAsia="SimSun"/>
          <w:lang w:val="fr-CH"/>
        </w:rPr>
        <w:t xml:space="preserve"> l’</w:t>
      </w:r>
      <w:r w:rsidR="009F5EEC">
        <w:rPr>
          <w:rFonts w:eastAsia="SimSun"/>
          <w:lang w:val="fr-CH"/>
        </w:rPr>
        <w:t>é</w:t>
      </w:r>
      <w:r w:rsidR="00E14762" w:rsidRPr="00850D17">
        <w:rPr>
          <w:rFonts w:eastAsia="SimSun"/>
          <w:lang w:val="fr-CH"/>
        </w:rPr>
        <w:t>quipe</w:t>
      </w:r>
      <w:r w:rsidR="00C45034" w:rsidRPr="00850D17">
        <w:rPr>
          <w:rFonts w:eastAsia="SimSun"/>
          <w:lang w:val="fr-CH"/>
        </w:rPr>
        <w:t xml:space="preserve"> </w:t>
      </w:r>
      <w:r w:rsidR="009F5EEC">
        <w:rPr>
          <w:rFonts w:eastAsia="SimSun"/>
          <w:lang w:val="fr-CH"/>
        </w:rPr>
        <w:t xml:space="preserve">de </w:t>
      </w:r>
      <w:r w:rsidR="00C45034" w:rsidRPr="00850D17">
        <w:rPr>
          <w:rFonts w:eastAsia="SimSun"/>
          <w:lang w:val="fr-CH"/>
        </w:rPr>
        <w:t xml:space="preserve">pays des Nations </w:t>
      </w:r>
      <w:r w:rsidR="009D4075">
        <w:rPr>
          <w:rFonts w:eastAsia="SimSun"/>
          <w:lang w:val="fr-CH"/>
        </w:rPr>
        <w:t>U</w:t>
      </w:r>
      <w:r w:rsidR="00C45034" w:rsidRPr="00850D17">
        <w:rPr>
          <w:rFonts w:eastAsia="SimSun"/>
          <w:lang w:val="fr-CH"/>
        </w:rPr>
        <w:t>nies</w:t>
      </w:r>
    </w:p>
    <w:p w:rsidR="00C45034" w:rsidRPr="000744CA" w:rsidRDefault="00E14762" w:rsidP="00C36970">
      <w:pPr>
        <w:pStyle w:val="SingleTxtG"/>
        <w:ind w:firstLine="567"/>
        <w:rPr>
          <w:b/>
          <w:bCs/>
          <w:lang w:val="fr-CH"/>
        </w:rPr>
      </w:pPr>
      <w:r w:rsidRPr="000744CA">
        <w:rPr>
          <w:b/>
          <w:lang w:val="fr-CH"/>
        </w:rPr>
        <w:t>a)</w:t>
      </w:r>
      <w:r w:rsidRPr="000744CA">
        <w:rPr>
          <w:b/>
          <w:bCs/>
          <w:lang w:val="fr-CH"/>
        </w:rPr>
        <w:tab/>
      </w:r>
      <w:r w:rsidR="00C45034" w:rsidRPr="000744CA">
        <w:rPr>
          <w:b/>
          <w:bCs/>
          <w:lang w:val="fr-CH"/>
        </w:rPr>
        <w:t xml:space="preserve">Apporter une assistance technique au </w:t>
      </w:r>
      <w:r w:rsidR="00621832" w:rsidRPr="000744CA">
        <w:rPr>
          <w:b/>
          <w:bCs/>
          <w:lang w:val="fr-CH"/>
        </w:rPr>
        <w:t xml:space="preserve">Gouvernement </w:t>
      </w:r>
      <w:r w:rsidR="00C45034" w:rsidRPr="000744CA">
        <w:rPr>
          <w:b/>
          <w:bCs/>
          <w:lang w:val="fr-CH"/>
        </w:rPr>
        <w:t>en vue:</w:t>
      </w:r>
    </w:p>
    <w:p w:rsidR="004C3606" w:rsidRPr="000744CA" w:rsidRDefault="005B1826" w:rsidP="00C36970">
      <w:pPr>
        <w:pStyle w:val="Bullet1G"/>
        <w:ind w:left="1871"/>
        <w:rPr>
          <w:b/>
          <w:bCs/>
          <w:lang w:val="fr-CH"/>
        </w:rPr>
      </w:pPr>
      <w:r w:rsidRPr="000744CA">
        <w:rPr>
          <w:b/>
          <w:bCs/>
          <w:lang w:val="fr-CH"/>
        </w:rPr>
        <w:t>De l</w:t>
      </w:r>
      <w:r w:rsidR="00E14762" w:rsidRPr="000744CA">
        <w:rPr>
          <w:b/>
          <w:bCs/>
          <w:lang w:val="fr-CH"/>
        </w:rPr>
        <w:t xml:space="preserve">a </w:t>
      </w:r>
      <w:r w:rsidR="00C45034" w:rsidRPr="000744CA">
        <w:rPr>
          <w:b/>
          <w:bCs/>
          <w:lang w:val="fr-CH"/>
        </w:rPr>
        <w:t xml:space="preserve">finalisation des processus d’adoption des textes juridiques </w:t>
      </w:r>
      <w:r w:rsidR="005E4000" w:rsidRPr="000744CA">
        <w:rPr>
          <w:b/>
          <w:bCs/>
          <w:lang w:val="fr-CH"/>
        </w:rPr>
        <w:t>relatifs à la protection des droits de l’homme</w:t>
      </w:r>
      <w:r w:rsidR="00F03ACD" w:rsidRPr="000744CA">
        <w:rPr>
          <w:b/>
          <w:bCs/>
          <w:lang w:val="fr-CH"/>
        </w:rPr>
        <w:t>;</w:t>
      </w:r>
    </w:p>
    <w:p w:rsidR="00C45034" w:rsidRPr="000744CA" w:rsidRDefault="005B1826" w:rsidP="00C36970">
      <w:pPr>
        <w:pStyle w:val="Bullet1G"/>
        <w:ind w:left="1871"/>
        <w:rPr>
          <w:b/>
          <w:bCs/>
          <w:lang w:val="fr-CH"/>
        </w:rPr>
      </w:pPr>
      <w:r w:rsidRPr="000744CA">
        <w:rPr>
          <w:b/>
          <w:bCs/>
          <w:lang w:val="fr-CH"/>
        </w:rPr>
        <w:t>De l</w:t>
      </w:r>
      <w:r w:rsidR="00E14762" w:rsidRPr="000744CA">
        <w:rPr>
          <w:b/>
          <w:bCs/>
          <w:lang w:val="fr-CH"/>
        </w:rPr>
        <w:t xml:space="preserve">a </w:t>
      </w:r>
      <w:r w:rsidR="00C45034" w:rsidRPr="000744CA">
        <w:rPr>
          <w:b/>
          <w:bCs/>
          <w:lang w:val="fr-CH"/>
        </w:rPr>
        <w:t>soumission des rapports attendus par les mécanismes internationaux des droits de l’homme;</w:t>
      </w:r>
    </w:p>
    <w:p w:rsidR="00C45034" w:rsidRPr="000744CA" w:rsidRDefault="005B1826" w:rsidP="00C36970">
      <w:pPr>
        <w:pStyle w:val="Bullet1G"/>
        <w:ind w:left="1871"/>
        <w:rPr>
          <w:b/>
          <w:bCs/>
          <w:lang w:val="fr-CH"/>
        </w:rPr>
      </w:pPr>
      <w:r w:rsidRPr="000744CA">
        <w:rPr>
          <w:b/>
          <w:bCs/>
          <w:lang w:val="fr-CH"/>
        </w:rPr>
        <w:t>Du</w:t>
      </w:r>
      <w:r w:rsidR="00E14762" w:rsidRPr="000744CA">
        <w:rPr>
          <w:b/>
          <w:bCs/>
          <w:lang w:val="fr-CH"/>
        </w:rPr>
        <w:t xml:space="preserve"> </w:t>
      </w:r>
      <w:r w:rsidR="00C45034" w:rsidRPr="000744CA">
        <w:rPr>
          <w:b/>
          <w:bCs/>
          <w:lang w:val="fr-CH"/>
        </w:rPr>
        <w:t>fonctionnement effectif et harmonieux des institutions des droits de l’homme</w:t>
      </w:r>
      <w:r w:rsidR="004C3606" w:rsidRPr="000744CA">
        <w:rPr>
          <w:b/>
          <w:bCs/>
          <w:lang w:val="fr-CH"/>
        </w:rPr>
        <w:t>,</w:t>
      </w:r>
      <w:r w:rsidR="00C45034" w:rsidRPr="000744CA">
        <w:rPr>
          <w:b/>
          <w:bCs/>
          <w:lang w:val="fr-CH"/>
        </w:rPr>
        <w:t xml:space="preserve"> notamment </w:t>
      </w:r>
      <w:r w:rsidR="004E1AC8" w:rsidRPr="000744CA">
        <w:rPr>
          <w:b/>
          <w:bCs/>
          <w:lang w:val="fr-CH"/>
        </w:rPr>
        <w:t xml:space="preserve">la Cellule de protection des défenseurs des droits de l’homme, </w:t>
      </w:r>
      <w:r w:rsidR="00C45034" w:rsidRPr="000744CA">
        <w:rPr>
          <w:b/>
          <w:bCs/>
          <w:lang w:val="fr-CH"/>
        </w:rPr>
        <w:t>la C</w:t>
      </w:r>
      <w:r w:rsidR="004C3606" w:rsidRPr="000744CA">
        <w:rPr>
          <w:b/>
          <w:bCs/>
          <w:lang w:val="fr-CH"/>
        </w:rPr>
        <w:t>NDH</w:t>
      </w:r>
      <w:r w:rsidR="00C45034" w:rsidRPr="000744CA">
        <w:rPr>
          <w:b/>
          <w:bCs/>
          <w:lang w:val="fr-CH"/>
        </w:rPr>
        <w:t xml:space="preserve">, </w:t>
      </w:r>
      <w:r w:rsidR="004E1AC8" w:rsidRPr="000744CA">
        <w:rPr>
          <w:b/>
          <w:bCs/>
          <w:lang w:val="fr-CH"/>
        </w:rPr>
        <w:t xml:space="preserve">le CIDH et </w:t>
      </w:r>
      <w:r w:rsidR="00C45034" w:rsidRPr="000744CA">
        <w:rPr>
          <w:b/>
          <w:bCs/>
          <w:lang w:val="fr-CH"/>
        </w:rPr>
        <w:t>l’Entité de liaison</w:t>
      </w:r>
      <w:r w:rsidR="00FC62E8" w:rsidRPr="000744CA">
        <w:rPr>
          <w:b/>
          <w:bCs/>
          <w:lang w:val="fr-CH"/>
        </w:rPr>
        <w:t xml:space="preserve"> des droits de l’homme</w:t>
      </w:r>
      <w:r w:rsidR="00C45034" w:rsidRPr="000744CA">
        <w:rPr>
          <w:b/>
          <w:bCs/>
          <w:lang w:val="fr-CH"/>
        </w:rPr>
        <w:t>.</w:t>
      </w:r>
    </w:p>
    <w:p w:rsidR="00C45034" w:rsidRPr="000744CA" w:rsidRDefault="00E14762" w:rsidP="00C36970">
      <w:pPr>
        <w:pStyle w:val="SingleTxtG"/>
        <w:ind w:firstLine="567"/>
        <w:rPr>
          <w:b/>
          <w:bCs/>
          <w:lang w:val="fr-CH"/>
        </w:rPr>
      </w:pPr>
      <w:r w:rsidRPr="000744CA">
        <w:rPr>
          <w:b/>
          <w:lang w:val="fr-CH"/>
        </w:rPr>
        <w:t>b)</w:t>
      </w:r>
      <w:r w:rsidRPr="000744CA">
        <w:rPr>
          <w:b/>
          <w:bCs/>
          <w:lang w:val="fr-CH"/>
        </w:rPr>
        <w:tab/>
      </w:r>
      <w:r w:rsidR="00C45034" w:rsidRPr="000744CA">
        <w:rPr>
          <w:b/>
          <w:bCs/>
          <w:lang w:val="fr-CH"/>
        </w:rPr>
        <w:t>Faire des droits économiques</w:t>
      </w:r>
      <w:r w:rsidR="0043538C" w:rsidRPr="000744CA">
        <w:rPr>
          <w:b/>
          <w:bCs/>
          <w:lang w:val="fr-CH"/>
        </w:rPr>
        <w:t xml:space="preserve"> et </w:t>
      </w:r>
      <w:r w:rsidR="00C45034" w:rsidRPr="000744CA">
        <w:rPr>
          <w:b/>
          <w:bCs/>
          <w:lang w:val="fr-CH"/>
        </w:rPr>
        <w:t>sociaux une priorité d’intervention</w:t>
      </w:r>
      <w:r w:rsidR="004C3606" w:rsidRPr="000744CA">
        <w:rPr>
          <w:b/>
          <w:bCs/>
          <w:lang w:val="fr-CH"/>
        </w:rPr>
        <w:t>,</w:t>
      </w:r>
      <w:r w:rsidR="00C45034" w:rsidRPr="000744CA">
        <w:rPr>
          <w:b/>
          <w:bCs/>
          <w:lang w:val="fr-CH"/>
        </w:rPr>
        <w:t xml:space="preserve"> notamment pour la vulgarisation des </w:t>
      </w:r>
      <w:r w:rsidR="005B1826" w:rsidRPr="000744CA">
        <w:rPr>
          <w:b/>
          <w:bCs/>
          <w:lang w:val="fr-CH"/>
        </w:rPr>
        <w:t xml:space="preserve">normes </w:t>
      </w:r>
      <w:r w:rsidR="00C45034" w:rsidRPr="000744CA">
        <w:rPr>
          <w:b/>
          <w:bCs/>
          <w:lang w:val="fr-CH"/>
        </w:rPr>
        <w:t>et principes des droits de l’homme</w:t>
      </w:r>
      <w:r w:rsidR="004C3606" w:rsidRPr="000744CA">
        <w:rPr>
          <w:b/>
          <w:bCs/>
          <w:lang w:val="fr-CH"/>
        </w:rPr>
        <w:t>,</w:t>
      </w:r>
      <w:r w:rsidR="00C45034" w:rsidRPr="000744CA">
        <w:rPr>
          <w:b/>
          <w:bCs/>
          <w:lang w:val="fr-CH"/>
        </w:rPr>
        <w:t xml:space="preserve"> </w:t>
      </w:r>
      <w:r w:rsidR="004C3575" w:rsidRPr="000744CA">
        <w:rPr>
          <w:b/>
          <w:bCs/>
          <w:lang w:val="fr-CH"/>
        </w:rPr>
        <w:t xml:space="preserve">y compris </w:t>
      </w:r>
      <w:r w:rsidR="00C45034" w:rsidRPr="000744CA">
        <w:rPr>
          <w:b/>
          <w:bCs/>
          <w:lang w:val="fr-CH"/>
        </w:rPr>
        <w:t>dans l’exploitation des ressources naturelles</w:t>
      </w:r>
      <w:r w:rsidR="00E632AB" w:rsidRPr="000744CA">
        <w:rPr>
          <w:b/>
          <w:bCs/>
          <w:lang w:val="fr-CH"/>
        </w:rPr>
        <w:t>.</w:t>
      </w:r>
    </w:p>
    <w:p w:rsidR="00C45034" w:rsidRPr="00850D17" w:rsidRDefault="00E14762" w:rsidP="00C36970">
      <w:pPr>
        <w:pStyle w:val="SingleTxtG"/>
        <w:ind w:firstLine="567"/>
        <w:rPr>
          <w:b/>
          <w:bCs/>
          <w:lang w:val="fr-CH"/>
        </w:rPr>
      </w:pPr>
      <w:r w:rsidRPr="000744CA">
        <w:rPr>
          <w:b/>
          <w:lang w:val="fr-CH"/>
        </w:rPr>
        <w:t>c)</w:t>
      </w:r>
      <w:r w:rsidRPr="000744CA">
        <w:rPr>
          <w:b/>
          <w:bCs/>
          <w:lang w:val="fr-CH"/>
        </w:rPr>
        <w:tab/>
      </w:r>
      <w:r w:rsidR="00C45034" w:rsidRPr="000744CA">
        <w:rPr>
          <w:b/>
          <w:bCs/>
          <w:lang w:val="fr-CH"/>
        </w:rPr>
        <w:t>Mettre en place un système de gestion des connaissances pour une meilleure préservation</w:t>
      </w:r>
      <w:r w:rsidR="00C45034" w:rsidRPr="00850D17">
        <w:rPr>
          <w:b/>
          <w:bCs/>
          <w:lang w:val="fr-CH"/>
        </w:rPr>
        <w:t xml:space="preserve"> de la mémoire institutionnelle afin d’assurer la documentation </w:t>
      </w:r>
      <w:r w:rsidR="004C3575" w:rsidRPr="00850D17">
        <w:rPr>
          <w:b/>
          <w:bCs/>
          <w:lang w:val="fr-CH"/>
        </w:rPr>
        <w:t xml:space="preserve">des interventions </w:t>
      </w:r>
      <w:r w:rsidR="00C45034" w:rsidRPr="00850D17">
        <w:rPr>
          <w:b/>
          <w:bCs/>
          <w:lang w:val="fr-CH"/>
        </w:rPr>
        <w:t xml:space="preserve">et la dissémination </w:t>
      </w:r>
      <w:r w:rsidR="004C3606" w:rsidRPr="00850D17">
        <w:rPr>
          <w:b/>
          <w:bCs/>
          <w:lang w:val="fr-CH"/>
        </w:rPr>
        <w:t xml:space="preserve">des </w:t>
      </w:r>
      <w:r w:rsidR="00C45034" w:rsidRPr="00850D17">
        <w:rPr>
          <w:b/>
          <w:bCs/>
          <w:lang w:val="fr-CH"/>
        </w:rPr>
        <w:t xml:space="preserve">résultats obtenus </w:t>
      </w:r>
      <w:r w:rsidR="00C038C5" w:rsidRPr="00850D17">
        <w:rPr>
          <w:b/>
          <w:bCs/>
          <w:lang w:val="fr-CH"/>
        </w:rPr>
        <w:t>auprès des décideurs politiques</w:t>
      </w:r>
      <w:r w:rsidR="00C45034" w:rsidRPr="00850D17">
        <w:rPr>
          <w:b/>
          <w:bCs/>
          <w:lang w:val="fr-CH"/>
        </w:rPr>
        <w:t>, du secteur privé</w:t>
      </w:r>
      <w:r w:rsidR="004C3575" w:rsidRPr="00850D17">
        <w:rPr>
          <w:b/>
          <w:bCs/>
          <w:lang w:val="fr-CH"/>
        </w:rPr>
        <w:t xml:space="preserve">, </w:t>
      </w:r>
      <w:r w:rsidR="00C45034" w:rsidRPr="00850D17">
        <w:rPr>
          <w:b/>
          <w:bCs/>
          <w:lang w:val="fr-CH"/>
        </w:rPr>
        <w:t>des communautés locales</w:t>
      </w:r>
      <w:r w:rsidR="004C3575" w:rsidRPr="00850D17">
        <w:rPr>
          <w:b/>
          <w:bCs/>
          <w:lang w:val="fr-CH"/>
        </w:rPr>
        <w:t xml:space="preserve"> et autres acteurs pertinents</w:t>
      </w:r>
      <w:r w:rsidR="00C45034" w:rsidRPr="00850D17">
        <w:rPr>
          <w:b/>
          <w:bCs/>
          <w:lang w:val="fr-CH"/>
        </w:rPr>
        <w:t>.</w:t>
      </w:r>
    </w:p>
    <w:p w:rsidR="00C45034" w:rsidRPr="005023BC" w:rsidRDefault="00BC0C54">
      <w:pPr>
        <w:pStyle w:val="H1G"/>
        <w:rPr>
          <w:rFonts w:eastAsia="SimSun"/>
          <w:lang w:val="fr-CH"/>
        </w:rPr>
      </w:pPr>
      <w:r w:rsidRPr="00850D17">
        <w:rPr>
          <w:rFonts w:eastAsia="SimSun"/>
          <w:lang w:val="fr-CH"/>
        </w:rPr>
        <w:tab/>
        <w:t>C.</w:t>
      </w:r>
      <w:r w:rsidRPr="00850D17">
        <w:rPr>
          <w:rFonts w:eastAsia="SimSun"/>
          <w:lang w:val="fr-CH"/>
        </w:rPr>
        <w:tab/>
      </w:r>
      <w:r w:rsidR="009D4075">
        <w:rPr>
          <w:rFonts w:eastAsia="SimSun"/>
          <w:lang w:val="fr-CH"/>
        </w:rPr>
        <w:t>À</w:t>
      </w:r>
      <w:r w:rsidR="00C45034" w:rsidRPr="00850D17">
        <w:rPr>
          <w:rFonts w:eastAsia="SimSun"/>
          <w:lang w:val="fr-CH"/>
        </w:rPr>
        <w:t xml:space="preserve"> la communauté internationale</w:t>
      </w:r>
    </w:p>
    <w:p w:rsidR="00C45034" w:rsidRPr="000744CA" w:rsidRDefault="00E14762" w:rsidP="00C36970">
      <w:pPr>
        <w:pStyle w:val="SingleTxtG"/>
        <w:ind w:firstLine="567"/>
        <w:rPr>
          <w:b/>
          <w:bCs/>
          <w:lang w:val="fr-CH"/>
        </w:rPr>
      </w:pPr>
      <w:r w:rsidRPr="000744CA">
        <w:rPr>
          <w:b/>
          <w:lang w:val="fr-CH"/>
        </w:rPr>
        <w:t>a)</w:t>
      </w:r>
      <w:r w:rsidRPr="000744CA">
        <w:rPr>
          <w:b/>
          <w:bCs/>
          <w:lang w:val="fr-CH"/>
        </w:rPr>
        <w:tab/>
      </w:r>
      <w:r w:rsidR="00C45034" w:rsidRPr="000744CA">
        <w:rPr>
          <w:b/>
          <w:bCs/>
          <w:lang w:val="fr-CH"/>
        </w:rPr>
        <w:t xml:space="preserve">Améliorer l’implication des autorités nationales et des bénéficiaires dans la conception, la mise en œuvre, le suivi et l’évaluation des projets </w:t>
      </w:r>
      <w:r w:rsidR="001677F7" w:rsidRPr="000744CA">
        <w:rPr>
          <w:b/>
          <w:bCs/>
          <w:lang w:val="fr-CH"/>
        </w:rPr>
        <w:t xml:space="preserve">portant sur </w:t>
      </w:r>
      <w:r w:rsidR="004C3606" w:rsidRPr="000744CA">
        <w:rPr>
          <w:b/>
          <w:bCs/>
          <w:lang w:val="fr-CH"/>
        </w:rPr>
        <w:t xml:space="preserve">la promotion et la protection des droits de l’homme </w:t>
      </w:r>
      <w:r w:rsidR="00C45034" w:rsidRPr="000744CA">
        <w:rPr>
          <w:b/>
          <w:bCs/>
          <w:lang w:val="fr-CH"/>
        </w:rPr>
        <w:t>afin de tenir compte de leurs priorités</w:t>
      </w:r>
      <w:r w:rsidR="005B1826" w:rsidRPr="000744CA">
        <w:rPr>
          <w:b/>
          <w:bCs/>
          <w:lang w:val="fr-CH"/>
        </w:rPr>
        <w:t xml:space="preserve"> </w:t>
      </w:r>
      <w:r w:rsidR="00C45034" w:rsidRPr="000744CA">
        <w:rPr>
          <w:b/>
          <w:bCs/>
          <w:lang w:val="fr-CH"/>
        </w:rPr>
        <w:t>pour un meilleur impact</w:t>
      </w:r>
      <w:r w:rsidR="00E632AB" w:rsidRPr="000744CA">
        <w:rPr>
          <w:b/>
          <w:bCs/>
          <w:lang w:val="fr-CH"/>
        </w:rPr>
        <w:t>.</w:t>
      </w:r>
    </w:p>
    <w:p w:rsidR="00C45034" w:rsidRPr="000744CA" w:rsidRDefault="00E14762" w:rsidP="00C36970">
      <w:pPr>
        <w:pStyle w:val="SingleTxtG"/>
        <w:ind w:firstLine="567"/>
        <w:rPr>
          <w:b/>
          <w:bCs/>
          <w:lang w:val="fr-CH"/>
        </w:rPr>
      </w:pPr>
      <w:r w:rsidRPr="000744CA">
        <w:rPr>
          <w:b/>
          <w:lang w:val="fr-CH"/>
        </w:rPr>
        <w:t>b)</w:t>
      </w:r>
      <w:r w:rsidRPr="000744CA">
        <w:rPr>
          <w:b/>
          <w:bCs/>
          <w:lang w:val="fr-CH"/>
        </w:rPr>
        <w:tab/>
      </w:r>
      <w:r w:rsidR="00C45034" w:rsidRPr="000744CA">
        <w:rPr>
          <w:b/>
          <w:bCs/>
          <w:lang w:val="fr-CH"/>
        </w:rPr>
        <w:t xml:space="preserve">Privilégier des interventions structurelles et de longue durée, y compris </w:t>
      </w:r>
      <w:r w:rsidR="004C3606" w:rsidRPr="000744CA">
        <w:rPr>
          <w:b/>
          <w:bCs/>
          <w:lang w:val="fr-CH"/>
        </w:rPr>
        <w:t>dans</w:t>
      </w:r>
      <w:r w:rsidR="00C45034" w:rsidRPr="000744CA">
        <w:rPr>
          <w:b/>
          <w:bCs/>
          <w:lang w:val="fr-CH"/>
        </w:rPr>
        <w:t xml:space="preserve"> </w:t>
      </w:r>
      <w:r w:rsidR="005A4D51" w:rsidRPr="000744CA">
        <w:rPr>
          <w:b/>
          <w:bCs/>
          <w:lang w:val="fr-CH"/>
        </w:rPr>
        <w:t>l’</w:t>
      </w:r>
      <w:r w:rsidR="00572B0E" w:rsidRPr="000744CA">
        <w:rPr>
          <w:b/>
          <w:bCs/>
          <w:lang w:val="fr-CH"/>
        </w:rPr>
        <w:t>o</w:t>
      </w:r>
      <w:r w:rsidR="005A4D51" w:rsidRPr="000744CA">
        <w:rPr>
          <w:b/>
          <w:bCs/>
          <w:lang w:val="fr-CH"/>
        </w:rPr>
        <w:t xml:space="preserve">uest </w:t>
      </w:r>
      <w:r w:rsidR="00C45034" w:rsidRPr="000744CA">
        <w:rPr>
          <w:b/>
          <w:bCs/>
          <w:lang w:val="fr-CH"/>
        </w:rPr>
        <w:t>du pays</w:t>
      </w:r>
      <w:r w:rsidR="004C3606" w:rsidRPr="000744CA">
        <w:rPr>
          <w:b/>
          <w:bCs/>
          <w:lang w:val="fr-CH"/>
        </w:rPr>
        <w:t>,</w:t>
      </w:r>
      <w:r w:rsidR="00C45034" w:rsidRPr="000744CA">
        <w:rPr>
          <w:b/>
          <w:bCs/>
          <w:lang w:val="fr-CH"/>
        </w:rPr>
        <w:t xml:space="preserve"> pour </w:t>
      </w:r>
      <w:r w:rsidR="004C3606" w:rsidRPr="000744CA">
        <w:rPr>
          <w:b/>
          <w:bCs/>
          <w:lang w:val="fr-CH"/>
        </w:rPr>
        <w:t>optimiser leur impact à long terme</w:t>
      </w:r>
      <w:r w:rsidR="00E632AB" w:rsidRPr="000744CA">
        <w:rPr>
          <w:b/>
          <w:bCs/>
          <w:lang w:val="fr-CH"/>
        </w:rPr>
        <w:t>.</w:t>
      </w:r>
    </w:p>
    <w:p w:rsidR="003A3F11" w:rsidRPr="00850D17" w:rsidRDefault="00E14762" w:rsidP="00C36970">
      <w:pPr>
        <w:pStyle w:val="SingleTxtG"/>
        <w:ind w:firstLine="567"/>
        <w:rPr>
          <w:b/>
          <w:bCs/>
          <w:lang w:val="fr-CH"/>
        </w:rPr>
      </w:pPr>
      <w:r w:rsidRPr="000744CA">
        <w:rPr>
          <w:b/>
          <w:lang w:val="fr-CH"/>
        </w:rPr>
        <w:t>c)</w:t>
      </w:r>
      <w:r w:rsidRPr="000744CA">
        <w:rPr>
          <w:b/>
          <w:bCs/>
          <w:lang w:val="fr-CH"/>
        </w:rPr>
        <w:tab/>
      </w:r>
      <w:r w:rsidR="005E4000" w:rsidRPr="000744CA">
        <w:rPr>
          <w:b/>
          <w:bCs/>
          <w:lang w:val="fr-CH"/>
        </w:rPr>
        <w:t xml:space="preserve">Coordonner la mise en œuvre et le suivi des interventions relatives à </w:t>
      </w:r>
      <w:r w:rsidR="00C45034" w:rsidRPr="000744CA">
        <w:rPr>
          <w:b/>
          <w:bCs/>
          <w:lang w:val="fr-CH"/>
        </w:rPr>
        <w:t>l’assistance</w:t>
      </w:r>
      <w:r w:rsidR="00C45034" w:rsidRPr="00850D17">
        <w:rPr>
          <w:b/>
          <w:bCs/>
          <w:lang w:val="fr-CH"/>
        </w:rPr>
        <w:t xml:space="preserve"> </w:t>
      </w:r>
      <w:r w:rsidR="005E4000" w:rsidRPr="00850D17">
        <w:rPr>
          <w:b/>
          <w:bCs/>
          <w:lang w:val="fr-CH"/>
        </w:rPr>
        <w:t xml:space="preserve">technique </w:t>
      </w:r>
      <w:r w:rsidR="00C45034" w:rsidRPr="00850D17">
        <w:rPr>
          <w:b/>
          <w:bCs/>
          <w:lang w:val="fr-CH"/>
        </w:rPr>
        <w:t>pour améliorer l</w:t>
      </w:r>
      <w:r w:rsidR="005E4000" w:rsidRPr="00850D17">
        <w:rPr>
          <w:b/>
          <w:bCs/>
          <w:lang w:val="fr-CH"/>
        </w:rPr>
        <w:t xml:space="preserve">eur </w:t>
      </w:r>
      <w:r w:rsidR="00C45034" w:rsidRPr="00850D17">
        <w:rPr>
          <w:b/>
          <w:bCs/>
          <w:lang w:val="fr-CH"/>
        </w:rPr>
        <w:t xml:space="preserve">efficacité et </w:t>
      </w:r>
      <w:r w:rsidR="004C3575" w:rsidRPr="00850D17">
        <w:rPr>
          <w:b/>
          <w:bCs/>
          <w:lang w:val="fr-CH"/>
        </w:rPr>
        <w:t xml:space="preserve">leur </w:t>
      </w:r>
      <w:r w:rsidR="004C3606" w:rsidRPr="00850D17">
        <w:rPr>
          <w:b/>
          <w:bCs/>
          <w:lang w:val="fr-CH"/>
        </w:rPr>
        <w:t>impact</w:t>
      </w:r>
      <w:r w:rsidR="00C45034" w:rsidRPr="00850D17">
        <w:rPr>
          <w:b/>
          <w:bCs/>
          <w:lang w:val="fr-CH"/>
        </w:rPr>
        <w:t>.</w:t>
      </w:r>
    </w:p>
    <w:p w:rsidR="00101FE5" w:rsidRPr="00C36970" w:rsidRDefault="00101FE5" w:rsidP="00101FE5">
      <w:pPr>
        <w:pStyle w:val="SingleTxtG"/>
        <w:spacing w:before="240" w:after="0"/>
        <w:jc w:val="center"/>
        <w:rPr>
          <w:u w:val="single"/>
          <w:lang w:val="fr-CH"/>
        </w:rPr>
      </w:pPr>
      <w:r w:rsidRPr="00C36970">
        <w:rPr>
          <w:u w:val="single"/>
          <w:lang w:val="fr-CH"/>
        </w:rPr>
        <w:tab/>
      </w:r>
      <w:r w:rsidRPr="00C36970">
        <w:rPr>
          <w:u w:val="single"/>
          <w:lang w:val="fr-CH"/>
        </w:rPr>
        <w:tab/>
      </w:r>
      <w:r w:rsidRPr="00C36970">
        <w:rPr>
          <w:u w:val="single"/>
          <w:lang w:val="fr-CH"/>
        </w:rPr>
        <w:tab/>
      </w:r>
    </w:p>
    <w:sectPr w:rsidR="00101FE5" w:rsidRPr="00C36970" w:rsidSect="00AA3D92">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6T16:46:00Z" w:initials="Start">
    <w:p w:rsidR="00AA3D92" w:rsidRDefault="00AA3D9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NO&gt;&gt;N1518952F&lt;&lt;ODS JOB NO&gt;&gt;</w:t>
      </w:r>
    </w:p>
    <w:p w:rsidR="00AA3D92" w:rsidRDefault="00AA3D92">
      <w:pPr>
        <w:pStyle w:val="CommentText"/>
      </w:pPr>
      <w:r>
        <w:t>&lt;&lt;ODS DOC SYMBOL1&gt;&gt;A/HRC/30/33&lt;&lt;ODS DOC SYMBOL1&gt;&gt;</w:t>
      </w:r>
    </w:p>
    <w:p w:rsidR="00AA3D92" w:rsidRDefault="00AA3D9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2B" w:rsidRDefault="00552B2B"/>
  </w:endnote>
  <w:endnote w:type="continuationSeparator" w:id="0">
    <w:p w:rsidR="00552B2B" w:rsidRDefault="00552B2B"/>
  </w:endnote>
  <w:endnote w:type="continuationNotice" w:id="1">
    <w:p w:rsidR="00552B2B" w:rsidRDefault="00552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E3" w:rsidRPr="003B6054" w:rsidRDefault="00DC48E3" w:rsidP="003B6054">
    <w:pPr>
      <w:pStyle w:val="Footer"/>
      <w:tabs>
        <w:tab w:val="right" w:pos="9638"/>
      </w:tabs>
    </w:pPr>
    <w:r w:rsidRPr="003B6054">
      <w:rPr>
        <w:b/>
        <w:sz w:val="18"/>
      </w:rPr>
      <w:fldChar w:fldCharType="begin"/>
    </w:r>
    <w:r w:rsidRPr="003B6054">
      <w:rPr>
        <w:b/>
        <w:sz w:val="18"/>
      </w:rPr>
      <w:instrText xml:space="preserve"> PAGE  \* MERGEFORMAT </w:instrText>
    </w:r>
    <w:r w:rsidRPr="003B6054">
      <w:rPr>
        <w:b/>
        <w:sz w:val="18"/>
      </w:rPr>
      <w:fldChar w:fldCharType="separate"/>
    </w:r>
    <w:r w:rsidR="00AA3D92">
      <w:rPr>
        <w:b/>
        <w:noProof/>
        <w:sz w:val="18"/>
      </w:rPr>
      <w:t>2</w:t>
    </w:r>
    <w:r w:rsidRPr="003B605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E3" w:rsidRPr="003B6054" w:rsidRDefault="00DC48E3" w:rsidP="003B6054">
    <w:pPr>
      <w:pStyle w:val="Footer"/>
      <w:tabs>
        <w:tab w:val="right" w:pos="9638"/>
      </w:tabs>
      <w:rPr>
        <w:b/>
        <w:sz w:val="18"/>
      </w:rPr>
    </w:pPr>
    <w:r>
      <w:tab/>
    </w:r>
    <w:r w:rsidRPr="003B6054">
      <w:rPr>
        <w:b/>
        <w:sz w:val="18"/>
      </w:rPr>
      <w:fldChar w:fldCharType="begin"/>
    </w:r>
    <w:r w:rsidRPr="003B6054">
      <w:rPr>
        <w:b/>
        <w:sz w:val="18"/>
      </w:rPr>
      <w:instrText xml:space="preserve"> PAGE  \* MERGEFORMAT </w:instrText>
    </w:r>
    <w:r w:rsidRPr="003B6054">
      <w:rPr>
        <w:b/>
        <w:sz w:val="18"/>
      </w:rPr>
      <w:fldChar w:fldCharType="separate"/>
    </w:r>
    <w:r w:rsidR="00AA3D92">
      <w:rPr>
        <w:b/>
        <w:noProof/>
        <w:sz w:val="18"/>
      </w:rPr>
      <w:t>3</w:t>
    </w:r>
    <w:r w:rsidRPr="003B605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A3D92" w:rsidTr="00AA3D92">
      <w:tc>
        <w:tcPr>
          <w:tcW w:w="3614" w:type="dxa"/>
          <w:shd w:val="clear" w:color="auto" w:fill="auto"/>
        </w:tcPr>
        <w:p w:rsidR="00AA3D92" w:rsidRDefault="00AA3D92" w:rsidP="00AA3D92">
          <w:pPr>
            <w:pStyle w:val="Footer"/>
            <w:rPr>
              <w:sz w:val="20"/>
            </w:rPr>
          </w:pPr>
          <w:r>
            <w:rPr>
              <w:noProof/>
              <w:sz w:val="20"/>
              <w:lang w:val="en-US"/>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33&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3&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GE.15-14279 (F)</w:t>
          </w:r>
        </w:p>
        <w:p w:rsidR="00AA3D92" w:rsidRPr="00AA3D92" w:rsidRDefault="00AA3D92" w:rsidP="00AA3D92">
          <w:pPr>
            <w:pStyle w:val="Footer"/>
            <w:rPr>
              <w:rFonts w:ascii="Barcode 3 of 9 by request" w:hAnsi="Barcode 3 of 9 by request"/>
              <w:sz w:val="24"/>
            </w:rPr>
          </w:pPr>
          <w:r>
            <w:rPr>
              <w:rFonts w:ascii="Barcode 3 of 9 by request" w:hAnsi="Barcode 3 of 9 by request"/>
              <w:sz w:val="24"/>
            </w:rPr>
            <w:t>*1514279*</w:t>
          </w:r>
        </w:p>
      </w:tc>
      <w:tc>
        <w:tcPr>
          <w:tcW w:w="4752" w:type="dxa"/>
          <w:shd w:val="clear" w:color="auto" w:fill="auto"/>
        </w:tcPr>
        <w:p w:rsidR="00AA3D92" w:rsidRDefault="00AA3D92" w:rsidP="00AA3D92">
          <w:pPr>
            <w:pStyle w:val="Footer"/>
            <w:spacing w:line="240" w:lineRule="atLeast"/>
            <w:jc w:val="right"/>
            <w:rPr>
              <w:sz w:val="20"/>
            </w:rPr>
          </w:pPr>
          <w:r>
            <w:rPr>
              <w:noProof/>
              <w:sz w:val="20"/>
              <w:lang w:val="en-US"/>
            </w:rPr>
            <w:drawing>
              <wp:inline distT="0" distB="0" distL="0" distR="0">
                <wp:extent cx="1109474" cy="23164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A3D92" w:rsidRPr="00AA3D92" w:rsidRDefault="00AA3D92" w:rsidP="00AA3D9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2B" w:rsidRPr="000B175B" w:rsidRDefault="00552B2B" w:rsidP="000B175B">
      <w:pPr>
        <w:tabs>
          <w:tab w:val="right" w:pos="2155"/>
        </w:tabs>
        <w:spacing w:after="80"/>
        <w:ind w:left="680"/>
        <w:rPr>
          <w:u w:val="single"/>
        </w:rPr>
      </w:pPr>
      <w:r>
        <w:rPr>
          <w:u w:val="single"/>
        </w:rPr>
        <w:tab/>
      </w:r>
    </w:p>
  </w:footnote>
  <w:footnote w:type="continuationSeparator" w:id="0">
    <w:p w:rsidR="00552B2B" w:rsidRPr="00FC68B7" w:rsidRDefault="00552B2B" w:rsidP="00FC68B7">
      <w:pPr>
        <w:tabs>
          <w:tab w:val="left" w:pos="2155"/>
        </w:tabs>
        <w:spacing w:after="80"/>
        <w:ind w:left="680"/>
        <w:rPr>
          <w:u w:val="single"/>
        </w:rPr>
      </w:pPr>
      <w:r>
        <w:rPr>
          <w:u w:val="single"/>
        </w:rPr>
        <w:tab/>
      </w:r>
    </w:p>
  </w:footnote>
  <w:footnote w:type="continuationNotice" w:id="1">
    <w:p w:rsidR="00552B2B" w:rsidRDefault="00552B2B"/>
  </w:footnote>
  <w:footnote w:id="2">
    <w:p w:rsidR="00DC48E3" w:rsidRPr="003C14DF" w:rsidRDefault="00DC48E3" w:rsidP="00C36970">
      <w:pPr>
        <w:pStyle w:val="FootnoteText"/>
        <w:rPr>
          <w:lang w:val="fr-FR"/>
        </w:rPr>
      </w:pPr>
      <w:r>
        <w:rPr>
          <w:lang w:val="fr-FR"/>
        </w:rPr>
        <w:tab/>
      </w:r>
      <w:r w:rsidRPr="00E316D8">
        <w:rPr>
          <w:rStyle w:val="FootnoteReference"/>
        </w:rPr>
        <w:footnoteRef/>
      </w:r>
      <w:r>
        <w:rPr>
          <w:lang w:val="fr-FR"/>
        </w:rPr>
        <w:tab/>
        <w:t xml:space="preserve">Le BCNUDH a été </w:t>
      </w:r>
      <w:r w:rsidRPr="003C14DF">
        <w:rPr>
          <w:lang w:val="fr-FR"/>
        </w:rPr>
        <w:t xml:space="preserve">établi en 2008 suite à la fusion entre le bureau du HCDH en </w:t>
      </w:r>
      <w:r>
        <w:rPr>
          <w:lang w:val="fr-FR"/>
        </w:rPr>
        <w:t>République démocratique du Congo</w:t>
      </w:r>
      <w:r w:rsidRPr="003C14DF">
        <w:rPr>
          <w:lang w:val="fr-FR"/>
        </w:rPr>
        <w:t xml:space="preserve"> (créé en 199</w:t>
      </w:r>
      <w:r>
        <w:rPr>
          <w:lang w:val="fr-FR"/>
        </w:rPr>
        <w:t>6</w:t>
      </w:r>
      <w:r w:rsidRPr="003C14DF">
        <w:rPr>
          <w:lang w:val="fr-FR"/>
        </w:rPr>
        <w:t>) et la</w:t>
      </w:r>
      <w:r>
        <w:rPr>
          <w:lang w:val="fr-FR"/>
        </w:rPr>
        <w:t xml:space="preserve"> </w:t>
      </w:r>
      <w:r w:rsidRPr="003C14DF">
        <w:rPr>
          <w:lang w:val="fr-FR"/>
        </w:rPr>
        <w:t>composante droits de l’homme de la M</w:t>
      </w:r>
      <w:r>
        <w:rPr>
          <w:lang w:val="fr-FR"/>
        </w:rPr>
        <w:t>ission de l</w:t>
      </w:r>
      <w:r w:rsidRPr="003509C4">
        <w:rPr>
          <w:lang w:val="fr-FR"/>
        </w:rPr>
        <w:t>’</w:t>
      </w:r>
      <w:r>
        <w:rPr>
          <w:lang w:val="fr-FR"/>
        </w:rPr>
        <w:t>Organisation des Nations Unies en République démocratique du Congo</w:t>
      </w:r>
      <w:r w:rsidRPr="003C14DF">
        <w:rPr>
          <w:lang w:val="fr-FR"/>
        </w:rPr>
        <w:t>.</w:t>
      </w:r>
    </w:p>
  </w:footnote>
  <w:footnote w:id="3">
    <w:p w:rsidR="00DC48E3" w:rsidRPr="00D46E13" w:rsidRDefault="00DC48E3" w:rsidP="00EF3A04">
      <w:pPr>
        <w:pStyle w:val="FootnoteText"/>
        <w:rPr>
          <w:lang w:val="fr-FR"/>
        </w:rPr>
      </w:pPr>
      <w:r>
        <w:rPr>
          <w:lang w:val="fr-FR"/>
        </w:rPr>
        <w:tab/>
      </w:r>
      <w:r w:rsidRPr="00E316D8">
        <w:rPr>
          <w:rStyle w:val="FootnoteReference"/>
        </w:rPr>
        <w:footnoteRef/>
      </w:r>
      <w:r>
        <w:rPr>
          <w:lang w:val="fr-FR"/>
        </w:rPr>
        <w:tab/>
      </w:r>
      <w:r w:rsidRPr="0004724E">
        <w:rPr>
          <w:lang w:val="fr-FR"/>
        </w:rPr>
        <w:t>L’</w:t>
      </w:r>
      <w:r>
        <w:rPr>
          <w:lang w:val="fr-FR"/>
        </w:rPr>
        <w:t>é</w:t>
      </w:r>
      <w:r w:rsidRPr="0004724E">
        <w:rPr>
          <w:lang w:val="fr-FR"/>
        </w:rPr>
        <w:t xml:space="preserve">quipe </w:t>
      </w:r>
      <w:r>
        <w:rPr>
          <w:lang w:val="fr-FR"/>
        </w:rPr>
        <w:t xml:space="preserve">de </w:t>
      </w:r>
      <w:r w:rsidRPr="0004724E">
        <w:rPr>
          <w:lang w:val="fr-FR"/>
        </w:rPr>
        <w:t xml:space="preserve">pays des Nations </w:t>
      </w:r>
      <w:r>
        <w:rPr>
          <w:lang w:val="fr-FR"/>
        </w:rPr>
        <w:t>U</w:t>
      </w:r>
      <w:r w:rsidRPr="0004724E">
        <w:rPr>
          <w:lang w:val="fr-FR"/>
        </w:rPr>
        <w:t xml:space="preserve">nies est composée d’une vingtaine d’entités </w:t>
      </w:r>
      <w:r>
        <w:rPr>
          <w:lang w:val="fr-FR"/>
        </w:rPr>
        <w:t>–</w:t>
      </w:r>
      <w:r w:rsidRPr="0004724E">
        <w:rPr>
          <w:lang w:val="fr-FR"/>
        </w:rPr>
        <w:t xml:space="preserve"> </w:t>
      </w:r>
      <w:r>
        <w:rPr>
          <w:lang w:val="fr-FR"/>
        </w:rPr>
        <w:t>f</w:t>
      </w:r>
      <w:r w:rsidRPr="0004724E">
        <w:rPr>
          <w:lang w:val="fr-FR"/>
        </w:rPr>
        <w:t>onds, programmes, agences résidentes et non résidentes.</w:t>
      </w:r>
      <w:r w:rsidRPr="002F6CF7">
        <w:rPr>
          <w:lang w:val="fr-FR"/>
        </w:rPr>
        <w:t xml:space="preserve"> </w:t>
      </w:r>
    </w:p>
  </w:footnote>
  <w:footnote w:id="4">
    <w:p w:rsidR="00DC48E3" w:rsidRPr="005C5CD7" w:rsidRDefault="00DC48E3" w:rsidP="00101FE5">
      <w:pPr>
        <w:pStyle w:val="FootnoteText"/>
        <w:rPr>
          <w:rStyle w:val="FootnoteReference"/>
          <w:szCs w:val="18"/>
          <w:vertAlign w:val="baseline"/>
          <w:lang w:val="fr-FR"/>
        </w:rPr>
      </w:pPr>
      <w:r>
        <w:rPr>
          <w:szCs w:val="18"/>
          <w:lang w:val="fr-FR"/>
        </w:rPr>
        <w:tab/>
      </w:r>
      <w:r w:rsidRPr="00E316D8">
        <w:rPr>
          <w:rStyle w:val="FootnoteReference"/>
        </w:rPr>
        <w:footnoteRef/>
      </w:r>
      <w:r>
        <w:rPr>
          <w:szCs w:val="18"/>
          <w:lang w:val="fr-FR"/>
        </w:rPr>
        <w:tab/>
      </w:r>
      <w:r w:rsidRPr="005C5CD7">
        <w:rPr>
          <w:rStyle w:val="FootnoteReference"/>
          <w:szCs w:val="18"/>
          <w:vertAlign w:val="baseline"/>
          <w:lang w:val="fr-FR"/>
        </w:rPr>
        <w:t>Données cumulées des rapports de performance de la MONUSCO de</w:t>
      </w:r>
      <w:r>
        <w:rPr>
          <w:rStyle w:val="FootnoteReference"/>
          <w:szCs w:val="18"/>
          <w:vertAlign w:val="baseline"/>
          <w:lang w:val="fr-FR"/>
        </w:rPr>
        <w:t xml:space="preserve"> </w:t>
      </w:r>
      <w:r w:rsidRPr="005C5CD7">
        <w:rPr>
          <w:rStyle w:val="FootnoteReference"/>
          <w:szCs w:val="18"/>
          <w:vertAlign w:val="baseline"/>
          <w:lang w:val="fr-FR"/>
        </w:rPr>
        <w:t xml:space="preserve">2009 à 2014. </w:t>
      </w:r>
    </w:p>
  </w:footnote>
  <w:footnote w:id="5">
    <w:p w:rsidR="00DC48E3" w:rsidRPr="005C5CD7" w:rsidRDefault="00DC48E3" w:rsidP="00101FE5">
      <w:pPr>
        <w:pStyle w:val="FootnoteText"/>
        <w:rPr>
          <w:rStyle w:val="FootnoteReference"/>
          <w:szCs w:val="18"/>
          <w:vertAlign w:val="baseline"/>
          <w:lang w:val="fr-FR"/>
        </w:rPr>
      </w:pPr>
      <w:r>
        <w:rPr>
          <w:rStyle w:val="FootnoteReference"/>
          <w:szCs w:val="18"/>
          <w:vertAlign w:val="baseline"/>
          <w:lang w:val="fr-FR"/>
        </w:rPr>
        <w:tab/>
      </w:r>
      <w:r w:rsidRPr="00E316D8">
        <w:rPr>
          <w:rStyle w:val="FootnoteReference"/>
        </w:rPr>
        <w:footnoteRef/>
      </w:r>
      <w:r>
        <w:rPr>
          <w:rStyle w:val="FootnoteReference"/>
          <w:szCs w:val="18"/>
          <w:vertAlign w:val="baseline"/>
          <w:lang w:val="fr-FR"/>
        </w:rPr>
        <w:tab/>
      </w:r>
      <w:r w:rsidRPr="005C5CD7">
        <w:rPr>
          <w:rStyle w:val="FootnoteReference"/>
          <w:szCs w:val="18"/>
          <w:vertAlign w:val="baseline"/>
          <w:lang w:val="fr-FR"/>
        </w:rPr>
        <w:t xml:space="preserve">En décembre 2003, à Songo-Mboyo, des militaires des FARDC ont commis des viols massifs de femmes et de filles. Les jugements en appel définitifs ont été rendus en 2007 par le tribunal militaire de la garnison de Mbandaka siégeant en chambre foraine à Songo-Mboyo. </w:t>
      </w:r>
    </w:p>
  </w:footnote>
  <w:footnote w:id="6">
    <w:p w:rsidR="00DC48E3" w:rsidRPr="001D1C89" w:rsidRDefault="00DC48E3" w:rsidP="00101FE5">
      <w:pPr>
        <w:pStyle w:val="FootnoteText"/>
        <w:rPr>
          <w:lang w:val="fr-CH"/>
        </w:rPr>
      </w:pPr>
      <w:r>
        <w:rPr>
          <w:rStyle w:val="FootnoteReference"/>
          <w:szCs w:val="18"/>
          <w:vertAlign w:val="baseline"/>
          <w:lang w:val="fr-FR"/>
        </w:rPr>
        <w:tab/>
      </w:r>
      <w:r w:rsidRPr="00E316D8">
        <w:rPr>
          <w:rStyle w:val="FootnoteReference"/>
        </w:rPr>
        <w:footnoteRef/>
      </w:r>
      <w:r>
        <w:rPr>
          <w:rStyle w:val="FootnoteReference"/>
          <w:szCs w:val="18"/>
          <w:vertAlign w:val="baseline"/>
          <w:lang w:val="fr-FR"/>
        </w:rPr>
        <w:tab/>
      </w:r>
      <w:r w:rsidRPr="005C5CD7">
        <w:rPr>
          <w:rStyle w:val="FootnoteReference"/>
          <w:szCs w:val="18"/>
          <w:vertAlign w:val="baseline"/>
          <w:lang w:val="fr-FR"/>
        </w:rPr>
        <w:t>Base de données du BCNUDH, 2011-2014.</w:t>
      </w:r>
    </w:p>
  </w:footnote>
  <w:footnote w:id="7">
    <w:p w:rsidR="00DC48E3" w:rsidRPr="00414EDE" w:rsidRDefault="00DC48E3" w:rsidP="00101FE5">
      <w:pPr>
        <w:pStyle w:val="FootnoteText"/>
        <w:rPr>
          <w:lang w:val="fr-FR"/>
        </w:rPr>
      </w:pPr>
      <w:r>
        <w:rPr>
          <w:lang w:val="fr-CH"/>
        </w:rPr>
        <w:tab/>
      </w:r>
      <w:r w:rsidRPr="00E316D8">
        <w:rPr>
          <w:rStyle w:val="FootnoteReference"/>
        </w:rPr>
        <w:footnoteRef/>
      </w:r>
      <w:r>
        <w:rPr>
          <w:lang w:val="fr-CH"/>
        </w:rPr>
        <w:tab/>
      </w:r>
      <w:r w:rsidRPr="00061E2A">
        <w:rPr>
          <w:lang w:val="fr-CH"/>
        </w:rPr>
        <w:t xml:space="preserve">Les recommandations notées portent notamment sur l’abolition de la peine de mort, l’adoption de lois sur la protection des défenseurs des droits de l’homme et l’adhésion à certains instruments non encore ratifiés. </w:t>
      </w:r>
    </w:p>
  </w:footnote>
  <w:footnote w:id="8">
    <w:p w:rsidR="00DC48E3" w:rsidRPr="00061E2A" w:rsidRDefault="00DC48E3" w:rsidP="00B127E5">
      <w:pPr>
        <w:pStyle w:val="FootnoteText"/>
        <w:rPr>
          <w:lang w:val="fr-CH"/>
        </w:rPr>
      </w:pPr>
      <w:r>
        <w:rPr>
          <w:lang w:val="fr-CH"/>
        </w:rPr>
        <w:tab/>
      </w:r>
      <w:r w:rsidRPr="00E316D8">
        <w:rPr>
          <w:rStyle w:val="FootnoteReference"/>
        </w:rPr>
        <w:footnoteRef/>
      </w:r>
      <w:r>
        <w:rPr>
          <w:lang w:val="fr-CH"/>
        </w:rPr>
        <w:tab/>
      </w:r>
      <w:r w:rsidRPr="00061E2A">
        <w:rPr>
          <w:lang w:val="fr-CH"/>
        </w:rPr>
        <w:t>Rapporteur spécial sur les exécutions extrajudiciaires, sommaires ou arbitraires (2009); Rapporteur spécial sur les droits de l</w:t>
      </w:r>
      <w:r>
        <w:rPr>
          <w:lang w:val="fr-CH"/>
        </w:rPr>
        <w:t>’</w:t>
      </w:r>
      <w:r w:rsidRPr="00061E2A">
        <w:rPr>
          <w:lang w:val="fr-CH"/>
        </w:rPr>
        <w:t xml:space="preserve">homme des personnes déplacées </w:t>
      </w:r>
      <w:r>
        <w:rPr>
          <w:lang w:val="fr-CH"/>
        </w:rPr>
        <w:t>dans leur propre pays</w:t>
      </w:r>
      <w:r w:rsidRPr="00061E2A">
        <w:rPr>
          <w:lang w:val="fr-CH"/>
        </w:rPr>
        <w:t xml:space="preserve"> (2008, 2009)</w:t>
      </w:r>
      <w:r>
        <w:rPr>
          <w:lang w:val="fr-CH"/>
        </w:rPr>
        <w:t>;</w:t>
      </w:r>
      <w:r w:rsidRPr="00061E2A">
        <w:rPr>
          <w:lang w:val="fr-CH"/>
        </w:rPr>
        <w:t xml:space="preserve"> Rapporteur spécial sur la situation des défenseurs des droits de l’homme (2009)</w:t>
      </w:r>
      <w:r>
        <w:rPr>
          <w:lang w:val="fr-CH"/>
        </w:rPr>
        <w:t>;</w:t>
      </w:r>
      <w:r w:rsidRPr="00061E2A">
        <w:rPr>
          <w:lang w:val="fr-CH"/>
        </w:rPr>
        <w:t xml:space="preserve"> </w:t>
      </w:r>
      <w:r>
        <w:rPr>
          <w:lang w:val="fr-CH"/>
        </w:rPr>
        <w:t>E</w:t>
      </w:r>
      <w:r w:rsidRPr="00061E2A">
        <w:rPr>
          <w:lang w:val="fr-CH"/>
        </w:rPr>
        <w:t xml:space="preserve">xpert indépendant chargé d’examiner les effets de la dette extérieure et des obligations financières internationales connexes des États sur le plein exercice de tous les droits de l’homme, en particulier des droits économiques, sociaux et culturels (2011). </w:t>
      </w:r>
    </w:p>
  </w:footnote>
  <w:footnote w:id="9">
    <w:p w:rsidR="00DC48E3" w:rsidRPr="003C14DF" w:rsidRDefault="00DC48E3">
      <w:pPr>
        <w:pStyle w:val="FootnoteText"/>
        <w:rPr>
          <w:lang w:val="fr-FR"/>
        </w:rPr>
      </w:pPr>
      <w:r>
        <w:rPr>
          <w:lang w:val="fr-CH"/>
        </w:rPr>
        <w:tab/>
      </w:r>
      <w:r w:rsidRPr="00E316D8">
        <w:rPr>
          <w:rStyle w:val="FootnoteReference"/>
        </w:rPr>
        <w:footnoteRef/>
      </w:r>
      <w:r>
        <w:rPr>
          <w:lang w:val="fr-CH"/>
        </w:rPr>
        <w:tab/>
      </w:r>
      <w:r w:rsidRPr="00061E2A">
        <w:rPr>
          <w:lang w:val="fr-CH"/>
        </w:rPr>
        <w:t xml:space="preserve">Principes concernant le statut des institutions nationales pour la promotion </w:t>
      </w:r>
      <w:r>
        <w:rPr>
          <w:lang w:val="fr-CH"/>
        </w:rPr>
        <w:t xml:space="preserve">et </w:t>
      </w:r>
      <w:r w:rsidRPr="00061E2A">
        <w:rPr>
          <w:lang w:val="fr-CH"/>
        </w:rPr>
        <w:t>la protection des droits de l</w:t>
      </w:r>
      <w:r>
        <w:rPr>
          <w:lang w:val="fr-CH"/>
        </w:rPr>
        <w:t>’</w:t>
      </w:r>
      <w:r w:rsidRPr="00061E2A">
        <w:rPr>
          <w:lang w:val="fr-CH"/>
        </w:rPr>
        <w:t>homme approuvés par l</w:t>
      </w:r>
      <w:r>
        <w:rPr>
          <w:lang w:val="fr-CH"/>
        </w:rPr>
        <w:t>’</w:t>
      </w:r>
      <w:r w:rsidRPr="00061E2A">
        <w:rPr>
          <w:lang w:val="fr-CH"/>
        </w:rPr>
        <w:t>Assemblée générale (résolution A/RES/48/134) le 20</w:t>
      </w:r>
      <w:r>
        <w:rPr>
          <w:lang w:val="fr-CH"/>
        </w:rPr>
        <w:t> </w:t>
      </w:r>
      <w:r w:rsidRPr="00061E2A">
        <w:rPr>
          <w:lang w:val="fr-CH"/>
        </w:rPr>
        <w:t>décembre 1993. Les membres de la CNDH nommés en avril 2015 ont prêté serment en juillet 2015.</w:t>
      </w:r>
    </w:p>
  </w:footnote>
  <w:footnote w:id="10">
    <w:p w:rsidR="00DC48E3" w:rsidRPr="0004724E" w:rsidRDefault="00DC48E3" w:rsidP="00C36970">
      <w:pPr>
        <w:pStyle w:val="FootnoteText"/>
        <w:rPr>
          <w:lang w:val="fr-FR"/>
        </w:rPr>
      </w:pPr>
      <w:r>
        <w:rPr>
          <w:lang w:val="fr-FR"/>
        </w:rPr>
        <w:tab/>
      </w:r>
      <w:r w:rsidRPr="00E316D8">
        <w:rPr>
          <w:rStyle w:val="FootnoteReference"/>
        </w:rPr>
        <w:footnoteRef/>
      </w:r>
      <w:r>
        <w:rPr>
          <w:lang w:val="fr-FR"/>
        </w:rPr>
        <w:tab/>
      </w:r>
      <w:r w:rsidRPr="00CE5C0F">
        <w:rPr>
          <w:lang w:val="fr-FR"/>
        </w:rPr>
        <w:t xml:space="preserve">Bureau international du </w:t>
      </w:r>
      <w:r>
        <w:rPr>
          <w:lang w:val="fr-FR"/>
        </w:rPr>
        <w:t>T</w:t>
      </w:r>
      <w:r w:rsidRPr="00CE5C0F">
        <w:rPr>
          <w:lang w:val="fr-FR"/>
        </w:rPr>
        <w:t xml:space="preserve">ravail, </w:t>
      </w:r>
      <w:r w:rsidRPr="001D5378">
        <w:rPr>
          <w:lang w:val="fr-FR"/>
        </w:rPr>
        <w:t xml:space="preserve">HCR, OCHA, UNICEF et </w:t>
      </w:r>
      <w:r>
        <w:rPr>
          <w:lang w:val="fr-FR"/>
        </w:rPr>
        <w:t>S</w:t>
      </w:r>
      <w:r w:rsidRPr="001D5378">
        <w:rPr>
          <w:lang w:val="fr-FR"/>
        </w:rPr>
        <w:t xml:space="preserve">ection </w:t>
      </w:r>
      <w:r>
        <w:rPr>
          <w:lang w:val="fr-FR"/>
        </w:rPr>
        <w:t xml:space="preserve">de la </w:t>
      </w:r>
      <w:r w:rsidRPr="001D5378">
        <w:rPr>
          <w:lang w:val="fr-FR"/>
        </w:rPr>
        <w:t>protection de l’enfance de la MONUSCO</w:t>
      </w:r>
      <w:r w:rsidRPr="00CE5C0F">
        <w:rPr>
          <w:lang w:val="fr-FR"/>
        </w:rPr>
        <w:t>.</w:t>
      </w:r>
    </w:p>
  </w:footnote>
  <w:footnote w:id="11">
    <w:p w:rsidR="00DC48E3" w:rsidRPr="001D1C89" w:rsidRDefault="00DC48E3" w:rsidP="00281CC6">
      <w:pPr>
        <w:pStyle w:val="FootnoteText"/>
        <w:rPr>
          <w:lang w:val="fr-CH"/>
        </w:rPr>
      </w:pPr>
      <w:r>
        <w:rPr>
          <w:lang w:val="fr-CH"/>
        </w:rPr>
        <w:tab/>
      </w:r>
      <w:r w:rsidRPr="00E316D8">
        <w:rPr>
          <w:rStyle w:val="FootnoteReference"/>
        </w:rPr>
        <w:footnoteRef/>
      </w:r>
      <w:r>
        <w:rPr>
          <w:lang w:val="fr-CH"/>
        </w:rPr>
        <w:tab/>
      </w:r>
      <w:r w:rsidRPr="00024023">
        <w:rPr>
          <w:rStyle w:val="FootnoteReference"/>
          <w:lang w:val="fr-CH"/>
        </w:rPr>
        <w:t xml:space="preserve"> </w:t>
      </w:r>
      <w:r w:rsidRPr="00C36970">
        <w:rPr>
          <w:lang w:val="fr-CH"/>
        </w:rPr>
        <w:t xml:space="preserve">OCHA, </w:t>
      </w:r>
      <w:r w:rsidRPr="00C36970">
        <w:rPr>
          <w:lang w:val="fr-FR"/>
        </w:rPr>
        <w:t>République du Congo: Aperçu humanitaire (novembre 2014)</w:t>
      </w:r>
      <w:r w:rsidRPr="0046713E">
        <w:rPr>
          <w:lang w:val="fr-FR"/>
        </w:rPr>
        <w:t>.</w:t>
      </w:r>
    </w:p>
  </w:footnote>
  <w:footnote w:id="12">
    <w:p w:rsidR="00DC48E3" w:rsidRPr="00566F6B" w:rsidRDefault="00DC48E3">
      <w:pPr>
        <w:pStyle w:val="FootnoteText"/>
        <w:rPr>
          <w:lang w:val="fr-CH"/>
        </w:rPr>
      </w:pPr>
      <w:r>
        <w:rPr>
          <w:lang w:val="fr-CH"/>
        </w:rPr>
        <w:tab/>
      </w:r>
      <w:r w:rsidRPr="00E316D8">
        <w:rPr>
          <w:rStyle w:val="FootnoteReference"/>
        </w:rPr>
        <w:footnoteRef/>
      </w:r>
      <w:r>
        <w:rPr>
          <w:lang w:val="fr-CH"/>
        </w:rPr>
        <w:tab/>
      </w:r>
      <w:r w:rsidRPr="0004724E">
        <w:rPr>
          <w:lang w:val="fr-CH"/>
        </w:rPr>
        <w:t>Constat</w:t>
      </w:r>
      <w:r>
        <w:rPr>
          <w:lang w:val="fr-CH"/>
        </w:rPr>
        <w:t xml:space="preserve"> fait en 2008 par</w:t>
      </w:r>
      <w:r w:rsidRPr="0004724E">
        <w:rPr>
          <w:lang w:val="fr-CH"/>
        </w:rPr>
        <w:t xml:space="preserve"> </w:t>
      </w:r>
      <w:r>
        <w:rPr>
          <w:lang w:val="fr-CH"/>
        </w:rPr>
        <w:t>le</w:t>
      </w:r>
      <w:r w:rsidRPr="0004724E">
        <w:rPr>
          <w:lang w:val="fr-CH"/>
        </w:rPr>
        <w:t xml:space="preserve"> Rapporteur spécial sur l’indépen</w:t>
      </w:r>
      <w:r>
        <w:rPr>
          <w:lang w:val="fr-CH"/>
        </w:rPr>
        <w:t>dance des juges et des avocats (</w:t>
      </w:r>
      <w:r w:rsidRPr="0004724E">
        <w:rPr>
          <w:lang w:val="fr-CH"/>
        </w:rPr>
        <w:t>A/HRC/8/4/Add.2, par</w:t>
      </w:r>
      <w:r>
        <w:rPr>
          <w:lang w:val="fr-CH"/>
        </w:rPr>
        <w:t>. 76).</w:t>
      </w:r>
      <w:r w:rsidRPr="0004724E">
        <w:rPr>
          <w:lang w:val="fr-CH"/>
        </w:rPr>
        <w:t xml:space="preserve"> </w:t>
      </w:r>
    </w:p>
  </w:footnote>
  <w:footnote w:id="13">
    <w:p w:rsidR="00DC48E3" w:rsidRPr="001D1C89" w:rsidRDefault="00DC48E3" w:rsidP="00CC31BF">
      <w:pPr>
        <w:pStyle w:val="FootnoteText"/>
        <w:rPr>
          <w:lang w:val="fr-CH"/>
        </w:rPr>
      </w:pPr>
      <w:r>
        <w:rPr>
          <w:lang w:val="fr-FR"/>
        </w:rPr>
        <w:tab/>
      </w:r>
      <w:r w:rsidRPr="00E316D8">
        <w:rPr>
          <w:rStyle w:val="FootnoteReference"/>
        </w:rPr>
        <w:footnoteRef/>
      </w:r>
      <w:r>
        <w:rPr>
          <w:lang w:val="fr-FR"/>
        </w:rPr>
        <w:tab/>
        <w:t>Deuxième enquête démographique et de santé (</w:t>
      </w:r>
      <w:r w:rsidRPr="00501D46">
        <w:rPr>
          <w:lang w:val="fr-FR"/>
        </w:rPr>
        <w:t>2014</w:t>
      </w:r>
      <w:r>
        <w:rPr>
          <w:lang w:val="fr-FR"/>
        </w:rPr>
        <w:t>)</w:t>
      </w:r>
      <w:r w:rsidRPr="00501D46">
        <w:rPr>
          <w:lang w:val="fr-FR"/>
        </w:rPr>
        <w:t>, p</w:t>
      </w:r>
      <w:r>
        <w:rPr>
          <w:lang w:val="fr-FR"/>
        </w:rPr>
        <w:t>. </w:t>
      </w:r>
      <w:r w:rsidRPr="00501D46">
        <w:rPr>
          <w:lang w:val="fr-FR"/>
        </w:rPr>
        <w:t>130.</w:t>
      </w:r>
    </w:p>
  </w:footnote>
  <w:footnote w:id="14">
    <w:p w:rsidR="00DC48E3" w:rsidRPr="001D1C89" w:rsidRDefault="00DC48E3" w:rsidP="00CC31BF">
      <w:pPr>
        <w:pStyle w:val="FootnoteText"/>
        <w:rPr>
          <w:lang w:val="fr-CH"/>
        </w:rPr>
      </w:pPr>
      <w:r>
        <w:rPr>
          <w:lang w:val="fr-CH"/>
        </w:rPr>
        <w:tab/>
      </w:r>
      <w:r w:rsidRPr="00E316D8">
        <w:rPr>
          <w:rStyle w:val="FootnoteReference"/>
        </w:rPr>
        <w:footnoteRef/>
      </w:r>
      <w:r>
        <w:rPr>
          <w:lang w:val="fr-CH"/>
        </w:rPr>
        <w:tab/>
      </w:r>
      <w:r w:rsidRPr="004F257C">
        <w:rPr>
          <w:lang w:val="fr-CH"/>
        </w:rPr>
        <w:t>E</w:t>
      </w:r>
      <w:r w:rsidRPr="004F257C">
        <w:rPr>
          <w:lang w:val="fr-FR"/>
        </w:rPr>
        <w:t>nquête démographique et de santé</w:t>
      </w:r>
      <w:r>
        <w:rPr>
          <w:lang w:val="fr-FR"/>
        </w:rPr>
        <w:t xml:space="preserve"> (</w:t>
      </w:r>
      <w:r w:rsidRPr="00DF4900">
        <w:rPr>
          <w:lang w:val="fr-FR"/>
        </w:rPr>
        <w:t>2007</w:t>
      </w:r>
      <w:r>
        <w:rPr>
          <w:lang w:val="fr-FR"/>
        </w:rPr>
        <w:t>)</w:t>
      </w:r>
      <w:r w:rsidRPr="00DF4900">
        <w:rPr>
          <w:lang w:val="fr-FR"/>
        </w:rPr>
        <w:t>, p</w:t>
      </w:r>
      <w:r>
        <w:rPr>
          <w:lang w:val="fr-FR"/>
        </w:rPr>
        <w:t>. </w:t>
      </w:r>
      <w:r w:rsidRPr="00DF4900">
        <w:rPr>
          <w:lang w:val="fr-FR"/>
        </w:rPr>
        <w:t>216</w:t>
      </w:r>
      <w:r>
        <w:rPr>
          <w:lang w:val="fr-FR"/>
        </w:rPr>
        <w:t>.</w:t>
      </w:r>
    </w:p>
  </w:footnote>
  <w:footnote w:id="15">
    <w:p w:rsidR="00DC48E3" w:rsidRPr="00101FE5" w:rsidRDefault="00DC48E3">
      <w:pPr>
        <w:pStyle w:val="FootnoteText"/>
        <w:rPr>
          <w:lang w:val="fr-CH"/>
        </w:rPr>
      </w:pPr>
      <w:r>
        <w:rPr>
          <w:lang w:val="fr-CH"/>
        </w:rPr>
        <w:tab/>
      </w:r>
      <w:r w:rsidRPr="00E316D8">
        <w:rPr>
          <w:rStyle w:val="FootnoteReference"/>
        </w:rPr>
        <w:footnoteRef/>
      </w:r>
      <w:r>
        <w:rPr>
          <w:lang w:val="fr-CH"/>
        </w:rPr>
        <w:tab/>
      </w:r>
      <w:r w:rsidRPr="00101FE5">
        <w:rPr>
          <w:lang w:val="fr-CH"/>
        </w:rPr>
        <w:t xml:space="preserve">Plan stratégique national de lutte contre le </w:t>
      </w:r>
      <w:r>
        <w:rPr>
          <w:lang w:val="fr-CH"/>
        </w:rPr>
        <w:t>s</w:t>
      </w:r>
      <w:r w:rsidRPr="00101FE5">
        <w:rPr>
          <w:lang w:val="fr-CH"/>
        </w:rPr>
        <w:t>ida</w:t>
      </w:r>
      <w:r>
        <w:rPr>
          <w:lang w:val="fr-CH"/>
        </w:rPr>
        <w:t>:</w:t>
      </w:r>
      <w:r w:rsidRPr="00101FE5">
        <w:rPr>
          <w:lang w:val="fr-CH"/>
        </w:rPr>
        <w:t xml:space="preserve"> 2014-2017, R</w:t>
      </w:r>
      <w:r>
        <w:rPr>
          <w:lang w:val="fr-CH"/>
        </w:rPr>
        <w:t>épublique démocratique du Congo</w:t>
      </w:r>
      <w:r w:rsidRPr="00101FE5">
        <w:rPr>
          <w:lang w:val="fr-CH"/>
        </w:rPr>
        <w:t>, 2014.</w:t>
      </w:r>
    </w:p>
  </w:footnote>
  <w:footnote w:id="16">
    <w:p w:rsidR="00DC48E3" w:rsidRPr="00101FE5" w:rsidRDefault="00DC48E3" w:rsidP="001677F7">
      <w:pPr>
        <w:pStyle w:val="FootnoteText"/>
        <w:rPr>
          <w:rStyle w:val="FootnoteReference"/>
          <w:vertAlign w:val="baseline"/>
          <w:lang w:val="fr-CH"/>
        </w:rPr>
      </w:pPr>
      <w:r>
        <w:rPr>
          <w:lang w:val="fr-FR"/>
        </w:rPr>
        <w:tab/>
      </w:r>
      <w:r w:rsidRPr="00E316D8">
        <w:rPr>
          <w:rStyle w:val="FootnoteReference"/>
        </w:rPr>
        <w:footnoteRef/>
      </w:r>
      <w:r>
        <w:rPr>
          <w:lang w:val="fr-FR"/>
        </w:rPr>
        <w:tab/>
      </w:r>
      <w:r w:rsidRPr="00C36970">
        <w:rPr>
          <w:lang w:val="fr-FR"/>
        </w:rPr>
        <w:t>Les principes de</w:t>
      </w:r>
      <w:r>
        <w:rPr>
          <w:lang w:val="fr-FR"/>
        </w:rPr>
        <w:t xml:space="preserve"> </w:t>
      </w:r>
      <w:r w:rsidRPr="0046713E">
        <w:rPr>
          <w:lang w:val="fr-FR"/>
        </w:rPr>
        <w:t>John Ruggie, Représentant spécial chargé de la question des droits de l</w:t>
      </w:r>
      <w:r>
        <w:rPr>
          <w:lang w:val="fr-FR"/>
        </w:rPr>
        <w:t>’</w:t>
      </w:r>
      <w:r w:rsidRPr="0046713E">
        <w:rPr>
          <w:lang w:val="fr-FR"/>
        </w:rPr>
        <w:t xml:space="preserve">homme et des sociétés transnationales et autres entreprises, ont été approuvés par le Conseil des droits de l’homme dans sa résolution </w:t>
      </w:r>
      <w:r w:rsidRPr="00C36970">
        <w:rPr>
          <w:lang w:val="fr-FR"/>
        </w:rPr>
        <w:t>A/HRC/RES/17/4</w:t>
      </w:r>
      <w:r w:rsidRPr="0046713E">
        <w:rPr>
          <w:lang w:val="fr-FR"/>
        </w:rPr>
        <w:t xml:space="preserve"> du 16 juin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E3" w:rsidRPr="003B6054" w:rsidRDefault="00DC48E3">
    <w:pPr>
      <w:pStyle w:val="Header"/>
    </w:pPr>
    <w:r>
      <w:t>A/HRC/30/33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8E3" w:rsidRPr="003B6054" w:rsidRDefault="00DC48E3" w:rsidP="003B6054">
    <w:pPr>
      <w:pStyle w:val="Header"/>
      <w:jc w:val="right"/>
    </w:pPr>
    <w:r>
      <w:t>A/HRC/30/33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AB1B5C"/>
    <w:multiLevelType w:val="hybridMultilevel"/>
    <w:tmpl w:val="F3BAC97C"/>
    <w:lvl w:ilvl="0" w:tplc="5CFCC5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1D721D"/>
    <w:multiLevelType w:val="hybridMultilevel"/>
    <w:tmpl w:val="144E32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AEE4E39"/>
    <w:multiLevelType w:val="hybridMultilevel"/>
    <w:tmpl w:val="B498BCC0"/>
    <w:lvl w:ilvl="0" w:tplc="67A459FC">
      <w:start w:val="1"/>
      <w:numFmt w:val="decimal"/>
      <w:lvlText w:val="%1."/>
      <w:lvlJc w:val="left"/>
      <w:pPr>
        <w:ind w:left="1494" w:hanging="360"/>
      </w:pPr>
      <w:rPr>
        <w:rFonts w:hint="default"/>
        <w:b w:val="0"/>
        <w:i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nsid w:val="25A611B4"/>
    <w:multiLevelType w:val="hybridMultilevel"/>
    <w:tmpl w:val="B48AC53E"/>
    <w:lvl w:ilvl="0" w:tplc="0409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nsid w:val="3E6B52AD"/>
    <w:multiLevelType w:val="hybridMultilevel"/>
    <w:tmpl w:val="F1841620"/>
    <w:lvl w:ilvl="0" w:tplc="C67C0DC8">
      <w:start w:val="1"/>
      <w:numFmt w:val="decimal"/>
      <w:lvlText w:val="%1."/>
      <w:lvlJc w:val="left"/>
      <w:pPr>
        <w:ind w:left="1832" w:hanging="555"/>
      </w:pPr>
      <w:rPr>
        <w:rFonts w:hint="default"/>
        <w:b w:val="0"/>
        <w:strike w:val="0"/>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54714873"/>
    <w:multiLevelType w:val="hybridMultilevel"/>
    <w:tmpl w:val="FCB8B872"/>
    <w:lvl w:ilvl="0" w:tplc="875E97BA">
      <w:start w:val="3"/>
      <w:numFmt w:val="decimal"/>
      <w:lvlText w:val="%1."/>
      <w:lvlJc w:val="left"/>
      <w:pPr>
        <w:ind w:left="149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973A14"/>
    <w:multiLevelType w:val="hybridMultilevel"/>
    <w:tmpl w:val="E94EEE9E"/>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63993A33"/>
    <w:multiLevelType w:val="hybridMultilevel"/>
    <w:tmpl w:val="9E9C67D0"/>
    <w:lvl w:ilvl="0" w:tplc="040C000F">
      <w:start w:val="1"/>
      <w:numFmt w:val="decimal"/>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E270CDA"/>
    <w:multiLevelType w:val="hybridMultilevel"/>
    <w:tmpl w:val="11C039EA"/>
    <w:lvl w:ilvl="0" w:tplc="BCB8876E">
      <w:start w:val="1"/>
      <w:numFmt w:val="decimal"/>
      <w:lvlText w:val="%1."/>
      <w:lvlJc w:val="left"/>
      <w:pPr>
        <w:ind w:left="1494" w:hanging="360"/>
      </w:pPr>
      <w:rPr>
        <w:rFonts w:hint="default"/>
        <w:b w:val="0"/>
        <w:i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nsid w:val="707F7A1D"/>
    <w:multiLevelType w:val="hybridMultilevel"/>
    <w:tmpl w:val="1CB2257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7"/>
  </w:num>
  <w:num w:numId="5">
    <w:abstractNumId w:val="3"/>
  </w:num>
  <w:num w:numId="6">
    <w:abstractNumId w:val="10"/>
  </w:num>
  <w:num w:numId="7">
    <w:abstractNumId w:val="5"/>
  </w:num>
  <w:num w:numId="8">
    <w:abstractNumId w:val="2"/>
  </w:num>
  <w:num w:numId="9">
    <w:abstractNumId w:val="8"/>
  </w:num>
  <w:num w:numId="10">
    <w:abstractNumId w:val="4"/>
  </w:num>
  <w:num w:numId="11">
    <w:abstractNumId w:val="6"/>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fr-CA" w:vendorID="64" w:dllVersion="131078" w:nlCheck="1" w:checkStyle="1"/>
  <w:activeWritingStyle w:appName="MSWord" w:lang="es-CO" w:vendorID="64" w:dllVersion="131078" w:nlCheck="1" w:checkStyle="1"/>
  <w:activeWritingStyle w:appName="MSWord" w:lang="es-MX" w:vendorID="64" w:dllVersion="131078" w:nlCheck="1" w:checkStyle="1"/>
  <w:activeWritingStyle w:appName="MSWord" w:lang="fr-BE"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54"/>
    <w:rsid w:val="00001B56"/>
    <w:rsid w:val="00001E81"/>
    <w:rsid w:val="00002BCC"/>
    <w:rsid w:val="00003ADA"/>
    <w:rsid w:val="00004706"/>
    <w:rsid w:val="00006548"/>
    <w:rsid w:val="000078DC"/>
    <w:rsid w:val="00007F7F"/>
    <w:rsid w:val="000108AD"/>
    <w:rsid w:val="00010CF7"/>
    <w:rsid w:val="000120B9"/>
    <w:rsid w:val="00013414"/>
    <w:rsid w:val="0001569F"/>
    <w:rsid w:val="000209DE"/>
    <w:rsid w:val="00020A59"/>
    <w:rsid w:val="0002160E"/>
    <w:rsid w:val="00021A92"/>
    <w:rsid w:val="0002240E"/>
    <w:rsid w:val="00022DB5"/>
    <w:rsid w:val="00023BEC"/>
    <w:rsid w:val="000260B5"/>
    <w:rsid w:val="00026CA6"/>
    <w:rsid w:val="00026DCD"/>
    <w:rsid w:val="00026F05"/>
    <w:rsid w:val="00031639"/>
    <w:rsid w:val="00032FE5"/>
    <w:rsid w:val="000330A2"/>
    <w:rsid w:val="00034E34"/>
    <w:rsid w:val="00035234"/>
    <w:rsid w:val="00036132"/>
    <w:rsid w:val="00036952"/>
    <w:rsid w:val="00037F1E"/>
    <w:rsid w:val="000403D1"/>
    <w:rsid w:val="00040631"/>
    <w:rsid w:val="00041A77"/>
    <w:rsid w:val="00043AB7"/>
    <w:rsid w:val="00043F59"/>
    <w:rsid w:val="000449AA"/>
    <w:rsid w:val="000468B6"/>
    <w:rsid w:val="0004724E"/>
    <w:rsid w:val="00047B8A"/>
    <w:rsid w:val="00050F6B"/>
    <w:rsid w:val="00052A98"/>
    <w:rsid w:val="00052F19"/>
    <w:rsid w:val="0005321E"/>
    <w:rsid w:val="00054324"/>
    <w:rsid w:val="000553CC"/>
    <w:rsid w:val="0005639B"/>
    <w:rsid w:val="0005645A"/>
    <w:rsid w:val="00057147"/>
    <w:rsid w:val="00057AF8"/>
    <w:rsid w:val="000610CA"/>
    <w:rsid w:val="00061E2A"/>
    <w:rsid w:val="00062138"/>
    <w:rsid w:val="000675AF"/>
    <w:rsid w:val="00070C96"/>
    <w:rsid w:val="00072C08"/>
    <w:rsid w:val="00072C8C"/>
    <w:rsid w:val="00073C9D"/>
    <w:rsid w:val="00073E70"/>
    <w:rsid w:val="00074216"/>
    <w:rsid w:val="000744CA"/>
    <w:rsid w:val="00074999"/>
    <w:rsid w:val="00075CBB"/>
    <w:rsid w:val="00075D33"/>
    <w:rsid w:val="000775B9"/>
    <w:rsid w:val="000808D7"/>
    <w:rsid w:val="000819AF"/>
    <w:rsid w:val="00082AA8"/>
    <w:rsid w:val="00082CFF"/>
    <w:rsid w:val="000830A0"/>
    <w:rsid w:val="000832EB"/>
    <w:rsid w:val="000842D8"/>
    <w:rsid w:val="00084C23"/>
    <w:rsid w:val="00085BA9"/>
    <w:rsid w:val="000876EB"/>
    <w:rsid w:val="0009031A"/>
    <w:rsid w:val="000908C3"/>
    <w:rsid w:val="00091038"/>
    <w:rsid w:val="00091419"/>
    <w:rsid w:val="000928A1"/>
    <w:rsid w:val="00092CBB"/>
    <w:rsid w:val="000931C0"/>
    <w:rsid w:val="00093CCF"/>
    <w:rsid w:val="00094115"/>
    <w:rsid w:val="0009506F"/>
    <w:rsid w:val="0009559F"/>
    <w:rsid w:val="00097703"/>
    <w:rsid w:val="00097F14"/>
    <w:rsid w:val="000A0B93"/>
    <w:rsid w:val="000A10AF"/>
    <w:rsid w:val="000A1134"/>
    <w:rsid w:val="000A1348"/>
    <w:rsid w:val="000A13F6"/>
    <w:rsid w:val="000A1517"/>
    <w:rsid w:val="000A19DB"/>
    <w:rsid w:val="000A23B8"/>
    <w:rsid w:val="000A24B1"/>
    <w:rsid w:val="000A2DE2"/>
    <w:rsid w:val="000A2FE4"/>
    <w:rsid w:val="000A3566"/>
    <w:rsid w:val="000A4C03"/>
    <w:rsid w:val="000A4E00"/>
    <w:rsid w:val="000A4FC9"/>
    <w:rsid w:val="000A551D"/>
    <w:rsid w:val="000A6063"/>
    <w:rsid w:val="000A655E"/>
    <w:rsid w:val="000A7D64"/>
    <w:rsid w:val="000A7DA5"/>
    <w:rsid w:val="000B175B"/>
    <w:rsid w:val="000B2A8D"/>
    <w:rsid w:val="000B2BD7"/>
    <w:rsid w:val="000B2CB1"/>
    <w:rsid w:val="000B3454"/>
    <w:rsid w:val="000B3A0F"/>
    <w:rsid w:val="000B4A3B"/>
    <w:rsid w:val="000B4F2F"/>
    <w:rsid w:val="000B6BE2"/>
    <w:rsid w:val="000C022F"/>
    <w:rsid w:val="000C03C2"/>
    <w:rsid w:val="000C0E4C"/>
    <w:rsid w:val="000C0FA3"/>
    <w:rsid w:val="000C124D"/>
    <w:rsid w:val="000C1EDC"/>
    <w:rsid w:val="000C37D3"/>
    <w:rsid w:val="000C3836"/>
    <w:rsid w:val="000C4673"/>
    <w:rsid w:val="000C46B7"/>
    <w:rsid w:val="000C5089"/>
    <w:rsid w:val="000C50E4"/>
    <w:rsid w:val="000C7E69"/>
    <w:rsid w:val="000D1851"/>
    <w:rsid w:val="000D5D64"/>
    <w:rsid w:val="000E0415"/>
    <w:rsid w:val="000E0A99"/>
    <w:rsid w:val="000E0CAF"/>
    <w:rsid w:val="000E1675"/>
    <w:rsid w:val="000E1C0F"/>
    <w:rsid w:val="000E32AD"/>
    <w:rsid w:val="000E35FE"/>
    <w:rsid w:val="000E38BC"/>
    <w:rsid w:val="000E64CE"/>
    <w:rsid w:val="000F0418"/>
    <w:rsid w:val="000F1B19"/>
    <w:rsid w:val="000F1E2F"/>
    <w:rsid w:val="000F2668"/>
    <w:rsid w:val="000F362A"/>
    <w:rsid w:val="000F3E51"/>
    <w:rsid w:val="000F3E76"/>
    <w:rsid w:val="000F4F2B"/>
    <w:rsid w:val="000F5B39"/>
    <w:rsid w:val="000F606D"/>
    <w:rsid w:val="000F7290"/>
    <w:rsid w:val="000F7E01"/>
    <w:rsid w:val="001011B9"/>
    <w:rsid w:val="00101FE5"/>
    <w:rsid w:val="0010693E"/>
    <w:rsid w:val="001071F9"/>
    <w:rsid w:val="001102CE"/>
    <w:rsid w:val="00110650"/>
    <w:rsid w:val="0011072C"/>
    <w:rsid w:val="00111889"/>
    <w:rsid w:val="00113014"/>
    <w:rsid w:val="0011464F"/>
    <w:rsid w:val="00116BF8"/>
    <w:rsid w:val="0011742A"/>
    <w:rsid w:val="001177DB"/>
    <w:rsid w:val="00117B44"/>
    <w:rsid w:val="0012008D"/>
    <w:rsid w:val="00120546"/>
    <w:rsid w:val="00120686"/>
    <w:rsid w:val="00120810"/>
    <w:rsid w:val="00121308"/>
    <w:rsid w:val="00122674"/>
    <w:rsid w:val="00124015"/>
    <w:rsid w:val="00124659"/>
    <w:rsid w:val="00125A3D"/>
    <w:rsid w:val="00125B9F"/>
    <w:rsid w:val="00126DE3"/>
    <w:rsid w:val="00130948"/>
    <w:rsid w:val="00131574"/>
    <w:rsid w:val="00132DE9"/>
    <w:rsid w:val="0013406F"/>
    <w:rsid w:val="00134669"/>
    <w:rsid w:val="00136532"/>
    <w:rsid w:val="00137CB2"/>
    <w:rsid w:val="00140281"/>
    <w:rsid w:val="00142BF5"/>
    <w:rsid w:val="00142D89"/>
    <w:rsid w:val="0014353A"/>
    <w:rsid w:val="00143B0E"/>
    <w:rsid w:val="00146D32"/>
    <w:rsid w:val="0014799F"/>
    <w:rsid w:val="00147B35"/>
    <w:rsid w:val="001504A0"/>
    <w:rsid w:val="001509BA"/>
    <w:rsid w:val="00150B92"/>
    <w:rsid w:val="0015128C"/>
    <w:rsid w:val="00151742"/>
    <w:rsid w:val="00152540"/>
    <w:rsid w:val="00152EB7"/>
    <w:rsid w:val="00153F2B"/>
    <w:rsid w:val="0015469C"/>
    <w:rsid w:val="00155078"/>
    <w:rsid w:val="00155C1B"/>
    <w:rsid w:val="001563D3"/>
    <w:rsid w:val="00156491"/>
    <w:rsid w:val="0015747B"/>
    <w:rsid w:val="001606F2"/>
    <w:rsid w:val="0016258B"/>
    <w:rsid w:val="00163049"/>
    <w:rsid w:val="00163898"/>
    <w:rsid w:val="00164E55"/>
    <w:rsid w:val="00164ECF"/>
    <w:rsid w:val="00167688"/>
    <w:rsid w:val="001677F7"/>
    <w:rsid w:val="00171358"/>
    <w:rsid w:val="00174A26"/>
    <w:rsid w:val="0017668F"/>
    <w:rsid w:val="001766D2"/>
    <w:rsid w:val="001779D6"/>
    <w:rsid w:val="00177B8E"/>
    <w:rsid w:val="00177BB0"/>
    <w:rsid w:val="00177E1D"/>
    <w:rsid w:val="00180350"/>
    <w:rsid w:val="00180BF7"/>
    <w:rsid w:val="00181013"/>
    <w:rsid w:val="001810B6"/>
    <w:rsid w:val="00181A86"/>
    <w:rsid w:val="00182AB9"/>
    <w:rsid w:val="00182D2D"/>
    <w:rsid w:val="001830B6"/>
    <w:rsid w:val="001833F9"/>
    <w:rsid w:val="00186D15"/>
    <w:rsid w:val="0018729B"/>
    <w:rsid w:val="0018792A"/>
    <w:rsid w:val="00187B5E"/>
    <w:rsid w:val="00191C57"/>
    <w:rsid w:val="00191D00"/>
    <w:rsid w:val="0019314F"/>
    <w:rsid w:val="001934CE"/>
    <w:rsid w:val="00193E55"/>
    <w:rsid w:val="001952DF"/>
    <w:rsid w:val="00195494"/>
    <w:rsid w:val="00195E64"/>
    <w:rsid w:val="00197752"/>
    <w:rsid w:val="001A20B5"/>
    <w:rsid w:val="001A28E0"/>
    <w:rsid w:val="001A2FD7"/>
    <w:rsid w:val="001A4BAA"/>
    <w:rsid w:val="001A4FFB"/>
    <w:rsid w:val="001A5277"/>
    <w:rsid w:val="001A5286"/>
    <w:rsid w:val="001A5658"/>
    <w:rsid w:val="001A6D05"/>
    <w:rsid w:val="001A6E95"/>
    <w:rsid w:val="001A738A"/>
    <w:rsid w:val="001A7775"/>
    <w:rsid w:val="001A7B1F"/>
    <w:rsid w:val="001B2702"/>
    <w:rsid w:val="001B3C5E"/>
    <w:rsid w:val="001B4B04"/>
    <w:rsid w:val="001B6429"/>
    <w:rsid w:val="001B72E8"/>
    <w:rsid w:val="001B7B3B"/>
    <w:rsid w:val="001B7D55"/>
    <w:rsid w:val="001B7E3E"/>
    <w:rsid w:val="001C0017"/>
    <w:rsid w:val="001C0519"/>
    <w:rsid w:val="001C05EC"/>
    <w:rsid w:val="001C2038"/>
    <w:rsid w:val="001C2E07"/>
    <w:rsid w:val="001C2F49"/>
    <w:rsid w:val="001C30E7"/>
    <w:rsid w:val="001C3CE2"/>
    <w:rsid w:val="001C569B"/>
    <w:rsid w:val="001C633D"/>
    <w:rsid w:val="001C6663"/>
    <w:rsid w:val="001C6E5D"/>
    <w:rsid w:val="001C7895"/>
    <w:rsid w:val="001D112D"/>
    <w:rsid w:val="001D1C89"/>
    <w:rsid w:val="001D26DF"/>
    <w:rsid w:val="001D272C"/>
    <w:rsid w:val="001D27FA"/>
    <w:rsid w:val="001D2AD6"/>
    <w:rsid w:val="001D345F"/>
    <w:rsid w:val="001D3F87"/>
    <w:rsid w:val="001D433C"/>
    <w:rsid w:val="001D5378"/>
    <w:rsid w:val="001D7555"/>
    <w:rsid w:val="001E0D9C"/>
    <w:rsid w:val="001E1A95"/>
    <w:rsid w:val="001E23D2"/>
    <w:rsid w:val="001E2790"/>
    <w:rsid w:val="001E3E97"/>
    <w:rsid w:val="001E419D"/>
    <w:rsid w:val="001E4D06"/>
    <w:rsid w:val="001E4E02"/>
    <w:rsid w:val="001E4F7D"/>
    <w:rsid w:val="001F06EF"/>
    <w:rsid w:val="001F2B16"/>
    <w:rsid w:val="001F41D6"/>
    <w:rsid w:val="00202232"/>
    <w:rsid w:val="00202D9C"/>
    <w:rsid w:val="002046EE"/>
    <w:rsid w:val="0020567A"/>
    <w:rsid w:val="002067B3"/>
    <w:rsid w:val="00206AF6"/>
    <w:rsid w:val="00207BF2"/>
    <w:rsid w:val="00207CFD"/>
    <w:rsid w:val="002100C7"/>
    <w:rsid w:val="00211E0B"/>
    <w:rsid w:val="00211E72"/>
    <w:rsid w:val="002129DA"/>
    <w:rsid w:val="00213390"/>
    <w:rsid w:val="00213673"/>
    <w:rsid w:val="00214047"/>
    <w:rsid w:val="00216810"/>
    <w:rsid w:val="00217D4F"/>
    <w:rsid w:val="00220406"/>
    <w:rsid w:val="00220556"/>
    <w:rsid w:val="002212D0"/>
    <w:rsid w:val="0022130F"/>
    <w:rsid w:val="00221ADB"/>
    <w:rsid w:val="00222E3B"/>
    <w:rsid w:val="00223EFD"/>
    <w:rsid w:val="002241B0"/>
    <w:rsid w:val="00224698"/>
    <w:rsid w:val="00224983"/>
    <w:rsid w:val="002255F1"/>
    <w:rsid w:val="00225D91"/>
    <w:rsid w:val="00225F7C"/>
    <w:rsid w:val="002264C9"/>
    <w:rsid w:val="00226953"/>
    <w:rsid w:val="00227115"/>
    <w:rsid w:val="002301ED"/>
    <w:rsid w:val="002321DB"/>
    <w:rsid w:val="00236780"/>
    <w:rsid w:val="00237102"/>
    <w:rsid w:val="002372F5"/>
    <w:rsid w:val="00237785"/>
    <w:rsid w:val="00237EB3"/>
    <w:rsid w:val="00237FEB"/>
    <w:rsid w:val="00240832"/>
    <w:rsid w:val="002410DD"/>
    <w:rsid w:val="002411D7"/>
    <w:rsid w:val="00241466"/>
    <w:rsid w:val="002428FA"/>
    <w:rsid w:val="00242998"/>
    <w:rsid w:val="00244A78"/>
    <w:rsid w:val="00246169"/>
    <w:rsid w:val="002465E5"/>
    <w:rsid w:val="002468D0"/>
    <w:rsid w:val="00246B14"/>
    <w:rsid w:val="00247002"/>
    <w:rsid w:val="0024767E"/>
    <w:rsid w:val="00251AF3"/>
    <w:rsid w:val="00251D25"/>
    <w:rsid w:val="00252514"/>
    <w:rsid w:val="002528F4"/>
    <w:rsid w:val="00253253"/>
    <w:rsid w:val="00253723"/>
    <w:rsid w:val="002539E6"/>
    <w:rsid w:val="00253D58"/>
    <w:rsid w:val="0025436F"/>
    <w:rsid w:val="00257A23"/>
    <w:rsid w:val="00257EA5"/>
    <w:rsid w:val="0026009C"/>
    <w:rsid w:val="002608E1"/>
    <w:rsid w:val="00263E33"/>
    <w:rsid w:val="00265A1F"/>
    <w:rsid w:val="0026695A"/>
    <w:rsid w:val="002679AB"/>
    <w:rsid w:val="002707A3"/>
    <w:rsid w:val="00273451"/>
    <w:rsid w:val="002745A4"/>
    <w:rsid w:val="0027462B"/>
    <w:rsid w:val="002747D2"/>
    <w:rsid w:val="0027637F"/>
    <w:rsid w:val="00276B91"/>
    <w:rsid w:val="0027725F"/>
    <w:rsid w:val="00277646"/>
    <w:rsid w:val="002778F4"/>
    <w:rsid w:val="0028006D"/>
    <w:rsid w:val="00280D95"/>
    <w:rsid w:val="00281CC6"/>
    <w:rsid w:val="00282D4F"/>
    <w:rsid w:val="00283AB8"/>
    <w:rsid w:val="002840AF"/>
    <w:rsid w:val="00284F87"/>
    <w:rsid w:val="002853D2"/>
    <w:rsid w:val="00286F7F"/>
    <w:rsid w:val="002878FD"/>
    <w:rsid w:val="00290656"/>
    <w:rsid w:val="00292058"/>
    <w:rsid w:val="0029213D"/>
    <w:rsid w:val="00292608"/>
    <w:rsid w:val="002936F7"/>
    <w:rsid w:val="00294AE6"/>
    <w:rsid w:val="00294E1C"/>
    <w:rsid w:val="00294EBC"/>
    <w:rsid w:val="002972E6"/>
    <w:rsid w:val="002A1229"/>
    <w:rsid w:val="002A168C"/>
    <w:rsid w:val="002A1ABA"/>
    <w:rsid w:val="002A1CAB"/>
    <w:rsid w:val="002A29AE"/>
    <w:rsid w:val="002A30C3"/>
    <w:rsid w:val="002A3AA1"/>
    <w:rsid w:val="002A600C"/>
    <w:rsid w:val="002A7F3B"/>
    <w:rsid w:val="002B0284"/>
    <w:rsid w:val="002B0B9C"/>
    <w:rsid w:val="002B1186"/>
    <w:rsid w:val="002B149F"/>
    <w:rsid w:val="002B29C4"/>
    <w:rsid w:val="002B29D9"/>
    <w:rsid w:val="002B3443"/>
    <w:rsid w:val="002B3AE8"/>
    <w:rsid w:val="002B3F91"/>
    <w:rsid w:val="002B473D"/>
    <w:rsid w:val="002B559A"/>
    <w:rsid w:val="002B65CA"/>
    <w:rsid w:val="002B69BE"/>
    <w:rsid w:val="002B7CA5"/>
    <w:rsid w:val="002C067F"/>
    <w:rsid w:val="002C16B6"/>
    <w:rsid w:val="002C1FB1"/>
    <w:rsid w:val="002C21F0"/>
    <w:rsid w:val="002C241B"/>
    <w:rsid w:val="002C2426"/>
    <w:rsid w:val="002C4DC5"/>
    <w:rsid w:val="002C595F"/>
    <w:rsid w:val="002C5994"/>
    <w:rsid w:val="002C59DE"/>
    <w:rsid w:val="002C5DA7"/>
    <w:rsid w:val="002C6572"/>
    <w:rsid w:val="002D0AC7"/>
    <w:rsid w:val="002D332C"/>
    <w:rsid w:val="002D35A7"/>
    <w:rsid w:val="002D416D"/>
    <w:rsid w:val="002D4265"/>
    <w:rsid w:val="002D523E"/>
    <w:rsid w:val="002D5D95"/>
    <w:rsid w:val="002D611D"/>
    <w:rsid w:val="002E02E9"/>
    <w:rsid w:val="002E13FC"/>
    <w:rsid w:val="002E19D6"/>
    <w:rsid w:val="002E2698"/>
    <w:rsid w:val="002E3AE6"/>
    <w:rsid w:val="002E432C"/>
    <w:rsid w:val="002E44E1"/>
    <w:rsid w:val="002E489A"/>
    <w:rsid w:val="002F02D2"/>
    <w:rsid w:val="002F0A5D"/>
    <w:rsid w:val="002F1023"/>
    <w:rsid w:val="002F1057"/>
    <w:rsid w:val="002F14D6"/>
    <w:rsid w:val="002F3618"/>
    <w:rsid w:val="002F379E"/>
    <w:rsid w:val="002F59FE"/>
    <w:rsid w:val="002F6CF7"/>
    <w:rsid w:val="00301DB2"/>
    <w:rsid w:val="0030224C"/>
    <w:rsid w:val="00302533"/>
    <w:rsid w:val="003027A4"/>
    <w:rsid w:val="003061E6"/>
    <w:rsid w:val="003107FA"/>
    <w:rsid w:val="00310A64"/>
    <w:rsid w:val="0031127D"/>
    <w:rsid w:val="00311786"/>
    <w:rsid w:val="00311B14"/>
    <w:rsid w:val="00311E73"/>
    <w:rsid w:val="00312C44"/>
    <w:rsid w:val="0031308A"/>
    <w:rsid w:val="00313B17"/>
    <w:rsid w:val="003148AE"/>
    <w:rsid w:val="003150AE"/>
    <w:rsid w:val="00317259"/>
    <w:rsid w:val="00317977"/>
    <w:rsid w:val="003229D8"/>
    <w:rsid w:val="003232EC"/>
    <w:rsid w:val="003238EA"/>
    <w:rsid w:val="00326704"/>
    <w:rsid w:val="00326731"/>
    <w:rsid w:val="00327195"/>
    <w:rsid w:val="00327299"/>
    <w:rsid w:val="003275C7"/>
    <w:rsid w:val="00330643"/>
    <w:rsid w:val="003314D1"/>
    <w:rsid w:val="00332AC4"/>
    <w:rsid w:val="003338C2"/>
    <w:rsid w:val="00334836"/>
    <w:rsid w:val="00335A2F"/>
    <w:rsid w:val="00337EE5"/>
    <w:rsid w:val="00341165"/>
    <w:rsid w:val="00341937"/>
    <w:rsid w:val="00341C4C"/>
    <w:rsid w:val="00343E05"/>
    <w:rsid w:val="00343FFE"/>
    <w:rsid w:val="00345AB6"/>
    <w:rsid w:val="003467CB"/>
    <w:rsid w:val="00346B96"/>
    <w:rsid w:val="00346D7A"/>
    <w:rsid w:val="00347ACF"/>
    <w:rsid w:val="003509C4"/>
    <w:rsid w:val="00351DC9"/>
    <w:rsid w:val="003520CE"/>
    <w:rsid w:val="00352515"/>
    <w:rsid w:val="003540EC"/>
    <w:rsid w:val="0035489D"/>
    <w:rsid w:val="00354ACE"/>
    <w:rsid w:val="00355A3D"/>
    <w:rsid w:val="00357B14"/>
    <w:rsid w:val="00362934"/>
    <w:rsid w:val="003633D2"/>
    <w:rsid w:val="00363774"/>
    <w:rsid w:val="0036438D"/>
    <w:rsid w:val="00365063"/>
    <w:rsid w:val="00365907"/>
    <w:rsid w:val="00365B32"/>
    <w:rsid w:val="0036714D"/>
    <w:rsid w:val="0036757F"/>
    <w:rsid w:val="0036788B"/>
    <w:rsid w:val="00370A49"/>
    <w:rsid w:val="00372ABF"/>
    <w:rsid w:val="00372C4D"/>
    <w:rsid w:val="00373008"/>
    <w:rsid w:val="00373646"/>
    <w:rsid w:val="00373908"/>
    <w:rsid w:val="00373D2B"/>
    <w:rsid w:val="003747E5"/>
    <w:rsid w:val="00374CED"/>
    <w:rsid w:val="00374D1E"/>
    <w:rsid w:val="00375AFC"/>
    <w:rsid w:val="00375ED0"/>
    <w:rsid w:val="00377BBA"/>
    <w:rsid w:val="00377E8C"/>
    <w:rsid w:val="003809E1"/>
    <w:rsid w:val="00381B93"/>
    <w:rsid w:val="00381DB0"/>
    <w:rsid w:val="0038250B"/>
    <w:rsid w:val="00384AE1"/>
    <w:rsid w:val="003857CE"/>
    <w:rsid w:val="00386C2A"/>
    <w:rsid w:val="0039064B"/>
    <w:rsid w:val="00390716"/>
    <w:rsid w:val="0039277A"/>
    <w:rsid w:val="00392868"/>
    <w:rsid w:val="0039707F"/>
    <w:rsid w:val="003972E0"/>
    <w:rsid w:val="003975ED"/>
    <w:rsid w:val="003A1E1F"/>
    <w:rsid w:val="003A295D"/>
    <w:rsid w:val="003A3CAB"/>
    <w:rsid w:val="003A3F11"/>
    <w:rsid w:val="003A4A52"/>
    <w:rsid w:val="003A4C48"/>
    <w:rsid w:val="003A4CC4"/>
    <w:rsid w:val="003A51F9"/>
    <w:rsid w:val="003A5B21"/>
    <w:rsid w:val="003A79B2"/>
    <w:rsid w:val="003B0B74"/>
    <w:rsid w:val="003B22D1"/>
    <w:rsid w:val="003B3414"/>
    <w:rsid w:val="003B4288"/>
    <w:rsid w:val="003B5817"/>
    <w:rsid w:val="003B5A6F"/>
    <w:rsid w:val="003B6054"/>
    <w:rsid w:val="003B7082"/>
    <w:rsid w:val="003B7359"/>
    <w:rsid w:val="003B7C64"/>
    <w:rsid w:val="003C037D"/>
    <w:rsid w:val="003C0D43"/>
    <w:rsid w:val="003C2CC4"/>
    <w:rsid w:val="003C41F3"/>
    <w:rsid w:val="003C6EB7"/>
    <w:rsid w:val="003C7DB0"/>
    <w:rsid w:val="003D0202"/>
    <w:rsid w:val="003D0366"/>
    <w:rsid w:val="003D11F2"/>
    <w:rsid w:val="003D2B18"/>
    <w:rsid w:val="003D4105"/>
    <w:rsid w:val="003D4B23"/>
    <w:rsid w:val="003D4DED"/>
    <w:rsid w:val="003D5445"/>
    <w:rsid w:val="003D58AD"/>
    <w:rsid w:val="003D5A7D"/>
    <w:rsid w:val="003D657B"/>
    <w:rsid w:val="003D6AF1"/>
    <w:rsid w:val="003D6DC6"/>
    <w:rsid w:val="003E023F"/>
    <w:rsid w:val="003E05E4"/>
    <w:rsid w:val="003E1D88"/>
    <w:rsid w:val="003E1F8D"/>
    <w:rsid w:val="003E20B9"/>
    <w:rsid w:val="003E39B0"/>
    <w:rsid w:val="003E3E65"/>
    <w:rsid w:val="003E40AA"/>
    <w:rsid w:val="003E47ED"/>
    <w:rsid w:val="003E5B2F"/>
    <w:rsid w:val="003E69A7"/>
    <w:rsid w:val="003E74CB"/>
    <w:rsid w:val="003E7ECE"/>
    <w:rsid w:val="003F17BA"/>
    <w:rsid w:val="003F25FC"/>
    <w:rsid w:val="003F2852"/>
    <w:rsid w:val="003F3428"/>
    <w:rsid w:val="003F36F2"/>
    <w:rsid w:val="003F6C65"/>
    <w:rsid w:val="003F7BCB"/>
    <w:rsid w:val="003F7D00"/>
    <w:rsid w:val="00400CA0"/>
    <w:rsid w:val="00401734"/>
    <w:rsid w:val="004046ED"/>
    <w:rsid w:val="0040568B"/>
    <w:rsid w:val="0040577F"/>
    <w:rsid w:val="00405A6F"/>
    <w:rsid w:val="004105DA"/>
    <w:rsid w:val="00411954"/>
    <w:rsid w:val="0041283B"/>
    <w:rsid w:val="00412AF7"/>
    <w:rsid w:val="0041377B"/>
    <w:rsid w:val="00414B8A"/>
    <w:rsid w:val="00414BFC"/>
    <w:rsid w:val="00414EDE"/>
    <w:rsid w:val="004152D3"/>
    <w:rsid w:val="00416784"/>
    <w:rsid w:val="00416BA4"/>
    <w:rsid w:val="00417036"/>
    <w:rsid w:val="00417F96"/>
    <w:rsid w:val="004201CC"/>
    <w:rsid w:val="004203B6"/>
    <w:rsid w:val="00420C0B"/>
    <w:rsid w:val="00420EF8"/>
    <w:rsid w:val="00421EA5"/>
    <w:rsid w:val="00422EA8"/>
    <w:rsid w:val="00424C80"/>
    <w:rsid w:val="004256E1"/>
    <w:rsid w:val="00425847"/>
    <w:rsid w:val="00427036"/>
    <w:rsid w:val="00427C07"/>
    <w:rsid w:val="0043208F"/>
    <w:rsid w:val="004325CB"/>
    <w:rsid w:val="00434665"/>
    <w:rsid w:val="00434985"/>
    <w:rsid w:val="00434AFE"/>
    <w:rsid w:val="0043538C"/>
    <w:rsid w:val="00435673"/>
    <w:rsid w:val="00436049"/>
    <w:rsid w:val="0043726E"/>
    <w:rsid w:val="00440ACC"/>
    <w:rsid w:val="00441180"/>
    <w:rsid w:val="00441FD5"/>
    <w:rsid w:val="00442E7E"/>
    <w:rsid w:val="0044489C"/>
    <w:rsid w:val="0044503A"/>
    <w:rsid w:val="00445054"/>
    <w:rsid w:val="004458AE"/>
    <w:rsid w:val="00446DE4"/>
    <w:rsid w:val="00447761"/>
    <w:rsid w:val="00447D27"/>
    <w:rsid w:val="00450BB7"/>
    <w:rsid w:val="00451A95"/>
    <w:rsid w:val="00451EC3"/>
    <w:rsid w:val="00452703"/>
    <w:rsid w:val="004540AC"/>
    <w:rsid w:val="00454332"/>
    <w:rsid w:val="00454800"/>
    <w:rsid w:val="00454AC4"/>
    <w:rsid w:val="00455DC4"/>
    <w:rsid w:val="00456960"/>
    <w:rsid w:val="004602E5"/>
    <w:rsid w:val="0046093E"/>
    <w:rsid w:val="00462492"/>
    <w:rsid w:val="00463097"/>
    <w:rsid w:val="00463C7B"/>
    <w:rsid w:val="0046496D"/>
    <w:rsid w:val="00465BC2"/>
    <w:rsid w:val="00466BBD"/>
    <w:rsid w:val="004670DA"/>
    <w:rsid w:val="0046713E"/>
    <w:rsid w:val="00467519"/>
    <w:rsid w:val="00470BD2"/>
    <w:rsid w:val="00471901"/>
    <w:rsid w:val="00471F63"/>
    <w:rsid w:val="004721B1"/>
    <w:rsid w:val="00472661"/>
    <w:rsid w:val="0047584B"/>
    <w:rsid w:val="00476447"/>
    <w:rsid w:val="00481871"/>
    <w:rsid w:val="004823BA"/>
    <w:rsid w:val="00482CDF"/>
    <w:rsid w:val="004854AD"/>
    <w:rsid w:val="00485687"/>
    <w:rsid w:val="004859EC"/>
    <w:rsid w:val="00486E9E"/>
    <w:rsid w:val="00486F12"/>
    <w:rsid w:val="00487BE2"/>
    <w:rsid w:val="00490CB8"/>
    <w:rsid w:val="00491084"/>
    <w:rsid w:val="0049510C"/>
    <w:rsid w:val="004955F4"/>
    <w:rsid w:val="00495B4B"/>
    <w:rsid w:val="00495B78"/>
    <w:rsid w:val="00496A15"/>
    <w:rsid w:val="00496ECB"/>
    <w:rsid w:val="004A3191"/>
    <w:rsid w:val="004A3250"/>
    <w:rsid w:val="004A376E"/>
    <w:rsid w:val="004A49E3"/>
    <w:rsid w:val="004A68A0"/>
    <w:rsid w:val="004A6CD8"/>
    <w:rsid w:val="004A7B40"/>
    <w:rsid w:val="004B1870"/>
    <w:rsid w:val="004B1B39"/>
    <w:rsid w:val="004B2415"/>
    <w:rsid w:val="004B4903"/>
    <w:rsid w:val="004B4D60"/>
    <w:rsid w:val="004B7358"/>
    <w:rsid w:val="004B75D2"/>
    <w:rsid w:val="004C1322"/>
    <w:rsid w:val="004C1688"/>
    <w:rsid w:val="004C16F6"/>
    <w:rsid w:val="004C2C68"/>
    <w:rsid w:val="004C3575"/>
    <w:rsid w:val="004C3606"/>
    <w:rsid w:val="004C5827"/>
    <w:rsid w:val="004D0391"/>
    <w:rsid w:val="004D10D1"/>
    <w:rsid w:val="004D1140"/>
    <w:rsid w:val="004D2883"/>
    <w:rsid w:val="004D2CC2"/>
    <w:rsid w:val="004D307D"/>
    <w:rsid w:val="004D42FF"/>
    <w:rsid w:val="004D44AC"/>
    <w:rsid w:val="004D48E9"/>
    <w:rsid w:val="004D5D1C"/>
    <w:rsid w:val="004D5DD1"/>
    <w:rsid w:val="004D6CBC"/>
    <w:rsid w:val="004E1176"/>
    <w:rsid w:val="004E1AC8"/>
    <w:rsid w:val="004E3833"/>
    <w:rsid w:val="004E3E6F"/>
    <w:rsid w:val="004E4589"/>
    <w:rsid w:val="004E4D75"/>
    <w:rsid w:val="004E5678"/>
    <w:rsid w:val="004E5C58"/>
    <w:rsid w:val="004E627C"/>
    <w:rsid w:val="004E6C44"/>
    <w:rsid w:val="004F0151"/>
    <w:rsid w:val="004F058D"/>
    <w:rsid w:val="004F1246"/>
    <w:rsid w:val="004F1A56"/>
    <w:rsid w:val="004F257C"/>
    <w:rsid w:val="004F27C3"/>
    <w:rsid w:val="004F2B16"/>
    <w:rsid w:val="004F356B"/>
    <w:rsid w:val="004F496F"/>
    <w:rsid w:val="004F4E21"/>
    <w:rsid w:val="004F55ED"/>
    <w:rsid w:val="004F691D"/>
    <w:rsid w:val="004F7FF3"/>
    <w:rsid w:val="00500F35"/>
    <w:rsid w:val="00502266"/>
    <w:rsid w:val="005023BC"/>
    <w:rsid w:val="00502D6A"/>
    <w:rsid w:val="00502FB9"/>
    <w:rsid w:val="005049AF"/>
    <w:rsid w:val="0050563B"/>
    <w:rsid w:val="00505C34"/>
    <w:rsid w:val="0050641F"/>
    <w:rsid w:val="0050677E"/>
    <w:rsid w:val="00506FF9"/>
    <w:rsid w:val="00507004"/>
    <w:rsid w:val="005104D9"/>
    <w:rsid w:val="00510C70"/>
    <w:rsid w:val="005111E4"/>
    <w:rsid w:val="005131B9"/>
    <w:rsid w:val="00514004"/>
    <w:rsid w:val="005155AC"/>
    <w:rsid w:val="005158CA"/>
    <w:rsid w:val="00516486"/>
    <w:rsid w:val="00516826"/>
    <w:rsid w:val="00517511"/>
    <w:rsid w:val="00517B8C"/>
    <w:rsid w:val="00517D70"/>
    <w:rsid w:val="00517ECA"/>
    <w:rsid w:val="00520080"/>
    <w:rsid w:val="0052014A"/>
    <w:rsid w:val="0052046D"/>
    <w:rsid w:val="00520D8D"/>
    <w:rsid w:val="00521498"/>
    <w:rsid w:val="0052176C"/>
    <w:rsid w:val="00521FF0"/>
    <w:rsid w:val="0052383B"/>
    <w:rsid w:val="005242FC"/>
    <w:rsid w:val="00525559"/>
    <w:rsid w:val="00525B11"/>
    <w:rsid w:val="00525C98"/>
    <w:rsid w:val="005261E5"/>
    <w:rsid w:val="005262C1"/>
    <w:rsid w:val="005271B0"/>
    <w:rsid w:val="005272C3"/>
    <w:rsid w:val="005306A1"/>
    <w:rsid w:val="005317D1"/>
    <w:rsid w:val="00534808"/>
    <w:rsid w:val="00534D78"/>
    <w:rsid w:val="0053539D"/>
    <w:rsid w:val="005420F2"/>
    <w:rsid w:val="00542574"/>
    <w:rsid w:val="005429F8"/>
    <w:rsid w:val="005436AB"/>
    <w:rsid w:val="00546692"/>
    <w:rsid w:val="00546728"/>
    <w:rsid w:val="00546DBF"/>
    <w:rsid w:val="00547084"/>
    <w:rsid w:val="005474F5"/>
    <w:rsid w:val="005509E0"/>
    <w:rsid w:val="00550ADA"/>
    <w:rsid w:val="0055178D"/>
    <w:rsid w:val="005518BF"/>
    <w:rsid w:val="00552A82"/>
    <w:rsid w:val="00552B2B"/>
    <w:rsid w:val="00553488"/>
    <w:rsid w:val="00553D76"/>
    <w:rsid w:val="005541A1"/>
    <w:rsid w:val="005552B5"/>
    <w:rsid w:val="005556A2"/>
    <w:rsid w:val="0055597F"/>
    <w:rsid w:val="00556238"/>
    <w:rsid w:val="005570AE"/>
    <w:rsid w:val="00557935"/>
    <w:rsid w:val="0056117B"/>
    <w:rsid w:val="00562587"/>
    <w:rsid w:val="00562BA0"/>
    <w:rsid w:val="005640C0"/>
    <w:rsid w:val="00566F6B"/>
    <w:rsid w:val="0056773C"/>
    <w:rsid w:val="005704FA"/>
    <w:rsid w:val="00570F13"/>
    <w:rsid w:val="005711F4"/>
    <w:rsid w:val="00571365"/>
    <w:rsid w:val="00572B0E"/>
    <w:rsid w:val="00573345"/>
    <w:rsid w:val="0057534F"/>
    <w:rsid w:val="0057697B"/>
    <w:rsid w:val="00577342"/>
    <w:rsid w:val="00577933"/>
    <w:rsid w:val="005832F4"/>
    <w:rsid w:val="00583727"/>
    <w:rsid w:val="005852F1"/>
    <w:rsid w:val="0058693A"/>
    <w:rsid w:val="00591608"/>
    <w:rsid w:val="0059252D"/>
    <w:rsid w:val="005946E3"/>
    <w:rsid w:val="00594D0C"/>
    <w:rsid w:val="00594D5B"/>
    <w:rsid w:val="00595311"/>
    <w:rsid w:val="00595ABA"/>
    <w:rsid w:val="00595C04"/>
    <w:rsid w:val="005968FE"/>
    <w:rsid w:val="005974E9"/>
    <w:rsid w:val="0059789B"/>
    <w:rsid w:val="00597B9D"/>
    <w:rsid w:val="00597FAD"/>
    <w:rsid w:val="005A20B6"/>
    <w:rsid w:val="005A2A3D"/>
    <w:rsid w:val="005A36DD"/>
    <w:rsid w:val="005A4D51"/>
    <w:rsid w:val="005A6040"/>
    <w:rsid w:val="005B1826"/>
    <w:rsid w:val="005B2AAB"/>
    <w:rsid w:val="005B2E0E"/>
    <w:rsid w:val="005B3DB3"/>
    <w:rsid w:val="005B41F3"/>
    <w:rsid w:val="005B4F99"/>
    <w:rsid w:val="005B6E48"/>
    <w:rsid w:val="005C01D0"/>
    <w:rsid w:val="005C092A"/>
    <w:rsid w:val="005C171B"/>
    <w:rsid w:val="005C1D51"/>
    <w:rsid w:val="005C215E"/>
    <w:rsid w:val="005C2D85"/>
    <w:rsid w:val="005C32A7"/>
    <w:rsid w:val="005C44D3"/>
    <w:rsid w:val="005C5CD7"/>
    <w:rsid w:val="005C632F"/>
    <w:rsid w:val="005C72B6"/>
    <w:rsid w:val="005D1051"/>
    <w:rsid w:val="005D38F1"/>
    <w:rsid w:val="005D51DC"/>
    <w:rsid w:val="005D618D"/>
    <w:rsid w:val="005D66D6"/>
    <w:rsid w:val="005D66FB"/>
    <w:rsid w:val="005D6B8E"/>
    <w:rsid w:val="005D6C0F"/>
    <w:rsid w:val="005D6FDA"/>
    <w:rsid w:val="005D7F6B"/>
    <w:rsid w:val="005E013E"/>
    <w:rsid w:val="005E0802"/>
    <w:rsid w:val="005E1712"/>
    <w:rsid w:val="005E174F"/>
    <w:rsid w:val="005E2578"/>
    <w:rsid w:val="005E2D8A"/>
    <w:rsid w:val="005E4000"/>
    <w:rsid w:val="005E488A"/>
    <w:rsid w:val="005E72C9"/>
    <w:rsid w:val="005E7EDC"/>
    <w:rsid w:val="005F04EA"/>
    <w:rsid w:val="005F1A20"/>
    <w:rsid w:val="005F24A4"/>
    <w:rsid w:val="005F39F0"/>
    <w:rsid w:val="005F49F1"/>
    <w:rsid w:val="005F5225"/>
    <w:rsid w:val="005F5557"/>
    <w:rsid w:val="005F5CA8"/>
    <w:rsid w:val="005F627F"/>
    <w:rsid w:val="005F70CD"/>
    <w:rsid w:val="00600323"/>
    <w:rsid w:val="00603954"/>
    <w:rsid w:val="00603F7D"/>
    <w:rsid w:val="006067CC"/>
    <w:rsid w:val="0060752D"/>
    <w:rsid w:val="0060759E"/>
    <w:rsid w:val="00607F22"/>
    <w:rsid w:val="00610991"/>
    <w:rsid w:val="00611E96"/>
    <w:rsid w:val="00611FC4"/>
    <w:rsid w:val="00614994"/>
    <w:rsid w:val="00614E68"/>
    <w:rsid w:val="00616695"/>
    <w:rsid w:val="006169F4"/>
    <w:rsid w:val="00617265"/>
    <w:rsid w:val="0061753A"/>
    <w:rsid w:val="006176FB"/>
    <w:rsid w:val="00617950"/>
    <w:rsid w:val="00617D5A"/>
    <w:rsid w:val="00617DE9"/>
    <w:rsid w:val="00620D3B"/>
    <w:rsid w:val="00621832"/>
    <w:rsid w:val="00621DCB"/>
    <w:rsid w:val="0062258F"/>
    <w:rsid w:val="00622959"/>
    <w:rsid w:val="00622966"/>
    <w:rsid w:val="0062574F"/>
    <w:rsid w:val="006258C0"/>
    <w:rsid w:val="00625B27"/>
    <w:rsid w:val="00627E64"/>
    <w:rsid w:val="00630AA6"/>
    <w:rsid w:val="00631049"/>
    <w:rsid w:val="00631F57"/>
    <w:rsid w:val="0063294C"/>
    <w:rsid w:val="00633D6E"/>
    <w:rsid w:val="006350CB"/>
    <w:rsid w:val="0063689D"/>
    <w:rsid w:val="00636EAC"/>
    <w:rsid w:val="00637823"/>
    <w:rsid w:val="00637A98"/>
    <w:rsid w:val="00637EEF"/>
    <w:rsid w:val="00640762"/>
    <w:rsid w:val="00640B26"/>
    <w:rsid w:val="00641FFF"/>
    <w:rsid w:val="00642758"/>
    <w:rsid w:val="006432C9"/>
    <w:rsid w:val="00645819"/>
    <w:rsid w:val="006461C6"/>
    <w:rsid w:val="00646224"/>
    <w:rsid w:val="00646A82"/>
    <w:rsid w:val="0064702E"/>
    <w:rsid w:val="00651183"/>
    <w:rsid w:val="006511A1"/>
    <w:rsid w:val="006529E6"/>
    <w:rsid w:val="00652C2F"/>
    <w:rsid w:val="0065311E"/>
    <w:rsid w:val="006534A0"/>
    <w:rsid w:val="006537C8"/>
    <w:rsid w:val="00654B77"/>
    <w:rsid w:val="00655025"/>
    <w:rsid w:val="0065713A"/>
    <w:rsid w:val="00660570"/>
    <w:rsid w:val="00660AD9"/>
    <w:rsid w:val="00660BB8"/>
    <w:rsid w:val="00660D62"/>
    <w:rsid w:val="006632CF"/>
    <w:rsid w:val="006658CA"/>
    <w:rsid w:val="006671E1"/>
    <w:rsid w:val="0066747F"/>
    <w:rsid w:val="00670271"/>
    <w:rsid w:val="00670741"/>
    <w:rsid w:val="00670B4C"/>
    <w:rsid w:val="0067230E"/>
    <w:rsid w:val="0067342E"/>
    <w:rsid w:val="00674A3B"/>
    <w:rsid w:val="0067714E"/>
    <w:rsid w:val="006801EA"/>
    <w:rsid w:val="006805CC"/>
    <w:rsid w:val="00680A41"/>
    <w:rsid w:val="00681164"/>
    <w:rsid w:val="006840F6"/>
    <w:rsid w:val="006845A3"/>
    <w:rsid w:val="00684B71"/>
    <w:rsid w:val="00684C18"/>
    <w:rsid w:val="00685A51"/>
    <w:rsid w:val="00687148"/>
    <w:rsid w:val="00691506"/>
    <w:rsid w:val="00691DCE"/>
    <w:rsid w:val="00692FCE"/>
    <w:rsid w:val="006942A0"/>
    <w:rsid w:val="006950F9"/>
    <w:rsid w:val="00696BD6"/>
    <w:rsid w:val="0069791F"/>
    <w:rsid w:val="006A1361"/>
    <w:rsid w:val="006A2608"/>
    <w:rsid w:val="006A2D67"/>
    <w:rsid w:val="006A34F1"/>
    <w:rsid w:val="006A644E"/>
    <w:rsid w:val="006A6B9D"/>
    <w:rsid w:val="006A7392"/>
    <w:rsid w:val="006B2B8D"/>
    <w:rsid w:val="006B3189"/>
    <w:rsid w:val="006B41CD"/>
    <w:rsid w:val="006B494B"/>
    <w:rsid w:val="006B509C"/>
    <w:rsid w:val="006B5DAB"/>
    <w:rsid w:val="006B621C"/>
    <w:rsid w:val="006B6F39"/>
    <w:rsid w:val="006B73E7"/>
    <w:rsid w:val="006B7D65"/>
    <w:rsid w:val="006C06E1"/>
    <w:rsid w:val="006C143C"/>
    <w:rsid w:val="006C2070"/>
    <w:rsid w:val="006C22D5"/>
    <w:rsid w:val="006C2761"/>
    <w:rsid w:val="006C3645"/>
    <w:rsid w:val="006C3AC6"/>
    <w:rsid w:val="006C3B04"/>
    <w:rsid w:val="006D0C6A"/>
    <w:rsid w:val="006D110B"/>
    <w:rsid w:val="006D2D4B"/>
    <w:rsid w:val="006D43F1"/>
    <w:rsid w:val="006D5A85"/>
    <w:rsid w:val="006D6221"/>
    <w:rsid w:val="006D6DA6"/>
    <w:rsid w:val="006D7630"/>
    <w:rsid w:val="006E102E"/>
    <w:rsid w:val="006E18A4"/>
    <w:rsid w:val="006E2DB7"/>
    <w:rsid w:val="006E323B"/>
    <w:rsid w:val="006E43EB"/>
    <w:rsid w:val="006E4B48"/>
    <w:rsid w:val="006E4BB7"/>
    <w:rsid w:val="006E50BA"/>
    <w:rsid w:val="006E5139"/>
    <w:rsid w:val="006E564B"/>
    <w:rsid w:val="006E647D"/>
    <w:rsid w:val="006E6F99"/>
    <w:rsid w:val="006E747A"/>
    <w:rsid w:val="006E7C1D"/>
    <w:rsid w:val="006F06AC"/>
    <w:rsid w:val="006F0D9C"/>
    <w:rsid w:val="006F13F0"/>
    <w:rsid w:val="006F1B01"/>
    <w:rsid w:val="006F271B"/>
    <w:rsid w:val="006F2B39"/>
    <w:rsid w:val="006F41FD"/>
    <w:rsid w:val="006F4757"/>
    <w:rsid w:val="006F5035"/>
    <w:rsid w:val="006F5352"/>
    <w:rsid w:val="006F6BD4"/>
    <w:rsid w:val="006F7A58"/>
    <w:rsid w:val="006F7D27"/>
    <w:rsid w:val="0070067B"/>
    <w:rsid w:val="00700DAB"/>
    <w:rsid w:val="007033E2"/>
    <w:rsid w:val="00703D98"/>
    <w:rsid w:val="0070481F"/>
    <w:rsid w:val="007050C0"/>
    <w:rsid w:val="00705CED"/>
    <w:rsid w:val="00706595"/>
    <w:rsid w:val="007065EB"/>
    <w:rsid w:val="007068D8"/>
    <w:rsid w:val="00706DAF"/>
    <w:rsid w:val="007078DF"/>
    <w:rsid w:val="00712CAA"/>
    <w:rsid w:val="0071420B"/>
    <w:rsid w:val="00714330"/>
    <w:rsid w:val="00714D04"/>
    <w:rsid w:val="00716879"/>
    <w:rsid w:val="00717846"/>
    <w:rsid w:val="00717C3C"/>
    <w:rsid w:val="00720183"/>
    <w:rsid w:val="007248C3"/>
    <w:rsid w:val="007249B2"/>
    <w:rsid w:val="00725F61"/>
    <w:rsid w:val="00726314"/>
    <w:rsid w:val="0072632A"/>
    <w:rsid w:val="00726DCF"/>
    <w:rsid w:val="0072722E"/>
    <w:rsid w:val="00727A2C"/>
    <w:rsid w:val="00727F4C"/>
    <w:rsid w:val="0073128E"/>
    <w:rsid w:val="00731A9D"/>
    <w:rsid w:val="00732067"/>
    <w:rsid w:val="007322DA"/>
    <w:rsid w:val="00732911"/>
    <w:rsid w:val="00732CC0"/>
    <w:rsid w:val="00735CAA"/>
    <w:rsid w:val="0073604B"/>
    <w:rsid w:val="0073644B"/>
    <w:rsid w:val="007368EC"/>
    <w:rsid w:val="00740139"/>
    <w:rsid w:val="0074163B"/>
    <w:rsid w:val="00741886"/>
    <w:rsid w:val="0074200B"/>
    <w:rsid w:val="00742203"/>
    <w:rsid w:val="00742F70"/>
    <w:rsid w:val="00743B8A"/>
    <w:rsid w:val="007442FA"/>
    <w:rsid w:val="0074556B"/>
    <w:rsid w:val="00745700"/>
    <w:rsid w:val="007458BD"/>
    <w:rsid w:val="00745AF3"/>
    <w:rsid w:val="00746CF2"/>
    <w:rsid w:val="00746D67"/>
    <w:rsid w:val="0074751C"/>
    <w:rsid w:val="00747D89"/>
    <w:rsid w:val="00750A19"/>
    <w:rsid w:val="00751413"/>
    <w:rsid w:val="0075442C"/>
    <w:rsid w:val="00754CC5"/>
    <w:rsid w:val="00755789"/>
    <w:rsid w:val="00756039"/>
    <w:rsid w:val="0075691F"/>
    <w:rsid w:val="00757087"/>
    <w:rsid w:val="00760721"/>
    <w:rsid w:val="007612F2"/>
    <w:rsid w:val="007613A6"/>
    <w:rsid w:val="00761B1A"/>
    <w:rsid w:val="0076214C"/>
    <w:rsid w:val="007649F8"/>
    <w:rsid w:val="007655F8"/>
    <w:rsid w:val="0076620A"/>
    <w:rsid w:val="00766603"/>
    <w:rsid w:val="00766F5D"/>
    <w:rsid w:val="00767EBD"/>
    <w:rsid w:val="00771AFC"/>
    <w:rsid w:val="00771BC2"/>
    <w:rsid w:val="007724E8"/>
    <w:rsid w:val="007735BC"/>
    <w:rsid w:val="007740CA"/>
    <w:rsid w:val="007743AC"/>
    <w:rsid w:val="00775202"/>
    <w:rsid w:val="0077602A"/>
    <w:rsid w:val="007765E4"/>
    <w:rsid w:val="00776A36"/>
    <w:rsid w:val="00780D3D"/>
    <w:rsid w:val="00781975"/>
    <w:rsid w:val="00782248"/>
    <w:rsid w:val="00782508"/>
    <w:rsid w:val="007838AA"/>
    <w:rsid w:val="00784334"/>
    <w:rsid w:val="00784A4C"/>
    <w:rsid w:val="00784B5C"/>
    <w:rsid w:val="00785988"/>
    <w:rsid w:val="00785A95"/>
    <w:rsid w:val="0079039E"/>
    <w:rsid w:val="00791BD8"/>
    <w:rsid w:val="00792765"/>
    <w:rsid w:val="007942C6"/>
    <w:rsid w:val="00794B1D"/>
    <w:rsid w:val="0079552F"/>
    <w:rsid w:val="00795A22"/>
    <w:rsid w:val="0079741E"/>
    <w:rsid w:val="007A0262"/>
    <w:rsid w:val="007A140E"/>
    <w:rsid w:val="007A16FC"/>
    <w:rsid w:val="007A1B48"/>
    <w:rsid w:val="007A1BFB"/>
    <w:rsid w:val="007A20FC"/>
    <w:rsid w:val="007A3706"/>
    <w:rsid w:val="007A3A81"/>
    <w:rsid w:val="007A4020"/>
    <w:rsid w:val="007A4C32"/>
    <w:rsid w:val="007A51AC"/>
    <w:rsid w:val="007A57C9"/>
    <w:rsid w:val="007A6050"/>
    <w:rsid w:val="007A6296"/>
    <w:rsid w:val="007A669B"/>
    <w:rsid w:val="007A6F3B"/>
    <w:rsid w:val="007A70B4"/>
    <w:rsid w:val="007A77CB"/>
    <w:rsid w:val="007B0149"/>
    <w:rsid w:val="007B16AD"/>
    <w:rsid w:val="007B1F2D"/>
    <w:rsid w:val="007B36AA"/>
    <w:rsid w:val="007B4233"/>
    <w:rsid w:val="007B613B"/>
    <w:rsid w:val="007B6BA5"/>
    <w:rsid w:val="007B734B"/>
    <w:rsid w:val="007C12CC"/>
    <w:rsid w:val="007C1B62"/>
    <w:rsid w:val="007C1B8E"/>
    <w:rsid w:val="007C28F4"/>
    <w:rsid w:val="007C3390"/>
    <w:rsid w:val="007C4F4B"/>
    <w:rsid w:val="007C584B"/>
    <w:rsid w:val="007C5BBD"/>
    <w:rsid w:val="007C77C8"/>
    <w:rsid w:val="007D0744"/>
    <w:rsid w:val="007D0992"/>
    <w:rsid w:val="007D12D6"/>
    <w:rsid w:val="007D174D"/>
    <w:rsid w:val="007D296F"/>
    <w:rsid w:val="007D2CDC"/>
    <w:rsid w:val="007D2E95"/>
    <w:rsid w:val="007D5327"/>
    <w:rsid w:val="007D5FFB"/>
    <w:rsid w:val="007D6365"/>
    <w:rsid w:val="007D6838"/>
    <w:rsid w:val="007D73A7"/>
    <w:rsid w:val="007D7681"/>
    <w:rsid w:val="007D7822"/>
    <w:rsid w:val="007E3C9C"/>
    <w:rsid w:val="007E44C8"/>
    <w:rsid w:val="007E5887"/>
    <w:rsid w:val="007E6915"/>
    <w:rsid w:val="007E6D61"/>
    <w:rsid w:val="007E7405"/>
    <w:rsid w:val="007E743B"/>
    <w:rsid w:val="007F004E"/>
    <w:rsid w:val="007F131D"/>
    <w:rsid w:val="007F1B0F"/>
    <w:rsid w:val="007F1CFE"/>
    <w:rsid w:val="007F1EE6"/>
    <w:rsid w:val="007F2D0E"/>
    <w:rsid w:val="007F2D97"/>
    <w:rsid w:val="007F3665"/>
    <w:rsid w:val="007F3985"/>
    <w:rsid w:val="007F5542"/>
    <w:rsid w:val="007F6611"/>
    <w:rsid w:val="007F6F4E"/>
    <w:rsid w:val="008006E6"/>
    <w:rsid w:val="00802132"/>
    <w:rsid w:val="0080271B"/>
    <w:rsid w:val="00804082"/>
    <w:rsid w:val="008041F2"/>
    <w:rsid w:val="00805F32"/>
    <w:rsid w:val="00805F87"/>
    <w:rsid w:val="00807E8C"/>
    <w:rsid w:val="0081039D"/>
    <w:rsid w:val="008106DA"/>
    <w:rsid w:val="00814669"/>
    <w:rsid w:val="0081471B"/>
    <w:rsid w:val="008155C3"/>
    <w:rsid w:val="008175E9"/>
    <w:rsid w:val="008179B0"/>
    <w:rsid w:val="00817C37"/>
    <w:rsid w:val="00817F7B"/>
    <w:rsid w:val="00817FCE"/>
    <w:rsid w:val="0082049F"/>
    <w:rsid w:val="0082110F"/>
    <w:rsid w:val="008222DC"/>
    <w:rsid w:val="0082243E"/>
    <w:rsid w:val="00822A2D"/>
    <w:rsid w:val="00822B7D"/>
    <w:rsid w:val="00822E93"/>
    <w:rsid w:val="00822F20"/>
    <w:rsid w:val="008232F4"/>
    <w:rsid w:val="008237EE"/>
    <w:rsid w:val="00823E81"/>
    <w:rsid w:val="008242D7"/>
    <w:rsid w:val="00827E6D"/>
    <w:rsid w:val="008301BB"/>
    <w:rsid w:val="008320E7"/>
    <w:rsid w:val="0083349B"/>
    <w:rsid w:val="00834249"/>
    <w:rsid w:val="008343A3"/>
    <w:rsid w:val="008355C6"/>
    <w:rsid w:val="00835686"/>
    <w:rsid w:val="00836DA5"/>
    <w:rsid w:val="00837A47"/>
    <w:rsid w:val="00840AA4"/>
    <w:rsid w:val="008411A8"/>
    <w:rsid w:val="008414DE"/>
    <w:rsid w:val="008423E1"/>
    <w:rsid w:val="008426FD"/>
    <w:rsid w:val="00843143"/>
    <w:rsid w:val="008433A9"/>
    <w:rsid w:val="008434DB"/>
    <w:rsid w:val="00843E9E"/>
    <w:rsid w:val="00843FDF"/>
    <w:rsid w:val="00844258"/>
    <w:rsid w:val="00844532"/>
    <w:rsid w:val="008452DA"/>
    <w:rsid w:val="008455E4"/>
    <w:rsid w:val="00846F42"/>
    <w:rsid w:val="00850D17"/>
    <w:rsid w:val="00851EB5"/>
    <w:rsid w:val="008520F0"/>
    <w:rsid w:val="008524F9"/>
    <w:rsid w:val="00852B35"/>
    <w:rsid w:val="00853F7C"/>
    <w:rsid w:val="00854224"/>
    <w:rsid w:val="00854639"/>
    <w:rsid w:val="008548C5"/>
    <w:rsid w:val="00854DA6"/>
    <w:rsid w:val="00854ED7"/>
    <w:rsid w:val="00855837"/>
    <w:rsid w:val="00855884"/>
    <w:rsid w:val="00855E96"/>
    <w:rsid w:val="00856879"/>
    <w:rsid w:val="00856CD2"/>
    <w:rsid w:val="00860799"/>
    <w:rsid w:val="00860A80"/>
    <w:rsid w:val="00861A80"/>
    <w:rsid w:val="00861BC6"/>
    <w:rsid w:val="00862070"/>
    <w:rsid w:val="00862FDF"/>
    <w:rsid w:val="0086465A"/>
    <w:rsid w:val="0086635E"/>
    <w:rsid w:val="00866421"/>
    <w:rsid w:val="00866426"/>
    <w:rsid w:val="00870BAC"/>
    <w:rsid w:val="00870DDF"/>
    <w:rsid w:val="00871FD5"/>
    <w:rsid w:val="00873B6C"/>
    <w:rsid w:val="00874959"/>
    <w:rsid w:val="00875EBC"/>
    <w:rsid w:val="00876A31"/>
    <w:rsid w:val="00877A29"/>
    <w:rsid w:val="00880C22"/>
    <w:rsid w:val="00880D61"/>
    <w:rsid w:val="0088157B"/>
    <w:rsid w:val="00881AB2"/>
    <w:rsid w:val="00882149"/>
    <w:rsid w:val="00883AF2"/>
    <w:rsid w:val="00883D9C"/>
    <w:rsid w:val="00884DF9"/>
    <w:rsid w:val="0088502E"/>
    <w:rsid w:val="00885732"/>
    <w:rsid w:val="0088660C"/>
    <w:rsid w:val="0088677D"/>
    <w:rsid w:val="0088747B"/>
    <w:rsid w:val="0089041F"/>
    <w:rsid w:val="008914CD"/>
    <w:rsid w:val="00891973"/>
    <w:rsid w:val="00893240"/>
    <w:rsid w:val="0089433F"/>
    <w:rsid w:val="0089455D"/>
    <w:rsid w:val="008979B1"/>
    <w:rsid w:val="00897BEC"/>
    <w:rsid w:val="008A001D"/>
    <w:rsid w:val="008A07E8"/>
    <w:rsid w:val="008A158F"/>
    <w:rsid w:val="008A2372"/>
    <w:rsid w:val="008A2D68"/>
    <w:rsid w:val="008A3789"/>
    <w:rsid w:val="008A4435"/>
    <w:rsid w:val="008A6B25"/>
    <w:rsid w:val="008A6C4F"/>
    <w:rsid w:val="008A71E7"/>
    <w:rsid w:val="008A75CC"/>
    <w:rsid w:val="008A7CE4"/>
    <w:rsid w:val="008B14B8"/>
    <w:rsid w:val="008B1CFC"/>
    <w:rsid w:val="008B3C5E"/>
    <w:rsid w:val="008B4CB9"/>
    <w:rsid w:val="008B543A"/>
    <w:rsid w:val="008B551F"/>
    <w:rsid w:val="008B552B"/>
    <w:rsid w:val="008B62F5"/>
    <w:rsid w:val="008B6318"/>
    <w:rsid w:val="008B71BA"/>
    <w:rsid w:val="008C137A"/>
    <w:rsid w:val="008C165E"/>
    <w:rsid w:val="008C1BF1"/>
    <w:rsid w:val="008C1E4D"/>
    <w:rsid w:val="008C3206"/>
    <w:rsid w:val="008C378D"/>
    <w:rsid w:val="008C388F"/>
    <w:rsid w:val="008C3D7C"/>
    <w:rsid w:val="008C3EFF"/>
    <w:rsid w:val="008C52AB"/>
    <w:rsid w:val="008C5663"/>
    <w:rsid w:val="008C713E"/>
    <w:rsid w:val="008C7D59"/>
    <w:rsid w:val="008D0F0B"/>
    <w:rsid w:val="008D15F3"/>
    <w:rsid w:val="008D3E36"/>
    <w:rsid w:val="008D4082"/>
    <w:rsid w:val="008D4AF2"/>
    <w:rsid w:val="008D5B63"/>
    <w:rsid w:val="008D770E"/>
    <w:rsid w:val="008D79B5"/>
    <w:rsid w:val="008E0E46"/>
    <w:rsid w:val="008E15F3"/>
    <w:rsid w:val="008E1727"/>
    <w:rsid w:val="008E1BBD"/>
    <w:rsid w:val="008E1E69"/>
    <w:rsid w:val="008E43E3"/>
    <w:rsid w:val="008E5863"/>
    <w:rsid w:val="008E5978"/>
    <w:rsid w:val="008E5C47"/>
    <w:rsid w:val="008F0BB3"/>
    <w:rsid w:val="008F13D0"/>
    <w:rsid w:val="008F2891"/>
    <w:rsid w:val="008F3F61"/>
    <w:rsid w:val="008F593A"/>
    <w:rsid w:val="00900316"/>
    <w:rsid w:val="00900FCD"/>
    <w:rsid w:val="00901C1C"/>
    <w:rsid w:val="00901C70"/>
    <w:rsid w:val="00902AC4"/>
    <w:rsid w:val="00903617"/>
    <w:rsid w:val="0090452C"/>
    <w:rsid w:val="00904B15"/>
    <w:rsid w:val="00906A04"/>
    <w:rsid w:val="00907C3F"/>
    <w:rsid w:val="00910B40"/>
    <w:rsid w:val="00910EDD"/>
    <w:rsid w:val="00912977"/>
    <w:rsid w:val="00913DCF"/>
    <w:rsid w:val="00914288"/>
    <w:rsid w:val="00914B49"/>
    <w:rsid w:val="00916BDB"/>
    <w:rsid w:val="00916C8B"/>
    <w:rsid w:val="00917C80"/>
    <w:rsid w:val="00917DB1"/>
    <w:rsid w:val="0092073D"/>
    <w:rsid w:val="009222E2"/>
    <w:rsid w:val="0092237C"/>
    <w:rsid w:val="00922BB4"/>
    <w:rsid w:val="009258EB"/>
    <w:rsid w:val="00925B5E"/>
    <w:rsid w:val="00926F2D"/>
    <w:rsid w:val="009276BA"/>
    <w:rsid w:val="00927C57"/>
    <w:rsid w:val="00930E98"/>
    <w:rsid w:val="00932393"/>
    <w:rsid w:val="00932A75"/>
    <w:rsid w:val="0093304F"/>
    <w:rsid w:val="009331FD"/>
    <w:rsid w:val="009337F3"/>
    <w:rsid w:val="00934F8E"/>
    <w:rsid w:val="009362BD"/>
    <w:rsid w:val="00936D99"/>
    <w:rsid w:val="0093707B"/>
    <w:rsid w:val="00937F3B"/>
    <w:rsid w:val="009400EB"/>
    <w:rsid w:val="0094011A"/>
    <w:rsid w:val="00940660"/>
    <w:rsid w:val="00941D1B"/>
    <w:rsid w:val="009427E3"/>
    <w:rsid w:val="0094292B"/>
    <w:rsid w:val="00946309"/>
    <w:rsid w:val="00946B1F"/>
    <w:rsid w:val="00950A0D"/>
    <w:rsid w:val="00950D00"/>
    <w:rsid w:val="009539AE"/>
    <w:rsid w:val="00954558"/>
    <w:rsid w:val="00955E4A"/>
    <w:rsid w:val="00955F7D"/>
    <w:rsid w:val="009567A3"/>
    <w:rsid w:val="00956D9B"/>
    <w:rsid w:val="0095740E"/>
    <w:rsid w:val="009579A3"/>
    <w:rsid w:val="00957FBE"/>
    <w:rsid w:val="00960DA2"/>
    <w:rsid w:val="00961E32"/>
    <w:rsid w:val="009627A7"/>
    <w:rsid w:val="00962C7D"/>
    <w:rsid w:val="00963CBA"/>
    <w:rsid w:val="00964D1C"/>
    <w:rsid w:val="009654B7"/>
    <w:rsid w:val="00965678"/>
    <w:rsid w:val="009664C2"/>
    <w:rsid w:val="00966B9D"/>
    <w:rsid w:val="009675C7"/>
    <w:rsid w:val="00971316"/>
    <w:rsid w:val="00973037"/>
    <w:rsid w:val="00973076"/>
    <w:rsid w:val="00974E8E"/>
    <w:rsid w:val="00976BC2"/>
    <w:rsid w:val="0097770C"/>
    <w:rsid w:val="00980C85"/>
    <w:rsid w:val="00980D3F"/>
    <w:rsid w:val="00981D21"/>
    <w:rsid w:val="009828B0"/>
    <w:rsid w:val="00982DD4"/>
    <w:rsid w:val="00983DEA"/>
    <w:rsid w:val="009853EB"/>
    <w:rsid w:val="00985CF1"/>
    <w:rsid w:val="009860C9"/>
    <w:rsid w:val="0098645A"/>
    <w:rsid w:val="009867EF"/>
    <w:rsid w:val="0099071C"/>
    <w:rsid w:val="009907D6"/>
    <w:rsid w:val="00990BC2"/>
    <w:rsid w:val="00991261"/>
    <w:rsid w:val="00991597"/>
    <w:rsid w:val="009917A7"/>
    <w:rsid w:val="009918C3"/>
    <w:rsid w:val="00991CE5"/>
    <w:rsid w:val="009927C0"/>
    <w:rsid w:val="00992E96"/>
    <w:rsid w:val="00992F49"/>
    <w:rsid w:val="00993248"/>
    <w:rsid w:val="0099755F"/>
    <w:rsid w:val="009A0B83"/>
    <w:rsid w:val="009A27DE"/>
    <w:rsid w:val="009A53E5"/>
    <w:rsid w:val="009A5693"/>
    <w:rsid w:val="009A65BC"/>
    <w:rsid w:val="009B0235"/>
    <w:rsid w:val="009B11E7"/>
    <w:rsid w:val="009B1953"/>
    <w:rsid w:val="009B27EC"/>
    <w:rsid w:val="009B3022"/>
    <w:rsid w:val="009B3800"/>
    <w:rsid w:val="009B58FA"/>
    <w:rsid w:val="009B5A72"/>
    <w:rsid w:val="009B5E14"/>
    <w:rsid w:val="009B65F1"/>
    <w:rsid w:val="009B7D99"/>
    <w:rsid w:val="009C0D48"/>
    <w:rsid w:val="009C1C73"/>
    <w:rsid w:val="009C41A8"/>
    <w:rsid w:val="009C4201"/>
    <w:rsid w:val="009C5503"/>
    <w:rsid w:val="009C6254"/>
    <w:rsid w:val="009C7C08"/>
    <w:rsid w:val="009D22AC"/>
    <w:rsid w:val="009D257A"/>
    <w:rsid w:val="009D3AD6"/>
    <w:rsid w:val="009D4075"/>
    <w:rsid w:val="009D44CF"/>
    <w:rsid w:val="009D50DB"/>
    <w:rsid w:val="009D5195"/>
    <w:rsid w:val="009D576E"/>
    <w:rsid w:val="009D5A52"/>
    <w:rsid w:val="009D64FB"/>
    <w:rsid w:val="009E0348"/>
    <w:rsid w:val="009E1266"/>
    <w:rsid w:val="009E1277"/>
    <w:rsid w:val="009E1C4E"/>
    <w:rsid w:val="009E2B5B"/>
    <w:rsid w:val="009E340D"/>
    <w:rsid w:val="009E3CC5"/>
    <w:rsid w:val="009E45E0"/>
    <w:rsid w:val="009E4744"/>
    <w:rsid w:val="009E5DE5"/>
    <w:rsid w:val="009E6B47"/>
    <w:rsid w:val="009F0BC6"/>
    <w:rsid w:val="009F165C"/>
    <w:rsid w:val="009F4580"/>
    <w:rsid w:val="009F5EEC"/>
    <w:rsid w:val="009F69F7"/>
    <w:rsid w:val="009F72E9"/>
    <w:rsid w:val="00A001D2"/>
    <w:rsid w:val="00A00E83"/>
    <w:rsid w:val="00A03FC5"/>
    <w:rsid w:val="00A04668"/>
    <w:rsid w:val="00A05E0B"/>
    <w:rsid w:val="00A061E8"/>
    <w:rsid w:val="00A06914"/>
    <w:rsid w:val="00A10D59"/>
    <w:rsid w:val="00A11061"/>
    <w:rsid w:val="00A11A07"/>
    <w:rsid w:val="00A11CDE"/>
    <w:rsid w:val="00A11F46"/>
    <w:rsid w:val="00A12439"/>
    <w:rsid w:val="00A129CE"/>
    <w:rsid w:val="00A1302E"/>
    <w:rsid w:val="00A13616"/>
    <w:rsid w:val="00A13D48"/>
    <w:rsid w:val="00A13F32"/>
    <w:rsid w:val="00A1427D"/>
    <w:rsid w:val="00A17B98"/>
    <w:rsid w:val="00A17D91"/>
    <w:rsid w:val="00A20022"/>
    <w:rsid w:val="00A207C4"/>
    <w:rsid w:val="00A20A80"/>
    <w:rsid w:val="00A2378F"/>
    <w:rsid w:val="00A24E61"/>
    <w:rsid w:val="00A2786C"/>
    <w:rsid w:val="00A33AC3"/>
    <w:rsid w:val="00A34553"/>
    <w:rsid w:val="00A34FEC"/>
    <w:rsid w:val="00A370B2"/>
    <w:rsid w:val="00A37B46"/>
    <w:rsid w:val="00A37E60"/>
    <w:rsid w:val="00A40788"/>
    <w:rsid w:val="00A42A2C"/>
    <w:rsid w:val="00A43E6F"/>
    <w:rsid w:val="00A44F3D"/>
    <w:rsid w:val="00A4634F"/>
    <w:rsid w:val="00A509CC"/>
    <w:rsid w:val="00A516CB"/>
    <w:rsid w:val="00A51CF3"/>
    <w:rsid w:val="00A52EE7"/>
    <w:rsid w:val="00A53387"/>
    <w:rsid w:val="00A54443"/>
    <w:rsid w:val="00A54DC4"/>
    <w:rsid w:val="00A557CF"/>
    <w:rsid w:val="00A55BE7"/>
    <w:rsid w:val="00A56F56"/>
    <w:rsid w:val="00A5707C"/>
    <w:rsid w:val="00A60B52"/>
    <w:rsid w:val="00A60BA1"/>
    <w:rsid w:val="00A620A9"/>
    <w:rsid w:val="00A6377B"/>
    <w:rsid w:val="00A64D3D"/>
    <w:rsid w:val="00A65485"/>
    <w:rsid w:val="00A65531"/>
    <w:rsid w:val="00A66387"/>
    <w:rsid w:val="00A705A5"/>
    <w:rsid w:val="00A71853"/>
    <w:rsid w:val="00A72F22"/>
    <w:rsid w:val="00A74379"/>
    <w:rsid w:val="00A74458"/>
    <w:rsid w:val="00A748A6"/>
    <w:rsid w:val="00A771C8"/>
    <w:rsid w:val="00A802EB"/>
    <w:rsid w:val="00A80F38"/>
    <w:rsid w:val="00A80F55"/>
    <w:rsid w:val="00A81938"/>
    <w:rsid w:val="00A82A21"/>
    <w:rsid w:val="00A83BF0"/>
    <w:rsid w:val="00A8419D"/>
    <w:rsid w:val="00A854B5"/>
    <w:rsid w:val="00A85690"/>
    <w:rsid w:val="00A85E5F"/>
    <w:rsid w:val="00A879A4"/>
    <w:rsid w:val="00A87E95"/>
    <w:rsid w:val="00A904E1"/>
    <w:rsid w:val="00A92E29"/>
    <w:rsid w:val="00A93E39"/>
    <w:rsid w:val="00A97CF6"/>
    <w:rsid w:val="00AA094B"/>
    <w:rsid w:val="00AA0B8F"/>
    <w:rsid w:val="00AA2BB1"/>
    <w:rsid w:val="00AA3083"/>
    <w:rsid w:val="00AA3D92"/>
    <w:rsid w:val="00AA4433"/>
    <w:rsid w:val="00AA54F9"/>
    <w:rsid w:val="00AA595C"/>
    <w:rsid w:val="00AA63BF"/>
    <w:rsid w:val="00AA7E3F"/>
    <w:rsid w:val="00AB1AD7"/>
    <w:rsid w:val="00AB27F0"/>
    <w:rsid w:val="00AB6649"/>
    <w:rsid w:val="00AB7B3E"/>
    <w:rsid w:val="00AC0F01"/>
    <w:rsid w:val="00AC1D95"/>
    <w:rsid w:val="00AC214E"/>
    <w:rsid w:val="00AC415F"/>
    <w:rsid w:val="00AC6F14"/>
    <w:rsid w:val="00AD092F"/>
    <w:rsid w:val="00AD09E9"/>
    <w:rsid w:val="00AD3BCB"/>
    <w:rsid w:val="00AD3FC4"/>
    <w:rsid w:val="00AD458C"/>
    <w:rsid w:val="00AD4B67"/>
    <w:rsid w:val="00AD56AA"/>
    <w:rsid w:val="00AD71FE"/>
    <w:rsid w:val="00AE029E"/>
    <w:rsid w:val="00AE285E"/>
    <w:rsid w:val="00AE2AE3"/>
    <w:rsid w:val="00AE2E53"/>
    <w:rsid w:val="00AE48B9"/>
    <w:rsid w:val="00AE4B6B"/>
    <w:rsid w:val="00AE4F59"/>
    <w:rsid w:val="00AE596B"/>
    <w:rsid w:val="00AE6BD2"/>
    <w:rsid w:val="00AF0041"/>
    <w:rsid w:val="00AF0576"/>
    <w:rsid w:val="00AF0EE1"/>
    <w:rsid w:val="00AF3829"/>
    <w:rsid w:val="00AF483E"/>
    <w:rsid w:val="00AF4B30"/>
    <w:rsid w:val="00AF5D7F"/>
    <w:rsid w:val="00AF618B"/>
    <w:rsid w:val="00AF7524"/>
    <w:rsid w:val="00B00F4B"/>
    <w:rsid w:val="00B037F0"/>
    <w:rsid w:val="00B03D05"/>
    <w:rsid w:val="00B044DF"/>
    <w:rsid w:val="00B06633"/>
    <w:rsid w:val="00B068FC"/>
    <w:rsid w:val="00B06C89"/>
    <w:rsid w:val="00B074B0"/>
    <w:rsid w:val="00B077CD"/>
    <w:rsid w:val="00B07C52"/>
    <w:rsid w:val="00B10D82"/>
    <w:rsid w:val="00B114B0"/>
    <w:rsid w:val="00B11761"/>
    <w:rsid w:val="00B127E5"/>
    <w:rsid w:val="00B14D04"/>
    <w:rsid w:val="00B15A6E"/>
    <w:rsid w:val="00B17494"/>
    <w:rsid w:val="00B201F2"/>
    <w:rsid w:val="00B213F1"/>
    <w:rsid w:val="00B21F81"/>
    <w:rsid w:val="00B22705"/>
    <w:rsid w:val="00B2327D"/>
    <w:rsid w:val="00B2378D"/>
    <w:rsid w:val="00B243B3"/>
    <w:rsid w:val="00B2718F"/>
    <w:rsid w:val="00B27734"/>
    <w:rsid w:val="00B300A7"/>
    <w:rsid w:val="00B300D8"/>
    <w:rsid w:val="00B30179"/>
    <w:rsid w:val="00B31257"/>
    <w:rsid w:val="00B3155D"/>
    <w:rsid w:val="00B317AA"/>
    <w:rsid w:val="00B3317B"/>
    <w:rsid w:val="00B332C3"/>
    <w:rsid w:val="00B334DC"/>
    <w:rsid w:val="00B3389E"/>
    <w:rsid w:val="00B338B6"/>
    <w:rsid w:val="00B3396E"/>
    <w:rsid w:val="00B34BF2"/>
    <w:rsid w:val="00B357A6"/>
    <w:rsid w:val="00B3631A"/>
    <w:rsid w:val="00B37F1D"/>
    <w:rsid w:val="00B40068"/>
    <w:rsid w:val="00B40FD8"/>
    <w:rsid w:val="00B424AE"/>
    <w:rsid w:val="00B430C7"/>
    <w:rsid w:val="00B43B98"/>
    <w:rsid w:val="00B45A65"/>
    <w:rsid w:val="00B46CB5"/>
    <w:rsid w:val="00B518FC"/>
    <w:rsid w:val="00B51EB7"/>
    <w:rsid w:val="00B52A74"/>
    <w:rsid w:val="00B53013"/>
    <w:rsid w:val="00B531DF"/>
    <w:rsid w:val="00B53977"/>
    <w:rsid w:val="00B53FDC"/>
    <w:rsid w:val="00B558EA"/>
    <w:rsid w:val="00B564F0"/>
    <w:rsid w:val="00B5690F"/>
    <w:rsid w:val="00B573BE"/>
    <w:rsid w:val="00B57868"/>
    <w:rsid w:val="00B609F8"/>
    <w:rsid w:val="00B6107E"/>
    <w:rsid w:val="00B620CD"/>
    <w:rsid w:val="00B624B8"/>
    <w:rsid w:val="00B650B3"/>
    <w:rsid w:val="00B662F1"/>
    <w:rsid w:val="00B66A5C"/>
    <w:rsid w:val="00B67EEC"/>
    <w:rsid w:val="00B67F5E"/>
    <w:rsid w:val="00B71050"/>
    <w:rsid w:val="00B73042"/>
    <w:rsid w:val="00B73E65"/>
    <w:rsid w:val="00B745B9"/>
    <w:rsid w:val="00B752DA"/>
    <w:rsid w:val="00B7582F"/>
    <w:rsid w:val="00B76E78"/>
    <w:rsid w:val="00B811EE"/>
    <w:rsid w:val="00B81362"/>
    <w:rsid w:val="00B814B2"/>
    <w:rsid w:val="00B81E12"/>
    <w:rsid w:val="00B82C72"/>
    <w:rsid w:val="00B8376E"/>
    <w:rsid w:val="00B849D1"/>
    <w:rsid w:val="00B87110"/>
    <w:rsid w:val="00B87422"/>
    <w:rsid w:val="00B90628"/>
    <w:rsid w:val="00B9159C"/>
    <w:rsid w:val="00B919D4"/>
    <w:rsid w:val="00B94EA2"/>
    <w:rsid w:val="00B953EC"/>
    <w:rsid w:val="00B975FF"/>
    <w:rsid w:val="00B9777B"/>
    <w:rsid w:val="00B97FA8"/>
    <w:rsid w:val="00BA06EF"/>
    <w:rsid w:val="00BA1DBE"/>
    <w:rsid w:val="00BA27A1"/>
    <w:rsid w:val="00BA3E41"/>
    <w:rsid w:val="00BA3EEB"/>
    <w:rsid w:val="00BA42C4"/>
    <w:rsid w:val="00BA6028"/>
    <w:rsid w:val="00BB0CB4"/>
    <w:rsid w:val="00BB0F7E"/>
    <w:rsid w:val="00BB24FE"/>
    <w:rsid w:val="00BB58D1"/>
    <w:rsid w:val="00BB5D64"/>
    <w:rsid w:val="00BB60FC"/>
    <w:rsid w:val="00BB6223"/>
    <w:rsid w:val="00BB763E"/>
    <w:rsid w:val="00BB78A4"/>
    <w:rsid w:val="00BC077D"/>
    <w:rsid w:val="00BC0AD1"/>
    <w:rsid w:val="00BC0C54"/>
    <w:rsid w:val="00BC1385"/>
    <w:rsid w:val="00BC17E8"/>
    <w:rsid w:val="00BC2298"/>
    <w:rsid w:val="00BC2725"/>
    <w:rsid w:val="00BC2913"/>
    <w:rsid w:val="00BC3D91"/>
    <w:rsid w:val="00BC54D4"/>
    <w:rsid w:val="00BC6045"/>
    <w:rsid w:val="00BC74E9"/>
    <w:rsid w:val="00BC7C63"/>
    <w:rsid w:val="00BD1957"/>
    <w:rsid w:val="00BD2108"/>
    <w:rsid w:val="00BD2143"/>
    <w:rsid w:val="00BD258D"/>
    <w:rsid w:val="00BD284F"/>
    <w:rsid w:val="00BD2B04"/>
    <w:rsid w:val="00BD32E4"/>
    <w:rsid w:val="00BD3BFF"/>
    <w:rsid w:val="00BD413C"/>
    <w:rsid w:val="00BD4451"/>
    <w:rsid w:val="00BD4BC3"/>
    <w:rsid w:val="00BD568B"/>
    <w:rsid w:val="00BD5849"/>
    <w:rsid w:val="00BD6121"/>
    <w:rsid w:val="00BD6947"/>
    <w:rsid w:val="00BD6DF8"/>
    <w:rsid w:val="00BE0385"/>
    <w:rsid w:val="00BE2802"/>
    <w:rsid w:val="00BE42D7"/>
    <w:rsid w:val="00BE4469"/>
    <w:rsid w:val="00BE4FCD"/>
    <w:rsid w:val="00BE527E"/>
    <w:rsid w:val="00BE5BC5"/>
    <w:rsid w:val="00BE618E"/>
    <w:rsid w:val="00BE76D4"/>
    <w:rsid w:val="00BE77DA"/>
    <w:rsid w:val="00BF094A"/>
    <w:rsid w:val="00BF0A2D"/>
    <w:rsid w:val="00BF0A49"/>
    <w:rsid w:val="00BF0A96"/>
    <w:rsid w:val="00BF1294"/>
    <w:rsid w:val="00BF355B"/>
    <w:rsid w:val="00BF4A26"/>
    <w:rsid w:val="00BF4BC5"/>
    <w:rsid w:val="00BF4CB4"/>
    <w:rsid w:val="00BF55AE"/>
    <w:rsid w:val="00BF6993"/>
    <w:rsid w:val="00BF7EA4"/>
    <w:rsid w:val="00C024FC"/>
    <w:rsid w:val="00C02824"/>
    <w:rsid w:val="00C02E9B"/>
    <w:rsid w:val="00C038C5"/>
    <w:rsid w:val="00C04D70"/>
    <w:rsid w:val="00C0708B"/>
    <w:rsid w:val="00C07614"/>
    <w:rsid w:val="00C10B7B"/>
    <w:rsid w:val="00C11D2C"/>
    <w:rsid w:val="00C122DA"/>
    <w:rsid w:val="00C1314B"/>
    <w:rsid w:val="00C15794"/>
    <w:rsid w:val="00C15B06"/>
    <w:rsid w:val="00C170CC"/>
    <w:rsid w:val="00C173BB"/>
    <w:rsid w:val="00C17705"/>
    <w:rsid w:val="00C17E01"/>
    <w:rsid w:val="00C20584"/>
    <w:rsid w:val="00C20C7B"/>
    <w:rsid w:val="00C20E55"/>
    <w:rsid w:val="00C2119A"/>
    <w:rsid w:val="00C21723"/>
    <w:rsid w:val="00C21C53"/>
    <w:rsid w:val="00C231E5"/>
    <w:rsid w:val="00C24693"/>
    <w:rsid w:val="00C24CCB"/>
    <w:rsid w:val="00C25C30"/>
    <w:rsid w:val="00C26C2D"/>
    <w:rsid w:val="00C305E8"/>
    <w:rsid w:val="00C30C98"/>
    <w:rsid w:val="00C31C82"/>
    <w:rsid w:val="00C32B56"/>
    <w:rsid w:val="00C32BFB"/>
    <w:rsid w:val="00C35068"/>
    <w:rsid w:val="00C35F0B"/>
    <w:rsid w:val="00C366A2"/>
    <w:rsid w:val="00C36970"/>
    <w:rsid w:val="00C36BEC"/>
    <w:rsid w:val="00C370D9"/>
    <w:rsid w:val="00C408A7"/>
    <w:rsid w:val="00C40D76"/>
    <w:rsid w:val="00C41282"/>
    <w:rsid w:val="00C41444"/>
    <w:rsid w:val="00C41FF4"/>
    <w:rsid w:val="00C4335A"/>
    <w:rsid w:val="00C43FAD"/>
    <w:rsid w:val="00C45034"/>
    <w:rsid w:val="00C463DD"/>
    <w:rsid w:val="00C470F7"/>
    <w:rsid w:val="00C477E0"/>
    <w:rsid w:val="00C47A24"/>
    <w:rsid w:val="00C50F55"/>
    <w:rsid w:val="00C5162C"/>
    <w:rsid w:val="00C51901"/>
    <w:rsid w:val="00C5431E"/>
    <w:rsid w:val="00C54622"/>
    <w:rsid w:val="00C57ACD"/>
    <w:rsid w:val="00C6078F"/>
    <w:rsid w:val="00C60D2F"/>
    <w:rsid w:val="00C612A6"/>
    <w:rsid w:val="00C625B5"/>
    <w:rsid w:val="00C64458"/>
    <w:rsid w:val="00C648A8"/>
    <w:rsid w:val="00C64D07"/>
    <w:rsid w:val="00C65A99"/>
    <w:rsid w:val="00C66BE2"/>
    <w:rsid w:val="00C66CA5"/>
    <w:rsid w:val="00C67367"/>
    <w:rsid w:val="00C70838"/>
    <w:rsid w:val="00C709D6"/>
    <w:rsid w:val="00C72F37"/>
    <w:rsid w:val="00C73178"/>
    <w:rsid w:val="00C745C3"/>
    <w:rsid w:val="00C74E99"/>
    <w:rsid w:val="00C75E7C"/>
    <w:rsid w:val="00C7783E"/>
    <w:rsid w:val="00C81DE4"/>
    <w:rsid w:val="00C8215B"/>
    <w:rsid w:val="00C8310D"/>
    <w:rsid w:val="00C84AE9"/>
    <w:rsid w:val="00C84EEF"/>
    <w:rsid w:val="00C8719D"/>
    <w:rsid w:val="00C87B8D"/>
    <w:rsid w:val="00C91314"/>
    <w:rsid w:val="00C92CFE"/>
    <w:rsid w:val="00C935E1"/>
    <w:rsid w:val="00C93908"/>
    <w:rsid w:val="00C948E7"/>
    <w:rsid w:val="00C94C70"/>
    <w:rsid w:val="00C95F53"/>
    <w:rsid w:val="00C97167"/>
    <w:rsid w:val="00C97466"/>
    <w:rsid w:val="00C9775A"/>
    <w:rsid w:val="00CA0B5C"/>
    <w:rsid w:val="00CA1A6A"/>
    <w:rsid w:val="00CA2A0F"/>
    <w:rsid w:val="00CA2A58"/>
    <w:rsid w:val="00CA2AA0"/>
    <w:rsid w:val="00CA2D8C"/>
    <w:rsid w:val="00CA5892"/>
    <w:rsid w:val="00CA62F8"/>
    <w:rsid w:val="00CA655E"/>
    <w:rsid w:val="00CB0E1A"/>
    <w:rsid w:val="00CB13DD"/>
    <w:rsid w:val="00CB1C75"/>
    <w:rsid w:val="00CB21FE"/>
    <w:rsid w:val="00CB3F5C"/>
    <w:rsid w:val="00CB5543"/>
    <w:rsid w:val="00CB6B76"/>
    <w:rsid w:val="00CC0110"/>
    <w:rsid w:val="00CC0633"/>
    <w:rsid w:val="00CC0B55"/>
    <w:rsid w:val="00CC31BF"/>
    <w:rsid w:val="00CC4056"/>
    <w:rsid w:val="00CC4ABB"/>
    <w:rsid w:val="00CC5526"/>
    <w:rsid w:val="00CC5FC0"/>
    <w:rsid w:val="00CC6457"/>
    <w:rsid w:val="00CC7EDC"/>
    <w:rsid w:val="00CD1E6A"/>
    <w:rsid w:val="00CD2147"/>
    <w:rsid w:val="00CD4256"/>
    <w:rsid w:val="00CD5247"/>
    <w:rsid w:val="00CD6995"/>
    <w:rsid w:val="00CE08FF"/>
    <w:rsid w:val="00CE208E"/>
    <w:rsid w:val="00CE4A8F"/>
    <w:rsid w:val="00CE4B2F"/>
    <w:rsid w:val="00CE5C0F"/>
    <w:rsid w:val="00CE6628"/>
    <w:rsid w:val="00CE7117"/>
    <w:rsid w:val="00CF0214"/>
    <w:rsid w:val="00CF0548"/>
    <w:rsid w:val="00CF0EAC"/>
    <w:rsid w:val="00CF1038"/>
    <w:rsid w:val="00CF23F8"/>
    <w:rsid w:val="00CF3EBD"/>
    <w:rsid w:val="00CF582E"/>
    <w:rsid w:val="00CF586F"/>
    <w:rsid w:val="00CF626F"/>
    <w:rsid w:val="00CF7049"/>
    <w:rsid w:val="00CF7D43"/>
    <w:rsid w:val="00D0050B"/>
    <w:rsid w:val="00D010F7"/>
    <w:rsid w:val="00D02581"/>
    <w:rsid w:val="00D026D2"/>
    <w:rsid w:val="00D03138"/>
    <w:rsid w:val="00D04852"/>
    <w:rsid w:val="00D04D61"/>
    <w:rsid w:val="00D05268"/>
    <w:rsid w:val="00D06600"/>
    <w:rsid w:val="00D067DE"/>
    <w:rsid w:val="00D06F94"/>
    <w:rsid w:val="00D07933"/>
    <w:rsid w:val="00D07ED6"/>
    <w:rsid w:val="00D11129"/>
    <w:rsid w:val="00D13820"/>
    <w:rsid w:val="00D138C3"/>
    <w:rsid w:val="00D14D01"/>
    <w:rsid w:val="00D15D1D"/>
    <w:rsid w:val="00D16865"/>
    <w:rsid w:val="00D177E6"/>
    <w:rsid w:val="00D17AEE"/>
    <w:rsid w:val="00D17B39"/>
    <w:rsid w:val="00D2031B"/>
    <w:rsid w:val="00D20F51"/>
    <w:rsid w:val="00D22332"/>
    <w:rsid w:val="00D22574"/>
    <w:rsid w:val="00D226FD"/>
    <w:rsid w:val="00D23323"/>
    <w:rsid w:val="00D2396E"/>
    <w:rsid w:val="00D23A14"/>
    <w:rsid w:val="00D23C93"/>
    <w:rsid w:val="00D24925"/>
    <w:rsid w:val="00D25537"/>
    <w:rsid w:val="00D25FE2"/>
    <w:rsid w:val="00D2685E"/>
    <w:rsid w:val="00D26E7C"/>
    <w:rsid w:val="00D30BEB"/>
    <w:rsid w:val="00D30EC6"/>
    <w:rsid w:val="00D31C40"/>
    <w:rsid w:val="00D31E73"/>
    <w:rsid w:val="00D32DA7"/>
    <w:rsid w:val="00D33471"/>
    <w:rsid w:val="00D33B1B"/>
    <w:rsid w:val="00D36109"/>
    <w:rsid w:val="00D3670E"/>
    <w:rsid w:val="00D36E11"/>
    <w:rsid w:val="00D401D6"/>
    <w:rsid w:val="00D41B41"/>
    <w:rsid w:val="00D41CA7"/>
    <w:rsid w:val="00D424C0"/>
    <w:rsid w:val="00D42AAB"/>
    <w:rsid w:val="00D42EFC"/>
    <w:rsid w:val="00D43252"/>
    <w:rsid w:val="00D44AE3"/>
    <w:rsid w:val="00D44CF0"/>
    <w:rsid w:val="00D44E12"/>
    <w:rsid w:val="00D461B5"/>
    <w:rsid w:val="00D46E13"/>
    <w:rsid w:val="00D50B35"/>
    <w:rsid w:val="00D51207"/>
    <w:rsid w:val="00D51A95"/>
    <w:rsid w:val="00D51E5A"/>
    <w:rsid w:val="00D52A45"/>
    <w:rsid w:val="00D52F3C"/>
    <w:rsid w:val="00D53144"/>
    <w:rsid w:val="00D536C8"/>
    <w:rsid w:val="00D53C0D"/>
    <w:rsid w:val="00D543D5"/>
    <w:rsid w:val="00D550F9"/>
    <w:rsid w:val="00D55DD6"/>
    <w:rsid w:val="00D55FA4"/>
    <w:rsid w:val="00D566B2"/>
    <w:rsid w:val="00D56E95"/>
    <w:rsid w:val="00D572B0"/>
    <w:rsid w:val="00D60EF3"/>
    <w:rsid w:val="00D62E90"/>
    <w:rsid w:val="00D63C28"/>
    <w:rsid w:val="00D63C9B"/>
    <w:rsid w:val="00D642CB"/>
    <w:rsid w:val="00D64D63"/>
    <w:rsid w:val="00D65AD9"/>
    <w:rsid w:val="00D67CF2"/>
    <w:rsid w:val="00D703E8"/>
    <w:rsid w:val="00D70436"/>
    <w:rsid w:val="00D70769"/>
    <w:rsid w:val="00D721F3"/>
    <w:rsid w:val="00D725EA"/>
    <w:rsid w:val="00D72772"/>
    <w:rsid w:val="00D7282C"/>
    <w:rsid w:val="00D72D5E"/>
    <w:rsid w:val="00D730A0"/>
    <w:rsid w:val="00D73117"/>
    <w:rsid w:val="00D731F7"/>
    <w:rsid w:val="00D74996"/>
    <w:rsid w:val="00D75439"/>
    <w:rsid w:val="00D75B2F"/>
    <w:rsid w:val="00D76996"/>
    <w:rsid w:val="00D76BE5"/>
    <w:rsid w:val="00D77E2E"/>
    <w:rsid w:val="00D80923"/>
    <w:rsid w:val="00D8135B"/>
    <w:rsid w:val="00D833C6"/>
    <w:rsid w:val="00D85A59"/>
    <w:rsid w:val="00D86032"/>
    <w:rsid w:val="00D87076"/>
    <w:rsid w:val="00D87ECD"/>
    <w:rsid w:val="00D905CB"/>
    <w:rsid w:val="00D908FF"/>
    <w:rsid w:val="00D922EF"/>
    <w:rsid w:val="00D932E4"/>
    <w:rsid w:val="00D939F1"/>
    <w:rsid w:val="00D95AE6"/>
    <w:rsid w:val="00D96745"/>
    <w:rsid w:val="00D96C12"/>
    <w:rsid w:val="00D978C6"/>
    <w:rsid w:val="00DA4582"/>
    <w:rsid w:val="00DA481D"/>
    <w:rsid w:val="00DA4A90"/>
    <w:rsid w:val="00DA67AD"/>
    <w:rsid w:val="00DB0971"/>
    <w:rsid w:val="00DB18CE"/>
    <w:rsid w:val="00DB1F9D"/>
    <w:rsid w:val="00DB2C15"/>
    <w:rsid w:val="00DB3A81"/>
    <w:rsid w:val="00DB5777"/>
    <w:rsid w:val="00DB7CF7"/>
    <w:rsid w:val="00DC159E"/>
    <w:rsid w:val="00DC184E"/>
    <w:rsid w:val="00DC3BE4"/>
    <w:rsid w:val="00DC3DFC"/>
    <w:rsid w:val="00DC4854"/>
    <w:rsid w:val="00DC48E3"/>
    <w:rsid w:val="00DC521E"/>
    <w:rsid w:val="00DC5F7C"/>
    <w:rsid w:val="00DC6D66"/>
    <w:rsid w:val="00DC7089"/>
    <w:rsid w:val="00DC73D2"/>
    <w:rsid w:val="00DD0366"/>
    <w:rsid w:val="00DD0C0F"/>
    <w:rsid w:val="00DD0C8C"/>
    <w:rsid w:val="00DD43F9"/>
    <w:rsid w:val="00DE1CD3"/>
    <w:rsid w:val="00DE2378"/>
    <w:rsid w:val="00DE2479"/>
    <w:rsid w:val="00DE2F90"/>
    <w:rsid w:val="00DE3EC0"/>
    <w:rsid w:val="00DE439D"/>
    <w:rsid w:val="00DE44F3"/>
    <w:rsid w:val="00DE5B5C"/>
    <w:rsid w:val="00DE5E06"/>
    <w:rsid w:val="00DE751D"/>
    <w:rsid w:val="00DF15C3"/>
    <w:rsid w:val="00DF201A"/>
    <w:rsid w:val="00DF2552"/>
    <w:rsid w:val="00DF376A"/>
    <w:rsid w:val="00DF4900"/>
    <w:rsid w:val="00DF49FD"/>
    <w:rsid w:val="00DF6A15"/>
    <w:rsid w:val="00E01D5A"/>
    <w:rsid w:val="00E0205A"/>
    <w:rsid w:val="00E02364"/>
    <w:rsid w:val="00E0258D"/>
    <w:rsid w:val="00E037E8"/>
    <w:rsid w:val="00E04FAB"/>
    <w:rsid w:val="00E05116"/>
    <w:rsid w:val="00E0584A"/>
    <w:rsid w:val="00E0657D"/>
    <w:rsid w:val="00E07925"/>
    <w:rsid w:val="00E11227"/>
    <w:rsid w:val="00E11593"/>
    <w:rsid w:val="00E11816"/>
    <w:rsid w:val="00E12462"/>
    <w:rsid w:val="00E126DC"/>
    <w:rsid w:val="00E12B6B"/>
    <w:rsid w:val="00E130AB"/>
    <w:rsid w:val="00E13F93"/>
    <w:rsid w:val="00E14762"/>
    <w:rsid w:val="00E155D5"/>
    <w:rsid w:val="00E15755"/>
    <w:rsid w:val="00E16F3E"/>
    <w:rsid w:val="00E24434"/>
    <w:rsid w:val="00E24D65"/>
    <w:rsid w:val="00E25419"/>
    <w:rsid w:val="00E30435"/>
    <w:rsid w:val="00E30BB4"/>
    <w:rsid w:val="00E316D8"/>
    <w:rsid w:val="00E3225B"/>
    <w:rsid w:val="00E32C8B"/>
    <w:rsid w:val="00E33A83"/>
    <w:rsid w:val="00E33E59"/>
    <w:rsid w:val="00E3726A"/>
    <w:rsid w:val="00E37AB3"/>
    <w:rsid w:val="00E4204E"/>
    <w:rsid w:val="00E42B57"/>
    <w:rsid w:val="00E435F1"/>
    <w:rsid w:val="00E438D9"/>
    <w:rsid w:val="00E44FDA"/>
    <w:rsid w:val="00E45ADD"/>
    <w:rsid w:val="00E45DB4"/>
    <w:rsid w:val="00E5152A"/>
    <w:rsid w:val="00E5224E"/>
    <w:rsid w:val="00E5370A"/>
    <w:rsid w:val="00E553AA"/>
    <w:rsid w:val="00E5561F"/>
    <w:rsid w:val="00E55ED7"/>
    <w:rsid w:val="00E56324"/>
    <w:rsid w:val="00E5644E"/>
    <w:rsid w:val="00E5673E"/>
    <w:rsid w:val="00E6171F"/>
    <w:rsid w:val="00E6195F"/>
    <w:rsid w:val="00E6249D"/>
    <w:rsid w:val="00E632AB"/>
    <w:rsid w:val="00E639E0"/>
    <w:rsid w:val="00E64F5C"/>
    <w:rsid w:val="00E659E6"/>
    <w:rsid w:val="00E6624A"/>
    <w:rsid w:val="00E66752"/>
    <w:rsid w:val="00E67DF7"/>
    <w:rsid w:val="00E67EFD"/>
    <w:rsid w:val="00E701B9"/>
    <w:rsid w:val="00E71307"/>
    <w:rsid w:val="00E71F60"/>
    <w:rsid w:val="00E7260F"/>
    <w:rsid w:val="00E72ED4"/>
    <w:rsid w:val="00E732BC"/>
    <w:rsid w:val="00E73C21"/>
    <w:rsid w:val="00E74576"/>
    <w:rsid w:val="00E75163"/>
    <w:rsid w:val="00E75A62"/>
    <w:rsid w:val="00E75D6F"/>
    <w:rsid w:val="00E76328"/>
    <w:rsid w:val="00E764BC"/>
    <w:rsid w:val="00E76828"/>
    <w:rsid w:val="00E806EE"/>
    <w:rsid w:val="00E80AD7"/>
    <w:rsid w:val="00E81AFC"/>
    <w:rsid w:val="00E81B4F"/>
    <w:rsid w:val="00E82C1D"/>
    <w:rsid w:val="00E830CF"/>
    <w:rsid w:val="00E84B66"/>
    <w:rsid w:val="00E85CBE"/>
    <w:rsid w:val="00E874D9"/>
    <w:rsid w:val="00E90736"/>
    <w:rsid w:val="00E90C14"/>
    <w:rsid w:val="00E90E85"/>
    <w:rsid w:val="00E9153B"/>
    <w:rsid w:val="00E91899"/>
    <w:rsid w:val="00E923D6"/>
    <w:rsid w:val="00E938EA"/>
    <w:rsid w:val="00E942A7"/>
    <w:rsid w:val="00E94B68"/>
    <w:rsid w:val="00E94E6E"/>
    <w:rsid w:val="00E95C81"/>
    <w:rsid w:val="00E96630"/>
    <w:rsid w:val="00EA00E4"/>
    <w:rsid w:val="00EA0327"/>
    <w:rsid w:val="00EA0AA1"/>
    <w:rsid w:val="00EA0AC6"/>
    <w:rsid w:val="00EA22C1"/>
    <w:rsid w:val="00EA32BC"/>
    <w:rsid w:val="00EA3A06"/>
    <w:rsid w:val="00EA4B0B"/>
    <w:rsid w:val="00EA4D9E"/>
    <w:rsid w:val="00EA6374"/>
    <w:rsid w:val="00EA6E55"/>
    <w:rsid w:val="00EA6F1B"/>
    <w:rsid w:val="00EA73FE"/>
    <w:rsid w:val="00EA747F"/>
    <w:rsid w:val="00EA7A29"/>
    <w:rsid w:val="00EA7E30"/>
    <w:rsid w:val="00EB0FB9"/>
    <w:rsid w:val="00EB121F"/>
    <w:rsid w:val="00EB463E"/>
    <w:rsid w:val="00EB6430"/>
    <w:rsid w:val="00EB6D23"/>
    <w:rsid w:val="00EB7A2F"/>
    <w:rsid w:val="00EC01E9"/>
    <w:rsid w:val="00EC1401"/>
    <w:rsid w:val="00EC2635"/>
    <w:rsid w:val="00EC3FFD"/>
    <w:rsid w:val="00EC42C2"/>
    <w:rsid w:val="00EC5B6E"/>
    <w:rsid w:val="00ED0470"/>
    <w:rsid w:val="00ED062B"/>
    <w:rsid w:val="00ED0CA9"/>
    <w:rsid w:val="00ED1D1C"/>
    <w:rsid w:val="00ED29F3"/>
    <w:rsid w:val="00ED2AEF"/>
    <w:rsid w:val="00ED2BDA"/>
    <w:rsid w:val="00ED2C2E"/>
    <w:rsid w:val="00ED3B2F"/>
    <w:rsid w:val="00ED60CF"/>
    <w:rsid w:val="00ED61DF"/>
    <w:rsid w:val="00ED678E"/>
    <w:rsid w:val="00ED7350"/>
    <w:rsid w:val="00ED7A2A"/>
    <w:rsid w:val="00EE0939"/>
    <w:rsid w:val="00EE1739"/>
    <w:rsid w:val="00EE18C6"/>
    <w:rsid w:val="00EE1A32"/>
    <w:rsid w:val="00EE2137"/>
    <w:rsid w:val="00EE35CA"/>
    <w:rsid w:val="00EE3F9E"/>
    <w:rsid w:val="00EE505F"/>
    <w:rsid w:val="00EF11DA"/>
    <w:rsid w:val="00EF1D7F"/>
    <w:rsid w:val="00EF1F79"/>
    <w:rsid w:val="00EF200A"/>
    <w:rsid w:val="00EF2458"/>
    <w:rsid w:val="00EF2525"/>
    <w:rsid w:val="00EF277F"/>
    <w:rsid w:val="00EF288D"/>
    <w:rsid w:val="00EF2FEA"/>
    <w:rsid w:val="00EF328F"/>
    <w:rsid w:val="00EF3A04"/>
    <w:rsid w:val="00EF3A3D"/>
    <w:rsid w:val="00EF5BDB"/>
    <w:rsid w:val="00EF6E3C"/>
    <w:rsid w:val="00EF724F"/>
    <w:rsid w:val="00F00306"/>
    <w:rsid w:val="00F00441"/>
    <w:rsid w:val="00F006E7"/>
    <w:rsid w:val="00F01000"/>
    <w:rsid w:val="00F01C66"/>
    <w:rsid w:val="00F02122"/>
    <w:rsid w:val="00F026DD"/>
    <w:rsid w:val="00F03ACD"/>
    <w:rsid w:val="00F04948"/>
    <w:rsid w:val="00F04C91"/>
    <w:rsid w:val="00F04D8B"/>
    <w:rsid w:val="00F051AB"/>
    <w:rsid w:val="00F066C0"/>
    <w:rsid w:val="00F06D17"/>
    <w:rsid w:val="00F06DCB"/>
    <w:rsid w:val="00F06DFB"/>
    <w:rsid w:val="00F07238"/>
    <w:rsid w:val="00F073D1"/>
    <w:rsid w:val="00F07FD9"/>
    <w:rsid w:val="00F10AE7"/>
    <w:rsid w:val="00F114BE"/>
    <w:rsid w:val="00F11541"/>
    <w:rsid w:val="00F11D27"/>
    <w:rsid w:val="00F11FE6"/>
    <w:rsid w:val="00F1246F"/>
    <w:rsid w:val="00F12DC1"/>
    <w:rsid w:val="00F131EA"/>
    <w:rsid w:val="00F13DA3"/>
    <w:rsid w:val="00F14D73"/>
    <w:rsid w:val="00F15819"/>
    <w:rsid w:val="00F16766"/>
    <w:rsid w:val="00F1720B"/>
    <w:rsid w:val="00F173B6"/>
    <w:rsid w:val="00F2161D"/>
    <w:rsid w:val="00F2252C"/>
    <w:rsid w:val="00F23933"/>
    <w:rsid w:val="00F23B4F"/>
    <w:rsid w:val="00F24119"/>
    <w:rsid w:val="00F2449A"/>
    <w:rsid w:val="00F24932"/>
    <w:rsid w:val="00F24CDC"/>
    <w:rsid w:val="00F26CB4"/>
    <w:rsid w:val="00F27BA7"/>
    <w:rsid w:val="00F30381"/>
    <w:rsid w:val="00F303A8"/>
    <w:rsid w:val="00F310AF"/>
    <w:rsid w:val="00F33A7E"/>
    <w:rsid w:val="00F33D7B"/>
    <w:rsid w:val="00F3619F"/>
    <w:rsid w:val="00F367AB"/>
    <w:rsid w:val="00F36EEA"/>
    <w:rsid w:val="00F36F34"/>
    <w:rsid w:val="00F37078"/>
    <w:rsid w:val="00F404D3"/>
    <w:rsid w:val="00F40802"/>
    <w:rsid w:val="00F40E75"/>
    <w:rsid w:val="00F41B96"/>
    <w:rsid w:val="00F41D1E"/>
    <w:rsid w:val="00F42C73"/>
    <w:rsid w:val="00F42CD9"/>
    <w:rsid w:val="00F43180"/>
    <w:rsid w:val="00F449EC"/>
    <w:rsid w:val="00F44CDC"/>
    <w:rsid w:val="00F44FE9"/>
    <w:rsid w:val="00F47AC1"/>
    <w:rsid w:val="00F47C07"/>
    <w:rsid w:val="00F51086"/>
    <w:rsid w:val="00F511F2"/>
    <w:rsid w:val="00F5141C"/>
    <w:rsid w:val="00F522B9"/>
    <w:rsid w:val="00F52936"/>
    <w:rsid w:val="00F53347"/>
    <w:rsid w:val="00F53A80"/>
    <w:rsid w:val="00F54990"/>
    <w:rsid w:val="00F54C37"/>
    <w:rsid w:val="00F54FF5"/>
    <w:rsid w:val="00F56501"/>
    <w:rsid w:val="00F57F29"/>
    <w:rsid w:val="00F60B9E"/>
    <w:rsid w:val="00F61055"/>
    <w:rsid w:val="00F6145C"/>
    <w:rsid w:val="00F61720"/>
    <w:rsid w:val="00F633BC"/>
    <w:rsid w:val="00F647BC"/>
    <w:rsid w:val="00F6598A"/>
    <w:rsid w:val="00F65C48"/>
    <w:rsid w:val="00F65DE4"/>
    <w:rsid w:val="00F662A6"/>
    <w:rsid w:val="00F66818"/>
    <w:rsid w:val="00F672FB"/>
    <w:rsid w:val="00F676D0"/>
    <w:rsid w:val="00F677CB"/>
    <w:rsid w:val="00F67BCA"/>
    <w:rsid w:val="00F67D75"/>
    <w:rsid w:val="00F70ADB"/>
    <w:rsid w:val="00F726DD"/>
    <w:rsid w:val="00F72D88"/>
    <w:rsid w:val="00F73B3A"/>
    <w:rsid w:val="00F73BA1"/>
    <w:rsid w:val="00F74AC8"/>
    <w:rsid w:val="00F74FC1"/>
    <w:rsid w:val="00F762FE"/>
    <w:rsid w:val="00F773BC"/>
    <w:rsid w:val="00F80344"/>
    <w:rsid w:val="00F80DB7"/>
    <w:rsid w:val="00F824D4"/>
    <w:rsid w:val="00F84989"/>
    <w:rsid w:val="00F85F3E"/>
    <w:rsid w:val="00F86A2B"/>
    <w:rsid w:val="00F86D36"/>
    <w:rsid w:val="00F91A8C"/>
    <w:rsid w:val="00F93171"/>
    <w:rsid w:val="00F95051"/>
    <w:rsid w:val="00F968A4"/>
    <w:rsid w:val="00F96A53"/>
    <w:rsid w:val="00F96EB0"/>
    <w:rsid w:val="00F97BDD"/>
    <w:rsid w:val="00FA06DA"/>
    <w:rsid w:val="00FA14E7"/>
    <w:rsid w:val="00FA2AE3"/>
    <w:rsid w:val="00FA646E"/>
    <w:rsid w:val="00FA6FC8"/>
    <w:rsid w:val="00FA7DF3"/>
    <w:rsid w:val="00FB0F1D"/>
    <w:rsid w:val="00FB12B9"/>
    <w:rsid w:val="00FB2300"/>
    <w:rsid w:val="00FB3600"/>
    <w:rsid w:val="00FB66A5"/>
    <w:rsid w:val="00FB76CE"/>
    <w:rsid w:val="00FC00F5"/>
    <w:rsid w:val="00FC0129"/>
    <w:rsid w:val="00FC0D87"/>
    <w:rsid w:val="00FC258E"/>
    <w:rsid w:val="00FC27AC"/>
    <w:rsid w:val="00FC30C1"/>
    <w:rsid w:val="00FC475B"/>
    <w:rsid w:val="00FC528B"/>
    <w:rsid w:val="00FC553B"/>
    <w:rsid w:val="00FC553C"/>
    <w:rsid w:val="00FC62E8"/>
    <w:rsid w:val="00FC68B7"/>
    <w:rsid w:val="00FC7AF1"/>
    <w:rsid w:val="00FD0E65"/>
    <w:rsid w:val="00FD23F6"/>
    <w:rsid w:val="00FD46BB"/>
    <w:rsid w:val="00FD4C6C"/>
    <w:rsid w:val="00FD5AB8"/>
    <w:rsid w:val="00FD5C7A"/>
    <w:rsid w:val="00FD5E4F"/>
    <w:rsid w:val="00FD62E7"/>
    <w:rsid w:val="00FD7C12"/>
    <w:rsid w:val="00FE00B9"/>
    <w:rsid w:val="00FE0ABB"/>
    <w:rsid w:val="00FE0F5B"/>
    <w:rsid w:val="00FE15D7"/>
    <w:rsid w:val="00FE16F7"/>
    <w:rsid w:val="00FE1716"/>
    <w:rsid w:val="00FE2E5C"/>
    <w:rsid w:val="00FE311F"/>
    <w:rsid w:val="00FE4DF1"/>
    <w:rsid w:val="00FE5E60"/>
    <w:rsid w:val="00FE655E"/>
    <w:rsid w:val="00FF05CA"/>
    <w:rsid w:val="00FF09FC"/>
    <w:rsid w:val="00FF281A"/>
    <w:rsid w:val="00FF2B78"/>
    <w:rsid w:val="00FF303A"/>
    <w:rsid w:val="00FF4AE6"/>
    <w:rsid w:val="00FF58B8"/>
    <w:rsid w:val="00FF5B3C"/>
    <w:rsid w:val="00FF7105"/>
    <w:rsid w:val="00FF783A"/>
    <w:rsid w:val="00FF7B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347ACF"/>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347AC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3B6054"/>
  </w:style>
  <w:style w:type="character" w:customStyle="1" w:styleId="FootnoteTextChar">
    <w:name w:val="Footnote Text Char"/>
    <w:aliases w:val="5_G Char"/>
    <w:link w:val="FootnoteText"/>
    <w:rsid w:val="003B6054"/>
    <w:rPr>
      <w:rFonts w:eastAsia="SimSun"/>
      <w:sz w:val="18"/>
      <w:lang w:val="en-US" w:eastAsia="zh-CN"/>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3B6054"/>
    <w:pPr>
      <w:suppressAutoHyphens w:val="0"/>
      <w:spacing w:line="240" w:lineRule="auto"/>
      <w:ind w:left="720"/>
      <w:contextualSpacing/>
    </w:pPr>
    <w:rPr>
      <w:rFonts w:ascii="Calibri" w:eastAsia="SimSun" w:hAnsi="Calibri"/>
      <w:sz w:val="24"/>
      <w:szCs w:val="24"/>
      <w:lang w:val="en-US"/>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3B6054"/>
    <w:rPr>
      <w:rFonts w:ascii="Calibri" w:eastAsia="SimSun" w:hAnsi="Calibri"/>
      <w:sz w:val="24"/>
      <w:szCs w:val="24"/>
      <w:lang w:val="en-US" w:eastAsia="en-US"/>
    </w:rPr>
  </w:style>
  <w:style w:type="paragraph" w:styleId="BalloonText">
    <w:name w:val="Balloon Text"/>
    <w:basedOn w:val="Normal"/>
    <w:link w:val="BalloonTextChar"/>
    <w:uiPriority w:val="99"/>
    <w:unhideWhenUsed/>
    <w:rsid w:val="003B6054"/>
    <w:pPr>
      <w:suppressAutoHyphens w:val="0"/>
      <w:spacing w:line="240" w:lineRule="auto"/>
    </w:pPr>
    <w:rPr>
      <w:rFonts w:ascii="Tahoma" w:eastAsia="SimSun" w:hAnsi="Tahoma" w:cs="Tahoma"/>
      <w:sz w:val="16"/>
      <w:szCs w:val="16"/>
      <w:lang w:val="en-US"/>
    </w:rPr>
  </w:style>
  <w:style w:type="character" w:customStyle="1" w:styleId="BalloonTextChar">
    <w:name w:val="Balloon Text Char"/>
    <w:link w:val="BalloonText"/>
    <w:uiPriority w:val="99"/>
    <w:rsid w:val="003B6054"/>
    <w:rPr>
      <w:rFonts w:ascii="Tahoma" w:eastAsia="SimSun" w:hAnsi="Tahoma" w:cs="Tahoma"/>
      <w:sz w:val="16"/>
      <w:szCs w:val="16"/>
      <w:lang w:val="en-US" w:eastAsia="en-US"/>
    </w:rPr>
  </w:style>
  <w:style w:type="character" w:styleId="CommentReference">
    <w:name w:val="annotation reference"/>
    <w:uiPriority w:val="99"/>
    <w:unhideWhenUsed/>
    <w:rsid w:val="003B6054"/>
    <w:rPr>
      <w:sz w:val="16"/>
      <w:szCs w:val="16"/>
    </w:rPr>
  </w:style>
  <w:style w:type="paragraph" w:styleId="CommentText">
    <w:name w:val="annotation text"/>
    <w:basedOn w:val="Normal"/>
    <w:link w:val="CommentTextChar"/>
    <w:uiPriority w:val="99"/>
    <w:unhideWhenUsed/>
    <w:rsid w:val="003B6054"/>
    <w:pPr>
      <w:suppressAutoHyphens w:val="0"/>
      <w:spacing w:line="240" w:lineRule="auto"/>
    </w:pPr>
    <w:rPr>
      <w:rFonts w:ascii="Calibri" w:eastAsia="SimSun" w:hAnsi="Calibri"/>
      <w:lang w:val="en-US"/>
    </w:rPr>
  </w:style>
  <w:style w:type="character" w:customStyle="1" w:styleId="CommentTextChar">
    <w:name w:val="Comment Text Char"/>
    <w:link w:val="CommentText"/>
    <w:uiPriority w:val="99"/>
    <w:rsid w:val="003B6054"/>
    <w:rPr>
      <w:rFonts w:ascii="Calibri" w:eastAsia="SimSun" w:hAnsi="Calibri"/>
      <w:lang w:val="en-US" w:eastAsia="en-US"/>
    </w:rPr>
  </w:style>
  <w:style w:type="paragraph" w:styleId="CommentSubject">
    <w:name w:val="annotation subject"/>
    <w:basedOn w:val="CommentText"/>
    <w:next w:val="CommentText"/>
    <w:link w:val="CommentSubjectChar"/>
    <w:uiPriority w:val="99"/>
    <w:unhideWhenUsed/>
    <w:rsid w:val="003B6054"/>
    <w:rPr>
      <w:b/>
      <w:bCs/>
    </w:rPr>
  </w:style>
  <w:style w:type="character" w:customStyle="1" w:styleId="CommentSubjectChar">
    <w:name w:val="Comment Subject Char"/>
    <w:link w:val="CommentSubject"/>
    <w:uiPriority w:val="99"/>
    <w:rsid w:val="003B6054"/>
    <w:rPr>
      <w:rFonts w:ascii="Calibri" w:eastAsia="SimSun" w:hAnsi="Calibri"/>
      <w:b/>
      <w:bCs/>
      <w:lang w:val="en-US" w:eastAsia="en-US"/>
    </w:rPr>
  </w:style>
  <w:style w:type="paragraph" w:styleId="NormalWeb">
    <w:name w:val="Normal (Web)"/>
    <w:basedOn w:val="Normal"/>
    <w:uiPriority w:val="99"/>
    <w:unhideWhenUsed/>
    <w:rsid w:val="003B6054"/>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3B6054"/>
    <w:rPr>
      <w:b/>
      <w:sz w:val="18"/>
      <w:lang w:eastAsia="en-US"/>
    </w:rPr>
  </w:style>
  <w:style w:type="character" w:customStyle="1" w:styleId="FooterChar">
    <w:name w:val="Footer Char"/>
    <w:aliases w:val="3_G Char"/>
    <w:link w:val="Footer"/>
    <w:uiPriority w:val="99"/>
    <w:rsid w:val="003B6054"/>
    <w:rPr>
      <w:sz w:val="16"/>
      <w:lang w:eastAsia="en-US"/>
    </w:rPr>
  </w:style>
  <w:style w:type="paragraph" w:styleId="Revision">
    <w:name w:val="Revision"/>
    <w:hidden/>
    <w:uiPriority w:val="99"/>
    <w:semiHidden/>
    <w:rsid w:val="003B6054"/>
    <w:rPr>
      <w:rFonts w:ascii="Calibri" w:eastAsia="SimSun" w:hAnsi="Calibri"/>
      <w:sz w:val="24"/>
      <w:szCs w:val="24"/>
      <w:lang w:val="en-US" w:eastAsia="en-US"/>
    </w:rPr>
  </w:style>
  <w:style w:type="paragraph" w:customStyle="1" w:styleId="Default">
    <w:name w:val="Default"/>
    <w:rsid w:val="003B6054"/>
    <w:pPr>
      <w:autoSpaceDE w:val="0"/>
      <w:autoSpaceDN w:val="0"/>
      <w:adjustRightInd w:val="0"/>
    </w:pPr>
    <w:rPr>
      <w:rFonts w:eastAsia="Calibri"/>
      <w:color w:val="000000"/>
      <w:sz w:val="24"/>
      <w:szCs w:val="24"/>
      <w:lang w:val="fr-FR" w:eastAsia="en-US"/>
    </w:rPr>
  </w:style>
  <w:style w:type="character" w:customStyle="1" w:styleId="apple-converted-space">
    <w:name w:val="apple-converted-space"/>
    <w:rsid w:val="003B6054"/>
  </w:style>
  <w:style w:type="character" w:styleId="Emphasis">
    <w:name w:val="Emphasis"/>
    <w:uiPriority w:val="20"/>
    <w:qFormat/>
    <w:rsid w:val="003B6054"/>
    <w:rPr>
      <w:i/>
      <w:iCs/>
    </w:rPr>
  </w:style>
  <w:style w:type="character" w:customStyle="1" w:styleId="hps">
    <w:name w:val="hps"/>
    <w:rsid w:val="009B1953"/>
  </w:style>
  <w:style w:type="paragraph" w:styleId="NoSpacing">
    <w:name w:val="No Spacing"/>
    <w:link w:val="NoSpacingChar"/>
    <w:uiPriority w:val="1"/>
    <w:qFormat/>
    <w:rsid w:val="00877A29"/>
    <w:rPr>
      <w:rFonts w:ascii="Calibri" w:hAnsi="Calibri"/>
      <w:sz w:val="22"/>
      <w:szCs w:val="22"/>
      <w:lang w:val="fr-FR" w:eastAsia="fr-FR"/>
    </w:rPr>
  </w:style>
  <w:style w:type="character" w:customStyle="1" w:styleId="NoSpacingChar">
    <w:name w:val="No Spacing Char"/>
    <w:link w:val="NoSpacing"/>
    <w:uiPriority w:val="1"/>
    <w:rsid w:val="00877A29"/>
    <w:rPr>
      <w:rFonts w:ascii="Calibri" w:hAnsi="Calibri"/>
      <w:sz w:val="22"/>
      <w:szCs w:val="22"/>
      <w:lang w:val="fr-FR" w:eastAsia="fr-FR"/>
    </w:rPr>
  </w:style>
  <w:style w:type="character" w:customStyle="1" w:styleId="Heading2Char">
    <w:name w:val="Heading 2 Char"/>
    <w:link w:val="Heading2"/>
    <w:rsid w:val="00766F5D"/>
    <w:rPr>
      <w:lang w:val="en-GB" w:eastAsia="en-US"/>
    </w:rPr>
  </w:style>
  <w:style w:type="character" w:customStyle="1" w:styleId="SingleTxtGChar">
    <w:name w:val="_ Single Txt_G Char"/>
    <w:link w:val="SingleTxtG"/>
    <w:locked/>
    <w:rsid w:val="00680A41"/>
    <w:rPr>
      <w:lang w:val="en-GB"/>
    </w:rPr>
  </w:style>
  <w:style w:type="character" w:customStyle="1" w:styleId="fr">
    <w:name w:val="fr"/>
    <w:basedOn w:val="DefaultParagraphFont"/>
    <w:rsid w:val="00A24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347ACF"/>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347ACF"/>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numbering" w:customStyle="1" w:styleId="NoList1">
    <w:name w:val="No List1"/>
    <w:next w:val="NoList"/>
    <w:uiPriority w:val="99"/>
    <w:semiHidden/>
    <w:unhideWhenUsed/>
    <w:rsid w:val="003B6054"/>
  </w:style>
  <w:style w:type="character" w:customStyle="1" w:styleId="FootnoteTextChar">
    <w:name w:val="Footnote Text Char"/>
    <w:aliases w:val="5_G Char"/>
    <w:link w:val="FootnoteText"/>
    <w:rsid w:val="003B6054"/>
    <w:rPr>
      <w:rFonts w:eastAsia="SimSun"/>
      <w:sz w:val="18"/>
      <w:lang w:val="en-US" w:eastAsia="zh-CN"/>
    </w:rPr>
  </w:style>
  <w:style w:type="paragraph" w:styleId="ListParagraph">
    <w:name w:val="List Paragraph"/>
    <w:aliases w:val="normal,List Paragraph1,Normal1,Normal2,Normal3,Normal4,Normal5,Normal6,Normal7,Normal11,Normal111,Normal8,Normal9,Normal10,Normal12,Normal13,Normal14,Normal15,Normal16,Normal17,Normal18,Normal19,Normal20,Titre 7 Car1,Titre 7 Car1 Car Car"/>
    <w:basedOn w:val="Normal"/>
    <w:link w:val="ListParagraphChar"/>
    <w:uiPriority w:val="34"/>
    <w:qFormat/>
    <w:rsid w:val="003B6054"/>
    <w:pPr>
      <w:suppressAutoHyphens w:val="0"/>
      <w:spacing w:line="240" w:lineRule="auto"/>
      <w:ind w:left="720"/>
      <w:contextualSpacing/>
    </w:pPr>
    <w:rPr>
      <w:rFonts w:ascii="Calibri" w:eastAsia="SimSun" w:hAnsi="Calibri"/>
      <w:sz w:val="24"/>
      <w:szCs w:val="24"/>
      <w:lang w:val="en-US"/>
    </w:rPr>
  </w:style>
  <w:style w:type="character" w:customStyle="1" w:styleId="ListParagraphChar">
    <w:name w:val="List Paragraph Char"/>
    <w:aliases w:val="normal Char,List Paragraph1 Char,Normal1 Char,Normal2 Char,Normal3 Char,Normal4 Char,Normal5 Char,Normal6 Char,Normal7 Char,Normal11 Char,Normal111 Char,Normal8 Char,Normal9 Char,Normal10 Char,Normal12 Char,Normal13 Char"/>
    <w:link w:val="ListParagraph"/>
    <w:uiPriority w:val="34"/>
    <w:locked/>
    <w:rsid w:val="003B6054"/>
    <w:rPr>
      <w:rFonts w:ascii="Calibri" w:eastAsia="SimSun" w:hAnsi="Calibri"/>
      <w:sz w:val="24"/>
      <w:szCs w:val="24"/>
      <w:lang w:val="en-US" w:eastAsia="en-US"/>
    </w:rPr>
  </w:style>
  <w:style w:type="paragraph" w:styleId="BalloonText">
    <w:name w:val="Balloon Text"/>
    <w:basedOn w:val="Normal"/>
    <w:link w:val="BalloonTextChar"/>
    <w:uiPriority w:val="99"/>
    <w:unhideWhenUsed/>
    <w:rsid w:val="003B6054"/>
    <w:pPr>
      <w:suppressAutoHyphens w:val="0"/>
      <w:spacing w:line="240" w:lineRule="auto"/>
    </w:pPr>
    <w:rPr>
      <w:rFonts w:ascii="Tahoma" w:eastAsia="SimSun" w:hAnsi="Tahoma" w:cs="Tahoma"/>
      <w:sz w:val="16"/>
      <w:szCs w:val="16"/>
      <w:lang w:val="en-US"/>
    </w:rPr>
  </w:style>
  <w:style w:type="character" w:customStyle="1" w:styleId="BalloonTextChar">
    <w:name w:val="Balloon Text Char"/>
    <w:link w:val="BalloonText"/>
    <w:uiPriority w:val="99"/>
    <w:rsid w:val="003B6054"/>
    <w:rPr>
      <w:rFonts w:ascii="Tahoma" w:eastAsia="SimSun" w:hAnsi="Tahoma" w:cs="Tahoma"/>
      <w:sz w:val="16"/>
      <w:szCs w:val="16"/>
      <w:lang w:val="en-US" w:eastAsia="en-US"/>
    </w:rPr>
  </w:style>
  <w:style w:type="character" w:styleId="CommentReference">
    <w:name w:val="annotation reference"/>
    <w:uiPriority w:val="99"/>
    <w:unhideWhenUsed/>
    <w:rsid w:val="003B6054"/>
    <w:rPr>
      <w:sz w:val="16"/>
      <w:szCs w:val="16"/>
    </w:rPr>
  </w:style>
  <w:style w:type="paragraph" w:styleId="CommentText">
    <w:name w:val="annotation text"/>
    <w:basedOn w:val="Normal"/>
    <w:link w:val="CommentTextChar"/>
    <w:uiPriority w:val="99"/>
    <w:unhideWhenUsed/>
    <w:rsid w:val="003B6054"/>
    <w:pPr>
      <w:suppressAutoHyphens w:val="0"/>
      <w:spacing w:line="240" w:lineRule="auto"/>
    </w:pPr>
    <w:rPr>
      <w:rFonts w:ascii="Calibri" w:eastAsia="SimSun" w:hAnsi="Calibri"/>
      <w:lang w:val="en-US"/>
    </w:rPr>
  </w:style>
  <w:style w:type="character" w:customStyle="1" w:styleId="CommentTextChar">
    <w:name w:val="Comment Text Char"/>
    <w:link w:val="CommentText"/>
    <w:uiPriority w:val="99"/>
    <w:rsid w:val="003B6054"/>
    <w:rPr>
      <w:rFonts w:ascii="Calibri" w:eastAsia="SimSun" w:hAnsi="Calibri"/>
      <w:lang w:val="en-US" w:eastAsia="en-US"/>
    </w:rPr>
  </w:style>
  <w:style w:type="paragraph" w:styleId="CommentSubject">
    <w:name w:val="annotation subject"/>
    <w:basedOn w:val="CommentText"/>
    <w:next w:val="CommentText"/>
    <w:link w:val="CommentSubjectChar"/>
    <w:uiPriority w:val="99"/>
    <w:unhideWhenUsed/>
    <w:rsid w:val="003B6054"/>
    <w:rPr>
      <w:b/>
      <w:bCs/>
    </w:rPr>
  </w:style>
  <w:style w:type="character" w:customStyle="1" w:styleId="CommentSubjectChar">
    <w:name w:val="Comment Subject Char"/>
    <w:link w:val="CommentSubject"/>
    <w:uiPriority w:val="99"/>
    <w:rsid w:val="003B6054"/>
    <w:rPr>
      <w:rFonts w:ascii="Calibri" w:eastAsia="SimSun" w:hAnsi="Calibri"/>
      <w:b/>
      <w:bCs/>
      <w:lang w:val="en-US" w:eastAsia="en-US"/>
    </w:rPr>
  </w:style>
  <w:style w:type="paragraph" w:styleId="NormalWeb">
    <w:name w:val="Normal (Web)"/>
    <w:basedOn w:val="Normal"/>
    <w:uiPriority w:val="99"/>
    <w:unhideWhenUsed/>
    <w:rsid w:val="003B6054"/>
    <w:pPr>
      <w:suppressAutoHyphens w:val="0"/>
      <w:spacing w:before="100" w:beforeAutospacing="1" w:after="100" w:afterAutospacing="1" w:line="240" w:lineRule="auto"/>
    </w:pPr>
    <w:rPr>
      <w:sz w:val="24"/>
      <w:szCs w:val="24"/>
      <w:lang w:val="en-US"/>
    </w:rPr>
  </w:style>
  <w:style w:type="character" w:customStyle="1" w:styleId="HeaderChar">
    <w:name w:val="Header Char"/>
    <w:aliases w:val="6_G Char"/>
    <w:link w:val="Header"/>
    <w:uiPriority w:val="99"/>
    <w:rsid w:val="003B6054"/>
    <w:rPr>
      <w:b/>
      <w:sz w:val="18"/>
      <w:lang w:eastAsia="en-US"/>
    </w:rPr>
  </w:style>
  <w:style w:type="character" w:customStyle="1" w:styleId="FooterChar">
    <w:name w:val="Footer Char"/>
    <w:aliases w:val="3_G Char"/>
    <w:link w:val="Footer"/>
    <w:uiPriority w:val="99"/>
    <w:rsid w:val="003B6054"/>
    <w:rPr>
      <w:sz w:val="16"/>
      <w:lang w:eastAsia="en-US"/>
    </w:rPr>
  </w:style>
  <w:style w:type="paragraph" w:styleId="Revision">
    <w:name w:val="Revision"/>
    <w:hidden/>
    <w:uiPriority w:val="99"/>
    <w:semiHidden/>
    <w:rsid w:val="003B6054"/>
    <w:rPr>
      <w:rFonts w:ascii="Calibri" w:eastAsia="SimSun" w:hAnsi="Calibri"/>
      <w:sz w:val="24"/>
      <w:szCs w:val="24"/>
      <w:lang w:val="en-US" w:eastAsia="en-US"/>
    </w:rPr>
  </w:style>
  <w:style w:type="paragraph" w:customStyle="1" w:styleId="Default">
    <w:name w:val="Default"/>
    <w:rsid w:val="003B6054"/>
    <w:pPr>
      <w:autoSpaceDE w:val="0"/>
      <w:autoSpaceDN w:val="0"/>
      <w:adjustRightInd w:val="0"/>
    </w:pPr>
    <w:rPr>
      <w:rFonts w:eastAsia="Calibri"/>
      <w:color w:val="000000"/>
      <w:sz w:val="24"/>
      <w:szCs w:val="24"/>
      <w:lang w:val="fr-FR" w:eastAsia="en-US"/>
    </w:rPr>
  </w:style>
  <w:style w:type="character" w:customStyle="1" w:styleId="apple-converted-space">
    <w:name w:val="apple-converted-space"/>
    <w:rsid w:val="003B6054"/>
  </w:style>
  <w:style w:type="character" w:styleId="Emphasis">
    <w:name w:val="Emphasis"/>
    <w:uiPriority w:val="20"/>
    <w:qFormat/>
    <w:rsid w:val="003B6054"/>
    <w:rPr>
      <w:i/>
      <w:iCs/>
    </w:rPr>
  </w:style>
  <w:style w:type="character" w:customStyle="1" w:styleId="hps">
    <w:name w:val="hps"/>
    <w:rsid w:val="009B1953"/>
  </w:style>
  <w:style w:type="paragraph" w:styleId="NoSpacing">
    <w:name w:val="No Spacing"/>
    <w:link w:val="NoSpacingChar"/>
    <w:uiPriority w:val="1"/>
    <w:qFormat/>
    <w:rsid w:val="00877A29"/>
    <w:rPr>
      <w:rFonts w:ascii="Calibri" w:hAnsi="Calibri"/>
      <w:sz w:val="22"/>
      <w:szCs w:val="22"/>
      <w:lang w:val="fr-FR" w:eastAsia="fr-FR"/>
    </w:rPr>
  </w:style>
  <w:style w:type="character" w:customStyle="1" w:styleId="NoSpacingChar">
    <w:name w:val="No Spacing Char"/>
    <w:link w:val="NoSpacing"/>
    <w:uiPriority w:val="1"/>
    <w:rsid w:val="00877A29"/>
    <w:rPr>
      <w:rFonts w:ascii="Calibri" w:hAnsi="Calibri"/>
      <w:sz w:val="22"/>
      <w:szCs w:val="22"/>
      <w:lang w:val="fr-FR" w:eastAsia="fr-FR"/>
    </w:rPr>
  </w:style>
  <w:style w:type="character" w:customStyle="1" w:styleId="Heading2Char">
    <w:name w:val="Heading 2 Char"/>
    <w:link w:val="Heading2"/>
    <w:rsid w:val="00766F5D"/>
    <w:rPr>
      <w:lang w:val="en-GB" w:eastAsia="en-US"/>
    </w:rPr>
  </w:style>
  <w:style w:type="character" w:customStyle="1" w:styleId="SingleTxtGChar">
    <w:name w:val="_ Single Txt_G Char"/>
    <w:link w:val="SingleTxtG"/>
    <w:locked/>
    <w:rsid w:val="00680A41"/>
    <w:rPr>
      <w:lang w:val="en-GB"/>
    </w:rPr>
  </w:style>
  <w:style w:type="character" w:customStyle="1" w:styleId="fr">
    <w:name w:val="fr"/>
    <w:basedOn w:val="DefaultParagraphFont"/>
    <w:rsid w:val="00A2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301623">
      <w:bodyDiv w:val="1"/>
      <w:marLeft w:val="0"/>
      <w:marRight w:val="0"/>
      <w:marTop w:val="0"/>
      <w:marBottom w:val="0"/>
      <w:divBdr>
        <w:top w:val="none" w:sz="0" w:space="0" w:color="auto"/>
        <w:left w:val="none" w:sz="0" w:space="0" w:color="auto"/>
        <w:bottom w:val="none" w:sz="0" w:space="0" w:color="auto"/>
        <w:right w:val="none" w:sz="0" w:space="0" w:color="auto"/>
      </w:divBdr>
    </w:div>
    <w:div w:id="1928344900">
      <w:bodyDiv w:val="1"/>
      <w:marLeft w:val="0"/>
      <w:marRight w:val="0"/>
      <w:marTop w:val="0"/>
      <w:marBottom w:val="0"/>
      <w:divBdr>
        <w:top w:val="none" w:sz="0" w:space="0" w:color="auto"/>
        <w:left w:val="none" w:sz="0" w:space="0" w:color="auto"/>
        <w:bottom w:val="none" w:sz="0" w:space="0" w:color="auto"/>
        <w:right w:val="none" w:sz="0" w:space="0" w:color="auto"/>
      </w:divBdr>
    </w:div>
    <w:div w:id="2120680253">
      <w:bodyDiv w:val="1"/>
      <w:marLeft w:val="0"/>
      <w:marRight w:val="0"/>
      <w:marTop w:val="0"/>
      <w:marBottom w:val="0"/>
      <w:divBdr>
        <w:top w:val="none" w:sz="0" w:space="0" w:color="auto"/>
        <w:left w:val="none" w:sz="0" w:space="0" w:color="auto"/>
        <w:bottom w:val="none" w:sz="0" w:space="0" w:color="auto"/>
        <w:right w:val="none" w:sz="0" w:space="0" w:color="auto"/>
      </w:divBdr>
    </w:div>
    <w:div w:id="21400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fr-FR" sz="1200">
                <a:latin typeface="Times New Roman" pitchFamily="18" charset="0"/>
                <a:cs typeface="Times New Roman" pitchFamily="18" charset="0"/>
              </a:rPr>
              <a:t>Graphique 1:</a:t>
            </a:r>
            <a:r>
              <a:rPr lang="fr-FR" sz="1200" baseline="0">
                <a:latin typeface="Times New Roman" pitchFamily="18" charset="0"/>
                <a:cs typeface="Times New Roman" pitchFamily="18" charset="0"/>
              </a:rPr>
              <a:t> </a:t>
            </a:r>
            <a:r>
              <a:rPr lang="fr-FR" sz="1200" baseline="0">
                <a:latin typeface="Times New Roman"/>
                <a:cs typeface="Times New Roman"/>
              </a:rPr>
              <a:t>É</a:t>
            </a:r>
            <a:r>
              <a:rPr lang="fr-FR" sz="1200" baseline="0">
                <a:latin typeface="Times New Roman" pitchFamily="18" charset="0"/>
                <a:cs typeface="Times New Roman" pitchFamily="18" charset="0"/>
              </a:rPr>
              <a:t>volution des violations des droits de l'homme et des victimes</a:t>
            </a:r>
            <a:endParaRPr lang="fr-FR" sz="12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Sheet1!$B$23</c:f>
              <c:strCache>
                <c:ptCount val="1"/>
                <c:pt idx="0">
                  <c:v>Violations des droits de l'homme</c:v>
                </c:pt>
              </c:strCache>
            </c:strRef>
          </c:tx>
          <c:marker>
            <c:symbol val="none"/>
          </c:marker>
          <c:cat>
            <c:numRef>
              <c:f>Sheet1!$A$24:$A$27</c:f>
              <c:numCache>
                <c:formatCode>General</c:formatCode>
                <c:ptCount val="4"/>
                <c:pt idx="0">
                  <c:v>2011</c:v>
                </c:pt>
                <c:pt idx="1">
                  <c:v>2012</c:v>
                </c:pt>
                <c:pt idx="2">
                  <c:v>2013</c:v>
                </c:pt>
                <c:pt idx="3">
                  <c:v>2014</c:v>
                </c:pt>
              </c:numCache>
            </c:numRef>
          </c:cat>
          <c:val>
            <c:numRef>
              <c:f>Sheet1!$B$24:$B$27</c:f>
              <c:numCache>
                <c:formatCode>General</c:formatCode>
                <c:ptCount val="4"/>
                <c:pt idx="0">
                  <c:v>2406</c:v>
                </c:pt>
                <c:pt idx="1">
                  <c:v>3537</c:v>
                </c:pt>
                <c:pt idx="2">
                  <c:v>2607</c:v>
                </c:pt>
                <c:pt idx="3">
                  <c:v>2368</c:v>
                </c:pt>
              </c:numCache>
            </c:numRef>
          </c:val>
          <c:smooth val="0"/>
        </c:ser>
        <c:ser>
          <c:idx val="1"/>
          <c:order val="1"/>
          <c:tx>
            <c:strRef>
              <c:f>Sheet1!$C$23</c:f>
              <c:strCache>
                <c:ptCount val="1"/>
                <c:pt idx="0">
                  <c:v>Victimes</c:v>
                </c:pt>
              </c:strCache>
            </c:strRef>
          </c:tx>
          <c:marker>
            <c:symbol val="none"/>
          </c:marker>
          <c:cat>
            <c:numRef>
              <c:f>Sheet1!$A$24:$A$27</c:f>
              <c:numCache>
                <c:formatCode>General</c:formatCode>
                <c:ptCount val="4"/>
                <c:pt idx="0">
                  <c:v>2011</c:v>
                </c:pt>
                <c:pt idx="1">
                  <c:v>2012</c:v>
                </c:pt>
                <c:pt idx="2">
                  <c:v>2013</c:v>
                </c:pt>
                <c:pt idx="3">
                  <c:v>2014</c:v>
                </c:pt>
              </c:numCache>
            </c:numRef>
          </c:cat>
          <c:val>
            <c:numRef>
              <c:f>Sheet1!$C$24:$C$27</c:f>
              <c:numCache>
                <c:formatCode>General</c:formatCode>
                <c:ptCount val="4"/>
                <c:pt idx="0">
                  <c:v>4585</c:v>
                </c:pt>
                <c:pt idx="1">
                  <c:v>6691</c:v>
                </c:pt>
                <c:pt idx="2">
                  <c:v>5693</c:v>
                </c:pt>
                <c:pt idx="3">
                  <c:v>7651</c:v>
                </c:pt>
              </c:numCache>
            </c:numRef>
          </c:val>
          <c:smooth val="0"/>
        </c:ser>
        <c:dLbls>
          <c:showLegendKey val="0"/>
          <c:showVal val="0"/>
          <c:showCatName val="0"/>
          <c:showSerName val="0"/>
          <c:showPercent val="0"/>
          <c:showBubbleSize val="0"/>
        </c:dLbls>
        <c:marker val="1"/>
        <c:smooth val="0"/>
        <c:axId val="49029888"/>
        <c:axId val="49031424"/>
      </c:lineChart>
      <c:catAx>
        <c:axId val="49029888"/>
        <c:scaling>
          <c:orientation val="minMax"/>
        </c:scaling>
        <c:delete val="0"/>
        <c:axPos val="b"/>
        <c:numFmt formatCode="General" sourceLinked="1"/>
        <c:majorTickMark val="none"/>
        <c:minorTickMark val="none"/>
        <c:tickLblPos val="nextTo"/>
        <c:crossAx val="49031424"/>
        <c:crosses val="autoZero"/>
        <c:auto val="1"/>
        <c:lblAlgn val="ctr"/>
        <c:lblOffset val="100"/>
        <c:noMultiLvlLbl val="0"/>
      </c:catAx>
      <c:valAx>
        <c:axId val="49031424"/>
        <c:scaling>
          <c:orientation val="minMax"/>
        </c:scaling>
        <c:delete val="0"/>
        <c:axPos val="l"/>
        <c:majorGridlines/>
        <c:numFmt formatCode="General" sourceLinked="1"/>
        <c:majorTickMark val="none"/>
        <c:minorTickMark val="none"/>
        <c:tickLblPos val="nextTo"/>
        <c:crossAx val="4902988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fr-FR" sz="1200">
                <a:latin typeface="Times New Roman" pitchFamily="18" charset="0"/>
                <a:cs typeface="Times New Roman" pitchFamily="18" charset="0"/>
              </a:rPr>
              <a:t>Graphique 2: Auteurs de violations des droits de l'homme</a:t>
            </a:r>
          </a:p>
        </c:rich>
      </c:tx>
      <c:overlay val="0"/>
    </c:title>
    <c:autoTitleDeleted val="0"/>
    <c:plotArea>
      <c:layout/>
      <c:barChart>
        <c:barDir val="col"/>
        <c:grouping val="clustered"/>
        <c:varyColors val="0"/>
        <c:ser>
          <c:idx val="0"/>
          <c:order val="0"/>
          <c:tx>
            <c:strRef>
              <c:f>Sheet2!$A$6</c:f>
              <c:strCache>
                <c:ptCount val="1"/>
                <c:pt idx="0">
                  <c:v>2011</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Sheet2!$B$6:$F$6</c:f>
              <c:numCache>
                <c:formatCode>General</c:formatCode>
                <c:ptCount val="5"/>
                <c:pt idx="0">
                  <c:v>879</c:v>
                </c:pt>
                <c:pt idx="1">
                  <c:v>587</c:v>
                </c:pt>
                <c:pt idx="2">
                  <c:v>67</c:v>
                </c:pt>
                <c:pt idx="3">
                  <c:v>123</c:v>
                </c:pt>
                <c:pt idx="4">
                  <c:v>859</c:v>
                </c:pt>
              </c:numCache>
            </c:numRef>
          </c:val>
        </c:ser>
        <c:ser>
          <c:idx val="1"/>
          <c:order val="1"/>
          <c:tx>
            <c:strRef>
              <c:f>Sheet2!$A$7</c:f>
              <c:strCache>
                <c:ptCount val="1"/>
                <c:pt idx="0">
                  <c:v>2012</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Sheet2!$B$7:$F$7</c:f>
              <c:numCache>
                <c:formatCode>General</c:formatCode>
                <c:ptCount val="5"/>
                <c:pt idx="0">
                  <c:v>1269</c:v>
                </c:pt>
                <c:pt idx="1">
                  <c:v>580</c:v>
                </c:pt>
                <c:pt idx="2">
                  <c:v>58</c:v>
                </c:pt>
                <c:pt idx="3">
                  <c:v>167</c:v>
                </c:pt>
                <c:pt idx="4">
                  <c:v>1463</c:v>
                </c:pt>
              </c:numCache>
            </c:numRef>
          </c:val>
        </c:ser>
        <c:ser>
          <c:idx val="2"/>
          <c:order val="2"/>
          <c:tx>
            <c:strRef>
              <c:f>Sheet2!$A$8</c:f>
              <c:strCache>
                <c:ptCount val="1"/>
                <c:pt idx="0">
                  <c:v>2013</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Sheet2!$B$8:$F$8</c:f>
              <c:numCache>
                <c:formatCode>General</c:formatCode>
                <c:ptCount val="5"/>
                <c:pt idx="0">
                  <c:v>794</c:v>
                </c:pt>
                <c:pt idx="1">
                  <c:v>564</c:v>
                </c:pt>
                <c:pt idx="2">
                  <c:v>54</c:v>
                </c:pt>
                <c:pt idx="3">
                  <c:v>75</c:v>
                </c:pt>
                <c:pt idx="4">
                  <c:v>1120</c:v>
                </c:pt>
              </c:numCache>
            </c:numRef>
          </c:val>
        </c:ser>
        <c:ser>
          <c:idx val="3"/>
          <c:order val="3"/>
          <c:tx>
            <c:strRef>
              <c:f>Sheet2!$A$9</c:f>
              <c:strCache>
                <c:ptCount val="1"/>
                <c:pt idx="0">
                  <c:v>2014</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Sheet2!$B$9:$F$9</c:f>
              <c:numCache>
                <c:formatCode>General</c:formatCode>
                <c:ptCount val="5"/>
                <c:pt idx="0">
                  <c:v>699</c:v>
                </c:pt>
                <c:pt idx="1">
                  <c:v>546</c:v>
                </c:pt>
                <c:pt idx="2">
                  <c:v>75</c:v>
                </c:pt>
                <c:pt idx="3">
                  <c:v>34</c:v>
                </c:pt>
                <c:pt idx="4">
                  <c:v>1014</c:v>
                </c:pt>
              </c:numCache>
            </c:numRef>
          </c:val>
        </c:ser>
        <c:dLbls>
          <c:showLegendKey val="0"/>
          <c:showVal val="0"/>
          <c:showCatName val="0"/>
          <c:showSerName val="0"/>
          <c:showPercent val="0"/>
          <c:showBubbleSize val="0"/>
        </c:dLbls>
        <c:gapWidth val="150"/>
        <c:axId val="49075712"/>
        <c:axId val="49077632"/>
      </c:barChart>
      <c:catAx>
        <c:axId val="49075712"/>
        <c:scaling>
          <c:orientation val="minMax"/>
        </c:scaling>
        <c:delete val="0"/>
        <c:axPos val="b"/>
        <c:title>
          <c:tx>
            <c:rich>
              <a:bodyPr/>
              <a:lstStyle/>
              <a:p>
                <a:pPr>
                  <a:defRPr/>
                </a:pPr>
                <a:r>
                  <a:rPr lang="fr-FR"/>
                  <a:t>Types</a:t>
                </a:r>
                <a:r>
                  <a:rPr lang="fr-FR" baseline="0"/>
                  <a:t> d'auteurs</a:t>
                </a:r>
                <a:endParaRPr lang="fr-FR"/>
              </a:p>
            </c:rich>
          </c:tx>
          <c:overlay val="0"/>
        </c:title>
        <c:majorTickMark val="none"/>
        <c:minorTickMark val="none"/>
        <c:tickLblPos val="nextTo"/>
        <c:crossAx val="49077632"/>
        <c:crosses val="autoZero"/>
        <c:auto val="1"/>
        <c:lblAlgn val="ctr"/>
        <c:lblOffset val="100"/>
        <c:noMultiLvlLbl val="0"/>
      </c:catAx>
      <c:valAx>
        <c:axId val="49077632"/>
        <c:scaling>
          <c:orientation val="minMax"/>
        </c:scaling>
        <c:delete val="0"/>
        <c:axPos val="l"/>
        <c:majorGridlines/>
        <c:title>
          <c:tx>
            <c:rich>
              <a:bodyPr/>
              <a:lstStyle/>
              <a:p>
                <a:pPr>
                  <a:defRPr/>
                </a:pPr>
                <a:r>
                  <a:rPr lang="fr-FR"/>
                  <a:t>Nombre de violations </a:t>
                </a:r>
              </a:p>
            </c:rich>
          </c:tx>
          <c:layout>
            <c:manualLayout>
              <c:xMode val="edge"/>
              <c:yMode val="edge"/>
              <c:x val="1.8680677174547577E-2"/>
              <c:y val="0.21241658665874572"/>
            </c:manualLayout>
          </c:layout>
          <c:overlay val="0"/>
        </c:title>
        <c:numFmt formatCode="General" sourceLinked="1"/>
        <c:majorTickMark val="out"/>
        <c:minorTickMark val="none"/>
        <c:tickLblPos val="nextTo"/>
        <c:crossAx val="490757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EEBE9-E061-4182-8366-D1332997AFA4}"/>
</file>

<file path=customXml/itemProps2.xml><?xml version="1.0" encoding="utf-8"?>
<ds:datastoreItem xmlns:ds="http://schemas.openxmlformats.org/officeDocument/2006/customXml" ds:itemID="{051CEB81-8EF5-4915-A893-2D085D246846}"/>
</file>

<file path=customXml/itemProps3.xml><?xml version="1.0" encoding="utf-8"?>
<ds:datastoreItem xmlns:ds="http://schemas.openxmlformats.org/officeDocument/2006/customXml" ds:itemID="{849413C0-42F6-464E-8AE0-A1EE18D0D1A6}"/>
</file>

<file path=customXml/itemProps4.xml><?xml version="1.0" encoding="utf-8"?>
<ds:datastoreItem xmlns:ds="http://schemas.openxmlformats.org/officeDocument/2006/customXml" ds:itemID="{8ACAB7B5-6579-4520-9CA1-5CE5C087B87F}"/>
</file>

<file path=docProps/app.xml><?xml version="1.0" encoding="utf-8"?>
<Properties xmlns="http://schemas.openxmlformats.org/officeDocument/2006/extended-properties" xmlns:vt="http://schemas.openxmlformats.org/officeDocument/2006/docPropsVTypes">
  <Template>A_E.dotm</Template>
  <TotalTime>3</TotalTime>
  <Pages>19</Pages>
  <Words>7574</Words>
  <Characters>43174</Characters>
  <Application>Microsoft Office Word</Application>
  <DocSecurity>0</DocSecurity>
  <Lines>359</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50647</CharactersWithSpaces>
  <SharedDoc>false</SharedDoc>
  <HLinks>
    <vt:vector size="12" baseType="variant">
      <vt:variant>
        <vt:i4>4194305</vt:i4>
      </vt:variant>
      <vt:variant>
        <vt:i4>3</vt:i4>
      </vt:variant>
      <vt:variant>
        <vt:i4>0</vt:i4>
      </vt:variant>
      <vt:variant>
        <vt:i4>5</vt:i4>
      </vt:variant>
      <vt:variant>
        <vt:lpwstr>http://www.ohchr.org/FR/ProfessionalInterest/Pages/2ndOPCCPR.aspx</vt:lpwstr>
      </vt:variant>
      <vt:variant>
        <vt:lpwstr/>
      </vt:variant>
      <vt:variant>
        <vt:i4>4718604</vt:i4>
      </vt:variant>
      <vt:variant>
        <vt:i4>0</vt:i4>
      </vt:variant>
      <vt:variant>
        <vt:i4>0</vt:i4>
      </vt:variant>
      <vt:variant>
        <vt:i4>5</vt:i4>
      </vt:variant>
      <vt:variant>
        <vt:lpwstr>http://radiookapi.net/?s=FRPI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technical assistance and capacity-building on the situation of human rights in the Democratic Republic of the Congo in French</dc:title>
  <dc:creator>Dorothee Ndo Ondobo</dc:creator>
  <cp:lastModifiedBy>Julien Okrzesik</cp:lastModifiedBy>
  <cp:revision>3</cp:revision>
  <cp:lastPrinted>2015-08-24T10:03:00Z</cp:lastPrinted>
  <dcterms:created xsi:type="dcterms:W3CDTF">2015-08-26T14:44:00Z</dcterms:created>
  <dcterms:modified xsi:type="dcterms:W3CDTF">2015-08-26T14:47:00Z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