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Default Extension="rels" ContentType="application/vnd.openxmlformats-package.relationships+xml"/>
  <Override PartName="/word/theme/themeOverride1.xml" ContentType="application/vnd.openxmlformats-officedocument.themeOverride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2.xml" ContentType="application/vnd.openxmlformats-officedocument.drawingml.chart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01" w:rsidRPr="004029E6" w:rsidRDefault="00701D01" w:rsidP="00701D01">
      <w:pPr>
        <w:spacing w:line="60" w:lineRule="exact"/>
        <w:rPr>
          <w:color w:val="010000"/>
          <w:sz w:val="6"/>
        </w:rPr>
        <w:sectPr w:rsidR="00701D01" w:rsidRPr="004029E6" w:rsidSect="00701D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bookmarkStart w:id="0" w:name="_GoBack"/>
      <w:bookmarkEnd w:id="0"/>
    </w:p>
    <w:p w:rsidR="004029E6" w:rsidRPr="00854B24" w:rsidRDefault="004029E6" w:rsidP="004029E6">
      <w:pPr>
        <w:pStyle w:val="H1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>
        <w:lastRenderedPageBreak/>
        <w:t>Совет по правам человека</w:t>
      </w:r>
    </w:p>
    <w:p w:rsidR="004029E6" w:rsidRDefault="004029E6" w:rsidP="004029E6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>
        <w:t>Тридцатая сессия</w:t>
      </w:r>
    </w:p>
    <w:p w:rsidR="004029E6" w:rsidRDefault="004029E6" w:rsidP="004029E6">
      <w:r>
        <w:t>Пункты 2 и 10 повестки дня</w:t>
      </w:r>
    </w:p>
    <w:p w:rsidR="004029E6" w:rsidRDefault="004029E6" w:rsidP="004029E6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>
        <w:t>Ежегодный доклад Верховного комиссара</w:t>
      </w:r>
      <w:r w:rsidRPr="004029E6">
        <w:t xml:space="preserve"> </w:t>
      </w:r>
      <w:r>
        <w:t>Организации</w:t>
      </w:r>
      <w:r w:rsidRPr="004029E6">
        <w:br/>
      </w:r>
      <w:r>
        <w:t>Объединенных Наций по правам человека и доклады</w:t>
      </w:r>
      <w:r w:rsidRPr="004029E6">
        <w:br/>
      </w:r>
      <w:r>
        <w:t>Управления</w:t>
      </w:r>
      <w:r w:rsidRPr="004029E6">
        <w:t xml:space="preserve"> </w:t>
      </w:r>
      <w:r>
        <w:t>Верховного комиссара и Генерального секретаря</w:t>
      </w:r>
    </w:p>
    <w:p w:rsidR="004029E6" w:rsidRPr="004029E6" w:rsidRDefault="004029E6" w:rsidP="004029E6">
      <w:pPr>
        <w:spacing w:line="120" w:lineRule="exact"/>
        <w:rPr>
          <w:sz w:val="10"/>
        </w:rPr>
      </w:pPr>
    </w:p>
    <w:p w:rsidR="004029E6" w:rsidRPr="00854B24" w:rsidRDefault="004029E6" w:rsidP="004029E6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>
        <w:t>Техническая помощь и создание потенциала</w:t>
      </w:r>
    </w:p>
    <w:p w:rsidR="004029E6" w:rsidRPr="00854B24" w:rsidRDefault="004029E6" w:rsidP="004029E6">
      <w:pPr>
        <w:pStyle w:val="SingleTxt"/>
        <w:spacing w:after="0" w:line="120" w:lineRule="exact"/>
        <w:rPr>
          <w:sz w:val="10"/>
        </w:rPr>
      </w:pPr>
    </w:p>
    <w:p w:rsidR="004029E6" w:rsidRPr="00854B24" w:rsidRDefault="004029E6" w:rsidP="004029E6">
      <w:pPr>
        <w:pStyle w:val="SingleTxt"/>
        <w:spacing w:after="0" w:line="120" w:lineRule="exact"/>
        <w:rPr>
          <w:sz w:val="10"/>
        </w:rPr>
      </w:pPr>
    </w:p>
    <w:p w:rsidR="004029E6" w:rsidRPr="00854B24" w:rsidRDefault="004029E6" w:rsidP="004029E6">
      <w:pPr>
        <w:pStyle w:val="SingleTxt"/>
        <w:spacing w:after="0" w:line="120" w:lineRule="exact"/>
        <w:rPr>
          <w:sz w:val="10"/>
        </w:rPr>
      </w:pPr>
    </w:p>
    <w:p w:rsidR="004029E6" w:rsidRPr="00854B24" w:rsidRDefault="004029E6" w:rsidP="004029E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  <w:t>Исследование по вопросу о влиянии технической помощи и укрепления потенциала на положение в области прав человека в Демократической Республике Конго</w:t>
      </w:r>
      <w:r w:rsidRPr="004029E6">
        <w:br/>
      </w:r>
      <w:r>
        <w:t>(2008</w:t>
      </w:r>
      <w:r w:rsidRPr="004029E6">
        <w:t>–</w:t>
      </w:r>
      <w:r>
        <w:t>2014 годы)</w:t>
      </w:r>
    </w:p>
    <w:p w:rsidR="004029E6" w:rsidRPr="00854B24" w:rsidRDefault="004029E6" w:rsidP="004029E6">
      <w:pPr>
        <w:pStyle w:val="SingleTxt"/>
        <w:spacing w:after="0" w:line="120" w:lineRule="exact"/>
        <w:rPr>
          <w:sz w:val="10"/>
        </w:rPr>
      </w:pPr>
    </w:p>
    <w:p w:rsidR="004029E6" w:rsidRPr="00854B24" w:rsidRDefault="004029E6" w:rsidP="004029E6">
      <w:pPr>
        <w:pStyle w:val="SingleTxt"/>
        <w:spacing w:after="0" w:line="120" w:lineRule="exact"/>
        <w:rPr>
          <w:sz w:val="10"/>
        </w:rPr>
      </w:pPr>
    </w:p>
    <w:p w:rsidR="00701D01" w:rsidRPr="00854B24" w:rsidRDefault="004029E6" w:rsidP="004029E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  <w:t>Доклад Верховного комиссара Организации Объединенных Наций по правам человека</w:t>
      </w:r>
    </w:p>
    <w:p w:rsidR="004029E6" w:rsidRPr="00854B24" w:rsidRDefault="004029E6" w:rsidP="004029E6">
      <w:pPr>
        <w:pStyle w:val="SingleTxt"/>
        <w:spacing w:after="0" w:line="120" w:lineRule="exact"/>
        <w:rPr>
          <w:sz w:val="10"/>
        </w:rPr>
      </w:pPr>
    </w:p>
    <w:p w:rsidR="004029E6" w:rsidRPr="00854B24" w:rsidRDefault="004029E6" w:rsidP="004029E6">
      <w:pPr>
        <w:pStyle w:val="SingleTxt"/>
        <w:spacing w:after="0" w:line="120" w:lineRule="exact"/>
        <w:rPr>
          <w:sz w:val="10"/>
        </w:rPr>
      </w:pPr>
    </w:p>
    <w:p w:rsidR="004029E6" w:rsidRPr="00854B24" w:rsidRDefault="004029E6" w:rsidP="004029E6">
      <w:pPr>
        <w:pStyle w:val="SingleTxt"/>
        <w:spacing w:after="0" w:line="120" w:lineRule="exact"/>
        <w:rPr>
          <w:sz w:val="10"/>
        </w:rPr>
      </w:pPr>
    </w:p>
    <w:tbl>
      <w:tblPr>
        <w:tblW w:w="10051" w:type="dxa"/>
        <w:tblBorders>
          <w:left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1"/>
      </w:tblGrid>
      <w:tr w:rsidR="004029E6" w:rsidTr="004029E6">
        <w:tc>
          <w:tcPr>
            <w:tcW w:w="10051" w:type="dxa"/>
            <w:tcBorders>
              <w:top w:val="single" w:sz="2" w:space="0" w:color="auto"/>
            </w:tcBorders>
            <w:shd w:val="clear" w:color="auto" w:fill="auto"/>
          </w:tcPr>
          <w:p w:rsidR="004029E6" w:rsidRPr="004029E6" w:rsidRDefault="004029E6" w:rsidP="004029E6">
            <w:pPr>
              <w:tabs>
                <w:tab w:val="left" w:pos="240"/>
              </w:tabs>
              <w:spacing w:before="240" w:after="120"/>
              <w:rPr>
                <w:i/>
                <w:sz w:val="24"/>
                <w:lang w:val="en-US"/>
              </w:rPr>
            </w:pPr>
            <w:r w:rsidRPr="00854B24"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  <w:lang w:val="en-US"/>
              </w:rPr>
              <w:t>Резюме</w:t>
            </w:r>
            <w:proofErr w:type="spellEnd"/>
          </w:p>
        </w:tc>
      </w:tr>
      <w:tr w:rsidR="004029E6" w:rsidRPr="004029E6" w:rsidTr="004029E6">
        <w:tc>
          <w:tcPr>
            <w:tcW w:w="10051" w:type="dxa"/>
            <w:shd w:val="clear" w:color="auto" w:fill="auto"/>
          </w:tcPr>
          <w:p w:rsidR="004029E6" w:rsidRPr="004029E6" w:rsidRDefault="004029E6" w:rsidP="004029E6">
            <w:pPr>
              <w:pStyle w:val="SingleTxt"/>
            </w:pPr>
            <w:r w:rsidRPr="004029E6">
              <w:tab/>
              <w:t>Настоящее исследование представляется во исполнение резолюции 27/27 Совета по правам человека от 26 сентября 2014</w:t>
            </w:r>
            <w:r w:rsidRPr="004029E6">
              <w:rPr>
                <w:lang w:val="en-GB"/>
              </w:rPr>
              <w:t> </w:t>
            </w:r>
            <w:r w:rsidRPr="004029E6">
              <w:t xml:space="preserve">года, в которой к Управлению Верховного комиссара Организации Объединенных Наций по правам человека </w:t>
            </w:r>
            <w:r>
              <w:t>была обращена просьба «</w:t>
            </w:r>
            <w:r w:rsidRPr="004029E6">
              <w:t>обеспечить проведение исследования по вопросу о влиянии технической помощи и усиления потенциала на положение в области прав человека в Демократической Республике Конго и представить его, в рамках процесса интерактивного диалога, на его тридцатой сессии</w:t>
            </w:r>
            <w:r>
              <w:t>»</w:t>
            </w:r>
            <w:r w:rsidRPr="004029E6">
              <w:t xml:space="preserve">. В основу исследования легла деятельность, осуществлявшаяся Организацией Объединенных Наций и международными неправительственными организациями при поддержке государств-членов на всей территории страны с 2008 </w:t>
            </w:r>
            <w:r w:rsidR="002B2196">
              <w:t xml:space="preserve">года </w:t>
            </w:r>
            <w:r w:rsidRPr="004029E6">
              <w:t>по конец 2014 года.</w:t>
            </w:r>
          </w:p>
        </w:tc>
      </w:tr>
      <w:tr w:rsidR="004029E6" w:rsidRPr="004029E6" w:rsidTr="004029E6">
        <w:tc>
          <w:tcPr>
            <w:tcW w:w="10051" w:type="dxa"/>
            <w:shd w:val="clear" w:color="auto" w:fill="auto"/>
          </w:tcPr>
          <w:p w:rsidR="004029E6" w:rsidRPr="004029E6" w:rsidRDefault="00F5129E" w:rsidP="00F5129E">
            <w:pPr>
              <w:pStyle w:val="SingleTxt"/>
            </w:pPr>
            <w:r>
              <w:tab/>
            </w:r>
            <w:r w:rsidRPr="00F5129E">
              <w:t>В течение рассматриваемого периода техническая помощь со стороны международного сообщества позволила достичь значительного прогресса как в нормативной и институциональной сферах, так и в поведении носителей обязательств и правообладателей.</w:t>
            </w:r>
          </w:p>
        </w:tc>
      </w:tr>
      <w:tr w:rsidR="004029E6" w:rsidRPr="004029E6" w:rsidTr="004029E6">
        <w:tc>
          <w:tcPr>
            <w:tcW w:w="10051" w:type="dxa"/>
            <w:tcBorders>
              <w:bottom w:val="nil"/>
            </w:tcBorders>
            <w:shd w:val="clear" w:color="auto" w:fill="auto"/>
          </w:tcPr>
          <w:p w:rsidR="004029E6" w:rsidRPr="004029E6" w:rsidRDefault="00F5129E" w:rsidP="00F5129E">
            <w:pPr>
              <w:pStyle w:val="SingleTxt"/>
            </w:pPr>
            <w:r>
              <w:tab/>
            </w:r>
            <w:r w:rsidRPr="00F5129E">
              <w:t>Национальная правовая база получила да</w:t>
            </w:r>
            <w:r w:rsidR="00F9737F">
              <w:t>льнейшее развитие с принятием в </w:t>
            </w:r>
            <w:r w:rsidRPr="00F5129E">
              <w:t>2013</w:t>
            </w:r>
            <w:r w:rsidRPr="00F5129E">
              <w:rPr>
                <w:lang w:val="fr-CH"/>
              </w:rPr>
              <w:t> </w:t>
            </w:r>
            <w:r w:rsidRPr="00F5129E">
              <w:t>году органического закона, которым апелляционные суды наделялись полномочиями рассматривать дела о преступлениях геноцида, военных преступлениях и преступлениях против человечности.</w:t>
            </w:r>
          </w:p>
        </w:tc>
      </w:tr>
      <w:tr w:rsidR="00F5129E" w:rsidRPr="004029E6" w:rsidTr="004029E6">
        <w:tc>
          <w:tcPr>
            <w:tcW w:w="10051" w:type="dxa"/>
            <w:tcBorders>
              <w:bottom w:val="nil"/>
            </w:tcBorders>
            <w:shd w:val="clear" w:color="auto" w:fill="auto"/>
          </w:tcPr>
          <w:p w:rsidR="00F5129E" w:rsidRPr="004029E6" w:rsidRDefault="00F5129E" w:rsidP="00F5129E">
            <w:pPr>
              <w:pStyle w:val="SingleTxt"/>
              <w:keepNext/>
              <w:keepLines/>
            </w:pPr>
            <w:r>
              <w:lastRenderedPageBreak/>
              <w:tab/>
            </w:r>
            <w:r w:rsidRPr="00F5129E">
              <w:t>В число институциональных событий, связанных с правами человека, вошло создание Механизма связи по правам человека и Отдела по вопросам защиты правозащитников. В 2013</w:t>
            </w:r>
            <w:r w:rsidRPr="00F5129E">
              <w:rPr>
                <w:lang w:val="fr-CH"/>
              </w:rPr>
              <w:t> </w:t>
            </w:r>
            <w:r w:rsidRPr="00F5129E">
              <w:t>году была учреждена Национальная комиссия по правам человека, а в 2015 году были назначены ее члены.</w:t>
            </w:r>
          </w:p>
        </w:tc>
      </w:tr>
      <w:tr w:rsidR="00F5129E" w:rsidRPr="004029E6" w:rsidTr="004029E6">
        <w:tc>
          <w:tcPr>
            <w:tcW w:w="10051" w:type="dxa"/>
            <w:tcBorders>
              <w:bottom w:val="nil"/>
            </w:tcBorders>
            <w:shd w:val="clear" w:color="auto" w:fill="auto"/>
          </w:tcPr>
          <w:p w:rsidR="00F5129E" w:rsidRPr="004029E6" w:rsidRDefault="00F5129E" w:rsidP="00F5129E">
            <w:pPr>
              <w:pStyle w:val="SingleTxt"/>
            </w:pPr>
            <w:r>
              <w:tab/>
            </w:r>
            <w:r w:rsidRPr="00F5129E">
              <w:t>Тот факт, что жертвы сексуального насилия постепенно начали осознавать свою потребность в правосудии и помощи, способствовал борьбе с безнаказанностью за международные преступления и акты сексуального и гендерного насилия, совершавшиеся членами верховного командования сил обороны и безопасности и вооруженных группировок. Увеличилось число членов сил обороны и безопасности и вооруженных группировок, которым были вынесены обвинительные приговоры за массовые убийства, акты сексуального насилия и грабежи, в том числе приговоры к пожизненному лишению свободы.</w:t>
            </w:r>
          </w:p>
        </w:tc>
      </w:tr>
      <w:tr w:rsidR="00F5129E" w:rsidRPr="004029E6" w:rsidTr="004029E6">
        <w:tc>
          <w:tcPr>
            <w:tcW w:w="10051" w:type="dxa"/>
            <w:tcBorders>
              <w:bottom w:val="nil"/>
            </w:tcBorders>
            <w:shd w:val="clear" w:color="auto" w:fill="auto"/>
          </w:tcPr>
          <w:p w:rsidR="00F5129E" w:rsidRPr="004029E6" w:rsidRDefault="00F5129E" w:rsidP="00F5129E">
            <w:pPr>
              <w:pStyle w:val="SingleTxt"/>
            </w:pPr>
            <w:r>
              <w:tab/>
            </w:r>
            <w:r w:rsidRPr="00F5129E">
              <w:t>Повышение уровня подготовки членов сил обороны и безопасности и гражданского общества, усиленное наблюдение за соблюдением прав человека со стороны гражданского общества и Организации Объединенных Наций, публикация докладов и разъяснительных материалов, а также упомянутые выше обвинительные приговоры в целом способствовали осознанию властями своих обязательств и снижению числа случаев нарушения прав человека.</w:t>
            </w:r>
          </w:p>
        </w:tc>
      </w:tr>
      <w:tr w:rsidR="00F5129E" w:rsidRPr="004029E6" w:rsidTr="004029E6">
        <w:tc>
          <w:tcPr>
            <w:tcW w:w="10051" w:type="dxa"/>
            <w:tcBorders>
              <w:bottom w:val="nil"/>
            </w:tcBorders>
            <w:shd w:val="clear" w:color="auto" w:fill="auto"/>
          </w:tcPr>
          <w:p w:rsidR="00F5129E" w:rsidRPr="004029E6" w:rsidRDefault="00F5129E" w:rsidP="00F5129E">
            <w:pPr>
              <w:pStyle w:val="SingleTxt"/>
            </w:pPr>
            <w:r>
              <w:tab/>
            </w:r>
            <w:r w:rsidRPr="00F5129E">
              <w:t>Механизмы охраны мирных жителей, созданные в районах, подверженных вооруженным нападениям, на востоке страны, позволили укрепить защиту населения.</w:t>
            </w:r>
          </w:p>
        </w:tc>
      </w:tr>
      <w:tr w:rsidR="00F5129E" w:rsidRPr="004029E6" w:rsidTr="004029E6">
        <w:tc>
          <w:tcPr>
            <w:tcW w:w="10051" w:type="dxa"/>
            <w:tcBorders>
              <w:bottom w:val="nil"/>
            </w:tcBorders>
            <w:shd w:val="clear" w:color="auto" w:fill="auto"/>
          </w:tcPr>
          <w:p w:rsidR="00F5129E" w:rsidRPr="004029E6" w:rsidRDefault="00F5129E" w:rsidP="00F5129E">
            <w:pPr>
              <w:pStyle w:val="SingleTxt"/>
            </w:pPr>
            <w:r>
              <w:tab/>
            </w:r>
            <w:r w:rsidRPr="00F5129E">
              <w:t>Несмотря на положительное влияние оказанной международным сообществом технической помощи в области прав человека, сохраняются многочисленные проблемы. Одной из основных задач остается борьба с безнаказанностью. Кроме того, по-прежнему наблюдаются трудности юридического плана, поскольку не были приняты важные законы в области защиты прав человека, касающиеся, в частности, правозащитников, равенства между мужчинами и женщинами и гендерной тематики.</w:t>
            </w:r>
          </w:p>
        </w:tc>
      </w:tr>
      <w:tr w:rsidR="00F5129E" w:rsidRPr="004029E6" w:rsidTr="004029E6">
        <w:tc>
          <w:tcPr>
            <w:tcW w:w="10051" w:type="dxa"/>
            <w:tcBorders>
              <w:bottom w:val="nil"/>
            </w:tcBorders>
            <w:shd w:val="clear" w:color="auto" w:fill="auto"/>
          </w:tcPr>
          <w:p w:rsidR="00F5129E" w:rsidRPr="004029E6" w:rsidRDefault="00F5129E" w:rsidP="00F5129E">
            <w:pPr>
              <w:pStyle w:val="SingleTxt"/>
            </w:pPr>
            <w:r>
              <w:tab/>
            </w:r>
            <w:r w:rsidRPr="00F5129E">
              <w:t>Что касается институциональной сферы, то существуют конфликты компетенций, в частности между полномочиями Национальной комиссии по правам человека и Механизма связи по правам человека; кроме того, не было создано никакого национального механизма предотвращения пыток, несмотря на то, что Демократическая Республика Конго является участницей Факультативного протокола к Конвенции против пыток и других жестоких, бесчеловечных или унижающих достоинство видов обращения и наказания.</w:t>
            </w:r>
          </w:p>
        </w:tc>
      </w:tr>
      <w:tr w:rsidR="00F5129E" w:rsidRPr="004029E6" w:rsidTr="004029E6">
        <w:tc>
          <w:tcPr>
            <w:tcW w:w="10051" w:type="dxa"/>
            <w:tcBorders>
              <w:bottom w:val="nil"/>
            </w:tcBorders>
            <w:shd w:val="clear" w:color="auto" w:fill="auto"/>
          </w:tcPr>
          <w:p w:rsidR="00F5129E" w:rsidRPr="004029E6" w:rsidRDefault="00F5129E" w:rsidP="00F5129E">
            <w:pPr>
              <w:pStyle w:val="SingleTxt"/>
            </w:pPr>
            <w:r>
              <w:tab/>
            </w:r>
            <w:r w:rsidRPr="00F5129E">
              <w:t>Основная деятельность международного сообщества была сосредоточена на востоке страны и носила, по большей части, сиюмоментный характер, что не способствовало закреплению результатов.</w:t>
            </w:r>
          </w:p>
        </w:tc>
      </w:tr>
      <w:tr w:rsidR="004029E6" w:rsidRPr="004029E6" w:rsidTr="004029E6">
        <w:tc>
          <w:tcPr>
            <w:tcW w:w="10051" w:type="dxa"/>
            <w:tcBorders>
              <w:bottom w:val="single" w:sz="2" w:space="0" w:color="auto"/>
            </w:tcBorders>
            <w:shd w:val="clear" w:color="auto" w:fill="auto"/>
          </w:tcPr>
          <w:p w:rsidR="004029E6" w:rsidRPr="004029E6" w:rsidRDefault="004029E6" w:rsidP="004029E6">
            <w:pPr>
              <w:pStyle w:val="SingleTxt"/>
            </w:pPr>
          </w:p>
        </w:tc>
      </w:tr>
    </w:tbl>
    <w:p w:rsidR="00F5129E" w:rsidRDefault="00F5129E" w:rsidP="004029E6">
      <w:pPr>
        <w:pStyle w:val="SingleTxt"/>
      </w:pPr>
    </w:p>
    <w:p w:rsidR="00F5129E" w:rsidRPr="00F5129E" w:rsidRDefault="00F5129E" w:rsidP="00F5129E">
      <w:pPr>
        <w:pStyle w:val="HCh"/>
        <w:spacing w:after="120"/>
        <w:rPr>
          <w:b w:val="0"/>
        </w:rPr>
      </w:pPr>
      <w:r>
        <w:br w:type="page"/>
      </w:r>
      <w:r>
        <w:rPr>
          <w:b w:val="0"/>
        </w:rPr>
        <w:t>Содержание</w:t>
      </w:r>
    </w:p>
    <w:tbl>
      <w:tblPr>
        <w:tblW w:w="9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7056"/>
        <w:gridCol w:w="994"/>
        <w:gridCol w:w="720"/>
      </w:tblGrid>
      <w:tr w:rsidR="00F5129E" w:rsidRPr="00F5129E" w:rsidTr="00F5129E">
        <w:tc>
          <w:tcPr>
            <w:tcW w:w="1060" w:type="dxa"/>
            <w:shd w:val="clear" w:color="auto" w:fill="auto"/>
          </w:tcPr>
          <w:p w:rsidR="00F5129E" w:rsidRPr="00F5129E" w:rsidRDefault="00F5129E" w:rsidP="00F5129E">
            <w:pPr>
              <w:spacing w:after="120" w:line="240" w:lineRule="auto"/>
              <w:jc w:val="right"/>
              <w:rPr>
                <w:i/>
                <w:sz w:val="14"/>
              </w:rPr>
            </w:pPr>
          </w:p>
        </w:tc>
        <w:tc>
          <w:tcPr>
            <w:tcW w:w="7056" w:type="dxa"/>
            <w:shd w:val="clear" w:color="auto" w:fill="auto"/>
          </w:tcPr>
          <w:p w:rsidR="00F5129E" w:rsidRPr="00F5129E" w:rsidRDefault="00F5129E" w:rsidP="00F5129E">
            <w:pPr>
              <w:spacing w:after="120" w:line="240" w:lineRule="auto"/>
              <w:rPr>
                <w:i/>
                <w:sz w:val="14"/>
              </w:rPr>
            </w:pPr>
          </w:p>
        </w:tc>
        <w:tc>
          <w:tcPr>
            <w:tcW w:w="994" w:type="dxa"/>
            <w:shd w:val="clear" w:color="auto" w:fill="auto"/>
          </w:tcPr>
          <w:p w:rsidR="00F5129E" w:rsidRPr="00F5129E" w:rsidRDefault="00F5129E" w:rsidP="00F5129E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</w:p>
        </w:tc>
        <w:tc>
          <w:tcPr>
            <w:tcW w:w="720" w:type="dxa"/>
            <w:shd w:val="clear" w:color="auto" w:fill="auto"/>
          </w:tcPr>
          <w:p w:rsidR="00F5129E" w:rsidRPr="00F5129E" w:rsidRDefault="00F5129E" w:rsidP="00F5129E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Стр.</w:t>
            </w:r>
          </w:p>
        </w:tc>
      </w:tr>
      <w:tr w:rsidR="00364774" w:rsidRPr="00F5129E" w:rsidTr="00364774">
        <w:tc>
          <w:tcPr>
            <w:tcW w:w="9110" w:type="dxa"/>
            <w:gridSpan w:val="3"/>
            <w:shd w:val="clear" w:color="auto" w:fill="auto"/>
          </w:tcPr>
          <w:p w:rsidR="00364774" w:rsidRPr="00F9737F" w:rsidRDefault="00F9737F" w:rsidP="00F9737F">
            <w:p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right" w:leader="dot" w:pos="9245"/>
              </w:tabs>
              <w:suppressAutoHyphens/>
              <w:spacing w:after="120"/>
              <w:ind w:left="1296"/>
              <w:rPr>
                <w:spacing w:val="60"/>
                <w:sz w:val="17"/>
              </w:rPr>
            </w:pPr>
            <w:r w:rsidRPr="00F9737F">
              <w:t>Список сокращений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64774" w:rsidRPr="00F5129E" w:rsidRDefault="00F9737F" w:rsidP="00364774">
            <w:pPr>
              <w:spacing w:after="120"/>
              <w:ind w:right="40"/>
              <w:jc w:val="right"/>
            </w:pPr>
            <w:r>
              <w:t>4</w:t>
            </w:r>
          </w:p>
        </w:tc>
      </w:tr>
      <w:tr w:rsidR="00364774" w:rsidRPr="00F5129E" w:rsidTr="00364774">
        <w:tc>
          <w:tcPr>
            <w:tcW w:w="9110" w:type="dxa"/>
            <w:gridSpan w:val="3"/>
            <w:shd w:val="clear" w:color="auto" w:fill="auto"/>
          </w:tcPr>
          <w:p w:rsidR="00364774" w:rsidRPr="00F5129E" w:rsidRDefault="00F9737F" w:rsidP="00F9737F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right" w:leader="dot" w:pos="9245"/>
              </w:tabs>
              <w:suppressAutoHyphens/>
              <w:spacing w:after="120"/>
            </w:pPr>
            <w:r>
              <w:tab/>
            </w:r>
            <w:r w:rsidRPr="00F9737F">
              <w:t>Введение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64774" w:rsidRPr="00F5129E" w:rsidRDefault="00F9737F" w:rsidP="00364774">
            <w:pPr>
              <w:spacing w:after="120"/>
              <w:ind w:right="40"/>
              <w:jc w:val="right"/>
            </w:pPr>
            <w:r>
              <w:t>5</w:t>
            </w:r>
          </w:p>
        </w:tc>
      </w:tr>
      <w:tr w:rsidR="00364774" w:rsidRPr="00F5129E" w:rsidTr="00364774">
        <w:tc>
          <w:tcPr>
            <w:tcW w:w="9110" w:type="dxa"/>
            <w:gridSpan w:val="3"/>
            <w:shd w:val="clear" w:color="auto" w:fill="auto"/>
          </w:tcPr>
          <w:p w:rsidR="00364774" w:rsidRPr="00F5129E" w:rsidRDefault="00F9737F" w:rsidP="00F9737F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>
              <w:tab/>
            </w:r>
            <w:r w:rsidRPr="00F9737F">
              <w:t>Сфера охвата исследования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64774" w:rsidRPr="00F5129E" w:rsidRDefault="00F9737F" w:rsidP="00364774">
            <w:pPr>
              <w:spacing w:after="120"/>
              <w:ind w:right="40"/>
              <w:jc w:val="right"/>
            </w:pPr>
            <w:r>
              <w:t>5</w:t>
            </w:r>
          </w:p>
        </w:tc>
      </w:tr>
      <w:tr w:rsidR="00364774" w:rsidRPr="00F5129E" w:rsidTr="00364774">
        <w:tc>
          <w:tcPr>
            <w:tcW w:w="9110" w:type="dxa"/>
            <w:gridSpan w:val="3"/>
            <w:shd w:val="clear" w:color="auto" w:fill="auto"/>
          </w:tcPr>
          <w:p w:rsidR="00364774" w:rsidRPr="00F5129E" w:rsidRDefault="00F9737F" w:rsidP="00F9737F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right" w:leader="dot" w:pos="9245"/>
              </w:tabs>
              <w:suppressAutoHyphens/>
              <w:spacing w:after="120"/>
            </w:pPr>
            <w:r>
              <w:tab/>
            </w:r>
            <w:r w:rsidRPr="00F9737F">
              <w:t>Методология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64774" w:rsidRPr="00F5129E" w:rsidRDefault="00F9737F" w:rsidP="00364774">
            <w:pPr>
              <w:spacing w:after="120"/>
              <w:ind w:right="40"/>
              <w:jc w:val="right"/>
            </w:pPr>
            <w:r>
              <w:t>6</w:t>
            </w:r>
          </w:p>
        </w:tc>
      </w:tr>
      <w:tr w:rsidR="00364774" w:rsidRPr="00F5129E" w:rsidTr="00364774">
        <w:tc>
          <w:tcPr>
            <w:tcW w:w="9110" w:type="dxa"/>
            <w:gridSpan w:val="3"/>
            <w:shd w:val="clear" w:color="auto" w:fill="auto"/>
          </w:tcPr>
          <w:p w:rsidR="00364774" w:rsidRPr="00F5129E" w:rsidRDefault="00F9737F" w:rsidP="00F9737F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right" w:leader="dot" w:pos="9245"/>
              </w:tabs>
              <w:suppressAutoHyphens/>
              <w:spacing w:after="120"/>
            </w:pPr>
            <w:r>
              <w:tab/>
            </w:r>
            <w:r w:rsidRPr="00F9737F">
              <w:t>Основная деятельность международного сообщества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64774" w:rsidRPr="00F5129E" w:rsidRDefault="00F9737F" w:rsidP="00364774">
            <w:pPr>
              <w:spacing w:after="120"/>
              <w:ind w:right="40"/>
              <w:jc w:val="right"/>
            </w:pPr>
            <w:r>
              <w:t>7</w:t>
            </w:r>
          </w:p>
        </w:tc>
      </w:tr>
      <w:tr w:rsidR="00364774" w:rsidRPr="00F5129E" w:rsidTr="00364774">
        <w:tc>
          <w:tcPr>
            <w:tcW w:w="9110" w:type="dxa"/>
            <w:gridSpan w:val="3"/>
            <w:shd w:val="clear" w:color="auto" w:fill="auto"/>
          </w:tcPr>
          <w:p w:rsidR="00364774" w:rsidRPr="00F5129E" w:rsidRDefault="00F9737F" w:rsidP="00F9737F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right" w:leader="dot" w:pos="9245"/>
              </w:tabs>
              <w:suppressAutoHyphens/>
              <w:spacing w:after="120"/>
            </w:pPr>
            <w:r w:rsidRPr="00F9737F">
              <w:t>Поддержка отправления правосудия в борьбе с безнаказанностью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64774" w:rsidRPr="00F5129E" w:rsidRDefault="00F9737F" w:rsidP="00364774">
            <w:pPr>
              <w:spacing w:after="120"/>
              <w:ind w:right="40"/>
              <w:jc w:val="right"/>
            </w:pPr>
            <w:r>
              <w:t>7</w:t>
            </w:r>
          </w:p>
        </w:tc>
      </w:tr>
      <w:tr w:rsidR="00364774" w:rsidRPr="00F5129E" w:rsidTr="00364774">
        <w:tc>
          <w:tcPr>
            <w:tcW w:w="9110" w:type="dxa"/>
            <w:gridSpan w:val="3"/>
            <w:shd w:val="clear" w:color="auto" w:fill="auto"/>
          </w:tcPr>
          <w:p w:rsidR="00364774" w:rsidRPr="00F5129E" w:rsidRDefault="00F9737F" w:rsidP="00F9737F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right" w:leader="dot" w:pos="9245"/>
              </w:tabs>
              <w:suppressAutoHyphens/>
              <w:spacing w:after="120"/>
            </w:pPr>
            <w:r w:rsidRPr="00F9737F">
              <w:t>Укрепление национальной системы защиты п</w:t>
            </w:r>
            <w:r>
              <w:t>рав человека и сотрудничество с </w:t>
            </w:r>
            <w:r w:rsidRPr="00F9737F">
              <w:t>международными правозащитными механизмами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64774" w:rsidRPr="00F5129E" w:rsidRDefault="00F9737F" w:rsidP="00364774">
            <w:pPr>
              <w:spacing w:after="120"/>
              <w:ind w:right="40"/>
              <w:jc w:val="right"/>
            </w:pPr>
            <w:r>
              <w:t>11</w:t>
            </w:r>
          </w:p>
        </w:tc>
      </w:tr>
      <w:tr w:rsidR="00364774" w:rsidRPr="00F5129E" w:rsidTr="00364774">
        <w:tc>
          <w:tcPr>
            <w:tcW w:w="9110" w:type="dxa"/>
            <w:gridSpan w:val="3"/>
            <w:shd w:val="clear" w:color="auto" w:fill="auto"/>
          </w:tcPr>
          <w:p w:rsidR="00364774" w:rsidRPr="00F5129E" w:rsidRDefault="00F9737F" w:rsidP="00F9737F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right" w:leader="dot" w:pos="9245"/>
              </w:tabs>
              <w:suppressAutoHyphens/>
              <w:spacing w:after="120"/>
            </w:pPr>
            <w:r w:rsidRPr="00F9737F">
              <w:t>Защита гражданского населения в условиях вооруженного конфликта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64774" w:rsidRPr="00F5129E" w:rsidRDefault="00F9737F" w:rsidP="00364774">
            <w:pPr>
              <w:spacing w:after="120"/>
              <w:ind w:right="40"/>
              <w:jc w:val="right"/>
            </w:pPr>
            <w:r>
              <w:t>14</w:t>
            </w:r>
          </w:p>
        </w:tc>
      </w:tr>
      <w:tr w:rsidR="00364774" w:rsidRPr="00F5129E" w:rsidTr="00364774">
        <w:tc>
          <w:tcPr>
            <w:tcW w:w="9110" w:type="dxa"/>
            <w:gridSpan w:val="3"/>
            <w:shd w:val="clear" w:color="auto" w:fill="auto"/>
          </w:tcPr>
          <w:p w:rsidR="00364774" w:rsidRPr="00F5129E" w:rsidRDefault="00F9737F" w:rsidP="00F9737F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right" w:leader="dot" w:pos="9245"/>
              </w:tabs>
              <w:suppressAutoHyphens/>
              <w:spacing w:after="120"/>
            </w:pPr>
            <w:r w:rsidRPr="00F9737F">
              <w:t>Экономические и социальные права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64774" w:rsidRPr="00F5129E" w:rsidRDefault="00F9737F" w:rsidP="00364774">
            <w:pPr>
              <w:spacing w:after="120"/>
              <w:ind w:right="40"/>
              <w:jc w:val="right"/>
            </w:pPr>
            <w:r>
              <w:t>16</w:t>
            </w:r>
          </w:p>
        </w:tc>
      </w:tr>
      <w:tr w:rsidR="00364774" w:rsidRPr="00F5129E" w:rsidTr="00364774">
        <w:tc>
          <w:tcPr>
            <w:tcW w:w="9110" w:type="dxa"/>
            <w:gridSpan w:val="3"/>
            <w:shd w:val="clear" w:color="auto" w:fill="auto"/>
          </w:tcPr>
          <w:p w:rsidR="00364774" w:rsidRPr="00F5129E" w:rsidRDefault="00F9737F" w:rsidP="00F9737F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>
              <w:tab/>
            </w:r>
            <w:r w:rsidRPr="00F9737F">
              <w:t>Учет гендерных вопросов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64774" w:rsidRPr="00F5129E" w:rsidRDefault="00F9737F" w:rsidP="00364774">
            <w:pPr>
              <w:spacing w:after="120"/>
              <w:ind w:right="40"/>
              <w:jc w:val="right"/>
            </w:pPr>
            <w:r>
              <w:t>18</w:t>
            </w:r>
          </w:p>
        </w:tc>
      </w:tr>
      <w:tr w:rsidR="00364774" w:rsidRPr="00F5129E" w:rsidTr="00364774">
        <w:tc>
          <w:tcPr>
            <w:tcW w:w="9110" w:type="dxa"/>
            <w:gridSpan w:val="3"/>
            <w:shd w:val="clear" w:color="auto" w:fill="auto"/>
          </w:tcPr>
          <w:p w:rsidR="00364774" w:rsidRPr="00F5129E" w:rsidRDefault="00F9737F" w:rsidP="00F9737F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right" w:leader="dot" w:pos="9245"/>
              </w:tabs>
              <w:suppressAutoHyphens/>
              <w:spacing w:after="120"/>
            </w:pPr>
            <w:r>
              <w:tab/>
            </w:r>
            <w:r w:rsidRPr="00F9737F">
              <w:t>Заключение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64774" w:rsidRPr="00F5129E" w:rsidRDefault="00F9737F" w:rsidP="00364774">
            <w:pPr>
              <w:spacing w:after="120"/>
              <w:ind w:right="40"/>
              <w:jc w:val="right"/>
            </w:pPr>
            <w:r>
              <w:t>19</w:t>
            </w:r>
          </w:p>
        </w:tc>
      </w:tr>
      <w:tr w:rsidR="00364774" w:rsidRPr="00F5129E" w:rsidTr="00364774">
        <w:tc>
          <w:tcPr>
            <w:tcW w:w="9110" w:type="dxa"/>
            <w:gridSpan w:val="3"/>
            <w:shd w:val="clear" w:color="auto" w:fill="auto"/>
          </w:tcPr>
          <w:p w:rsidR="00364774" w:rsidRPr="00F5129E" w:rsidRDefault="00F9737F" w:rsidP="00F9737F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right" w:leader="dot" w:pos="9245"/>
              </w:tabs>
              <w:suppressAutoHyphens/>
              <w:spacing w:after="120"/>
            </w:pPr>
            <w:r>
              <w:tab/>
            </w:r>
            <w:r w:rsidRPr="00F9737F">
              <w:t>Рекомендации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64774" w:rsidRPr="00F5129E" w:rsidRDefault="00F9737F" w:rsidP="00364774">
            <w:pPr>
              <w:spacing w:after="120"/>
              <w:ind w:right="40"/>
              <w:jc w:val="right"/>
            </w:pPr>
            <w:r>
              <w:t>19</w:t>
            </w:r>
          </w:p>
        </w:tc>
      </w:tr>
      <w:tr w:rsidR="00364774" w:rsidRPr="00F5129E" w:rsidTr="00364774">
        <w:tc>
          <w:tcPr>
            <w:tcW w:w="9110" w:type="dxa"/>
            <w:gridSpan w:val="3"/>
            <w:shd w:val="clear" w:color="auto" w:fill="auto"/>
          </w:tcPr>
          <w:p w:rsidR="00364774" w:rsidRPr="00F5129E" w:rsidRDefault="00F9737F" w:rsidP="00F9737F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right" w:leader="dot" w:pos="9245"/>
              </w:tabs>
              <w:suppressAutoHyphens/>
              <w:spacing w:after="120"/>
            </w:pPr>
            <w:r w:rsidRPr="00F9737F">
              <w:t>Правительству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64774" w:rsidRPr="00F5129E" w:rsidRDefault="00F9737F" w:rsidP="00364774">
            <w:pPr>
              <w:spacing w:after="120"/>
              <w:ind w:right="40"/>
              <w:jc w:val="right"/>
            </w:pPr>
            <w:r>
              <w:t>19</w:t>
            </w:r>
          </w:p>
        </w:tc>
      </w:tr>
      <w:tr w:rsidR="00364774" w:rsidRPr="00F5129E" w:rsidTr="00364774">
        <w:tc>
          <w:tcPr>
            <w:tcW w:w="9110" w:type="dxa"/>
            <w:gridSpan w:val="3"/>
            <w:shd w:val="clear" w:color="auto" w:fill="auto"/>
          </w:tcPr>
          <w:p w:rsidR="00364774" w:rsidRPr="00F5129E" w:rsidRDefault="00F9737F" w:rsidP="00F9737F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right" w:leader="dot" w:pos="9245"/>
              </w:tabs>
              <w:suppressAutoHyphens/>
              <w:spacing w:after="120"/>
            </w:pPr>
            <w:r w:rsidRPr="00F9737F">
              <w:t>Совместному отделению Организации Объединенных Наций по правам человека и страновой группе Организации Объединенных Наций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64774" w:rsidRPr="00F5129E" w:rsidRDefault="00F9737F" w:rsidP="00364774">
            <w:pPr>
              <w:spacing w:after="120"/>
              <w:ind w:right="40"/>
              <w:jc w:val="right"/>
            </w:pPr>
            <w:r>
              <w:t>20</w:t>
            </w:r>
          </w:p>
        </w:tc>
      </w:tr>
      <w:tr w:rsidR="00364774" w:rsidRPr="00F5129E" w:rsidTr="00364774">
        <w:tc>
          <w:tcPr>
            <w:tcW w:w="9110" w:type="dxa"/>
            <w:gridSpan w:val="3"/>
            <w:shd w:val="clear" w:color="auto" w:fill="auto"/>
          </w:tcPr>
          <w:p w:rsidR="00364774" w:rsidRPr="00F5129E" w:rsidRDefault="00F9737F" w:rsidP="00F9737F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9245"/>
              </w:tabs>
              <w:suppressAutoHyphens/>
              <w:spacing w:after="120"/>
            </w:pPr>
            <w:r w:rsidRPr="00F9737F">
              <w:t>Международному сообществу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64774" w:rsidRPr="00F5129E" w:rsidRDefault="00F9737F" w:rsidP="00364774">
            <w:pPr>
              <w:spacing w:after="120"/>
              <w:ind w:right="40"/>
              <w:jc w:val="right"/>
            </w:pPr>
            <w:r>
              <w:t>20</w:t>
            </w:r>
          </w:p>
        </w:tc>
      </w:tr>
    </w:tbl>
    <w:p w:rsidR="00364774" w:rsidRDefault="00364774" w:rsidP="00F5129E"/>
    <w:p w:rsidR="00364774" w:rsidRDefault="00364774" w:rsidP="00364774">
      <w:pPr>
        <w:pStyle w:val="HCh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>
        <w:br w:type="page"/>
      </w:r>
      <w:r w:rsidRPr="0036477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Список сокращений</w:t>
      </w:r>
    </w:p>
    <w:p w:rsidR="00364774" w:rsidRPr="00364774" w:rsidRDefault="00364774" w:rsidP="00364774">
      <w:pPr>
        <w:pStyle w:val="SingleTxt"/>
        <w:spacing w:after="0" w:line="120" w:lineRule="exact"/>
        <w:rPr>
          <w:sz w:val="10"/>
        </w:rPr>
      </w:pPr>
    </w:p>
    <w:p w:rsidR="00364774" w:rsidRPr="00364774" w:rsidRDefault="00364774" w:rsidP="00364774">
      <w:pPr>
        <w:pStyle w:val="SingleTxt"/>
        <w:spacing w:after="0" w:line="120" w:lineRule="exact"/>
        <w:rPr>
          <w:sz w:val="10"/>
        </w:rPr>
      </w:pPr>
    </w:p>
    <w:tbl>
      <w:tblPr>
        <w:tblW w:w="0" w:type="auto"/>
        <w:tblInd w:w="1267" w:type="dxa"/>
        <w:tblBorders>
          <w:top w:val="single" w:sz="4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5634"/>
      </w:tblGrid>
      <w:tr w:rsidR="00364774" w:rsidRPr="00850D17" w:rsidTr="00364774"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</w:tcPr>
          <w:p w:rsidR="00364774" w:rsidRPr="00D32037" w:rsidRDefault="00364774" w:rsidP="00364774">
            <w:pPr>
              <w:spacing w:after="120"/>
              <w:ind w:right="115"/>
            </w:pPr>
            <w:r>
              <w:t>ВИЧ</w:t>
            </w:r>
          </w:p>
        </w:tc>
        <w:tc>
          <w:tcPr>
            <w:tcW w:w="5634" w:type="dxa"/>
            <w:tcBorders>
              <w:top w:val="nil"/>
              <w:bottom w:val="nil"/>
            </w:tcBorders>
            <w:shd w:val="clear" w:color="auto" w:fill="auto"/>
          </w:tcPr>
          <w:p w:rsidR="00364774" w:rsidRPr="00D32037" w:rsidRDefault="00364774" w:rsidP="00364774">
            <w:pPr>
              <w:spacing w:after="120"/>
              <w:ind w:right="115"/>
            </w:pPr>
            <w:r>
              <w:t>вирус иммунодефицита человека</w:t>
            </w:r>
          </w:p>
        </w:tc>
      </w:tr>
      <w:tr w:rsidR="00364774" w:rsidRPr="00364774" w:rsidTr="00364774">
        <w:tc>
          <w:tcPr>
            <w:tcW w:w="1883" w:type="dxa"/>
            <w:shd w:val="clear" w:color="auto" w:fill="auto"/>
          </w:tcPr>
          <w:p w:rsidR="00364774" w:rsidRPr="00783A23" w:rsidRDefault="00364774" w:rsidP="00364774">
            <w:pPr>
              <w:spacing w:after="120"/>
              <w:ind w:right="115"/>
            </w:pPr>
            <w:r>
              <w:t>ВСДРК</w:t>
            </w:r>
          </w:p>
        </w:tc>
        <w:tc>
          <w:tcPr>
            <w:tcW w:w="5634" w:type="dxa"/>
            <w:shd w:val="clear" w:color="auto" w:fill="auto"/>
          </w:tcPr>
          <w:p w:rsidR="00364774" w:rsidRPr="00364774" w:rsidRDefault="00364774" w:rsidP="00364774">
            <w:pPr>
              <w:spacing w:after="120"/>
              <w:ind w:right="115"/>
            </w:pPr>
            <w:r>
              <w:t>Вооруженные</w:t>
            </w:r>
            <w:r w:rsidRPr="00364774">
              <w:t xml:space="preserve"> </w:t>
            </w:r>
            <w:r>
              <w:t>силы</w:t>
            </w:r>
            <w:r w:rsidRPr="00364774">
              <w:t xml:space="preserve"> </w:t>
            </w:r>
            <w:r>
              <w:t>Демократической</w:t>
            </w:r>
            <w:r w:rsidRPr="00364774">
              <w:t xml:space="preserve"> </w:t>
            </w:r>
            <w:r>
              <w:t>Республики</w:t>
            </w:r>
            <w:r w:rsidRPr="00364774">
              <w:t xml:space="preserve"> </w:t>
            </w:r>
            <w:r>
              <w:t>Конго</w:t>
            </w:r>
            <w:r w:rsidRPr="00364774">
              <w:t xml:space="preserve"> </w:t>
            </w:r>
          </w:p>
        </w:tc>
      </w:tr>
      <w:tr w:rsidR="00364774" w:rsidRPr="00364774" w:rsidTr="00364774">
        <w:tc>
          <w:tcPr>
            <w:tcW w:w="1883" w:type="dxa"/>
            <w:shd w:val="clear" w:color="auto" w:fill="auto"/>
          </w:tcPr>
          <w:p w:rsidR="00364774" w:rsidRPr="00144887" w:rsidRDefault="00364774" w:rsidP="00364774">
            <w:pPr>
              <w:spacing w:after="120"/>
              <w:ind w:right="115"/>
            </w:pPr>
            <w:r>
              <w:rPr>
                <w:shd w:val="clear" w:color="auto" w:fill="FFFFFF"/>
              </w:rPr>
              <w:t>ДСРСН</w:t>
            </w:r>
          </w:p>
        </w:tc>
        <w:tc>
          <w:tcPr>
            <w:tcW w:w="5634" w:type="dxa"/>
            <w:shd w:val="clear" w:color="auto" w:fill="auto"/>
          </w:tcPr>
          <w:p w:rsidR="00364774" w:rsidRPr="00364774" w:rsidRDefault="00364774" w:rsidP="00364774">
            <w:pPr>
              <w:spacing w:after="120"/>
              <w:ind w:right="11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Документ</w:t>
            </w:r>
            <w:r w:rsidRPr="00364774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</w:t>
            </w:r>
            <w:r w:rsidRPr="00364774">
              <w:rPr>
                <w:shd w:val="clear" w:color="auto" w:fill="FFFFFF"/>
              </w:rPr>
              <w:t xml:space="preserve"> стратеги</w:t>
            </w:r>
            <w:r>
              <w:rPr>
                <w:shd w:val="clear" w:color="auto" w:fill="FFFFFF"/>
              </w:rPr>
              <w:t>и</w:t>
            </w:r>
            <w:r w:rsidRPr="00364774">
              <w:rPr>
                <w:shd w:val="clear" w:color="auto" w:fill="FFFFFF"/>
              </w:rPr>
              <w:t xml:space="preserve"> роста и сокращения </w:t>
            </w:r>
            <w:r>
              <w:rPr>
                <w:shd w:val="clear" w:color="auto" w:fill="FFFFFF"/>
              </w:rPr>
              <w:t>масштабов</w:t>
            </w:r>
            <w:r w:rsidRPr="00364774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нищеты</w:t>
            </w:r>
            <w:r w:rsidRPr="00364774">
              <w:rPr>
                <w:shd w:val="clear" w:color="auto" w:fill="FFFFFF"/>
              </w:rPr>
              <w:t xml:space="preserve"> </w:t>
            </w:r>
          </w:p>
        </w:tc>
      </w:tr>
      <w:tr w:rsidR="00364774" w:rsidRPr="00912D5B" w:rsidTr="00364774">
        <w:tc>
          <w:tcPr>
            <w:tcW w:w="1883" w:type="dxa"/>
            <w:shd w:val="clear" w:color="auto" w:fill="auto"/>
          </w:tcPr>
          <w:p w:rsidR="00364774" w:rsidRPr="00912D5B" w:rsidRDefault="00364774" w:rsidP="00364774">
            <w:pPr>
              <w:spacing w:after="120"/>
              <w:ind w:right="115"/>
            </w:pPr>
            <w:r>
              <w:t>ИООЮА</w:t>
            </w:r>
          </w:p>
        </w:tc>
        <w:tc>
          <w:tcPr>
            <w:tcW w:w="5634" w:type="dxa"/>
            <w:shd w:val="clear" w:color="auto" w:fill="auto"/>
          </w:tcPr>
          <w:p w:rsidR="00364774" w:rsidRPr="00912D5B" w:rsidRDefault="00364774" w:rsidP="00364774">
            <w:pPr>
              <w:spacing w:after="120"/>
              <w:ind w:right="115"/>
            </w:pPr>
            <w:r w:rsidRPr="00912D5B">
              <w:t>Инициатив</w:t>
            </w:r>
            <w:r>
              <w:t>а</w:t>
            </w:r>
            <w:r w:rsidRPr="00912D5B">
              <w:t xml:space="preserve"> за открытое общество на юге Африки</w:t>
            </w:r>
          </w:p>
        </w:tc>
      </w:tr>
      <w:tr w:rsidR="00364774" w:rsidRPr="00AA7F15" w:rsidTr="00364774">
        <w:tc>
          <w:tcPr>
            <w:tcW w:w="1883" w:type="dxa"/>
            <w:shd w:val="clear" w:color="auto" w:fill="auto"/>
          </w:tcPr>
          <w:p w:rsidR="00364774" w:rsidRPr="00100CCA" w:rsidRDefault="00364774" w:rsidP="00364774">
            <w:pPr>
              <w:spacing w:after="120"/>
              <w:ind w:right="115"/>
            </w:pPr>
            <w:r>
              <w:t>МКПЧ</w:t>
            </w:r>
          </w:p>
        </w:tc>
        <w:tc>
          <w:tcPr>
            <w:tcW w:w="5634" w:type="dxa"/>
            <w:shd w:val="clear" w:color="auto" w:fill="auto"/>
          </w:tcPr>
          <w:p w:rsidR="00364774" w:rsidRPr="00AA7F15" w:rsidRDefault="00364774" w:rsidP="00364774">
            <w:pPr>
              <w:spacing w:after="120"/>
              <w:ind w:right="115"/>
            </w:pPr>
            <w:r>
              <w:t>Межведомственный</w:t>
            </w:r>
            <w:r w:rsidRPr="00AA7F15">
              <w:t xml:space="preserve"> </w:t>
            </w:r>
            <w:r>
              <w:t>технический</w:t>
            </w:r>
            <w:r w:rsidRPr="00AA7F15">
              <w:t xml:space="preserve"> </w:t>
            </w:r>
            <w:r>
              <w:t>комитет</w:t>
            </w:r>
            <w:r w:rsidRPr="00AA7F15">
              <w:t xml:space="preserve"> </w:t>
            </w:r>
            <w:r>
              <w:t>по</w:t>
            </w:r>
            <w:r w:rsidRPr="00AA7F15">
              <w:t xml:space="preserve"> </w:t>
            </w:r>
            <w:r>
              <w:t>разработке</w:t>
            </w:r>
            <w:r w:rsidRPr="00AA7F15">
              <w:t xml:space="preserve"> </w:t>
            </w:r>
            <w:r>
              <w:t>и</w:t>
            </w:r>
            <w:r w:rsidRPr="00AA7F15">
              <w:t xml:space="preserve"> </w:t>
            </w:r>
            <w:r>
              <w:t>контролю</w:t>
            </w:r>
            <w:r w:rsidRPr="00AA7F15">
              <w:t xml:space="preserve"> </w:t>
            </w:r>
            <w:r>
              <w:t>за</w:t>
            </w:r>
            <w:r w:rsidRPr="00AA7F15">
              <w:t xml:space="preserve"> </w:t>
            </w:r>
            <w:r>
              <w:t>выполнением</w:t>
            </w:r>
            <w:r w:rsidRPr="00AA7F15">
              <w:t xml:space="preserve"> </w:t>
            </w:r>
            <w:r>
              <w:t>первоначальных</w:t>
            </w:r>
            <w:r w:rsidRPr="00AA7F15">
              <w:t xml:space="preserve"> </w:t>
            </w:r>
            <w:r>
              <w:t>и</w:t>
            </w:r>
            <w:r w:rsidRPr="00AA7F15">
              <w:t xml:space="preserve"> </w:t>
            </w:r>
            <w:r>
              <w:t>периодических</w:t>
            </w:r>
            <w:r w:rsidRPr="00AA7F15">
              <w:t xml:space="preserve"> </w:t>
            </w:r>
            <w:r>
              <w:t>докладов</w:t>
            </w:r>
            <w:r w:rsidRPr="00AA7F15">
              <w:t xml:space="preserve"> </w:t>
            </w:r>
            <w:r>
              <w:t>о</w:t>
            </w:r>
            <w:r w:rsidRPr="00AA7F15">
              <w:t xml:space="preserve"> </w:t>
            </w:r>
            <w:r>
              <w:t>правах</w:t>
            </w:r>
            <w:r w:rsidRPr="00AA7F15">
              <w:t xml:space="preserve"> </w:t>
            </w:r>
            <w:r>
              <w:t>человека</w:t>
            </w:r>
          </w:p>
        </w:tc>
      </w:tr>
      <w:tr w:rsidR="00364774" w:rsidRPr="00356C18" w:rsidTr="00364774">
        <w:tc>
          <w:tcPr>
            <w:tcW w:w="1883" w:type="dxa"/>
            <w:shd w:val="clear" w:color="auto" w:fill="auto"/>
          </w:tcPr>
          <w:p w:rsidR="00364774" w:rsidRPr="00850D17" w:rsidRDefault="00364774" w:rsidP="00364774">
            <w:pPr>
              <w:spacing w:after="120"/>
              <w:ind w:right="115"/>
              <w:rPr>
                <w:lang w:val="fr-CH"/>
              </w:rPr>
            </w:pPr>
            <w:r w:rsidRPr="00356C18">
              <w:rPr>
                <w:lang w:val="fr-CH"/>
              </w:rPr>
              <w:t>МООНСДРК</w:t>
            </w:r>
          </w:p>
        </w:tc>
        <w:tc>
          <w:tcPr>
            <w:tcW w:w="5634" w:type="dxa"/>
            <w:shd w:val="clear" w:color="auto" w:fill="auto"/>
          </w:tcPr>
          <w:p w:rsidR="00364774" w:rsidRPr="00356C18" w:rsidRDefault="00364774" w:rsidP="00364774">
            <w:pPr>
              <w:spacing w:after="120"/>
              <w:ind w:right="115"/>
            </w:pPr>
            <w:r w:rsidRPr="00356C18">
              <w:t>Мисси</w:t>
            </w:r>
            <w:r>
              <w:t>я</w:t>
            </w:r>
            <w:r w:rsidRPr="00356C18">
              <w:t xml:space="preserve"> Организации Объединенных Наций по стабилизации в Демократической Республике Конго</w:t>
            </w:r>
          </w:p>
        </w:tc>
      </w:tr>
      <w:tr w:rsidR="00364774" w:rsidRPr="001869E7" w:rsidTr="00364774">
        <w:tc>
          <w:tcPr>
            <w:tcW w:w="1883" w:type="dxa"/>
            <w:shd w:val="clear" w:color="auto" w:fill="auto"/>
          </w:tcPr>
          <w:p w:rsidR="00364774" w:rsidRPr="001869E7" w:rsidRDefault="00364774" w:rsidP="00364774">
            <w:pPr>
              <w:spacing w:after="120"/>
              <w:ind w:right="115"/>
            </w:pPr>
            <w:r>
              <w:t>НКПЧ</w:t>
            </w:r>
          </w:p>
        </w:tc>
        <w:tc>
          <w:tcPr>
            <w:tcW w:w="5634" w:type="dxa"/>
            <w:shd w:val="clear" w:color="auto" w:fill="auto"/>
          </w:tcPr>
          <w:p w:rsidR="00364774" w:rsidRPr="001869E7" w:rsidRDefault="00364774" w:rsidP="00364774">
            <w:pPr>
              <w:spacing w:after="120"/>
              <w:ind w:right="115"/>
            </w:pPr>
            <w:r>
              <w:t>Национальная комиссия по правам человека</w:t>
            </w:r>
          </w:p>
        </w:tc>
      </w:tr>
      <w:tr w:rsidR="00364774" w:rsidRPr="00850D17" w:rsidTr="00364774">
        <w:tc>
          <w:tcPr>
            <w:tcW w:w="1883" w:type="dxa"/>
            <w:shd w:val="clear" w:color="auto" w:fill="auto"/>
          </w:tcPr>
          <w:p w:rsidR="00364774" w:rsidRPr="00912D5B" w:rsidRDefault="00364774" w:rsidP="00364774">
            <w:pPr>
              <w:spacing w:after="120"/>
              <w:ind w:right="115"/>
            </w:pPr>
            <w:r>
              <w:t>НПК</w:t>
            </w:r>
          </w:p>
        </w:tc>
        <w:tc>
          <w:tcPr>
            <w:tcW w:w="5634" w:type="dxa"/>
            <w:shd w:val="clear" w:color="auto" w:fill="auto"/>
          </w:tcPr>
          <w:p w:rsidR="00364774" w:rsidRPr="00850D17" w:rsidRDefault="00364774" w:rsidP="00364774">
            <w:pPr>
              <w:spacing w:after="120"/>
              <w:ind w:right="115"/>
              <w:rPr>
                <w:lang w:val="fr-CH"/>
              </w:rPr>
            </w:pPr>
            <w:r>
              <w:t>национальная полиция Конго</w:t>
            </w:r>
            <w:r w:rsidRPr="00850D17">
              <w:rPr>
                <w:lang w:val="fr-CH"/>
              </w:rPr>
              <w:t xml:space="preserve"> </w:t>
            </w:r>
          </w:p>
        </w:tc>
      </w:tr>
      <w:tr w:rsidR="00364774" w:rsidRPr="00850D17" w:rsidTr="00364774">
        <w:tc>
          <w:tcPr>
            <w:tcW w:w="1883" w:type="dxa"/>
            <w:shd w:val="clear" w:color="auto" w:fill="auto"/>
          </w:tcPr>
          <w:p w:rsidR="00364774" w:rsidRPr="00356C18" w:rsidRDefault="00364774" w:rsidP="00364774">
            <w:pPr>
              <w:spacing w:after="120"/>
              <w:ind w:right="115"/>
            </w:pPr>
            <w:r>
              <w:rPr>
                <w:shd w:val="clear" w:color="auto" w:fill="FFFFFF"/>
              </w:rPr>
              <w:t>НПО</w:t>
            </w:r>
          </w:p>
        </w:tc>
        <w:tc>
          <w:tcPr>
            <w:tcW w:w="5634" w:type="dxa"/>
            <w:shd w:val="clear" w:color="auto" w:fill="auto"/>
          </w:tcPr>
          <w:p w:rsidR="00364774" w:rsidRPr="00356C18" w:rsidRDefault="00364774" w:rsidP="00364774">
            <w:pPr>
              <w:spacing w:after="120"/>
              <w:ind w:right="115"/>
            </w:pPr>
            <w:r>
              <w:t>неправительственная организация</w:t>
            </w:r>
          </w:p>
        </w:tc>
      </w:tr>
      <w:tr w:rsidR="00364774" w:rsidRPr="00850D17" w:rsidTr="00364774">
        <w:tc>
          <w:tcPr>
            <w:tcW w:w="1883" w:type="dxa"/>
            <w:shd w:val="clear" w:color="auto" w:fill="auto"/>
          </w:tcPr>
          <w:p w:rsidR="00364774" w:rsidRPr="00DD4CEC" w:rsidRDefault="00364774" w:rsidP="00364774">
            <w:pPr>
              <w:spacing w:after="120"/>
              <w:ind w:right="115"/>
            </w:pPr>
            <w:r>
              <w:t>НРС</w:t>
            </w:r>
          </w:p>
        </w:tc>
        <w:tc>
          <w:tcPr>
            <w:tcW w:w="5634" w:type="dxa"/>
            <w:shd w:val="clear" w:color="auto" w:fill="auto"/>
          </w:tcPr>
          <w:p w:rsidR="00364774" w:rsidRPr="001869E7" w:rsidRDefault="00364774" w:rsidP="00364774">
            <w:pPr>
              <w:spacing w:after="120"/>
              <w:ind w:right="115"/>
            </w:pPr>
            <w:r>
              <w:t>Национальная разведывательная служба</w:t>
            </w:r>
          </w:p>
        </w:tc>
      </w:tr>
      <w:tr w:rsidR="00364774" w:rsidRPr="00E02E82" w:rsidTr="00364774">
        <w:tc>
          <w:tcPr>
            <w:tcW w:w="1883" w:type="dxa"/>
            <w:shd w:val="clear" w:color="auto" w:fill="auto"/>
          </w:tcPr>
          <w:p w:rsidR="00364774" w:rsidRDefault="00364774" w:rsidP="00364774">
            <w:pPr>
              <w:spacing w:after="120"/>
              <w:ind w:right="115"/>
            </w:pPr>
            <w:r>
              <w:t>«ООН</w:t>
            </w:r>
            <w:r>
              <w:rPr>
                <w:lang w:val="fr-CH"/>
              </w:rPr>
              <w:t>-</w:t>
            </w:r>
            <w:r>
              <w:t>женщины»</w:t>
            </w:r>
          </w:p>
        </w:tc>
        <w:tc>
          <w:tcPr>
            <w:tcW w:w="5634" w:type="dxa"/>
            <w:shd w:val="clear" w:color="auto" w:fill="auto"/>
          </w:tcPr>
          <w:p w:rsidR="00364774" w:rsidRDefault="00364774" w:rsidP="00364774">
            <w:pPr>
              <w:spacing w:after="120"/>
              <w:ind w:right="115"/>
            </w:pPr>
            <w:r w:rsidRPr="00F85920">
              <w:t>Структур</w:t>
            </w:r>
            <w:r>
              <w:t>а</w:t>
            </w:r>
            <w:r w:rsidRPr="00F85920">
              <w:t xml:space="preserve"> Организации Объединенных Наций по вопросам гендерного равенства и расширения прав и возможностей женщин</w:t>
            </w:r>
          </w:p>
        </w:tc>
      </w:tr>
      <w:tr w:rsidR="00364774" w:rsidRPr="007550D9" w:rsidTr="00364774">
        <w:tc>
          <w:tcPr>
            <w:tcW w:w="1883" w:type="dxa"/>
            <w:shd w:val="clear" w:color="auto" w:fill="auto"/>
          </w:tcPr>
          <w:p w:rsidR="00364774" w:rsidRPr="007550D9" w:rsidRDefault="00364774" w:rsidP="00364774">
            <w:pPr>
              <w:spacing w:after="120"/>
              <w:ind w:right="115"/>
            </w:pPr>
            <w:r>
              <w:t>ПРООН</w:t>
            </w:r>
          </w:p>
        </w:tc>
        <w:tc>
          <w:tcPr>
            <w:tcW w:w="5634" w:type="dxa"/>
            <w:shd w:val="clear" w:color="auto" w:fill="auto"/>
          </w:tcPr>
          <w:p w:rsidR="00364774" w:rsidRPr="007550D9" w:rsidRDefault="00364774" w:rsidP="00364774">
            <w:pPr>
              <w:spacing w:after="120"/>
              <w:ind w:right="115"/>
            </w:pPr>
            <w:r>
              <w:t>Программа</w:t>
            </w:r>
            <w:r w:rsidRPr="007550D9">
              <w:t xml:space="preserve"> </w:t>
            </w:r>
            <w:r>
              <w:t>развития</w:t>
            </w:r>
            <w:r w:rsidRPr="007550D9">
              <w:t xml:space="preserve"> </w:t>
            </w:r>
            <w:r w:rsidRPr="007550D9">
              <w:rPr>
                <w:shd w:val="clear" w:color="auto" w:fill="FFFFFF"/>
              </w:rPr>
              <w:t>Организации Объединенных Наций</w:t>
            </w:r>
          </w:p>
        </w:tc>
      </w:tr>
      <w:tr w:rsidR="00364774" w:rsidRPr="00FE4FD3" w:rsidTr="00364774"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</w:tcPr>
          <w:p w:rsidR="00364774" w:rsidRPr="00FE4FD3" w:rsidRDefault="00364774" w:rsidP="00364774">
            <w:pPr>
              <w:spacing w:after="120"/>
              <w:ind w:right="115"/>
            </w:pPr>
            <w:r w:rsidRPr="00D81E0D">
              <w:t>СОПЧООН</w:t>
            </w:r>
          </w:p>
        </w:tc>
        <w:tc>
          <w:tcPr>
            <w:tcW w:w="5634" w:type="dxa"/>
            <w:tcBorders>
              <w:top w:val="nil"/>
              <w:bottom w:val="nil"/>
            </w:tcBorders>
            <w:shd w:val="clear" w:color="auto" w:fill="auto"/>
          </w:tcPr>
          <w:p w:rsidR="00364774" w:rsidRPr="00FE4FD3" w:rsidRDefault="00364774" w:rsidP="00364774">
            <w:pPr>
              <w:spacing w:after="120"/>
              <w:ind w:right="115"/>
            </w:pPr>
            <w:r>
              <w:t>Совместное отделение Организации Объединенных Наций по правам человека</w:t>
            </w:r>
          </w:p>
        </w:tc>
      </w:tr>
      <w:tr w:rsidR="00364774" w:rsidRPr="00850D17" w:rsidTr="00364774">
        <w:tc>
          <w:tcPr>
            <w:tcW w:w="1883" w:type="dxa"/>
            <w:shd w:val="clear" w:color="auto" w:fill="auto"/>
          </w:tcPr>
          <w:p w:rsidR="00364774" w:rsidRPr="007550D9" w:rsidRDefault="00364774" w:rsidP="00364774">
            <w:pPr>
              <w:spacing w:after="120"/>
              <w:ind w:right="115"/>
            </w:pPr>
            <w:r>
              <w:t>СПИД</w:t>
            </w:r>
          </w:p>
        </w:tc>
        <w:tc>
          <w:tcPr>
            <w:tcW w:w="5634" w:type="dxa"/>
            <w:shd w:val="clear" w:color="auto" w:fill="auto"/>
          </w:tcPr>
          <w:p w:rsidR="00364774" w:rsidRPr="00850D17" w:rsidRDefault="00364774" w:rsidP="00364774">
            <w:pPr>
              <w:spacing w:after="120"/>
              <w:ind w:right="115"/>
              <w:rPr>
                <w:lang w:val="fr-CH"/>
              </w:rPr>
            </w:pPr>
            <w:r>
              <w:rPr>
                <w:shd w:val="clear" w:color="auto" w:fill="FFFFFF"/>
              </w:rPr>
              <w:t>синдром приобретенного иммунодефицита</w:t>
            </w:r>
          </w:p>
        </w:tc>
      </w:tr>
      <w:tr w:rsidR="00364774" w:rsidRPr="00011DEE" w:rsidTr="00364774">
        <w:tc>
          <w:tcPr>
            <w:tcW w:w="1883" w:type="dxa"/>
            <w:shd w:val="clear" w:color="auto" w:fill="auto"/>
          </w:tcPr>
          <w:p w:rsidR="00364774" w:rsidRPr="00011DEE" w:rsidRDefault="00364774" w:rsidP="00364774">
            <w:pPr>
              <w:spacing w:after="120"/>
              <w:ind w:right="115"/>
            </w:pPr>
            <w:r>
              <w:t>УВКБ</w:t>
            </w:r>
          </w:p>
        </w:tc>
        <w:tc>
          <w:tcPr>
            <w:tcW w:w="5634" w:type="dxa"/>
            <w:shd w:val="clear" w:color="auto" w:fill="auto"/>
          </w:tcPr>
          <w:p w:rsidR="00364774" w:rsidRPr="00011DEE" w:rsidRDefault="00364774" w:rsidP="00364774">
            <w:pPr>
              <w:spacing w:after="120"/>
              <w:ind w:right="115"/>
            </w:pPr>
            <w:r>
              <w:rPr>
                <w:shd w:val="clear" w:color="auto" w:fill="FFFFFF"/>
              </w:rPr>
              <w:t>Управление Верховного комиссара Организации Объединенных Наций по делам беженцев</w:t>
            </w:r>
          </w:p>
        </w:tc>
      </w:tr>
      <w:tr w:rsidR="00364774" w:rsidRPr="00011DEE" w:rsidTr="00364774">
        <w:tc>
          <w:tcPr>
            <w:tcW w:w="1883" w:type="dxa"/>
            <w:shd w:val="clear" w:color="auto" w:fill="auto"/>
          </w:tcPr>
          <w:p w:rsidR="00364774" w:rsidRPr="00011DEE" w:rsidRDefault="00364774" w:rsidP="00364774">
            <w:pPr>
              <w:spacing w:after="120"/>
              <w:ind w:right="115"/>
            </w:pPr>
            <w:r>
              <w:rPr>
                <w:shd w:val="clear" w:color="auto" w:fill="FFFFFF"/>
              </w:rPr>
              <w:t>УВКПЧ</w:t>
            </w:r>
          </w:p>
        </w:tc>
        <w:tc>
          <w:tcPr>
            <w:tcW w:w="5634" w:type="dxa"/>
            <w:shd w:val="clear" w:color="auto" w:fill="auto"/>
          </w:tcPr>
          <w:p w:rsidR="00364774" w:rsidRPr="00011DEE" w:rsidRDefault="00364774" w:rsidP="00364774">
            <w:pPr>
              <w:spacing w:after="120"/>
              <w:ind w:right="115"/>
            </w:pPr>
            <w:r>
              <w:rPr>
                <w:shd w:val="clear" w:color="auto" w:fill="FFFFFF"/>
              </w:rPr>
              <w:t xml:space="preserve">Управление Верховного комиссара Организации Объединенных Наций по правам человека </w:t>
            </w:r>
          </w:p>
        </w:tc>
      </w:tr>
      <w:tr w:rsidR="00364774" w:rsidRPr="00356C18" w:rsidTr="00364774">
        <w:tc>
          <w:tcPr>
            <w:tcW w:w="1883" w:type="dxa"/>
            <w:shd w:val="clear" w:color="auto" w:fill="auto"/>
          </w:tcPr>
          <w:p w:rsidR="00364774" w:rsidRPr="00850D17" w:rsidRDefault="00364774" w:rsidP="00364774">
            <w:pPr>
              <w:spacing w:after="120"/>
              <w:ind w:right="115"/>
              <w:rPr>
                <w:lang w:val="fr-CH"/>
              </w:rPr>
            </w:pPr>
            <w:r w:rsidRPr="00356C18">
              <w:rPr>
                <w:lang w:val="fr-CH"/>
              </w:rPr>
              <w:t>УКГВ</w:t>
            </w:r>
          </w:p>
        </w:tc>
        <w:tc>
          <w:tcPr>
            <w:tcW w:w="5634" w:type="dxa"/>
            <w:shd w:val="clear" w:color="auto" w:fill="auto"/>
          </w:tcPr>
          <w:p w:rsidR="00364774" w:rsidRPr="00356C18" w:rsidRDefault="00364774" w:rsidP="00364774">
            <w:pPr>
              <w:spacing w:after="120"/>
              <w:ind w:right="115"/>
            </w:pPr>
            <w:r w:rsidRPr="00356C18">
              <w:rPr>
                <w:shd w:val="clear" w:color="auto" w:fill="FFFFFF"/>
              </w:rPr>
              <w:t>Управление по координации гуманитарных вопросов</w:t>
            </w:r>
          </w:p>
        </w:tc>
      </w:tr>
      <w:tr w:rsidR="00364774" w:rsidRPr="00850D17" w:rsidTr="00364774">
        <w:tc>
          <w:tcPr>
            <w:tcW w:w="1883" w:type="dxa"/>
            <w:shd w:val="clear" w:color="auto" w:fill="auto"/>
          </w:tcPr>
          <w:p w:rsidR="00364774" w:rsidRPr="00FE4FD3" w:rsidRDefault="00364774" w:rsidP="00364774">
            <w:pPr>
              <w:spacing w:after="120"/>
              <w:ind w:right="115"/>
            </w:pPr>
            <w:r>
              <w:t>УПО</w:t>
            </w:r>
          </w:p>
        </w:tc>
        <w:tc>
          <w:tcPr>
            <w:tcW w:w="5634" w:type="dxa"/>
            <w:shd w:val="clear" w:color="auto" w:fill="auto"/>
          </w:tcPr>
          <w:p w:rsidR="00364774" w:rsidRPr="00850D17" w:rsidRDefault="00364774" w:rsidP="00364774">
            <w:pPr>
              <w:spacing w:after="120"/>
              <w:ind w:right="115"/>
              <w:rPr>
                <w:lang w:val="fr-CH"/>
              </w:rPr>
            </w:pPr>
            <w:r>
              <w:t>универсальный периодический обзор</w:t>
            </w:r>
            <w:r w:rsidRPr="00850D17">
              <w:rPr>
                <w:lang w:val="fr-CH"/>
              </w:rPr>
              <w:t xml:space="preserve"> </w:t>
            </w:r>
          </w:p>
        </w:tc>
      </w:tr>
      <w:tr w:rsidR="00364774" w:rsidRPr="007550D9" w:rsidTr="00364774">
        <w:tc>
          <w:tcPr>
            <w:tcW w:w="1883" w:type="dxa"/>
            <w:shd w:val="clear" w:color="auto" w:fill="auto"/>
          </w:tcPr>
          <w:p w:rsidR="00364774" w:rsidRPr="00850D17" w:rsidRDefault="00364774" w:rsidP="00364774">
            <w:pPr>
              <w:spacing w:after="120"/>
              <w:ind w:right="115"/>
              <w:rPr>
                <w:lang w:val="fr-CH"/>
              </w:rPr>
            </w:pPr>
            <w:r w:rsidRPr="007550D9">
              <w:rPr>
                <w:shd w:val="clear" w:color="auto" w:fill="FFFFFF"/>
                <w:lang w:val="fr-CH"/>
              </w:rPr>
              <w:t>ЮНДАФ</w:t>
            </w:r>
          </w:p>
        </w:tc>
        <w:tc>
          <w:tcPr>
            <w:tcW w:w="5634" w:type="dxa"/>
            <w:shd w:val="clear" w:color="auto" w:fill="auto"/>
          </w:tcPr>
          <w:p w:rsidR="00364774" w:rsidRPr="007550D9" w:rsidRDefault="00364774" w:rsidP="00364774">
            <w:pPr>
              <w:spacing w:after="120"/>
              <w:ind w:right="115"/>
            </w:pPr>
            <w:r w:rsidRPr="007550D9">
              <w:rPr>
                <w:shd w:val="clear" w:color="auto" w:fill="FFFFFF"/>
              </w:rPr>
              <w:t>Рамочн</w:t>
            </w:r>
            <w:r>
              <w:rPr>
                <w:shd w:val="clear" w:color="auto" w:fill="FFFFFF"/>
              </w:rPr>
              <w:t>ый</w:t>
            </w:r>
            <w:r w:rsidRPr="007550D9">
              <w:rPr>
                <w:shd w:val="clear" w:color="auto" w:fill="FFFFFF"/>
              </w:rPr>
              <w:t xml:space="preserve"> механизм оказания содействия развитию Организации Объединенных Наций</w:t>
            </w:r>
          </w:p>
        </w:tc>
      </w:tr>
      <w:tr w:rsidR="00364774" w:rsidRPr="007550D9" w:rsidTr="00364774">
        <w:tc>
          <w:tcPr>
            <w:tcW w:w="1883" w:type="dxa"/>
            <w:tcBorders>
              <w:bottom w:val="nil"/>
            </w:tcBorders>
            <w:shd w:val="clear" w:color="auto" w:fill="auto"/>
          </w:tcPr>
          <w:p w:rsidR="00364774" w:rsidRPr="007550D9" w:rsidRDefault="00364774" w:rsidP="00364774">
            <w:pPr>
              <w:spacing w:after="120"/>
              <w:ind w:right="115"/>
            </w:pPr>
            <w:r>
              <w:t>ЮНИСЕФ</w:t>
            </w:r>
          </w:p>
        </w:tc>
        <w:tc>
          <w:tcPr>
            <w:tcW w:w="5634" w:type="dxa"/>
            <w:tcBorders>
              <w:bottom w:val="nil"/>
            </w:tcBorders>
            <w:shd w:val="clear" w:color="auto" w:fill="auto"/>
          </w:tcPr>
          <w:p w:rsidR="00364774" w:rsidRPr="00D32037" w:rsidRDefault="00364774" w:rsidP="00364774">
            <w:pPr>
              <w:spacing w:after="120"/>
              <w:ind w:right="115"/>
            </w:pPr>
            <w:r>
              <w:t xml:space="preserve">Детский фонд </w:t>
            </w:r>
            <w:r w:rsidRPr="007550D9">
              <w:rPr>
                <w:shd w:val="clear" w:color="auto" w:fill="FFFFFF"/>
              </w:rPr>
              <w:t>Организации Объединенных Наций</w:t>
            </w:r>
          </w:p>
        </w:tc>
      </w:tr>
      <w:tr w:rsidR="00364774" w:rsidRPr="00783A23" w:rsidTr="00364774"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</w:tcPr>
          <w:p w:rsidR="00364774" w:rsidRPr="00783A23" w:rsidRDefault="00364774" w:rsidP="00364774">
            <w:pPr>
              <w:spacing w:after="120"/>
              <w:ind w:right="115"/>
              <w:rPr>
                <w:shd w:val="clear" w:color="auto" w:fill="FFFFFF"/>
              </w:rPr>
            </w:pPr>
            <w:r>
              <w:t>ЮНФПА</w:t>
            </w:r>
          </w:p>
        </w:tc>
        <w:tc>
          <w:tcPr>
            <w:tcW w:w="5634" w:type="dxa"/>
            <w:tcBorders>
              <w:top w:val="nil"/>
              <w:bottom w:val="nil"/>
            </w:tcBorders>
            <w:shd w:val="clear" w:color="auto" w:fill="auto"/>
          </w:tcPr>
          <w:p w:rsidR="00364774" w:rsidRPr="00783A23" w:rsidRDefault="00364774" w:rsidP="00364774">
            <w:pPr>
              <w:spacing w:after="120"/>
              <w:ind w:right="115"/>
              <w:rPr>
                <w:shd w:val="clear" w:color="auto" w:fill="FFFFFF"/>
              </w:rPr>
            </w:pPr>
            <w:r w:rsidRPr="00783A23">
              <w:t>Фонд Организации Объединенных Наций в области народонаселения</w:t>
            </w:r>
          </w:p>
        </w:tc>
      </w:tr>
    </w:tbl>
    <w:p w:rsidR="00364774" w:rsidRDefault="00364774" w:rsidP="00F5129E"/>
    <w:p w:rsidR="004E190C" w:rsidRDefault="00364774" w:rsidP="004E190C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 w:rsidR="004E190C">
        <w:tab/>
        <w:t>I.</w:t>
      </w:r>
      <w:r w:rsidR="004E190C">
        <w:tab/>
        <w:t>Введение</w:t>
      </w:r>
    </w:p>
    <w:p w:rsidR="004E190C" w:rsidRPr="004E190C" w:rsidRDefault="004E190C" w:rsidP="004E190C">
      <w:pPr>
        <w:pStyle w:val="SingleTxt"/>
        <w:spacing w:after="0" w:line="120" w:lineRule="exact"/>
        <w:rPr>
          <w:sz w:val="10"/>
        </w:rPr>
      </w:pPr>
    </w:p>
    <w:p w:rsidR="004E190C" w:rsidRPr="004E190C" w:rsidRDefault="004E190C" w:rsidP="004E190C">
      <w:pPr>
        <w:pStyle w:val="SingleTxt"/>
        <w:spacing w:after="0" w:line="120" w:lineRule="exact"/>
        <w:rPr>
          <w:sz w:val="10"/>
        </w:rPr>
      </w:pPr>
    </w:p>
    <w:p w:rsidR="004E190C" w:rsidRDefault="004E190C" w:rsidP="004E190C">
      <w:pPr>
        <w:pStyle w:val="SingleTxt"/>
      </w:pPr>
      <w:r>
        <w:t>1.</w:t>
      </w:r>
      <w:r>
        <w:tab/>
        <w:t xml:space="preserve">Совет по правам человека в своей резолюции 27/27 от 26 сентября 2014 года просил Управление Верховного комиссара по правам человека (УВКПЧ) обеспечить проведение исследования по вопросу о влиянии технической помощи и усиления потенциала на положение в области прав человека в Демократической Республике Конго. </w:t>
      </w:r>
    </w:p>
    <w:p w:rsidR="004E190C" w:rsidRDefault="004E190C" w:rsidP="00F9737F">
      <w:pPr>
        <w:pStyle w:val="SingleTxt"/>
        <w:spacing w:line="230" w:lineRule="exact"/>
      </w:pPr>
      <w:r>
        <w:t>2.</w:t>
      </w:r>
      <w:r>
        <w:tab/>
        <w:t>В настоящем исследовании, основанном на обзоре деятельности Организации Объединенных Наций и неправительственных организаций (НПО) в сфере поощрения и защиты прав человека, оценивается прогресс, достигнутый в результате проведенных мероприятий, а также его пределы в отношении положения в области прав человека в Демократической Республике Конго. Оно охваты</w:t>
      </w:r>
      <w:r w:rsidR="002B2196">
        <w:t>вает период с 2008 по 2014 год</w:t>
      </w:r>
      <w:r>
        <w:t>, поскольку начало 2008 года было ознаменовано началом осуществления первого Рамочного механизма оказания содействия развитию Организации Объединенных Наций (ЮНДАФ) в целях выхода из кризиса после президентских выборов 2006 года.</w:t>
      </w:r>
    </w:p>
    <w:p w:rsidR="004E190C" w:rsidRDefault="004E190C" w:rsidP="00F9737F">
      <w:pPr>
        <w:pStyle w:val="SingleTxt"/>
        <w:spacing w:line="230" w:lineRule="exact"/>
      </w:pPr>
      <w:r>
        <w:t>3.</w:t>
      </w:r>
      <w:r>
        <w:tab/>
        <w:t>Целью исследования является оценка следующих элементов:</w:t>
      </w:r>
    </w:p>
    <w:p w:rsidR="004E190C" w:rsidRDefault="004E190C" w:rsidP="00F9737F">
      <w:pPr>
        <w:pStyle w:val="Bullet1"/>
        <w:spacing w:line="230" w:lineRule="exact"/>
      </w:pPr>
      <w:r>
        <w:t>актуальность деятельности международного сообщества в области прав человека;</w:t>
      </w:r>
    </w:p>
    <w:p w:rsidR="004E190C" w:rsidRDefault="004E190C" w:rsidP="00F9737F">
      <w:pPr>
        <w:pStyle w:val="Bullet1"/>
        <w:spacing w:line="230" w:lineRule="exact"/>
      </w:pPr>
      <w:r>
        <w:t>эффективность мероприятий в плане результатов;</w:t>
      </w:r>
    </w:p>
    <w:p w:rsidR="004E190C" w:rsidRDefault="004E190C" w:rsidP="00F9737F">
      <w:pPr>
        <w:pStyle w:val="Bullet1"/>
        <w:spacing w:line="230" w:lineRule="exact"/>
      </w:pPr>
      <w:r>
        <w:t>влияние технической помощи на осуществление прав человека;</w:t>
      </w:r>
    </w:p>
    <w:p w:rsidR="004E190C" w:rsidRDefault="004E190C" w:rsidP="00F9737F">
      <w:pPr>
        <w:pStyle w:val="Bullet1"/>
        <w:spacing w:line="230" w:lineRule="exact"/>
      </w:pPr>
      <w:r>
        <w:t>общесистемный учет гендерного аспекта.</w:t>
      </w:r>
    </w:p>
    <w:p w:rsidR="004E190C" w:rsidRPr="004E190C" w:rsidRDefault="004E190C" w:rsidP="004E190C">
      <w:pPr>
        <w:pStyle w:val="SingleTxt"/>
        <w:spacing w:after="0" w:line="120" w:lineRule="exact"/>
        <w:rPr>
          <w:sz w:val="10"/>
        </w:rPr>
      </w:pPr>
    </w:p>
    <w:p w:rsidR="004E190C" w:rsidRPr="004E190C" w:rsidRDefault="004E190C" w:rsidP="004E190C">
      <w:pPr>
        <w:pStyle w:val="SingleTxt"/>
        <w:spacing w:after="0" w:line="120" w:lineRule="exact"/>
        <w:rPr>
          <w:sz w:val="10"/>
        </w:rPr>
      </w:pPr>
    </w:p>
    <w:p w:rsidR="004E190C" w:rsidRDefault="004E190C" w:rsidP="004E190C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II.</w:t>
      </w:r>
      <w:r>
        <w:tab/>
        <w:t>Сфера охвата исследования</w:t>
      </w:r>
    </w:p>
    <w:p w:rsidR="004E190C" w:rsidRPr="004E190C" w:rsidRDefault="004E190C" w:rsidP="004E190C">
      <w:pPr>
        <w:pStyle w:val="SingleTxt"/>
        <w:spacing w:after="0" w:line="120" w:lineRule="exact"/>
        <w:rPr>
          <w:sz w:val="10"/>
        </w:rPr>
      </w:pPr>
    </w:p>
    <w:p w:rsidR="004E190C" w:rsidRPr="004E190C" w:rsidRDefault="004E190C" w:rsidP="004E190C">
      <w:pPr>
        <w:pStyle w:val="SingleTxt"/>
        <w:spacing w:after="0" w:line="120" w:lineRule="exact"/>
        <w:rPr>
          <w:sz w:val="10"/>
        </w:rPr>
      </w:pPr>
    </w:p>
    <w:p w:rsidR="004E190C" w:rsidRDefault="004E190C" w:rsidP="00F9737F">
      <w:pPr>
        <w:pStyle w:val="SingleTxt"/>
        <w:spacing w:line="230" w:lineRule="exact"/>
      </w:pPr>
      <w:r>
        <w:t>4.</w:t>
      </w:r>
      <w:r>
        <w:tab/>
        <w:t>В исследовании рассматриваются цикл ЮНДАФ 2008–2012 годов и полови</w:t>
      </w:r>
      <w:r w:rsidR="002B2196">
        <w:t>на его цикла 2013–</w:t>
      </w:r>
      <w:r>
        <w:t xml:space="preserve">2017 годов, а также страновые программы различных специализированных учреждений Организации Объединенных Наций и международных НПО. </w:t>
      </w:r>
    </w:p>
    <w:p w:rsidR="004E190C" w:rsidRDefault="004E190C" w:rsidP="00F9737F">
      <w:pPr>
        <w:pStyle w:val="SingleTxt"/>
        <w:spacing w:line="230" w:lineRule="exact"/>
      </w:pPr>
      <w:r>
        <w:t>5.</w:t>
      </w:r>
      <w:r>
        <w:tab/>
        <w:t>Следует отметить, что ЮНДАФ соответств</w:t>
      </w:r>
      <w:r w:rsidR="00F9737F">
        <w:t>ует приоритетам правительства в </w:t>
      </w:r>
      <w:r>
        <w:t xml:space="preserve">областях управления и прав человека, закрепленным в Документе о стратегии роста и сокращения масштабов нищеты (ДСРСН). </w:t>
      </w:r>
    </w:p>
    <w:p w:rsidR="004E190C" w:rsidRDefault="004E190C" w:rsidP="00F9737F">
      <w:pPr>
        <w:pStyle w:val="SingleTxt"/>
        <w:spacing w:line="230" w:lineRule="exact"/>
      </w:pPr>
      <w:r>
        <w:t>6.</w:t>
      </w:r>
      <w:r>
        <w:tab/>
        <w:t>В число приоритетов правительства в обла</w:t>
      </w:r>
      <w:r w:rsidR="00F9737F">
        <w:t>сти прав человека, изложенных в </w:t>
      </w:r>
      <w:r>
        <w:t>ДСРСН 2006 года и 2011–2015 годов, входит следующее: совершенствование правовой базы и доступа к правосудию; учебная подготовка судей и вспомогательного персонала судебной системы и строительство национальной школы магистратов; учреждение Механизма связи по правам человека; популяризация конвенций по правам человека; улучшение условий содержания в заключении; усиление защиты уязвимых групп и более эффективное управление природными ресурсами и их более рациональное использование.</w:t>
      </w:r>
    </w:p>
    <w:p w:rsidR="004E190C" w:rsidRDefault="004E190C" w:rsidP="00F9737F">
      <w:pPr>
        <w:pStyle w:val="SingleTxt"/>
        <w:spacing w:line="230" w:lineRule="exact"/>
      </w:pPr>
      <w:r>
        <w:t>7.</w:t>
      </w:r>
      <w:r>
        <w:tab/>
        <w:t xml:space="preserve">Программные документы определенных </w:t>
      </w:r>
      <w:r w:rsidR="00F9737F">
        <w:t>субъектов и интервью с ними и с </w:t>
      </w:r>
      <w:r>
        <w:t>национальными властями позволяют выявить четыре главных области, по которым распределяются основные мероприятия в области прав человека в Демократической Республике Конго:</w:t>
      </w:r>
    </w:p>
    <w:p w:rsidR="004E190C" w:rsidRDefault="004E190C" w:rsidP="00F9737F">
      <w:pPr>
        <w:pStyle w:val="Bullet1"/>
        <w:spacing w:line="230" w:lineRule="exact"/>
      </w:pPr>
      <w:r>
        <w:t xml:space="preserve">поддержка отправления правосудия в борьбе с безнаказанностью; </w:t>
      </w:r>
    </w:p>
    <w:p w:rsidR="004E190C" w:rsidRDefault="004E190C" w:rsidP="00F9737F">
      <w:pPr>
        <w:pStyle w:val="Bullet1"/>
        <w:spacing w:line="230" w:lineRule="exact"/>
      </w:pPr>
      <w:r>
        <w:t xml:space="preserve">укрепление национальной системы защиты прав человека и сотрудничество с международными правозащитными механизмами; </w:t>
      </w:r>
    </w:p>
    <w:p w:rsidR="004E190C" w:rsidRDefault="004E190C" w:rsidP="00F9737F">
      <w:pPr>
        <w:pStyle w:val="Bullet1"/>
        <w:spacing w:line="230" w:lineRule="exact"/>
      </w:pPr>
      <w:r>
        <w:t>защита гражданского населения в условиях вооруженного конфликта;</w:t>
      </w:r>
    </w:p>
    <w:p w:rsidR="004E190C" w:rsidRDefault="004E190C" w:rsidP="00F9737F">
      <w:pPr>
        <w:pStyle w:val="Bullet1"/>
        <w:spacing w:line="230" w:lineRule="exact"/>
      </w:pPr>
      <w:r>
        <w:t>социальные и экономические права.</w:t>
      </w:r>
    </w:p>
    <w:p w:rsidR="004E190C" w:rsidRPr="004E190C" w:rsidRDefault="004E190C" w:rsidP="004E190C">
      <w:pPr>
        <w:pStyle w:val="SingleTxt"/>
        <w:spacing w:after="0" w:line="120" w:lineRule="exact"/>
        <w:rPr>
          <w:sz w:val="10"/>
        </w:rPr>
      </w:pPr>
    </w:p>
    <w:p w:rsidR="004E190C" w:rsidRPr="004E190C" w:rsidRDefault="004E190C" w:rsidP="004E190C">
      <w:pPr>
        <w:pStyle w:val="SingleTxt"/>
        <w:spacing w:after="0" w:line="120" w:lineRule="exact"/>
        <w:rPr>
          <w:sz w:val="10"/>
        </w:rPr>
      </w:pPr>
    </w:p>
    <w:p w:rsidR="004E190C" w:rsidRDefault="004E190C" w:rsidP="004E190C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III.</w:t>
      </w:r>
      <w:r>
        <w:tab/>
        <w:t>Методология</w:t>
      </w:r>
    </w:p>
    <w:p w:rsidR="004E190C" w:rsidRPr="004E190C" w:rsidRDefault="004E190C" w:rsidP="004E190C">
      <w:pPr>
        <w:pStyle w:val="SingleTxt"/>
        <w:spacing w:after="0" w:line="120" w:lineRule="exact"/>
        <w:rPr>
          <w:sz w:val="10"/>
        </w:rPr>
      </w:pPr>
    </w:p>
    <w:p w:rsidR="004E190C" w:rsidRPr="004E190C" w:rsidRDefault="004E190C" w:rsidP="004E190C">
      <w:pPr>
        <w:pStyle w:val="SingleTxt"/>
        <w:spacing w:after="0" w:line="120" w:lineRule="exact"/>
        <w:rPr>
          <w:sz w:val="10"/>
        </w:rPr>
      </w:pPr>
    </w:p>
    <w:p w:rsidR="004E190C" w:rsidRDefault="004E190C" w:rsidP="004E190C">
      <w:pPr>
        <w:pStyle w:val="SingleTxt"/>
      </w:pPr>
      <w:r>
        <w:t>8.</w:t>
      </w:r>
      <w:r>
        <w:tab/>
        <w:t>Исследование проводилось в течение трех месяцев силами сотрудника УВКПЧ, направленного в Демократическую Республику Конго. Институциональная поддержка его проведения оказывалась консультативной группой в составе УВКПЧ, Совместного отделения Организации Объединенных Наций по правам человека (СОПЧООН)</w:t>
      </w:r>
      <w:r w:rsidR="00F9737F" w:rsidRPr="00F9737F">
        <w:rPr>
          <w:rStyle w:val="FootnoteReference"/>
        </w:rPr>
        <w:footnoteReference w:id="1"/>
      </w:r>
      <w:r>
        <w:t xml:space="preserve"> и Объединенного представительства Организации Объединенных Наций в Демократической Республике Конго.</w:t>
      </w:r>
    </w:p>
    <w:p w:rsidR="004E190C" w:rsidRDefault="004E190C" w:rsidP="004E190C">
      <w:pPr>
        <w:pStyle w:val="SingleTxt"/>
      </w:pPr>
      <w:r>
        <w:t>9.</w:t>
      </w:r>
      <w:r>
        <w:tab/>
        <w:t>Настоящее исследование основывается на следующей методике:</w:t>
      </w:r>
    </w:p>
    <w:p w:rsidR="004E190C" w:rsidRDefault="004E190C" w:rsidP="004E190C">
      <w:pPr>
        <w:pStyle w:val="Bullet1"/>
      </w:pPr>
      <w:r>
        <w:t>изучение различных документов (в частности</w:t>
      </w:r>
      <w:r w:rsidR="002B2196">
        <w:t>,</w:t>
      </w:r>
      <w:r>
        <w:t xml:space="preserve"> исследований и докладов, законодательства, программных документов);</w:t>
      </w:r>
    </w:p>
    <w:p w:rsidR="004E190C" w:rsidRDefault="004E190C" w:rsidP="004E190C">
      <w:pPr>
        <w:pStyle w:val="Bullet1"/>
      </w:pPr>
      <w:r>
        <w:t>обсуждение с представителями местного гражданского общества в целях получения их оценки мероприятий, проведенных международными субъектами;</w:t>
      </w:r>
    </w:p>
    <w:p w:rsidR="004E190C" w:rsidRDefault="004E190C" w:rsidP="004E190C">
      <w:pPr>
        <w:pStyle w:val="Bullet1"/>
      </w:pPr>
      <w:r>
        <w:t>направление опросных листов основным участникам из числа субъектов Организации Объединенных Наций, правительственных органов и международных НПО в Киншасе и провинциях;</w:t>
      </w:r>
    </w:p>
    <w:p w:rsidR="004E190C" w:rsidRDefault="004E190C" w:rsidP="004E190C">
      <w:pPr>
        <w:pStyle w:val="Bullet1"/>
      </w:pPr>
      <w:r>
        <w:t>переписка по электронной почте с участниками, находящимися за пределами Демократической Республики Конго;</w:t>
      </w:r>
    </w:p>
    <w:p w:rsidR="004E190C" w:rsidRDefault="004E190C" w:rsidP="004E190C">
      <w:pPr>
        <w:pStyle w:val="Bullet1"/>
      </w:pPr>
      <w:r>
        <w:t>миссии по наблюдению – в Нижнем Конго (Мбанза-Нгунгу, Кимбемба и Ламба) за деятельностью, приносящей доход, и оказанием помощи вернувшимся мигрантам; в Катанге (Калеми и Лубумбаши) за руководством эксплуатацией природных ресурсов и защитой коренных народов; в Северном Киву (Гома) за защитой гражданского населения, борьбой с сексуальным насилием и оказанием поддержки детям, которые были демобилизованы вооруженными группировками или стали жертвами сексуального насилия; а также в Южном Киву (Букаву) за оказанием всеобъемлющей поддержки жертвам сексуального насилия. Были предприняты посещения юридической клиники в Мунгунге и центра «горячей линии» британского отделения организации «Дети войны» в Северном Киву, а также Фонда Панзи в Южном Киву.</w:t>
      </w:r>
    </w:p>
    <w:p w:rsidR="004E190C" w:rsidRDefault="004E190C" w:rsidP="004E190C">
      <w:pPr>
        <w:pStyle w:val="SingleTxt"/>
      </w:pPr>
      <w:r>
        <w:t>10.</w:t>
      </w:r>
      <w:r>
        <w:tab/>
        <w:t>В ходе проведения исследования возникали следующие трудности:</w:t>
      </w:r>
    </w:p>
    <w:p w:rsidR="004E190C" w:rsidRDefault="004E190C" w:rsidP="004E190C">
      <w:pPr>
        <w:pStyle w:val="Bullet1"/>
      </w:pPr>
      <w:r>
        <w:t>отсутствие ответов на просьбы о встречах и на опросные листы со стороны некоторых ключевых партнеров;</w:t>
      </w:r>
    </w:p>
    <w:p w:rsidR="004E190C" w:rsidRDefault="004E190C" w:rsidP="004E190C">
      <w:pPr>
        <w:pStyle w:val="Bullet1"/>
      </w:pPr>
      <w:r>
        <w:t>отсутствие документации и точных и исчерпывающих данных о деятельности международного сообщества на протяжении всего рассматриваемого периода;</w:t>
      </w:r>
    </w:p>
    <w:p w:rsidR="004E190C" w:rsidRDefault="004E190C" w:rsidP="004E190C">
      <w:pPr>
        <w:pStyle w:val="Bullet1"/>
      </w:pPr>
      <w:r>
        <w:t>отсутствие институциональной памяти, связанное с мобильностью некоторых международных субъектов;</w:t>
      </w:r>
    </w:p>
    <w:p w:rsidR="004E190C" w:rsidRPr="004E190C" w:rsidRDefault="004E190C" w:rsidP="004E190C">
      <w:pPr>
        <w:pStyle w:val="Bullet1"/>
        <w:rPr>
          <w:spacing w:val="2"/>
        </w:rPr>
      </w:pPr>
      <w:r>
        <w:t xml:space="preserve">недоступность ряда населенных пунктов на западе страны (Экваториальная провинция, Маниема, Касаи) из-за прекращения воздушного сообщения вследствие постепенного свертывания Миссии Организации Объединенных Наций по стабилизации в </w:t>
      </w:r>
      <w:r w:rsidRPr="004E190C">
        <w:rPr>
          <w:spacing w:val="2"/>
        </w:rPr>
        <w:t>Демократической Республике Конго (МООНСДРК);</w:t>
      </w:r>
    </w:p>
    <w:p w:rsidR="004E190C" w:rsidRDefault="004E190C" w:rsidP="004E190C">
      <w:pPr>
        <w:pStyle w:val="Bullet1"/>
      </w:pPr>
      <w:r>
        <w:t>относительно короткие сроки проведения исследования.</w:t>
      </w:r>
    </w:p>
    <w:p w:rsidR="004E190C" w:rsidRPr="004E190C" w:rsidRDefault="004E190C" w:rsidP="004E190C">
      <w:pPr>
        <w:pStyle w:val="SingleTxt"/>
        <w:spacing w:after="0" w:line="120" w:lineRule="exact"/>
        <w:rPr>
          <w:sz w:val="10"/>
        </w:rPr>
      </w:pPr>
    </w:p>
    <w:p w:rsidR="004E190C" w:rsidRPr="004E190C" w:rsidRDefault="004E190C" w:rsidP="004E190C">
      <w:pPr>
        <w:pStyle w:val="SingleTxt"/>
        <w:spacing w:after="0" w:line="120" w:lineRule="exact"/>
        <w:rPr>
          <w:sz w:val="10"/>
        </w:rPr>
      </w:pPr>
    </w:p>
    <w:p w:rsidR="004E190C" w:rsidRDefault="004E190C" w:rsidP="004E190C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IV.</w:t>
      </w:r>
      <w:r>
        <w:tab/>
        <w:t>Основная деятельность международного сообщества</w:t>
      </w:r>
    </w:p>
    <w:p w:rsidR="004E190C" w:rsidRPr="004E190C" w:rsidRDefault="004E190C" w:rsidP="004E190C">
      <w:pPr>
        <w:pStyle w:val="SingleTxt"/>
        <w:spacing w:after="0" w:line="120" w:lineRule="exact"/>
        <w:rPr>
          <w:sz w:val="10"/>
        </w:rPr>
      </w:pPr>
    </w:p>
    <w:p w:rsidR="004E190C" w:rsidRPr="004E190C" w:rsidRDefault="004E190C" w:rsidP="004E190C">
      <w:pPr>
        <w:pStyle w:val="SingleTxt"/>
        <w:spacing w:after="0" w:line="120" w:lineRule="exact"/>
        <w:rPr>
          <w:sz w:val="10"/>
        </w:rPr>
      </w:pPr>
    </w:p>
    <w:p w:rsidR="004E190C" w:rsidRDefault="004E190C" w:rsidP="004E190C">
      <w:pPr>
        <w:pStyle w:val="SingleTxt"/>
      </w:pPr>
      <w:r>
        <w:t>11.</w:t>
      </w:r>
      <w:r>
        <w:tab/>
        <w:t>Начиная с 1996 года Демократическая Республика Конго переживает череду войн, которые стали причиной политической не</w:t>
      </w:r>
      <w:r w:rsidR="00F9737F">
        <w:t>стабильности и нестабильности в </w:t>
      </w:r>
      <w:r>
        <w:t>области безопасности, экономического упад</w:t>
      </w:r>
      <w:r w:rsidR="00F9737F">
        <w:t>ка и значительного отставания в </w:t>
      </w:r>
      <w:r>
        <w:t>развитии страны. Подобное положение дел спровоцировало хронический гуманитарный кризис и серьезные нарушения прав человека, включая сексуальное и гендерное насилие.</w:t>
      </w:r>
    </w:p>
    <w:p w:rsidR="004E190C" w:rsidRDefault="004E190C" w:rsidP="004E190C">
      <w:pPr>
        <w:pStyle w:val="SingleTxt"/>
      </w:pPr>
      <w:r>
        <w:t>12.</w:t>
      </w:r>
      <w:r>
        <w:tab/>
        <w:t>В ответ на данную ситуацию международное сообщество приложило большие усилия в области прав человека. Это касается многочисленных международных НПО, МООНСДРК, мандат которой, связанный с правами человека, выполняется СОПЧООН, и страновой группы Организации Объединенных Наций</w:t>
      </w:r>
      <w:r w:rsidR="00F9737F" w:rsidRPr="00F9737F">
        <w:rPr>
          <w:rStyle w:val="FootnoteReference"/>
        </w:rPr>
        <w:footnoteReference w:id="2"/>
      </w:r>
      <w:r>
        <w:t>.</w:t>
      </w:r>
    </w:p>
    <w:p w:rsidR="004E190C" w:rsidRPr="004E190C" w:rsidRDefault="004E190C" w:rsidP="004E190C">
      <w:pPr>
        <w:pStyle w:val="SingleTxt"/>
        <w:spacing w:after="0" w:line="120" w:lineRule="exact"/>
        <w:rPr>
          <w:sz w:val="10"/>
        </w:rPr>
      </w:pPr>
    </w:p>
    <w:p w:rsidR="004E190C" w:rsidRPr="004E190C" w:rsidRDefault="004E190C" w:rsidP="004E190C">
      <w:pPr>
        <w:pStyle w:val="SingleTxt"/>
        <w:spacing w:after="0" w:line="120" w:lineRule="exact"/>
        <w:rPr>
          <w:sz w:val="10"/>
        </w:rPr>
      </w:pPr>
    </w:p>
    <w:p w:rsidR="004E190C" w:rsidRDefault="004E190C" w:rsidP="004E190C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A.</w:t>
      </w:r>
      <w:r>
        <w:tab/>
        <w:t>Поддержка отправления правосудия в борьбе с безнаказанностью</w:t>
      </w:r>
    </w:p>
    <w:p w:rsidR="004E190C" w:rsidRPr="004E190C" w:rsidRDefault="004E190C" w:rsidP="004E190C">
      <w:pPr>
        <w:pStyle w:val="SingleTxt"/>
        <w:spacing w:after="0" w:line="120" w:lineRule="exact"/>
        <w:rPr>
          <w:sz w:val="10"/>
        </w:rPr>
      </w:pPr>
    </w:p>
    <w:p w:rsidR="004E190C" w:rsidRPr="004E190C" w:rsidRDefault="004E190C" w:rsidP="004E190C">
      <w:pPr>
        <w:pStyle w:val="SingleTxt"/>
        <w:spacing w:after="0" w:line="120" w:lineRule="exact"/>
        <w:rPr>
          <w:sz w:val="10"/>
        </w:rPr>
      </w:pPr>
    </w:p>
    <w:p w:rsidR="004E190C" w:rsidRDefault="004E190C" w:rsidP="004E190C">
      <w:pPr>
        <w:pStyle w:val="SingleTxt"/>
      </w:pPr>
      <w:r>
        <w:t>13.</w:t>
      </w:r>
      <w:r>
        <w:tab/>
        <w:t>Политическая нестабильность и нестабильность в области безопасности, наблюдающиеся в Демократической Республике Конго, спровоцировали совершение тяжких преступлений и массовых нарушений прав человека со стороны сил обороны и безопасности и вооруженных группировок. В число подобных нарушений входят внесудебные казни, произвольные задержания, сексуальное и гендерное насилие, посягательства на имущество и принудительный труд.</w:t>
      </w:r>
    </w:p>
    <w:p w:rsidR="004E190C" w:rsidRDefault="004E190C" w:rsidP="004E190C">
      <w:pPr>
        <w:pStyle w:val="SingleTxt"/>
      </w:pPr>
      <w:r>
        <w:t>14.</w:t>
      </w:r>
      <w:r>
        <w:tab/>
        <w:t>В отсутствие исчерпывающих данных по всему рассматриваемому периоду на приведенной ниже диаграмме показано изменение числа нарушений прав человек</w:t>
      </w:r>
      <w:r w:rsidR="008025EA">
        <w:t>а и их жертв в 2011–2014 годах.</w:t>
      </w:r>
    </w:p>
    <w:p w:rsidR="008025EA" w:rsidRPr="008025EA" w:rsidRDefault="008025EA" w:rsidP="008025EA">
      <w:pPr>
        <w:pStyle w:val="SingleTxt"/>
        <w:spacing w:after="0" w:line="120" w:lineRule="exact"/>
        <w:rPr>
          <w:sz w:val="10"/>
        </w:rPr>
      </w:pPr>
    </w:p>
    <w:p w:rsidR="00CA7009" w:rsidRPr="00C47EFE" w:rsidRDefault="00CB0B7D" w:rsidP="003E4469">
      <w:pPr>
        <w:pStyle w:val="SingleTxt"/>
        <w:spacing w:after="0" w:line="240" w:lineRule="atLeast"/>
      </w:pPr>
      <w:r>
        <w:rPr>
          <w:rFonts w:eastAsia="SimSun"/>
          <w:noProof/>
          <w:w w:val="100"/>
          <w:lang w:val="en-GB" w:eastAsia="en-GB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ECA28F6" wp14:editId="2C925935">
                <wp:simplePos x="0" y="0"/>
                <wp:positionH relativeFrom="column">
                  <wp:posOffset>829087</wp:posOffset>
                </wp:positionH>
                <wp:positionV relativeFrom="paragraph">
                  <wp:posOffset>518160</wp:posOffset>
                </wp:positionV>
                <wp:extent cx="427512" cy="1223159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512" cy="12231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prstClr val="black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B7D" w:rsidRDefault="00CB0B7D" w:rsidP="00CB0B7D">
                            <w:pPr>
                              <w:spacing w:line="260" w:lineRule="exact"/>
                              <w:jc w:val="righ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10 000</w:t>
                            </w:r>
                          </w:p>
                          <w:p w:rsidR="00CB0B7D" w:rsidRDefault="00CB0B7D" w:rsidP="00CB0B7D">
                            <w:pPr>
                              <w:spacing w:before="40" w:line="260" w:lineRule="exact"/>
                              <w:jc w:val="righ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8 000</w:t>
                            </w:r>
                          </w:p>
                          <w:p w:rsidR="00CB0B7D" w:rsidRDefault="00CB0B7D" w:rsidP="00CB0B7D">
                            <w:pPr>
                              <w:spacing w:before="60" w:line="260" w:lineRule="exact"/>
                              <w:jc w:val="righ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6 000</w:t>
                            </w:r>
                          </w:p>
                          <w:p w:rsidR="00CB0B7D" w:rsidRDefault="00CB0B7D" w:rsidP="00CB0B7D">
                            <w:pPr>
                              <w:spacing w:before="80" w:line="260" w:lineRule="exact"/>
                              <w:jc w:val="righ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4 000</w:t>
                            </w:r>
                          </w:p>
                          <w:p w:rsidR="00CB0B7D" w:rsidRDefault="00CB0B7D" w:rsidP="00CB0B7D">
                            <w:pPr>
                              <w:spacing w:before="80" w:line="260" w:lineRule="exact"/>
                              <w:jc w:val="righ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2 000</w:t>
                            </w:r>
                          </w:p>
                          <w:p w:rsidR="00CB0B7D" w:rsidRPr="00CB0B7D" w:rsidRDefault="00CB0B7D" w:rsidP="00CB0B7D">
                            <w:pPr>
                              <w:spacing w:before="80" w:line="260" w:lineRule="exact"/>
                              <w:jc w:val="righ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5.3pt;margin-top:40.8pt;width:33.65pt;height:96.3pt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" stroked="f">
                <v:stroke joinstyle="round"/>
                <v:path arrowok="t"/>
                <v:textbox inset="0,0,0,0">
                  <w:txbxContent>
                    <w:p w:rsidR="00CB0B7D" w:rsidRDefault="00CB0B7D" w:rsidP="00CB0B7D">
                      <w:pPr>
                        <w:spacing w:line="260" w:lineRule="exact"/>
                        <w:jc w:val="righ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10 000</w:t>
                      </w:r>
                    </w:p>
                    <w:p w:rsidR="00CB0B7D" w:rsidRDefault="00CB0B7D" w:rsidP="00CB0B7D">
                      <w:pPr>
                        <w:spacing w:before="40" w:line="260" w:lineRule="exact"/>
                        <w:jc w:val="righ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8 000</w:t>
                      </w:r>
                    </w:p>
                    <w:p w:rsidR="00CB0B7D" w:rsidRDefault="00CB0B7D" w:rsidP="00CB0B7D">
                      <w:pPr>
                        <w:spacing w:before="60" w:line="260" w:lineRule="exact"/>
                        <w:jc w:val="righ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6 000</w:t>
                      </w:r>
                    </w:p>
                    <w:p w:rsidR="00CB0B7D" w:rsidRDefault="00CB0B7D" w:rsidP="00CB0B7D">
                      <w:pPr>
                        <w:spacing w:before="80" w:line="260" w:lineRule="exact"/>
                        <w:jc w:val="righ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4 000</w:t>
                      </w:r>
                    </w:p>
                    <w:p w:rsidR="00CB0B7D" w:rsidRDefault="00CB0B7D" w:rsidP="00CB0B7D">
                      <w:pPr>
                        <w:spacing w:before="80" w:line="260" w:lineRule="exact"/>
                        <w:jc w:val="righ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2 000</w:t>
                      </w:r>
                    </w:p>
                    <w:p w:rsidR="00CB0B7D" w:rsidRPr="00CB0B7D" w:rsidRDefault="00CB0B7D" w:rsidP="00CB0B7D">
                      <w:pPr>
                        <w:spacing w:before="80" w:line="260" w:lineRule="exact"/>
                        <w:jc w:val="righ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CA7009">
        <w:rPr>
          <w:rFonts w:eastAsia="SimSun"/>
          <w:noProof/>
          <w:w w:val="100"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FEF281C" wp14:editId="44E2B966">
                <wp:simplePos x="0" y="0"/>
                <wp:positionH relativeFrom="column">
                  <wp:posOffset>3876700</wp:posOffset>
                </wp:positionH>
                <wp:positionV relativeFrom="paragraph">
                  <wp:posOffset>1253853</wp:posOffset>
                </wp:positionV>
                <wp:extent cx="1151040" cy="147889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1040" cy="1478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prstClr val="black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EF3" w:rsidRPr="00CA7009" w:rsidRDefault="00DE7EF3" w:rsidP="003E4469">
                            <w:pPr>
                              <w:spacing w:line="1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Жертвы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05.25pt;margin-top:98.75pt;width:90.65pt;height:11.6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" stroked="f">
                <v:stroke joinstyle="round"/>
                <v:path arrowok="t"/>
                <v:textbox inset="0,0,0,0">
                  <w:txbxContent>
                    <w:p w:rsidR="00DE7EF3" w:rsidRPr="00CA7009" w:rsidRDefault="00DE7EF3" w:rsidP="003E4469">
                      <w:pPr>
                        <w:spacing w:line="1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Жертвы</w:t>
                      </w:r>
                    </w:p>
                  </w:txbxContent>
                </v:textbox>
              </v:shape>
            </w:pict>
          </mc:Fallback>
        </mc:AlternateContent>
      </w:r>
      <w:r w:rsidR="00CA7009">
        <w:rPr>
          <w:rFonts w:eastAsia="SimSun"/>
          <w:noProof/>
          <w:w w:val="100"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8414F48" wp14:editId="3C8B4F6E">
                <wp:simplePos x="0" y="0"/>
                <wp:positionH relativeFrom="column">
                  <wp:posOffset>3876701</wp:posOffset>
                </wp:positionH>
                <wp:positionV relativeFrom="paragraph">
                  <wp:posOffset>808528</wp:posOffset>
                </wp:positionV>
                <wp:extent cx="1151040" cy="374073"/>
                <wp:effectExtent l="0" t="0" r="0" b="69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1040" cy="3740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prstClr val="black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EF3" w:rsidRPr="00CA7009" w:rsidRDefault="00DE7EF3" w:rsidP="00CB0B7D">
                            <w:pPr>
                              <w:spacing w:before="2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CA7009">
                              <w:rPr>
                                <w:sz w:val="14"/>
                                <w:szCs w:val="14"/>
                              </w:rPr>
                              <w:t xml:space="preserve">Нарушения </w:t>
                            </w:r>
                            <w:r w:rsidRPr="00CA7009">
                              <w:rPr>
                                <w:sz w:val="14"/>
                                <w:szCs w:val="14"/>
                              </w:rPr>
                              <w:t>прав человека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05.25pt;margin-top:63.65pt;width:90.65pt;height:29.4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" stroked="f">
                <v:stroke joinstyle="round"/>
                <v:path arrowok="t"/>
                <v:textbox inset="0,0,0,0">
                  <w:txbxContent>
                    <w:p w:rsidR="00DE7EF3" w:rsidRPr="00CA7009" w:rsidRDefault="00DE7EF3" w:rsidP="00CB0B7D">
                      <w:pPr>
                        <w:spacing w:before="20" w:line="260" w:lineRule="exact"/>
                        <w:rPr>
                          <w:sz w:val="14"/>
                          <w:szCs w:val="14"/>
                        </w:rPr>
                      </w:pPr>
                      <w:r w:rsidRPr="00CA7009">
                        <w:rPr>
                          <w:sz w:val="14"/>
                          <w:szCs w:val="14"/>
                        </w:rPr>
                        <w:t>Нарушения прав чел</w:t>
                      </w:r>
                      <w:r w:rsidRPr="00CA7009">
                        <w:rPr>
                          <w:sz w:val="14"/>
                          <w:szCs w:val="14"/>
                        </w:rPr>
                        <w:t>о</w:t>
                      </w:r>
                      <w:r w:rsidRPr="00CA7009">
                        <w:rPr>
                          <w:sz w:val="14"/>
                          <w:szCs w:val="14"/>
                        </w:rPr>
                        <w:t>века</w:t>
                      </w:r>
                    </w:p>
                  </w:txbxContent>
                </v:textbox>
              </v:shape>
            </w:pict>
          </mc:Fallback>
        </mc:AlternateContent>
      </w:r>
      <w:r w:rsidR="00CA7009" w:rsidRPr="00850D17">
        <w:rPr>
          <w:rFonts w:eastAsia="SimSun"/>
          <w:noProof/>
          <w:lang w:val="en-GB" w:eastAsia="en-GB"/>
        </w:rPr>
        <w:drawing>
          <wp:inline distT="0" distB="0" distL="0" distR="0" wp14:anchorId="1B42880E" wp14:editId="626A4C03">
            <wp:extent cx="4257040" cy="1953260"/>
            <wp:effectExtent l="0" t="0" r="10160" b="27940"/>
            <wp:docPr id="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029E6" w:rsidRPr="003E4469" w:rsidRDefault="004029E6" w:rsidP="003E4469">
      <w:pPr>
        <w:pStyle w:val="SingleTxt"/>
        <w:spacing w:after="0" w:line="120" w:lineRule="exact"/>
        <w:rPr>
          <w:sz w:val="10"/>
        </w:rPr>
      </w:pPr>
    </w:p>
    <w:p w:rsidR="003E4469" w:rsidRDefault="003E4469" w:rsidP="003E4469">
      <w:pPr>
        <w:pStyle w:val="FootnoteText"/>
        <w:tabs>
          <w:tab w:val="right" w:pos="1476"/>
          <w:tab w:val="left" w:pos="1548"/>
          <w:tab w:val="right" w:pos="1836"/>
          <w:tab w:val="left" w:pos="1908"/>
        </w:tabs>
        <w:ind w:left="1548" w:right="1267" w:hanging="288"/>
      </w:pPr>
      <w:r w:rsidRPr="003E4469">
        <w:rPr>
          <w:i/>
          <w:iCs/>
        </w:rPr>
        <w:t>Источник</w:t>
      </w:r>
      <w:r>
        <w:t>: Д</w:t>
      </w:r>
      <w:r w:rsidRPr="003E4469">
        <w:t>анные СОПЧООН.</w:t>
      </w:r>
    </w:p>
    <w:p w:rsidR="003E4469" w:rsidRPr="003E4469" w:rsidRDefault="003E4469" w:rsidP="003E4469">
      <w:pPr>
        <w:pStyle w:val="SingleTxt"/>
        <w:spacing w:after="0" w:line="120" w:lineRule="exact"/>
        <w:rPr>
          <w:sz w:val="10"/>
        </w:rPr>
      </w:pPr>
    </w:p>
    <w:p w:rsidR="003E4469" w:rsidRPr="003E4469" w:rsidRDefault="003E4469" w:rsidP="003E4469">
      <w:pPr>
        <w:pStyle w:val="SingleTxt"/>
        <w:spacing w:after="0" w:line="120" w:lineRule="exact"/>
        <w:rPr>
          <w:sz w:val="10"/>
        </w:rPr>
      </w:pPr>
    </w:p>
    <w:p w:rsidR="003E4469" w:rsidRDefault="003E4469" w:rsidP="003E4469">
      <w:pPr>
        <w:pStyle w:val="SingleTxt"/>
      </w:pPr>
      <w:r>
        <w:t>15.</w:t>
      </w:r>
      <w:r>
        <w:tab/>
        <w:t>Представленная выше диаграмма свидетельствует о том, что в рассматриваемый период число нарушений прав человека несколько сократилось, однако число их жертв значительно увеличилось. В 2011–2014 годах СОПЧООН зарегистрировало в общей сложности 21 940 жертв, в том числе 14 851 мужчина, 4 149 женщин и 2 940 детей. В число жертв, которым была оказана всеобъемлющая поддержка, вошли жертвы сексуального насилия.</w:t>
      </w:r>
    </w:p>
    <w:p w:rsidR="003E4469" w:rsidRPr="003E4469" w:rsidRDefault="003E4469" w:rsidP="003E4469">
      <w:pPr>
        <w:pStyle w:val="SingleTxt"/>
        <w:spacing w:after="0" w:line="120" w:lineRule="exact"/>
        <w:rPr>
          <w:sz w:val="10"/>
        </w:rPr>
      </w:pPr>
    </w:p>
    <w:p w:rsidR="003E4469" w:rsidRDefault="003E4469" w:rsidP="003E4469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1.</w:t>
      </w:r>
      <w:r>
        <w:tab/>
        <w:t>Оказание комплексной поддержки жертвам сексуального насилия</w:t>
      </w:r>
    </w:p>
    <w:p w:rsidR="003E4469" w:rsidRPr="003E4469" w:rsidRDefault="003E4469" w:rsidP="003E4469">
      <w:pPr>
        <w:pStyle w:val="SingleTxt"/>
        <w:spacing w:after="0" w:line="120" w:lineRule="exact"/>
        <w:rPr>
          <w:sz w:val="10"/>
        </w:rPr>
      </w:pPr>
    </w:p>
    <w:p w:rsidR="003E4469" w:rsidRDefault="003E4469" w:rsidP="003E4469">
      <w:pPr>
        <w:pStyle w:val="SingleTxt"/>
      </w:pPr>
      <w:r>
        <w:t>16.</w:t>
      </w:r>
      <w:r>
        <w:tab/>
        <w:t>В 2008 году в своем докладе о поощрении и защите всех прав человека, гражданских, политических, экономических, социальных и культурных прав, включая право на развитие (A/HRC/7/6/Add.4), Специальный докладчик по вопросу о насилии в отношении женщин, его причинах и последствиях констатировала, что жертвы изнасилований в Демократической Республике Конго не получают ни надлежащего ухода, ни возмещения ущерба, на которые они могли бы претендовать в рамках национальной и международной правовой базы.</w:t>
      </w:r>
    </w:p>
    <w:p w:rsidR="003E4469" w:rsidRDefault="003E4469" w:rsidP="003E4469">
      <w:pPr>
        <w:pStyle w:val="SingleTxt"/>
      </w:pPr>
      <w:r>
        <w:t>17.</w:t>
      </w:r>
      <w:r>
        <w:tab/>
        <w:t>Совместные усилия Американской ассоциации адвокатов, организации «Адвокаты без границ», СОПЧООН, Католической организации по оказанию чрезвычайной помощи и помощи в целях развития, Детского фонда Организации Объединенных Наций (ЮНИСЕФ), Фонда Организации Объединенных Наций в области народонаселения (ЮНФПА), Международного центра по вопросам правосудия переходного периода, структуры «ООН-женщины», Инициативы за открытое общество на юге Африки (ИООЮА), организации «Врачи за права человека», Программы развития Организации Объединенных Наций (ПРООН) и организации «Триал», поддержанные многими государствами-членами, позволили организовать в 2008–2014 годах 89 выездных сессий судов и гражданских и военных трибуналов в таких провинциях, как Нижнее Конго, Экваториальная провинция, Восточное Касаи, Катанга, Северное Киву, Восточная провинция, Южное Киву и Киншаса. Усилия международного сообщества, проводившего разъяснительную работу по вопросам борьбы с безнаказанностью сексуального наси</w:t>
      </w:r>
      <w:r w:rsidR="002B2196">
        <w:t>лия</w:t>
      </w:r>
      <w:r>
        <w:t xml:space="preserve">, были подкреплены мандатами Специального представителя Генерального секретаря по вопросу о сексуальном насилии в условиях конфликта и Группы экспертов по вопросам верховенства права и </w:t>
      </w:r>
      <w:r w:rsidR="00F9737F">
        <w:t>борьбы с сексуальным насилием в </w:t>
      </w:r>
      <w:r>
        <w:t>условиях конфликта.</w:t>
      </w:r>
    </w:p>
    <w:p w:rsidR="003E4469" w:rsidRDefault="003E4469" w:rsidP="003E4469">
      <w:pPr>
        <w:pStyle w:val="SingleTxt"/>
      </w:pPr>
      <w:r>
        <w:t>18.</w:t>
      </w:r>
      <w:r>
        <w:tab/>
        <w:t>В 2013 году СОПЧООН при посредстве 12 юридических клиник и 25 юридических консультаций оказало бесплатную правовую помощь 1 507 жертвам сексуального насилия (на всей территории страны, кроме Восточной провинции) за счет финансовых средств, предоставленных Канадским агентством международного развития, Шведским агентством международной помощи в целях развития, Бразилией, Бельгией и ЮКАИД.</w:t>
      </w:r>
    </w:p>
    <w:p w:rsidR="003E4469" w:rsidRDefault="003E4469" w:rsidP="003E4469">
      <w:pPr>
        <w:pStyle w:val="SingleTxt"/>
      </w:pPr>
      <w:r>
        <w:t>19.</w:t>
      </w:r>
      <w:r>
        <w:tab/>
        <w:t xml:space="preserve">По данным МООНСДРК, в 2009–2014 годах наблюдалось постепенное увеличение доли судебных решений по делам о сексуальном насилии по отношению к общему числу решений, вынесенных национальными </w:t>
      </w:r>
      <w:r w:rsidR="002B2196">
        <w:t>судебными органами: 14% (2009/10 год), 17% (2010/11 год), 22% (2011/12 год), 25% (2012/13 год)</w:t>
      </w:r>
      <w:r w:rsidR="002B2196">
        <w:br/>
        <w:t>и 23% (2013/</w:t>
      </w:r>
      <w:r>
        <w:t xml:space="preserve">14 год). </w:t>
      </w:r>
    </w:p>
    <w:p w:rsidR="003E4469" w:rsidRDefault="003E4469" w:rsidP="003E4469">
      <w:pPr>
        <w:pStyle w:val="SingleTxt"/>
      </w:pPr>
      <w:r>
        <w:t>20.</w:t>
      </w:r>
      <w:r>
        <w:tab/>
        <w:t>В течение рассматриваемого периода примерно 33 057 жертвам</w:t>
      </w:r>
      <w:r w:rsidR="00F9737F" w:rsidRPr="00F9737F">
        <w:rPr>
          <w:rStyle w:val="FootnoteReference"/>
        </w:rPr>
        <w:footnoteReference w:id="3"/>
      </w:r>
      <w:r>
        <w:t xml:space="preserve"> сексуального насилия была оказана всеобъемлющая поддержка, включавшая в себя юридическую, медицинскую, психосоциальную и социально-экономическую помощь, предоставлявшуюся, зачастую через местные НПО, СОПЧООН, структурой «ООН-женщины», ИООЮА, ЮНФПА и ЮНИСЕФ. В 2010 году в результате деятельности Группы высокого уровня по вопросу о средствах защиты и компенсации для жертв сексуального насилия в Демократической Республике Конго СОПЧООН и ЮНФПА оказали коллективную социально-экономическую помощь 30 женщинам – жертвам сексуального насилия из Сонго-Мбойо (Экваториальная провинция). По их просьбе им был подарен вельбот для сбыта ими своих товаров, и они прошли обучение управлению им. В 2014 году благодаря разъяснительной работе международного сообщества правительство Демократической Республики Конго впервые возместило ущерб 30 жертвам из Сонго-Мбойо</w:t>
      </w:r>
      <w:r w:rsidR="00F9737F" w:rsidRPr="00F9737F">
        <w:rPr>
          <w:rStyle w:val="FootnoteReference"/>
        </w:rPr>
        <w:footnoteReference w:id="4"/>
      </w:r>
      <w:r>
        <w:t>.</w:t>
      </w:r>
    </w:p>
    <w:p w:rsidR="003E4469" w:rsidRPr="003E4469" w:rsidRDefault="003E4469" w:rsidP="003E4469">
      <w:pPr>
        <w:pStyle w:val="SingleTxt"/>
        <w:spacing w:after="0" w:line="120" w:lineRule="exact"/>
        <w:rPr>
          <w:sz w:val="10"/>
        </w:rPr>
      </w:pPr>
    </w:p>
    <w:p w:rsidR="003E4469" w:rsidRDefault="003E4469" w:rsidP="003E4469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2.</w:t>
      </w:r>
      <w:r>
        <w:tab/>
        <w:t>Укрепление отправления правосудия</w:t>
      </w:r>
    </w:p>
    <w:p w:rsidR="003E4469" w:rsidRPr="003E4469" w:rsidRDefault="003E4469" w:rsidP="003E4469">
      <w:pPr>
        <w:pStyle w:val="SingleTxt"/>
        <w:spacing w:after="0" w:line="120" w:lineRule="exact"/>
        <w:rPr>
          <w:sz w:val="10"/>
        </w:rPr>
      </w:pPr>
    </w:p>
    <w:p w:rsidR="003E4469" w:rsidRDefault="003E4469" w:rsidP="003E4469">
      <w:pPr>
        <w:pStyle w:val="SingleTxt"/>
      </w:pPr>
      <w:r>
        <w:t>21.</w:t>
      </w:r>
      <w:r>
        <w:tab/>
        <w:t xml:space="preserve">В 2006 году в ДСРСН констатировалась неэффективность судебного аппарата, результатами которой стали урегулирование споров во внесудебном порядке, неисполнение судебных решений и глубокое недоверие населения к судебной системе. </w:t>
      </w:r>
    </w:p>
    <w:p w:rsidR="003E4469" w:rsidRDefault="003E4469" w:rsidP="003E4469">
      <w:pPr>
        <w:pStyle w:val="SingleTxt"/>
      </w:pPr>
      <w:r>
        <w:t>22.</w:t>
      </w:r>
      <w:r>
        <w:tab/>
        <w:t>В своем докладе 2008 года о поощрении и защите всех прав человека, гражданских, политических, экономических, социальных и культурных прав, включая право на развитие (A/HRC/8/4/Add.2), Специальный докладчик по вопросу о независимости судей и адвокатов отметил, что из-за отсутствия учебного центра подготовки судей и недостаточно высокого уровня их подготовки выносимые ими судебные решения оказываются необоснованными. Он рекомендовал повысить уровень подготовки судей и вспомогательного персонала судебной системы в области норм этики и деонтологии и прав человека.</w:t>
      </w:r>
    </w:p>
    <w:p w:rsidR="003E4469" w:rsidRDefault="003E4469" w:rsidP="003E4469">
      <w:pPr>
        <w:pStyle w:val="SingleTxt"/>
      </w:pPr>
      <w:r>
        <w:t>23.</w:t>
      </w:r>
      <w:r>
        <w:tab/>
        <w:t>В 2008–2014 годах международные субъекты обеспечили во всех провинциях страны учебную подготовку более 25 000 участников системы отправления уголовного правосудия (гражданских и военных) – порядка 10% которых составили женщины – по вопросам судебного сопровождения международных преступлений, сексуального насилия и других нарушений прав человека, судебно-медицинской экспертизы, борьбы с пытками и обработки дел, касающихся детей, находящихся в конфликте с законом.</w:t>
      </w:r>
    </w:p>
    <w:p w:rsidR="003E4469" w:rsidRDefault="003E4469" w:rsidP="003E4469">
      <w:pPr>
        <w:pStyle w:val="SingleTxt"/>
      </w:pPr>
      <w:r>
        <w:t>24.</w:t>
      </w:r>
      <w:r>
        <w:tab/>
        <w:t xml:space="preserve">Недостаток координации участников деятельности из числа членов международного сообщества между собой и с правительством, отсутствие секторальной политики и стратегического плана в области прав человека, а также отсутствие центра подготовки судебных работников привели к дублированию усилий по укреплению потенциала субъектов отправления правосудия. По этой причине некоторые несколько раз проходили аналогичную подготовку, организованную различными партнерами. </w:t>
      </w:r>
    </w:p>
    <w:p w:rsidR="003E4469" w:rsidRDefault="003E4469" w:rsidP="002B2196">
      <w:pPr>
        <w:pStyle w:val="SingleTxt"/>
      </w:pPr>
      <w:r>
        <w:t>25.</w:t>
      </w:r>
      <w:r>
        <w:tab/>
        <w:t>В 2008–2014 годах международное сообщество поддерживало проведение судебных процессов по делам о международных преступлениях и серьезных нарушениях прав человека путем оказания помощи жертвам, свидетелям и их адвокатам, а также содействия перемещению субъектов системы правосудия. По итогам этих процессов 582 члена Вооруженных сил Демократической Республики Конго (ВСДРК) и 367 членов национальной полиции Конго</w:t>
      </w:r>
      <w:r w:rsidR="00F9737F" w:rsidRPr="00F9737F">
        <w:rPr>
          <w:rStyle w:val="FootnoteReference"/>
        </w:rPr>
        <w:footnoteReference w:id="5"/>
      </w:r>
      <w:r>
        <w:t xml:space="preserve"> были приговорены к тюремному заключению на сроки от </w:t>
      </w:r>
      <w:r w:rsidR="002B2196">
        <w:t>3</w:t>
      </w:r>
      <w:r>
        <w:t xml:space="preserve"> до </w:t>
      </w:r>
      <w:r w:rsidR="002B2196">
        <w:t>20</w:t>
      </w:r>
      <w:r>
        <w:t xml:space="preserve"> лет. На основании Римского статута были осуждены старшие офицеры сил обороны и безопасности и члены вооруженных группировок, что стало важным шагом в борьбе с безнаказанностью. В число показательных дел вошли следующие:</w:t>
      </w:r>
    </w:p>
    <w:p w:rsidR="003E4469" w:rsidRDefault="003E4469" w:rsidP="002B2196">
      <w:pPr>
        <w:pStyle w:val="Bullet1"/>
      </w:pPr>
      <w:r>
        <w:t>15 декабря 2014 года военный суд Южного Киву приговор</w:t>
      </w:r>
      <w:r w:rsidR="00F9737F">
        <w:t>ил полковника Энгангелу (он же «</w:t>
      </w:r>
      <w:r>
        <w:t>полк</w:t>
      </w:r>
      <w:r w:rsidR="00F9737F">
        <w:t>овник 106»</w:t>
      </w:r>
      <w:r>
        <w:t xml:space="preserve">) к пожизненному тюремному заключению и </w:t>
      </w:r>
      <w:r w:rsidR="002B2196">
        <w:t>20</w:t>
      </w:r>
      <w:r>
        <w:t xml:space="preserve"> годам исправительных работ за такие преступления против человечности, как пытки, похищения и сек</w:t>
      </w:r>
      <w:r w:rsidR="00F9737F">
        <w:t>суальное рабство, совершенные в </w:t>
      </w:r>
      <w:r>
        <w:t>отношении порядка 1 200 жертв в Южном Киву в 2005–2007 годах;</w:t>
      </w:r>
    </w:p>
    <w:p w:rsidR="003E4469" w:rsidRDefault="003E4469" w:rsidP="00F9737F">
      <w:pPr>
        <w:pStyle w:val="Bullet1"/>
      </w:pPr>
      <w:r>
        <w:t>9 августа 2010 года военный трибунал гарнизона Буния приговорил команду</w:t>
      </w:r>
      <w:r w:rsidR="00F9737F">
        <w:t>ющего вооруженной группировкой «</w:t>
      </w:r>
      <w:r>
        <w:t>Силы патриотического сопротивле</w:t>
      </w:r>
      <w:r w:rsidR="00F9737F">
        <w:t>ния Итури»</w:t>
      </w:r>
      <w:r>
        <w:t xml:space="preserve"> Бернара Какодо к пожизненным исправительным работам за такие преступления против человечности, как массовые убийства населения, изнасилования, рабство и грабежи, совершенные в Бунии (Восточная провинция) в 2002 году;</w:t>
      </w:r>
    </w:p>
    <w:p w:rsidR="003E4469" w:rsidRDefault="003E4469" w:rsidP="00F9737F">
      <w:pPr>
        <w:pStyle w:val="Bullet1"/>
      </w:pPr>
      <w:r>
        <w:t>4 июня 2009 года военный трибунал гарнизона Кисангани приговорил руков</w:t>
      </w:r>
      <w:r w:rsidR="00F9737F">
        <w:t>одителя группировки ополченцев «маи-маи»</w:t>
      </w:r>
      <w:r>
        <w:t xml:space="preserve"> полковника Томса к пожизненным исправительным работам за преступление против человечности, совершенное в отношении примерно 135 женщин, из которых 8 были несовершеннолетними, в деревне Лике-Лесоле близ Кисангани (Восточная провинция) в 2007 году.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3E4469" w:rsidRDefault="003E4469" w:rsidP="00F9737F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3.</w:t>
      </w:r>
      <w:r>
        <w:tab/>
        <w:t>Укрепление потенциала сил обороны и безопасности</w:t>
      </w:r>
    </w:p>
    <w:p w:rsidR="00F9737F" w:rsidRPr="00F9737F" w:rsidRDefault="00F9737F" w:rsidP="00F9737F">
      <w:pPr>
        <w:pStyle w:val="SingleTxt"/>
        <w:keepNext/>
        <w:keepLines/>
        <w:spacing w:after="0" w:line="120" w:lineRule="exact"/>
        <w:rPr>
          <w:sz w:val="10"/>
        </w:rPr>
      </w:pPr>
    </w:p>
    <w:p w:rsidR="003E4469" w:rsidRDefault="003E4469" w:rsidP="00F9737F">
      <w:pPr>
        <w:pStyle w:val="SingleTxt"/>
        <w:keepNext/>
        <w:keepLines/>
      </w:pPr>
      <w:r>
        <w:t>26.</w:t>
      </w:r>
      <w:r>
        <w:tab/>
        <w:t>В 2008 году Специальный докладчик по вопросу о независимости судей и адвокатов выразил обеспок</w:t>
      </w:r>
      <w:r w:rsidR="00F9737F">
        <w:t>оенность по поводу того, что 86</w:t>
      </w:r>
      <w:r>
        <w:t xml:space="preserve">% нарушений прав человека в Демократической Республике Конго совершаются сотрудниками полиции и военнослужащими. </w:t>
      </w:r>
    </w:p>
    <w:p w:rsidR="003E4469" w:rsidRDefault="003E4469" w:rsidP="00F9737F">
      <w:pPr>
        <w:pStyle w:val="SingleTxt"/>
      </w:pPr>
      <w:r>
        <w:t>27.</w:t>
      </w:r>
      <w:r>
        <w:tab/>
        <w:t>В целях исправления данной ситуации СОПЧООН оказало Министерству юстиции и по правам человека поддержку, в частности в области разработки законодательства о содержании под стражей. В 2013–2014 годах представители СОПЧООН и Министерства посетили места содержания под стражей национальной полиции и пенитенциарные учреждения на всей территории страны. Разъяснительная работа, проведенная СОПЧООН по и</w:t>
      </w:r>
      <w:r w:rsidR="00F9737F">
        <w:t>тогам этих посещений, привела к </w:t>
      </w:r>
      <w:r>
        <w:t xml:space="preserve">освобождению 1 177 человек, содержавшихся под стражей вследствие процессуальных нарушений или незаконного задержания. Кроме того, благодаря поддержке СОПЧООН, 17 сотрудников судебной полиции были арестованы, а </w:t>
      </w:r>
      <w:r w:rsidR="00F9737F">
        <w:t>5 –</w:t>
      </w:r>
      <w:r>
        <w:t xml:space="preserve"> исключены из ряд</w:t>
      </w:r>
      <w:r w:rsidR="002B2196">
        <w:t>ов национальной полиции за серье</w:t>
      </w:r>
      <w:r>
        <w:t>зные нарушения прав человека. Кроме того, в 2014 году было закрыто два незаконных центра содержания под стражей в Киншасе и Кисангани.</w:t>
      </w:r>
    </w:p>
    <w:p w:rsidR="003E4469" w:rsidRDefault="003E4469" w:rsidP="003E4469">
      <w:pPr>
        <w:pStyle w:val="SingleTxt"/>
      </w:pPr>
      <w:r>
        <w:t>28.</w:t>
      </w:r>
      <w:r>
        <w:tab/>
        <w:t xml:space="preserve">В 2008–2014 годах СОПЧООН, МООНСДРК и ЮНФПА подготовили во всех провинциях страны порядка 421 856 членов ВСДРК, национальной полиции и Национальной разведывательной службы по вопросам борьбы с сексуальным насилием, уважения прав человека и соблюдения норм международного гуманитарного права. Вышеупомянутые субъекты и ЮНИСЕФ разработали учебные модули по проблемам борьбы с сексуальным насилием и соблюдения норм международного гуманитарного права, которые были включены в программу обучения национальной полиции и ВСДРК. </w:t>
      </w:r>
    </w:p>
    <w:p w:rsidR="003E4469" w:rsidRDefault="003E4469" w:rsidP="003E4469">
      <w:pPr>
        <w:pStyle w:val="SingleTxt"/>
      </w:pPr>
      <w:r>
        <w:t>29.</w:t>
      </w:r>
      <w:r>
        <w:tab/>
        <w:t>На приведенной ниже диаграмме показано уменьшение числа нарушений прав</w:t>
      </w:r>
      <w:r w:rsidR="00F9737F">
        <w:t xml:space="preserve"> человека в 2011–2014 годах, 53</w:t>
      </w:r>
      <w:r>
        <w:t>% которых составляют нарушения, совершенные ВСДРК и национальной полицией в 2014</w:t>
      </w:r>
      <w:r w:rsidR="00F9737F">
        <w:t xml:space="preserve"> году. Это может объясняться, в </w:t>
      </w:r>
      <w:r>
        <w:t>частности, укреплением их потенциала и проведением процессов против виновных в нарушениях прав человека. Пиковые знач</w:t>
      </w:r>
      <w:r w:rsidR="00F9737F">
        <w:t>ения, зарегистрированные в 2012 </w:t>
      </w:r>
      <w:r>
        <w:t>году, обусловлены активизацией деятельности вооруженных группировок на востоке страны.</w:t>
      </w:r>
    </w:p>
    <w:p w:rsidR="00DE7EF3" w:rsidRPr="00F9737F" w:rsidRDefault="00DE7EF3" w:rsidP="00DE7EF3">
      <w:pPr>
        <w:pStyle w:val="SingleTxt"/>
        <w:spacing w:after="0" w:line="80" w:lineRule="exact"/>
        <w:rPr>
          <w:sz w:val="10"/>
        </w:rPr>
      </w:pPr>
      <w:r>
        <w:rPr>
          <w:sz w:val="10"/>
        </w:rPr>
        <w:br w:type="page"/>
      </w:r>
    </w:p>
    <w:p w:rsidR="00F9737F" w:rsidRPr="00850D17" w:rsidRDefault="00BF2DE2" w:rsidP="00DE7EF3">
      <w:pPr>
        <w:pStyle w:val="SingleTxt"/>
        <w:spacing w:after="0" w:line="240" w:lineRule="atLeast"/>
        <w:rPr>
          <w:sz w:val="24"/>
          <w:szCs w:val="24"/>
          <w:lang w:val="fr-CH"/>
        </w:rPr>
      </w:pPr>
      <w:r>
        <w:rPr>
          <w:noProof/>
          <w:w w:val="100"/>
          <w:lang w:val="en-GB" w:eastAsia="en-GB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6844D413" wp14:editId="3388CF18">
                <wp:simplePos x="0" y="0"/>
                <wp:positionH relativeFrom="column">
                  <wp:posOffset>1091153</wp:posOffset>
                </wp:positionH>
                <wp:positionV relativeFrom="paragraph">
                  <wp:posOffset>520700</wp:posOffset>
                </wp:positionV>
                <wp:extent cx="349835" cy="1174610"/>
                <wp:effectExtent l="0" t="0" r="0" b="698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835" cy="117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prstClr val="black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DE2" w:rsidRDefault="00BF2DE2" w:rsidP="00BF2DE2">
                            <w:pPr>
                              <w:spacing w:line="190" w:lineRule="exact"/>
                              <w:jc w:val="right"/>
                            </w:pPr>
                            <w:r>
                              <w:t xml:space="preserve">1 </w:t>
                            </w:r>
                            <w:r>
                              <w:t>600</w:t>
                            </w:r>
                          </w:p>
                          <w:p w:rsidR="00BF2DE2" w:rsidRDefault="00BF2DE2" w:rsidP="00BF2DE2">
                            <w:pPr>
                              <w:spacing w:line="190" w:lineRule="exact"/>
                              <w:jc w:val="right"/>
                            </w:pPr>
                            <w:r>
                              <w:t>1 400</w:t>
                            </w:r>
                          </w:p>
                          <w:p w:rsidR="00BF2DE2" w:rsidRDefault="00BF2DE2" w:rsidP="007764D6">
                            <w:pPr>
                              <w:spacing w:line="170" w:lineRule="exact"/>
                              <w:jc w:val="right"/>
                            </w:pPr>
                            <w:r>
                              <w:t>1 200</w:t>
                            </w:r>
                          </w:p>
                          <w:p w:rsidR="00BF2DE2" w:rsidRDefault="00BF2DE2" w:rsidP="007764D6">
                            <w:pPr>
                              <w:spacing w:line="170" w:lineRule="exact"/>
                              <w:jc w:val="right"/>
                            </w:pPr>
                            <w:r>
                              <w:t>1 000</w:t>
                            </w:r>
                          </w:p>
                          <w:p w:rsidR="00BF2DE2" w:rsidRDefault="00BF2DE2" w:rsidP="007764D6">
                            <w:pPr>
                              <w:spacing w:line="170" w:lineRule="exact"/>
                              <w:jc w:val="right"/>
                            </w:pPr>
                            <w:r>
                              <w:t>800</w:t>
                            </w:r>
                          </w:p>
                          <w:p w:rsidR="007764D6" w:rsidRDefault="007764D6" w:rsidP="007764D6">
                            <w:pPr>
                              <w:spacing w:line="170" w:lineRule="exact"/>
                              <w:jc w:val="right"/>
                            </w:pPr>
                            <w:r>
                              <w:t>600</w:t>
                            </w:r>
                          </w:p>
                          <w:p w:rsidR="00BF2DE2" w:rsidRDefault="00BF2DE2" w:rsidP="007764D6">
                            <w:pPr>
                              <w:spacing w:line="160" w:lineRule="exact"/>
                              <w:jc w:val="right"/>
                            </w:pPr>
                            <w:r>
                              <w:t>400</w:t>
                            </w:r>
                          </w:p>
                          <w:p w:rsidR="00BF2DE2" w:rsidRDefault="00BF2DE2" w:rsidP="007764D6">
                            <w:pPr>
                              <w:spacing w:line="160" w:lineRule="exact"/>
                              <w:jc w:val="right"/>
                            </w:pPr>
                            <w:r>
                              <w:t>200</w:t>
                            </w:r>
                          </w:p>
                          <w:p w:rsidR="00BF2DE2" w:rsidRDefault="00BF2DE2" w:rsidP="00BF2DE2">
                            <w:pPr>
                              <w:spacing w:line="190" w:lineRule="exact"/>
                              <w:jc w:val="right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85.9pt;margin-top:41pt;width:27.55pt;height:92.5pt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" stroked="f">
                <v:stroke joinstyle="round"/>
                <v:path arrowok="t"/>
                <v:textbox inset="0,0,0,0">
                  <w:txbxContent>
                    <w:p w:rsidR="00BF2DE2" w:rsidRDefault="00BF2DE2" w:rsidP="00BF2DE2">
                      <w:pPr>
                        <w:spacing w:line="190" w:lineRule="exact"/>
                        <w:jc w:val="right"/>
                      </w:pPr>
                      <w:r>
                        <w:t>1 600</w:t>
                      </w:r>
                    </w:p>
                    <w:p w:rsidR="00BF2DE2" w:rsidRDefault="00BF2DE2" w:rsidP="00BF2DE2">
                      <w:pPr>
                        <w:spacing w:line="190" w:lineRule="exact"/>
                        <w:jc w:val="right"/>
                      </w:pPr>
                      <w:r>
                        <w:t>1 400</w:t>
                      </w:r>
                    </w:p>
                    <w:p w:rsidR="00BF2DE2" w:rsidRDefault="00BF2DE2" w:rsidP="007764D6">
                      <w:pPr>
                        <w:spacing w:line="170" w:lineRule="exact"/>
                        <w:jc w:val="right"/>
                      </w:pPr>
                      <w:r>
                        <w:t>1 200</w:t>
                      </w:r>
                    </w:p>
                    <w:p w:rsidR="00BF2DE2" w:rsidRDefault="00BF2DE2" w:rsidP="007764D6">
                      <w:pPr>
                        <w:spacing w:line="170" w:lineRule="exact"/>
                        <w:jc w:val="right"/>
                      </w:pPr>
                      <w:r>
                        <w:t>1 000</w:t>
                      </w:r>
                    </w:p>
                    <w:p w:rsidR="00BF2DE2" w:rsidRDefault="00BF2DE2" w:rsidP="007764D6">
                      <w:pPr>
                        <w:spacing w:line="170" w:lineRule="exact"/>
                        <w:jc w:val="right"/>
                      </w:pPr>
                      <w:r>
                        <w:t>800</w:t>
                      </w:r>
                    </w:p>
                    <w:p w:rsidR="007764D6" w:rsidRDefault="007764D6" w:rsidP="007764D6">
                      <w:pPr>
                        <w:spacing w:line="170" w:lineRule="exact"/>
                        <w:jc w:val="right"/>
                      </w:pPr>
                      <w:r>
                        <w:t>600</w:t>
                      </w:r>
                    </w:p>
                    <w:p w:rsidR="00BF2DE2" w:rsidRDefault="00BF2DE2" w:rsidP="007764D6">
                      <w:pPr>
                        <w:spacing w:line="160" w:lineRule="exact"/>
                        <w:jc w:val="right"/>
                      </w:pPr>
                      <w:r>
                        <w:t>400</w:t>
                      </w:r>
                    </w:p>
                    <w:p w:rsidR="00BF2DE2" w:rsidRDefault="00BF2DE2" w:rsidP="007764D6">
                      <w:pPr>
                        <w:spacing w:line="160" w:lineRule="exact"/>
                        <w:jc w:val="right"/>
                      </w:pPr>
                      <w:r>
                        <w:t>200</w:t>
                      </w:r>
                    </w:p>
                    <w:p w:rsidR="00BF2DE2" w:rsidRDefault="00BF2DE2" w:rsidP="00BF2DE2">
                      <w:pPr>
                        <w:spacing w:line="190" w:lineRule="exact"/>
                        <w:jc w:val="right"/>
                      </w:pP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w w:val="100"/>
          <w:lang w:val="en-GB" w:eastAsia="en-GB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E1D0BEE" wp14:editId="2B5F7F55">
                <wp:simplePos x="0" y="0"/>
                <wp:positionH relativeFrom="column">
                  <wp:posOffset>3308573</wp:posOffset>
                </wp:positionH>
                <wp:positionV relativeFrom="paragraph">
                  <wp:posOffset>1647190</wp:posOffset>
                </wp:positionV>
                <wp:extent cx="645160" cy="228600"/>
                <wp:effectExtent l="146685" t="0" r="16827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33039"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prstClr val="black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EF3" w:rsidRDefault="00DE7EF3" w:rsidP="00F9737F">
                            <w:pPr>
                              <w:jc w:val="center"/>
                            </w:pPr>
                            <w:r>
                              <w:t>Власти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0" type="#_x0000_t202" style="position:absolute;left:0;text-align:left;margin-left:260.5pt;margin-top:129.7pt;width:50.8pt;height:18pt;rotation:-3459166fd;z-index:251668480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" stroked="f">
                <v:stroke joinstyle="round"/>
                <v:path arrowok="t"/>
                <v:textbox style="mso-fit-shape-to-text:t" inset="0,0,0,0">
                  <w:txbxContent>
                    <w:p w:rsidR="00DE7EF3" w:rsidRDefault="00DE7EF3" w:rsidP="00F9737F">
                      <w:pPr>
                        <w:jc w:val="center"/>
                      </w:pPr>
                      <w:r>
                        <w:t>Власти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w w:val="100"/>
          <w:lang w:val="en-GB" w:eastAsia="en-GB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9A49981" wp14:editId="0AA19121">
                <wp:simplePos x="0" y="0"/>
                <wp:positionH relativeFrom="column">
                  <wp:posOffset>2624678</wp:posOffset>
                </wp:positionH>
                <wp:positionV relativeFrom="paragraph">
                  <wp:posOffset>1694180</wp:posOffset>
                </wp:positionV>
                <wp:extent cx="645160" cy="228600"/>
                <wp:effectExtent l="146685" t="0" r="16827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33039"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prstClr val="black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EF3" w:rsidRDefault="00DE7EF3" w:rsidP="00F9737F">
                            <w:pPr>
                              <w:jc w:val="right"/>
                            </w:pPr>
                            <w:r>
                              <w:t>НРС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31" type="#_x0000_t202" style="position:absolute;left:0;text-align:left;margin-left:206.65pt;margin-top:133.4pt;width:50.8pt;height:18pt;rotation:-3459166fd;z-index:25166643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" stroked="f">
                <v:stroke joinstyle="round"/>
                <v:path arrowok="t"/>
                <v:textbox style="mso-fit-shape-to-text:t" inset="0,0,0,0">
                  <w:txbxContent>
                    <w:p w:rsidR="00DE7EF3" w:rsidRDefault="00DE7EF3" w:rsidP="00F9737F">
                      <w:pPr>
                        <w:jc w:val="right"/>
                      </w:pPr>
                      <w:r>
                        <w:t>НРС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w w:val="100"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349595B" wp14:editId="5FF5E501">
                <wp:simplePos x="0" y="0"/>
                <wp:positionH relativeFrom="column">
                  <wp:posOffset>1474470</wp:posOffset>
                </wp:positionH>
                <wp:positionV relativeFrom="paragraph">
                  <wp:posOffset>1619027</wp:posOffset>
                </wp:positionV>
                <wp:extent cx="476250" cy="228600"/>
                <wp:effectExtent l="138430" t="13970" r="119380" b="508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33039">
                          <a:off x="0" y="0"/>
                          <a:ext cx="476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prstClr val="black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EF3" w:rsidRDefault="00DE7EF3" w:rsidP="00F9737F">
                            <w:pPr>
                              <w:jc w:val="right"/>
                            </w:pPr>
                            <w:r>
                              <w:t>ВСДРК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32" type="#_x0000_t202" style="position:absolute;left:0;text-align:left;margin-left:116.1pt;margin-top:127.5pt;width:37.5pt;height:18pt;rotation:-3459166fd;z-index:251662336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" stroked="f">
                <v:stroke joinstyle="round"/>
                <v:path arrowok="t"/>
                <v:textbox style="mso-fit-shape-to-text:t" inset="0,0,0,0">
                  <w:txbxContent>
                    <w:p w:rsidR="00DE7EF3" w:rsidRDefault="00DE7EF3" w:rsidP="00F9737F">
                      <w:pPr>
                        <w:jc w:val="right"/>
                      </w:pPr>
                      <w:r>
                        <w:t>ВСДРК</w:t>
                      </w:r>
                    </w:p>
                  </w:txbxContent>
                </v:textbox>
              </v:shape>
            </w:pict>
          </mc:Fallback>
        </mc:AlternateContent>
      </w:r>
      <w:r w:rsidR="00F9737F">
        <w:rPr>
          <w:noProof/>
          <w:w w:val="100"/>
          <w:lang w:val="en-GB" w:eastAsia="en-GB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75F353F" wp14:editId="1A8AA295">
                <wp:simplePos x="0" y="0"/>
                <wp:positionH relativeFrom="column">
                  <wp:posOffset>3683000</wp:posOffset>
                </wp:positionH>
                <wp:positionV relativeFrom="paragraph">
                  <wp:posOffset>1775683</wp:posOffset>
                </wp:positionV>
                <wp:extent cx="841349" cy="228600"/>
                <wp:effectExtent l="212725" t="15875" r="210185" b="6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270288">
                          <a:off x="0" y="0"/>
                          <a:ext cx="841349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prstClr val="black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EF3" w:rsidRDefault="00DE7EF3" w:rsidP="00F9737F">
                            <w:pPr>
                              <w:spacing w:line="200" w:lineRule="exact"/>
                              <w:jc w:val="center"/>
                            </w:pPr>
                            <w:r>
                              <w:t>Вооруженные</w:t>
                            </w:r>
                            <w:r>
                              <w:br/>
                            </w:r>
                            <w:r>
                              <w:t>группировки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33" type="#_x0000_t202" style="position:absolute;left:0;text-align:left;margin-left:290pt;margin-top:139.8pt;width:66.25pt;height:18pt;rotation:-3636933fd;z-index:251670528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" stroked="f">
                <v:stroke joinstyle="round"/>
                <v:path arrowok="t"/>
                <v:textbox style="mso-fit-shape-to-text:t" inset="0,0,0,0">
                  <w:txbxContent>
                    <w:p w:rsidR="00DE7EF3" w:rsidRDefault="00DE7EF3" w:rsidP="00F9737F">
                      <w:pPr>
                        <w:spacing w:line="200" w:lineRule="exact"/>
                        <w:jc w:val="center"/>
                      </w:pPr>
                      <w:r>
                        <w:t>Вооруже</w:t>
                      </w:r>
                      <w:r>
                        <w:t>н</w:t>
                      </w:r>
                      <w:r>
                        <w:t>ные</w:t>
                      </w:r>
                      <w:r>
                        <w:br/>
                        <w:t>групп</w:t>
                      </w:r>
                      <w:r>
                        <w:t>и</w:t>
                      </w:r>
                      <w:r>
                        <w:t>ровки</w:t>
                      </w:r>
                    </w:p>
                  </w:txbxContent>
                </v:textbox>
              </v:shape>
            </w:pict>
          </mc:Fallback>
        </mc:AlternateContent>
      </w:r>
      <w:r w:rsidR="00F9737F">
        <w:rPr>
          <w:noProof/>
          <w:w w:val="100"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38BE8CC" wp14:editId="396EBC91">
                <wp:simplePos x="0" y="0"/>
                <wp:positionH relativeFrom="column">
                  <wp:posOffset>2025855</wp:posOffset>
                </wp:positionH>
                <wp:positionV relativeFrom="paragraph">
                  <wp:posOffset>1689735</wp:posOffset>
                </wp:positionV>
                <wp:extent cx="645793" cy="228600"/>
                <wp:effectExtent l="146685" t="0" r="16827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33039">
                          <a:off x="0" y="0"/>
                          <a:ext cx="645793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prstClr val="black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EF3" w:rsidRDefault="00DE7EF3" w:rsidP="00F9737F">
                            <w:pPr>
                              <w:jc w:val="right"/>
                            </w:pPr>
                            <w:r>
                              <w:t>НПК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4" type="#_x0000_t202" style="position:absolute;left:0;text-align:left;margin-left:159.5pt;margin-top:133.05pt;width:50.85pt;height:18pt;rotation:-3459166fd;z-index:25166438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" stroked="f">
                <v:stroke joinstyle="round"/>
                <v:path arrowok="t"/>
                <v:textbox style="mso-fit-shape-to-text:t" inset="0,0,0,0">
                  <w:txbxContent>
                    <w:p w:rsidR="00DE7EF3" w:rsidRDefault="00DE7EF3" w:rsidP="00F9737F">
                      <w:pPr>
                        <w:jc w:val="right"/>
                      </w:pPr>
                      <w:r>
                        <w:t>НПК</w:t>
                      </w:r>
                    </w:p>
                  </w:txbxContent>
                </v:textbox>
              </v:shape>
            </w:pict>
          </mc:Fallback>
        </mc:AlternateContent>
      </w:r>
      <w:r w:rsidR="00F9737F">
        <w:rPr>
          <w:noProof/>
          <w:lang w:val="en-GB" w:eastAsia="en-GB"/>
        </w:rPr>
        <w:drawing>
          <wp:inline distT="0" distB="0" distL="0" distR="0" wp14:anchorId="3C3AD9BB" wp14:editId="38BFBAC5">
            <wp:extent cx="4590415" cy="2562225"/>
            <wp:effectExtent l="0" t="0" r="19685" b="9525"/>
            <wp:docPr id="4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7764D6" w:rsidP="00F9737F">
      <w:pPr>
        <w:pStyle w:val="FootnoteText"/>
        <w:tabs>
          <w:tab w:val="right" w:pos="1476"/>
          <w:tab w:val="left" w:pos="1548"/>
          <w:tab w:val="right" w:pos="1836"/>
          <w:tab w:val="left" w:pos="1908"/>
        </w:tabs>
        <w:ind w:left="1548" w:right="1267" w:hanging="288"/>
      </w:pPr>
      <w:r>
        <w:rPr>
          <w:i/>
          <w:iCs/>
        </w:rPr>
        <w:tab/>
      </w:r>
      <w:r w:rsidR="00F9737F" w:rsidRPr="00F9737F">
        <w:rPr>
          <w:i/>
          <w:iCs/>
        </w:rPr>
        <w:t>Источник:</w:t>
      </w:r>
      <w:r w:rsidR="00F9737F">
        <w:t xml:space="preserve"> Д</w:t>
      </w:r>
      <w:r w:rsidR="00F9737F" w:rsidRPr="00F9737F">
        <w:t>анные СОПЧООН.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SingleTxt"/>
      </w:pPr>
      <w:r>
        <w:t>30.</w:t>
      </w:r>
      <w:r>
        <w:tab/>
        <w:t xml:space="preserve">В рамках координации со стороны ЮНФПА несколько партнеров, в частности СОПЧООН, организация «Излечим Африку», Международный комитет спасения, организация «Дети в опасности» и ЮНИСЕФ, при поддержке государств-членов создали и передали правительству (Министерству гендерного равенства, по делам семьи и детей) базу данных о сексуальном насилии, совершенном в 2010–2014 годах. Целью этой официальной базы данных является составление карты и координация деятельности международного сообщества в девяти провинциях. Основным препятствием к обновлению данных является нежелание некоторых партнеров делиться информацией, которая, по их мнению, принадлежит только им. </w:t>
      </w:r>
    </w:p>
    <w:p w:rsidR="00F9737F" w:rsidRDefault="00F9737F" w:rsidP="00F9737F">
      <w:pPr>
        <w:pStyle w:val="SingleTxt"/>
      </w:pPr>
      <w:r>
        <w:t>31.</w:t>
      </w:r>
      <w:r>
        <w:tab/>
        <w:t>Начиная с 2012 года СОПЧООН помогает Министерству юстиции и по правам человека консолидировать данные о решениях, вынесенных национальными судебными органами по делам о сексуальном насилии. Эта помощь состоит в разработке инструментов сбора данных, анализе данных и подготовке статистических отчетов. СОПЧООН предоставило в распоряжение министерства материальные ресурсы и направило туда эксперта для руководства базой данных. Другие субъекты Организации Объединенных Наций и СОПЧООН с трудом координируют свои усилия по оказанию министерству аналогичной помощи. Более эффективная координация различных видов деятельности со стороны Министерства юстиции и по правам человека должна способствовать позитивному выходу из этой ситуации.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B.</w:t>
      </w:r>
      <w:r>
        <w:tab/>
        <w:t>Укрепление национальной системы защиты прав человека и сотрудничество с международными правозащитными механизмами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1.</w:t>
      </w:r>
      <w:r>
        <w:tab/>
        <w:t>Ратификация международных и региональных конвенций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SingleTxt"/>
      </w:pPr>
      <w:r>
        <w:t>32.</w:t>
      </w:r>
      <w:r>
        <w:tab/>
        <w:t>По просьбам международных субъектов Демократическая Республика Конго в течение рассматриваемого периода присоединилась к новым международным и региональным договорам о правах человека, таким как:</w:t>
      </w:r>
    </w:p>
    <w:p w:rsidR="00F9737F" w:rsidRDefault="00F9737F" w:rsidP="00F9737F">
      <w:pPr>
        <w:pStyle w:val="Bullet1"/>
      </w:pPr>
      <w:r>
        <w:t xml:space="preserve">Протокол к Африканской хартии прав человека и народов, касающийся прав женщин в странах Африки (в июне 2008 года); Африканская хартия по вопросам демократии, выборов и управления и Африканская хартия прав и благосостояния ребенка (подписаны в июне </w:t>
      </w:r>
      <w:r w:rsidR="002B2196">
        <w:t>2008 года и в феврале 2014 года</w:t>
      </w:r>
      <w:r>
        <w:t xml:space="preserve"> соответственно); </w:t>
      </w:r>
    </w:p>
    <w:p w:rsidR="00F9737F" w:rsidRDefault="00F9737F" w:rsidP="00F9737F">
      <w:pPr>
        <w:pStyle w:val="Bullet1"/>
      </w:pPr>
      <w:r>
        <w:t xml:space="preserve">Факультативный протокол к Конвенции против пыток и других жестоких, бесчеловечных или унижающих достоинство видов обращения и наказания (в сентябре 2010 года); </w:t>
      </w:r>
    </w:p>
    <w:p w:rsidR="00F9737F" w:rsidRDefault="00F9737F" w:rsidP="00F9737F">
      <w:pPr>
        <w:pStyle w:val="Bullet1"/>
      </w:pPr>
      <w:r>
        <w:t xml:space="preserve">в 2013 году был принят закон, разрешающий ратификацию Конвенции о правах инвалидов, и в настоящее время идет процесс ее ратификации. </w:t>
      </w:r>
    </w:p>
    <w:p w:rsidR="00F9737F" w:rsidRDefault="00F9737F" w:rsidP="00F9737F">
      <w:pPr>
        <w:pStyle w:val="SingleTxt"/>
      </w:pPr>
      <w:r>
        <w:t>33.</w:t>
      </w:r>
      <w:r>
        <w:tab/>
        <w:t>Демократическая Республика Конго пока не является участницей следующих договоров:</w:t>
      </w:r>
    </w:p>
    <w:p w:rsidR="00F9737F" w:rsidRDefault="00F9737F" w:rsidP="00F9737F">
      <w:pPr>
        <w:pStyle w:val="Bullet1"/>
      </w:pPr>
      <w:r>
        <w:t>Международной конвенции о защите прав всех трудящихся-мигрантов и членов их семей;</w:t>
      </w:r>
    </w:p>
    <w:p w:rsidR="00F9737F" w:rsidRDefault="00F9737F" w:rsidP="00F9737F">
      <w:pPr>
        <w:pStyle w:val="Bullet1"/>
      </w:pPr>
      <w:r>
        <w:t>Международной конвенции для защиты всех лиц от насильственных исчезновений;</w:t>
      </w:r>
    </w:p>
    <w:p w:rsidR="00F9737F" w:rsidRDefault="00F9737F" w:rsidP="00F9737F">
      <w:pPr>
        <w:pStyle w:val="Bullet1"/>
      </w:pPr>
      <w:r>
        <w:t xml:space="preserve">второго Факультативного протокола к Международному пакту о гражданских и политических правах, направленного на отмену смертной казни; </w:t>
      </w:r>
    </w:p>
    <w:p w:rsidR="00F9737F" w:rsidRDefault="00F9737F" w:rsidP="00F9737F">
      <w:pPr>
        <w:pStyle w:val="Bullet1"/>
      </w:pPr>
      <w:r>
        <w:t>Факультативного протокола к Международному пакту об экономических, социальных и культурных правах;</w:t>
      </w:r>
    </w:p>
    <w:p w:rsidR="00F9737F" w:rsidRDefault="00F9737F" w:rsidP="00F9737F">
      <w:pPr>
        <w:pStyle w:val="Bullet1"/>
      </w:pPr>
      <w:r>
        <w:t xml:space="preserve">Факультативного протокола к Конвенции о ликвидации всех форм дискриминации в отношении женщин; </w:t>
      </w:r>
    </w:p>
    <w:p w:rsidR="00F9737F" w:rsidRDefault="00F9737F" w:rsidP="00F9737F">
      <w:pPr>
        <w:pStyle w:val="Bullet1"/>
      </w:pPr>
      <w:r>
        <w:t xml:space="preserve">Факультативного протокола к Конвенции о правах ребенка, касающегося процедуры сообщений. 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2.</w:t>
      </w:r>
      <w:r>
        <w:tab/>
        <w:t>Представление докладов договорным органам и универсальному периодическому обзору и сотрудничество со специальными процедурами Организации Объединенных Наций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SingleTxt"/>
      </w:pPr>
      <w:r>
        <w:t>34.</w:t>
      </w:r>
      <w:r>
        <w:tab/>
        <w:t>В своем докладе о миссии в Демократическую Республику Конго (A/HRC/13/22/Add.2) в 2009 году Специальный докладчик по вопросу о положении правозащитников рекомендовала расширить возможности Межведомственного технического комитета по разработке и контролю за выполнением первоначальных и периодических докладов о правах человека (МКПЧ) в целях содействия своевременному представлению докладов.</w:t>
      </w:r>
    </w:p>
    <w:p w:rsidR="00F9737F" w:rsidRDefault="00F9737F" w:rsidP="00F9737F">
      <w:pPr>
        <w:pStyle w:val="SingleTxt"/>
      </w:pPr>
      <w:r>
        <w:t>35.</w:t>
      </w:r>
      <w:r>
        <w:tab/>
        <w:t xml:space="preserve">В 2011–2012 годах объединенные периодические доклады Комитету по правам ребенка, Комитету по ликвидации дискриминации в отношении женщин и Комитету по правам человека были представлены благодаря поддержке, оказанной МКПЧ СОПЧООН, ПРООН и ЮНИСЕФ. </w:t>
      </w:r>
    </w:p>
    <w:p w:rsidR="00F9737F" w:rsidRDefault="00F9737F" w:rsidP="00F9737F">
      <w:pPr>
        <w:pStyle w:val="SingleTxt"/>
      </w:pPr>
      <w:r>
        <w:t>36.</w:t>
      </w:r>
      <w:r>
        <w:tab/>
        <w:t xml:space="preserve">Остаются непредставленными доклады Комитету против пыток (с 2009 года), Комитету по ликвидации расовой дискриминации (с 2011 года) и Комитету по экономическим, социальным и культурным правам (с 2013 года). </w:t>
      </w:r>
    </w:p>
    <w:p w:rsidR="00F9737F" w:rsidRDefault="00F9737F" w:rsidP="00F9737F">
      <w:pPr>
        <w:pStyle w:val="SingleTxt"/>
      </w:pPr>
      <w:r>
        <w:t>37.</w:t>
      </w:r>
      <w:r>
        <w:tab/>
        <w:t>В рамках участия Демократической Республики Конго в универсальном периодическом обзоре (УПО) в 2009 и 2014 годах СОПЧООН оказывало МКПЧ техническую и финансовую поддержку в представлении страновых докладов. По окончании второго цикла УПО страна согласилась со 190 рекомендациями и приняла к сведению еще 39 рекомендаций</w:t>
      </w:r>
      <w:r w:rsidRPr="00F9737F">
        <w:rPr>
          <w:rStyle w:val="FootnoteReference"/>
        </w:rPr>
        <w:footnoteReference w:id="6"/>
      </w:r>
      <w:r>
        <w:t>. Поддержка со стороны СОПЧООН позволила разработать план выполнения рекомендаций, в том числе благодаря финансированию Добровольного фонда по оказанию финансовой и технической помощи, направленному на осуществление рекомендаций, вынесенных по итогам УПО.</w:t>
      </w:r>
    </w:p>
    <w:p w:rsidR="00F9737F" w:rsidRDefault="00F9737F" w:rsidP="002B2196">
      <w:pPr>
        <w:pStyle w:val="SingleTxt"/>
      </w:pPr>
      <w:r>
        <w:t>38.</w:t>
      </w:r>
      <w:r>
        <w:tab/>
        <w:t xml:space="preserve">В течение рассматриваемого периода Демократическая Республика Конго зарегистрировала </w:t>
      </w:r>
      <w:r w:rsidR="002B2196">
        <w:t>5</w:t>
      </w:r>
      <w:r>
        <w:t xml:space="preserve"> посещений со стороны специальных процедур</w:t>
      </w:r>
      <w:r w:rsidRPr="00F9737F">
        <w:rPr>
          <w:rStyle w:val="FootnoteReference"/>
        </w:rPr>
        <w:footnoteReference w:id="7"/>
      </w:r>
      <w:r>
        <w:t xml:space="preserve"> в дополнение к более чем 11 посещениям, зарегистрированным до 2008 года. УВКПЧ оказало необходимую поддержку в организации этих визитов.</w:t>
      </w:r>
    </w:p>
    <w:p w:rsidR="00F9737F" w:rsidRDefault="00F9737F" w:rsidP="00F9737F">
      <w:pPr>
        <w:pStyle w:val="SingleTxt"/>
      </w:pPr>
      <w:r>
        <w:t>39.</w:t>
      </w:r>
      <w:r>
        <w:tab/>
        <w:t>Гражданское общество представило альтернативные доклады Комитету по правам ребенка, Комитету по ликвидации дискриминации в отношении женщин и Африканской комиссии по правам человека и народов, а также УПО 2014 года. Техническая и финансовая поддержка со стороны СОПЧООН, Центра Картера и Центра по гражданским и политическим правам в Демократической Республике Конго способствовала разработке плана выполнения рекомендаций, вынесенных вышеуказанными органами.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3.</w:t>
      </w:r>
      <w:r>
        <w:tab/>
        <w:t>Правовая и институциональная база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SingleTxt"/>
      </w:pPr>
      <w:r>
        <w:t>40.</w:t>
      </w:r>
      <w:r>
        <w:tab/>
        <w:t xml:space="preserve">В докладе о миссии Специального докладчика по вопросу о положении правозащитников 2009 года поднимается вопрос о пробелах в конголезском законодательстве, в частности об отсутствии законов о защите правозащитников, об ограничении военной юрисдикции рассмотрением дел о преступлениях, совершенных личным составом вооруженных сил и сотрудниками полиции, в соответствии со статьей 156 Конституции 2006 года, и об отсутствии законов о защите жертв и свидетелей, в соответствии со статьей 68 Римского статута, ратифицированного Демократической Республикой Конго в 2002 году. </w:t>
      </w:r>
    </w:p>
    <w:p w:rsidR="00F9737F" w:rsidRDefault="00F9737F" w:rsidP="00F9737F">
      <w:pPr>
        <w:pStyle w:val="SingleTxt"/>
      </w:pPr>
      <w:r>
        <w:t>41.</w:t>
      </w:r>
      <w:r>
        <w:tab/>
        <w:t>Благодаря разъяснительной работе и технической помощи международного сообщества правительство приняло важные законодательные и подзаконные акты, в частности органический закон № 13/011B от 11 апреля 2013 года о порядке создания, деятельности и компетенции юрисдикций, образующих судебно-правовую структуру, который наделяет апелляционные суды правом принимать к производству дела о преступлениях геноцида, военных преступлениях и преступлениях против человечности, и органический закон № 13/011 об учреждении, организации и функционировании Национальной комиссии по правам человека (НКПЧ), утвержденный в 2013 году в соответствии с Парижскими принципами</w:t>
      </w:r>
      <w:r w:rsidRPr="00F9737F">
        <w:rPr>
          <w:rStyle w:val="FootnoteReference"/>
        </w:rPr>
        <w:footnoteReference w:id="8"/>
      </w:r>
      <w:r>
        <w:t>. Другие вновь принятые нормативные акты касаются создания системы отправления правосудия в отношении несовершеннолетних и квалификации пыток в качестве уголовного преступления. Тем не менее для принятия еще ряда законодательных актов, в том числе по вопросу о защите жертв и свидетелей, а также правозащитников, необходимо приложить дополнительные усилия.</w:t>
      </w:r>
    </w:p>
    <w:p w:rsidR="00F9737F" w:rsidRDefault="00F9737F" w:rsidP="00F9737F">
      <w:pPr>
        <w:pStyle w:val="SingleTxt"/>
      </w:pPr>
      <w:r>
        <w:t>42.</w:t>
      </w:r>
      <w:r>
        <w:tab/>
        <w:t>Механизм связи по правам человека, созданный в 2009 году и состоящий из национальных экспертов, СОПЧООН и нескольких международных и местных НПО, отвечает, в частности, за вынесение предложений по поводу необходимых направлений защиты прав человека, обеспечение контроля за выполнением национального плана поощрения и защиты прав человека и наблюдение за разработкой первоначальных и периодических докладов по правам человека. С момента своего создания Механизм связи так и не начал работать, несмотря на то, что в 2010 и 2012 годах было назначено несколько его членов. Между Механизмом связи и некоторыми функциями НКПЧ существует конфликт полномочий, в частности в отношении изучения проблем, лежащих в основе нарушений прав человека, и предложения вариантов их решения, а также в отношении оценки национальной деятельности в сфере прав человека. Подобная ситуация могла бы послужить причиной соперничества между двумя учреждениями, особенно в плане финансирования. Так же обстоит дело между Национальной комиссией по подготовке к проведению универсального периодического обзора и последующим мероприятиям в связи с ним и МКПЧ, поскольку оба органа отвечают за представление докладов правозащитным механизмам и контроль за выполнением их рекомендаций. С учетом того, что указанная комиссия так и не начала работать, ее функции можно было бы объединить с функциями МКПЧ.</w:t>
      </w:r>
    </w:p>
    <w:p w:rsidR="00F9737F" w:rsidRDefault="00F9737F" w:rsidP="00F9737F">
      <w:pPr>
        <w:pStyle w:val="SingleTxt"/>
      </w:pPr>
      <w:r>
        <w:t>43.</w:t>
      </w:r>
      <w:r>
        <w:tab/>
        <w:t>Результатом технической помощи, оказанной организацией «Адвокаты без границ», СОПЧООН, правозащитной организацией «Хьюман райтс уотч» и ИООЮА, стало принятие в 2011 году министерского постановления о создании Отдела по вопросам защиты правозащитников. Эта структура практически не функционирует из-за недостатка ресурсов. Кроме того, отсутствие закона о защите правозащитников является препятствием к обеспечению их правовой защиты.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C.</w:t>
      </w:r>
      <w:r>
        <w:tab/>
        <w:t>Защита гражданского населения в условиях вооруженного конфликта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SingleTxt"/>
      </w:pPr>
      <w:r>
        <w:t>44.</w:t>
      </w:r>
      <w:r>
        <w:tab/>
        <w:t>Деятельность вооруженных группировок на востоке Демократической Республики Конго представляет значительную угрозу для защиты гражданских лиц и влечет за собой многочисленные нарушения прав человека и массовые перемещения населения. Вооруженные группировки, стремящиеся распространить свое влияние и контроль на богатые территории, без колебаний нападают на мирных жителей. Кроме того, в условиях операций против этих вооруженных группировок члены конголезских сил обороны и безопасности иногда нарушают права человека и нормы международного гуманитарного права.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1.</w:t>
      </w:r>
      <w:r>
        <w:tab/>
        <w:t>Защита гражданского населения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SingleTxt"/>
      </w:pPr>
      <w:r>
        <w:t>45.</w:t>
      </w:r>
      <w:r>
        <w:tab/>
        <w:t>Обеспечение безопасности людей и их имущества остается одной из проблем в зонах, переживающих конфликт и восстанавливающихся после него. Отвечая на этот вызов, международное сообщество способствовало созданию механизмов защиты гражданского населения на востоке страны:</w:t>
      </w:r>
    </w:p>
    <w:p w:rsidR="00F9737F" w:rsidRDefault="00F9737F" w:rsidP="00F9737F">
      <w:pPr>
        <w:pStyle w:val="Bullet1"/>
      </w:pPr>
      <w:r>
        <w:t>в 2009–2014 годах СОПЧООН в сотрудничестве с МООНСДРК организовало порядка 312 смешанных групп защиты для предотвращения нападений на мирных жителей на востоке страны. Эти группы разработали планы защиты различных населенных пунктов и провели 117 019 совместных патрулирований;</w:t>
      </w:r>
    </w:p>
    <w:p w:rsidR="00F9737F" w:rsidRDefault="00F9737F" w:rsidP="00F9737F">
      <w:pPr>
        <w:pStyle w:val="Bullet1"/>
      </w:pPr>
      <w:r>
        <w:t>в 2013–2014 годах Секция по гражданским вопросам МООНСДРК и СОПЧООН оказывали многочисленным общинам поддержку в разработке более чем 49 планов защиты мирных жителей. В течение этого периода Секция по гражданским вопросам МООНСДРК развернула в затронутых общинах 40 младших сотрудников по связи;</w:t>
      </w:r>
    </w:p>
    <w:p w:rsidR="00F9737F" w:rsidRDefault="00F9737F" w:rsidP="00F9737F">
      <w:pPr>
        <w:pStyle w:val="Bullet1"/>
      </w:pPr>
      <w:r>
        <w:t>в течение рассматриваемого периода МООНСДРК, Католическая служба помощи и организация «Каритас» обеспечили наличие более 900 мобильных телефонов и восстановили сети высокочастотной радиосвязи в Экваториальной провинции, Катанге, Северном Киву, Восточной провинции и Южном Киву. Благодаря этой помощи деятельность ВСДРК и сил МООНСДРК позволила защитить гражданское население;</w:t>
      </w:r>
    </w:p>
    <w:p w:rsidR="00F9737F" w:rsidRDefault="00F9737F" w:rsidP="00F9737F">
      <w:pPr>
        <w:pStyle w:val="Bullet1"/>
      </w:pPr>
      <w:r>
        <w:t>в 2011–2012 годах СОПЧООН создало 93 отдела оповещения, анализа и быстрого реагирования сил МООНСДРК, которые получили 1 890 тревожных сигналов об угрозах вооруженных нападений на мирных жителей.</w:t>
      </w:r>
    </w:p>
    <w:p w:rsidR="00F9737F" w:rsidRDefault="00F9737F" w:rsidP="00F9737F">
      <w:pPr>
        <w:pStyle w:val="SingleTxt"/>
      </w:pPr>
      <w:r>
        <w:t>46.</w:t>
      </w:r>
      <w:r>
        <w:tab/>
        <w:t>Несмотря на зарегистрированные результаты и принятие гуманитарными субъектами в 2013 году директивы о гражданской и военной координации, включающей в себя обмен информацией и расширенную стратегию Организации Объединенных Наций в области защиты гражданского населения, между гуманитарными субъектами, СОПЧООН и силами МООНСДРК по-прежнему наблюдается недостаточная координация в плане обмена информацией и предотвращения угрозы вооруженных нападений на мирных жителей. Некоторые члены рабочей группы по вопросам защиты неохотно делятся информацией из-за буквального прочтения гуманитарных принципов (нейтральность и беспристрастность) с момента включения в состав МООНСДРК в 2013 году оперативной бригады, которая получила мандат на реагирование на угрозы нападения на гражданских лиц.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2.</w:t>
      </w:r>
      <w:r>
        <w:tab/>
        <w:t>Защита детей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SingleTxt"/>
      </w:pPr>
      <w:r>
        <w:t>47.</w:t>
      </w:r>
      <w:r>
        <w:tab/>
        <w:t>4 октября 2012 года правительство и специальная группа Организации Объединенных Наций по вопросу о детях в условиях вооруженных конфликтов подписали план действий по борьбе с вербовкой и использованием детей вооруженными силами и группировками, как предписывается резолюциями 1539 (2004), 1612 (2005), 1882 (2009) и 1998 (2011) Совета Безопасности. Для реализации плана действий были учреждены межведомственный комитет и совместная техническая рабочая группа, в состав которой вошли представители правительства и специализированных учреждений Организации Объединенных Наций</w:t>
      </w:r>
      <w:r w:rsidRPr="00F9737F">
        <w:rPr>
          <w:rStyle w:val="FootnoteReference"/>
        </w:rPr>
        <w:footnoteReference w:id="9"/>
      </w:r>
      <w:r>
        <w:t xml:space="preserve">. Секция по вопросам защиты детей МООНСДРК обеспечивает координацию деятельности совместной технической рабочей группы и участвует в выявлении и изъятии детей у вооруженных группировок. </w:t>
      </w:r>
    </w:p>
    <w:p w:rsidR="00F9737F" w:rsidRDefault="00F9737F" w:rsidP="00F9737F">
      <w:pPr>
        <w:pStyle w:val="SingleTxt"/>
      </w:pPr>
      <w:r>
        <w:t>48.</w:t>
      </w:r>
      <w:r>
        <w:tab/>
        <w:t>В соответствии с содержащимся в документе A/69/926–S/2015/409 (2015) докладом Генерального секретаря Совету Безопасности о детях в условиях вооруженного конфликта в 2014 году в Восточной провинции и Северном и Южном Киву из вооруженных группировок были изъяты по меньшей мере 1 030 детей (973 мальчика и 57 девочек).</w:t>
      </w:r>
    </w:p>
    <w:p w:rsidR="00F9737F" w:rsidRDefault="00F9737F" w:rsidP="00F9737F">
      <w:pPr>
        <w:pStyle w:val="SingleTxt"/>
      </w:pPr>
      <w:r>
        <w:t>49.</w:t>
      </w:r>
      <w:r>
        <w:tab/>
        <w:t>В 2014 году ЮНИСЕФ и его партнеры оказали всеобъемлющую помощь 863 детям, пострадавшим от сексуального насилия.</w:t>
      </w:r>
    </w:p>
    <w:p w:rsidR="00F9737F" w:rsidRDefault="00F9737F" w:rsidP="00F9737F">
      <w:pPr>
        <w:pStyle w:val="SingleTxt"/>
      </w:pPr>
      <w:r>
        <w:t>50.</w:t>
      </w:r>
      <w:r>
        <w:tab/>
        <w:t>В 2012–2014 годах британское отделение организации «Дети войны» поддерживало создание контактного центра, охватывающего провинции Северное и Южное Киву и Киншасу, и его передачу Министерству гендерного равенства, по делам семьи и детей. Этот центр оказывает поддержку детям, которые были демобилизованы вооруженными группировками или стали жертвами сексуального насилия. В 2013–2014 годах работники социальной сферы из Отдела по социальным вопросам провинции Северное Киву приняли и обработали 10 945 звонков. В марте 2015 года Специальный представитель главы государства, занимающийся борьбой против сексуального насилия и вербовки детей-солдат, инициировала аналогичную инициативу на национальном уровне. Для более эффективной координации помощи, оказываемой детям, важно обеспечить взаимную дополняемость обоих механизмов.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3.</w:t>
      </w:r>
      <w:r>
        <w:tab/>
        <w:t>Защита внутренне перемещенных лиц и возвращенцев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SingleTxt"/>
      </w:pPr>
      <w:r>
        <w:t>51.</w:t>
      </w:r>
      <w:r>
        <w:tab/>
        <w:t>По данным Управления по координации гуманитарных вопросов (УКГВ), в 2014 году было зарегистрировано порядка 2,7 млн. человек, перемещенных в пределах конголезской территории, и 1,4 млн. возвращенцев</w:t>
      </w:r>
      <w:r w:rsidRPr="00F9737F">
        <w:rPr>
          <w:rStyle w:val="FootnoteReference"/>
        </w:rPr>
        <w:footnoteReference w:id="10"/>
      </w:r>
      <w:r>
        <w:t>.</w:t>
      </w:r>
    </w:p>
    <w:p w:rsidR="00F9737F" w:rsidRDefault="00F9737F" w:rsidP="00F9737F">
      <w:pPr>
        <w:pStyle w:val="SingleTxt"/>
      </w:pPr>
      <w:r>
        <w:t>52.</w:t>
      </w:r>
      <w:r>
        <w:tab/>
        <w:t>Разрешение земельных конфликтов, связанных с возвращением перемещенных лиц в места своего происхождения, подтолкнуло Управление Верховного комиссара Организации Объединенных Наций по делам беженцев (УВКБ) поддержать учреждение местных постоянных комитетов по примирению, более 700 из которых были созданы на востоке страны. В 2013–2014 годах порядка 70% земельных конфликтов были разрешены, 20% переданы в судебные инстанции, а 10% остались неурегулированными.</w:t>
      </w:r>
    </w:p>
    <w:p w:rsidR="00F9737F" w:rsidRDefault="00F9737F" w:rsidP="00F9737F">
      <w:pPr>
        <w:pStyle w:val="SingleTxt"/>
      </w:pPr>
      <w:r>
        <w:t>53.</w:t>
      </w:r>
      <w:r>
        <w:tab/>
        <w:t>С октября 2010 года по январь 2014 года Международный комитет развития народов в провинции Нижнее Конго оказывал – при посредстве местных НПО – продовольственную, медицинскую и материально-техническую помощь 10 000 конголезцев, высланных из Анголы. Краткосрочность этих проектов и скудость финансирования не позволяют надеяться на стабильность полученных результатов.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4.</w:t>
      </w:r>
      <w:r>
        <w:tab/>
        <w:t>Защита коренных народов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SingleTxt"/>
      </w:pPr>
      <w:r>
        <w:t>54.</w:t>
      </w:r>
      <w:r>
        <w:tab/>
        <w:t>Согласно ДСРСН 2011–2015 годов, 80% дел, рассматриваемых в судах и трибуналах, касаются земельных конфликтов. Начиная с 2012 года межобщинные конфликты между этническими группами луба и тва (коренные народы) в провинции Катанга (Кабало, Калеми, Конголо, Маноно, Моба и Ньюнзу) приобрели постоянный характер и стали причиной перемещения порядка 4 000 представителей народности тва. Эти конфликты берут начало в дискриминации в отношении этнической группы тва, в том числе в плане доступа к земельной собственности. УВКБ при посредстве своего партнера по работе – организации «Поиск взаимопонимания» – повысил осведомленность внутренне перемещенных лиц и возвращенцев о возможности мирного сосуществования. Результатом диалога между общинами и органами местного самоуправления, начатого при технической поддержке со стороны СОПЧООН и УВКБ, стало затишье в Калеми.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D.</w:t>
      </w:r>
      <w:r>
        <w:tab/>
        <w:t>Экономические и социальные права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SingleTxt"/>
      </w:pPr>
      <w:r>
        <w:t>55.</w:t>
      </w:r>
      <w:r>
        <w:tab/>
        <w:t>Демократическая Республика Конго располагает значительными природными ресурсами, которые зачастую становятся объектом незаконной эксплуатации. Данная ситуация остается одной из основных причин конфликтов и нарушений прав человека, в том числе экономических и социальных</w:t>
      </w:r>
      <w:r w:rsidRPr="00F9737F">
        <w:rPr>
          <w:rStyle w:val="FootnoteReference"/>
        </w:rPr>
        <w:footnoteReference w:id="11"/>
      </w:r>
      <w:r>
        <w:t>. Деятельность международных субъектов касается, в частности, доступа к здравоохранению и наращивания потенциала общин в целях их участия в разработке местных планов развития, направленных на более эффективную реализацию их социальных и экономических прав.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1.</w:t>
      </w:r>
      <w:r>
        <w:tab/>
        <w:t>Доступ к базовому медико-санитарному обслуживанию</w:t>
      </w:r>
    </w:p>
    <w:p w:rsidR="00F9737F" w:rsidRPr="00F9737F" w:rsidRDefault="00F9737F" w:rsidP="00F9737F">
      <w:pPr>
        <w:pStyle w:val="SingleTxt"/>
        <w:keepNext/>
        <w:keepLines/>
        <w:spacing w:after="0" w:line="120" w:lineRule="exact"/>
        <w:rPr>
          <w:sz w:val="10"/>
        </w:rPr>
      </w:pPr>
    </w:p>
    <w:p w:rsidR="00F9737F" w:rsidRDefault="00F9737F" w:rsidP="00F9737F">
      <w:pPr>
        <w:pStyle w:val="SingleTxt"/>
        <w:keepNext/>
        <w:keepLines/>
      </w:pPr>
      <w:r>
        <w:t>56.</w:t>
      </w:r>
      <w:r>
        <w:tab/>
        <w:t>По данным исследований в области демографии и здравоохранения, доля женщин, воспользовавшихся услугами родовспоможения в медицинских учреждениях, увеличилась с 74% в 2007 году до 80% в 2014 году</w:t>
      </w:r>
      <w:r w:rsidRPr="00F9737F">
        <w:rPr>
          <w:rStyle w:val="FootnoteReference"/>
        </w:rPr>
        <w:footnoteReference w:id="12"/>
      </w:r>
      <w:r>
        <w:t>. ЮНФПА и Агентство международного развития Соединенных Штатов Америки руководили разъяснительной работой и оказанием технической помощи, результатом которых стала подготовка в 2013 году закона о репродуктивном здоровье и национального стратегического плана в области планирования семьи. ЮНФПА оказывал поддержку национальной программе охраны репродуктивного здоровья и Министерству высшего и университетского образования в целях разработки системы учебной подготовки акушерок. Кроме того, благодаря совместным усилиям Католической организации по оказанию чрезвычайной помощи и помощи в целях развития, Всемирной организации здравоохранения, ЮНФПА и ЮНИСЕФ надлежащее оснащение медицинских учреждений и обеспечение регулярных поставок медикаментов и товаров медицинского назначения позволили повысить качество предлагаемых услуг в области охраны репродуктивного здоровья. Такие успехи были достигнуты благодаря эффективному стратегическому планированию и координации работы международного сообщества, к которой привлекались национальные власти и власти провинций.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2.</w:t>
      </w:r>
      <w:r>
        <w:tab/>
        <w:t>Борьба с дискриминацией в отношении ВИЧ-инфицированных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SingleTxt"/>
      </w:pPr>
      <w:r>
        <w:t>57.</w:t>
      </w:r>
      <w:r>
        <w:tab/>
        <w:t>По оценкам, глобальный уровень толерантности в отношении лиц, инфицированных вирусом иммунодефицита человека (ВИЧ), составил в 2007 году 6,4%</w:t>
      </w:r>
      <w:r w:rsidRPr="00F9737F">
        <w:rPr>
          <w:rStyle w:val="FootnoteReference"/>
        </w:rPr>
        <w:footnoteReference w:id="13"/>
      </w:r>
      <w:r>
        <w:t>. Объединенная программа Организации Объединенных Наций по ВИЧ/СПИДу и ЮНФПА оказывали техническую помощь в пр</w:t>
      </w:r>
      <w:r w:rsidR="002B2196">
        <w:t>оцессе принятия в стране закона </w:t>
      </w:r>
      <w:r>
        <w:t>№ 08/011 от 14 июля 2008 года о защите прав лиц, инфицированных и затронутых ВИЧ/СПИДом. Они поддерживали Многосекторальную национальную программу борьбы со СПИДом и обновление национального стратегического плана борьбы с ВИЧ. Правительство создало отделы по борьбе с ВИЧ, централизовав усилия всех органов власти. Несмотря на развитие правовой и институциональной базы, глобальный уровень толерантности в отношении ВИЧ-инфи-цированных составляет 4,2% (Исследование в области демографии и здравоохранения за 2014 год). Это незначительное снижение толерантности может объясняться, в частности, отсутствием мер сопровождения закона, защищающего ВИЧ-инфицированных, безнаказанностью виновных в стигматизации и дискриминации и замалчиванием актов стигматизации и дискриминации жертвами и общинами</w:t>
      </w:r>
      <w:r w:rsidRPr="00F9737F">
        <w:rPr>
          <w:rStyle w:val="FootnoteReference"/>
        </w:rPr>
        <w:footnoteReference w:id="14"/>
      </w:r>
      <w:r>
        <w:t>.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3.</w:t>
      </w:r>
      <w:r>
        <w:tab/>
        <w:t>Поддержка прав человека в области добычи природных ресурсов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SingleTxt"/>
      </w:pPr>
      <w:r>
        <w:t>58.</w:t>
      </w:r>
      <w:r>
        <w:tab/>
        <w:t xml:space="preserve">Укрепление нормативно-правовой базы горнодобывающего сектора является одной из основных целей ДСРСН 2011–2015 годов. Общины, проживающие в районах добычи полезных ископаемых, не пользуются определенными экономическими и социальными правами (здравоохранение, образование, доступ к питьевой воде и справедливой и адекватной компенсации) из-за ограниченных возможностей в плане организации комитетов для отстаивания своих прав в условиях недостаточности мер, принимаемых правительством для их защиты. </w:t>
      </w:r>
    </w:p>
    <w:p w:rsidR="00F9737F" w:rsidRDefault="00F9737F" w:rsidP="00F9737F">
      <w:pPr>
        <w:pStyle w:val="SingleTxt"/>
        <w:keepNext/>
        <w:keepLines/>
      </w:pPr>
      <w:r>
        <w:t>59.</w:t>
      </w:r>
      <w:r>
        <w:tab/>
        <w:t>В 2012–2014 годах СОПЧООН, Центр Картера, Католическая организация по оказанию чрезвычайной помощи и помощи в целях развития и ИООЮА оказывали техническую поддержку более чем 3 000 членов гражданского общества и местных общин в целях обеспечения их вклада в пересмотр Горного кодекса. Таким образом, гражданское общество сформулировало адресованные правительству рекомендации, касающиеся учета потребностей местных общин в зонах добычи природных ресурсов. В этих рекомендациях освещается недостаток консультаций с местными общинами по поводу их развития и осуществления ими своих социальных и экономических прав. Принятие нового Кодекса пока не состоялось.</w:t>
      </w:r>
    </w:p>
    <w:p w:rsidR="00F9737F" w:rsidRDefault="00F9737F" w:rsidP="00F9737F">
      <w:pPr>
        <w:pStyle w:val="SingleTxt"/>
      </w:pPr>
      <w:r>
        <w:t>60.</w:t>
      </w:r>
      <w:r>
        <w:tab/>
        <w:t xml:space="preserve">ДСРСН 2011–2015 годов направлен также на повышение эффективности управления горнодобывающим сектором в целях устойчивого развития социальной сферы. В 2012–2014 годах Католическая организация по оказанию чрезвычайной помощи и помощи в целях развития поддерживала общины Колвези и Фунгуруме (провинция Катанга) в процессе разработки их планов местного развития на </w:t>
      </w:r>
      <w:r w:rsidR="002B2196">
        <w:t>2016–2020 годы и 2015–2019 годы</w:t>
      </w:r>
      <w:r>
        <w:t xml:space="preserve"> соответственно. Эти планы направлены на установление конструктивного диалога между общинами, компаниями «Камоа коппер СА» и «Тенке-Фунгуруме майнинг» и местными властями в целях учета приоритетов развития и защиты социальных и экономических прав общин. </w:t>
      </w:r>
    </w:p>
    <w:p w:rsidR="00F9737F" w:rsidRDefault="00F9737F" w:rsidP="00F9737F">
      <w:pPr>
        <w:pStyle w:val="SingleTxt"/>
      </w:pPr>
      <w:r>
        <w:t>61.</w:t>
      </w:r>
      <w:r>
        <w:tab/>
        <w:t>Необходимо уделять особое внимание информированию национальных субъектов, местных общин и предприятий о принципах и нормах прав человека в области добычи природных ресурсов, в частности о принципах Джона Ругги</w:t>
      </w:r>
      <w:r w:rsidRPr="00F9737F">
        <w:rPr>
          <w:rStyle w:val="FootnoteReference"/>
        </w:rPr>
        <w:footnoteReference w:id="15"/>
      </w:r>
      <w:r>
        <w:t>. Международное сообщество должно считать социальные и экономические права одним из приоритетов своей деятельности, в том числе путем оказания необходимой помощи в данной сфере всем заинтересованным сторонам. Кроме того, оно должно продолжать поддерживать правительство в борьбе с вооруженными группировками, являющимися причиной незаконной эксплуатации ресурсов и чрезвычайной нестабильности, в которую ввергнуто население.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V.</w:t>
      </w:r>
      <w:r>
        <w:tab/>
        <w:t>Учет гендерных вопросов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SingleTxt"/>
      </w:pPr>
      <w:r>
        <w:t>62.</w:t>
      </w:r>
      <w:r>
        <w:tab/>
        <w:t>В ДСРСН 2006 года и 2011–2015 годов поднимается вопрос о негативном влиянии социально-политической ситуации в Демократической Республике Конго на решение гендерных вопросов. При поддержке со стороны международного сообщества правительство добилось снижения уязвимости женщины с правовой и институциональной точки зрения.</w:t>
      </w:r>
    </w:p>
    <w:p w:rsidR="00F9737F" w:rsidRDefault="00F9737F" w:rsidP="00F9737F">
      <w:pPr>
        <w:pStyle w:val="SingleTxt"/>
      </w:pPr>
      <w:r>
        <w:t>63.</w:t>
      </w:r>
      <w:r>
        <w:tab/>
        <w:t xml:space="preserve">Субъекты системы отправления правосудия и силы обороны и безопасности укрепляли применение закона 2006 года о сексуальном насилии. Национальная гендерная политика и план действий, принятые в 2009 году, были включены в национальную стратегию борьбы с гендерным насилием. В 2010 году правительство приняло план осуществления резолюции 1325 (2000) Совета Безопасности в целях обеспечения участия и представленности женщин в процессах достижения мира и безопасности. </w:t>
      </w:r>
    </w:p>
    <w:p w:rsidR="00F9737F" w:rsidRDefault="00F9737F" w:rsidP="00F9737F">
      <w:pPr>
        <w:pStyle w:val="SingleTxt"/>
      </w:pPr>
      <w:r>
        <w:t>64.</w:t>
      </w:r>
      <w:r>
        <w:tab/>
        <w:t>В соответствии с рекомендацией Специального представителя Генерального секретаря по вопросу о сексуальном насилии в условиях конфликта итогом разъяснительной работы международного сообщества стало назначение в 2014 году Специального представителя главы государства, занимающегося борьбой против сексуального насилия и вербовки детей-солдат.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VI.</w:t>
      </w:r>
      <w:r>
        <w:tab/>
        <w:t>Заключение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Pr="00F9737F" w:rsidRDefault="00F9737F" w:rsidP="00F9737F">
      <w:pPr>
        <w:pStyle w:val="SingleTxt"/>
        <w:rPr>
          <w:b/>
          <w:bCs/>
        </w:rPr>
      </w:pPr>
      <w:r>
        <w:t>65.</w:t>
      </w:r>
      <w:r>
        <w:tab/>
      </w:r>
      <w:r w:rsidRPr="00F9737F">
        <w:rPr>
          <w:b/>
          <w:bCs/>
        </w:rPr>
        <w:t>Нестабильность политической и экономической обстановки, а также положения в области безопасности в Демократической Республике Конго создает многочисленные трудности в области прав человека.</w:t>
      </w:r>
    </w:p>
    <w:p w:rsidR="00F9737F" w:rsidRPr="00F9737F" w:rsidRDefault="00F9737F" w:rsidP="00F9737F">
      <w:pPr>
        <w:pStyle w:val="SingleTxt"/>
        <w:rPr>
          <w:b/>
          <w:bCs/>
        </w:rPr>
      </w:pPr>
      <w:r>
        <w:t>66.</w:t>
      </w:r>
      <w:r>
        <w:tab/>
      </w:r>
      <w:r w:rsidRPr="00F9737F">
        <w:rPr>
          <w:b/>
          <w:bCs/>
        </w:rPr>
        <w:t>Деятельность международного сообщества носила актуальный и эффективный характер для преодоления этих трудностей. В частности, она способствовала совершенствованию правовой и институциональной базы. Кроме того, она позволила укрепить потенциал многих национальных субъектов, а также привела к более полному осознанию властями своих обязанностей и к повышению осведомленности населения и гражданского общества о правах человека. Были достигнуты значительные успехи в области борьбы с безнаказанностью, а многочисленные мероприятия позволили улучшить защиту гражданского населения на востоке страны.</w:t>
      </w:r>
    </w:p>
    <w:p w:rsidR="00F9737F" w:rsidRPr="00F9737F" w:rsidRDefault="00F9737F" w:rsidP="00F9737F">
      <w:pPr>
        <w:pStyle w:val="SingleTxt"/>
        <w:rPr>
          <w:b/>
          <w:bCs/>
        </w:rPr>
      </w:pPr>
      <w:r>
        <w:t>67.</w:t>
      </w:r>
      <w:r>
        <w:tab/>
      </w:r>
      <w:r w:rsidRPr="00F9737F">
        <w:rPr>
          <w:b/>
          <w:bCs/>
        </w:rPr>
        <w:t>Тем не менее большинство мероприятий по оказанию технической помощи вписывалось в контекст чрезвычайной ситуации и носило краткосрочный характер. Осуществление подобной деятельности на постоянной основе и закрепление ее результатов станет одной из основных задач как для правообладателей, так и для носителей обязательств. Кроме того, определенные виды деятельности международного сообщества характеризовались дублированием усилий и соперничеством, иногда обусловленными отсутствием координации с другими ее участниками, заинтересованностью, проявляемой некоторыми кредиторами в отношении конкретных тем и населенных пунктов, или стремлением к заметности и увеличению финансирования.</w:t>
      </w:r>
    </w:p>
    <w:p w:rsidR="00F9737F" w:rsidRPr="00F9737F" w:rsidRDefault="00F9737F" w:rsidP="00F9737F">
      <w:pPr>
        <w:pStyle w:val="SingleTxt"/>
        <w:rPr>
          <w:b/>
          <w:bCs/>
        </w:rPr>
      </w:pPr>
      <w:r>
        <w:t>68.</w:t>
      </w:r>
      <w:r>
        <w:tab/>
      </w:r>
      <w:r w:rsidRPr="00F9737F">
        <w:rPr>
          <w:b/>
          <w:bCs/>
        </w:rPr>
        <w:t>Сохраняются значительные трудности в области поощрения и защиты прав человека, которые требуют оказания постоянной технической и стратегической помощи со стороны международного сообщества, а также укрепления координации между международными партнерами и между участниками и правительством в сфере определения, осуществления и контроля деятельности с обязательным привлечением к ней бенефициаров.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VII.</w:t>
      </w:r>
      <w:r>
        <w:tab/>
        <w:t>Рекомендации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A.</w:t>
      </w:r>
      <w:r>
        <w:tab/>
        <w:t>Правительству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Pr="00F9737F" w:rsidRDefault="00F9737F" w:rsidP="00F9737F">
      <w:pPr>
        <w:pStyle w:val="SingleTxt"/>
        <w:rPr>
          <w:b/>
          <w:bCs/>
        </w:rPr>
      </w:pPr>
      <w:r w:rsidRPr="00F9737F">
        <w:rPr>
          <w:b/>
          <w:bCs/>
        </w:rPr>
        <w:tab/>
        <w:t>a)</w:t>
      </w:r>
      <w:r w:rsidRPr="00F9737F">
        <w:rPr>
          <w:b/>
          <w:bCs/>
        </w:rPr>
        <w:tab/>
        <w:t>определить секторальные приоритеты в области отправления правосудия и прав человека и координировать деятельность международного сообщества по поощрению и защите прав человека на центральном, провинциальном и местном уровнях;</w:t>
      </w:r>
    </w:p>
    <w:p w:rsidR="00F9737F" w:rsidRPr="00F9737F" w:rsidRDefault="00F9737F" w:rsidP="00F9737F">
      <w:pPr>
        <w:pStyle w:val="SingleTxt"/>
        <w:rPr>
          <w:b/>
          <w:bCs/>
        </w:rPr>
      </w:pPr>
      <w:r w:rsidRPr="00F9737F">
        <w:rPr>
          <w:b/>
          <w:bCs/>
        </w:rPr>
        <w:tab/>
        <w:t>b)</w:t>
      </w:r>
      <w:r w:rsidRPr="00F9737F">
        <w:rPr>
          <w:b/>
          <w:bCs/>
        </w:rPr>
        <w:tab/>
        <w:t>принять надлежащие меры для обеспечения согласованного функционирования всех учреждений, занимающихся осуществлением прав человека (Механизм связи по правам человека, НКПЧ, МКПЧ и Национальная комиссия по подготовке к проведению УПО и последующим мероприятиям в связи с ним), и эффективности деятельности НКПЧ и Отдела по вопросам защиты правозащитников; учредить независимый национальный механизм предотвращения пыток;</w:t>
      </w:r>
    </w:p>
    <w:p w:rsidR="00F9737F" w:rsidRPr="00F9737F" w:rsidRDefault="00F9737F" w:rsidP="00F9737F">
      <w:pPr>
        <w:pStyle w:val="SingleTxt"/>
        <w:rPr>
          <w:b/>
          <w:bCs/>
        </w:rPr>
      </w:pPr>
      <w:r w:rsidRPr="00F9737F">
        <w:rPr>
          <w:b/>
          <w:bCs/>
        </w:rPr>
        <w:tab/>
        <w:t>c)</w:t>
      </w:r>
      <w:r w:rsidRPr="00F9737F">
        <w:rPr>
          <w:b/>
          <w:bCs/>
        </w:rPr>
        <w:tab/>
        <w:t>усилить правовую базу защиты прав человека, присоединившись к еще не ратифицированным конвенциям и приняв соответствующие законы, в частности находящиеся в процессе рассмотрения;</w:t>
      </w:r>
    </w:p>
    <w:p w:rsidR="00F9737F" w:rsidRDefault="00F9737F" w:rsidP="00F9737F">
      <w:pPr>
        <w:pStyle w:val="SingleTxt"/>
        <w:rPr>
          <w:b/>
          <w:bCs/>
        </w:rPr>
      </w:pPr>
      <w:r w:rsidRPr="00F9737F">
        <w:rPr>
          <w:b/>
          <w:bCs/>
        </w:rPr>
        <w:tab/>
        <w:t>d)</w:t>
      </w:r>
      <w:r w:rsidRPr="00F9737F">
        <w:rPr>
          <w:b/>
          <w:bCs/>
        </w:rPr>
        <w:tab/>
        <w:t>принять всеобъемлющий подход к оказанию технической помощи посредством укрепления потенциала час</w:t>
      </w:r>
      <w:r>
        <w:rPr>
          <w:b/>
          <w:bCs/>
        </w:rPr>
        <w:t>тных лиц, учреждений и связей с </w:t>
      </w:r>
      <w:r w:rsidRPr="00F9737F">
        <w:rPr>
          <w:b/>
          <w:bCs/>
        </w:rPr>
        <w:t>гражданским обществом.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B.</w:t>
      </w:r>
      <w:r>
        <w:tab/>
        <w:t>Совместному отделению Организации Объединенных Наций по правам человека и страновой группе Организации Объединенных Наций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Pr="00F9737F" w:rsidRDefault="00F9737F" w:rsidP="00F9737F">
      <w:pPr>
        <w:pStyle w:val="SingleTxt"/>
        <w:rPr>
          <w:b/>
          <w:bCs/>
        </w:rPr>
      </w:pPr>
      <w:r w:rsidRPr="00F9737F">
        <w:rPr>
          <w:b/>
          <w:bCs/>
        </w:rPr>
        <w:tab/>
        <w:t>a)</w:t>
      </w:r>
      <w:r w:rsidRPr="00F9737F">
        <w:rPr>
          <w:b/>
          <w:bCs/>
        </w:rPr>
        <w:tab/>
        <w:t>оказать правительству техническую помощь в целях:</w:t>
      </w:r>
    </w:p>
    <w:p w:rsidR="00F9737F" w:rsidRPr="00F9737F" w:rsidRDefault="00F9737F" w:rsidP="00F9737F">
      <w:pPr>
        <w:pStyle w:val="Bullet1"/>
        <w:rPr>
          <w:b/>
          <w:bCs/>
        </w:rPr>
      </w:pPr>
      <w:r w:rsidRPr="00F9737F">
        <w:rPr>
          <w:b/>
          <w:bCs/>
        </w:rPr>
        <w:t>завершения процесса принятия правовых актов, касающихся защиты прав человека;</w:t>
      </w:r>
    </w:p>
    <w:p w:rsidR="00F9737F" w:rsidRPr="00F9737F" w:rsidRDefault="00F9737F" w:rsidP="00F9737F">
      <w:pPr>
        <w:pStyle w:val="Bullet1"/>
        <w:rPr>
          <w:b/>
          <w:bCs/>
        </w:rPr>
      </w:pPr>
      <w:r w:rsidRPr="00F9737F">
        <w:rPr>
          <w:b/>
          <w:bCs/>
        </w:rPr>
        <w:t>представления докладов, ожидаемых международными правозащитными механизмами;</w:t>
      </w:r>
    </w:p>
    <w:p w:rsidR="00F9737F" w:rsidRPr="00F9737F" w:rsidRDefault="00F9737F" w:rsidP="00F9737F">
      <w:pPr>
        <w:pStyle w:val="Bullet1"/>
        <w:rPr>
          <w:b/>
          <w:bCs/>
        </w:rPr>
      </w:pPr>
      <w:r w:rsidRPr="00F9737F">
        <w:rPr>
          <w:b/>
          <w:bCs/>
        </w:rPr>
        <w:t>эффективного и согласованного функционирования правозащитных учреждений, в частности Отдела по вопросам защиты правозащитников, НКПЧ, МКПЧ и Механизма связи по правам человека;</w:t>
      </w:r>
    </w:p>
    <w:p w:rsidR="00F9737F" w:rsidRPr="00F9737F" w:rsidRDefault="00F9737F" w:rsidP="00F9737F">
      <w:pPr>
        <w:pStyle w:val="SingleTxt"/>
        <w:rPr>
          <w:b/>
          <w:bCs/>
        </w:rPr>
      </w:pPr>
      <w:r>
        <w:rPr>
          <w:b/>
          <w:bCs/>
        </w:rPr>
        <w:tab/>
      </w:r>
      <w:r w:rsidRPr="00F9737F">
        <w:rPr>
          <w:b/>
          <w:bCs/>
        </w:rPr>
        <w:t>b)</w:t>
      </w:r>
      <w:r w:rsidRPr="00F9737F">
        <w:rPr>
          <w:b/>
          <w:bCs/>
        </w:rPr>
        <w:tab/>
        <w:t>считать социальные и экономические права одним из приоритетов деятельности, в частности для популяризации норм и принципов прав человека, в том числе в сфере эксплуатации природных ресурсов;</w:t>
      </w:r>
    </w:p>
    <w:p w:rsidR="00F9737F" w:rsidRDefault="00F9737F" w:rsidP="00F9737F">
      <w:pPr>
        <w:pStyle w:val="SingleTxt"/>
        <w:rPr>
          <w:b/>
          <w:bCs/>
        </w:rPr>
      </w:pPr>
      <w:r>
        <w:rPr>
          <w:b/>
          <w:bCs/>
        </w:rPr>
        <w:tab/>
      </w:r>
      <w:r w:rsidRPr="00F9737F">
        <w:rPr>
          <w:b/>
          <w:bCs/>
        </w:rPr>
        <w:t>c)</w:t>
      </w:r>
      <w:r w:rsidRPr="00F9737F">
        <w:rPr>
          <w:b/>
          <w:bCs/>
        </w:rPr>
        <w:tab/>
        <w:t>создать систему управления знаниями для более эффективного сохранения институциональной памяти, с тем чтобы обеспечить документирование деятельности и распространение полученных результатов среди политиков, частного сектора, местных общин и других соответствующих субъектов.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Default="00F9737F" w:rsidP="00F9737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C.</w:t>
      </w:r>
      <w:r>
        <w:tab/>
        <w:t>Международному сообществу</w:t>
      </w: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Pr="00F9737F" w:rsidRDefault="00F9737F" w:rsidP="00F9737F">
      <w:pPr>
        <w:pStyle w:val="SingleTxt"/>
        <w:spacing w:after="0" w:line="120" w:lineRule="exact"/>
        <w:rPr>
          <w:sz w:val="10"/>
        </w:rPr>
      </w:pPr>
    </w:p>
    <w:p w:rsidR="00F9737F" w:rsidRPr="00F9737F" w:rsidRDefault="00F9737F" w:rsidP="00F9737F">
      <w:pPr>
        <w:pStyle w:val="SingleTxt"/>
        <w:rPr>
          <w:b/>
          <w:bCs/>
        </w:rPr>
      </w:pPr>
      <w:r w:rsidRPr="00F9737F">
        <w:rPr>
          <w:b/>
          <w:bCs/>
        </w:rPr>
        <w:tab/>
        <w:t>a)</w:t>
      </w:r>
      <w:r w:rsidRPr="00F9737F">
        <w:rPr>
          <w:b/>
          <w:bCs/>
        </w:rPr>
        <w:tab/>
        <w:t>повысить эффективность привлечения национальных властей и получателей помощи к разработке, осуществлению, контролю и оценке проектов, касающихся поощрения и защиты прав человека, в целях учета их приоритетов для достижения наиболее оптимальных результатов;</w:t>
      </w:r>
    </w:p>
    <w:p w:rsidR="00F9737F" w:rsidRPr="00F9737F" w:rsidRDefault="00F9737F" w:rsidP="00F9737F">
      <w:pPr>
        <w:pStyle w:val="SingleTxt"/>
        <w:rPr>
          <w:b/>
          <w:bCs/>
        </w:rPr>
      </w:pPr>
      <w:r w:rsidRPr="00F9737F">
        <w:rPr>
          <w:b/>
          <w:bCs/>
        </w:rPr>
        <w:tab/>
        <w:t>b)</w:t>
      </w:r>
      <w:r w:rsidRPr="00F9737F">
        <w:rPr>
          <w:b/>
          <w:bCs/>
        </w:rPr>
        <w:tab/>
        <w:t>отдавать предпочтение структурным и длительным видам деятельности, в том числе на западе страны, для оптимизации их воздействия в долгосрочной перспективе;</w:t>
      </w:r>
    </w:p>
    <w:p w:rsidR="00F9737F" w:rsidRDefault="00F9737F" w:rsidP="00F9737F">
      <w:pPr>
        <w:pStyle w:val="SingleTxt"/>
        <w:rPr>
          <w:b/>
          <w:bCs/>
        </w:rPr>
      </w:pPr>
      <w:r w:rsidRPr="00F9737F">
        <w:rPr>
          <w:b/>
          <w:bCs/>
        </w:rPr>
        <w:tab/>
        <w:t>c)</w:t>
      </w:r>
      <w:r w:rsidRPr="00F9737F">
        <w:rPr>
          <w:b/>
          <w:bCs/>
        </w:rPr>
        <w:tab/>
        <w:t>координировать осуществление и контроль деятельности, касающейся технической помощи, в целях повышения ее эффективности и улучшения достигнутых результатов.</w:t>
      </w:r>
    </w:p>
    <w:p w:rsidR="00F9737F" w:rsidRPr="00F9737F" w:rsidRDefault="00F9737F" w:rsidP="00F9737F">
      <w:pPr>
        <w:pStyle w:val="SingleTxt"/>
        <w:spacing w:after="0" w:line="240" w:lineRule="auto"/>
      </w:pPr>
      <w:r>
        <w:rPr>
          <w:noProof/>
          <w:w w:val="100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" strokecolor="#010000" strokeweight=".25pt"/>
            </w:pict>
          </mc:Fallback>
        </mc:AlternateContent>
      </w:r>
    </w:p>
    <w:sectPr w:rsidR="00F9737F" w:rsidRPr="00F9737F" w:rsidSect="00701D01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EF3" w:rsidRDefault="00DE7EF3" w:rsidP="008A1A7A">
      <w:pPr>
        <w:spacing w:line="240" w:lineRule="auto"/>
      </w:pPr>
      <w:r>
        <w:separator/>
      </w:r>
    </w:p>
  </w:endnote>
  <w:endnote w:type="continuationSeparator" w:id="0">
    <w:p w:rsidR="00DE7EF3" w:rsidRDefault="00DE7EF3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DE7EF3" w:rsidTr="00701D01">
      <w:trPr>
        <w:jc w:val="center"/>
      </w:trPr>
      <w:tc>
        <w:tcPr>
          <w:tcW w:w="5126" w:type="dxa"/>
          <w:shd w:val="clear" w:color="auto" w:fill="auto"/>
          <w:vAlign w:val="bottom"/>
        </w:tcPr>
        <w:p w:rsidR="00DE7EF3" w:rsidRPr="00701D01" w:rsidRDefault="00DE7EF3" w:rsidP="00701D01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6C3F09">
            <w:rPr>
              <w:noProof/>
            </w:rPr>
            <w:t>20</w:t>
          </w:r>
          <w:r>
            <w:fldChar w:fldCharType="end"/>
          </w:r>
          <w:r>
            <w:t>/</w:t>
          </w:r>
          <w:r w:rsidR="006C3F09">
            <w:fldChar w:fldCharType="begin"/>
          </w:r>
          <w:r w:rsidR="006C3F09">
            <w:instrText xml:space="preserve"> NUMPAGES  \* Arabic  \* MERGEFORMAT </w:instrText>
          </w:r>
          <w:r w:rsidR="006C3F09">
            <w:fldChar w:fldCharType="separate"/>
          </w:r>
          <w:r w:rsidR="006C3F09">
            <w:rPr>
              <w:noProof/>
            </w:rPr>
            <w:t>20</w:t>
          </w:r>
          <w:r w:rsidR="006C3F09">
            <w:rPr>
              <w:noProof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DE7EF3" w:rsidRPr="00701D01" w:rsidRDefault="00DE7EF3" w:rsidP="00701D01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854B24">
            <w:rPr>
              <w:b w:val="0"/>
              <w:color w:val="000000"/>
              <w:sz w:val="14"/>
            </w:rPr>
            <w:t>GE.15-14279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DE7EF3" w:rsidRPr="00701D01" w:rsidRDefault="00DE7EF3" w:rsidP="00701D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DE7EF3" w:rsidTr="00701D01">
      <w:trPr>
        <w:jc w:val="center"/>
      </w:trPr>
      <w:tc>
        <w:tcPr>
          <w:tcW w:w="5126" w:type="dxa"/>
          <w:shd w:val="clear" w:color="auto" w:fill="auto"/>
          <w:vAlign w:val="bottom"/>
        </w:tcPr>
        <w:p w:rsidR="00DE7EF3" w:rsidRPr="00701D01" w:rsidRDefault="00DE7EF3" w:rsidP="00701D01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854B24">
            <w:rPr>
              <w:b w:val="0"/>
              <w:color w:val="000000"/>
              <w:sz w:val="14"/>
            </w:rPr>
            <w:t>GE.15-14279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DE7EF3" w:rsidRPr="00701D01" w:rsidRDefault="00DE7EF3" w:rsidP="00701D01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6C3F09">
            <w:rPr>
              <w:noProof/>
            </w:rPr>
            <w:t>21</w:t>
          </w:r>
          <w:r>
            <w:fldChar w:fldCharType="end"/>
          </w:r>
          <w:r>
            <w:t>/</w:t>
          </w:r>
          <w:r w:rsidR="006C3F09">
            <w:fldChar w:fldCharType="begin"/>
          </w:r>
          <w:r w:rsidR="006C3F09">
            <w:instrText xml:space="preserve"> NUMPAGES  \* Arabic  \* MERGEFORMAT </w:instrText>
          </w:r>
          <w:r w:rsidR="006C3F09">
            <w:fldChar w:fldCharType="separate"/>
          </w:r>
          <w:r w:rsidR="006C3F09">
            <w:rPr>
              <w:noProof/>
            </w:rPr>
            <w:t>21</w:t>
          </w:r>
          <w:r w:rsidR="006C3F09">
            <w:rPr>
              <w:noProof/>
            </w:rPr>
            <w:fldChar w:fldCharType="end"/>
          </w:r>
        </w:p>
      </w:tc>
    </w:tr>
  </w:tbl>
  <w:p w:rsidR="00DE7EF3" w:rsidRPr="00701D01" w:rsidRDefault="00DE7EF3" w:rsidP="00701D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DE7EF3" w:rsidTr="00701D01">
      <w:tc>
        <w:tcPr>
          <w:tcW w:w="3873" w:type="dxa"/>
        </w:tcPr>
        <w:p w:rsidR="00DE7EF3" w:rsidRDefault="00DE7EF3" w:rsidP="00701D01">
          <w:pPr>
            <w:pStyle w:val="ReleaseDate"/>
            <w:rPr>
              <w:color w:val="010000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0041564C" wp14:editId="65985B14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33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33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GE.15-14279 (R)</w:t>
          </w:r>
          <w:r>
            <w:rPr>
              <w:color w:val="010000"/>
            </w:rPr>
            <w:t xml:space="preserve">    160915    160915</w:t>
          </w:r>
        </w:p>
        <w:p w:rsidR="00DE7EF3" w:rsidRPr="00701D01" w:rsidRDefault="00DE7EF3" w:rsidP="00701D01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*1514279*</w:t>
          </w:r>
        </w:p>
      </w:tc>
      <w:tc>
        <w:tcPr>
          <w:tcW w:w="5127" w:type="dxa"/>
        </w:tcPr>
        <w:p w:rsidR="00DE7EF3" w:rsidRDefault="00DE7EF3" w:rsidP="00701D01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val="en-GB" w:eastAsia="en-GB"/>
            </w:rPr>
            <w:drawing>
              <wp:inline distT="0" distB="0" distL="0" distR="0" wp14:anchorId="20EAF452" wp14:editId="70ABBEC9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E7EF3" w:rsidRPr="00701D01" w:rsidRDefault="00DE7EF3" w:rsidP="00701D01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EF3" w:rsidRPr="00F9737F" w:rsidRDefault="00DE7EF3" w:rsidP="00F9737F">
      <w:pPr>
        <w:pStyle w:val="Footer"/>
        <w:spacing w:after="80"/>
        <w:ind w:left="792"/>
        <w:rPr>
          <w:sz w:val="16"/>
        </w:rPr>
      </w:pPr>
      <w:r w:rsidRPr="00F9737F">
        <w:rPr>
          <w:sz w:val="16"/>
        </w:rPr>
        <w:t>__________________</w:t>
      </w:r>
    </w:p>
  </w:footnote>
  <w:footnote w:type="continuationSeparator" w:id="0">
    <w:p w:rsidR="00DE7EF3" w:rsidRPr="00F9737F" w:rsidRDefault="00DE7EF3" w:rsidP="00F9737F">
      <w:pPr>
        <w:pStyle w:val="Footer"/>
        <w:spacing w:after="80"/>
        <w:ind w:left="792"/>
        <w:rPr>
          <w:sz w:val="16"/>
        </w:rPr>
      </w:pPr>
      <w:r w:rsidRPr="00F9737F">
        <w:rPr>
          <w:sz w:val="16"/>
        </w:rPr>
        <w:t>__________________</w:t>
      </w:r>
    </w:p>
  </w:footnote>
  <w:footnote w:id="1">
    <w:p w:rsidR="00DE7EF3" w:rsidRDefault="00DE7EF3" w:rsidP="00F9737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F9737F">
        <w:t xml:space="preserve">СОПЧООН было учреждено в 2008 году </w:t>
      </w:r>
      <w:r>
        <w:t>после слияния отделения УВКПЧ в </w:t>
      </w:r>
      <w:r w:rsidRPr="00F9737F">
        <w:t>Демократической Республике Конго (созданного в 1996 году) с подразделением по правам человека Миссии Организации Объединенных Наций в Демократической Республике Конго.</w:t>
      </w:r>
    </w:p>
  </w:footnote>
  <w:footnote w:id="2">
    <w:p w:rsidR="00DE7EF3" w:rsidRDefault="00DE7EF3" w:rsidP="00F9737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F9737F">
        <w:t xml:space="preserve">Страновая </w:t>
      </w:r>
      <w:r w:rsidRPr="00F9737F">
        <w:t xml:space="preserve">группа Организации Объединенных Наций состоит из примерно </w:t>
      </w:r>
      <w:r>
        <w:t>20</w:t>
      </w:r>
      <w:r w:rsidRPr="00F9737F">
        <w:t xml:space="preserve"> субъектов – фондов, программ, учреждений-резидентов и учреждений-нерезидентов.</w:t>
      </w:r>
    </w:p>
  </w:footnote>
  <w:footnote w:id="3">
    <w:p w:rsidR="00DE7EF3" w:rsidRDefault="00DE7EF3" w:rsidP="00F9737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F9737F">
        <w:t xml:space="preserve">Сводные </w:t>
      </w:r>
      <w:r w:rsidRPr="00F9737F">
        <w:t>данные из докладов о работе МООНСДРК в 2009–2014 годах.</w:t>
      </w:r>
    </w:p>
  </w:footnote>
  <w:footnote w:id="4">
    <w:p w:rsidR="00DE7EF3" w:rsidRDefault="00DE7EF3" w:rsidP="00F9737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F9737F">
        <w:t xml:space="preserve">В </w:t>
      </w:r>
      <w:r w:rsidRPr="00F9737F">
        <w:t>декабре 2003 года военные ВСДРК совершили массовые изнасилования женщин и девочек в Сонго-Мбойо. Окончательные решения в апелляционн</w:t>
      </w:r>
      <w:r>
        <w:t>ом порядке были вынесены в 2007 </w:t>
      </w:r>
      <w:r w:rsidRPr="00F9737F">
        <w:t>году военным трибуналом гарнизона Мбандака, засе</w:t>
      </w:r>
      <w:r>
        <w:t>давшим в ходе выездной сессии в </w:t>
      </w:r>
      <w:r w:rsidRPr="00F9737F">
        <w:t>Сонго-Мбойо.</w:t>
      </w:r>
    </w:p>
  </w:footnote>
  <w:footnote w:id="5">
    <w:p w:rsidR="00DE7EF3" w:rsidRDefault="00DE7EF3" w:rsidP="00F9737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F9737F">
        <w:t>База данных СОПЧООН, 2011–2014 годы.</w:t>
      </w:r>
    </w:p>
  </w:footnote>
  <w:footnote w:id="6">
    <w:p w:rsidR="00DE7EF3" w:rsidRDefault="00DE7EF3" w:rsidP="00F9737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F9737F">
        <w:t xml:space="preserve">Принятые </w:t>
      </w:r>
      <w:r w:rsidRPr="00F9737F">
        <w:t>к сведению рекомендации касаются, в частности, отмены смертной казни, принятия законов о защите правозащитников и присоединения к некоторым документам, которые пока не ратифицированы.</w:t>
      </w:r>
    </w:p>
  </w:footnote>
  <w:footnote w:id="7">
    <w:p w:rsidR="00DE7EF3" w:rsidRDefault="00DE7EF3" w:rsidP="00F9737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F9737F">
        <w:t xml:space="preserve">Специальный </w:t>
      </w:r>
      <w:r w:rsidRPr="00F9737F">
        <w:t>докладчик по вопросу о внесудебных казнях, казнях без надлежащего судебного разбирательства или произвольных казнях (2009 год); Специальный докладчик по вопросу о правах человека внутренне перемещенных лиц (2008 год, 2009 год); Специальный докладчик по вопросу о положении правозащитников (2009 год); Независимый эксперт по вопросу о последствиях внешней задолженности и других соответствующих международных финансовых обязательств государств для полного осущ</w:t>
      </w:r>
      <w:r>
        <w:t>ествления всех прав человека, в </w:t>
      </w:r>
      <w:r w:rsidRPr="00F9737F">
        <w:t>частности экономических, социальных и культурных прав (2011).</w:t>
      </w:r>
    </w:p>
  </w:footnote>
  <w:footnote w:id="8">
    <w:p w:rsidR="00DE7EF3" w:rsidRDefault="00DE7EF3" w:rsidP="00F9737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F9737F">
        <w:t xml:space="preserve">Принципы, </w:t>
      </w:r>
      <w:r w:rsidRPr="00F9737F">
        <w:t>касающиеся статуса национальных учреждений, занимающихся поощрением и защитой прав человека, утвержденные Генеральной А</w:t>
      </w:r>
      <w:r>
        <w:t>ссамблеей (резолюция 48/134) 20 </w:t>
      </w:r>
      <w:r w:rsidRPr="00F9737F">
        <w:t>декабря 1993 года. Члены НКПЧ, назначенные в апре</w:t>
      </w:r>
      <w:r>
        <w:t>ле 2015 года, приняли присягу в </w:t>
      </w:r>
      <w:r w:rsidRPr="00F9737F">
        <w:t>июле 2015 года.</w:t>
      </w:r>
    </w:p>
  </w:footnote>
  <w:footnote w:id="9">
    <w:p w:rsidR="00DE7EF3" w:rsidRDefault="00DE7EF3" w:rsidP="00F9737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F9737F">
        <w:t xml:space="preserve">Международное </w:t>
      </w:r>
      <w:r w:rsidRPr="00F9737F">
        <w:t>бюро труда, УВКБ, УКГВ, ЮНИСЕФ и Секция по вопросам защиты детей МООНСДРК.</w:t>
      </w:r>
    </w:p>
  </w:footnote>
  <w:footnote w:id="10">
    <w:p w:rsidR="00DE7EF3" w:rsidRPr="00F9737F" w:rsidRDefault="00DE7EF3" w:rsidP="00F9737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fr-FR"/>
        </w:rPr>
      </w:pPr>
      <w:r>
        <w:tab/>
      </w:r>
      <w:r>
        <w:rPr>
          <w:rStyle w:val="FootnoteReference"/>
        </w:rPr>
        <w:footnoteRef/>
      </w:r>
      <w:r w:rsidRPr="00F9737F">
        <w:rPr>
          <w:lang w:val="fr-FR"/>
        </w:rPr>
        <w:tab/>
        <w:t>OCHA, République du Congo: Aperçu humanitaire (novembre 2014).</w:t>
      </w:r>
    </w:p>
  </w:footnote>
  <w:footnote w:id="11">
    <w:p w:rsidR="00DE7EF3" w:rsidRDefault="00DE7EF3" w:rsidP="00F9737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854B24">
        <w:rPr>
          <w:lang w:val="fr-FR"/>
        </w:rPr>
        <w:tab/>
      </w:r>
      <w:r>
        <w:rPr>
          <w:rStyle w:val="FootnoteReference"/>
        </w:rPr>
        <w:footnoteRef/>
      </w:r>
      <w:r>
        <w:tab/>
      </w:r>
      <w:r w:rsidRPr="00F9737F">
        <w:t>Факт, констатированный в 2008 году Специальным докладчиком по вопросу о независимости судей и адвокатов (A/HRC/8/4/Add.2, пункт 76).</w:t>
      </w:r>
    </w:p>
  </w:footnote>
  <w:footnote w:id="12">
    <w:p w:rsidR="00DE7EF3" w:rsidRPr="00F9737F" w:rsidRDefault="00DE7EF3" w:rsidP="00F9737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fr-FR"/>
        </w:rPr>
      </w:pPr>
      <w:r>
        <w:tab/>
      </w:r>
      <w:r>
        <w:rPr>
          <w:rStyle w:val="FootnoteReference"/>
        </w:rPr>
        <w:footnoteRef/>
      </w:r>
      <w:r w:rsidRPr="00F9737F">
        <w:rPr>
          <w:lang w:val="fr-FR"/>
        </w:rPr>
        <w:tab/>
        <w:t>Deuxième enquête démographique et de santé (2014), p. 130.</w:t>
      </w:r>
    </w:p>
  </w:footnote>
  <w:footnote w:id="13">
    <w:p w:rsidR="00DE7EF3" w:rsidRPr="00F9737F" w:rsidRDefault="00DE7EF3" w:rsidP="00F9737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fr-FR"/>
        </w:rPr>
      </w:pPr>
      <w:r w:rsidRPr="00854B24">
        <w:rPr>
          <w:lang w:val="fr-FR"/>
        </w:rPr>
        <w:tab/>
      </w:r>
      <w:r>
        <w:rPr>
          <w:rStyle w:val="FootnoteReference"/>
        </w:rPr>
        <w:footnoteRef/>
      </w:r>
      <w:r w:rsidRPr="00F9737F">
        <w:rPr>
          <w:lang w:val="fr-FR"/>
        </w:rPr>
        <w:tab/>
        <w:t>Enquête démographique et de santé (2007), p. 216.</w:t>
      </w:r>
    </w:p>
  </w:footnote>
  <w:footnote w:id="14">
    <w:p w:rsidR="00DE7EF3" w:rsidRDefault="00DE7EF3" w:rsidP="00F9737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F9737F">
        <w:rPr>
          <w:lang w:val="fr-FR"/>
        </w:rPr>
        <w:tab/>
      </w:r>
      <w:r>
        <w:rPr>
          <w:rStyle w:val="FootnoteReference"/>
        </w:rPr>
        <w:footnoteRef/>
      </w:r>
      <w:r>
        <w:tab/>
      </w:r>
      <w:r w:rsidRPr="00F9737F">
        <w:t>Национальный стратегический план борьбы со СПИДом: 2014–2017 годы, Демократическая Республика Конго, 2014 год.</w:t>
      </w:r>
    </w:p>
  </w:footnote>
  <w:footnote w:id="15">
    <w:p w:rsidR="00DE7EF3" w:rsidRDefault="00DE7EF3" w:rsidP="00F9737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F9737F">
        <w:t xml:space="preserve">Принципы </w:t>
      </w:r>
      <w:r w:rsidRPr="00F9737F">
        <w:t>Специального представителя Генерального секретаря по вопросу о правах человека и транснациональных корпорациях и других предприятиях Джона Ругги были утверждены Советом по правам человека в его резолюции 17/4 от 16 июня 2011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DE7EF3" w:rsidTr="00701D01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DE7EF3" w:rsidRPr="00701D01" w:rsidRDefault="00DE7EF3" w:rsidP="00701D01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854B24">
            <w:rPr>
              <w:b/>
            </w:rPr>
            <w:t>A/HRC/30/33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DE7EF3" w:rsidRDefault="00DE7EF3" w:rsidP="00701D01">
          <w:pPr>
            <w:pStyle w:val="Header"/>
          </w:pPr>
        </w:p>
      </w:tc>
    </w:tr>
  </w:tbl>
  <w:p w:rsidR="00DE7EF3" w:rsidRPr="00701D01" w:rsidRDefault="00DE7EF3" w:rsidP="00701D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DE7EF3" w:rsidTr="00701D01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DE7EF3" w:rsidRDefault="00DE7EF3" w:rsidP="00701D01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DE7EF3" w:rsidRPr="00701D01" w:rsidRDefault="00DE7EF3" w:rsidP="00701D01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854B24">
            <w:rPr>
              <w:b/>
            </w:rPr>
            <w:t>A/HRC/30/33</w:t>
          </w:r>
          <w:r>
            <w:rPr>
              <w:b/>
            </w:rPr>
            <w:fldChar w:fldCharType="end"/>
          </w:r>
        </w:p>
      </w:tc>
    </w:tr>
  </w:tbl>
  <w:p w:rsidR="00DE7EF3" w:rsidRPr="00701D01" w:rsidRDefault="00DE7EF3" w:rsidP="00701D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DE7EF3" w:rsidTr="00701D01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DE7EF3" w:rsidRPr="00701D01" w:rsidRDefault="00DE7EF3" w:rsidP="00701D01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DE7EF3" w:rsidRDefault="00DE7EF3" w:rsidP="00701D01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DE7EF3" w:rsidRPr="00701D01" w:rsidRDefault="00DE7EF3" w:rsidP="00701D01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/HRC/30/33</w:t>
          </w:r>
        </w:p>
      </w:tc>
    </w:tr>
    <w:tr w:rsidR="00DE7EF3" w:rsidRPr="00854B24" w:rsidTr="00701D01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DE7EF3" w:rsidRPr="00701D01" w:rsidRDefault="00DE7EF3" w:rsidP="00701D01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val="en-GB" w:eastAsia="en-GB"/>
            </w:rPr>
            <w:drawing>
              <wp:inline distT="0" distB="0" distL="0" distR="0" wp14:anchorId="43F725A6" wp14:editId="7B6C2E83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DE7EF3" w:rsidRPr="00701D01" w:rsidRDefault="00DE7EF3" w:rsidP="00701D01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DE7EF3" w:rsidRPr="00701D01" w:rsidRDefault="00DE7EF3" w:rsidP="00701D01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DE7EF3" w:rsidRPr="004029E6" w:rsidRDefault="00DE7EF3" w:rsidP="00701D01">
          <w:pPr>
            <w:pStyle w:val="Distribution"/>
            <w:rPr>
              <w:color w:val="000000"/>
              <w:lang w:val="en-US"/>
            </w:rPr>
          </w:pPr>
          <w:r w:rsidRPr="004029E6">
            <w:rPr>
              <w:color w:val="000000"/>
              <w:lang w:val="en-US"/>
            </w:rPr>
            <w:t>Distr.: General</w:t>
          </w:r>
        </w:p>
        <w:p w:rsidR="00DE7EF3" w:rsidRPr="004029E6" w:rsidRDefault="00DE7EF3" w:rsidP="00701D01">
          <w:pPr>
            <w:pStyle w:val="Publication"/>
            <w:rPr>
              <w:color w:val="000000"/>
              <w:lang w:val="en-US"/>
            </w:rPr>
          </w:pPr>
          <w:r w:rsidRPr="004029E6">
            <w:rPr>
              <w:color w:val="000000"/>
              <w:lang w:val="en-US"/>
            </w:rPr>
            <w:t>24 August 2015</w:t>
          </w:r>
        </w:p>
        <w:p w:rsidR="00DE7EF3" w:rsidRPr="004029E6" w:rsidRDefault="00DE7EF3" w:rsidP="00701D01">
          <w:pPr>
            <w:rPr>
              <w:color w:val="000000"/>
              <w:lang w:val="en-US"/>
            </w:rPr>
          </w:pPr>
          <w:r w:rsidRPr="004029E6">
            <w:rPr>
              <w:color w:val="000000"/>
              <w:lang w:val="en-US"/>
            </w:rPr>
            <w:t>Russian</w:t>
          </w:r>
        </w:p>
        <w:p w:rsidR="00DE7EF3" w:rsidRPr="004029E6" w:rsidRDefault="00DE7EF3" w:rsidP="00701D01">
          <w:pPr>
            <w:pStyle w:val="Original"/>
            <w:rPr>
              <w:color w:val="000000"/>
              <w:lang w:val="en-US"/>
            </w:rPr>
          </w:pPr>
          <w:r w:rsidRPr="004029E6">
            <w:rPr>
              <w:color w:val="000000"/>
              <w:lang w:val="en-US"/>
            </w:rPr>
            <w:t>Original: French</w:t>
          </w:r>
        </w:p>
        <w:p w:rsidR="00DE7EF3" w:rsidRPr="004029E6" w:rsidRDefault="00DE7EF3" w:rsidP="00701D01">
          <w:pPr>
            <w:rPr>
              <w:lang w:val="en-US"/>
            </w:rPr>
          </w:pPr>
        </w:p>
      </w:tc>
    </w:tr>
  </w:tbl>
  <w:p w:rsidR="00DE7EF3" w:rsidRPr="004029E6" w:rsidRDefault="00DE7EF3" w:rsidP="00701D01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9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E305D"/>
    <w:multiLevelType w:val="multilevel"/>
    <w:tmpl w:val="75E40A42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4279*"/>
    <w:docVar w:name="CreationDt" w:val="9/16/2015 12:08 PM"/>
    <w:docVar w:name="DocCategory" w:val="Doc"/>
    <w:docVar w:name="DocType" w:val="Final"/>
    <w:docVar w:name="DutyStation" w:val="Geneva"/>
    <w:docVar w:name="FooterJN" w:val="GE.15-14279"/>
    <w:docVar w:name="jobn" w:val="GE.15-14279 (R)"/>
    <w:docVar w:name="jobnDT" w:val="GE.15-14279 (R)   160915"/>
    <w:docVar w:name="jobnDTDT" w:val="GE.15-14279 (R)   160915   160915"/>
    <w:docVar w:name="JobNo" w:val="GE.1514279R"/>
    <w:docVar w:name="JobNo2" w:val="1518953R"/>
    <w:docVar w:name="LocalDrive" w:val="0"/>
    <w:docVar w:name="OandT" w:val="U.A."/>
    <w:docVar w:name="PaperSize" w:val="A4"/>
    <w:docVar w:name="sss1" w:val="A/HRC/30/33"/>
    <w:docVar w:name="sss2" w:val="-"/>
    <w:docVar w:name="Symbol1" w:val="A/HRC/30/33"/>
    <w:docVar w:name="Symbol2" w:val="-"/>
  </w:docVars>
  <w:rsids>
    <w:rsidRoot w:val="005F2C03"/>
    <w:rsid w:val="00004615"/>
    <w:rsid w:val="00004756"/>
    <w:rsid w:val="00010735"/>
    <w:rsid w:val="00012D03"/>
    <w:rsid w:val="00013E03"/>
    <w:rsid w:val="00015201"/>
    <w:rsid w:val="0001588C"/>
    <w:rsid w:val="000162FB"/>
    <w:rsid w:val="00024A67"/>
    <w:rsid w:val="00025CF3"/>
    <w:rsid w:val="0002669B"/>
    <w:rsid w:val="00033C1F"/>
    <w:rsid w:val="000513EF"/>
    <w:rsid w:val="0005420D"/>
    <w:rsid w:val="00055EA2"/>
    <w:rsid w:val="00067A5A"/>
    <w:rsid w:val="00067A90"/>
    <w:rsid w:val="00070C37"/>
    <w:rsid w:val="000738BD"/>
    <w:rsid w:val="00076F88"/>
    <w:rsid w:val="0008067C"/>
    <w:rsid w:val="00091DC8"/>
    <w:rsid w:val="00092464"/>
    <w:rsid w:val="000A111E"/>
    <w:rsid w:val="000A1DF3"/>
    <w:rsid w:val="000A4A11"/>
    <w:rsid w:val="000B02B7"/>
    <w:rsid w:val="000C069D"/>
    <w:rsid w:val="000C67BC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235FD"/>
    <w:rsid w:val="0014308F"/>
    <w:rsid w:val="001444A3"/>
    <w:rsid w:val="00153645"/>
    <w:rsid w:val="00153E8C"/>
    <w:rsid w:val="00160648"/>
    <w:rsid w:val="00161F29"/>
    <w:rsid w:val="00162E88"/>
    <w:rsid w:val="00171F41"/>
    <w:rsid w:val="001726A4"/>
    <w:rsid w:val="00175AC4"/>
    <w:rsid w:val="00177361"/>
    <w:rsid w:val="001802BD"/>
    <w:rsid w:val="00193822"/>
    <w:rsid w:val="0019704E"/>
    <w:rsid w:val="001A0D31"/>
    <w:rsid w:val="001A39EE"/>
    <w:rsid w:val="001A4338"/>
    <w:rsid w:val="001A6777"/>
    <w:rsid w:val="001C54CE"/>
    <w:rsid w:val="001D1749"/>
    <w:rsid w:val="001D2679"/>
    <w:rsid w:val="001D60ED"/>
    <w:rsid w:val="001E21CE"/>
    <w:rsid w:val="001E25A2"/>
    <w:rsid w:val="001E61AD"/>
    <w:rsid w:val="001E639C"/>
    <w:rsid w:val="001F4353"/>
    <w:rsid w:val="001F639D"/>
    <w:rsid w:val="00205CBD"/>
    <w:rsid w:val="00206603"/>
    <w:rsid w:val="002078A2"/>
    <w:rsid w:val="00211A7E"/>
    <w:rsid w:val="00215955"/>
    <w:rsid w:val="00217A24"/>
    <w:rsid w:val="00223C57"/>
    <w:rsid w:val="00242477"/>
    <w:rsid w:val="00244051"/>
    <w:rsid w:val="002524D1"/>
    <w:rsid w:val="002535D8"/>
    <w:rsid w:val="00254046"/>
    <w:rsid w:val="002564AC"/>
    <w:rsid w:val="002608F3"/>
    <w:rsid w:val="00261386"/>
    <w:rsid w:val="00261C41"/>
    <w:rsid w:val="00264124"/>
    <w:rsid w:val="00264A43"/>
    <w:rsid w:val="002726BA"/>
    <w:rsid w:val="00277697"/>
    <w:rsid w:val="00281B96"/>
    <w:rsid w:val="002853F1"/>
    <w:rsid w:val="00285565"/>
    <w:rsid w:val="00297C3D"/>
    <w:rsid w:val="002A04A3"/>
    <w:rsid w:val="002A0BAE"/>
    <w:rsid w:val="002A2DD8"/>
    <w:rsid w:val="002A712C"/>
    <w:rsid w:val="002A7921"/>
    <w:rsid w:val="002B1213"/>
    <w:rsid w:val="002B2196"/>
    <w:rsid w:val="002B6501"/>
    <w:rsid w:val="002B6E2A"/>
    <w:rsid w:val="002C0A4B"/>
    <w:rsid w:val="002C3DE6"/>
    <w:rsid w:val="002C66D0"/>
    <w:rsid w:val="002D396F"/>
    <w:rsid w:val="002D4606"/>
    <w:rsid w:val="002D4A88"/>
    <w:rsid w:val="002D666D"/>
    <w:rsid w:val="002E1F79"/>
    <w:rsid w:val="002F5C45"/>
    <w:rsid w:val="002F6149"/>
    <w:rsid w:val="002F7D25"/>
    <w:rsid w:val="00310EA4"/>
    <w:rsid w:val="00310ED4"/>
    <w:rsid w:val="00325C10"/>
    <w:rsid w:val="00326F5F"/>
    <w:rsid w:val="00332D90"/>
    <w:rsid w:val="00333B06"/>
    <w:rsid w:val="00337D91"/>
    <w:rsid w:val="00346BFB"/>
    <w:rsid w:val="00350756"/>
    <w:rsid w:val="003542EE"/>
    <w:rsid w:val="00360D26"/>
    <w:rsid w:val="00362FFE"/>
    <w:rsid w:val="00364774"/>
    <w:rsid w:val="003658B0"/>
    <w:rsid w:val="0038044D"/>
    <w:rsid w:val="00382371"/>
    <w:rsid w:val="00384AEE"/>
    <w:rsid w:val="0038527A"/>
    <w:rsid w:val="00386A98"/>
    <w:rsid w:val="00391367"/>
    <w:rsid w:val="0039505F"/>
    <w:rsid w:val="003A150E"/>
    <w:rsid w:val="003A2730"/>
    <w:rsid w:val="003B16B4"/>
    <w:rsid w:val="003B5A03"/>
    <w:rsid w:val="003C12AC"/>
    <w:rsid w:val="003C2842"/>
    <w:rsid w:val="003D0825"/>
    <w:rsid w:val="003D2003"/>
    <w:rsid w:val="003D5DA2"/>
    <w:rsid w:val="003E4469"/>
    <w:rsid w:val="003E5193"/>
    <w:rsid w:val="00401CDD"/>
    <w:rsid w:val="00402244"/>
    <w:rsid w:val="004029E6"/>
    <w:rsid w:val="00415DEC"/>
    <w:rsid w:val="00427FE5"/>
    <w:rsid w:val="00433222"/>
    <w:rsid w:val="00436A23"/>
    <w:rsid w:val="00436F13"/>
    <w:rsid w:val="004420FB"/>
    <w:rsid w:val="00445A4E"/>
    <w:rsid w:val="004502EC"/>
    <w:rsid w:val="004504A6"/>
    <w:rsid w:val="00460D23"/>
    <w:rsid w:val="004645DD"/>
    <w:rsid w:val="0046710A"/>
    <w:rsid w:val="0047759D"/>
    <w:rsid w:val="00487893"/>
    <w:rsid w:val="0049612D"/>
    <w:rsid w:val="004964B8"/>
    <w:rsid w:val="004A04A6"/>
    <w:rsid w:val="004A21EE"/>
    <w:rsid w:val="004A36EE"/>
    <w:rsid w:val="004A7499"/>
    <w:rsid w:val="004B1314"/>
    <w:rsid w:val="004B16C7"/>
    <w:rsid w:val="004B722C"/>
    <w:rsid w:val="004C1B79"/>
    <w:rsid w:val="004C27B4"/>
    <w:rsid w:val="004C6A2C"/>
    <w:rsid w:val="004D275F"/>
    <w:rsid w:val="004D474D"/>
    <w:rsid w:val="004D6276"/>
    <w:rsid w:val="004D656E"/>
    <w:rsid w:val="004E190C"/>
    <w:rsid w:val="004E6443"/>
    <w:rsid w:val="004E7743"/>
    <w:rsid w:val="00504669"/>
    <w:rsid w:val="005058E0"/>
    <w:rsid w:val="00511EAC"/>
    <w:rsid w:val="005121DC"/>
    <w:rsid w:val="00513113"/>
    <w:rsid w:val="005135CF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427EA"/>
    <w:rsid w:val="00545562"/>
    <w:rsid w:val="0054563F"/>
    <w:rsid w:val="005469E1"/>
    <w:rsid w:val="0055087F"/>
    <w:rsid w:val="00552E08"/>
    <w:rsid w:val="005635F7"/>
    <w:rsid w:val="00563A41"/>
    <w:rsid w:val="0056579C"/>
    <w:rsid w:val="00567706"/>
    <w:rsid w:val="00572298"/>
    <w:rsid w:val="005734C2"/>
    <w:rsid w:val="00574AA1"/>
    <w:rsid w:val="00574BF2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99C"/>
    <w:rsid w:val="005C0440"/>
    <w:rsid w:val="005D38B6"/>
    <w:rsid w:val="005D7642"/>
    <w:rsid w:val="005E0A46"/>
    <w:rsid w:val="005E3D0D"/>
    <w:rsid w:val="005E7DCF"/>
    <w:rsid w:val="005F02E0"/>
    <w:rsid w:val="005F2C03"/>
    <w:rsid w:val="005F6E5C"/>
    <w:rsid w:val="00602F9D"/>
    <w:rsid w:val="0060593E"/>
    <w:rsid w:val="00611EE5"/>
    <w:rsid w:val="00616B8D"/>
    <w:rsid w:val="006261A6"/>
    <w:rsid w:val="0062751F"/>
    <w:rsid w:val="00632AFD"/>
    <w:rsid w:val="0063491E"/>
    <w:rsid w:val="00634A27"/>
    <w:rsid w:val="00634BC5"/>
    <w:rsid w:val="00635AF8"/>
    <w:rsid w:val="006409EF"/>
    <w:rsid w:val="006459C6"/>
    <w:rsid w:val="00646363"/>
    <w:rsid w:val="00647668"/>
    <w:rsid w:val="00655212"/>
    <w:rsid w:val="00657EE4"/>
    <w:rsid w:val="006816AA"/>
    <w:rsid w:val="00682A27"/>
    <w:rsid w:val="00684FCA"/>
    <w:rsid w:val="0069689E"/>
    <w:rsid w:val="006A1698"/>
    <w:rsid w:val="006A1D06"/>
    <w:rsid w:val="006A3F10"/>
    <w:rsid w:val="006A71EB"/>
    <w:rsid w:val="006B34CB"/>
    <w:rsid w:val="006B452C"/>
    <w:rsid w:val="006B590B"/>
    <w:rsid w:val="006C3F09"/>
    <w:rsid w:val="006C44B7"/>
    <w:rsid w:val="006C59D5"/>
    <w:rsid w:val="006D58BE"/>
    <w:rsid w:val="006E1418"/>
    <w:rsid w:val="006F3683"/>
    <w:rsid w:val="00700738"/>
    <w:rsid w:val="00701D01"/>
    <w:rsid w:val="007042EA"/>
    <w:rsid w:val="007043B9"/>
    <w:rsid w:val="00705549"/>
    <w:rsid w:val="0071210D"/>
    <w:rsid w:val="00716BC5"/>
    <w:rsid w:val="007170E5"/>
    <w:rsid w:val="00723115"/>
    <w:rsid w:val="00724550"/>
    <w:rsid w:val="00730859"/>
    <w:rsid w:val="00731830"/>
    <w:rsid w:val="00736A19"/>
    <w:rsid w:val="00743C8D"/>
    <w:rsid w:val="00745258"/>
    <w:rsid w:val="00763C4A"/>
    <w:rsid w:val="00767AED"/>
    <w:rsid w:val="0077374B"/>
    <w:rsid w:val="007746A3"/>
    <w:rsid w:val="007764D6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B098D"/>
    <w:rsid w:val="007B1DE5"/>
    <w:rsid w:val="007B5785"/>
    <w:rsid w:val="007B5CF3"/>
    <w:rsid w:val="007B67AE"/>
    <w:rsid w:val="007B6EBF"/>
    <w:rsid w:val="007C62D1"/>
    <w:rsid w:val="007C706F"/>
    <w:rsid w:val="007C7320"/>
    <w:rsid w:val="007D01FF"/>
    <w:rsid w:val="007E0E39"/>
    <w:rsid w:val="007E2B60"/>
    <w:rsid w:val="007E5E30"/>
    <w:rsid w:val="007F0E54"/>
    <w:rsid w:val="007F5107"/>
    <w:rsid w:val="008025EA"/>
    <w:rsid w:val="00803EC5"/>
    <w:rsid w:val="008040BA"/>
    <w:rsid w:val="008042D6"/>
    <w:rsid w:val="00806380"/>
    <w:rsid w:val="00821CE2"/>
    <w:rsid w:val="00830FF8"/>
    <w:rsid w:val="00833A04"/>
    <w:rsid w:val="00833B8D"/>
    <w:rsid w:val="00843750"/>
    <w:rsid w:val="00844407"/>
    <w:rsid w:val="00853E2A"/>
    <w:rsid w:val="008541E9"/>
    <w:rsid w:val="00854B24"/>
    <w:rsid w:val="00856EEB"/>
    <w:rsid w:val="00873020"/>
    <w:rsid w:val="008739EB"/>
    <w:rsid w:val="008776BB"/>
    <w:rsid w:val="00880540"/>
    <w:rsid w:val="0088396E"/>
    <w:rsid w:val="00884EB1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7279"/>
    <w:rsid w:val="00907EDB"/>
    <w:rsid w:val="009110C5"/>
    <w:rsid w:val="00912FB5"/>
    <w:rsid w:val="00913A54"/>
    <w:rsid w:val="00915944"/>
    <w:rsid w:val="00915A9F"/>
    <w:rsid w:val="009228D9"/>
    <w:rsid w:val="009312DC"/>
    <w:rsid w:val="009327BF"/>
    <w:rsid w:val="00934047"/>
    <w:rsid w:val="0093512D"/>
    <w:rsid w:val="00935F33"/>
    <w:rsid w:val="0094745A"/>
    <w:rsid w:val="00952B5F"/>
    <w:rsid w:val="00953546"/>
    <w:rsid w:val="009541F6"/>
    <w:rsid w:val="0095649D"/>
    <w:rsid w:val="009565AD"/>
    <w:rsid w:val="00960332"/>
    <w:rsid w:val="00963BDB"/>
    <w:rsid w:val="0097006F"/>
    <w:rsid w:val="00973D1D"/>
    <w:rsid w:val="00984EE4"/>
    <w:rsid w:val="00990168"/>
    <w:rsid w:val="0099354F"/>
    <w:rsid w:val="00996CBB"/>
    <w:rsid w:val="009A5318"/>
    <w:rsid w:val="009B16EA"/>
    <w:rsid w:val="009B3444"/>
    <w:rsid w:val="009B5DCD"/>
    <w:rsid w:val="009B5EE6"/>
    <w:rsid w:val="009B7193"/>
    <w:rsid w:val="009C02FB"/>
    <w:rsid w:val="009C20B9"/>
    <w:rsid w:val="009C382E"/>
    <w:rsid w:val="009C495F"/>
    <w:rsid w:val="009C6A25"/>
    <w:rsid w:val="009D28B9"/>
    <w:rsid w:val="009D6E3D"/>
    <w:rsid w:val="009E5E58"/>
    <w:rsid w:val="009F0808"/>
    <w:rsid w:val="00A045A5"/>
    <w:rsid w:val="00A0688A"/>
    <w:rsid w:val="00A070E6"/>
    <w:rsid w:val="00A1426A"/>
    <w:rsid w:val="00A14F1D"/>
    <w:rsid w:val="00A152DC"/>
    <w:rsid w:val="00A1703F"/>
    <w:rsid w:val="00A2180A"/>
    <w:rsid w:val="00A22293"/>
    <w:rsid w:val="00A26973"/>
    <w:rsid w:val="00A3401C"/>
    <w:rsid w:val="00A344D5"/>
    <w:rsid w:val="00A46574"/>
    <w:rsid w:val="00A471A3"/>
    <w:rsid w:val="00A47B1B"/>
    <w:rsid w:val="00A63339"/>
    <w:rsid w:val="00A90F41"/>
    <w:rsid w:val="00A910E7"/>
    <w:rsid w:val="00A93B3B"/>
    <w:rsid w:val="00A951DD"/>
    <w:rsid w:val="00A9600A"/>
    <w:rsid w:val="00A96C80"/>
    <w:rsid w:val="00AA0ABF"/>
    <w:rsid w:val="00AA27C2"/>
    <w:rsid w:val="00AB2CCF"/>
    <w:rsid w:val="00AB49FD"/>
    <w:rsid w:val="00AC271B"/>
    <w:rsid w:val="00AD12DB"/>
    <w:rsid w:val="00AD6322"/>
    <w:rsid w:val="00AD6752"/>
    <w:rsid w:val="00AD78B1"/>
    <w:rsid w:val="00AF0B91"/>
    <w:rsid w:val="00AF1A65"/>
    <w:rsid w:val="00AF3B70"/>
    <w:rsid w:val="00B03D42"/>
    <w:rsid w:val="00B11766"/>
    <w:rsid w:val="00B17439"/>
    <w:rsid w:val="00B17940"/>
    <w:rsid w:val="00B17A11"/>
    <w:rsid w:val="00B217F6"/>
    <w:rsid w:val="00B2296A"/>
    <w:rsid w:val="00B2472B"/>
    <w:rsid w:val="00B2753B"/>
    <w:rsid w:val="00B30444"/>
    <w:rsid w:val="00B33139"/>
    <w:rsid w:val="00B36652"/>
    <w:rsid w:val="00B44E4D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A6AD7"/>
    <w:rsid w:val="00BB052D"/>
    <w:rsid w:val="00BB1F92"/>
    <w:rsid w:val="00BB2E06"/>
    <w:rsid w:val="00BB46C6"/>
    <w:rsid w:val="00BB5B7F"/>
    <w:rsid w:val="00BB5C4E"/>
    <w:rsid w:val="00BB7E8A"/>
    <w:rsid w:val="00BC20A0"/>
    <w:rsid w:val="00BC75AA"/>
    <w:rsid w:val="00BD0770"/>
    <w:rsid w:val="00BD2F16"/>
    <w:rsid w:val="00BE2488"/>
    <w:rsid w:val="00BE2D25"/>
    <w:rsid w:val="00BE448A"/>
    <w:rsid w:val="00BE531D"/>
    <w:rsid w:val="00BE7378"/>
    <w:rsid w:val="00BF2725"/>
    <w:rsid w:val="00BF2DE2"/>
    <w:rsid w:val="00BF3D60"/>
    <w:rsid w:val="00BF4482"/>
    <w:rsid w:val="00BF5FCB"/>
    <w:rsid w:val="00BF72EA"/>
    <w:rsid w:val="00C00290"/>
    <w:rsid w:val="00C05FFF"/>
    <w:rsid w:val="00C10BAE"/>
    <w:rsid w:val="00C16B93"/>
    <w:rsid w:val="00C2210E"/>
    <w:rsid w:val="00C2524E"/>
    <w:rsid w:val="00C32802"/>
    <w:rsid w:val="00C35DFA"/>
    <w:rsid w:val="00C36272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4257"/>
    <w:rsid w:val="00C96443"/>
    <w:rsid w:val="00CA2CF3"/>
    <w:rsid w:val="00CA7009"/>
    <w:rsid w:val="00CB0B7D"/>
    <w:rsid w:val="00CB519E"/>
    <w:rsid w:val="00CC3D89"/>
    <w:rsid w:val="00CC5B37"/>
    <w:rsid w:val="00CD2ED3"/>
    <w:rsid w:val="00CD3C62"/>
    <w:rsid w:val="00CE4211"/>
    <w:rsid w:val="00CF021B"/>
    <w:rsid w:val="00CF066B"/>
    <w:rsid w:val="00CF07BE"/>
    <w:rsid w:val="00CF4412"/>
    <w:rsid w:val="00CF5B33"/>
    <w:rsid w:val="00D01748"/>
    <w:rsid w:val="00D028FF"/>
    <w:rsid w:val="00D03ECD"/>
    <w:rsid w:val="00D05963"/>
    <w:rsid w:val="00D07231"/>
    <w:rsid w:val="00D076E2"/>
    <w:rsid w:val="00D107E0"/>
    <w:rsid w:val="00D11640"/>
    <w:rsid w:val="00D1470E"/>
    <w:rsid w:val="00D20AA4"/>
    <w:rsid w:val="00D25A7B"/>
    <w:rsid w:val="00D32157"/>
    <w:rsid w:val="00D35B2E"/>
    <w:rsid w:val="00D40F84"/>
    <w:rsid w:val="00D434AF"/>
    <w:rsid w:val="00D44FA6"/>
    <w:rsid w:val="00D554C9"/>
    <w:rsid w:val="00D61BB7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B058E"/>
    <w:rsid w:val="00DB326E"/>
    <w:rsid w:val="00DC1E7E"/>
    <w:rsid w:val="00DC31D2"/>
    <w:rsid w:val="00DC7A5F"/>
    <w:rsid w:val="00DD6A66"/>
    <w:rsid w:val="00DE0D15"/>
    <w:rsid w:val="00DE7EF3"/>
    <w:rsid w:val="00DF1CF0"/>
    <w:rsid w:val="00DF6656"/>
    <w:rsid w:val="00DF7388"/>
    <w:rsid w:val="00E04C73"/>
    <w:rsid w:val="00E079A3"/>
    <w:rsid w:val="00E11718"/>
    <w:rsid w:val="00E12674"/>
    <w:rsid w:val="00E132AC"/>
    <w:rsid w:val="00E15CCC"/>
    <w:rsid w:val="00E15D7D"/>
    <w:rsid w:val="00E17234"/>
    <w:rsid w:val="00E23ABA"/>
    <w:rsid w:val="00E261F5"/>
    <w:rsid w:val="00E34A5B"/>
    <w:rsid w:val="00E3623B"/>
    <w:rsid w:val="00E4741B"/>
    <w:rsid w:val="00E478DE"/>
    <w:rsid w:val="00E5157F"/>
    <w:rsid w:val="00E5226F"/>
    <w:rsid w:val="00E53135"/>
    <w:rsid w:val="00E54141"/>
    <w:rsid w:val="00E54D94"/>
    <w:rsid w:val="00E57E26"/>
    <w:rsid w:val="00E6111E"/>
    <w:rsid w:val="00E616D0"/>
    <w:rsid w:val="00E61FD8"/>
    <w:rsid w:val="00E62CCE"/>
    <w:rsid w:val="00E62D29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1C96"/>
    <w:rsid w:val="00ED3E61"/>
    <w:rsid w:val="00EE3586"/>
    <w:rsid w:val="00EE63A7"/>
    <w:rsid w:val="00EE7954"/>
    <w:rsid w:val="00EF1FBD"/>
    <w:rsid w:val="00EF29BE"/>
    <w:rsid w:val="00EF7FD0"/>
    <w:rsid w:val="00F07943"/>
    <w:rsid w:val="00F07DDF"/>
    <w:rsid w:val="00F11204"/>
    <w:rsid w:val="00F16256"/>
    <w:rsid w:val="00F231E8"/>
    <w:rsid w:val="00F26EA8"/>
    <w:rsid w:val="00F30632"/>
    <w:rsid w:val="00F31B97"/>
    <w:rsid w:val="00F33544"/>
    <w:rsid w:val="00F35ACF"/>
    <w:rsid w:val="00F36445"/>
    <w:rsid w:val="00F40CAB"/>
    <w:rsid w:val="00F414C3"/>
    <w:rsid w:val="00F5129E"/>
    <w:rsid w:val="00F51C87"/>
    <w:rsid w:val="00F5214D"/>
    <w:rsid w:val="00F6077B"/>
    <w:rsid w:val="00F624BD"/>
    <w:rsid w:val="00F62A5E"/>
    <w:rsid w:val="00F631B9"/>
    <w:rsid w:val="00F634A6"/>
    <w:rsid w:val="00F6634F"/>
    <w:rsid w:val="00F6666B"/>
    <w:rsid w:val="00F72CD1"/>
    <w:rsid w:val="00F74A39"/>
    <w:rsid w:val="00F8138E"/>
    <w:rsid w:val="00F85203"/>
    <w:rsid w:val="00F87D5A"/>
    <w:rsid w:val="00F87EF6"/>
    <w:rsid w:val="00F92676"/>
    <w:rsid w:val="00F94262"/>
    <w:rsid w:val="00F947D0"/>
    <w:rsid w:val="00F9616B"/>
    <w:rsid w:val="00F9737F"/>
    <w:rsid w:val="00F979A8"/>
    <w:rsid w:val="00FA1B93"/>
    <w:rsid w:val="00FA5551"/>
    <w:rsid w:val="00FA7C7A"/>
    <w:rsid w:val="00FC1C00"/>
    <w:rsid w:val="00FD213B"/>
    <w:rsid w:val="00FD3CE8"/>
    <w:rsid w:val="00FD5B91"/>
    <w:rsid w:val="00FD7513"/>
    <w:rsid w:val="00FE179A"/>
    <w:rsid w:val="00FE2684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SingleTxt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701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D0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D01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D01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customStyle="1" w:styleId="HChG">
    <w:name w:val="_ H _Ch_G"/>
    <w:basedOn w:val="Normal"/>
    <w:next w:val="Normal"/>
    <w:rsid w:val="00364774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eastAsia="Times New Roman"/>
      <w:b/>
      <w:spacing w:val="0"/>
      <w:w w:val="100"/>
      <w:kern w:val="0"/>
      <w:sz w:val="28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BF2DE2"/>
    <w:pPr>
      <w:spacing w:before="100" w:beforeAutospacing="1" w:after="100" w:afterAutospacing="1" w:line="240" w:lineRule="auto"/>
    </w:pPr>
    <w:rPr>
      <w:spacing w:val="0"/>
      <w:w w:val="1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66B"/>
    <w:rPr>
      <w:rFonts w:ascii="Tahoma" w:hAnsi="Tahoma" w:cs="Tahoma"/>
      <w:spacing w:val="4"/>
      <w:w w:val="103"/>
      <w:kern w:val="14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SingleTxt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701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D0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D01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D01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customStyle="1" w:styleId="HChG">
    <w:name w:val="_ H _Ch_G"/>
    <w:basedOn w:val="Normal"/>
    <w:next w:val="Normal"/>
    <w:rsid w:val="00364774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eastAsia="Times New Roman"/>
      <w:b/>
      <w:spacing w:val="0"/>
      <w:w w:val="100"/>
      <w:kern w:val="0"/>
      <w:sz w:val="28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BF2DE2"/>
    <w:pPr>
      <w:spacing w:before="100" w:beforeAutospacing="1" w:after="100" w:afterAutospacing="1" w:line="240" w:lineRule="auto"/>
    </w:pPr>
    <w:rPr>
      <w:spacing w:val="0"/>
      <w:w w:val="1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66B"/>
    <w:rPr>
      <w:rFonts w:ascii="Tahoma" w:hAnsi="Tahoma" w:cs="Tahoma"/>
      <w:spacing w:val="4"/>
      <w:w w:val="103"/>
      <w:kern w:val="14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H:\RAPPORT%20DRC\Statistiques\Stats%202011%20-%202014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H:\RAPPORT%20DRC\Statistiques\Stats%202011%20-%202014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Диаграмма</a:t>
            </a:r>
            <a:r>
              <a:rPr lang="fr-FR" sz="1200">
                <a:latin typeface="Times New Roman" pitchFamily="18" charset="0"/>
                <a:cs typeface="Times New Roman" pitchFamily="18" charset="0"/>
              </a:rPr>
              <a:t> 1:</a:t>
            </a:r>
            <a:r>
              <a:rPr lang="fr-FR" sz="1200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200" baseline="0">
                <a:latin typeface="Times New Roman"/>
                <a:cs typeface="Times New Roman"/>
              </a:rPr>
              <a:t>Изменение числа нарушений прав человека и их жертв</a:t>
            </a:r>
            <a:endParaRPr lang="fr-FR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Sheet1!$B$23</c:f>
              <c:strCache>
                <c:ptCount val="1"/>
                <c:pt idx="0">
                  <c:v>Violations des droits de l'homme</c:v>
                </c:pt>
              </c:strCache>
            </c:strRef>
          </c:tx>
          <c:marker>
            <c:symbol val="none"/>
          </c:marker>
          <c:cat>
            <c:numRef>
              <c:f>Sheet1!$A$24:$A$27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Sheet1!$B$24:$B$27</c:f>
              <c:numCache>
                <c:formatCode>General</c:formatCode>
                <c:ptCount val="4"/>
                <c:pt idx="0">
                  <c:v>2406</c:v>
                </c:pt>
                <c:pt idx="1">
                  <c:v>3537</c:v>
                </c:pt>
                <c:pt idx="2">
                  <c:v>2607</c:v>
                </c:pt>
                <c:pt idx="3">
                  <c:v>2368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Sheet1!$C$23</c:f>
              <c:strCache>
                <c:ptCount val="1"/>
                <c:pt idx="0">
                  <c:v>Victimes</c:v>
                </c:pt>
              </c:strCache>
            </c:strRef>
          </c:tx>
          <c:marker>
            <c:symbol val="none"/>
          </c:marker>
          <c:cat>
            <c:numRef>
              <c:f>Sheet1!$A$24:$A$27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Sheet1!$C$24:$C$27</c:f>
              <c:numCache>
                <c:formatCode>General</c:formatCode>
                <c:ptCount val="4"/>
                <c:pt idx="0">
                  <c:v>4585</c:v>
                </c:pt>
                <c:pt idx="1">
                  <c:v>6691</c:v>
                </c:pt>
                <c:pt idx="2">
                  <c:v>5693</c:v>
                </c:pt>
                <c:pt idx="3">
                  <c:v>7651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7011456"/>
        <c:axId val="58754176"/>
      </c:lineChart>
      <c:catAx>
        <c:axId val="107011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58754176"/>
        <c:crosses val="autoZero"/>
        <c:auto val="1"/>
        <c:lblAlgn val="ctr"/>
        <c:lblOffset val="100"/>
        <c:noMultiLvlLbl val="0"/>
      </c:catAx>
      <c:valAx>
        <c:axId val="587541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070114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Диаграмма</a:t>
            </a:r>
            <a:r>
              <a:rPr lang="fr-FR" sz="1200">
                <a:latin typeface="Times New Roman" pitchFamily="18" charset="0"/>
                <a:cs typeface="Times New Roman" pitchFamily="18" charset="0"/>
              </a:rPr>
              <a:t> 2: 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Виновные в нарушениях прав человека</a:t>
            </a:r>
            <a:endParaRPr lang="fr-FR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Sheet2!$A$6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Sheet2!$B$5:$F$5</c:f>
              <c:strCache>
                <c:ptCount val="5"/>
                <c:pt idx="0">
                  <c:v>FARDC</c:v>
                </c:pt>
                <c:pt idx="1">
                  <c:v>PNC</c:v>
                </c:pt>
                <c:pt idx="2">
                  <c:v>ANR</c:v>
                </c:pt>
                <c:pt idx="3">
                  <c:v>Autorités administratives de l'Etat</c:v>
                </c:pt>
                <c:pt idx="4">
                  <c:v>Groupes armés </c:v>
                </c:pt>
              </c:strCache>
            </c:strRef>
          </c:cat>
          <c:val>
            <c:numRef>
              <c:f>Sheet2!$B$6:$F$6</c:f>
              <c:numCache>
                <c:formatCode>General</c:formatCode>
                <c:ptCount val="5"/>
                <c:pt idx="0">
                  <c:v>879</c:v>
                </c:pt>
                <c:pt idx="1">
                  <c:v>587</c:v>
                </c:pt>
                <c:pt idx="2">
                  <c:v>67</c:v>
                </c:pt>
                <c:pt idx="3">
                  <c:v>123</c:v>
                </c:pt>
                <c:pt idx="4">
                  <c:v>859</c:v>
                </c:pt>
              </c:numCache>
            </c:numRef>
          </c:val>
        </c:ser>
        <c:ser>
          <c:idx val="1"/>
          <c:order val="1"/>
          <c:tx>
            <c:strRef>
              <c:f>Sheet2!$A$7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Sheet2!$B$5:$F$5</c:f>
              <c:strCache>
                <c:ptCount val="5"/>
                <c:pt idx="0">
                  <c:v>FARDC</c:v>
                </c:pt>
                <c:pt idx="1">
                  <c:v>PNC</c:v>
                </c:pt>
                <c:pt idx="2">
                  <c:v>ANR</c:v>
                </c:pt>
                <c:pt idx="3">
                  <c:v>Autorités administratives de l'Etat</c:v>
                </c:pt>
                <c:pt idx="4">
                  <c:v>Groupes armés </c:v>
                </c:pt>
              </c:strCache>
            </c:strRef>
          </c:cat>
          <c:val>
            <c:numRef>
              <c:f>Sheet2!$B$7:$F$7</c:f>
              <c:numCache>
                <c:formatCode>General</c:formatCode>
                <c:ptCount val="5"/>
                <c:pt idx="0">
                  <c:v>1269</c:v>
                </c:pt>
                <c:pt idx="1">
                  <c:v>580</c:v>
                </c:pt>
                <c:pt idx="2">
                  <c:v>58</c:v>
                </c:pt>
                <c:pt idx="3">
                  <c:v>167</c:v>
                </c:pt>
                <c:pt idx="4">
                  <c:v>1463</c:v>
                </c:pt>
              </c:numCache>
            </c:numRef>
          </c:val>
        </c:ser>
        <c:ser>
          <c:idx val="2"/>
          <c:order val="2"/>
          <c:tx>
            <c:strRef>
              <c:f>Sheet2!$A$8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Sheet2!$B$5:$F$5</c:f>
              <c:strCache>
                <c:ptCount val="5"/>
                <c:pt idx="0">
                  <c:v>FARDC</c:v>
                </c:pt>
                <c:pt idx="1">
                  <c:v>PNC</c:v>
                </c:pt>
                <c:pt idx="2">
                  <c:v>ANR</c:v>
                </c:pt>
                <c:pt idx="3">
                  <c:v>Autorités administratives de l'Etat</c:v>
                </c:pt>
                <c:pt idx="4">
                  <c:v>Groupes armés </c:v>
                </c:pt>
              </c:strCache>
            </c:strRef>
          </c:cat>
          <c:val>
            <c:numRef>
              <c:f>Sheet2!$B$8:$F$8</c:f>
              <c:numCache>
                <c:formatCode>General</c:formatCode>
                <c:ptCount val="5"/>
                <c:pt idx="0">
                  <c:v>794</c:v>
                </c:pt>
                <c:pt idx="1">
                  <c:v>564</c:v>
                </c:pt>
                <c:pt idx="2">
                  <c:v>54</c:v>
                </c:pt>
                <c:pt idx="3">
                  <c:v>75</c:v>
                </c:pt>
                <c:pt idx="4">
                  <c:v>1120</c:v>
                </c:pt>
              </c:numCache>
            </c:numRef>
          </c:val>
        </c:ser>
        <c:ser>
          <c:idx val="3"/>
          <c:order val="3"/>
          <c:tx>
            <c:strRef>
              <c:f>Sheet2!$A$9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Sheet2!$B$5:$F$5</c:f>
              <c:strCache>
                <c:ptCount val="5"/>
                <c:pt idx="0">
                  <c:v>FARDC</c:v>
                </c:pt>
                <c:pt idx="1">
                  <c:v>PNC</c:v>
                </c:pt>
                <c:pt idx="2">
                  <c:v>ANR</c:v>
                </c:pt>
                <c:pt idx="3">
                  <c:v>Autorités administratives de l'Etat</c:v>
                </c:pt>
                <c:pt idx="4">
                  <c:v>Groupes armés </c:v>
                </c:pt>
              </c:strCache>
            </c:strRef>
          </c:cat>
          <c:val>
            <c:numRef>
              <c:f>Sheet2!$B$9:$F$9</c:f>
              <c:numCache>
                <c:formatCode>General</c:formatCode>
                <c:ptCount val="5"/>
                <c:pt idx="0">
                  <c:v>699</c:v>
                </c:pt>
                <c:pt idx="1">
                  <c:v>546</c:v>
                </c:pt>
                <c:pt idx="2">
                  <c:v>75</c:v>
                </c:pt>
                <c:pt idx="3">
                  <c:v>34</c:v>
                </c:pt>
                <c:pt idx="4">
                  <c:v>1014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615616"/>
        <c:axId val="107037440"/>
      </c:barChart>
      <c:catAx>
        <c:axId val="956156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Типы виновных</a:t>
                </a:r>
                <a:endParaRPr lang="fr-FR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</c:title>
        <c:majorTickMark val="none"/>
        <c:minorTickMark val="none"/>
        <c:tickLblPos val="nextTo"/>
        <c:crossAx val="107037440"/>
        <c:crosses val="autoZero"/>
        <c:auto val="1"/>
        <c:lblAlgn val="ctr"/>
        <c:lblOffset val="100"/>
        <c:noMultiLvlLbl val="0"/>
      </c:catAx>
      <c:valAx>
        <c:axId val="10703744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Число</a:t>
                </a:r>
                <a:r>
                  <a:rPr lang="ru-RU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нарушений</a:t>
                </a:r>
                <a:r>
                  <a:rPr lang="fr-FR"/>
                  <a:t> </a:t>
                </a:r>
              </a:p>
            </c:rich>
          </c:tx>
          <c:layout>
            <c:manualLayout>
              <c:xMode val="edge"/>
              <c:yMode val="edge"/>
              <c:x val="1.8680677174547577E-2"/>
              <c:y val="0.2124165866587457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95615616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</c:legendEntry>
      <c:legendEntry>
        <c:idx val="2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</c:legendEntry>
      <c:legendEntry>
        <c:idx val="3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16C726-8DBA-437E-9FF0-FB245EE887B1}"/>
</file>

<file path=customXml/itemProps2.xml><?xml version="1.0" encoding="utf-8"?>
<ds:datastoreItem xmlns:ds="http://schemas.openxmlformats.org/officeDocument/2006/customXml" ds:itemID="{1BC942E2-19EC-47C0-A71F-BD42DB84723B}"/>
</file>

<file path=customXml/itemProps3.xml><?xml version="1.0" encoding="utf-8"?>
<ds:datastoreItem xmlns:ds="http://schemas.openxmlformats.org/officeDocument/2006/customXml" ds:itemID="{1DEB7191-84AE-42CA-B22B-7CAA02314E70}"/>
</file>

<file path=customXml/itemProps4.xml><?xml version="1.0" encoding="utf-8"?>
<ds:datastoreItem xmlns:ds="http://schemas.openxmlformats.org/officeDocument/2006/customXml" ds:itemID="{9D6DC2FD-DDD6-4C32-9E0D-660B645311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7410</Words>
  <Characters>42241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49552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on the impact of technical assistance and capacity-building on the situation of human rights in the Democratic Republic of the Congo in Russian</dc:title>
  <dc:creator>Uliana Antipova</dc:creator>
  <cp:lastModifiedBy>Valeriano De Castro</cp:lastModifiedBy>
  <cp:revision>2</cp:revision>
  <cp:lastPrinted>2015-09-16T15:29:00Z</cp:lastPrinted>
  <dcterms:created xsi:type="dcterms:W3CDTF">2015-09-22T06:48:00Z</dcterms:created>
  <dcterms:modified xsi:type="dcterms:W3CDTF">2015-09-22T06:48:00Z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1514279R</vt:lpwstr>
  </property>
  <property fmtid="{D5CDD505-2E9C-101B-9397-08002B2CF9AE}" pid="3" name="ODSRefJobNo">
    <vt:lpwstr>1518953R</vt:lpwstr>
  </property>
  <property fmtid="{D5CDD505-2E9C-101B-9397-08002B2CF9AE}" pid="4" name="Symbol1">
    <vt:lpwstr>A/HRC/30/33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>U.A.</vt:lpwstr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24 August 2015</vt:lpwstr>
  </property>
  <property fmtid="{D5CDD505-2E9C-101B-9397-08002B2CF9AE}" pid="12" name="Original">
    <vt:lpwstr>French</vt:lpwstr>
  </property>
  <property fmtid="{D5CDD505-2E9C-101B-9397-08002B2CF9AE}" pid="13" name="Release Date">
    <vt:lpwstr>160915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50300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