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E4" w:rsidRPr="00B95DF9" w:rsidRDefault="002A08E4" w:rsidP="002A08E4">
      <w:pPr>
        <w:spacing w:line="60" w:lineRule="exact"/>
        <w:rPr>
          <w:color w:val="010000"/>
          <w:sz w:val="6"/>
        </w:rPr>
        <w:sectPr w:rsidR="002A08E4" w:rsidRPr="00B95DF9" w:rsidSect="002A08E4">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pgNumType w:start="1"/>
          <w:cols w:space="720"/>
          <w:noEndnote/>
          <w:titlePg/>
          <w:docGrid w:linePitch="360"/>
        </w:sectPr>
      </w:pPr>
      <w:r w:rsidRPr="00B95DF9">
        <w:rPr>
          <w:rStyle w:val="CommentReference"/>
        </w:rPr>
        <w:commentReference w:id="0"/>
      </w:r>
    </w:p>
    <w:p w:rsidR="00363769" w:rsidRPr="00E24112" w:rsidRDefault="00B95DF9" w:rsidP="00363769">
      <w:pPr>
        <w:pStyle w:val="SingleTxt"/>
        <w:ind w:left="0"/>
        <w:jc w:val="left"/>
        <w:rPr>
          <w:b/>
        </w:rPr>
      </w:pPr>
      <w:r w:rsidRPr="00363769">
        <w:rPr>
          <w:b/>
          <w:sz w:val="24"/>
          <w:szCs w:val="24"/>
        </w:rPr>
        <w:lastRenderedPageBreak/>
        <w:t>Совет по правам человека</w:t>
      </w:r>
      <w:r w:rsidR="00363769" w:rsidRPr="00363769">
        <w:rPr>
          <w:b/>
          <w:sz w:val="24"/>
          <w:szCs w:val="24"/>
        </w:rPr>
        <w:br/>
      </w:r>
      <w:r w:rsidRPr="00363769">
        <w:rPr>
          <w:b/>
        </w:rPr>
        <w:t>Тридцатая сессия</w:t>
      </w:r>
      <w:r w:rsidR="00363769" w:rsidRPr="00363769">
        <w:rPr>
          <w:b/>
        </w:rPr>
        <w:br/>
      </w:r>
      <w:r>
        <w:t>Пункт 3 повестки дня</w:t>
      </w:r>
      <w:r w:rsidR="00363769" w:rsidRPr="00363769">
        <w:br/>
      </w:r>
      <w:r w:rsidRPr="00363769">
        <w:rPr>
          <w:b/>
        </w:rPr>
        <w:t>Поощрение и защита всех прав человека,</w:t>
      </w:r>
      <w:r w:rsidR="00363769" w:rsidRPr="00363769">
        <w:rPr>
          <w:b/>
        </w:rPr>
        <w:br/>
      </w:r>
      <w:r w:rsidRPr="00363769">
        <w:rPr>
          <w:b/>
        </w:rPr>
        <w:t>гражданских, политических, экономических,</w:t>
      </w:r>
      <w:r w:rsidR="00363769" w:rsidRPr="00363769">
        <w:rPr>
          <w:b/>
        </w:rPr>
        <w:br/>
      </w:r>
      <w:r w:rsidRPr="00363769">
        <w:rPr>
          <w:b/>
        </w:rPr>
        <w:t xml:space="preserve">социальных и культурных прав, </w:t>
      </w:r>
      <w:r w:rsidR="000264F8">
        <w:rPr>
          <w:b/>
        </w:rPr>
        <w:br/>
      </w:r>
      <w:r w:rsidRPr="00363769">
        <w:rPr>
          <w:b/>
        </w:rPr>
        <w:t>включая право на развитие</w:t>
      </w:r>
    </w:p>
    <w:p w:rsidR="00363769" w:rsidRPr="00E24112" w:rsidRDefault="00363769" w:rsidP="00363769">
      <w:pPr>
        <w:pStyle w:val="SingleTxt"/>
        <w:spacing w:after="0" w:line="120" w:lineRule="exact"/>
        <w:ind w:left="0"/>
        <w:jc w:val="left"/>
        <w:rPr>
          <w:sz w:val="10"/>
        </w:rPr>
      </w:pPr>
    </w:p>
    <w:p w:rsidR="00363769" w:rsidRPr="00E24112" w:rsidRDefault="00363769" w:rsidP="00363769">
      <w:pPr>
        <w:pStyle w:val="SingleTxt"/>
        <w:spacing w:after="0" w:line="120" w:lineRule="exact"/>
        <w:ind w:left="0"/>
        <w:jc w:val="left"/>
        <w:rPr>
          <w:sz w:val="10"/>
        </w:rPr>
      </w:pPr>
    </w:p>
    <w:p w:rsidR="00363769" w:rsidRPr="00E24112" w:rsidRDefault="00363769" w:rsidP="00363769">
      <w:pPr>
        <w:pStyle w:val="SingleTxt"/>
        <w:spacing w:after="0" w:line="120" w:lineRule="exact"/>
        <w:ind w:left="0"/>
        <w:jc w:val="left"/>
        <w:rPr>
          <w:sz w:val="10"/>
        </w:rPr>
      </w:pPr>
    </w:p>
    <w:p w:rsidR="00B95DF9" w:rsidRDefault="00B95DF9" w:rsidP="003637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Доклад межправительственной рабочей группы открытого состава по рассмотрению возможности создания международной нормативной базы </w:t>
      </w:r>
      <w:r w:rsidR="00137D3F">
        <w:br/>
      </w:r>
      <w:r>
        <w:t xml:space="preserve">для регулирования, мониторинга и контроля деятельности частных военных и охранных компаний </w:t>
      </w:r>
      <w:r w:rsidR="00137D3F">
        <w:br/>
      </w:r>
      <w:r>
        <w:t>о работе ее четвертой сессии</w:t>
      </w:r>
      <w:r w:rsidR="00C0140C" w:rsidRPr="00C0140C">
        <w:rPr>
          <w:rStyle w:val="FootnoteReference"/>
          <w:b w:val="0"/>
          <w:color w:val="C0504D" w:themeColor="accent2"/>
          <w:sz w:val="20"/>
          <w:szCs w:val="20"/>
          <w:vertAlign w:val="baseline"/>
        </w:rPr>
        <w:footnoteReference w:customMarkFollows="1" w:id="2"/>
        <w:t>*</w:t>
      </w:r>
    </w:p>
    <w:p w:rsidR="00363769" w:rsidRPr="00363769" w:rsidRDefault="00363769" w:rsidP="00363769">
      <w:pPr>
        <w:pStyle w:val="SingleTxt"/>
        <w:spacing w:after="0" w:line="120" w:lineRule="exact"/>
        <w:rPr>
          <w:sz w:val="10"/>
        </w:rPr>
      </w:pPr>
      <w:bookmarkStart w:id="1" w:name="_GoBack"/>
      <w:bookmarkEnd w:id="1"/>
    </w:p>
    <w:p w:rsidR="00363769" w:rsidRPr="00363769" w:rsidRDefault="00363769" w:rsidP="00363769">
      <w:pPr>
        <w:pStyle w:val="SingleTxt"/>
        <w:spacing w:after="0" w:line="120" w:lineRule="exact"/>
        <w:rPr>
          <w:sz w:val="10"/>
        </w:rPr>
      </w:pPr>
    </w:p>
    <w:p w:rsidR="00B95DF9" w:rsidRPr="00363769" w:rsidRDefault="00363769" w:rsidP="003637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rPr>
      </w:pPr>
      <w:r w:rsidRPr="00C0140C">
        <w:rPr>
          <w:b w:val="0"/>
        </w:rPr>
        <w:tab/>
      </w:r>
      <w:r w:rsidRPr="00C0140C">
        <w:rPr>
          <w:b w:val="0"/>
        </w:rPr>
        <w:tab/>
      </w:r>
      <w:r w:rsidR="00B95DF9" w:rsidRPr="00363769">
        <w:rPr>
          <w:b w:val="0"/>
          <w:i/>
        </w:rPr>
        <w:t>Председатель-докладчик:</w:t>
      </w:r>
      <w:r w:rsidR="00B95DF9" w:rsidRPr="00363769">
        <w:rPr>
          <w:b w:val="0"/>
        </w:rPr>
        <w:t xml:space="preserve"> Абдул С. </w:t>
      </w:r>
      <w:proofErr w:type="spellStart"/>
      <w:r w:rsidR="00B95DF9" w:rsidRPr="00E24112">
        <w:rPr>
          <w:b w:val="0"/>
        </w:rPr>
        <w:t>Минти</w:t>
      </w:r>
      <w:proofErr w:type="spellEnd"/>
      <w:r w:rsidR="00B95DF9" w:rsidRPr="00363769">
        <w:rPr>
          <w:b w:val="0"/>
        </w:rPr>
        <w:t xml:space="preserve"> (Южная Африка)</w:t>
      </w:r>
    </w:p>
    <w:p w:rsidR="00363769" w:rsidRPr="00E24112" w:rsidRDefault="00363769" w:rsidP="00363769">
      <w:pPr>
        <w:pStyle w:val="SingleTxt"/>
        <w:spacing w:after="0" w:line="120" w:lineRule="exact"/>
        <w:rPr>
          <w:sz w:val="10"/>
        </w:rPr>
      </w:pPr>
    </w:p>
    <w:p w:rsidR="00363769" w:rsidRPr="00E24112" w:rsidRDefault="00363769" w:rsidP="00363769">
      <w:pPr>
        <w:pStyle w:val="SingleTxt"/>
        <w:spacing w:after="0" w:line="120" w:lineRule="exact"/>
        <w:rPr>
          <w:sz w:val="10"/>
        </w:rPr>
      </w:pPr>
    </w:p>
    <w:p w:rsidR="00363769" w:rsidRPr="00E24112" w:rsidRDefault="00363769" w:rsidP="00363769">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63769" w:rsidTr="00363769">
        <w:tc>
          <w:tcPr>
            <w:tcW w:w="10051" w:type="dxa"/>
            <w:tcBorders>
              <w:top w:val="single" w:sz="2" w:space="0" w:color="auto"/>
            </w:tcBorders>
            <w:shd w:val="clear" w:color="auto" w:fill="auto"/>
          </w:tcPr>
          <w:p w:rsidR="00363769" w:rsidRPr="000264F8" w:rsidRDefault="00363769" w:rsidP="00363769">
            <w:pPr>
              <w:tabs>
                <w:tab w:val="left" w:pos="240"/>
              </w:tabs>
              <w:spacing w:before="240" w:after="120"/>
              <w:rPr>
                <w:i/>
                <w:sz w:val="24"/>
                <w:lang w:val="en-US"/>
              </w:rPr>
            </w:pPr>
            <w:r w:rsidRPr="00E24112">
              <w:rPr>
                <w:sz w:val="24"/>
              </w:rPr>
              <w:tab/>
            </w:r>
            <w:proofErr w:type="spellStart"/>
            <w:r w:rsidRPr="000264F8">
              <w:rPr>
                <w:i/>
                <w:sz w:val="24"/>
                <w:lang w:val="en-US"/>
              </w:rPr>
              <w:t>Резюме</w:t>
            </w:r>
            <w:proofErr w:type="spellEnd"/>
          </w:p>
        </w:tc>
      </w:tr>
      <w:tr w:rsidR="00363769" w:rsidTr="00363769">
        <w:tc>
          <w:tcPr>
            <w:tcW w:w="10051" w:type="dxa"/>
            <w:shd w:val="clear" w:color="auto" w:fill="auto"/>
          </w:tcPr>
          <w:p w:rsidR="00363769" w:rsidRPr="00E24112" w:rsidRDefault="00363769" w:rsidP="00515F1F">
            <w:pPr>
              <w:pStyle w:val="SingleTxt"/>
              <w:rPr>
                <w:lang w:val="en-US"/>
              </w:rPr>
            </w:pPr>
            <w:r w:rsidRPr="00E24112">
              <w:tab/>
            </w:r>
            <w:proofErr w:type="gramStart"/>
            <w:r w:rsidRPr="00E24112">
              <w:t>В своей резолюции 22/33 Совет по правам человека продлил мандат ме</w:t>
            </w:r>
            <w:r w:rsidRPr="00E24112">
              <w:t>ж</w:t>
            </w:r>
            <w:r w:rsidRPr="00E24112">
              <w:t>правительственной рабочей группы открытого состава для рассмотрения во</w:t>
            </w:r>
            <w:r w:rsidRPr="00E24112">
              <w:t>з</w:t>
            </w:r>
            <w:r w:rsidRPr="00E24112">
              <w:t>можности создания международной нормативной базы для регулирования, мон</w:t>
            </w:r>
            <w:r w:rsidRPr="00E24112">
              <w:t>и</w:t>
            </w:r>
            <w:r w:rsidRPr="00E24112">
              <w:t>торинга и контроля деятельности частных вое</w:t>
            </w:r>
            <w:r w:rsidR="00E24112" w:rsidRPr="00E24112">
              <w:t>нных и охранных компаний на два</w:t>
            </w:r>
            <w:r w:rsidR="00E24112" w:rsidRPr="00E24112">
              <w:rPr>
                <w:lang w:val="en-US"/>
              </w:rPr>
              <w:t> </w:t>
            </w:r>
            <w:r w:rsidRPr="00E24112">
              <w:t>года в целях начала осуществления и выполнения мандата, определенного в пункте 77 его доклада о работе ее второй сессии (A/HRC/22/41).</w:t>
            </w:r>
            <w:proofErr w:type="gramEnd"/>
            <w:r w:rsidRPr="00E24112">
              <w:t xml:space="preserve"> Совет также просил рабочую группу представить ему свои рекомендации на его тридцатой сессии. Эти рекомендации содержатся в разделе V настоящего доклада.</w:t>
            </w:r>
          </w:p>
        </w:tc>
      </w:tr>
      <w:tr w:rsidR="00363769" w:rsidTr="00363769">
        <w:tc>
          <w:tcPr>
            <w:tcW w:w="10051" w:type="dxa"/>
            <w:tcBorders>
              <w:bottom w:val="single" w:sz="2" w:space="0" w:color="auto"/>
            </w:tcBorders>
            <w:shd w:val="clear" w:color="auto" w:fill="auto"/>
          </w:tcPr>
          <w:p w:rsidR="00363769" w:rsidRPr="00E24112" w:rsidRDefault="00363769" w:rsidP="00363769">
            <w:pPr>
              <w:pStyle w:val="SingleTxt"/>
              <w:rPr>
                <w:lang w:val="en-US"/>
              </w:rPr>
            </w:pPr>
          </w:p>
        </w:tc>
      </w:tr>
    </w:tbl>
    <w:p w:rsidR="00363769" w:rsidRPr="00363769" w:rsidRDefault="00363769" w:rsidP="00363769">
      <w:pPr>
        <w:pStyle w:val="SingleTxt"/>
        <w:spacing w:after="0" w:line="120" w:lineRule="exact"/>
        <w:rPr>
          <w:sz w:val="10"/>
          <w:lang w:val="en-US"/>
        </w:rPr>
      </w:pPr>
    </w:p>
    <w:p w:rsidR="00363769" w:rsidRPr="00363769" w:rsidRDefault="00363769" w:rsidP="00363769">
      <w:pPr>
        <w:pStyle w:val="SingleTxt"/>
        <w:spacing w:after="0" w:line="120" w:lineRule="exact"/>
        <w:rPr>
          <w:sz w:val="10"/>
          <w:lang w:val="en-US"/>
        </w:rPr>
      </w:pPr>
    </w:p>
    <w:p w:rsidR="00363769" w:rsidRPr="00363769" w:rsidRDefault="00363769" w:rsidP="00363769">
      <w:pPr>
        <w:pStyle w:val="SingleTxt"/>
        <w:spacing w:after="0" w:line="120" w:lineRule="exact"/>
        <w:rPr>
          <w:sz w:val="10"/>
          <w:lang w:val="en-US"/>
        </w:rPr>
      </w:pPr>
    </w:p>
    <w:p w:rsidR="00363769" w:rsidRPr="00363769" w:rsidRDefault="00363769" w:rsidP="00363769">
      <w:pPr>
        <w:pStyle w:val="HCh"/>
        <w:spacing w:after="120"/>
        <w:rPr>
          <w:b w:val="0"/>
          <w:lang w:val="en-US"/>
        </w:rPr>
      </w:pPr>
      <w: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363769" w:rsidRPr="00363769" w:rsidTr="00363769">
        <w:tc>
          <w:tcPr>
            <w:tcW w:w="1060" w:type="dxa"/>
            <w:shd w:val="clear" w:color="auto" w:fill="auto"/>
          </w:tcPr>
          <w:p w:rsidR="00363769" w:rsidRPr="00363769" w:rsidRDefault="00363769" w:rsidP="00363769">
            <w:pPr>
              <w:spacing w:after="120" w:line="240" w:lineRule="auto"/>
              <w:jc w:val="right"/>
              <w:rPr>
                <w:i/>
                <w:sz w:val="14"/>
                <w:lang w:val="en-US"/>
              </w:rPr>
            </w:pPr>
          </w:p>
        </w:tc>
        <w:tc>
          <w:tcPr>
            <w:tcW w:w="7056" w:type="dxa"/>
            <w:shd w:val="clear" w:color="auto" w:fill="auto"/>
          </w:tcPr>
          <w:p w:rsidR="00363769" w:rsidRPr="00363769" w:rsidRDefault="00363769" w:rsidP="00363769">
            <w:pPr>
              <w:spacing w:after="120" w:line="240" w:lineRule="auto"/>
              <w:rPr>
                <w:i/>
                <w:sz w:val="14"/>
                <w:lang w:val="en-US"/>
              </w:rPr>
            </w:pPr>
          </w:p>
        </w:tc>
        <w:tc>
          <w:tcPr>
            <w:tcW w:w="994" w:type="dxa"/>
            <w:shd w:val="clear" w:color="auto" w:fill="auto"/>
          </w:tcPr>
          <w:p w:rsidR="00363769" w:rsidRPr="00363769" w:rsidRDefault="00363769" w:rsidP="00363769">
            <w:pPr>
              <w:spacing w:after="120" w:line="240" w:lineRule="auto"/>
              <w:ind w:right="40"/>
              <w:jc w:val="right"/>
              <w:rPr>
                <w:i/>
                <w:sz w:val="14"/>
                <w:lang w:val="en-US"/>
              </w:rPr>
            </w:pPr>
          </w:p>
        </w:tc>
        <w:tc>
          <w:tcPr>
            <w:tcW w:w="720" w:type="dxa"/>
            <w:shd w:val="clear" w:color="auto" w:fill="auto"/>
          </w:tcPr>
          <w:p w:rsidR="00363769" w:rsidRPr="00363769" w:rsidRDefault="00363769" w:rsidP="00363769">
            <w:pPr>
              <w:spacing w:after="120" w:line="240" w:lineRule="auto"/>
              <w:ind w:right="40"/>
              <w:jc w:val="right"/>
              <w:rPr>
                <w:i/>
                <w:sz w:val="14"/>
                <w:lang w:val="en-US"/>
              </w:rPr>
            </w:pPr>
            <w:proofErr w:type="spellStart"/>
            <w:r>
              <w:rPr>
                <w:i/>
                <w:sz w:val="14"/>
                <w:lang w:val="en-US"/>
              </w:rPr>
              <w:t>Стр</w:t>
            </w:r>
            <w:proofErr w:type="spellEnd"/>
            <w:r>
              <w:rPr>
                <w:i/>
                <w:sz w:val="14"/>
                <w:lang w:val="en-US"/>
              </w:rPr>
              <w:t>.</w:t>
            </w:r>
          </w:p>
        </w:tc>
      </w:tr>
      <w:tr w:rsidR="00BE6A37" w:rsidRPr="00363769" w:rsidTr="00BE6A37">
        <w:tc>
          <w:tcPr>
            <w:tcW w:w="9110" w:type="dxa"/>
            <w:gridSpan w:val="3"/>
            <w:shd w:val="clear" w:color="auto" w:fill="auto"/>
          </w:tcPr>
          <w:p w:rsidR="00BE6A37" w:rsidRPr="00363769" w:rsidRDefault="00C40D81" w:rsidP="00C40D81">
            <w:pPr>
              <w:numPr>
                <w:ilvl w:val="0"/>
                <w:numId w:val="13"/>
              </w:numPr>
              <w:tabs>
                <w:tab w:val="right" w:pos="1080"/>
                <w:tab w:val="left" w:pos="1296"/>
                <w:tab w:val="left" w:pos="1728"/>
                <w:tab w:val="right" w:leader="dot" w:pos="9245"/>
              </w:tabs>
              <w:suppressAutoHyphens/>
              <w:spacing w:after="120"/>
              <w:rPr>
                <w:lang w:val="en-US"/>
              </w:rPr>
            </w:pPr>
            <w:r>
              <w:tab/>
              <w:t>Введение</w:t>
            </w:r>
            <w:r>
              <w:rPr>
                <w:spacing w:val="60"/>
                <w:sz w:val="17"/>
              </w:rPr>
              <w:tab/>
            </w:r>
          </w:p>
        </w:tc>
        <w:tc>
          <w:tcPr>
            <w:tcW w:w="720" w:type="dxa"/>
            <w:shd w:val="clear" w:color="auto" w:fill="auto"/>
            <w:vAlign w:val="bottom"/>
          </w:tcPr>
          <w:p w:rsidR="00BE6A37" w:rsidRPr="005D2455" w:rsidRDefault="005D2455" w:rsidP="00BE6A37">
            <w:pPr>
              <w:spacing w:after="120"/>
              <w:ind w:right="40"/>
              <w:jc w:val="right"/>
            </w:pPr>
            <w:r>
              <w:t>3</w:t>
            </w:r>
          </w:p>
        </w:tc>
      </w:tr>
      <w:tr w:rsidR="00BE6A37" w:rsidRPr="00363769" w:rsidTr="00BE6A37">
        <w:tc>
          <w:tcPr>
            <w:tcW w:w="9110" w:type="dxa"/>
            <w:gridSpan w:val="3"/>
            <w:shd w:val="clear" w:color="auto" w:fill="auto"/>
          </w:tcPr>
          <w:p w:rsidR="00BE6A37" w:rsidRPr="00363769" w:rsidRDefault="00C40D81" w:rsidP="00C40D81">
            <w:pPr>
              <w:numPr>
                <w:ilvl w:val="0"/>
                <w:numId w:val="13"/>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rPr>
                <w:lang w:val="en-US"/>
              </w:rPr>
            </w:pPr>
            <w:r>
              <w:tab/>
              <w:t>Организация четвертой сессии</w:t>
            </w:r>
            <w:r>
              <w:rPr>
                <w:spacing w:val="60"/>
                <w:sz w:val="17"/>
              </w:rPr>
              <w:tab/>
            </w:r>
          </w:p>
        </w:tc>
        <w:tc>
          <w:tcPr>
            <w:tcW w:w="720" w:type="dxa"/>
            <w:shd w:val="clear" w:color="auto" w:fill="auto"/>
            <w:vAlign w:val="bottom"/>
          </w:tcPr>
          <w:p w:rsidR="00BE6A37" w:rsidRPr="005D2455" w:rsidRDefault="005D2455" w:rsidP="00BE6A37">
            <w:pPr>
              <w:spacing w:after="120"/>
              <w:ind w:right="40"/>
              <w:jc w:val="right"/>
            </w:pPr>
            <w:r>
              <w:t>4</w:t>
            </w:r>
          </w:p>
        </w:tc>
      </w:tr>
      <w:tr w:rsidR="00BE6A37" w:rsidRPr="00363769" w:rsidTr="00BE6A37">
        <w:tc>
          <w:tcPr>
            <w:tcW w:w="9110" w:type="dxa"/>
            <w:gridSpan w:val="3"/>
            <w:shd w:val="clear" w:color="auto" w:fill="auto"/>
          </w:tcPr>
          <w:p w:rsidR="00BE6A37" w:rsidRPr="00363769" w:rsidRDefault="00C40D81" w:rsidP="00C40D81">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rPr>
                <w:lang w:val="en-US"/>
              </w:rPr>
            </w:pPr>
            <w:r>
              <w:t>Выборы Председателя-докладчика</w:t>
            </w:r>
            <w:r>
              <w:rPr>
                <w:spacing w:val="60"/>
                <w:sz w:val="17"/>
              </w:rPr>
              <w:tab/>
            </w:r>
          </w:p>
        </w:tc>
        <w:tc>
          <w:tcPr>
            <w:tcW w:w="720" w:type="dxa"/>
            <w:shd w:val="clear" w:color="auto" w:fill="auto"/>
            <w:vAlign w:val="bottom"/>
          </w:tcPr>
          <w:p w:rsidR="00BE6A37" w:rsidRPr="005D2455" w:rsidRDefault="005D2455" w:rsidP="00BE6A37">
            <w:pPr>
              <w:spacing w:after="120"/>
              <w:ind w:right="40"/>
              <w:jc w:val="right"/>
            </w:pPr>
            <w:r>
              <w:t>4</w:t>
            </w:r>
          </w:p>
        </w:tc>
      </w:tr>
      <w:tr w:rsidR="00BE6A37" w:rsidRPr="00363769" w:rsidTr="00BE6A37">
        <w:tc>
          <w:tcPr>
            <w:tcW w:w="9110" w:type="dxa"/>
            <w:gridSpan w:val="3"/>
            <w:shd w:val="clear" w:color="auto" w:fill="auto"/>
          </w:tcPr>
          <w:p w:rsidR="00BE6A37" w:rsidRPr="00363769" w:rsidRDefault="00C40D81" w:rsidP="00C40D81">
            <w:pPr>
              <w:numPr>
                <w:ilvl w:val="1"/>
                <w:numId w:val="13"/>
              </w:numPr>
              <w:tabs>
                <w:tab w:val="right" w:pos="1080"/>
                <w:tab w:val="left" w:pos="1296"/>
                <w:tab w:val="left" w:pos="1728"/>
                <w:tab w:val="left" w:pos="2160"/>
                <w:tab w:val="left" w:pos="2592"/>
                <w:tab w:val="right" w:leader="dot" w:pos="9245"/>
              </w:tabs>
              <w:suppressAutoHyphens/>
              <w:spacing w:after="120"/>
              <w:rPr>
                <w:lang w:val="en-US"/>
              </w:rPr>
            </w:pPr>
            <w:r>
              <w:t>Участники</w:t>
            </w:r>
            <w:r>
              <w:rPr>
                <w:spacing w:val="60"/>
                <w:sz w:val="17"/>
              </w:rPr>
              <w:tab/>
            </w:r>
          </w:p>
        </w:tc>
        <w:tc>
          <w:tcPr>
            <w:tcW w:w="720" w:type="dxa"/>
            <w:shd w:val="clear" w:color="auto" w:fill="auto"/>
            <w:vAlign w:val="bottom"/>
          </w:tcPr>
          <w:p w:rsidR="00BE6A37" w:rsidRPr="005D2455" w:rsidRDefault="005D2455" w:rsidP="00BE6A37">
            <w:pPr>
              <w:spacing w:after="120"/>
              <w:ind w:right="40"/>
              <w:jc w:val="right"/>
            </w:pPr>
            <w:r>
              <w:t>4</w:t>
            </w:r>
          </w:p>
        </w:tc>
      </w:tr>
      <w:tr w:rsidR="00BE6A37" w:rsidRPr="00363769" w:rsidTr="00BE6A37">
        <w:tc>
          <w:tcPr>
            <w:tcW w:w="9110" w:type="dxa"/>
            <w:gridSpan w:val="3"/>
            <w:shd w:val="clear" w:color="auto" w:fill="auto"/>
          </w:tcPr>
          <w:p w:rsidR="00BE6A37" w:rsidRPr="00363769" w:rsidRDefault="00C40D81" w:rsidP="00C40D81">
            <w:pPr>
              <w:numPr>
                <w:ilvl w:val="1"/>
                <w:numId w:val="13"/>
              </w:numPr>
              <w:tabs>
                <w:tab w:val="right" w:pos="1080"/>
                <w:tab w:val="left" w:pos="1296"/>
                <w:tab w:val="left" w:pos="1728"/>
                <w:tab w:val="left" w:pos="2160"/>
                <w:tab w:val="left" w:pos="2592"/>
                <w:tab w:val="left" w:pos="3024"/>
                <w:tab w:val="left" w:pos="3456"/>
                <w:tab w:val="right" w:leader="dot" w:pos="9245"/>
              </w:tabs>
              <w:suppressAutoHyphens/>
              <w:spacing w:after="120"/>
              <w:rPr>
                <w:lang w:val="en-US"/>
              </w:rPr>
            </w:pPr>
            <w:r>
              <w:t>Организация сессии</w:t>
            </w:r>
            <w:r>
              <w:rPr>
                <w:spacing w:val="60"/>
                <w:sz w:val="17"/>
              </w:rPr>
              <w:tab/>
            </w:r>
          </w:p>
        </w:tc>
        <w:tc>
          <w:tcPr>
            <w:tcW w:w="720" w:type="dxa"/>
            <w:shd w:val="clear" w:color="auto" w:fill="auto"/>
            <w:vAlign w:val="bottom"/>
          </w:tcPr>
          <w:p w:rsidR="00BE6A37" w:rsidRPr="005D2455" w:rsidRDefault="005D2455" w:rsidP="00BE6A37">
            <w:pPr>
              <w:spacing w:after="120"/>
              <w:ind w:right="40"/>
              <w:jc w:val="right"/>
            </w:pPr>
            <w:r>
              <w:t>5</w:t>
            </w:r>
          </w:p>
        </w:tc>
      </w:tr>
      <w:tr w:rsidR="00BE6A37" w:rsidRPr="00363769" w:rsidTr="00BE6A37">
        <w:tc>
          <w:tcPr>
            <w:tcW w:w="9110" w:type="dxa"/>
            <w:gridSpan w:val="3"/>
            <w:shd w:val="clear" w:color="auto" w:fill="auto"/>
          </w:tcPr>
          <w:p w:rsidR="00BE6A37" w:rsidRPr="00363769" w:rsidRDefault="00C40D81" w:rsidP="00C40D81">
            <w:pPr>
              <w:numPr>
                <w:ilvl w:val="1"/>
                <w:numId w:val="13"/>
              </w:numPr>
              <w:tabs>
                <w:tab w:val="right" w:pos="1080"/>
                <w:tab w:val="left" w:pos="1296"/>
                <w:tab w:val="left" w:pos="1728"/>
                <w:tab w:val="left" w:pos="2160"/>
                <w:tab w:val="left" w:pos="2592"/>
                <w:tab w:val="left" w:pos="3024"/>
                <w:tab w:val="right" w:leader="dot" w:pos="9245"/>
              </w:tabs>
              <w:suppressAutoHyphens/>
              <w:spacing w:after="120"/>
              <w:rPr>
                <w:lang w:val="en-US"/>
              </w:rPr>
            </w:pPr>
            <w:r>
              <w:t>Общая дискуссия</w:t>
            </w:r>
            <w:r>
              <w:rPr>
                <w:spacing w:val="60"/>
                <w:sz w:val="17"/>
              </w:rPr>
              <w:tab/>
            </w:r>
          </w:p>
        </w:tc>
        <w:tc>
          <w:tcPr>
            <w:tcW w:w="720" w:type="dxa"/>
            <w:shd w:val="clear" w:color="auto" w:fill="auto"/>
            <w:vAlign w:val="bottom"/>
          </w:tcPr>
          <w:p w:rsidR="00BE6A37" w:rsidRPr="005D2455" w:rsidRDefault="005D2455" w:rsidP="00BE6A37">
            <w:pPr>
              <w:spacing w:after="120"/>
              <w:ind w:right="40"/>
              <w:jc w:val="right"/>
            </w:pPr>
            <w:r>
              <w:t>6</w:t>
            </w:r>
          </w:p>
        </w:tc>
      </w:tr>
      <w:tr w:rsidR="00BE6A37" w:rsidRPr="00363769" w:rsidTr="00BE6A37">
        <w:tc>
          <w:tcPr>
            <w:tcW w:w="9110" w:type="dxa"/>
            <w:gridSpan w:val="3"/>
            <w:shd w:val="clear" w:color="auto" w:fill="auto"/>
          </w:tcPr>
          <w:p w:rsidR="00BE6A37" w:rsidRPr="00363769" w:rsidRDefault="00154569" w:rsidP="00C40D81">
            <w:pPr>
              <w:numPr>
                <w:ilvl w:val="0"/>
                <w:numId w:val="13"/>
              </w:numPr>
              <w:tabs>
                <w:tab w:val="right" w:pos="1080"/>
                <w:tab w:val="left" w:pos="1296"/>
                <w:tab w:val="left" w:pos="1728"/>
                <w:tab w:val="left" w:pos="2160"/>
                <w:tab w:val="left" w:pos="2592"/>
                <w:tab w:val="left" w:pos="3024"/>
                <w:tab w:val="left" w:pos="3456"/>
                <w:tab w:val="right" w:leader="dot" w:pos="9245"/>
              </w:tabs>
              <w:suppressAutoHyphens/>
              <w:spacing w:after="120"/>
              <w:rPr>
                <w:lang w:val="en-US"/>
              </w:rPr>
            </w:pPr>
            <w:r>
              <w:tab/>
            </w:r>
            <w:r w:rsidR="00C40D81">
              <w:t>Обсуждение конкретных тем</w:t>
            </w:r>
            <w:r w:rsidR="00C40D81">
              <w:rPr>
                <w:spacing w:val="60"/>
                <w:sz w:val="17"/>
              </w:rPr>
              <w:tab/>
            </w:r>
          </w:p>
        </w:tc>
        <w:tc>
          <w:tcPr>
            <w:tcW w:w="720" w:type="dxa"/>
            <w:shd w:val="clear" w:color="auto" w:fill="auto"/>
            <w:vAlign w:val="bottom"/>
          </w:tcPr>
          <w:p w:rsidR="00BE6A37" w:rsidRPr="005D2455" w:rsidRDefault="005D2455" w:rsidP="00BE6A37">
            <w:pPr>
              <w:spacing w:after="120"/>
              <w:ind w:right="40"/>
              <w:jc w:val="right"/>
            </w:pPr>
            <w:r>
              <w:t>10</w:t>
            </w:r>
          </w:p>
        </w:tc>
      </w:tr>
      <w:tr w:rsidR="00BE6A37" w:rsidRPr="00C40D81" w:rsidTr="00BE6A37">
        <w:tc>
          <w:tcPr>
            <w:tcW w:w="9110" w:type="dxa"/>
            <w:gridSpan w:val="3"/>
            <w:shd w:val="clear" w:color="auto" w:fill="auto"/>
          </w:tcPr>
          <w:p w:rsidR="00BE6A37" w:rsidRPr="00C40D81" w:rsidRDefault="00C40D81" w:rsidP="00C40D81">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t>Доклад по вопросам существа Председателя Рабочей группы по вопросу об использовании наемников как сре</w:t>
            </w:r>
            <w:r w:rsidR="00E24112">
              <w:t>дстве нарушения прав человека и</w:t>
            </w:r>
            <w:r w:rsidR="00E24112">
              <w:rPr>
                <w:lang w:val="en-US"/>
              </w:rPr>
              <w:t> </w:t>
            </w:r>
            <w:r>
              <w:t>противодействия осуществлению права народов на самоопределение</w:t>
            </w:r>
            <w:r>
              <w:rPr>
                <w:spacing w:val="60"/>
                <w:sz w:val="17"/>
              </w:rPr>
              <w:tab/>
            </w:r>
          </w:p>
        </w:tc>
        <w:tc>
          <w:tcPr>
            <w:tcW w:w="720" w:type="dxa"/>
            <w:shd w:val="clear" w:color="auto" w:fill="auto"/>
            <w:vAlign w:val="bottom"/>
          </w:tcPr>
          <w:p w:rsidR="00BE6A37" w:rsidRPr="00C40D81" w:rsidRDefault="005D2455" w:rsidP="00BE6A37">
            <w:pPr>
              <w:spacing w:after="120"/>
              <w:ind w:right="40"/>
              <w:jc w:val="right"/>
            </w:pPr>
            <w:r>
              <w:t>10</w:t>
            </w:r>
          </w:p>
        </w:tc>
      </w:tr>
      <w:tr w:rsidR="00BE6A37" w:rsidRPr="00C40D81" w:rsidTr="00BE6A37">
        <w:tc>
          <w:tcPr>
            <w:tcW w:w="9110" w:type="dxa"/>
            <w:gridSpan w:val="3"/>
            <w:shd w:val="clear" w:color="auto" w:fill="auto"/>
          </w:tcPr>
          <w:p w:rsidR="00BE6A37" w:rsidRPr="00C40D81" w:rsidRDefault="00C40D81" w:rsidP="00C40D81">
            <w:pPr>
              <w:numPr>
                <w:ilvl w:val="1"/>
                <w:numId w:val="13"/>
              </w:numPr>
              <w:tabs>
                <w:tab w:val="right" w:pos="1080"/>
                <w:tab w:val="left" w:pos="1296"/>
                <w:tab w:val="left" w:pos="1728"/>
                <w:tab w:val="left" w:pos="2160"/>
                <w:tab w:val="right" w:leader="dot" w:pos="9245"/>
              </w:tabs>
              <w:suppressAutoHyphens/>
              <w:spacing w:after="120"/>
            </w:pPr>
            <w:r>
              <w:t xml:space="preserve">Обсуждение с участием представителя частных военных и охранных </w:t>
            </w:r>
            <w:r>
              <w:br/>
              <w:t>компаний</w:t>
            </w:r>
            <w:r>
              <w:rPr>
                <w:spacing w:val="60"/>
                <w:sz w:val="17"/>
              </w:rPr>
              <w:tab/>
            </w:r>
          </w:p>
        </w:tc>
        <w:tc>
          <w:tcPr>
            <w:tcW w:w="720" w:type="dxa"/>
            <w:shd w:val="clear" w:color="auto" w:fill="auto"/>
            <w:vAlign w:val="bottom"/>
          </w:tcPr>
          <w:p w:rsidR="00BE6A37" w:rsidRPr="00C40D81" w:rsidRDefault="005D2455" w:rsidP="00BE6A37">
            <w:pPr>
              <w:spacing w:after="120"/>
              <w:ind w:right="40"/>
              <w:jc w:val="right"/>
            </w:pPr>
            <w:r>
              <w:t>13</w:t>
            </w:r>
          </w:p>
        </w:tc>
      </w:tr>
      <w:tr w:rsidR="00BE6A37" w:rsidRPr="00C40D81" w:rsidTr="00BE6A37">
        <w:tc>
          <w:tcPr>
            <w:tcW w:w="9110" w:type="dxa"/>
            <w:gridSpan w:val="3"/>
            <w:shd w:val="clear" w:color="auto" w:fill="auto"/>
          </w:tcPr>
          <w:p w:rsidR="00BE6A37" w:rsidRPr="00C40D81" w:rsidRDefault="00515F1F" w:rsidP="00515F1F">
            <w:pPr>
              <w:numPr>
                <w:ilvl w:val="1"/>
                <w:numId w:val="13"/>
              </w:numPr>
              <w:tabs>
                <w:tab w:val="right" w:pos="1080"/>
                <w:tab w:val="left" w:pos="1296"/>
                <w:tab w:val="left" w:pos="1728"/>
                <w:tab w:val="left" w:pos="2160"/>
                <w:tab w:val="right" w:leader="dot" w:pos="9245"/>
              </w:tabs>
              <w:suppressAutoHyphens/>
              <w:spacing w:after="120"/>
            </w:pPr>
            <w:r>
              <w:t xml:space="preserve">Особенности регулирования деятельности частных охранных компаний </w:t>
            </w:r>
            <w:r>
              <w:br/>
              <w:t>на море</w:t>
            </w:r>
            <w:r>
              <w:rPr>
                <w:spacing w:val="60"/>
                <w:sz w:val="17"/>
              </w:rPr>
              <w:tab/>
            </w:r>
          </w:p>
        </w:tc>
        <w:tc>
          <w:tcPr>
            <w:tcW w:w="720" w:type="dxa"/>
            <w:shd w:val="clear" w:color="auto" w:fill="auto"/>
            <w:vAlign w:val="bottom"/>
          </w:tcPr>
          <w:p w:rsidR="00BE6A37" w:rsidRPr="00C40D81" w:rsidRDefault="005D2455" w:rsidP="00BE6A37">
            <w:pPr>
              <w:spacing w:after="120"/>
              <w:ind w:right="40"/>
              <w:jc w:val="right"/>
            </w:pPr>
            <w:r>
              <w:t>17</w:t>
            </w:r>
          </w:p>
        </w:tc>
      </w:tr>
      <w:tr w:rsidR="00BE6A37" w:rsidRPr="00C40D81" w:rsidTr="00BE6A37">
        <w:tc>
          <w:tcPr>
            <w:tcW w:w="9110" w:type="dxa"/>
            <w:gridSpan w:val="3"/>
            <w:shd w:val="clear" w:color="auto" w:fill="auto"/>
          </w:tcPr>
          <w:p w:rsidR="00BE6A37" w:rsidRPr="00C40D81" w:rsidRDefault="00515F1F" w:rsidP="00515F1F">
            <w:pPr>
              <w:numPr>
                <w:ilvl w:val="1"/>
                <w:numId w:val="13"/>
              </w:numPr>
              <w:tabs>
                <w:tab w:val="right" w:pos="1080"/>
                <w:tab w:val="left" w:pos="1296"/>
                <w:tab w:val="left" w:pos="1728"/>
                <w:tab w:val="left" w:pos="2160"/>
                <w:tab w:val="left" w:pos="2592"/>
                <w:tab w:val="left" w:pos="3024"/>
                <w:tab w:val="left" w:pos="3456"/>
                <w:tab w:val="right" w:leader="dot" w:pos="9245"/>
              </w:tabs>
              <w:suppressAutoHyphens/>
              <w:spacing w:after="120"/>
            </w:pPr>
            <w:r>
              <w:t>Использование услуг частных охранных компаний Организацией Объединенных Наций</w:t>
            </w:r>
            <w:r>
              <w:rPr>
                <w:spacing w:val="60"/>
                <w:sz w:val="17"/>
              </w:rPr>
              <w:tab/>
            </w:r>
          </w:p>
        </w:tc>
        <w:tc>
          <w:tcPr>
            <w:tcW w:w="720" w:type="dxa"/>
            <w:shd w:val="clear" w:color="auto" w:fill="auto"/>
            <w:vAlign w:val="bottom"/>
          </w:tcPr>
          <w:p w:rsidR="00BE6A37" w:rsidRPr="00C40D81" w:rsidRDefault="005D2455" w:rsidP="00BE6A37">
            <w:pPr>
              <w:spacing w:after="120"/>
              <w:ind w:right="40"/>
              <w:jc w:val="right"/>
            </w:pPr>
            <w:r>
              <w:t>20</w:t>
            </w:r>
          </w:p>
        </w:tc>
      </w:tr>
      <w:tr w:rsidR="00BE6A37" w:rsidRPr="00C40D81" w:rsidTr="00BE6A37">
        <w:tc>
          <w:tcPr>
            <w:tcW w:w="9110" w:type="dxa"/>
            <w:gridSpan w:val="3"/>
            <w:shd w:val="clear" w:color="auto" w:fill="auto"/>
          </w:tcPr>
          <w:p w:rsidR="00BE6A37" w:rsidRPr="00C40D81" w:rsidRDefault="00515F1F" w:rsidP="00515F1F">
            <w:pPr>
              <w:numPr>
                <w:ilvl w:val="0"/>
                <w:numId w:val="13"/>
              </w:numPr>
              <w:tabs>
                <w:tab w:val="right" w:pos="1080"/>
                <w:tab w:val="left" w:pos="1296"/>
                <w:tab w:val="left" w:pos="1728"/>
                <w:tab w:val="left" w:pos="2160"/>
                <w:tab w:val="left" w:pos="2592"/>
                <w:tab w:val="left" w:pos="3024"/>
                <w:tab w:val="left" w:pos="3456"/>
                <w:tab w:val="right" w:leader="dot" w:pos="9245"/>
              </w:tabs>
              <w:suppressAutoHyphens/>
              <w:spacing w:after="120"/>
            </w:pPr>
            <w:r>
              <w:tab/>
              <w:t>Заключительные замечания</w:t>
            </w:r>
            <w:r>
              <w:rPr>
                <w:spacing w:val="60"/>
                <w:sz w:val="17"/>
              </w:rPr>
              <w:tab/>
            </w:r>
          </w:p>
        </w:tc>
        <w:tc>
          <w:tcPr>
            <w:tcW w:w="720" w:type="dxa"/>
            <w:shd w:val="clear" w:color="auto" w:fill="auto"/>
            <w:vAlign w:val="bottom"/>
          </w:tcPr>
          <w:p w:rsidR="00BE6A37" w:rsidRPr="00C40D81" w:rsidRDefault="005D2455" w:rsidP="00BE6A37">
            <w:pPr>
              <w:spacing w:after="120"/>
              <w:ind w:right="40"/>
              <w:jc w:val="right"/>
            </w:pPr>
            <w:r>
              <w:t>24</w:t>
            </w:r>
          </w:p>
        </w:tc>
      </w:tr>
      <w:tr w:rsidR="00BE6A37" w:rsidRPr="00C40D81" w:rsidTr="00BE6A37">
        <w:tc>
          <w:tcPr>
            <w:tcW w:w="9110" w:type="dxa"/>
            <w:gridSpan w:val="3"/>
            <w:shd w:val="clear" w:color="auto" w:fill="auto"/>
          </w:tcPr>
          <w:p w:rsidR="00BE6A37" w:rsidRPr="00C40D81" w:rsidRDefault="00515F1F" w:rsidP="00515F1F">
            <w:pPr>
              <w:numPr>
                <w:ilvl w:val="0"/>
                <w:numId w:val="13"/>
              </w:numPr>
              <w:tabs>
                <w:tab w:val="right" w:pos="1080"/>
                <w:tab w:val="left" w:pos="1296"/>
                <w:tab w:val="left" w:pos="1728"/>
                <w:tab w:val="left" w:pos="2160"/>
                <w:tab w:val="left" w:pos="2592"/>
                <w:tab w:val="left" w:pos="3024"/>
                <w:tab w:val="left" w:pos="3456"/>
                <w:tab w:val="right" w:leader="dot" w:pos="9245"/>
              </w:tabs>
              <w:suppressAutoHyphens/>
              <w:spacing w:after="120"/>
            </w:pPr>
            <w:r>
              <w:tab/>
              <w:t>Выводы и рекомендации</w:t>
            </w:r>
            <w:r>
              <w:rPr>
                <w:spacing w:val="60"/>
                <w:sz w:val="17"/>
              </w:rPr>
              <w:tab/>
            </w:r>
          </w:p>
        </w:tc>
        <w:tc>
          <w:tcPr>
            <w:tcW w:w="720" w:type="dxa"/>
            <w:shd w:val="clear" w:color="auto" w:fill="auto"/>
            <w:vAlign w:val="bottom"/>
          </w:tcPr>
          <w:p w:rsidR="00BE6A37" w:rsidRPr="00C40D81" w:rsidRDefault="005D2455" w:rsidP="00BE6A37">
            <w:pPr>
              <w:spacing w:after="120"/>
              <w:ind w:right="40"/>
              <w:jc w:val="right"/>
            </w:pPr>
            <w:r>
              <w:t>25</w:t>
            </w:r>
          </w:p>
        </w:tc>
      </w:tr>
      <w:tr w:rsidR="00BE6A37" w:rsidRPr="00C40D81" w:rsidTr="00BE6A37">
        <w:tc>
          <w:tcPr>
            <w:tcW w:w="9110" w:type="dxa"/>
            <w:gridSpan w:val="3"/>
            <w:shd w:val="clear" w:color="auto" w:fill="auto"/>
          </w:tcPr>
          <w:p w:rsidR="00BE6A37" w:rsidRPr="00C40D81" w:rsidRDefault="000264F8" w:rsidP="00BE6A37">
            <w:pPr>
              <w:tabs>
                <w:tab w:val="right" w:pos="1080"/>
                <w:tab w:val="left" w:pos="1728"/>
                <w:tab w:val="left" w:pos="2160"/>
                <w:tab w:val="left" w:pos="2592"/>
                <w:tab w:val="left" w:pos="3024"/>
                <w:tab w:val="left" w:pos="3456"/>
                <w:tab w:val="left" w:pos="3888"/>
                <w:tab w:val="left" w:pos="4320"/>
                <w:tab w:val="right" w:leader="dot" w:pos="9115"/>
              </w:tabs>
              <w:suppressAutoHyphens/>
              <w:spacing w:after="120"/>
            </w:pPr>
            <w:r>
              <w:tab/>
            </w:r>
            <w:proofErr w:type="spellStart"/>
            <w:r w:rsidR="00515F1F" w:rsidRPr="00515F1F">
              <w:t>Annexes</w:t>
            </w:r>
            <w:proofErr w:type="spellEnd"/>
          </w:p>
        </w:tc>
        <w:tc>
          <w:tcPr>
            <w:tcW w:w="720" w:type="dxa"/>
            <w:shd w:val="clear" w:color="auto" w:fill="auto"/>
            <w:vAlign w:val="bottom"/>
          </w:tcPr>
          <w:p w:rsidR="00BE6A37" w:rsidRPr="00C40D81" w:rsidRDefault="00BE6A37" w:rsidP="00BE6A37">
            <w:pPr>
              <w:spacing w:after="120"/>
              <w:ind w:right="40"/>
              <w:jc w:val="right"/>
            </w:pPr>
          </w:p>
        </w:tc>
      </w:tr>
      <w:tr w:rsidR="00BE6A37" w:rsidRPr="00363769" w:rsidTr="00154569">
        <w:tc>
          <w:tcPr>
            <w:tcW w:w="9110" w:type="dxa"/>
            <w:gridSpan w:val="3"/>
            <w:shd w:val="clear" w:color="auto" w:fill="auto"/>
          </w:tcPr>
          <w:p w:rsidR="00BE6A37" w:rsidRPr="00515F1F" w:rsidRDefault="00154569" w:rsidP="00515F1F">
            <w:pPr>
              <w:tabs>
                <w:tab w:val="right" w:pos="1080"/>
                <w:tab w:val="left" w:pos="1296"/>
                <w:tab w:val="left" w:pos="1728"/>
                <w:tab w:val="left" w:pos="2160"/>
                <w:tab w:val="left" w:pos="2592"/>
                <w:tab w:val="right" w:leader="dot" w:pos="9245"/>
              </w:tabs>
              <w:suppressAutoHyphens/>
              <w:spacing w:after="120"/>
              <w:ind w:left="1260" w:hanging="360"/>
              <w:rPr>
                <w:spacing w:val="60"/>
                <w:sz w:val="17"/>
              </w:rPr>
            </w:pPr>
            <w:r>
              <w:t>I.</w:t>
            </w:r>
            <w:r>
              <w:tab/>
            </w:r>
            <w:r w:rsidR="00515F1F">
              <w:tab/>
            </w:r>
            <w:proofErr w:type="spellStart"/>
            <w:r w:rsidR="00515F1F" w:rsidRPr="00515F1F">
              <w:t>List</w:t>
            </w:r>
            <w:proofErr w:type="spellEnd"/>
            <w:r w:rsidR="00515F1F" w:rsidRPr="00515F1F">
              <w:t xml:space="preserve"> </w:t>
            </w:r>
            <w:proofErr w:type="spellStart"/>
            <w:r w:rsidR="00515F1F" w:rsidRPr="00515F1F">
              <w:t>of</w:t>
            </w:r>
            <w:proofErr w:type="spellEnd"/>
            <w:r w:rsidR="00515F1F" w:rsidRPr="00515F1F">
              <w:t xml:space="preserve"> </w:t>
            </w:r>
            <w:r w:rsidR="00515F1F" w:rsidRPr="00515F1F">
              <w:rPr>
                <w:lang w:val="en-US"/>
              </w:rPr>
              <w:t>participants</w:t>
            </w:r>
            <w:r w:rsidR="00515F1F">
              <w:rPr>
                <w:spacing w:val="60"/>
                <w:sz w:val="17"/>
              </w:rPr>
              <w:tab/>
            </w:r>
          </w:p>
        </w:tc>
        <w:tc>
          <w:tcPr>
            <w:tcW w:w="720" w:type="dxa"/>
            <w:shd w:val="clear" w:color="auto" w:fill="auto"/>
            <w:vAlign w:val="bottom"/>
          </w:tcPr>
          <w:p w:rsidR="00BE6A37" w:rsidRPr="005D2455" w:rsidRDefault="005D2455" w:rsidP="00BE6A37">
            <w:pPr>
              <w:spacing w:after="120"/>
              <w:ind w:right="40"/>
              <w:jc w:val="right"/>
            </w:pPr>
            <w:r>
              <w:t>26</w:t>
            </w:r>
          </w:p>
        </w:tc>
      </w:tr>
      <w:tr w:rsidR="00BE6A37" w:rsidRPr="00E24112" w:rsidTr="00154569">
        <w:tc>
          <w:tcPr>
            <w:tcW w:w="9110" w:type="dxa"/>
            <w:gridSpan w:val="3"/>
            <w:shd w:val="clear" w:color="auto" w:fill="auto"/>
          </w:tcPr>
          <w:p w:rsidR="00BE6A37" w:rsidRPr="00515F1F" w:rsidRDefault="00154569" w:rsidP="00515F1F">
            <w:p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ind w:left="1260" w:hanging="360"/>
              <w:rPr>
                <w:spacing w:val="60"/>
                <w:sz w:val="17"/>
                <w:lang w:val="en-US"/>
              </w:rPr>
            </w:pPr>
            <w:r w:rsidRPr="00515F1F">
              <w:rPr>
                <w:lang w:val="en-US"/>
              </w:rPr>
              <w:t>II.</w:t>
            </w:r>
            <w:r w:rsidRPr="00515F1F">
              <w:rPr>
                <w:lang w:val="en-US"/>
              </w:rPr>
              <w:tab/>
            </w:r>
            <w:r w:rsidR="00515F1F" w:rsidRPr="00515F1F">
              <w:rPr>
                <w:lang w:val="en-US"/>
              </w:rPr>
              <w:t>Concluding remarks by the European Union</w:t>
            </w:r>
            <w:r w:rsidR="00515F1F">
              <w:rPr>
                <w:spacing w:val="60"/>
                <w:sz w:val="17"/>
                <w:lang w:val="en-US"/>
              </w:rPr>
              <w:tab/>
            </w:r>
          </w:p>
        </w:tc>
        <w:tc>
          <w:tcPr>
            <w:tcW w:w="720" w:type="dxa"/>
            <w:shd w:val="clear" w:color="auto" w:fill="auto"/>
            <w:vAlign w:val="bottom"/>
          </w:tcPr>
          <w:p w:rsidR="00BE6A37" w:rsidRPr="005D2455" w:rsidRDefault="005D2455" w:rsidP="00BE6A37">
            <w:pPr>
              <w:spacing w:after="120"/>
              <w:ind w:right="40"/>
              <w:jc w:val="right"/>
            </w:pPr>
            <w:r>
              <w:t>27</w:t>
            </w:r>
          </w:p>
        </w:tc>
      </w:tr>
      <w:tr w:rsidR="00BE6A37" w:rsidRPr="00E24112" w:rsidTr="00154569">
        <w:tc>
          <w:tcPr>
            <w:tcW w:w="9110" w:type="dxa"/>
            <w:gridSpan w:val="3"/>
            <w:shd w:val="clear" w:color="auto" w:fill="auto"/>
          </w:tcPr>
          <w:p w:rsidR="00BE6A37" w:rsidRPr="00515F1F" w:rsidRDefault="00154569" w:rsidP="00515F1F">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ind w:left="1260" w:hanging="360"/>
              <w:rPr>
                <w:spacing w:val="60"/>
                <w:sz w:val="17"/>
                <w:lang w:val="fr-FR"/>
              </w:rPr>
            </w:pPr>
            <w:r w:rsidRPr="00515F1F">
              <w:rPr>
                <w:lang w:val="fr-FR"/>
              </w:rPr>
              <w:t>III.</w:t>
            </w:r>
            <w:r w:rsidRPr="00515F1F">
              <w:rPr>
                <w:lang w:val="fr-FR"/>
              </w:rPr>
              <w:tab/>
            </w:r>
            <w:r w:rsidR="00515F1F" w:rsidRPr="00515F1F">
              <w:rPr>
                <w:lang w:val="fr-FR"/>
              </w:rPr>
              <w:t>Déclaration et observations finales du Groupe africain</w:t>
            </w:r>
            <w:r w:rsidR="00515F1F">
              <w:rPr>
                <w:spacing w:val="60"/>
                <w:sz w:val="17"/>
                <w:lang w:val="fr-FR"/>
              </w:rPr>
              <w:tab/>
            </w:r>
          </w:p>
        </w:tc>
        <w:tc>
          <w:tcPr>
            <w:tcW w:w="720" w:type="dxa"/>
            <w:shd w:val="clear" w:color="auto" w:fill="auto"/>
            <w:vAlign w:val="bottom"/>
          </w:tcPr>
          <w:p w:rsidR="00BE6A37" w:rsidRPr="005D2455" w:rsidRDefault="005D2455" w:rsidP="00BE6A37">
            <w:pPr>
              <w:spacing w:after="120"/>
              <w:ind w:right="40"/>
              <w:jc w:val="right"/>
            </w:pPr>
            <w:r>
              <w:t>29</w:t>
            </w:r>
          </w:p>
        </w:tc>
      </w:tr>
    </w:tbl>
    <w:p w:rsidR="00363769" w:rsidRPr="00515F1F" w:rsidRDefault="00363769" w:rsidP="00363769">
      <w:pPr>
        <w:rPr>
          <w:lang w:val="fr-FR"/>
        </w:rPr>
      </w:pPr>
    </w:p>
    <w:p w:rsidR="00B95DF9" w:rsidRDefault="009C0400" w:rsidP="009C040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15F1F">
        <w:rPr>
          <w:sz w:val="10"/>
          <w:lang w:val="fr-FR"/>
        </w:rPr>
        <w:br w:type="page"/>
      </w:r>
      <w:r w:rsidR="00B95DF9" w:rsidRPr="00515F1F">
        <w:rPr>
          <w:lang w:val="fr-FR"/>
        </w:rPr>
        <w:lastRenderedPageBreak/>
        <w:tab/>
      </w:r>
      <w:r w:rsidR="00B95DF9">
        <w:t>I.</w:t>
      </w:r>
      <w:r w:rsidR="00B95DF9">
        <w:tab/>
        <w:t>Введение</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B95DF9">
      <w:pPr>
        <w:pStyle w:val="SingleTxt"/>
      </w:pPr>
      <w:r>
        <w:t>1.</w:t>
      </w:r>
      <w:r>
        <w:tab/>
      </w:r>
      <w:proofErr w:type="gramStart"/>
      <w:r>
        <w:t>В своей резолюции 15/26 Совет по правам человека постановил учредить межправительственную рабочую группу открытого состава с мандатом, закл</w:t>
      </w:r>
      <w:r>
        <w:t>ю</w:t>
      </w:r>
      <w:r>
        <w:t>чающимся в рассмотрении возможности создания международной нормативной базы, включая, среди прочего, вариант разработки юридически обязательного д</w:t>
      </w:r>
      <w:r>
        <w:t>о</w:t>
      </w:r>
      <w:r>
        <w:t>кумента для регулирования, мониторинга и контроля деятельности частных в</w:t>
      </w:r>
      <w:r>
        <w:t>о</w:t>
      </w:r>
      <w:r>
        <w:t>енных и охранных компаний, в том числе для обеспечения их подотчетности, с учетом принципов, главных элементов и проекта текста</w:t>
      </w:r>
      <w:proofErr w:type="gramEnd"/>
      <w:r>
        <w:t>, предложенного Рабочей группой по вопросу об использовании наемников как средстве нарушения прав человека и противодействия осуществлению права народов на самоопределение.</w:t>
      </w:r>
    </w:p>
    <w:p w:rsidR="00B95DF9" w:rsidRDefault="00B95DF9" w:rsidP="00B95DF9">
      <w:pPr>
        <w:pStyle w:val="SingleTxt"/>
      </w:pPr>
      <w:r>
        <w:t>2.</w:t>
      </w:r>
      <w:r>
        <w:tab/>
        <w:t>В своей резолюции 22/33 Совет по правам человека продлил мандат ме</w:t>
      </w:r>
      <w:r>
        <w:t>ж</w:t>
      </w:r>
      <w:r>
        <w:t>правительственной рабочей группы открытого состава еще на два года в целях начала осуществления и выполнения мандата, определенного в пункте 77 его д</w:t>
      </w:r>
      <w:r>
        <w:t>о</w:t>
      </w:r>
      <w:r>
        <w:t>клада о работе ее второй сессии (A/HRC/22/41). Совет также просил рабочую группу представить ему свои рекомендации на его тридцатой сессии. Эти рек</w:t>
      </w:r>
      <w:r>
        <w:t>о</w:t>
      </w:r>
      <w:r>
        <w:t>мендации, основанные на обсуждениях, проведенных в ходе третьей и четвертой сессий рабочей группы, содержатся в разделе V ниже.</w:t>
      </w:r>
    </w:p>
    <w:p w:rsidR="00B95DF9" w:rsidRDefault="00B95DF9" w:rsidP="00B95DF9">
      <w:pPr>
        <w:pStyle w:val="SingleTxt"/>
      </w:pPr>
      <w:r>
        <w:t>3.</w:t>
      </w:r>
      <w:r>
        <w:tab/>
        <w:t>26 марта 2015 года Совет по правам человека в своей резолюции 28/7 п</w:t>
      </w:r>
      <w:r>
        <w:t>о</w:t>
      </w:r>
      <w:r>
        <w:t>становил продлить мандат межправительственной рабочей группы открытого с</w:t>
      </w:r>
      <w:r>
        <w:t>о</w:t>
      </w:r>
      <w:r>
        <w:t>става еще на два с половиной года в целях начала осуществления и выполнения ее мандата, содержащегося в резолюции 22/33.</w:t>
      </w:r>
    </w:p>
    <w:p w:rsidR="00B95DF9" w:rsidRDefault="00B95DF9" w:rsidP="00B95DF9">
      <w:pPr>
        <w:pStyle w:val="SingleTxt"/>
      </w:pPr>
      <w:r>
        <w:t>4.</w:t>
      </w:r>
      <w:r>
        <w:tab/>
        <w:t>Межправительственная рабочая группа открытого состава провела четыре сессии</w:t>
      </w:r>
      <w:r w:rsidR="002B0AAF" w:rsidRPr="00C0140C">
        <w:rPr>
          <w:rStyle w:val="FootnoteReference"/>
        </w:rPr>
        <w:footnoteReference w:id="3"/>
      </w:r>
      <w:r w:rsidR="00515F1F">
        <w:t>.</w:t>
      </w:r>
      <w:r>
        <w:t xml:space="preserve"> Ее четвертую сессию, проходившую 27 апреля</w:t>
      </w:r>
      <w:r w:rsidR="00C40D81">
        <w:t xml:space="preserve"> </w:t>
      </w:r>
      <w:r>
        <w:t>–</w:t>
      </w:r>
      <w:r w:rsidR="00C40D81">
        <w:t xml:space="preserve"> </w:t>
      </w:r>
      <w:r>
        <w:t>1 мая 2015 года, откр</w:t>
      </w:r>
      <w:r>
        <w:t>ы</w:t>
      </w:r>
      <w:r>
        <w:t xml:space="preserve">ла руководитель Отдела по вопросам верховенства закона, равенства и </w:t>
      </w:r>
      <w:proofErr w:type="spellStart"/>
      <w:r>
        <w:t>неди</w:t>
      </w:r>
      <w:r>
        <w:t>с</w:t>
      </w:r>
      <w:r>
        <w:t>криминации</w:t>
      </w:r>
      <w:proofErr w:type="spellEnd"/>
      <w:r>
        <w:t xml:space="preserve"> от имени заместителя Верховного комиссара по правам человека. Она осветила несколько событий, произошедших с момента проведения третьей сессии, в том числе учреждение Советом по правам человека в своей резол</w:t>
      </w:r>
      <w:r>
        <w:t>ю</w:t>
      </w:r>
      <w:r>
        <w:t>ции</w:t>
      </w:r>
      <w:r w:rsidR="00515F1F">
        <w:t> </w:t>
      </w:r>
      <w:r>
        <w:t>26/9 межправительственной рабочей группы открытого состава по междун</w:t>
      </w:r>
      <w:r>
        <w:t>а</w:t>
      </w:r>
      <w:r>
        <w:t>родному юридически связывающему договору о транснациональных корпорац</w:t>
      </w:r>
      <w:r>
        <w:t>и</w:t>
      </w:r>
      <w:r>
        <w:t xml:space="preserve">ях и других предприятиях в аспекте прав человека. </w:t>
      </w:r>
      <w:proofErr w:type="gramStart"/>
      <w:r>
        <w:t>Она также заявила, что Управление Верховного комиссара Организации Объединенных Наций по правам человека (УВКПЧ) вскоре опубликует доклад о ходе работы по вопросу о прав</w:t>
      </w:r>
      <w:r>
        <w:t>о</w:t>
      </w:r>
      <w:r>
        <w:t>вых вариантах и практических мерах улучшения доступа к средствам правовой защиты для жертв нарушений прав человека, связанных с предпринимательской деятельностью (как просил Совет в своей резолюции 26/22)</w:t>
      </w:r>
      <w:r w:rsidR="00C0140C">
        <w:rPr>
          <w:rStyle w:val="FootnoteReference"/>
        </w:rPr>
        <w:footnoteReference w:id="4"/>
      </w:r>
      <w:r>
        <w:t>, который призван способствовать более эффективному осуществлению Руководящих принципов предпринимательской</w:t>
      </w:r>
      <w:proofErr w:type="gramEnd"/>
      <w:r>
        <w:t xml:space="preserve"> деятельности в аспекте прав человека (см. A/HRC/17/31, приложение)</w:t>
      </w:r>
      <w:r w:rsidR="00C0140C">
        <w:rPr>
          <w:rStyle w:val="FootnoteReference"/>
        </w:rPr>
        <w:footnoteReference w:id="5"/>
      </w:r>
      <w:r>
        <w:t>.</w:t>
      </w:r>
    </w:p>
    <w:p w:rsidR="00B95DF9" w:rsidRDefault="00B95DF9" w:rsidP="00B95DF9">
      <w:pPr>
        <w:pStyle w:val="SingleTxt"/>
      </w:pPr>
      <w:r>
        <w:t>5.</w:t>
      </w:r>
      <w:r>
        <w:tab/>
        <w:t>Заместитель Верховного комиссара подчеркнула, что на частных военных и охранных компаниях лежит обязательство соблюдать права человека, как указано в Руководящих принципах предпринимательской деятельности в аспекте прав человека. Это может включать в себя проверку и подготовку сотрудников, уст</w:t>
      </w:r>
      <w:r>
        <w:t>а</w:t>
      </w:r>
      <w:r>
        <w:t>новление порядка рассмотрения жалоб в случае предполагаемых злоупотребл</w:t>
      </w:r>
      <w:r>
        <w:t>е</w:t>
      </w:r>
      <w:r>
        <w:t>ний и регулярный контроль для обеспечения надлежащего надзора, незамедл</w:t>
      </w:r>
      <w:r>
        <w:t>и</w:t>
      </w:r>
      <w:r>
        <w:t>тельного прекращения злоупотреблений и привлечения к ответственности. В</w:t>
      </w:r>
      <w:r w:rsidR="00515F1F">
        <w:t> </w:t>
      </w:r>
      <w:r>
        <w:t>случае нарушений прав человека государства обязаны обеспечить, чтобы о них было сообщено соответствующим органам для расследования, судебного пресл</w:t>
      </w:r>
      <w:r>
        <w:t>е</w:t>
      </w:r>
      <w:r>
        <w:t>дования и выплаты компенсации. С точки зрения прав человека она подчеркнула важность гарантии отсутствия пробелов в защите и недопущения безнаказанн</w:t>
      </w:r>
      <w:r>
        <w:t>о</w:t>
      </w:r>
      <w:r>
        <w:t xml:space="preserve">сти частных военных и охранных компаний, в том числе функционирующих транснациональным образом. </w:t>
      </w:r>
    </w:p>
    <w:p w:rsidR="00B95DF9" w:rsidRDefault="00B95DF9" w:rsidP="00B95DF9">
      <w:pPr>
        <w:pStyle w:val="SingleTxt"/>
      </w:pPr>
      <w:r>
        <w:t>6.</w:t>
      </w:r>
      <w:r>
        <w:tab/>
        <w:t>Заместитель Верховного комиссара указала, что судебное преследование и недавнее вынесение федеральным судьей Соединенных Штатов приговора чет</w:t>
      </w:r>
      <w:r>
        <w:t>ы</w:t>
      </w:r>
      <w:r>
        <w:t xml:space="preserve">рем контрактникам компании </w:t>
      </w:r>
      <w:r w:rsidR="00EE2CEC">
        <w:t>«</w:t>
      </w:r>
      <w:proofErr w:type="spellStart"/>
      <w:r>
        <w:t>Блэкуотер</w:t>
      </w:r>
      <w:proofErr w:type="spellEnd"/>
      <w:r w:rsidR="00EE2CEC">
        <w:t>»</w:t>
      </w:r>
      <w:r>
        <w:t>, убившим в 2007 году 14 безоружных мирных жителей Ирака, стали четким сигналом о том, что нарушения прав чел</w:t>
      </w:r>
      <w:r>
        <w:t>о</w:t>
      </w:r>
      <w:r>
        <w:t>века частными военными и охранными компаниями не должны оставаться безн</w:t>
      </w:r>
      <w:r>
        <w:t>а</w:t>
      </w:r>
      <w:r>
        <w:t xml:space="preserve">казанными. Тем не менее, как было отмечено Рабочей группой по вопросу о наемниках в ее пресс-релизе от 14 апреля 2015 года: </w:t>
      </w:r>
      <w:r w:rsidR="00EE2CEC">
        <w:t>«</w:t>
      </w:r>
      <w:r>
        <w:t>В данном деле справедл</w:t>
      </w:r>
      <w:r>
        <w:t>и</w:t>
      </w:r>
      <w:r>
        <w:t>вость восторжествовала, однако она должна обеспечиваться в глобальном ма</w:t>
      </w:r>
      <w:r>
        <w:t>с</w:t>
      </w:r>
      <w:r>
        <w:t>штабе</w:t>
      </w:r>
      <w:r w:rsidR="00EE2CEC">
        <w:t>»</w:t>
      </w:r>
      <w:r w:rsidR="00C05694">
        <w:rPr>
          <w:rStyle w:val="FootnoteReference"/>
        </w:rPr>
        <w:footnoteReference w:id="6"/>
      </w:r>
      <w:r>
        <w:t xml:space="preserve">. Она упомянула о том, что при рассмотрении вопроса о международной нормативной базе для регулирования, мониторинга и контроля деятельности частных военных и охранных компаний актуальны также и другие инициативы. </w:t>
      </w:r>
      <w:proofErr w:type="gramStart"/>
      <w:r>
        <w:t>В их число входят Международный кодекс поведения частных охранных пре</w:t>
      </w:r>
      <w:r>
        <w:t>д</w:t>
      </w:r>
      <w:r>
        <w:t xml:space="preserve">приятий и Документ </w:t>
      </w:r>
      <w:proofErr w:type="spellStart"/>
      <w:r>
        <w:t>Монтрё</w:t>
      </w:r>
      <w:proofErr w:type="spellEnd"/>
      <w:r>
        <w:t xml:space="preserve"> о соответствующих международно-правовых обяз</w:t>
      </w:r>
      <w:r>
        <w:t>а</w:t>
      </w:r>
      <w:r>
        <w:t>тельствах и передовых практических методах государств, касающихся функци</w:t>
      </w:r>
      <w:r>
        <w:t>о</w:t>
      </w:r>
      <w:r>
        <w:t>нирования частных военных и охранных компаний в период вооруженного ко</w:t>
      </w:r>
      <w:r>
        <w:t>н</w:t>
      </w:r>
      <w:r>
        <w:t>фликта, которые были призваны поощрять соблюдение норм международного гуманитарного права и права прав человека в тех случаях, когда подобные ко</w:t>
      </w:r>
      <w:r>
        <w:t>м</w:t>
      </w:r>
      <w:r>
        <w:t xml:space="preserve">пании присутствовали в рамках вооруженных конфликтов. </w:t>
      </w:r>
      <w:proofErr w:type="gramEnd"/>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9C040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t>Организация четвертой сессии</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9C04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Выборы Председателя-докладчика</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B95DF9">
      <w:pPr>
        <w:pStyle w:val="SingleTxt"/>
      </w:pPr>
      <w:r>
        <w:t>7.</w:t>
      </w:r>
      <w:r>
        <w:tab/>
        <w:t xml:space="preserve">На своем первом заседании 27 апреля 2015 года рабочая группа выбрала Председателем-докладчиком Постоянного представителя Южной Африки Абдула С. </w:t>
      </w:r>
      <w:proofErr w:type="spellStart"/>
      <w:r>
        <w:t>Минти</w:t>
      </w:r>
      <w:proofErr w:type="spellEnd"/>
      <w:r>
        <w:t>.</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9C04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t>Участники</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B95DF9">
      <w:pPr>
        <w:pStyle w:val="SingleTxt"/>
      </w:pPr>
      <w:r>
        <w:t>8.</w:t>
      </w:r>
      <w:r>
        <w:tab/>
        <w:t>Список участников содержится в приложении I к настоящему докладу. В</w:t>
      </w:r>
      <w:r w:rsidR="009C0400">
        <w:t> </w:t>
      </w:r>
      <w:r>
        <w:t>соответствии с резолюцией 28/7 Совета по правам человека межправител</w:t>
      </w:r>
      <w:r>
        <w:t>ь</w:t>
      </w:r>
      <w:r>
        <w:t>ственная рабочая группа открытого состава приглашала к участию в своей работе экспертов и соответствующих заинтересованных субъектов, в том числе Предс</w:t>
      </w:r>
      <w:r>
        <w:t>е</w:t>
      </w:r>
      <w:r>
        <w:t xml:space="preserve">дателя-докладчика Рабочей группы по вопросу о наемниках </w:t>
      </w:r>
      <w:proofErr w:type="spellStart"/>
      <w:r>
        <w:t>Эльжбету</w:t>
      </w:r>
      <w:proofErr w:type="spellEnd"/>
      <w:r>
        <w:t xml:space="preserve"> </w:t>
      </w:r>
      <w:proofErr w:type="spellStart"/>
      <w:r>
        <w:t>Карску</w:t>
      </w:r>
      <w:proofErr w:type="spellEnd"/>
      <w:r>
        <w:t xml:space="preserve">; Директора Группы по обеспечению безопасности в сложных условиях Пола </w:t>
      </w:r>
      <w:proofErr w:type="spellStart"/>
      <w:r>
        <w:t>Ги</w:t>
      </w:r>
      <w:r>
        <w:t>б</w:t>
      </w:r>
      <w:r>
        <w:t>сона</w:t>
      </w:r>
      <w:proofErr w:type="spellEnd"/>
      <w:r>
        <w:t>; старшего научного сотрудника по вопросам международного права Униве</w:t>
      </w:r>
      <w:r>
        <w:t>р</w:t>
      </w:r>
      <w:r>
        <w:t>ситета Претории Стюарта Кейси-</w:t>
      </w:r>
      <w:proofErr w:type="spellStart"/>
      <w:r>
        <w:t>Маслена</w:t>
      </w:r>
      <w:proofErr w:type="spellEnd"/>
      <w:r>
        <w:t xml:space="preserve"> и заместителя Генерального секретаря Организации Объединенных Наций по вопросам охраны и безопасности.</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EE2CEC" w:rsidP="009C04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B95DF9">
        <w:tab/>
        <w:t>C.</w:t>
      </w:r>
      <w:r w:rsidR="00B95DF9">
        <w:tab/>
        <w:t>Организация сессии</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B95DF9">
      <w:pPr>
        <w:pStyle w:val="SingleTxt"/>
      </w:pPr>
      <w:r>
        <w:t>9.</w:t>
      </w:r>
      <w:r>
        <w:tab/>
        <w:t xml:space="preserve">В своем вступительном слове Председатель-докладчик напомнил о мандате межправительственной рабочей группы открытого состава. </w:t>
      </w:r>
      <w:proofErr w:type="gramStart"/>
      <w:r>
        <w:t>Он указал, что на предыдущих сессиях был урегулирован целый спектр вопросов и проблем, кас</w:t>
      </w:r>
      <w:r>
        <w:t>а</w:t>
      </w:r>
      <w:r>
        <w:t>ющихся эффективного регулирования деятельности частных военных и охра</w:t>
      </w:r>
      <w:r>
        <w:t>н</w:t>
      </w:r>
      <w:r>
        <w:t>ных компаний, с упором на существующее законодательство и практику, на темы подотчетности за нарушения прав человека, связанные с подобной деятельн</w:t>
      </w:r>
      <w:r>
        <w:t>о</w:t>
      </w:r>
      <w:r>
        <w:t>стью, и на предоставление пострадавшим соответствующих видов помощи и средств правовой защиты.</w:t>
      </w:r>
      <w:proofErr w:type="gramEnd"/>
      <w:r>
        <w:t xml:space="preserve"> </w:t>
      </w:r>
      <w:proofErr w:type="gramStart"/>
      <w:r>
        <w:t>Он напомнил также, что делегации подтвердили о</w:t>
      </w:r>
      <w:r>
        <w:t>б</w:t>
      </w:r>
      <w:r>
        <w:t>щую цель обеспечения защиты прав человека и подотчетности в связи с наруш</w:t>
      </w:r>
      <w:r>
        <w:t>е</w:t>
      </w:r>
      <w:r>
        <w:t>ниями и злоупотреблениями, связанными с деятельностью частных военных и охранных компаний; и что было достигнуто широкое согласие относительно пробелов в нынешних нормативных основах, возникших не в последнюю очередь потому, что только весьма небольшое число государств располагают конкретным законодательством, касающимся таких компаний.</w:t>
      </w:r>
      <w:proofErr w:type="gramEnd"/>
      <w:r>
        <w:t xml:space="preserve"> Председатель-докладчик уп</w:t>
      </w:r>
      <w:r>
        <w:t>о</w:t>
      </w:r>
      <w:r>
        <w:t>мянул о том, что обеспечение эффективных сре</w:t>
      </w:r>
      <w:proofErr w:type="gramStart"/>
      <w:r>
        <w:t>дств пр</w:t>
      </w:r>
      <w:proofErr w:type="gramEnd"/>
      <w:r>
        <w:t>авовой защиты и подо</w:t>
      </w:r>
      <w:r>
        <w:t>т</w:t>
      </w:r>
      <w:r>
        <w:t>четности остается одной из центральных проблем, и подчеркнул в этой связи четкость мандата рабочей группы.</w:t>
      </w:r>
    </w:p>
    <w:p w:rsidR="00B95DF9" w:rsidRDefault="00B95DF9" w:rsidP="00B95DF9">
      <w:pPr>
        <w:pStyle w:val="SingleTxt"/>
      </w:pPr>
      <w:r>
        <w:t>10.</w:t>
      </w:r>
      <w:r>
        <w:tab/>
        <w:t>На своем первом заседании 27 апреля 2015 года межправительственная р</w:t>
      </w:r>
      <w:r>
        <w:t>а</w:t>
      </w:r>
      <w:r>
        <w:t>бочая группа открытого состава утвердила свою повестку дня (A/HRC/</w:t>
      </w:r>
      <w:r w:rsidR="00D40154">
        <w:br/>
      </w:r>
      <w:r>
        <w:t>WG.10/4/1) и программу работы.</w:t>
      </w:r>
    </w:p>
    <w:p w:rsidR="00B95DF9" w:rsidRDefault="00B95DF9" w:rsidP="00B95DF9">
      <w:pPr>
        <w:pStyle w:val="SingleTxt"/>
      </w:pPr>
      <w:r>
        <w:t>11.</w:t>
      </w:r>
      <w:r>
        <w:tab/>
      </w:r>
      <w:proofErr w:type="gramStart"/>
      <w:r>
        <w:t>Одна делегация высоко оценила способность Председателя-докладчика д</w:t>
      </w:r>
      <w:r>
        <w:t>о</w:t>
      </w:r>
      <w:r>
        <w:t>стигать консенсуса в прошлом и сослалась, в частности, на пункт 77 докуме</w:t>
      </w:r>
      <w:r>
        <w:t>н</w:t>
      </w:r>
      <w:r>
        <w:t>та</w:t>
      </w:r>
      <w:r w:rsidR="00EE2CEC">
        <w:t> </w:t>
      </w:r>
      <w:r>
        <w:t>A/HRC/22/41, однако она выразила сожаление по поводу того, что автор рез</w:t>
      </w:r>
      <w:r>
        <w:t>о</w:t>
      </w:r>
      <w:r>
        <w:t>люций, представленных на двадцать второй и двадцать восьмой сессиях Совета по правам человека, пренебрег возможностью консенсуса и предпочел вместо этого разделить Совет в целях обсуждения проекта конвенции, по которому</w:t>
      </w:r>
      <w:proofErr w:type="gramEnd"/>
      <w:r>
        <w:t xml:space="preserve"> не было достигнуто консенсуса в 2011 году. Та же делегация указала на </w:t>
      </w:r>
      <w:r w:rsidR="00EE2CEC">
        <w:t>лежащий в основе</w:t>
      </w:r>
      <w:r>
        <w:t xml:space="preserve"> вопрос </w:t>
      </w:r>
      <w:r w:rsidR="00EE2CEC">
        <w:t>–</w:t>
      </w:r>
      <w:r>
        <w:t xml:space="preserve"> зачем некоторые делегации вкладываются в достижение консе</w:t>
      </w:r>
      <w:r>
        <w:t>н</w:t>
      </w:r>
      <w:r>
        <w:t>суса в ходе сессий межправительственной рабочей группы открытого состава, если этот консенсус все равно будет нарушен голосованием по резолюции? Кр</w:t>
      </w:r>
      <w:r>
        <w:t>о</w:t>
      </w:r>
      <w:r>
        <w:t xml:space="preserve">ме того, она выразила сожаление </w:t>
      </w:r>
      <w:r w:rsidR="00EE2CEC">
        <w:t>по поводу того</w:t>
      </w:r>
      <w:r>
        <w:t>, что ее просьба предложить з</w:t>
      </w:r>
      <w:r>
        <w:t>а</w:t>
      </w:r>
      <w:r>
        <w:t xml:space="preserve">интересованным субъектам представить обновленную информацию о недавних событиях в рамках процессов по Международному кодексу поведения частных охранных предприятий и Документу </w:t>
      </w:r>
      <w:proofErr w:type="spellStart"/>
      <w:r>
        <w:t>Монтрё</w:t>
      </w:r>
      <w:proofErr w:type="spellEnd"/>
      <w:r>
        <w:t xml:space="preserve"> не была выполнена. Некоторые д</w:t>
      </w:r>
      <w:r>
        <w:t>е</w:t>
      </w:r>
      <w:r>
        <w:t>легации отметили, что в пункте 77 закреплены сфера охвата мандата рабочей группы и основа для постоянного сотрудничества.</w:t>
      </w:r>
    </w:p>
    <w:p w:rsidR="00B95DF9" w:rsidRDefault="00B95DF9" w:rsidP="00B95DF9">
      <w:pPr>
        <w:pStyle w:val="SingleTxt"/>
      </w:pPr>
      <w:r>
        <w:t>12.</w:t>
      </w:r>
      <w:r>
        <w:tab/>
        <w:t>Некоторые делегации отметили потребность пострадавших в праве на э</w:t>
      </w:r>
      <w:r>
        <w:t>ф</w:t>
      </w:r>
      <w:r>
        <w:t xml:space="preserve">фективные средства правовой защиты, включая компенсации, и </w:t>
      </w:r>
      <w:r w:rsidR="00EE2CEC">
        <w:t>необходимость существования</w:t>
      </w:r>
      <w:r>
        <w:t xml:space="preserve"> международно</w:t>
      </w:r>
      <w:r w:rsidR="00EE2CEC">
        <w:t>го</w:t>
      </w:r>
      <w:r>
        <w:t xml:space="preserve"> юридически обязательно</w:t>
      </w:r>
      <w:r w:rsidR="00EE2CEC">
        <w:t>го</w:t>
      </w:r>
      <w:r>
        <w:t xml:space="preserve"> документ</w:t>
      </w:r>
      <w:r w:rsidR="00EE2CEC">
        <w:t>а</w:t>
      </w:r>
      <w:r>
        <w:t xml:space="preserve"> в допо</w:t>
      </w:r>
      <w:r>
        <w:t>л</w:t>
      </w:r>
      <w:r>
        <w:t xml:space="preserve">нение к национальным инициативам в области деятельности частных военных и охранных компаний. Эти делегации указали, что </w:t>
      </w:r>
      <w:r w:rsidR="00EE2CEC">
        <w:t>таким</w:t>
      </w:r>
      <w:r>
        <w:t xml:space="preserve"> компаниям</w:t>
      </w:r>
      <w:r w:rsidR="00EE2CEC">
        <w:t>,</w:t>
      </w:r>
      <w:r>
        <w:t xml:space="preserve"> учитывая их специфику</w:t>
      </w:r>
      <w:r w:rsidR="00EE2CEC">
        <w:t>,</w:t>
      </w:r>
      <w:r>
        <w:t xml:space="preserve"> не следует разрешать регулировать собственное поведение; этим должен заниматься исключительно независимый орган. По их мнению, ныне</w:t>
      </w:r>
      <w:r>
        <w:t>ш</w:t>
      </w:r>
      <w:r>
        <w:t xml:space="preserve">няя нормативная база, в том числе Документ </w:t>
      </w:r>
      <w:proofErr w:type="spellStart"/>
      <w:r>
        <w:t>Монтрё</w:t>
      </w:r>
      <w:proofErr w:type="spellEnd"/>
      <w:r>
        <w:t xml:space="preserve"> и Международный кодекс поведения, не соответствует сложности проблемы</w:t>
      </w:r>
      <w:r w:rsidR="00EE2CEC">
        <w:t>,</w:t>
      </w:r>
      <w:r>
        <w:t xml:space="preserve"> не создает соответствующих механизмов подотчетности, </w:t>
      </w:r>
      <w:r w:rsidR="00EE2CEC">
        <w:t xml:space="preserve">не предусматривает </w:t>
      </w:r>
      <w:r>
        <w:t>эффективных сре</w:t>
      </w:r>
      <w:proofErr w:type="gramStart"/>
      <w:r>
        <w:t>дств пр</w:t>
      </w:r>
      <w:proofErr w:type="gramEnd"/>
      <w:r>
        <w:t>авовой защиты пострадавших</w:t>
      </w:r>
      <w:r w:rsidR="00EE2CEC">
        <w:t xml:space="preserve"> и не обеспечивает</w:t>
      </w:r>
      <w:r>
        <w:t xml:space="preserve"> регулировани</w:t>
      </w:r>
      <w:r w:rsidR="00EE2CEC">
        <w:t>е</w:t>
      </w:r>
      <w:r>
        <w:t>, мониторинг и контрол</w:t>
      </w:r>
      <w:r w:rsidR="00EE2CEC">
        <w:t>ь</w:t>
      </w:r>
      <w:r>
        <w:t xml:space="preserve"> этих предприятий и их сотрудников. Некоторые делегации рекомендовали ме</w:t>
      </w:r>
      <w:r>
        <w:t>ж</w:t>
      </w:r>
      <w:r>
        <w:t>правительственной рабочей группе открытого состава начать обсуждения ко</w:t>
      </w:r>
      <w:r>
        <w:t>н</w:t>
      </w:r>
      <w:r>
        <w:t>кретных элементов для включения в юридически обязательный документ в ходе четвертой сессии.</w:t>
      </w:r>
    </w:p>
    <w:p w:rsidR="00B95DF9" w:rsidRDefault="00B95DF9" w:rsidP="00B95DF9">
      <w:pPr>
        <w:pStyle w:val="SingleTxt"/>
      </w:pPr>
      <w:r>
        <w:t>13.</w:t>
      </w:r>
      <w:r>
        <w:tab/>
      </w:r>
      <w:proofErr w:type="gramStart"/>
      <w:r>
        <w:t xml:space="preserve">В этой связи Пакистан указал, что </w:t>
      </w:r>
      <w:r w:rsidR="00EE2CEC">
        <w:t xml:space="preserve">он </w:t>
      </w:r>
      <w:r>
        <w:t>представил проект элементов возмо</w:t>
      </w:r>
      <w:r>
        <w:t>ж</w:t>
      </w:r>
      <w:r>
        <w:t xml:space="preserve">ного документа на основе документов по правам человека, Документа </w:t>
      </w:r>
      <w:proofErr w:type="spellStart"/>
      <w:r>
        <w:t>Монтрё</w:t>
      </w:r>
      <w:proofErr w:type="spellEnd"/>
      <w:r>
        <w:t xml:space="preserve"> и Международного кодекса поведения</w:t>
      </w:r>
      <w:r w:rsidR="00EE2CEC">
        <w:t>,</w:t>
      </w:r>
      <w:r>
        <w:t xml:space="preserve"> проект</w:t>
      </w:r>
      <w:r w:rsidR="00EE2CEC">
        <w:t>а</w:t>
      </w:r>
      <w:r>
        <w:t>, подготовленн</w:t>
      </w:r>
      <w:r w:rsidR="00EE2CEC">
        <w:t>ого</w:t>
      </w:r>
      <w:r>
        <w:t xml:space="preserve"> Рабочей группой по вопросу о наемниках</w:t>
      </w:r>
      <w:r w:rsidR="00C05694">
        <w:rPr>
          <w:rStyle w:val="FootnoteReference"/>
        </w:rPr>
        <w:footnoteReference w:id="7"/>
      </w:r>
      <w:r>
        <w:t>. Делегация настоятельно призвала Председателя-докладчика представить текст проекта конвенции, основанный на этих элементах и обсуждениях в ходе сессии, на рассмотрение государств до начала следующей сессии.</w:t>
      </w:r>
      <w:proofErr w:type="gramEnd"/>
      <w:r>
        <w:t xml:space="preserve"> Южная Африка предложила разработать нормы международного права для того, чтобы a) дать определение частным военным и охранным компаниям; и b) обеспечить подотчетность </w:t>
      </w:r>
      <w:r w:rsidR="00C711CC">
        <w:t>таких</w:t>
      </w:r>
      <w:r>
        <w:t xml:space="preserve"> компаний в соответствии с положениями международного гуманитарного права и международного права прав человека. Новый документ должен дополнять национальные и региональные механизмы, особенно в области борьбы с безнаказанност</w:t>
      </w:r>
      <w:r w:rsidR="00E24112">
        <w:t>ью и эффективного наказания. Он</w:t>
      </w:r>
      <w:r w:rsidR="00E24112">
        <w:rPr>
          <w:lang w:val="en-US"/>
        </w:rPr>
        <w:t> </w:t>
      </w:r>
      <w:r>
        <w:t>также должен включать в себя механиз</w:t>
      </w:r>
      <w:r w:rsidR="000264F8">
        <w:t>мы помощи в случае нарушений. В </w:t>
      </w:r>
      <w:r>
        <w:t>число подобных механизмов входят комитет по вопросам регулирования, м</w:t>
      </w:r>
      <w:r>
        <w:t>о</w:t>
      </w:r>
      <w:r>
        <w:t>ниторинга и контроля деятельности частных военных и охранных компаний, процедура проведения расследований и рассмотрения жалоб и механизмы пре</w:t>
      </w:r>
      <w:r>
        <w:t>д</w:t>
      </w:r>
      <w:r>
        <w:t>ставления отчетности о соответствии частных военных и охранных компаний н</w:t>
      </w:r>
      <w:r>
        <w:t>о</w:t>
      </w:r>
      <w:r>
        <w:t>вым нормам и стандартам международного права прав человека и гуманитарного права.</w:t>
      </w:r>
    </w:p>
    <w:p w:rsidR="00B95DF9" w:rsidRDefault="00B95DF9" w:rsidP="00B95DF9">
      <w:pPr>
        <w:pStyle w:val="SingleTxt"/>
      </w:pPr>
      <w:r>
        <w:t>14.</w:t>
      </w:r>
      <w:r>
        <w:tab/>
        <w:t>Некоторые делегации добавили, что международное регулирование должно дополняться эффективными национальными законами и политикой, которые по</w:t>
      </w:r>
      <w:r>
        <w:t>з</w:t>
      </w:r>
      <w:r>
        <w:t>волят государствам расследовать и преследовать в судебном порядке нарушения международного права прав человека и международного гуманитарного права. По их мнению, в качестве следующего шага следует ликвидировать все норм</w:t>
      </w:r>
      <w:r>
        <w:t>а</w:t>
      </w:r>
      <w:r>
        <w:t>тивные пробелы в таких областях, как подотчетность, средства правовой защиты, лицензирование и контроль, с помощью международного юридически обязател</w:t>
      </w:r>
      <w:r>
        <w:t>ь</w:t>
      </w:r>
      <w:r>
        <w:t>ного документа, который будет дополнять существующие инициативы.</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9C04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t>Общая дискуссия</w:t>
      </w:r>
    </w:p>
    <w:p w:rsidR="009C0400" w:rsidRPr="009C0400" w:rsidRDefault="009C0400" w:rsidP="009C0400">
      <w:pPr>
        <w:pStyle w:val="SingleTxt"/>
        <w:spacing w:after="0" w:line="120" w:lineRule="exact"/>
        <w:rPr>
          <w:sz w:val="10"/>
        </w:rPr>
      </w:pPr>
    </w:p>
    <w:p w:rsidR="009C0400" w:rsidRPr="009C0400" w:rsidRDefault="009C0400" w:rsidP="009C0400">
      <w:pPr>
        <w:pStyle w:val="SingleTxt"/>
        <w:spacing w:after="0" w:line="120" w:lineRule="exact"/>
        <w:rPr>
          <w:sz w:val="10"/>
        </w:rPr>
      </w:pPr>
    </w:p>
    <w:p w:rsidR="00B95DF9" w:rsidRDefault="00B95DF9" w:rsidP="00B95DF9">
      <w:pPr>
        <w:pStyle w:val="SingleTxt"/>
      </w:pPr>
      <w:r>
        <w:t>15.</w:t>
      </w:r>
      <w:r>
        <w:tab/>
        <w:t xml:space="preserve">Некоторые делегации представили обновленную информацию о процессах по Документу </w:t>
      </w:r>
      <w:proofErr w:type="spellStart"/>
      <w:r>
        <w:t>Монтрё</w:t>
      </w:r>
      <w:proofErr w:type="spellEnd"/>
      <w:r>
        <w:t xml:space="preserve"> и Ассоциации Международного кодекса поведения. Док</w:t>
      </w:r>
      <w:r>
        <w:t>у</w:t>
      </w:r>
      <w:r>
        <w:t xml:space="preserve">мент </w:t>
      </w:r>
      <w:proofErr w:type="spellStart"/>
      <w:r>
        <w:t>Монтрё</w:t>
      </w:r>
      <w:proofErr w:type="spellEnd"/>
      <w:r>
        <w:t xml:space="preserve">, подписанный 52 государствами и </w:t>
      </w:r>
      <w:r w:rsidR="00E24112" w:rsidRPr="00E24112">
        <w:t>3</w:t>
      </w:r>
      <w:r>
        <w:t xml:space="preserve"> международными организац</w:t>
      </w:r>
      <w:r>
        <w:t>и</w:t>
      </w:r>
      <w:r>
        <w:t>ями, применяется к компаниям, функционирующим в ходе вооруженных ко</w:t>
      </w:r>
      <w:r>
        <w:t>н</w:t>
      </w:r>
      <w:r>
        <w:t>фликтов, и в нем содержится ссылка на существующие обязательства госуда</w:t>
      </w:r>
      <w:proofErr w:type="gramStart"/>
      <w:r>
        <w:t>рств в с</w:t>
      </w:r>
      <w:proofErr w:type="gramEnd"/>
      <w:r>
        <w:t>оответствии с нормами международного гуманитарного права в ситуациях в</w:t>
      </w:r>
      <w:r>
        <w:t>о</w:t>
      </w:r>
      <w:r>
        <w:t xml:space="preserve">оруженного конфликта. Форум по Документу </w:t>
      </w:r>
      <w:proofErr w:type="spellStart"/>
      <w:r w:rsidR="00D40154">
        <w:t>Монтрё</w:t>
      </w:r>
      <w:proofErr w:type="spellEnd"/>
      <w:r w:rsidR="00D40154">
        <w:t xml:space="preserve"> был официально открыт 16 </w:t>
      </w:r>
      <w:r>
        <w:t>декабря 2014 года. Некоторые делегации поставили под сомнение эффекти</w:t>
      </w:r>
      <w:r>
        <w:t>в</w:t>
      </w:r>
      <w:r>
        <w:t xml:space="preserve">ность Документа </w:t>
      </w:r>
      <w:proofErr w:type="spellStart"/>
      <w:r>
        <w:t>Монтрё</w:t>
      </w:r>
      <w:proofErr w:type="spellEnd"/>
      <w:r>
        <w:t xml:space="preserve"> и сослались на соображения, выраженные в публик</w:t>
      </w:r>
      <w:r>
        <w:t>а</w:t>
      </w:r>
      <w:r>
        <w:t xml:space="preserve">ции </w:t>
      </w:r>
      <w:r w:rsidR="00EE2CEC">
        <w:t>«</w:t>
      </w:r>
      <w:r>
        <w:t xml:space="preserve">Прогресс и возможности пять лет спустя: трудности и рекомендации для государств, подписывающих Документ </w:t>
      </w:r>
      <w:proofErr w:type="spellStart"/>
      <w:r>
        <w:t>Монтрё</w:t>
      </w:r>
      <w:proofErr w:type="spellEnd"/>
      <w:r w:rsidR="00EE2CEC">
        <w:t>»</w:t>
      </w:r>
      <w:r w:rsidR="00C05694">
        <w:rPr>
          <w:rStyle w:val="FootnoteReference"/>
        </w:rPr>
        <w:footnoteReference w:id="8"/>
      </w:r>
      <w:r>
        <w:t>.</w:t>
      </w:r>
    </w:p>
    <w:p w:rsidR="00B95DF9" w:rsidRDefault="00B95DF9" w:rsidP="00B95DF9">
      <w:pPr>
        <w:pStyle w:val="SingleTxt"/>
      </w:pPr>
      <w:r>
        <w:t>16.</w:t>
      </w:r>
      <w:r>
        <w:tab/>
        <w:t>Некоторые делегации также отметили недавние события в связи с Ассоци</w:t>
      </w:r>
      <w:r>
        <w:t>а</w:t>
      </w:r>
      <w:r>
        <w:t>цией Международного кодекса поведения, которая провела свою первую ежего</w:t>
      </w:r>
      <w:r>
        <w:t>д</w:t>
      </w:r>
      <w:r>
        <w:t>ную пленарную сессию в декабре 2014 года. Некоторые делегации отметили, что Международный кодекс поведения приведен в соответствие с Руководящими принципами предпринимательской деятельности в аспекте прав человека и что Ассоциация не является исключительно органом саморегулирования, поскольку в состав ее совета входят государства, компании и гражданское общество. Нек</w:t>
      </w:r>
      <w:r>
        <w:t>о</w:t>
      </w:r>
      <w:r>
        <w:t>торые делегации заявили, что Ассоциация могла бы разработать надзорные м</w:t>
      </w:r>
      <w:r>
        <w:t>е</w:t>
      </w:r>
      <w:r>
        <w:t>ханизмы сертификации, мониторинга и соответствия. По мнению некоторых д</w:t>
      </w:r>
      <w:r>
        <w:t>е</w:t>
      </w:r>
      <w:r>
        <w:t xml:space="preserve">легаций, </w:t>
      </w:r>
      <w:proofErr w:type="spellStart"/>
      <w:r>
        <w:t>взаимодополняемость</w:t>
      </w:r>
      <w:proofErr w:type="spellEnd"/>
      <w:r>
        <w:t xml:space="preserve"> Документа </w:t>
      </w:r>
      <w:proofErr w:type="spellStart"/>
      <w:r>
        <w:t>Монтрё</w:t>
      </w:r>
      <w:proofErr w:type="spellEnd"/>
      <w:r>
        <w:t xml:space="preserve"> и Международного кодекса поведения, а также внутреннего законодательства подтверждают отсутствие юридического вакуума.</w:t>
      </w:r>
    </w:p>
    <w:p w:rsidR="00B95DF9" w:rsidRDefault="00B95DF9" w:rsidP="00B95DF9">
      <w:pPr>
        <w:pStyle w:val="SingleTxt"/>
      </w:pPr>
      <w:r>
        <w:t>17.</w:t>
      </w:r>
      <w:r>
        <w:tab/>
        <w:t xml:space="preserve">Некоторые делегации сослались также на Международную организацию по стандартизации (ИСО) и ее новую публикацию </w:t>
      </w:r>
      <w:r w:rsidR="00EE2CEC">
        <w:t>«</w:t>
      </w:r>
      <w:r>
        <w:t>Система управления частными охранными операциями: требования и руководство</w:t>
      </w:r>
      <w:r w:rsidR="00EE2CEC">
        <w:t>»</w:t>
      </w:r>
      <w:r>
        <w:t xml:space="preserve"> (ISO 18788)</w:t>
      </w:r>
      <w:r w:rsidR="00C05694">
        <w:rPr>
          <w:rStyle w:val="FootnoteReference"/>
        </w:rPr>
        <w:footnoteReference w:id="9"/>
      </w:r>
      <w:r>
        <w:t>, которая, как ожидается, выйдет в июне 2015 года и будет содержать соответствующие элеме</w:t>
      </w:r>
      <w:r>
        <w:t>н</w:t>
      </w:r>
      <w:r>
        <w:t xml:space="preserve">ты Руководящих принципов предпринимательской деятельности в аспекте прав человека. Новый стандарт основан на публикации </w:t>
      </w:r>
      <w:r w:rsidR="00EE2CEC">
        <w:t>«</w:t>
      </w:r>
      <w:r>
        <w:t>Система управления кач</w:t>
      </w:r>
      <w:r>
        <w:t>е</w:t>
      </w:r>
      <w:r>
        <w:t>ством деятельности частных охранных компаний: требования и руководство</w:t>
      </w:r>
      <w:r w:rsidR="00EE2CEC">
        <w:t>»</w:t>
      </w:r>
      <w:r>
        <w:t xml:space="preserve"> (ANSI/ASIS PSC.1­2012). Одна из делегаций упомянула о возглавляемом УВКПЧ проекте по расширению доступа пострадавших от нарушений прав человека, связанных с предпринимательской деятельностью, к средствам правовой защиты, который имеет потенциальную возможность определить эффективные способы достижения прогресса в сфере доступа к средствам правовой защиты. </w:t>
      </w:r>
    </w:p>
    <w:p w:rsidR="009C0400" w:rsidRPr="009C0400" w:rsidRDefault="009C0400" w:rsidP="009C0400">
      <w:pPr>
        <w:pStyle w:val="SingleTxt"/>
        <w:spacing w:after="0" w:line="120" w:lineRule="exact"/>
        <w:rPr>
          <w:sz w:val="10"/>
        </w:rPr>
      </w:pPr>
    </w:p>
    <w:p w:rsidR="00B95DF9" w:rsidRDefault="00940660" w:rsidP="00940660">
      <w:pPr>
        <w:pStyle w:val="H4"/>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B95DF9">
        <w:t>События на национальном уровне</w:t>
      </w:r>
    </w:p>
    <w:p w:rsidR="00940660" w:rsidRPr="00940660" w:rsidRDefault="00940660" w:rsidP="00940660">
      <w:pPr>
        <w:pStyle w:val="SingleTxt"/>
        <w:spacing w:after="0" w:line="120" w:lineRule="exact"/>
        <w:rPr>
          <w:sz w:val="10"/>
        </w:rPr>
      </w:pPr>
    </w:p>
    <w:p w:rsidR="00B95DF9" w:rsidRDefault="00B95DF9" w:rsidP="00B95DF9">
      <w:pPr>
        <w:pStyle w:val="SingleTxt"/>
      </w:pPr>
      <w:r>
        <w:t>18.</w:t>
      </w:r>
      <w:r>
        <w:tab/>
        <w:t>Соединенные Штаты Америки подчеркнули, что в соответствии с требов</w:t>
      </w:r>
      <w:r>
        <w:t>а</w:t>
      </w:r>
      <w:r>
        <w:t>ниями Государственного департамента компании, принимающие участие в те</w:t>
      </w:r>
      <w:r>
        <w:t>н</w:t>
      </w:r>
      <w:r>
        <w:t>дерах в рамках его всемирной программы охранных услуг, должны быть полн</w:t>
      </w:r>
      <w:r>
        <w:t>о</w:t>
      </w:r>
      <w:r>
        <w:t xml:space="preserve">правными членами Ассоциации Международного кодекса поведения и иметь подтверждение соответствия стандарту PSC 1­2012. Они также упомянули </w:t>
      </w:r>
      <w:proofErr w:type="gramStart"/>
      <w:r>
        <w:t>о во</w:t>
      </w:r>
      <w:r>
        <w:t>з</w:t>
      </w:r>
      <w:r>
        <w:t>можном заведении уголовного дела в соответствии с Законом о ложных утве</w:t>
      </w:r>
      <w:r>
        <w:t>р</w:t>
      </w:r>
      <w:r>
        <w:t>ждениях против тех частных охранных компаний</w:t>
      </w:r>
      <w:proofErr w:type="gramEnd"/>
      <w:r>
        <w:t>, которые представят ложные сведения о своем соответствии требуемому стандарту. Далее делегация рассказ</w:t>
      </w:r>
      <w:r>
        <w:t>а</w:t>
      </w:r>
      <w:r>
        <w:t>ла о работе Министерства обороны с Международным институтом гуманитарн</w:t>
      </w:r>
      <w:r>
        <w:t>о</w:t>
      </w:r>
      <w:r>
        <w:t>го права и Управлением Организации Объединенных Наций по наркотикам и преступности в рамках отдельных инициатив, направленных на помощь госуда</w:t>
      </w:r>
      <w:r>
        <w:t>р</w:t>
      </w:r>
      <w:r>
        <w:t xml:space="preserve">ствам в разработке правил применения силы частными военными и охранными компаниями в поддержку Документа </w:t>
      </w:r>
      <w:proofErr w:type="spellStart"/>
      <w:r>
        <w:t>Монтрё</w:t>
      </w:r>
      <w:proofErr w:type="spellEnd"/>
      <w:r>
        <w:t>. Делегация отметила также неда</w:t>
      </w:r>
      <w:r>
        <w:t>в</w:t>
      </w:r>
      <w:r>
        <w:t xml:space="preserve">нее вынесение обвинительного приговора четырем контрактникам компании </w:t>
      </w:r>
      <w:r w:rsidR="00EE2CEC">
        <w:t>«</w:t>
      </w:r>
      <w:proofErr w:type="spellStart"/>
      <w:r>
        <w:t>Блэкуотер</w:t>
      </w:r>
      <w:proofErr w:type="spellEnd"/>
      <w:r w:rsidR="00EE2CEC">
        <w:t>»</w:t>
      </w:r>
      <w:r>
        <w:t xml:space="preserve">, которое продемонстрировало </w:t>
      </w:r>
      <w:r w:rsidR="00C711CC">
        <w:t>при</w:t>
      </w:r>
      <w:r>
        <w:t xml:space="preserve">верженность </w:t>
      </w:r>
      <w:r w:rsidR="00C711CC">
        <w:t xml:space="preserve">принципам </w:t>
      </w:r>
      <w:r>
        <w:t>прав</w:t>
      </w:r>
      <w:r>
        <w:t>и</w:t>
      </w:r>
      <w:r>
        <w:t>тел</w:t>
      </w:r>
      <w:r w:rsidR="00C711CC">
        <w:t xml:space="preserve">ьства </w:t>
      </w:r>
      <w:r>
        <w:t>Соединенных Штатов и его способность осуществлять судебное пр</w:t>
      </w:r>
      <w:r>
        <w:t>е</w:t>
      </w:r>
      <w:r>
        <w:t>следование и отправлять правосудие по делам о насильственных преступлениях, совершаемых контрактниками.</w:t>
      </w:r>
    </w:p>
    <w:p w:rsidR="00B95DF9" w:rsidRDefault="00B95DF9" w:rsidP="00B95DF9">
      <w:pPr>
        <w:pStyle w:val="SingleTxt"/>
      </w:pPr>
      <w:r>
        <w:t>19.</w:t>
      </w:r>
      <w:r>
        <w:tab/>
        <w:t xml:space="preserve">Южная Африка сослалась на Закон о порядке предоставления иностранной военной помощи № 15 от 1998 года, который регулирует </w:t>
      </w:r>
      <w:r w:rsidR="00EE2CEC">
        <w:t>«</w:t>
      </w:r>
      <w:r>
        <w:t>оказание иностранной военной помощи юридическими лицами Южной Африки, ее гражданами, лиц</w:t>
      </w:r>
      <w:r>
        <w:t>а</w:t>
      </w:r>
      <w:r>
        <w:t>ми, постоянно проживающими в Республике, и гражданами, оказывающими п</w:t>
      </w:r>
      <w:r>
        <w:t>о</w:t>
      </w:r>
      <w:r>
        <w:t>добную помощь с территории</w:t>
      </w:r>
      <w:r w:rsidR="00EE2CEC">
        <w:t>»</w:t>
      </w:r>
      <w:r>
        <w:t xml:space="preserve"> Южной Африки. Она добавила, что хотя прав</w:t>
      </w:r>
      <w:r>
        <w:t>о</w:t>
      </w:r>
      <w:r>
        <w:t>охранительные органы всегда стремились изучить данную деятельность, они не всегда добивались успеха из-за отказа в сотрудничестве со стороны стран, где эта деятельность происходила, причем в число этих стран зачастую входили учас</w:t>
      </w:r>
      <w:r>
        <w:t>т</w:t>
      </w:r>
      <w:r>
        <w:t xml:space="preserve">ники процессов по Документу </w:t>
      </w:r>
      <w:proofErr w:type="spellStart"/>
      <w:r>
        <w:t>Монтрё</w:t>
      </w:r>
      <w:proofErr w:type="spellEnd"/>
      <w:r>
        <w:t xml:space="preserve"> и Международному кодексу поведения.</w:t>
      </w:r>
    </w:p>
    <w:p w:rsidR="00B95DF9" w:rsidRDefault="00B95DF9" w:rsidP="00B95DF9">
      <w:pPr>
        <w:pStyle w:val="SingleTxt"/>
      </w:pPr>
      <w:r>
        <w:t>20.</w:t>
      </w:r>
      <w:r>
        <w:tab/>
        <w:t>Норвегия сослалась на Закон 2001 года о частных охранных компаниях, действующих на территории Норвегии, который претерпел значительные изм</w:t>
      </w:r>
      <w:r>
        <w:t>е</w:t>
      </w:r>
      <w:r>
        <w:t xml:space="preserve">нения в 2011 году. Целью этого </w:t>
      </w:r>
      <w:r w:rsidR="00E24112">
        <w:t>З</w:t>
      </w:r>
      <w:r>
        <w:t>акона является обеспечение соблюдения прав частных лиц, имеющих дело с представителями частных охранных компаний; высокого качества услуг; достаточного контроля и надзора за подобными пре</w:t>
      </w:r>
      <w:r>
        <w:t>д</w:t>
      </w:r>
      <w:r>
        <w:t>приятиями и того, что они действуют исключительно в рамках самого Закона. Норвегия стала членом Ассоциации Международного кодекса поведения в начале 2014 года, и она считает, что может сыграть значительную роль в обеспечении соблюдения частными охранными компаниями норм международного права в сложных условиях и в улучшении надзора и подотчетности.</w:t>
      </w:r>
    </w:p>
    <w:p w:rsidR="00B95DF9" w:rsidRDefault="00B95DF9" w:rsidP="00B95DF9">
      <w:pPr>
        <w:pStyle w:val="SingleTxt"/>
      </w:pPr>
      <w:r>
        <w:t>21.</w:t>
      </w:r>
      <w:r>
        <w:tab/>
        <w:t>Европейский союз напомнил о том, что, по его мнению, частные военные компании и частные охранные компании следует рассматривать отдельно в силу очень широкого и разнообразного спектра их деятельности. Что касается подо</w:t>
      </w:r>
      <w:r>
        <w:t>т</w:t>
      </w:r>
      <w:r>
        <w:t xml:space="preserve">четности и доступа к средствам правовой защиты, то Европейский союз сослался на существующие весомые статьи пересмотренного положения </w:t>
      </w:r>
      <w:r w:rsidR="00EE2CEC">
        <w:t>«</w:t>
      </w:r>
      <w:r>
        <w:t>Брюссель</w:t>
      </w:r>
      <w:r w:rsidR="00C711CC">
        <w:t> </w:t>
      </w:r>
      <w:r>
        <w:t>I</w:t>
      </w:r>
      <w:r w:rsidR="00EE2CEC">
        <w:t>»</w:t>
      </w:r>
      <w:r>
        <w:t>. Европейский союз отметил, что государства и международные организации в к</w:t>
      </w:r>
      <w:r>
        <w:t>а</w:t>
      </w:r>
      <w:r>
        <w:t>честве клиентов могли бы повысить стандарт</w:t>
      </w:r>
      <w:r w:rsidR="000264F8">
        <w:t>ы функционирования компаний. Он </w:t>
      </w:r>
      <w:r>
        <w:t xml:space="preserve">заявил, что Европейский союз и его государства-члены полны решимости </w:t>
      </w:r>
      <w:proofErr w:type="gramStart"/>
      <w:r>
        <w:t>провести</w:t>
      </w:r>
      <w:proofErr w:type="gramEnd"/>
      <w:r>
        <w:t xml:space="preserve"> дальнейшее рассмотрение возможностей наилучшего использования Международного кодекса поведения, в том числе в процессах закупок. Он доб</w:t>
      </w:r>
      <w:r>
        <w:t>а</w:t>
      </w:r>
      <w:r>
        <w:t>вил, что Европейский союз и другие субъекты проделали немалую работу для осуществления Руководящих принципов предпринимательской деятельности в аспекте прав человека, поскольку они играют важную роль в предупреждении и исправлении нарушений в различных секторах, в том числе со стороны частных военных компаний и частных охранных компаний.</w:t>
      </w:r>
    </w:p>
    <w:p w:rsidR="00B95DF9" w:rsidRDefault="00B95DF9" w:rsidP="00B95DF9">
      <w:pPr>
        <w:pStyle w:val="SingleTxt"/>
      </w:pPr>
      <w:r>
        <w:t>22.</w:t>
      </w:r>
      <w:r>
        <w:tab/>
        <w:t xml:space="preserve">Австралия отметила, что является подписантом Документа </w:t>
      </w:r>
      <w:proofErr w:type="spellStart"/>
      <w:r>
        <w:t>Монтрё</w:t>
      </w:r>
      <w:proofErr w:type="spellEnd"/>
      <w:r>
        <w:t xml:space="preserve"> и акти</w:t>
      </w:r>
      <w:r>
        <w:t>в</w:t>
      </w:r>
      <w:r>
        <w:t>ным членом Ассоциации Международного кодекса поведения, а также приним</w:t>
      </w:r>
      <w:r>
        <w:t>а</w:t>
      </w:r>
      <w:r>
        <w:t>ла участие в разработке новых стандартов. Согласно требованиям Министерства иностранных дел и торговли, для оказания специальных услуг частные военные и охранные компании должны быть подписантами Кодекса и выполнять соотве</w:t>
      </w:r>
      <w:r>
        <w:t>т</w:t>
      </w:r>
      <w:r>
        <w:t xml:space="preserve">ствующие положения Документа </w:t>
      </w:r>
      <w:proofErr w:type="spellStart"/>
      <w:r>
        <w:t>Монтрё</w:t>
      </w:r>
      <w:proofErr w:type="spellEnd"/>
      <w:r>
        <w:t xml:space="preserve">. Любая международная нормативная база </w:t>
      </w:r>
      <w:proofErr w:type="gramStart"/>
      <w:r>
        <w:t>должна</w:t>
      </w:r>
      <w:proofErr w:type="gramEnd"/>
      <w:r>
        <w:t xml:space="preserve"> </w:t>
      </w:r>
      <w:r w:rsidR="00C711CC">
        <w:t>прежде всего преследовать цели</w:t>
      </w:r>
      <w:r>
        <w:t xml:space="preserve"> укреплени</w:t>
      </w:r>
      <w:r w:rsidR="00C711CC">
        <w:t>я</w:t>
      </w:r>
      <w:r>
        <w:t xml:space="preserve"> соответствия с сущ</w:t>
      </w:r>
      <w:r>
        <w:t>е</w:t>
      </w:r>
      <w:r>
        <w:t>ствующими нормами международного права и обеспечени</w:t>
      </w:r>
      <w:r w:rsidR="00C711CC">
        <w:t>я</w:t>
      </w:r>
      <w:r>
        <w:t xml:space="preserve"> подотчетности. Наиболее эффективным видом реагирования является многоаспектный подход, совмещающий в себе национальное законодательство с международным сотру</w:t>
      </w:r>
      <w:r>
        <w:t>д</w:t>
      </w:r>
      <w:r>
        <w:t>ничеством.</w:t>
      </w:r>
    </w:p>
    <w:p w:rsidR="00B95DF9" w:rsidRDefault="00B95DF9" w:rsidP="00B95DF9">
      <w:pPr>
        <w:pStyle w:val="SingleTxt"/>
      </w:pPr>
      <w:r>
        <w:t>23.</w:t>
      </w:r>
      <w:r>
        <w:tab/>
      </w:r>
      <w:proofErr w:type="gramStart"/>
      <w:r>
        <w:t>Соединенное Королевство Великобритании и Северной Ирландии упомян</w:t>
      </w:r>
      <w:r>
        <w:t>у</w:t>
      </w:r>
      <w:r>
        <w:t>ло о созданном в соответствии с Законом 2001 года об охранных частных комп</w:t>
      </w:r>
      <w:r>
        <w:t>а</w:t>
      </w:r>
      <w:r>
        <w:t>ниях Органе по делам охранных компаний, который отвечает за регулирование частных компаний в данной отрасли, в частности путем введения режима лице</w:t>
      </w:r>
      <w:r>
        <w:t>н</w:t>
      </w:r>
      <w:r>
        <w:t>зирования для частных оперативных работников сферы безопасности и схемы добровольного утверждения для охранных предприятий.</w:t>
      </w:r>
      <w:proofErr w:type="gramEnd"/>
      <w:r>
        <w:t xml:space="preserve"> Кроме того, Закон 2001</w:t>
      </w:r>
      <w:r w:rsidR="00C711CC">
        <w:t> </w:t>
      </w:r>
      <w:r>
        <w:t>года о Международном уголовном суде обеспечил юрисдикцию для суде</w:t>
      </w:r>
      <w:r>
        <w:t>б</w:t>
      </w:r>
      <w:r>
        <w:t xml:space="preserve">ного преследования определенных преступлений, совершенных британскими подданными в Соединенном Королевстве или за его пределами. Министерство транспорта также выпустило временное руководство </w:t>
      </w:r>
      <w:proofErr w:type="gramStart"/>
      <w:r>
        <w:t>для судов под флагом С</w:t>
      </w:r>
      <w:r>
        <w:t>о</w:t>
      </w:r>
      <w:r>
        <w:t>единенного Королевства относительно использования вооруженной охраны для защиты от угрозы пиратства в исключительных обстоятельствах</w:t>
      </w:r>
      <w:proofErr w:type="gramEnd"/>
      <w:r>
        <w:t>. Служба аккр</w:t>
      </w:r>
      <w:r>
        <w:t>е</w:t>
      </w:r>
      <w:r>
        <w:t>дитации Соединенного Королевства аккредитует ревизоров по профессионал</w:t>
      </w:r>
      <w:r>
        <w:t>ь</w:t>
      </w:r>
      <w:r>
        <w:t>ным стандартам и является подписантом Многостороннего соглашения о Ме</w:t>
      </w:r>
      <w:r>
        <w:t>ж</w:t>
      </w:r>
      <w:r>
        <w:t>дународном форуме по вопросам аккредитации.</w:t>
      </w:r>
    </w:p>
    <w:p w:rsidR="00B95DF9" w:rsidRDefault="00B95DF9" w:rsidP="00B95DF9">
      <w:pPr>
        <w:pStyle w:val="SingleTxt"/>
      </w:pPr>
      <w:r>
        <w:t>24.</w:t>
      </w:r>
      <w:r>
        <w:tab/>
        <w:t>Швейцария сослалась на свой новый федеральный закон о частных охра</w:t>
      </w:r>
      <w:r>
        <w:t>н</w:t>
      </w:r>
      <w:r>
        <w:t>ных компаниях, который был принят в сентябре 2013 года и, как ожидается, вступит в силу в сентябре 2015 года. Этот закон будет применяться к частным лицам и компаниям, оказывающим охранные услуги за рубежом с территории Швейцарии, или оказывающим в Швейцарии услуги, связанные с охранными услугами, оказываемыми за рубежом. Закон также применяется к учрежденным в Швейцарии компаниям, которые осуществляют контроль над охранными комп</w:t>
      </w:r>
      <w:r>
        <w:t>а</w:t>
      </w:r>
      <w:r>
        <w:t>ниями, функционирующими за рубежом, и запрещает определенную деятел</w:t>
      </w:r>
      <w:r>
        <w:t>ь</w:t>
      </w:r>
      <w:r>
        <w:t>ность, связанную с непосредственным участием в боевых действиях или серье</w:t>
      </w:r>
      <w:r>
        <w:t>з</w:t>
      </w:r>
      <w:r>
        <w:t>ными нарушениями прав человека.</w:t>
      </w:r>
    </w:p>
    <w:p w:rsidR="00B95DF9" w:rsidRDefault="00B95DF9" w:rsidP="00B95DF9">
      <w:pPr>
        <w:pStyle w:val="SingleTxt"/>
      </w:pPr>
      <w:r>
        <w:t>25.</w:t>
      </w:r>
      <w:r>
        <w:tab/>
        <w:t>Российская Федерация напомнила, что ее законодательство не предусматр</w:t>
      </w:r>
      <w:r>
        <w:t>и</w:t>
      </w:r>
      <w:r>
        <w:t>вает экстерриториальную деятельность – в том числе военную – частных вое</w:t>
      </w:r>
      <w:r>
        <w:t>н</w:t>
      </w:r>
      <w:r>
        <w:t>ных и охранных компаний. Эти функции выполняются только государственными институтами. В свете глобальных тенденций юридические и политические эк</w:t>
      </w:r>
      <w:r>
        <w:t>с</w:t>
      </w:r>
      <w:r>
        <w:t>перты в Российской Федерации обсуждают целесообразность расширения де</w:t>
      </w:r>
      <w:r>
        <w:t>я</w:t>
      </w:r>
      <w:r>
        <w:t>тельности частных военных и охранных компаний и передачи некоторых гос</w:t>
      </w:r>
      <w:r>
        <w:t>у</w:t>
      </w:r>
      <w:r>
        <w:t>дарственных функций на внешний подряд. В число аргументов в пользу подо</w:t>
      </w:r>
      <w:r>
        <w:t>б</w:t>
      </w:r>
      <w:r>
        <w:t>ного решения входят соображения профессионализма, мобильности, эффекти</w:t>
      </w:r>
      <w:r>
        <w:t>в</w:t>
      </w:r>
      <w:r>
        <w:t>ности и рентабельности. Российская Федерация отметила, что любое подобное действие должно совершаться в рамках существующих норм международного права прав человека и международного гуманитарного права, и подчеркнула, что среди трудностей можно назвать отсутствие государственного контроля за такой деятельностью, отсутствие сре</w:t>
      </w:r>
      <w:proofErr w:type="gramStart"/>
      <w:r>
        <w:t>дств пр</w:t>
      </w:r>
      <w:proofErr w:type="gramEnd"/>
      <w:r>
        <w:t>авовой защиты и имеющиеся правовые нормы, которые являются недостаточными или неэффективными.</w:t>
      </w:r>
    </w:p>
    <w:p w:rsidR="00B95DF9" w:rsidRDefault="00B95DF9" w:rsidP="00B95DF9">
      <w:pPr>
        <w:pStyle w:val="SingleTxt"/>
      </w:pPr>
      <w:r>
        <w:t>26.</w:t>
      </w:r>
      <w:r>
        <w:tab/>
        <w:t xml:space="preserve">Председатель-докладчик указал несколько возможных тем для обсуждения, в частности </w:t>
      </w:r>
      <w:proofErr w:type="gramStart"/>
      <w:r>
        <w:t>выполнение</w:t>
      </w:r>
      <w:proofErr w:type="gramEnd"/>
      <w:r>
        <w:t xml:space="preserve"> государствами существующих стандартов, включая п</w:t>
      </w:r>
      <w:r>
        <w:t>о</w:t>
      </w:r>
      <w:r>
        <w:t>рядок рассмотрения жалоб пострадавших, иски против компаний и итоги разб</w:t>
      </w:r>
      <w:r>
        <w:t>и</w:t>
      </w:r>
      <w:r>
        <w:t>рательств.</w:t>
      </w:r>
    </w:p>
    <w:p w:rsidR="00B95DF9" w:rsidRDefault="00B95DF9" w:rsidP="00B95DF9">
      <w:pPr>
        <w:pStyle w:val="SingleTxt"/>
      </w:pPr>
      <w:r>
        <w:t>27.</w:t>
      </w:r>
      <w:r>
        <w:tab/>
      </w:r>
      <w:proofErr w:type="gramStart"/>
      <w:r>
        <w:t>Колумбийская комиссия юристов сослалась на замечание общего поря</w:t>
      </w:r>
      <w:r>
        <w:t>д</w:t>
      </w:r>
      <w:r>
        <w:t>ка</w:t>
      </w:r>
      <w:r w:rsidR="00C711CC">
        <w:t> </w:t>
      </w:r>
      <w:r>
        <w:t>№</w:t>
      </w:r>
      <w:r w:rsidR="00C711CC">
        <w:t> </w:t>
      </w:r>
      <w:r>
        <w:t>35 Комитета по правам человека, в котором, в частности, было отмечено, что в тех случаях, когда государство-участник наделяет физических или юрид</w:t>
      </w:r>
      <w:r>
        <w:t>и</w:t>
      </w:r>
      <w:r>
        <w:t>ческих лиц правами и возможностями или полномочиями, связанными с арестом или задержанием, оно по-прежнему несет ответственность за соблюдение и обеспечение соблюдения статьи 9 Международного пакта о гражданских и пол</w:t>
      </w:r>
      <w:r>
        <w:t>и</w:t>
      </w:r>
      <w:r>
        <w:t>тических правах.</w:t>
      </w:r>
      <w:proofErr w:type="gramEnd"/>
    </w:p>
    <w:p w:rsidR="00B95DF9" w:rsidRDefault="00B95DF9" w:rsidP="00B95DF9">
      <w:pPr>
        <w:pStyle w:val="SingleTxt"/>
      </w:pPr>
      <w:r>
        <w:t>28.</w:t>
      </w:r>
      <w:r>
        <w:tab/>
        <w:t>Исполнительный директор Ассоциации Международного кодекса повед</w:t>
      </w:r>
      <w:r>
        <w:t>е</w:t>
      </w:r>
      <w:r>
        <w:t>ния</w:t>
      </w:r>
      <w:r w:rsidR="00C05694">
        <w:rPr>
          <w:rStyle w:val="FootnoteReference"/>
        </w:rPr>
        <w:footnoteReference w:id="10"/>
      </w:r>
      <w:r>
        <w:t xml:space="preserve"> представил обновленную информацию о ключевых функциях Ассоциации в области управления и надзора, указав, что проект процедуры сертификации ждет рассмотрения Советом директоров Ассоциац</w:t>
      </w:r>
      <w:proofErr w:type="gramStart"/>
      <w:r>
        <w:t>ии и ее</w:t>
      </w:r>
      <w:proofErr w:type="gramEnd"/>
      <w:r>
        <w:t xml:space="preserve"> Генеральной ассамблеей. Ассоциация надеется, что в будущем ее функции в области представления отче</w:t>
      </w:r>
      <w:r>
        <w:t>т</w:t>
      </w:r>
      <w:r>
        <w:t>ности, мониторинга и оценки результатов работы получат значительное развитие и будут включать в себя обширную информационно-просветительскую работу с заинтересованными субъектами. Исполнительный директор отметил также, что клиенты частных охранных компаний связывались с Ассоциацией для обсужд</w:t>
      </w:r>
      <w:r>
        <w:t>е</w:t>
      </w:r>
      <w:r>
        <w:t>ния возможности сделать членство в Ассоциации требованием, закрепленным в контрактах с компаниями, а также критерием получения соответствующего ра</w:t>
      </w:r>
      <w:r>
        <w:t>з</w:t>
      </w:r>
      <w:r>
        <w:t>решения в национальном законодательстве (Швейцария). Некоторые также уп</w:t>
      </w:r>
      <w:r>
        <w:t>о</w:t>
      </w:r>
      <w:r>
        <w:t>минали намерение Государственного департамента Соединенных Штатов сделать членство в Ассоциации требованием для потенциальных подрядчиков, участв</w:t>
      </w:r>
      <w:r>
        <w:t>у</w:t>
      </w:r>
      <w:r>
        <w:t>ющих в его всемирной программе охранных услуг.</w:t>
      </w:r>
    </w:p>
    <w:p w:rsidR="00B95DF9" w:rsidRDefault="00B95DF9" w:rsidP="00B95DF9">
      <w:pPr>
        <w:pStyle w:val="SingleTxt"/>
      </w:pPr>
      <w:r>
        <w:t>29.</w:t>
      </w:r>
      <w:r>
        <w:tab/>
        <w:t>Второе заседание четвертой сессии завершилось интерактивным диалогом. Одна делегация и Председатель-докладчик задали вопрос о возможностях Асс</w:t>
      </w:r>
      <w:r>
        <w:t>о</w:t>
      </w:r>
      <w:r>
        <w:t xml:space="preserve">циации Международного кодекса поведения обеспечить подотчетность, доступ к средствам правовой защиты и </w:t>
      </w:r>
      <w:proofErr w:type="spellStart"/>
      <w:r>
        <w:t>транспарентность</w:t>
      </w:r>
      <w:proofErr w:type="spellEnd"/>
      <w:r>
        <w:t xml:space="preserve"> в процессе рассмотрения жал</w:t>
      </w:r>
      <w:r>
        <w:t>о</w:t>
      </w:r>
      <w:r>
        <w:t>бы. Исполнительный директор ответил, что Ассоциация ограничена в действиях своим уставом и полномочиями, предоставленными ей ее членами (правител</w:t>
      </w:r>
      <w:r>
        <w:t>ь</w:t>
      </w:r>
      <w:r>
        <w:t>ствами, компаниями и гражданским обществом). Он добавил, что Ассоциация никогда не сможет заменить собой национальное законодательство и национал</w:t>
      </w:r>
      <w:r>
        <w:t>ь</w:t>
      </w:r>
      <w:r>
        <w:t>ные правоохранительные органы, однако она, несомненно, сможет оказать вли</w:t>
      </w:r>
      <w:r>
        <w:t>я</w:t>
      </w:r>
      <w:r>
        <w:t xml:space="preserve">ние на указанную сферу с точки зрения предпринимательства. В заключение он заявил, что хотя механизм рассмотрения жалоб в Ассоциации </w:t>
      </w:r>
      <w:proofErr w:type="gramStart"/>
      <w:r>
        <w:t>развит</w:t>
      </w:r>
      <w:proofErr w:type="gramEnd"/>
      <w:r>
        <w:t xml:space="preserve"> не так х</w:t>
      </w:r>
      <w:r>
        <w:t>о</w:t>
      </w:r>
      <w:r>
        <w:t>рошо, как механизм сертификации, соблюдение национальных и международных норм права рассматривается в качестве одной из ее основополагающих обяза</w:t>
      </w:r>
      <w:r>
        <w:t>н</w:t>
      </w:r>
      <w:r>
        <w:t xml:space="preserve">ностей. </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94066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III.</w:t>
      </w:r>
      <w:r>
        <w:tab/>
        <w:t>Обсуждение конкретных тем</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94066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 xml:space="preserve">Доклад по вопросам существа Председателя Рабочей группы </w:t>
      </w:r>
      <w:r w:rsidR="00905195">
        <w:br/>
      </w:r>
      <w:r>
        <w:t>по вопросу об использовании наемников как средстве нарушения прав человека и противодействия осуществлению права народов на самоопределение</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B95DF9">
      <w:pPr>
        <w:pStyle w:val="SingleTxt"/>
      </w:pPr>
      <w:r>
        <w:t>30.</w:t>
      </w:r>
      <w:r>
        <w:tab/>
      </w:r>
      <w:proofErr w:type="gramStart"/>
      <w:r>
        <w:t xml:space="preserve">В своем выступлении 28 апреля 2015 года г-жа </w:t>
      </w:r>
      <w:proofErr w:type="spellStart"/>
      <w:r>
        <w:t>Карска</w:t>
      </w:r>
      <w:proofErr w:type="spellEnd"/>
      <w:r>
        <w:t xml:space="preserve"> заявила, что Рабочая группа по вопросу о наемниках провела дополнительные исследования наци</w:t>
      </w:r>
      <w:r>
        <w:t>о</w:t>
      </w:r>
      <w:r>
        <w:t>нальных законов и положений, касающихся частных военных и охранных комп</w:t>
      </w:r>
      <w:r>
        <w:t>а</w:t>
      </w:r>
      <w:r>
        <w:t>ний, в восьми странах Центральной Америки и Карибского бассейна, восьми странах Южной Америки и четырех странах Европы (A/HRC/30/34)</w:t>
      </w:r>
      <w:r w:rsidR="00C05694">
        <w:rPr>
          <w:rStyle w:val="FootnoteReference"/>
        </w:rPr>
        <w:footnoteReference w:id="11"/>
      </w:r>
      <w:r>
        <w:t>. Еще три доклада уже представлены Совету</w:t>
      </w:r>
      <w:r w:rsidR="00C05694">
        <w:rPr>
          <w:rStyle w:val="FootnoteReference"/>
        </w:rPr>
        <w:footnoteReference w:id="12"/>
      </w:r>
      <w:r>
        <w:t>. В своем докладе Совету</w:t>
      </w:r>
      <w:proofErr w:type="gramEnd"/>
      <w:r>
        <w:t xml:space="preserve"> за 2016 год она ра</w:t>
      </w:r>
      <w:r>
        <w:t>с</w:t>
      </w:r>
      <w:r>
        <w:t>смотрит национальное законодательство стран Восточной Европы, Северной Америки и Тихоокеанского региона. В ходе этих исследований оценивались с</w:t>
      </w:r>
      <w:r>
        <w:t>у</w:t>
      </w:r>
      <w:r>
        <w:t>ществующие национальные законы, касающиеся частных военных и охранных компаний, и их эффективность в защите прав человека и содействии привлеч</w:t>
      </w:r>
      <w:r>
        <w:t>е</w:t>
      </w:r>
      <w:r>
        <w:t>нию к ответственности за их нарушения, а также преследовалась цель выявления возможных общих особенностей, передовой практики и пробелов в нормативной базе. Глобальный анализ будет представлен Генеральной Ассамблее в 2016 году.</w:t>
      </w:r>
    </w:p>
    <w:p w:rsidR="00B95DF9" w:rsidRDefault="00B95DF9" w:rsidP="00B95DF9">
      <w:pPr>
        <w:pStyle w:val="SingleTxt"/>
      </w:pPr>
      <w:r>
        <w:t>31.</w:t>
      </w:r>
      <w:r>
        <w:tab/>
        <w:t xml:space="preserve">Г-жа </w:t>
      </w:r>
      <w:proofErr w:type="spellStart"/>
      <w:r>
        <w:t>Карска</w:t>
      </w:r>
      <w:proofErr w:type="spellEnd"/>
      <w:r>
        <w:t xml:space="preserve"> заявила, что Рабочая группа провела два совещания экспертов и несколько консультаций с заинтересованными субъектами, в том числе по в</w:t>
      </w:r>
      <w:r>
        <w:t>о</w:t>
      </w:r>
      <w:r>
        <w:t>просу использования частных военных и охранных компаний Организацией Об</w:t>
      </w:r>
      <w:r>
        <w:t>ъ</w:t>
      </w:r>
      <w:r>
        <w:t>единенных Наций. Эти усилия легли в основу обсуждений Рабочей группой во</w:t>
      </w:r>
      <w:r>
        <w:t>з</w:t>
      </w:r>
      <w:r>
        <w:t>можного юридически обязательного документа для регулирования деятельности подобных компаний. Данные соображения содержатся в концептуальной записке, подготовленной Рабочей группой для рассмотрения на нынешней сессии ме</w:t>
      </w:r>
      <w:r>
        <w:t>ж</w:t>
      </w:r>
      <w:r>
        <w:t>правительственной рабочей группы открытого состава</w:t>
      </w:r>
      <w:r w:rsidR="00C05694">
        <w:rPr>
          <w:rStyle w:val="FootnoteReference"/>
        </w:rPr>
        <w:footnoteReference w:id="13"/>
      </w:r>
      <w:r>
        <w:t>.</w:t>
      </w:r>
    </w:p>
    <w:p w:rsidR="00B95DF9" w:rsidRDefault="00B95DF9" w:rsidP="00B95DF9">
      <w:pPr>
        <w:pStyle w:val="SingleTxt"/>
      </w:pPr>
      <w:r>
        <w:t>32.</w:t>
      </w:r>
      <w:r>
        <w:tab/>
        <w:t xml:space="preserve">Г-жа </w:t>
      </w:r>
      <w:proofErr w:type="spellStart"/>
      <w:r>
        <w:t>Карска</w:t>
      </w:r>
      <w:proofErr w:type="spellEnd"/>
      <w:r>
        <w:t xml:space="preserve"> добавила, что концептуальная записка отражает взгляды и опыт государственных должностных лиц, экспертов и представителей гражда</w:t>
      </w:r>
      <w:r>
        <w:t>н</w:t>
      </w:r>
      <w:r>
        <w:t>ского общества и является результатом обширных консультаций, проведенных предыдущими членами Рабочей группы. Первый проект возможной конвенции представляет собой основу для такого размышления (см. A/HRC/15/25, прилож</w:t>
      </w:r>
      <w:r>
        <w:t>е</w:t>
      </w:r>
      <w:r>
        <w:t>ние), тогда как концептуальная записка также является итогом текущих исслед</w:t>
      </w:r>
      <w:r>
        <w:t>о</w:t>
      </w:r>
      <w:r>
        <w:t>ваний национального законодательства, о которых рассказано выше. Более того, концептуальная записка является отражением приверженности Рабочей группы делу разработки согласованной, предметной и реалистичной базы для рассмо</w:t>
      </w:r>
      <w:r>
        <w:t>т</w:t>
      </w:r>
      <w:r>
        <w:t>рения межправительственной рабочей группой открытого состава.</w:t>
      </w:r>
    </w:p>
    <w:p w:rsidR="00B95DF9" w:rsidRDefault="00B95DF9" w:rsidP="00B95DF9">
      <w:pPr>
        <w:pStyle w:val="SingleTxt"/>
      </w:pPr>
      <w:r>
        <w:t>33.</w:t>
      </w:r>
      <w:r>
        <w:tab/>
        <w:t>Стремясь к достижению вышеуказанных целей, Рабочая группа по вопросу о наемниках свела свои соображения к следующим восьми основным пунктам:</w:t>
      </w:r>
    </w:p>
    <w:p w:rsidR="00B95DF9" w:rsidRDefault="00940660" w:rsidP="00B95DF9">
      <w:pPr>
        <w:pStyle w:val="SingleTxt"/>
      </w:pPr>
      <w:r>
        <w:tab/>
      </w:r>
      <w:r w:rsidR="00B95DF9">
        <w:t>a)</w:t>
      </w:r>
      <w:r w:rsidR="00B95DF9">
        <w:tab/>
        <w:t>Рабочая группа признает, что определенные функции являются для государства неотъемлемыми, и за их выполнение оно несет единоличную отве</w:t>
      </w:r>
      <w:r w:rsidR="00B95DF9">
        <w:t>т</w:t>
      </w:r>
      <w:r w:rsidR="00B95DF9">
        <w:t>ственность вне зависимости от того, были ли они переданы на внешний подряд. Некоторые неотъемлемые функции государства не могут быть переданы на внешний подряд, в частности непосредственное участие в боевых действиях в условиях вооруженного конфликта и задержание и допрос военнопленных, как указано в Женевской конвенции об обращении с военнопленными от 12 августа 1949 года. Рабочая группа предложила включить в проект рекомендации относ</w:t>
      </w:r>
      <w:r w:rsidR="00B95DF9">
        <w:t>и</w:t>
      </w:r>
      <w:r w:rsidR="00B95DF9">
        <w:t>тельно определения различных классификаций служебных функций. Эти кла</w:t>
      </w:r>
      <w:r w:rsidR="00B95DF9">
        <w:t>с</w:t>
      </w:r>
      <w:r w:rsidR="00B95DF9">
        <w:t>сификации основаны на выявлении того, какая деятельность увеличивает опа</w:t>
      </w:r>
      <w:r w:rsidR="00B95DF9">
        <w:t>с</w:t>
      </w:r>
      <w:r w:rsidR="00B95DF9">
        <w:t xml:space="preserve">ность нарушений прав человека при ее выполнении частными субъектами. Они также ликвидируют пробел, оставленный Документом </w:t>
      </w:r>
      <w:proofErr w:type="spellStart"/>
      <w:r w:rsidR="00B95DF9">
        <w:t>Монтрё</w:t>
      </w:r>
      <w:proofErr w:type="spellEnd"/>
      <w:r w:rsidR="00B95DF9">
        <w:t>, который прим</w:t>
      </w:r>
      <w:r w:rsidR="00B95DF9">
        <w:t>е</w:t>
      </w:r>
      <w:r w:rsidR="00B95DF9">
        <w:t>няется только к вооруженным конфликтам;</w:t>
      </w:r>
    </w:p>
    <w:p w:rsidR="00B95DF9" w:rsidRDefault="00940660" w:rsidP="00B95DF9">
      <w:pPr>
        <w:pStyle w:val="SingleTxt"/>
      </w:pPr>
      <w:r>
        <w:tab/>
      </w:r>
      <w:r w:rsidR="00B95DF9">
        <w:t>b)</w:t>
      </w:r>
      <w:r w:rsidR="00B95DF9">
        <w:tab/>
        <w:t>участниками конвенции могут стать как государства, так и межправ</w:t>
      </w:r>
      <w:r w:rsidR="00B95DF9">
        <w:t>и</w:t>
      </w:r>
      <w:r w:rsidR="00B95DF9">
        <w:t>тельственные организации. Это не ново, однако подобное положение дел укре</w:t>
      </w:r>
      <w:r w:rsidR="00B95DF9">
        <w:t>п</w:t>
      </w:r>
      <w:r w:rsidR="00B95DF9">
        <w:t>ляет понятие подотчетности межправительственных организаций и поддержив</w:t>
      </w:r>
      <w:r w:rsidR="00B95DF9">
        <w:t>а</w:t>
      </w:r>
      <w:r w:rsidR="00B95DF9">
        <w:t>ет углубляющуюся тенденцию к принятию такими организациями своей объе</w:t>
      </w:r>
      <w:r w:rsidR="00B95DF9">
        <w:t>к</w:t>
      </w:r>
      <w:r w:rsidR="00B95DF9">
        <w:t xml:space="preserve">тивной международной </w:t>
      </w:r>
      <w:proofErr w:type="spellStart"/>
      <w:r w:rsidR="00B95DF9">
        <w:t>правосубъектности</w:t>
      </w:r>
      <w:proofErr w:type="spellEnd"/>
      <w:r w:rsidR="00B95DF9">
        <w:t xml:space="preserve"> при присоединении к междунаро</w:t>
      </w:r>
      <w:r w:rsidR="00B95DF9">
        <w:t>д</w:t>
      </w:r>
      <w:r w:rsidR="00B95DF9">
        <w:t>ным документам;</w:t>
      </w:r>
    </w:p>
    <w:p w:rsidR="00B95DF9" w:rsidRDefault="00940660" w:rsidP="00B95DF9">
      <w:pPr>
        <w:pStyle w:val="SingleTxt"/>
      </w:pPr>
      <w:r>
        <w:tab/>
      </w:r>
      <w:r w:rsidR="00B95DF9">
        <w:t>c)</w:t>
      </w:r>
      <w:r w:rsidR="00B95DF9">
        <w:tab/>
        <w:t>Рабочая группа предложила одну статью об осуществлении, сводящую воедино различные смежные статьи в первом проекте конвенции. Обязательства по этой статье будут применяться к национальным и международным компаниям, а также к услугам, оказываемым государствам и межправительственным, негос</w:t>
      </w:r>
      <w:r w:rsidR="00B95DF9">
        <w:t>у</w:t>
      </w:r>
      <w:r w:rsidR="00B95DF9">
        <w:t>дарственным и корпоративным клиентам;</w:t>
      </w:r>
    </w:p>
    <w:p w:rsidR="00B95DF9" w:rsidRDefault="00940660" w:rsidP="00B95DF9">
      <w:pPr>
        <w:pStyle w:val="SingleTxt"/>
      </w:pPr>
      <w:r>
        <w:tab/>
      </w:r>
      <w:r w:rsidR="00B95DF9">
        <w:t>d)</w:t>
      </w:r>
      <w:r w:rsidR="00B95DF9">
        <w:tab/>
        <w:t>Рабочая группа предложила новое определение лицензии, которое б</w:t>
      </w:r>
      <w:r w:rsidR="00B95DF9">
        <w:t>у</w:t>
      </w:r>
      <w:r w:rsidR="00B95DF9">
        <w:t>дет служить в качестве способа разработки и применения стандартов;</w:t>
      </w:r>
    </w:p>
    <w:p w:rsidR="00B95DF9" w:rsidRDefault="00940660" w:rsidP="00B95DF9">
      <w:pPr>
        <w:pStyle w:val="SingleTxt"/>
      </w:pPr>
      <w:r>
        <w:tab/>
      </w:r>
      <w:r w:rsidR="00B95DF9">
        <w:t>e)</w:t>
      </w:r>
      <w:r w:rsidR="00B95DF9">
        <w:tab/>
        <w:t>Рабочая группа выдвинула на рассмотрение одну согласованную ст</w:t>
      </w:r>
      <w:r w:rsidR="00B95DF9">
        <w:t>а</w:t>
      </w:r>
      <w:r w:rsidR="00B95DF9">
        <w:t>тью о лицензировании, охватывающую пять основных областей и вновь свод</w:t>
      </w:r>
      <w:r w:rsidR="00B95DF9">
        <w:t>я</w:t>
      </w:r>
      <w:r w:rsidR="00B95DF9">
        <w:t>щую воедино смежные элементы в первом проекте конвенции;</w:t>
      </w:r>
    </w:p>
    <w:p w:rsidR="00B95DF9" w:rsidRDefault="00940660" w:rsidP="00B95DF9">
      <w:pPr>
        <w:pStyle w:val="SingleTxt"/>
      </w:pPr>
      <w:r>
        <w:tab/>
      </w:r>
      <w:r w:rsidR="00B95DF9">
        <w:t>f)</w:t>
      </w:r>
      <w:r w:rsidR="00B95DF9">
        <w:tab/>
        <w:t>регистрация должна стать второстепенным шагом после лицензиров</w:t>
      </w:r>
      <w:r w:rsidR="00B95DF9">
        <w:t>а</w:t>
      </w:r>
      <w:r w:rsidR="00B95DF9">
        <w:t>ния. Это положение основано на реестре первого проекта конвенции, который будет служить в качестве системы мониторинга соответствующих субъектов и видов деятельности;</w:t>
      </w:r>
    </w:p>
    <w:p w:rsidR="00B95DF9" w:rsidRDefault="00940660" w:rsidP="00B95DF9">
      <w:pPr>
        <w:pStyle w:val="SingleTxt"/>
      </w:pPr>
      <w:r>
        <w:tab/>
      </w:r>
      <w:r w:rsidR="00B95DF9">
        <w:t>g)</w:t>
      </w:r>
      <w:r w:rsidR="00B95DF9">
        <w:tab/>
        <w:t>Рабочая группа представила новую базу для регулирования юрисди</w:t>
      </w:r>
      <w:r w:rsidR="00B95DF9">
        <w:t>к</w:t>
      </w:r>
      <w:r w:rsidR="00B95DF9">
        <w:t>ции. Новый проект направлен на укрепление подотчетности и экстерриториал</w:t>
      </w:r>
      <w:r w:rsidR="00B95DF9">
        <w:t>ь</w:t>
      </w:r>
      <w:r w:rsidR="00B95DF9">
        <w:t>ных положений, в частности на охват сложных условий, в которых зачастую де</w:t>
      </w:r>
      <w:r w:rsidR="00B95DF9">
        <w:t>й</w:t>
      </w:r>
      <w:r w:rsidR="00B95DF9">
        <w:t>ствуют охранные компании. Эта база применяется к следующей иерархии при</w:t>
      </w:r>
      <w:r w:rsidR="00B95DF9">
        <w:t>н</w:t>
      </w:r>
      <w:r w:rsidR="00B95DF9">
        <w:t>ципов установления юрисдикции: активное лицо; пассивное лицо; территор</w:t>
      </w:r>
      <w:r w:rsidR="00B95DF9">
        <w:t>и</w:t>
      </w:r>
      <w:r w:rsidR="00B95DF9">
        <w:t>альность; и универсальная юрисдикция;</w:t>
      </w:r>
    </w:p>
    <w:p w:rsidR="00B95DF9" w:rsidRDefault="00940660" w:rsidP="00B95DF9">
      <w:pPr>
        <w:pStyle w:val="SingleTxt"/>
      </w:pPr>
      <w:r>
        <w:tab/>
      </w:r>
      <w:r w:rsidR="00B95DF9">
        <w:t>h)</w:t>
      </w:r>
      <w:r w:rsidR="00B95DF9">
        <w:tab/>
        <w:t>Рабочая группа считает чрезвычайно важным создание механизма для осуществления надзора и обеспечения сре</w:t>
      </w:r>
      <w:proofErr w:type="gramStart"/>
      <w:r w:rsidR="00B95DF9">
        <w:t>дств пр</w:t>
      </w:r>
      <w:proofErr w:type="gramEnd"/>
      <w:r w:rsidR="00B95DF9">
        <w:t>авовой защиты и компенсаций пострадавшим. Конкретный способ достижения этой цели – будь то комитет, омбудсмен или другой орган – пока не определен, однако возможность учрежд</w:t>
      </w:r>
      <w:r w:rsidR="00B95DF9">
        <w:t>е</w:t>
      </w:r>
      <w:r w:rsidR="00B95DF9">
        <w:t>ния любого механизма, который мог бы регулярно, эффективно и всесторонне осуществлять мониторинг и проводить расследования, а также гарантировать средства правовой защиты пострадавшим, определенно заслуживает рассмотр</w:t>
      </w:r>
      <w:r w:rsidR="00B95DF9">
        <w:t>е</w:t>
      </w:r>
      <w:r w:rsidR="00B95DF9">
        <w:t>ния.</w:t>
      </w:r>
    </w:p>
    <w:p w:rsidR="00B95DF9" w:rsidRDefault="00B95DF9" w:rsidP="00B95DF9">
      <w:pPr>
        <w:pStyle w:val="SingleTxt"/>
      </w:pPr>
      <w:r>
        <w:t>34.</w:t>
      </w:r>
      <w:r>
        <w:tab/>
        <w:t xml:space="preserve">В заключение г-жа </w:t>
      </w:r>
      <w:proofErr w:type="spellStart"/>
      <w:r>
        <w:t>Карска</w:t>
      </w:r>
      <w:proofErr w:type="spellEnd"/>
      <w:r>
        <w:t xml:space="preserve"> выразила надежду на то, что новая формулировка ключевых принципов станет источником плодотворного и конструктивного о</w:t>
      </w:r>
      <w:r>
        <w:t>б</w:t>
      </w:r>
      <w:r>
        <w:t>суждения в рамках межправительственной рабочей группы открытого состава и создаст более надежную основу для взаимного рассмотрения позиций и обмена мнениями в ходе прений.</w:t>
      </w:r>
    </w:p>
    <w:p w:rsidR="00B95DF9" w:rsidRDefault="00B95DF9" w:rsidP="00B95DF9">
      <w:pPr>
        <w:pStyle w:val="SingleTxt"/>
      </w:pPr>
      <w:r>
        <w:t>35.</w:t>
      </w:r>
      <w:r>
        <w:tab/>
        <w:t>В ходе последующего обсуждения некоторые делегации приветствовали концептуальную записку, подготовленную Рабочей группой. По мнению одной делегации, концептуальная записка всесторонне отражает элементы, которые м</w:t>
      </w:r>
      <w:r>
        <w:t>о</w:t>
      </w:r>
      <w:r>
        <w:t>гут быть включены в такой юридически обязательный документ, для разработки которого и была создана межправительственная рабочая группа открытого сост</w:t>
      </w:r>
      <w:r>
        <w:t>а</w:t>
      </w:r>
      <w:r>
        <w:t>ва. Она также предложила Председателю-докладчику свести воедино все пре</w:t>
      </w:r>
      <w:r>
        <w:t>д</w:t>
      </w:r>
      <w:r>
        <w:t xml:space="preserve">ложения, включая концептуальную записку, для последующих обсуждений и в качестве основы для будущей работы. Кроме того, она выразила признательность Ассоциации Международного кодекса поведения и правительству Швейцарии за работу над Документом </w:t>
      </w:r>
      <w:proofErr w:type="spellStart"/>
      <w:r>
        <w:t>Монтрё</w:t>
      </w:r>
      <w:proofErr w:type="spellEnd"/>
      <w:r>
        <w:t xml:space="preserve"> и заявила, что межправительственной рабочей группе пора провести всеобъемлющее объединение проделанной работы. Другая делегация предложила провести обсуждение проекта среди правительств, а не только в рамках экспертного органа.</w:t>
      </w:r>
    </w:p>
    <w:p w:rsidR="00B95DF9" w:rsidRDefault="00B95DF9" w:rsidP="00B95DF9">
      <w:pPr>
        <w:pStyle w:val="SingleTxt"/>
      </w:pPr>
      <w:r>
        <w:t>36.</w:t>
      </w:r>
      <w:r>
        <w:tab/>
      </w:r>
      <w:proofErr w:type="gramStart"/>
      <w:r>
        <w:t>Одна делегация указала, что деятельность Рабочей группы по вопросу о наемниках, направленная на изучение существующего законодательства о час</w:t>
      </w:r>
      <w:r>
        <w:t>т</w:t>
      </w:r>
      <w:r>
        <w:t xml:space="preserve">ных охранных и военных компаниях, может быть дискредитирована, если она призвана поддержать заранее установленную позицию, которая заключается в том, что юридически обязательный документ является </w:t>
      </w:r>
      <w:r w:rsidR="00EE2CEC">
        <w:t>«</w:t>
      </w:r>
      <w:r>
        <w:t>лучшим способом обе</w:t>
      </w:r>
      <w:r>
        <w:t>с</w:t>
      </w:r>
      <w:r>
        <w:t>печения надлежащей защиты прав человека</w:t>
      </w:r>
      <w:r w:rsidR="00EE2CEC">
        <w:t>»</w:t>
      </w:r>
      <w:r>
        <w:t>, без рассмотрения аргументов, к</w:t>
      </w:r>
      <w:r>
        <w:t>о</w:t>
      </w:r>
      <w:r>
        <w:t>торые могут осветить преимущества других вариантов.</w:t>
      </w:r>
      <w:proofErr w:type="gramEnd"/>
      <w:r>
        <w:t xml:space="preserve"> Та же делегация выраз</w:t>
      </w:r>
      <w:r>
        <w:t>и</w:t>
      </w:r>
      <w:r>
        <w:t>ла обеспокоенность по поводу планов Рабочей группы продолжать разрабатывать проект конвенции, что, по всей видимости, выходит за пределы ее мандата и м</w:t>
      </w:r>
      <w:r>
        <w:t>о</w:t>
      </w:r>
      <w:r>
        <w:t>жет усложнить обсуждение в рамках межправительственного процесса. Некот</w:t>
      </w:r>
      <w:r>
        <w:t>о</w:t>
      </w:r>
      <w:r>
        <w:t>рые делегации заявили, что они не поддерживают проект конвенции, разработа</w:t>
      </w:r>
      <w:r>
        <w:t>н</w:t>
      </w:r>
      <w:r>
        <w:t>ный Рабочей группой, поскольку на первой сессии межправительственной раб</w:t>
      </w:r>
      <w:r>
        <w:t>о</w:t>
      </w:r>
      <w:r>
        <w:t>чей группы открытого состава консенсуса по нему достигнуто не было. Они напомнили, что рамки мандата межправительственной рабочей группы открыт</w:t>
      </w:r>
      <w:r>
        <w:t>о</w:t>
      </w:r>
      <w:r>
        <w:t>го состава были расширены (см. A/HRC/22/41, пункт 77). Некоторые делегации подчеркнули, что конвенция не является необходимостью, однако имеется п</w:t>
      </w:r>
      <w:r>
        <w:t>о</w:t>
      </w:r>
      <w:r>
        <w:t>требность в укреплении внутреннего законодательства и его выполнения, а также наблюдени</w:t>
      </w:r>
      <w:r w:rsidR="00905195">
        <w:t>я</w:t>
      </w:r>
      <w:r>
        <w:t xml:space="preserve"> за тем, каким образом Международный кодекс поведения и другие инициативы реализуются на практике. Одна делегация отметила, что концепт</w:t>
      </w:r>
      <w:r>
        <w:t>у</w:t>
      </w:r>
      <w:r>
        <w:t>альная записка носит весьма проблематичный характер, поскольку она возвращ</w:t>
      </w:r>
      <w:r>
        <w:t>а</w:t>
      </w:r>
      <w:r>
        <w:t>ется к обсуждениям, проводившимся в ходе первой сессии межправительстве</w:t>
      </w:r>
      <w:r>
        <w:t>н</w:t>
      </w:r>
      <w:r>
        <w:t>ной рабочей группы в 2011 году. Делегация предложила изучить другие вариа</w:t>
      </w:r>
      <w:r>
        <w:t>н</w:t>
      </w:r>
      <w:r>
        <w:t>ты, включая руководящие принципы, возможные планы действий, типовые зак</w:t>
      </w:r>
      <w:r>
        <w:t>о</w:t>
      </w:r>
      <w:r>
        <w:t>ны, передовую практику и программы взаимной правовой помощи.</w:t>
      </w:r>
    </w:p>
    <w:p w:rsidR="00B95DF9" w:rsidRDefault="00B95DF9" w:rsidP="00B95DF9">
      <w:pPr>
        <w:pStyle w:val="SingleTxt"/>
      </w:pPr>
      <w:r>
        <w:t>37.</w:t>
      </w:r>
      <w:r>
        <w:tab/>
        <w:t>Колумбийская комиссия юристов приветствовала концептуальную записку в качестве хорошего отправного пункта, однако отметила, что она связана с новым набором статей, которые пока не обнародованы, и поэтому ее невозможно пр</w:t>
      </w:r>
      <w:r>
        <w:t>о</w:t>
      </w:r>
      <w:r>
        <w:t>комментировать надлежащим образом.</w:t>
      </w:r>
    </w:p>
    <w:p w:rsidR="00B95DF9" w:rsidRDefault="00B95DF9" w:rsidP="00B95DF9">
      <w:pPr>
        <w:pStyle w:val="SingleTxt"/>
      </w:pPr>
      <w:r>
        <w:t>38.</w:t>
      </w:r>
      <w:r>
        <w:tab/>
        <w:t xml:space="preserve">Отвечая на вопросы делегаций, г-жа </w:t>
      </w:r>
      <w:proofErr w:type="spellStart"/>
      <w:r>
        <w:t>Карска</w:t>
      </w:r>
      <w:proofErr w:type="spellEnd"/>
      <w:r>
        <w:t xml:space="preserve"> заявила, что Рабочая группа убеждена в том, что международная конвенция станет наилучшим механизмом регулирования вопроса о частных военных и охранных компаниях. Это не и</w:t>
      </w:r>
      <w:r>
        <w:t>с</w:t>
      </w:r>
      <w:r>
        <w:t>ключает других вариантов, в том числе руководящих принципов, типовых зак</w:t>
      </w:r>
      <w:r>
        <w:t>о</w:t>
      </w:r>
      <w:r>
        <w:t xml:space="preserve">нов и программ взаимной правовой помощи, которые, по мнению </w:t>
      </w:r>
      <w:proofErr w:type="gramStart"/>
      <w:r>
        <w:t>Рабочей</w:t>
      </w:r>
      <w:proofErr w:type="gramEnd"/>
      <w:r>
        <w:t xml:space="preserve"> гру</w:t>
      </w:r>
      <w:r>
        <w:t>п</w:t>
      </w:r>
      <w:r>
        <w:t>пы, носят дополнительный характер. Пробелы в национальном законодательстве по-прежнему существуют, и проведенный Рабочей группой анализ не показал значительного прогресса в этой связи. Как таковая, международная конвенция будет эффективным механизмом лучшег</w:t>
      </w:r>
      <w:r w:rsidR="00E24112">
        <w:t>о внедрения системы контроля. Г</w:t>
      </w:r>
      <w:r w:rsidR="00E24112">
        <w:noBreakHyphen/>
        <w:t>жа </w:t>
      </w:r>
      <w:proofErr w:type="spellStart"/>
      <w:r>
        <w:t>Карска</w:t>
      </w:r>
      <w:proofErr w:type="spellEnd"/>
      <w:r>
        <w:t xml:space="preserve"> подчеркнула, что Рабочая группа приветствует все замечания и предложения государств относительно своей концептуальной записки, поскольку она планирует завершить работу над новым предложением проекта конвенции к концу 2015 года. В этой связи Председатель-докладчик межправительственной рабочей группы открытого состава предложил направить секретариату все зам</w:t>
      </w:r>
      <w:r>
        <w:t>е</w:t>
      </w:r>
      <w:r>
        <w:t>чания не позднее конца мая 2015 года для их последующей передачи Рабочей группе по вопросу о наемниках.</w:t>
      </w:r>
    </w:p>
    <w:p w:rsidR="00B95DF9" w:rsidRDefault="00B95DF9" w:rsidP="00B95DF9">
      <w:pPr>
        <w:pStyle w:val="SingleTxt"/>
      </w:pPr>
      <w:r>
        <w:t>39.</w:t>
      </w:r>
      <w:r>
        <w:tab/>
        <w:t>Делегации обсудили дальнейшую деятельность в связи с разработкой во</w:t>
      </w:r>
      <w:r>
        <w:t>з</w:t>
      </w:r>
      <w:r>
        <w:t>можных рекомендаций относительно будущей программы работы межправител</w:t>
      </w:r>
      <w:r>
        <w:t>ь</w:t>
      </w:r>
      <w:r>
        <w:t>ственной рабочей группы открытого состава. Некоторые отметили, что в группе отсутствует консенсус по поводу каких-либо дальнейших обсуждений проекта конвенции, разработанного Рабочей группой по вопросу о наемниках и изуче</w:t>
      </w:r>
      <w:r>
        <w:t>н</w:t>
      </w:r>
      <w:r>
        <w:t>ного межправительственной рабочей группой в 2011 году. Одна делегация отм</w:t>
      </w:r>
      <w:r>
        <w:t>е</w:t>
      </w:r>
      <w:r>
        <w:t>тила, что предпочитает, чтобы в рекомендациях по итогам сессии не упомин</w:t>
      </w:r>
      <w:r>
        <w:t>а</w:t>
      </w:r>
      <w:r>
        <w:t>лось о концептуальной записке или о возможности наличия пересмотренного проекта конвенции, однако признала, что доклад межправительственной рабочей группы должен надлежащим образом отражать все сказанное делегациями и ор</w:t>
      </w:r>
      <w:r>
        <w:t>а</w:t>
      </w:r>
      <w:r>
        <w:t>торами. Делегации обсудили мандат межправительственной рабочей группы, к</w:t>
      </w:r>
      <w:r>
        <w:t>о</w:t>
      </w:r>
      <w:r>
        <w:t>торый, как заявила одна делегация, заключается в рассмотрении возможности разработки нового документа, однако другая делегация возразила, что он пре</w:t>
      </w:r>
      <w:r>
        <w:t>д</w:t>
      </w:r>
      <w:r>
        <w:t>полагает не составление юридически обязательного договора, а скорее рассмо</w:t>
      </w:r>
      <w:r>
        <w:t>т</w:t>
      </w:r>
      <w:r>
        <w:t>рение возможности разработки международной нормативной базы. Одна делег</w:t>
      </w:r>
      <w:r>
        <w:t>а</w:t>
      </w:r>
      <w:r>
        <w:t>ция упомянула о том, что межправительственная рабочая группа не изучила вс</w:t>
      </w:r>
      <w:r>
        <w:t>е</w:t>
      </w:r>
      <w:r>
        <w:t>го спектра вариантов, а скорее предприняла попытку обсудить проект, консенс</w:t>
      </w:r>
      <w:r>
        <w:t>у</w:t>
      </w:r>
      <w:r>
        <w:t xml:space="preserve">са по которому достигнуто не было. </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94066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t xml:space="preserve">Обсуждение с участием представителя частных военных </w:t>
      </w:r>
      <w:r w:rsidR="00940660">
        <w:br/>
      </w:r>
      <w:r>
        <w:t>и охранных компаний</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B95DF9">
      <w:pPr>
        <w:pStyle w:val="SingleTxt"/>
      </w:pPr>
      <w:r>
        <w:t>40.</w:t>
      </w:r>
      <w:r>
        <w:tab/>
        <w:t xml:space="preserve">28 апреля 2015 года Директор Группы по обеспечению безопасности в сложных условиях г-н </w:t>
      </w:r>
      <w:proofErr w:type="spellStart"/>
      <w:r>
        <w:t>Гибсон</w:t>
      </w:r>
      <w:proofErr w:type="spellEnd"/>
      <w:r>
        <w:t xml:space="preserve"> указал, каким образом ответственные компании в секторе частных охранных услуг выполняют стандарты и нормы в целях обесп</w:t>
      </w:r>
      <w:r>
        <w:t>е</w:t>
      </w:r>
      <w:r>
        <w:t xml:space="preserve">чения </w:t>
      </w:r>
      <w:proofErr w:type="spellStart"/>
      <w:r>
        <w:t>транспарентности</w:t>
      </w:r>
      <w:proofErr w:type="spellEnd"/>
      <w:r>
        <w:t xml:space="preserve"> и подотчетности своих операций, а также их соотве</w:t>
      </w:r>
      <w:r>
        <w:t>т</w:t>
      </w:r>
      <w:r>
        <w:t>ствия положениям международного и национального законодательства, включая право прав человека.</w:t>
      </w:r>
    </w:p>
    <w:p w:rsidR="00B95DF9" w:rsidRDefault="00B95DF9" w:rsidP="00B95DF9">
      <w:pPr>
        <w:pStyle w:val="SingleTxt"/>
      </w:pPr>
      <w:r>
        <w:t>41.</w:t>
      </w:r>
      <w:r>
        <w:tab/>
        <w:t xml:space="preserve">Вначале г-н </w:t>
      </w:r>
      <w:proofErr w:type="spellStart"/>
      <w:r>
        <w:t>Гибсон</w:t>
      </w:r>
      <w:proofErr w:type="spellEnd"/>
      <w:r>
        <w:t xml:space="preserve"> рассказал о понятии </w:t>
      </w:r>
      <w:r w:rsidR="00EE2CEC">
        <w:t>«</w:t>
      </w:r>
      <w:r>
        <w:t>сложные условия</w:t>
      </w:r>
      <w:r w:rsidR="00EE2CEC">
        <w:t>»</w:t>
      </w:r>
      <w:r>
        <w:t>, в которых р</w:t>
      </w:r>
      <w:r>
        <w:t>а</w:t>
      </w:r>
      <w:r>
        <w:t>ботают охранные компании. Он признал, что нерегулируемый до настоящего времени сектор частных охранных услуг не соответствовал стандартам, соглас</w:t>
      </w:r>
      <w:r>
        <w:t>о</w:t>
      </w:r>
      <w:r>
        <w:t>ванным на международном уровне, и что еще не все подобные недостатки ли</w:t>
      </w:r>
      <w:r>
        <w:t>к</w:t>
      </w:r>
      <w:r>
        <w:t xml:space="preserve">видированы. Тем не </w:t>
      </w:r>
      <w:proofErr w:type="gramStart"/>
      <w:r>
        <w:t>менее</w:t>
      </w:r>
      <w:proofErr w:type="gramEnd"/>
      <w:r>
        <w:t xml:space="preserve"> он заявил, что частные охранные компании, с котор</w:t>
      </w:r>
      <w:r>
        <w:t>ы</w:t>
      </w:r>
      <w:r>
        <w:t xml:space="preserve">ми он работал, объективно стараются выполнять стандарты и нормы в целях обеспечения своего надлежащего и </w:t>
      </w:r>
      <w:proofErr w:type="spellStart"/>
      <w:r>
        <w:t>транспарентного</w:t>
      </w:r>
      <w:proofErr w:type="spellEnd"/>
      <w:r>
        <w:t xml:space="preserve"> функционирования в рамках принципа верховенства права.</w:t>
      </w:r>
    </w:p>
    <w:p w:rsidR="00B95DF9" w:rsidRDefault="00B95DF9" w:rsidP="00B95DF9">
      <w:pPr>
        <w:pStyle w:val="SingleTxt"/>
      </w:pPr>
      <w:r>
        <w:t>42.</w:t>
      </w:r>
      <w:r>
        <w:tab/>
        <w:t xml:space="preserve">Что касается представляемых им компаний, то г-н </w:t>
      </w:r>
      <w:proofErr w:type="spellStart"/>
      <w:r>
        <w:t>Гибсон</w:t>
      </w:r>
      <w:proofErr w:type="spellEnd"/>
      <w:r>
        <w:t xml:space="preserve"> пояснил, что они не пользуются услугами наемников, а также назвал данный термин эмоционал</w:t>
      </w:r>
      <w:r>
        <w:t>ь</w:t>
      </w:r>
      <w:r>
        <w:t>но окрашенным и подразумевающим деятельность в целях получения финанс</w:t>
      </w:r>
      <w:r>
        <w:t>о</w:t>
      </w:r>
      <w:r>
        <w:t>вой выгоды. Эти компании не проводят наступательных военных операций, а оказывают своим клиентам ряд услуг в области управления рисками и обеспеч</w:t>
      </w:r>
      <w:r>
        <w:t>е</w:t>
      </w:r>
      <w:r>
        <w:t>ния безопасности, которые носят в основном защитный характер. Он заявил, что огнестрельное оружие используется редко и только для самообороны.</w:t>
      </w:r>
    </w:p>
    <w:p w:rsidR="00B95DF9" w:rsidRDefault="00B95DF9" w:rsidP="00B95DF9">
      <w:pPr>
        <w:pStyle w:val="SingleTxt"/>
      </w:pPr>
      <w:r>
        <w:t>43.</w:t>
      </w:r>
      <w:r>
        <w:tab/>
        <w:t xml:space="preserve">Далее г-н </w:t>
      </w:r>
      <w:proofErr w:type="spellStart"/>
      <w:r>
        <w:t>Гибсон</w:t>
      </w:r>
      <w:proofErr w:type="spellEnd"/>
      <w:r>
        <w:t xml:space="preserve"> провел обзор инициатив саморегулирования в отношении частных охранных компаний, включая Документ </w:t>
      </w:r>
      <w:proofErr w:type="spellStart"/>
      <w:r>
        <w:t>Монтрё</w:t>
      </w:r>
      <w:proofErr w:type="spellEnd"/>
      <w:r>
        <w:t xml:space="preserve"> и Международный к</w:t>
      </w:r>
      <w:r>
        <w:t>о</w:t>
      </w:r>
      <w:r>
        <w:t>декс поведения. Он обратил особое внимание на стандарт PSC­1, который был одобрен правительством Соедин</w:t>
      </w:r>
      <w:r w:rsidR="00593E21">
        <w:t>е</w:t>
      </w:r>
      <w:r>
        <w:t>нного Королевства в 2013 году, и заявил, что в настоящее время проводится независимая ревизия и сертификация британских компаний в соответствии с этим стандартом. Он напомнил, что, как ожидается, данный стандарт приобретет полностью международный характер в 2015 году и будет известен как ISO 18788. Он упомянул о том, что полноправные члены Группы по обеспечению безопасности в сложных условиях должны продемо</w:t>
      </w:r>
      <w:r>
        <w:t>н</w:t>
      </w:r>
      <w:r>
        <w:t xml:space="preserve">стрировать свое стремление к получению сертификата в соответствии с PSC­1. </w:t>
      </w:r>
      <w:r w:rsidR="00593E21">
        <w:br/>
      </w:r>
      <w:r>
        <w:t xml:space="preserve">Г-н </w:t>
      </w:r>
      <w:proofErr w:type="spellStart"/>
      <w:r>
        <w:t>Гибсон</w:t>
      </w:r>
      <w:proofErr w:type="spellEnd"/>
      <w:r>
        <w:t xml:space="preserve"> также напомнил об основных функциях Ассоциации Международн</w:t>
      </w:r>
      <w:r>
        <w:t>о</w:t>
      </w:r>
      <w:r>
        <w:t>го кодекса поведения и разъяснил участие своей организации в ее работе, вкл</w:t>
      </w:r>
      <w:r>
        <w:t>ю</w:t>
      </w:r>
      <w:r>
        <w:t xml:space="preserve">чая поощрение других к разработке согласованных, </w:t>
      </w:r>
      <w:proofErr w:type="spellStart"/>
      <w:r>
        <w:t>транспарентных</w:t>
      </w:r>
      <w:proofErr w:type="spellEnd"/>
      <w:r>
        <w:t xml:space="preserve"> и доступных стандартов и механизмов надзора. Что касается норм в морском секторе, то </w:t>
      </w:r>
      <w:r w:rsidR="00593E21">
        <w:br/>
      </w:r>
      <w:r>
        <w:t xml:space="preserve">г-н </w:t>
      </w:r>
      <w:proofErr w:type="spellStart"/>
      <w:r>
        <w:t>Гибсон</w:t>
      </w:r>
      <w:proofErr w:type="spellEnd"/>
      <w:r>
        <w:t xml:space="preserve"> кратко обрисовал последние события, назвав публикацию станда</w:t>
      </w:r>
      <w:r>
        <w:t>р</w:t>
      </w:r>
      <w:r>
        <w:t>та</w:t>
      </w:r>
      <w:r w:rsidR="00593E21">
        <w:t> </w:t>
      </w:r>
      <w:r>
        <w:t>ISO 28007 в марте 2015 года прорывом, который обеспечил морским охранным компаниям надежный стандарт, поддающийся ревизии.</w:t>
      </w:r>
    </w:p>
    <w:p w:rsidR="00B95DF9" w:rsidRDefault="00B95DF9" w:rsidP="00B95DF9">
      <w:pPr>
        <w:pStyle w:val="SingleTxt"/>
      </w:pPr>
      <w:r>
        <w:t>44.</w:t>
      </w:r>
      <w:r>
        <w:tab/>
        <w:t xml:space="preserve">Г-н </w:t>
      </w:r>
      <w:proofErr w:type="spellStart"/>
      <w:r>
        <w:t>Гибсон</w:t>
      </w:r>
      <w:proofErr w:type="spellEnd"/>
      <w:r>
        <w:t xml:space="preserve"> признал, что ключом к успешному выполнению этих стандартов является поиск независимых аккредитующих органов, которые обеспечивают, чтобы компании, утверждающие, что они соответствуют стандарту, делали это в полном объеме и поддающимся проверке образом. Служба аккредитации Соед</w:t>
      </w:r>
      <w:r>
        <w:t>и</w:t>
      </w:r>
      <w:r>
        <w:t>ненного Королевства аккредитовала четыре сертификационных органа, и они провели тщательные независимые ревизии компаний для их сертификации в с</w:t>
      </w:r>
      <w:r>
        <w:t>о</w:t>
      </w:r>
      <w:r>
        <w:t>ответствии со стандартами PSC­1 и ISO 28007. Например, этим органам пр</w:t>
      </w:r>
      <w:r>
        <w:t>и</w:t>
      </w:r>
      <w:r>
        <w:t xml:space="preserve">шлось определить, насколько органично оценки воздействия компании на права человека вписаны в процессы руководства ею. В поддержку этих международных стандартов Группа по обеспечению безопасности в сложных условиях учредила расширенную процедуру переаттестации, в которой участвует авторитетный и уважаемый национальный орган – Служба раскрытия и запрещения. Г-н </w:t>
      </w:r>
      <w:proofErr w:type="spellStart"/>
      <w:r>
        <w:t>Гибсон</w:t>
      </w:r>
      <w:proofErr w:type="spellEnd"/>
      <w:r>
        <w:t xml:space="preserve"> также упомянул, что центр </w:t>
      </w:r>
      <w:r w:rsidR="00EE2CEC">
        <w:t>«</w:t>
      </w:r>
      <w:r>
        <w:t xml:space="preserve">Сити энд </w:t>
      </w:r>
      <w:proofErr w:type="spellStart"/>
      <w:r>
        <w:t>гилдз</w:t>
      </w:r>
      <w:proofErr w:type="spellEnd"/>
      <w:r w:rsidR="00EE2CEC">
        <w:t>»</w:t>
      </w:r>
      <w:r>
        <w:t xml:space="preserve"> разработал Оперативную квалиф</w:t>
      </w:r>
      <w:r>
        <w:t>и</w:t>
      </w:r>
      <w:r>
        <w:t>кацию в области морской безопасности, в которую вошли все основные комп</w:t>
      </w:r>
      <w:r>
        <w:t>е</w:t>
      </w:r>
      <w:r>
        <w:t>тенции, требуемые стандартом ISO 28007, и что Соединенное Королевство ввело режим лицензирования для экспорта, контроля и утилизации оружия, использу</w:t>
      </w:r>
      <w:r>
        <w:t>е</w:t>
      </w:r>
      <w:r>
        <w:t>мого частными охранными компаниями.</w:t>
      </w:r>
    </w:p>
    <w:p w:rsidR="00B95DF9" w:rsidRDefault="00B95DF9" w:rsidP="00B95DF9">
      <w:pPr>
        <w:pStyle w:val="SingleTxt"/>
      </w:pPr>
      <w:r>
        <w:t>45.</w:t>
      </w:r>
      <w:r>
        <w:tab/>
        <w:t xml:space="preserve">Г-н </w:t>
      </w:r>
      <w:proofErr w:type="spellStart"/>
      <w:r>
        <w:t>Гибсон</w:t>
      </w:r>
      <w:proofErr w:type="spellEnd"/>
      <w:r>
        <w:t xml:space="preserve"> также подчеркнул некоторое разочарование компаний по поводу осторожного по вполне понятным причинам подхода правительства Соединенн</w:t>
      </w:r>
      <w:r>
        <w:t>о</w:t>
      </w:r>
      <w:r>
        <w:t xml:space="preserve">го Королевства к решению затрагивающих </w:t>
      </w:r>
      <w:r w:rsidR="00593E21">
        <w:t xml:space="preserve">этот </w:t>
      </w:r>
      <w:r>
        <w:t>сектор оперативных вопросов, в частности проблемы плавучих складов оружия, которые являются одной из х</w:t>
      </w:r>
      <w:r>
        <w:t>а</w:t>
      </w:r>
      <w:r>
        <w:t>рактеристик операций в области морской безопасности в Индийском океане. Г</w:t>
      </w:r>
      <w:r w:rsidR="00D973EF">
        <w:noBreakHyphen/>
      </w:r>
      <w:r>
        <w:t>н</w:t>
      </w:r>
      <w:r w:rsidR="00D973EF">
        <w:t> </w:t>
      </w:r>
      <w:proofErr w:type="spellStart"/>
      <w:r>
        <w:t>Гибсон</w:t>
      </w:r>
      <w:proofErr w:type="spellEnd"/>
      <w:r>
        <w:t xml:space="preserve"> указал, что после продолжительного сотрудничества Министерство по делам бизнеса, инноваций и квалифицированных кадров Великобритании объявило, что оно выдаст британские торговые лицензии, позволяющие испол</w:t>
      </w:r>
      <w:r>
        <w:t>ь</w:t>
      </w:r>
      <w:r>
        <w:t xml:space="preserve">зовать плавучие склады оружия для хранения контролируемого имущества, в том числе огнестрельного оружия. Хотя г-н </w:t>
      </w:r>
      <w:proofErr w:type="spellStart"/>
      <w:r>
        <w:t>Гибсон</w:t>
      </w:r>
      <w:proofErr w:type="spellEnd"/>
      <w:r>
        <w:t xml:space="preserve"> описал это как значительный шаг, </w:t>
      </w:r>
      <w:proofErr w:type="gramStart"/>
      <w:r>
        <w:t>он</w:t>
      </w:r>
      <w:proofErr w:type="gramEnd"/>
      <w:r>
        <w:t xml:space="preserve"> тем не менее подтвердил, что необходимо сделать еще многое для содействия функционированию плавучих складов оружия под флагом Соединенного Кор</w:t>
      </w:r>
      <w:r>
        <w:t>о</w:t>
      </w:r>
      <w:r>
        <w:t>левства. Далее он заявил, что ограничительный характер законодательства, кас</w:t>
      </w:r>
      <w:r>
        <w:t>а</w:t>
      </w:r>
      <w:r>
        <w:t>ющегося огнестрельного оружия, в настоящее время не позволяет проводить с</w:t>
      </w:r>
      <w:r>
        <w:t>о</w:t>
      </w:r>
      <w:r>
        <w:t>ответствующую подготовку по его владению в Соединенном Королевстве.</w:t>
      </w:r>
    </w:p>
    <w:p w:rsidR="00B95DF9" w:rsidRDefault="00B95DF9" w:rsidP="00B95DF9">
      <w:pPr>
        <w:pStyle w:val="SingleTxt"/>
      </w:pPr>
      <w:r>
        <w:t>46.</w:t>
      </w:r>
      <w:r>
        <w:tab/>
        <w:t xml:space="preserve">В заключение г-н </w:t>
      </w:r>
      <w:proofErr w:type="spellStart"/>
      <w:r>
        <w:t>Гибсон</w:t>
      </w:r>
      <w:proofErr w:type="spellEnd"/>
      <w:r>
        <w:t xml:space="preserve"> отметил снижение расходов Запада на оборону, которое не сопровождается соизмеримым снижением градуса политических а</w:t>
      </w:r>
      <w:r>
        <w:t>м</w:t>
      </w:r>
      <w:r>
        <w:t>биций, что создает стратегический дефицит, предназначенный для восполнения частным сектором. Правительствам придется все чаще передавать на внешний подряд частному сектору контракты в таких областях, которые до недавнего вр</w:t>
      </w:r>
      <w:r>
        <w:t>е</w:t>
      </w:r>
      <w:r>
        <w:t xml:space="preserve">мени считались исключительной прерогативой вооруженных сил. Он напомнил также, что деятельность частных охранных компаний направлена на получение прибыли, и важно обеспечить, чтобы затраты на расширение регулирования не сделали подобные компании неконкурентоспособными </w:t>
      </w:r>
      <w:r w:rsidR="00593E21">
        <w:t>–</w:t>
      </w:r>
      <w:r>
        <w:t xml:space="preserve"> так чтобы не наказать тех, кто стремится соответствовать стандартам. Он подчеркнул, что все несут о</w:t>
      </w:r>
      <w:r>
        <w:t>т</w:t>
      </w:r>
      <w:r>
        <w:t>ветственность за то, чтобы гарантировать понимание клиентами важности рег</w:t>
      </w:r>
      <w:r>
        <w:t>у</w:t>
      </w:r>
      <w:r>
        <w:t>лирования и за принятие ими обусловленны</w:t>
      </w:r>
      <w:r w:rsidR="00593E21">
        <w:t>х</w:t>
      </w:r>
      <w:r>
        <w:t xml:space="preserve"> этим дополнительных расходов.</w:t>
      </w:r>
    </w:p>
    <w:p w:rsidR="00B95DF9" w:rsidRDefault="00B95DF9" w:rsidP="00B95DF9">
      <w:pPr>
        <w:pStyle w:val="SingleTxt"/>
      </w:pPr>
      <w:r>
        <w:t>47.</w:t>
      </w:r>
      <w:r>
        <w:tab/>
        <w:t>Некоторые делегации подняли вопросы об имеющемся у Ассоциации Ме</w:t>
      </w:r>
      <w:r>
        <w:t>ж</w:t>
      </w:r>
      <w:r>
        <w:t>дународного кодекса поведения потенциале стать эффективным механизмом и о последствиях несоблюдения применимого законодательства. Отвечая на них, г</w:t>
      </w:r>
      <w:r w:rsidR="00D973EF">
        <w:noBreakHyphen/>
      </w:r>
      <w:r>
        <w:t>н</w:t>
      </w:r>
      <w:r w:rsidR="00D973EF">
        <w:t> </w:t>
      </w:r>
      <w:proofErr w:type="spellStart"/>
      <w:r>
        <w:t>Гибсон</w:t>
      </w:r>
      <w:proofErr w:type="spellEnd"/>
      <w:r>
        <w:t xml:space="preserve"> заявил, что Ассоциация пока находится на начальном этапе своего ввода в эксплуатацию и что сложные вопросы сертификации и надзора еще о</w:t>
      </w:r>
      <w:r>
        <w:t>б</w:t>
      </w:r>
      <w:r>
        <w:t xml:space="preserve">суждаются. Тем не </w:t>
      </w:r>
      <w:proofErr w:type="gramStart"/>
      <w:r>
        <w:t>менее</w:t>
      </w:r>
      <w:proofErr w:type="gramEnd"/>
      <w:r>
        <w:t xml:space="preserve"> он уверен в том, что внутри Ассоциации достигнут консенсус по поводу того, чтобы сделать из нее организацию, способную пост</w:t>
      </w:r>
      <w:r>
        <w:t>о</w:t>
      </w:r>
      <w:r>
        <w:t>ять за себя. Кроме того, представитель Ассоциаци</w:t>
      </w:r>
      <w:r w:rsidR="00E24112">
        <w:t xml:space="preserve">и напомнил, что она является </w:t>
      </w:r>
      <w:proofErr w:type="spellStart"/>
      <w:r w:rsidR="00E24112">
        <w:t>тре</w:t>
      </w:r>
      <w:r>
        <w:t>хопорной</w:t>
      </w:r>
      <w:proofErr w:type="spellEnd"/>
      <w:r>
        <w:t xml:space="preserve"> структурой, в состав которой входят также государства и гражда</w:t>
      </w:r>
      <w:r>
        <w:t>н</w:t>
      </w:r>
      <w:r>
        <w:t>ское общество. Существует договоренность, в соответствии с которой Ассоци</w:t>
      </w:r>
      <w:r>
        <w:t>а</w:t>
      </w:r>
      <w:r>
        <w:t>ция должна располагать эффективными механизмами надзора, возможностью и</w:t>
      </w:r>
      <w:r>
        <w:t>с</w:t>
      </w:r>
      <w:r>
        <w:t>ключать тех, кто не соответствует стандартам, и эффективными механизмами рассмотрения жалоб, также дающими доступ к средствам правовой защиты. Н</w:t>
      </w:r>
      <w:r>
        <w:t>е</w:t>
      </w:r>
      <w:r>
        <w:t>которые делегаты пояснили, что добровольные регулятивные базы и пути обр</w:t>
      </w:r>
      <w:r>
        <w:t>а</w:t>
      </w:r>
      <w:r>
        <w:t>щения за помощью не заменяют собой ни национальное законодательство и но</w:t>
      </w:r>
      <w:r>
        <w:t>р</w:t>
      </w:r>
      <w:r>
        <w:t>мы, которые имеют приоритет, ни уголовное разбирательство в случае целесоо</w:t>
      </w:r>
      <w:r>
        <w:t>б</w:t>
      </w:r>
      <w:r>
        <w:t xml:space="preserve">разности его проведения. Г-н </w:t>
      </w:r>
      <w:proofErr w:type="spellStart"/>
      <w:r>
        <w:t>Гибсон</w:t>
      </w:r>
      <w:proofErr w:type="spellEnd"/>
      <w:r>
        <w:t xml:space="preserve"> подтвердил, что большинство членов пре</w:t>
      </w:r>
      <w:r>
        <w:t>д</w:t>
      </w:r>
      <w:r>
        <w:t>ставляют Европу или Соединенные Штаты и что успех инициативы будет зав</w:t>
      </w:r>
      <w:r>
        <w:t>и</w:t>
      </w:r>
      <w:r>
        <w:t>сеть от способности Ассоциации охватить другие регионы. Исполнительный д</w:t>
      </w:r>
      <w:r>
        <w:t>и</w:t>
      </w:r>
      <w:r>
        <w:t xml:space="preserve">ректор Ассоциации добавил, что последние заявки на вступление поступили от </w:t>
      </w:r>
      <w:proofErr w:type="spellStart"/>
      <w:r>
        <w:t>незападных</w:t>
      </w:r>
      <w:proofErr w:type="spellEnd"/>
      <w:r>
        <w:t xml:space="preserve"> государств, что свидетельствует о повышении осведомленности и заинтересованности в других регионах.</w:t>
      </w:r>
    </w:p>
    <w:p w:rsidR="00B95DF9" w:rsidRDefault="00B95DF9" w:rsidP="00B95DF9">
      <w:pPr>
        <w:pStyle w:val="SingleTxt"/>
      </w:pPr>
      <w:r>
        <w:t>48.</w:t>
      </w:r>
      <w:r>
        <w:tab/>
      </w:r>
      <w:proofErr w:type="gramStart"/>
      <w:r>
        <w:t xml:space="preserve">Делегации запросили мнение г-на </w:t>
      </w:r>
      <w:proofErr w:type="spellStart"/>
      <w:r>
        <w:t>Гибсона</w:t>
      </w:r>
      <w:proofErr w:type="spellEnd"/>
      <w:r>
        <w:t xml:space="preserve"> о вопросах, касающихся испол</w:t>
      </w:r>
      <w:r>
        <w:t>ь</w:t>
      </w:r>
      <w:r>
        <w:t>зования частных военных и охранных компаний в сложных условиях, например: a) о случаях, когда иностранные граждане участвовали в военных действиях и совершали нарушения, однако пользовались дипломатическим иммунитетом; b)</w:t>
      </w:r>
      <w:r w:rsidR="00593E21">
        <w:t> </w:t>
      </w:r>
      <w:r>
        <w:t>о</w:t>
      </w:r>
      <w:r w:rsidR="00593E21">
        <w:t> </w:t>
      </w:r>
      <w:r>
        <w:t>случаях, когда частные военные и охранные компании отвечали за руково</w:t>
      </w:r>
      <w:r>
        <w:t>д</w:t>
      </w:r>
      <w:r>
        <w:t>ство центрами содержания под стражей и тюрьмами;</w:t>
      </w:r>
      <w:proofErr w:type="gramEnd"/>
      <w:r>
        <w:t xml:space="preserve"> c) о случаях, когда частные военные и охранные компании нанимались для охраны предприятий горнодоб</w:t>
      </w:r>
      <w:r>
        <w:t>ы</w:t>
      </w:r>
      <w:r>
        <w:t>вающей промышленности и совершали нарушения прав человека; d) о сообщ</w:t>
      </w:r>
      <w:r>
        <w:t>е</w:t>
      </w:r>
      <w:r>
        <w:t>ниях по поводу того, что плавучие склады оружия помещаются в открытое море для того, чтобы обойти национальные нормы и системы контроля; e) о найме граждан Южной Африки частными военными и охранными компаниями в нар</w:t>
      </w:r>
      <w:r>
        <w:t>у</w:t>
      </w:r>
      <w:r>
        <w:t>шение законодательства страны, в результате чего никакой южноафриканец не может оказывать иностранную военную помощь на законных основаниях; и f) об отсутствии отрицания или правдоподобных ответов на многочисленные утве</w:t>
      </w:r>
      <w:r>
        <w:t>р</w:t>
      </w:r>
      <w:r>
        <w:t>ждения о нарушениях прав человека, совершаемых частными военными и охра</w:t>
      </w:r>
      <w:r>
        <w:t>н</w:t>
      </w:r>
      <w:r>
        <w:t>ными компаниями.</w:t>
      </w:r>
    </w:p>
    <w:p w:rsidR="00B95DF9" w:rsidRDefault="00B95DF9" w:rsidP="00B95DF9">
      <w:pPr>
        <w:pStyle w:val="SingleTxt"/>
      </w:pPr>
      <w:r>
        <w:t>49.</w:t>
      </w:r>
      <w:r>
        <w:tab/>
        <w:t xml:space="preserve">Отвечая на вопросы, г-н </w:t>
      </w:r>
      <w:proofErr w:type="spellStart"/>
      <w:r>
        <w:t>Гибсон</w:t>
      </w:r>
      <w:proofErr w:type="spellEnd"/>
      <w:r>
        <w:t xml:space="preserve"> заявил, что представляемые им компании не пользуются дипломатическим иммунитетом и что они, их сотрудники и су</w:t>
      </w:r>
      <w:r>
        <w:t>б</w:t>
      </w:r>
      <w:r>
        <w:t>подрядчики полностью подотчетны в соответствии с внутренним и междунаро</w:t>
      </w:r>
      <w:r>
        <w:t>д</w:t>
      </w:r>
      <w:r>
        <w:t>ным законодательством. Он подтвердил, что некоторые компании действительно участвовали в руководстве местами содержания под стражей и что они должны подлежать регулированию и нести ответственность за все совершенные злоуп</w:t>
      </w:r>
      <w:r>
        <w:t>о</w:t>
      </w:r>
      <w:r>
        <w:t>требления. Он также допустил, что некоторые условия являются особенно пр</w:t>
      </w:r>
      <w:r>
        <w:t>о</w:t>
      </w:r>
      <w:r>
        <w:t>блематичными из-за отсутствия принципа верховенства права. Он подчеркнул, что во избежание злоупотреблений необходимо не только проводить переатт</w:t>
      </w:r>
      <w:r>
        <w:t>е</w:t>
      </w:r>
      <w:r>
        <w:t>стацию и подготовку сотрудников частных охранных компаний, но и давать кл</w:t>
      </w:r>
      <w:r>
        <w:t>и</w:t>
      </w:r>
      <w:r>
        <w:t>ентам понять, что они несут ответственность за предоставление подряда только надежным компаниям.</w:t>
      </w:r>
    </w:p>
    <w:p w:rsidR="00B95DF9" w:rsidRDefault="00B95DF9" w:rsidP="00B95DF9">
      <w:pPr>
        <w:pStyle w:val="SingleTxt"/>
      </w:pPr>
      <w:r>
        <w:t>50.</w:t>
      </w:r>
      <w:r>
        <w:tab/>
        <w:t xml:space="preserve">Г-н </w:t>
      </w:r>
      <w:proofErr w:type="spellStart"/>
      <w:r>
        <w:t>Гибсон</w:t>
      </w:r>
      <w:proofErr w:type="spellEnd"/>
      <w:r>
        <w:t xml:space="preserve"> разъяснил, что плавучие склады оружия помещаются в Инди</w:t>
      </w:r>
      <w:r>
        <w:t>й</w:t>
      </w:r>
      <w:r>
        <w:t>ский океан рядом с маршрутами судов, которым требуется защита, и не являются способом избежать контроля. Он заявил, что эти склады оружия подпадают под юрисдикцию государства, под флагом которого они находятся, однако выразил солидарность с мнением о том, что в некоторых из этих государств нормативные базы недостаточно надежны. Он отверг предположение о том, что сотрудники морских охранных компаний могут решить, что проще сначала выстрелить, а п</w:t>
      </w:r>
      <w:r>
        <w:t>о</w:t>
      </w:r>
      <w:r>
        <w:t>том задавать вопросы. Он пояснил, что компании придерживаются строгих пр</w:t>
      </w:r>
      <w:r>
        <w:t>а</w:t>
      </w:r>
      <w:r>
        <w:t>вил относительно применения силы, которые предписывают соразмерность и э</w:t>
      </w:r>
      <w:r>
        <w:t>с</w:t>
      </w:r>
      <w:r>
        <w:t>калацию принимаемых мер, что опыт показал, что предупредительных выстрелов достаточно для предупреждения и прекращения пиратских нападений и что мо</w:t>
      </w:r>
      <w:r>
        <w:t>р</w:t>
      </w:r>
      <w:r>
        <w:t>ские охранные компании не задерживают пиратов. Он также заявил, что нанятая в частном порядке вооруженная охрана на судах носит шлемы, оснащенные к</w:t>
      </w:r>
      <w:r>
        <w:t>а</w:t>
      </w:r>
      <w:r>
        <w:t>мерами, которые обеспечивают ей полную видимость и подотчетность за свои действия.</w:t>
      </w:r>
    </w:p>
    <w:p w:rsidR="00B95DF9" w:rsidRDefault="00B95DF9" w:rsidP="00B95DF9">
      <w:pPr>
        <w:pStyle w:val="SingleTxt"/>
      </w:pPr>
      <w:r>
        <w:t>51.</w:t>
      </w:r>
      <w:r>
        <w:tab/>
      </w:r>
      <w:proofErr w:type="gramStart"/>
      <w:r>
        <w:t>Что касается найма граждан Южной Африки частными военными и охра</w:t>
      </w:r>
      <w:r>
        <w:t>н</w:t>
      </w:r>
      <w:r>
        <w:t xml:space="preserve">ными компаниями, то г-н </w:t>
      </w:r>
      <w:proofErr w:type="spellStart"/>
      <w:r>
        <w:t>Гибсон</w:t>
      </w:r>
      <w:proofErr w:type="spellEnd"/>
      <w:r>
        <w:t xml:space="preserve"> согласился с тем, что Южная Африка должна получить взвешенный ответ по поводу того, почему до сих пор в контексте Д</w:t>
      </w:r>
      <w:r>
        <w:t>о</w:t>
      </w:r>
      <w:r>
        <w:t xml:space="preserve">кумента </w:t>
      </w:r>
      <w:proofErr w:type="spellStart"/>
      <w:r>
        <w:t>Монтрё</w:t>
      </w:r>
      <w:proofErr w:type="spellEnd"/>
      <w:r>
        <w:t xml:space="preserve"> или Международного кодекса поведения не было взято никакого обязательства не вербовать южноафриканцев в нарушение законодательства страны.</w:t>
      </w:r>
      <w:proofErr w:type="gramEnd"/>
      <w:r>
        <w:t xml:space="preserve"> Представитель Ассоциации Международного кодекса поведения по</w:t>
      </w:r>
      <w:r>
        <w:t>д</w:t>
      </w:r>
      <w:r>
        <w:t xml:space="preserve">держал это мнение. Относительно предположения о том, что частные охранные компании не отвечают на обвинения в нарушениях прав человека, г-н </w:t>
      </w:r>
      <w:proofErr w:type="spellStart"/>
      <w:r>
        <w:t>Гибсон</w:t>
      </w:r>
      <w:proofErr w:type="spellEnd"/>
      <w:r>
        <w:t xml:space="preserve"> з</w:t>
      </w:r>
      <w:r>
        <w:t>а</w:t>
      </w:r>
      <w:r>
        <w:t>явил, что компании, с которыми он имел дело, располагают механизмами ра</w:t>
      </w:r>
      <w:r>
        <w:t>с</w:t>
      </w:r>
      <w:r>
        <w:t>смотрения жалоб, которые включены в их деловые модели и позволяют пров</w:t>
      </w:r>
      <w:r>
        <w:t>о</w:t>
      </w:r>
      <w:r>
        <w:t xml:space="preserve">дить тщательные расследования утверждений о нарушении прав человека. Охранные компании приветствуют усилия гражданского общества и других субъектов по доведению подобных обвинений до их сведения в целях увеличения </w:t>
      </w:r>
      <w:proofErr w:type="spellStart"/>
      <w:r>
        <w:t>транспарентности</w:t>
      </w:r>
      <w:proofErr w:type="spellEnd"/>
      <w:r>
        <w:t xml:space="preserve"> и подотчетности своих расследований. С течением времени будут также созданы механизмы надзора под эгидой Ассоциации.</w:t>
      </w:r>
    </w:p>
    <w:p w:rsidR="00B95DF9" w:rsidRDefault="00B95DF9" w:rsidP="00B95DF9">
      <w:pPr>
        <w:pStyle w:val="SingleTxt"/>
      </w:pPr>
      <w:r>
        <w:t>52.</w:t>
      </w:r>
      <w:r>
        <w:tab/>
        <w:t>Одна делегация назвала Международный кодекс поведения джентльме</w:t>
      </w:r>
      <w:r>
        <w:t>н</w:t>
      </w:r>
      <w:r>
        <w:t>ским соглашением, а Ассоциацию – джентльменской ассоциацией и заявила, что считает их недостаточными для защиты пострадавших от нарушений прав чел</w:t>
      </w:r>
      <w:r>
        <w:t>о</w:t>
      </w:r>
      <w:r>
        <w:t>века. Указав на то, что система саморегулирования в банковской сфере оказалась недостаточной, она спросила, можно ли доверять процессам саморегулирования и имеется ли опыт удовлетворительного функционирования таких процессов. Г</w:t>
      </w:r>
      <w:r w:rsidR="00D40154">
        <w:noBreakHyphen/>
        <w:t>н </w:t>
      </w:r>
      <w:proofErr w:type="spellStart"/>
      <w:r>
        <w:t>Гибсон</w:t>
      </w:r>
      <w:proofErr w:type="spellEnd"/>
      <w:r>
        <w:t xml:space="preserve"> пояснил, что, по его мнению, с помощью добровольного регулиров</w:t>
      </w:r>
      <w:r>
        <w:t>а</w:t>
      </w:r>
      <w:r>
        <w:t xml:space="preserve">ния в секторе частных охранных услуг </w:t>
      </w:r>
      <w:proofErr w:type="gramStart"/>
      <w:r>
        <w:t>был</w:t>
      </w:r>
      <w:proofErr w:type="gramEnd"/>
      <w:r>
        <w:t xml:space="preserve"> достигнут значительный прогресс. В</w:t>
      </w:r>
      <w:r w:rsidR="00D40154">
        <w:t> </w:t>
      </w:r>
      <w:r>
        <w:t xml:space="preserve">короткие сроки и по инициативе </w:t>
      </w:r>
      <w:proofErr w:type="gramStart"/>
      <w:r>
        <w:t>отрасли было разработано два признанных ИСО международных стандарта и была</w:t>
      </w:r>
      <w:proofErr w:type="gramEnd"/>
      <w:r>
        <w:t xml:space="preserve"> создана Ассоциация. Тем не </w:t>
      </w:r>
      <w:proofErr w:type="gramStart"/>
      <w:r>
        <w:t>менее</w:t>
      </w:r>
      <w:proofErr w:type="gramEnd"/>
      <w:r>
        <w:t xml:space="preserve"> </w:t>
      </w:r>
      <w:r w:rsidR="00D40154">
        <w:t>г</w:t>
      </w:r>
      <w:r w:rsidR="00D40154">
        <w:noBreakHyphen/>
        <w:t>н </w:t>
      </w:r>
      <w:proofErr w:type="spellStart"/>
      <w:r>
        <w:t>Гибсон</w:t>
      </w:r>
      <w:proofErr w:type="spellEnd"/>
      <w:r>
        <w:t xml:space="preserve"> добавил, что охранные компании не будут возражать против межд</w:t>
      </w:r>
      <w:r>
        <w:t>у</w:t>
      </w:r>
      <w:r>
        <w:t>народного юридически обязательного документа при том важнейшем условии, что он создаст по-настоящему равные возможности для всех на глобальном уровне. Если это будет достигнуто, то документ будет пользоваться полной по</w:t>
      </w:r>
      <w:r>
        <w:t>д</w:t>
      </w:r>
      <w:r>
        <w:t xml:space="preserve">держкой отрасли. Некоторые делегации выразили г-ну </w:t>
      </w:r>
      <w:proofErr w:type="spellStart"/>
      <w:r>
        <w:t>Гибсону</w:t>
      </w:r>
      <w:proofErr w:type="spellEnd"/>
      <w:r>
        <w:t xml:space="preserve"> одобрение за это заявление, сославшись на свое мнение об обязательности глобальной и обяз</w:t>
      </w:r>
      <w:r>
        <w:t>а</w:t>
      </w:r>
      <w:r>
        <w:t>тельной конвенции, в которой были бы закреплены минимальные стандарты.</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94066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C.</w:t>
      </w:r>
      <w:r>
        <w:tab/>
        <w:t>Особенности регулирования деятельности частных охранных компаний на море</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B95DF9">
      <w:pPr>
        <w:pStyle w:val="SingleTxt"/>
      </w:pPr>
      <w:r>
        <w:t>53.</w:t>
      </w:r>
      <w:r>
        <w:tab/>
        <w:t>29 апреля 2015 года старший научный сотрудник по вопросам междунаро</w:t>
      </w:r>
      <w:r>
        <w:t>д</w:t>
      </w:r>
      <w:r>
        <w:t>ного права Университета Претории г-н Кейси-</w:t>
      </w:r>
      <w:proofErr w:type="spellStart"/>
      <w:r>
        <w:t>Маслен</w:t>
      </w:r>
      <w:proofErr w:type="spellEnd"/>
      <w:r>
        <w:t xml:space="preserve"> представил некоторые в</w:t>
      </w:r>
      <w:r>
        <w:t>о</w:t>
      </w:r>
      <w:r>
        <w:t>просы, касающиеся применения силы поставщиками частных охранных услуг на море, в частности в отношении операций по противодействию пиратству и их возможного влияния на потенциальную международную нормативную базу, р</w:t>
      </w:r>
      <w:r>
        <w:t>е</w:t>
      </w:r>
      <w:r>
        <w:t xml:space="preserve">гулирующую деятельность частных охранных компаний. </w:t>
      </w:r>
      <w:proofErr w:type="gramStart"/>
      <w:r>
        <w:t>Хотя Совет Безопасн</w:t>
      </w:r>
      <w:r>
        <w:t>о</w:t>
      </w:r>
      <w:r>
        <w:t xml:space="preserve">сти в своей резолюции 1851 (2008) ссылался на </w:t>
      </w:r>
      <w:r w:rsidR="00EE2CEC">
        <w:t>«</w:t>
      </w:r>
      <w:r>
        <w:t>применимые нормы междун</w:t>
      </w:r>
      <w:r>
        <w:t>а</w:t>
      </w:r>
      <w:r>
        <w:t>родного гуманитарного права</w:t>
      </w:r>
      <w:r w:rsidR="00EE2CEC">
        <w:t>»</w:t>
      </w:r>
      <w:r>
        <w:t>, операции и меры по противодействию пиратству осуществляются не в рамках права вооруженных конфликтов, а в рамках межд</w:t>
      </w:r>
      <w:r>
        <w:t>у</w:t>
      </w:r>
      <w:r>
        <w:t xml:space="preserve">народного права </w:t>
      </w:r>
      <w:proofErr w:type="spellStart"/>
      <w:r>
        <w:t>право</w:t>
      </w:r>
      <w:r w:rsidR="00593E21">
        <w:t>применения</w:t>
      </w:r>
      <w:proofErr w:type="spellEnd"/>
      <w:r>
        <w:t>, которое сочетает в себе международное пр</w:t>
      </w:r>
      <w:r>
        <w:t>а</w:t>
      </w:r>
      <w:r>
        <w:t>во прав человека и общие принципы внутреннего уголовного законодательства с международными стандартами в области уголовного правосудия.</w:t>
      </w:r>
      <w:proofErr w:type="gramEnd"/>
    </w:p>
    <w:p w:rsidR="00B95DF9" w:rsidRDefault="00B95DF9" w:rsidP="00B95DF9">
      <w:pPr>
        <w:pStyle w:val="SingleTxt"/>
      </w:pPr>
      <w:r>
        <w:t>54.</w:t>
      </w:r>
      <w:r>
        <w:tab/>
        <w:t xml:space="preserve">Объем использования вооруженных поставщиков частных охранных услуг для защиты коммерческих перевозок возрос за последние годы и стал важным фактором в деле сокращения числа успешных актов пиратства и вооруженного грабежа на море. </w:t>
      </w:r>
      <w:proofErr w:type="gramStart"/>
      <w:r>
        <w:t>Нахождение оружия на борту судна сопряжено с определенн</w:t>
      </w:r>
      <w:r>
        <w:t>ы</w:t>
      </w:r>
      <w:r>
        <w:t>ми рисками в плане физической безопасности членов экипажа и соблюдения об</w:t>
      </w:r>
      <w:r>
        <w:t>я</w:t>
      </w:r>
      <w:r>
        <w:t>зательств государства в соответствии с нормами международного права, каса</w:t>
      </w:r>
      <w:r>
        <w:t>ю</w:t>
      </w:r>
      <w:r>
        <w:t>щимися передачи обычных вооружений, а также в плане опасности безрассудн</w:t>
      </w:r>
      <w:r>
        <w:t>о</w:t>
      </w:r>
      <w:r>
        <w:t>го и чрезмерного применения персоналом силы, включая смертоносную силу, в условиях, где чрезвычайно сложно обеспечить эффективный мониторинг и надзор.</w:t>
      </w:r>
      <w:proofErr w:type="gramEnd"/>
    </w:p>
    <w:p w:rsidR="00B95DF9" w:rsidRDefault="00B95DF9" w:rsidP="00B95DF9">
      <w:pPr>
        <w:pStyle w:val="SingleTxt"/>
      </w:pPr>
      <w:r>
        <w:t>55.</w:t>
      </w:r>
      <w:r>
        <w:tab/>
        <w:t>Г-н Кейси-</w:t>
      </w:r>
      <w:proofErr w:type="spellStart"/>
      <w:r>
        <w:t>Маслен</w:t>
      </w:r>
      <w:proofErr w:type="spellEnd"/>
      <w:r>
        <w:t xml:space="preserve"> отметил, что при выполнении своих обязанностей с</w:t>
      </w:r>
      <w:r>
        <w:t>о</w:t>
      </w:r>
      <w:r>
        <w:t>трудники государственных правоохранительных органов должны применять силу только при необходимости и использовать только такую силу, которая необход</w:t>
      </w:r>
      <w:r>
        <w:t>и</w:t>
      </w:r>
      <w:r>
        <w:t>ма в сложившихся обстоятельствах и соразмерна угрозе</w:t>
      </w:r>
      <w:r w:rsidR="00C05694">
        <w:rPr>
          <w:rStyle w:val="FootnoteReference"/>
        </w:rPr>
        <w:footnoteReference w:id="14"/>
      </w:r>
      <w:r>
        <w:t>. Законное применение силы поставщиками частных охранных услуг на море ограничено актами, ос</w:t>
      </w:r>
      <w:r>
        <w:t>у</w:t>
      </w:r>
      <w:r>
        <w:t xml:space="preserve">ществляемыми для защиты любого лица от незаконного насилия. Сюда могут входить законные деяния, предполагающие применение силы при неизбежной угрозе </w:t>
      </w:r>
      <w:proofErr w:type="gramStart"/>
      <w:r>
        <w:t>нападения</w:t>
      </w:r>
      <w:proofErr w:type="gramEnd"/>
      <w:r>
        <w:t xml:space="preserve"> как в качестве самообороны, так и для защиты других. </w:t>
      </w:r>
      <w:proofErr w:type="gramStart"/>
      <w:r>
        <w:t>Опред</w:t>
      </w:r>
      <w:r>
        <w:t>е</w:t>
      </w:r>
      <w:r>
        <w:t>ление того, отвечает ли каждый отдельный случай применения силы на море правовым критериям, может вызывать определенные разногласия из-за отсу</w:t>
      </w:r>
      <w:r>
        <w:t>т</w:t>
      </w:r>
      <w:r>
        <w:t>ствия на национальном уровне подробного руководства относительно того, что является и не является законным, проводящего четкое различие между уровнями ответственности в соответствии с внутренним уголовным законодательством за оправданное применение силы в качестве самообороны, а также отсутствия ко</w:t>
      </w:r>
      <w:r>
        <w:t>н</w:t>
      </w:r>
      <w:r>
        <w:t>сенсуса по поводу того, какой национальный</w:t>
      </w:r>
      <w:proofErr w:type="gramEnd"/>
      <w:r>
        <w:t xml:space="preserve"> закон должен определять зако</w:t>
      </w:r>
      <w:r>
        <w:t>н</w:t>
      </w:r>
      <w:r>
        <w:t>ность.</w:t>
      </w:r>
    </w:p>
    <w:p w:rsidR="00B95DF9" w:rsidRDefault="00B95DF9" w:rsidP="00B95DF9">
      <w:pPr>
        <w:pStyle w:val="SingleTxt"/>
      </w:pPr>
      <w:r>
        <w:t>56.</w:t>
      </w:r>
      <w:r>
        <w:tab/>
      </w:r>
      <w:proofErr w:type="gramStart"/>
      <w:r>
        <w:t>Г-н Кейси-</w:t>
      </w:r>
      <w:proofErr w:type="spellStart"/>
      <w:r>
        <w:t>Маслен</w:t>
      </w:r>
      <w:proofErr w:type="spellEnd"/>
      <w:r>
        <w:t xml:space="preserve"> провел обзор отдельных национальных юрисдикций и стандартов, включая временное руководство Международной морской организ</w:t>
      </w:r>
      <w:r>
        <w:t>а</w:t>
      </w:r>
      <w:r>
        <w:t>ции (ИМО) от 2012 года</w:t>
      </w:r>
      <w:r w:rsidR="00C05694">
        <w:rPr>
          <w:rStyle w:val="FootnoteReference"/>
        </w:rPr>
        <w:footnoteReference w:id="15"/>
      </w:r>
      <w:r>
        <w:t>. Он также упомянул о находящемся на рассмотрении одного из судов Индии деле, в котором два итальянских моряка якобы открыли огонь по судну, убив находившихся на его борту двух индийских рыбаков;</w:t>
      </w:r>
      <w:proofErr w:type="gramEnd"/>
      <w:r>
        <w:t xml:space="preserve"> суд над двумя моряками недавно был отложен до июля 2015 года. </w:t>
      </w:r>
    </w:p>
    <w:p w:rsidR="00B95DF9" w:rsidRDefault="00B95DF9" w:rsidP="00B95DF9">
      <w:pPr>
        <w:pStyle w:val="SingleTxt"/>
      </w:pPr>
      <w:r>
        <w:t>57.</w:t>
      </w:r>
      <w:r>
        <w:tab/>
        <w:t>Г-н Кейси-</w:t>
      </w:r>
      <w:proofErr w:type="spellStart"/>
      <w:r>
        <w:t>Маслен</w:t>
      </w:r>
      <w:proofErr w:type="spellEnd"/>
      <w:r>
        <w:t xml:space="preserve"> отметил, что отсутствие подробного руководства относ</w:t>
      </w:r>
      <w:r>
        <w:t>и</w:t>
      </w:r>
      <w:r>
        <w:t>тельно применения силы на море ощущается очень остро и что этот пробел н</w:t>
      </w:r>
      <w:r>
        <w:t>е</w:t>
      </w:r>
      <w:r>
        <w:t>возможно заполнить в рамках предлагаемой международной нормативной базы. Он также сослался на руководящие принципы, разработанные Женевской акад</w:t>
      </w:r>
      <w:r>
        <w:t>е</w:t>
      </w:r>
      <w:r>
        <w:t>мией международного гуманитарного права и прав человека в 2012 году</w:t>
      </w:r>
      <w:r w:rsidR="00C05694">
        <w:rPr>
          <w:rStyle w:val="FootnoteReference"/>
        </w:rPr>
        <w:footnoteReference w:id="16"/>
      </w:r>
      <w:r>
        <w:t>.</w:t>
      </w:r>
    </w:p>
    <w:p w:rsidR="00B95DF9" w:rsidRDefault="00B95DF9" w:rsidP="00B95DF9">
      <w:pPr>
        <w:pStyle w:val="SingleTxt"/>
      </w:pPr>
      <w:r>
        <w:t>58.</w:t>
      </w:r>
      <w:r>
        <w:tab/>
        <w:t>Он отметил, что арест, представляющий собой основную функцию прав</w:t>
      </w:r>
      <w:r>
        <w:t>о</w:t>
      </w:r>
      <w:r>
        <w:t>охранительных органов, и сопутствующее ему полномочие применять силу для осуществления законного ареста с применением силы являются неотъемлемыми функциями государства. Он добавил, что на море эти полномочия в некоторой степени делегируются. Вне зависимости от того, получили ли поставщики час</w:t>
      </w:r>
      <w:r>
        <w:t>т</w:t>
      </w:r>
      <w:r>
        <w:t xml:space="preserve">ных охранных услуг эти полномочия, они могут столкнуться с необходимостью воспользоваться ими, что приводит к обеспокоенности по поводу обращения с подозреваемыми пиратами в местах содержания под стражей и </w:t>
      </w:r>
      <w:proofErr w:type="gramStart"/>
      <w:r>
        <w:t>соблюдения</w:t>
      </w:r>
      <w:proofErr w:type="gramEnd"/>
      <w:r>
        <w:t xml:space="preserve"> о</w:t>
      </w:r>
      <w:r>
        <w:t>с</w:t>
      </w:r>
      <w:r>
        <w:t xml:space="preserve">новных прав на </w:t>
      </w:r>
      <w:proofErr w:type="spellStart"/>
      <w:r>
        <w:t>хабеас</w:t>
      </w:r>
      <w:proofErr w:type="spellEnd"/>
      <w:r>
        <w:t xml:space="preserve"> корпус.</w:t>
      </w:r>
    </w:p>
    <w:p w:rsidR="00B95DF9" w:rsidRDefault="00B95DF9" w:rsidP="00B95DF9">
      <w:pPr>
        <w:pStyle w:val="SingleTxt"/>
      </w:pPr>
      <w:r>
        <w:t>59.</w:t>
      </w:r>
      <w:r>
        <w:tab/>
        <w:t>Наконец, следует отметить, что Совет Безопасности в своей резол</w:t>
      </w:r>
      <w:r>
        <w:t>ю</w:t>
      </w:r>
      <w:r>
        <w:t>ции</w:t>
      </w:r>
      <w:r w:rsidR="00593E21">
        <w:t> </w:t>
      </w:r>
      <w:r>
        <w:t>2184 (2014) признал, что решение проблемы пиратства нужно искать скорее на земле, чем на море. В заключение г-н Кейси-</w:t>
      </w:r>
      <w:proofErr w:type="spellStart"/>
      <w:r>
        <w:t>Маслен</w:t>
      </w:r>
      <w:proofErr w:type="spellEnd"/>
      <w:r>
        <w:t xml:space="preserve"> заявил, что до этого м</w:t>
      </w:r>
      <w:r>
        <w:t>о</w:t>
      </w:r>
      <w:r>
        <w:t>мента использование поставщиков частных охранных услуг, по всей видимости, будет продолжаться, несмотря на все опасности, которые оно за собой влечет.</w:t>
      </w:r>
    </w:p>
    <w:p w:rsidR="00B95DF9" w:rsidRDefault="00B95DF9" w:rsidP="00B95DF9">
      <w:pPr>
        <w:pStyle w:val="SingleTxt"/>
      </w:pPr>
      <w:r>
        <w:t>60.</w:t>
      </w:r>
      <w:r>
        <w:tab/>
        <w:t>Одна делегация отметила, что чрезвычайно важно признать работу, прод</w:t>
      </w:r>
      <w:r>
        <w:t>е</w:t>
      </w:r>
      <w:r>
        <w:t>ланную ИМО, и что Совету по правам человека не следует дублировать ее ус</w:t>
      </w:r>
      <w:r>
        <w:t>и</w:t>
      </w:r>
      <w:r>
        <w:t>лия. Другая делегация обратила особое внимание на первостепенную роль ИМО в контексте деятельности частных военных и охранных компаний на море и в этой связи подчеркнула актуальность временного руководства ИМО 2012 года. Некоторые делегации запросили более подробную информацию о временном р</w:t>
      </w:r>
      <w:r>
        <w:t>у</w:t>
      </w:r>
      <w:r>
        <w:t>ководстве ИМО и его выполнении. Одна из делегаций и Председатель-докладчик выразили сожаление по поводу отсутствия ИМО на данной сессии. Председ</w:t>
      </w:r>
      <w:r>
        <w:t>а</w:t>
      </w:r>
      <w:r>
        <w:t>тель-докладчик подтвердил, что он будет продолжать приглашать ИМО к сотру</w:t>
      </w:r>
      <w:r>
        <w:t>д</w:t>
      </w:r>
      <w:r>
        <w:t>ничеству с межправительственной рабочей группой открытого состава и пре</w:t>
      </w:r>
      <w:r>
        <w:t>д</w:t>
      </w:r>
      <w:r>
        <w:t>ставлять любую информацию, связанную с ее деятельностью. Он также призвал заинтересованных субъектов представлять актуальную информацию по данному вопросу для ее рассмотрения рабочей группой. Он отметил, что рабочая группа особо обеспокоена вопросами подотчетности и обеспечения сре</w:t>
      </w:r>
      <w:proofErr w:type="gramStart"/>
      <w:r>
        <w:t>дств пр</w:t>
      </w:r>
      <w:proofErr w:type="gramEnd"/>
      <w:r>
        <w:t xml:space="preserve">авовой защиты для пострадавших от нарушений прав человека, и просит разъяснений по любым делам, связанным с подобными проблемами, в частности с </w:t>
      </w:r>
      <w:r w:rsidR="00593E21">
        <w:t xml:space="preserve">вопросами о </w:t>
      </w:r>
      <w:r>
        <w:t>доказатель</w:t>
      </w:r>
      <w:r w:rsidR="00593E21">
        <w:t>ствах, касающихся</w:t>
      </w:r>
      <w:r>
        <w:t xml:space="preserve"> инцидентов на море.</w:t>
      </w:r>
    </w:p>
    <w:p w:rsidR="00B95DF9" w:rsidRDefault="00B95DF9" w:rsidP="00B95DF9">
      <w:pPr>
        <w:pStyle w:val="SingleTxt"/>
      </w:pPr>
      <w:r>
        <w:t>61.</w:t>
      </w:r>
      <w:r>
        <w:tab/>
        <w:t xml:space="preserve">Одна делегация задала вопрос о феномене расположенных за пределами территориальных вод </w:t>
      </w:r>
      <w:r w:rsidR="00EE2CEC">
        <w:t>«</w:t>
      </w:r>
      <w:r>
        <w:t>плавучих складов оружия</w:t>
      </w:r>
      <w:r w:rsidR="00EE2CEC">
        <w:t>»</w:t>
      </w:r>
      <w:r>
        <w:t xml:space="preserve">, которые уже своим названием указывают на возможность их превращения </w:t>
      </w:r>
      <w:proofErr w:type="gramStart"/>
      <w:r>
        <w:t>в</w:t>
      </w:r>
      <w:proofErr w:type="gramEnd"/>
      <w:r>
        <w:t xml:space="preserve"> </w:t>
      </w:r>
      <w:proofErr w:type="gramStart"/>
      <w:r>
        <w:t>своего</w:t>
      </w:r>
      <w:proofErr w:type="gramEnd"/>
      <w:r>
        <w:t xml:space="preserve"> рода неофициальный вое</w:t>
      </w:r>
      <w:r>
        <w:t>н</w:t>
      </w:r>
      <w:r>
        <w:t xml:space="preserve">ный корабль. Она также описала ситуацию, при которой вооруженные торговые суда будут входить в территориальные воды и получать временные разрешения на применение огнестрельного оружия; когда данная система будет введена в действие, суда перестанут заходить в эти </w:t>
      </w:r>
      <w:proofErr w:type="gramStart"/>
      <w:r>
        <w:t>воды</w:t>
      </w:r>
      <w:proofErr w:type="gramEnd"/>
      <w:r>
        <w:t xml:space="preserve"> и станут плавучими складами оружия за их пределами. Та же делегация спросила, каким образом будут р</w:t>
      </w:r>
      <w:r>
        <w:t>е</w:t>
      </w:r>
      <w:r>
        <w:t>шаться проблемы, связанные с государством флага (в тех случаях, когда испол</w:t>
      </w:r>
      <w:r>
        <w:t>ь</w:t>
      </w:r>
      <w:r>
        <w:t>зуются флаги государств, предоставляющих наибольшие льготы). Некоторые д</w:t>
      </w:r>
      <w:r>
        <w:t>е</w:t>
      </w:r>
      <w:r>
        <w:t>легации запросили информацию о тенденциях пиратства и затронутых им реги</w:t>
      </w:r>
      <w:r>
        <w:t>о</w:t>
      </w:r>
      <w:r>
        <w:t>нах мира. Одна делегация задала вопрос о том, каким образом национальное з</w:t>
      </w:r>
      <w:r>
        <w:t>а</w:t>
      </w:r>
      <w:r>
        <w:t>конодательство может решить проблему экстерриториального характера комп</w:t>
      </w:r>
      <w:r>
        <w:t>а</w:t>
      </w:r>
      <w:r>
        <w:t>ний в данном секторе в отсутствие юридически обязательного документа. Другая делегация признала другие процессы, такие как Контактная группа по борьбе с пиратством у берегов Сомали.</w:t>
      </w:r>
    </w:p>
    <w:p w:rsidR="00B95DF9" w:rsidRDefault="00B95DF9" w:rsidP="00B95DF9">
      <w:pPr>
        <w:pStyle w:val="SingleTxt"/>
      </w:pPr>
      <w:r>
        <w:t>62.</w:t>
      </w:r>
      <w:r>
        <w:tab/>
        <w:t xml:space="preserve">Отвечая на предложение употреблять вместо термина </w:t>
      </w:r>
      <w:r w:rsidR="00EE2CEC">
        <w:t>«</w:t>
      </w:r>
      <w:r>
        <w:t>плавучий арсенал</w:t>
      </w:r>
      <w:r w:rsidR="00EE2CEC">
        <w:t>»</w:t>
      </w:r>
      <w:r>
        <w:t xml:space="preserve"> термины </w:t>
      </w:r>
      <w:r w:rsidR="00EE2CEC">
        <w:t>«</w:t>
      </w:r>
      <w:r>
        <w:t>плавучий склад оружия</w:t>
      </w:r>
      <w:r w:rsidR="00EE2CEC">
        <w:t>»</w:t>
      </w:r>
      <w:r>
        <w:t xml:space="preserve"> или </w:t>
      </w:r>
      <w:r w:rsidR="00EE2CEC">
        <w:t>«</w:t>
      </w:r>
      <w:r>
        <w:t>плавучий сейф</w:t>
      </w:r>
      <w:r w:rsidR="00EE2CEC">
        <w:t>»</w:t>
      </w:r>
      <w:r>
        <w:t>, г-н Кейси-</w:t>
      </w:r>
      <w:proofErr w:type="spellStart"/>
      <w:r>
        <w:t>Маслен</w:t>
      </w:r>
      <w:proofErr w:type="spellEnd"/>
      <w:r>
        <w:t xml:space="preserve"> с</w:t>
      </w:r>
      <w:r>
        <w:t>о</w:t>
      </w:r>
      <w:r>
        <w:t>гласился с тем, что подобные термины могут быть более подходящими, и пр</w:t>
      </w:r>
      <w:r>
        <w:t>и</w:t>
      </w:r>
      <w:r>
        <w:t>знал риски, связанные с их использованием. Он пояснил, что они были созданы в попытке решить проблему оружия, выбрасываемого за борт, когда судам нужно было войти в порты государств, не разрешающих ввозить оружие в свои терр</w:t>
      </w:r>
      <w:r>
        <w:t>и</w:t>
      </w:r>
      <w:r>
        <w:t>ториальные воды. Он также признал трудности, связанные с флагами государств, предоставляющих наибольшие льготы, и с судами, не вывешивающими флага, и указал, что, возможно, общий принцип обязанности государства флага</w:t>
      </w:r>
      <w:r w:rsidR="00C40D81">
        <w:rPr>
          <w:rStyle w:val="FootnoteReference"/>
        </w:rPr>
        <w:footnoteReference w:id="17"/>
      </w:r>
      <w:r>
        <w:t xml:space="preserve"> необх</w:t>
      </w:r>
      <w:r>
        <w:t>о</w:t>
      </w:r>
      <w:r>
        <w:t>димо рассмотреть с точки зрения реалий операций по противодействию пира</w:t>
      </w:r>
      <w:r>
        <w:t>т</w:t>
      </w:r>
      <w:r>
        <w:t>ству. Далее г-н Кейси-</w:t>
      </w:r>
      <w:proofErr w:type="spellStart"/>
      <w:r>
        <w:t>Маслен</w:t>
      </w:r>
      <w:proofErr w:type="spellEnd"/>
      <w:r>
        <w:t xml:space="preserve"> поставил под сомнение профессиональную пр</w:t>
      </w:r>
      <w:r>
        <w:t>и</w:t>
      </w:r>
      <w:r>
        <w:t>годность некоторых компаний, оказывающи</w:t>
      </w:r>
      <w:r w:rsidR="00D973EF">
        <w:t>х услуги вооруженной охраны. Он </w:t>
      </w:r>
      <w:r>
        <w:t>отметил, что временное руководство ИМО широко цитируется, хотя, по его мнению, в нем недостаточно подробно описываются те случаи, в которых прим</w:t>
      </w:r>
      <w:r>
        <w:t>е</w:t>
      </w:r>
      <w:r>
        <w:t>нение силы законно. Он сослался на текущее разбирательство в Индии и на в</w:t>
      </w:r>
      <w:r>
        <w:t>о</w:t>
      </w:r>
      <w:r>
        <w:t xml:space="preserve">просы пределов самообороны. </w:t>
      </w:r>
    </w:p>
    <w:p w:rsidR="00B95DF9" w:rsidRDefault="00B95DF9" w:rsidP="00B95DF9">
      <w:pPr>
        <w:pStyle w:val="SingleTxt"/>
      </w:pPr>
      <w:r>
        <w:t>63.</w:t>
      </w:r>
      <w:r>
        <w:tab/>
        <w:t>Г-н Кейси-</w:t>
      </w:r>
      <w:proofErr w:type="spellStart"/>
      <w:r>
        <w:t>Маслен</w:t>
      </w:r>
      <w:proofErr w:type="spellEnd"/>
      <w:r>
        <w:t xml:space="preserve"> отметил, что Контактная группа по борьбе с пиратством у берегов Сомали призвала к принятию законов, разрешающих судебные пресл</w:t>
      </w:r>
      <w:r>
        <w:t>е</w:t>
      </w:r>
      <w:r>
        <w:t xml:space="preserve">дования в свете практики </w:t>
      </w:r>
      <w:r w:rsidR="00EE2CEC">
        <w:t>«</w:t>
      </w:r>
      <w:r>
        <w:t>поимки и освобождения</w:t>
      </w:r>
      <w:r w:rsidR="00EE2CEC">
        <w:t>»</w:t>
      </w:r>
      <w:r>
        <w:t>. Он пояснил, что руковод</w:t>
      </w:r>
      <w:r>
        <w:t>я</w:t>
      </w:r>
      <w:r>
        <w:t xml:space="preserve">щие принципы Женевской академии международного гуманитарного права и прав человека были разработаны в качестве вклада в обсуждение, и отметил, что существующее руководство не отличается достаточной подробностью в вопросе самообороны. </w:t>
      </w:r>
      <w:proofErr w:type="gramStart"/>
      <w:r>
        <w:t>Он заявил, что спрос на услуги вооруженной охраны появился под влиянием реальной угрозы, особенно в Аденском заливе, Гвинейском заливе и Южно-Китайском море, и указал, что с более подробной информацией можно ознакомиться в докладах ИМО о пиратстве</w:t>
      </w:r>
      <w:r w:rsidR="00C40D81">
        <w:rPr>
          <w:rStyle w:val="FootnoteReference"/>
        </w:rPr>
        <w:footnoteReference w:id="18"/>
      </w:r>
      <w:r>
        <w:t>. Пиратство является внутренним преступлением, тогда как национальное законодательство может поощрять гос</w:t>
      </w:r>
      <w:r>
        <w:t>у</w:t>
      </w:r>
      <w:r>
        <w:t>дарства к осуществлению своей юрисдикции в открытом море.</w:t>
      </w:r>
      <w:proofErr w:type="gramEnd"/>
      <w:r>
        <w:t xml:space="preserve"> Соединенное К</w:t>
      </w:r>
      <w:r>
        <w:t>о</w:t>
      </w:r>
      <w:r>
        <w:t>ролевство пояснило, что оно предприняло определенные шаги для решения пр</w:t>
      </w:r>
      <w:r>
        <w:t>о</w:t>
      </w:r>
      <w:r>
        <w:t>блемы пиратства и что его временное руководство предназначено для использ</w:t>
      </w:r>
      <w:r>
        <w:t>о</w:t>
      </w:r>
      <w:r>
        <w:t>вания кораблями под британским флагом, а не для осуществления юрисдикции в отношении других судов. Наконец, г-н Кейси-</w:t>
      </w:r>
      <w:proofErr w:type="spellStart"/>
      <w:r>
        <w:t>Маслен</w:t>
      </w:r>
      <w:proofErr w:type="spellEnd"/>
      <w:r>
        <w:t xml:space="preserve"> отметил, что вопросы д</w:t>
      </w:r>
      <w:r>
        <w:t>о</w:t>
      </w:r>
      <w:r>
        <w:t xml:space="preserve">казательности и обеспечение соблюдения </w:t>
      </w:r>
      <w:proofErr w:type="gramStart"/>
      <w:r>
        <w:t>основного</w:t>
      </w:r>
      <w:proofErr w:type="gramEnd"/>
      <w:r>
        <w:t xml:space="preserve"> права на </w:t>
      </w:r>
      <w:proofErr w:type="spellStart"/>
      <w:r>
        <w:t>хабеас</w:t>
      </w:r>
      <w:proofErr w:type="spellEnd"/>
      <w:r>
        <w:t xml:space="preserve"> корпус представляют определенные трудности.</w:t>
      </w:r>
    </w:p>
    <w:p w:rsidR="00B95DF9" w:rsidRDefault="00B95DF9" w:rsidP="00B95DF9">
      <w:pPr>
        <w:pStyle w:val="SingleTxt"/>
      </w:pPr>
      <w:r>
        <w:t>64.</w:t>
      </w:r>
      <w:r>
        <w:tab/>
        <w:t>Норвегия представила дополнительную подробную информацию о своем национальном законодательстве и соответствующих нормах. Использование частных охранных компаний на борту судов, зарегистрированных в Норвегии, регулируется не законом о частных охранных компаниях, а Положением 972/2004 о безопасности судов. В 2011 году в него были включены конкретные правила относительно использования частных охранных компаний судовладельцами. В</w:t>
      </w:r>
      <w:r w:rsidR="00D40154">
        <w:t> </w:t>
      </w:r>
      <w:r>
        <w:t>положении не содержится требований, предъявляемых к самим охранным ко</w:t>
      </w:r>
      <w:r>
        <w:t>м</w:t>
      </w:r>
      <w:r>
        <w:t>паниям. Скорее оно касается обязанности судовладельцев уведомлять норве</w:t>
      </w:r>
      <w:r>
        <w:t>ж</w:t>
      </w:r>
      <w:r>
        <w:t>ские власти о том, когда и почему требуются частные охранные услуги, и пров</w:t>
      </w:r>
      <w:r>
        <w:t>е</w:t>
      </w:r>
      <w:r>
        <w:t>дения оценки соответствующей компании, включая ее внутренние процедуры вербовки и подготовки сотрудников и ее регламент применения оружия. При о</w:t>
      </w:r>
      <w:r>
        <w:t>т</w:t>
      </w:r>
      <w:r>
        <w:t xml:space="preserve">боре и использовании вооруженной охраны на борту судовладельцы должны учитывать руководящие принципы ИМО. Норвежские власти </w:t>
      </w:r>
      <w:proofErr w:type="gramStart"/>
      <w:r>
        <w:t>компетентны</w:t>
      </w:r>
      <w:proofErr w:type="gramEnd"/>
      <w:r>
        <w:t xml:space="preserve"> пр</w:t>
      </w:r>
      <w:r>
        <w:t>и</w:t>
      </w:r>
      <w:r>
        <w:t>нимать решение о том, что определенные частные охранные компании не могут использоваться судовладельцами страны. В положении также говорится о том, когда может использоваться вооруженная охрана, как должно храниться оружие на борту и каковы процедуры применения огнестрельного оружия. В 2011 году Положение 904/2009, касающееся вооружений, было дополнено статьей, регул</w:t>
      </w:r>
      <w:r>
        <w:t>и</w:t>
      </w:r>
      <w:r>
        <w:t>рующей обстоятельства, при которых суда, зарегистрированные в Норвегии, м</w:t>
      </w:r>
      <w:r>
        <w:t>о</w:t>
      </w:r>
      <w:r>
        <w:t>гут хранить на борту оружие от имени частных охранных компаний. Подобное хранение разрешается только в целях защиты судна от актов терроризма или п</w:t>
      </w:r>
      <w:r>
        <w:t>и</w:t>
      </w:r>
      <w:r>
        <w:t>ратства и требует получения разрешения норвежской полиции. Такое разрешение выдается только судам, сертифицированным в соответствии с Международным кодексом по охране судов и портовых средств ИМО, и действует исключительно при входе в определенные географические районы, прохождении по ним и вых</w:t>
      </w:r>
      <w:r>
        <w:t>о</w:t>
      </w:r>
      <w:r>
        <w:t>де из них. За этим положением также последовали требования к представлению отчетности в соответствии с руководящими принципами ИМО, включая доклад Норвежской национальной службе уголовных расследований</w:t>
      </w:r>
      <w:r w:rsidR="00392F6A">
        <w:t>, в тех случаях</w:t>
      </w:r>
      <w:r>
        <w:t>, к</w:t>
      </w:r>
      <w:r>
        <w:t>о</w:t>
      </w:r>
      <w:r>
        <w:t>гда есть основания полагать, что применение силы повлекло за собой телесные повреждения или смерть. О каждом случае применения огнестрельного оружия необходимо уведомлять Морское управление.</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94066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D.</w:t>
      </w:r>
      <w:r>
        <w:tab/>
        <w:t>Использование услуг частных охранных компаний Организацией Объединенных Наций</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B95DF9">
      <w:pPr>
        <w:pStyle w:val="SingleTxt"/>
      </w:pPr>
      <w:r>
        <w:t>65.</w:t>
      </w:r>
      <w:r>
        <w:tab/>
        <w:t>29 апреля 2015 года заместитель Генерального секретаря Организации Об</w:t>
      </w:r>
      <w:r>
        <w:t>ъ</w:t>
      </w:r>
      <w:r>
        <w:t>единенных Наций по вопросам охраны и безопасности рассказал об основных характеристиках нынешнего глобального контекста безопасности. Он сослался на недавно подготовленный доклад о безопасности и защите гуманитарного пе</w:t>
      </w:r>
      <w:r>
        <w:t>р</w:t>
      </w:r>
      <w:r>
        <w:t>сонала и защите персонала Организации Объединенных Наций (A/69/406), в к</w:t>
      </w:r>
      <w:r>
        <w:t>о</w:t>
      </w:r>
      <w:r>
        <w:t>тором говорится, что персонал несет службу во все более опасных условиях и сталкивается с рядом угроз, с которыми никогда ранее не сталкивался. Он доб</w:t>
      </w:r>
      <w:r>
        <w:t>а</w:t>
      </w:r>
      <w:r>
        <w:t>вил, что существующие опасности усугубляются размыванием границ между уголовными и экстремистскими группировками, расширением последних и поя</w:t>
      </w:r>
      <w:r>
        <w:t>в</w:t>
      </w:r>
      <w:r>
        <w:t>лением новых экстремистских группировок. В этом контексте Организация Об</w:t>
      </w:r>
      <w:r>
        <w:t>ъ</w:t>
      </w:r>
      <w:r>
        <w:t>единенных Наций в качестве крайней меры наняла в некоторых местах службы вооруженные частные охранные компании в попытке укрепить охрану и безопа</w:t>
      </w:r>
      <w:r>
        <w:t>с</w:t>
      </w:r>
      <w:r>
        <w:t>ность своих сотрудников и дать Организации возможность выполнять свои пр</w:t>
      </w:r>
      <w:r>
        <w:t>о</w:t>
      </w:r>
      <w:r>
        <w:t>граммы и мандаты в условиях повышенного риска. В частности это касается особо опасных районов, где еще не развернуты силы по поддержанию мира, но уже существуют насущные политические и</w:t>
      </w:r>
      <w:r w:rsidR="007B6A98">
        <w:t>ли гуманитарные потребности. До </w:t>
      </w:r>
      <w:r>
        <w:t>настоящего времени Организация Объединенных Наций заключила контракты на оказание частных услуг вооруженной охраны в трех странах, где созданы м</w:t>
      </w:r>
      <w:r>
        <w:t>и</w:t>
      </w:r>
      <w:r>
        <w:t xml:space="preserve">ротворческие и политические миссии (Афганистан, Гаити и Сомали), </w:t>
      </w:r>
      <w:proofErr w:type="gramStart"/>
      <w:r>
        <w:t>из</w:t>
      </w:r>
      <w:proofErr w:type="gramEnd"/>
      <w:r>
        <w:t xml:space="preserve"> более </w:t>
      </w:r>
      <w:proofErr w:type="gramStart"/>
      <w:r>
        <w:t>чем</w:t>
      </w:r>
      <w:proofErr w:type="gramEnd"/>
      <w:r>
        <w:t xml:space="preserve"> 170 государств, в которых имеется ее присутствие.</w:t>
      </w:r>
    </w:p>
    <w:p w:rsidR="00B95DF9" w:rsidRDefault="00B95DF9" w:rsidP="00B95DF9">
      <w:pPr>
        <w:pStyle w:val="SingleTxt"/>
      </w:pPr>
      <w:r>
        <w:t>66.</w:t>
      </w:r>
      <w:r>
        <w:tab/>
        <w:t>Заместитель Генерального секретаря подчеркнул, что при принятии реш</w:t>
      </w:r>
      <w:r>
        <w:t>е</w:t>
      </w:r>
      <w:r>
        <w:t>ния о целесообразности использования частных услуг вооруженной охраны О</w:t>
      </w:r>
      <w:r>
        <w:t>р</w:t>
      </w:r>
      <w:r>
        <w:t xml:space="preserve">ганизация Объединенных Наций руководствуется </w:t>
      </w:r>
      <w:r w:rsidR="00EE2CEC">
        <w:t>«</w:t>
      </w:r>
      <w:r>
        <w:t>принципом крайней меры</w:t>
      </w:r>
      <w:r w:rsidR="00EE2CEC">
        <w:t>»</w:t>
      </w:r>
      <w:r>
        <w:t>. Он добавил, что частные услуги вооруженной охраны используются только в и</w:t>
      </w:r>
      <w:r>
        <w:t>с</w:t>
      </w:r>
      <w:r>
        <w:t xml:space="preserve">ключительных случаях, в отсутствие других вариантов, в </w:t>
      </w:r>
      <w:proofErr w:type="gramStart"/>
      <w:r>
        <w:t>частности</w:t>
      </w:r>
      <w:proofErr w:type="gramEnd"/>
      <w:r>
        <w:t xml:space="preserve"> когда прав</w:t>
      </w:r>
      <w:r>
        <w:t>и</w:t>
      </w:r>
      <w:r>
        <w:t>тельство страны пребывания и другие государства-члены не предоставляют охранные услуги или когда не имеется специалистов и сотрудников по вопросам безопасности из системы Организации Объединенных Наций. Этот принцип з</w:t>
      </w:r>
      <w:r>
        <w:t>а</w:t>
      </w:r>
      <w:r>
        <w:t>креплен в Политике Организации Объединенных Наций относительно частных компаний, оказывающих услуги вооруженной охраны</w:t>
      </w:r>
      <w:r w:rsidR="00C40D81">
        <w:rPr>
          <w:rStyle w:val="FootnoteReference"/>
        </w:rPr>
        <w:footnoteReference w:id="19"/>
      </w:r>
      <w:r>
        <w:t>, где разъясняются фун</w:t>
      </w:r>
      <w:r>
        <w:t>к</w:t>
      </w:r>
      <w:r>
        <w:t>ции и обязанности, связанные с рекомендацией и утверждением использования конкретных компаний, а также излагаются критерии отбора наряду с требован</w:t>
      </w:r>
      <w:r>
        <w:t>и</w:t>
      </w:r>
      <w:r>
        <w:t xml:space="preserve">ями к проверке и подготовке персонала, работающего по контракту. В ней также описываются функции и обязанности, связанные с управлением и надзором. </w:t>
      </w:r>
    </w:p>
    <w:p w:rsidR="00B95DF9" w:rsidRDefault="00B95DF9" w:rsidP="00B95DF9">
      <w:pPr>
        <w:pStyle w:val="SingleTxt"/>
      </w:pPr>
      <w:r>
        <w:t>67.</w:t>
      </w:r>
      <w:r>
        <w:tab/>
        <w:t>Вышеупомянутая политика Организации Объединенных Наций сопрово</w:t>
      </w:r>
      <w:r>
        <w:t>ж</w:t>
      </w:r>
      <w:r>
        <w:t>далась Руководством по использованию услуг вооруженной охраны, оказыва</w:t>
      </w:r>
      <w:r>
        <w:t>е</w:t>
      </w:r>
      <w:r>
        <w:t>мых частными охранными компаниями</w:t>
      </w:r>
      <w:r w:rsidR="00C40D81">
        <w:rPr>
          <w:rStyle w:val="FootnoteReference"/>
        </w:rPr>
        <w:footnoteReference w:id="20"/>
      </w:r>
      <w:r>
        <w:t>, в котором уточнялись функции и об</w:t>
      </w:r>
      <w:r>
        <w:t>я</w:t>
      </w:r>
      <w:r>
        <w:t xml:space="preserve">занности, связанные с определением того, когда может быть </w:t>
      </w:r>
      <w:proofErr w:type="gramStart"/>
      <w:r>
        <w:t>целесообразно</w:t>
      </w:r>
      <w:proofErr w:type="gramEnd"/>
      <w:r>
        <w:t xml:space="preserve"> и</w:t>
      </w:r>
      <w:r>
        <w:t>с</w:t>
      </w:r>
      <w:r>
        <w:t>пользовать частные услуги вооруженной охраны. В них закреплены конкретные критерии для того, чтобы рекомендовать использование отдельных частных ко</w:t>
      </w:r>
      <w:r>
        <w:t>м</w:t>
      </w:r>
      <w:r>
        <w:t>паний, оказывающих услуги вооруженной охраны на основе последних оценок рисков, а также для того, чтобы определить, какие типы услуг можно передать на подряд подобным компаниям. В Руководстве также содержится дополнительная подробная информация, в том числе касающаяся требований к проверке и подг</w:t>
      </w:r>
      <w:r>
        <w:t>о</w:t>
      </w:r>
      <w:r>
        <w:t>товке персонала, работающего по контракту.</w:t>
      </w:r>
    </w:p>
    <w:p w:rsidR="00B95DF9" w:rsidRDefault="00B95DF9" w:rsidP="00B95DF9">
      <w:pPr>
        <w:pStyle w:val="SingleTxt"/>
      </w:pPr>
      <w:r>
        <w:t>68.</w:t>
      </w:r>
      <w:r>
        <w:tab/>
        <w:t>Заместитель Генерального секретаря напомнил, что соблюдение норм ме</w:t>
      </w:r>
      <w:r>
        <w:t>ж</w:t>
      </w:r>
      <w:r>
        <w:t>дународного права прав человека и международного гуманитарного права входит в число основных ценностей Организации Объединенных Наций, включая Д</w:t>
      </w:r>
      <w:r>
        <w:t>е</w:t>
      </w:r>
      <w:r>
        <w:t>партамент по вопросам охраны и безопасности. Он принимает все необходимые меры в этой связи, включая сотрудничество с другими департаментами, отдел</w:t>
      </w:r>
      <w:r>
        <w:t>е</w:t>
      </w:r>
      <w:r>
        <w:t>ниями, а также учреждениями, фондами и программами Организации Объед</w:t>
      </w:r>
      <w:r>
        <w:t>и</w:t>
      </w:r>
      <w:r>
        <w:t xml:space="preserve">ненных Наций в области разработки различных стратегий, процедур, стандартов и других механизмов в соответствии с инициативой </w:t>
      </w:r>
      <w:r w:rsidR="00EE2CEC">
        <w:t>«</w:t>
      </w:r>
      <w:r>
        <w:t>Верховенство прав челов</w:t>
      </w:r>
      <w:r>
        <w:t>е</w:t>
      </w:r>
      <w:r>
        <w:t>ка</w:t>
      </w:r>
      <w:r w:rsidR="00EE2CEC">
        <w:t>»</w:t>
      </w:r>
      <w:r>
        <w:t>. Данная инициатива направлена на актуализацию вопросов прав человека во всех мероприятиях и программах Организации Объединенных Наций и на соде</w:t>
      </w:r>
      <w:r>
        <w:t>й</w:t>
      </w:r>
      <w:r>
        <w:t xml:space="preserve">ствие участию государств-членов в решении проблем прав человека. </w:t>
      </w:r>
      <w:proofErr w:type="gramStart"/>
      <w:r>
        <w:t>Пособие по усиленной и объединенной системе обеспечения безопасности в Организации Объединенных Наций и связанные с ним руководящие принципы предписывают заключать контракты только с теми частными компаниями, предоставляющими услуги вооруженной охраны, которые достигли наивысшего уровня добросовес</w:t>
      </w:r>
      <w:r>
        <w:t>т</w:t>
      </w:r>
      <w:r>
        <w:t>ности, компетентности и эффективности своей деятельности в соответствии с принятыми на международном уровне стандартами и принципами в области прав человека, и блокировать контракты с теми предприятиями</w:t>
      </w:r>
      <w:proofErr w:type="gramEnd"/>
      <w:r>
        <w:t>, которым были вын</w:t>
      </w:r>
      <w:r>
        <w:t>е</w:t>
      </w:r>
      <w:r>
        <w:t xml:space="preserve">сены обвинительные </w:t>
      </w:r>
      <w:proofErr w:type="gramStart"/>
      <w:r>
        <w:t>приговоры</w:t>
      </w:r>
      <w:proofErr w:type="gramEnd"/>
      <w:r>
        <w:t xml:space="preserve"> или </w:t>
      </w:r>
      <w:proofErr w:type="gramStart"/>
      <w:r>
        <w:t>которые</w:t>
      </w:r>
      <w:proofErr w:type="gramEnd"/>
      <w:r>
        <w:t xml:space="preserve"> были замешаны в нарушениях прав человека либо уголовных правонарушениях. В то же время, наиболее результ</w:t>
      </w:r>
      <w:r>
        <w:t>а</w:t>
      </w:r>
      <w:r>
        <w:t>тивным способом обеспечения соблюдения международных норм в области прав человека и гуманитарных принципов является надлежащее осуществление п</w:t>
      </w:r>
      <w:r>
        <w:t>о</w:t>
      </w:r>
      <w:r>
        <w:t xml:space="preserve">добной политики и ее руководящих указаний. </w:t>
      </w:r>
    </w:p>
    <w:p w:rsidR="00B95DF9" w:rsidRDefault="00B95DF9" w:rsidP="00B95DF9">
      <w:pPr>
        <w:pStyle w:val="SingleTxt"/>
      </w:pPr>
      <w:r>
        <w:t>69.</w:t>
      </w:r>
      <w:r>
        <w:tab/>
        <w:t>Заместитель Генерального секретаря с удовлетворением отметил всеобъе</w:t>
      </w:r>
      <w:r>
        <w:t>м</w:t>
      </w:r>
      <w:r>
        <w:t>лющий характер доклада Рабочей группы по вопросу о наемниках Генеральной Ассамблее (A/69/338) и выразил искреннюю признательность за возможность выразить мнения по поводу его содержания. Он упомянул о мерах, принятых во исполнение одной из содержащихся в докладе рекомендаций, а именно каса</w:t>
      </w:r>
      <w:r>
        <w:t>ю</w:t>
      </w:r>
      <w:r>
        <w:t>щейся распространения действия Пособия по усиленной и объединенной сист</w:t>
      </w:r>
      <w:r>
        <w:t>е</w:t>
      </w:r>
      <w:r>
        <w:t xml:space="preserve">ме обеспечения безопасности в Организации Объединенных Наций на частные компании, оказывающие услуги невооруженной охраны. В соответствии с этой рекомендацией </w:t>
      </w:r>
      <w:proofErr w:type="spellStart"/>
      <w:r>
        <w:t>Межучрежденческая</w:t>
      </w:r>
      <w:proofErr w:type="spellEnd"/>
      <w:r>
        <w:t xml:space="preserve"> сеть по вопросам обеспечения безопасности признала важность дальнейшего разъяснения позиции Организации Объедин</w:t>
      </w:r>
      <w:r w:rsidR="00392F6A">
        <w:t>е</w:t>
      </w:r>
      <w:r>
        <w:t>н</w:t>
      </w:r>
      <w:r>
        <w:t>ных Наций по поводу использования частных компаний, оказывающих услуги невооруженной охраны, и таким образом одобрила учреждение рабочей группы по данному вопросу. В марте 2015 года рабочая группа по вопросу о частных компаниях, оказывающих услуги невооруженной охраны, была официально с</w:t>
      </w:r>
      <w:r>
        <w:t>о</w:t>
      </w:r>
      <w:r>
        <w:t>здана, утвердила свой круг ведения и сделала первые шаги на пути к определ</w:t>
      </w:r>
      <w:r>
        <w:t>е</w:t>
      </w:r>
      <w:r>
        <w:t>нию потребности в отдельной политике и руководящих принципах, связанных с частными услугами невооруженной охраны.</w:t>
      </w:r>
    </w:p>
    <w:p w:rsidR="00B95DF9" w:rsidRDefault="00B95DF9" w:rsidP="00B95DF9">
      <w:pPr>
        <w:pStyle w:val="SingleTxt"/>
      </w:pPr>
      <w:r>
        <w:t>70.</w:t>
      </w:r>
      <w:r>
        <w:tab/>
      </w:r>
      <w:proofErr w:type="gramStart"/>
      <w:r>
        <w:t>Заместитель Генерального секретаря указал, что, вероятно, предстоит еще большая работа в плане того, каким образом существующее Пособие по усиле</w:t>
      </w:r>
      <w:r>
        <w:t>н</w:t>
      </w:r>
      <w:r>
        <w:t>ной и объединенной системе обеспечения безопасности в Организации Объед</w:t>
      </w:r>
      <w:r>
        <w:t>и</w:t>
      </w:r>
      <w:r>
        <w:t>ненных Наций и связанные с ним руководящие принципы реализуются на опер</w:t>
      </w:r>
      <w:r>
        <w:t>а</w:t>
      </w:r>
      <w:r>
        <w:t>тивном и тактическом уровнях.</w:t>
      </w:r>
      <w:proofErr w:type="gramEnd"/>
      <w:r>
        <w:t xml:space="preserve"> В этой связи одной из важнейших задач является обеспечение того, чтобы нанятые частные охранные компании располагали аде</w:t>
      </w:r>
      <w:r>
        <w:t>к</w:t>
      </w:r>
      <w:r>
        <w:t>ватными механизмами внутреннего надзора и подотчетности, включая механи</w:t>
      </w:r>
      <w:r>
        <w:t>з</w:t>
      </w:r>
      <w:r>
        <w:t>мы рассмотрения жалоб и представления отчетности о результатах работы, как рекомендовано Рабочей группой по вопросу о наемниках. С учетом нынешней ограниченности ресурсов Организации Объединенных Наций еще только пре</w:t>
      </w:r>
      <w:r>
        <w:t>д</w:t>
      </w:r>
      <w:r>
        <w:t>стоит выделить дополнительные средства на создание механизмов внешнего м</w:t>
      </w:r>
      <w:r>
        <w:t>о</w:t>
      </w:r>
      <w:r>
        <w:t>ниторинга в целях обеспечения надлежащего выполнения любого отдельно вз</w:t>
      </w:r>
      <w:r>
        <w:t>я</w:t>
      </w:r>
      <w:r>
        <w:t>того контракта и подотчетности нанятых компаний и их сотрудников за непод</w:t>
      </w:r>
      <w:r>
        <w:t>о</w:t>
      </w:r>
      <w:r>
        <w:t>бающее или незаконное поведение. Он также отметил, что на уровне политики основной недостаток заключается в отсутствии международной нормативной б</w:t>
      </w:r>
      <w:r>
        <w:t>а</w:t>
      </w:r>
      <w:r>
        <w:t>зы, касающейся использования частных компаний, оказывающих услуги воор</w:t>
      </w:r>
      <w:r>
        <w:t>у</w:t>
      </w:r>
      <w:r>
        <w:t>женной или невооруженной охраны. Он заявил, что этот вопрос не может быть решен одной или даже несколькими международными организациями. В офиц</w:t>
      </w:r>
      <w:r>
        <w:t>и</w:t>
      </w:r>
      <w:r>
        <w:t>альном процессе, посредством которого можно учредить согласованную на ме</w:t>
      </w:r>
      <w:r>
        <w:t>ж</w:t>
      </w:r>
      <w:r>
        <w:t>дународном уровне общую нормативную базу</w:t>
      </w:r>
      <w:r w:rsidR="007B6A98">
        <w:t>,</w:t>
      </w:r>
      <w:r>
        <w:t xml:space="preserve"> должны также участвовать ключ</w:t>
      </w:r>
      <w:r>
        <w:t>е</w:t>
      </w:r>
      <w:r>
        <w:t>вые субъекты</w:t>
      </w:r>
      <w:r w:rsidR="007B6A98">
        <w:t>,</w:t>
      </w:r>
      <w:r>
        <w:t xml:space="preserve"> в том числе государства, в которых базируются или действуют частные охранные компании</w:t>
      </w:r>
      <w:r w:rsidR="007B6A98">
        <w:t>,</w:t>
      </w:r>
      <w:r>
        <w:t xml:space="preserve"> и сами частные компании, оказывающие услуги в</w:t>
      </w:r>
      <w:r>
        <w:t>о</w:t>
      </w:r>
      <w:r>
        <w:t>оруженной охраны.</w:t>
      </w:r>
    </w:p>
    <w:p w:rsidR="00B95DF9" w:rsidRDefault="00B95DF9" w:rsidP="00B95DF9">
      <w:pPr>
        <w:pStyle w:val="SingleTxt"/>
      </w:pPr>
      <w:r>
        <w:t>71.</w:t>
      </w:r>
      <w:r>
        <w:tab/>
        <w:t>В ходе последующего обсуждения делегации поднимали вопросы: a) о чи</w:t>
      </w:r>
      <w:r>
        <w:t>с</w:t>
      </w:r>
      <w:r>
        <w:t>ле стран, в которых Организация Объединенных Наций наняла частные комп</w:t>
      </w:r>
      <w:r>
        <w:t>а</w:t>
      </w:r>
      <w:r>
        <w:t>нии, оказывающие услуги невооруженной охраны; b) об участии частных охра</w:t>
      </w:r>
      <w:r>
        <w:t>н</w:t>
      </w:r>
      <w:r>
        <w:t>ных компаний в операциях по поддержанию мира и о том, ожидается ли расш</w:t>
      </w:r>
      <w:r>
        <w:t>и</w:t>
      </w:r>
      <w:r>
        <w:t>рение подобного участия в свете их более частого использования государствами; и c) о том, существует ли опасность того, что компании, нанятые Организацией Объединенных Наций, будут непосредственно участвовать в боевых действиях в качестве комбатантов или могут привлекаться к допросу или задержанию вое</w:t>
      </w:r>
      <w:r>
        <w:t>н</w:t>
      </w:r>
      <w:r>
        <w:t>нопленных.</w:t>
      </w:r>
    </w:p>
    <w:p w:rsidR="00B95DF9" w:rsidRDefault="00B95DF9" w:rsidP="00B95DF9">
      <w:pPr>
        <w:pStyle w:val="SingleTxt"/>
      </w:pPr>
      <w:r>
        <w:t>72.</w:t>
      </w:r>
      <w:r>
        <w:tab/>
        <w:t>Заместитель Генерального секретаря ответил, что в настоящее время Орг</w:t>
      </w:r>
      <w:r>
        <w:t>а</w:t>
      </w:r>
      <w:r>
        <w:t>низация Объединенных Наций использует частные компании, оказывающие услуги невооруженной охраны, в частности в 10 миссиях Департамента операций по поддержанию мира, в 11 специальных политических миссиях и на своих опорных пунктах в Кении и Испании. Он выразил надежду на то, что необход</w:t>
      </w:r>
      <w:r>
        <w:t>и</w:t>
      </w:r>
      <w:r>
        <w:t>мости в расширении их использования не возникнет, однако отметил ситуацию в области охраны и безопасности, в которой работает Организация Объединенных Наций. К подобному решению следует подходить серьезно, и оно должно стать крайней мерой, принимаемой на основе оценки рисков и по рекомендации гру</w:t>
      </w:r>
      <w:r>
        <w:t>п</w:t>
      </w:r>
      <w:r>
        <w:t>пы по вопросам безопасности соответствующей миссии. Наконец, заместитель Генерального секретаря подтвердил, что частные охранные компании, нанятые Организацией Объединенных Наций, не участвуют непосредственно в боевых действиях в качестве комбатантов и не привлекаются к допросу или задержанию военнопленных. Основной функцией частных охранных компаний является з</w:t>
      </w:r>
      <w:r>
        <w:t>а</w:t>
      </w:r>
      <w:r>
        <w:t xml:space="preserve">щита сотрудников, помещений и активов Организации Объединенных Наций. </w:t>
      </w:r>
    </w:p>
    <w:p w:rsidR="00B95DF9" w:rsidRDefault="00B95DF9" w:rsidP="00B95DF9">
      <w:pPr>
        <w:pStyle w:val="SingleTxt"/>
      </w:pPr>
      <w:r>
        <w:t>73.</w:t>
      </w:r>
      <w:r>
        <w:tab/>
        <w:t>Одна делегация отметила, что хотя у государств могут быть разные мнения по поводу найма частных охранных компаний, все государства являются частью Организации Объединенных Наций и, вероятно, признают, что использование их услуг стало общепринятой практикой, если даже не необходимостью для ее функционирования в определенных условиях. Что касается надзора и подотче</w:t>
      </w:r>
      <w:r>
        <w:t>т</w:t>
      </w:r>
      <w:r>
        <w:t xml:space="preserve">ности, то эта делегация запросила более подробную информацию о тех случаях, когда к Организации Объединенных Наций обращался призыв принять меры для предотвращения злоупотреблений и облегчения доступа к средствам правовой защиты. </w:t>
      </w:r>
    </w:p>
    <w:p w:rsidR="00B95DF9" w:rsidRDefault="00B95DF9" w:rsidP="00B95DF9">
      <w:pPr>
        <w:pStyle w:val="SingleTxt"/>
      </w:pPr>
      <w:r>
        <w:t>74.</w:t>
      </w:r>
      <w:r>
        <w:tab/>
        <w:t>В своем ответе заместитель Генерального секретаря вновь подчеркнул, что для обеспечения соблюдения норм международного гуманитарного права и ме</w:t>
      </w:r>
      <w:r>
        <w:t>ж</w:t>
      </w:r>
      <w:r>
        <w:t xml:space="preserve">дународного права прав человека принимаются все возможные меры. С момента его назначения и в предшествующий период передачи </w:t>
      </w:r>
      <w:proofErr w:type="gramStart"/>
      <w:r>
        <w:t>дел</w:t>
      </w:r>
      <w:proofErr w:type="gramEnd"/>
      <w:r>
        <w:t xml:space="preserve"> не сообщалось ни о </w:t>
      </w:r>
      <w:proofErr w:type="gramStart"/>
      <w:r>
        <w:t>каких</w:t>
      </w:r>
      <w:proofErr w:type="gramEnd"/>
      <w:r>
        <w:t xml:space="preserve"> злоупотреблениях. Существует ежемесячный обзор, а на сотрудников Д</w:t>
      </w:r>
      <w:r>
        <w:t>е</w:t>
      </w:r>
      <w:r>
        <w:t xml:space="preserve">партамента по вопросам охраны и безопасности возложена обязанность </w:t>
      </w:r>
      <w:proofErr w:type="gramStart"/>
      <w:r>
        <w:t>ос</w:t>
      </w:r>
      <w:r>
        <w:t>у</w:t>
      </w:r>
      <w:r>
        <w:t>ществлять</w:t>
      </w:r>
      <w:proofErr w:type="gramEnd"/>
      <w:r>
        <w:t xml:space="preserve"> ежедневный надзор. Кроме того, процесс трудоустройства является чрезвычайно строгим и разработан таким образом, чтобы свести все злоупотре</w:t>
      </w:r>
      <w:r>
        <w:t>б</w:t>
      </w:r>
      <w:r>
        <w:t xml:space="preserve">ления к минимуму. При выявлении каких-либо злоупотреблений они доводятся до сведения заместителя Генерального секретаря. </w:t>
      </w:r>
    </w:p>
    <w:p w:rsidR="00B95DF9" w:rsidRDefault="00B95DF9" w:rsidP="00B95DF9">
      <w:pPr>
        <w:pStyle w:val="SingleTxt"/>
      </w:pPr>
      <w:r>
        <w:t>75.</w:t>
      </w:r>
      <w:r>
        <w:tab/>
        <w:t>Председатель-докладчик задал вопрос о возможности для Организации Объединенных Наций поделиться опытом в области использования компаний, оказывающих услуги невооруженной охраны, и информацией о ее подробных стандартах и руководящих принципах в качестве основы для обсуждения и п</w:t>
      </w:r>
      <w:r>
        <w:t>о</w:t>
      </w:r>
      <w:r>
        <w:t xml:space="preserve">тенциального использования государствами. Он также спросил, в какой </w:t>
      </w:r>
      <w:proofErr w:type="gramStart"/>
      <w:r>
        <w:t>степени</w:t>
      </w:r>
      <w:proofErr w:type="gramEnd"/>
      <w:r>
        <w:t xml:space="preserve"> и при </w:t>
      </w:r>
      <w:proofErr w:type="gramStart"/>
      <w:r>
        <w:t>каких</w:t>
      </w:r>
      <w:proofErr w:type="gramEnd"/>
      <w:r>
        <w:t xml:space="preserve"> условиях национальным контингентам миссий по поддержанию м</w:t>
      </w:r>
      <w:r>
        <w:t>и</w:t>
      </w:r>
      <w:r>
        <w:t>ра разрешается использовать частные военные и охранные компании. Одна дел</w:t>
      </w:r>
      <w:r>
        <w:t>е</w:t>
      </w:r>
      <w:r>
        <w:t>гация запросила сведения о положении в области безопасности, с которым ста</w:t>
      </w:r>
      <w:r>
        <w:t>л</w:t>
      </w:r>
      <w:r>
        <w:t>киваются другие гуманитарные субъекты, и о сотрудничестве Организации Об</w:t>
      </w:r>
      <w:r>
        <w:t>ъ</w:t>
      </w:r>
      <w:r>
        <w:t>единенных Наций с субъектами, работающими в сложной обстановке с точки зрения безопасности. В своем ответе заместитель Генерального секретаря уп</w:t>
      </w:r>
      <w:r>
        <w:t>о</w:t>
      </w:r>
      <w:r>
        <w:t xml:space="preserve">мянул о тесном сотрудничестве с государствами и сослался на </w:t>
      </w:r>
      <w:proofErr w:type="gramStart"/>
      <w:r>
        <w:t>намеченный</w:t>
      </w:r>
      <w:proofErr w:type="gramEnd"/>
      <w:r>
        <w:t xml:space="preserve"> на июнь 2015 года коллоквиум, предназначенный для обмена опытом, в том числе в области обеспечения безопасности. Он также разъяснил, что Организация Об</w:t>
      </w:r>
      <w:r>
        <w:t>ъ</w:t>
      </w:r>
      <w:r>
        <w:t>единенных Наций заключает контракты с частными охранными компаниями, а не с частными военными компаниями. Наконец, он указал, что Организация Об</w:t>
      </w:r>
      <w:r>
        <w:t>ъ</w:t>
      </w:r>
      <w:r>
        <w:t>единённых Наций сотрудничает с международными неправительственными о</w:t>
      </w:r>
      <w:r>
        <w:t>р</w:t>
      </w:r>
      <w:r>
        <w:t>ганизациями в сложной обстановке с точки зрения безопасности, в том числе в Сирийской Арабской Республике и Йемене.</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94066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IV.</w:t>
      </w:r>
      <w:r>
        <w:tab/>
        <w:t>Заключительные замечания</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B95DF9">
      <w:pPr>
        <w:pStyle w:val="SingleTxt"/>
      </w:pPr>
      <w:r>
        <w:t>76.</w:t>
      </w:r>
      <w:r>
        <w:tab/>
      </w:r>
      <w:r w:rsidRPr="00940660">
        <w:rPr>
          <w:b/>
        </w:rPr>
        <w:t>1 мая 2015 года Председатель-докладчик поблагодарил делегации и в</w:t>
      </w:r>
      <w:r w:rsidRPr="00940660">
        <w:rPr>
          <w:b/>
        </w:rPr>
        <w:t>ы</w:t>
      </w:r>
      <w:r w:rsidRPr="00940660">
        <w:rPr>
          <w:b/>
        </w:rPr>
        <w:t>разил экспертам признательность за их замечательный вклад в работу се</w:t>
      </w:r>
      <w:r w:rsidRPr="00940660">
        <w:rPr>
          <w:b/>
        </w:rPr>
        <w:t>с</w:t>
      </w:r>
      <w:r w:rsidRPr="00940660">
        <w:rPr>
          <w:b/>
        </w:rPr>
        <w:t>сии. Он упомянул о расширении использования частных военных и охра</w:t>
      </w:r>
      <w:r w:rsidRPr="00940660">
        <w:rPr>
          <w:b/>
        </w:rPr>
        <w:t>н</w:t>
      </w:r>
      <w:r w:rsidRPr="00940660">
        <w:rPr>
          <w:b/>
        </w:rPr>
        <w:t xml:space="preserve">ных компаний в различных секторах и </w:t>
      </w:r>
      <w:proofErr w:type="gramStart"/>
      <w:r w:rsidRPr="00940660">
        <w:rPr>
          <w:b/>
        </w:rPr>
        <w:t>контекстах</w:t>
      </w:r>
      <w:proofErr w:type="gramEnd"/>
      <w:r w:rsidRPr="00940660">
        <w:rPr>
          <w:b/>
        </w:rPr>
        <w:t xml:space="preserve"> как на суше, так и на м</w:t>
      </w:r>
      <w:r w:rsidRPr="00940660">
        <w:rPr>
          <w:b/>
        </w:rPr>
        <w:t>о</w:t>
      </w:r>
      <w:r w:rsidRPr="00940660">
        <w:rPr>
          <w:b/>
        </w:rPr>
        <w:t xml:space="preserve">ре. </w:t>
      </w:r>
      <w:proofErr w:type="gramStart"/>
      <w:r w:rsidRPr="00940660">
        <w:rPr>
          <w:b/>
        </w:rPr>
        <w:t xml:space="preserve">В число конкретных проблем, </w:t>
      </w:r>
      <w:proofErr w:type="spellStart"/>
      <w:r w:rsidRPr="00940660">
        <w:rPr>
          <w:b/>
        </w:rPr>
        <w:t>обсуждавшихся</w:t>
      </w:r>
      <w:proofErr w:type="spellEnd"/>
      <w:r w:rsidRPr="00940660">
        <w:rPr>
          <w:b/>
        </w:rPr>
        <w:t xml:space="preserve"> в ходе работы, входят: в</w:t>
      </w:r>
      <w:r w:rsidRPr="00940660">
        <w:rPr>
          <w:b/>
        </w:rPr>
        <w:t>о</w:t>
      </w:r>
      <w:r w:rsidRPr="00940660">
        <w:rPr>
          <w:b/>
        </w:rPr>
        <w:t xml:space="preserve">просы юрисдикции, связанные с флагами государств, предоставляющих наибольшие льготы; хранение оружия в контексте </w:t>
      </w:r>
      <w:r w:rsidR="00EE2CEC">
        <w:rPr>
          <w:b/>
        </w:rPr>
        <w:t>«</w:t>
      </w:r>
      <w:r w:rsidRPr="00940660">
        <w:rPr>
          <w:b/>
        </w:rPr>
        <w:t>плавучих складов ор</w:t>
      </w:r>
      <w:r w:rsidRPr="00940660">
        <w:rPr>
          <w:b/>
        </w:rPr>
        <w:t>у</w:t>
      </w:r>
      <w:r w:rsidRPr="00940660">
        <w:rPr>
          <w:b/>
        </w:rPr>
        <w:t>жия</w:t>
      </w:r>
      <w:r w:rsidR="00EE2CEC">
        <w:rPr>
          <w:b/>
        </w:rPr>
        <w:t>»</w:t>
      </w:r>
      <w:r w:rsidRPr="00940660">
        <w:rPr>
          <w:b/>
        </w:rPr>
        <w:t xml:space="preserve"> в международных водах, включая возможный обход национальных з</w:t>
      </w:r>
      <w:r w:rsidRPr="00940660">
        <w:rPr>
          <w:b/>
        </w:rPr>
        <w:t>а</w:t>
      </w:r>
      <w:r w:rsidRPr="00940660">
        <w:rPr>
          <w:b/>
        </w:rPr>
        <w:t>конов, ограничивающих импорт и экспорт оружия; обеспечение соблюдения частными военными и охранными компаниями применимого национальн</w:t>
      </w:r>
      <w:r w:rsidRPr="00940660">
        <w:rPr>
          <w:b/>
        </w:rPr>
        <w:t>о</w:t>
      </w:r>
      <w:r w:rsidRPr="00940660">
        <w:rPr>
          <w:b/>
        </w:rPr>
        <w:t>го законодательства;</w:t>
      </w:r>
      <w:proofErr w:type="gramEnd"/>
      <w:r w:rsidRPr="00940660">
        <w:rPr>
          <w:b/>
        </w:rPr>
        <w:t xml:space="preserve"> и трудности, связанные с международным сотруднич</w:t>
      </w:r>
      <w:r w:rsidRPr="00940660">
        <w:rPr>
          <w:b/>
        </w:rPr>
        <w:t>е</w:t>
      </w:r>
      <w:r w:rsidRPr="00940660">
        <w:rPr>
          <w:b/>
        </w:rPr>
        <w:t>ством в области правовых вопросов, в частности с взаимной правовой п</w:t>
      </w:r>
      <w:r w:rsidRPr="00940660">
        <w:rPr>
          <w:b/>
        </w:rPr>
        <w:t>о</w:t>
      </w:r>
      <w:r w:rsidRPr="00940660">
        <w:rPr>
          <w:b/>
        </w:rPr>
        <w:t>мощью.</w:t>
      </w:r>
    </w:p>
    <w:p w:rsidR="00B95DF9" w:rsidRDefault="00B95DF9" w:rsidP="00B95DF9">
      <w:pPr>
        <w:pStyle w:val="SingleTxt"/>
      </w:pPr>
      <w:r>
        <w:t>77.</w:t>
      </w:r>
      <w:r>
        <w:tab/>
      </w:r>
      <w:r w:rsidRPr="00940660">
        <w:rPr>
          <w:b/>
        </w:rPr>
        <w:t>Председатель-докладчик предложил межправительственной рабочей группе открытого состава рассмотреть возможность включения в свои в</w:t>
      </w:r>
      <w:r w:rsidRPr="00940660">
        <w:rPr>
          <w:b/>
        </w:rPr>
        <w:t>ы</w:t>
      </w:r>
      <w:r w:rsidRPr="00940660">
        <w:rPr>
          <w:b/>
        </w:rPr>
        <w:t>воды и рекомендации следующего текста:</w:t>
      </w:r>
      <w:r>
        <w:t xml:space="preserve"> </w:t>
      </w:r>
    </w:p>
    <w:p w:rsidR="00B95DF9" w:rsidRPr="00940660" w:rsidRDefault="00B95DF9" w:rsidP="00940660">
      <w:pPr>
        <w:pStyle w:val="SingleTxt"/>
        <w:ind w:left="1742"/>
        <w:rPr>
          <w:b/>
        </w:rPr>
      </w:pPr>
      <w:r w:rsidRPr="00940660">
        <w:rPr>
          <w:b/>
        </w:rPr>
        <w:t>[Абзац 1] Межправительственная рабочая группа отметила многост</w:t>
      </w:r>
      <w:r w:rsidRPr="00940660">
        <w:rPr>
          <w:b/>
        </w:rPr>
        <w:t>о</w:t>
      </w:r>
      <w:r w:rsidRPr="00940660">
        <w:rPr>
          <w:b/>
        </w:rPr>
        <w:t>ронний и разнообразный характер вопросов, поднятых в ходе ее трет</w:t>
      </w:r>
      <w:r w:rsidRPr="00940660">
        <w:rPr>
          <w:b/>
        </w:rPr>
        <w:t>ь</w:t>
      </w:r>
      <w:r w:rsidRPr="00940660">
        <w:rPr>
          <w:b/>
        </w:rPr>
        <w:t xml:space="preserve">ей и четвертой сессий. </w:t>
      </w:r>
      <w:proofErr w:type="gramStart"/>
      <w:r w:rsidRPr="00940660">
        <w:rPr>
          <w:b/>
        </w:rPr>
        <w:t>В их число вошли: различие между деятельн</w:t>
      </w:r>
      <w:r w:rsidRPr="00940660">
        <w:rPr>
          <w:b/>
        </w:rPr>
        <w:t>о</w:t>
      </w:r>
      <w:r w:rsidRPr="00940660">
        <w:rPr>
          <w:b/>
        </w:rPr>
        <w:t>стью частных военных компаний и частных охранных компаний; меры по регистрации, лицензированию и найму частных военных и охра</w:t>
      </w:r>
      <w:r w:rsidRPr="00940660">
        <w:rPr>
          <w:b/>
        </w:rPr>
        <w:t>н</w:t>
      </w:r>
      <w:r w:rsidRPr="00940660">
        <w:rPr>
          <w:b/>
        </w:rPr>
        <w:t>ных компаний; обеспечение подотчетности и предоставление постр</w:t>
      </w:r>
      <w:r w:rsidRPr="00940660">
        <w:rPr>
          <w:b/>
        </w:rPr>
        <w:t>а</w:t>
      </w:r>
      <w:r w:rsidRPr="00940660">
        <w:rPr>
          <w:b/>
        </w:rPr>
        <w:t>давшим помощи и средств правовой защиты; возможность создания международной нормативной базы; особенности регулирования де</w:t>
      </w:r>
      <w:r w:rsidRPr="00940660">
        <w:rPr>
          <w:b/>
        </w:rPr>
        <w:t>я</w:t>
      </w:r>
      <w:r w:rsidRPr="00940660">
        <w:rPr>
          <w:b/>
        </w:rPr>
        <w:t>тельности частных охранных компаний на море; и использование услуг частных охранных компаний Организацией Объединенных Наций.</w:t>
      </w:r>
      <w:proofErr w:type="gramEnd"/>
      <w:r w:rsidRPr="00940660">
        <w:rPr>
          <w:b/>
        </w:rPr>
        <w:t xml:space="preserve"> Межправительственная рабочая группа отметила выдвинутые разли</w:t>
      </w:r>
      <w:r w:rsidRPr="00940660">
        <w:rPr>
          <w:b/>
        </w:rPr>
        <w:t>ч</w:t>
      </w:r>
      <w:r w:rsidRPr="00940660">
        <w:rPr>
          <w:b/>
        </w:rPr>
        <w:t>ными заинтересованными субъектами инициативы, касающиеся этих вопросов, и подчеркнула сохраняющиеся трудности.</w:t>
      </w:r>
    </w:p>
    <w:p w:rsidR="00B95DF9" w:rsidRPr="00940660" w:rsidRDefault="00B95DF9" w:rsidP="00940660">
      <w:pPr>
        <w:pStyle w:val="SingleTxt"/>
        <w:ind w:left="1742"/>
        <w:rPr>
          <w:b/>
        </w:rPr>
      </w:pPr>
      <w:r w:rsidRPr="00940660">
        <w:rPr>
          <w:b/>
        </w:rPr>
        <w:t xml:space="preserve">[Абзац 2] Были высказаны различные мнения по поводу </w:t>
      </w:r>
      <w:proofErr w:type="gramStart"/>
      <w:r w:rsidRPr="00940660">
        <w:rPr>
          <w:b/>
        </w:rPr>
        <w:t>достижения общей цели защиты прав человека</w:t>
      </w:r>
      <w:proofErr w:type="gramEnd"/>
      <w:r w:rsidRPr="00940660">
        <w:rPr>
          <w:b/>
        </w:rPr>
        <w:t xml:space="preserve"> и обеспечения подотчетности в св</w:t>
      </w:r>
      <w:r w:rsidRPr="00940660">
        <w:rPr>
          <w:b/>
        </w:rPr>
        <w:t>я</w:t>
      </w:r>
      <w:r w:rsidRPr="00940660">
        <w:rPr>
          <w:b/>
        </w:rPr>
        <w:t>зи с нарушениями и злоупотреблениями, связанными с деятельностью частных военных и охранных компаний. Некоторые делегации предл</w:t>
      </w:r>
      <w:r w:rsidRPr="00940660">
        <w:rPr>
          <w:b/>
        </w:rPr>
        <w:t>о</w:t>
      </w:r>
      <w:r w:rsidRPr="00940660">
        <w:rPr>
          <w:b/>
        </w:rPr>
        <w:t>жили межправительственной рабочей группе начать разработку юр</w:t>
      </w:r>
      <w:r w:rsidRPr="00940660">
        <w:rPr>
          <w:b/>
        </w:rPr>
        <w:t>и</w:t>
      </w:r>
      <w:r w:rsidRPr="00940660">
        <w:rPr>
          <w:b/>
        </w:rPr>
        <w:t>дически обязательного документа о регулировании деятельности час</w:t>
      </w:r>
      <w:r w:rsidRPr="00940660">
        <w:rPr>
          <w:b/>
        </w:rPr>
        <w:t>т</w:t>
      </w:r>
      <w:r w:rsidRPr="00940660">
        <w:rPr>
          <w:b/>
        </w:rPr>
        <w:t>ных военных и охранных компаний и контроле и надзоре за ней, а та</w:t>
      </w:r>
      <w:r w:rsidRPr="00940660">
        <w:rPr>
          <w:b/>
        </w:rPr>
        <w:t>к</w:t>
      </w:r>
      <w:r w:rsidRPr="00940660">
        <w:rPr>
          <w:b/>
        </w:rPr>
        <w:t>же представили на ее рассмотрение элементы проекта конвенции. Др</w:t>
      </w:r>
      <w:r w:rsidRPr="00940660">
        <w:rPr>
          <w:b/>
        </w:rPr>
        <w:t>у</w:t>
      </w:r>
      <w:r w:rsidRPr="00940660">
        <w:rPr>
          <w:b/>
        </w:rPr>
        <w:t>гие делегации для дальнейшей разработки международной нормати</w:t>
      </w:r>
      <w:r w:rsidRPr="00940660">
        <w:rPr>
          <w:b/>
        </w:rPr>
        <w:t>в</w:t>
      </w:r>
      <w:r w:rsidRPr="00940660">
        <w:rPr>
          <w:b/>
        </w:rPr>
        <w:t>ной базы, в том числе установки стандартов и составления руковод</w:t>
      </w:r>
      <w:r w:rsidRPr="00940660">
        <w:rPr>
          <w:b/>
        </w:rPr>
        <w:t>я</w:t>
      </w:r>
      <w:r w:rsidRPr="00940660">
        <w:rPr>
          <w:b/>
        </w:rPr>
        <w:t>щих принципов, предложили рассмотреть возможность изучения целого спектра опций, возможно, планов действий или типовых законов, о</w:t>
      </w:r>
      <w:r w:rsidRPr="00940660">
        <w:rPr>
          <w:b/>
        </w:rPr>
        <w:t>б</w:t>
      </w:r>
      <w:r w:rsidRPr="00940660">
        <w:rPr>
          <w:b/>
        </w:rPr>
        <w:t xml:space="preserve">разцов контрактов, основанных на Документе </w:t>
      </w:r>
      <w:proofErr w:type="spellStart"/>
      <w:r w:rsidRPr="00940660">
        <w:rPr>
          <w:b/>
        </w:rPr>
        <w:t>Монтрё</w:t>
      </w:r>
      <w:proofErr w:type="spellEnd"/>
      <w:r w:rsidRPr="00940660">
        <w:rPr>
          <w:b/>
        </w:rPr>
        <w:t>, передового оп</w:t>
      </w:r>
      <w:r w:rsidRPr="00940660">
        <w:rPr>
          <w:b/>
        </w:rPr>
        <w:t>ы</w:t>
      </w:r>
      <w:r w:rsidRPr="00940660">
        <w:rPr>
          <w:b/>
        </w:rPr>
        <w:t>та и программ взаимной правовой помощи.</w:t>
      </w:r>
    </w:p>
    <w:p w:rsidR="00B95DF9" w:rsidRPr="00940660" w:rsidRDefault="00B95DF9" w:rsidP="00940660">
      <w:pPr>
        <w:pStyle w:val="SingleTxt"/>
        <w:ind w:left="1742"/>
        <w:rPr>
          <w:b/>
        </w:rPr>
      </w:pPr>
      <w:proofErr w:type="gramStart"/>
      <w:r w:rsidRPr="00940660">
        <w:rPr>
          <w:b/>
        </w:rPr>
        <w:t>[Абзац 3] Принимая во внимание резолюцию 28/7 Совета по правам ч</w:t>
      </w:r>
      <w:r w:rsidRPr="00940660">
        <w:rPr>
          <w:b/>
        </w:rPr>
        <w:t>е</w:t>
      </w:r>
      <w:r w:rsidRPr="00940660">
        <w:rPr>
          <w:b/>
        </w:rPr>
        <w:t>ловека от 26 марта 2015 года, межправительственная рабочая группа продолжит свою работу по вышеупомянутым вопросам, а также рек</w:t>
      </w:r>
      <w:r w:rsidRPr="00940660">
        <w:rPr>
          <w:b/>
        </w:rPr>
        <w:t>о</w:t>
      </w:r>
      <w:r w:rsidRPr="00940660">
        <w:rPr>
          <w:b/>
        </w:rPr>
        <w:t>мендует провести дальнейшее рассмотрение проблем прав человека, касающихся, в частности a) функционирования частных военных и охранных компаний на море; b) использования частных военных и охранных компаний гуманитарными субъектами;</w:t>
      </w:r>
      <w:proofErr w:type="gramEnd"/>
      <w:r w:rsidRPr="00940660">
        <w:rPr>
          <w:b/>
        </w:rPr>
        <w:t xml:space="preserve"> и c) доступа к прав</w:t>
      </w:r>
      <w:r w:rsidRPr="00940660">
        <w:rPr>
          <w:b/>
        </w:rPr>
        <w:t>о</w:t>
      </w:r>
      <w:r w:rsidRPr="00940660">
        <w:rPr>
          <w:b/>
        </w:rPr>
        <w:t xml:space="preserve">судию и средствам правовой защиты для пострадавших от нарушений и злоупотреблений, связанных с деятельностью частных военных и охранных компаний. </w:t>
      </w:r>
    </w:p>
    <w:p w:rsidR="00B95DF9" w:rsidRDefault="00B95DF9" w:rsidP="00B95DF9">
      <w:pPr>
        <w:pStyle w:val="SingleTxt"/>
      </w:pPr>
      <w:r>
        <w:t>78.</w:t>
      </w:r>
      <w:r>
        <w:tab/>
      </w:r>
      <w:r w:rsidRPr="00940660">
        <w:rPr>
          <w:b/>
        </w:rPr>
        <w:t>Председатель-докладчик выразил сожаление в связи с тем, что</w:t>
      </w:r>
      <w:r w:rsidR="007B6A98">
        <w:rPr>
          <w:b/>
        </w:rPr>
        <w:t>,</w:t>
      </w:r>
      <w:r w:rsidRPr="00940660">
        <w:rPr>
          <w:b/>
        </w:rPr>
        <w:t xml:space="preserve"> н</w:t>
      </w:r>
      <w:r w:rsidRPr="00940660">
        <w:rPr>
          <w:b/>
        </w:rPr>
        <w:t>е</w:t>
      </w:r>
      <w:r w:rsidRPr="00940660">
        <w:rPr>
          <w:b/>
        </w:rPr>
        <w:t>смотря на одобрение со стороны некоторых делегаций, консенсуса по втор</w:t>
      </w:r>
      <w:r w:rsidRPr="00940660">
        <w:rPr>
          <w:b/>
        </w:rPr>
        <w:t>о</w:t>
      </w:r>
      <w:r w:rsidRPr="00940660">
        <w:rPr>
          <w:b/>
        </w:rPr>
        <w:t>му и третьему абзацам достигнуто не было.</w:t>
      </w:r>
    </w:p>
    <w:p w:rsidR="00B95DF9" w:rsidRDefault="00B95DF9" w:rsidP="00B95DF9">
      <w:pPr>
        <w:pStyle w:val="SingleTxt"/>
      </w:pPr>
      <w:r>
        <w:t>79.</w:t>
      </w:r>
      <w:r>
        <w:tab/>
      </w:r>
      <w:r w:rsidRPr="00940660">
        <w:rPr>
          <w:b/>
        </w:rPr>
        <w:t>Заключительные замечания Европейского союза и Группы африка</w:t>
      </w:r>
      <w:r w:rsidRPr="00940660">
        <w:rPr>
          <w:b/>
        </w:rPr>
        <w:t>н</w:t>
      </w:r>
      <w:r w:rsidRPr="00940660">
        <w:rPr>
          <w:b/>
        </w:rPr>
        <w:t>ских государств воспроизводятся в приложениях II и III соответственно только на том языке, на котором они были представлены.</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94066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V.</w:t>
      </w:r>
      <w:r>
        <w:tab/>
        <w:t>Выводы и рекомендации</w:t>
      </w:r>
    </w:p>
    <w:p w:rsidR="00940660" w:rsidRPr="00940660" w:rsidRDefault="00940660" w:rsidP="00940660">
      <w:pPr>
        <w:pStyle w:val="SingleTxt"/>
        <w:spacing w:after="0" w:line="120" w:lineRule="exact"/>
        <w:rPr>
          <w:sz w:val="10"/>
        </w:rPr>
      </w:pPr>
    </w:p>
    <w:p w:rsidR="00940660" w:rsidRPr="00940660" w:rsidRDefault="00940660" w:rsidP="00940660">
      <w:pPr>
        <w:pStyle w:val="SingleTxt"/>
        <w:spacing w:after="0" w:line="120" w:lineRule="exact"/>
        <w:rPr>
          <w:sz w:val="10"/>
        </w:rPr>
      </w:pPr>
    </w:p>
    <w:p w:rsidR="00B95DF9" w:rsidRDefault="00B95DF9" w:rsidP="00B95DF9">
      <w:pPr>
        <w:pStyle w:val="SingleTxt"/>
      </w:pPr>
      <w:r>
        <w:t>80.</w:t>
      </w:r>
      <w:r>
        <w:tab/>
      </w:r>
      <w:r w:rsidRPr="00940660">
        <w:rPr>
          <w:b/>
        </w:rPr>
        <w:t xml:space="preserve">Межправительственная рабочая группа отметила многосторонний и разнообразный характер вопросов, поднятых в ходе ее третьей и четвертой сессий. </w:t>
      </w:r>
      <w:proofErr w:type="gramStart"/>
      <w:r w:rsidRPr="00940660">
        <w:rPr>
          <w:b/>
        </w:rPr>
        <w:t>В их число вошли: различие между деятельностью частных военных компаний и частных охранных компаний; меры по регистрации, лиценз</w:t>
      </w:r>
      <w:r w:rsidRPr="00940660">
        <w:rPr>
          <w:b/>
        </w:rPr>
        <w:t>и</w:t>
      </w:r>
      <w:r w:rsidRPr="00940660">
        <w:rPr>
          <w:b/>
        </w:rPr>
        <w:t>рованию и найму частных военных и охранных компаний; обеспечение по</w:t>
      </w:r>
      <w:r w:rsidRPr="00940660">
        <w:rPr>
          <w:b/>
        </w:rPr>
        <w:t>д</w:t>
      </w:r>
      <w:r w:rsidRPr="00940660">
        <w:rPr>
          <w:b/>
        </w:rPr>
        <w:t>отчетности и предоставление пострадавшим помощи и средств правовой защиты; возможность создания международной нормативной базы; особе</w:t>
      </w:r>
      <w:r w:rsidRPr="00940660">
        <w:rPr>
          <w:b/>
        </w:rPr>
        <w:t>н</w:t>
      </w:r>
      <w:r w:rsidRPr="00940660">
        <w:rPr>
          <w:b/>
        </w:rPr>
        <w:t>ности регулирования деятельности частных охранных компаний на море; и использование услуг частных охранных компаний Организацией Объед</w:t>
      </w:r>
      <w:r w:rsidRPr="00940660">
        <w:rPr>
          <w:b/>
        </w:rPr>
        <w:t>и</w:t>
      </w:r>
      <w:r w:rsidRPr="00940660">
        <w:rPr>
          <w:b/>
        </w:rPr>
        <w:t>ненных Наций.</w:t>
      </w:r>
      <w:proofErr w:type="gramEnd"/>
      <w:r w:rsidRPr="00940660">
        <w:rPr>
          <w:b/>
        </w:rPr>
        <w:t xml:space="preserve"> Межправительственная рабочая группа отметила выдвин</w:t>
      </w:r>
      <w:r w:rsidRPr="00940660">
        <w:rPr>
          <w:b/>
        </w:rPr>
        <w:t>у</w:t>
      </w:r>
      <w:r w:rsidRPr="00940660">
        <w:rPr>
          <w:b/>
        </w:rPr>
        <w:t>тые различными заинтересованными субъектами инициативы, касающиеся этих вопросов, и подчеркнула сохраняющиеся трудности.</w:t>
      </w:r>
      <w:r>
        <w:t xml:space="preserve"> </w:t>
      </w:r>
    </w:p>
    <w:p w:rsidR="002A08E4" w:rsidRDefault="00B95DF9" w:rsidP="00B95DF9">
      <w:pPr>
        <w:pStyle w:val="SingleTxt"/>
        <w:rPr>
          <w:b/>
        </w:rPr>
      </w:pPr>
      <w:r>
        <w:t>81.</w:t>
      </w:r>
      <w:r>
        <w:tab/>
      </w:r>
      <w:r w:rsidRPr="00940660">
        <w:rPr>
          <w:b/>
        </w:rPr>
        <w:t>Межправительственная рабочая группа открытого состава продолжит свою работу по вышеупомянутым вопросам, а также рекомендует провести дальнейшее рассмотрение связанных с ними проблем прав человека.</w:t>
      </w:r>
    </w:p>
    <w:p w:rsidR="00940660" w:rsidRPr="005100CE" w:rsidRDefault="00940660" w:rsidP="005100C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E24112">
        <w:rPr>
          <w:lang w:val="en-US"/>
        </w:rPr>
        <w:br w:type="page"/>
      </w:r>
      <w:r w:rsidRPr="005100CE">
        <w:rPr>
          <w:lang w:val="en-US"/>
        </w:rPr>
        <w:t>Annex I</w:t>
      </w: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spacing w:after="0" w:line="120" w:lineRule="exact"/>
        <w:rPr>
          <w:sz w:val="10"/>
          <w:lang w:val="en-US"/>
        </w:rPr>
      </w:pPr>
    </w:p>
    <w:p w:rsidR="00940660" w:rsidRPr="002B0AAF" w:rsidRDefault="00940660" w:rsidP="002B0AAF">
      <w:pPr>
        <w:pStyle w:val="SingleTxt"/>
        <w:jc w:val="right"/>
        <w:rPr>
          <w:i/>
          <w:lang w:val="en-US"/>
        </w:rPr>
      </w:pPr>
      <w:r w:rsidRPr="002B0AAF">
        <w:rPr>
          <w:i/>
          <w:lang w:val="en-US"/>
        </w:rPr>
        <w:t>[English only]</w:t>
      </w: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spacing w:after="0" w:line="120" w:lineRule="exact"/>
        <w:rPr>
          <w:sz w:val="10"/>
          <w:lang w:val="en-US"/>
        </w:rPr>
      </w:pPr>
    </w:p>
    <w:p w:rsidR="00940660" w:rsidRPr="005100CE" w:rsidRDefault="00940660" w:rsidP="002B0A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List of participants</w:t>
      </w: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spacing w:after="0" w:line="120" w:lineRule="exact"/>
        <w:rPr>
          <w:sz w:val="10"/>
          <w:lang w:val="en-US"/>
        </w:rPr>
      </w:pPr>
    </w:p>
    <w:p w:rsidR="00940660" w:rsidRPr="005100CE" w:rsidRDefault="00940660" w:rsidP="002B0AA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 xml:space="preserve">States Members of the United Nations </w:t>
      </w:r>
    </w:p>
    <w:p w:rsidR="002B0AAF" w:rsidRPr="002B0AAF" w:rsidRDefault="002B0AAF" w:rsidP="002B0AAF">
      <w:pPr>
        <w:pStyle w:val="SingleTxt"/>
        <w:spacing w:after="0" w:line="120" w:lineRule="exact"/>
        <w:rPr>
          <w:sz w:val="10"/>
          <w:lang w:val="en-US"/>
        </w:rPr>
      </w:pPr>
    </w:p>
    <w:p w:rsidR="00940660" w:rsidRPr="005100CE" w:rsidRDefault="00940660" w:rsidP="00940660">
      <w:pPr>
        <w:pStyle w:val="SingleTxt"/>
        <w:rPr>
          <w:lang w:val="en-US"/>
        </w:rPr>
      </w:pPr>
      <w:r w:rsidRPr="005100CE">
        <w:rPr>
          <w:lang w:val="en-US"/>
        </w:rPr>
        <w:t>Algeria, Argentina, Australia, Bangladesh, Belgium, Brazil, Colombia, China, Cuba, Egypt, France, Germany, Greece, Guatemala, India, Iran (Islamic Republic of), Ir</w:t>
      </w:r>
      <w:r w:rsidRPr="005100CE">
        <w:rPr>
          <w:lang w:val="en-US"/>
        </w:rPr>
        <w:t>e</w:t>
      </w:r>
      <w:r w:rsidRPr="005100CE">
        <w:rPr>
          <w:lang w:val="en-US"/>
        </w:rPr>
        <w:t>land, Italy, Japan, Jordan, Kazakhstan, Latvia, Libya, Luxembourg, Mexico, Morocco, Namibia, Norway, Pakistan, Panama, Paraguay, Republic of Korea, Russian Feder</w:t>
      </w:r>
      <w:r w:rsidRPr="005100CE">
        <w:rPr>
          <w:lang w:val="en-US"/>
        </w:rPr>
        <w:t>a</w:t>
      </w:r>
      <w:r w:rsidRPr="005100CE">
        <w:rPr>
          <w:lang w:val="en-US"/>
        </w:rPr>
        <w:t>tion, Saudi Arabia, Senegal, South Africa, Spain, Sri Lanka, Sudan, Switzerland, Syr</w:t>
      </w:r>
      <w:r w:rsidRPr="005100CE">
        <w:rPr>
          <w:lang w:val="en-US"/>
        </w:rPr>
        <w:t>i</w:t>
      </w:r>
      <w:r w:rsidRPr="005100CE">
        <w:rPr>
          <w:lang w:val="en-US"/>
        </w:rPr>
        <w:t>an Arab Republic, Thailand, Tunisia, United Kingdom of Great Britain and Northern Ireland, United States of America, Venezuela (Bolivarian Republic of), Viet Nam</w:t>
      </w:r>
    </w:p>
    <w:p w:rsidR="002B0AAF" w:rsidRPr="002B0AAF" w:rsidRDefault="002B0AAF" w:rsidP="002B0AAF">
      <w:pPr>
        <w:pStyle w:val="SingleTxt"/>
        <w:spacing w:after="0" w:line="120" w:lineRule="exact"/>
        <w:rPr>
          <w:sz w:val="10"/>
          <w:lang w:val="en-US"/>
        </w:rPr>
      </w:pPr>
    </w:p>
    <w:p w:rsidR="00940660" w:rsidRPr="005100CE" w:rsidRDefault="00940660" w:rsidP="002B0AA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Non-member States represented by an observer</w:t>
      </w:r>
    </w:p>
    <w:p w:rsidR="002B0AAF" w:rsidRPr="002B0AAF" w:rsidRDefault="002B0AAF" w:rsidP="002B0AAF">
      <w:pPr>
        <w:pStyle w:val="SingleTxt"/>
        <w:spacing w:after="0" w:line="120" w:lineRule="exact"/>
        <w:rPr>
          <w:sz w:val="10"/>
          <w:lang w:val="en-US"/>
        </w:rPr>
      </w:pPr>
    </w:p>
    <w:p w:rsidR="00940660" w:rsidRPr="005100CE" w:rsidRDefault="00940660" w:rsidP="00940660">
      <w:pPr>
        <w:pStyle w:val="SingleTxt"/>
        <w:rPr>
          <w:lang w:val="en-US"/>
        </w:rPr>
      </w:pPr>
      <w:r w:rsidRPr="005100CE">
        <w:rPr>
          <w:lang w:val="en-US"/>
        </w:rPr>
        <w:t>State of Palestine</w:t>
      </w:r>
    </w:p>
    <w:p w:rsidR="002B0AAF" w:rsidRPr="002B0AAF" w:rsidRDefault="002B0AAF" w:rsidP="002B0AAF">
      <w:pPr>
        <w:pStyle w:val="SingleTxt"/>
        <w:spacing w:after="0" w:line="120" w:lineRule="exact"/>
        <w:rPr>
          <w:sz w:val="10"/>
          <w:lang w:val="en-US"/>
        </w:rPr>
      </w:pPr>
    </w:p>
    <w:p w:rsidR="00940660" w:rsidRPr="005100CE" w:rsidRDefault="00940660" w:rsidP="002B0AA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 xml:space="preserve">United Nations funds, </w:t>
      </w:r>
      <w:proofErr w:type="spellStart"/>
      <w:r w:rsidRPr="005100CE">
        <w:rPr>
          <w:lang w:val="en-US"/>
        </w:rPr>
        <w:t>programmes</w:t>
      </w:r>
      <w:proofErr w:type="spellEnd"/>
      <w:r w:rsidRPr="005100CE">
        <w:rPr>
          <w:lang w:val="en-US"/>
        </w:rPr>
        <w:t>, specialized agencies and related organizations</w:t>
      </w:r>
    </w:p>
    <w:p w:rsidR="002B0AAF" w:rsidRPr="002B0AAF" w:rsidRDefault="002B0AAF" w:rsidP="002B0AAF">
      <w:pPr>
        <w:pStyle w:val="SingleTxt"/>
        <w:spacing w:after="0" w:line="120" w:lineRule="exact"/>
        <w:rPr>
          <w:sz w:val="10"/>
          <w:lang w:val="en-US"/>
        </w:rPr>
      </w:pPr>
    </w:p>
    <w:p w:rsidR="00940660" w:rsidRPr="005100CE" w:rsidRDefault="00940660" w:rsidP="00940660">
      <w:pPr>
        <w:pStyle w:val="SingleTxt"/>
        <w:rPr>
          <w:lang w:val="en-US"/>
        </w:rPr>
      </w:pPr>
      <w:r w:rsidRPr="005100CE">
        <w:rPr>
          <w:lang w:val="en-US"/>
        </w:rPr>
        <w:t>World Trade Organization</w:t>
      </w:r>
    </w:p>
    <w:p w:rsidR="002B0AAF" w:rsidRPr="002B0AAF" w:rsidRDefault="002B0AAF" w:rsidP="002B0AAF">
      <w:pPr>
        <w:pStyle w:val="SingleTxt"/>
        <w:spacing w:after="0" w:line="120" w:lineRule="exact"/>
        <w:rPr>
          <w:sz w:val="10"/>
          <w:lang w:val="en-US"/>
        </w:rPr>
      </w:pPr>
    </w:p>
    <w:p w:rsidR="00940660" w:rsidRPr="005100CE" w:rsidRDefault="00940660" w:rsidP="002B0AA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Intergovernmental organizations</w:t>
      </w:r>
    </w:p>
    <w:p w:rsidR="002B0AAF" w:rsidRPr="002B0AAF" w:rsidRDefault="002B0AAF" w:rsidP="002B0AAF">
      <w:pPr>
        <w:pStyle w:val="SingleTxt"/>
        <w:spacing w:after="0" w:line="120" w:lineRule="exact"/>
        <w:rPr>
          <w:sz w:val="10"/>
          <w:lang w:val="en-US"/>
        </w:rPr>
      </w:pPr>
    </w:p>
    <w:p w:rsidR="00940660" w:rsidRPr="005100CE" w:rsidRDefault="00940660" w:rsidP="00940660">
      <w:pPr>
        <w:pStyle w:val="SingleTxt"/>
        <w:rPr>
          <w:lang w:val="en-US"/>
        </w:rPr>
      </w:pPr>
      <w:r w:rsidRPr="005100CE">
        <w:rPr>
          <w:lang w:val="en-US"/>
        </w:rPr>
        <w:t>African Union, European Union</w:t>
      </w:r>
    </w:p>
    <w:p w:rsidR="002B0AAF" w:rsidRPr="002B0AAF" w:rsidRDefault="002B0AAF" w:rsidP="002B0AAF">
      <w:pPr>
        <w:pStyle w:val="SingleTxt"/>
        <w:spacing w:after="0" w:line="120" w:lineRule="exact"/>
        <w:rPr>
          <w:sz w:val="10"/>
          <w:lang w:val="en-US"/>
        </w:rPr>
      </w:pPr>
    </w:p>
    <w:p w:rsidR="00940660" w:rsidRPr="005100CE" w:rsidRDefault="00940660" w:rsidP="002B0AA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Other entities</w:t>
      </w:r>
    </w:p>
    <w:p w:rsidR="002B0AAF" w:rsidRPr="002B0AAF" w:rsidRDefault="002B0AAF" w:rsidP="002B0AAF">
      <w:pPr>
        <w:pStyle w:val="SingleTxt"/>
        <w:spacing w:after="0" w:line="120" w:lineRule="exact"/>
        <w:rPr>
          <w:sz w:val="10"/>
          <w:lang w:val="en-US"/>
        </w:rPr>
      </w:pPr>
    </w:p>
    <w:p w:rsidR="00940660" w:rsidRPr="005100CE" w:rsidRDefault="00940660" w:rsidP="00940660">
      <w:pPr>
        <w:pStyle w:val="SingleTxt"/>
        <w:rPr>
          <w:lang w:val="en-US"/>
        </w:rPr>
      </w:pPr>
      <w:r w:rsidRPr="005100CE">
        <w:rPr>
          <w:lang w:val="en-US"/>
        </w:rPr>
        <w:t>International Committee of the Red Cross</w:t>
      </w:r>
    </w:p>
    <w:p w:rsidR="002B0AAF" w:rsidRPr="002B0AAF" w:rsidRDefault="002B0AAF" w:rsidP="002B0AAF">
      <w:pPr>
        <w:pStyle w:val="SingleTxt"/>
        <w:spacing w:after="0" w:line="120" w:lineRule="exact"/>
        <w:rPr>
          <w:sz w:val="10"/>
          <w:lang w:val="en-US"/>
        </w:rPr>
      </w:pPr>
    </w:p>
    <w:p w:rsidR="00940660" w:rsidRPr="005100CE" w:rsidRDefault="00940660" w:rsidP="002B0AA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Special procedures of the Human Rights Council</w:t>
      </w:r>
    </w:p>
    <w:p w:rsidR="002B0AAF" w:rsidRPr="002B0AAF" w:rsidRDefault="002B0AAF" w:rsidP="002B0AAF">
      <w:pPr>
        <w:pStyle w:val="SingleTxt"/>
        <w:spacing w:after="0" w:line="120" w:lineRule="exact"/>
        <w:rPr>
          <w:sz w:val="10"/>
          <w:lang w:val="en-US"/>
        </w:rPr>
      </w:pPr>
    </w:p>
    <w:p w:rsidR="00940660" w:rsidRPr="005100CE" w:rsidRDefault="00940660" w:rsidP="00940660">
      <w:pPr>
        <w:pStyle w:val="SingleTxt"/>
        <w:rPr>
          <w:lang w:val="en-US"/>
        </w:rPr>
      </w:pPr>
      <w:r w:rsidRPr="005100CE">
        <w:rPr>
          <w:lang w:val="en-US"/>
        </w:rPr>
        <w:t>Working Group on the use of mercenaries as a means of violating human rights and impeding the exercise of the right of peoples to self-determination</w:t>
      </w:r>
    </w:p>
    <w:p w:rsidR="002B0AAF" w:rsidRPr="002B0AAF" w:rsidRDefault="002B0AAF" w:rsidP="002B0AAF">
      <w:pPr>
        <w:pStyle w:val="SingleTxt"/>
        <w:spacing w:after="0" w:line="120" w:lineRule="exact"/>
        <w:rPr>
          <w:sz w:val="10"/>
          <w:lang w:val="en-US"/>
        </w:rPr>
      </w:pPr>
    </w:p>
    <w:p w:rsidR="00940660" w:rsidRPr="005100CE" w:rsidRDefault="00940660" w:rsidP="002B0AA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5100CE">
        <w:rPr>
          <w:lang w:val="en-US"/>
        </w:rPr>
        <w:tab/>
      </w:r>
      <w:r w:rsidRPr="005100CE">
        <w:rPr>
          <w:lang w:val="en-US"/>
        </w:rPr>
        <w:tab/>
        <w:t>Non-governmental organizations in consultative status with the Economic and Social Council</w:t>
      </w:r>
    </w:p>
    <w:p w:rsidR="002B0AAF" w:rsidRPr="002B0AAF" w:rsidRDefault="002B0AAF" w:rsidP="002B0AAF">
      <w:pPr>
        <w:pStyle w:val="SingleTxt"/>
        <w:spacing w:after="0" w:line="120" w:lineRule="exact"/>
        <w:rPr>
          <w:sz w:val="10"/>
          <w:lang w:val="en-US"/>
        </w:rPr>
      </w:pPr>
    </w:p>
    <w:p w:rsidR="00940660" w:rsidRPr="002B0AAF" w:rsidRDefault="00940660" w:rsidP="00940660">
      <w:pPr>
        <w:pStyle w:val="SingleTxt"/>
        <w:rPr>
          <w:lang w:val="en-US"/>
        </w:rPr>
      </w:pPr>
      <w:r w:rsidRPr="005100CE">
        <w:rPr>
          <w:lang w:val="en-US"/>
        </w:rPr>
        <w:t>American Association of Jurists, Colombian Commission of Jurists, Centre for Socio-Economic Development</w:t>
      </w:r>
    </w:p>
    <w:p w:rsidR="002B0AAF" w:rsidRPr="002B0AAF" w:rsidRDefault="002B0AAF" w:rsidP="002B0A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Pr>
          <w:lang w:val="en-US"/>
        </w:rPr>
        <w:br w:type="page"/>
      </w:r>
      <w:r w:rsidRPr="002B0AAF">
        <w:rPr>
          <w:lang w:val="en-US"/>
        </w:rPr>
        <w:tab/>
        <w:t>Annex II</w:t>
      </w: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jc w:val="right"/>
        <w:rPr>
          <w:i/>
          <w:lang w:val="en-US"/>
        </w:rPr>
      </w:pPr>
      <w:r w:rsidRPr="002B0AAF">
        <w:rPr>
          <w:i/>
          <w:lang w:val="en-US"/>
        </w:rPr>
        <w:t>[English only]</w:t>
      </w: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spacing w:after="0" w:line="120" w:lineRule="exact"/>
        <w:rPr>
          <w:sz w:val="10"/>
          <w:lang w:val="en-US"/>
        </w:rPr>
      </w:pPr>
    </w:p>
    <w:p w:rsidR="002B0AAF" w:rsidRPr="002B0AAF" w:rsidRDefault="002B0AAF" w:rsidP="002B0A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2B0AAF">
        <w:rPr>
          <w:lang w:val="en-US"/>
        </w:rPr>
        <w:tab/>
      </w:r>
      <w:r w:rsidRPr="002B0AAF">
        <w:rPr>
          <w:lang w:val="en-US"/>
        </w:rPr>
        <w:tab/>
        <w:t>Concluding remarks by the European Union</w:t>
      </w: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spacing w:after="0" w:line="120" w:lineRule="exact"/>
        <w:rPr>
          <w:sz w:val="10"/>
          <w:lang w:val="en-US"/>
        </w:rPr>
      </w:pPr>
    </w:p>
    <w:p w:rsidR="002B0AAF" w:rsidRPr="002B0AAF" w:rsidRDefault="002B0AAF" w:rsidP="002B0AAF">
      <w:pPr>
        <w:pStyle w:val="SingleTxt"/>
        <w:rPr>
          <w:lang w:val="en-US"/>
        </w:rPr>
      </w:pPr>
      <w:r w:rsidRPr="002B0AAF">
        <w:rPr>
          <w:lang w:val="en-US"/>
        </w:rPr>
        <w:t xml:space="preserve">The European Union would like to thank the Chair and the Secretariat for the work in preparation of this session and during the session. </w:t>
      </w:r>
    </w:p>
    <w:p w:rsidR="002B0AAF" w:rsidRPr="002B0AAF" w:rsidRDefault="002B0AAF" w:rsidP="002B0AAF">
      <w:pPr>
        <w:pStyle w:val="SingleTxt"/>
        <w:rPr>
          <w:lang w:val="en-US"/>
        </w:rPr>
      </w:pPr>
      <w:r w:rsidRPr="002B0AAF">
        <w:rPr>
          <w:lang w:val="en-US"/>
        </w:rPr>
        <w:t>The European Union believes that private security companies need to respect intern</w:t>
      </w:r>
      <w:r w:rsidRPr="002B0AAF">
        <w:rPr>
          <w:lang w:val="en-US"/>
        </w:rPr>
        <w:t>a</w:t>
      </w:r>
      <w:r w:rsidRPr="002B0AAF">
        <w:rPr>
          <w:lang w:val="en-US"/>
        </w:rPr>
        <w:t>tional humanitarian law and international human rights law.</w:t>
      </w:r>
    </w:p>
    <w:p w:rsidR="002B0AAF" w:rsidRPr="002B0AAF" w:rsidRDefault="002B0AAF" w:rsidP="002B0AAF">
      <w:pPr>
        <w:pStyle w:val="SingleTxt"/>
        <w:rPr>
          <w:lang w:val="en-US"/>
        </w:rPr>
      </w:pPr>
      <w:r w:rsidRPr="002B0AAF">
        <w:rPr>
          <w:lang w:val="en-US"/>
        </w:rPr>
        <w:t>The European Union has actively and constructively engaged in the discussion of this intergovernmental working group over the past four years. Several presentations du</w:t>
      </w:r>
      <w:r w:rsidRPr="002B0AAF">
        <w:rPr>
          <w:lang w:val="en-US"/>
        </w:rPr>
        <w:t>r</w:t>
      </w:r>
      <w:r w:rsidRPr="002B0AAF">
        <w:rPr>
          <w:lang w:val="en-US"/>
        </w:rPr>
        <w:t>ing this session were particularly informative and confirm that this industry is co</w:t>
      </w:r>
      <w:r w:rsidRPr="002B0AAF">
        <w:rPr>
          <w:lang w:val="en-US"/>
        </w:rPr>
        <w:t>m</w:t>
      </w:r>
      <w:r w:rsidRPr="002B0AAF">
        <w:rPr>
          <w:lang w:val="en-US"/>
        </w:rPr>
        <w:t>plex, and evolving. The presentations also confirm that many steps have already been taken to prevent abuses, and provide remedy when abuses occur. A range of oblig</w:t>
      </w:r>
      <w:r w:rsidRPr="002B0AAF">
        <w:rPr>
          <w:lang w:val="en-US"/>
        </w:rPr>
        <w:t>a</w:t>
      </w:r>
      <w:r w:rsidRPr="002B0AAF">
        <w:rPr>
          <w:lang w:val="en-US"/>
        </w:rPr>
        <w:t>tions for States already exists, as well as several processes to set new standards, to elaborate concrete guidance for specific sectors, and to ensure oversight and accoun</w:t>
      </w:r>
      <w:r w:rsidRPr="002B0AAF">
        <w:rPr>
          <w:lang w:val="en-US"/>
        </w:rPr>
        <w:t>t</w:t>
      </w:r>
      <w:r w:rsidRPr="002B0AAF">
        <w:rPr>
          <w:lang w:val="en-US"/>
        </w:rPr>
        <w:t xml:space="preserve">ability. </w:t>
      </w:r>
    </w:p>
    <w:p w:rsidR="002B0AAF" w:rsidRPr="002B0AAF" w:rsidRDefault="002B0AAF" w:rsidP="002B0AAF">
      <w:pPr>
        <w:pStyle w:val="SingleTxt"/>
        <w:rPr>
          <w:lang w:val="en-US"/>
        </w:rPr>
      </w:pPr>
      <w:r w:rsidRPr="002B0AAF">
        <w:rPr>
          <w:lang w:val="en-US"/>
        </w:rPr>
        <w:t>The discussion confirmed the specificities of regulating sea-based private security a</w:t>
      </w:r>
      <w:r w:rsidRPr="002B0AAF">
        <w:rPr>
          <w:lang w:val="en-US"/>
        </w:rPr>
        <w:t>c</w:t>
      </w:r>
      <w:r w:rsidRPr="002B0AAF">
        <w:rPr>
          <w:lang w:val="en-US"/>
        </w:rPr>
        <w:t>tivities and the need to look into progress made in other fora. It is particular important not to duplicate the work carried by the International Maritime Organization (IMO). IMO has a leading role on this issue.</w:t>
      </w:r>
    </w:p>
    <w:p w:rsidR="002B0AAF" w:rsidRPr="002B0AAF" w:rsidRDefault="002B0AAF" w:rsidP="002B0AAF">
      <w:pPr>
        <w:pStyle w:val="SingleTxt"/>
        <w:rPr>
          <w:lang w:val="en-US"/>
        </w:rPr>
      </w:pPr>
      <w:r w:rsidRPr="002B0AAF">
        <w:rPr>
          <w:lang w:val="en-US"/>
        </w:rPr>
        <w:t>The European Union is prepared to consider other options, and has come forward with a set of possible action oriented recommendations to ensure that this intergovernme</w:t>
      </w:r>
      <w:r w:rsidRPr="002B0AAF">
        <w:rPr>
          <w:lang w:val="en-US"/>
        </w:rPr>
        <w:t>n</w:t>
      </w:r>
      <w:r w:rsidRPr="002B0AAF">
        <w:rPr>
          <w:lang w:val="en-US"/>
        </w:rPr>
        <w:t xml:space="preserve">tal working group can progress in its deliberations. The European Union would like to share with the plenary its proposed recommendations, as circulated on the third day of this session and presented during the informal consultations on the fourth </w:t>
      </w:r>
      <w:proofErr w:type="gramStart"/>
      <w:r w:rsidRPr="002B0AAF">
        <w:rPr>
          <w:lang w:val="en-US"/>
        </w:rPr>
        <w:t>day :</w:t>
      </w:r>
      <w:proofErr w:type="gramEnd"/>
      <w:r w:rsidRPr="002B0AAF">
        <w:rPr>
          <w:lang w:val="en-US"/>
        </w:rPr>
        <w:t xml:space="preserve"> </w:t>
      </w:r>
    </w:p>
    <w:p w:rsidR="002B0AAF" w:rsidRPr="002B0AAF" w:rsidRDefault="002B0AAF" w:rsidP="002B0AAF">
      <w:pPr>
        <w:pStyle w:val="SingleTxt"/>
        <w:ind w:left="1742"/>
        <w:rPr>
          <w:lang w:val="en-US"/>
        </w:rPr>
      </w:pPr>
      <w:r w:rsidRPr="002B0AAF">
        <w:rPr>
          <w:lang w:val="en-US"/>
        </w:rPr>
        <w:t>In view of the substantive discussions held during the past sessions of the open-ended inter-governmental working group, and in light of the complexities of the issues, it recommends to the Human Rights Council the following:</w:t>
      </w:r>
    </w:p>
    <w:p w:rsidR="002B0AAF" w:rsidRPr="002B0AAF" w:rsidRDefault="002B0AAF" w:rsidP="002B0AAF">
      <w:pPr>
        <w:pStyle w:val="SingleTxt"/>
        <w:ind w:left="1742"/>
        <w:rPr>
          <w:lang w:val="en-US"/>
        </w:rPr>
      </w:pPr>
      <w:r w:rsidRPr="00E24112">
        <w:rPr>
          <w:lang w:val="en-US"/>
        </w:rPr>
        <w:tab/>
      </w:r>
      <w:r w:rsidRPr="002B0AAF">
        <w:rPr>
          <w:lang w:val="en-US"/>
        </w:rPr>
        <w:t>(a)</w:t>
      </w:r>
      <w:r w:rsidRPr="002B0AAF">
        <w:rPr>
          <w:lang w:val="en-US"/>
        </w:rPr>
        <w:tab/>
        <w:t>Continuation of the substantive discussions in the intergovernmental working group with the participation of experts and all relevant stakeholders to take stock of progress at the national and international levels — including in widening the support to the Montreux Document and its Forum, and the deve</w:t>
      </w:r>
      <w:r w:rsidRPr="002B0AAF">
        <w:rPr>
          <w:lang w:val="en-US"/>
        </w:rPr>
        <w:t>l</w:t>
      </w:r>
      <w:r w:rsidRPr="002B0AAF">
        <w:rPr>
          <w:lang w:val="en-US"/>
        </w:rPr>
        <w:t>opment of the International Code of Conduct Association — regarding the reg</w:t>
      </w:r>
      <w:r w:rsidRPr="002B0AAF">
        <w:rPr>
          <w:lang w:val="en-US"/>
        </w:rPr>
        <w:t>u</w:t>
      </w:r>
      <w:r w:rsidRPr="002B0AAF">
        <w:rPr>
          <w:lang w:val="en-US"/>
        </w:rPr>
        <w:t>lation, monitoring and oversight of the activities of Private Military Companies and Private Security Companies;</w:t>
      </w:r>
    </w:p>
    <w:p w:rsidR="002B0AAF" w:rsidRPr="002B0AAF" w:rsidRDefault="002B0AAF" w:rsidP="002B0AAF">
      <w:pPr>
        <w:pStyle w:val="SingleTxt"/>
        <w:ind w:left="1742"/>
        <w:rPr>
          <w:lang w:val="en-US"/>
        </w:rPr>
      </w:pPr>
      <w:r w:rsidRPr="00E24112">
        <w:rPr>
          <w:lang w:val="en-US"/>
        </w:rPr>
        <w:tab/>
      </w:r>
      <w:r w:rsidRPr="002B0AAF">
        <w:rPr>
          <w:lang w:val="en-US"/>
        </w:rPr>
        <w:t>(b)</w:t>
      </w:r>
      <w:r w:rsidRPr="002B0AAF">
        <w:rPr>
          <w:lang w:val="en-US"/>
        </w:rPr>
        <w:tab/>
        <w:t>Review the implementation of the Guiding Principles on Business and Human Rights, with particular emphasis on the third pillar regarding access to remedies, in the case of the activities carried out by private military companies and private security companies;</w:t>
      </w:r>
    </w:p>
    <w:p w:rsidR="002B0AAF" w:rsidRPr="002B0AAF" w:rsidRDefault="002B0AAF" w:rsidP="002B0AAF">
      <w:pPr>
        <w:pStyle w:val="SingleTxt"/>
        <w:ind w:left="1742"/>
        <w:rPr>
          <w:lang w:val="en-US"/>
        </w:rPr>
      </w:pPr>
      <w:r w:rsidRPr="00E24112">
        <w:rPr>
          <w:lang w:val="en-US"/>
        </w:rPr>
        <w:tab/>
      </w:r>
      <w:r w:rsidRPr="002B0AAF">
        <w:rPr>
          <w:lang w:val="en-US"/>
        </w:rPr>
        <w:t>(c)</w:t>
      </w:r>
      <w:r w:rsidRPr="002B0AAF">
        <w:rPr>
          <w:lang w:val="en-US"/>
        </w:rPr>
        <w:tab/>
        <w:t>Consideration of the range of options to be explored to further deve</w:t>
      </w:r>
      <w:r w:rsidRPr="002B0AAF">
        <w:rPr>
          <w:lang w:val="en-US"/>
        </w:rPr>
        <w:t>l</w:t>
      </w:r>
      <w:r w:rsidRPr="002B0AAF">
        <w:rPr>
          <w:lang w:val="en-US"/>
        </w:rPr>
        <w:t>op an international regulatory framework, including international standards se</w:t>
      </w:r>
      <w:r w:rsidRPr="002B0AAF">
        <w:rPr>
          <w:lang w:val="en-US"/>
        </w:rPr>
        <w:t>t</w:t>
      </w:r>
      <w:r w:rsidRPr="002B0AAF">
        <w:rPr>
          <w:lang w:val="en-US"/>
        </w:rPr>
        <w:t>ting, development of guidelines, possibly actions plans or model laws, contract templates based on the Montreux Document, good practices and mutual legal a</w:t>
      </w:r>
      <w:r w:rsidRPr="002B0AAF">
        <w:rPr>
          <w:lang w:val="en-US"/>
        </w:rPr>
        <w:t>s</w:t>
      </w:r>
      <w:r w:rsidRPr="002B0AAF">
        <w:rPr>
          <w:lang w:val="en-US"/>
        </w:rPr>
        <w:t xml:space="preserve">sistance </w:t>
      </w:r>
      <w:proofErr w:type="spellStart"/>
      <w:r w:rsidRPr="002B0AAF">
        <w:rPr>
          <w:lang w:val="en-US"/>
        </w:rPr>
        <w:t>programmes</w:t>
      </w:r>
      <w:proofErr w:type="spellEnd"/>
      <w:r w:rsidRPr="002B0AAF">
        <w:rPr>
          <w:lang w:val="en-US"/>
        </w:rPr>
        <w:t>;</w:t>
      </w:r>
    </w:p>
    <w:p w:rsidR="002B0AAF" w:rsidRPr="002B0AAF" w:rsidRDefault="002B0AAF" w:rsidP="002B0AAF">
      <w:pPr>
        <w:pStyle w:val="SingleTxt"/>
        <w:ind w:left="1742"/>
        <w:rPr>
          <w:lang w:val="en-US"/>
        </w:rPr>
      </w:pPr>
      <w:r w:rsidRPr="00E24112">
        <w:rPr>
          <w:lang w:val="en-US"/>
        </w:rPr>
        <w:tab/>
      </w:r>
      <w:r w:rsidRPr="002B0AAF">
        <w:rPr>
          <w:lang w:val="en-US"/>
        </w:rPr>
        <w:t>(d)</w:t>
      </w:r>
      <w:r w:rsidRPr="002B0AAF">
        <w:rPr>
          <w:lang w:val="en-US"/>
        </w:rPr>
        <w:tab/>
        <w:t xml:space="preserve">Consideration of the tasking of a high-level group of legal experts/the Office of the United Nations High Commissioner for Human Rights to prepare a document for consideration at the fifth session to outline the modalities for each possible option, drawing when possible on past experience. </w:t>
      </w:r>
    </w:p>
    <w:p w:rsidR="002B0AAF" w:rsidRPr="002B0AAF" w:rsidRDefault="002B0AAF" w:rsidP="002B0AAF">
      <w:pPr>
        <w:pStyle w:val="SingleTxt"/>
        <w:rPr>
          <w:lang w:val="en-US"/>
        </w:rPr>
      </w:pPr>
      <w:r w:rsidRPr="002B0AAF">
        <w:rPr>
          <w:lang w:val="en-US"/>
        </w:rPr>
        <w:t>The European Union showed willingness to work on a compromise which would have allowed this intergovernmental working group to agree on a set of solid and action oriented recommendations. The European Union would like to thank delegations from across regions who offered compromise language, and regrets that other delegations insisted on language which clearly would never allow for consensus. The European Union further regrets that some delegations called inter alia for the deletion of the pa</w:t>
      </w:r>
      <w:r w:rsidRPr="002B0AAF">
        <w:rPr>
          <w:lang w:val="en-US"/>
        </w:rPr>
        <w:t>r</w:t>
      </w:r>
      <w:r w:rsidRPr="002B0AAF">
        <w:rPr>
          <w:lang w:val="en-US"/>
        </w:rPr>
        <w:t xml:space="preserve">agraph referring to the implementation of the Guiding Principles on Business and Human Rights and in particular to the third pillar on access to remedies. The European Union is committed to the implementation of the Guiding Principles on Business and Human Rights and hopes that all States are also committed to their implementation. </w:t>
      </w:r>
    </w:p>
    <w:p w:rsidR="002B0AAF" w:rsidRPr="002B0AAF" w:rsidRDefault="002B0AAF" w:rsidP="002B0AAF">
      <w:pPr>
        <w:pStyle w:val="SingleTxt"/>
        <w:rPr>
          <w:lang w:val="en-US"/>
        </w:rPr>
      </w:pPr>
      <w:r w:rsidRPr="002B0AAF">
        <w:rPr>
          <w:lang w:val="en-US"/>
        </w:rPr>
        <w:t xml:space="preserve">Finally, the European Union would like to refer to the important role of civil society organizations and human rights defenders who are actively engaged in this area of work. </w:t>
      </w:r>
    </w:p>
    <w:p w:rsidR="002B0AAF" w:rsidRPr="00E24112" w:rsidRDefault="002B0AAF" w:rsidP="002B0AAF">
      <w:pPr>
        <w:pStyle w:val="SingleTxt"/>
        <w:rPr>
          <w:lang w:val="en-US"/>
        </w:rPr>
      </w:pPr>
      <w:r w:rsidRPr="002B0AAF">
        <w:rPr>
          <w:lang w:val="en-US"/>
        </w:rPr>
        <w:t>I thank you Mr. Chair.</w:t>
      </w:r>
    </w:p>
    <w:p w:rsidR="002B0AAF" w:rsidRPr="002B0AAF" w:rsidRDefault="002B0AAF" w:rsidP="002B0A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24112">
        <w:rPr>
          <w:lang w:val="fr-FR"/>
        </w:rPr>
        <w:br w:type="page"/>
      </w:r>
      <w:proofErr w:type="spellStart"/>
      <w:r w:rsidRPr="002B0AAF">
        <w:rPr>
          <w:lang w:val="fr-FR"/>
        </w:rPr>
        <w:t>Annex</w:t>
      </w:r>
      <w:proofErr w:type="spellEnd"/>
      <w:r w:rsidRPr="002B0AAF">
        <w:rPr>
          <w:lang w:val="fr-FR"/>
        </w:rPr>
        <w:t xml:space="preserve"> III</w:t>
      </w:r>
    </w:p>
    <w:p w:rsidR="002B0AAF" w:rsidRPr="002B0AAF" w:rsidRDefault="002B0AAF" w:rsidP="002B0AAF">
      <w:pPr>
        <w:pStyle w:val="SingleTxt"/>
        <w:spacing w:after="0" w:line="120" w:lineRule="exact"/>
        <w:rPr>
          <w:sz w:val="10"/>
          <w:lang w:val="fr-FR"/>
        </w:rPr>
      </w:pPr>
    </w:p>
    <w:p w:rsidR="002B0AAF" w:rsidRPr="002B0AAF" w:rsidRDefault="002B0AAF" w:rsidP="002B0AAF">
      <w:pPr>
        <w:pStyle w:val="SingleTxt"/>
        <w:spacing w:after="0" w:line="120" w:lineRule="exact"/>
        <w:rPr>
          <w:sz w:val="10"/>
          <w:lang w:val="fr-FR"/>
        </w:rPr>
      </w:pPr>
    </w:p>
    <w:p w:rsidR="002B0AAF" w:rsidRPr="002B0AAF" w:rsidRDefault="002B0AAF" w:rsidP="002B0AAF">
      <w:pPr>
        <w:pStyle w:val="SingleTxt"/>
        <w:jc w:val="right"/>
        <w:rPr>
          <w:i/>
          <w:lang w:val="fr-FR"/>
        </w:rPr>
      </w:pPr>
      <w:r w:rsidRPr="002B0AAF">
        <w:rPr>
          <w:i/>
          <w:lang w:val="fr-FR"/>
        </w:rPr>
        <w:t xml:space="preserve">[French </w:t>
      </w:r>
      <w:proofErr w:type="spellStart"/>
      <w:r w:rsidRPr="002B0AAF">
        <w:rPr>
          <w:i/>
          <w:lang w:val="fr-FR"/>
        </w:rPr>
        <w:t>only</w:t>
      </w:r>
      <w:proofErr w:type="spellEnd"/>
      <w:r w:rsidRPr="002B0AAF">
        <w:rPr>
          <w:i/>
          <w:lang w:val="fr-FR"/>
        </w:rPr>
        <w:t>]</w:t>
      </w:r>
    </w:p>
    <w:p w:rsidR="002B0AAF" w:rsidRPr="002B0AAF" w:rsidRDefault="002B0AAF" w:rsidP="002B0AAF">
      <w:pPr>
        <w:pStyle w:val="SingleTxt"/>
        <w:spacing w:after="0" w:line="120" w:lineRule="exact"/>
        <w:rPr>
          <w:sz w:val="10"/>
          <w:lang w:val="fr-FR"/>
        </w:rPr>
      </w:pPr>
    </w:p>
    <w:p w:rsidR="002B0AAF" w:rsidRPr="002B0AAF" w:rsidRDefault="002B0AAF" w:rsidP="002B0AAF">
      <w:pPr>
        <w:pStyle w:val="SingleTxt"/>
        <w:spacing w:after="0" w:line="120" w:lineRule="exact"/>
        <w:rPr>
          <w:sz w:val="10"/>
          <w:lang w:val="fr-FR"/>
        </w:rPr>
      </w:pPr>
    </w:p>
    <w:p w:rsidR="002B0AAF" w:rsidRPr="002B0AAF" w:rsidRDefault="002B0AAF" w:rsidP="002B0A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2B0AAF">
        <w:rPr>
          <w:lang w:val="fr-FR"/>
        </w:rPr>
        <w:tab/>
      </w:r>
      <w:r w:rsidRPr="002B0AAF">
        <w:rPr>
          <w:lang w:val="fr-FR"/>
        </w:rPr>
        <w:tab/>
        <w:t>Déclaration et observations finales du Groupe africain</w:t>
      </w:r>
    </w:p>
    <w:p w:rsidR="002B0AAF" w:rsidRPr="002B0AAF" w:rsidRDefault="002B0AAF" w:rsidP="002B0AAF">
      <w:pPr>
        <w:pStyle w:val="SingleTxt"/>
        <w:spacing w:after="0" w:line="120" w:lineRule="exact"/>
        <w:rPr>
          <w:sz w:val="10"/>
          <w:lang w:val="fr-FR"/>
        </w:rPr>
      </w:pPr>
    </w:p>
    <w:p w:rsidR="002B0AAF" w:rsidRPr="002B0AAF" w:rsidRDefault="002B0AAF" w:rsidP="002B0AAF">
      <w:pPr>
        <w:pStyle w:val="SingleTxt"/>
        <w:spacing w:after="0" w:line="120" w:lineRule="exact"/>
        <w:rPr>
          <w:sz w:val="10"/>
          <w:lang w:val="fr-FR"/>
        </w:rPr>
      </w:pPr>
    </w:p>
    <w:p w:rsidR="002B0AAF" w:rsidRPr="002B0AAF" w:rsidRDefault="002B0AAF" w:rsidP="002B0AAF">
      <w:pPr>
        <w:pStyle w:val="SingleTxt"/>
        <w:rPr>
          <w:lang w:val="fr-FR"/>
        </w:rPr>
      </w:pPr>
      <w:r w:rsidRPr="002B0AAF">
        <w:rPr>
          <w:lang w:val="fr-FR"/>
        </w:rPr>
        <w:t>Le Groupe africain regrette que le Groupe de travail ne soit pas parvenu au consensus eu égard à l’importance de cette question et le Groupe africain regrette qu’il n’y ait pas eu de consensus au cours de cette session.</w:t>
      </w:r>
    </w:p>
    <w:p w:rsidR="002B0AAF" w:rsidRPr="002B0AAF" w:rsidRDefault="002B0AAF" w:rsidP="002B0AAF">
      <w:pPr>
        <w:pStyle w:val="SingleTxt"/>
        <w:rPr>
          <w:lang w:val="fr-FR"/>
        </w:rPr>
      </w:pPr>
      <w:r w:rsidRPr="002B0AAF">
        <w:rPr>
          <w:lang w:val="fr-FR"/>
        </w:rPr>
        <w:t>Le Groupe africain souhaiterait encore une fois réitérer l’importance qu’il attache au mandat de ce groupe de travail qui selon le Groupe doit se focaliser sur l’élaboration d’un instrument international à caractère contraignant. La nécessité et l’opportunité et les éléments qui peuvent constituer ledit instrument ont fait à notre avis l’objet de pr</w:t>
      </w:r>
      <w:r w:rsidRPr="002B0AAF">
        <w:rPr>
          <w:lang w:val="fr-FR"/>
        </w:rPr>
        <w:t>é</w:t>
      </w:r>
      <w:r w:rsidRPr="002B0AAF">
        <w:rPr>
          <w:lang w:val="fr-FR"/>
        </w:rPr>
        <w:t>sentations détaillées au cours de la semaine écoulée ainsi qu’au cours des sessions précédentes. A ce titre, le Groupe de travail sur l’utilisation de mercenaires comme moyen de violer les droits de l’homme et d’empêcher l’exercice du droit des peuples à disposer d'eux-mêmes a été explicite à ce sujet et ce, en soulignant que la manière la plus efficiente d’adresser cette question devrait se faire par le biais d’un instrument i</w:t>
      </w:r>
      <w:r w:rsidRPr="002B0AAF">
        <w:rPr>
          <w:lang w:val="fr-FR"/>
        </w:rPr>
        <w:t>n</w:t>
      </w:r>
      <w:r w:rsidRPr="002B0AAF">
        <w:rPr>
          <w:lang w:val="fr-FR"/>
        </w:rPr>
        <w:t>ternational à caractère contraignant. Cela permettrait sans nul doute de prendre en charge les violations des droits de l’homme et la question de reddition de comptes.</w:t>
      </w:r>
    </w:p>
    <w:p w:rsidR="002B0AAF" w:rsidRPr="002B0AAF" w:rsidRDefault="002B0AAF" w:rsidP="002B0AAF">
      <w:pPr>
        <w:pStyle w:val="SingleTxt"/>
        <w:rPr>
          <w:lang w:val="fr-FR"/>
        </w:rPr>
      </w:pPr>
      <w:r w:rsidRPr="002B0AAF">
        <w:rPr>
          <w:lang w:val="fr-FR"/>
        </w:rPr>
        <w:t>Le représentant [des sociétés de sécurité privées] a mis en avant clairement l’opportunité d’élaborer un instrument international à caractère contraignant. Le repr</w:t>
      </w:r>
      <w:r w:rsidRPr="002B0AAF">
        <w:rPr>
          <w:lang w:val="fr-FR"/>
        </w:rPr>
        <w:t>é</w:t>
      </w:r>
      <w:r w:rsidRPr="002B0AAF">
        <w:rPr>
          <w:lang w:val="fr-FR"/>
        </w:rPr>
        <w:t>sentant des Nations Unies également n’a pas fait d’intervention qui était contraire à l’opportunité de travailler sur un instrument. Je pense que cela a été dit au cours de nos différentes discussions qui se sont tenues dans le cadre de ce groupe de travail aussi bien de la part du Groupe africain que de la part d’un certain nombre de délég</w:t>
      </w:r>
      <w:r w:rsidRPr="002B0AAF">
        <w:rPr>
          <w:lang w:val="fr-FR"/>
        </w:rPr>
        <w:t>a</w:t>
      </w:r>
      <w:r w:rsidRPr="002B0AAF">
        <w:rPr>
          <w:lang w:val="fr-FR"/>
        </w:rPr>
        <w:t>tions.</w:t>
      </w:r>
    </w:p>
    <w:p w:rsidR="002B0AAF" w:rsidRPr="00E24112" w:rsidRDefault="002B0AAF" w:rsidP="002B0AAF">
      <w:pPr>
        <w:pStyle w:val="SingleTxt"/>
        <w:rPr>
          <w:lang w:val="fr-FR"/>
        </w:rPr>
      </w:pPr>
      <w:r w:rsidRPr="002B0AAF">
        <w:rPr>
          <w:lang w:val="fr-FR"/>
        </w:rPr>
        <w:t>Pour le Groupe africain, nous appelons ce groupe de travail à poursuivre ses travaux dans le cadre du mandat qui a été mis en place et qui consiste en l’élaboration d’un instrument international à caractère contraignant.</w:t>
      </w:r>
    </w:p>
    <w:p w:rsidR="002B0AAF" w:rsidRPr="002B0AAF" w:rsidRDefault="002B0AAF" w:rsidP="002B0AAF">
      <w:pPr>
        <w:pStyle w:val="SingleTxt"/>
        <w:spacing w:after="0" w:line="240" w:lineRule="auto"/>
      </w:pPr>
      <w:r>
        <w:rPr>
          <w:noProof/>
          <w:w w:val="100"/>
          <w:lang w:eastAsia="ru-RU"/>
        </w:rPr>
        <mc:AlternateContent>
          <mc:Choice Requires="wps">
            <w:drawing>
              <wp:anchor distT="0" distB="0" distL="114300" distR="114300" simplePos="0" relativeHeight="251659264" behindDoc="0" locked="0" layoutInCell="1" allowOverlap="1" wp14:anchorId="0CB83599" wp14:editId="11ECDC97">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2B0AAF" w:rsidRPr="002B0AAF" w:rsidSect="002A08E4">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11:27:00Z" w:initials="Start">
    <w:p w:rsidR="00E24112" w:rsidRPr="00B95DF9" w:rsidRDefault="00E24112">
      <w:pPr>
        <w:pStyle w:val="CommentText"/>
        <w:rPr>
          <w:lang w:val="en-US"/>
        </w:rPr>
      </w:pPr>
      <w:r>
        <w:fldChar w:fldCharType="begin"/>
      </w:r>
      <w:r w:rsidRPr="00B95DF9">
        <w:rPr>
          <w:rStyle w:val="CommentReference"/>
          <w:lang w:val="en-US"/>
        </w:rPr>
        <w:instrText xml:space="preserve"> </w:instrText>
      </w:r>
      <w:r w:rsidRPr="00B95DF9">
        <w:rPr>
          <w:lang w:val="en-US"/>
        </w:rPr>
        <w:instrText>PAGE \# "'Page: '#'</w:instrText>
      </w:r>
      <w:r w:rsidRPr="00B95DF9">
        <w:rPr>
          <w:lang w:val="en-US"/>
        </w:rPr>
        <w:br/>
        <w:instrText>'"</w:instrText>
      </w:r>
      <w:r w:rsidRPr="00B95DF9">
        <w:rPr>
          <w:rStyle w:val="CommentReference"/>
          <w:lang w:val="en-US"/>
        </w:rPr>
        <w:instrText xml:space="preserve"> </w:instrText>
      </w:r>
      <w:r>
        <w:fldChar w:fldCharType="end"/>
      </w:r>
      <w:r>
        <w:rPr>
          <w:rStyle w:val="CommentReference"/>
        </w:rPr>
        <w:annotationRef/>
      </w:r>
      <w:r w:rsidRPr="00B95DF9">
        <w:rPr>
          <w:lang w:val="en-US"/>
        </w:rPr>
        <w:t>&lt;&lt;ODS JOB NO&gt;&gt;N1515262R&lt;&lt;ODS JOB NO&gt;&gt;</w:t>
      </w:r>
    </w:p>
    <w:p w:rsidR="00E24112" w:rsidRDefault="00E24112">
      <w:pPr>
        <w:pStyle w:val="CommentText"/>
      </w:pPr>
      <w:r>
        <w:t>&lt;&lt;ODS DOC SYMBOL1&gt;&gt;A/HRC/30/47&lt;&lt;ODS DOC SYMBOL1&gt;&gt;</w:t>
      </w:r>
    </w:p>
    <w:p w:rsidR="00E24112" w:rsidRDefault="00E2411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12" w:rsidRDefault="00E24112" w:rsidP="008A1A7A">
      <w:pPr>
        <w:spacing w:line="240" w:lineRule="auto"/>
      </w:pPr>
      <w:r>
        <w:separator/>
      </w:r>
    </w:p>
  </w:endnote>
  <w:endnote w:type="continuationSeparator" w:id="0">
    <w:p w:rsidR="00E24112" w:rsidRDefault="00E24112"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E24112" w:rsidTr="002A08E4">
      <w:trPr>
        <w:jc w:val="center"/>
      </w:trPr>
      <w:tc>
        <w:tcPr>
          <w:tcW w:w="5126" w:type="dxa"/>
          <w:shd w:val="clear" w:color="auto" w:fill="auto"/>
          <w:vAlign w:val="bottom"/>
        </w:tcPr>
        <w:p w:rsidR="00E24112" w:rsidRPr="002A08E4" w:rsidRDefault="00E24112" w:rsidP="002A08E4">
          <w:pPr>
            <w:pStyle w:val="Footer"/>
            <w:rPr>
              <w:color w:val="000000"/>
            </w:rPr>
          </w:pPr>
          <w:r>
            <w:fldChar w:fldCharType="begin"/>
          </w:r>
          <w:r>
            <w:instrText xml:space="preserve"> PAGE  \* Arabic  \* MERGEFORMAT </w:instrText>
          </w:r>
          <w:r>
            <w:fldChar w:fldCharType="separate"/>
          </w:r>
          <w:r w:rsidR="00ED2A89">
            <w:rPr>
              <w:noProof/>
            </w:rPr>
            <w:t>2</w:t>
          </w:r>
          <w:r>
            <w:fldChar w:fldCharType="end"/>
          </w:r>
          <w:r>
            <w:t>/</w:t>
          </w:r>
          <w:r w:rsidR="00ED2A89">
            <w:fldChar w:fldCharType="begin"/>
          </w:r>
          <w:r w:rsidR="00ED2A89">
            <w:instrText xml:space="preserve"> NUMPAGES  \* Arabic  \* MERGEFORMAT </w:instrText>
          </w:r>
          <w:r w:rsidR="00ED2A89">
            <w:fldChar w:fldCharType="separate"/>
          </w:r>
          <w:r w:rsidR="00ED2A89">
            <w:rPr>
              <w:noProof/>
            </w:rPr>
            <w:t>29</w:t>
          </w:r>
          <w:r w:rsidR="00ED2A89">
            <w:rPr>
              <w:noProof/>
            </w:rPr>
            <w:fldChar w:fldCharType="end"/>
          </w:r>
        </w:p>
      </w:tc>
      <w:tc>
        <w:tcPr>
          <w:tcW w:w="5127" w:type="dxa"/>
          <w:shd w:val="clear" w:color="auto" w:fill="auto"/>
          <w:vAlign w:val="bottom"/>
        </w:tcPr>
        <w:p w:rsidR="00E24112" w:rsidRPr="002A08E4" w:rsidRDefault="00E24112" w:rsidP="002A08E4">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Pr>
              <w:b w:val="0"/>
              <w:color w:val="000000"/>
              <w:sz w:val="14"/>
            </w:rPr>
            <w:t>GE.15-11613</w:t>
          </w:r>
          <w:r>
            <w:rPr>
              <w:b w:val="0"/>
              <w:color w:val="000000"/>
              <w:sz w:val="14"/>
            </w:rPr>
            <w:fldChar w:fldCharType="end"/>
          </w:r>
        </w:p>
      </w:tc>
    </w:tr>
  </w:tbl>
  <w:p w:rsidR="00E24112" w:rsidRPr="002A08E4" w:rsidRDefault="00E24112" w:rsidP="002A0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E24112" w:rsidTr="002A08E4">
      <w:trPr>
        <w:jc w:val="center"/>
      </w:trPr>
      <w:tc>
        <w:tcPr>
          <w:tcW w:w="5126" w:type="dxa"/>
          <w:shd w:val="clear" w:color="auto" w:fill="auto"/>
          <w:vAlign w:val="bottom"/>
        </w:tcPr>
        <w:p w:rsidR="00E24112" w:rsidRPr="002A08E4" w:rsidRDefault="00E24112" w:rsidP="002A08E4">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Pr>
              <w:b w:val="0"/>
              <w:color w:val="000000"/>
              <w:sz w:val="14"/>
            </w:rPr>
            <w:t>GE.15-11613</w:t>
          </w:r>
          <w:r>
            <w:rPr>
              <w:b w:val="0"/>
              <w:color w:val="000000"/>
              <w:sz w:val="14"/>
            </w:rPr>
            <w:fldChar w:fldCharType="end"/>
          </w:r>
        </w:p>
      </w:tc>
      <w:tc>
        <w:tcPr>
          <w:tcW w:w="5127" w:type="dxa"/>
          <w:shd w:val="clear" w:color="auto" w:fill="auto"/>
          <w:vAlign w:val="bottom"/>
        </w:tcPr>
        <w:p w:rsidR="00E24112" w:rsidRPr="002A08E4" w:rsidRDefault="00E24112" w:rsidP="002A08E4">
          <w:pPr>
            <w:pStyle w:val="Footer"/>
            <w:jc w:val="right"/>
          </w:pPr>
          <w:r>
            <w:fldChar w:fldCharType="begin"/>
          </w:r>
          <w:r>
            <w:instrText xml:space="preserve"> PAGE  \* Arabic  \* MERGEFORMAT </w:instrText>
          </w:r>
          <w:r>
            <w:fldChar w:fldCharType="separate"/>
          </w:r>
          <w:r w:rsidR="00ED2A89">
            <w:rPr>
              <w:noProof/>
            </w:rPr>
            <w:t>3</w:t>
          </w:r>
          <w:r>
            <w:fldChar w:fldCharType="end"/>
          </w:r>
          <w:r>
            <w:t>/</w:t>
          </w:r>
          <w:r w:rsidR="00ED2A89">
            <w:fldChar w:fldCharType="begin"/>
          </w:r>
          <w:r w:rsidR="00ED2A89">
            <w:instrText xml:space="preserve"> NUMPAGES  \* Arabic  \* MERGEFORMAT </w:instrText>
          </w:r>
          <w:r w:rsidR="00ED2A89">
            <w:fldChar w:fldCharType="separate"/>
          </w:r>
          <w:r w:rsidR="00ED2A89">
            <w:rPr>
              <w:noProof/>
            </w:rPr>
            <w:t>29</w:t>
          </w:r>
          <w:r w:rsidR="00ED2A89">
            <w:rPr>
              <w:noProof/>
            </w:rPr>
            <w:fldChar w:fldCharType="end"/>
          </w:r>
        </w:p>
      </w:tc>
    </w:tr>
  </w:tbl>
  <w:p w:rsidR="00E24112" w:rsidRPr="002A08E4" w:rsidRDefault="00E24112" w:rsidP="002A08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E24112" w:rsidTr="002A08E4">
      <w:tc>
        <w:tcPr>
          <w:tcW w:w="3873" w:type="dxa"/>
        </w:tcPr>
        <w:p w:rsidR="00E24112" w:rsidRDefault="00E24112" w:rsidP="002A08E4">
          <w:pPr>
            <w:pStyle w:val="ReleaseDate"/>
            <w:rPr>
              <w:color w:val="010000"/>
            </w:rPr>
          </w:pPr>
          <w:r>
            <w:rPr>
              <w:noProof/>
              <w:lang w:eastAsia="ru-RU"/>
            </w:rPr>
            <w:drawing>
              <wp:anchor distT="0" distB="0" distL="114300" distR="114300" simplePos="0" relativeHeight="251658240" behindDoc="0" locked="0" layoutInCell="1" allowOverlap="1" wp14:anchorId="6E297E1C" wp14:editId="48D7EE2F">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47&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7&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GE.15-11613 (R)</w:t>
          </w:r>
          <w:r>
            <w:rPr>
              <w:color w:val="010000"/>
            </w:rPr>
            <w:t xml:space="preserve">    060815    </w:t>
          </w:r>
          <w:r>
            <w:rPr>
              <w:color w:val="010000"/>
              <w:lang w:val="en-US"/>
            </w:rPr>
            <w:t>10</w:t>
          </w:r>
          <w:r>
            <w:rPr>
              <w:color w:val="010000"/>
            </w:rPr>
            <w:t>0815</w:t>
          </w:r>
        </w:p>
        <w:p w:rsidR="00E24112" w:rsidRPr="002A08E4" w:rsidRDefault="00E24112" w:rsidP="002A08E4">
          <w:pPr>
            <w:spacing w:before="80" w:line="210" w:lineRule="exact"/>
            <w:rPr>
              <w:rFonts w:ascii="Barcode 3 of 9 by request" w:hAnsi="Barcode 3 of 9 by request"/>
              <w:w w:val="100"/>
              <w:sz w:val="24"/>
            </w:rPr>
          </w:pPr>
          <w:r>
            <w:rPr>
              <w:rFonts w:ascii="Barcode 3 of 9 by request" w:hAnsi="Barcode 3 of 9 by request"/>
              <w:w w:val="100"/>
              <w:sz w:val="24"/>
            </w:rPr>
            <w:t>*1511613*</w:t>
          </w:r>
        </w:p>
      </w:tc>
      <w:tc>
        <w:tcPr>
          <w:tcW w:w="5127" w:type="dxa"/>
        </w:tcPr>
        <w:p w:rsidR="00E24112" w:rsidRDefault="00E24112" w:rsidP="002A08E4">
          <w:pPr>
            <w:pStyle w:val="Footer"/>
            <w:spacing w:line="240" w:lineRule="atLeast"/>
            <w:jc w:val="right"/>
            <w:rPr>
              <w:b w:val="0"/>
              <w:sz w:val="20"/>
            </w:rPr>
          </w:pPr>
          <w:r>
            <w:rPr>
              <w:b w:val="0"/>
              <w:noProof/>
              <w:sz w:val="20"/>
              <w:lang w:eastAsia="ru-RU"/>
            </w:rPr>
            <w:drawing>
              <wp:inline distT="0" distB="0" distL="0" distR="0" wp14:anchorId="1ED95E36" wp14:editId="14000EFE">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E24112" w:rsidRPr="002A08E4" w:rsidRDefault="00E24112" w:rsidP="002A08E4">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12" w:rsidRPr="00C0140C" w:rsidRDefault="00E24112" w:rsidP="00C0140C">
      <w:pPr>
        <w:pStyle w:val="Footer"/>
        <w:spacing w:after="80"/>
        <w:ind w:left="792"/>
        <w:rPr>
          <w:sz w:val="16"/>
        </w:rPr>
      </w:pPr>
      <w:r w:rsidRPr="00C0140C">
        <w:rPr>
          <w:sz w:val="16"/>
        </w:rPr>
        <w:t>__________________</w:t>
      </w:r>
    </w:p>
  </w:footnote>
  <w:footnote w:type="continuationSeparator" w:id="0">
    <w:p w:rsidR="00E24112" w:rsidRPr="00C0140C" w:rsidRDefault="00E24112" w:rsidP="00C0140C">
      <w:pPr>
        <w:pStyle w:val="Footer"/>
        <w:spacing w:after="80"/>
        <w:ind w:left="792"/>
        <w:rPr>
          <w:sz w:val="16"/>
        </w:rPr>
      </w:pPr>
      <w:r w:rsidRPr="00C0140C">
        <w:rPr>
          <w:sz w:val="16"/>
        </w:rPr>
        <w:t>__________________</w:t>
      </w:r>
    </w:p>
  </w:footnote>
  <w:footnote w:type="continuationNotice" w:id="1">
    <w:p w:rsidR="00E24112" w:rsidRPr="00B95DF9" w:rsidRDefault="00E24112" w:rsidP="00B95DF9">
      <w:pPr>
        <w:pStyle w:val="Footer"/>
      </w:pPr>
    </w:p>
  </w:footnote>
  <w:footnote w:id="2">
    <w:p w:rsidR="00E24112" w:rsidRPr="00C0140C" w:rsidRDefault="00E24112" w:rsidP="00C0140C">
      <w:pPr>
        <w:pStyle w:val="FootnoteText"/>
        <w:tabs>
          <w:tab w:val="right" w:pos="1195"/>
          <w:tab w:val="left" w:pos="1267"/>
          <w:tab w:val="left" w:pos="1742"/>
          <w:tab w:val="left" w:pos="2218"/>
          <w:tab w:val="left" w:pos="2693"/>
        </w:tabs>
        <w:ind w:left="1267" w:right="1260" w:hanging="432"/>
      </w:pPr>
      <w:r>
        <w:rPr>
          <w:color w:val="C0504D" w:themeColor="accent2"/>
        </w:rPr>
        <w:tab/>
      </w:r>
      <w:r w:rsidRPr="00C0140C">
        <w:rPr>
          <w:color w:val="C0504D" w:themeColor="accent2"/>
        </w:rPr>
        <w:t>*</w:t>
      </w:r>
      <w:r w:rsidRPr="00C0140C">
        <w:t xml:space="preserve"> </w:t>
      </w:r>
      <w:r>
        <w:tab/>
      </w:r>
      <w:r w:rsidRPr="00B95DF9">
        <w:t>Приложения к настоящему докладу распространяются в полученном виде.</w:t>
      </w:r>
    </w:p>
  </w:footnote>
  <w:footnote w:id="3">
    <w:p w:rsidR="00E24112" w:rsidRPr="00C0140C" w:rsidRDefault="00E24112" w:rsidP="00C0140C">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C0140C">
        <w:tab/>
        <w:t xml:space="preserve">См. резюме первой сессии (23–27 мая 2011 года, </w:t>
      </w:r>
      <w:r w:rsidRPr="00C0140C">
        <w:rPr>
          <w:lang w:val="en-US"/>
        </w:rPr>
        <w:t>A</w:t>
      </w:r>
      <w:r w:rsidRPr="00C0140C">
        <w:t>/</w:t>
      </w:r>
      <w:r w:rsidRPr="00C0140C">
        <w:rPr>
          <w:lang w:val="en-US"/>
        </w:rPr>
        <w:t>HRC</w:t>
      </w:r>
      <w:r w:rsidRPr="00C0140C">
        <w:t>/</w:t>
      </w:r>
      <w:r w:rsidRPr="00C0140C">
        <w:rPr>
          <w:lang w:val="en-US"/>
        </w:rPr>
        <w:t>WG</w:t>
      </w:r>
      <w:r w:rsidRPr="00C0140C">
        <w:t xml:space="preserve">.10/1/4), второй сессии </w:t>
      </w:r>
      <w:r>
        <w:br/>
      </w:r>
      <w:r w:rsidRPr="00C0140C">
        <w:t xml:space="preserve">(13–17 августа 2012 года, </w:t>
      </w:r>
      <w:r w:rsidRPr="00C0140C">
        <w:rPr>
          <w:lang w:val="en-US"/>
        </w:rPr>
        <w:t>A</w:t>
      </w:r>
      <w:r w:rsidRPr="00C0140C">
        <w:t>/</w:t>
      </w:r>
      <w:r w:rsidRPr="00C0140C">
        <w:rPr>
          <w:lang w:val="en-US"/>
        </w:rPr>
        <w:t>HRC</w:t>
      </w:r>
      <w:r w:rsidRPr="00C0140C">
        <w:t xml:space="preserve">/22/41) и третьей сессии (21–25 июля 2014 года, </w:t>
      </w:r>
      <w:r w:rsidRPr="00C0140C">
        <w:rPr>
          <w:lang w:val="en-US"/>
        </w:rPr>
        <w:t>A</w:t>
      </w:r>
      <w:r w:rsidRPr="00C0140C">
        <w:t>/</w:t>
      </w:r>
      <w:r w:rsidRPr="00C0140C">
        <w:rPr>
          <w:lang w:val="en-US"/>
        </w:rPr>
        <w:t>HRC</w:t>
      </w:r>
      <w:r w:rsidRPr="00C0140C">
        <w:t>/</w:t>
      </w:r>
      <w:r w:rsidRPr="00C0140C">
        <w:rPr>
          <w:lang w:val="en-US"/>
        </w:rPr>
        <w:t>WG</w:t>
      </w:r>
      <w:r w:rsidRPr="00C0140C">
        <w:t>.10/3/2).</w:t>
      </w:r>
    </w:p>
  </w:footnote>
  <w:footnote w:id="4">
    <w:p w:rsidR="00E24112" w:rsidRDefault="00E24112" w:rsidP="00C014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C0140C">
        <w:tab/>
      </w:r>
      <w:r>
        <w:rPr>
          <w:rStyle w:val="FootnoteReference"/>
        </w:rPr>
        <w:footnoteRef/>
      </w:r>
      <w:r>
        <w:tab/>
      </w:r>
      <w:r w:rsidRPr="00C0140C">
        <w:t>С более подробной информацией можно ознакомиться по адресу www.ohchr.org/EN/Issues/</w:t>
      </w:r>
      <w:r>
        <w:t xml:space="preserve"> </w:t>
      </w:r>
      <w:proofErr w:type="spellStart"/>
      <w:r w:rsidRPr="00C0140C">
        <w:t>Business</w:t>
      </w:r>
      <w:proofErr w:type="spellEnd"/>
      <w:r w:rsidRPr="00C0140C">
        <w:t>/</w:t>
      </w:r>
      <w:proofErr w:type="spellStart"/>
      <w:r w:rsidRPr="00C0140C">
        <w:t>Pages</w:t>
      </w:r>
      <w:proofErr w:type="spellEnd"/>
      <w:r w:rsidRPr="00C0140C">
        <w:t>/OHCHRstudyondomesticlawremedies.aspx.</w:t>
      </w:r>
    </w:p>
  </w:footnote>
  <w:footnote w:id="5">
    <w:p w:rsidR="00E24112" w:rsidRDefault="00E24112" w:rsidP="00C014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proofErr w:type="gramStart"/>
      <w:r w:rsidRPr="00C0140C">
        <w:t>Одобрены Советом по правам человека в его резолюции 17/4.</w:t>
      </w:r>
      <w:proofErr w:type="gramEnd"/>
    </w:p>
  </w:footnote>
  <w:footnote w:id="6">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С документом можно ознакомиться по адресу www.ohchr.org/EN/NewsEvents/Pages/</w:t>
      </w:r>
      <w:r>
        <w:t xml:space="preserve"> </w:t>
      </w:r>
      <w:proofErr w:type="spellStart"/>
      <w:r w:rsidRPr="00C05694">
        <w:t>DisplayNews.aspx?NewsID</w:t>
      </w:r>
      <w:proofErr w:type="spellEnd"/>
      <w:r w:rsidRPr="00C05694">
        <w:t>=15840&amp;LangID=E.</w:t>
      </w:r>
    </w:p>
  </w:footnote>
  <w:footnote w:id="7">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См. www.ohchr.org/Documents/HRBodies/HRCouncil/WGMilitary/Session4/Pakistan.pdf.</w:t>
      </w:r>
    </w:p>
  </w:footnote>
  <w:footnote w:id="8">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С документом можно ознакомиться по адресу www.dcaf.ch/Publications/Progress-and-Opportunities-Five-Years-On-Challenges-and-Recommendations-for-Montreux-Document-Endorsing-States.</w:t>
      </w:r>
    </w:p>
  </w:footnote>
  <w:footnote w:id="9">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С документом можно ознакомиться по адресу www.iso.org/iso/home/store/catalogue_tc/</w:t>
      </w:r>
      <w:r>
        <w:t xml:space="preserve"> </w:t>
      </w:r>
      <w:proofErr w:type="spellStart"/>
      <w:r w:rsidRPr="00C05694">
        <w:t>catalogue_detail.htm?csnumber</w:t>
      </w:r>
      <w:proofErr w:type="spellEnd"/>
      <w:r w:rsidRPr="00C05694">
        <w:t>=63380.</w:t>
      </w:r>
    </w:p>
  </w:footnote>
  <w:footnote w:id="10">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 xml:space="preserve">Прежде чем предоставить слово г-ну </w:t>
      </w:r>
      <w:proofErr w:type="spellStart"/>
      <w:r w:rsidRPr="00C05694">
        <w:t>Ор</w:t>
      </w:r>
      <w:r>
        <w:t>с</w:t>
      </w:r>
      <w:r w:rsidRPr="00C05694">
        <w:t>монду</w:t>
      </w:r>
      <w:proofErr w:type="spellEnd"/>
      <w:r w:rsidRPr="00C05694">
        <w:t xml:space="preserve"> из Ассоциации Международного кодекса поведения, Председатель-докладчик напомнил положения р</w:t>
      </w:r>
      <w:r w:rsidR="00D40154">
        <w:t>езолюций 22/33 и 28/7 Совета по </w:t>
      </w:r>
      <w:r w:rsidRPr="00C05694">
        <w:t xml:space="preserve">правам человека, в которых Совет постановил, что межправительственная рабочая группа </w:t>
      </w:r>
      <w:r>
        <w:t>«</w:t>
      </w:r>
      <w:r w:rsidRPr="00C05694">
        <w:t>будет предлагать экспертам и всем соответствующим заинтересованным сторонам участвовать в ее работе</w:t>
      </w:r>
      <w:r>
        <w:t>»</w:t>
      </w:r>
      <w:r w:rsidRPr="00C05694">
        <w:t>. Он напомнил также, что в ходе третьей сессии представители частных охранных предприятий были приглашены участвовать в сессии либо в качестве независимой заинтересованной стороны, либо в качестве членов делегации (A/HRC//WG.10/3/2, пункт 12).</w:t>
      </w:r>
    </w:p>
  </w:footnote>
  <w:footnote w:id="11">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proofErr w:type="gramStart"/>
      <w:r w:rsidRPr="00C05694">
        <w:t>Гватемала, Гондурас, Коста-Рика, Куба, Мексика, Никарагуа, Панама и Сальвадор; Аргентина, Боливия (Многонациональное Государство), Бразилия, Колумбия, Перу, Уругвай, Чили и Эквадор; и Венгрия, Соедин</w:t>
      </w:r>
      <w:r>
        <w:t>е</w:t>
      </w:r>
      <w:r w:rsidRPr="00C05694">
        <w:t>нное Королевство, Франция и Швейцария.</w:t>
      </w:r>
      <w:proofErr w:type="gramEnd"/>
    </w:p>
  </w:footnote>
  <w:footnote w:id="12">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proofErr w:type="gramStart"/>
      <w:r w:rsidRPr="00C05694">
        <w:t>Буркина-Фасо,</w:t>
      </w:r>
      <w:r>
        <w:t xml:space="preserve"> </w:t>
      </w:r>
      <w:r w:rsidRPr="00C05694">
        <w:t>Демократическая Республика Конго, Камерун, Кот-д'Ивуар, Мали, Марокко, Сенегал и Тунис (A/HRC/27/50); Индия, Китай, Малайзия, Объединенные Арабские Эмираты, Пакистан, Сингапур, Филиппины и Шри-Ланка (A/HRC/27/50); и Ботсвана, Гамбия, Гана, Зимбабве, Кения, Лесото, Маврикий, Намибия, Нигерия, Свазиленд, Сьерра-Леоне, Уганда и Южная Африка (A/HRC/24/45).</w:t>
      </w:r>
      <w:proofErr w:type="gramEnd"/>
    </w:p>
  </w:footnote>
  <w:footnote w:id="13">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С документом можно ознакомиться по адресу www.ohchr.org/Documents/HRBodies/</w:t>
      </w:r>
      <w:r>
        <w:t xml:space="preserve"> </w:t>
      </w:r>
      <w:proofErr w:type="spellStart"/>
      <w:r w:rsidRPr="00C05694">
        <w:t>HRCouncil</w:t>
      </w:r>
      <w:proofErr w:type="spellEnd"/>
      <w:r w:rsidRPr="00C05694">
        <w:t>/</w:t>
      </w:r>
      <w:proofErr w:type="spellStart"/>
      <w:r w:rsidRPr="00C05694">
        <w:t>WGMilitary</w:t>
      </w:r>
      <w:proofErr w:type="spellEnd"/>
      <w:r w:rsidRPr="00C05694">
        <w:t>/Session4/WG_MercenariesCN_14April2015.pdf.</w:t>
      </w:r>
    </w:p>
  </w:footnote>
  <w:footnote w:id="14">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 xml:space="preserve">См. принцип 9 Основных принципов применения силы и огнестрельного оружия должностными лицами по поддержанию правопорядка 1990 года, </w:t>
      </w:r>
      <w:proofErr w:type="gramStart"/>
      <w:r w:rsidRPr="00C05694">
        <w:t>с</w:t>
      </w:r>
      <w:proofErr w:type="gramEnd"/>
      <w:r w:rsidRPr="00C05694">
        <w:t xml:space="preserve"> которыми можно ознакомиться по адресу www.ohchr.org/EN/ProfessionalInterest/Pages/</w:t>
      </w:r>
      <w:r>
        <w:t xml:space="preserve"> </w:t>
      </w:r>
      <w:r w:rsidRPr="00C05694">
        <w:t>UseOfForceAndFirearms.aspx.</w:t>
      </w:r>
    </w:p>
  </w:footnote>
  <w:footnote w:id="15">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См. www.imo.org/OurWork/Security/SecDocs/Documents/Piracy/MSC.1-Circ.1443.pdf.</w:t>
      </w:r>
    </w:p>
  </w:footnote>
  <w:footnote w:id="16">
    <w:p w:rsidR="00E24112" w:rsidRDefault="00E24112" w:rsidP="00C0569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05694">
        <w:t>С документом можно ознакомиться по адресу www.geneva-academy.ch/docs/projets/</w:t>
      </w:r>
      <w:r>
        <w:t xml:space="preserve"> </w:t>
      </w:r>
      <w:r w:rsidRPr="00C05694">
        <w:t>Counterpiracy.pdf.</w:t>
      </w:r>
    </w:p>
  </w:footnote>
  <w:footnote w:id="17">
    <w:p w:rsidR="00E24112" w:rsidRDefault="00E24112" w:rsidP="00C40D8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40D81">
        <w:t>См. Конвенцию Организации Объединенных Наций по морскому праву.</w:t>
      </w:r>
    </w:p>
  </w:footnote>
  <w:footnote w:id="18">
    <w:p w:rsidR="00E24112" w:rsidRDefault="00E24112" w:rsidP="00C40D8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40D81">
        <w:t>С документом можно ознакомиться по адресу www.imo.org/OurWork/Security/</w:t>
      </w:r>
      <w:r>
        <w:t xml:space="preserve"> </w:t>
      </w:r>
      <w:proofErr w:type="spellStart"/>
      <w:r w:rsidRPr="00C40D81">
        <w:t>PiracyArmedRobbery</w:t>
      </w:r>
      <w:proofErr w:type="spellEnd"/>
      <w:r w:rsidRPr="00C40D81">
        <w:t>/</w:t>
      </w:r>
      <w:proofErr w:type="spellStart"/>
      <w:r w:rsidRPr="00C40D81">
        <w:t>Reports</w:t>
      </w:r>
      <w:proofErr w:type="spellEnd"/>
      <w:r w:rsidRPr="00C40D81">
        <w:t>/</w:t>
      </w:r>
      <w:proofErr w:type="spellStart"/>
      <w:r w:rsidRPr="00C40D81">
        <w:t>Pages</w:t>
      </w:r>
      <w:proofErr w:type="spellEnd"/>
      <w:r w:rsidRPr="00C40D81">
        <w:t>/Default.aspx.</w:t>
      </w:r>
    </w:p>
  </w:footnote>
  <w:footnote w:id="19">
    <w:p w:rsidR="00E24112" w:rsidRDefault="00E24112" w:rsidP="00C40D8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40D81">
        <w:t>С документом можно ознакомиться по адресу www.ohchr.org/Documents/HRBodies/</w:t>
      </w:r>
      <w:r>
        <w:t xml:space="preserve"> </w:t>
      </w:r>
      <w:proofErr w:type="spellStart"/>
      <w:r w:rsidRPr="00C40D81">
        <w:t>HRCouncil</w:t>
      </w:r>
      <w:proofErr w:type="spellEnd"/>
      <w:r w:rsidRPr="00C40D81">
        <w:t>/</w:t>
      </w:r>
      <w:proofErr w:type="spellStart"/>
      <w:r w:rsidRPr="00C40D81">
        <w:t>WGMilitary</w:t>
      </w:r>
      <w:proofErr w:type="spellEnd"/>
      <w:r w:rsidRPr="00C40D81">
        <w:t>/Session4/ UNSecurityPolicyManual.pdf.</w:t>
      </w:r>
    </w:p>
  </w:footnote>
  <w:footnote w:id="20">
    <w:p w:rsidR="00E24112" w:rsidRDefault="00E24112" w:rsidP="00C40D8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C40D81">
        <w:t>С документом можно ознакомиться по адресу www.ohchr.org/Documents/HRBodies/</w:t>
      </w:r>
      <w:r>
        <w:t xml:space="preserve"> </w:t>
      </w:r>
      <w:proofErr w:type="spellStart"/>
      <w:r w:rsidRPr="00C40D81">
        <w:t>HRCouncil</w:t>
      </w:r>
      <w:proofErr w:type="spellEnd"/>
      <w:r w:rsidRPr="00C40D81">
        <w:t>/</w:t>
      </w:r>
      <w:proofErr w:type="spellStart"/>
      <w:r w:rsidRPr="00C40D81">
        <w:t>WGMilitary</w:t>
      </w:r>
      <w:proofErr w:type="spellEnd"/>
      <w:r w:rsidRPr="00C40D81">
        <w:t>/Session4/ GuidelinesUseArmedSecurityServices.pdf.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24112" w:rsidTr="002A08E4">
      <w:trPr>
        <w:trHeight w:hRule="exact" w:val="864"/>
        <w:jc w:val="center"/>
      </w:trPr>
      <w:tc>
        <w:tcPr>
          <w:tcW w:w="4882" w:type="dxa"/>
          <w:shd w:val="clear" w:color="auto" w:fill="auto"/>
          <w:vAlign w:val="bottom"/>
        </w:tcPr>
        <w:p w:rsidR="00E24112" w:rsidRPr="002A08E4" w:rsidRDefault="00E24112" w:rsidP="002A08E4">
          <w:pPr>
            <w:pStyle w:val="Header"/>
            <w:spacing w:after="80"/>
            <w:rPr>
              <w:b/>
            </w:rPr>
          </w:pPr>
          <w:r>
            <w:rPr>
              <w:b/>
            </w:rPr>
            <w:fldChar w:fldCharType="begin"/>
          </w:r>
          <w:r>
            <w:rPr>
              <w:b/>
            </w:rPr>
            <w:instrText xml:space="preserve"> DOCVARIABLE "sss1" \* MERGEFORMAT </w:instrText>
          </w:r>
          <w:r>
            <w:rPr>
              <w:b/>
            </w:rPr>
            <w:fldChar w:fldCharType="separate"/>
          </w:r>
          <w:r>
            <w:rPr>
              <w:b/>
            </w:rPr>
            <w:t>A/HRC/30/47</w:t>
          </w:r>
          <w:r>
            <w:rPr>
              <w:b/>
            </w:rPr>
            <w:fldChar w:fldCharType="end"/>
          </w:r>
        </w:p>
      </w:tc>
      <w:tc>
        <w:tcPr>
          <w:tcW w:w="5127" w:type="dxa"/>
          <w:shd w:val="clear" w:color="auto" w:fill="auto"/>
          <w:vAlign w:val="bottom"/>
        </w:tcPr>
        <w:p w:rsidR="00E24112" w:rsidRDefault="00E24112" w:rsidP="002A08E4">
          <w:pPr>
            <w:pStyle w:val="Header"/>
          </w:pPr>
        </w:p>
      </w:tc>
    </w:tr>
  </w:tbl>
  <w:p w:rsidR="00E24112" w:rsidRPr="002A08E4" w:rsidRDefault="00E24112" w:rsidP="002A0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24112" w:rsidTr="002A08E4">
      <w:trPr>
        <w:trHeight w:hRule="exact" w:val="864"/>
        <w:jc w:val="center"/>
      </w:trPr>
      <w:tc>
        <w:tcPr>
          <w:tcW w:w="4882" w:type="dxa"/>
          <w:shd w:val="clear" w:color="auto" w:fill="auto"/>
          <w:vAlign w:val="bottom"/>
        </w:tcPr>
        <w:p w:rsidR="00E24112" w:rsidRDefault="00E24112" w:rsidP="002A08E4">
          <w:pPr>
            <w:pStyle w:val="Header"/>
          </w:pPr>
        </w:p>
      </w:tc>
      <w:tc>
        <w:tcPr>
          <w:tcW w:w="5127" w:type="dxa"/>
          <w:shd w:val="clear" w:color="auto" w:fill="auto"/>
          <w:vAlign w:val="bottom"/>
        </w:tcPr>
        <w:p w:rsidR="00E24112" w:rsidRPr="002A08E4" w:rsidRDefault="00E24112" w:rsidP="002A08E4">
          <w:pPr>
            <w:pStyle w:val="Header"/>
            <w:spacing w:after="80"/>
            <w:jc w:val="right"/>
            <w:rPr>
              <w:b/>
            </w:rPr>
          </w:pPr>
          <w:r>
            <w:rPr>
              <w:b/>
            </w:rPr>
            <w:fldChar w:fldCharType="begin"/>
          </w:r>
          <w:r>
            <w:rPr>
              <w:b/>
            </w:rPr>
            <w:instrText xml:space="preserve"> DOCVARIABLE "sss1" \* MERGEFORMAT </w:instrText>
          </w:r>
          <w:r>
            <w:rPr>
              <w:b/>
            </w:rPr>
            <w:fldChar w:fldCharType="separate"/>
          </w:r>
          <w:r>
            <w:rPr>
              <w:b/>
            </w:rPr>
            <w:t>A/HRC/30/47</w:t>
          </w:r>
          <w:r>
            <w:rPr>
              <w:b/>
            </w:rPr>
            <w:fldChar w:fldCharType="end"/>
          </w:r>
        </w:p>
      </w:tc>
    </w:tr>
  </w:tbl>
  <w:p w:rsidR="00E24112" w:rsidRPr="002A08E4" w:rsidRDefault="00E24112" w:rsidP="002A08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E24112" w:rsidTr="002A08E4">
      <w:trPr>
        <w:trHeight w:hRule="exact" w:val="864"/>
      </w:trPr>
      <w:tc>
        <w:tcPr>
          <w:tcW w:w="4421" w:type="dxa"/>
          <w:gridSpan w:val="2"/>
          <w:tcBorders>
            <w:bottom w:val="single" w:sz="4" w:space="0" w:color="auto"/>
          </w:tcBorders>
          <w:shd w:val="clear" w:color="auto" w:fill="auto"/>
          <w:vAlign w:val="bottom"/>
        </w:tcPr>
        <w:p w:rsidR="00E24112" w:rsidRPr="002A08E4" w:rsidRDefault="00E24112" w:rsidP="002A08E4">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E24112" w:rsidRDefault="00E24112" w:rsidP="002A08E4">
          <w:pPr>
            <w:pStyle w:val="Header"/>
            <w:spacing w:after="120"/>
          </w:pPr>
        </w:p>
      </w:tc>
      <w:tc>
        <w:tcPr>
          <w:tcW w:w="5357" w:type="dxa"/>
          <w:gridSpan w:val="3"/>
          <w:tcBorders>
            <w:bottom w:val="single" w:sz="4" w:space="0" w:color="auto"/>
          </w:tcBorders>
          <w:shd w:val="clear" w:color="auto" w:fill="auto"/>
          <w:vAlign w:val="bottom"/>
        </w:tcPr>
        <w:p w:rsidR="00E24112" w:rsidRPr="002A08E4" w:rsidRDefault="00E24112" w:rsidP="002A08E4">
          <w:pPr>
            <w:pStyle w:val="Header"/>
            <w:spacing w:after="20"/>
            <w:jc w:val="right"/>
            <w:rPr>
              <w:sz w:val="20"/>
            </w:rPr>
          </w:pPr>
          <w:r>
            <w:rPr>
              <w:sz w:val="40"/>
            </w:rPr>
            <w:t>A</w:t>
          </w:r>
          <w:r>
            <w:rPr>
              <w:sz w:val="20"/>
            </w:rPr>
            <w:t>/HRC/30/47</w:t>
          </w:r>
        </w:p>
      </w:tc>
    </w:tr>
    <w:tr w:rsidR="00E24112" w:rsidRPr="00E24112" w:rsidTr="002A08E4">
      <w:trPr>
        <w:trHeight w:hRule="exact" w:val="2880"/>
      </w:trPr>
      <w:tc>
        <w:tcPr>
          <w:tcW w:w="1267" w:type="dxa"/>
          <w:tcBorders>
            <w:top w:val="single" w:sz="4" w:space="0" w:color="auto"/>
            <w:bottom w:val="single" w:sz="12" w:space="0" w:color="auto"/>
          </w:tcBorders>
          <w:shd w:val="clear" w:color="auto" w:fill="auto"/>
        </w:tcPr>
        <w:p w:rsidR="00E24112" w:rsidRPr="002A08E4" w:rsidRDefault="00E24112" w:rsidP="002A08E4">
          <w:pPr>
            <w:pStyle w:val="Header"/>
            <w:spacing w:before="120"/>
            <w:jc w:val="center"/>
          </w:pPr>
          <w:r>
            <w:t xml:space="preserve"> </w:t>
          </w:r>
          <w:r>
            <w:rPr>
              <w:noProof/>
              <w:lang w:eastAsia="ru-RU"/>
            </w:rPr>
            <w:drawing>
              <wp:inline distT="0" distB="0" distL="0" distR="0" wp14:anchorId="70BC3424" wp14:editId="7F294AD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24112" w:rsidRPr="002A08E4" w:rsidRDefault="00E24112" w:rsidP="002A08E4">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E24112" w:rsidRPr="002A08E4" w:rsidRDefault="00E24112" w:rsidP="002A08E4">
          <w:pPr>
            <w:pStyle w:val="Header"/>
            <w:spacing w:before="109"/>
          </w:pPr>
        </w:p>
      </w:tc>
      <w:tc>
        <w:tcPr>
          <w:tcW w:w="3280" w:type="dxa"/>
          <w:tcBorders>
            <w:top w:val="single" w:sz="4" w:space="0" w:color="auto"/>
            <w:bottom w:val="single" w:sz="12" w:space="0" w:color="auto"/>
          </w:tcBorders>
          <w:shd w:val="clear" w:color="auto" w:fill="auto"/>
        </w:tcPr>
        <w:p w:rsidR="00E24112" w:rsidRPr="00B95DF9" w:rsidRDefault="00E24112" w:rsidP="002A08E4">
          <w:pPr>
            <w:pStyle w:val="Distribution"/>
            <w:rPr>
              <w:color w:val="000000"/>
              <w:lang w:val="en-US"/>
            </w:rPr>
          </w:pPr>
          <w:r w:rsidRPr="00B95DF9">
            <w:rPr>
              <w:color w:val="000000"/>
              <w:lang w:val="en-US"/>
            </w:rPr>
            <w:t>Distr.: General</w:t>
          </w:r>
        </w:p>
        <w:p w:rsidR="00E24112" w:rsidRPr="00B95DF9" w:rsidRDefault="00E24112" w:rsidP="002A08E4">
          <w:pPr>
            <w:pStyle w:val="Publication"/>
            <w:rPr>
              <w:color w:val="000000"/>
              <w:lang w:val="en-US"/>
            </w:rPr>
          </w:pPr>
          <w:r w:rsidRPr="00B95DF9">
            <w:rPr>
              <w:color w:val="000000"/>
              <w:lang w:val="en-US"/>
            </w:rPr>
            <w:t>9 July 2015</w:t>
          </w:r>
        </w:p>
        <w:p w:rsidR="00E24112" w:rsidRPr="00B95DF9" w:rsidRDefault="00E24112" w:rsidP="002A08E4">
          <w:pPr>
            <w:rPr>
              <w:color w:val="000000"/>
              <w:lang w:val="en-US"/>
            </w:rPr>
          </w:pPr>
          <w:r w:rsidRPr="00B95DF9">
            <w:rPr>
              <w:color w:val="000000"/>
              <w:lang w:val="en-US"/>
            </w:rPr>
            <w:t>Russian</w:t>
          </w:r>
        </w:p>
        <w:p w:rsidR="00E24112" w:rsidRPr="00B95DF9" w:rsidRDefault="00E24112" w:rsidP="002A08E4">
          <w:pPr>
            <w:pStyle w:val="Original"/>
            <w:rPr>
              <w:color w:val="000000"/>
              <w:lang w:val="en-US"/>
            </w:rPr>
          </w:pPr>
          <w:r w:rsidRPr="00B95DF9">
            <w:rPr>
              <w:color w:val="000000"/>
              <w:lang w:val="en-US"/>
            </w:rPr>
            <w:t>Original: English</w:t>
          </w:r>
        </w:p>
        <w:p w:rsidR="00E24112" w:rsidRPr="00B95DF9" w:rsidRDefault="00E24112" w:rsidP="002A08E4">
          <w:pPr>
            <w:rPr>
              <w:lang w:val="en-US"/>
            </w:rPr>
          </w:pPr>
        </w:p>
      </w:tc>
    </w:tr>
  </w:tbl>
  <w:p w:rsidR="00E24112" w:rsidRPr="00B95DF9" w:rsidRDefault="00E24112" w:rsidP="002A08E4">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6580094"/>
    <w:multiLevelType w:val="multilevel"/>
    <w:tmpl w:val="D82484AA"/>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6">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832FAD"/>
    <w:multiLevelType w:val="hybridMultilevel"/>
    <w:tmpl w:val="D2A6BA70"/>
    <w:lvl w:ilvl="0" w:tplc="0809000F">
      <w:start w:val="1"/>
      <w:numFmt w:val="decimal"/>
      <w:lvlText w:val="%1."/>
      <w:lvlJc w:val="left"/>
      <w:pPr>
        <w:ind w:left="3816" w:hanging="555"/>
      </w:pPr>
      <w:rPr>
        <w:b w:val="0"/>
      </w:rPr>
    </w:lvl>
    <w:lvl w:ilvl="1" w:tplc="08090019">
      <w:start w:val="1"/>
      <w:numFmt w:val="lowerLetter"/>
      <w:lvlText w:val="%2."/>
      <w:lvlJc w:val="left"/>
      <w:pPr>
        <w:ind w:left="939" w:hanging="360"/>
      </w:pPr>
    </w:lvl>
    <w:lvl w:ilvl="2" w:tplc="0809001B">
      <w:start w:val="1"/>
      <w:numFmt w:val="lowerRoman"/>
      <w:lvlText w:val="%3."/>
      <w:lvlJc w:val="right"/>
      <w:pPr>
        <w:ind w:left="1659" w:hanging="180"/>
      </w:pPr>
    </w:lvl>
    <w:lvl w:ilvl="3" w:tplc="0809001B">
      <w:start w:val="1"/>
      <w:numFmt w:val="lowerRoman"/>
      <w:lvlText w:val="%4."/>
      <w:lvlJc w:val="right"/>
      <w:pPr>
        <w:ind w:left="2379" w:hanging="360"/>
      </w:pPr>
    </w:lvl>
    <w:lvl w:ilvl="4" w:tplc="0809001B">
      <w:start w:val="1"/>
      <w:numFmt w:val="lowerRoman"/>
      <w:lvlText w:val="%5."/>
      <w:lvlJc w:val="right"/>
      <w:pPr>
        <w:ind w:left="3099" w:hanging="360"/>
      </w:pPr>
    </w:lvl>
    <w:lvl w:ilvl="5" w:tplc="0809001B">
      <w:start w:val="1"/>
      <w:numFmt w:val="lowerRoman"/>
      <w:lvlText w:val="%6."/>
      <w:lvlJc w:val="right"/>
      <w:pPr>
        <w:ind w:left="3819" w:hanging="180"/>
      </w:pPr>
    </w:lvl>
    <w:lvl w:ilvl="6" w:tplc="0809000F">
      <w:start w:val="1"/>
      <w:numFmt w:val="decimal"/>
      <w:lvlText w:val="%7."/>
      <w:lvlJc w:val="left"/>
      <w:pPr>
        <w:ind w:left="4539" w:hanging="360"/>
      </w:pPr>
    </w:lvl>
    <w:lvl w:ilvl="7" w:tplc="08090019">
      <w:start w:val="1"/>
      <w:numFmt w:val="lowerLetter"/>
      <w:lvlText w:val="%8."/>
      <w:lvlJc w:val="left"/>
      <w:pPr>
        <w:ind w:left="5259" w:hanging="360"/>
      </w:pPr>
    </w:lvl>
    <w:lvl w:ilvl="8" w:tplc="0809001B">
      <w:start w:val="1"/>
      <w:numFmt w:val="lowerRoman"/>
      <w:lvlText w:val="%9."/>
      <w:lvlJc w:val="right"/>
      <w:pPr>
        <w:ind w:left="5979" w:hanging="180"/>
      </w:pPr>
    </w:lvl>
  </w:abstractNum>
  <w:abstractNum w:abstractNumId="8">
    <w:nsid w:val="19383672"/>
    <w:multiLevelType w:val="hybridMultilevel"/>
    <w:tmpl w:val="5374DCCA"/>
    <w:lvl w:ilvl="0" w:tplc="0CBAB4A2">
      <w:start w:val="1"/>
      <w:numFmt w:val="lowerLetter"/>
      <w:lvlText w:val="(%1)"/>
      <w:lvlJc w:val="left"/>
      <w:pPr>
        <w:ind w:left="1494" w:hanging="360"/>
      </w:pPr>
    </w:lvl>
    <w:lvl w:ilvl="1" w:tplc="0CBAB4A2">
      <w:start w:val="1"/>
      <w:numFmt w:val="lowerLetter"/>
      <w:lvlText w:val="(%2)"/>
      <w:lvlJc w:val="left"/>
      <w:pPr>
        <w:ind w:left="2214" w:hanging="360"/>
      </w:pPr>
    </w:lvl>
    <w:lvl w:ilvl="2" w:tplc="0807001B">
      <w:start w:val="1"/>
      <w:numFmt w:val="lowerRoman"/>
      <w:lvlText w:val="%3."/>
      <w:lvlJc w:val="right"/>
      <w:pPr>
        <w:ind w:left="2934" w:hanging="180"/>
      </w:pPr>
    </w:lvl>
    <w:lvl w:ilvl="3" w:tplc="0807000F">
      <w:start w:val="1"/>
      <w:numFmt w:val="decimal"/>
      <w:lvlText w:val="%4."/>
      <w:lvlJc w:val="left"/>
      <w:pPr>
        <w:ind w:left="3654" w:hanging="360"/>
      </w:pPr>
    </w:lvl>
    <w:lvl w:ilvl="4" w:tplc="08070019">
      <w:start w:val="1"/>
      <w:numFmt w:val="lowerLetter"/>
      <w:lvlText w:val="%5."/>
      <w:lvlJc w:val="left"/>
      <w:pPr>
        <w:ind w:left="4374" w:hanging="360"/>
      </w:pPr>
    </w:lvl>
    <w:lvl w:ilvl="5" w:tplc="0807001B">
      <w:start w:val="1"/>
      <w:numFmt w:val="lowerRoman"/>
      <w:lvlText w:val="%6."/>
      <w:lvlJc w:val="right"/>
      <w:pPr>
        <w:ind w:left="5094" w:hanging="180"/>
      </w:pPr>
    </w:lvl>
    <w:lvl w:ilvl="6" w:tplc="0807000F">
      <w:start w:val="1"/>
      <w:numFmt w:val="decimal"/>
      <w:lvlText w:val="%7."/>
      <w:lvlJc w:val="left"/>
      <w:pPr>
        <w:ind w:left="5814" w:hanging="360"/>
      </w:pPr>
    </w:lvl>
    <w:lvl w:ilvl="7" w:tplc="08070019">
      <w:start w:val="1"/>
      <w:numFmt w:val="lowerLetter"/>
      <w:lvlText w:val="%8."/>
      <w:lvlJc w:val="left"/>
      <w:pPr>
        <w:ind w:left="6534" w:hanging="360"/>
      </w:pPr>
    </w:lvl>
    <w:lvl w:ilvl="8" w:tplc="0807001B">
      <w:start w:val="1"/>
      <w:numFmt w:val="lowerRoman"/>
      <w:lvlText w:val="%9."/>
      <w:lvlJc w:val="right"/>
      <w:pPr>
        <w:ind w:left="7254" w:hanging="180"/>
      </w:pPr>
    </w:lvl>
  </w:abstractNum>
  <w:abstractNum w:abstractNumId="9">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0">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2"/>
  </w:num>
  <w:num w:numId="6">
    <w:abstractNumId w:val="1"/>
  </w:num>
  <w:num w:numId="7">
    <w:abstractNumId w:val="0"/>
  </w:num>
  <w:num w:numId="8">
    <w:abstractNumId w:val="6"/>
  </w:num>
  <w:num w:numId="9">
    <w:abstractNumId w:val="12"/>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6145"/>
  </w:hdrShapeDefaults>
  <w:footnotePr>
    <w:footnote w:id="-1"/>
    <w:footnote w:id="0"/>
    <w:footnote w:id="1"/>
  </w:footnotePr>
  <w:endnotePr>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613*"/>
    <w:docVar w:name="CreationDt" w:val="8/6/2015 11:27 AM"/>
    <w:docVar w:name="DocCategory" w:val="Doc"/>
    <w:docVar w:name="DocType" w:val="Final"/>
    <w:docVar w:name="DutyStation" w:val="Geneva"/>
    <w:docVar w:name="FooterJN" w:val="GE.15-11613"/>
    <w:docVar w:name="jobn" w:val="GE.15-11613 (R)"/>
    <w:docVar w:name="jobnDT" w:val="GE.15-11613 (R)   060815"/>
    <w:docVar w:name="jobnDTDT" w:val="GE.15-11613 (R)   060815   060815"/>
    <w:docVar w:name="JobNo" w:val="GE.1511613R"/>
    <w:docVar w:name="JobNo2" w:val="1515262R"/>
    <w:docVar w:name="LocalDrive" w:val="0"/>
    <w:docVar w:name="OandT" w:val=" "/>
    <w:docVar w:name="PaperSize" w:val="A4"/>
    <w:docVar w:name="sss1" w:val="A/HRC/30/47"/>
    <w:docVar w:name="sss2" w:val="-"/>
    <w:docVar w:name="Symbol1" w:val="A/HRC/30/47"/>
    <w:docVar w:name="Symbol2" w:val="-"/>
  </w:docVars>
  <w:rsids>
    <w:rsidRoot w:val="00F531E1"/>
    <w:rsid w:val="00004615"/>
    <w:rsid w:val="00004756"/>
    <w:rsid w:val="00013E03"/>
    <w:rsid w:val="00015201"/>
    <w:rsid w:val="00024A67"/>
    <w:rsid w:val="00025CF3"/>
    <w:rsid w:val="000264F8"/>
    <w:rsid w:val="0002669B"/>
    <w:rsid w:val="00033C1F"/>
    <w:rsid w:val="000513EF"/>
    <w:rsid w:val="0005420D"/>
    <w:rsid w:val="00055EA2"/>
    <w:rsid w:val="00067A5A"/>
    <w:rsid w:val="00067A90"/>
    <w:rsid w:val="00070C37"/>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37D3F"/>
    <w:rsid w:val="001444A3"/>
    <w:rsid w:val="00153645"/>
    <w:rsid w:val="00153E8C"/>
    <w:rsid w:val="00154569"/>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8E4"/>
    <w:rsid w:val="002A0BAE"/>
    <w:rsid w:val="002A2DD8"/>
    <w:rsid w:val="002A7921"/>
    <w:rsid w:val="002B0AAF"/>
    <w:rsid w:val="002B1213"/>
    <w:rsid w:val="002B6501"/>
    <w:rsid w:val="002B6E2A"/>
    <w:rsid w:val="002C0A4B"/>
    <w:rsid w:val="002C3DE6"/>
    <w:rsid w:val="002C66D0"/>
    <w:rsid w:val="002D396F"/>
    <w:rsid w:val="002D4606"/>
    <w:rsid w:val="002D666D"/>
    <w:rsid w:val="002E1F79"/>
    <w:rsid w:val="002F5C45"/>
    <w:rsid w:val="002F6149"/>
    <w:rsid w:val="002F7D25"/>
    <w:rsid w:val="00321D63"/>
    <w:rsid w:val="00326F5F"/>
    <w:rsid w:val="00332D90"/>
    <w:rsid w:val="00333B06"/>
    <w:rsid w:val="00337D91"/>
    <w:rsid w:val="00346BFB"/>
    <w:rsid w:val="00350756"/>
    <w:rsid w:val="00350C22"/>
    <w:rsid w:val="003542EE"/>
    <w:rsid w:val="00360D26"/>
    <w:rsid w:val="00362FFE"/>
    <w:rsid w:val="00363769"/>
    <w:rsid w:val="003658B0"/>
    <w:rsid w:val="0038044D"/>
    <w:rsid w:val="00384AEE"/>
    <w:rsid w:val="0038527A"/>
    <w:rsid w:val="00391367"/>
    <w:rsid w:val="00392F6A"/>
    <w:rsid w:val="0039505F"/>
    <w:rsid w:val="003A150E"/>
    <w:rsid w:val="003A2730"/>
    <w:rsid w:val="003B16B4"/>
    <w:rsid w:val="003B5A03"/>
    <w:rsid w:val="003C12AC"/>
    <w:rsid w:val="003C2842"/>
    <w:rsid w:val="003D0825"/>
    <w:rsid w:val="003D2003"/>
    <w:rsid w:val="003D5DA2"/>
    <w:rsid w:val="003E5193"/>
    <w:rsid w:val="00401CDD"/>
    <w:rsid w:val="00402244"/>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00CE"/>
    <w:rsid w:val="00511EAC"/>
    <w:rsid w:val="005121DC"/>
    <w:rsid w:val="00513113"/>
    <w:rsid w:val="00515869"/>
    <w:rsid w:val="00515F1F"/>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1"/>
    <w:rsid w:val="00593E2F"/>
    <w:rsid w:val="00595A74"/>
    <w:rsid w:val="005A002C"/>
    <w:rsid w:val="005A1D01"/>
    <w:rsid w:val="005A5601"/>
    <w:rsid w:val="005A62A9"/>
    <w:rsid w:val="005A7964"/>
    <w:rsid w:val="005B064E"/>
    <w:rsid w:val="005B499C"/>
    <w:rsid w:val="005C0440"/>
    <w:rsid w:val="005D2455"/>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B6A98"/>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5195"/>
    <w:rsid w:val="0090623F"/>
    <w:rsid w:val="00906702"/>
    <w:rsid w:val="00907EDB"/>
    <w:rsid w:val="009110C5"/>
    <w:rsid w:val="00912FB5"/>
    <w:rsid w:val="00913A54"/>
    <w:rsid w:val="00915944"/>
    <w:rsid w:val="009228D9"/>
    <w:rsid w:val="009312DC"/>
    <w:rsid w:val="009327BF"/>
    <w:rsid w:val="00934047"/>
    <w:rsid w:val="00935F33"/>
    <w:rsid w:val="00940660"/>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C0400"/>
    <w:rsid w:val="009C20B9"/>
    <w:rsid w:val="009C382E"/>
    <w:rsid w:val="009D28B9"/>
    <w:rsid w:val="009D6E3D"/>
    <w:rsid w:val="009E5E58"/>
    <w:rsid w:val="009F0808"/>
    <w:rsid w:val="00A070E6"/>
    <w:rsid w:val="00A1426A"/>
    <w:rsid w:val="00A14F1D"/>
    <w:rsid w:val="00A1703F"/>
    <w:rsid w:val="00A2180A"/>
    <w:rsid w:val="00A22293"/>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95DF9"/>
    <w:rsid w:val="00BB052D"/>
    <w:rsid w:val="00BB1F92"/>
    <w:rsid w:val="00BB46C6"/>
    <w:rsid w:val="00BB5B7F"/>
    <w:rsid w:val="00BB7E8A"/>
    <w:rsid w:val="00BC20A0"/>
    <w:rsid w:val="00BC75AA"/>
    <w:rsid w:val="00BD0770"/>
    <w:rsid w:val="00BD2F16"/>
    <w:rsid w:val="00BE2488"/>
    <w:rsid w:val="00BE2D25"/>
    <w:rsid w:val="00BE448A"/>
    <w:rsid w:val="00BE531D"/>
    <w:rsid w:val="00BE6A37"/>
    <w:rsid w:val="00BF2725"/>
    <w:rsid w:val="00BF3D60"/>
    <w:rsid w:val="00BF5FCB"/>
    <w:rsid w:val="00C00290"/>
    <w:rsid w:val="00C0140C"/>
    <w:rsid w:val="00C05694"/>
    <w:rsid w:val="00C05FFF"/>
    <w:rsid w:val="00C13CE1"/>
    <w:rsid w:val="00C16B93"/>
    <w:rsid w:val="00C2210E"/>
    <w:rsid w:val="00C2524E"/>
    <w:rsid w:val="00C32802"/>
    <w:rsid w:val="00C35DFA"/>
    <w:rsid w:val="00C40B0B"/>
    <w:rsid w:val="00C40D81"/>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11CC"/>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0154"/>
    <w:rsid w:val="00D434AF"/>
    <w:rsid w:val="00D44FA6"/>
    <w:rsid w:val="00D554C9"/>
    <w:rsid w:val="00D61BB7"/>
    <w:rsid w:val="00D62DA9"/>
    <w:rsid w:val="00D70D97"/>
    <w:rsid w:val="00D7165D"/>
    <w:rsid w:val="00D75705"/>
    <w:rsid w:val="00D961D6"/>
    <w:rsid w:val="00D973EF"/>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4112"/>
    <w:rsid w:val="00E261F5"/>
    <w:rsid w:val="00E34A5B"/>
    <w:rsid w:val="00E4741B"/>
    <w:rsid w:val="00E478DE"/>
    <w:rsid w:val="00E5226F"/>
    <w:rsid w:val="00E53135"/>
    <w:rsid w:val="00E54D94"/>
    <w:rsid w:val="00E6111E"/>
    <w:rsid w:val="00E616D0"/>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2A89"/>
    <w:rsid w:val="00EE2CEC"/>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531E1"/>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SingleTxt"/>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2A08E4"/>
    <w:rPr>
      <w:sz w:val="16"/>
      <w:szCs w:val="16"/>
    </w:rPr>
  </w:style>
  <w:style w:type="paragraph" w:styleId="CommentText">
    <w:name w:val="annotation text"/>
    <w:basedOn w:val="Normal"/>
    <w:link w:val="CommentTextChar"/>
    <w:uiPriority w:val="99"/>
    <w:semiHidden/>
    <w:unhideWhenUsed/>
    <w:rsid w:val="002A08E4"/>
    <w:pPr>
      <w:spacing w:line="240" w:lineRule="auto"/>
    </w:pPr>
    <w:rPr>
      <w:szCs w:val="20"/>
    </w:rPr>
  </w:style>
  <w:style w:type="character" w:customStyle="1" w:styleId="CommentTextChar">
    <w:name w:val="Comment Text Char"/>
    <w:basedOn w:val="DefaultParagraphFont"/>
    <w:link w:val="CommentText"/>
    <w:uiPriority w:val="99"/>
    <w:semiHidden/>
    <w:rsid w:val="002A08E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2A08E4"/>
    <w:rPr>
      <w:b/>
      <w:bCs/>
    </w:rPr>
  </w:style>
  <w:style w:type="character" w:customStyle="1" w:styleId="CommentSubjectChar">
    <w:name w:val="Comment Subject Char"/>
    <w:basedOn w:val="CommentTextChar"/>
    <w:link w:val="CommentSubject"/>
    <w:uiPriority w:val="99"/>
    <w:semiHidden/>
    <w:rsid w:val="002A08E4"/>
    <w:rPr>
      <w:rFonts w:ascii="Times New Roman" w:hAnsi="Times New Roman" w:cs="Times New Roman"/>
      <w:b/>
      <w:bCs/>
      <w:spacing w:val="4"/>
      <w:w w:val="103"/>
      <w:kern w:val="14"/>
      <w:sz w:val="20"/>
      <w:szCs w:val="20"/>
      <w:lang w:val="ru-RU"/>
    </w:rPr>
  </w:style>
  <w:style w:type="character" w:styleId="Hyperlink">
    <w:name w:val="Hyperlink"/>
    <w:semiHidden/>
    <w:unhideWhenUsed/>
    <w:rsid w:val="00B95DF9"/>
    <w:rPr>
      <w:strike w:val="0"/>
      <w:dstrike w:val="0"/>
      <w:color w:val="auto"/>
      <w:u w:val="none"/>
      <w:effect w:val="none"/>
    </w:rPr>
  </w:style>
  <w:style w:type="paragraph" w:styleId="BalloonText">
    <w:name w:val="Balloon Text"/>
    <w:basedOn w:val="Normal"/>
    <w:link w:val="BalloonTextChar"/>
    <w:uiPriority w:val="99"/>
    <w:semiHidden/>
    <w:unhideWhenUsed/>
    <w:rsid w:val="000264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4F8"/>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SingleTxt"/>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2A08E4"/>
    <w:rPr>
      <w:sz w:val="16"/>
      <w:szCs w:val="16"/>
    </w:rPr>
  </w:style>
  <w:style w:type="paragraph" w:styleId="CommentText">
    <w:name w:val="annotation text"/>
    <w:basedOn w:val="Normal"/>
    <w:link w:val="CommentTextChar"/>
    <w:uiPriority w:val="99"/>
    <w:semiHidden/>
    <w:unhideWhenUsed/>
    <w:rsid w:val="002A08E4"/>
    <w:pPr>
      <w:spacing w:line="240" w:lineRule="auto"/>
    </w:pPr>
    <w:rPr>
      <w:szCs w:val="20"/>
    </w:rPr>
  </w:style>
  <w:style w:type="character" w:customStyle="1" w:styleId="CommentTextChar">
    <w:name w:val="Comment Text Char"/>
    <w:basedOn w:val="DefaultParagraphFont"/>
    <w:link w:val="CommentText"/>
    <w:uiPriority w:val="99"/>
    <w:semiHidden/>
    <w:rsid w:val="002A08E4"/>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2A08E4"/>
    <w:rPr>
      <w:b/>
      <w:bCs/>
    </w:rPr>
  </w:style>
  <w:style w:type="character" w:customStyle="1" w:styleId="CommentSubjectChar">
    <w:name w:val="Comment Subject Char"/>
    <w:basedOn w:val="CommentTextChar"/>
    <w:link w:val="CommentSubject"/>
    <w:uiPriority w:val="99"/>
    <w:semiHidden/>
    <w:rsid w:val="002A08E4"/>
    <w:rPr>
      <w:rFonts w:ascii="Times New Roman" w:hAnsi="Times New Roman" w:cs="Times New Roman"/>
      <w:b/>
      <w:bCs/>
      <w:spacing w:val="4"/>
      <w:w w:val="103"/>
      <w:kern w:val="14"/>
      <w:sz w:val="20"/>
      <w:szCs w:val="20"/>
      <w:lang w:val="ru-RU"/>
    </w:rPr>
  </w:style>
  <w:style w:type="character" w:styleId="Hyperlink">
    <w:name w:val="Hyperlink"/>
    <w:semiHidden/>
    <w:unhideWhenUsed/>
    <w:rsid w:val="00B95DF9"/>
    <w:rPr>
      <w:strike w:val="0"/>
      <w:dstrike w:val="0"/>
      <w:color w:val="auto"/>
      <w:u w:val="none"/>
      <w:effect w:val="none"/>
    </w:rPr>
  </w:style>
  <w:style w:type="paragraph" w:styleId="BalloonText">
    <w:name w:val="Balloon Text"/>
    <w:basedOn w:val="Normal"/>
    <w:link w:val="BalloonTextChar"/>
    <w:uiPriority w:val="99"/>
    <w:semiHidden/>
    <w:unhideWhenUsed/>
    <w:rsid w:val="000264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4F8"/>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1946">
      <w:bodyDiv w:val="1"/>
      <w:marLeft w:val="0"/>
      <w:marRight w:val="0"/>
      <w:marTop w:val="0"/>
      <w:marBottom w:val="0"/>
      <w:divBdr>
        <w:top w:val="none" w:sz="0" w:space="0" w:color="auto"/>
        <w:left w:val="none" w:sz="0" w:space="0" w:color="auto"/>
        <w:bottom w:val="none" w:sz="0" w:space="0" w:color="auto"/>
        <w:right w:val="none" w:sz="0" w:space="0" w:color="auto"/>
      </w:divBdr>
    </w:div>
    <w:div w:id="341013635">
      <w:bodyDiv w:val="1"/>
      <w:marLeft w:val="0"/>
      <w:marRight w:val="0"/>
      <w:marTop w:val="0"/>
      <w:marBottom w:val="0"/>
      <w:divBdr>
        <w:top w:val="none" w:sz="0" w:space="0" w:color="auto"/>
        <w:left w:val="none" w:sz="0" w:space="0" w:color="auto"/>
        <w:bottom w:val="none" w:sz="0" w:space="0" w:color="auto"/>
        <w:right w:val="none" w:sz="0" w:space="0" w:color="auto"/>
      </w:divBdr>
    </w:div>
    <w:div w:id="401176258">
      <w:bodyDiv w:val="1"/>
      <w:marLeft w:val="0"/>
      <w:marRight w:val="0"/>
      <w:marTop w:val="0"/>
      <w:marBottom w:val="0"/>
      <w:divBdr>
        <w:top w:val="none" w:sz="0" w:space="0" w:color="auto"/>
        <w:left w:val="none" w:sz="0" w:space="0" w:color="auto"/>
        <w:bottom w:val="none" w:sz="0" w:space="0" w:color="auto"/>
        <w:right w:val="none" w:sz="0" w:space="0" w:color="auto"/>
      </w:divBdr>
    </w:div>
    <w:div w:id="797459151">
      <w:bodyDiv w:val="1"/>
      <w:marLeft w:val="0"/>
      <w:marRight w:val="0"/>
      <w:marTop w:val="0"/>
      <w:marBottom w:val="0"/>
      <w:divBdr>
        <w:top w:val="none" w:sz="0" w:space="0" w:color="auto"/>
        <w:left w:val="none" w:sz="0" w:space="0" w:color="auto"/>
        <w:bottom w:val="none" w:sz="0" w:space="0" w:color="auto"/>
        <w:right w:val="none" w:sz="0" w:space="0" w:color="auto"/>
      </w:divBdr>
    </w:div>
    <w:div w:id="1064569740">
      <w:bodyDiv w:val="1"/>
      <w:marLeft w:val="0"/>
      <w:marRight w:val="0"/>
      <w:marTop w:val="0"/>
      <w:marBottom w:val="0"/>
      <w:divBdr>
        <w:top w:val="none" w:sz="0" w:space="0" w:color="auto"/>
        <w:left w:val="none" w:sz="0" w:space="0" w:color="auto"/>
        <w:bottom w:val="none" w:sz="0" w:space="0" w:color="auto"/>
        <w:right w:val="none" w:sz="0" w:space="0" w:color="auto"/>
      </w:divBdr>
    </w:div>
    <w:div w:id="1272326057">
      <w:bodyDiv w:val="1"/>
      <w:marLeft w:val="0"/>
      <w:marRight w:val="0"/>
      <w:marTop w:val="0"/>
      <w:marBottom w:val="0"/>
      <w:divBdr>
        <w:top w:val="none" w:sz="0" w:space="0" w:color="auto"/>
        <w:left w:val="none" w:sz="0" w:space="0" w:color="auto"/>
        <w:bottom w:val="none" w:sz="0" w:space="0" w:color="auto"/>
        <w:right w:val="none" w:sz="0" w:space="0" w:color="auto"/>
      </w:divBdr>
    </w:div>
    <w:div w:id="1393649679">
      <w:bodyDiv w:val="1"/>
      <w:marLeft w:val="0"/>
      <w:marRight w:val="0"/>
      <w:marTop w:val="0"/>
      <w:marBottom w:val="0"/>
      <w:divBdr>
        <w:top w:val="none" w:sz="0" w:space="0" w:color="auto"/>
        <w:left w:val="none" w:sz="0" w:space="0" w:color="auto"/>
        <w:bottom w:val="none" w:sz="0" w:space="0" w:color="auto"/>
        <w:right w:val="none" w:sz="0" w:space="0" w:color="auto"/>
      </w:divBdr>
    </w:div>
    <w:div w:id="1839152902">
      <w:bodyDiv w:val="1"/>
      <w:marLeft w:val="0"/>
      <w:marRight w:val="0"/>
      <w:marTop w:val="0"/>
      <w:marBottom w:val="0"/>
      <w:divBdr>
        <w:top w:val="none" w:sz="0" w:space="0" w:color="auto"/>
        <w:left w:val="none" w:sz="0" w:space="0" w:color="auto"/>
        <w:bottom w:val="none" w:sz="0" w:space="0" w:color="auto"/>
        <w:right w:val="none" w:sz="0" w:space="0" w:color="auto"/>
      </w:divBdr>
    </w:div>
    <w:div w:id="20670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5BAA-D8D4-4C7B-8386-1BF08A584C07}"/>
</file>

<file path=customXml/itemProps2.xml><?xml version="1.0" encoding="utf-8"?>
<ds:datastoreItem xmlns:ds="http://schemas.openxmlformats.org/officeDocument/2006/customXml" ds:itemID="{4C48D3EB-691F-49F6-A562-D910A66DCBDF}"/>
</file>

<file path=customXml/itemProps3.xml><?xml version="1.0" encoding="utf-8"?>
<ds:datastoreItem xmlns:ds="http://schemas.openxmlformats.org/officeDocument/2006/customXml" ds:itemID="{DEDE46AB-DD7A-4B49-9298-18988CFE3F75}"/>
</file>

<file path=customXml/itemProps4.xml><?xml version="1.0" encoding="utf-8"?>
<ds:datastoreItem xmlns:ds="http://schemas.openxmlformats.org/officeDocument/2006/customXml" ds:itemID="{34FFB875-9134-4A68-8E4A-3EA9E26A93BA}"/>
</file>

<file path=docProps/app.xml><?xml version="1.0" encoding="utf-8"?>
<Properties xmlns="http://schemas.openxmlformats.org/officeDocument/2006/extended-properties" xmlns:vt="http://schemas.openxmlformats.org/officeDocument/2006/docPropsVTypes">
  <Template>Normal.dotm</Template>
  <TotalTime>0</TotalTime>
  <Pages>29</Pages>
  <Words>12806</Words>
  <Characters>72996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85631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private military and security companies on its fourth session in Russian</dc:title>
  <dc:creator>Prokoudina S.</dc:creator>
  <cp:lastModifiedBy>Izotova Elena</cp:lastModifiedBy>
  <cp:revision>2</cp:revision>
  <cp:lastPrinted>2015-08-06T12:04:00Z</cp:lastPrinted>
  <dcterms:created xsi:type="dcterms:W3CDTF">2015-08-10T10:47:00Z</dcterms:created>
  <dcterms:modified xsi:type="dcterms:W3CDTF">2015-08-10T10:47:00Z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1511613R</vt:lpwstr>
  </property>
  <property fmtid="{D5CDD505-2E9C-101B-9397-08002B2CF9AE}" pid="3" name="ODSRefJobNo">
    <vt:lpwstr>1515262R</vt:lpwstr>
  </property>
  <property fmtid="{D5CDD505-2E9C-101B-9397-08002B2CF9AE}" pid="4" name="Symbol1">
    <vt:lpwstr>A/HRC/30/47</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9 July 2015</vt:lpwstr>
  </property>
  <property fmtid="{D5CDD505-2E9C-101B-9397-08002B2CF9AE}" pid="12" name="Original">
    <vt:lpwstr>English</vt:lpwstr>
  </property>
  <property fmtid="{D5CDD505-2E9C-101B-9397-08002B2CF9AE}" pid="13" name="Release Date">
    <vt:lpwstr>060815</vt:lpwstr>
  </property>
  <property fmtid="{D5CDD505-2E9C-101B-9397-08002B2CF9AE}" pid="14" name="ContentTypeId">
    <vt:lpwstr>0x010100EF670F518423CB4F888C4265EEC2C475</vt:lpwstr>
  </property>
  <property fmtid="{D5CDD505-2E9C-101B-9397-08002B2CF9AE}" pid="15" name="Order">
    <vt:r8>35600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