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90" w:rsidRDefault="00C44290" w:rsidP="00C44290">
      <w:pPr>
        <w:spacing w:line="60" w:lineRule="exact"/>
        <w:rPr>
          <w:sz w:val="6"/>
        </w:rPr>
        <w:sectPr w:rsidR="00C44290" w:rsidSect="00C44290">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C44290">
      <w:pPr>
        <w:spacing w:line="60" w:lineRule="exact"/>
        <w:rPr>
          <w:sz w:val="6"/>
        </w:rPr>
      </w:pPr>
    </w:p>
    <w:p w:rsidR="00E91901" w:rsidRPr="00E91901" w:rsidRDefault="00E91901" w:rsidP="00E91901">
      <w:pPr>
        <w:spacing w:line="120" w:lineRule="exact"/>
        <w:rPr>
          <w:rFonts w:ascii="黑体" w:eastAsia="黑体"/>
          <w:sz w:val="10"/>
          <w:szCs w:val="24"/>
        </w:rPr>
      </w:pPr>
    </w:p>
    <w:p w:rsidR="00E91901" w:rsidRPr="00E91901" w:rsidRDefault="00E91901" w:rsidP="00E91901">
      <w:pPr>
        <w:rPr>
          <w:rFonts w:ascii="黑体" w:eastAsia="黑体"/>
          <w:sz w:val="24"/>
          <w:szCs w:val="24"/>
        </w:rPr>
      </w:pPr>
      <w:r w:rsidRPr="00E91901">
        <w:rPr>
          <w:rFonts w:ascii="黑体" w:eastAsia="黑体"/>
          <w:sz w:val="24"/>
          <w:szCs w:val="24"/>
        </w:rPr>
        <w:t>人权理事会</w:t>
      </w:r>
    </w:p>
    <w:p w:rsidR="00E91901" w:rsidRPr="00E91901" w:rsidRDefault="00E91901" w:rsidP="00E91901">
      <w:pPr>
        <w:rPr>
          <w:rFonts w:ascii="黑体" w:eastAsia="黑体"/>
          <w:color w:val="000000"/>
        </w:rPr>
      </w:pPr>
      <w:r w:rsidRPr="00E91901">
        <w:rPr>
          <w:rFonts w:ascii="黑体" w:eastAsia="黑体"/>
          <w:bCs/>
          <w:color w:val="000000"/>
        </w:rPr>
        <w:t>第三十届会议</w:t>
      </w:r>
      <w:bookmarkStart w:id="1" w:name="_GoBack"/>
      <w:bookmarkEnd w:id="1"/>
    </w:p>
    <w:p w:rsidR="00E91901" w:rsidRPr="00E91901" w:rsidRDefault="00E91901" w:rsidP="00E91901">
      <w:pPr>
        <w:rPr>
          <w:color w:val="000000"/>
        </w:rPr>
      </w:pPr>
      <w:r w:rsidRPr="00E91901">
        <w:rPr>
          <w:color w:val="000000"/>
        </w:rPr>
        <w:t>议程项目</w:t>
      </w:r>
      <w:r w:rsidRPr="00E91901">
        <w:rPr>
          <w:color w:val="000000"/>
        </w:rPr>
        <w:t>3</w:t>
      </w:r>
      <w:r w:rsidRPr="00E91901">
        <w:rPr>
          <w:color w:val="000000"/>
        </w:rPr>
        <w:t>和</w:t>
      </w:r>
      <w:r w:rsidRPr="00E91901">
        <w:rPr>
          <w:color w:val="000000"/>
        </w:rPr>
        <w:t>5</w:t>
      </w:r>
    </w:p>
    <w:p w:rsidR="00E91901" w:rsidRPr="00E91901" w:rsidRDefault="00E91901" w:rsidP="00E91901">
      <w:pPr>
        <w:rPr>
          <w:rFonts w:ascii="黑体" w:eastAsia="黑体"/>
          <w:color w:val="000000"/>
        </w:rPr>
      </w:pPr>
      <w:r w:rsidRPr="00E91901">
        <w:rPr>
          <w:rFonts w:ascii="黑体" w:eastAsia="黑体"/>
          <w:bCs/>
        </w:rPr>
        <w:t>增进和保护所有人权</w:t>
      </w:r>
      <w:r>
        <w:rPr>
          <w:rFonts w:hint="eastAsia"/>
          <w:spacing w:val="-50"/>
        </w:rPr>
        <w:t>―</w:t>
      </w:r>
      <w:r>
        <w:rPr>
          <w:rFonts w:hint="eastAsia"/>
        </w:rPr>
        <w:t>―</w:t>
      </w:r>
      <w:r w:rsidRPr="00E91901">
        <w:rPr>
          <w:rFonts w:ascii="黑体" w:eastAsia="黑体"/>
          <w:bCs/>
        </w:rPr>
        <w:t>公民权利、政治权利、</w:t>
      </w:r>
      <w:r>
        <w:rPr>
          <w:rFonts w:ascii="黑体" w:eastAsia="黑体" w:hint="eastAsia"/>
          <w:bCs/>
        </w:rPr>
        <w:br/>
      </w:r>
      <w:r w:rsidRPr="00E91901">
        <w:rPr>
          <w:rFonts w:ascii="黑体" w:eastAsia="黑体"/>
          <w:bCs/>
        </w:rPr>
        <w:t>经济、社会和文化权利，包括发展权</w:t>
      </w:r>
    </w:p>
    <w:p w:rsidR="00E91901" w:rsidRPr="00E91901" w:rsidRDefault="00E91901" w:rsidP="00E91901">
      <w:pPr>
        <w:spacing w:line="120" w:lineRule="exact"/>
        <w:rPr>
          <w:rFonts w:ascii="黑体" w:eastAsia="黑体"/>
          <w:sz w:val="10"/>
        </w:rPr>
      </w:pPr>
    </w:p>
    <w:p w:rsidR="00E91901" w:rsidRPr="00E91901" w:rsidRDefault="00E91901" w:rsidP="00E91901">
      <w:pPr>
        <w:rPr>
          <w:rFonts w:ascii="黑体" w:eastAsia="黑体"/>
        </w:rPr>
      </w:pPr>
      <w:r w:rsidRPr="00E91901">
        <w:rPr>
          <w:rFonts w:ascii="黑体" w:eastAsia="黑体"/>
        </w:rPr>
        <w:t>人权机构和机制</w:t>
      </w:r>
    </w:p>
    <w:p w:rsidR="00E91901" w:rsidRPr="00E91901" w:rsidRDefault="00E91901" w:rsidP="00E91901">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E91901">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E91901">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0350D" w:rsidRDefault="00E91901" w:rsidP="004F4993">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r>
      <w:r w:rsidRPr="00E91901">
        <w:tab/>
        <w:t>地方政府在增进和保护人权方面的作用</w:t>
      </w:r>
      <w:r w:rsidR="004F4993">
        <w:rPr>
          <w:rFonts w:hint="eastAsia"/>
          <w:spacing w:val="-50"/>
        </w:rPr>
        <w:t>―</w:t>
      </w:r>
      <w:r w:rsidR="004F4993">
        <w:rPr>
          <w:rFonts w:hint="eastAsia"/>
        </w:rPr>
        <w:t>―</w:t>
      </w:r>
      <w:r w:rsidRPr="00E91901">
        <w:t>人权理事会咨询委员会的最后报告</w:t>
      </w:r>
    </w:p>
    <w:p w:rsidR="0020350D" w:rsidRDefault="0020350D">
      <w:pPr>
        <w:spacing w:line="240" w:lineRule="auto"/>
        <w:jc w:val="left"/>
        <w:rPr>
          <w:rFonts w:ascii="黑体" w:eastAsia="黑体"/>
          <w:sz w:val="34"/>
        </w:rPr>
      </w:pPr>
      <w:r>
        <w:br w:type="page"/>
      </w:r>
    </w:p>
    <w:p w:rsidR="003B0048" w:rsidRDefault="003B0048" w:rsidP="008973E4">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3B0048" w:rsidRPr="00E53517">
        <w:tc>
          <w:tcPr>
            <w:tcW w:w="1060" w:type="dxa"/>
          </w:tcPr>
          <w:p w:rsidR="003B0048" w:rsidRPr="00E53517" w:rsidRDefault="003B0048" w:rsidP="008973E4">
            <w:pPr>
              <w:pStyle w:val="GB23126"/>
            </w:pPr>
          </w:p>
        </w:tc>
        <w:tc>
          <w:tcPr>
            <w:tcW w:w="7315" w:type="dxa"/>
          </w:tcPr>
          <w:p w:rsidR="003B0048" w:rsidRPr="00E53517" w:rsidRDefault="003B0048">
            <w:pPr>
              <w:spacing w:after="120" w:line="240" w:lineRule="auto"/>
              <w:rPr>
                <w:rFonts w:eastAsia="楷体_GB2312"/>
                <w:color w:val="0000FF"/>
                <w:sz w:val="15"/>
                <w:szCs w:val="15"/>
              </w:rPr>
            </w:pPr>
          </w:p>
        </w:tc>
        <w:tc>
          <w:tcPr>
            <w:tcW w:w="994" w:type="dxa"/>
          </w:tcPr>
          <w:p w:rsidR="003B0048" w:rsidRPr="00E53517" w:rsidRDefault="003B0048" w:rsidP="008973E4">
            <w:pPr>
              <w:pStyle w:val="GB23126"/>
            </w:pPr>
          </w:p>
        </w:tc>
        <w:tc>
          <w:tcPr>
            <w:tcW w:w="533" w:type="dxa"/>
          </w:tcPr>
          <w:p w:rsidR="003B0048" w:rsidRPr="00E53517" w:rsidRDefault="003B0048" w:rsidP="008973E4">
            <w:pPr>
              <w:pStyle w:val="GB23126"/>
            </w:pPr>
            <w:r w:rsidRPr="00E53517">
              <w:rPr>
                <w:rFonts w:hint="eastAsia"/>
              </w:rPr>
              <w:t>页次</w:t>
            </w:r>
          </w:p>
        </w:tc>
      </w:tr>
      <w:tr w:rsidR="003B0048">
        <w:trPr>
          <w:cantSplit/>
        </w:trPr>
        <w:tc>
          <w:tcPr>
            <w:tcW w:w="9369" w:type="dxa"/>
            <w:gridSpan w:val="3"/>
          </w:tcPr>
          <w:p w:rsidR="003B0048" w:rsidRDefault="003B0048" w:rsidP="003B0048">
            <w:pPr>
              <w:numPr>
                <w:ilvl w:val="0"/>
                <w:numId w:val="3"/>
              </w:numPr>
              <w:tabs>
                <w:tab w:val="right" w:pos="1080"/>
                <w:tab w:val="right" w:leader="dot" w:pos="9371"/>
              </w:tabs>
              <w:spacing w:after="120"/>
            </w:pPr>
            <w:r>
              <w:tab/>
            </w:r>
            <w:r w:rsidR="00D9138F" w:rsidRPr="00E91901">
              <w:rPr>
                <w:rFonts w:asciiTheme="majorBidi" w:hAnsiTheme="majorBidi" w:cstheme="majorBidi"/>
                <w:szCs w:val="21"/>
              </w:rPr>
              <w:t>导言</w:t>
            </w:r>
            <w:r>
              <w:tab/>
            </w:r>
          </w:p>
        </w:tc>
        <w:tc>
          <w:tcPr>
            <w:tcW w:w="533" w:type="dxa"/>
            <w:vAlign w:val="bottom"/>
          </w:tcPr>
          <w:p w:rsidR="003B0048" w:rsidRDefault="004F4993">
            <w:pPr>
              <w:spacing w:after="120"/>
              <w:ind w:right="28"/>
              <w:jc w:val="right"/>
            </w:pPr>
            <w:r>
              <w:t>3</w:t>
            </w:r>
          </w:p>
        </w:tc>
      </w:tr>
      <w:tr w:rsidR="00D9138F">
        <w:trPr>
          <w:cantSplit/>
        </w:trPr>
        <w:tc>
          <w:tcPr>
            <w:tcW w:w="9369" w:type="dxa"/>
            <w:gridSpan w:val="3"/>
          </w:tcPr>
          <w:p w:rsidR="00D9138F" w:rsidRDefault="00D9138F" w:rsidP="00D9138F">
            <w:pPr>
              <w:numPr>
                <w:ilvl w:val="0"/>
                <w:numId w:val="3"/>
              </w:numPr>
              <w:tabs>
                <w:tab w:val="right" w:pos="1080"/>
                <w:tab w:val="left" w:pos="1296"/>
                <w:tab w:val="left" w:pos="1728"/>
                <w:tab w:val="left" w:pos="2160"/>
                <w:tab w:val="left" w:pos="2592"/>
                <w:tab w:val="right" w:leader="dot" w:pos="9371"/>
              </w:tabs>
              <w:spacing w:after="120"/>
            </w:pPr>
            <w:r>
              <w:rPr>
                <w:rFonts w:hint="eastAsia"/>
              </w:rPr>
              <w:tab/>
            </w:r>
            <w:r w:rsidRPr="00E91901">
              <w:rPr>
                <w:rFonts w:asciiTheme="majorBidi" w:hAnsiTheme="majorBidi" w:cstheme="majorBidi"/>
                <w:szCs w:val="21"/>
              </w:rPr>
              <w:t>地方政府的定义</w:t>
            </w:r>
            <w:r>
              <w:rPr>
                <w:rFonts w:asciiTheme="majorBidi" w:hAnsiTheme="majorBidi" w:cstheme="majorBidi"/>
                <w:szCs w:val="21"/>
              </w:rPr>
              <w:tab/>
            </w:r>
          </w:p>
        </w:tc>
        <w:tc>
          <w:tcPr>
            <w:tcW w:w="533" w:type="dxa"/>
            <w:vAlign w:val="bottom"/>
          </w:tcPr>
          <w:p w:rsidR="00D9138F" w:rsidRDefault="004F4993">
            <w:pPr>
              <w:spacing w:after="120"/>
              <w:ind w:right="28"/>
              <w:jc w:val="right"/>
            </w:pPr>
            <w:r>
              <w:t>3</w:t>
            </w:r>
          </w:p>
        </w:tc>
      </w:tr>
      <w:tr w:rsidR="00D9138F">
        <w:trPr>
          <w:cantSplit/>
        </w:trPr>
        <w:tc>
          <w:tcPr>
            <w:tcW w:w="9369" w:type="dxa"/>
            <w:gridSpan w:val="3"/>
          </w:tcPr>
          <w:p w:rsidR="00D9138F" w:rsidRDefault="00D9138F" w:rsidP="00D9138F">
            <w:pPr>
              <w:numPr>
                <w:ilvl w:val="0"/>
                <w:numId w:val="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71"/>
              </w:tabs>
              <w:spacing w:after="120"/>
            </w:pPr>
            <w:r>
              <w:rPr>
                <w:rFonts w:hint="eastAsia"/>
              </w:rPr>
              <w:tab/>
            </w:r>
            <w:r w:rsidRPr="00E91901">
              <w:rPr>
                <w:rFonts w:asciiTheme="majorBidi" w:hAnsiTheme="majorBidi" w:cstheme="majorBidi"/>
                <w:szCs w:val="21"/>
              </w:rPr>
              <w:t>国家和地方政府：相互辅助、共同承担尊重、保护和实现人权的义务</w:t>
            </w:r>
            <w:r>
              <w:rPr>
                <w:rFonts w:asciiTheme="majorBidi" w:hAnsiTheme="majorBidi" w:cstheme="majorBidi"/>
                <w:szCs w:val="21"/>
              </w:rPr>
              <w:tab/>
            </w:r>
          </w:p>
        </w:tc>
        <w:tc>
          <w:tcPr>
            <w:tcW w:w="533" w:type="dxa"/>
            <w:vAlign w:val="bottom"/>
          </w:tcPr>
          <w:p w:rsidR="00D9138F" w:rsidRDefault="004F4993">
            <w:pPr>
              <w:spacing w:after="120"/>
              <w:ind w:right="28"/>
              <w:jc w:val="right"/>
            </w:pPr>
            <w:r>
              <w:t>5</w:t>
            </w:r>
          </w:p>
        </w:tc>
      </w:tr>
      <w:tr w:rsidR="00D9138F">
        <w:trPr>
          <w:cantSplit/>
        </w:trPr>
        <w:tc>
          <w:tcPr>
            <w:tcW w:w="9369" w:type="dxa"/>
            <w:gridSpan w:val="3"/>
          </w:tcPr>
          <w:p w:rsidR="00D9138F" w:rsidRDefault="00D9138F" w:rsidP="00D9138F">
            <w:pPr>
              <w:numPr>
                <w:ilvl w:val="0"/>
                <w:numId w:val="3"/>
              </w:numPr>
              <w:tabs>
                <w:tab w:val="right" w:pos="1080"/>
                <w:tab w:val="left" w:pos="1296"/>
                <w:tab w:val="left" w:pos="1728"/>
                <w:tab w:val="left" w:pos="2160"/>
                <w:tab w:val="left" w:pos="2592"/>
                <w:tab w:val="left" w:pos="3024"/>
                <w:tab w:val="left" w:pos="3456"/>
                <w:tab w:val="left" w:pos="3888"/>
                <w:tab w:val="left" w:pos="4320"/>
                <w:tab w:val="left" w:pos="4752"/>
                <w:tab w:val="right" w:leader="dot" w:pos="9371"/>
              </w:tabs>
              <w:spacing w:after="120"/>
            </w:pPr>
            <w:r>
              <w:rPr>
                <w:rFonts w:hint="eastAsia"/>
              </w:rPr>
              <w:tab/>
            </w:r>
            <w:r w:rsidRPr="00E91901">
              <w:rPr>
                <w:rFonts w:asciiTheme="majorBidi" w:hAnsiTheme="majorBidi" w:cstheme="majorBidi"/>
                <w:szCs w:val="21"/>
              </w:rPr>
              <w:t>地方政府在增进和保护人权方面的作用</w:t>
            </w:r>
            <w:r>
              <w:rPr>
                <w:rFonts w:asciiTheme="majorBidi" w:hAnsiTheme="majorBidi" w:cstheme="majorBidi"/>
                <w:szCs w:val="21"/>
              </w:rPr>
              <w:tab/>
            </w:r>
          </w:p>
        </w:tc>
        <w:tc>
          <w:tcPr>
            <w:tcW w:w="533" w:type="dxa"/>
            <w:vAlign w:val="bottom"/>
          </w:tcPr>
          <w:p w:rsidR="00D9138F" w:rsidRDefault="004F4993">
            <w:pPr>
              <w:spacing w:after="120"/>
              <w:ind w:right="28"/>
              <w:jc w:val="right"/>
            </w:pPr>
            <w:r>
              <w:t>6</w:t>
            </w:r>
          </w:p>
        </w:tc>
      </w:tr>
      <w:tr w:rsidR="003B0048">
        <w:trPr>
          <w:cantSplit/>
        </w:trPr>
        <w:tc>
          <w:tcPr>
            <w:tcW w:w="9369" w:type="dxa"/>
            <w:gridSpan w:val="3"/>
          </w:tcPr>
          <w:p w:rsidR="003B0048" w:rsidRDefault="003B0048" w:rsidP="003B0048">
            <w:pPr>
              <w:numPr>
                <w:ilvl w:val="0"/>
                <w:numId w:val="3"/>
              </w:numPr>
              <w:tabs>
                <w:tab w:val="right" w:pos="1080"/>
                <w:tab w:val="right" w:leader="dot" w:pos="9371"/>
              </w:tabs>
              <w:spacing w:after="120"/>
            </w:pPr>
            <w:r>
              <w:rPr>
                <w:rFonts w:hint="eastAsia"/>
              </w:rPr>
              <w:tab/>
            </w:r>
            <w:r w:rsidR="00D9138F" w:rsidRPr="00E91901">
              <w:rPr>
                <w:rFonts w:asciiTheme="majorBidi" w:hAnsiTheme="majorBidi" w:cstheme="majorBidi"/>
                <w:szCs w:val="21"/>
              </w:rPr>
              <w:t>地方政府在增进和保护人权方面面临的主要挑战</w:t>
            </w:r>
            <w:r>
              <w:tab/>
            </w:r>
          </w:p>
        </w:tc>
        <w:tc>
          <w:tcPr>
            <w:tcW w:w="533" w:type="dxa"/>
            <w:vAlign w:val="bottom"/>
          </w:tcPr>
          <w:p w:rsidR="003B0048" w:rsidRDefault="004F4993">
            <w:pPr>
              <w:spacing w:after="120"/>
              <w:ind w:right="28"/>
              <w:jc w:val="right"/>
            </w:pPr>
            <w:r>
              <w:t>8</w:t>
            </w:r>
          </w:p>
        </w:tc>
      </w:tr>
      <w:tr w:rsidR="00D9138F">
        <w:trPr>
          <w:cantSplit/>
        </w:trPr>
        <w:tc>
          <w:tcPr>
            <w:tcW w:w="9369" w:type="dxa"/>
            <w:gridSpan w:val="3"/>
          </w:tcPr>
          <w:p w:rsidR="00D9138F" w:rsidRDefault="00D9138F" w:rsidP="00D9138F">
            <w:pPr>
              <w:numPr>
                <w:ilvl w:val="0"/>
                <w:numId w:val="3"/>
              </w:numPr>
              <w:tabs>
                <w:tab w:val="right" w:pos="1080"/>
                <w:tab w:val="left" w:pos="1296"/>
                <w:tab w:val="left" w:pos="1728"/>
                <w:tab w:val="left" w:pos="2160"/>
                <w:tab w:val="left" w:pos="2592"/>
                <w:tab w:val="left" w:pos="3024"/>
                <w:tab w:val="right" w:leader="dot" w:pos="9371"/>
              </w:tabs>
              <w:spacing w:after="120"/>
            </w:pPr>
            <w:r>
              <w:tab/>
            </w:r>
            <w:r w:rsidRPr="00E91901">
              <w:rPr>
                <w:rFonts w:asciiTheme="majorBidi" w:hAnsiTheme="majorBidi" w:cstheme="majorBidi"/>
                <w:szCs w:val="21"/>
              </w:rPr>
              <w:t>地方一级的人权机制</w:t>
            </w:r>
            <w:r>
              <w:rPr>
                <w:rFonts w:asciiTheme="majorBidi" w:hAnsiTheme="majorBidi" w:cstheme="majorBidi"/>
                <w:szCs w:val="21"/>
              </w:rPr>
              <w:tab/>
            </w:r>
          </w:p>
        </w:tc>
        <w:tc>
          <w:tcPr>
            <w:tcW w:w="533" w:type="dxa"/>
            <w:vAlign w:val="bottom"/>
          </w:tcPr>
          <w:p w:rsidR="00D9138F" w:rsidRDefault="004F4993">
            <w:pPr>
              <w:spacing w:after="120"/>
              <w:ind w:right="28"/>
              <w:jc w:val="right"/>
            </w:pPr>
            <w:r>
              <w:t>9</w:t>
            </w:r>
          </w:p>
        </w:tc>
      </w:tr>
      <w:tr w:rsidR="00D9138F">
        <w:trPr>
          <w:cantSplit/>
        </w:trPr>
        <w:tc>
          <w:tcPr>
            <w:tcW w:w="9369" w:type="dxa"/>
            <w:gridSpan w:val="3"/>
          </w:tcPr>
          <w:p w:rsidR="00D9138F" w:rsidRDefault="00D9138F" w:rsidP="00D9138F">
            <w:pPr>
              <w:numPr>
                <w:ilvl w:val="0"/>
                <w:numId w:val="3"/>
              </w:numPr>
              <w:tabs>
                <w:tab w:val="right" w:pos="1080"/>
                <w:tab w:val="left" w:pos="1296"/>
                <w:tab w:val="left" w:pos="1728"/>
                <w:tab w:val="left" w:pos="2160"/>
                <w:tab w:val="left" w:pos="2592"/>
                <w:tab w:val="left" w:pos="3024"/>
                <w:tab w:val="left" w:pos="3456"/>
                <w:tab w:val="left" w:pos="3888"/>
                <w:tab w:val="right" w:leader="dot" w:pos="9371"/>
              </w:tabs>
              <w:spacing w:after="120"/>
            </w:pPr>
            <w:r>
              <w:tab/>
            </w:r>
            <w:r w:rsidRPr="00E91901">
              <w:rPr>
                <w:rFonts w:asciiTheme="majorBidi" w:hAnsiTheme="majorBidi" w:cstheme="majorBidi"/>
                <w:szCs w:val="21"/>
              </w:rPr>
              <w:t>人权城市：概念框架和指导原则</w:t>
            </w:r>
            <w:r>
              <w:rPr>
                <w:rFonts w:asciiTheme="majorBidi" w:hAnsiTheme="majorBidi" w:cstheme="majorBidi"/>
                <w:szCs w:val="21"/>
              </w:rPr>
              <w:tab/>
            </w:r>
          </w:p>
        </w:tc>
        <w:tc>
          <w:tcPr>
            <w:tcW w:w="533" w:type="dxa"/>
            <w:vAlign w:val="bottom"/>
          </w:tcPr>
          <w:p w:rsidR="00D9138F" w:rsidRDefault="004F4993">
            <w:pPr>
              <w:spacing w:after="120"/>
              <w:ind w:right="28"/>
              <w:jc w:val="right"/>
            </w:pPr>
            <w:r>
              <w:t>10</w:t>
            </w:r>
          </w:p>
        </w:tc>
      </w:tr>
      <w:tr w:rsidR="00D9138F">
        <w:trPr>
          <w:cantSplit/>
        </w:trPr>
        <w:tc>
          <w:tcPr>
            <w:tcW w:w="9369" w:type="dxa"/>
            <w:gridSpan w:val="3"/>
          </w:tcPr>
          <w:p w:rsidR="00D9138F" w:rsidRDefault="00D9138F" w:rsidP="00D9138F">
            <w:pPr>
              <w:numPr>
                <w:ilvl w:val="0"/>
                <w:numId w:val="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71"/>
              </w:tabs>
              <w:spacing w:after="120"/>
            </w:pPr>
            <w:r>
              <w:tab/>
            </w:r>
            <w:r w:rsidRPr="00E91901">
              <w:rPr>
                <w:rFonts w:asciiTheme="majorBidi" w:hAnsiTheme="majorBidi" w:cstheme="majorBidi"/>
                <w:szCs w:val="21"/>
              </w:rPr>
              <w:t>间社会在规划和执行促进在地方一级增进和保护人权的活动方面的作用</w:t>
            </w:r>
            <w:r>
              <w:rPr>
                <w:rFonts w:asciiTheme="majorBidi" w:hAnsiTheme="majorBidi" w:cstheme="majorBidi"/>
                <w:szCs w:val="21"/>
              </w:rPr>
              <w:tab/>
            </w:r>
          </w:p>
        </w:tc>
        <w:tc>
          <w:tcPr>
            <w:tcW w:w="533" w:type="dxa"/>
            <w:vAlign w:val="bottom"/>
          </w:tcPr>
          <w:p w:rsidR="00D9138F" w:rsidRDefault="004F4993">
            <w:pPr>
              <w:spacing w:after="120"/>
              <w:ind w:right="28"/>
              <w:jc w:val="right"/>
            </w:pPr>
            <w:r>
              <w:t>12</w:t>
            </w:r>
          </w:p>
        </w:tc>
      </w:tr>
      <w:tr w:rsidR="00D9138F">
        <w:trPr>
          <w:cantSplit/>
        </w:trPr>
        <w:tc>
          <w:tcPr>
            <w:tcW w:w="9369" w:type="dxa"/>
            <w:gridSpan w:val="3"/>
          </w:tcPr>
          <w:p w:rsidR="00D9138F" w:rsidRDefault="00D9138F" w:rsidP="00D9138F">
            <w:pPr>
              <w:numPr>
                <w:ilvl w:val="0"/>
                <w:numId w:val="3"/>
              </w:numPr>
              <w:tabs>
                <w:tab w:val="right" w:pos="1080"/>
                <w:tab w:val="left" w:pos="1296"/>
                <w:tab w:val="left" w:pos="1728"/>
                <w:tab w:val="right" w:leader="dot" w:pos="9371"/>
              </w:tabs>
              <w:spacing w:after="120"/>
            </w:pPr>
            <w:r>
              <w:rPr>
                <w:rFonts w:hint="eastAsia"/>
              </w:rPr>
              <w:tab/>
            </w:r>
            <w:r w:rsidRPr="00E91901">
              <w:rPr>
                <w:rFonts w:asciiTheme="majorBidi" w:hAnsiTheme="majorBidi" w:cstheme="majorBidi"/>
                <w:szCs w:val="21"/>
              </w:rPr>
              <w:t>最佳做法</w:t>
            </w:r>
            <w:r>
              <w:rPr>
                <w:rFonts w:asciiTheme="majorBidi" w:hAnsiTheme="majorBidi" w:cstheme="majorBidi"/>
                <w:szCs w:val="21"/>
              </w:rPr>
              <w:tab/>
            </w:r>
          </w:p>
        </w:tc>
        <w:tc>
          <w:tcPr>
            <w:tcW w:w="533" w:type="dxa"/>
            <w:vAlign w:val="bottom"/>
          </w:tcPr>
          <w:p w:rsidR="00D9138F" w:rsidRDefault="004F4993">
            <w:pPr>
              <w:spacing w:after="120"/>
              <w:ind w:right="28"/>
              <w:jc w:val="right"/>
            </w:pPr>
            <w:r>
              <w:t>13</w:t>
            </w:r>
          </w:p>
        </w:tc>
      </w:tr>
      <w:tr w:rsidR="00D9138F">
        <w:trPr>
          <w:cantSplit/>
        </w:trPr>
        <w:tc>
          <w:tcPr>
            <w:tcW w:w="9369" w:type="dxa"/>
            <w:gridSpan w:val="3"/>
          </w:tcPr>
          <w:p w:rsidR="00D9138F" w:rsidRDefault="00D9138F" w:rsidP="00D9138F">
            <w:pPr>
              <w:numPr>
                <w:ilvl w:val="0"/>
                <w:numId w:val="3"/>
              </w:numPr>
              <w:tabs>
                <w:tab w:val="right" w:pos="1080"/>
                <w:tab w:val="left" w:pos="1296"/>
                <w:tab w:val="left" w:pos="1728"/>
                <w:tab w:val="left" w:pos="2160"/>
                <w:tab w:val="right" w:leader="dot" w:pos="9371"/>
              </w:tabs>
              <w:spacing w:after="120"/>
            </w:pPr>
            <w:r>
              <w:rPr>
                <w:rFonts w:hint="eastAsia"/>
              </w:rPr>
              <w:tab/>
            </w:r>
            <w:r w:rsidRPr="00E91901">
              <w:rPr>
                <w:rFonts w:asciiTheme="majorBidi" w:hAnsiTheme="majorBidi" w:cstheme="majorBidi"/>
                <w:szCs w:val="21"/>
              </w:rPr>
              <w:t>结论和建议</w:t>
            </w:r>
            <w:r>
              <w:rPr>
                <w:rFonts w:asciiTheme="majorBidi" w:hAnsiTheme="majorBidi" w:cstheme="majorBidi"/>
                <w:szCs w:val="21"/>
              </w:rPr>
              <w:tab/>
            </w:r>
          </w:p>
        </w:tc>
        <w:tc>
          <w:tcPr>
            <w:tcW w:w="533" w:type="dxa"/>
            <w:vAlign w:val="bottom"/>
          </w:tcPr>
          <w:p w:rsidR="00D9138F" w:rsidRDefault="004F4993">
            <w:pPr>
              <w:spacing w:after="120"/>
              <w:ind w:right="28"/>
              <w:jc w:val="right"/>
            </w:pPr>
            <w:r>
              <w:t>15</w:t>
            </w:r>
          </w:p>
        </w:tc>
      </w:tr>
    </w:tbl>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br w:type="page"/>
      </w:r>
      <w:r w:rsidR="00D9138F">
        <w:rPr>
          <w:rFonts w:hint="eastAsia"/>
        </w:rPr>
        <w:lastRenderedPageBreak/>
        <w:tab/>
      </w:r>
      <w:r w:rsidRPr="00E91901">
        <w:t>一.</w:t>
      </w:r>
      <w:r w:rsidRPr="00E91901">
        <w:tab/>
        <w:t>导言</w:t>
      </w:r>
    </w:p>
    <w:p w:rsidR="004F4993" w:rsidRPr="004F4993" w:rsidRDefault="004F4993" w:rsidP="004F4993">
      <w:pPr>
        <w:pStyle w:val="SingleTxt"/>
        <w:spacing w:after="0" w:line="120" w:lineRule="exact"/>
        <w:rPr>
          <w:sz w:val="10"/>
        </w:rPr>
      </w:pPr>
    </w:p>
    <w:p w:rsidR="004F4993" w:rsidRPr="004F4993" w:rsidRDefault="004F4993" w:rsidP="004F4993">
      <w:pPr>
        <w:pStyle w:val="SingleTxt"/>
        <w:spacing w:after="0" w:line="120" w:lineRule="exact"/>
        <w:rPr>
          <w:sz w:val="10"/>
        </w:rPr>
      </w:pPr>
    </w:p>
    <w:p w:rsidR="00E91901" w:rsidRPr="00E91901" w:rsidRDefault="00E91901" w:rsidP="00D9138F">
      <w:pPr>
        <w:pStyle w:val="SingleTxt"/>
      </w:pPr>
      <w:r w:rsidRPr="00E91901">
        <w:t>1.</w:t>
      </w:r>
      <w:r w:rsidRPr="00E91901">
        <w:tab/>
        <w:t>2012</w:t>
      </w:r>
      <w:r w:rsidRPr="00E91901">
        <w:t>年</w:t>
      </w:r>
      <w:r w:rsidRPr="00E91901">
        <w:t>8</w:t>
      </w:r>
      <w:r w:rsidRPr="00E91901">
        <w:t>月，人权理事会咨询委员会向理事会提交了一份关于地方政府与人权的研究专题建议</w:t>
      </w:r>
      <w:r w:rsidRPr="00E91901">
        <w:t>(A/HRC/AC/9/6)</w:t>
      </w:r>
      <w:r w:rsidRPr="00E91901">
        <w:t>，供理事会审议和批准。</w:t>
      </w:r>
    </w:p>
    <w:p w:rsidR="00E91901" w:rsidRPr="00E91901" w:rsidRDefault="00E91901" w:rsidP="00D9138F">
      <w:pPr>
        <w:pStyle w:val="SingleTxt"/>
      </w:pPr>
      <w:r w:rsidRPr="00E91901">
        <w:t>2.</w:t>
      </w:r>
      <w:r w:rsidRPr="00E91901">
        <w:tab/>
        <w:t>2013</w:t>
      </w:r>
      <w:r w:rsidRPr="00E91901">
        <w:t>年</w:t>
      </w:r>
      <w:r w:rsidRPr="00E91901">
        <w:t>9</w:t>
      </w:r>
      <w:r w:rsidRPr="00E91901">
        <w:t>月</w:t>
      </w:r>
      <w:r w:rsidRPr="00E91901">
        <w:t>26</w:t>
      </w:r>
      <w:r w:rsidRPr="00E91901">
        <w:t>日，理事会通过了第</w:t>
      </w:r>
      <w:r w:rsidRPr="00E91901">
        <w:t>24/2</w:t>
      </w:r>
      <w:r w:rsidRPr="00E91901">
        <w:t>号决议</w:t>
      </w:r>
      <w:r w:rsidRPr="00E91901">
        <w:rPr>
          <w:bCs/>
        </w:rPr>
        <w:t>，</w:t>
      </w:r>
      <w:r w:rsidRPr="00E91901">
        <w:t>在决议中提到上述研究专题建议，请咨询委员会编写一份研究报告，探讨地方政府在增进和保护人权，包括将人权纳入地方行政和公共服务方面的作用，以便汇总最佳做法和主要挑战，就此向理事会第二十七届会议提交一份进展报告。</w:t>
      </w:r>
    </w:p>
    <w:p w:rsidR="00E91901" w:rsidRPr="00E91901" w:rsidRDefault="00E91901" w:rsidP="00D9138F">
      <w:pPr>
        <w:pStyle w:val="SingleTxt"/>
      </w:pPr>
      <w:r w:rsidRPr="00E91901">
        <w:t>3.</w:t>
      </w:r>
      <w:r w:rsidRPr="00E91901">
        <w:tab/>
      </w:r>
      <w:r w:rsidRPr="00E91901">
        <w:t>理事会又请咨询委员会为编写上述报告，向各会员国、有关国际组织和区域组织、联合国人权事务高级专员办事处</w:t>
      </w:r>
      <w:r>
        <w:t>(</w:t>
      </w:r>
      <w:r w:rsidRPr="00E91901">
        <w:t>人权高专办</w:t>
      </w:r>
      <w:r>
        <w:t>)</w:t>
      </w:r>
      <w:r w:rsidRPr="00E91901">
        <w:t>和有关特别程序、以及国家人权机构和非政府组织征求意见和建议。</w:t>
      </w:r>
    </w:p>
    <w:p w:rsidR="00E91901" w:rsidRPr="00E91901" w:rsidRDefault="00E91901" w:rsidP="00D9138F">
      <w:pPr>
        <w:pStyle w:val="SingleTxt"/>
      </w:pPr>
      <w:r w:rsidRPr="00E91901">
        <w:t>4.</w:t>
      </w:r>
      <w:r w:rsidRPr="00E91901">
        <w:tab/>
      </w:r>
      <w:r w:rsidRPr="00E91901">
        <w:t>咨询委员会在</w:t>
      </w:r>
      <w:r w:rsidRPr="00E91901">
        <w:t>2014</w:t>
      </w:r>
      <w:r w:rsidRPr="00E91901">
        <w:t>年</w:t>
      </w:r>
      <w:r w:rsidRPr="00E91901">
        <w:t>2</w:t>
      </w:r>
      <w:r w:rsidRPr="00E91901">
        <w:t>月举行的第十二届会议上设立了起草小组负责编写上述报告，并任命以下委员会委员为起草小组成员：马里奥</w:t>
      </w:r>
      <w:r w:rsidRPr="00E91901">
        <w:t>•</w:t>
      </w:r>
      <w:r w:rsidRPr="00E91901">
        <w:t>柳斯</w:t>
      </w:r>
      <w:r w:rsidRPr="00E91901">
        <w:t>•</w:t>
      </w:r>
      <w:r w:rsidRPr="00E91901">
        <w:t>科廖拉诺、胡达</w:t>
      </w:r>
      <w:r w:rsidRPr="00E91901">
        <w:t>•</w:t>
      </w:r>
      <w:r w:rsidRPr="00E91901">
        <w:t>艾尔萨达、拉蒂夫</w:t>
      </w:r>
      <w:r w:rsidRPr="00E91901">
        <w:t>•</w:t>
      </w:r>
      <w:r w:rsidRPr="00E91901">
        <w:t>侯赛诺夫</w:t>
      </w:r>
      <w:r w:rsidRPr="00E91901">
        <w:t>(</w:t>
      </w:r>
      <w:r w:rsidRPr="00E91901">
        <w:t>报告员</w:t>
      </w:r>
      <w:r w:rsidRPr="00E91901">
        <w:t>)</w:t>
      </w:r>
      <w:r w:rsidRPr="00E91901">
        <w:t>、阿南托尼亚</w:t>
      </w:r>
      <w:r w:rsidRPr="00E91901">
        <w:t>•</w:t>
      </w:r>
      <w:r w:rsidRPr="00E91901">
        <w:t>雷耶斯</w:t>
      </w:r>
      <w:r w:rsidRPr="00E91901">
        <w:t>•</w:t>
      </w:r>
      <w:r w:rsidRPr="00E91901">
        <w:t>普拉多、迪鲁杰拉尔</w:t>
      </w:r>
      <w:r w:rsidRPr="00E91901">
        <w:t>•</w:t>
      </w:r>
      <w:r w:rsidRPr="00E91901">
        <w:t>西图辛格</w:t>
      </w:r>
      <w:r w:rsidRPr="00E91901">
        <w:t>(</w:t>
      </w:r>
      <w:r w:rsidRPr="00E91901">
        <w:t>主席</w:t>
      </w:r>
      <w:r w:rsidRPr="00E91901">
        <w:t>)</w:t>
      </w:r>
      <w:r w:rsidRPr="00E91901">
        <w:t>和伊梅鲁</w:t>
      </w:r>
      <w:r w:rsidRPr="00E91901">
        <w:t>•</w:t>
      </w:r>
      <w:r w:rsidRPr="00E91901">
        <w:t>塔姆拉特</w:t>
      </w:r>
      <w:r w:rsidRPr="00E91901">
        <w:t>•</w:t>
      </w:r>
      <w:r w:rsidRPr="00E91901">
        <w:t>伊盖祖。凯瑟琳娜</w:t>
      </w:r>
      <w:r w:rsidRPr="00E91901">
        <w:t>•</w:t>
      </w:r>
      <w:r w:rsidRPr="00E91901">
        <w:t>帕贝尔后来加入了起草小组，接替西图辛格先生担任主席，艾尔萨达女士接替侯赛诺夫先生担任报告员。徐昌禄和劳拉－玛丽亚</w:t>
      </w:r>
      <w:r w:rsidRPr="00E91901">
        <w:t>•</w:t>
      </w:r>
      <w:r w:rsidRPr="00E91901">
        <w:t>克勒丘内安随后也加入了起草小组。</w:t>
      </w:r>
    </w:p>
    <w:p w:rsidR="00E91901" w:rsidRPr="00E91901" w:rsidRDefault="00E91901" w:rsidP="00D9138F">
      <w:pPr>
        <w:pStyle w:val="SingleTxt"/>
      </w:pPr>
      <w:r w:rsidRPr="00E91901">
        <w:t>5.</w:t>
      </w:r>
      <w:r w:rsidRPr="00E91901">
        <w:tab/>
      </w:r>
      <w:r w:rsidRPr="00E91901">
        <w:t>起草小组依照理事会第</w:t>
      </w:r>
      <w:r w:rsidRPr="00E91901">
        <w:t>24/2</w:t>
      </w:r>
      <w:r w:rsidRPr="00E91901">
        <w:t>号决议拟订了一份调查问卷，分发给各个利益攸关方。迄今共收到</w:t>
      </w:r>
      <w:r w:rsidRPr="00E91901">
        <w:t>67</w:t>
      </w:r>
      <w:r w:rsidRPr="00E91901">
        <w:t>份答卷：国家政府</w:t>
      </w:r>
      <w:r w:rsidRPr="00E91901">
        <w:t>22</w:t>
      </w:r>
      <w:r w:rsidRPr="00E91901">
        <w:t>份、国家人权机构</w:t>
      </w:r>
      <w:r w:rsidRPr="00E91901">
        <w:t>20</w:t>
      </w:r>
      <w:r w:rsidRPr="00E91901">
        <w:t>份、非政府组织</w:t>
      </w:r>
      <w:r w:rsidRPr="00E91901">
        <w:t>10</w:t>
      </w:r>
      <w:r w:rsidRPr="00E91901">
        <w:t>份、地方政府</w:t>
      </w:r>
      <w:r w:rsidRPr="00E91901">
        <w:t>12</w:t>
      </w:r>
      <w:r w:rsidRPr="00E91901">
        <w:t>份、国际组织或区域组织</w:t>
      </w:r>
      <w:r w:rsidRPr="00E91901">
        <w:t>3</w:t>
      </w:r>
      <w:r w:rsidRPr="00E91901">
        <w:t>份。</w:t>
      </w:r>
    </w:p>
    <w:p w:rsidR="00E91901" w:rsidRPr="00E91901" w:rsidRDefault="00E91901" w:rsidP="00D9138F">
      <w:pPr>
        <w:pStyle w:val="SingleTxt"/>
      </w:pPr>
      <w:r w:rsidRPr="00E91901">
        <w:t>6.</w:t>
      </w:r>
      <w:r w:rsidRPr="00E91901">
        <w:tab/>
      </w:r>
      <w:r w:rsidRPr="00E91901">
        <w:t>根据人权理事会第</w:t>
      </w:r>
      <w:r w:rsidRPr="00E91901">
        <w:t>24/2</w:t>
      </w:r>
      <w:r w:rsidRPr="00E91901">
        <w:t>号决议，咨询委员会向理事会第二十七届会议提交了进展报告，建议理事会请咨询委员会向理事会第三十届会议提交最后报告。理事会在第二十七届会议上通过了第</w:t>
      </w:r>
      <w:r w:rsidRPr="00E91901">
        <w:t>27/4</w:t>
      </w:r>
      <w:r w:rsidRPr="00E91901">
        <w:t>号决议，赞赏地注意到咨询委员会的进展报告，请咨询委员会继续开展研究，并向人权理事会第三十届会议提交一份最后报告，说明地方政府在增进和保护人权方面的作用。</w:t>
      </w:r>
    </w:p>
    <w:p w:rsidR="00E91901" w:rsidRPr="00E91901" w:rsidRDefault="00E91901" w:rsidP="00D9138F">
      <w:pPr>
        <w:pStyle w:val="SingleTxt"/>
      </w:pPr>
      <w:r w:rsidRPr="00E91901">
        <w:t>7.</w:t>
      </w:r>
      <w:r w:rsidRPr="00E91901">
        <w:tab/>
      </w:r>
      <w:r w:rsidRPr="00E91901">
        <w:t>理事会又请咨询委员会在编写最后报告时，列入地方政府在增进和保护人权方面所面临的主要挑战，并根据将人权纳入地方行政和公共服务的最佳做法，提出应对这些挑战的建议。</w:t>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二.</w:t>
      </w:r>
      <w:r w:rsidRPr="00E91901">
        <w:tab/>
        <w:t>地方政府的定义</w:t>
      </w:r>
    </w:p>
    <w:p w:rsidR="00D9138F" w:rsidRPr="00D9138F" w:rsidRDefault="00D9138F" w:rsidP="00D9138F">
      <w:pPr>
        <w:pStyle w:val="SingleTxt"/>
        <w:spacing w:after="0" w:line="120" w:lineRule="exact"/>
        <w:rPr>
          <w:rFonts w:asciiTheme="majorBidi" w:hAnsiTheme="majorBidi" w:cstheme="majorBidi"/>
          <w:sz w:val="10"/>
          <w:szCs w:val="21"/>
        </w:rPr>
      </w:pPr>
    </w:p>
    <w:p w:rsidR="00D9138F" w:rsidRPr="00D9138F" w:rsidRDefault="00D9138F" w:rsidP="00D9138F">
      <w:pPr>
        <w:pStyle w:val="SingleTxt"/>
        <w:spacing w:after="0" w:line="120" w:lineRule="exact"/>
        <w:rPr>
          <w:rFonts w:asciiTheme="majorBidi" w:hAnsiTheme="majorBidi" w:cstheme="majorBidi"/>
          <w:sz w:val="10"/>
          <w:szCs w:val="21"/>
        </w:rPr>
      </w:pPr>
    </w:p>
    <w:p w:rsidR="00E91901" w:rsidRPr="00E91901" w:rsidRDefault="00E91901" w:rsidP="00D9138F">
      <w:pPr>
        <w:pStyle w:val="SingleTxt"/>
      </w:pPr>
      <w:r w:rsidRPr="00E91901">
        <w:t>8.</w:t>
      </w:r>
      <w:r w:rsidRPr="00E91901">
        <w:tab/>
      </w:r>
      <w:r w:rsidRPr="00E91901">
        <w:t>地方政府通常被定义为国家的基层公共管理机构。单一制国家的地方政府通常包括二级或三级政府，而联邦制国家的地方政府构成三级或四级政府。地方政府旨在使政府靠近基层民众，令公民得以有效参与影响其日常生活的决策。地方政府是最贴近公民的管理机构，原则上较中央政府更适于处理需要了解当地情况、立足于当地需求和优先事项进行管理的事项。</w:t>
      </w:r>
    </w:p>
    <w:p w:rsidR="00E91901" w:rsidRPr="00E91901" w:rsidRDefault="00E91901" w:rsidP="00D9138F">
      <w:pPr>
        <w:pStyle w:val="SingleTxt"/>
      </w:pPr>
      <w:r w:rsidRPr="00E91901">
        <w:lastRenderedPageBreak/>
        <w:t>9.</w:t>
      </w:r>
      <w:r w:rsidRPr="00E91901">
        <w:tab/>
      </w:r>
      <w:r w:rsidRPr="00E91901">
        <w:t>各国地方政府的组织结构和运作方式相去甚远。不同国家对地方政府机构使用的名称也不尽相同</w:t>
      </w:r>
      <w:r w:rsidRPr="00E91901">
        <w:t>(</w:t>
      </w:r>
      <w:r w:rsidRPr="00E91901">
        <w:t>包括县、府、区、市、镇、行政区、教区、自治市、村，等等</w:t>
      </w:r>
      <w:r w:rsidRPr="00E91901">
        <w:t>)</w:t>
      </w:r>
      <w:r w:rsidRPr="00E91901">
        <w:t>。城市和农村地区都有地方政府。</w:t>
      </w:r>
    </w:p>
    <w:p w:rsidR="00E91901" w:rsidRPr="00E91901" w:rsidRDefault="00E91901" w:rsidP="00D9138F">
      <w:pPr>
        <w:pStyle w:val="SingleTxt"/>
      </w:pPr>
      <w:r w:rsidRPr="00E91901">
        <w:t>10.</w:t>
      </w:r>
      <w:r w:rsidRPr="00E91901">
        <w:tab/>
      </w:r>
      <w:r w:rsidRPr="00E91901">
        <w:t>地方政府拥有法律或上级政府法令赋予的某些权力。</w:t>
      </w:r>
      <w:r w:rsidRPr="00D9138F">
        <w:rPr>
          <w:rStyle w:val="a3"/>
          <w:rFonts w:asciiTheme="majorBidi" w:hAnsiTheme="majorBidi" w:cstheme="majorBidi"/>
          <w:szCs w:val="21"/>
          <w:lang w:eastAsia="en-GB"/>
        </w:rPr>
        <w:footnoteReference w:id="1"/>
      </w:r>
      <w:r w:rsidRPr="00E91901">
        <w:t xml:space="preserve"> </w:t>
      </w:r>
      <w:r w:rsidRPr="00E91901">
        <w:t>这些权力大体包括规范和管理某些与当地环境相关的公共事务和提供某些公共服务。地方政府的权力范围应参照地方当局与中央政府或地区当局之间的关系加以分析。一般说来，在单一制国家，中央政府往往负责计划、规划、管理和出资修建住房，而地方政府负责执行工作，拥有不同程度的自主权。但是在联邦制国家，地方政府在住房规划、政策和执行方面常拥有更多的自主权</w:t>
      </w:r>
      <w:r>
        <w:t>(</w:t>
      </w:r>
      <w:r w:rsidRPr="00E91901">
        <w:t>适足生活水准权所含适足住房问题以及在此方面不受歧视权问题特别报告员莉拉妮</w:t>
      </w:r>
      <w:r w:rsidRPr="00E91901">
        <w:t>•</w:t>
      </w:r>
      <w:r w:rsidRPr="00E91901">
        <w:t>法尔哈的报告</w:t>
      </w:r>
      <w:r w:rsidRPr="00E91901">
        <w:t>(A/HRC/28/62)</w:t>
      </w:r>
      <w:r>
        <w:t>)</w:t>
      </w:r>
      <w:r w:rsidRPr="00E91901">
        <w:t>。地方政府的一个主要特点是它在行使职能方面拥有具体的从属性的管理权，但此权力要符合法律的规定。</w:t>
      </w:r>
    </w:p>
    <w:p w:rsidR="00E91901" w:rsidRPr="00E91901" w:rsidRDefault="00E91901" w:rsidP="00D9138F">
      <w:pPr>
        <w:pStyle w:val="SingleTxt"/>
      </w:pPr>
      <w:r w:rsidRPr="00E91901">
        <w:t>11.</w:t>
      </w:r>
      <w:r w:rsidRPr="00E91901">
        <w:tab/>
      </w:r>
      <w:r w:rsidRPr="00E91901">
        <w:t>虽然</w:t>
      </w:r>
      <w:r w:rsidRPr="00E91901">
        <w:t>“</w:t>
      </w:r>
      <w:r w:rsidRPr="00E91901">
        <w:t>地方政府</w:t>
      </w:r>
      <w:r w:rsidRPr="00E91901">
        <w:t>”</w:t>
      </w:r>
      <w:r w:rsidRPr="00E91901">
        <w:t>和</w:t>
      </w:r>
      <w:r w:rsidRPr="00E91901">
        <w:t>“</w:t>
      </w:r>
      <w:r w:rsidRPr="00E91901">
        <w:t>地方自治政府</w:t>
      </w:r>
      <w:r w:rsidRPr="00E91901">
        <w:t>”</w:t>
      </w:r>
      <w:r w:rsidRPr="00E91901">
        <w:t>在一些国家可以通用，但考虑到不同国家地方政府的形式不同，应该对这两个概念加以区分。行使地方行政管辖权的不仅有地方自治政府机构</w:t>
      </w:r>
      <w:r w:rsidRPr="00E91901">
        <w:t>(</w:t>
      </w:r>
      <w:r w:rsidRPr="00E91901">
        <w:t>如自治市</w:t>
      </w:r>
      <w:r w:rsidRPr="00E91901">
        <w:t>)</w:t>
      </w:r>
      <w:r w:rsidRPr="00E91901">
        <w:t>，还有国家行政部门的地方机构；前者由地方居民直接选举产生，享有广泛的自主权，后者是上级政府的代理机构，官员由上级政府任命并对上级政府负责。因此，地方自治政府依据的是地方分权原则，而国家地方管理机构依据的是放权原则。</w:t>
      </w:r>
    </w:p>
    <w:p w:rsidR="00E91901" w:rsidRPr="00E91901" w:rsidRDefault="00E91901" w:rsidP="00D9138F">
      <w:pPr>
        <w:pStyle w:val="SingleTxt"/>
      </w:pPr>
      <w:r w:rsidRPr="00E91901">
        <w:t>12.</w:t>
      </w:r>
      <w:r w:rsidRPr="00E91901">
        <w:tab/>
      </w:r>
      <w:r w:rsidRPr="00E91901">
        <w:t>地方当局享有的自治程度可被视为真正民主的关键要素。在这方面，政治、财政和行政分权对于在地方推行民主和人权至为关键。应该铭记，不尊重人权不可能实现民主；不推行民主也不可能实现人权。然而，地方自治政府不能自动实现参与式民主。虽然地方分权通常会增强公民的决策权，加强公民对政策的控制力，但是必须妥善落实某些措施和程序，才能创造必要的环境，使民主参与成为可能并行之有效。</w:t>
      </w:r>
    </w:p>
    <w:p w:rsidR="00E91901" w:rsidRPr="00E91901" w:rsidRDefault="00E91901" w:rsidP="00D9138F">
      <w:pPr>
        <w:pStyle w:val="SingleTxt"/>
      </w:pPr>
      <w:r w:rsidRPr="00E91901">
        <w:t>13.</w:t>
      </w:r>
      <w:r w:rsidRPr="00E91901">
        <w:tab/>
      </w:r>
      <w:r w:rsidRPr="00E91901">
        <w:t>地方当局的作用不应仅局限于执行它们未参与制订的决定和政策。另一方面，地方的独立性应该受到法律规定的一些限制，还要有机制监督地方当局活动的合法性。</w:t>
      </w:r>
      <w:bookmarkStart w:id="2" w:name="P290_57214"/>
      <w:bookmarkStart w:id="3" w:name="P309_62668"/>
      <w:bookmarkStart w:id="4" w:name="P336_71518"/>
      <w:bookmarkEnd w:id="2"/>
      <w:bookmarkEnd w:id="3"/>
      <w:bookmarkEnd w:id="4"/>
      <w:r w:rsidRPr="00E91901">
        <w:t>要增强地方政府落实人权的能力，民主监督和平衡机制至关重要。较之于不必对选民负责的官员，需要负责的政府官员更有可能对公民的要求作出回应。</w:t>
      </w:r>
      <w:r w:rsidRPr="00D9138F">
        <w:rPr>
          <w:rStyle w:val="a3"/>
          <w:rFonts w:asciiTheme="majorBidi" w:hAnsiTheme="majorBidi" w:cstheme="majorBidi"/>
          <w:szCs w:val="21"/>
          <w:lang w:eastAsia="en-GB"/>
        </w:rPr>
        <w:footnoteReference w:id="2"/>
      </w:r>
    </w:p>
    <w:p w:rsidR="00E91901" w:rsidRPr="00E91901" w:rsidRDefault="00E91901" w:rsidP="00D9138F">
      <w:pPr>
        <w:pStyle w:val="SingleTxt"/>
      </w:pPr>
      <w:r w:rsidRPr="00E91901">
        <w:t>14.</w:t>
      </w:r>
      <w:r w:rsidRPr="00E91901">
        <w:tab/>
      </w:r>
      <w:r w:rsidRPr="00E91901">
        <w:t>要确保地方治理有效，在地方层面充分落实人权，必须要有关于地方政府的适当的法律框架。应在法律中对地方政府的组织结构、权力和职能做出明确规定。此外，国家法律还应在中央政府和地方当局之间清晰划分责任和权力。</w:t>
      </w:r>
    </w:p>
    <w:p w:rsidR="00E91901" w:rsidRPr="00E91901" w:rsidRDefault="00E91901" w:rsidP="00D9138F">
      <w:pPr>
        <w:pStyle w:val="SingleTxt"/>
      </w:pPr>
      <w:r w:rsidRPr="00E91901">
        <w:t>15.</w:t>
      </w:r>
      <w:r w:rsidRPr="00E91901">
        <w:tab/>
      </w:r>
      <w:r w:rsidRPr="00E91901">
        <w:t>地方政府最好在国家宪法中得到承认；事实上，若干国家的宪法明确保护地方政府的自主权。应该着重指出，宪法保护提供了最有力的稳定性保障。国家议会就地方政府通过专项法律是次优办法。有几个国家制订了法律保障措施，维护地方政</w:t>
      </w:r>
      <w:r w:rsidRPr="00E91901">
        <w:lastRenderedPageBreak/>
        <w:t>府管理法的稳定性。例如，在匈牙利，通过或修订《地方当局法》须得到在场议员的三分之二多数票。这一规定也适用于限制与地方政府有关权利的任何法律。</w:t>
      </w:r>
    </w:p>
    <w:p w:rsidR="00E91901" w:rsidRPr="00E91901" w:rsidRDefault="00E91901" w:rsidP="00D9138F">
      <w:pPr>
        <w:pStyle w:val="SingleTxt"/>
      </w:pPr>
      <w:r w:rsidRPr="00E91901">
        <w:t>16.</w:t>
      </w:r>
      <w:r w:rsidRPr="00E91901">
        <w:tab/>
      </w:r>
      <w:r w:rsidRPr="00E91901">
        <w:t>值得注意的是，若干国家将辅助性原则、地方分权和问责原则明确视为地方政府的主要原则。此外，相关法律还规定，地方当局有权为确保上述原则得到尊重而寻求司法补救</w:t>
      </w:r>
      <w:bookmarkStart w:id="5" w:name="P205_35106"/>
      <w:bookmarkStart w:id="6" w:name="P220_37821"/>
      <w:bookmarkStart w:id="7" w:name="P238_42652"/>
      <w:bookmarkEnd w:id="5"/>
      <w:bookmarkEnd w:id="6"/>
      <w:bookmarkEnd w:id="7"/>
      <w:r w:rsidRPr="00E91901">
        <w:t>。</w:t>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三.</w:t>
      </w:r>
      <w:r w:rsidRPr="00E91901">
        <w:tab/>
        <w:t>国家和地方政府：相互辅助、共同承担尊重、保护和实现人权的义务</w:t>
      </w:r>
    </w:p>
    <w:p w:rsidR="00D9138F" w:rsidRPr="00D9138F" w:rsidRDefault="00D9138F" w:rsidP="00D9138F">
      <w:pPr>
        <w:pStyle w:val="SingleTxt"/>
        <w:spacing w:after="0" w:line="120" w:lineRule="exact"/>
        <w:rPr>
          <w:sz w:val="10"/>
        </w:rPr>
      </w:pPr>
    </w:p>
    <w:p w:rsidR="00D9138F" w:rsidRPr="00D9138F" w:rsidRDefault="00D9138F" w:rsidP="00D9138F">
      <w:pPr>
        <w:pStyle w:val="SingleTxt"/>
        <w:spacing w:after="0" w:line="120" w:lineRule="exact"/>
        <w:rPr>
          <w:sz w:val="10"/>
        </w:rPr>
      </w:pPr>
    </w:p>
    <w:p w:rsidR="00E91901" w:rsidRPr="00E91901" w:rsidRDefault="00E91901" w:rsidP="00D9138F">
      <w:pPr>
        <w:pStyle w:val="SingleTxt"/>
      </w:pPr>
      <w:r w:rsidRPr="00E91901">
        <w:t>17.</w:t>
      </w:r>
      <w:r w:rsidRPr="00E91901">
        <w:tab/>
      </w:r>
      <w:r w:rsidRPr="00E91901">
        <w:t>在国际法的概念中，无论国家属于单一制还是联邦制，也无论其内部行政分区如何，国家就是单一的实体。就此而言，国家只有作为一个整体才受制于其缔结的国际条约所产生的义务。因此，在成为一项国际人权条约的缔约国后，国家便承担了尊重、保护和实现人权的义务。具体而言，只有国家才有义务按照有关的普遍人权条约或区域人权条约的规定提交报告，而且也只有国家才能成为根据此类条约提出的个人申诉或国家间申诉的主体。此外，接受国际人权申诉机制调查的国家不能自我辩护，声称据控侵权行为由地方当局实施。</w:t>
      </w:r>
    </w:p>
    <w:p w:rsidR="00E91901" w:rsidRPr="00E91901" w:rsidRDefault="00E91901" w:rsidP="00D9138F">
      <w:pPr>
        <w:pStyle w:val="SingleTxt"/>
        <w:rPr>
          <w:rFonts w:asciiTheme="majorBidi" w:hAnsiTheme="majorBidi" w:cstheme="majorBidi"/>
          <w:szCs w:val="21"/>
        </w:rPr>
      </w:pPr>
      <w:r w:rsidRPr="00E91901">
        <w:rPr>
          <w:rFonts w:asciiTheme="majorBidi" w:hAnsiTheme="majorBidi" w:cstheme="majorBidi"/>
          <w:szCs w:val="21"/>
        </w:rPr>
        <w:t>18.</w:t>
      </w:r>
      <w:r w:rsidRPr="00E91901">
        <w:rPr>
          <w:rFonts w:asciiTheme="majorBidi" w:hAnsiTheme="majorBidi" w:cstheme="majorBidi"/>
          <w:szCs w:val="21"/>
        </w:rPr>
        <w:tab/>
      </w:r>
      <w:r w:rsidRPr="00E91901">
        <w:rPr>
          <w:rFonts w:asciiTheme="majorBidi" w:hAnsiTheme="majorBidi" w:cstheme="majorBidi"/>
          <w:szCs w:val="21"/>
        </w:rPr>
        <w:t>还应强调，根据普通国际法，由中央政府所代表的国家要为其机关和代理机构的所有行为负责。</w:t>
      </w:r>
      <w:r w:rsidRPr="00D9138F">
        <w:rPr>
          <w:rStyle w:val="a3"/>
          <w:rFonts w:asciiTheme="majorBidi" w:hAnsiTheme="majorBidi" w:cstheme="majorBidi"/>
          <w:szCs w:val="21"/>
          <w:lang w:eastAsia="en-GB"/>
        </w:rPr>
        <w:footnoteReference w:id="3"/>
      </w:r>
      <w:r w:rsidRPr="00E91901">
        <w:rPr>
          <w:rFonts w:asciiTheme="majorBidi" w:hAnsiTheme="majorBidi" w:cstheme="majorBidi"/>
          <w:szCs w:val="21"/>
        </w:rPr>
        <w:t xml:space="preserve"> </w:t>
      </w:r>
      <w:r w:rsidRPr="00E91901">
        <w:rPr>
          <w:rFonts w:asciiTheme="majorBidi" w:hAnsiTheme="majorBidi" w:cstheme="majorBidi"/>
          <w:szCs w:val="21"/>
        </w:rPr>
        <w:t>此外，无论国家的内部组织结构如何，一旦涉及国家责任，要根据习惯国际法适用几项原则。首先，国家的组织结构、国家机关的职能、甚至是如何界定构成国家机关的条件，通常不属于国际法管辖。决定如何组织本国的行政机关及赋予中央和</w:t>
      </w:r>
      <w:r w:rsidRPr="00E91901">
        <w:rPr>
          <w:rFonts w:asciiTheme="majorBidi" w:hAnsiTheme="majorBidi" w:cstheme="majorBidi"/>
          <w:szCs w:val="21"/>
        </w:rPr>
        <w:t>/</w:t>
      </w:r>
      <w:r w:rsidRPr="00E91901">
        <w:rPr>
          <w:rFonts w:asciiTheme="majorBidi" w:hAnsiTheme="majorBidi" w:cstheme="majorBidi"/>
          <w:szCs w:val="21"/>
        </w:rPr>
        <w:t>或地方政府哪些职能，属于一国主权范围之内。然而，虽然国家仍然可以通过法律和实践自行决定其内部结构和职能，</w:t>
      </w:r>
      <w:r w:rsidRPr="00D9138F">
        <w:rPr>
          <w:rStyle w:val="a3"/>
          <w:rFonts w:asciiTheme="majorBidi" w:hAnsiTheme="majorBidi" w:cstheme="majorBidi"/>
          <w:szCs w:val="21"/>
          <w:lang w:eastAsia="en-GB"/>
        </w:rPr>
        <w:footnoteReference w:id="4"/>
      </w:r>
      <w:r w:rsidRPr="00E91901">
        <w:rPr>
          <w:rFonts w:asciiTheme="majorBidi" w:hAnsiTheme="majorBidi" w:cstheme="majorBidi"/>
          <w:szCs w:val="21"/>
        </w:rPr>
        <w:t xml:space="preserve"> </w:t>
      </w:r>
      <w:r w:rsidRPr="00E91901">
        <w:rPr>
          <w:rFonts w:asciiTheme="majorBidi" w:hAnsiTheme="majorBidi" w:cstheme="majorBidi"/>
          <w:szCs w:val="21"/>
        </w:rPr>
        <w:t>但是为国际责任之目的，国内承担公共职能并行使公权的机构和行政部门，即使国内法律将这些机构视为自治机构且</w:t>
      </w:r>
      <w:r w:rsidRPr="00E91901">
        <w:rPr>
          <w:rFonts w:asciiTheme="majorBidi" w:hAnsiTheme="majorBidi" w:cstheme="majorBidi"/>
          <w:szCs w:val="21"/>
        </w:rPr>
        <w:t>/</w:t>
      </w:r>
      <w:r w:rsidRPr="00E91901">
        <w:rPr>
          <w:rFonts w:asciiTheme="majorBidi" w:hAnsiTheme="majorBidi" w:cstheme="majorBidi"/>
          <w:szCs w:val="21"/>
        </w:rPr>
        <w:t>或独立于中央行政政府，其行为仍可归于国家。</w:t>
      </w:r>
    </w:p>
    <w:p w:rsidR="00E91901" w:rsidRPr="00E91901" w:rsidRDefault="00E91901" w:rsidP="00D9138F">
      <w:pPr>
        <w:pStyle w:val="SingleTxt"/>
        <w:rPr>
          <w:rFonts w:asciiTheme="majorBidi" w:hAnsiTheme="majorBidi" w:cstheme="majorBidi"/>
          <w:szCs w:val="21"/>
        </w:rPr>
      </w:pPr>
      <w:r w:rsidRPr="00E91901">
        <w:rPr>
          <w:rFonts w:asciiTheme="majorBidi" w:hAnsiTheme="majorBidi" w:cstheme="majorBidi"/>
          <w:szCs w:val="21"/>
        </w:rPr>
        <w:t>19.</w:t>
      </w:r>
      <w:r w:rsidRPr="00E91901">
        <w:rPr>
          <w:rFonts w:asciiTheme="majorBidi" w:hAnsiTheme="majorBidi" w:cstheme="majorBidi"/>
          <w:szCs w:val="21"/>
        </w:rPr>
        <w:tab/>
      </w:r>
      <w:r w:rsidRPr="00E91901">
        <w:rPr>
          <w:rFonts w:asciiTheme="majorBidi" w:hAnsiTheme="majorBidi" w:cstheme="majorBidi"/>
          <w:szCs w:val="21"/>
        </w:rPr>
        <w:t>习惯国际法承认，</w:t>
      </w:r>
      <w:r w:rsidRPr="00E91901">
        <w:rPr>
          <w:rFonts w:asciiTheme="majorBidi" w:hAnsiTheme="majorBidi" w:cstheme="majorBidi"/>
          <w:szCs w:val="21"/>
        </w:rPr>
        <w:t>“</w:t>
      </w:r>
      <w:r w:rsidRPr="00E91901">
        <w:rPr>
          <w:rFonts w:asciiTheme="majorBidi" w:hAnsiTheme="majorBidi" w:cstheme="majorBidi"/>
          <w:szCs w:val="21"/>
        </w:rPr>
        <w:t>任何国家机关，不论它行使立法、行政、司法或任何其他职能，不论它在国家的组织中具有何种地位，也不论它作为该国中央政府机关或一领土单位的机关的特性，其行为应视为国际法所指的国家行为</w:t>
      </w:r>
      <w:r w:rsidRPr="00E91901">
        <w:rPr>
          <w:rFonts w:asciiTheme="majorBidi" w:hAnsiTheme="majorBidi" w:cstheme="majorBidi"/>
          <w:szCs w:val="21"/>
        </w:rPr>
        <w:t>”</w:t>
      </w:r>
      <w:r w:rsidRPr="00E91901">
        <w:rPr>
          <w:rFonts w:asciiTheme="majorBidi" w:hAnsiTheme="majorBidi" w:cstheme="majorBidi"/>
          <w:szCs w:val="21"/>
        </w:rPr>
        <w:t>。</w:t>
      </w:r>
      <w:r w:rsidRPr="00D9138F">
        <w:rPr>
          <w:rStyle w:val="a3"/>
          <w:rFonts w:asciiTheme="majorBidi" w:hAnsiTheme="majorBidi" w:cstheme="majorBidi"/>
          <w:szCs w:val="21"/>
          <w:lang w:eastAsia="en-GB"/>
        </w:rPr>
        <w:footnoteReference w:id="5"/>
      </w:r>
      <w:r w:rsidRPr="00E91901">
        <w:rPr>
          <w:rFonts w:asciiTheme="majorBidi" w:hAnsiTheme="majorBidi" w:cstheme="majorBidi"/>
          <w:szCs w:val="21"/>
        </w:rPr>
        <w:t xml:space="preserve"> </w:t>
      </w:r>
      <w:r w:rsidRPr="00E91901">
        <w:rPr>
          <w:rFonts w:asciiTheme="majorBidi" w:hAnsiTheme="majorBidi" w:cstheme="majorBidi"/>
          <w:szCs w:val="21"/>
        </w:rPr>
        <w:t>经济、社会、文化权利委员会在第</w:t>
      </w:r>
      <w:r w:rsidRPr="00E91901">
        <w:rPr>
          <w:rFonts w:asciiTheme="majorBidi" w:hAnsiTheme="majorBidi" w:cstheme="majorBidi"/>
          <w:szCs w:val="21"/>
        </w:rPr>
        <w:t>16</w:t>
      </w:r>
      <w:r w:rsidRPr="00E91901">
        <w:rPr>
          <w:rFonts w:asciiTheme="majorBidi" w:hAnsiTheme="majorBidi" w:cstheme="majorBidi"/>
          <w:szCs w:val="21"/>
        </w:rPr>
        <w:t>号一般性意见中强调，</w:t>
      </w:r>
      <w:r w:rsidRPr="00E91901">
        <w:rPr>
          <w:rFonts w:asciiTheme="majorBidi" w:hAnsiTheme="majorBidi" w:cstheme="majorBidi"/>
          <w:szCs w:val="21"/>
        </w:rPr>
        <w:t>“</w:t>
      </w:r>
      <w:r w:rsidRPr="00E91901">
        <w:rPr>
          <w:rFonts w:asciiTheme="majorBidi" w:hAnsiTheme="majorBidi" w:cstheme="majorBidi"/>
          <w:szCs w:val="21"/>
        </w:rPr>
        <w:t>对于《公约》所载各项权利的侵犯可以通过缔约国、该国的国家或地方机构或机关之直接行动、不行动或疏忽失职而</w:t>
      </w:r>
      <w:r w:rsidRPr="00E91901">
        <w:rPr>
          <w:rFonts w:asciiTheme="majorBidi" w:hAnsiTheme="majorBidi" w:cstheme="majorBidi"/>
          <w:szCs w:val="21"/>
        </w:rPr>
        <w:lastRenderedPageBreak/>
        <w:t>造成</w:t>
      </w:r>
      <w:r w:rsidRPr="00E91901">
        <w:rPr>
          <w:rFonts w:asciiTheme="majorBidi" w:hAnsiTheme="majorBidi" w:cstheme="majorBidi"/>
          <w:szCs w:val="21"/>
        </w:rPr>
        <w:t>”</w:t>
      </w:r>
      <w:r w:rsidRPr="00E91901">
        <w:rPr>
          <w:rFonts w:asciiTheme="majorBidi" w:hAnsiTheme="majorBidi" w:cstheme="majorBidi"/>
          <w:szCs w:val="21"/>
        </w:rPr>
        <w:t>。</w:t>
      </w:r>
      <w:r w:rsidRPr="00D9138F">
        <w:rPr>
          <w:rStyle w:val="a3"/>
          <w:rFonts w:asciiTheme="majorBidi" w:hAnsiTheme="majorBidi" w:cstheme="majorBidi"/>
          <w:szCs w:val="21"/>
          <w:lang w:eastAsia="en-GB"/>
        </w:rPr>
        <w:footnoteReference w:id="6"/>
      </w:r>
      <w:r w:rsidRPr="00E91901">
        <w:rPr>
          <w:rFonts w:asciiTheme="majorBidi" w:hAnsiTheme="majorBidi" w:cstheme="majorBidi"/>
          <w:szCs w:val="21"/>
        </w:rPr>
        <w:t xml:space="preserve"> </w:t>
      </w:r>
      <w:r w:rsidRPr="00E91901">
        <w:rPr>
          <w:rFonts w:asciiTheme="majorBidi" w:hAnsiTheme="majorBidi" w:cstheme="majorBidi"/>
          <w:szCs w:val="21"/>
        </w:rPr>
        <w:t>应该指出，某些行使公权的机构，即使国内法律将其视为自治机构且独立于中央行政政府，其行为仍可归于国家。</w:t>
      </w:r>
      <w:r w:rsidRPr="00D9138F">
        <w:rPr>
          <w:rStyle w:val="a3"/>
          <w:rFonts w:asciiTheme="majorBidi" w:hAnsiTheme="majorBidi" w:cstheme="majorBidi"/>
          <w:szCs w:val="21"/>
          <w:lang w:eastAsia="en-GB"/>
        </w:rPr>
        <w:footnoteReference w:id="7"/>
      </w:r>
    </w:p>
    <w:p w:rsidR="00E91901" w:rsidRPr="00E91901" w:rsidRDefault="00E91901" w:rsidP="00D9138F">
      <w:pPr>
        <w:pStyle w:val="SingleTxt"/>
        <w:rPr>
          <w:rFonts w:asciiTheme="majorBidi" w:hAnsiTheme="majorBidi" w:cstheme="majorBidi"/>
          <w:szCs w:val="21"/>
        </w:rPr>
      </w:pPr>
      <w:r w:rsidRPr="00E91901">
        <w:rPr>
          <w:rFonts w:asciiTheme="majorBidi" w:hAnsiTheme="majorBidi" w:cstheme="majorBidi"/>
          <w:szCs w:val="21"/>
        </w:rPr>
        <w:t>20.</w:t>
      </w:r>
      <w:r w:rsidRPr="00E91901">
        <w:rPr>
          <w:rFonts w:asciiTheme="majorBidi" w:hAnsiTheme="majorBidi" w:cstheme="majorBidi"/>
          <w:szCs w:val="21"/>
        </w:rPr>
        <w:tab/>
      </w:r>
      <w:r w:rsidRPr="00E91901">
        <w:rPr>
          <w:rFonts w:asciiTheme="majorBidi" w:hAnsiTheme="majorBidi" w:cstheme="majorBidi"/>
          <w:szCs w:val="21"/>
        </w:rPr>
        <w:t>包括地方政府在内的任何公共权利机构的不法行为，即使越权或违反了国内的法律和指令，仍可归于国家。这一点直接源于《维也纳条约法公约》第二十七条所载原则，根据这项原则，缔约国</w:t>
      </w:r>
      <w:r w:rsidRPr="00E91901">
        <w:rPr>
          <w:rFonts w:asciiTheme="majorBidi" w:hAnsiTheme="majorBidi" w:cstheme="majorBidi"/>
          <w:szCs w:val="21"/>
        </w:rPr>
        <w:t>“</w:t>
      </w:r>
      <w:r w:rsidRPr="00E91901">
        <w:rPr>
          <w:rFonts w:asciiTheme="majorBidi" w:hAnsiTheme="majorBidi" w:cstheme="majorBidi"/>
          <w:color w:val="000000"/>
          <w:szCs w:val="21"/>
          <w:shd w:val="clear" w:color="auto" w:fill="FFFFFF"/>
        </w:rPr>
        <w:t>不得援引其国内法规定为理由而不履行条约</w:t>
      </w:r>
      <w:r w:rsidRPr="00E91901">
        <w:rPr>
          <w:rFonts w:asciiTheme="majorBidi" w:hAnsiTheme="majorBidi" w:cstheme="majorBidi"/>
          <w:szCs w:val="21"/>
        </w:rPr>
        <w:t>”</w:t>
      </w:r>
      <w:r w:rsidRPr="00E91901">
        <w:rPr>
          <w:rFonts w:asciiTheme="majorBidi" w:hAnsiTheme="majorBidi" w:cstheme="majorBidi"/>
          <w:szCs w:val="21"/>
        </w:rPr>
        <w:t>。</w:t>
      </w:r>
    </w:p>
    <w:p w:rsidR="00E91901" w:rsidRPr="00E91901" w:rsidRDefault="00E91901" w:rsidP="00D9138F">
      <w:pPr>
        <w:pStyle w:val="SingleTxt"/>
        <w:rPr>
          <w:rFonts w:asciiTheme="majorBidi" w:hAnsiTheme="majorBidi" w:cstheme="majorBidi"/>
          <w:szCs w:val="21"/>
        </w:rPr>
      </w:pPr>
      <w:r w:rsidRPr="00E91901">
        <w:rPr>
          <w:rFonts w:asciiTheme="majorBidi" w:hAnsiTheme="majorBidi" w:cstheme="majorBidi"/>
          <w:szCs w:val="21"/>
        </w:rPr>
        <w:t>21.</w:t>
      </w:r>
      <w:r w:rsidRPr="00E91901">
        <w:rPr>
          <w:rFonts w:asciiTheme="majorBidi" w:hAnsiTheme="majorBidi" w:cstheme="majorBidi"/>
          <w:szCs w:val="21"/>
        </w:rPr>
        <w:tab/>
      </w:r>
      <w:r w:rsidRPr="00E91901">
        <w:rPr>
          <w:rFonts w:asciiTheme="majorBidi" w:hAnsiTheme="majorBidi" w:cstheme="majorBidi"/>
          <w:szCs w:val="21"/>
        </w:rPr>
        <w:t>中央政府负有增进和保护人权的主要责任，地方政府则发挥辅助作用。国家批准一项国际人权条约后，可委托地方当局等下级政府执行履约工作。在这方面，中央政府也许需要在地方层面采取必要措施，尤其是建立程序和实行管制，以确保履行国家的人权义务。地方当局必须在其能力范围之内，履行其因国家的国际人权义务而承担的义务。实际上，地方当局是国家人权战略和政策的实践操作者。因此，地方当局的代表应该参与起草此类政策。在地方分权的国家，地方政府能够在保护和增进人权方面发挥更加积极自主的作用。中央政府和地方政府在人权领域开展制度化合作，能够对国家履行国际人权义务的水平产生积极影响。</w:t>
      </w:r>
    </w:p>
    <w:p w:rsidR="00E91901" w:rsidRPr="00E91901" w:rsidRDefault="00E91901" w:rsidP="00D9138F">
      <w:pPr>
        <w:pStyle w:val="SingleTxt"/>
        <w:rPr>
          <w:rFonts w:asciiTheme="majorBidi" w:hAnsiTheme="majorBidi" w:cstheme="majorBidi"/>
          <w:szCs w:val="21"/>
        </w:rPr>
      </w:pPr>
      <w:r w:rsidRPr="00E91901">
        <w:rPr>
          <w:rFonts w:asciiTheme="majorBidi" w:hAnsiTheme="majorBidi" w:cstheme="majorBidi"/>
          <w:szCs w:val="21"/>
        </w:rPr>
        <w:t>22.</w:t>
      </w:r>
      <w:r w:rsidRPr="00E91901">
        <w:rPr>
          <w:rFonts w:asciiTheme="majorBidi" w:hAnsiTheme="majorBidi" w:cstheme="majorBidi"/>
          <w:szCs w:val="21"/>
        </w:rPr>
        <w:tab/>
      </w:r>
      <w:r w:rsidRPr="00E91901">
        <w:rPr>
          <w:rFonts w:asciiTheme="majorBidi" w:hAnsiTheme="majorBidi" w:cstheme="majorBidi"/>
          <w:szCs w:val="21"/>
        </w:rPr>
        <w:t>地方当局要履行其人权责任，应拥有必要的权力和财政资源。地方当局要充分落实人权，尤其是经济、社会、文化权利，需要财政资源，但财政资源并非处处皆有；国家和国际层面均应将这个因素考虑在内。尤其应该强调的是，无论赋予地方当局怎样的权力，若不提供行使权利所需的财政资源，权力便无法发挥效力。</w:t>
      </w:r>
    </w:p>
    <w:p w:rsidR="00E91901" w:rsidRPr="00E91901" w:rsidRDefault="00E91901" w:rsidP="00D9138F">
      <w:pPr>
        <w:pStyle w:val="SingleTxt"/>
        <w:rPr>
          <w:rFonts w:asciiTheme="majorBidi" w:hAnsiTheme="majorBidi" w:cstheme="majorBidi"/>
          <w:szCs w:val="21"/>
        </w:rPr>
      </w:pPr>
      <w:r w:rsidRPr="00E91901">
        <w:rPr>
          <w:rFonts w:asciiTheme="majorBidi" w:hAnsiTheme="majorBidi" w:cstheme="majorBidi"/>
          <w:szCs w:val="21"/>
        </w:rPr>
        <w:t>23.</w:t>
      </w:r>
      <w:r w:rsidRPr="00E91901">
        <w:rPr>
          <w:rFonts w:asciiTheme="majorBidi" w:hAnsiTheme="majorBidi" w:cstheme="majorBidi"/>
          <w:szCs w:val="21"/>
        </w:rPr>
        <w:tab/>
      </w:r>
      <w:r w:rsidRPr="00E91901">
        <w:rPr>
          <w:rFonts w:asciiTheme="majorBidi" w:hAnsiTheme="majorBidi" w:cstheme="majorBidi"/>
          <w:szCs w:val="21"/>
        </w:rPr>
        <w:t>联合国人权条约机构已在若干场合强调了各级政府共同承担保护和增进人权的责任这一原则。经济、社会、文化权利委员会在第</w:t>
      </w:r>
      <w:r w:rsidRPr="00E91901">
        <w:rPr>
          <w:rFonts w:asciiTheme="majorBidi" w:hAnsiTheme="majorBidi" w:cstheme="majorBidi"/>
          <w:szCs w:val="21"/>
        </w:rPr>
        <w:t>4</w:t>
      </w:r>
      <w:r w:rsidRPr="00E91901">
        <w:rPr>
          <w:rFonts w:asciiTheme="majorBidi" w:hAnsiTheme="majorBidi" w:cstheme="majorBidi"/>
          <w:szCs w:val="21"/>
        </w:rPr>
        <w:t>号一般性意见</w:t>
      </w:r>
      <w:r>
        <w:rPr>
          <w:rFonts w:asciiTheme="majorBidi" w:hAnsiTheme="majorBidi" w:cstheme="majorBidi"/>
          <w:szCs w:val="21"/>
        </w:rPr>
        <w:t>(</w:t>
      </w:r>
      <w:r w:rsidRPr="00E91901">
        <w:rPr>
          <w:rFonts w:asciiTheme="majorBidi" w:hAnsiTheme="majorBidi" w:cstheme="majorBidi"/>
          <w:szCs w:val="21"/>
        </w:rPr>
        <w:t>适足住房权</w:t>
      </w:r>
      <w:r>
        <w:rPr>
          <w:rFonts w:asciiTheme="majorBidi" w:hAnsiTheme="majorBidi" w:cstheme="majorBidi"/>
          <w:szCs w:val="21"/>
        </w:rPr>
        <w:t>)</w:t>
      </w:r>
      <w:r w:rsidRPr="00E91901">
        <w:rPr>
          <w:rFonts w:asciiTheme="majorBidi" w:hAnsiTheme="majorBidi" w:cstheme="majorBidi"/>
          <w:szCs w:val="21"/>
        </w:rPr>
        <w:t>中指出，《经济、社会、文化权利国际公约》缔约国应采取步骤，</w:t>
      </w:r>
      <w:r w:rsidRPr="00E91901">
        <w:rPr>
          <w:rFonts w:asciiTheme="majorBidi" w:hAnsiTheme="majorBidi" w:cstheme="majorBidi"/>
          <w:szCs w:val="21"/>
        </w:rPr>
        <w:t>“</w:t>
      </w:r>
      <w:r w:rsidRPr="00E91901">
        <w:rPr>
          <w:rFonts w:asciiTheme="majorBidi" w:hAnsiTheme="majorBidi" w:cstheme="majorBidi"/>
          <w:szCs w:val="21"/>
        </w:rPr>
        <w:t>确保各部委和地区和地方当局之间的协调，以便使有关政策</w:t>
      </w:r>
      <w:r w:rsidRPr="00E91901">
        <w:rPr>
          <w:rFonts w:asciiTheme="majorBidi" w:hAnsiTheme="majorBidi" w:cstheme="majorBidi"/>
          <w:szCs w:val="21"/>
        </w:rPr>
        <w:t>(</w:t>
      </w:r>
      <w:r w:rsidRPr="00E91901">
        <w:rPr>
          <w:rFonts w:asciiTheme="majorBidi" w:hAnsiTheme="majorBidi" w:cstheme="majorBidi"/>
          <w:szCs w:val="21"/>
        </w:rPr>
        <w:t>经济、农业、环境、能源等</w:t>
      </w:r>
      <w:r w:rsidRPr="00E91901">
        <w:rPr>
          <w:rFonts w:asciiTheme="majorBidi" w:hAnsiTheme="majorBidi" w:cstheme="majorBidi"/>
          <w:szCs w:val="21"/>
        </w:rPr>
        <w:t>)</w:t>
      </w:r>
      <w:r w:rsidRPr="00E91901">
        <w:rPr>
          <w:rFonts w:asciiTheme="majorBidi" w:hAnsiTheme="majorBidi" w:cstheme="majorBidi"/>
          <w:szCs w:val="21"/>
        </w:rPr>
        <w:t>和《公约》第十一条所规定之义务保持一致</w:t>
      </w:r>
      <w:r w:rsidRPr="00E91901">
        <w:rPr>
          <w:rFonts w:asciiTheme="majorBidi" w:hAnsiTheme="majorBidi" w:cstheme="majorBidi"/>
          <w:szCs w:val="21"/>
        </w:rPr>
        <w:t>”</w:t>
      </w:r>
      <w:r w:rsidRPr="00E91901">
        <w:rPr>
          <w:rFonts w:asciiTheme="majorBidi" w:hAnsiTheme="majorBidi" w:cstheme="majorBidi"/>
          <w:szCs w:val="21"/>
        </w:rPr>
        <w:t>。</w:t>
      </w:r>
      <w:r w:rsidRPr="00D9138F">
        <w:rPr>
          <w:rStyle w:val="a3"/>
          <w:rFonts w:asciiTheme="majorBidi" w:hAnsiTheme="majorBidi" w:cstheme="majorBidi"/>
          <w:szCs w:val="21"/>
          <w:lang w:eastAsia="en-GB"/>
        </w:rPr>
        <w:footnoteReference w:id="8"/>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四.</w:t>
      </w:r>
      <w:r w:rsidRPr="00E91901">
        <w:tab/>
        <w:t>地方政府在保护和增进人权方面的作用</w:t>
      </w:r>
    </w:p>
    <w:p w:rsidR="00D9138F" w:rsidRPr="00D9138F" w:rsidRDefault="00D9138F" w:rsidP="00D9138F">
      <w:pPr>
        <w:pStyle w:val="SingleTxt"/>
        <w:spacing w:after="0" w:line="120" w:lineRule="exact"/>
        <w:rPr>
          <w:rFonts w:asciiTheme="majorBidi" w:hAnsiTheme="majorBidi" w:cstheme="majorBidi"/>
          <w:sz w:val="10"/>
          <w:szCs w:val="21"/>
        </w:rPr>
      </w:pPr>
    </w:p>
    <w:p w:rsidR="00D9138F" w:rsidRPr="00D9138F" w:rsidRDefault="00D9138F" w:rsidP="00D9138F">
      <w:pPr>
        <w:pStyle w:val="SingleTxt"/>
        <w:spacing w:after="0" w:line="120" w:lineRule="exact"/>
        <w:rPr>
          <w:rFonts w:asciiTheme="majorBidi" w:hAnsiTheme="majorBidi" w:cstheme="majorBidi"/>
          <w:sz w:val="10"/>
          <w:szCs w:val="21"/>
        </w:rPr>
      </w:pPr>
    </w:p>
    <w:p w:rsidR="00E91901" w:rsidRPr="00E91901" w:rsidRDefault="00E91901" w:rsidP="00D9138F">
      <w:pPr>
        <w:pStyle w:val="SingleTxt"/>
      </w:pPr>
      <w:r w:rsidRPr="00E91901">
        <w:t>24.</w:t>
      </w:r>
      <w:r w:rsidRPr="00E91901">
        <w:tab/>
      </w:r>
      <w:r w:rsidRPr="00E91901">
        <w:t>一些国家的法律，有些情况下是宪法法律，明确要求地方政府尊重人权</w:t>
      </w:r>
      <w:r>
        <w:t>(</w:t>
      </w:r>
      <w:r w:rsidRPr="00E91901">
        <w:t>如澳大利亚、</w:t>
      </w:r>
      <w:r w:rsidRPr="00E91901">
        <w:rPr>
          <w:bCs/>
        </w:rPr>
        <w:t>科特迪瓦、摩洛哥和斯洛文尼亚</w:t>
      </w:r>
      <w:r w:rsidRPr="00E91901">
        <w:rPr>
          <w:bCs/>
        </w:rPr>
        <w:t>)</w:t>
      </w:r>
      <w:r w:rsidRPr="00E91901">
        <w:t>。还有些国家的相关宪法规定适用于所有公权</w:t>
      </w:r>
      <w:r w:rsidRPr="00E91901">
        <w:t>(</w:t>
      </w:r>
      <w:r w:rsidRPr="00E91901">
        <w:t>如奥地利、阿塞拜疆、波斯尼亚和黑塞哥维那、德国、肯尼亚、立陶宛、马来西亚、南苏丹、西班牙和多哥</w:t>
      </w:r>
      <w:r w:rsidRPr="00E91901">
        <w:t>)</w:t>
      </w:r>
      <w:r w:rsidRPr="00E91901">
        <w:t>。在卢森堡，市镇政府必须依法行使权力，即必须尊重法律所保障的人权。有些国家的法律将地方政府尊重人权的义务限制在具</w:t>
      </w:r>
      <w:r w:rsidRPr="00E91901">
        <w:lastRenderedPageBreak/>
        <w:t>体权利或原则范围内。例如，塞尔维亚《地方自治政府法》规定，自治市必须确保增进和保护少数民族和族裔群体的权利。斯洛文尼亚的法律要求自治市管理机构重视将性别问题纳入主流。爱尔兰关于地方政府的法律没有对增进和保护人权做出具体规定，但是要求地方当局在行使职能时考虑到促进社会融合的需要。印度关于地方政府的法律也没有在地方政府的责任中具体提到保护人权，但是宪法授予市政当局的职能直接关系到人权，例如落实促进民主融合的举措、福利措施和地方司法制度。</w:t>
      </w:r>
    </w:p>
    <w:p w:rsidR="00E91901" w:rsidRPr="00E91901" w:rsidRDefault="00E91901" w:rsidP="00D9138F">
      <w:pPr>
        <w:pStyle w:val="SingleTxt"/>
      </w:pPr>
      <w:r w:rsidRPr="00E91901">
        <w:t>25.</w:t>
      </w:r>
      <w:r w:rsidRPr="00E91901">
        <w:tab/>
      </w:r>
      <w:r w:rsidRPr="00E91901">
        <w:t>通过法律明确规定地方政府有义务增进和保护人权，似乎是更为可取的做法。这样地方当局便能了解自己所负的人权责任，明白若有任何履行责任不力的情况，都要根据国家法律以及国家的整体国际义务追究其责任。此外，这种规定要求地方当局明确承担义务，在界定的权限范围内采取立足于人权的方针提供公共服务。因此，这种规定可以鼓励权利持有人向地方当局主张自己的权利。</w:t>
      </w:r>
    </w:p>
    <w:p w:rsidR="00E91901" w:rsidRPr="00E91901" w:rsidRDefault="00E91901" w:rsidP="00D9138F">
      <w:pPr>
        <w:pStyle w:val="SingleTxt"/>
      </w:pPr>
      <w:r w:rsidRPr="00E91901">
        <w:t>26.</w:t>
      </w:r>
      <w:r w:rsidRPr="00E91901">
        <w:tab/>
      </w:r>
      <w:r w:rsidRPr="00E91901">
        <w:t>地方当局贴近公民的民生需要，每天都要处理人权问题。因此，人权与地方政府之间存在明确而紧密的联系。地方当局行使职能时，尤其要做出有关教育、住房、健康、环境、法律和秩序的决定，这些决定与落实人权息息相关，还会增加或减少当地居民享有人权的可能性。此外，地方政府总是有可能对被当地社区视为外来者的移民或少数族裔等群体采取歧视做法。例如在住房领域，</w:t>
      </w:r>
      <w:r w:rsidRPr="00E91901">
        <w:t>“</w:t>
      </w:r>
      <w:r w:rsidRPr="00E91901">
        <w:t>迁怒于、诋毁和歧视无家可归者</w:t>
      </w:r>
      <w:r w:rsidRPr="00E91901">
        <w:t>”</w:t>
      </w:r>
      <w:r w:rsidRPr="00E91901">
        <w:t>的做法在地方层面往往更为突出。将人权观纳入地方政府的所有举措，对于解决这些侵权行为十分重要。事实上，难以想象在没有地方当局提供必要服务的情况下，如何能够实现人权。因此，地方官员在日常工作中负责处理形形色色的人权问题。然而，无论是政府当局还是公众，都很少将这项工作视为落实人权。因此，在地方层面的大部分政策和实践中，人权只是作为局外的参照系或分析框架，而事实上这些可能就是实际的人权工作。</w:t>
      </w:r>
      <w:r w:rsidRPr="00D9138F">
        <w:rPr>
          <w:rStyle w:val="a3"/>
          <w:rFonts w:asciiTheme="majorBidi" w:hAnsiTheme="majorBidi" w:cstheme="majorBidi"/>
          <w:szCs w:val="21"/>
          <w:lang w:eastAsia="en-GB"/>
        </w:rPr>
        <w:footnoteReference w:id="9"/>
      </w:r>
      <w:r w:rsidRPr="00E91901">
        <w:t xml:space="preserve"> </w:t>
      </w:r>
      <w:r w:rsidRPr="00E91901">
        <w:t>在这方面，应该牢记，在地方层面才能感受到人权的真实影响。</w:t>
      </w:r>
    </w:p>
    <w:p w:rsidR="00E91901" w:rsidRPr="00E91901" w:rsidRDefault="00E91901" w:rsidP="00D9138F">
      <w:pPr>
        <w:pStyle w:val="SingleTxt"/>
      </w:pPr>
      <w:r w:rsidRPr="00E91901">
        <w:t>27.</w:t>
      </w:r>
      <w:r w:rsidRPr="00E91901">
        <w:tab/>
      </w:r>
      <w:r w:rsidRPr="00E91901">
        <w:t>地方政府的人权义务沿袭了传统意义上国家的三重义务，即尊重、保护和实现人权的义务。尊重的义务是指地方官员不得通过自己的行动侵犯人权。此项义务要求地方政府避免干扰辖区内所有人员享有权利和自由。例如，就宗教自由而言，地方政府不得超出可允许的限制范围，禁止宗教群体利用公共广场或市政建筑举行宗教庆祝活动。在健康权方面，地方政府不得剥夺某些社群或群体使用保健设施的机会。保护的义务要求地方政府采取措施，确保个人的权利和自由不受第三方的侵犯。例如，地方当局应采取行动，确保不会有人妨碍儿童入学。保护的义务要求地方政府创造更安全的城市环境，减少暴力风险，如妇女遭受暴力侵害的风险。实现的义务是指地方政府必须采取积极行动，为享有权利和自由提供便利。例如，地方当局必须维护良好的教育系统，以实现受教育权。要履行实现个人不受歧视权这项义务，可以设立监察员等地方人权机制或打击歧视的专门机构。</w:t>
      </w:r>
    </w:p>
    <w:p w:rsidR="00E91901" w:rsidRPr="00E91901" w:rsidRDefault="00E91901" w:rsidP="00D9138F">
      <w:pPr>
        <w:pStyle w:val="SingleTxt"/>
      </w:pPr>
      <w:r w:rsidRPr="00E91901">
        <w:lastRenderedPageBreak/>
        <w:t>28.</w:t>
      </w:r>
      <w:r w:rsidRPr="00E91901">
        <w:tab/>
      </w:r>
      <w:r w:rsidRPr="00E91901">
        <w:t>此外，地方当局应通过教育和培训促进辖区内所有人员对人权的理解和尊重。地方当局尤其应该为当选代表和行政人员系统地组织人权培训，并向公民传播关于其权利的信息。地方当局可以通过宣传人权在社区内推动建设一种人权文化。</w:t>
      </w:r>
    </w:p>
    <w:p w:rsidR="00E91901" w:rsidRPr="00E91901" w:rsidRDefault="00E91901" w:rsidP="00D9138F">
      <w:pPr>
        <w:pStyle w:val="SingleTxt"/>
      </w:pPr>
      <w:r w:rsidRPr="00E91901">
        <w:t>29.</w:t>
      </w:r>
      <w:r w:rsidRPr="00E91901">
        <w:tab/>
      </w:r>
      <w:r w:rsidRPr="00E91901">
        <w:t>地方当局应特别注意增进和保护残疾人、少数族裔、土著社群、性别歧视受害者、儿童和老年人等弱势群体和处境不利群体的权利。在这方面，地方政府为此类群体提供的服务的质量</w:t>
      </w:r>
      <w:r w:rsidRPr="00E91901">
        <w:t>“</w:t>
      </w:r>
      <w:r w:rsidRPr="00E91901">
        <w:t>检验</w:t>
      </w:r>
      <w:r w:rsidRPr="00E91901">
        <w:t>”</w:t>
      </w:r>
      <w:r w:rsidRPr="00E91901">
        <w:t>了地方政府在实践中尊重人权的程度。</w:t>
      </w:r>
      <w:r w:rsidRPr="00D9138F">
        <w:rPr>
          <w:rStyle w:val="a3"/>
          <w:rFonts w:asciiTheme="majorBidi" w:hAnsiTheme="majorBidi" w:cstheme="majorBidi"/>
          <w:szCs w:val="21"/>
          <w:lang w:eastAsia="en-GB"/>
        </w:rPr>
        <w:footnoteReference w:id="10"/>
      </w:r>
    </w:p>
    <w:p w:rsidR="00E91901" w:rsidRPr="00E91901" w:rsidRDefault="00E91901" w:rsidP="00D9138F">
      <w:pPr>
        <w:pStyle w:val="SingleTxt"/>
      </w:pPr>
      <w:r w:rsidRPr="00E91901">
        <w:t>30.</w:t>
      </w:r>
      <w:r w:rsidRPr="00E91901">
        <w:tab/>
      </w:r>
      <w:r w:rsidRPr="00E91901">
        <w:t>一些国家努力将人权纳入地方当局的活动。它们采取措施促进参与式治理，开展立足于人权的审计和影响评估，将当地关切的问题表述为人权问题，设立程序核实地方政策条例是否与人权并行不悖，报告当地遵守人权条约的情况，为当地的公务员提供系统的人权培训，提高公众对人权的认识，等等。起草一份地方人权宪章</w:t>
      </w:r>
      <w:r w:rsidRPr="00E91901">
        <w:t>(</w:t>
      </w:r>
      <w:r w:rsidRPr="00E91901">
        <w:t>或人权法令</w:t>
      </w:r>
      <w:r w:rsidRPr="00E91901">
        <w:t>)</w:t>
      </w:r>
      <w:r w:rsidRPr="00D9138F">
        <w:rPr>
          <w:rStyle w:val="a3"/>
          <w:rFonts w:asciiTheme="majorBidi" w:hAnsiTheme="majorBidi" w:cstheme="majorBidi"/>
          <w:szCs w:val="21"/>
          <w:lang w:eastAsia="en-GB"/>
        </w:rPr>
        <w:footnoteReference w:id="11"/>
      </w:r>
      <w:r w:rsidRPr="00E91901">
        <w:t xml:space="preserve"> </w:t>
      </w:r>
      <w:r w:rsidRPr="00E91901">
        <w:t>，列明地方政府具体承担哪些人权责任，可以看作是将人权工作地方化的另一重要步骤。在这方面，地方当局最好设有人力和财力充足的人权办公室，能够全面管理地方权限之内的人权问题。</w:t>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五.</w:t>
      </w:r>
      <w:r w:rsidRPr="00E91901">
        <w:tab/>
        <w:t>地方政府在增进和保护人权方面面临的主要挑战</w:t>
      </w:r>
    </w:p>
    <w:p w:rsidR="00D9138F" w:rsidRPr="00D9138F" w:rsidRDefault="00D9138F" w:rsidP="00D9138F">
      <w:pPr>
        <w:pStyle w:val="SingleTxt"/>
        <w:spacing w:after="0" w:line="120" w:lineRule="exact"/>
        <w:rPr>
          <w:rFonts w:asciiTheme="majorBidi" w:hAnsiTheme="majorBidi" w:cstheme="majorBidi"/>
          <w:sz w:val="10"/>
          <w:szCs w:val="21"/>
        </w:rPr>
      </w:pPr>
    </w:p>
    <w:p w:rsidR="00D9138F" w:rsidRPr="00D9138F" w:rsidRDefault="00D9138F" w:rsidP="00D9138F">
      <w:pPr>
        <w:pStyle w:val="SingleTxt"/>
        <w:spacing w:after="0" w:line="120" w:lineRule="exact"/>
        <w:rPr>
          <w:rFonts w:asciiTheme="majorBidi" w:hAnsiTheme="majorBidi" w:cstheme="majorBidi"/>
          <w:sz w:val="10"/>
          <w:szCs w:val="21"/>
        </w:rPr>
      </w:pPr>
    </w:p>
    <w:p w:rsidR="00E91901" w:rsidRPr="00E91901" w:rsidRDefault="00E91901" w:rsidP="00D9138F">
      <w:pPr>
        <w:pStyle w:val="SingleTxt"/>
      </w:pPr>
      <w:r w:rsidRPr="00E91901">
        <w:t>31.</w:t>
      </w:r>
      <w:r w:rsidRPr="00E91901">
        <w:tab/>
      </w:r>
      <w:r w:rsidRPr="00E91901">
        <w:t>地方政府在增进和保护人权方面面临的主要挑战包括政治挑战、经济挑战和行政挑战。地方政府面临的最大挑战是缺乏政治意愿，在非民主制国家或民主处于萌芽状态的国家尤其如此。国内的政策冲突和紧张局势使情况进一步恶化。这种国家的地方政府苦于缺乏自主权，而且没有长期远景</w:t>
      </w:r>
      <w:r w:rsidRPr="00E91901">
        <w:t>/</w:t>
      </w:r>
      <w:r w:rsidRPr="00E91901">
        <w:t>规划和</w:t>
      </w:r>
      <w:r w:rsidRPr="00E91901">
        <w:t>/</w:t>
      </w:r>
      <w:r w:rsidRPr="00E91901">
        <w:t>或承诺。某些情况下，尤其是在动荡或冲突的局势下，中央和地方政府之间有可能关系紧张并存在权力斗争。此外，在高度集权的国家，可能难以在地方层面实施有力的促进人权的政治举措。由于缺乏自主和自治权，地方政府在落实人权方面的问责性和责任感被削弱。集中采取的政策和结构调整措施往往会妨碍地方政府履行人权。</w:t>
      </w:r>
    </w:p>
    <w:p w:rsidR="00E91901" w:rsidRPr="00E91901" w:rsidRDefault="00E91901" w:rsidP="00D9138F">
      <w:pPr>
        <w:pStyle w:val="SingleTxt"/>
        <w:rPr>
          <w:bCs/>
        </w:rPr>
      </w:pPr>
      <w:r w:rsidRPr="00E91901">
        <w:rPr>
          <w:bCs/>
        </w:rPr>
        <w:t>32.</w:t>
      </w:r>
      <w:r w:rsidRPr="00E91901">
        <w:rPr>
          <w:bCs/>
        </w:rPr>
        <w:tab/>
      </w:r>
      <w:r w:rsidRPr="00E91901">
        <w:t>妨碍地方政府落实和增进人权的另一个挑战是机构能力和</w:t>
      </w:r>
      <w:r w:rsidRPr="00E91901">
        <w:t>/</w:t>
      </w:r>
      <w:r w:rsidRPr="00E91901">
        <w:t>或资源不足，其原因可能在于缺乏赋权于地方政府的政治意愿，也可能是国内经济局势困难。</w:t>
      </w:r>
      <w:r w:rsidRPr="00E91901">
        <w:rPr>
          <w:bCs/>
        </w:rPr>
        <w:t>适足生活水准权所含适足住房问题以及在此方面不受歧视权问题特别报告员莉拉妮</w:t>
      </w:r>
      <w:r w:rsidRPr="00E91901">
        <w:rPr>
          <w:bCs/>
        </w:rPr>
        <w:t>•</w:t>
      </w:r>
      <w:r w:rsidRPr="00E91901">
        <w:rPr>
          <w:bCs/>
        </w:rPr>
        <w:t>法尔哈在关于地方和国家以下各级政府的作用的报告中强调了以下结论：</w:t>
      </w:r>
      <w:r w:rsidRPr="00E91901">
        <w:rPr>
          <w:bCs/>
        </w:rPr>
        <w:t>“</w:t>
      </w:r>
      <w:r w:rsidRPr="00E91901">
        <w:rPr>
          <w:bCs/>
        </w:rPr>
        <w:t>地方分权</w:t>
      </w:r>
      <w:r w:rsidRPr="00E91901">
        <w:t>并不总是有利于实现适足住房权。</w:t>
      </w:r>
      <w:r w:rsidRPr="00E91901">
        <w:t>”</w:t>
      </w:r>
      <w:r w:rsidRPr="00E91901">
        <w:rPr>
          <w:bCs/>
        </w:rPr>
        <w:t>(</w:t>
      </w:r>
      <w:r w:rsidRPr="00E91901">
        <w:t>A/HRC/28/6</w:t>
      </w:r>
      <w:r>
        <w:t>2,</w:t>
      </w:r>
      <w:r w:rsidRPr="00E91901">
        <w:t>第</w:t>
      </w:r>
      <w:r w:rsidRPr="00E91901">
        <w:t>71</w:t>
      </w:r>
      <w:r w:rsidRPr="00E91901">
        <w:t>段</w:t>
      </w:r>
      <w:r w:rsidRPr="00E91901">
        <w:rPr>
          <w:bCs/>
        </w:rPr>
        <w:t>)</w:t>
      </w:r>
      <w:r w:rsidRPr="00E91901">
        <w:rPr>
          <w:bCs/>
        </w:rPr>
        <w:t>。因为即使地方分权有可能促进参与式民主、公民的参与、透明和问责，但这些积极因素仍然取决于是否存在实行民主治理的机制和政治意愿。缺乏必要的资源和预算，无法在地方执行项目和提供服务供资，</w:t>
      </w:r>
      <w:r w:rsidRPr="00E91901">
        <w:t>削弱了地方政府的能力，也削弱了地方政府在本地社区的合法性。</w:t>
      </w:r>
    </w:p>
    <w:p w:rsidR="00E91901" w:rsidRPr="00E91901" w:rsidRDefault="00E91901" w:rsidP="00D9138F">
      <w:pPr>
        <w:pStyle w:val="SingleTxt"/>
        <w:rPr>
          <w:bCs/>
        </w:rPr>
      </w:pPr>
      <w:r w:rsidRPr="00E91901">
        <w:rPr>
          <w:bCs/>
        </w:rPr>
        <w:t>33.</w:t>
      </w:r>
      <w:r w:rsidRPr="00E91901">
        <w:rPr>
          <w:bCs/>
        </w:rPr>
        <w:tab/>
      </w:r>
      <w:r w:rsidRPr="00E91901">
        <w:rPr>
          <w:bCs/>
        </w:rPr>
        <w:t>第三个挑战是中央和</w:t>
      </w:r>
      <w:r w:rsidRPr="00E91901">
        <w:t>地方政府之间缺乏充分的协调。若有关中央政府和</w:t>
      </w:r>
      <w:r w:rsidRPr="00E91901">
        <w:rPr>
          <w:bCs/>
        </w:rPr>
        <w:t>地方政府权责分配的法律不够简单明了又不便于使用，也会出现问题。各级政府之间的权力分配清楚</w:t>
      </w:r>
      <w:r w:rsidRPr="00E91901">
        <w:t>明晰</w:t>
      </w:r>
      <w:r w:rsidRPr="00E91901">
        <w:rPr>
          <w:bCs/>
        </w:rPr>
        <w:t>，是确立问责制的先决条件，也是落实人权的先决条件。拥有公权</w:t>
      </w:r>
      <w:r w:rsidRPr="00E91901">
        <w:rPr>
          <w:bCs/>
        </w:rPr>
        <w:lastRenderedPageBreak/>
        <w:t>的任何机构均必须尊重、保护和实现人权，这一点必须做到不言自明。行使公权和履行人权之间的联系常常</w:t>
      </w:r>
      <w:r w:rsidRPr="00E91901">
        <w:rPr>
          <w:bCs/>
        </w:rPr>
        <w:t>/</w:t>
      </w:r>
      <w:r w:rsidRPr="00E91901">
        <w:rPr>
          <w:bCs/>
        </w:rPr>
        <w:t>有时在地方一级被忽视。</w:t>
      </w:r>
    </w:p>
    <w:p w:rsidR="00E91901" w:rsidRPr="00E91901" w:rsidRDefault="00E91901" w:rsidP="00D9138F">
      <w:pPr>
        <w:pStyle w:val="SingleTxt"/>
        <w:rPr>
          <w:bCs/>
        </w:rPr>
      </w:pPr>
      <w:r w:rsidRPr="00E91901">
        <w:rPr>
          <w:bCs/>
        </w:rPr>
        <w:t>34.</w:t>
      </w:r>
      <w:r w:rsidRPr="00E91901">
        <w:rPr>
          <w:bCs/>
        </w:rPr>
        <w:tab/>
      </w:r>
      <w:r w:rsidRPr="00E91901">
        <w:rPr>
          <w:bCs/>
        </w:rPr>
        <w:t>另外一个挑战是缺乏资料，不了解在地方层面落实人权产生的要求。地方政府的每一位管理者均须了解因人权产生的义务。他们对人权的内容和范畴往往缺乏透彻的了解。因此，许多地方政府未能理解人权，也未能将人权纳入地方政策和实践。缺乏透明度影响了加强人权协调工作的努力。</w:t>
      </w:r>
      <w:r w:rsidRPr="00D9138F">
        <w:rPr>
          <w:rStyle w:val="a3"/>
          <w:rFonts w:asciiTheme="majorBidi" w:hAnsiTheme="majorBidi" w:cstheme="majorBidi"/>
          <w:bCs/>
          <w:szCs w:val="21"/>
          <w:lang w:eastAsia="en-GB"/>
        </w:rPr>
        <w:footnoteReference w:id="12"/>
      </w:r>
    </w:p>
    <w:p w:rsidR="00E91901" w:rsidRPr="00E91901" w:rsidRDefault="00E91901" w:rsidP="00D9138F">
      <w:pPr>
        <w:pStyle w:val="SingleTxt"/>
      </w:pPr>
      <w:r w:rsidRPr="00E91901">
        <w:t>35.</w:t>
      </w:r>
      <w:r w:rsidRPr="00E91901">
        <w:tab/>
      </w:r>
      <w:r w:rsidRPr="00E91901">
        <w:rPr>
          <w:bCs/>
        </w:rPr>
        <w:t>地方政府面临的第五个挑战是民间社会的作用和贡献得不到认可。与此同时，</w:t>
      </w:r>
      <w:r w:rsidRPr="00E91901">
        <w:t>地方政府往往对人权缺乏了解。对民间社会的不予认可和不予合作，影响到地方政府接触边缘化群体的努力。</w:t>
      </w:r>
    </w:p>
    <w:p w:rsidR="00E91901" w:rsidRPr="00E91901" w:rsidRDefault="00E91901" w:rsidP="00D9138F">
      <w:pPr>
        <w:pStyle w:val="SingleTxt"/>
      </w:pPr>
      <w:r w:rsidRPr="00E91901">
        <w:t>36.</w:t>
      </w:r>
      <w:r w:rsidRPr="00E91901">
        <w:tab/>
      </w:r>
      <w:r w:rsidRPr="00E91901">
        <w:t>地方政府面临的另一个挑战是，在地方分权的背景下，捐助方和国际发展机构没有将人权义务列入其优先事项。例如，在印度尼西亚，国际货币基金组织、世界银行、亚洲开发银行、联合国开发计划署和其他捐助机构都积极促进地方分权，但却没有关注人权。</w:t>
      </w:r>
      <w:r w:rsidRPr="00D9138F">
        <w:rPr>
          <w:rStyle w:val="a3"/>
          <w:rFonts w:asciiTheme="majorBidi" w:hAnsiTheme="majorBidi" w:cstheme="majorBidi"/>
          <w:szCs w:val="21"/>
          <w:lang w:eastAsia="en-GB"/>
        </w:rPr>
        <w:footnoteReference w:id="13"/>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六.</w:t>
      </w:r>
      <w:r w:rsidRPr="00E91901">
        <w:tab/>
        <w:t>地方一级的人权机制</w:t>
      </w:r>
    </w:p>
    <w:p w:rsidR="00D9138F" w:rsidRPr="00D9138F" w:rsidRDefault="00D9138F" w:rsidP="00D9138F">
      <w:pPr>
        <w:pStyle w:val="SingleTxt"/>
        <w:spacing w:after="0" w:line="120" w:lineRule="exact"/>
        <w:rPr>
          <w:rFonts w:asciiTheme="majorBidi" w:hAnsiTheme="majorBidi" w:cstheme="majorBidi"/>
          <w:sz w:val="10"/>
          <w:szCs w:val="21"/>
        </w:rPr>
      </w:pPr>
    </w:p>
    <w:p w:rsidR="00D9138F" w:rsidRPr="00D9138F" w:rsidRDefault="00D9138F" w:rsidP="00D9138F">
      <w:pPr>
        <w:pStyle w:val="SingleTxt"/>
        <w:spacing w:after="0" w:line="120" w:lineRule="exact"/>
        <w:rPr>
          <w:rFonts w:asciiTheme="majorBidi" w:hAnsiTheme="majorBidi" w:cstheme="majorBidi"/>
          <w:sz w:val="10"/>
          <w:szCs w:val="21"/>
        </w:rPr>
      </w:pPr>
    </w:p>
    <w:p w:rsidR="00E91901" w:rsidRPr="00E91901" w:rsidRDefault="00E91901" w:rsidP="00D9138F">
      <w:pPr>
        <w:pStyle w:val="SingleTxt"/>
      </w:pPr>
      <w:r w:rsidRPr="00E91901">
        <w:t>37.</w:t>
      </w:r>
      <w:r w:rsidRPr="00E91901">
        <w:tab/>
      </w:r>
      <w:r w:rsidRPr="00E91901">
        <w:t>保护人权需要有独立的人权机制。此类机制在不同社区中可能采取不同的形式，以下几例便是落实人权的地方机构可采取的形式：地方监察员、消费者投诉委员会、医疗事故投诉委员会、反歧视机构，等等。这些机制的权限和组织结构可能五花八门，但必须将其视为保障人权和率先处理公民申诉的重要手段。重要的是，设立地方人权机制可以凸显地方当局在保护人权方面的作用。要使这些机制有效履行职能，必须为其提供充足的人力和财政资源，而且要便于所在地区的居民使用。</w:t>
      </w:r>
    </w:p>
    <w:p w:rsidR="00E91901" w:rsidRPr="00E91901" w:rsidRDefault="00E91901" w:rsidP="00D9138F">
      <w:pPr>
        <w:pStyle w:val="SingleTxt"/>
      </w:pPr>
      <w:r w:rsidRPr="00E91901">
        <w:t>38.</w:t>
      </w:r>
      <w:r w:rsidRPr="00E91901">
        <w:tab/>
        <w:t>2000</w:t>
      </w:r>
      <w:r w:rsidRPr="00E91901">
        <w:t>年在圣丹尼通过的《欧洲城市维护人权宪章》</w:t>
      </w:r>
      <w:r w:rsidRPr="00D9138F">
        <w:rPr>
          <w:rStyle w:val="a3"/>
          <w:rFonts w:asciiTheme="majorBidi" w:hAnsiTheme="majorBidi" w:cstheme="majorBidi"/>
          <w:szCs w:val="21"/>
          <w:lang w:eastAsia="en-GB"/>
        </w:rPr>
        <w:footnoteReference w:id="14"/>
      </w:r>
      <w:r w:rsidRPr="00E91901">
        <w:t>规定设立监察员作为预防机制，同时也作为在地方一级维护人权的手段。监察员对地方管理机构实行监测，确保管理机构不会违反《宪章》所列各项权利和原则。</w:t>
      </w:r>
    </w:p>
    <w:p w:rsidR="00E91901" w:rsidRPr="00E91901" w:rsidRDefault="00E91901" w:rsidP="00D9138F">
      <w:pPr>
        <w:pStyle w:val="SingleTxt"/>
      </w:pPr>
      <w:r w:rsidRPr="00E91901">
        <w:t>39.</w:t>
      </w:r>
      <w:r w:rsidRPr="00E91901">
        <w:tab/>
      </w:r>
      <w:r w:rsidRPr="00E91901">
        <w:t>仅有少数国家设有地方一级的人权保护机制。例如，瑞士的几个城市设立了监察员办公室。这些办公室属于独立机关，调解个人与当局之间的冲突。尽管办公室无权做出具有法律约束力的决定，只能提出建议，但事实证明，它们可以成功地解决争端。大韩民国的几个地方政府设立了人权委员会。在荷兰，可以就侵犯人权行为向国家监察员或市立申诉机制提出申诉。丹麦哥本哈根的公民顾问是国内首家由</w:t>
      </w:r>
      <w:r w:rsidRPr="00E91901">
        <w:lastRenderedPageBreak/>
        <w:t>市议会设立的公民咨询机构，在哥本哈根设立了独立监察员的职位。如今丹麦已有</w:t>
      </w:r>
      <w:r w:rsidRPr="00E91901">
        <w:t>21</w:t>
      </w:r>
      <w:r w:rsidRPr="00E91901">
        <w:t>个市设立了公民咨询机构。在挪威，市政府在某些行政领域设有监察员。波斯尼亚和黑塞哥维那的一些地方政府设立了人权委员会，虽然这些委员会本身不是人权保护机制，但它们担任市议会的咨询机构。澳大利亚的维多利亚平等机会和人权委员会为地方政府论坛提供便利。该委员会为地方政府开发了工具箱，应邀审查地方政府的方案和做法，以确保其符合《维多利亚人权和责任宪章》，并为地方议会提供培训。</w:t>
      </w:r>
      <w:r w:rsidRPr="00E91901">
        <w:rPr>
          <w:bCs/>
        </w:rPr>
        <w:t>阿塞拜疆于</w:t>
      </w:r>
      <w:r w:rsidRPr="00E91901">
        <w:rPr>
          <w:bCs/>
        </w:rPr>
        <w:t>2003</w:t>
      </w:r>
      <w:r w:rsidRPr="00E91901">
        <w:rPr>
          <w:bCs/>
        </w:rPr>
        <w:t>年</w:t>
      </w:r>
      <w:r w:rsidRPr="00E91901">
        <w:rPr>
          <w:bCs/>
        </w:rPr>
        <w:t>4</w:t>
      </w:r>
      <w:r w:rsidRPr="00E91901">
        <w:rPr>
          <w:bCs/>
        </w:rPr>
        <w:t>月在监察员机构内设立了独立专家理事会，理事会成员包括从事人权保护工作的有影响力的非政府组织和民间社会的代表。委员协同非政府组织举办会议、培训、圆桌讨论会和其他活动。</w:t>
      </w:r>
      <w:r w:rsidRPr="00D9138F">
        <w:rPr>
          <w:rStyle w:val="a3"/>
          <w:rFonts w:asciiTheme="majorBidi" w:hAnsiTheme="majorBidi" w:cstheme="majorBidi"/>
          <w:bCs/>
          <w:szCs w:val="21"/>
          <w:lang w:eastAsia="en-GB"/>
        </w:rPr>
        <w:footnoteReference w:id="15"/>
      </w:r>
    </w:p>
    <w:p w:rsidR="00E91901" w:rsidRPr="00E91901" w:rsidRDefault="00E91901" w:rsidP="00D9138F">
      <w:pPr>
        <w:pStyle w:val="SingleTxt"/>
      </w:pPr>
      <w:r w:rsidRPr="00E91901">
        <w:t>40.</w:t>
      </w:r>
      <w:r w:rsidRPr="00E91901">
        <w:tab/>
      </w:r>
      <w:r w:rsidRPr="00E91901">
        <w:t>在阿塞拜疆、爱尔兰和斯洛文尼亚等一些国家，国家监察员办公室不仅有权调查对国家机构的申诉，还有权调查对地方政府机构提出的申诉。</w:t>
      </w:r>
    </w:p>
    <w:p w:rsidR="00E91901" w:rsidRPr="00E91901" w:rsidRDefault="00E91901" w:rsidP="00D9138F">
      <w:pPr>
        <w:pStyle w:val="SingleTxt"/>
      </w:pPr>
      <w:r w:rsidRPr="00E91901">
        <w:t>41.</w:t>
      </w:r>
      <w:r w:rsidRPr="00E91901">
        <w:tab/>
      </w:r>
      <w:r w:rsidRPr="00E91901">
        <w:t>危地马拉《市政法》规定，地方政府有义务召集市内社会各界人士参与制定本市的公共政策及城乡发展规划，并参这些政策规划的制度化进程。该法律还规定，按照各个群体的价值观、语言、传统和习俗，保护和增进它们享有文化身份认同的权利。法律还规定设立遵约委员会。</w:t>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七.</w:t>
      </w:r>
      <w:r w:rsidRPr="00E91901">
        <w:tab/>
        <w:t>人权城市：概念框架和指导原则</w:t>
      </w:r>
    </w:p>
    <w:p w:rsidR="00D9138F" w:rsidRPr="00D9138F" w:rsidRDefault="00D9138F" w:rsidP="00D9138F">
      <w:pPr>
        <w:pStyle w:val="SingleTxt"/>
        <w:spacing w:after="0" w:line="120" w:lineRule="exact"/>
        <w:rPr>
          <w:rFonts w:asciiTheme="majorBidi" w:hAnsiTheme="majorBidi" w:cstheme="majorBidi"/>
          <w:sz w:val="10"/>
          <w:szCs w:val="21"/>
        </w:rPr>
      </w:pPr>
    </w:p>
    <w:p w:rsidR="00D9138F" w:rsidRPr="00D9138F" w:rsidRDefault="00D9138F" w:rsidP="00D9138F">
      <w:pPr>
        <w:pStyle w:val="SingleTxt"/>
        <w:spacing w:after="0" w:line="120" w:lineRule="exact"/>
        <w:rPr>
          <w:rFonts w:asciiTheme="majorBidi" w:hAnsiTheme="majorBidi" w:cstheme="majorBidi"/>
          <w:sz w:val="10"/>
          <w:szCs w:val="21"/>
        </w:rPr>
      </w:pPr>
    </w:p>
    <w:p w:rsidR="00E91901" w:rsidRPr="00E91901" w:rsidRDefault="00E91901" w:rsidP="00D9138F">
      <w:pPr>
        <w:pStyle w:val="SingleTxt"/>
      </w:pPr>
      <w:r w:rsidRPr="00E91901">
        <w:t>42.</w:t>
      </w:r>
      <w:r w:rsidRPr="00E91901">
        <w:tab/>
        <w:t>“</w:t>
      </w:r>
      <w:r w:rsidRPr="00E91901">
        <w:t>人权城市</w:t>
      </w:r>
      <w:r w:rsidRPr="00E91901">
        <w:t>”</w:t>
      </w:r>
      <w:r w:rsidRPr="00E91901">
        <w:t>的理念是在全球层面制订的推动在地方开展人权工作的举措之一。这一理念的依据是承认城市在增进和保护人权方面能发挥关键作用；</w:t>
      </w:r>
      <w:r w:rsidRPr="00E91901">
        <w:t>“</w:t>
      </w:r>
      <w:r w:rsidRPr="00E91901">
        <w:t>人权城市</w:t>
      </w:r>
      <w:r w:rsidRPr="00E91901">
        <w:t>”</w:t>
      </w:r>
      <w:r w:rsidRPr="00E91901">
        <w:t>所指通常是地方政府和本地民众在道德和法律层面都受人权原则管辖的城市。这个概念于</w:t>
      </w:r>
      <w:r w:rsidRPr="00E91901">
        <w:t>1997</w:t>
      </w:r>
      <w:r w:rsidRPr="00E91901">
        <w:t>年由非营利性国际服务组织人权教育人民运动</w:t>
      </w:r>
      <w:r w:rsidRPr="00E91901">
        <w:t>(PDHRE)</w:t>
      </w:r>
      <w:r w:rsidRPr="00E91901">
        <w:t>率先提出，</w:t>
      </w:r>
      <w:r w:rsidRPr="00D9138F">
        <w:rPr>
          <w:rStyle w:val="a3"/>
          <w:rFonts w:asciiTheme="majorBidi" w:hAnsiTheme="majorBidi" w:cstheme="majorBidi"/>
          <w:szCs w:val="21"/>
          <w:lang w:eastAsia="en-GB"/>
        </w:rPr>
        <w:footnoteReference w:id="16"/>
      </w:r>
      <w:r w:rsidRPr="00E91901">
        <w:t>后来得到进一步发展，尤其是在大韩民国光州市举行的一年一度的世界人权城市论坛上成为一个规范性概念。</w:t>
      </w:r>
    </w:p>
    <w:p w:rsidR="00E91901" w:rsidRPr="00E91901" w:rsidRDefault="00E91901" w:rsidP="00D9138F">
      <w:pPr>
        <w:pStyle w:val="SingleTxt"/>
      </w:pPr>
      <w:r w:rsidRPr="00E91901">
        <w:t>43.</w:t>
      </w:r>
      <w:r w:rsidRPr="00E91901">
        <w:tab/>
        <w:t>2011</w:t>
      </w:r>
      <w:r w:rsidRPr="00E91901">
        <w:t>年世界人权城市论坛于</w:t>
      </w:r>
      <w:r w:rsidRPr="00E91901">
        <w:t>2011</w:t>
      </w:r>
      <w:r w:rsidRPr="00E91901">
        <w:t>年</w:t>
      </w:r>
      <w:r w:rsidRPr="00E91901">
        <w:t>5</w:t>
      </w:r>
      <w:r w:rsidRPr="00E91901">
        <w:t>月</w:t>
      </w:r>
      <w:r w:rsidRPr="00E91901">
        <w:t>17</w:t>
      </w:r>
      <w:r w:rsidRPr="00E91901">
        <w:t>日通过的《光州人权城市宣言》，将人权城市定义为</w:t>
      </w:r>
      <w:r w:rsidRPr="00E91901">
        <w:t>“</w:t>
      </w:r>
      <w:r w:rsidRPr="00E91901">
        <w:t>在人权作为基本价值观和指导原则发挥关键作用的地方背景下的地方社区和社会政治进程</w:t>
      </w:r>
      <w:r w:rsidRPr="00E91901">
        <w:t>”</w:t>
      </w:r>
      <w:r w:rsidRPr="00E91901">
        <w:t>。人权城市要求在地方开展共同的人权治理，由地方政府、地方议会、民间社会、私营部门组织和其他利益攸关方携手努力，秉承基于人权标准和规范建立伙伴关系的精神，共同提高所有居民的生活水平。立足于人权的地方治理方针包括民主原则、参与、负责任的领导、透明、问责、不歧视、赋权和法治。人权城市的概念还强调必须确保所有行为方和利益攸关方的广泛参与，尤其是边缘和弱势群体的参与，还必须设有人人均可使用的有效、独立的人权保护和</w:t>
      </w:r>
      <w:r w:rsidRPr="00E91901">
        <w:lastRenderedPageBreak/>
        <w:t>监测机制。这一概念认为，在致力于增进和保护人权的城市之间必须开展地方间合作及国际合作，并保持团结一致。</w:t>
      </w:r>
      <w:r w:rsidRPr="00D9138F">
        <w:rPr>
          <w:rStyle w:val="a3"/>
          <w:rFonts w:asciiTheme="majorBidi" w:hAnsiTheme="majorBidi" w:cstheme="majorBidi"/>
          <w:szCs w:val="21"/>
          <w:lang w:eastAsia="en-GB"/>
        </w:rPr>
        <w:footnoteReference w:id="17"/>
      </w:r>
    </w:p>
    <w:p w:rsidR="00E91901" w:rsidRPr="00E91901" w:rsidRDefault="00E91901" w:rsidP="00D9138F">
      <w:pPr>
        <w:pStyle w:val="SingleTxt"/>
      </w:pPr>
      <w:r w:rsidRPr="00E91901">
        <w:t>44.</w:t>
      </w:r>
      <w:r w:rsidRPr="00E91901">
        <w:tab/>
        <w:t>2014</w:t>
      </w:r>
      <w:r w:rsidRPr="00E91901">
        <w:t>年世界人权城市论坛于</w:t>
      </w:r>
      <w:r w:rsidRPr="00E91901">
        <w:t>2014</w:t>
      </w:r>
      <w:r w:rsidRPr="00E91901">
        <w:t>年</w:t>
      </w:r>
      <w:r w:rsidRPr="00E91901">
        <w:t>5</w:t>
      </w:r>
      <w:r w:rsidRPr="00E91901">
        <w:t>月</w:t>
      </w:r>
      <w:r w:rsidRPr="00E91901">
        <w:t>17</w:t>
      </w:r>
      <w:r w:rsidRPr="00E91901">
        <w:t>日通过的</w:t>
      </w:r>
      <w:r w:rsidRPr="00E91901">
        <w:rPr>
          <w:bCs/>
        </w:rPr>
        <w:t>《光州人权城市指导原则》载有以下各项人权城市的原则：城市权；不歧视和平权行动；社会融合和文化多样性；参与式民主和负责的治理；社会正义、团结和可持续；政治领导和制度化</w:t>
      </w:r>
      <w:r w:rsidRPr="00E91901">
        <w:t>；将人权纳入主流；有效的制度和政策协调；人权教育和培训；补救权。</w:t>
      </w:r>
    </w:p>
    <w:p w:rsidR="00E91901" w:rsidRPr="00E91901" w:rsidRDefault="00E91901" w:rsidP="00D9138F">
      <w:pPr>
        <w:pStyle w:val="SingleTxt"/>
      </w:pPr>
      <w:r w:rsidRPr="00E91901">
        <w:t>45.</w:t>
      </w:r>
      <w:r w:rsidRPr="00E91901">
        <w:tab/>
      </w:r>
      <w:r w:rsidRPr="00E91901">
        <w:t>全球已有若干城市正式宣布为</w:t>
      </w:r>
      <w:r w:rsidRPr="00E91901">
        <w:t>“</w:t>
      </w:r>
      <w:r w:rsidRPr="00E91901">
        <w:t>人权城市</w:t>
      </w:r>
      <w:r w:rsidRPr="00E91901">
        <w:t>”</w:t>
      </w:r>
      <w:r w:rsidRPr="00E91901">
        <w:t>，</w:t>
      </w:r>
      <w:r w:rsidRPr="00D9138F">
        <w:rPr>
          <w:rStyle w:val="a3"/>
          <w:rFonts w:asciiTheme="majorBidi" w:hAnsiTheme="majorBidi" w:cstheme="majorBidi"/>
          <w:szCs w:val="21"/>
          <w:lang w:eastAsia="en-GB"/>
        </w:rPr>
        <w:footnoteReference w:id="18"/>
      </w:r>
      <w:r w:rsidRPr="00E91901">
        <w:t xml:space="preserve"> </w:t>
      </w:r>
      <w:r w:rsidRPr="00E91901">
        <w:t>还出现了几个国际城市网络。</w:t>
      </w:r>
    </w:p>
    <w:p w:rsidR="00E91901" w:rsidRPr="00E91901" w:rsidRDefault="00E91901" w:rsidP="00D9138F">
      <w:pPr>
        <w:pStyle w:val="SingleTxt"/>
      </w:pPr>
      <w:r w:rsidRPr="00E91901">
        <w:t>46.</w:t>
      </w:r>
      <w:r w:rsidRPr="00E91901">
        <w:tab/>
      </w:r>
      <w:r w:rsidRPr="00E91901">
        <w:t>在理论和实践中还发展出其他一些概念，基本上力求实现同一目标。其中一个概念是法国哲学家亨利</w:t>
      </w:r>
      <w:r w:rsidRPr="00E91901">
        <w:t>·</w:t>
      </w:r>
      <w:r w:rsidRPr="00E91901">
        <w:t>列菲弗尔率先提出的</w:t>
      </w:r>
      <w:r w:rsidRPr="00E91901">
        <w:t>“</w:t>
      </w:r>
      <w:r w:rsidRPr="00E91901">
        <w:t>城市权</w:t>
      </w:r>
      <w:r w:rsidRPr="00E91901">
        <w:t>”</w:t>
      </w:r>
      <w:r w:rsidRPr="00E91901">
        <w:t>；</w:t>
      </w:r>
      <w:r w:rsidRPr="00D9138F">
        <w:rPr>
          <w:rStyle w:val="a3"/>
          <w:rFonts w:asciiTheme="majorBidi" w:hAnsiTheme="majorBidi" w:cstheme="majorBidi"/>
          <w:szCs w:val="21"/>
          <w:lang w:eastAsia="en-GB"/>
        </w:rPr>
        <w:footnoteReference w:id="19"/>
      </w:r>
      <w:r w:rsidRPr="00E91901">
        <w:t xml:space="preserve"> </w:t>
      </w:r>
      <w:r w:rsidRPr="00E91901">
        <w:t>主要指城市居民和</w:t>
      </w:r>
      <w:r w:rsidRPr="00E91901">
        <w:t>“</w:t>
      </w:r>
      <w:r w:rsidRPr="00E91901">
        <w:t>使用者</w:t>
      </w:r>
      <w:r w:rsidRPr="00E91901">
        <w:t>”</w:t>
      </w:r>
      <w:r w:rsidRPr="00E91901">
        <w:t>参与地方公共事务和界定城市空间的权利。</w:t>
      </w:r>
      <w:r w:rsidRPr="00D9138F">
        <w:rPr>
          <w:rStyle w:val="a3"/>
          <w:rFonts w:asciiTheme="majorBidi" w:hAnsiTheme="majorBidi" w:cstheme="majorBidi"/>
          <w:szCs w:val="21"/>
          <w:lang w:eastAsia="en-GB"/>
        </w:rPr>
        <w:footnoteReference w:id="20"/>
      </w:r>
      <w:r w:rsidRPr="00E91901">
        <w:t xml:space="preserve"> </w:t>
      </w:r>
      <w:r w:rsidRPr="00E91901">
        <w:t>到目前为止，</w:t>
      </w:r>
      <w:r w:rsidRPr="00E91901">
        <w:t>“</w:t>
      </w:r>
      <w:r w:rsidRPr="00E91901">
        <w:t>城市权</w:t>
      </w:r>
      <w:r w:rsidRPr="00E91901">
        <w:t>”</w:t>
      </w:r>
      <w:r w:rsidRPr="00E91901">
        <w:t>的概念已经以有限的方式得到制度化，例如巴西的《城市规约》</w:t>
      </w:r>
      <w:r w:rsidRPr="00E91901">
        <w:t>(2001</w:t>
      </w:r>
      <w:r w:rsidRPr="00E91901">
        <w:t>年</w:t>
      </w:r>
      <w:r w:rsidRPr="00E91901">
        <w:t>)</w:t>
      </w:r>
      <w:r w:rsidRPr="00E91901">
        <w:t>、《蒙特利尔权利与责任宪章》</w:t>
      </w:r>
      <w:r w:rsidRPr="00E91901">
        <w:t>(2006</w:t>
      </w:r>
      <w:r w:rsidRPr="00E91901">
        <w:t>年</w:t>
      </w:r>
      <w:r w:rsidRPr="00E91901">
        <w:t>)</w:t>
      </w:r>
      <w:r w:rsidRPr="00E91901">
        <w:t>和墨西哥城的《城市权宪章》</w:t>
      </w:r>
      <w:r w:rsidRPr="00E91901">
        <w:t>(2010</w:t>
      </w:r>
      <w:r w:rsidRPr="00E91901">
        <w:t>年</w:t>
      </w:r>
      <w:r w:rsidRPr="00E91901">
        <w:t>)</w:t>
      </w:r>
      <w:r w:rsidRPr="00E91901">
        <w:t>。</w:t>
      </w:r>
    </w:p>
    <w:p w:rsidR="00E91901" w:rsidRPr="00E91901" w:rsidRDefault="00E91901" w:rsidP="00D9138F">
      <w:pPr>
        <w:pStyle w:val="SingleTxt"/>
      </w:pPr>
      <w:r w:rsidRPr="00E91901">
        <w:t>47.</w:t>
      </w:r>
      <w:r w:rsidRPr="00E91901">
        <w:tab/>
      </w:r>
      <w:r w:rsidRPr="00E91901">
        <w:t>《全球城市权宪章》</w:t>
      </w:r>
      <w:r>
        <w:t>(</w:t>
      </w:r>
      <w:r w:rsidRPr="00E91901">
        <w:t>2005</w:t>
      </w:r>
      <w:r w:rsidRPr="00E91901">
        <w:t>年</w:t>
      </w:r>
      <w:r>
        <w:t>)</w:t>
      </w:r>
      <w:r w:rsidRPr="00E91901">
        <w:t>专门列入了城市权；</w:t>
      </w:r>
      <w:r w:rsidRPr="00D9138F">
        <w:rPr>
          <w:rStyle w:val="a3"/>
          <w:rFonts w:asciiTheme="majorBidi" w:hAnsiTheme="majorBidi" w:cstheme="majorBidi"/>
          <w:szCs w:val="21"/>
          <w:lang w:eastAsia="en-GB"/>
        </w:rPr>
        <w:footnoteReference w:id="21"/>
      </w:r>
      <w:r w:rsidRPr="00E91901">
        <w:t xml:space="preserve"> </w:t>
      </w:r>
      <w:r w:rsidRPr="00E91901">
        <w:t>联合国教科文组织和联合国人居署等多家组织和网络参与拟订了这份重要文件。宪章将</w:t>
      </w:r>
      <w:r w:rsidRPr="00E91901">
        <w:t>“</w:t>
      </w:r>
      <w:r w:rsidRPr="00E91901">
        <w:t>城市权</w:t>
      </w:r>
      <w:r w:rsidRPr="00E91901">
        <w:t>”</w:t>
      </w:r>
      <w:r w:rsidRPr="00E91901">
        <w:t>定义为按照可持续、民主、平等和社会公正的原则平等地利用城市。这是城市居民的一项集体权利，赋予他们采取行动和组织起来的合法权利，以尊重差异、文化表现形式和文化习俗为基础，行使其自决权，实现适足的生活水准。城市权与国际公认的其他人权相互依存，包括国际人权条约中界定的公民、政治、经济、社会、文化和环境权。</w:t>
      </w:r>
    </w:p>
    <w:p w:rsidR="00E91901" w:rsidRPr="00E91901" w:rsidRDefault="00E91901" w:rsidP="00D9138F">
      <w:pPr>
        <w:pStyle w:val="SingleTxt"/>
      </w:pPr>
      <w:r w:rsidRPr="00E91901">
        <w:t>48.</w:t>
      </w:r>
      <w:r w:rsidRPr="00E91901">
        <w:tab/>
      </w:r>
      <w:r w:rsidRPr="00E91901">
        <w:t>近几十年出现了</w:t>
      </w:r>
      <w:r w:rsidRPr="00E91901">
        <w:t>“</w:t>
      </w:r>
      <w:r w:rsidRPr="00E91901">
        <w:t>城市的权利</w:t>
      </w:r>
      <w:r w:rsidRPr="00E91901">
        <w:t>”</w:t>
      </w:r>
      <w:r w:rsidRPr="00E91901">
        <w:t>这个概念，作为中央政府和国家政府在全球化的市场中卸下责任和撤回资源之外的一种选择。许多城市越来越受制于中央决策机构、公共预算和投资，市政当局不得不自谋生路和</w:t>
      </w:r>
      <w:r w:rsidRPr="00E91901">
        <w:t>/</w:t>
      </w:r>
      <w:r w:rsidRPr="00E91901">
        <w:t>或争夺用于发展和服务的资源，它们往往无权征收税费或有效参与影响拨款的决定。这种情况下，地方当局所面临的前景是借助于将公共产品和服务私有化</w:t>
      </w:r>
      <w:r>
        <w:t>(</w:t>
      </w:r>
      <w:r w:rsidRPr="00E91901">
        <w:t>这样做通常会给穷人造成不利的经济后果</w:t>
      </w:r>
      <w:r>
        <w:t>)</w:t>
      </w:r>
      <w:r w:rsidRPr="00E91901">
        <w:t>和</w:t>
      </w:r>
      <w:r w:rsidRPr="00E91901">
        <w:t>/</w:t>
      </w:r>
      <w:r w:rsidRPr="00E91901">
        <w:t>或向私人金融市场寻求财政支持。这个概念可能是指地方政府相对于国家</w:t>
      </w:r>
      <w:r w:rsidRPr="00E91901">
        <w:t>/</w:t>
      </w:r>
      <w:r w:rsidRPr="00E91901">
        <w:t>联邦当局的行政、政治和经济权利，以及地方当局相对于国际机构和多边机构</w:t>
      </w:r>
      <w:r>
        <w:t>(</w:t>
      </w:r>
      <w:r w:rsidRPr="00E91901">
        <w:t>联合国、世界银行、国际货币基金组织等</w:t>
      </w:r>
      <w:r>
        <w:t>)</w:t>
      </w:r>
      <w:r w:rsidRPr="00E91901">
        <w:t>的身份和角色。</w:t>
      </w:r>
    </w:p>
    <w:p w:rsidR="00E91901" w:rsidRPr="00E91901" w:rsidRDefault="00E91901" w:rsidP="00D9138F">
      <w:pPr>
        <w:pStyle w:val="SingleTxt"/>
      </w:pPr>
      <w:r w:rsidRPr="00E91901">
        <w:lastRenderedPageBreak/>
        <w:t>49.</w:t>
      </w:r>
      <w:r w:rsidRPr="00E91901">
        <w:tab/>
        <w:t>“</w:t>
      </w:r>
      <w:r w:rsidRPr="00E91901">
        <w:t>城市中的人权</w:t>
      </w:r>
      <w:r w:rsidRPr="00E91901">
        <w:t>”</w:t>
      </w:r>
      <w:r w:rsidRPr="00E91901">
        <w:t>这个概念主要源自于《欧洲城市维护人权宪章》和《全球城市人权宪章</w:t>
      </w:r>
      <w:r w:rsidRPr="00E91901">
        <w:t>—</w:t>
      </w:r>
      <w:r w:rsidRPr="00E91901">
        <w:t>议程》，</w:t>
      </w:r>
      <w:r w:rsidRPr="00D9138F">
        <w:rPr>
          <w:rStyle w:val="a3"/>
          <w:rFonts w:asciiTheme="majorBidi" w:hAnsiTheme="majorBidi" w:cstheme="majorBidi"/>
          <w:szCs w:val="21"/>
          <w:lang w:eastAsia="en-GB"/>
        </w:rPr>
        <w:footnoteReference w:id="22"/>
      </w:r>
      <w:r w:rsidRPr="00E91901">
        <w:t>其含义包括：致力于在地方层面尊重、保护和履行国际公认的所有人权；重点关注边缘化群体和生活在脆弱条件下的人群；将人权方针纳入地方政策的主流</w:t>
      </w:r>
      <w:r>
        <w:t>(</w:t>
      </w:r>
      <w:r w:rsidRPr="00E91901">
        <w:t>不仅仅是落实人权方案</w:t>
      </w:r>
      <w:r>
        <w:t>)</w:t>
      </w:r>
      <w:r w:rsidRPr="00E91901">
        <w:t>。</w:t>
      </w:r>
    </w:p>
    <w:p w:rsidR="00E91901" w:rsidRPr="00E91901" w:rsidRDefault="00E91901" w:rsidP="00D9138F">
      <w:pPr>
        <w:pStyle w:val="SingleTxt"/>
      </w:pPr>
      <w:r w:rsidRPr="00E91901">
        <w:t>50.</w:t>
      </w:r>
      <w:r w:rsidRPr="00E91901">
        <w:tab/>
      </w:r>
      <w:r w:rsidRPr="00E91901">
        <w:t>同时，这方面的最佳做法包括：一些政策举措承认建立</w:t>
      </w:r>
      <w:r w:rsidRPr="00E91901">
        <w:t>“</w:t>
      </w:r>
      <w:r w:rsidRPr="00E91901">
        <w:t>人权栖息地</w:t>
      </w:r>
      <w:r w:rsidRPr="00E91901">
        <w:t>”</w:t>
      </w:r>
      <w:r w:rsidRPr="00E91901">
        <w:t>的做法有效，它含有更具包容性的城乡统一体概念，自觉承认城市居民的权利同样适用于城市周边的其他居民，以及更偏远地区的居民。在首届内罗毕公民论坛</w:t>
      </w:r>
      <w:r>
        <w:t>(</w:t>
      </w:r>
      <w:r w:rsidRPr="00E91901">
        <w:t>2002</w:t>
      </w:r>
      <w:r w:rsidRPr="00E91901">
        <w:t>年</w:t>
      </w:r>
      <w:r>
        <w:t>)</w:t>
      </w:r>
      <w:r w:rsidRPr="00E91901">
        <w:t>上，内罗毕已采用这一称谓，宣布本市为</w:t>
      </w:r>
      <w:r w:rsidRPr="00E91901">
        <w:t>“</w:t>
      </w:r>
      <w:r w:rsidRPr="00E91901">
        <w:t>人权栖息地</w:t>
      </w:r>
      <w:r w:rsidRPr="00E91901">
        <w:t>”</w:t>
      </w:r>
      <w:r w:rsidRPr="00E91901">
        <w:t>。这一举措得到了当地</w:t>
      </w:r>
      <w:r w:rsidRPr="00E91901">
        <w:t>Mazingira</w:t>
      </w:r>
      <w:r w:rsidRPr="00E91901">
        <w:t>研究所的支持。而且，国际人居联盟及其住房和土地权网络过去十年来一直在努力宣传</w:t>
      </w:r>
      <w:r w:rsidRPr="00E91901">
        <w:t>“</w:t>
      </w:r>
      <w:r w:rsidRPr="00E91901">
        <w:t>城市权</w:t>
      </w:r>
      <w:r w:rsidRPr="00E91901">
        <w:t>”</w:t>
      </w:r>
      <w:r w:rsidRPr="00E91901">
        <w:t>并为之拟订定义。</w:t>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八.</w:t>
      </w:r>
      <w:r w:rsidRPr="00E91901">
        <w:tab/>
        <w:t>民间社会在规划和执行促进在地方一级增进和保护人权的活动方面的作用</w:t>
      </w:r>
    </w:p>
    <w:p w:rsidR="00D9138F" w:rsidRPr="00D9138F" w:rsidRDefault="00D9138F" w:rsidP="00D9138F">
      <w:pPr>
        <w:pStyle w:val="SingleTxt"/>
        <w:spacing w:after="0" w:line="120" w:lineRule="exact"/>
        <w:rPr>
          <w:rFonts w:asciiTheme="majorBidi" w:hAnsiTheme="majorBidi" w:cstheme="majorBidi"/>
          <w:sz w:val="10"/>
          <w:szCs w:val="21"/>
        </w:rPr>
      </w:pPr>
    </w:p>
    <w:p w:rsidR="00D9138F" w:rsidRPr="00D9138F" w:rsidRDefault="00D9138F" w:rsidP="00D9138F">
      <w:pPr>
        <w:pStyle w:val="SingleTxt"/>
        <w:spacing w:after="0" w:line="120" w:lineRule="exact"/>
        <w:rPr>
          <w:rFonts w:asciiTheme="majorBidi" w:hAnsiTheme="majorBidi" w:cstheme="majorBidi"/>
          <w:sz w:val="10"/>
          <w:szCs w:val="21"/>
        </w:rPr>
      </w:pPr>
    </w:p>
    <w:p w:rsidR="00E91901" w:rsidRPr="00E91901" w:rsidRDefault="00E91901" w:rsidP="00D9138F">
      <w:pPr>
        <w:pStyle w:val="SingleTxt"/>
      </w:pPr>
      <w:r w:rsidRPr="00E91901">
        <w:t>51.</w:t>
      </w:r>
      <w:r w:rsidRPr="00E91901">
        <w:tab/>
      </w:r>
      <w:r w:rsidRPr="00E91901">
        <w:t>关于民间社会在规划和执行促进在地方一级增进和保护人权的活动方面的作用，对调查问卷做出回复的大部分国家都没有回答这一问题，或者仅给出了笼统的答案。然而，答卷中的例子提到了民间社会组织参与培训工作</w:t>
      </w:r>
      <w:r>
        <w:t>(</w:t>
      </w:r>
      <w:r w:rsidRPr="00E91901">
        <w:t>布隆迪</w:t>
      </w:r>
      <w:r>
        <w:t>)</w:t>
      </w:r>
      <w:r w:rsidRPr="00E91901">
        <w:t>。其他国家报告称，非政府组织行动活跃，但不一定是与政府合作</w:t>
      </w:r>
      <w:r>
        <w:t>(</w:t>
      </w:r>
      <w:r w:rsidRPr="00E91901">
        <w:t>格鲁吉亚、匈牙利、黎巴嫩、斯洛文尼亚和瑞士</w:t>
      </w:r>
      <w:r>
        <w:t>)</w:t>
      </w:r>
      <w:r w:rsidRPr="00E91901">
        <w:t>。</w:t>
      </w:r>
    </w:p>
    <w:p w:rsidR="00E91901" w:rsidRPr="00E91901" w:rsidRDefault="00E91901" w:rsidP="00D9138F">
      <w:pPr>
        <w:pStyle w:val="SingleTxt"/>
      </w:pPr>
      <w:r w:rsidRPr="00E91901">
        <w:t>52.</w:t>
      </w:r>
      <w:r w:rsidRPr="00E91901">
        <w:tab/>
      </w:r>
      <w:r w:rsidRPr="00E91901">
        <w:t>民间社会在决策中仍然要退居幕后，而不是作为伙伴参与决策。有报告称，非政府组织在一些国家的工作条件受到政府的限制，政府不准其接受资金，还有答卷者声称，非政府组织的言论自由权和结社权受到了大量侵犯。</w:t>
      </w:r>
    </w:p>
    <w:p w:rsidR="00E91901" w:rsidRPr="00E91901" w:rsidRDefault="00E91901" w:rsidP="00D9138F">
      <w:pPr>
        <w:pStyle w:val="SingleTxt"/>
      </w:pPr>
      <w:r w:rsidRPr="00E91901">
        <w:t>53.</w:t>
      </w:r>
      <w:r w:rsidRPr="00E91901">
        <w:tab/>
      </w:r>
      <w:r w:rsidRPr="00E91901">
        <w:t>大多数答卷者声明，他们增进人权的动机主要是希望对目睹和</w:t>
      </w:r>
      <w:r w:rsidRPr="00E91901">
        <w:t>/</w:t>
      </w:r>
      <w:r w:rsidRPr="00E91901">
        <w:t>或遭受的侵权行为和痛苦进行抗争。大韩民国光州市的人权城市模型，本着</w:t>
      </w:r>
      <w:r w:rsidRPr="00E91901">
        <w:t>5</w:t>
      </w:r>
      <w:r w:rsidRPr="00E91901">
        <w:t>月</w:t>
      </w:r>
      <w:r w:rsidRPr="00E91901">
        <w:t>18</w:t>
      </w:r>
      <w:r w:rsidRPr="00E91901">
        <w:t>日光州民主化运动的精神传播到其他城市。马里兰州乔治王子县</w:t>
      </w:r>
      <w:r>
        <w:t>(</w:t>
      </w:r>
      <w:r w:rsidRPr="00E91901">
        <w:t>美利坚合众国</w:t>
      </w:r>
      <w:r>
        <w:t>)</w:t>
      </w:r>
      <w:r w:rsidRPr="00E91901">
        <w:t>的答卷提到，他们增进人权的根本原因在于该县曾为蓄奴县的经历。</w:t>
      </w:r>
      <w:r w:rsidRPr="00D9138F">
        <w:rPr>
          <w:rStyle w:val="a3"/>
          <w:rFonts w:asciiTheme="majorBidi" w:hAnsiTheme="majorBidi" w:cstheme="majorBidi"/>
          <w:szCs w:val="21"/>
          <w:lang w:eastAsia="en-GB"/>
        </w:rPr>
        <w:footnoteReference w:id="23"/>
      </w:r>
      <w:r w:rsidRPr="00E91901">
        <w:t>许多答卷者指出侵权行为持续发生，引发侵权行为的原因包括：经济不稳定和金融危机；腐败和武装冲突；独裁政权；基于性别、种族和肤色的歧视。</w:t>
      </w:r>
    </w:p>
    <w:p w:rsidR="00E91901" w:rsidRPr="00E91901" w:rsidRDefault="00E91901" w:rsidP="00D9138F">
      <w:pPr>
        <w:pStyle w:val="SingleTxt"/>
      </w:pPr>
      <w:r w:rsidRPr="00E91901">
        <w:t>54.</w:t>
      </w:r>
      <w:r w:rsidRPr="00E91901">
        <w:tab/>
      </w:r>
      <w:r w:rsidRPr="00E91901">
        <w:t>土耳其的盖齐公园抗议活动过后，民间社会发挥了越来越重要的作用，组织会议，编写报告说明特定群体对地方政府当局的期望。积极的例子包括：</w:t>
      </w:r>
      <w:r w:rsidRPr="00E91901">
        <w:t>SpoD</w:t>
      </w:r>
      <w:r>
        <w:t>(</w:t>
      </w:r>
      <w:r w:rsidRPr="00E91901">
        <w:t>全国性的男女同性恋、双性恋、变形者和两性人非政府组织</w:t>
      </w:r>
      <w:r>
        <w:t>)</w:t>
      </w:r>
      <w:r w:rsidRPr="00E91901">
        <w:t>实行的举措、两项通过互联网发起的社会运动、妇女候选人支助和培训协会</w:t>
      </w:r>
      <w:r>
        <w:t>(</w:t>
      </w:r>
      <w:r w:rsidRPr="00E91901">
        <w:t>KA.DER</w:t>
      </w:r>
      <w:r>
        <w:t>)</w:t>
      </w:r>
      <w:r w:rsidRPr="00E91901">
        <w:t>、人民城市运动、</w:t>
      </w:r>
      <w:r w:rsidRPr="00E91901">
        <w:lastRenderedPageBreak/>
        <w:t>IULA-EMME</w:t>
      </w:r>
      <w:r>
        <w:t>(</w:t>
      </w:r>
      <w:r w:rsidRPr="00E91901">
        <w:t>地方当局国际联合会</w:t>
      </w:r>
      <w:r>
        <w:t>)</w:t>
      </w:r>
      <w:r w:rsidRPr="00E91901">
        <w:t>、东地中海和中东区域分会</w:t>
      </w:r>
      <w:r>
        <w:t>(</w:t>
      </w:r>
      <w:r w:rsidRPr="00E91901">
        <w:t>现称</w:t>
      </w:r>
      <w:r w:rsidRPr="00E91901">
        <w:t>UCLG-MEWA</w:t>
      </w:r>
      <w:r>
        <w:t>)</w:t>
      </w:r>
      <w:r w:rsidRPr="00E91901">
        <w:t>。</w:t>
      </w:r>
      <w:r w:rsidRPr="00D9138F">
        <w:rPr>
          <w:rStyle w:val="a3"/>
          <w:rFonts w:asciiTheme="majorBidi" w:hAnsiTheme="majorBidi" w:cstheme="majorBidi"/>
          <w:szCs w:val="21"/>
          <w:lang w:eastAsia="en-GB"/>
        </w:rPr>
        <w:footnoteReference w:id="24"/>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九.</w:t>
      </w:r>
      <w:r w:rsidRPr="00E91901">
        <w:tab/>
        <w:t>最佳做法</w:t>
      </w:r>
    </w:p>
    <w:p w:rsidR="00D9138F" w:rsidRPr="00D9138F" w:rsidRDefault="00D9138F" w:rsidP="00D9138F">
      <w:pPr>
        <w:pStyle w:val="SingleTxt"/>
        <w:spacing w:after="0" w:line="120" w:lineRule="exact"/>
        <w:rPr>
          <w:rFonts w:asciiTheme="majorBidi" w:hAnsiTheme="majorBidi" w:cstheme="majorBidi"/>
          <w:sz w:val="10"/>
          <w:szCs w:val="21"/>
        </w:rPr>
      </w:pPr>
    </w:p>
    <w:p w:rsidR="00D9138F" w:rsidRPr="00D9138F" w:rsidRDefault="00D9138F" w:rsidP="00D9138F">
      <w:pPr>
        <w:pStyle w:val="SingleTxt"/>
        <w:spacing w:after="0" w:line="120" w:lineRule="exact"/>
        <w:rPr>
          <w:rFonts w:asciiTheme="majorBidi" w:hAnsiTheme="majorBidi" w:cstheme="majorBidi"/>
          <w:sz w:val="10"/>
          <w:szCs w:val="21"/>
        </w:rPr>
      </w:pPr>
    </w:p>
    <w:p w:rsidR="00E91901" w:rsidRPr="00E91901" w:rsidRDefault="00E91901" w:rsidP="00D9138F">
      <w:pPr>
        <w:pStyle w:val="SingleTxt"/>
      </w:pPr>
      <w:r w:rsidRPr="00E91901">
        <w:t>55.</w:t>
      </w:r>
      <w:r w:rsidRPr="00E91901">
        <w:tab/>
      </w:r>
      <w:r w:rsidRPr="00E91901">
        <w:t>对调查问卷收到的回复所作分析表明，各国民间社会在推动地方就人权领域采取行动方面发挥着重要作用。例如，匈牙利的非政府组织可依法参与市级条例与方案的规划和执行。在布隆迪，民间社会积极参与人权培训活动，执行宣传和提高认识方案。印度的民间社会代表一直推动地方政府发挥更大的作用，有效落实当地被边缘化公民的权利。在瑞士，非政府组织可自行提出各种方案，例如打击种族主义的方案。卢森堡的全国外籍人士理事会是民间社会参与增进和保护人权的范例。该理事会由民间社会代表组成，是一家研究外籍人士的处境及融入情况的咨询机构。理事会就政府的计划提出建议并向政府献计献策。尽管如此，但还应指出，有些国家的民间社会在地方人权保护工作方面没有发挥任何作用。</w:t>
      </w:r>
    </w:p>
    <w:p w:rsidR="00E91901" w:rsidRPr="00E91901" w:rsidRDefault="00E91901" w:rsidP="00D9138F">
      <w:pPr>
        <w:pStyle w:val="SingleTxt"/>
      </w:pPr>
      <w:r w:rsidRPr="00E91901">
        <w:t>56.</w:t>
      </w:r>
      <w:r w:rsidRPr="00E91901">
        <w:tab/>
      </w:r>
      <w:r w:rsidRPr="00E91901">
        <w:t>有些举措提高了地方政府和当局开展人权工作的能力：布隆迪实行专项政策开展人权培训；墨西哥为公务员举行说明会，介绍新的宪法原则，包括人权原则；格鲁吉亚的能力建设活动直接面向公民，而非地方政府；澳大利亚地方政府协会和澳大利亚国家人权委员会合作在地方开展人权工作。</w:t>
      </w:r>
    </w:p>
    <w:p w:rsidR="00E91901" w:rsidRPr="00E91901" w:rsidRDefault="00E91901" w:rsidP="00D9138F">
      <w:pPr>
        <w:pStyle w:val="SingleTxt"/>
      </w:pPr>
      <w:r w:rsidRPr="00E91901">
        <w:t>57.</w:t>
      </w:r>
      <w:r w:rsidRPr="00E91901">
        <w:tab/>
      </w:r>
      <w:r w:rsidRPr="00E91901">
        <w:t>匈牙利要求地方政府分析本地区处境不利的群体的生活条件，促进他们享有平等机会。卢森堡设立了社会融合问题咨询委员会，这些委员会向地方政府提出建议。布隆迪指出，地方政府与联合国系统开展合作是最佳做法。卢森堡促进公共服务如移民融入服务中的多种语言和多元文化。</w:t>
      </w:r>
    </w:p>
    <w:p w:rsidR="00E91901" w:rsidRPr="00E91901" w:rsidRDefault="00E91901" w:rsidP="00D9138F">
      <w:pPr>
        <w:pStyle w:val="SingleTxt"/>
      </w:pPr>
      <w:r w:rsidRPr="00E91901">
        <w:t>58.</w:t>
      </w:r>
      <w:r w:rsidRPr="00E91901">
        <w:tab/>
      </w:r>
      <w:r w:rsidRPr="00E91901">
        <w:t>澳大利亚维多利亚平等机会和人权委员会为地方政府论坛提供便利，并且为地方政府开发了工具箱。该委员会将应邀审查地方政府的方案和做法，以确保其符合《维多利亚人权和责任宪章》，委员会还将为地方议会提供培训。</w:t>
      </w:r>
      <w:r w:rsidRPr="00D9138F">
        <w:rPr>
          <w:rStyle w:val="a3"/>
          <w:rFonts w:asciiTheme="majorBidi" w:hAnsiTheme="majorBidi" w:cstheme="majorBidi"/>
          <w:szCs w:val="21"/>
          <w:lang w:eastAsia="en-GB"/>
        </w:rPr>
        <w:footnoteReference w:id="25"/>
      </w:r>
    </w:p>
    <w:p w:rsidR="00E91901" w:rsidRPr="00E91901" w:rsidRDefault="00E91901" w:rsidP="00D9138F">
      <w:pPr>
        <w:pStyle w:val="SingleTxt"/>
      </w:pPr>
      <w:r w:rsidRPr="00E91901">
        <w:t>59.</w:t>
      </w:r>
      <w:r w:rsidRPr="00E91901">
        <w:tab/>
        <w:t>1980</w:t>
      </w:r>
      <w:r w:rsidRPr="00E91901">
        <w:t>年，日本堺市政府承认人权神圣不可侵犯，并且申明将动员各方力量成为</w:t>
      </w:r>
      <w:r w:rsidRPr="00E91901">
        <w:t>“</w:t>
      </w:r>
      <w:r w:rsidRPr="00E91901">
        <w:t>保护人权的城市</w:t>
      </w:r>
      <w:r w:rsidRPr="00E91901">
        <w:t>”</w:t>
      </w:r>
      <w:r w:rsidRPr="00E91901">
        <w:t>。堺市随之提出了立足于人权原则的政策，后来又与其他地方政府一道制订了自己的教育和启蒙计划</w:t>
      </w:r>
      <w:r w:rsidR="00D9138F">
        <w:rPr>
          <w:rFonts w:hint="eastAsia"/>
          <w:spacing w:val="-50"/>
        </w:rPr>
        <w:t>―</w:t>
      </w:r>
      <w:r w:rsidR="00D9138F">
        <w:rPr>
          <w:rFonts w:hint="eastAsia"/>
        </w:rPr>
        <w:t>―</w:t>
      </w:r>
      <w:r w:rsidRPr="00E91901">
        <w:t>《堺市联合国人权教育十年行动计划》。</w:t>
      </w:r>
      <w:r w:rsidRPr="00E91901">
        <w:t>2007</w:t>
      </w:r>
      <w:r w:rsidRPr="00E91901">
        <w:t>年，堺市以此前的工作为基础，制订了《建设尊重和平与人权的社区市政令》和《堺市人权政策宣传计划》，自此一直在全面系统地推动人权政策。</w:t>
      </w:r>
    </w:p>
    <w:p w:rsidR="004F4993" w:rsidRDefault="004F4993">
      <w:pPr>
        <w:spacing w:line="240" w:lineRule="auto"/>
        <w:jc w:val="left"/>
      </w:pPr>
      <w:r>
        <w:br w:type="page"/>
      </w:r>
    </w:p>
    <w:p w:rsidR="00E91901" w:rsidRPr="00E91901" w:rsidRDefault="00E91901" w:rsidP="00D9138F">
      <w:pPr>
        <w:pStyle w:val="SingleTxt"/>
      </w:pPr>
      <w:r w:rsidRPr="00E91901">
        <w:lastRenderedPageBreak/>
        <w:t>60.</w:t>
      </w:r>
      <w:r w:rsidRPr="00E91901">
        <w:tab/>
      </w:r>
      <w:r w:rsidRPr="00E91901">
        <w:t>始于</w:t>
      </w:r>
      <w:r w:rsidRPr="00E91901">
        <w:t>1998</w:t>
      </w:r>
      <w:r w:rsidRPr="00E91901">
        <w:t>年的</w:t>
      </w:r>
      <w:r w:rsidRPr="00E91901">
        <w:t>“</w:t>
      </w:r>
      <w:r w:rsidRPr="00E91901">
        <w:t>人权教育人民运动</w:t>
      </w:r>
      <w:r w:rsidRPr="00E91901">
        <w:t>”</w:t>
      </w:r>
      <w:r w:rsidRPr="00E91901">
        <w:t>方案，内容包括建设</w:t>
      </w:r>
      <w:r w:rsidRPr="00E91901">
        <w:t>30</w:t>
      </w:r>
      <w:r w:rsidRPr="00E91901">
        <w:t>个人权城市，在</w:t>
      </w:r>
      <w:r w:rsidRPr="00E91901">
        <w:t>4</w:t>
      </w:r>
      <w:r w:rsidRPr="00E91901">
        <w:t>个区域人权学习机构培训</w:t>
      </w:r>
      <w:r w:rsidRPr="00E91901">
        <w:t>500</w:t>
      </w:r>
      <w:r w:rsidRPr="00E91901">
        <w:t>名年轻的社区领袖。到</w:t>
      </w:r>
      <w:r w:rsidRPr="00E91901">
        <w:t>2007</w:t>
      </w:r>
      <w:r w:rsidRPr="00E91901">
        <w:t>年为止，人权教育人民运动方案已经培训了</w:t>
      </w:r>
      <w:r w:rsidRPr="00E91901">
        <w:t>100</w:t>
      </w:r>
      <w:r w:rsidRPr="00E91901">
        <w:t>名社区领袖，还有</w:t>
      </w:r>
      <w:r w:rsidRPr="00E91901">
        <w:t>17</w:t>
      </w:r>
      <w:r w:rsidRPr="00E91901">
        <w:t>个人权城市正在建设中。</w:t>
      </w:r>
      <w:r w:rsidRPr="00D9138F">
        <w:rPr>
          <w:rStyle w:val="a3"/>
          <w:rFonts w:asciiTheme="majorBidi" w:hAnsiTheme="majorBidi" w:cstheme="majorBidi"/>
          <w:szCs w:val="21"/>
          <w:lang w:eastAsia="en-GB"/>
        </w:rPr>
        <w:footnoteReference w:id="26"/>
      </w:r>
    </w:p>
    <w:p w:rsidR="00E91901" w:rsidRPr="00E91901" w:rsidRDefault="00E91901" w:rsidP="00D9138F">
      <w:pPr>
        <w:pStyle w:val="SingleTxt"/>
      </w:pPr>
      <w:r w:rsidRPr="00E91901">
        <w:t>61.</w:t>
      </w:r>
      <w:r w:rsidRPr="00E91901">
        <w:tab/>
      </w:r>
      <w:r w:rsidRPr="00E91901">
        <w:t>大韩民国的几个地方政府和城市一直在国内和国际率先开展人权城市运动。</w:t>
      </w:r>
      <w:r w:rsidRPr="00E91901">
        <w:t>2010</w:t>
      </w:r>
      <w:r w:rsidRPr="00E91901">
        <w:t>年，光州市成为韩国乃至亚洲首个公开宣布的人权城市，拥有完整的人权方案，包括《人权宪章》、载有人权指标的人权行动计划、监察员，等等。其他地方政府，例如城北区和忠清南道，也采用了人权城市框架，以此应对本地作为大都市内的区级市和城乡结合地区面临的挑战。</w:t>
      </w:r>
    </w:p>
    <w:p w:rsidR="00E91901" w:rsidRPr="00E91901" w:rsidRDefault="00E91901" w:rsidP="00D9138F">
      <w:pPr>
        <w:pStyle w:val="SingleTxt"/>
      </w:pPr>
      <w:r w:rsidRPr="00E91901">
        <w:t>62.</w:t>
      </w:r>
      <w:r w:rsidRPr="00E91901">
        <w:tab/>
      </w:r>
      <w:r w:rsidRPr="00E91901">
        <w:t>大韩民国首都首尔也已宣布为人权城市，并于</w:t>
      </w:r>
      <w:r w:rsidRPr="00E91901">
        <w:t>2012</w:t>
      </w:r>
      <w:r w:rsidRPr="00E91901">
        <w:t>年通过了市政法令，保护和增进本市公民的人权。法令在市政府内设立了人权司、制订了人权政策、设立了一名人权监察员，还规定了具体措施和指南，以保障适足住房，保护公民免遭强行驱逐。其他人权法令包括《增进残疾人人权法令》和《保护和增进青少年人权法令》。人权机制包括：负责开展人权教育方案并与民间社会建立合作的人权司、监察员、首尔人权委员会和人权案件公民陪审团。人权司执行的主要人权政策包括将人权纳入全面行政工作的《首尔人权行动计划》。通过对公务员开展人权教育及支助人权组织和人权活动，增强了社会中的人权意识。</w:t>
      </w:r>
    </w:p>
    <w:p w:rsidR="00E91901" w:rsidRPr="00E91901" w:rsidRDefault="00E91901" w:rsidP="00D9138F">
      <w:pPr>
        <w:pStyle w:val="SingleTxt"/>
      </w:pPr>
      <w:r w:rsidRPr="00E91901">
        <w:t>63.</w:t>
      </w:r>
      <w:r w:rsidRPr="00E91901">
        <w:tab/>
      </w:r>
      <w:r w:rsidRPr="00E91901">
        <w:t>类似于巴西开创性的《城市规约》</w:t>
      </w:r>
      <w:r>
        <w:t>(</w:t>
      </w:r>
      <w:r w:rsidRPr="00E91901">
        <w:t>2001</w:t>
      </w:r>
      <w:r w:rsidRPr="00E91901">
        <w:t>年</w:t>
      </w:r>
      <w:r>
        <w:t>)</w:t>
      </w:r>
      <w:r w:rsidRPr="00E91901">
        <w:t>，《墨西哥市宪章》也从某些个人权利的集体层面</w:t>
      </w:r>
      <w:r>
        <w:t>(</w:t>
      </w:r>
      <w:r w:rsidRPr="00E91901">
        <w:t>如财产的社会功能</w:t>
      </w:r>
      <w:r>
        <w:t>)</w:t>
      </w:r>
      <w:r w:rsidRPr="00E91901">
        <w:t>出发，确立了新的权利。这是城市所有权的关键要素，会带来根本性的城市改革和对城市土地的再分配和管理，以构建更加公正、更加包容的城市。《墨西哥市宪章》还纳入了由列菲弗尔最早提出来的至少两项关于城市所有权的重要原则：</w:t>
      </w:r>
      <w:r>
        <w:t>(</w:t>
      </w:r>
      <w:r w:rsidRPr="00E91901">
        <w:t>a</w:t>
      </w:r>
      <w:r>
        <w:t>)</w:t>
      </w:r>
      <w:r w:rsidRPr="00E91901">
        <w:t>参与影响城市居民的决策和创建城市空间的权利；</w:t>
      </w:r>
      <w:r>
        <w:t>(</w:t>
      </w:r>
      <w:r w:rsidRPr="00E91901">
        <w:t>b</w:t>
      </w:r>
      <w:r>
        <w:t>)</w:t>
      </w:r>
      <w:r w:rsidRPr="00E91901">
        <w:t>正确使用城市空间，突出其使用价值而非交换价值的权利。值得注意的是，这些内容包括法律权利、社会诉求、政治诉求和物质条件。</w:t>
      </w:r>
    </w:p>
    <w:p w:rsidR="00E91901" w:rsidRPr="004F4993" w:rsidRDefault="00E91901" w:rsidP="00D9138F">
      <w:pPr>
        <w:pStyle w:val="SingleTxt"/>
        <w:rPr>
          <w:spacing w:val="-4"/>
        </w:rPr>
      </w:pPr>
      <w:r w:rsidRPr="00E91901">
        <w:t>64.</w:t>
      </w:r>
      <w:r w:rsidRPr="00E91901">
        <w:tab/>
      </w:r>
      <w:r w:rsidRPr="004F4993">
        <w:rPr>
          <w:spacing w:val="-4"/>
        </w:rPr>
        <w:t>德国促进民主和容忍极端主义和暴力联盟集中力量推动德国各地区的城市采用成功的方案和可能的解决办法。在某些城市，区域政府或地方政府设立了地方平等机构以及区域委员会、人权中心、平等机构及其他机构，这些机构受到法律保护。</w:t>
      </w:r>
      <w:r w:rsidRPr="004F4993">
        <w:rPr>
          <w:rStyle w:val="a3"/>
          <w:rFonts w:asciiTheme="majorBidi" w:hAnsiTheme="majorBidi" w:cstheme="majorBidi"/>
          <w:spacing w:val="-4"/>
          <w:szCs w:val="21"/>
          <w:lang w:val="en-CA" w:eastAsia="en-GB"/>
        </w:rPr>
        <w:footnoteReference w:id="27"/>
      </w:r>
      <w:r w:rsidRPr="004F4993">
        <w:rPr>
          <w:spacing w:val="-4"/>
          <w:vertAlign w:val="superscript"/>
        </w:rPr>
        <w:t xml:space="preserve"> </w:t>
      </w:r>
      <w:r w:rsidRPr="004F4993">
        <w:rPr>
          <w:spacing w:val="-4"/>
        </w:rPr>
        <w:t>格拉茨市</w:t>
      </w:r>
      <w:r w:rsidRPr="004F4993">
        <w:rPr>
          <w:spacing w:val="-4"/>
        </w:rPr>
        <w:t>(</w:t>
      </w:r>
      <w:r w:rsidRPr="004F4993">
        <w:rPr>
          <w:spacing w:val="-4"/>
        </w:rPr>
        <w:t>奥地利</w:t>
      </w:r>
      <w:r w:rsidRPr="004F4993">
        <w:rPr>
          <w:spacing w:val="-4"/>
        </w:rPr>
        <w:t>)</w:t>
      </w:r>
      <w:r w:rsidRPr="004F4993">
        <w:rPr>
          <w:spacing w:val="-4"/>
        </w:rPr>
        <w:t>的</w:t>
      </w:r>
      <w:r w:rsidRPr="004F4993">
        <w:rPr>
          <w:spacing w:val="-4"/>
        </w:rPr>
        <w:t>“</w:t>
      </w:r>
      <w:r w:rsidRPr="004F4993">
        <w:rPr>
          <w:spacing w:val="-4"/>
        </w:rPr>
        <w:t>市人权理事会</w:t>
      </w:r>
      <w:r w:rsidRPr="004F4993">
        <w:rPr>
          <w:spacing w:val="-4"/>
        </w:rPr>
        <w:t>”</w:t>
      </w:r>
      <w:r w:rsidRPr="004F4993">
        <w:rPr>
          <w:spacing w:val="-4"/>
        </w:rPr>
        <w:t>便是一例。</w:t>
      </w:r>
      <w:r w:rsidRPr="004F4993">
        <w:rPr>
          <w:rStyle w:val="a3"/>
          <w:rFonts w:asciiTheme="majorBidi" w:hAnsiTheme="majorBidi" w:cstheme="majorBidi"/>
          <w:spacing w:val="-4"/>
          <w:szCs w:val="21"/>
          <w:lang w:eastAsia="en-GB"/>
        </w:rPr>
        <w:footnoteReference w:id="28"/>
      </w:r>
    </w:p>
    <w:p w:rsidR="00E91901" w:rsidRPr="00E91901" w:rsidRDefault="00E91901" w:rsidP="00D9138F">
      <w:pPr>
        <w:pStyle w:val="SingleTxt"/>
      </w:pPr>
      <w:r w:rsidRPr="00E91901">
        <w:t>65.</w:t>
      </w:r>
      <w:r w:rsidRPr="00E91901">
        <w:tab/>
      </w:r>
      <w:r w:rsidRPr="00E91901">
        <w:t>斯洛文尼亚《地方政府法》</w:t>
      </w:r>
      <w:r>
        <w:t>(</w:t>
      </w:r>
      <w:r w:rsidRPr="00E91901">
        <w:t>第</w:t>
      </w:r>
      <w:r w:rsidRPr="00E91901">
        <w:t>39</w:t>
      </w:r>
      <w:r w:rsidRPr="00E91901">
        <w:t>条</w:t>
      </w:r>
      <w:r>
        <w:t>)</w:t>
      </w:r>
      <w:r w:rsidRPr="00E91901">
        <w:t>规定，少数民族和罗姆人有权在市议会得到正式代表，其他城市可以设立市级机构处理人权问题。解决罗姆人定居问题的方案由国家管理，资金来自国家预算拨款。</w:t>
      </w:r>
    </w:p>
    <w:p w:rsidR="00E91901" w:rsidRPr="00D9138F" w:rsidRDefault="00E91901" w:rsidP="00D9138F">
      <w:pPr>
        <w:pStyle w:val="SingleTxt"/>
        <w:rPr>
          <w:spacing w:val="4"/>
        </w:rPr>
      </w:pPr>
      <w:r w:rsidRPr="00E91901">
        <w:lastRenderedPageBreak/>
        <w:t>66.</w:t>
      </w:r>
      <w:r w:rsidRPr="00E91901">
        <w:tab/>
      </w:r>
      <w:r w:rsidRPr="00D9138F">
        <w:rPr>
          <w:spacing w:val="4"/>
        </w:rPr>
        <w:t>美国采取</w:t>
      </w:r>
      <w:r w:rsidRPr="00D9138F">
        <w:rPr>
          <w:spacing w:val="4"/>
        </w:rPr>
        <w:t>“</w:t>
      </w:r>
      <w:r w:rsidRPr="00D9138F">
        <w:rPr>
          <w:spacing w:val="4"/>
        </w:rPr>
        <w:t>全面了解人权：国家和地方政府如何能够利用人权推动地方政策</w:t>
      </w:r>
      <w:r w:rsidRPr="00D9138F">
        <w:rPr>
          <w:spacing w:val="4"/>
        </w:rPr>
        <w:t xml:space="preserve">” </w:t>
      </w:r>
      <w:r w:rsidRPr="00D9138F">
        <w:rPr>
          <w:spacing w:val="4"/>
        </w:rPr>
        <w:t>等举措，将人权纳入地方行政工作。这包括：做出宏伟的人权承诺、提高人权意识、将地方关切的问题表述为人权问题、报告地方履行人权条约的情况、开展立足于人权的审计和影响评估、促进参与式治理。联邦政府在州和地方两级尊重和保障人权方面的作用包括：促进实施更多的报告、监测和教育举措。美国哥伦比亚法学院人权研究所致力于在国内增进人权和确保美国遵守国际人权标准。该方案与各州和地方机构直接合作，推动加强联邦、州和地方之间的协调，在美国国内增进和保护人权。然而，各州和地方做出的努力随意而又缺乏系统性，极易因预算削减而被取消。</w:t>
      </w:r>
      <w:r w:rsidRPr="00D9138F">
        <w:rPr>
          <w:rStyle w:val="a3"/>
          <w:rFonts w:asciiTheme="majorBidi" w:hAnsiTheme="majorBidi" w:cstheme="majorBidi"/>
          <w:spacing w:val="4"/>
          <w:szCs w:val="21"/>
          <w:lang w:eastAsia="en-GB"/>
        </w:rPr>
        <w:footnoteReference w:id="29"/>
      </w:r>
    </w:p>
    <w:p w:rsidR="00E91901" w:rsidRPr="00D9138F" w:rsidRDefault="00E91901" w:rsidP="00D9138F">
      <w:pPr>
        <w:pStyle w:val="SingleTxt"/>
        <w:rPr>
          <w:spacing w:val="4"/>
        </w:rPr>
      </w:pPr>
      <w:r w:rsidRPr="00D9138F">
        <w:rPr>
          <w:spacing w:val="4"/>
        </w:rPr>
        <w:t>67.</w:t>
      </w:r>
      <w:r w:rsidRPr="00D9138F">
        <w:rPr>
          <w:spacing w:val="4"/>
        </w:rPr>
        <w:tab/>
      </w:r>
      <w:r w:rsidRPr="00D9138F">
        <w:rPr>
          <w:spacing w:val="4"/>
        </w:rPr>
        <w:t>丹麦启动了</w:t>
      </w:r>
      <w:r w:rsidRPr="00D9138F">
        <w:rPr>
          <w:spacing w:val="4"/>
        </w:rPr>
        <w:t>“</w:t>
      </w:r>
      <w:r w:rsidRPr="00D9138F">
        <w:rPr>
          <w:spacing w:val="4"/>
        </w:rPr>
        <w:t>市政府和民间社会</w:t>
      </w:r>
      <w:r w:rsidRPr="00D9138F">
        <w:rPr>
          <w:spacing w:val="4"/>
        </w:rPr>
        <w:t>”</w:t>
      </w:r>
      <w:r w:rsidRPr="00D9138F">
        <w:rPr>
          <w:spacing w:val="4"/>
        </w:rPr>
        <w:t>发展计划</w:t>
      </w:r>
      <w:r w:rsidRPr="00D9138F">
        <w:rPr>
          <w:spacing w:val="4"/>
        </w:rPr>
        <w:t>(2008</w:t>
      </w:r>
      <w:r w:rsidRPr="00D9138F">
        <w:rPr>
          <w:spacing w:val="4"/>
        </w:rPr>
        <w:t>年</w:t>
      </w:r>
      <w:r w:rsidRPr="00D9138F">
        <w:rPr>
          <w:spacing w:val="4"/>
        </w:rPr>
        <w:t>)</w:t>
      </w:r>
      <w:r w:rsidRPr="00D9138F">
        <w:rPr>
          <w:spacing w:val="4"/>
        </w:rPr>
        <w:t>，以检验市政府与民间社会共担责任这种新方式能够在何种程度上促进地方政府提高完成任务的质量。还有潜力有待开发：可以在新的领域加强密切互动，也可以让新的志愿者团体加入进来。</w:t>
      </w:r>
      <w:r w:rsidRPr="00D9138F">
        <w:rPr>
          <w:rStyle w:val="a3"/>
          <w:rFonts w:asciiTheme="majorBidi" w:hAnsiTheme="majorBidi" w:cstheme="majorBidi"/>
          <w:spacing w:val="4"/>
          <w:szCs w:val="21"/>
          <w:lang w:eastAsia="en-GB"/>
        </w:rPr>
        <w:footnoteReference w:id="30"/>
      </w:r>
    </w:p>
    <w:p w:rsidR="00E91901" w:rsidRPr="00E91901" w:rsidRDefault="00E91901" w:rsidP="00D9138F">
      <w:pPr>
        <w:pStyle w:val="SingleTxt"/>
      </w:pPr>
      <w:r w:rsidRPr="00E91901">
        <w:t>68.</w:t>
      </w:r>
      <w:r w:rsidRPr="00E91901">
        <w:tab/>
      </w:r>
      <w:r w:rsidRPr="00E91901">
        <w:t>格拉茨是欧洲城市反种族主义联盟执行委员会、</w:t>
      </w:r>
      <w:r w:rsidRPr="00E91901">
        <w:t>“</w:t>
      </w:r>
      <w:r w:rsidRPr="00E91901">
        <w:t>欧洲获奖城市论坛</w:t>
      </w:r>
      <w:r w:rsidRPr="00E91901">
        <w:t>”</w:t>
      </w:r>
      <w:r w:rsidRPr="00E91901">
        <w:t>和</w:t>
      </w:r>
      <w:r w:rsidRPr="00E91901">
        <w:t>“</w:t>
      </w:r>
      <w:r w:rsidRPr="00E91901">
        <w:t>关爱儿童的城市</w:t>
      </w:r>
      <w:r w:rsidRPr="00E91901">
        <w:t>”</w:t>
      </w:r>
      <w:r w:rsidRPr="00E91901">
        <w:t>城市联盟的成员，而且是</w:t>
      </w:r>
      <w:r w:rsidRPr="00E91901">
        <w:t>2003</w:t>
      </w:r>
      <w:r w:rsidRPr="00E91901">
        <w:t>年欧洲文化之都。</w:t>
      </w:r>
      <w:r w:rsidRPr="00E91901">
        <w:t>2009</w:t>
      </w:r>
      <w:r w:rsidRPr="00E91901">
        <w:t>年</w:t>
      </w:r>
      <w:r w:rsidRPr="00E91901">
        <w:t>11</w:t>
      </w:r>
      <w:r w:rsidRPr="00E91901">
        <w:t>月，格拉茨请伙伴城市交流有关打击种族主义、促进移民融入的成功办法。格拉茨与其他城市和非政府组织联合举行了打击种族主义和反歧视的活动。</w:t>
      </w:r>
    </w:p>
    <w:p w:rsidR="00E91901" w:rsidRPr="00E91901" w:rsidRDefault="00E91901" w:rsidP="00E91901">
      <w:pPr>
        <w:pStyle w:val="SingleTxt"/>
        <w:rPr>
          <w:rFonts w:asciiTheme="majorBidi" w:hAnsiTheme="majorBidi" w:cstheme="majorBidi"/>
          <w:szCs w:val="21"/>
        </w:rPr>
      </w:pPr>
      <w:r w:rsidRPr="00E91901">
        <w:rPr>
          <w:rFonts w:asciiTheme="majorBidi" w:hAnsiTheme="majorBidi" w:cstheme="majorBidi"/>
          <w:szCs w:val="21"/>
        </w:rPr>
        <w:t>69.</w:t>
      </w:r>
      <w:r w:rsidRPr="00E91901">
        <w:rPr>
          <w:rFonts w:asciiTheme="majorBidi" w:hAnsiTheme="majorBidi" w:cstheme="majorBidi"/>
          <w:szCs w:val="21"/>
        </w:rPr>
        <w:tab/>
      </w:r>
      <w:r w:rsidRPr="00E91901">
        <w:rPr>
          <w:rFonts w:asciiTheme="majorBidi" w:hAnsiTheme="majorBidi" w:cstheme="majorBidi"/>
          <w:szCs w:val="21"/>
        </w:rPr>
        <w:t>市议会通过</w:t>
      </w:r>
      <w:r w:rsidRPr="00E91901">
        <w:rPr>
          <w:rFonts w:asciiTheme="majorBidi" w:hAnsiTheme="majorBidi" w:cstheme="majorBidi"/>
          <w:szCs w:val="21"/>
        </w:rPr>
        <w:t>“</w:t>
      </w:r>
      <w:r w:rsidRPr="00E91901">
        <w:rPr>
          <w:rFonts w:asciiTheme="majorBidi" w:hAnsiTheme="majorBidi" w:cstheme="majorBidi"/>
          <w:szCs w:val="21"/>
        </w:rPr>
        <w:t>麦德林保护人权</w:t>
      </w:r>
      <w:r w:rsidRPr="00E91901">
        <w:rPr>
          <w:rFonts w:asciiTheme="majorBidi" w:hAnsiTheme="majorBidi" w:cstheme="majorBidi"/>
          <w:szCs w:val="21"/>
        </w:rPr>
        <w:t>”</w:t>
      </w:r>
      <w:r w:rsidRPr="00E91901">
        <w:rPr>
          <w:rFonts w:asciiTheme="majorBidi" w:hAnsiTheme="majorBidi" w:cstheme="majorBidi"/>
          <w:szCs w:val="21"/>
        </w:rPr>
        <w:t>方案，努力确保该市能够全面保护、承认、恢复和补救人权。负责落实这一目标的机构是人权分部，该机构由包括人权股在内的三个单位组成，人权股的活动和一些方案由合作方确定。人权股有义务与各类国家机关、社会组织和非政府组织协调行动。股内设有一个市人权信息系统，包含收集、处理和分析与人权和国际人道主义法有关的信息的工具。</w:t>
      </w:r>
    </w:p>
    <w:p w:rsidR="00E91901" w:rsidRPr="00E91901" w:rsidRDefault="00E91901" w:rsidP="00D9138F">
      <w:pPr>
        <w:pStyle w:val="SingleTxt"/>
      </w:pPr>
      <w:r w:rsidRPr="00E91901">
        <w:t>70.</w:t>
      </w:r>
      <w:r w:rsidRPr="00E91901">
        <w:tab/>
      </w:r>
      <w:r w:rsidRPr="00E91901">
        <w:t>旧金山市宪章修正案要求妇女地位委员会每两年对各市政委员会和董事会进行一次性别分析。</w:t>
      </w:r>
      <w:r w:rsidRPr="00E91901">
        <w:t>“</w:t>
      </w:r>
      <w:r w:rsidRPr="00E91901">
        <w:t>旧金山性别平等原则倡议</w:t>
      </w:r>
      <w:r w:rsidRPr="00E91901">
        <w:t>”</w:t>
      </w:r>
      <w:r w:rsidRPr="00E91901">
        <w:t>方案帮助全球企业实现性别平等，通过切实执行该举措提高工作场所的生产力。</w:t>
      </w:r>
      <w:r w:rsidRPr="00E91901">
        <w:t>“</w:t>
      </w:r>
      <w:r w:rsidRPr="00E91901">
        <w:t>预防和干预暴力侵害妇女行为补助金方案</w:t>
      </w:r>
      <w:r w:rsidRPr="00E91901">
        <w:t>”</w:t>
      </w:r>
      <w:r w:rsidRPr="00E91901">
        <w:t>处理旧金山各社区发生的家庭暴力、性攻击和贩运人口行为。</w:t>
      </w:r>
      <w:r w:rsidRPr="00E91901">
        <w:t>2010</w:t>
      </w:r>
      <w:r w:rsidRPr="00E91901">
        <w:t>年启动的</w:t>
      </w:r>
      <w:r w:rsidRPr="00E91901">
        <w:t>“</w:t>
      </w:r>
      <w:r w:rsidRPr="00E91901">
        <w:t>旧金山打击贩运人口合作行动</w:t>
      </w:r>
      <w:r w:rsidRPr="00E91901">
        <w:t>”</w:t>
      </w:r>
      <w:r w:rsidRPr="00E91901">
        <w:t>汇集了各类基于社区的组织和政府机构，致力于在本市消除当代社会的奴隶现象。</w:t>
      </w:r>
      <w:r w:rsidRPr="00D9138F">
        <w:rPr>
          <w:rStyle w:val="a3"/>
          <w:rFonts w:asciiTheme="majorBidi" w:hAnsiTheme="majorBidi" w:cstheme="majorBidi"/>
          <w:szCs w:val="21"/>
          <w:lang w:eastAsia="en-GB"/>
        </w:rPr>
        <w:footnoteReference w:id="31"/>
      </w: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138F" w:rsidRPr="00D9138F" w:rsidRDefault="00D9138F"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91901" w:rsidRPr="00E91901" w:rsidRDefault="00E91901" w:rsidP="00D913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91901">
        <w:tab/>
        <w:t>十.</w:t>
      </w:r>
      <w:r w:rsidRPr="00E91901">
        <w:tab/>
        <w:t>结论和建议</w:t>
      </w:r>
    </w:p>
    <w:p w:rsidR="00D9138F" w:rsidRPr="00D9138F" w:rsidRDefault="00D9138F" w:rsidP="00D9138F">
      <w:pPr>
        <w:pStyle w:val="SingleTxt"/>
        <w:spacing w:after="0" w:line="120" w:lineRule="exact"/>
        <w:rPr>
          <w:rFonts w:asciiTheme="majorBidi" w:hAnsiTheme="majorBidi" w:cstheme="majorBidi"/>
          <w:bCs/>
          <w:sz w:val="10"/>
          <w:szCs w:val="21"/>
        </w:rPr>
      </w:pPr>
    </w:p>
    <w:p w:rsidR="00D9138F" w:rsidRPr="00D9138F" w:rsidRDefault="00D9138F" w:rsidP="00D9138F">
      <w:pPr>
        <w:pStyle w:val="SingleTxt"/>
        <w:spacing w:after="0" w:line="120" w:lineRule="exact"/>
        <w:rPr>
          <w:rFonts w:asciiTheme="majorBidi" w:hAnsiTheme="majorBidi" w:cstheme="majorBidi"/>
          <w:bCs/>
          <w:sz w:val="10"/>
          <w:szCs w:val="21"/>
        </w:rPr>
      </w:pPr>
    </w:p>
    <w:p w:rsidR="00E91901" w:rsidRPr="00D9138F" w:rsidRDefault="00E91901" w:rsidP="00E91901">
      <w:pPr>
        <w:pStyle w:val="SingleTxt"/>
        <w:rPr>
          <w:rFonts w:ascii="黑体" w:eastAsia="黑体" w:hAnsiTheme="majorBidi" w:cstheme="majorBidi"/>
          <w:bCs/>
          <w:szCs w:val="21"/>
        </w:rPr>
      </w:pPr>
      <w:r w:rsidRPr="00D9138F">
        <w:rPr>
          <w:rFonts w:ascii="黑体" w:eastAsia="黑体" w:hAnsiTheme="majorBidi" w:cstheme="majorBidi"/>
          <w:bCs/>
          <w:szCs w:val="21"/>
        </w:rPr>
        <w:t>71.</w:t>
      </w:r>
      <w:r w:rsidRPr="00D9138F">
        <w:rPr>
          <w:rFonts w:ascii="黑体" w:eastAsia="黑体" w:hAnsiTheme="majorBidi" w:cstheme="majorBidi"/>
          <w:bCs/>
          <w:szCs w:val="21"/>
        </w:rPr>
        <w:tab/>
        <w:t>民间社会应积极参与地方的人权规划和落实工作。民间社会可以敦促地方当局采取立足于人权的方针，使当局更投入地开展人权工作。民间社会还可发挥重要的</w:t>
      </w:r>
      <w:r w:rsidRPr="00D9138F">
        <w:rPr>
          <w:rFonts w:ascii="黑体" w:eastAsia="黑体" w:hAnsiTheme="majorBidi" w:cstheme="majorBidi"/>
          <w:bCs/>
          <w:szCs w:val="21"/>
        </w:rPr>
        <w:lastRenderedPageBreak/>
        <w:t>监测作用，就地方政府的表现提供独立的信息并进行评估。民间社会组织还可以直接与地方政府合作，提高政府有关人权的专门知识和认识。</w:t>
      </w:r>
    </w:p>
    <w:p w:rsidR="00E91901" w:rsidRPr="00D9138F" w:rsidRDefault="00E91901" w:rsidP="00E91901">
      <w:pPr>
        <w:pStyle w:val="SingleTxt"/>
        <w:rPr>
          <w:rFonts w:ascii="黑体" w:eastAsia="黑体" w:hAnsiTheme="majorBidi" w:cstheme="majorBidi"/>
          <w:bCs/>
          <w:szCs w:val="21"/>
        </w:rPr>
      </w:pPr>
      <w:r w:rsidRPr="00D9138F">
        <w:rPr>
          <w:rFonts w:ascii="黑体" w:eastAsia="黑体" w:hAnsiTheme="majorBidi" w:cstheme="majorBidi"/>
          <w:bCs/>
          <w:szCs w:val="21"/>
        </w:rPr>
        <w:t>72.</w:t>
      </w:r>
      <w:r w:rsidRPr="00D9138F">
        <w:rPr>
          <w:rFonts w:ascii="黑体" w:eastAsia="黑体" w:hAnsiTheme="majorBidi" w:cstheme="majorBidi"/>
          <w:bCs/>
          <w:szCs w:val="21"/>
        </w:rPr>
        <w:tab/>
        <w:t>地方官员应与公民和民间社会继续保持对话。必须为这种交流与合作提供完备的渠道。</w:t>
      </w:r>
    </w:p>
    <w:p w:rsidR="00E91901" w:rsidRPr="00D9138F" w:rsidRDefault="00E91901" w:rsidP="00D9138F">
      <w:pPr>
        <w:pStyle w:val="SingleTxt"/>
        <w:rPr>
          <w:rFonts w:ascii="黑体" w:eastAsia="黑体"/>
        </w:rPr>
      </w:pPr>
      <w:r w:rsidRPr="00D9138F">
        <w:rPr>
          <w:rFonts w:ascii="黑体" w:eastAsia="黑体"/>
        </w:rPr>
        <w:t>73.</w:t>
      </w:r>
      <w:r w:rsidRPr="00D9138F">
        <w:rPr>
          <w:rFonts w:ascii="黑体" w:eastAsia="黑体"/>
        </w:rPr>
        <w:tab/>
        <w:t>应在国家和国际两个层面采取措施，加强民间社会监测地方政府及与地方政府打交道的能力。在大城市之外，民间社会往往力量弱小，在监测地方政府及与之合作方面经验不足。</w:t>
      </w:r>
      <w:r w:rsidRPr="00D9138F">
        <w:rPr>
          <w:rStyle w:val="a3"/>
          <w:rFonts w:ascii="黑体" w:eastAsia="黑体" w:hAnsiTheme="majorBidi" w:cstheme="majorBidi"/>
          <w:bCs/>
          <w:szCs w:val="21"/>
          <w:lang w:eastAsia="en-GB"/>
        </w:rPr>
        <w:footnoteReference w:id="32"/>
      </w:r>
      <w:r w:rsidRPr="00D9138F">
        <w:rPr>
          <w:rFonts w:ascii="黑体" w:eastAsia="黑体"/>
        </w:rPr>
        <w:t xml:space="preserve"> 城市和地方政府联合会等国际城市网络可以发挥关键作用，为此开发工具箱，促进研究工作，提供同行之间相互学习的机会，发展采取行动的群体。</w:t>
      </w:r>
    </w:p>
    <w:p w:rsidR="00E91901" w:rsidRPr="00D9138F" w:rsidRDefault="00E91901" w:rsidP="00D9138F">
      <w:pPr>
        <w:pStyle w:val="SingleTxt"/>
        <w:rPr>
          <w:rFonts w:ascii="黑体" w:eastAsia="黑体"/>
        </w:rPr>
      </w:pPr>
      <w:r w:rsidRPr="00D9138F">
        <w:rPr>
          <w:rFonts w:ascii="黑体" w:eastAsia="黑体"/>
        </w:rPr>
        <w:t>74.</w:t>
      </w:r>
      <w:r w:rsidRPr="00D9138F">
        <w:rPr>
          <w:rFonts w:ascii="黑体" w:eastAsia="黑体"/>
        </w:rPr>
        <w:tab/>
        <w:t>中央政府有责任就人权及其在地方层面的影响向地方政府提供的有价值的信息。中央政府应向有关地方机构提供的信息既包括国家宪法或其他法律中的人权，也包括国际法所保障的人权。必须将国际社会改善人权方面的最新进展(如新的条约和公约、建议、准则和最佳做法实例)传达到地方。这个过程中，最重要的是不能只提供抽象的信息。需要使人权更为具体、更易于操作，以满足地方的具体需求。尤其是在涉及国际人权保障的问题上，中央政府应将人权保护的有关问题转化为可采取的具体措施或可遵循的标准。</w:t>
      </w:r>
    </w:p>
    <w:p w:rsidR="00E91901" w:rsidRPr="00D9138F" w:rsidRDefault="00E91901" w:rsidP="00D9138F">
      <w:pPr>
        <w:pStyle w:val="SingleTxt"/>
        <w:rPr>
          <w:rFonts w:ascii="黑体" w:eastAsia="黑体"/>
        </w:rPr>
      </w:pPr>
      <w:r w:rsidRPr="00D9138F">
        <w:rPr>
          <w:rFonts w:ascii="黑体" w:eastAsia="黑体"/>
        </w:rPr>
        <w:t>75.</w:t>
      </w:r>
      <w:r w:rsidRPr="00D9138F">
        <w:rPr>
          <w:rFonts w:ascii="黑体" w:eastAsia="黑体"/>
        </w:rPr>
        <w:tab/>
        <w:t>要增强地方人权工作的可行性和效果，应该确定哪些具体领域与在地方层面有效落实人权紧密相关。例如，若公共服务由地方提供，可视之为必须保障无歧视享有的一个领域。要支持地方政府落实人权，应为这些具体领域拟定落实人权</w:t>
      </w:r>
      <w:r w:rsidRPr="00D9138F">
        <w:rPr>
          <w:rFonts w:ascii="黑体" w:eastAsia="黑体"/>
        </w:rPr>
        <w:t>“</w:t>
      </w:r>
      <w:r w:rsidRPr="00D9138F">
        <w:rPr>
          <w:rFonts w:ascii="黑体" w:eastAsia="黑体"/>
        </w:rPr>
        <w:t>路线图</w:t>
      </w:r>
      <w:r w:rsidRPr="00D9138F">
        <w:rPr>
          <w:rFonts w:ascii="黑体" w:eastAsia="黑体"/>
        </w:rPr>
        <w:t>”</w:t>
      </w:r>
      <w:r w:rsidRPr="00D9138F">
        <w:rPr>
          <w:rFonts w:ascii="黑体" w:eastAsia="黑体"/>
        </w:rPr>
        <w:t>。这些路线图可以成为促进在地方层面(由非人权专家)落实人权的宝贵工具。</w:t>
      </w:r>
    </w:p>
    <w:p w:rsidR="00E91901" w:rsidRPr="00D9138F" w:rsidRDefault="00E91901" w:rsidP="00D9138F">
      <w:pPr>
        <w:pStyle w:val="SingleTxt"/>
        <w:rPr>
          <w:rFonts w:ascii="黑体" w:eastAsia="黑体"/>
          <w:spacing w:val="-2"/>
        </w:rPr>
      </w:pPr>
      <w:r w:rsidRPr="00D9138F">
        <w:rPr>
          <w:rFonts w:ascii="黑体" w:eastAsia="黑体"/>
          <w:spacing w:val="-2"/>
        </w:rPr>
        <w:t>76.</w:t>
      </w:r>
      <w:r w:rsidRPr="00D9138F">
        <w:rPr>
          <w:rFonts w:ascii="黑体" w:eastAsia="黑体"/>
          <w:spacing w:val="-2"/>
        </w:rPr>
        <w:tab/>
      </w:r>
      <w:r w:rsidRPr="00D9138F">
        <w:rPr>
          <w:rFonts w:ascii="黑体" w:eastAsia="黑体"/>
        </w:rPr>
        <w:t>咨询委员会在提交人权理事会的报告中强调了腐败对于享有人权的不利影响(A/HRC/28/73)。委员会建议制定一项增进人权与打击腐败的综合战略。这一报告结果与在地方层面增进人权也息息相关。应特别关注在地方一级容易滋生腐败的任何领域，尤其是提供公共服务的领域。一方面，应将采取反腐措施视为一个人权问题；另一方面，不采取反腐措施，便不可能成功、有效地增进人权。因此，对于就此采取的任何预防措施，均应给予重视。</w:t>
      </w:r>
    </w:p>
    <w:p w:rsidR="00E91901" w:rsidRPr="00D9138F" w:rsidRDefault="00E91901" w:rsidP="00D9138F">
      <w:pPr>
        <w:pStyle w:val="SingleTxt"/>
        <w:rPr>
          <w:rFonts w:ascii="黑体" w:eastAsia="黑体"/>
        </w:rPr>
      </w:pPr>
      <w:r w:rsidRPr="00D9138F">
        <w:rPr>
          <w:rFonts w:ascii="黑体" w:eastAsia="黑体"/>
        </w:rPr>
        <w:t>77.</w:t>
      </w:r>
      <w:r w:rsidRPr="00D9138F">
        <w:rPr>
          <w:rFonts w:ascii="黑体" w:eastAsia="黑体"/>
        </w:rPr>
        <w:tab/>
        <w:t>有关联合国机制还应在监测各国履行国际人权承诺的背景下，鼓励各国与地方政府开展对话。地方当局应参与本国政府的普遍定期审议；这将提高已接受建议的执行工作的质量。中央政府应向地方当局传达普遍定期审议的建议和联合国条约机构的结论性建议。还应提到《包括共同核心文件和条约专要文件准则在内的根据国际人权条约提交报告的协调准则》，其中鼓励报告国确保</w:t>
      </w:r>
      <w:r w:rsidRPr="00D9138F">
        <w:rPr>
          <w:rFonts w:ascii="黑体" w:eastAsia="黑体"/>
        </w:rPr>
        <w:t>“</w:t>
      </w:r>
      <w:r w:rsidRPr="00D9138F">
        <w:rPr>
          <w:rFonts w:ascii="黑体" w:eastAsia="黑体"/>
        </w:rPr>
        <w:t>中央、区域和地方各级政府部门的参与，并酌情确保联邦和省级部门的参与</w:t>
      </w:r>
      <w:r w:rsidRPr="00D9138F">
        <w:rPr>
          <w:rFonts w:ascii="黑体" w:eastAsia="黑体"/>
        </w:rPr>
        <w:t>”</w:t>
      </w:r>
      <w:r w:rsidRPr="00D9138F">
        <w:rPr>
          <w:rFonts w:ascii="黑体" w:eastAsia="黑体"/>
        </w:rPr>
        <w:t>(HRI/MC/2005/3,第50(a)段)。</w:t>
      </w:r>
    </w:p>
    <w:p w:rsidR="004F4993" w:rsidRDefault="004F4993">
      <w:pPr>
        <w:spacing w:line="240" w:lineRule="auto"/>
        <w:jc w:val="left"/>
        <w:rPr>
          <w:rFonts w:ascii="黑体" w:eastAsia="黑体"/>
        </w:rPr>
      </w:pPr>
      <w:r>
        <w:rPr>
          <w:rFonts w:ascii="黑体" w:eastAsia="黑体"/>
        </w:rPr>
        <w:br w:type="page"/>
      </w:r>
    </w:p>
    <w:p w:rsidR="00E91901" w:rsidRPr="00D9138F" w:rsidRDefault="00E91901" w:rsidP="00D9138F">
      <w:pPr>
        <w:pStyle w:val="SingleTxt"/>
        <w:rPr>
          <w:rFonts w:ascii="黑体" w:eastAsia="黑体"/>
        </w:rPr>
      </w:pPr>
      <w:r w:rsidRPr="00D9138F">
        <w:rPr>
          <w:rFonts w:ascii="黑体" w:eastAsia="黑体"/>
        </w:rPr>
        <w:lastRenderedPageBreak/>
        <w:t>78.</w:t>
      </w:r>
      <w:r w:rsidRPr="00D9138F">
        <w:rPr>
          <w:rFonts w:ascii="黑体" w:eastAsia="黑体"/>
        </w:rPr>
        <w:tab/>
        <w:t>还有必要参照与地方政府和城市在落实国际公认的人权义务方面的作用有关的各项标准，拟定</w:t>
      </w:r>
      <w:r w:rsidRPr="00D9138F">
        <w:rPr>
          <w:rFonts w:ascii="黑体" w:eastAsia="黑体"/>
        </w:rPr>
        <w:t>“</w:t>
      </w:r>
      <w:r w:rsidRPr="00D9138F">
        <w:rPr>
          <w:rFonts w:ascii="黑体" w:eastAsia="黑体"/>
        </w:rPr>
        <w:t>地方政府与人权问题指导原则</w:t>
      </w:r>
      <w:r w:rsidRPr="00D9138F">
        <w:rPr>
          <w:rFonts w:ascii="黑体" w:eastAsia="黑体"/>
        </w:rPr>
        <w:t>”</w:t>
      </w:r>
      <w:r w:rsidRPr="00D9138F">
        <w:rPr>
          <w:rFonts w:ascii="黑体" w:eastAsia="黑体"/>
        </w:rPr>
        <w:t>。此类指导原则一俟通过，将成为一项有益的工具，有利于明确各行为方和机构的作用，也有利于制定具体战略，以落实本报告的建议和人权理事会特别程序、理事会普遍定期审议机制和联合国条约机构的其他建议。</w:t>
      </w:r>
    </w:p>
    <w:p w:rsidR="00C44290" w:rsidRPr="00D9138F" w:rsidRDefault="00D9138F" w:rsidP="00D9138F">
      <w:pPr>
        <w:pStyle w:val="H1"/>
        <w:spacing w:line="240" w:lineRule="auto"/>
        <w:rPr>
          <w:sz w:val="20"/>
          <w:lang w:val="en-GB"/>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C44290" w:rsidRPr="00D9138F" w:rsidSect="00C44290">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10:00:00Z" w:initials="Start">
    <w:p w:rsidR="00C44290" w:rsidRDefault="00C44290">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NO&gt;&gt;N1517487C&lt;&lt;ODS JOB NO&gt;&gt;</w:t>
      </w:r>
    </w:p>
    <w:p w:rsidR="00C44290" w:rsidRDefault="00C44290">
      <w:pPr>
        <w:pStyle w:val="a7"/>
      </w:pPr>
      <w:r>
        <w:t>&lt;&lt;ODS DOC SYMBOL1&gt;&gt;A/HRC/30/49&lt;&lt;ODS DOC SYMBOL1&gt;&gt;</w:t>
      </w:r>
    </w:p>
    <w:p w:rsidR="00C44290" w:rsidRDefault="00C44290">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06" w:rsidRDefault="00CD3306">
      <w:r>
        <w:separator/>
      </w:r>
    </w:p>
  </w:endnote>
  <w:endnote w:type="continuationSeparator" w:id="0">
    <w:p w:rsidR="00CD3306" w:rsidRDefault="00CD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44290" w:rsidTr="00C44290">
      <w:trPr>
        <w:jc w:val="center"/>
      </w:trPr>
      <w:tc>
        <w:tcPr>
          <w:tcW w:w="5126" w:type="dxa"/>
          <w:shd w:val="clear" w:color="auto" w:fill="auto"/>
        </w:tcPr>
        <w:p w:rsidR="00C44290" w:rsidRPr="00C44290" w:rsidRDefault="00C44290" w:rsidP="00C44290">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57E6F">
            <w:rPr>
              <w:b w:val="0"/>
              <w:w w:val="103"/>
              <w:sz w:val="14"/>
            </w:rPr>
            <w:t>GE.15-13369 (C)</w:t>
          </w:r>
          <w:r>
            <w:rPr>
              <w:b w:val="0"/>
              <w:w w:val="103"/>
              <w:sz w:val="14"/>
            </w:rPr>
            <w:fldChar w:fldCharType="end"/>
          </w:r>
        </w:p>
      </w:tc>
      <w:tc>
        <w:tcPr>
          <w:tcW w:w="5127" w:type="dxa"/>
          <w:shd w:val="clear" w:color="auto" w:fill="auto"/>
        </w:tcPr>
        <w:p w:rsidR="00C44290" w:rsidRPr="00C44290" w:rsidRDefault="00C44290" w:rsidP="00C44290">
          <w:pPr>
            <w:pStyle w:val="ac"/>
            <w:jc w:val="left"/>
            <w:rPr>
              <w:w w:val="103"/>
            </w:rPr>
          </w:pPr>
          <w:r>
            <w:rPr>
              <w:w w:val="103"/>
            </w:rPr>
            <w:fldChar w:fldCharType="begin"/>
          </w:r>
          <w:r>
            <w:rPr>
              <w:w w:val="103"/>
            </w:rPr>
            <w:instrText xml:space="preserve"> PAGE  \* Arabic  \* MERGEFORMAT </w:instrText>
          </w:r>
          <w:r>
            <w:rPr>
              <w:w w:val="103"/>
            </w:rPr>
            <w:fldChar w:fldCharType="separate"/>
          </w:r>
          <w:r w:rsidR="00457E6F">
            <w:rPr>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57E6F">
            <w:rPr>
              <w:w w:val="103"/>
            </w:rPr>
            <w:t>17</w:t>
          </w:r>
          <w:r>
            <w:rPr>
              <w:w w:val="103"/>
            </w:rPr>
            <w:fldChar w:fldCharType="end"/>
          </w:r>
        </w:p>
      </w:tc>
    </w:tr>
  </w:tbl>
  <w:p w:rsidR="00C44290" w:rsidRPr="00C44290" w:rsidRDefault="00C44290" w:rsidP="00C4429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44290" w:rsidTr="00C44290">
      <w:trPr>
        <w:jc w:val="center"/>
      </w:trPr>
      <w:tc>
        <w:tcPr>
          <w:tcW w:w="5126" w:type="dxa"/>
          <w:shd w:val="clear" w:color="auto" w:fill="auto"/>
        </w:tcPr>
        <w:p w:rsidR="00C44290" w:rsidRPr="00C44290" w:rsidRDefault="00C44290" w:rsidP="00C44290">
          <w:pPr>
            <w:pStyle w:val="ac"/>
            <w:jc w:val="right"/>
          </w:pPr>
          <w:r>
            <w:fldChar w:fldCharType="begin"/>
          </w:r>
          <w:r>
            <w:instrText xml:space="preserve"> PAGE  \* Arabic  \* MERGEFORMAT </w:instrText>
          </w:r>
          <w:r>
            <w:fldChar w:fldCharType="separate"/>
          </w:r>
          <w:r w:rsidR="00457E6F">
            <w:t>17</w:t>
          </w:r>
          <w:r>
            <w:fldChar w:fldCharType="end"/>
          </w:r>
          <w:r>
            <w:t>/</w:t>
          </w:r>
          <w:r w:rsidR="00457E6F">
            <w:fldChar w:fldCharType="begin"/>
          </w:r>
          <w:r w:rsidR="00457E6F">
            <w:instrText xml:space="preserve"> NUMPAGES  \* Arabic  \* MERGEFORMAT </w:instrText>
          </w:r>
          <w:r w:rsidR="00457E6F">
            <w:fldChar w:fldCharType="separate"/>
          </w:r>
          <w:r w:rsidR="00457E6F">
            <w:t>17</w:t>
          </w:r>
          <w:r w:rsidR="00457E6F">
            <w:fldChar w:fldCharType="end"/>
          </w:r>
        </w:p>
      </w:tc>
      <w:tc>
        <w:tcPr>
          <w:tcW w:w="5127" w:type="dxa"/>
          <w:shd w:val="clear" w:color="auto" w:fill="auto"/>
        </w:tcPr>
        <w:p w:rsidR="00C44290" w:rsidRPr="00C44290" w:rsidRDefault="00C44290" w:rsidP="00C44290">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57E6F">
            <w:rPr>
              <w:b w:val="0"/>
              <w:w w:val="103"/>
              <w:sz w:val="14"/>
            </w:rPr>
            <w:t>GE.15-13369 (C)</w:t>
          </w:r>
          <w:r>
            <w:rPr>
              <w:b w:val="0"/>
              <w:w w:val="103"/>
              <w:sz w:val="14"/>
            </w:rPr>
            <w:fldChar w:fldCharType="end"/>
          </w:r>
        </w:p>
      </w:tc>
    </w:tr>
  </w:tbl>
  <w:p w:rsidR="00C44290" w:rsidRPr="00C44290" w:rsidRDefault="00C44290" w:rsidP="00C4429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C44290" w:rsidTr="00C44290">
      <w:tc>
        <w:tcPr>
          <w:tcW w:w="3873" w:type="dxa"/>
        </w:tcPr>
        <w:p w:rsidR="00C44290" w:rsidRDefault="00C44290" w:rsidP="00C44290">
          <w:pPr>
            <w:pStyle w:val="Release"/>
          </w:pPr>
          <w:r>
            <w:rPr>
              <w:noProof/>
            </w:rPr>
            <w:drawing>
              <wp:anchor distT="0" distB="0" distL="114300" distR="114300" simplePos="0" relativeHeight="251658240" behindDoc="0" locked="0" layoutInCell="1" allowOverlap="1" wp14:anchorId="04F92774" wp14:editId="656B4350">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49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9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457E6F">
            <w:fldChar w:fldCharType="begin"/>
          </w:r>
          <w:r w:rsidR="00457E6F">
            <w:instrText xml:space="preserve"> DOCVARIABLE "jobn" \* MERGEFORMAT </w:instrText>
          </w:r>
          <w:r w:rsidR="00457E6F">
            <w:fldChar w:fldCharType="separate"/>
          </w:r>
          <w:r w:rsidR="00457E6F">
            <w:t>GE.15-13369 (C)</w:t>
          </w:r>
          <w:r w:rsidR="00457E6F">
            <w:fldChar w:fldCharType="end"/>
          </w:r>
          <w:r>
            <w:t xml:space="preserve">    140915    140915</w:t>
          </w:r>
        </w:p>
        <w:p w:rsidR="00C44290" w:rsidRPr="00C44290" w:rsidRDefault="00C44290" w:rsidP="00C44290">
          <w:pPr>
            <w:spacing w:before="80" w:line="210" w:lineRule="exact"/>
            <w:rPr>
              <w:rFonts w:ascii="Barcode 3 of 9 by request" w:hAnsi="Barcode 3 of 9 by request"/>
              <w:sz w:val="24"/>
            </w:rPr>
          </w:pPr>
          <w:r>
            <w:rPr>
              <w:rFonts w:ascii="Barcode 3 of 9 by request" w:hAnsi="Barcode 3 of 9 by request"/>
              <w:sz w:val="24"/>
            </w:rPr>
            <w:t>*1513369*</w:t>
          </w:r>
        </w:p>
      </w:tc>
      <w:tc>
        <w:tcPr>
          <w:tcW w:w="5127" w:type="dxa"/>
        </w:tcPr>
        <w:p w:rsidR="00C44290" w:rsidRDefault="00C44290" w:rsidP="00C44290">
          <w:pPr>
            <w:pStyle w:val="ac"/>
            <w:jc w:val="right"/>
            <w:rPr>
              <w:b w:val="0"/>
              <w:sz w:val="21"/>
            </w:rPr>
          </w:pPr>
          <w:r>
            <w:rPr>
              <w:b w:val="0"/>
              <w:sz w:val="21"/>
            </w:rPr>
            <w:drawing>
              <wp:inline distT="0" distB="0" distL="0" distR="0" wp14:anchorId="5F023A6A" wp14:editId="7387D2FD">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C44290" w:rsidRPr="00C44290" w:rsidRDefault="00C44290" w:rsidP="00C44290">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06" w:rsidRPr="00D9138F" w:rsidRDefault="00D9138F" w:rsidP="00D9138F">
      <w:pPr>
        <w:pStyle w:val="ac"/>
        <w:spacing w:after="80"/>
        <w:ind w:left="792"/>
        <w:rPr>
          <w:sz w:val="16"/>
        </w:rPr>
      </w:pPr>
      <w:r w:rsidRPr="00D9138F">
        <w:rPr>
          <w:sz w:val="16"/>
        </w:rPr>
        <w:t>__________________</w:t>
      </w:r>
    </w:p>
  </w:footnote>
  <w:footnote w:type="continuationSeparator" w:id="0">
    <w:p w:rsidR="00CD3306" w:rsidRPr="00D9138F" w:rsidRDefault="00D9138F" w:rsidP="00D9138F">
      <w:pPr>
        <w:pStyle w:val="ac"/>
        <w:spacing w:after="80"/>
        <w:ind w:left="792"/>
        <w:rPr>
          <w:sz w:val="16"/>
        </w:rPr>
      </w:pPr>
      <w:r w:rsidRPr="00D9138F">
        <w:rPr>
          <w:sz w:val="16"/>
        </w:rPr>
        <w:t>__________________</w:t>
      </w:r>
    </w:p>
  </w:footnote>
  <w:footnote w:id="1">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在巴西，根据《宪法》规定，自治市不只是隶属于州的分区，而是联邦的一部分。</w:t>
      </w:r>
    </w:p>
  </w:footnote>
  <w:footnote w:id="2">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t>国际民主和选举援助学会</w:t>
      </w:r>
      <w:r>
        <w:rPr>
          <w:rFonts w:hint="eastAsia"/>
        </w:rPr>
        <w:t>，“民主问责制和提供服务：书面材料审评”，</w:t>
      </w:r>
      <w:r w:rsidRPr="000107A4">
        <w:t>2013</w:t>
      </w:r>
      <w:r>
        <w:rPr>
          <w:rFonts w:hint="eastAsia"/>
        </w:rPr>
        <w:t>年</w:t>
      </w:r>
      <w:r>
        <w:rPr>
          <w:rFonts w:hint="eastAsia"/>
        </w:rPr>
        <w:t>1</w:t>
      </w:r>
      <w:r>
        <w:rPr>
          <w:rFonts w:hint="eastAsia"/>
        </w:rPr>
        <w:t>月，可登陆</w:t>
      </w:r>
      <w:hyperlink r:id="rId1" w:history="1">
        <w:r w:rsidRPr="008A23B8">
          <w:rPr>
            <w:rStyle w:val="ad"/>
          </w:rPr>
          <w:t>http://www.idea.int/resources/analysis/democratic-accountability-and-service-delivery-a-desk-review.cfm</w:t>
        </w:r>
      </w:hyperlink>
      <w:r>
        <w:rPr>
          <w:rFonts w:hint="eastAsia"/>
        </w:rPr>
        <w:t>查阅。</w:t>
      </w:r>
    </w:p>
  </w:footnote>
  <w:footnote w:id="3">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在这方面，可比照提及《</w:t>
      </w:r>
      <w:r>
        <w:t>公民权利和政治权利国际公约</w:t>
      </w:r>
      <w:r>
        <w:rPr>
          <w:rFonts w:hint="eastAsia"/>
        </w:rPr>
        <w:t>》第五十条；根据这一条，</w:t>
      </w:r>
      <w:r>
        <w:t>公约的规定</w:t>
      </w:r>
      <w:r>
        <w:rPr>
          <w:rFonts w:hint="eastAsia"/>
        </w:rPr>
        <w:t>“</w:t>
      </w:r>
      <w:r>
        <w:t>应扩及联邦国家的所有部分，没有任何限制和例外</w:t>
      </w:r>
      <w:r>
        <w:rPr>
          <w:rFonts w:hint="eastAsia"/>
        </w:rPr>
        <w:t>”。</w:t>
      </w:r>
    </w:p>
  </w:footnote>
  <w:footnote w:id="4">
    <w:p w:rsidR="00E91901" w:rsidRPr="00A92927"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t>国家对国际不法行为的责任条款草案</w:t>
      </w:r>
      <w:r>
        <w:rPr>
          <w:rFonts w:hint="eastAsia"/>
        </w:rPr>
        <w:t>；国际法委员会第五十三届会议</w:t>
      </w:r>
      <w:r w:rsidRPr="00323229">
        <w:t>(2001</w:t>
      </w:r>
      <w:r>
        <w:rPr>
          <w:rFonts w:hint="eastAsia"/>
        </w:rPr>
        <w:t>年</w:t>
      </w:r>
      <w:r w:rsidRPr="00323229">
        <w:t>)</w:t>
      </w:r>
      <w:r>
        <w:rPr>
          <w:rFonts w:hint="eastAsia"/>
        </w:rPr>
        <w:t>通过，</w:t>
      </w:r>
      <w:r>
        <w:t>《大会正式记录，第五十</w:t>
      </w:r>
      <w:r>
        <w:rPr>
          <w:rFonts w:hint="eastAsia"/>
        </w:rPr>
        <w:t>六</w:t>
      </w:r>
      <w:r>
        <w:t>届会议，补编第</w:t>
      </w:r>
      <w:r>
        <w:t>10</w:t>
      </w:r>
      <w:r>
        <w:t>号》</w:t>
      </w:r>
      <w:r>
        <w:t>(A/5</w:t>
      </w:r>
      <w:r>
        <w:rPr>
          <w:rFonts w:hint="eastAsia"/>
        </w:rPr>
        <w:t>6</w:t>
      </w:r>
      <w:r>
        <w:t>/10)</w:t>
      </w:r>
      <w:r>
        <w:t>，</w:t>
      </w:r>
      <w:r>
        <w:rPr>
          <w:rFonts w:hint="eastAsia"/>
        </w:rPr>
        <w:t>第</w:t>
      </w:r>
      <w:r>
        <w:rPr>
          <w:rFonts w:hint="eastAsia"/>
        </w:rPr>
        <w:t>4</w:t>
      </w:r>
      <w:r>
        <w:rPr>
          <w:rFonts w:hint="eastAsia"/>
        </w:rPr>
        <w:t>条第</w:t>
      </w:r>
      <w:r>
        <w:rPr>
          <w:rFonts w:hint="eastAsia"/>
        </w:rPr>
        <w:t>2</w:t>
      </w:r>
      <w:r>
        <w:rPr>
          <w:rFonts w:hint="eastAsia"/>
        </w:rPr>
        <w:t>款。</w:t>
      </w:r>
    </w:p>
  </w:footnote>
  <w:footnote w:id="5">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同上，第</w:t>
      </w:r>
      <w:r>
        <w:rPr>
          <w:rFonts w:hint="eastAsia"/>
        </w:rPr>
        <w:t>4</w:t>
      </w:r>
      <w:r>
        <w:rPr>
          <w:rFonts w:hint="eastAsia"/>
        </w:rPr>
        <w:t>条第</w:t>
      </w:r>
      <w:r>
        <w:rPr>
          <w:rFonts w:hint="eastAsia"/>
        </w:rPr>
        <w:t>1</w:t>
      </w:r>
      <w:r>
        <w:rPr>
          <w:rFonts w:hint="eastAsia"/>
        </w:rPr>
        <w:t>款。</w:t>
      </w:r>
    </w:p>
  </w:footnote>
  <w:footnote w:id="6">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t>第</w:t>
      </w:r>
      <w:r>
        <w:t>16</w:t>
      </w:r>
      <w:r>
        <w:t>号一般性意见</w:t>
      </w:r>
      <w:r w:rsidRPr="00323229">
        <w:t>(2005</w:t>
      </w:r>
      <w:r>
        <w:rPr>
          <w:rFonts w:hint="eastAsia"/>
        </w:rPr>
        <w:t>年</w:t>
      </w:r>
      <w:r w:rsidRPr="00323229">
        <w:t>)</w:t>
      </w:r>
      <w:r>
        <w:rPr>
          <w:rFonts w:hint="eastAsia"/>
        </w:rPr>
        <w:t>：</w:t>
      </w:r>
      <w:r>
        <w:t>男女在享受一切经济、社会及文化权利方面的平等权利</w:t>
      </w:r>
      <w:r>
        <w:t>(</w:t>
      </w:r>
      <w:r>
        <w:rPr>
          <w:rFonts w:hint="eastAsia"/>
        </w:rPr>
        <w:t>《经济、社会、文化权利国际公约》</w:t>
      </w:r>
      <w:r>
        <w:t>第三条</w:t>
      </w:r>
      <w:r>
        <w:t>)</w:t>
      </w:r>
      <w:r>
        <w:rPr>
          <w:rFonts w:hint="eastAsia"/>
        </w:rPr>
        <w:t>，第</w:t>
      </w:r>
      <w:r>
        <w:rPr>
          <w:rFonts w:hint="eastAsia"/>
        </w:rPr>
        <w:t>4</w:t>
      </w:r>
      <w:r w:rsidRPr="00323229">
        <w:t>2</w:t>
      </w:r>
      <w:r>
        <w:rPr>
          <w:rFonts w:hint="eastAsia"/>
        </w:rPr>
        <w:t>段，可登陆</w:t>
      </w:r>
      <w:hyperlink r:id="rId2" w:history="1">
        <w:r w:rsidRPr="008A23B8">
          <w:rPr>
            <w:rStyle w:val="ad"/>
          </w:rPr>
          <w:t>http://www.refworld.org/docid/43f3067ae.html</w:t>
        </w:r>
      </w:hyperlink>
      <w:r>
        <w:rPr>
          <w:rFonts w:hint="eastAsia"/>
        </w:rPr>
        <w:t>查阅。</w:t>
      </w:r>
    </w:p>
  </w:footnote>
  <w:footnote w:id="7">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sidRPr="00F26071">
        <w:rPr>
          <w:rFonts w:hint="eastAsia"/>
        </w:rPr>
        <w:t>国家对国际不法行为的责任条款草案</w:t>
      </w:r>
      <w:r>
        <w:rPr>
          <w:rFonts w:hint="eastAsia"/>
        </w:rPr>
        <w:t>评注（见上文脚注</w:t>
      </w:r>
      <w:r>
        <w:rPr>
          <w:rFonts w:hint="eastAsia"/>
        </w:rPr>
        <w:t>4</w:t>
      </w:r>
      <w:r>
        <w:rPr>
          <w:rFonts w:hint="eastAsia"/>
        </w:rPr>
        <w:t>，第</w:t>
      </w:r>
      <w:r>
        <w:rPr>
          <w:rFonts w:hint="eastAsia"/>
        </w:rPr>
        <w:t>4</w:t>
      </w:r>
      <w:r>
        <w:rPr>
          <w:rFonts w:hint="eastAsia"/>
        </w:rPr>
        <w:t>条第</w:t>
      </w:r>
      <w:r>
        <w:rPr>
          <w:rFonts w:hint="eastAsia"/>
        </w:rPr>
        <w:t>2</w:t>
      </w:r>
      <w:r>
        <w:rPr>
          <w:rFonts w:hint="eastAsia"/>
        </w:rPr>
        <w:t>款），第</w:t>
      </w:r>
      <w:r w:rsidRPr="00323229">
        <w:t>82</w:t>
      </w:r>
      <w:r>
        <w:rPr>
          <w:rFonts w:hint="eastAsia"/>
        </w:rPr>
        <w:t>页，可登陆</w:t>
      </w:r>
      <w:hyperlink r:id="rId3" w:history="1">
        <w:r w:rsidRPr="008A23B8">
          <w:rPr>
            <w:rStyle w:val="ad"/>
          </w:rPr>
          <w:t>http://www.eydner.org/dokumente/darsiwa_comm_e.pdf</w:t>
        </w:r>
      </w:hyperlink>
      <w:r>
        <w:rPr>
          <w:rFonts w:hint="eastAsia"/>
        </w:rPr>
        <w:t>查阅。</w:t>
      </w:r>
    </w:p>
  </w:footnote>
  <w:footnote w:id="8">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sidRPr="00093287">
        <w:rPr>
          <w:rFonts w:hint="eastAsia"/>
          <w:lang w:eastAsia="en-GB"/>
        </w:rPr>
        <w:t>经济、社会、文化权利委员会</w:t>
      </w:r>
      <w:r>
        <w:rPr>
          <w:rFonts w:ascii="宋体" w:hAnsi="宋体" w:hint="eastAsia"/>
        </w:rPr>
        <w:t>第</w:t>
      </w:r>
      <w:r>
        <w:rPr>
          <w:rFonts w:ascii="宋体" w:hAnsi="宋体" w:hint="eastAsia"/>
          <w:b/>
        </w:rPr>
        <w:t>4</w:t>
      </w:r>
      <w:r>
        <w:rPr>
          <w:rFonts w:ascii="宋体" w:hAnsi="宋体" w:hint="eastAsia"/>
        </w:rPr>
        <w:t>号一般性意见：适足住房权(《公约》第十一条第一款），</w:t>
      </w:r>
      <w:r w:rsidRPr="00E35888">
        <w:rPr>
          <w:rFonts w:asciiTheme="majorBidi" w:hAnsiTheme="majorBidi" w:cstheme="majorBidi"/>
        </w:rPr>
        <w:t>第</w:t>
      </w:r>
      <w:r w:rsidRPr="00E35888">
        <w:rPr>
          <w:rFonts w:asciiTheme="majorBidi" w:hAnsiTheme="majorBidi" w:cstheme="majorBidi"/>
        </w:rPr>
        <w:t>12</w:t>
      </w:r>
      <w:r w:rsidRPr="00E35888">
        <w:rPr>
          <w:rFonts w:asciiTheme="majorBidi" w:hAnsiTheme="majorBidi" w:cstheme="majorBidi"/>
        </w:rPr>
        <w:t>段，</w:t>
      </w:r>
      <w:r w:rsidRPr="00E35888">
        <w:rPr>
          <w:rFonts w:asciiTheme="majorBidi" w:hAnsiTheme="majorBidi" w:cstheme="majorBidi"/>
        </w:rPr>
        <w:t>1991</w:t>
      </w:r>
      <w:r w:rsidRPr="00E35888">
        <w:rPr>
          <w:rFonts w:asciiTheme="majorBidi" w:hAnsiTheme="majorBidi" w:cstheme="majorBidi"/>
        </w:rPr>
        <w:t>年</w:t>
      </w:r>
      <w:r w:rsidRPr="00E35888">
        <w:rPr>
          <w:rFonts w:asciiTheme="majorBidi" w:hAnsiTheme="majorBidi" w:cstheme="majorBidi"/>
        </w:rPr>
        <w:t>12</w:t>
      </w:r>
      <w:r w:rsidRPr="00E35888">
        <w:rPr>
          <w:rFonts w:asciiTheme="majorBidi" w:hAnsiTheme="majorBidi" w:cstheme="majorBidi"/>
        </w:rPr>
        <w:t>月</w:t>
      </w:r>
      <w:r w:rsidRPr="00E35888">
        <w:rPr>
          <w:rFonts w:asciiTheme="majorBidi" w:hAnsiTheme="majorBidi" w:cstheme="majorBidi"/>
        </w:rPr>
        <w:t>13</w:t>
      </w:r>
      <w:r w:rsidRPr="00E35888">
        <w:rPr>
          <w:rFonts w:asciiTheme="majorBidi" w:hAnsiTheme="majorBidi" w:cstheme="majorBidi"/>
        </w:rPr>
        <w:t>日经济、社会、</w:t>
      </w:r>
      <w:r w:rsidRPr="00093287">
        <w:rPr>
          <w:rFonts w:ascii="宋体" w:hAnsi="宋体" w:hint="eastAsia"/>
        </w:rPr>
        <w:t>文化权利</w:t>
      </w:r>
      <w:r>
        <w:rPr>
          <w:rFonts w:ascii="宋体" w:hAnsi="宋体" w:hint="eastAsia"/>
        </w:rPr>
        <w:t>委员会第六届会议通过，可登陆</w:t>
      </w:r>
      <w:hyperlink r:id="rId4" w:history="1">
        <w:r w:rsidRPr="003801FD">
          <w:rPr>
            <w:rStyle w:val="ad"/>
          </w:rPr>
          <w:t>http://www.refworld.org/docid/47a7079a1.html</w:t>
        </w:r>
      </w:hyperlink>
      <w:r>
        <w:rPr>
          <w:rFonts w:hint="eastAsia"/>
        </w:rPr>
        <w:t>查阅。</w:t>
      </w:r>
    </w:p>
  </w:footnote>
  <w:footnote w:id="9">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t>地方和地区政权代表大会</w:t>
      </w:r>
      <w:r w:rsidRPr="00EF46D8">
        <w:t>(</w:t>
      </w:r>
      <w:r>
        <w:rPr>
          <w:rFonts w:hint="eastAsia"/>
        </w:rPr>
        <w:t>欧洲委员会</w:t>
      </w:r>
      <w:r>
        <w:t>)</w:t>
      </w:r>
      <w:r>
        <w:rPr>
          <w:rFonts w:hint="eastAsia"/>
        </w:rPr>
        <w:t>，第二十六届会议，</w:t>
      </w:r>
      <w:r>
        <w:rPr>
          <w:rFonts w:hint="eastAsia"/>
        </w:rPr>
        <w:t>2014</w:t>
      </w:r>
      <w:r>
        <w:rPr>
          <w:rFonts w:hint="eastAsia"/>
        </w:rPr>
        <w:t>年</w:t>
      </w:r>
      <w:r>
        <w:rPr>
          <w:rFonts w:hint="eastAsia"/>
        </w:rPr>
        <w:t>3</w:t>
      </w:r>
      <w:r>
        <w:rPr>
          <w:rFonts w:hint="eastAsia"/>
        </w:rPr>
        <w:t>月</w:t>
      </w:r>
      <w:r>
        <w:rPr>
          <w:rFonts w:hint="eastAsia"/>
        </w:rPr>
        <w:t>25</w:t>
      </w:r>
      <w:r>
        <w:rPr>
          <w:rFonts w:hint="eastAsia"/>
        </w:rPr>
        <w:t>日至</w:t>
      </w:r>
      <w:r>
        <w:rPr>
          <w:rFonts w:hint="eastAsia"/>
        </w:rPr>
        <w:t>27</w:t>
      </w:r>
      <w:r>
        <w:rPr>
          <w:rFonts w:hint="eastAsia"/>
        </w:rPr>
        <w:t>日，斯特拉斯堡，</w:t>
      </w:r>
      <w:r w:rsidRPr="00EF46D8">
        <w:t>CG(26)5FINAL</w:t>
      </w:r>
      <w:r>
        <w:rPr>
          <w:rFonts w:hint="eastAsia"/>
        </w:rPr>
        <w:t>，“欧洲委员会成员国及其他国家在地方和区域层面落实人权的最佳做法”</w:t>
      </w:r>
      <w:r w:rsidRPr="00EF46D8">
        <w:t>(</w:t>
      </w:r>
      <w:r>
        <w:rPr>
          <w:rFonts w:hint="eastAsia"/>
        </w:rPr>
        <w:t>报告员：欧</w:t>
      </w:r>
      <w:r>
        <w:t>·</w:t>
      </w:r>
      <w:r>
        <w:rPr>
          <w:rFonts w:hint="eastAsia"/>
        </w:rPr>
        <w:t>莫林</w:t>
      </w:r>
      <w:r w:rsidRPr="00EF46D8">
        <w:t>)</w:t>
      </w:r>
      <w:r>
        <w:rPr>
          <w:rFonts w:hint="eastAsia"/>
        </w:rPr>
        <w:t>，第</w:t>
      </w:r>
      <w:r w:rsidRPr="00EF46D8">
        <w:t>365(2014)</w:t>
      </w:r>
      <w:r>
        <w:rPr>
          <w:rFonts w:hint="eastAsia"/>
        </w:rPr>
        <w:t>号决议，解释性备忘录，第</w:t>
      </w:r>
      <w:r w:rsidRPr="00EF46D8">
        <w:t>8</w:t>
      </w:r>
      <w:r>
        <w:rPr>
          <w:rFonts w:hint="eastAsia"/>
        </w:rPr>
        <w:t>段、第</w:t>
      </w:r>
      <w:r w:rsidRPr="00EF46D8">
        <w:t>14</w:t>
      </w:r>
      <w:r>
        <w:rPr>
          <w:rFonts w:hint="eastAsia"/>
        </w:rPr>
        <w:t>段，可登陆</w:t>
      </w:r>
      <w:hyperlink r:id="rId5" w:history="1">
        <w:r w:rsidRPr="008A23B8">
          <w:rPr>
            <w:rStyle w:val="ad"/>
          </w:rPr>
          <w:t>http://www.coe.int/t/congress/texts/RESOLUTIONS_en.asp?mytabsmenu=6</w:t>
        </w:r>
      </w:hyperlink>
      <w:r>
        <w:rPr>
          <w:rFonts w:hint="eastAsia"/>
        </w:rPr>
        <w:t>查阅。</w:t>
      </w:r>
    </w:p>
  </w:footnote>
  <w:footnote w:id="10">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同上。</w:t>
      </w:r>
    </w:p>
  </w:footnote>
  <w:footnote w:id="11">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可特别提及美利坚合众国几个城市通过的人权法令（第一项是旧金山消除对妇女歧视委员会的法令），因为这些法令是将人权纳入地方政策措施的良好范例。</w:t>
      </w:r>
    </w:p>
  </w:footnote>
  <w:footnote w:id="12">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哥伦比亚法学院人权研究所。</w:t>
      </w:r>
    </w:p>
  </w:footnote>
  <w:footnote w:id="13">
    <w:p w:rsidR="00E91901" w:rsidRPr="00DC312F"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t>Christopher Silver</w:t>
      </w:r>
      <w:r>
        <w:rPr>
          <w:rFonts w:hint="eastAsia"/>
        </w:rPr>
        <w:t>，“</w:t>
      </w:r>
      <w:r>
        <w:t>捐助方</w:t>
      </w:r>
      <w:r>
        <w:rPr>
          <w:rFonts w:hint="eastAsia"/>
        </w:rPr>
        <w:t>所为是否正确</w:t>
      </w:r>
      <w:r>
        <w:t>？印度尼西亚的</w:t>
      </w:r>
      <w:r>
        <w:rPr>
          <w:rFonts w:hint="eastAsia"/>
        </w:rPr>
        <w:t>地方分权</w:t>
      </w:r>
      <w:r>
        <w:t>和地方治理</w:t>
      </w:r>
      <w:r>
        <w:rPr>
          <w:rFonts w:hint="eastAsia"/>
        </w:rPr>
        <w:t>变局”</w:t>
      </w:r>
      <w:r>
        <w:t>，载于《全球化与城市发展》，</w:t>
      </w:r>
      <w:r>
        <w:t xml:space="preserve">Harry W. Richardson </w:t>
      </w:r>
      <w:r>
        <w:rPr>
          <w:rFonts w:hint="eastAsia"/>
        </w:rPr>
        <w:t>和</w:t>
      </w:r>
      <w:r>
        <w:t xml:space="preserve"> Chang-Hee Christine Bae</w:t>
      </w:r>
      <w:r>
        <w:rPr>
          <w:rFonts w:hint="eastAsia"/>
        </w:rPr>
        <w:t>编辑。</w:t>
      </w:r>
      <w:r>
        <w:t>(</w:t>
      </w:r>
      <w:r>
        <w:t>柏林，斯普林格出版社，</w:t>
      </w:r>
      <w:r>
        <w:t>2005</w:t>
      </w:r>
      <w:r>
        <w:t>年</w:t>
      </w:r>
      <w:r>
        <w:t>)</w:t>
      </w:r>
      <w:r>
        <w:t>。</w:t>
      </w:r>
      <w:r>
        <w:rPr>
          <w:rFonts w:hint="eastAsia"/>
        </w:rPr>
        <w:t>摘自适足住房问题特别报告员的报告，第</w:t>
      </w:r>
      <w:r>
        <w:t>25</w:t>
      </w:r>
      <w:r>
        <w:rPr>
          <w:rFonts w:hint="eastAsia"/>
        </w:rPr>
        <w:t>段。</w:t>
      </w:r>
    </w:p>
  </w:footnote>
  <w:footnote w:id="14">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这份重要文件的筹备工作始于</w:t>
      </w:r>
      <w:r>
        <w:rPr>
          <w:rFonts w:hint="eastAsia"/>
        </w:rPr>
        <w:t>1998</w:t>
      </w:r>
      <w:r>
        <w:rPr>
          <w:rFonts w:hint="eastAsia"/>
        </w:rPr>
        <w:t>年为纪念《世界人权宣言》</w:t>
      </w:r>
      <w:r>
        <w:rPr>
          <w:rFonts w:hint="eastAsia"/>
        </w:rPr>
        <w:t>50</w:t>
      </w:r>
      <w:r>
        <w:rPr>
          <w:rFonts w:hint="eastAsia"/>
        </w:rPr>
        <w:t>周年在巴塞罗那举行的“促进人权的城市”大会。数百名市长和政界代表到会，联合呼吁提高政治认可度，作为在高度城市化的世界中保障人权的关键因素。可登陆</w:t>
      </w:r>
      <w:hyperlink r:id="rId6" w:anchor="sthash.E5JeKdIt.dpuf" w:history="1">
        <w:r w:rsidR="00D9138F" w:rsidRPr="005835B2">
          <w:rPr>
            <w:rStyle w:val="ad"/>
          </w:rPr>
          <w:t>http://www.uclg-cisdp.org/en/right-to-the-city/</w:t>
        </w:r>
        <w:r w:rsidR="00D9138F" w:rsidRPr="005835B2">
          <w:rPr>
            <w:rStyle w:val="ad"/>
            <w:rFonts w:hint="eastAsia"/>
          </w:rPr>
          <w:t xml:space="preserve"> </w:t>
        </w:r>
        <w:r w:rsidR="00D9138F" w:rsidRPr="005835B2">
          <w:rPr>
            <w:rStyle w:val="ad"/>
          </w:rPr>
          <w:t>european-charter#sthash.E5JeKdIt.dpuf</w:t>
        </w:r>
      </w:hyperlink>
      <w:r>
        <w:rPr>
          <w:rFonts w:hint="eastAsia"/>
        </w:rPr>
        <w:t>查阅。</w:t>
      </w:r>
    </w:p>
  </w:footnote>
  <w:footnote w:id="15">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阿塞拜疆，人权委员学会。</w:t>
      </w:r>
    </w:p>
  </w:footnote>
  <w:footnote w:id="16">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sidRPr="009A2BAE">
        <w:rPr>
          <w:rFonts w:hint="eastAsia"/>
        </w:rPr>
        <w:t>人权教育人民运动</w:t>
      </w:r>
      <w:r>
        <w:rPr>
          <w:rFonts w:hint="eastAsia"/>
        </w:rPr>
        <w:t>开展的人权城市方案内容包括：建设</w:t>
      </w:r>
      <w:r>
        <w:rPr>
          <w:rFonts w:hint="eastAsia"/>
        </w:rPr>
        <w:t>30</w:t>
      </w:r>
      <w:r>
        <w:rPr>
          <w:rFonts w:hint="eastAsia"/>
        </w:rPr>
        <w:t>个人权城市，在</w:t>
      </w:r>
      <w:r>
        <w:rPr>
          <w:rFonts w:hint="eastAsia"/>
        </w:rPr>
        <w:t>4</w:t>
      </w:r>
      <w:r>
        <w:rPr>
          <w:rFonts w:hint="eastAsia"/>
        </w:rPr>
        <w:t>个区域人权教育进修学院培训</w:t>
      </w:r>
      <w:r>
        <w:rPr>
          <w:rFonts w:hint="eastAsia"/>
        </w:rPr>
        <w:t>500</w:t>
      </w:r>
      <w:r>
        <w:rPr>
          <w:rFonts w:hint="eastAsia"/>
        </w:rPr>
        <w:t>名青年社区领袖。</w:t>
      </w:r>
    </w:p>
  </w:footnote>
  <w:footnote w:id="17">
    <w:p w:rsidR="00E91901" w:rsidRPr="00D9138F" w:rsidRDefault="00E91901" w:rsidP="00D9138F">
      <w:pPr>
        <w:pStyle w:val="a5"/>
        <w:tabs>
          <w:tab w:val="clear" w:pos="418"/>
          <w:tab w:val="right" w:pos="1195"/>
          <w:tab w:val="left" w:pos="1264"/>
          <w:tab w:val="left" w:pos="1695"/>
          <w:tab w:val="left" w:pos="2126"/>
          <w:tab w:val="left" w:pos="2557"/>
        </w:tabs>
        <w:ind w:left="1264" w:right="1264" w:hanging="432"/>
        <w:rPr>
          <w:spacing w:val="-4"/>
        </w:rPr>
      </w:pPr>
      <w:r>
        <w:tab/>
      </w:r>
      <w:r>
        <w:rPr>
          <w:rStyle w:val="a3"/>
        </w:rPr>
        <w:footnoteRef/>
      </w:r>
      <w:r>
        <w:tab/>
      </w:r>
      <w:r w:rsidRPr="00D9138F">
        <w:rPr>
          <w:rFonts w:hint="eastAsia"/>
          <w:spacing w:val="-4"/>
        </w:rPr>
        <w:t>《光州人权城市宣言》，宣言全文可登陆</w:t>
      </w:r>
      <w:hyperlink r:id="rId7" w:history="1">
        <w:r w:rsidR="00D9138F" w:rsidRPr="005835B2">
          <w:rPr>
            <w:rStyle w:val="ad"/>
            <w:spacing w:val="-4"/>
          </w:rPr>
          <w:t>http://www.uclg-cisdp.org/sites/default/files/Gwangju_</w:t>
        </w:r>
        <w:r w:rsidR="00D9138F" w:rsidRPr="005835B2">
          <w:rPr>
            <w:rStyle w:val="ad"/>
            <w:rFonts w:hint="eastAsia"/>
            <w:spacing w:val="-4"/>
          </w:rPr>
          <w:t xml:space="preserve"> </w:t>
        </w:r>
        <w:r w:rsidR="00D9138F" w:rsidRPr="005835B2">
          <w:rPr>
            <w:rStyle w:val="ad"/>
            <w:spacing w:val="-4"/>
          </w:rPr>
          <w:t>Declaration_on_HR_City_final_edited_version_110524.pdf</w:t>
        </w:r>
      </w:hyperlink>
      <w:r w:rsidRPr="00D9138F">
        <w:rPr>
          <w:rStyle w:val="ad"/>
          <w:rFonts w:hint="eastAsia"/>
          <w:spacing w:val="-4"/>
        </w:rPr>
        <w:t>查阅。</w:t>
      </w:r>
    </w:p>
  </w:footnote>
  <w:footnote w:id="18">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其中包括：</w:t>
      </w:r>
      <w:r w:rsidRPr="009A2BAE">
        <w:rPr>
          <w:rFonts w:hint="eastAsia"/>
        </w:rPr>
        <w:t>1997</w:t>
      </w:r>
      <w:r w:rsidRPr="009A2BAE">
        <w:rPr>
          <w:rFonts w:hint="eastAsia"/>
        </w:rPr>
        <w:t>年</w:t>
      </w:r>
      <w:r>
        <w:rPr>
          <w:rFonts w:hint="eastAsia"/>
        </w:rPr>
        <w:t>成为首个</w:t>
      </w:r>
      <w:r w:rsidRPr="009A2BAE">
        <w:rPr>
          <w:rFonts w:hint="eastAsia"/>
        </w:rPr>
        <w:t>人权城市</w:t>
      </w:r>
      <w:r>
        <w:rPr>
          <w:rFonts w:hint="eastAsia"/>
        </w:rPr>
        <w:t>的</w:t>
      </w:r>
      <w:r w:rsidRPr="009A2BAE">
        <w:rPr>
          <w:rFonts w:hint="eastAsia"/>
        </w:rPr>
        <w:t>罗萨里奥（阿根廷）</w:t>
      </w:r>
      <w:r>
        <w:rPr>
          <w:rFonts w:hint="eastAsia"/>
        </w:rPr>
        <w:t>、</w:t>
      </w:r>
      <w:r w:rsidRPr="009A2BAE">
        <w:rPr>
          <w:rFonts w:hint="eastAsia"/>
        </w:rPr>
        <w:t>万隆（印度尼西亚）</w:t>
      </w:r>
      <w:r>
        <w:rPr>
          <w:rFonts w:hint="eastAsia"/>
        </w:rPr>
        <w:t>、</w:t>
      </w:r>
      <w:r w:rsidRPr="009A2BAE">
        <w:rPr>
          <w:rFonts w:hint="eastAsia"/>
        </w:rPr>
        <w:t>巴塞罗那（西班牙）</w:t>
      </w:r>
      <w:r>
        <w:rPr>
          <w:rFonts w:hint="eastAsia"/>
        </w:rPr>
        <w:t>、</w:t>
      </w:r>
      <w:r w:rsidRPr="009A2BAE">
        <w:rPr>
          <w:rFonts w:hint="eastAsia"/>
        </w:rPr>
        <w:t>比哈奇（波斯尼亚和黑塞哥维那）</w:t>
      </w:r>
      <w:r>
        <w:rPr>
          <w:rFonts w:hint="eastAsia"/>
        </w:rPr>
        <w:t>、</w:t>
      </w:r>
      <w:r w:rsidRPr="009A2BAE">
        <w:rPr>
          <w:rFonts w:hint="eastAsia"/>
        </w:rPr>
        <w:t>波哥大（哥伦比亚）</w:t>
      </w:r>
      <w:r>
        <w:rPr>
          <w:rFonts w:hint="eastAsia"/>
        </w:rPr>
        <w:t>、</w:t>
      </w:r>
      <w:r w:rsidRPr="009A2BAE">
        <w:rPr>
          <w:rFonts w:hint="eastAsia"/>
        </w:rPr>
        <w:t>邦戈（加纳）</w:t>
      </w:r>
      <w:r>
        <w:rPr>
          <w:rFonts w:hint="eastAsia"/>
        </w:rPr>
        <w:t>、</w:t>
      </w:r>
      <w:r w:rsidRPr="009A2BAE">
        <w:rPr>
          <w:rFonts w:hint="eastAsia"/>
        </w:rPr>
        <w:t>哥本哈根（丹麦）</w:t>
      </w:r>
      <w:r>
        <w:rPr>
          <w:rFonts w:hint="eastAsia"/>
        </w:rPr>
        <w:t>、</w:t>
      </w:r>
      <w:r w:rsidRPr="009A2BAE">
        <w:rPr>
          <w:rFonts w:hint="eastAsia"/>
        </w:rPr>
        <w:t>格拉茨（奥地利）</w:t>
      </w:r>
      <w:r>
        <w:rPr>
          <w:rFonts w:hint="eastAsia"/>
        </w:rPr>
        <w:t>、</w:t>
      </w:r>
      <w:r w:rsidRPr="009A2BAE">
        <w:rPr>
          <w:rFonts w:hint="eastAsia"/>
        </w:rPr>
        <w:t>光州（</w:t>
      </w:r>
      <w:r>
        <w:rPr>
          <w:rFonts w:hint="eastAsia"/>
        </w:rPr>
        <w:t>大韩民国</w:t>
      </w:r>
      <w:r w:rsidRPr="009A2BAE">
        <w:rPr>
          <w:rFonts w:hint="eastAsia"/>
        </w:rPr>
        <w:t>）</w:t>
      </w:r>
      <w:r>
        <w:rPr>
          <w:rFonts w:hint="eastAsia"/>
        </w:rPr>
        <w:t>、</w:t>
      </w:r>
      <w:r w:rsidRPr="009A2BAE">
        <w:rPr>
          <w:rFonts w:hint="eastAsia"/>
        </w:rPr>
        <w:t>高雄（中国台湾省）</w:t>
      </w:r>
      <w:r>
        <w:rPr>
          <w:rFonts w:hint="eastAsia"/>
        </w:rPr>
        <w:t>、</w:t>
      </w:r>
      <w:r w:rsidRPr="009A2BAE">
        <w:rPr>
          <w:rFonts w:hint="eastAsia"/>
        </w:rPr>
        <w:t>卡蒂（马里）</w:t>
      </w:r>
      <w:r>
        <w:rPr>
          <w:rFonts w:hint="eastAsia"/>
        </w:rPr>
        <w:t>、</w:t>
      </w:r>
      <w:r w:rsidRPr="009A2BAE">
        <w:rPr>
          <w:rFonts w:hint="eastAsia"/>
        </w:rPr>
        <w:t>科罗戈乔（肯尼亚）</w:t>
      </w:r>
      <w:r>
        <w:rPr>
          <w:rFonts w:hint="eastAsia"/>
        </w:rPr>
        <w:t>、</w:t>
      </w:r>
      <w:r w:rsidRPr="009A2BAE">
        <w:rPr>
          <w:rFonts w:hint="eastAsia"/>
        </w:rPr>
        <w:t>墨西哥城（墨西哥）</w:t>
      </w:r>
      <w:r>
        <w:rPr>
          <w:rFonts w:hint="eastAsia"/>
        </w:rPr>
        <w:t>、莫加勒</w:t>
      </w:r>
      <w:r w:rsidRPr="009A2BAE">
        <w:rPr>
          <w:rFonts w:hint="eastAsia"/>
        </w:rPr>
        <w:t>（南非）</w:t>
      </w:r>
      <w:r>
        <w:rPr>
          <w:rFonts w:hint="eastAsia"/>
        </w:rPr>
        <w:t>、</w:t>
      </w:r>
      <w:r w:rsidRPr="009A2BAE">
        <w:rPr>
          <w:rFonts w:hint="eastAsia"/>
        </w:rPr>
        <w:t>蒙特利尔（加拿大）</w:t>
      </w:r>
      <w:r>
        <w:rPr>
          <w:rFonts w:hint="eastAsia"/>
        </w:rPr>
        <w:t>、</w:t>
      </w:r>
      <w:r w:rsidRPr="009A2BAE">
        <w:rPr>
          <w:rFonts w:hint="eastAsia"/>
        </w:rPr>
        <w:t>那格浦尔（印度）</w:t>
      </w:r>
      <w:r>
        <w:rPr>
          <w:rFonts w:hint="eastAsia"/>
        </w:rPr>
        <w:t>、</w:t>
      </w:r>
      <w:r w:rsidRPr="009A2BAE">
        <w:rPr>
          <w:rFonts w:hint="eastAsia"/>
        </w:rPr>
        <w:t>阿雷格里港（巴西）</w:t>
      </w:r>
      <w:r>
        <w:rPr>
          <w:rFonts w:hint="eastAsia"/>
        </w:rPr>
        <w:t>、</w:t>
      </w:r>
      <w:r w:rsidRPr="009A2BAE">
        <w:rPr>
          <w:rFonts w:hint="eastAsia"/>
        </w:rPr>
        <w:t>马里兰州乔治王子县（美国）</w:t>
      </w:r>
      <w:r>
        <w:rPr>
          <w:rFonts w:hint="eastAsia"/>
        </w:rPr>
        <w:t>、</w:t>
      </w:r>
      <w:r w:rsidRPr="009A2BAE">
        <w:rPr>
          <w:rFonts w:hint="eastAsia"/>
        </w:rPr>
        <w:t>圣</w:t>
      </w:r>
      <w:r>
        <w:rPr>
          <w:rFonts w:hint="eastAsia"/>
        </w:rPr>
        <w:t>丹</w:t>
      </w:r>
      <w:r w:rsidRPr="009A2BAE">
        <w:rPr>
          <w:rFonts w:hint="eastAsia"/>
        </w:rPr>
        <w:t>尼（法国）</w:t>
      </w:r>
      <w:r>
        <w:rPr>
          <w:rFonts w:hint="eastAsia"/>
        </w:rPr>
        <w:t>、堺市</w:t>
      </w:r>
      <w:r w:rsidRPr="009A2BAE">
        <w:rPr>
          <w:rFonts w:hint="eastAsia"/>
        </w:rPr>
        <w:t>（日本）</w:t>
      </w:r>
      <w:r>
        <w:rPr>
          <w:rFonts w:hint="eastAsia"/>
        </w:rPr>
        <w:t>、</w:t>
      </w:r>
      <w:r w:rsidRPr="009A2BAE">
        <w:rPr>
          <w:rFonts w:hint="eastAsia"/>
        </w:rPr>
        <w:t>捷斯（塞内加尔）</w:t>
      </w:r>
      <w:r>
        <w:rPr>
          <w:rFonts w:hint="eastAsia"/>
        </w:rPr>
        <w:t>、</w:t>
      </w:r>
      <w:r w:rsidRPr="009A2BAE">
        <w:rPr>
          <w:rFonts w:hint="eastAsia"/>
        </w:rPr>
        <w:t>乌得勒支（荷兰）</w:t>
      </w:r>
      <w:r>
        <w:rPr>
          <w:rFonts w:hint="eastAsia"/>
        </w:rPr>
        <w:t>、</w:t>
      </w:r>
      <w:r w:rsidRPr="009A2BAE">
        <w:rPr>
          <w:rFonts w:hint="eastAsia"/>
        </w:rPr>
        <w:t>维多利亚（澳大利亚）。</w:t>
      </w:r>
    </w:p>
  </w:footnote>
  <w:footnote w:id="19">
    <w:p w:rsidR="00E91901" w:rsidRPr="00014863"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rsidRPr="00014863">
        <w:tab/>
      </w:r>
      <w:r w:rsidRPr="00605F50">
        <w:rPr>
          <w:rFonts w:hint="eastAsia"/>
          <w:lang w:val="fr-CH"/>
        </w:rPr>
        <w:t>亨利</w:t>
      </w:r>
      <w:r w:rsidRPr="00014863">
        <w:rPr>
          <w:rFonts w:hint="eastAsia"/>
        </w:rPr>
        <w:t>·</w:t>
      </w:r>
      <w:r w:rsidRPr="00605F50">
        <w:rPr>
          <w:rFonts w:hint="eastAsia"/>
          <w:lang w:val="fr-CH"/>
        </w:rPr>
        <w:t>列菲弗尔</w:t>
      </w:r>
      <w:r w:rsidRPr="00014863">
        <w:rPr>
          <w:rFonts w:hint="eastAsia"/>
        </w:rPr>
        <w:t>（</w:t>
      </w:r>
      <w:r w:rsidRPr="00014863">
        <w:t>Henri Lefebvre</w:t>
      </w:r>
      <w:r w:rsidRPr="00014863">
        <w:rPr>
          <w:rFonts w:hint="eastAsia"/>
        </w:rPr>
        <w:t>）</w:t>
      </w:r>
      <w:r w:rsidRPr="00014863">
        <w:t xml:space="preserve">, </w:t>
      </w:r>
      <w:r w:rsidRPr="00014863">
        <w:rPr>
          <w:i/>
          <w:iCs/>
        </w:rPr>
        <w:t>Le Droit à la Ville</w:t>
      </w:r>
      <w:r w:rsidRPr="00014863">
        <w:t xml:space="preserve"> (Paris, Ed. du Seuil, 1968)</w:t>
      </w:r>
      <w:r>
        <w:rPr>
          <w:rFonts w:hint="eastAsia"/>
          <w:lang w:val="fr-CH"/>
        </w:rPr>
        <w:t>。</w:t>
      </w:r>
    </w:p>
  </w:footnote>
  <w:footnote w:id="20">
    <w:p w:rsidR="00E91901" w:rsidRPr="00014863" w:rsidRDefault="00E91901" w:rsidP="00D9138F">
      <w:pPr>
        <w:pStyle w:val="a5"/>
        <w:tabs>
          <w:tab w:val="clear" w:pos="418"/>
          <w:tab w:val="right" w:pos="1195"/>
          <w:tab w:val="left" w:pos="1264"/>
          <w:tab w:val="left" w:pos="1695"/>
          <w:tab w:val="left" w:pos="2126"/>
          <w:tab w:val="left" w:pos="2557"/>
        </w:tabs>
        <w:ind w:left="1264" w:right="1264" w:hanging="432"/>
      </w:pPr>
      <w:r w:rsidRPr="00014863">
        <w:tab/>
      </w:r>
      <w:r>
        <w:rPr>
          <w:rStyle w:val="a3"/>
        </w:rPr>
        <w:footnoteRef/>
      </w:r>
      <w:r w:rsidRPr="00014863">
        <w:tab/>
      </w:r>
      <w:r>
        <w:t>国际人居联盟</w:t>
      </w:r>
      <w:r>
        <w:rPr>
          <w:rFonts w:hint="eastAsia"/>
        </w:rPr>
        <w:t>及其住房和土地权网络过去十年来一直在努力宣传</w:t>
      </w:r>
      <w:r w:rsidRPr="00014863">
        <w:rPr>
          <w:rFonts w:hint="eastAsia"/>
        </w:rPr>
        <w:t>“</w:t>
      </w:r>
      <w:r>
        <w:rPr>
          <w:rFonts w:hint="eastAsia"/>
        </w:rPr>
        <w:t>城市权</w:t>
      </w:r>
      <w:r w:rsidRPr="00014863">
        <w:rPr>
          <w:rFonts w:hint="eastAsia"/>
        </w:rPr>
        <w:t>”</w:t>
      </w:r>
      <w:r>
        <w:rPr>
          <w:rFonts w:hint="eastAsia"/>
          <w:lang w:val="fr-CH"/>
        </w:rPr>
        <w:t>并为之拟订定义。</w:t>
      </w:r>
    </w:p>
  </w:footnote>
  <w:footnote w:id="21">
    <w:p w:rsidR="00E91901" w:rsidRDefault="00E91901" w:rsidP="00D9138F">
      <w:pPr>
        <w:pStyle w:val="a5"/>
        <w:tabs>
          <w:tab w:val="clear" w:pos="418"/>
          <w:tab w:val="right" w:pos="1195"/>
          <w:tab w:val="left" w:pos="1264"/>
          <w:tab w:val="left" w:pos="1695"/>
          <w:tab w:val="left" w:pos="2126"/>
          <w:tab w:val="left" w:pos="2557"/>
        </w:tabs>
        <w:ind w:left="1264" w:right="1264" w:hanging="432"/>
      </w:pPr>
      <w:r w:rsidRPr="00014863">
        <w:tab/>
      </w:r>
      <w:r>
        <w:rPr>
          <w:rStyle w:val="a3"/>
        </w:rPr>
        <w:footnoteRef/>
      </w:r>
      <w:r>
        <w:tab/>
      </w:r>
      <w:r>
        <w:rPr>
          <w:rFonts w:hint="eastAsia"/>
        </w:rPr>
        <w:t>全文可登陆</w:t>
      </w:r>
      <w:hyperlink r:id="rId8" w:history="1">
        <w:r w:rsidRPr="008A23B8">
          <w:rPr>
            <w:rStyle w:val="ad"/>
          </w:rPr>
          <w:t>http://portal.unesco.org</w:t>
        </w:r>
      </w:hyperlink>
      <w:r>
        <w:t xml:space="preserve">, </w:t>
      </w:r>
      <w:r w:rsidRPr="007832E9">
        <w:t>http://www.urbanreinventors.net/3/wsf.pdf</w:t>
      </w:r>
      <w:r w:rsidRPr="00536AF3">
        <w:t xml:space="preserve"> and </w:t>
      </w:r>
      <w:hyperlink r:id="rId9" w:history="1">
        <w:r w:rsidRPr="00180E39">
          <w:rPr>
            <w:rStyle w:val="ad"/>
          </w:rPr>
          <w:t>www.hic-net.org</w:t>
        </w:r>
      </w:hyperlink>
      <w:r>
        <w:rPr>
          <w:rFonts w:hint="eastAsia"/>
        </w:rPr>
        <w:t>查阅。</w:t>
      </w:r>
    </w:p>
  </w:footnote>
  <w:footnote w:id="22">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《宪章》由</w:t>
      </w:r>
      <w:r>
        <w:rPr>
          <w:rFonts w:ascii="S" w:hAnsi="S"/>
        </w:rPr>
        <w:t>城市和地方政府联合会</w:t>
      </w:r>
      <w:r w:rsidRPr="00536AF3">
        <w:t>(UCLG)</w:t>
      </w:r>
      <w:r>
        <w:rPr>
          <w:rFonts w:hint="eastAsia"/>
        </w:rPr>
        <w:t>社会融合、参与式民主和人权委员会起草。</w:t>
      </w:r>
      <w:r>
        <w:rPr>
          <w:rFonts w:hint="eastAsia"/>
        </w:rPr>
        <w:t>2011</w:t>
      </w:r>
      <w:r>
        <w:rPr>
          <w:rFonts w:hint="eastAsia"/>
        </w:rPr>
        <w:t>年由当选的代表、专家和来自世界各地的民间社会代表讨论并通过。</w:t>
      </w:r>
    </w:p>
  </w:footnote>
  <w:footnote w:id="23">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乔治王子县人类关系委员会。</w:t>
      </w:r>
    </w:p>
  </w:footnote>
  <w:footnote w:id="24">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土耳其伊斯坦布尔比尔基大学人权法研究中心。</w:t>
      </w:r>
    </w:p>
  </w:footnote>
  <w:footnote w:id="25">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澳大利亚基础设施和区域发展部。</w:t>
      </w:r>
    </w:p>
  </w:footnote>
  <w:footnote w:id="26">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sidRPr="00984B5D">
        <w:rPr>
          <w:rFonts w:hint="eastAsia"/>
        </w:rPr>
        <w:t>罗萨里奥</w:t>
      </w:r>
      <w:r>
        <w:rPr>
          <w:rFonts w:hint="eastAsia"/>
        </w:rPr>
        <w:t>（</w:t>
      </w:r>
      <w:r w:rsidRPr="00984B5D">
        <w:rPr>
          <w:rFonts w:hint="eastAsia"/>
        </w:rPr>
        <w:t>阿根廷</w:t>
      </w:r>
      <w:r>
        <w:rPr>
          <w:rFonts w:hint="eastAsia"/>
        </w:rPr>
        <w:t>）；</w:t>
      </w:r>
      <w:r w:rsidRPr="00984B5D">
        <w:rPr>
          <w:rFonts w:hint="eastAsia"/>
        </w:rPr>
        <w:t>格拉茨</w:t>
      </w:r>
      <w:r>
        <w:rPr>
          <w:rFonts w:hint="eastAsia"/>
        </w:rPr>
        <w:t>（</w:t>
      </w:r>
      <w:r w:rsidRPr="00984B5D">
        <w:rPr>
          <w:rFonts w:hint="eastAsia"/>
        </w:rPr>
        <w:t>奥地利</w:t>
      </w:r>
      <w:r>
        <w:rPr>
          <w:rFonts w:hint="eastAsia"/>
        </w:rPr>
        <w:t>）；</w:t>
      </w:r>
      <w:r w:rsidRPr="00984B5D">
        <w:rPr>
          <w:rFonts w:hint="eastAsia"/>
        </w:rPr>
        <w:t>圣克鲁斯</w:t>
      </w:r>
      <w:r>
        <w:rPr>
          <w:rFonts w:hint="eastAsia"/>
        </w:rPr>
        <w:t>（</w:t>
      </w:r>
      <w:r w:rsidRPr="00984B5D">
        <w:rPr>
          <w:rFonts w:hint="eastAsia"/>
        </w:rPr>
        <w:t>多民族玻利维亚国</w:t>
      </w:r>
      <w:r>
        <w:rPr>
          <w:rFonts w:hint="eastAsia"/>
        </w:rPr>
        <w:t>）；</w:t>
      </w:r>
      <w:r w:rsidRPr="00984B5D">
        <w:rPr>
          <w:rFonts w:hint="eastAsia"/>
        </w:rPr>
        <w:t>比哈奇</w:t>
      </w:r>
      <w:r>
        <w:rPr>
          <w:rFonts w:hint="eastAsia"/>
        </w:rPr>
        <w:t>（</w:t>
      </w:r>
      <w:r w:rsidRPr="00984B5D">
        <w:rPr>
          <w:rFonts w:hint="eastAsia"/>
        </w:rPr>
        <w:t>波斯尼亚和黑塞哥维那</w:t>
      </w:r>
      <w:r>
        <w:rPr>
          <w:rFonts w:hint="eastAsia"/>
        </w:rPr>
        <w:t>）；</w:t>
      </w:r>
      <w:r w:rsidRPr="00984B5D">
        <w:rPr>
          <w:rFonts w:hint="eastAsia"/>
        </w:rPr>
        <w:t>阿雷格里港</w:t>
      </w:r>
      <w:r>
        <w:rPr>
          <w:rFonts w:hint="eastAsia"/>
        </w:rPr>
        <w:t>（巴西）；</w:t>
      </w:r>
      <w:r w:rsidRPr="00984B5D">
        <w:rPr>
          <w:rFonts w:hint="eastAsia"/>
        </w:rPr>
        <w:t>埃德蒙顿</w:t>
      </w:r>
      <w:r>
        <w:rPr>
          <w:rFonts w:hint="eastAsia"/>
        </w:rPr>
        <w:t>、</w:t>
      </w:r>
      <w:r w:rsidRPr="00984B5D">
        <w:rPr>
          <w:rFonts w:hint="eastAsia"/>
        </w:rPr>
        <w:t>温尼伯</w:t>
      </w:r>
      <w:r>
        <w:rPr>
          <w:rFonts w:hint="eastAsia"/>
        </w:rPr>
        <w:t>（</w:t>
      </w:r>
      <w:r w:rsidRPr="00984B5D">
        <w:rPr>
          <w:rFonts w:hint="eastAsia"/>
        </w:rPr>
        <w:t>加拿大</w:t>
      </w:r>
      <w:r>
        <w:rPr>
          <w:rFonts w:hint="eastAsia"/>
        </w:rPr>
        <w:t>）；</w:t>
      </w:r>
      <w:r w:rsidRPr="00984B5D">
        <w:rPr>
          <w:rFonts w:hint="eastAsia"/>
        </w:rPr>
        <w:t>特木科及瓦尔帕莱索</w:t>
      </w:r>
      <w:r>
        <w:rPr>
          <w:rFonts w:hint="eastAsia"/>
        </w:rPr>
        <w:t>（</w:t>
      </w:r>
      <w:r w:rsidRPr="00984B5D">
        <w:rPr>
          <w:rFonts w:hint="eastAsia"/>
        </w:rPr>
        <w:t>智利</w:t>
      </w:r>
      <w:r>
        <w:rPr>
          <w:rFonts w:hint="eastAsia"/>
        </w:rPr>
        <w:t>）；</w:t>
      </w:r>
      <w:r w:rsidRPr="00984B5D">
        <w:rPr>
          <w:rFonts w:hint="eastAsia"/>
        </w:rPr>
        <w:t>邦戈</w:t>
      </w:r>
      <w:r>
        <w:rPr>
          <w:rFonts w:hint="eastAsia"/>
        </w:rPr>
        <w:t>、</w:t>
      </w:r>
      <w:r w:rsidRPr="00984B5D">
        <w:rPr>
          <w:rFonts w:hint="eastAsia"/>
        </w:rPr>
        <w:t>牛顿</w:t>
      </w:r>
      <w:r>
        <w:rPr>
          <w:rFonts w:hint="eastAsia"/>
        </w:rPr>
        <w:t>、瓦城、尼马莫比、</w:t>
      </w:r>
      <w:r w:rsidRPr="008C0581">
        <w:rPr>
          <w:rFonts w:hint="eastAsia"/>
        </w:rPr>
        <w:t>瓦莱瓦莱</w:t>
      </w:r>
      <w:r>
        <w:rPr>
          <w:rFonts w:hint="eastAsia"/>
        </w:rPr>
        <w:t>（</w:t>
      </w:r>
      <w:r w:rsidRPr="00984B5D">
        <w:rPr>
          <w:rFonts w:hint="eastAsia"/>
        </w:rPr>
        <w:t>加纳</w:t>
      </w:r>
      <w:r>
        <w:rPr>
          <w:rFonts w:hint="eastAsia"/>
        </w:rPr>
        <w:t>）；</w:t>
      </w:r>
      <w:r w:rsidRPr="00984B5D">
        <w:rPr>
          <w:rFonts w:hint="eastAsia"/>
        </w:rPr>
        <w:t>那格浦尔</w:t>
      </w:r>
      <w:r>
        <w:rPr>
          <w:rFonts w:hint="eastAsia"/>
        </w:rPr>
        <w:t>（</w:t>
      </w:r>
      <w:r w:rsidRPr="00984B5D">
        <w:rPr>
          <w:rFonts w:hint="eastAsia"/>
        </w:rPr>
        <w:t>印度</w:t>
      </w:r>
      <w:r>
        <w:rPr>
          <w:rFonts w:hint="eastAsia"/>
        </w:rPr>
        <w:t>）；</w:t>
      </w:r>
      <w:r w:rsidRPr="00984B5D">
        <w:rPr>
          <w:rFonts w:hint="eastAsia"/>
        </w:rPr>
        <w:t>科罗戈乔</w:t>
      </w:r>
      <w:r>
        <w:rPr>
          <w:rFonts w:hint="eastAsia"/>
        </w:rPr>
        <w:t>（</w:t>
      </w:r>
      <w:r w:rsidRPr="00984B5D">
        <w:rPr>
          <w:rFonts w:hint="eastAsia"/>
        </w:rPr>
        <w:t>肯尼亚</w:t>
      </w:r>
      <w:r>
        <w:rPr>
          <w:rFonts w:hint="eastAsia"/>
        </w:rPr>
        <w:t>）、基塔、</w:t>
      </w:r>
      <w:r w:rsidRPr="00984B5D">
        <w:rPr>
          <w:rFonts w:hint="eastAsia"/>
        </w:rPr>
        <w:t>卡蒂</w:t>
      </w:r>
      <w:r>
        <w:rPr>
          <w:rFonts w:hint="eastAsia"/>
        </w:rPr>
        <w:t>、</w:t>
      </w:r>
      <w:r w:rsidRPr="00984B5D">
        <w:rPr>
          <w:rFonts w:hint="eastAsia"/>
        </w:rPr>
        <w:t>卡耶</w:t>
      </w:r>
      <w:r>
        <w:rPr>
          <w:rFonts w:hint="eastAsia"/>
        </w:rPr>
        <w:t>、</w:t>
      </w:r>
      <w:r w:rsidRPr="00984B5D">
        <w:rPr>
          <w:rFonts w:hint="eastAsia"/>
        </w:rPr>
        <w:t>锡卡索</w:t>
      </w:r>
      <w:r>
        <w:rPr>
          <w:rFonts w:hint="eastAsia"/>
        </w:rPr>
        <w:t>、廷巴克图（</w:t>
      </w:r>
      <w:r w:rsidRPr="00984B5D">
        <w:rPr>
          <w:rFonts w:hint="eastAsia"/>
        </w:rPr>
        <w:t>马里</w:t>
      </w:r>
      <w:r>
        <w:rPr>
          <w:rFonts w:hint="eastAsia"/>
        </w:rPr>
        <w:t>）；布凯市（</w:t>
      </w:r>
      <w:r w:rsidRPr="00984B5D">
        <w:rPr>
          <w:rFonts w:hint="eastAsia"/>
        </w:rPr>
        <w:t>菲律宾</w:t>
      </w:r>
      <w:r>
        <w:rPr>
          <w:rFonts w:hint="eastAsia"/>
        </w:rPr>
        <w:t>）；穆沙（</w:t>
      </w:r>
      <w:r w:rsidRPr="00984B5D">
        <w:rPr>
          <w:rFonts w:hint="eastAsia"/>
        </w:rPr>
        <w:t>卢旺达</w:t>
      </w:r>
      <w:r>
        <w:rPr>
          <w:rFonts w:hint="eastAsia"/>
        </w:rPr>
        <w:t>）；捷斯（</w:t>
      </w:r>
      <w:r w:rsidRPr="00984B5D">
        <w:rPr>
          <w:rFonts w:hint="eastAsia"/>
        </w:rPr>
        <w:t>塞内加尔</w:t>
      </w:r>
      <w:r>
        <w:rPr>
          <w:rFonts w:hint="eastAsia"/>
        </w:rPr>
        <w:t>）；</w:t>
      </w:r>
      <w:r w:rsidRPr="008C0581">
        <w:rPr>
          <w:rFonts w:hint="eastAsia"/>
        </w:rPr>
        <w:t>莫加勒（南非）</w:t>
      </w:r>
      <w:r>
        <w:rPr>
          <w:rFonts w:hint="eastAsia"/>
        </w:rPr>
        <w:t>；</w:t>
      </w:r>
      <w:r w:rsidRPr="00984B5D">
        <w:rPr>
          <w:rFonts w:hint="eastAsia"/>
        </w:rPr>
        <w:t>高雄</w:t>
      </w:r>
      <w:r>
        <w:rPr>
          <w:rFonts w:hint="eastAsia"/>
        </w:rPr>
        <w:t>（</w:t>
      </w:r>
      <w:r w:rsidRPr="00984B5D">
        <w:rPr>
          <w:rFonts w:hint="eastAsia"/>
        </w:rPr>
        <w:t>中国台湾省</w:t>
      </w:r>
      <w:r>
        <w:rPr>
          <w:rFonts w:hint="eastAsia"/>
        </w:rPr>
        <w:t>）。</w:t>
      </w:r>
    </w:p>
  </w:footnote>
  <w:footnote w:id="27">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奥地利欧洲人权与民主培训研究中心。</w:t>
      </w:r>
    </w:p>
  </w:footnote>
  <w:footnote w:id="28">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同上。</w:t>
      </w:r>
    </w:p>
  </w:footnote>
  <w:footnote w:id="29">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哥伦比亚法学院人权研究所。</w:t>
      </w:r>
    </w:p>
  </w:footnote>
  <w:footnote w:id="30">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丹麦，丹麦人权学会，关于地方政府与人权的调查问卷，可登陆</w:t>
      </w:r>
      <w:hyperlink r:id="rId10" w:history="1">
        <w:r w:rsidR="00D9138F" w:rsidRPr="005835B2">
          <w:rPr>
            <w:rStyle w:val="ad"/>
          </w:rPr>
          <w:t>http://www.ohchr.org/</w:t>
        </w:r>
        <w:r w:rsidR="00D9138F" w:rsidRPr="005835B2">
          <w:rPr>
            <w:rStyle w:val="ad"/>
            <w:rFonts w:hint="eastAsia"/>
          </w:rPr>
          <w:t xml:space="preserve"> </w:t>
        </w:r>
        <w:r w:rsidR="00D9138F" w:rsidRPr="005835B2">
          <w:rPr>
            <w:rStyle w:val="ad"/>
          </w:rPr>
          <w:t>Documents/HRBodies/HRCouncil/AdvisoryCom/LocalGvt/Denmark%20-%20Danish%20Institute%20for%20Human%20Rights.pdf</w:t>
        </w:r>
      </w:hyperlink>
      <w:r>
        <w:rPr>
          <w:rFonts w:hint="eastAsia"/>
        </w:rPr>
        <w:t>查阅。</w:t>
      </w:r>
    </w:p>
  </w:footnote>
  <w:footnote w:id="31">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旧金山市妇女地位部。</w:t>
      </w:r>
    </w:p>
  </w:footnote>
  <w:footnote w:id="32">
    <w:p w:rsidR="00E91901" w:rsidRDefault="00E91901" w:rsidP="00D9138F">
      <w:pPr>
        <w:pStyle w:val="a5"/>
        <w:tabs>
          <w:tab w:val="clear" w:pos="418"/>
          <w:tab w:val="right" w:pos="1195"/>
          <w:tab w:val="left" w:pos="1264"/>
          <w:tab w:val="left" w:pos="1695"/>
          <w:tab w:val="left" w:pos="2126"/>
          <w:tab w:val="left" w:pos="2557"/>
        </w:tabs>
        <w:ind w:left="1264" w:right="1264" w:hanging="432"/>
      </w:pPr>
      <w:r>
        <w:tab/>
      </w:r>
      <w:r>
        <w:rPr>
          <w:rStyle w:val="a3"/>
        </w:rPr>
        <w:footnoteRef/>
      </w:r>
      <w:r>
        <w:tab/>
      </w:r>
      <w:r>
        <w:rPr>
          <w:rFonts w:hint="eastAsia"/>
        </w:rPr>
        <w:t>地方政府与人权：提供良好服务，第</w:t>
      </w:r>
      <w:r>
        <w:rPr>
          <w:rFonts w:hint="eastAsia"/>
        </w:rPr>
        <w:t>76</w:t>
      </w:r>
      <w:r>
        <w:rPr>
          <w:rFonts w:hint="eastAsia"/>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44290" w:rsidTr="00C44290">
      <w:trPr>
        <w:trHeight w:hRule="exact" w:val="864"/>
        <w:jc w:val="center"/>
      </w:trPr>
      <w:tc>
        <w:tcPr>
          <w:tcW w:w="4882" w:type="dxa"/>
          <w:shd w:val="clear" w:color="auto" w:fill="auto"/>
          <w:vAlign w:val="bottom"/>
        </w:tcPr>
        <w:p w:rsidR="00C44290" w:rsidRPr="00C44290" w:rsidRDefault="00C44290" w:rsidP="00C44290">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457E6F">
            <w:rPr>
              <w:b/>
              <w:sz w:val="17"/>
            </w:rPr>
            <w:t>A/HRC/30/49</w:t>
          </w:r>
          <w:r>
            <w:rPr>
              <w:b/>
              <w:sz w:val="17"/>
            </w:rPr>
            <w:fldChar w:fldCharType="end"/>
          </w:r>
        </w:p>
      </w:tc>
      <w:tc>
        <w:tcPr>
          <w:tcW w:w="5127" w:type="dxa"/>
          <w:shd w:val="clear" w:color="auto" w:fill="auto"/>
          <w:vAlign w:val="bottom"/>
        </w:tcPr>
        <w:p w:rsidR="00C44290" w:rsidRDefault="00C44290" w:rsidP="00C44290">
          <w:pPr>
            <w:pStyle w:val="ab"/>
          </w:pPr>
        </w:p>
      </w:tc>
    </w:tr>
  </w:tbl>
  <w:p w:rsidR="00C44290" w:rsidRPr="00C44290" w:rsidRDefault="00C44290" w:rsidP="00C4429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44290" w:rsidTr="00C44290">
      <w:trPr>
        <w:trHeight w:hRule="exact" w:val="864"/>
        <w:jc w:val="center"/>
      </w:trPr>
      <w:tc>
        <w:tcPr>
          <w:tcW w:w="4882" w:type="dxa"/>
          <w:shd w:val="clear" w:color="auto" w:fill="auto"/>
          <w:vAlign w:val="bottom"/>
        </w:tcPr>
        <w:p w:rsidR="00C44290" w:rsidRDefault="00C44290" w:rsidP="00C44290">
          <w:pPr>
            <w:pStyle w:val="ab"/>
          </w:pPr>
        </w:p>
      </w:tc>
      <w:tc>
        <w:tcPr>
          <w:tcW w:w="5127" w:type="dxa"/>
          <w:shd w:val="clear" w:color="auto" w:fill="auto"/>
          <w:vAlign w:val="bottom"/>
        </w:tcPr>
        <w:p w:rsidR="00C44290" w:rsidRPr="00C44290" w:rsidRDefault="00C44290" w:rsidP="00C44290">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457E6F">
            <w:rPr>
              <w:b/>
              <w:sz w:val="17"/>
            </w:rPr>
            <w:t>A/HRC/30/49</w:t>
          </w:r>
          <w:r>
            <w:rPr>
              <w:b/>
              <w:sz w:val="17"/>
            </w:rPr>
            <w:fldChar w:fldCharType="end"/>
          </w:r>
        </w:p>
      </w:tc>
    </w:tr>
  </w:tbl>
  <w:p w:rsidR="00C44290" w:rsidRPr="00C44290" w:rsidRDefault="00C44290" w:rsidP="00C4429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C44290" w:rsidTr="00C44290">
      <w:trPr>
        <w:trHeight w:hRule="exact" w:val="864"/>
      </w:trPr>
      <w:tc>
        <w:tcPr>
          <w:tcW w:w="1267" w:type="dxa"/>
          <w:tcBorders>
            <w:bottom w:val="single" w:sz="4" w:space="0" w:color="auto"/>
          </w:tcBorders>
          <w:shd w:val="clear" w:color="auto" w:fill="auto"/>
          <w:vAlign w:val="bottom"/>
        </w:tcPr>
        <w:p w:rsidR="00C44290" w:rsidRDefault="00C44290" w:rsidP="00C44290">
          <w:pPr>
            <w:pStyle w:val="ab"/>
            <w:spacing w:after="120"/>
          </w:pPr>
        </w:p>
      </w:tc>
      <w:tc>
        <w:tcPr>
          <w:tcW w:w="1872" w:type="dxa"/>
          <w:tcBorders>
            <w:bottom w:val="single" w:sz="4" w:space="0" w:color="auto"/>
          </w:tcBorders>
          <w:shd w:val="clear" w:color="auto" w:fill="auto"/>
          <w:vAlign w:val="bottom"/>
        </w:tcPr>
        <w:p w:rsidR="00C44290" w:rsidRPr="00C44290" w:rsidRDefault="00C44290" w:rsidP="00C44290">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C44290" w:rsidRDefault="00C44290" w:rsidP="00C44290">
          <w:pPr>
            <w:pStyle w:val="ab"/>
            <w:spacing w:after="120"/>
          </w:pPr>
        </w:p>
      </w:tc>
      <w:tc>
        <w:tcPr>
          <w:tcW w:w="6653" w:type="dxa"/>
          <w:gridSpan w:val="4"/>
          <w:tcBorders>
            <w:bottom w:val="single" w:sz="4" w:space="0" w:color="auto"/>
          </w:tcBorders>
          <w:shd w:val="clear" w:color="auto" w:fill="auto"/>
          <w:vAlign w:val="bottom"/>
        </w:tcPr>
        <w:p w:rsidR="00C44290" w:rsidRPr="00C44290" w:rsidRDefault="00C44290" w:rsidP="00C44290">
          <w:pPr>
            <w:spacing w:after="80" w:line="240" w:lineRule="auto"/>
            <w:jc w:val="right"/>
            <w:rPr>
              <w:position w:val="-4"/>
            </w:rPr>
          </w:pPr>
          <w:r>
            <w:rPr>
              <w:position w:val="-4"/>
              <w:sz w:val="40"/>
            </w:rPr>
            <w:t>A</w:t>
          </w:r>
          <w:r>
            <w:rPr>
              <w:position w:val="-4"/>
            </w:rPr>
            <w:t>/HRC/30/49</w:t>
          </w:r>
        </w:p>
      </w:tc>
    </w:tr>
    <w:tr w:rsidR="00C44290" w:rsidRPr="00C44290" w:rsidTr="00C44290">
      <w:trPr>
        <w:gridAfter w:val="1"/>
        <w:wAfter w:w="18" w:type="dxa"/>
        <w:trHeight w:hRule="exact" w:val="2880"/>
      </w:trPr>
      <w:tc>
        <w:tcPr>
          <w:tcW w:w="1267" w:type="dxa"/>
          <w:tcBorders>
            <w:top w:val="single" w:sz="4" w:space="0" w:color="auto"/>
            <w:bottom w:val="single" w:sz="12" w:space="0" w:color="auto"/>
          </w:tcBorders>
          <w:shd w:val="clear" w:color="auto" w:fill="auto"/>
        </w:tcPr>
        <w:p w:rsidR="00C44290" w:rsidRPr="00C44290" w:rsidRDefault="00C44290" w:rsidP="00C44290">
          <w:pPr>
            <w:pStyle w:val="ab"/>
            <w:spacing w:before="109"/>
            <w:ind w:left="-72"/>
          </w:pPr>
          <w:r>
            <w:t xml:space="preserve"> </w:t>
          </w:r>
          <w:r>
            <w:drawing>
              <wp:inline distT="0" distB="0" distL="0" distR="0" wp14:anchorId="7573A04C" wp14:editId="6FD978B8">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44290" w:rsidRPr="00C44290" w:rsidRDefault="00C44290" w:rsidP="00C44290">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C44290" w:rsidRPr="00C44290" w:rsidRDefault="00C44290" w:rsidP="00C44290">
          <w:pPr>
            <w:pStyle w:val="ab"/>
            <w:spacing w:before="109"/>
          </w:pPr>
        </w:p>
      </w:tc>
      <w:tc>
        <w:tcPr>
          <w:tcW w:w="3280" w:type="dxa"/>
          <w:tcBorders>
            <w:top w:val="single" w:sz="4" w:space="0" w:color="auto"/>
            <w:bottom w:val="single" w:sz="12" w:space="0" w:color="auto"/>
          </w:tcBorders>
          <w:shd w:val="clear" w:color="auto" w:fill="auto"/>
        </w:tcPr>
        <w:p w:rsidR="00C44290" w:rsidRDefault="00C44290" w:rsidP="00C44290">
          <w:pPr>
            <w:pStyle w:val="Distr"/>
          </w:pPr>
          <w:r>
            <w:t>Distr.: General</w:t>
          </w:r>
        </w:p>
        <w:p w:rsidR="00C44290" w:rsidRDefault="00C44290" w:rsidP="00C44290">
          <w:pPr>
            <w:pStyle w:val="Publication"/>
          </w:pPr>
          <w:r>
            <w:t>7 August 2015</w:t>
          </w:r>
        </w:p>
        <w:p w:rsidR="00C44290" w:rsidRDefault="00C44290" w:rsidP="00C44290">
          <w:pPr>
            <w:spacing w:line="240" w:lineRule="exact"/>
          </w:pPr>
          <w:r>
            <w:t>Chinese</w:t>
          </w:r>
        </w:p>
        <w:p w:rsidR="00C44290" w:rsidRDefault="00C44290" w:rsidP="00C44290">
          <w:pPr>
            <w:pStyle w:val="Original"/>
          </w:pPr>
          <w:r>
            <w:t>Original: English</w:t>
          </w:r>
        </w:p>
        <w:p w:rsidR="00C44290" w:rsidRPr="00C44290" w:rsidRDefault="00C44290" w:rsidP="00C44290"/>
      </w:tc>
    </w:tr>
  </w:tbl>
  <w:p w:rsidR="00C44290" w:rsidRPr="00C44290" w:rsidRDefault="00C44290" w:rsidP="00C44290">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819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69*"/>
    <w:docVar w:name="CreationDt" w:val="14/09/2015 10:00:23"/>
    <w:docVar w:name="DocCategory" w:val="Doc"/>
    <w:docVar w:name="DocType" w:val="Final"/>
    <w:docVar w:name="DutyStation" w:val="Geneva"/>
    <w:docVar w:name="FooterJN" w:val="GE.15-13369 (C)"/>
    <w:docVar w:name="jobn" w:val="GE.15-13369 (C)"/>
    <w:docVar w:name="jobnDT" w:val="15-13369 (C)   140915"/>
    <w:docVar w:name="jobnDTDT" w:val="15-13369 (C)   140915   140915"/>
    <w:docVar w:name="JobNo" w:val="GE.1513369C"/>
    <w:docVar w:name="LocalDrive" w:val="0"/>
    <w:docVar w:name="OandT" w:val="kong"/>
    <w:docVar w:name="PaperSize" w:val="A4"/>
    <w:docVar w:name="sss1" w:val="A/HRC/30/49"/>
    <w:docVar w:name="sss2" w:val="-"/>
    <w:docVar w:name="Symbol1" w:val="A/HRC/30/49"/>
    <w:docVar w:name="Symbol2" w:val="-"/>
  </w:docVars>
  <w:rsids>
    <w:rsidRoot w:val="00CD3306"/>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50D"/>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B004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57E6F"/>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993"/>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67ED9"/>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3EF1"/>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D54A3"/>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4290"/>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3306"/>
    <w:rsid w:val="00CD5641"/>
    <w:rsid w:val="00CE11A2"/>
    <w:rsid w:val="00CE1F38"/>
    <w:rsid w:val="00CE36C9"/>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138F"/>
    <w:rsid w:val="00D94E05"/>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1901"/>
    <w:rsid w:val="00E921BB"/>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a"/>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uiPriority w:val="99"/>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uiPriority w:val="99"/>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link w:val="SingleTxtGChar"/>
    <w:rsid w:val="00E91901"/>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a"/>
    <w:next w:val="a"/>
    <w:rsid w:val="00E91901"/>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a"/>
    <w:next w:val="a"/>
    <w:rsid w:val="00E91901"/>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Char">
    <w:name w:val="脚注文本 Char"/>
    <w:aliases w:val="5_G Char"/>
    <w:link w:val="a5"/>
    <w:uiPriority w:val="99"/>
    <w:locked/>
    <w:rsid w:val="00E91901"/>
    <w:rPr>
      <w:rFonts w:eastAsia="宋体"/>
      <w:noProof/>
      <w:kern w:val="14"/>
      <w:sz w:val="18"/>
      <w:lang w:val="en-US"/>
    </w:rPr>
  </w:style>
  <w:style w:type="character" w:customStyle="1" w:styleId="SingleTxtGChar">
    <w:name w:val="_ Single Txt_G Char"/>
    <w:link w:val="SingleTxtG"/>
    <w:rsid w:val="00E91901"/>
    <w:rPr>
      <w:lang w:eastAsia="en-US"/>
    </w:rPr>
  </w:style>
  <w:style w:type="paragraph" w:customStyle="1" w:styleId="GB23126">
    <w:name w:val="样式 (中文) 楷体_GB2312 六号 蓝色 右 段后: 6 磅 行距: 单倍行距"/>
    <w:basedOn w:val="a"/>
    <w:rsid w:val="003B0048"/>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3B0048"/>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a"/>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uiPriority w:val="99"/>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uiPriority w:val="99"/>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link w:val="SingleTxtGChar"/>
    <w:rsid w:val="00E91901"/>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a"/>
    <w:next w:val="a"/>
    <w:rsid w:val="00E91901"/>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a"/>
    <w:next w:val="a"/>
    <w:rsid w:val="00E91901"/>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Char">
    <w:name w:val="脚注文本 Char"/>
    <w:aliases w:val="5_G Char"/>
    <w:link w:val="a5"/>
    <w:uiPriority w:val="99"/>
    <w:locked/>
    <w:rsid w:val="00E91901"/>
    <w:rPr>
      <w:rFonts w:eastAsia="宋体"/>
      <w:noProof/>
      <w:kern w:val="14"/>
      <w:sz w:val="18"/>
      <w:lang w:val="en-US"/>
    </w:rPr>
  </w:style>
  <w:style w:type="character" w:customStyle="1" w:styleId="SingleTxtGChar">
    <w:name w:val="_ Single Txt_G Char"/>
    <w:link w:val="SingleTxtG"/>
    <w:rsid w:val="00E91901"/>
    <w:rPr>
      <w:lang w:eastAsia="en-US"/>
    </w:rPr>
  </w:style>
  <w:style w:type="paragraph" w:customStyle="1" w:styleId="GB23126">
    <w:name w:val="样式 (中文) 楷体_GB2312 六号 蓝色 右 段后: 6 磅 行距: 单倍行距"/>
    <w:basedOn w:val="a"/>
    <w:rsid w:val="003B0048"/>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3B0048"/>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portal.unesco.org" TargetMode="External"/><Relationship Id="rId3" Type="http://schemas.openxmlformats.org/officeDocument/2006/relationships/hyperlink" Target="http://www.eydner.org/dokumente/darsiwa_comm_e.pdf" TargetMode="External"/><Relationship Id="rId7" Type="http://schemas.openxmlformats.org/officeDocument/2006/relationships/hyperlink" Target="http://www.uclg-cisdp.org/sites/default/files/Gwangju_%20Declaration_on_HR_City_final_edited_version_110524.pdf" TargetMode="External"/><Relationship Id="rId2" Type="http://schemas.openxmlformats.org/officeDocument/2006/relationships/hyperlink" Target="http://www.refworld.org/docid/43f3067ae.html" TargetMode="External"/><Relationship Id="rId1" Type="http://schemas.openxmlformats.org/officeDocument/2006/relationships/hyperlink" Target="http://www.idea.int/resources/analysis/democratic-accountability-and-service-delivery-a-desk-review.cfm" TargetMode="External"/><Relationship Id="rId6" Type="http://schemas.openxmlformats.org/officeDocument/2006/relationships/hyperlink" Target="http://www.uclg-cisdp.org/en/right-to-the-city/%20european-charter" TargetMode="External"/><Relationship Id="rId5" Type="http://schemas.openxmlformats.org/officeDocument/2006/relationships/hyperlink" Target="http://www.coe.int/t/congress/texts/RESOLUTIONS_en.asp?mytabsmenu=6" TargetMode="External"/><Relationship Id="rId10" Type="http://schemas.openxmlformats.org/officeDocument/2006/relationships/hyperlink" Target="http://www.ohchr.org/%20Documents/HRBodies/HRCouncil/AdvisoryCom/LocalGvt/Denmark%20-%20Danish%20Institute%20for%20Human%20Rights.pdf" TargetMode="External"/><Relationship Id="rId4" Type="http://schemas.openxmlformats.org/officeDocument/2006/relationships/hyperlink" Target="http://www.refworld.org/docid/47a7079a1.html" TargetMode="External"/><Relationship Id="rId9" Type="http://schemas.openxmlformats.org/officeDocument/2006/relationships/hyperlink" Target="http://www.hic-net.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804EB-4166-47FA-BF5E-3F4726BAE22E}"/>
</file>

<file path=customXml/itemProps2.xml><?xml version="1.0" encoding="utf-8"?>
<ds:datastoreItem xmlns:ds="http://schemas.openxmlformats.org/officeDocument/2006/customXml" ds:itemID="{30CF4F1F-E499-4AD4-AE4A-E2E646A76799}"/>
</file>

<file path=customXml/itemProps3.xml><?xml version="1.0" encoding="utf-8"?>
<ds:datastoreItem xmlns:ds="http://schemas.openxmlformats.org/officeDocument/2006/customXml" ds:itemID="{526062E5-7243-41B8-A0ED-C4BE46FE13CE}"/>
</file>

<file path=docProps/app.xml><?xml version="1.0" encoding="utf-8"?>
<Properties xmlns="http://schemas.openxmlformats.org/officeDocument/2006/extended-properties" xmlns:vt="http://schemas.openxmlformats.org/officeDocument/2006/docPropsVTypes">
  <Template>Normal.dotm</Template>
  <TotalTime>0</TotalTime>
  <Pages>17</Pages>
  <Words>2219</Words>
  <Characters>12649</Characters>
  <Application>Microsoft Office Word</Application>
  <DocSecurity>0</DocSecurity>
  <Lines>105</Lines>
  <Paragraphs>29</Paragraphs>
  <ScaleCrop>false</ScaleCrop>
  <Company>DCM</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local government in the promotion and protection of human rights - Final report of the Human Rights Council Advisory Committee in Chinese</dc:title>
  <dc:subject/>
  <dc:creator>Kong L.</dc:creator>
  <cp:keywords/>
  <dc:description/>
  <cp:lastModifiedBy>Kong L.</cp:lastModifiedBy>
  <cp:revision>3</cp:revision>
  <cp:lastPrinted>2015-09-14T13:24:00Z</cp:lastPrinted>
  <dcterms:created xsi:type="dcterms:W3CDTF">2015-09-14T13:24:00Z</dcterms:created>
  <dcterms:modified xsi:type="dcterms:W3CDTF">2015-09-14T13:24:00Z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1513369</vt:lpwstr>
  </property>
  <property fmtid="{D5CDD505-2E9C-101B-9397-08002B2CF9AE}" pid="3" name="ODSRefJobNo">
    <vt:lpwstr>1517487C</vt:lpwstr>
  </property>
  <property fmtid="{D5CDD505-2E9C-101B-9397-08002B2CF9AE}" pid="4" name="Symbol1">
    <vt:lpwstr>A/HRC/30/49</vt:lpwstr>
  </property>
  <property fmtid="{D5CDD505-2E9C-101B-9397-08002B2CF9AE}" pid="5" name="Symbol2">
    <vt:lpwstr/>
  </property>
  <property fmtid="{D5CDD505-2E9C-101B-9397-08002B2CF9AE}" pid="6" name="Translator">
    <vt:lpwstr/>
  </property>
  <property fmtid="{D5CDD505-2E9C-101B-9397-08002B2CF9AE}" pid="7" name="Operator">
    <vt:lpwstr>kong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7 August 2015</vt:lpwstr>
  </property>
  <property fmtid="{D5CDD505-2E9C-101B-9397-08002B2CF9AE}" pid="12" name="Original">
    <vt:lpwstr>English</vt:lpwstr>
  </property>
  <property fmtid="{D5CDD505-2E9C-101B-9397-08002B2CF9AE}" pid="13" name="Release Date">
    <vt:lpwstr>140915</vt:lpwstr>
  </property>
  <property fmtid="{D5CDD505-2E9C-101B-9397-08002B2CF9AE}" pid="14" name="ContentTypeId">
    <vt:lpwstr>0x010100EF670F518423CB4F888C4265EEC2C475</vt:lpwstr>
  </property>
  <property fmtid="{D5CDD505-2E9C-101B-9397-08002B2CF9AE}" pid="15" name="Order">
    <vt:r8>47900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