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A42BA9" w:rsidRDefault="00446DE4" w:rsidP="00A42BA9">
            <w:pPr>
              <w:tabs>
                <w:tab w:val="right" w:pos="850"/>
                <w:tab w:val="left" w:pos="1134"/>
                <w:tab w:val="right" w:leader="dot" w:pos="8504"/>
              </w:tabs>
              <w:spacing w:line="20" w:lineRule="exact"/>
              <w:rPr>
                <w:sz w:val="2"/>
              </w:rPr>
            </w:pPr>
            <w:bookmarkStart w:id="0" w:name="_GoBack"/>
            <w:bookmarkEnd w:id="0"/>
          </w:p>
          <w:p w:rsidR="00A42BA9" w:rsidRPr="00E806EE" w:rsidRDefault="00A42BA9"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A3D85" w:rsidP="000B2E17">
            <w:pPr>
              <w:jc w:val="right"/>
            </w:pPr>
            <w:r w:rsidRPr="004A3D85">
              <w:rPr>
                <w:sz w:val="40"/>
              </w:rPr>
              <w:t>A</w:t>
            </w:r>
            <w:r w:rsidR="003E0151">
              <w:t>/HRC</w:t>
            </w:r>
            <w:r>
              <w:t>/</w:t>
            </w:r>
            <w:r w:rsidR="000B2E17">
              <w:t>30/53</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AF2EC0" w:rsidP="00956D9B">
            <w:pPr>
              <w:spacing w:before="120"/>
              <w:jc w:val="center"/>
            </w:pPr>
            <w:r>
              <w:rPr>
                <w:noProof/>
                <w:lang w:eastAsia="en-GB"/>
              </w:rPr>
              <w:drawing>
                <wp:inline distT="0" distB="0" distL="0" distR="0" wp14:anchorId="1873CDF5" wp14:editId="2DB0F397">
                  <wp:extent cx="713740" cy="59182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3740" cy="59182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052E40" w:rsidRDefault="00B3317B" w:rsidP="00EF5BDB">
            <w:pPr>
              <w:spacing w:before="120" w:line="420" w:lineRule="exact"/>
              <w:rPr>
                <w:b/>
                <w:sz w:val="40"/>
                <w:szCs w:val="40"/>
              </w:rPr>
            </w:pPr>
            <w:r w:rsidRPr="00052E40">
              <w:rPr>
                <w:b/>
                <w:sz w:val="40"/>
                <w:szCs w:val="40"/>
              </w:rPr>
              <w:t>General Assembly</w:t>
            </w:r>
          </w:p>
        </w:tc>
        <w:tc>
          <w:tcPr>
            <w:tcW w:w="2930" w:type="dxa"/>
            <w:tcBorders>
              <w:top w:val="single" w:sz="4" w:space="0" w:color="auto"/>
              <w:left w:val="nil"/>
              <w:bottom w:val="single" w:sz="12" w:space="0" w:color="auto"/>
              <w:right w:val="nil"/>
            </w:tcBorders>
          </w:tcPr>
          <w:p w:rsidR="004A3D85" w:rsidRPr="00052E40" w:rsidRDefault="004A3D85" w:rsidP="004A3D85">
            <w:pPr>
              <w:spacing w:before="240" w:line="240" w:lineRule="exact"/>
            </w:pPr>
            <w:r w:rsidRPr="00052E40">
              <w:t>Distr.: General</w:t>
            </w:r>
          </w:p>
          <w:p w:rsidR="004A3D85" w:rsidRPr="00A87DF1" w:rsidRDefault="009765D1" w:rsidP="00E64CBD">
            <w:pPr>
              <w:spacing w:line="240" w:lineRule="exact"/>
            </w:pPr>
            <w:r>
              <w:t>19</w:t>
            </w:r>
            <w:r w:rsidR="00174045" w:rsidRPr="00052E40">
              <w:t xml:space="preserve"> August </w:t>
            </w:r>
            <w:r w:rsidR="0080676E" w:rsidRPr="00052E40">
              <w:t>2015</w:t>
            </w:r>
          </w:p>
          <w:p w:rsidR="004A3D85" w:rsidRPr="00AA6755" w:rsidRDefault="004A3D85" w:rsidP="004A3D85">
            <w:pPr>
              <w:spacing w:line="240" w:lineRule="exact"/>
            </w:pPr>
          </w:p>
          <w:p w:rsidR="004A3D85" w:rsidRPr="00AA6755" w:rsidRDefault="004A3D85" w:rsidP="004A3D85">
            <w:pPr>
              <w:spacing w:line="240" w:lineRule="exact"/>
            </w:pPr>
            <w:r w:rsidRPr="00AA6755">
              <w:t>Original: English</w:t>
            </w:r>
          </w:p>
          <w:p w:rsidR="000B2E17" w:rsidRPr="00AA6755" w:rsidRDefault="000B2E17" w:rsidP="001B4F97">
            <w:pPr>
              <w:spacing w:line="240" w:lineRule="exact"/>
            </w:pPr>
          </w:p>
        </w:tc>
      </w:tr>
    </w:tbl>
    <w:p w:rsidR="004A3D85" w:rsidRDefault="004A3D85" w:rsidP="004A3D85">
      <w:pPr>
        <w:spacing w:before="120"/>
        <w:rPr>
          <w:b/>
          <w:bCs/>
          <w:sz w:val="24"/>
          <w:szCs w:val="24"/>
        </w:rPr>
      </w:pPr>
      <w:r>
        <w:rPr>
          <w:b/>
          <w:bCs/>
          <w:sz w:val="24"/>
          <w:szCs w:val="24"/>
        </w:rPr>
        <w:t>Human Rights Council</w:t>
      </w:r>
    </w:p>
    <w:p w:rsidR="004A3D85" w:rsidRDefault="000B2E17" w:rsidP="004A3D85">
      <w:pPr>
        <w:rPr>
          <w:b/>
          <w:bCs/>
        </w:rPr>
      </w:pPr>
      <w:r>
        <w:rPr>
          <w:b/>
          <w:bCs/>
        </w:rPr>
        <w:t xml:space="preserve">Thirtieth </w:t>
      </w:r>
      <w:r w:rsidR="004A3D85" w:rsidRPr="00D820B6">
        <w:rPr>
          <w:b/>
          <w:bCs/>
        </w:rPr>
        <w:t>session</w:t>
      </w:r>
    </w:p>
    <w:p w:rsidR="00450103" w:rsidRPr="004B7CB6" w:rsidRDefault="000B2E17" w:rsidP="00450103">
      <w:pPr>
        <w:rPr>
          <w:lang w:val="en-US"/>
        </w:rPr>
      </w:pPr>
      <w:r>
        <w:t>Agenda item 5</w:t>
      </w:r>
    </w:p>
    <w:p w:rsidR="004A3D85" w:rsidRDefault="000B2E17" w:rsidP="00450103">
      <w:pPr>
        <w:rPr>
          <w:b/>
          <w:bCs/>
        </w:rPr>
      </w:pPr>
      <w:r>
        <w:rPr>
          <w:b/>
          <w:bCs/>
        </w:rPr>
        <w:t>Human rights bodies and mechanisms</w:t>
      </w:r>
    </w:p>
    <w:p w:rsidR="00450103" w:rsidRDefault="00450103" w:rsidP="00450103">
      <w:pPr>
        <w:pStyle w:val="HChG"/>
        <w:rPr>
          <w:lang w:val="en-US"/>
        </w:rPr>
      </w:pPr>
      <w:r w:rsidRPr="00057BCA">
        <w:rPr>
          <w:lang w:val="en-US"/>
        </w:rPr>
        <w:tab/>
      </w:r>
      <w:r w:rsidRPr="00057BCA">
        <w:rPr>
          <w:lang w:val="en-US"/>
        </w:rPr>
        <w:tab/>
      </w:r>
      <w:r>
        <w:rPr>
          <w:lang w:val="en-US"/>
        </w:rPr>
        <w:t>Promotion and protection of the rights of indigenous peoples with respect to their cultural heritage</w:t>
      </w:r>
    </w:p>
    <w:p w:rsidR="00450103" w:rsidRPr="00B96C04" w:rsidRDefault="00450103" w:rsidP="00450103">
      <w:pPr>
        <w:pStyle w:val="H1G"/>
        <w:rPr>
          <w:lang w:val="en-US"/>
        </w:rPr>
      </w:pPr>
      <w:r w:rsidRPr="00E50289">
        <w:tab/>
      </w:r>
      <w:r w:rsidRPr="00E50289">
        <w:tab/>
        <w:t>Study by the Expert Mechanism on the Rights of Indigenous Peoples</w:t>
      </w:r>
      <w:r w:rsidR="00AF2EC0" w:rsidRPr="00AF2EC0">
        <w:rPr>
          <w:noProof/>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450103" w:rsidRPr="00551484" w:rsidTr="00EA0044">
        <w:trPr>
          <w:jc w:val="center"/>
        </w:trPr>
        <w:tc>
          <w:tcPr>
            <w:tcW w:w="9637" w:type="dxa"/>
            <w:shd w:val="clear" w:color="auto" w:fill="auto"/>
          </w:tcPr>
          <w:p w:rsidR="00450103" w:rsidRPr="00551484" w:rsidRDefault="00450103" w:rsidP="00EA0044">
            <w:pPr>
              <w:spacing w:before="240" w:after="120"/>
              <w:ind w:left="255"/>
              <w:rPr>
                <w:i/>
                <w:sz w:val="24"/>
                <w:lang w:val="en-US"/>
              </w:rPr>
            </w:pPr>
            <w:r w:rsidRPr="00551484">
              <w:rPr>
                <w:i/>
                <w:sz w:val="24"/>
                <w:lang w:val="en-US"/>
              </w:rPr>
              <w:t>Summary</w:t>
            </w:r>
          </w:p>
        </w:tc>
      </w:tr>
      <w:tr w:rsidR="00450103" w:rsidRPr="00551484" w:rsidTr="00EA0044">
        <w:trPr>
          <w:jc w:val="center"/>
        </w:trPr>
        <w:tc>
          <w:tcPr>
            <w:tcW w:w="9637" w:type="dxa"/>
            <w:shd w:val="clear" w:color="auto" w:fill="auto"/>
          </w:tcPr>
          <w:p w:rsidR="00450103" w:rsidRDefault="00450103" w:rsidP="00AA6755">
            <w:pPr>
              <w:pStyle w:val="SingleTxtG"/>
              <w:ind w:firstLine="566"/>
            </w:pPr>
            <w:r>
              <w:tab/>
            </w:r>
            <w:r w:rsidRPr="000F2D67">
              <w:t xml:space="preserve">In </w:t>
            </w:r>
            <w:r w:rsidR="002650AA">
              <w:t xml:space="preserve">its </w:t>
            </w:r>
            <w:r w:rsidRPr="000F2D67">
              <w:t>resolution 27/13</w:t>
            </w:r>
            <w:r w:rsidR="00F3213C">
              <w:t>,</w:t>
            </w:r>
            <w:r w:rsidRPr="000F2D67">
              <w:t xml:space="preserve"> the Human Rights Council requested the Expert Mechanism on the Rights of Indigenous Peoples to prepare a study on the promotion and protection of the rights of indigenous peoples with respect to their cultural heritage, including through their participation in political and public life</w:t>
            </w:r>
            <w:r>
              <w:t>,</w:t>
            </w:r>
            <w:r w:rsidRPr="000F2D67">
              <w:t xml:space="preserve"> and to present it to the Council at its thirtieth session</w:t>
            </w:r>
            <w:r>
              <w:t xml:space="preserve">. </w:t>
            </w:r>
          </w:p>
          <w:p w:rsidR="00450103" w:rsidRDefault="00450103" w:rsidP="00174045">
            <w:pPr>
              <w:pStyle w:val="SingleTxtG"/>
              <w:ind w:firstLine="566"/>
            </w:pPr>
            <w:r w:rsidRPr="000F2D67">
              <w:t>Th</w:t>
            </w:r>
            <w:r>
              <w:t>e</w:t>
            </w:r>
            <w:r w:rsidRPr="000F2D67">
              <w:t xml:space="preserve"> </w:t>
            </w:r>
            <w:r>
              <w:t xml:space="preserve">present </w:t>
            </w:r>
            <w:r w:rsidRPr="000F2D67">
              <w:t xml:space="preserve">study offers a comprehensive analytical overview of the international legal framework and jurisprudence regarding </w:t>
            </w:r>
            <w:r>
              <w:t xml:space="preserve">the rights of </w:t>
            </w:r>
            <w:r w:rsidRPr="000F2D67">
              <w:t>indigenous peoples with respect to their cultural heritage</w:t>
            </w:r>
            <w:r>
              <w:t>, and</w:t>
            </w:r>
            <w:r w:rsidRPr="000F2D67">
              <w:t xml:space="preserve"> addresses some of the specific issues for indigenous peoples when it comes to cultural heritage. </w:t>
            </w:r>
          </w:p>
          <w:p w:rsidR="00450103" w:rsidRPr="00E50289" w:rsidRDefault="00450103" w:rsidP="00174045">
            <w:pPr>
              <w:pStyle w:val="SingleTxtG"/>
              <w:ind w:firstLine="566"/>
            </w:pPr>
            <w:r w:rsidRPr="000F2D67">
              <w:t xml:space="preserve">The study </w:t>
            </w:r>
            <w:r>
              <w:t>concludes</w:t>
            </w:r>
            <w:r w:rsidRPr="000F2D67">
              <w:t xml:space="preserve"> with Expert Mechanism </w:t>
            </w:r>
            <w:r>
              <w:t>a</w:t>
            </w:r>
            <w:r w:rsidRPr="000F2D67">
              <w:t>dvice</w:t>
            </w:r>
            <w:r>
              <w:t xml:space="preserve"> No. 8</w:t>
            </w:r>
            <w:r w:rsidRPr="000F2D67">
              <w:t xml:space="preserve"> on </w:t>
            </w:r>
            <w:r>
              <w:t xml:space="preserve">the cultural heritage of </w:t>
            </w:r>
            <w:r w:rsidRPr="000F2D67">
              <w:t>indigenous peoples</w:t>
            </w:r>
            <w:r>
              <w:rPr>
                <w:lang w:eastAsia="en-GB"/>
              </w:rPr>
              <w:t>.</w:t>
            </w:r>
          </w:p>
        </w:tc>
      </w:tr>
      <w:tr w:rsidR="00450103" w:rsidRPr="00551484" w:rsidTr="00EA0044">
        <w:trPr>
          <w:jc w:val="center"/>
        </w:trPr>
        <w:tc>
          <w:tcPr>
            <w:tcW w:w="9637" w:type="dxa"/>
            <w:shd w:val="clear" w:color="auto" w:fill="auto"/>
          </w:tcPr>
          <w:p w:rsidR="00450103" w:rsidRPr="00551484" w:rsidRDefault="00450103" w:rsidP="00EA0044">
            <w:pPr>
              <w:rPr>
                <w:lang w:val="en-US"/>
              </w:rPr>
            </w:pPr>
          </w:p>
        </w:tc>
      </w:tr>
    </w:tbl>
    <w:p w:rsidR="008927C4" w:rsidRPr="00AA6755" w:rsidRDefault="00450103">
      <w:pPr>
        <w:rPr>
          <w:sz w:val="28"/>
        </w:rPr>
      </w:pPr>
      <w:r w:rsidRPr="00AA6755">
        <w:rPr>
          <w:bCs/>
          <w:vertAlign w:val="superscript"/>
        </w:rPr>
        <w:br w:type="page"/>
      </w:r>
      <w:r w:rsidR="008927C4" w:rsidRPr="00AA6755">
        <w:rPr>
          <w:sz w:val="28"/>
        </w:rPr>
        <w:lastRenderedPageBreak/>
        <w:t>Contents</w:t>
      </w:r>
      <w:r w:rsidR="00B2020F" w:rsidRPr="00AA6755">
        <w:rPr>
          <w:color w:val="FF0000"/>
          <w:sz w:val="28"/>
        </w:rPr>
        <w:t xml:space="preserve"> </w:t>
      </w:r>
    </w:p>
    <w:p w:rsidR="008927C4" w:rsidRPr="00AA6755" w:rsidRDefault="008927C4" w:rsidP="00F3213C">
      <w:pPr>
        <w:tabs>
          <w:tab w:val="right" w:pos="8929"/>
          <w:tab w:val="right" w:pos="9638"/>
        </w:tabs>
        <w:spacing w:after="120"/>
        <w:ind w:left="283"/>
      </w:pPr>
      <w:r w:rsidRPr="00AA6755">
        <w:rPr>
          <w:i/>
          <w:sz w:val="18"/>
        </w:rPr>
        <w:tab/>
      </w:r>
      <w:r w:rsidR="00F3213C" w:rsidRPr="00AA6755">
        <w:rPr>
          <w:i/>
          <w:sz w:val="18"/>
        </w:rPr>
        <w:tab/>
      </w:r>
      <w:r w:rsidRPr="00AA6755">
        <w:rPr>
          <w:i/>
          <w:sz w:val="18"/>
        </w:rPr>
        <w:t>Page</w:t>
      </w:r>
    </w:p>
    <w:p w:rsidR="008927C4" w:rsidRPr="00AA6755" w:rsidRDefault="002D325D" w:rsidP="002D325D">
      <w:pPr>
        <w:tabs>
          <w:tab w:val="right" w:pos="850"/>
          <w:tab w:val="left" w:pos="1134"/>
          <w:tab w:val="left" w:pos="1559"/>
          <w:tab w:val="left" w:pos="1984"/>
          <w:tab w:val="left" w:leader="dot" w:pos="8931"/>
          <w:tab w:val="right" w:pos="9638"/>
        </w:tabs>
        <w:spacing w:after="120"/>
      </w:pPr>
      <w:r w:rsidRPr="00AA6755">
        <w:tab/>
        <w:t>I.</w:t>
      </w:r>
      <w:r w:rsidRPr="00AA6755">
        <w:tab/>
        <w:t>Introduction</w:t>
      </w:r>
      <w:r w:rsidRPr="00AA6755">
        <w:tab/>
      </w:r>
      <w:r w:rsidRPr="00AA6755">
        <w:tab/>
      </w:r>
      <w:r w:rsidR="008927C4" w:rsidRPr="00AA6755">
        <w:t>3</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AA6755">
        <w:tab/>
      </w:r>
      <w:r w:rsidRPr="00AA6755">
        <w:tab/>
      </w:r>
      <w:r w:rsidR="008927C4" w:rsidRPr="00610E4F">
        <w:t>A.</w:t>
      </w:r>
      <w:r w:rsidR="008927C4" w:rsidRPr="00610E4F">
        <w:tab/>
        <w:t>Co</w:t>
      </w:r>
      <w:r w:rsidRPr="00610E4F">
        <w:t>ncept of cultural heritage</w:t>
      </w:r>
      <w:r w:rsidRPr="00610E4F">
        <w:tab/>
      </w:r>
      <w:r w:rsidRPr="00610E4F">
        <w:tab/>
      </w:r>
      <w:r w:rsidR="008927C4" w:rsidRPr="00610E4F">
        <w:t>3</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r>
      <w:r w:rsidR="008927C4" w:rsidRPr="00610E4F">
        <w:t>B.</w:t>
      </w:r>
      <w:r w:rsidR="008927C4" w:rsidRPr="00610E4F">
        <w:tab/>
        <w:t>Indigenous peo</w:t>
      </w:r>
      <w:r w:rsidRPr="00610E4F">
        <w:t>ples and cultural heritage</w:t>
      </w:r>
      <w:r w:rsidRPr="00610E4F">
        <w:tab/>
      </w:r>
      <w:r w:rsidRPr="00610E4F">
        <w:tab/>
      </w:r>
      <w:r w:rsidR="008927C4" w:rsidRPr="00610E4F">
        <w:t>4</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t>II.</w:t>
      </w:r>
      <w:r w:rsidRPr="00610E4F">
        <w:tab/>
        <w:t xml:space="preserve">Review of the international legal framework on the rights of </w:t>
      </w:r>
      <w:r w:rsidRPr="00610E4F">
        <w:br/>
      </w:r>
      <w:r w:rsidR="002D325D" w:rsidRPr="00610E4F">
        <w:tab/>
      </w:r>
      <w:r w:rsidR="002D325D" w:rsidRPr="00610E4F">
        <w:tab/>
      </w:r>
      <w:r w:rsidRPr="00610E4F">
        <w:t>indigenous peoples with respect to their cultural heritage</w:t>
      </w:r>
      <w:r w:rsidR="002D325D" w:rsidRPr="00610E4F">
        <w:tab/>
      </w:r>
      <w:r w:rsidR="002D325D" w:rsidRPr="00610E4F">
        <w:tab/>
      </w:r>
      <w:r w:rsidRPr="00610E4F">
        <w:t>4</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r>
      <w:r w:rsidR="008927C4" w:rsidRPr="00610E4F">
        <w:t>A.</w:t>
      </w:r>
      <w:r w:rsidR="008927C4" w:rsidRPr="00610E4F">
        <w:tab/>
        <w:t>Human rights instruments</w:t>
      </w:r>
      <w:r w:rsidR="008927C4" w:rsidRPr="00610E4F">
        <w:tab/>
      </w:r>
      <w:r w:rsidR="008927C4" w:rsidRPr="00610E4F">
        <w:tab/>
        <w:t>5</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r>
      <w:r w:rsidR="008927C4" w:rsidRPr="00610E4F">
        <w:t>B.</w:t>
      </w:r>
      <w:r w:rsidR="008927C4" w:rsidRPr="00610E4F">
        <w:tab/>
        <w:t>United Nations Educational, Scientifi</w:t>
      </w:r>
      <w:r w:rsidRPr="00610E4F">
        <w:t>c and Cultural Organization,</w:t>
      </w:r>
      <w:r w:rsidRPr="00610E4F">
        <w:br/>
      </w:r>
      <w:r w:rsidRPr="00610E4F">
        <w:tab/>
      </w:r>
      <w:r w:rsidRPr="00610E4F">
        <w:tab/>
      </w:r>
      <w:r w:rsidRPr="00610E4F">
        <w:tab/>
      </w:r>
      <w:r w:rsidR="008927C4" w:rsidRPr="00610E4F">
        <w:t>cultural heritage</w:t>
      </w:r>
      <w:r w:rsidRPr="00610E4F">
        <w:t xml:space="preserve"> and indigenous peoples</w:t>
      </w:r>
      <w:r w:rsidRPr="00610E4F">
        <w:tab/>
      </w:r>
      <w:r w:rsidRPr="00610E4F">
        <w:tab/>
      </w:r>
      <w:r w:rsidR="008927C4" w:rsidRPr="00610E4F">
        <w:t>6</w:t>
      </w:r>
    </w:p>
    <w:p w:rsidR="008927C4" w:rsidRPr="00610E4F" w:rsidRDefault="002D325D">
      <w:pPr>
        <w:tabs>
          <w:tab w:val="right" w:pos="850"/>
          <w:tab w:val="left" w:pos="1134"/>
          <w:tab w:val="left" w:pos="1559"/>
          <w:tab w:val="left" w:pos="1984"/>
          <w:tab w:val="left" w:leader="dot" w:pos="8931"/>
          <w:tab w:val="right" w:pos="9638"/>
        </w:tabs>
        <w:spacing w:after="120"/>
      </w:pPr>
      <w:r w:rsidRPr="00610E4F">
        <w:tab/>
      </w:r>
      <w:r w:rsidRPr="00610E4F">
        <w:tab/>
      </w:r>
      <w:r w:rsidR="008927C4" w:rsidRPr="00610E4F">
        <w:t>C.</w:t>
      </w:r>
      <w:r w:rsidR="008927C4" w:rsidRPr="00610E4F">
        <w:tab/>
        <w:t>Convention on Biological Diversity</w:t>
      </w:r>
      <w:r w:rsidRPr="00610E4F">
        <w:t xml:space="preserve"> and Nagoya Protocol</w:t>
      </w:r>
      <w:r w:rsidRPr="00610E4F">
        <w:tab/>
      </w:r>
      <w:r w:rsidRPr="00610E4F">
        <w:tab/>
      </w:r>
      <w:r w:rsidR="008927C4" w:rsidRPr="00610E4F">
        <w:t>7</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r>
      <w:r w:rsidR="008927C4" w:rsidRPr="00610E4F">
        <w:t>D.</w:t>
      </w:r>
      <w:r w:rsidR="008927C4" w:rsidRPr="00610E4F">
        <w:tab/>
        <w:t>World Intellectu</w:t>
      </w:r>
      <w:r w:rsidRPr="00610E4F">
        <w:t>al Property Organization</w:t>
      </w:r>
      <w:r w:rsidRPr="00610E4F">
        <w:tab/>
      </w:r>
      <w:r w:rsidRPr="00610E4F">
        <w:tab/>
      </w:r>
      <w:r w:rsidR="008927C4" w:rsidRPr="00610E4F">
        <w:t>7</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t>III.</w:t>
      </w:r>
      <w:r w:rsidRPr="00610E4F">
        <w:tab/>
        <w:t>Overview of the jurisprudence on rights relating to cultural heritage</w:t>
      </w:r>
      <w:r w:rsidR="002D325D" w:rsidRPr="00610E4F">
        <w:tab/>
      </w:r>
      <w:r w:rsidR="002D325D" w:rsidRPr="00610E4F">
        <w:tab/>
      </w:r>
      <w:r w:rsidRPr="00610E4F">
        <w:t>8</w:t>
      </w:r>
    </w:p>
    <w:p w:rsidR="008927C4" w:rsidRPr="00610E4F" w:rsidRDefault="002D325D" w:rsidP="002D325D">
      <w:pPr>
        <w:tabs>
          <w:tab w:val="right" w:pos="850"/>
          <w:tab w:val="left" w:pos="1134"/>
          <w:tab w:val="left" w:pos="1559"/>
          <w:tab w:val="left" w:pos="1984"/>
          <w:tab w:val="left" w:leader="dot" w:pos="8931"/>
          <w:tab w:val="right" w:pos="9638"/>
        </w:tabs>
        <w:spacing w:after="120"/>
        <w:ind w:left="1215" w:hanging="855"/>
      </w:pPr>
      <w:r w:rsidRPr="00610E4F">
        <w:tab/>
      </w:r>
      <w:r w:rsidRPr="00610E4F">
        <w:tab/>
        <w:t>A.</w:t>
      </w:r>
      <w:r w:rsidRPr="00610E4F">
        <w:tab/>
      </w:r>
      <w:r w:rsidR="008927C4" w:rsidRPr="00610E4F">
        <w:t>Hu</w:t>
      </w:r>
      <w:r w:rsidRPr="00610E4F">
        <w:t>man rights treaty bodies</w:t>
      </w:r>
      <w:r w:rsidRPr="00610E4F">
        <w:tab/>
      </w:r>
      <w:r w:rsidRPr="00610E4F">
        <w:tab/>
      </w:r>
      <w:r w:rsidR="008927C4" w:rsidRPr="00610E4F">
        <w:t>8</w:t>
      </w:r>
    </w:p>
    <w:p w:rsidR="008927C4" w:rsidRPr="00610E4F" w:rsidRDefault="002D325D" w:rsidP="009C2438">
      <w:pPr>
        <w:tabs>
          <w:tab w:val="right" w:pos="850"/>
          <w:tab w:val="left" w:pos="1134"/>
          <w:tab w:val="left" w:pos="1559"/>
          <w:tab w:val="left" w:pos="1984"/>
          <w:tab w:val="left" w:leader="dot" w:pos="8931"/>
          <w:tab w:val="right" w:pos="9638"/>
        </w:tabs>
        <w:spacing w:after="120"/>
      </w:pPr>
      <w:r w:rsidRPr="00610E4F">
        <w:tab/>
      </w:r>
      <w:r w:rsidRPr="00610E4F">
        <w:tab/>
        <w:t>B.</w:t>
      </w:r>
      <w:r w:rsidRPr="00610E4F">
        <w:tab/>
      </w:r>
      <w:r w:rsidR="008927C4" w:rsidRPr="00610E4F">
        <w:t xml:space="preserve">Special procedures of </w:t>
      </w:r>
      <w:r w:rsidRPr="00610E4F">
        <w:t>the Human Rights Council</w:t>
      </w:r>
      <w:r w:rsidRPr="00610E4F">
        <w:tab/>
      </w:r>
      <w:r w:rsidRPr="00610E4F">
        <w:tab/>
      </w:r>
      <w:r w:rsidR="009C2438">
        <w:t>9</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t>C.</w:t>
      </w:r>
      <w:r w:rsidRPr="00610E4F">
        <w:tab/>
      </w:r>
      <w:r w:rsidR="008927C4" w:rsidRPr="00610E4F">
        <w:t>Regional h</w:t>
      </w:r>
      <w:r w:rsidRPr="00610E4F">
        <w:t>uman rights institutions</w:t>
      </w:r>
      <w:r w:rsidRPr="00610E4F">
        <w:tab/>
      </w:r>
      <w:r w:rsidRPr="00610E4F">
        <w:tab/>
      </w:r>
      <w:r w:rsidR="00407B61" w:rsidRPr="00610E4F">
        <w:t>9</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t>IV.</w:t>
      </w:r>
      <w:r w:rsidRPr="00610E4F">
        <w:tab/>
        <w:t>Participation of indigenous peoples in cultural heritage policies</w:t>
      </w:r>
      <w:r w:rsidR="002D325D" w:rsidRPr="00610E4F">
        <w:tab/>
      </w:r>
      <w:r w:rsidR="002D325D" w:rsidRPr="00610E4F">
        <w:tab/>
      </w:r>
      <w:r w:rsidRPr="00610E4F">
        <w:t>10</w:t>
      </w:r>
    </w:p>
    <w:p w:rsidR="008927C4" w:rsidRPr="00610E4F" w:rsidRDefault="002D325D" w:rsidP="002D325D">
      <w:pPr>
        <w:tabs>
          <w:tab w:val="right" w:pos="850"/>
          <w:tab w:val="left" w:pos="1134"/>
          <w:tab w:val="left" w:pos="1559"/>
          <w:tab w:val="left" w:pos="1984"/>
          <w:tab w:val="left" w:leader="dot" w:pos="8931"/>
          <w:tab w:val="right" w:pos="9638"/>
        </w:tabs>
        <w:spacing w:after="120"/>
        <w:ind w:left="720" w:hanging="360"/>
      </w:pPr>
      <w:r w:rsidRPr="00610E4F">
        <w:tab/>
      </w:r>
      <w:r w:rsidRPr="00610E4F">
        <w:tab/>
      </w:r>
      <w:r w:rsidRPr="00610E4F">
        <w:tab/>
        <w:t>A.</w:t>
      </w:r>
      <w:r w:rsidRPr="00610E4F">
        <w:tab/>
      </w:r>
      <w:r w:rsidR="008927C4" w:rsidRPr="00610E4F">
        <w:t>Participation at</w:t>
      </w:r>
      <w:r w:rsidR="0029530A" w:rsidRPr="00610E4F">
        <w:t xml:space="preserve"> the international level</w:t>
      </w:r>
      <w:r w:rsidR="0029530A" w:rsidRPr="00610E4F">
        <w:tab/>
      </w:r>
      <w:r w:rsidR="0029530A" w:rsidRPr="00610E4F">
        <w:tab/>
      </w:r>
      <w:r w:rsidR="008927C4" w:rsidRPr="00610E4F">
        <w:t>11</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t>B.</w:t>
      </w:r>
      <w:r w:rsidRPr="00610E4F">
        <w:tab/>
      </w:r>
      <w:r w:rsidR="008927C4" w:rsidRPr="00610E4F">
        <w:t>Participa</w:t>
      </w:r>
      <w:r w:rsidRPr="00610E4F">
        <w:t>tion at the national level</w:t>
      </w:r>
      <w:r w:rsidRPr="00610E4F">
        <w:tab/>
      </w:r>
      <w:r w:rsidRPr="00610E4F">
        <w:tab/>
      </w:r>
      <w:r w:rsidR="008927C4" w:rsidRPr="00610E4F">
        <w:t>1</w:t>
      </w:r>
      <w:r w:rsidR="00407B61" w:rsidRPr="00610E4F">
        <w:t>2</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t>V.</w:t>
      </w:r>
      <w:r w:rsidRPr="00610E4F">
        <w:tab/>
        <w:t>Specific issues relating to the rights of i</w:t>
      </w:r>
      <w:r w:rsidR="002D325D" w:rsidRPr="00610E4F">
        <w:t xml:space="preserve">ndigenous peoples with respect </w:t>
      </w:r>
      <w:r w:rsidRPr="00610E4F">
        <w:t>to their cultural heritage</w:t>
      </w:r>
      <w:r w:rsidR="002D325D" w:rsidRPr="00610E4F">
        <w:tab/>
      </w:r>
      <w:r w:rsidR="002D325D" w:rsidRPr="00610E4F">
        <w:tab/>
      </w:r>
      <w:r w:rsidRPr="00610E4F">
        <w:t>14</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r>
      <w:r w:rsidR="002D325D" w:rsidRPr="00610E4F">
        <w:tab/>
      </w:r>
      <w:r w:rsidRPr="00610E4F">
        <w:t>A.</w:t>
      </w:r>
      <w:r w:rsidRPr="00610E4F">
        <w:tab/>
        <w:t>Lands, territories and cultural heritage</w:t>
      </w:r>
      <w:r w:rsidR="002D325D" w:rsidRPr="00610E4F">
        <w:tab/>
      </w:r>
      <w:r w:rsidR="002D325D" w:rsidRPr="00610E4F">
        <w:tab/>
      </w:r>
      <w:r w:rsidRPr="00610E4F">
        <w:t>14</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r>
      <w:r w:rsidR="002D325D" w:rsidRPr="00610E4F">
        <w:tab/>
      </w:r>
      <w:r w:rsidRPr="00610E4F">
        <w:t>B.</w:t>
      </w:r>
      <w:r w:rsidRPr="00610E4F">
        <w:tab/>
        <w:t>Traditional knowledge, intellectual property and cultural heritage</w:t>
      </w:r>
      <w:r w:rsidR="002D325D" w:rsidRPr="00610E4F">
        <w:tab/>
      </w:r>
      <w:r w:rsidR="002D325D" w:rsidRPr="00610E4F">
        <w:tab/>
      </w:r>
      <w:r w:rsidRPr="00610E4F">
        <w:t>1</w:t>
      </w:r>
      <w:r w:rsidR="00407B61" w:rsidRPr="00610E4F">
        <w:t>5</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r>
      <w:r w:rsidR="002D325D" w:rsidRPr="00610E4F">
        <w:tab/>
      </w:r>
      <w:r w:rsidRPr="00610E4F">
        <w:t>C.</w:t>
      </w:r>
      <w:r w:rsidRPr="00610E4F">
        <w:tab/>
        <w:t>Tourism and cultural heritage</w:t>
      </w:r>
      <w:r w:rsidRPr="00610E4F">
        <w:tab/>
      </w:r>
      <w:r w:rsidRPr="00610E4F">
        <w:tab/>
        <w:t>1</w:t>
      </w:r>
      <w:r w:rsidR="00407B61" w:rsidRPr="00610E4F">
        <w:t>5</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r>
      <w:r w:rsidR="002D325D" w:rsidRPr="00610E4F">
        <w:tab/>
      </w:r>
      <w:r w:rsidRPr="00610E4F">
        <w:t>D.</w:t>
      </w:r>
      <w:r w:rsidRPr="00610E4F">
        <w:tab/>
      </w:r>
      <w:r w:rsidR="00407B61" w:rsidRPr="00610E4F">
        <w:t>S</w:t>
      </w:r>
      <w:r w:rsidRPr="00610E4F">
        <w:t>ports</w:t>
      </w:r>
      <w:r w:rsidR="00407B61" w:rsidRPr="00610E4F">
        <w:t xml:space="preserve"> and</w:t>
      </w:r>
      <w:r w:rsidRPr="00610E4F">
        <w:t xml:space="preserve"> </w:t>
      </w:r>
      <w:r w:rsidR="00407B61" w:rsidRPr="00610E4F">
        <w:t xml:space="preserve">traditional </w:t>
      </w:r>
      <w:r w:rsidR="002D325D" w:rsidRPr="00610E4F">
        <w:t>games</w:t>
      </w:r>
      <w:r w:rsidR="002D325D" w:rsidRPr="00610E4F">
        <w:tab/>
      </w:r>
      <w:r w:rsidR="002D325D" w:rsidRPr="00610E4F">
        <w:tab/>
      </w:r>
      <w:r w:rsidRPr="00610E4F">
        <w:t>1</w:t>
      </w:r>
      <w:r w:rsidR="00407B61" w:rsidRPr="00610E4F">
        <w:t>6</w:t>
      </w:r>
    </w:p>
    <w:p w:rsidR="008927C4" w:rsidRPr="00610E4F" w:rsidRDefault="008927C4" w:rsidP="002D325D">
      <w:pPr>
        <w:tabs>
          <w:tab w:val="right" w:pos="850"/>
          <w:tab w:val="left" w:pos="1134"/>
          <w:tab w:val="left" w:pos="1559"/>
          <w:tab w:val="left" w:pos="1984"/>
          <w:tab w:val="left" w:leader="dot" w:pos="8931"/>
          <w:tab w:val="right" w:pos="9638"/>
        </w:tabs>
        <w:spacing w:after="120"/>
      </w:pPr>
      <w:r w:rsidRPr="00610E4F">
        <w:tab/>
        <w:t>VI.</w:t>
      </w:r>
      <w:r w:rsidRPr="00610E4F">
        <w:tab/>
        <w:t>Cultural appropriation, restitution and repatriation</w:t>
      </w:r>
      <w:r w:rsidR="002D325D" w:rsidRPr="00610E4F">
        <w:tab/>
      </w:r>
      <w:r w:rsidR="002D325D" w:rsidRPr="00610E4F">
        <w:tab/>
      </w:r>
      <w:r w:rsidRPr="00610E4F">
        <w:t>1</w:t>
      </w:r>
      <w:r w:rsidR="00407B61" w:rsidRPr="00610E4F">
        <w:t>6</w:t>
      </w:r>
    </w:p>
    <w:p w:rsidR="008927C4" w:rsidRPr="00610E4F" w:rsidRDefault="002D325D" w:rsidP="002D325D">
      <w:pPr>
        <w:tabs>
          <w:tab w:val="right" w:pos="850"/>
          <w:tab w:val="left" w:pos="1134"/>
          <w:tab w:val="left" w:pos="1559"/>
          <w:tab w:val="left" w:pos="1984"/>
          <w:tab w:val="left" w:leader="dot" w:pos="8931"/>
          <w:tab w:val="right" w:pos="9638"/>
        </w:tabs>
        <w:spacing w:after="120"/>
        <w:ind w:left="720" w:hanging="360"/>
      </w:pPr>
      <w:r w:rsidRPr="00610E4F">
        <w:tab/>
      </w:r>
      <w:r w:rsidRPr="00610E4F">
        <w:tab/>
      </w:r>
      <w:r w:rsidRPr="00610E4F">
        <w:tab/>
        <w:t>A.</w:t>
      </w:r>
      <w:r w:rsidRPr="00610E4F">
        <w:tab/>
      </w:r>
      <w:r w:rsidR="008927C4" w:rsidRPr="00610E4F">
        <w:t>Cultural misappropriation and interpretation</w:t>
      </w:r>
      <w:r w:rsidRPr="00610E4F">
        <w:tab/>
      </w:r>
      <w:r w:rsidRPr="00610E4F">
        <w:tab/>
      </w:r>
      <w:r w:rsidR="008927C4" w:rsidRPr="00610E4F">
        <w:t>1</w:t>
      </w:r>
      <w:r w:rsidR="00407B61" w:rsidRPr="00610E4F">
        <w:t>6</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t>B.</w:t>
      </w:r>
      <w:r w:rsidRPr="00610E4F">
        <w:tab/>
      </w:r>
      <w:r w:rsidR="008927C4" w:rsidRPr="00610E4F">
        <w:t>Restitution and repatriation</w:t>
      </w:r>
      <w:r w:rsidRPr="00610E4F">
        <w:tab/>
      </w:r>
      <w:r w:rsidRPr="00610E4F">
        <w:tab/>
      </w:r>
      <w:r w:rsidR="008927C4" w:rsidRPr="00610E4F">
        <w:t>1</w:t>
      </w:r>
      <w:r w:rsidR="00407B61" w:rsidRPr="00610E4F">
        <w:t>7</w:t>
      </w:r>
    </w:p>
    <w:p w:rsidR="008927C4" w:rsidRPr="00610E4F" w:rsidRDefault="002D325D" w:rsidP="002D325D">
      <w:pPr>
        <w:tabs>
          <w:tab w:val="right" w:pos="850"/>
          <w:tab w:val="left" w:pos="1134"/>
          <w:tab w:val="left" w:pos="1559"/>
          <w:tab w:val="left" w:pos="1984"/>
          <w:tab w:val="left" w:leader="dot" w:pos="8931"/>
          <w:tab w:val="right" w:pos="9638"/>
        </w:tabs>
        <w:spacing w:after="120"/>
      </w:pPr>
      <w:r w:rsidRPr="00610E4F">
        <w:tab/>
      </w:r>
      <w:r w:rsidRPr="00610E4F">
        <w:tab/>
        <w:t>C.</w:t>
      </w:r>
      <w:r w:rsidRPr="00610E4F">
        <w:tab/>
      </w:r>
      <w:r w:rsidR="008927C4" w:rsidRPr="00610E4F">
        <w:t>Right to cultural revitalization</w:t>
      </w:r>
      <w:r w:rsidRPr="00610E4F">
        <w:tab/>
      </w:r>
      <w:r w:rsidRPr="00610E4F">
        <w:tab/>
      </w:r>
      <w:r w:rsidR="008927C4" w:rsidRPr="00610E4F">
        <w:t>1</w:t>
      </w:r>
      <w:r w:rsidR="00407B61" w:rsidRPr="00610E4F">
        <w:t>8</w:t>
      </w:r>
    </w:p>
    <w:p w:rsidR="008927C4" w:rsidRPr="00610E4F" w:rsidRDefault="008927C4" w:rsidP="008927C4">
      <w:pPr>
        <w:keepNext/>
        <w:tabs>
          <w:tab w:val="right" w:pos="851"/>
        </w:tabs>
        <w:spacing w:after="120"/>
      </w:pPr>
      <w:r w:rsidRPr="00610E4F">
        <w:t>Annex</w:t>
      </w:r>
    </w:p>
    <w:p w:rsidR="008927C4" w:rsidRPr="00A13B5D" w:rsidRDefault="008927C4" w:rsidP="00AA6755">
      <w:pPr>
        <w:tabs>
          <w:tab w:val="right" w:pos="850"/>
          <w:tab w:val="left" w:pos="1134"/>
          <w:tab w:val="left" w:pos="1984"/>
          <w:tab w:val="left" w:leader="dot" w:pos="8931"/>
          <w:tab w:val="right" w:pos="9638"/>
        </w:tabs>
        <w:spacing w:after="120"/>
        <w:ind w:left="1134"/>
      </w:pPr>
      <w:r w:rsidRPr="00610E4F">
        <w:t xml:space="preserve">Expert Mechanism </w:t>
      </w:r>
      <w:r w:rsidR="00AD014D" w:rsidRPr="00610E4F">
        <w:t>a</w:t>
      </w:r>
      <w:r w:rsidRPr="00610E4F">
        <w:t xml:space="preserve">dvice No. 8 (2015): Promotion and protection of the rights </w:t>
      </w:r>
      <w:r w:rsidRPr="00610E4F">
        <w:br/>
        <w:t>of indigenous peoples with respect</w:t>
      </w:r>
      <w:r w:rsidR="0029530A" w:rsidRPr="00610E4F">
        <w:t xml:space="preserve"> to their cultural heritage</w:t>
      </w:r>
      <w:r w:rsidR="0029530A" w:rsidRPr="00610E4F">
        <w:tab/>
      </w:r>
      <w:r w:rsidR="0029530A" w:rsidRPr="00610E4F">
        <w:tab/>
        <w:t>20</w:t>
      </w:r>
    </w:p>
    <w:p w:rsidR="008927C4" w:rsidRPr="00A13B5D" w:rsidRDefault="008927C4" w:rsidP="008927C4">
      <w:pPr>
        <w:pStyle w:val="HChG"/>
        <w:rPr>
          <w:lang w:val="en-US"/>
        </w:rPr>
      </w:pPr>
      <w:r w:rsidRPr="00A13B5D">
        <w:rPr>
          <w:lang w:val="en-US"/>
        </w:rPr>
        <w:br w:type="page"/>
      </w:r>
      <w:r w:rsidRPr="00A13B5D">
        <w:rPr>
          <w:lang w:val="en-US"/>
        </w:rPr>
        <w:lastRenderedPageBreak/>
        <w:tab/>
        <w:t>I.</w:t>
      </w:r>
      <w:r w:rsidRPr="00A13B5D">
        <w:rPr>
          <w:lang w:val="en-US"/>
        </w:rPr>
        <w:tab/>
        <w:t>Introduction</w:t>
      </w:r>
    </w:p>
    <w:p w:rsidR="008927C4" w:rsidRPr="00A13B5D" w:rsidRDefault="008927C4" w:rsidP="00AA6755">
      <w:pPr>
        <w:pStyle w:val="SingleTxtG"/>
        <w:numPr>
          <w:ilvl w:val="0"/>
          <w:numId w:val="26"/>
        </w:numPr>
        <w:ind w:left="1134" w:firstLine="0"/>
      </w:pPr>
      <w:r w:rsidRPr="00A13B5D">
        <w:t>In its resolution 27/13, the Human Rights Council requested the Expert Mechanism on the Rights of Indigenous Peoples to prepare a study on the promotion and protection of the rights of indigenous peoples with respect to their cultural heritage, including through their participation in political and public life, and to present it to the Council at its thirtieth session.</w:t>
      </w:r>
    </w:p>
    <w:p w:rsidR="008927C4" w:rsidRPr="00A13B5D" w:rsidRDefault="008927C4" w:rsidP="00AA6755">
      <w:pPr>
        <w:pStyle w:val="SingleTxtG"/>
        <w:numPr>
          <w:ilvl w:val="0"/>
          <w:numId w:val="26"/>
        </w:numPr>
        <w:ind w:left="1134" w:firstLine="0"/>
      </w:pPr>
      <w:r w:rsidRPr="00A13B5D">
        <w:t xml:space="preserve">The Expert Mechanism called for submissions from States, indigenous peoples, non-State actors, national human rights institutions and other stakeholders to inform the study. The submissions received are, where </w:t>
      </w:r>
      <w:r w:rsidR="000B2E17" w:rsidRPr="00A13B5D">
        <w:t>permitted</w:t>
      </w:r>
      <w:r w:rsidRPr="00A13B5D">
        <w:t>, available on the website of the Expert Mechanism.</w:t>
      </w:r>
      <w:r w:rsidRPr="00A13B5D">
        <w:rPr>
          <w:rStyle w:val="FootnoteReference"/>
        </w:rPr>
        <w:footnoteReference w:id="2"/>
      </w:r>
      <w:r w:rsidRPr="00A13B5D">
        <w:t xml:space="preserve"> The study also benefited significantly from presentations made at the Expert Seminar on Indigenous Peoples’ Rights with Respect to their Cultural Heritage (Rovaniemi, Finland, 26</w:t>
      </w:r>
      <w:r w:rsidR="002D4A4C">
        <w:t xml:space="preserve"> and </w:t>
      </w:r>
      <w:r w:rsidRPr="00A13B5D">
        <w:t>27 February 2015), organized by the Office of the United Nations High Commissioner for Human Rights and the University of Lapland. The Expert Mechanism appreciates the submissions and is informed by them.</w:t>
      </w:r>
    </w:p>
    <w:p w:rsidR="008927C4" w:rsidRPr="00A13B5D" w:rsidRDefault="008927C4" w:rsidP="00AA6755">
      <w:pPr>
        <w:pStyle w:val="SingleTxtG"/>
        <w:numPr>
          <w:ilvl w:val="0"/>
          <w:numId w:val="26"/>
        </w:numPr>
        <w:ind w:left="1134" w:firstLine="0"/>
      </w:pPr>
      <w:r w:rsidRPr="00A13B5D">
        <w:t xml:space="preserve">Although the Expert Mechanism has not specifically addressed the issue of cultural heritage, it has given significant attention to the cultures of indigenous peoples (A/HRC/21/53). The present study offers a comprehensive overview of the international legal framework and jurisprudence regarding the rights of indigenous peoples with respect to their cultural heritage and addresses specific </w:t>
      </w:r>
      <w:r w:rsidR="000B2E17" w:rsidRPr="00A13B5D">
        <w:t>aspects of th</w:t>
      </w:r>
      <w:r w:rsidR="00AD014D">
        <w:t>o</w:t>
      </w:r>
      <w:r w:rsidR="000B2E17" w:rsidRPr="00A13B5D">
        <w:t>se rights</w:t>
      </w:r>
      <w:r w:rsidRPr="00A13B5D">
        <w:t>.</w:t>
      </w:r>
    </w:p>
    <w:p w:rsidR="008927C4" w:rsidRPr="00A13B5D" w:rsidRDefault="008927C4" w:rsidP="008927C4">
      <w:pPr>
        <w:pStyle w:val="H1G"/>
      </w:pPr>
      <w:r w:rsidRPr="00A13B5D">
        <w:tab/>
        <w:t>A.</w:t>
      </w:r>
      <w:r w:rsidRPr="00A13B5D">
        <w:tab/>
        <w:t>Concept of cultural heritage</w:t>
      </w:r>
    </w:p>
    <w:p w:rsidR="008927C4" w:rsidRDefault="008927C4" w:rsidP="00AA6755">
      <w:pPr>
        <w:pStyle w:val="SingleTxtG"/>
        <w:numPr>
          <w:ilvl w:val="0"/>
          <w:numId w:val="26"/>
        </w:numPr>
        <w:ind w:left="1134" w:firstLine="0"/>
      </w:pPr>
      <w:r w:rsidRPr="00A13B5D">
        <w:t xml:space="preserve">The term “cultural heritage” has evolved considerably in recent decades. While previously referring exclusively to the monumental remains of cultures, </w:t>
      </w:r>
      <w:r w:rsidR="000B2E17" w:rsidRPr="00A13B5D">
        <w:t>“</w:t>
      </w:r>
      <w:r w:rsidRPr="00A13B5D">
        <w:t>cultural heritage</w:t>
      </w:r>
      <w:r w:rsidR="000B2E17" w:rsidRPr="00A13B5D">
        <w:t xml:space="preserve">” </w:t>
      </w:r>
      <w:r w:rsidRPr="00A13B5D">
        <w:t>has gradually come to include new categories</w:t>
      </w:r>
      <w:r w:rsidR="00AD014D">
        <w:t>;</w:t>
      </w:r>
      <w:r w:rsidRPr="00A13B5D">
        <w:t xml:space="preserve"> </w:t>
      </w:r>
      <w:r w:rsidR="00514D2E">
        <w:t>i</w:t>
      </w:r>
      <w:r w:rsidR="00AD014D">
        <w:t>n</w:t>
      </w:r>
      <w:r w:rsidR="00514D2E">
        <w:t xml:space="preserve"> </w:t>
      </w:r>
      <w:r w:rsidRPr="00A13B5D">
        <w:t>particular</w:t>
      </w:r>
      <w:r w:rsidR="00514D2E">
        <w:t>,</w:t>
      </w:r>
      <w:r w:rsidRPr="00A13B5D">
        <w:t xml:space="preserve"> more emphasis</w:t>
      </w:r>
      <w:r w:rsidR="00AD014D">
        <w:t xml:space="preserve"> </w:t>
      </w:r>
      <w:r w:rsidR="00514D2E">
        <w:t>has been</w:t>
      </w:r>
      <w:r w:rsidR="00AD014D">
        <w:t xml:space="preserve"> put</w:t>
      </w:r>
      <w:r w:rsidRPr="00A13B5D">
        <w:t xml:space="preserve"> on intangible cultural heritage. The 2003 Convention for the Safeguarding of the Intangible Cultural Heritage defines intangible cultural heritage as “the practices, representations, expressions, knowledge, skills — as well as the instruments, objects, artefacts and cultural spaces associated therewith — that communities, groups and, in some cases, individuals recognize as part of their cultural heritage” (art. 2). There is also increasing recognition of the relationship between communities and cultural heritage. The Council of Europe Framework Convention on the Value of Cultural Heritage for Society defines cultural heritage as “a group of resources inherited from the past which people identify, independently of ownership, as a reflection and expre</w:t>
      </w:r>
      <w:r w:rsidRPr="00E85D5E">
        <w:t>ssion of their constantly evolving values, beliefs, knowledge and traditions. It includes all aspects of the environment resulting from the interaction between people and places through time”</w:t>
      </w:r>
      <w:r>
        <w:t xml:space="preserve"> </w:t>
      </w:r>
      <w:r w:rsidRPr="00EA0689">
        <w:t>(art. 2)</w:t>
      </w:r>
      <w:r>
        <w:t>.</w:t>
      </w:r>
    </w:p>
    <w:p w:rsidR="008927C4" w:rsidRDefault="008927C4" w:rsidP="00AA6755">
      <w:pPr>
        <w:pStyle w:val="SingleTxtG"/>
        <w:numPr>
          <w:ilvl w:val="0"/>
          <w:numId w:val="26"/>
        </w:numPr>
        <w:ind w:left="1134" w:firstLine="0"/>
      </w:pPr>
      <w:r w:rsidRPr="00E7103D">
        <w:t>As noted by the Special Rapporteur in the field of cultural rights, although no uniform definition exists, several international instruments</w:t>
      </w:r>
      <w:r>
        <w:t xml:space="preserve"> and</w:t>
      </w:r>
      <w:r w:rsidRPr="00E7103D">
        <w:t xml:space="preserve"> a number of references relating to traditional knowledge and traditional cultural expressions provide useful guidance for defining what is usually understood as cultural heritage. Noting that no list is exhaustive, the Special Rapporteur</w:t>
      </w:r>
      <w:r>
        <w:t xml:space="preserve"> referred to</w:t>
      </w:r>
      <w:r w:rsidRPr="00E7103D">
        <w:t xml:space="preserve"> cultural heritage as</w:t>
      </w:r>
      <w:r>
        <w:t xml:space="preserve"> </w:t>
      </w:r>
      <w:r w:rsidRPr="00E7103D">
        <w:t>“tangible heritage (e.g. sites, structures and remains of archaeological, historical, religious, cultural or aesthetic value), intangible heritage (e.g. traditions, customs and practices, aesthetic and spiritual beliefs; vernacular or other languages; artistic expressions, folklore) and natural heritage (e.g. protected natural reserves; other protected biologically diverse areas; historic parks and gardens and cultural landscapes)”</w:t>
      </w:r>
      <w:r w:rsidR="001D2B9B">
        <w:t xml:space="preserve"> (</w:t>
      </w:r>
      <w:r w:rsidR="001D2B9B" w:rsidRPr="00FB5641">
        <w:t>A/HRC/17/38</w:t>
      </w:r>
      <w:r w:rsidR="001D2B9B">
        <w:t xml:space="preserve"> and Corr.1</w:t>
      </w:r>
      <w:r w:rsidR="001D2B9B" w:rsidRPr="00FB5641">
        <w:t>, para.</w:t>
      </w:r>
      <w:r w:rsidR="001D2B9B">
        <w:t> </w:t>
      </w:r>
      <w:r w:rsidR="001D2B9B" w:rsidRPr="00FB5641">
        <w:t>4</w:t>
      </w:r>
      <w:r w:rsidR="001D2B9B">
        <w:t>).</w:t>
      </w:r>
      <w:r w:rsidRPr="00ED66E4">
        <w:rPr>
          <w:vertAlign w:val="superscript"/>
        </w:rPr>
        <w:t xml:space="preserve"> </w:t>
      </w:r>
      <w:r>
        <w:t>She added that c</w:t>
      </w:r>
      <w:r w:rsidRPr="00EE0C89">
        <w:t xml:space="preserve">ultural heritage </w:t>
      </w:r>
      <w:r>
        <w:t>should</w:t>
      </w:r>
      <w:r w:rsidRPr="00EE0C89">
        <w:t xml:space="preserve"> be understood as resources enabling the cultural identification and development processes of individuals and communities which they, implicitly or explicitly, wish to transmit to future generations</w:t>
      </w:r>
      <w:r w:rsidR="001D2B9B">
        <w:t xml:space="preserve"> (ibid.</w:t>
      </w:r>
      <w:r w:rsidR="001D2B9B" w:rsidRPr="00FB5641">
        <w:t>, para.</w:t>
      </w:r>
      <w:r w:rsidR="001D2B9B">
        <w:t> </w:t>
      </w:r>
      <w:r w:rsidR="001D2B9B" w:rsidRPr="00FB5641">
        <w:t>6</w:t>
      </w:r>
      <w:r w:rsidR="001D2B9B">
        <w:t>)</w:t>
      </w:r>
      <w:r w:rsidRPr="00EE0C89">
        <w:t xml:space="preserve">. </w:t>
      </w:r>
      <w:r>
        <w:t>Cultural heritage also includes traditional knowledge and cultural expressions.</w:t>
      </w:r>
    </w:p>
    <w:p w:rsidR="008927C4" w:rsidRPr="00DE38EC" w:rsidRDefault="008927C4" w:rsidP="008927C4">
      <w:pPr>
        <w:pStyle w:val="H1G"/>
      </w:pPr>
      <w:r w:rsidRPr="00DE38EC">
        <w:tab/>
      </w:r>
      <w:r>
        <w:t>B</w:t>
      </w:r>
      <w:r w:rsidRPr="00DE38EC">
        <w:t>.</w:t>
      </w:r>
      <w:r>
        <w:tab/>
        <w:t>Indigenous peoples and cultural heritage</w:t>
      </w:r>
    </w:p>
    <w:p w:rsidR="008927C4" w:rsidRPr="00D42CBC" w:rsidRDefault="008927C4" w:rsidP="00AA6755">
      <w:pPr>
        <w:pStyle w:val="SingleTxtG"/>
        <w:numPr>
          <w:ilvl w:val="0"/>
          <w:numId w:val="26"/>
        </w:numPr>
        <w:ind w:left="1134" w:firstLine="0"/>
      </w:pPr>
      <w:r w:rsidRPr="00D42CBC">
        <w:t>Indigenous peoples’ cultural heritage includes tangible and intangible manifestations of their ways of life, world</w:t>
      </w:r>
      <w:r w:rsidR="00514D2E">
        <w:t xml:space="preserve"> </w:t>
      </w:r>
      <w:r w:rsidRPr="00D42CBC">
        <w:t>views, achievements and creativity, and should be considered an expression of their self-determination and their spiritual and physical relationships with their lands, territories and resources</w:t>
      </w:r>
      <w:r w:rsidRPr="00D455CC">
        <w:t>.</w:t>
      </w:r>
      <w:r w:rsidRPr="00D42CBC">
        <w:t xml:space="preserve"> While the notion of heritage encompasses traditional practices in a broad sense, including language, art, music, dance, song, stories,</w:t>
      </w:r>
      <w:r w:rsidR="000B2E17">
        <w:t xml:space="preserve"> sports and</w:t>
      </w:r>
      <w:r w:rsidRPr="00D42CBC">
        <w:t xml:space="preserve"> traditional games, sacred sites, and ancestral human remains, for indigenous peoples the preservation of heritage is deeply embedded and linked to the protection of traditional territories. Indigenous cultural heritage is a holistic and inter-generational concept based on common material and spiritual values influenced by the environment.</w:t>
      </w:r>
      <w:r w:rsidRPr="00D42CBC">
        <w:rPr>
          <w:rStyle w:val="FootnoteReference"/>
        </w:rPr>
        <w:footnoteReference w:id="3"/>
      </w:r>
      <w:r w:rsidRPr="00D42CBC">
        <w:t xml:space="preserve"> It also includes bio-cultural heritage and traditional food production systems such as rotational farming, pastoralism, artisanal fisheries and other forms of access to natural sources.</w:t>
      </w:r>
      <w:r w:rsidRPr="00D42CBC">
        <w:rPr>
          <w:rStyle w:val="FootnoteReference"/>
        </w:rPr>
        <w:footnoteReference w:id="4"/>
      </w:r>
    </w:p>
    <w:p w:rsidR="008927C4" w:rsidRDefault="008927C4" w:rsidP="00AA6755">
      <w:pPr>
        <w:pStyle w:val="SingleTxtG"/>
        <w:numPr>
          <w:ilvl w:val="0"/>
          <w:numId w:val="26"/>
        </w:numPr>
        <w:ind w:left="1134" w:firstLine="0"/>
      </w:pPr>
      <w:r>
        <w:t>Taking into account the various understandings of culture and cultural heritage, t</w:t>
      </w:r>
      <w:r w:rsidRPr="00E7103D">
        <w:t xml:space="preserve">he Expert Mechanism </w:t>
      </w:r>
      <w:r>
        <w:t>proposed</w:t>
      </w:r>
      <w:r w:rsidRPr="00E7103D">
        <w:t xml:space="preserve"> </w:t>
      </w:r>
      <w:r>
        <w:t>the following</w:t>
      </w:r>
      <w:r w:rsidRPr="00E7103D">
        <w:t>:</w:t>
      </w:r>
      <w:r>
        <w:t xml:space="preserve"> </w:t>
      </w:r>
    </w:p>
    <w:p w:rsidR="008927C4" w:rsidRDefault="008927C4" w:rsidP="009F171E">
      <w:pPr>
        <w:pStyle w:val="SingleTxtG"/>
        <w:ind w:left="1701"/>
      </w:pPr>
      <w:r w:rsidRPr="00982D96">
        <w:t xml:space="preserve">Indigenous peoples’ cultures include tangible and intangible manifestations of their ways of life, achievements and creativity, </w:t>
      </w:r>
      <w:r w:rsidR="003462E9">
        <w:t xml:space="preserve">and </w:t>
      </w:r>
      <w:r w:rsidRPr="00982D96">
        <w:t xml:space="preserve">are an expression of their self-determination and of their spiritual and physical relationships with their lands, territories and resources. Indigenous culture is a holistic concept based on common material and spiritual values and includes distinctive manifestations in language, spirituality, membership, arts, literature, traditional knowledge, customs, rituals, ceremonies, methods of production, festive events, music, sports and traditional games, behaviour, habits, tools, shelter, clothing, economic activities, morals, value systems, cosmovisions, laws, and activities such as hunting, fishing, trapping and gathering. </w:t>
      </w:r>
      <w:r>
        <w:t>(A/HRC/21/53, para. 52)</w:t>
      </w:r>
    </w:p>
    <w:p w:rsidR="008927C4" w:rsidRDefault="008927C4" w:rsidP="00AA6755">
      <w:pPr>
        <w:pStyle w:val="SingleTxtG"/>
        <w:numPr>
          <w:ilvl w:val="0"/>
          <w:numId w:val="26"/>
        </w:numPr>
        <w:ind w:left="1134" w:firstLine="0"/>
      </w:pPr>
      <w:r>
        <w:t>It is important to acknowledge that</w:t>
      </w:r>
      <w:r w:rsidRPr="00C502A8">
        <w:t xml:space="preserve"> the traditional </w:t>
      </w:r>
      <w:r>
        <w:t>categorization</w:t>
      </w:r>
      <w:r w:rsidRPr="00C502A8">
        <w:t xml:space="preserve"> of heritage </w:t>
      </w:r>
      <w:r>
        <w:t>as</w:t>
      </w:r>
      <w:r w:rsidRPr="00C502A8">
        <w:t xml:space="preserve"> </w:t>
      </w:r>
      <w:r>
        <w:t>“tangible”, “intangible”, and “natural” demonstrates its limitations: tangible heritage carries out meanings, while intangible heritage is often embodied in specific objects. This categorization is particularly</w:t>
      </w:r>
      <w:r w:rsidRPr="00C502A8">
        <w:t xml:space="preserve"> inappropriate in the case of indigenous</w:t>
      </w:r>
      <w:r>
        <w:t xml:space="preserve"> peoples</w:t>
      </w:r>
      <w:r w:rsidRPr="00C502A8">
        <w:t xml:space="preserve">. </w:t>
      </w:r>
      <w:r>
        <w:t xml:space="preserve">It is important to adopt a holistic approach to cultural heritage and acknowledge that </w:t>
      </w:r>
      <w:r w:rsidRPr="00C502A8">
        <w:t xml:space="preserve">the </w:t>
      </w:r>
      <w:r w:rsidR="000B2E17">
        <w:t>rigid</w:t>
      </w:r>
      <w:r w:rsidR="000B2E17" w:rsidRPr="00C502A8">
        <w:t xml:space="preserve"> </w:t>
      </w:r>
      <w:r w:rsidRPr="00C502A8">
        <w:t>legal regime of protection for cultural heritage</w:t>
      </w:r>
      <w:r>
        <w:t xml:space="preserve"> could be problematic for indigenous peoples.</w:t>
      </w:r>
    </w:p>
    <w:p w:rsidR="008927C4" w:rsidRDefault="008927C4" w:rsidP="008927C4">
      <w:pPr>
        <w:pStyle w:val="HChG"/>
      </w:pPr>
      <w:r>
        <w:tab/>
      </w:r>
      <w:r w:rsidRPr="004B7CB6">
        <w:t>II.</w:t>
      </w:r>
      <w:r>
        <w:tab/>
        <w:t>Review of the international legal framework on the rights of indigenous peoples with respect to their cultural heritage</w:t>
      </w:r>
    </w:p>
    <w:p w:rsidR="008927C4" w:rsidRDefault="008927C4" w:rsidP="00AA6755">
      <w:pPr>
        <w:pStyle w:val="SingleTxtG"/>
        <w:numPr>
          <w:ilvl w:val="0"/>
          <w:numId w:val="26"/>
        </w:numPr>
        <w:ind w:left="1134" w:firstLine="0"/>
        <w:rPr>
          <w:rFonts w:eastAsia="SimSun"/>
          <w:color w:val="000000"/>
          <w:lang w:val="en-US" w:eastAsia="zh-CN"/>
        </w:rPr>
      </w:pPr>
      <w:r w:rsidRPr="009E334A">
        <w:t xml:space="preserve">Standards relating to </w:t>
      </w:r>
      <w:r>
        <w:t xml:space="preserve">the cultural heritage of </w:t>
      </w:r>
      <w:r w:rsidRPr="009E334A">
        <w:t xml:space="preserve">indigenous </w:t>
      </w:r>
      <w:r>
        <w:t>peoples</w:t>
      </w:r>
      <w:r w:rsidRPr="009E334A">
        <w:t xml:space="preserve"> are dispersed in several international regimes</w:t>
      </w:r>
      <w:r>
        <w:t>,</w:t>
      </w:r>
      <w:r w:rsidRPr="009E334A">
        <w:t xml:space="preserve"> in particular in human rights instruments, </w:t>
      </w:r>
      <w:r>
        <w:t>United Nations Educational, Scientific and Cultural Organization (</w:t>
      </w:r>
      <w:r w:rsidRPr="009E334A">
        <w:t>UNESCO</w:t>
      </w:r>
      <w:r>
        <w:t>)</w:t>
      </w:r>
      <w:r w:rsidRPr="009E334A">
        <w:t xml:space="preserve"> instruments</w:t>
      </w:r>
      <w:r>
        <w:t>,</w:t>
      </w:r>
      <w:r w:rsidRPr="009E334A">
        <w:t xml:space="preserve"> intellectual property </w:t>
      </w:r>
      <w:r>
        <w:t>treaties</w:t>
      </w:r>
      <w:r w:rsidRPr="009E334A">
        <w:t xml:space="preserve"> and the international environmental law and policy regime</w:t>
      </w:r>
      <w:r>
        <w:t>.</w:t>
      </w:r>
    </w:p>
    <w:p w:rsidR="008927C4" w:rsidRPr="00DE38EC" w:rsidRDefault="008927C4" w:rsidP="008927C4">
      <w:pPr>
        <w:pStyle w:val="H1G"/>
      </w:pPr>
      <w:r w:rsidRPr="00DE38EC">
        <w:tab/>
        <w:t>A.</w:t>
      </w:r>
      <w:r>
        <w:tab/>
        <w:t>Human rights instruments</w:t>
      </w:r>
    </w:p>
    <w:p w:rsidR="008927C4" w:rsidRDefault="008927C4" w:rsidP="00AA6755">
      <w:pPr>
        <w:pStyle w:val="SingleTxtG"/>
        <w:numPr>
          <w:ilvl w:val="0"/>
          <w:numId w:val="26"/>
        </w:numPr>
        <w:ind w:left="1134" w:firstLine="0"/>
      </w:pPr>
      <w:r w:rsidRPr="00E82BD7">
        <w:t>Culture is one</w:t>
      </w:r>
      <w:r>
        <w:t xml:space="preserve"> of the underlying pillars of the United Nations Declaration on the Rights of Indigenous Peoples. </w:t>
      </w:r>
      <w:r w:rsidRPr="00A87CF3">
        <w:t xml:space="preserve">The close relationship between </w:t>
      </w:r>
      <w:r>
        <w:t xml:space="preserve">the cultural rights of </w:t>
      </w:r>
      <w:r w:rsidRPr="00A87CF3">
        <w:t>indigenous peoples and the</w:t>
      </w:r>
      <w:r>
        <w:t>ir</w:t>
      </w:r>
      <w:r w:rsidRPr="00A87CF3">
        <w:t xml:space="preserve"> right to self-determination is reflected in </w:t>
      </w:r>
      <w:r>
        <w:t>article </w:t>
      </w:r>
      <w:r w:rsidRPr="00A87CF3">
        <w:t>3</w:t>
      </w:r>
      <w:r>
        <w:t xml:space="preserve"> of the Declaration, </w:t>
      </w:r>
      <w:r w:rsidRPr="00A87CF3">
        <w:t xml:space="preserve">which states that by virtue of </w:t>
      </w:r>
      <w:r>
        <w:t>their</w:t>
      </w:r>
      <w:r w:rsidRPr="00A87CF3">
        <w:t xml:space="preserve"> right to self-determination, </w:t>
      </w:r>
      <w:r>
        <w:t>indigenous peoples</w:t>
      </w:r>
      <w:r w:rsidRPr="00A87CF3">
        <w:t xml:space="preserve"> may freely pursue their cultural development. </w:t>
      </w:r>
      <w:r>
        <w:t>The Declaration addresses</w:t>
      </w:r>
      <w:r w:rsidRPr="00B922A6">
        <w:t xml:space="preserve"> </w:t>
      </w:r>
      <w:r>
        <w:t xml:space="preserve">the </w:t>
      </w:r>
      <w:r w:rsidRPr="00B922A6">
        <w:t>tangible her</w:t>
      </w:r>
      <w:r>
        <w:t>itage</w:t>
      </w:r>
      <w:r w:rsidRPr="00B922A6">
        <w:t>, traditions and customs</w:t>
      </w:r>
      <w:r>
        <w:t xml:space="preserve"> of indigenous peoples </w:t>
      </w:r>
      <w:r w:rsidRPr="00EA0689">
        <w:t>(art. 11)</w:t>
      </w:r>
      <w:r w:rsidRPr="00B922A6">
        <w:t xml:space="preserve">; the spiritual and religious </w:t>
      </w:r>
      <w:r>
        <w:t>traditions and customs</w:t>
      </w:r>
      <w:r w:rsidRPr="00B922A6">
        <w:t xml:space="preserve"> of indigenous cultures</w:t>
      </w:r>
      <w:r>
        <w:t xml:space="preserve"> </w:t>
      </w:r>
      <w:r w:rsidRPr="00EA0689">
        <w:t>(art. 12</w:t>
      </w:r>
      <w:r>
        <w:t>)</w:t>
      </w:r>
      <w:r w:rsidRPr="00B922A6">
        <w:t xml:space="preserve">; </w:t>
      </w:r>
      <w:r>
        <w:t xml:space="preserve">their </w:t>
      </w:r>
      <w:r w:rsidRPr="00B922A6">
        <w:t>intangible heritage</w:t>
      </w:r>
      <w:r>
        <w:t xml:space="preserve"> </w:t>
      </w:r>
      <w:r w:rsidRPr="00EA0689">
        <w:t>(art. 13</w:t>
      </w:r>
      <w:r>
        <w:t>)</w:t>
      </w:r>
      <w:r w:rsidRPr="00B922A6">
        <w:t xml:space="preserve">; </w:t>
      </w:r>
      <w:r w:rsidR="000B2E17">
        <w:t xml:space="preserve">and </w:t>
      </w:r>
      <w:r>
        <w:t xml:space="preserve">their right to uphold the dignity and diversity of their cultures and languages, in relation to </w:t>
      </w:r>
      <w:r w:rsidRPr="00B922A6">
        <w:t>education and public information</w:t>
      </w:r>
      <w:r>
        <w:t xml:space="preserve"> (</w:t>
      </w:r>
      <w:r w:rsidRPr="00EA0689">
        <w:t>arts. 14 and 15</w:t>
      </w:r>
      <w:r>
        <w:t>)</w:t>
      </w:r>
      <w:r w:rsidRPr="00B922A6">
        <w:t>. More specifically</w:t>
      </w:r>
      <w:r>
        <w:t>,</w:t>
      </w:r>
      <w:r w:rsidRPr="00B922A6">
        <w:t xml:space="preserve"> regarding cultural heritage, </w:t>
      </w:r>
      <w:r>
        <w:t xml:space="preserve">the Declaration </w:t>
      </w:r>
      <w:r w:rsidRPr="00B922A6">
        <w:t>states</w:t>
      </w:r>
      <w:r>
        <w:t xml:space="preserve"> that:</w:t>
      </w:r>
    </w:p>
    <w:p w:rsidR="008927C4" w:rsidRDefault="008927C4" w:rsidP="008927C4">
      <w:pPr>
        <w:pStyle w:val="SingleTxtG"/>
        <w:ind w:left="1701"/>
      </w:pPr>
      <w:r w:rsidRPr="00B922A6">
        <w:t>Indigenous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t xml:space="preserve"> (art. 31) </w:t>
      </w:r>
    </w:p>
    <w:p w:rsidR="008927C4" w:rsidRDefault="008927C4" w:rsidP="00AA6755">
      <w:pPr>
        <w:pStyle w:val="SingleTxtG"/>
        <w:numPr>
          <w:ilvl w:val="0"/>
          <w:numId w:val="26"/>
        </w:numPr>
        <w:ind w:left="1134" w:firstLine="0"/>
      </w:pPr>
      <w:r>
        <w:t xml:space="preserve">The Declaration </w:t>
      </w:r>
      <w:r w:rsidRPr="00964069">
        <w:t>uphold</w:t>
      </w:r>
      <w:r>
        <w:t>s</w:t>
      </w:r>
      <w:r w:rsidRPr="00964069">
        <w:t xml:space="preserve"> </w:t>
      </w:r>
      <w:r>
        <w:t xml:space="preserve">the rights of </w:t>
      </w:r>
      <w:r w:rsidRPr="00964069">
        <w:t>indigenous peoples to develop their own culture</w:t>
      </w:r>
      <w:r w:rsidR="000B2E17">
        <w:t>s</w:t>
      </w:r>
      <w:r w:rsidRPr="00964069">
        <w:t xml:space="preserve"> and customs</w:t>
      </w:r>
      <w:r w:rsidR="009F171E">
        <w:t>,</w:t>
      </w:r>
      <w:r w:rsidRPr="00964069">
        <w:t xml:space="preserve"> to </w:t>
      </w:r>
      <w:r>
        <w:t xml:space="preserve">the </w:t>
      </w:r>
      <w:r w:rsidRPr="00964069">
        <w:t xml:space="preserve">use and control </w:t>
      </w:r>
      <w:r>
        <w:t xml:space="preserve">of their </w:t>
      </w:r>
      <w:r w:rsidRPr="00964069">
        <w:t>ceremonial objects</w:t>
      </w:r>
      <w:r w:rsidR="009F171E">
        <w:t>,</w:t>
      </w:r>
      <w:r w:rsidRPr="00964069">
        <w:t xml:space="preserve"> not</w:t>
      </w:r>
      <w:r>
        <w:t xml:space="preserve"> to</w:t>
      </w:r>
      <w:r w:rsidRPr="00964069">
        <w:t xml:space="preserve"> be subjected to destruction of </w:t>
      </w:r>
      <w:r>
        <w:t xml:space="preserve">their </w:t>
      </w:r>
      <w:r w:rsidRPr="00964069">
        <w:t>culture</w:t>
      </w:r>
      <w:r w:rsidR="007A75B2">
        <w:t>s</w:t>
      </w:r>
      <w:r w:rsidRPr="00964069">
        <w:t xml:space="preserve"> or </w:t>
      </w:r>
      <w:r>
        <w:t xml:space="preserve">to </w:t>
      </w:r>
      <w:r w:rsidRPr="00964069">
        <w:t>discrimination</w:t>
      </w:r>
      <w:r>
        <w:t xml:space="preserve"> </w:t>
      </w:r>
      <w:r w:rsidRPr="00964069">
        <w:t>on</w:t>
      </w:r>
      <w:r>
        <w:t xml:space="preserve"> </w:t>
      </w:r>
      <w:r w:rsidR="007A75B2">
        <w:t>cultural grounds</w:t>
      </w:r>
      <w:r w:rsidR="009F171E">
        <w:t>,</w:t>
      </w:r>
      <w:r w:rsidRPr="00964069">
        <w:t xml:space="preserve"> and to redress mechanisms for </w:t>
      </w:r>
      <w:r>
        <w:t xml:space="preserve">action that </w:t>
      </w:r>
      <w:r w:rsidRPr="00964069">
        <w:t>depriv</w:t>
      </w:r>
      <w:r>
        <w:t>es them</w:t>
      </w:r>
      <w:r w:rsidRPr="00964069">
        <w:t xml:space="preserve"> of </w:t>
      </w:r>
      <w:r>
        <w:t xml:space="preserve">their </w:t>
      </w:r>
      <w:r w:rsidRPr="00964069">
        <w:t>cultural values.</w:t>
      </w:r>
      <w:bookmarkStart w:id="1" w:name="h.1mgmw6gjzuzp" w:colFirst="0" w:colLast="0"/>
      <w:bookmarkEnd w:id="1"/>
    </w:p>
    <w:p w:rsidR="008927C4" w:rsidRDefault="008927C4" w:rsidP="00AA6755">
      <w:pPr>
        <w:pStyle w:val="SingleTxtG"/>
        <w:numPr>
          <w:ilvl w:val="0"/>
          <w:numId w:val="26"/>
        </w:numPr>
        <w:ind w:left="1134" w:firstLine="0"/>
      </w:pPr>
      <w:r w:rsidRPr="00C91E24">
        <w:t>The International Labour Organization</w:t>
      </w:r>
      <w:r>
        <w:t xml:space="preserve"> </w:t>
      </w:r>
      <w:r w:rsidRPr="00C91E24">
        <w:t xml:space="preserve">Indigenous and Tribal Peoples Convention </w:t>
      </w:r>
      <w:r>
        <w:t>(No. </w:t>
      </w:r>
      <w:r w:rsidRPr="00C91E24">
        <w:t xml:space="preserve">169) </w:t>
      </w:r>
      <w:r w:rsidRPr="00ED1F2C">
        <w:t xml:space="preserve">contains a number of provisions </w:t>
      </w:r>
      <w:r>
        <w:t xml:space="preserve">relating </w:t>
      </w:r>
      <w:r w:rsidRPr="00ED1F2C">
        <w:t xml:space="preserve">to </w:t>
      </w:r>
      <w:r>
        <w:t xml:space="preserve">the </w:t>
      </w:r>
      <w:r w:rsidRPr="00ED1F2C">
        <w:t>cultural heritage</w:t>
      </w:r>
      <w:r>
        <w:t xml:space="preserve"> of </w:t>
      </w:r>
      <w:r w:rsidRPr="00ED1F2C">
        <w:t xml:space="preserve">indigenous peoples. </w:t>
      </w:r>
      <w:r>
        <w:t xml:space="preserve">Drawing attention to the distinctive contributions of indigenous peoples to the cultural diversity of humankind (preamble), the </w:t>
      </w:r>
      <w:r w:rsidRPr="00ED1F2C">
        <w:t>Convention requires</w:t>
      </w:r>
      <w:r>
        <w:t xml:space="preserve"> Governments to</w:t>
      </w:r>
      <w:r w:rsidRPr="00ED1F2C">
        <w:t xml:space="preserve"> pro</w:t>
      </w:r>
      <w:r>
        <w:t>mote and safeguard the cultures of</w:t>
      </w:r>
      <w:r w:rsidRPr="00ED1F2C">
        <w:t xml:space="preserve"> indigenous </w:t>
      </w:r>
      <w:r>
        <w:t>peoples</w:t>
      </w:r>
      <w:r w:rsidRPr="00ED1F2C">
        <w:t xml:space="preserve"> through special measures</w:t>
      </w:r>
      <w:r>
        <w:t xml:space="preserve"> (</w:t>
      </w:r>
      <w:r w:rsidRPr="00EA0689">
        <w:t>arts. 2 and 4</w:t>
      </w:r>
      <w:r>
        <w:t>)</w:t>
      </w:r>
      <w:r w:rsidRPr="00ED1F2C">
        <w:t>, and t</w:t>
      </w:r>
      <w:r>
        <w:t xml:space="preserve">o </w:t>
      </w:r>
      <w:r w:rsidRPr="00ED1F2C">
        <w:t>recogni</w:t>
      </w:r>
      <w:r>
        <w:t>ze</w:t>
      </w:r>
      <w:r w:rsidRPr="00ED1F2C">
        <w:t xml:space="preserve"> and protect</w:t>
      </w:r>
      <w:r>
        <w:t xml:space="preserve"> their</w:t>
      </w:r>
      <w:r w:rsidRPr="00ED1F2C">
        <w:t xml:space="preserve"> cultural</w:t>
      </w:r>
      <w:r>
        <w:t xml:space="preserve"> values and</w:t>
      </w:r>
      <w:r w:rsidRPr="00ED1F2C">
        <w:t xml:space="preserve"> practices</w:t>
      </w:r>
      <w:r>
        <w:t xml:space="preserve"> (</w:t>
      </w:r>
      <w:r w:rsidRPr="00EA0689">
        <w:t>art. 5</w:t>
      </w:r>
      <w:r>
        <w:t>)</w:t>
      </w:r>
      <w:r w:rsidRPr="00ED1F2C">
        <w:t xml:space="preserve">. </w:t>
      </w:r>
      <w:r>
        <w:t>Governments</w:t>
      </w:r>
      <w:r w:rsidRPr="00A87CF3">
        <w:t xml:space="preserve"> are required to respect </w:t>
      </w:r>
      <w:r>
        <w:t xml:space="preserve">and safeguard the </w:t>
      </w:r>
      <w:r w:rsidRPr="00A87CF3">
        <w:t>cultural</w:t>
      </w:r>
      <w:r>
        <w:t xml:space="preserve"> and traditional</w:t>
      </w:r>
      <w:r w:rsidRPr="00A87CF3">
        <w:t xml:space="preserve"> values </w:t>
      </w:r>
      <w:r>
        <w:t xml:space="preserve">of indigenous peoples and </w:t>
      </w:r>
      <w:r w:rsidRPr="00A87CF3">
        <w:t>(</w:t>
      </w:r>
      <w:r w:rsidRPr="00EA0689">
        <w:t>art. 13</w:t>
      </w:r>
      <w:r w:rsidRPr="00A87CF3">
        <w:t>)</w:t>
      </w:r>
      <w:r>
        <w:t xml:space="preserve"> their use and management of the </w:t>
      </w:r>
      <w:r w:rsidRPr="00A87CF3">
        <w:t>land and natural resources (</w:t>
      </w:r>
      <w:r w:rsidRPr="00EA0689">
        <w:t>arts. 14 and 15</w:t>
      </w:r>
      <w:r w:rsidRPr="00A87CF3">
        <w:t xml:space="preserve">), </w:t>
      </w:r>
      <w:r>
        <w:t>and</w:t>
      </w:r>
      <w:r w:rsidRPr="00A87CF3">
        <w:t xml:space="preserve"> ensure that </w:t>
      </w:r>
      <w:r>
        <w:t xml:space="preserve">the </w:t>
      </w:r>
      <w:r w:rsidRPr="00A87CF3">
        <w:t>traditional activities</w:t>
      </w:r>
      <w:r>
        <w:t xml:space="preserve"> of indigenous peoples</w:t>
      </w:r>
      <w:r w:rsidRPr="00A87CF3">
        <w:t xml:space="preserve"> are strengthened and promoted (</w:t>
      </w:r>
      <w:r w:rsidRPr="00EA0689">
        <w:t>art. 23</w:t>
      </w:r>
      <w:r w:rsidRPr="00A87CF3">
        <w:t>)</w:t>
      </w:r>
      <w:r>
        <w:t>.</w:t>
      </w:r>
      <w:r w:rsidRPr="00A87CF3">
        <w:t xml:space="preserve"> </w:t>
      </w:r>
      <w:r>
        <w:t>G</w:t>
      </w:r>
      <w:r w:rsidRPr="003874CA">
        <w:t xml:space="preserve">overnments </w:t>
      </w:r>
      <w:r>
        <w:t xml:space="preserve">are required to consult with and </w:t>
      </w:r>
      <w:r w:rsidRPr="003874CA">
        <w:t xml:space="preserve">ensure the effective participation </w:t>
      </w:r>
      <w:r>
        <w:t xml:space="preserve">of indigenous peoples </w:t>
      </w:r>
      <w:r w:rsidRPr="003874CA">
        <w:t>at all levels of decision-making in political, legislative and administrative bodies and processes which may affect</w:t>
      </w:r>
      <w:r>
        <w:t xml:space="preserve"> them</w:t>
      </w:r>
      <w:r w:rsidR="008C4436">
        <w:t xml:space="preserve"> </w:t>
      </w:r>
      <w:r w:rsidRPr="003874CA">
        <w:t>directly</w:t>
      </w:r>
      <w:r>
        <w:t xml:space="preserve">, including their cultural development, and </w:t>
      </w:r>
      <w:r w:rsidRPr="00A87CF3">
        <w:t xml:space="preserve">ensure </w:t>
      </w:r>
      <w:r>
        <w:t xml:space="preserve">that </w:t>
      </w:r>
      <w:r w:rsidRPr="00A87CF3">
        <w:t>studies are carried out to assess</w:t>
      </w:r>
      <w:r w:rsidR="007A75B2">
        <w:t>,</w:t>
      </w:r>
      <w:r w:rsidRPr="00A87CF3">
        <w:t xml:space="preserve"> </w:t>
      </w:r>
      <w:r w:rsidR="007A75B2">
        <w:t>inter alia,</w:t>
      </w:r>
      <w:r w:rsidR="007A75B2" w:rsidRPr="00A87CF3">
        <w:t xml:space="preserve"> </w:t>
      </w:r>
      <w:r w:rsidRPr="00A87CF3">
        <w:t>the cultural</w:t>
      </w:r>
      <w:r w:rsidR="008C4436">
        <w:t xml:space="preserve"> </w:t>
      </w:r>
      <w:r w:rsidRPr="00A87CF3">
        <w:t>impact of development</w:t>
      </w:r>
      <w:r>
        <w:t xml:space="preserve"> activities</w:t>
      </w:r>
      <w:r w:rsidRPr="00A87CF3">
        <w:t xml:space="preserve"> on indigenous peoples </w:t>
      </w:r>
      <w:r w:rsidRPr="00EA0689">
        <w:t>(arts. 6 and 7</w:t>
      </w:r>
      <w:r>
        <w:t>)</w:t>
      </w:r>
      <w:r w:rsidRPr="003874CA">
        <w:t>.</w:t>
      </w:r>
    </w:p>
    <w:p w:rsidR="008927C4" w:rsidRDefault="008927C4" w:rsidP="00AA6755">
      <w:pPr>
        <w:pStyle w:val="SingleTxtG"/>
        <w:numPr>
          <w:ilvl w:val="0"/>
          <w:numId w:val="26"/>
        </w:numPr>
        <w:ind w:left="1134" w:firstLine="0"/>
      </w:pPr>
      <w:r>
        <w:t>T</w:t>
      </w:r>
      <w:r w:rsidRPr="00ED1F2C">
        <w:t>he right of access to and enjoyment of cultural heritage forms part of international human rights law</w:t>
      </w:r>
      <w:r w:rsidR="001D2B9B">
        <w:t xml:space="preserve"> (</w:t>
      </w:r>
      <w:r w:rsidR="001D2B9B" w:rsidRPr="00F35BFB">
        <w:t>A/HRC/17/38</w:t>
      </w:r>
      <w:r w:rsidR="001D2B9B">
        <w:t>, para. 78)</w:t>
      </w:r>
      <w:r w:rsidRPr="00ED1F2C">
        <w:t xml:space="preserve">. A number of international human rights instruments </w:t>
      </w:r>
      <w:r>
        <w:t>provide</w:t>
      </w:r>
      <w:r w:rsidRPr="00ED1F2C">
        <w:t xml:space="preserve"> the legal basis for </w:t>
      </w:r>
      <w:r>
        <w:t>the</w:t>
      </w:r>
      <w:r w:rsidRPr="00ED1F2C">
        <w:t xml:space="preserve"> right of access to and enjoyment of cultural heritage</w:t>
      </w:r>
      <w:r>
        <w:t xml:space="preserve">, including the </w:t>
      </w:r>
      <w:r w:rsidRPr="003874CA">
        <w:t>Universal Declaration of Human Rights</w:t>
      </w:r>
      <w:r>
        <w:t xml:space="preserve"> (art. 27), the</w:t>
      </w:r>
      <w:r w:rsidRPr="003874CA">
        <w:t xml:space="preserve"> International Covenant on Economic, Social and Cultural Rights </w:t>
      </w:r>
      <w:r>
        <w:t xml:space="preserve">(art. 15) and the </w:t>
      </w:r>
      <w:r w:rsidRPr="00ED1F2C">
        <w:t xml:space="preserve">International Covenant on Civil and Political Rights </w:t>
      </w:r>
      <w:r>
        <w:t>(art. 27). T</w:t>
      </w:r>
      <w:r w:rsidRPr="003874CA">
        <w:t>he obligation to respect the right to take part in cultural life “includes the adoption of specific measures aimed at achieving respect for the right of everyone, individually or in association with others or within a community or group</w:t>
      </w:r>
      <w:r>
        <w:t xml:space="preserve"> </w:t>
      </w:r>
      <w:r w:rsidRPr="003874CA">
        <w:t>… to have access to their own cultural and linguistic heritage and to that of others.”</w:t>
      </w:r>
      <w:r w:rsidRPr="00ED1F2C">
        <w:rPr>
          <w:rStyle w:val="FootnoteReference"/>
        </w:rPr>
        <w:footnoteReference w:id="5"/>
      </w:r>
    </w:p>
    <w:p w:rsidR="008927C4" w:rsidRPr="00C328BB" w:rsidRDefault="008927C4" w:rsidP="00AA6755">
      <w:pPr>
        <w:pStyle w:val="SingleTxtG"/>
        <w:numPr>
          <w:ilvl w:val="0"/>
          <w:numId w:val="26"/>
        </w:numPr>
        <w:ind w:left="1134" w:firstLine="0"/>
      </w:pPr>
      <w:r w:rsidRPr="00C328BB">
        <w:t xml:space="preserve">The International Covenant on Civil and Political Rights provides for the right of members of minorities to enjoy their own culture, practice their own religion and use their own language (art. 27), while the Convention on the Rights of the Child explicitly extends that right to persons of indigenous origin (art. 30) and requires that the education of the child be directed to “the development of respect for his or her cultural identity, language and values…” (art. 29). </w:t>
      </w:r>
    </w:p>
    <w:p w:rsidR="008927C4" w:rsidRDefault="008927C4" w:rsidP="00AA6755">
      <w:pPr>
        <w:pStyle w:val="SingleTxtG"/>
        <w:numPr>
          <w:ilvl w:val="0"/>
          <w:numId w:val="26"/>
        </w:numPr>
        <w:ind w:left="1134" w:firstLine="0"/>
      </w:pPr>
      <w:r>
        <w:t xml:space="preserve">At the regional level, </w:t>
      </w:r>
      <w:r w:rsidRPr="00ED1F2C">
        <w:t xml:space="preserve">the African Charter on Human and Peoples’ Rights guarantees the right of </w:t>
      </w:r>
      <w:r>
        <w:t xml:space="preserve">every </w:t>
      </w:r>
      <w:r w:rsidRPr="00ED1F2C">
        <w:t xml:space="preserve">individual to </w:t>
      </w:r>
      <w:r>
        <w:t xml:space="preserve">freely </w:t>
      </w:r>
      <w:r w:rsidRPr="00ED1F2C">
        <w:t>take part in the cul</w:t>
      </w:r>
      <w:r>
        <w:t xml:space="preserve">tural life of his or her community (art. 17) and upholds </w:t>
      </w:r>
      <w:r w:rsidRPr="00ED1F2C">
        <w:t>the right</w:t>
      </w:r>
      <w:r>
        <w:t xml:space="preserve"> of all peoples</w:t>
      </w:r>
      <w:r w:rsidRPr="00ED1F2C">
        <w:t xml:space="preserve"> to </w:t>
      </w:r>
      <w:r>
        <w:t xml:space="preserve">their </w:t>
      </w:r>
      <w:r w:rsidRPr="00ED1F2C">
        <w:t>cultural development and the equal enjoyment of the common heritage</w:t>
      </w:r>
      <w:r>
        <w:t xml:space="preserve"> of mankind (art. 22)</w:t>
      </w:r>
      <w:r w:rsidRPr="00ED1F2C">
        <w:t>.</w:t>
      </w:r>
      <w:r>
        <w:t xml:space="preserve"> The</w:t>
      </w:r>
      <w:r w:rsidRPr="003874CA">
        <w:t xml:space="preserve"> American Declaration of the Rights and Duties of Man </w:t>
      </w:r>
      <w:r>
        <w:t xml:space="preserve">proclaims </w:t>
      </w:r>
      <w:r w:rsidRPr="003874CA">
        <w:t xml:space="preserve">the right </w:t>
      </w:r>
      <w:r>
        <w:t xml:space="preserve">of every person </w:t>
      </w:r>
      <w:r w:rsidRPr="003874CA">
        <w:t>to take part in the cultural life of the community</w:t>
      </w:r>
      <w:r>
        <w:t xml:space="preserve"> (art. 13).</w:t>
      </w:r>
    </w:p>
    <w:p w:rsidR="008927C4" w:rsidRPr="00A057AC" w:rsidRDefault="008927C4" w:rsidP="00AA6755">
      <w:pPr>
        <w:pStyle w:val="SingleTxtG"/>
        <w:numPr>
          <w:ilvl w:val="0"/>
          <w:numId w:val="26"/>
        </w:numPr>
        <w:ind w:left="1134" w:firstLine="0"/>
        <w:rPr>
          <w:rFonts w:eastAsia="Calibri"/>
          <w:bCs/>
          <w:color w:val="000000"/>
          <w:lang w:eastAsia="en-GB"/>
        </w:rPr>
      </w:pPr>
      <w:r>
        <w:t>Overall</w:t>
      </w:r>
      <w:r w:rsidRPr="00033FDA">
        <w:t xml:space="preserve">, international and regional human rights instruments guarantee the right to take part in cultural life, the right to enjoy one’s own culture, and the right to maintain, control, protect and develop </w:t>
      </w:r>
      <w:r>
        <w:t xml:space="preserve">one’s </w:t>
      </w:r>
      <w:r w:rsidRPr="00033FDA">
        <w:t>cultural heritage.</w:t>
      </w:r>
    </w:p>
    <w:p w:rsidR="008927C4" w:rsidRPr="004B7CB6" w:rsidRDefault="008927C4" w:rsidP="008927C4">
      <w:pPr>
        <w:pStyle w:val="H1G"/>
        <w:rPr>
          <w:lang w:val="en-US"/>
        </w:rPr>
      </w:pPr>
      <w:r>
        <w:rPr>
          <w:lang w:val="en-US"/>
        </w:rPr>
        <w:tab/>
      </w:r>
      <w:r w:rsidRPr="004B7CB6">
        <w:rPr>
          <w:lang w:val="en-US"/>
        </w:rPr>
        <w:t>B.</w:t>
      </w:r>
      <w:r>
        <w:rPr>
          <w:lang w:val="en-US"/>
        </w:rPr>
        <w:tab/>
        <w:t>United Nations Educational, Scientific and Cultural Organization, cultural heritage and indigenous peoples</w:t>
      </w:r>
    </w:p>
    <w:p w:rsidR="008927C4" w:rsidRDefault="008927C4" w:rsidP="00AA6755">
      <w:pPr>
        <w:pStyle w:val="SingleTxtG"/>
        <w:numPr>
          <w:ilvl w:val="0"/>
          <w:numId w:val="26"/>
        </w:numPr>
        <w:ind w:left="1134" w:firstLine="0"/>
      </w:pPr>
      <w:r w:rsidRPr="00ED1F2C">
        <w:t xml:space="preserve">Cultural heritage is a </w:t>
      </w:r>
      <w:r>
        <w:t>central</w:t>
      </w:r>
      <w:r w:rsidRPr="00ED1F2C">
        <w:t xml:space="preserve"> part of the mandate of UNESCO. </w:t>
      </w:r>
      <w:r>
        <w:t xml:space="preserve">The </w:t>
      </w:r>
      <w:r w:rsidRPr="00121FDE">
        <w:t>1972 Convention concerning the Protection of the World Cultural and Natural Heritage</w:t>
      </w:r>
      <w:r>
        <w:t xml:space="preserve"> (the </w:t>
      </w:r>
      <w:r w:rsidRPr="00121FDE">
        <w:t>World Heritage Convention</w:t>
      </w:r>
      <w:r>
        <w:t xml:space="preserve">), </w:t>
      </w:r>
      <w:r w:rsidRPr="00121FDE">
        <w:t xml:space="preserve">addresses both cultural </w:t>
      </w:r>
      <w:r>
        <w:t>heritage (</w:t>
      </w:r>
      <w:r w:rsidR="000B4206">
        <w:t>e.g.</w:t>
      </w:r>
      <w:r>
        <w:t xml:space="preserve"> </w:t>
      </w:r>
      <w:r w:rsidRPr="00121FDE">
        <w:t>sacred sites, monuments or buildings)</w:t>
      </w:r>
      <w:r>
        <w:t xml:space="preserve"> and </w:t>
      </w:r>
      <w:r w:rsidRPr="00121FDE">
        <w:t xml:space="preserve">natural </w:t>
      </w:r>
      <w:r>
        <w:t xml:space="preserve">heritage </w:t>
      </w:r>
      <w:r w:rsidRPr="00121FDE">
        <w:t>(</w:t>
      </w:r>
      <w:r w:rsidR="000B4206">
        <w:t>e.g.</w:t>
      </w:r>
      <w:r w:rsidRPr="00121FDE">
        <w:t xml:space="preserve"> biodiversity hotspots or outstanding geological formations).</w:t>
      </w:r>
    </w:p>
    <w:p w:rsidR="008927C4" w:rsidRDefault="008927C4" w:rsidP="00AA6755">
      <w:pPr>
        <w:pStyle w:val="SingleTxtG"/>
        <w:numPr>
          <w:ilvl w:val="0"/>
          <w:numId w:val="26"/>
        </w:numPr>
        <w:ind w:left="1134" w:firstLine="0"/>
        <w:rPr>
          <w:lang w:val="en-CA"/>
        </w:rPr>
      </w:pPr>
      <w:r w:rsidRPr="00A16513">
        <w:t>More recent</w:t>
      </w:r>
      <w:r>
        <w:t xml:space="preserve"> instruments provide greater recognition of the cultural heritage of indigenous peoples. </w:t>
      </w:r>
      <w:r w:rsidRPr="00ED1F2C">
        <w:t>The Universal Declaration</w:t>
      </w:r>
      <w:r>
        <w:t xml:space="preserve"> on Cultural Diversity (2001) </w:t>
      </w:r>
      <w:r w:rsidRPr="00ED1F2C">
        <w:t>protects the exchange of cultural heritage</w:t>
      </w:r>
      <w:r>
        <w:t xml:space="preserve">, calling specifically for respect for human dignity and commitment to the human rights of minorities and indigenous peoples as a key element to defend cultural diversity (art. 4). </w:t>
      </w:r>
      <w:r w:rsidRPr="008C15E7">
        <w:t xml:space="preserve">The 2003 Convention on the Safeguarding of Intangible Cultural Heritage </w:t>
      </w:r>
      <w:r>
        <w:t>recognizes that “</w:t>
      </w:r>
      <w:r w:rsidRPr="002315D3">
        <w:t>communities, in particular indigenous communities, groups and, in some cases, individuals, play an important role in the production, safeguarding, maintenance and re-creation of the intangible cultural heritage</w:t>
      </w:r>
      <w:r>
        <w:t>” (preamble).</w:t>
      </w:r>
      <w:r w:rsidRPr="008C15E7">
        <w:t xml:space="preserve"> </w:t>
      </w:r>
      <w:r w:rsidRPr="009E64C6">
        <w:rPr>
          <w:lang w:val="en-CA"/>
        </w:rPr>
        <w:t>The Operational Directives</w:t>
      </w:r>
      <w:r>
        <w:rPr>
          <w:lang w:val="en-CA"/>
        </w:rPr>
        <w:t xml:space="preserve"> for the implementation of the Convention</w:t>
      </w:r>
      <w:r w:rsidRPr="009E64C6">
        <w:rPr>
          <w:lang w:val="en-CA"/>
        </w:rPr>
        <w:t xml:space="preserve"> </w:t>
      </w:r>
      <w:r>
        <w:rPr>
          <w:lang w:val="en-CA"/>
        </w:rPr>
        <w:t>emphasize</w:t>
      </w:r>
      <w:r w:rsidRPr="009E64C6">
        <w:rPr>
          <w:lang w:val="en-CA"/>
        </w:rPr>
        <w:t xml:space="preserve"> that State activities </w:t>
      </w:r>
      <w:r>
        <w:rPr>
          <w:lang w:val="en-CA"/>
        </w:rPr>
        <w:t>may</w:t>
      </w:r>
      <w:r w:rsidRPr="009E64C6">
        <w:rPr>
          <w:lang w:val="en-CA"/>
        </w:rPr>
        <w:t xml:space="preserve"> only be undertaken with the active involvement or participation of </w:t>
      </w:r>
      <w:r>
        <w:rPr>
          <w:lang w:val="en-CA"/>
        </w:rPr>
        <w:t xml:space="preserve">the </w:t>
      </w:r>
      <w:r w:rsidRPr="009E64C6">
        <w:rPr>
          <w:lang w:val="en-CA"/>
        </w:rPr>
        <w:t xml:space="preserve">concerned communities, groups and individuals. In particular, the free, prior and informed consent </w:t>
      </w:r>
      <w:r>
        <w:rPr>
          <w:lang w:val="en-CA"/>
        </w:rPr>
        <w:t xml:space="preserve">of the concerned communities </w:t>
      </w:r>
      <w:r w:rsidRPr="009E64C6">
        <w:rPr>
          <w:lang w:val="en-CA"/>
        </w:rPr>
        <w:t xml:space="preserve">is required </w:t>
      </w:r>
      <w:r>
        <w:rPr>
          <w:lang w:val="en-CA"/>
        </w:rPr>
        <w:t xml:space="preserve">to </w:t>
      </w:r>
      <w:r w:rsidRPr="009E64C6">
        <w:rPr>
          <w:lang w:val="en-CA"/>
        </w:rPr>
        <w:t>inscrib</w:t>
      </w:r>
      <w:r>
        <w:rPr>
          <w:lang w:val="en-CA"/>
        </w:rPr>
        <w:t>e</w:t>
      </w:r>
      <w:r w:rsidRPr="009E64C6">
        <w:rPr>
          <w:lang w:val="en-CA"/>
        </w:rPr>
        <w:t xml:space="preserve"> intangible cultural heritage elements on the List of Intangible Cultural Heritage in Need of Urgent Safeguarding or </w:t>
      </w:r>
      <w:r>
        <w:rPr>
          <w:lang w:val="en-CA"/>
        </w:rPr>
        <w:t xml:space="preserve">the </w:t>
      </w:r>
      <w:r w:rsidRPr="009E64C6">
        <w:rPr>
          <w:lang w:val="en-CA"/>
        </w:rPr>
        <w:t xml:space="preserve">Representative List of the Intangible Cultural Heritage of Humanity and </w:t>
      </w:r>
      <w:r>
        <w:rPr>
          <w:lang w:val="en-CA"/>
        </w:rPr>
        <w:t xml:space="preserve">to </w:t>
      </w:r>
      <w:r w:rsidRPr="009E64C6">
        <w:rPr>
          <w:lang w:val="en-CA"/>
        </w:rPr>
        <w:t>includ</w:t>
      </w:r>
      <w:r>
        <w:rPr>
          <w:lang w:val="en-CA"/>
        </w:rPr>
        <w:t>e</w:t>
      </w:r>
      <w:r w:rsidRPr="009E64C6">
        <w:rPr>
          <w:lang w:val="en-CA"/>
        </w:rPr>
        <w:t xml:space="preserve"> programmes, projects or activities </w:t>
      </w:r>
      <w:r>
        <w:rPr>
          <w:lang w:val="en-CA"/>
        </w:rPr>
        <w:t>i</w:t>
      </w:r>
      <w:r w:rsidRPr="009E64C6">
        <w:rPr>
          <w:lang w:val="en-CA"/>
        </w:rPr>
        <w:t>n the</w:t>
      </w:r>
      <w:r w:rsidRPr="00BB31F8">
        <w:rPr>
          <w:lang w:val="en-CA"/>
        </w:rPr>
        <w:t xml:space="preserve"> </w:t>
      </w:r>
      <w:r>
        <w:rPr>
          <w:lang w:val="en-CA"/>
        </w:rPr>
        <w:t>r</w:t>
      </w:r>
      <w:r w:rsidRPr="00BB31F8">
        <w:rPr>
          <w:lang w:val="en-CA"/>
        </w:rPr>
        <w:t xml:space="preserve">egister of </w:t>
      </w:r>
      <w:r>
        <w:rPr>
          <w:lang w:val="en-CA"/>
        </w:rPr>
        <w:t>b</w:t>
      </w:r>
      <w:r w:rsidRPr="00BB31F8">
        <w:rPr>
          <w:lang w:val="en-CA"/>
        </w:rPr>
        <w:t xml:space="preserve">est </w:t>
      </w:r>
      <w:r>
        <w:rPr>
          <w:lang w:val="en-CA"/>
        </w:rPr>
        <w:t>p</w:t>
      </w:r>
      <w:r w:rsidRPr="00BB31F8">
        <w:rPr>
          <w:lang w:val="en-CA"/>
        </w:rPr>
        <w:t>ractices</w:t>
      </w:r>
      <w:r>
        <w:rPr>
          <w:lang w:val="en-CA"/>
        </w:rPr>
        <w:t xml:space="preserve"> (paras. 1, 2, 7 and 101)</w:t>
      </w:r>
      <w:r w:rsidRPr="00BB31F8">
        <w:rPr>
          <w:lang w:val="en-CA"/>
        </w:rPr>
        <w:t>.</w:t>
      </w:r>
    </w:p>
    <w:p w:rsidR="008927C4" w:rsidRDefault="008927C4" w:rsidP="00AA6755">
      <w:pPr>
        <w:pStyle w:val="SingleTxtG"/>
        <w:numPr>
          <w:ilvl w:val="0"/>
          <w:numId w:val="26"/>
        </w:numPr>
        <w:ind w:left="1134" w:firstLine="0"/>
      </w:pPr>
      <w:r w:rsidRPr="009E64C6">
        <w:rPr>
          <w:shd w:val="clear" w:color="auto" w:fill="FFFFFF"/>
        </w:rPr>
        <w:t xml:space="preserve">The </w:t>
      </w:r>
      <w:r>
        <w:rPr>
          <w:shd w:val="clear" w:color="auto" w:fill="FFFFFF"/>
        </w:rPr>
        <w:t>2005</w:t>
      </w:r>
      <w:r w:rsidRPr="009E64C6">
        <w:rPr>
          <w:shd w:val="clear" w:color="auto" w:fill="FFFFFF"/>
        </w:rPr>
        <w:t xml:space="preserve"> Convention on the Protection and Promotion of the Diversity of Cultural Expressions refers to </w:t>
      </w:r>
      <w:r>
        <w:rPr>
          <w:shd w:val="clear" w:color="auto" w:fill="FFFFFF"/>
        </w:rPr>
        <w:t>the</w:t>
      </w:r>
      <w:r w:rsidR="007A75B2">
        <w:rPr>
          <w:shd w:val="clear" w:color="auto" w:fill="FFFFFF"/>
        </w:rPr>
        <w:t xml:space="preserve"> State</w:t>
      </w:r>
      <w:r>
        <w:rPr>
          <w:shd w:val="clear" w:color="auto" w:fill="FFFFFF"/>
        </w:rPr>
        <w:t xml:space="preserve"> obligation </w:t>
      </w:r>
      <w:r w:rsidRPr="009E64C6">
        <w:rPr>
          <w:shd w:val="clear" w:color="auto" w:fill="FFFFFF"/>
        </w:rPr>
        <w:t xml:space="preserve">to pay “due attention” to creating an environment conducive to </w:t>
      </w:r>
      <w:r>
        <w:rPr>
          <w:shd w:val="clear" w:color="auto" w:fill="FFFFFF"/>
        </w:rPr>
        <w:t>enabling</w:t>
      </w:r>
      <w:r w:rsidRPr="009E64C6">
        <w:rPr>
          <w:shd w:val="clear" w:color="auto" w:fill="FFFFFF"/>
        </w:rPr>
        <w:t xml:space="preserve"> indigenous peoples </w:t>
      </w:r>
      <w:r>
        <w:rPr>
          <w:shd w:val="clear" w:color="auto" w:fill="FFFFFF"/>
        </w:rPr>
        <w:t>to</w:t>
      </w:r>
      <w:r w:rsidRPr="009E64C6">
        <w:rPr>
          <w:shd w:val="clear" w:color="auto" w:fill="FFFFFF"/>
        </w:rPr>
        <w:t xml:space="preserve"> </w:t>
      </w:r>
      <w:r>
        <w:rPr>
          <w:shd w:val="clear" w:color="auto" w:fill="FFFFFF"/>
        </w:rPr>
        <w:t xml:space="preserve">create, </w:t>
      </w:r>
      <w:r w:rsidRPr="009E64C6">
        <w:rPr>
          <w:shd w:val="clear" w:color="auto" w:fill="FFFFFF"/>
        </w:rPr>
        <w:t>produc</w:t>
      </w:r>
      <w:r>
        <w:rPr>
          <w:shd w:val="clear" w:color="auto" w:fill="FFFFFF"/>
        </w:rPr>
        <w:t>e,</w:t>
      </w:r>
      <w:r w:rsidRPr="009E64C6">
        <w:rPr>
          <w:shd w:val="clear" w:color="auto" w:fill="FFFFFF"/>
        </w:rPr>
        <w:t xml:space="preserve"> disseminat</w:t>
      </w:r>
      <w:r>
        <w:rPr>
          <w:shd w:val="clear" w:color="auto" w:fill="FFFFFF"/>
        </w:rPr>
        <w:t>e and access</w:t>
      </w:r>
      <w:r w:rsidRPr="009E64C6">
        <w:rPr>
          <w:shd w:val="clear" w:color="auto" w:fill="FFFFFF"/>
        </w:rPr>
        <w:t xml:space="preserve"> their cultural heritage through their cultural expressions</w:t>
      </w:r>
      <w:r>
        <w:rPr>
          <w:shd w:val="clear" w:color="auto" w:fill="FFFFFF"/>
        </w:rPr>
        <w:t xml:space="preserve"> (art. 7 (a))</w:t>
      </w:r>
      <w:r w:rsidRPr="009E64C6">
        <w:rPr>
          <w:shd w:val="clear" w:color="auto" w:fill="FFFFFF"/>
        </w:rPr>
        <w:t>.</w:t>
      </w:r>
    </w:p>
    <w:p w:rsidR="008927C4" w:rsidRDefault="008927C4">
      <w:pPr>
        <w:pStyle w:val="H1G"/>
      </w:pPr>
      <w:r>
        <w:tab/>
        <w:t>C.</w:t>
      </w:r>
      <w:r w:rsidRPr="005B1B04">
        <w:tab/>
      </w:r>
      <w:r>
        <w:t>Convention on Biological Diversity and Nagoya Protocol</w:t>
      </w:r>
    </w:p>
    <w:p w:rsidR="008927C4" w:rsidRDefault="008927C4" w:rsidP="00AA6755">
      <w:pPr>
        <w:pStyle w:val="SingleTxtG"/>
        <w:numPr>
          <w:ilvl w:val="0"/>
          <w:numId w:val="26"/>
        </w:numPr>
        <w:ind w:left="1134" w:firstLine="0"/>
        <w:rPr>
          <w:rFonts w:eastAsia="Calibri"/>
          <w:lang w:eastAsia="en-GB"/>
        </w:rPr>
      </w:pPr>
      <w:r w:rsidRPr="00ED1F2C">
        <w:t xml:space="preserve">The </w:t>
      </w:r>
      <w:r>
        <w:t xml:space="preserve">1992 </w:t>
      </w:r>
      <w:r w:rsidRPr="00ED1F2C">
        <w:t xml:space="preserve">Convention on Biological Diversity </w:t>
      </w:r>
      <w:r>
        <w:t xml:space="preserve">promotes </w:t>
      </w:r>
      <w:r w:rsidRPr="00ED1F2C">
        <w:t xml:space="preserve">protection of </w:t>
      </w:r>
      <w:r>
        <w:t xml:space="preserve">the natural and </w:t>
      </w:r>
      <w:r w:rsidRPr="00ED1F2C">
        <w:t>cultural heritage</w:t>
      </w:r>
      <w:r>
        <w:t xml:space="preserve"> of indigenous peoples</w:t>
      </w:r>
      <w:r w:rsidRPr="00ED1F2C">
        <w:t xml:space="preserve"> </w:t>
      </w:r>
      <w:r>
        <w:t xml:space="preserve">through the </w:t>
      </w:r>
      <w:r w:rsidRPr="00ED1F2C">
        <w:t>conserv</w:t>
      </w:r>
      <w:r>
        <w:t>ation of</w:t>
      </w:r>
      <w:r w:rsidRPr="00ED1F2C">
        <w:t xml:space="preserve"> biological diversity and </w:t>
      </w:r>
      <w:r>
        <w:t>the</w:t>
      </w:r>
      <w:r w:rsidRPr="00ED1F2C">
        <w:t xml:space="preserve"> fair and equitable sharing of </w:t>
      </w:r>
      <w:r>
        <w:t xml:space="preserve">the </w:t>
      </w:r>
      <w:r w:rsidRPr="00ED1F2C">
        <w:t xml:space="preserve">benefits arising out of </w:t>
      </w:r>
      <w:r>
        <w:t xml:space="preserve">the utilization of </w:t>
      </w:r>
      <w:r w:rsidRPr="00ED1F2C">
        <w:t>genetic resources</w:t>
      </w:r>
      <w:r>
        <w:t xml:space="preserve"> (arts. 1 and 19)</w:t>
      </w:r>
      <w:r w:rsidRPr="00ED1F2C">
        <w:t>.</w:t>
      </w:r>
      <w:r>
        <w:t xml:space="preserve"> It requires </w:t>
      </w:r>
      <w:r w:rsidRPr="000A01C6">
        <w:t xml:space="preserve">States </w:t>
      </w:r>
      <w:r>
        <w:t>to</w:t>
      </w:r>
      <w:r w:rsidRPr="000A01C6">
        <w:t xml:space="preserve"> “respect, preserve and maintain knowledge, innovations and practices of indigenous and local communities embodying traditional lifestyles relevant for the conservation and sustainable use of biological diversity </w:t>
      </w:r>
      <w:r>
        <w:t xml:space="preserve">… </w:t>
      </w:r>
      <w:r w:rsidRPr="000A01C6">
        <w:t>and encourage the equitable sharing of the benefits arising from the utilization of such knowledge, innovations and practices”</w:t>
      </w:r>
      <w:r>
        <w:t xml:space="preserve"> (art. 8 (j)). </w:t>
      </w:r>
      <w:r w:rsidRPr="00ED1F2C">
        <w:t xml:space="preserve">The Nagoya Protocol on Access to Genetic Resources and the Fair and Equitable Sharing of Benefits Arising from their Utilization (2010) is particularly relevant </w:t>
      </w:r>
      <w:r w:rsidRPr="00E85D5E">
        <w:t xml:space="preserve">as it requires </w:t>
      </w:r>
      <w:r>
        <w:t>States to uphold the established rights and customary</w:t>
      </w:r>
      <w:r w:rsidRPr="00E85D5E">
        <w:t xml:space="preserve"> laws </w:t>
      </w:r>
      <w:r>
        <w:t xml:space="preserve">of indigenous peoples </w:t>
      </w:r>
      <w:r w:rsidRPr="00E85D5E">
        <w:t xml:space="preserve">and </w:t>
      </w:r>
      <w:r>
        <w:t>ensure their</w:t>
      </w:r>
      <w:r w:rsidRPr="00E85D5E">
        <w:t xml:space="preserve"> participation </w:t>
      </w:r>
      <w:r>
        <w:t>in the implementation of the Protocol (arts. 5 and 12)</w:t>
      </w:r>
      <w:r w:rsidRPr="00E85D5E">
        <w:t>.</w:t>
      </w:r>
      <w:r>
        <w:t xml:space="preserve"> </w:t>
      </w:r>
      <w:r w:rsidRPr="00E85D5E">
        <w:t xml:space="preserve">The Protocol </w:t>
      </w:r>
      <w:r>
        <w:t xml:space="preserve">protects </w:t>
      </w:r>
      <w:r w:rsidRPr="00E85D5E">
        <w:t>access</w:t>
      </w:r>
      <w:r>
        <w:t xml:space="preserve"> to</w:t>
      </w:r>
      <w:r w:rsidRPr="00E85D5E">
        <w:t xml:space="preserve"> indigenous cultural heritage</w:t>
      </w:r>
      <w:r>
        <w:t xml:space="preserve"> by requiring States to take measures to obtain</w:t>
      </w:r>
      <w:r w:rsidRPr="00E85D5E">
        <w:t xml:space="preserve"> th</w:t>
      </w:r>
      <w:r>
        <w:t>e</w:t>
      </w:r>
      <w:r w:rsidRPr="00E85D5E">
        <w:t xml:space="preserve"> prior informed consent and involvement of indigenous communities for access to </w:t>
      </w:r>
      <w:r>
        <w:t xml:space="preserve">relevant </w:t>
      </w:r>
      <w:r w:rsidRPr="00E85D5E">
        <w:t>genetic resources (</w:t>
      </w:r>
      <w:r>
        <w:t>art. </w:t>
      </w:r>
      <w:r w:rsidRPr="00E85D5E">
        <w:t>6) and traditional knowledge (</w:t>
      </w:r>
      <w:r>
        <w:t>art. </w:t>
      </w:r>
      <w:r w:rsidRPr="00E85D5E">
        <w:t>7)</w:t>
      </w:r>
      <w:r w:rsidRPr="00E85D5E">
        <w:rPr>
          <w:rFonts w:eastAsia="Calibri"/>
          <w:lang w:eastAsia="en-GB"/>
        </w:rPr>
        <w:t>.</w:t>
      </w:r>
    </w:p>
    <w:p w:rsidR="008927C4" w:rsidRDefault="008927C4" w:rsidP="00AA6755">
      <w:pPr>
        <w:pStyle w:val="SingleTxtG"/>
        <w:numPr>
          <w:ilvl w:val="0"/>
          <w:numId w:val="26"/>
        </w:numPr>
        <w:ind w:left="1134" w:firstLine="0"/>
      </w:pPr>
      <w:r>
        <w:t>T</w:t>
      </w:r>
      <w:r w:rsidRPr="00ED1F2C">
        <w:t>he Food and Agricultural Organization</w:t>
      </w:r>
      <w:r>
        <w:t xml:space="preserve"> of the United Nations</w:t>
      </w:r>
      <w:r w:rsidRPr="00ED1F2C">
        <w:t xml:space="preserve"> International Treaty on Plant Genetic Resources for Food and Agriculture</w:t>
      </w:r>
      <w:r>
        <w:t>, recognizing the enormous contribution of indigenous communities to food production worldwide,</w:t>
      </w:r>
      <w:r w:rsidRPr="00ED1F2C">
        <w:t xml:space="preserve"> </w:t>
      </w:r>
      <w:r>
        <w:t>requires the Contracting parties to take measures to</w:t>
      </w:r>
      <w:r w:rsidRPr="00ED1F2C">
        <w:t xml:space="preserve"> protect traditional knowledge relevant to plant genetic resources for food and agriculture</w:t>
      </w:r>
      <w:r>
        <w:t xml:space="preserve"> (art. 9) and promote wild crops and plants by supporting the efforts of indigenous communities (art. 5)</w:t>
      </w:r>
      <w:r w:rsidRPr="00ED1F2C">
        <w:t>.</w:t>
      </w:r>
    </w:p>
    <w:p w:rsidR="008927C4" w:rsidRDefault="008927C4" w:rsidP="008927C4">
      <w:pPr>
        <w:pStyle w:val="H1G"/>
        <w:rPr>
          <w:lang w:eastAsia="en-GB"/>
        </w:rPr>
      </w:pPr>
      <w:r>
        <w:rPr>
          <w:lang w:eastAsia="en-GB"/>
        </w:rPr>
        <w:tab/>
        <w:t>D.</w:t>
      </w:r>
      <w:r>
        <w:rPr>
          <w:lang w:eastAsia="en-GB"/>
        </w:rPr>
        <w:tab/>
        <w:t>World Intellectual Property Organization</w:t>
      </w:r>
    </w:p>
    <w:p w:rsidR="008927C4" w:rsidRDefault="008927C4" w:rsidP="00AA6755">
      <w:pPr>
        <w:pStyle w:val="SingleTxtG"/>
        <w:numPr>
          <w:ilvl w:val="0"/>
          <w:numId w:val="26"/>
        </w:numPr>
        <w:ind w:left="1134" w:firstLine="0"/>
      </w:pPr>
      <w:r w:rsidRPr="004749BB">
        <w:t>The</w:t>
      </w:r>
      <w:r>
        <w:t xml:space="preserve"> World Intellectual Property Organization (WIPO) has three</w:t>
      </w:r>
      <w:r w:rsidRPr="004749BB">
        <w:t xml:space="preserve"> conventions </w:t>
      </w:r>
      <w:r>
        <w:t xml:space="preserve">that </w:t>
      </w:r>
      <w:r w:rsidRPr="004749BB">
        <w:t>are particularly relevant</w:t>
      </w:r>
      <w:r>
        <w:t xml:space="preserve"> to the cultural heritage of indigenous peoples. The </w:t>
      </w:r>
      <w:r w:rsidRPr="004749BB">
        <w:t xml:space="preserve">Berne Convention for the Protection of Literary and Artistic Works </w:t>
      </w:r>
      <w:r>
        <w:t>(</w:t>
      </w:r>
      <w:r w:rsidRPr="004749BB">
        <w:t>1886</w:t>
      </w:r>
      <w:r>
        <w:t>) provides a mechanism to ensure international protection of anonymous, pseudonymous and unpublished works</w:t>
      </w:r>
      <w:r w:rsidR="000A5A7A">
        <w:t>, including traditional cultural expressions</w:t>
      </w:r>
      <w:r>
        <w:t xml:space="preserve"> (art. 15); the</w:t>
      </w:r>
      <w:r w:rsidRPr="004749BB">
        <w:t xml:space="preserve"> </w:t>
      </w:r>
      <w:r w:rsidR="000A5A7A">
        <w:t xml:space="preserve">WIPO </w:t>
      </w:r>
      <w:r w:rsidRPr="004749BB">
        <w:t>Performa</w:t>
      </w:r>
      <w:r>
        <w:t>nces and Phonograms Treaty (1996</w:t>
      </w:r>
      <w:r w:rsidRPr="004749BB">
        <w:t>)</w:t>
      </w:r>
      <w:r>
        <w:t xml:space="preserve"> </w:t>
      </w:r>
      <w:r w:rsidRPr="009B0A01">
        <w:t xml:space="preserve">provides </w:t>
      </w:r>
      <w:r>
        <w:t>for</w:t>
      </w:r>
      <w:r w:rsidRPr="009B0A01">
        <w:t xml:space="preserve"> international</w:t>
      </w:r>
      <w:r>
        <w:t xml:space="preserve"> </w:t>
      </w:r>
      <w:r w:rsidRPr="009B0A01">
        <w:t xml:space="preserve">protection for performances </w:t>
      </w:r>
      <w:r>
        <w:t xml:space="preserve">and phonographic recordings </w:t>
      </w:r>
      <w:r w:rsidRPr="009B0A01">
        <w:t>of expressions of folklore</w:t>
      </w:r>
      <w:r>
        <w:t xml:space="preserve"> (arts. 2 and 33); and the Beijing Treaty on Audiovisual Performances (2012), which, upon entry into force, </w:t>
      </w:r>
      <w:r w:rsidRPr="009B0A01">
        <w:t xml:space="preserve">will provide protection to performers </w:t>
      </w:r>
      <w:r>
        <w:t xml:space="preserve">of expressions of folklore with regard to authorizing their performances </w:t>
      </w:r>
      <w:r w:rsidRPr="009B0A01">
        <w:t>in audiovisual m</w:t>
      </w:r>
      <w:r>
        <w:t>edia.</w:t>
      </w:r>
    </w:p>
    <w:p w:rsidR="008927C4" w:rsidRDefault="008927C4" w:rsidP="00AA6755">
      <w:pPr>
        <w:pStyle w:val="SingleTxtG"/>
        <w:numPr>
          <w:ilvl w:val="0"/>
          <w:numId w:val="26"/>
        </w:numPr>
        <w:ind w:left="1134" w:firstLine="0"/>
      </w:pPr>
      <w:r w:rsidRPr="00B91810">
        <w:t xml:space="preserve">In 2000, WIPO </w:t>
      </w:r>
      <w:r w:rsidR="000A5A7A">
        <w:t xml:space="preserve">members </w:t>
      </w:r>
      <w:r w:rsidRPr="00B91810">
        <w:t xml:space="preserve">established an Intergovernmental Committee on Intellectual Property and Genetic Resources, Traditional Knowledge and Folklore to serve as a forum to discuss </w:t>
      </w:r>
      <w:r>
        <w:t>intellectual property</w:t>
      </w:r>
      <w:r w:rsidRPr="00B91810">
        <w:t xml:space="preserve"> issues aris</w:t>
      </w:r>
      <w:r>
        <w:t>ing</w:t>
      </w:r>
      <w:r w:rsidRPr="00B91810">
        <w:t xml:space="preserve"> in the context of access to genetic resources and benefit-sharing,</w:t>
      </w:r>
      <w:r>
        <w:t xml:space="preserve"> and</w:t>
      </w:r>
      <w:r w:rsidRPr="00B91810">
        <w:t xml:space="preserve"> protection of </w:t>
      </w:r>
      <w:r>
        <w:t>traditional knowledge</w:t>
      </w:r>
      <w:r w:rsidRPr="00B91810">
        <w:t xml:space="preserve"> and </w:t>
      </w:r>
      <w:r>
        <w:t>traditional cultural expressions</w:t>
      </w:r>
      <w:r w:rsidRPr="00B91810">
        <w:t>.</w:t>
      </w:r>
      <w:r>
        <w:t xml:space="preserve"> In 2009, the Committee initiated</w:t>
      </w:r>
      <w:r w:rsidRPr="00A54C9F">
        <w:t xml:space="preserve"> formal text-based negotiations with the objective of reaching agreement on </w:t>
      </w:r>
      <w:r>
        <w:t xml:space="preserve">texts of </w:t>
      </w:r>
      <w:r w:rsidRPr="00A54C9F">
        <w:t xml:space="preserve">international legal instruments to ensure the effective protection of </w:t>
      </w:r>
      <w:r>
        <w:t>genetic resources</w:t>
      </w:r>
      <w:r w:rsidRPr="00A54C9F">
        <w:t xml:space="preserve">, </w:t>
      </w:r>
      <w:r>
        <w:t>traditional knowledge</w:t>
      </w:r>
      <w:r w:rsidRPr="00A54C9F">
        <w:t xml:space="preserve"> and </w:t>
      </w:r>
      <w:r>
        <w:t>traditional cultural expressions</w:t>
      </w:r>
      <w:r w:rsidRPr="00A54C9F">
        <w:t>.</w:t>
      </w:r>
    </w:p>
    <w:p w:rsidR="008927C4" w:rsidRDefault="008927C4" w:rsidP="00AA6755">
      <w:pPr>
        <w:pStyle w:val="SingleTxtG"/>
        <w:numPr>
          <w:ilvl w:val="0"/>
          <w:numId w:val="26"/>
        </w:numPr>
        <w:ind w:left="1134" w:firstLine="0"/>
      </w:pPr>
      <w:r>
        <w:t>Although</w:t>
      </w:r>
      <w:r w:rsidRPr="00B20849">
        <w:t xml:space="preserve"> a multitude of legal regimes exist to protect cultural heritage, there is </w:t>
      </w:r>
      <w:r>
        <w:t xml:space="preserve">a </w:t>
      </w:r>
      <w:r w:rsidRPr="00B20849">
        <w:t xml:space="preserve">lack of </w:t>
      </w:r>
      <w:r>
        <w:t>adequate</w:t>
      </w:r>
      <w:r w:rsidRPr="00B20849">
        <w:t xml:space="preserve"> integration </w:t>
      </w:r>
      <w:r w:rsidR="007A75B2">
        <w:t>of protections for</w:t>
      </w:r>
      <w:r>
        <w:t xml:space="preserve"> </w:t>
      </w:r>
      <w:r w:rsidRPr="00B20849">
        <w:t xml:space="preserve">indigenous peoples. </w:t>
      </w:r>
      <w:r>
        <w:t>S</w:t>
      </w:r>
      <w:r w:rsidRPr="00B20849">
        <w:t xml:space="preserve">uch complex and parallel systems of protection of cultural heritage </w:t>
      </w:r>
      <w:r>
        <w:t>leads to</w:t>
      </w:r>
      <w:r w:rsidRPr="00B20849">
        <w:t xml:space="preserve"> fragmentation within a multitude of legal frameworks, which ultimately do not adequately protect </w:t>
      </w:r>
      <w:r>
        <w:t xml:space="preserve">the </w:t>
      </w:r>
      <w:r w:rsidRPr="00B20849">
        <w:t>cultural heritage</w:t>
      </w:r>
      <w:r>
        <w:t xml:space="preserve"> of </w:t>
      </w:r>
      <w:r w:rsidRPr="00B20849">
        <w:t xml:space="preserve">indigenous peoples. </w:t>
      </w:r>
      <w:r w:rsidRPr="009E64C6">
        <w:t>Th</w:t>
      </w:r>
      <w:r>
        <w:t>e systems</w:t>
      </w:r>
      <w:r w:rsidRPr="009E64C6">
        <w:t xml:space="preserve"> fail to recogni</w:t>
      </w:r>
      <w:r>
        <w:t>z</w:t>
      </w:r>
      <w:r w:rsidRPr="009E64C6">
        <w:t>e that</w:t>
      </w:r>
      <w:r>
        <w:t>,</w:t>
      </w:r>
      <w:r w:rsidRPr="009E64C6">
        <w:t xml:space="preserve"> for indigenous peoples</w:t>
      </w:r>
      <w:r>
        <w:t>,</w:t>
      </w:r>
      <w:r w:rsidRPr="009E64C6">
        <w:t xml:space="preserve"> cultural heritage is holistic and </w:t>
      </w:r>
      <w:r>
        <w:t>encompasses</w:t>
      </w:r>
      <w:r w:rsidRPr="009E64C6">
        <w:t xml:space="preserve"> their spiritual, economic and social connection</w:t>
      </w:r>
      <w:r>
        <w:t>s</w:t>
      </w:r>
      <w:r w:rsidRPr="009E64C6">
        <w:t xml:space="preserve"> to their lands and territories.</w:t>
      </w:r>
    </w:p>
    <w:p w:rsidR="008927C4" w:rsidRDefault="008927C4" w:rsidP="008927C4">
      <w:pPr>
        <w:pStyle w:val="HChG"/>
      </w:pPr>
      <w:r>
        <w:tab/>
        <w:t>III.</w:t>
      </w:r>
      <w:r>
        <w:tab/>
        <w:t>Overview of the jurisprudence on rights relating to cultural heritage</w:t>
      </w:r>
    </w:p>
    <w:p w:rsidR="008927C4" w:rsidRDefault="008927C4" w:rsidP="008927C4">
      <w:pPr>
        <w:pStyle w:val="H1G"/>
      </w:pPr>
      <w:r>
        <w:tab/>
        <w:t>A.</w:t>
      </w:r>
      <w:r w:rsidRPr="005B1B04">
        <w:tab/>
      </w:r>
      <w:r>
        <w:t>Human rights treaty bodies</w:t>
      </w:r>
    </w:p>
    <w:p w:rsidR="008927C4" w:rsidRDefault="008927C4" w:rsidP="00AA6755">
      <w:pPr>
        <w:pStyle w:val="SingleTxtG"/>
        <w:numPr>
          <w:ilvl w:val="0"/>
          <w:numId w:val="26"/>
        </w:numPr>
        <w:ind w:left="1134" w:firstLine="0"/>
        <w:rPr>
          <w:rFonts w:eastAsia="SimSun"/>
          <w:lang w:eastAsia="zh-CN"/>
        </w:rPr>
      </w:pPr>
      <w:r>
        <w:t>Article </w:t>
      </w:r>
      <w:r w:rsidRPr="00B20849">
        <w:t>27 of the I</w:t>
      </w:r>
      <w:r>
        <w:t>nternational Covenant on Civil and Political Rights protects the cultural rights of indigenous peoples</w:t>
      </w:r>
      <w:r w:rsidRPr="00B20849">
        <w:t xml:space="preserve">. In </w:t>
      </w:r>
      <w:r>
        <w:t>its</w:t>
      </w:r>
      <w:r w:rsidRPr="00B20849">
        <w:t xml:space="preserve"> general comment</w:t>
      </w:r>
      <w:r>
        <w:t xml:space="preserve"> No. 23 (1994),</w:t>
      </w:r>
      <w:r w:rsidRPr="00B20849">
        <w:t xml:space="preserve"> the </w:t>
      </w:r>
      <w:r>
        <w:t>Human Rights Committee</w:t>
      </w:r>
      <w:r w:rsidRPr="00B20849">
        <w:t xml:space="preserve"> observe</w:t>
      </w:r>
      <w:r>
        <w:t>d</w:t>
      </w:r>
      <w:r w:rsidRPr="00B20849">
        <w:t xml:space="preserve"> that </w:t>
      </w:r>
      <w:r>
        <w:t>“</w:t>
      </w:r>
      <w:r w:rsidRPr="00B20849">
        <w:t>culture manifests itself in many forms, including a particular way of life associated with the use of land resources, especially in the case of indigenous peoples”</w:t>
      </w:r>
      <w:r>
        <w:t xml:space="preserve"> (para. 7).</w:t>
      </w:r>
      <w:r w:rsidRPr="00B20849">
        <w:t xml:space="preserve"> </w:t>
      </w:r>
      <w:r>
        <w:t>With regard to the relationship between land and cultural rights, t</w:t>
      </w:r>
      <w:r w:rsidRPr="00B20849">
        <w:t xml:space="preserve">he approach is that, where land is of central significance to the sustenance of a culture, the right to enjoy one’s culture requires the </w:t>
      </w:r>
      <w:r>
        <w:t>protection of land</w:t>
      </w:r>
      <w:r>
        <w:rPr>
          <w:rStyle w:val="FootnoteReference"/>
        </w:rPr>
        <w:footnoteReference w:id="6"/>
      </w:r>
      <w:r>
        <w:t xml:space="preserve"> and the </w:t>
      </w:r>
      <w:r w:rsidRPr="00B20849">
        <w:t>recognition of land rights for indigenous peoples</w:t>
      </w:r>
      <w:r>
        <w:t xml:space="preserve">, as </w:t>
      </w:r>
      <w:r w:rsidRPr="00B20849">
        <w:t>reiterated in several concluding observations and individual communications of the Committee.</w:t>
      </w:r>
      <w:r w:rsidR="008C4436">
        <w:t xml:space="preserve"> </w:t>
      </w:r>
      <w:r>
        <w:t>A</w:t>
      </w:r>
      <w:r w:rsidRPr="00AE0B93">
        <w:t>voiding the danger of adopting a</w:t>
      </w:r>
      <w:r w:rsidR="00D6329A">
        <w:t>n</w:t>
      </w:r>
      <w:r w:rsidRPr="00AE0B93">
        <w:t xml:space="preserve"> </w:t>
      </w:r>
      <w:r w:rsidR="00D6329A">
        <w:t>overly</w:t>
      </w:r>
      <w:r w:rsidR="00D6329A" w:rsidRPr="00AE0B93">
        <w:t xml:space="preserve"> </w:t>
      </w:r>
      <w:r w:rsidRPr="00AE0B93">
        <w:t xml:space="preserve">rigid or </w:t>
      </w:r>
      <w:r>
        <w:t>“</w:t>
      </w:r>
      <w:r w:rsidRPr="00AE0B93">
        <w:t>frozen</w:t>
      </w:r>
      <w:r>
        <w:t>”</w:t>
      </w:r>
      <w:r w:rsidRPr="00AE0B93">
        <w:t xml:space="preserve"> approach to the </w:t>
      </w:r>
      <w:r>
        <w:t xml:space="preserve">definition </w:t>
      </w:r>
      <w:r w:rsidRPr="00AE0B93">
        <w:t xml:space="preserve">of cultural activities, the </w:t>
      </w:r>
      <w:r>
        <w:t>C</w:t>
      </w:r>
      <w:r w:rsidRPr="00AE0B93">
        <w:t xml:space="preserve">ommittee has consistently </w:t>
      </w:r>
      <w:r>
        <w:t>underlined</w:t>
      </w:r>
      <w:r w:rsidRPr="00AE0B93">
        <w:t xml:space="preserve"> that indigenous peoples who </w:t>
      </w:r>
      <w:r>
        <w:t xml:space="preserve">have </w:t>
      </w:r>
      <w:r w:rsidRPr="00AE0B93">
        <w:t>adapt</w:t>
      </w:r>
      <w:r>
        <w:t>ed</w:t>
      </w:r>
      <w:r w:rsidRPr="00AE0B93">
        <w:t xml:space="preserve"> their methods of </w:t>
      </w:r>
      <w:r>
        <w:t xml:space="preserve">carrying out </w:t>
      </w:r>
      <w:r w:rsidRPr="00AE0B93">
        <w:t>traditional activities over the years and</w:t>
      </w:r>
      <w:r>
        <w:t xml:space="preserve"> have</w:t>
      </w:r>
      <w:r w:rsidRPr="00AE0B93">
        <w:t xml:space="preserve"> </w:t>
      </w:r>
      <w:r>
        <w:t>incorporated the use of</w:t>
      </w:r>
      <w:r w:rsidRPr="00AE0B93">
        <w:t xml:space="preserve"> modern technology are not prevented from invoking </w:t>
      </w:r>
      <w:r>
        <w:t>protection under the C</w:t>
      </w:r>
      <w:r w:rsidRPr="00AE0B93">
        <w:t>ovenant.</w:t>
      </w:r>
      <w:r>
        <w:rPr>
          <w:rStyle w:val="FootnoteReference"/>
        </w:rPr>
        <w:footnoteReference w:id="7"/>
      </w:r>
    </w:p>
    <w:p w:rsidR="008927C4" w:rsidRDefault="008927C4" w:rsidP="00AA6755">
      <w:pPr>
        <w:pStyle w:val="SingleTxtG"/>
        <w:numPr>
          <w:ilvl w:val="0"/>
          <w:numId w:val="26"/>
        </w:numPr>
        <w:ind w:left="1134" w:firstLine="0"/>
      </w:pPr>
      <w:r w:rsidRPr="00BB31F8">
        <w:t xml:space="preserve">The Committee on Economic, Social and Cultural Rights has been particularly proactive </w:t>
      </w:r>
      <w:r w:rsidR="00561122">
        <w:t xml:space="preserve">in recognizing </w:t>
      </w:r>
      <w:r>
        <w:t xml:space="preserve">the </w:t>
      </w:r>
      <w:r w:rsidRPr="00BB31F8">
        <w:t>cultural rights</w:t>
      </w:r>
      <w:r>
        <w:t xml:space="preserve"> of indigenous peoples.</w:t>
      </w:r>
      <w:r>
        <w:rPr>
          <w:rStyle w:val="FootnoteReference"/>
        </w:rPr>
        <w:footnoteReference w:id="8"/>
      </w:r>
      <w:r w:rsidRPr="00BB31F8">
        <w:t xml:space="preserve"> </w:t>
      </w:r>
      <w:r>
        <w:t>In its general comment No. 21, t</w:t>
      </w:r>
      <w:r w:rsidRPr="00BB31F8">
        <w:t xml:space="preserve">he Committee </w:t>
      </w:r>
      <w:r>
        <w:t>noted</w:t>
      </w:r>
      <w:r w:rsidR="0064761B">
        <w:t xml:space="preserve"> that</w:t>
      </w:r>
      <w:r w:rsidRPr="00BB31F8">
        <w:t>:</w:t>
      </w:r>
    </w:p>
    <w:p w:rsidR="008927C4" w:rsidRDefault="008927C4" w:rsidP="008927C4">
      <w:pPr>
        <w:pStyle w:val="SingleTxtG"/>
        <w:ind w:left="1701"/>
      </w:pPr>
      <w:r w:rsidRPr="00BB31F8">
        <w:t>Indigenous peoples have the right to act collectively to ensure respect for their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 designs, sports and traditional games, and visual and performing arts.</w:t>
      </w:r>
      <w:r>
        <w:t xml:space="preserve"> (para. 37)</w:t>
      </w:r>
    </w:p>
    <w:p w:rsidR="008927C4" w:rsidRDefault="008927C4" w:rsidP="00AA6755">
      <w:pPr>
        <w:pStyle w:val="SingleTxtG"/>
        <w:numPr>
          <w:ilvl w:val="0"/>
          <w:numId w:val="26"/>
        </w:numPr>
        <w:ind w:left="1134" w:firstLine="0"/>
      </w:pPr>
      <w:r>
        <w:t>T</w:t>
      </w:r>
      <w:r w:rsidRPr="00F50ECD">
        <w:t xml:space="preserve">he Committee has also </w:t>
      </w:r>
      <w:r>
        <w:t xml:space="preserve">expressed </w:t>
      </w:r>
      <w:r w:rsidRPr="00F50ECD">
        <w:t xml:space="preserve">concern </w:t>
      </w:r>
      <w:r>
        <w:t>about</w:t>
      </w:r>
      <w:r w:rsidRPr="00F50ECD">
        <w:t xml:space="preserve"> the lack of adequate protection for</w:t>
      </w:r>
      <w:r>
        <w:t xml:space="preserve"> and information on</w:t>
      </w:r>
      <w:r w:rsidRPr="00F50ECD">
        <w:t xml:space="preserve"> </w:t>
      </w:r>
      <w:r>
        <w:t xml:space="preserve">the </w:t>
      </w:r>
      <w:r w:rsidRPr="00F50ECD">
        <w:t>intellectual property rights</w:t>
      </w:r>
      <w:r>
        <w:t xml:space="preserve"> and cultural heritage of indigenous peoples (</w:t>
      </w:r>
      <w:r w:rsidRPr="00F35BFB">
        <w:rPr>
          <w:lang w:val="en-US"/>
        </w:rPr>
        <w:t>E/C.12/RUS/CO/5, para. 34)</w:t>
      </w:r>
      <w:r w:rsidRPr="00F50ECD">
        <w:t xml:space="preserve"> </w:t>
      </w:r>
      <w:r>
        <w:t xml:space="preserve">and </w:t>
      </w:r>
      <w:r w:rsidRPr="00F50ECD">
        <w:t xml:space="preserve">the </w:t>
      </w:r>
      <w:r>
        <w:t xml:space="preserve">restrictions to land and resources and the </w:t>
      </w:r>
      <w:r w:rsidRPr="00F50ECD">
        <w:t>lack of in</w:t>
      </w:r>
      <w:r>
        <w:t>volvement</w:t>
      </w:r>
      <w:r w:rsidRPr="00F50ECD">
        <w:t xml:space="preserve"> of indigenous peoples in decision-making processes regarding land rights, </w:t>
      </w:r>
      <w:r>
        <w:t xml:space="preserve">which pose a threat to the realization of </w:t>
      </w:r>
      <w:r w:rsidRPr="00F50ECD">
        <w:t xml:space="preserve">their cultural </w:t>
      </w:r>
      <w:r>
        <w:t>life (</w:t>
      </w:r>
      <w:r w:rsidRPr="00F35BFB">
        <w:rPr>
          <w:lang w:val="en-US"/>
        </w:rPr>
        <w:t>E/C.12/TZA/CO/1-3, para. </w:t>
      </w:r>
      <w:r w:rsidRPr="00CF4D9A">
        <w:rPr>
          <w:lang w:val="en-US"/>
        </w:rPr>
        <w:t>29)</w:t>
      </w:r>
      <w:r w:rsidRPr="00F50ECD">
        <w:t>.</w:t>
      </w:r>
      <w:r>
        <w:t xml:space="preserve"> </w:t>
      </w:r>
    </w:p>
    <w:p w:rsidR="008927C4" w:rsidRDefault="008927C4" w:rsidP="00AA6755">
      <w:pPr>
        <w:pStyle w:val="SingleTxtG"/>
        <w:numPr>
          <w:ilvl w:val="0"/>
          <w:numId w:val="26"/>
        </w:numPr>
        <w:ind w:left="1134" w:firstLine="0"/>
      </w:pPr>
      <w:r w:rsidRPr="00F50ECD">
        <w:t xml:space="preserve">The Committee on the Elimination of Racial Discrimination made a direct connection between </w:t>
      </w:r>
      <w:r>
        <w:t xml:space="preserve">the </w:t>
      </w:r>
      <w:r w:rsidRPr="00F50ECD">
        <w:t xml:space="preserve">cultural rights and land rights </w:t>
      </w:r>
      <w:r>
        <w:t>of</w:t>
      </w:r>
      <w:r w:rsidRPr="00F50ECD">
        <w:t xml:space="preserve"> indigenous peoples</w:t>
      </w:r>
      <w:r>
        <w:t>, and</w:t>
      </w:r>
      <w:r w:rsidR="008C4436">
        <w:t xml:space="preserve"> </w:t>
      </w:r>
      <w:r w:rsidRPr="00C6458F">
        <w:t xml:space="preserve">between </w:t>
      </w:r>
      <w:r>
        <w:t xml:space="preserve">their </w:t>
      </w:r>
      <w:r w:rsidRPr="00C6458F">
        <w:t>language and cultural heritage</w:t>
      </w:r>
      <w:r w:rsidRPr="00F50ECD">
        <w:t>.</w:t>
      </w:r>
      <w:r w:rsidRPr="00F50ECD">
        <w:rPr>
          <w:rStyle w:val="FootnoteReference"/>
        </w:rPr>
        <w:footnoteReference w:id="9"/>
      </w:r>
      <w:r w:rsidRPr="00F50ECD">
        <w:t xml:space="preserve"> </w:t>
      </w:r>
      <w:r>
        <w:t>It recommended that States parties respect indigenous culture, history, language and way of life as an enrichment of the State’s cultural identity</w:t>
      </w:r>
      <w:r w:rsidR="001D2B9B">
        <w:t xml:space="preserve"> (</w:t>
      </w:r>
      <w:r w:rsidR="001D2B9B" w:rsidRPr="00AA6755">
        <w:t>CERD/C/IDN/CO/3, para. </w:t>
      </w:r>
      <w:r w:rsidR="001D2B9B" w:rsidRPr="00407B61">
        <w:rPr>
          <w:lang w:val="es-PA"/>
        </w:rPr>
        <w:t>16</w:t>
      </w:r>
      <w:r w:rsidR="001D2B9B">
        <w:t>)</w:t>
      </w:r>
      <w:r>
        <w:t>.</w:t>
      </w:r>
    </w:p>
    <w:p w:rsidR="008927C4" w:rsidRDefault="008927C4" w:rsidP="008927C4">
      <w:pPr>
        <w:pStyle w:val="H1G"/>
      </w:pPr>
      <w:r>
        <w:tab/>
        <w:t>B.</w:t>
      </w:r>
      <w:r w:rsidRPr="005B1B04">
        <w:tab/>
      </w:r>
      <w:r>
        <w:t>Special procedures of the Human Rights Council</w:t>
      </w:r>
    </w:p>
    <w:p w:rsidR="00561122" w:rsidRDefault="008927C4" w:rsidP="00AA6755">
      <w:pPr>
        <w:pStyle w:val="SingleTxtG"/>
        <w:numPr>
          <w:ilvl w:val="0"/>
          <w:numId w:val="26"/>
        </w:numPr>
        <w:ind w:left="1134" w:firstLine="0"/>
      </w:pPr>
      <w:r>
        <w:t xml:space="preserve">The Special Rapporteur of the </w:t>
      </w:r>
      <w:r w:rsidRPr="00F50ECD">
        <w:t>Sub-Commission on Prevention of Discrimination and Protection of Minorities</w:t>
      </w:r>
      <w:r>
        <w:t>,</w:t>
      </w:r>
      <w:r w:rsidRPr="00F50ECD">
        <w:t xml:space="preserve"> Erica-Irene Daes</w:t>
      </w:r>
      <w:r>
        <w:t>,</w:t>
      </w:r>
      <w:r w:rsidRPr="00F50ECD">
        <w:t xml:space="preserve"> conduct</w:t>
      </w:r>
      <w:r>
        <w:t>ed</w:t>
      </w:r>
      <w:r w:rsidRPr="00F50ECD">
        <w:t xml:space="preserve"> stud</w:t>
      </w:r>
      <w:r>
        <w:t xml:space="preserve">ies </w:t>
      </w:r>
      <w:r w:rsidRPr="00F50ECD">
        <w:t xml:space="preserve">on the </w:t>
      </w:r>
      <w:r>
        <w:t>protection of the cultural and intellectual property of indigenous peoples (E/</w:t>
      </w:r>
      <w:r w:rsidR="004B03C6">
        <w:t>CN.4</w:t>
      </w:r>
      <w:r>
        <w:t>/Sub.2/1993/28) and on the protection of the heritage of indigenous peoples (</w:t>
      </w:r>
      <w:r w:rsidRPr="00561122">
        <w:rPr>
          <w:lang w:val="en-US"/>
        </w:rPr>
        <w:t>E/CN.4/Sub.2/1995/26)</w:t>
      </w:r>
      <w:r>
        <w:t xml:space="preserve">. The studies </w:t>
      </w:r>
      <w:r w:rsidRPr="00F50ECD">
        <w:t>considered measures to strengthen respect for the cultural and intellectual property of indigenous peoples</w:t>
      </w:r>
      <w:r>
        <w:t>, and included</w:t>
      </w:r>
      <w:r w:rsidRPr="00DD2597">
        <w:t xml:space="preserve"> </w:t>
      </w:r>
      <w:r>
        <w:t>the draft p</w:t>
      </w:r>
      <w:r w:rsidRPr="00320AD6">
        <w:t xml:space="preserve">rinciples and </w:t>
      </w:r>
      <w:r>
        <w:t>g</w:t>
      </w:r>
      <w:r w:rsidRPr="00320AD6">
        <w:t xml:space="preserve">uidelines </w:t>
      </w:r>
      <w:r>
        <w:t xml:space="preserve">for the protection of </w:t>
      </w:r>
      <w:r w:rsidRPr="00320AD6">
        <w:t xml:space="preserve">the </w:t>
      </w:r>
      <w:r>
        <w:t>h</w:t>
      </w:r>
      <w:r w:rsidRPr="00320AD6">
        <w:t xml:space="preserve">eritage of </w:t>
      </w:r>
      <w:r>
        <w:t>i</w:t>
      </w:r>
      <w:r w:rsidRPr="00320AD6">
        <w:t xml:space="preserve">ndigenous </w:t>
      </w:r>
      <w:r>
        <w:t>p</w:t>
      </w:r>
      <w:r w:rsidRPr="00320AD6">
        <w:t>eoples</w:t>
      </w:r>
      <w:r w:rsidR="00956875">
        <w:t xml:space="preserve"> (</w:t>
      </w:r>
      <w:r w:rsidR="00956875" w:rsidRPr="00AA6755">
        <w:t>E/CN.4/Sub.2/1995/26, annex</w:t>
      </w:r>
      <w:r w:rsidR="00956875">
        <w:t>)</w:t>
      </w:r>
      <w:r>
        <w:t>,</w:t>
      </w:r>
      <w:r w:rsidRPr="00F50ECD">
        <w:t xml:space="preserve"> </w:t>
      </w:r>
      <w:r>
        <w:t>which</w:t>
      </w:r>
      <w:r w:rsidRPr="00320AD6">
        <w:t xml:space="preserve"> set standards for governments to ensure that the heritage of indigenous peoples survives for future generations and continues to enrich the common heritage of humanity. </w:t>
      </w:r>
    </w:p>
    <w:p w:rsidR="008927C4" w:rsidRDefault="008927C4" w:rsidP="00AA6755">
      <w:pPr>
        <w:pStyle w:val="SingleTxtG"/>
        <w:numPr>
          <w:ilvl w:val="0"/>
          <w:numId w:val="26"/>
        </w:numPr>
        <w:ind w:left="1134" w:firstLine="0"/>
      </w:pPr>
      <w:r>
        <w:t>The</w:t>
      </w:r>
      <w:r w:rsidRPr="00F50ECD">
        <w:t xml:space="preserve"> </w:t>
      </w:r>
      <w:r>
        <w:t>S</w:t>
      </w:r>
      <w:r w:rsidRPr="00F50ECD">
        <w:t xml:space="preserve">pecial </w:t>
      </w:r>
      <w:r>
        <w:t>R</w:t>
      </w:r>
      <w:r w:rsidRPr="00F50ECD">
        <w:t xml:space="preserve">apporteur in the field of cultural rights </w:t>
      </w:r>
      <w:r w:rsidR="00561122">
        <w:t xml:space="preserve">has made recommendations on </w:t>
      </w:r>
      <w:r>
        <w:t>the right of access to and enjoyment of</w:t>
      </w:r>
      <w:r w:rsidRPr="00F50ECD">
        <w:t xml:space="preserve"> cultural heritage for all persons</w:t>
      </w:r>
      <w:r w:rsidR="00561122">
        <w:t>, which</w:t>
      </w:r>
      <w:r w:rsidRPr="00F50ECD">
        <w:t xml:space="preserve"> </w:t>
      </w:r>
      <w:r>
        <w:t xml:space="preserve">are relevant </w:t>
      </w:r>
      <w:r w:rsidR="000E313D">
        <w:t>to</w:t>
      </w:r>
      <w:r w:rsidR="000E313D" w:rsidRPr="00F50ECD">
        <w:t xml:space="preserve"> </w:t>
      </w:r>
      <w:r w:rsidRPr="00F50ECD">
        <w:t>indigenous peoples</w:t>
      </w:r>
      <w:r>
        <w:t xml:space="preserve"> (A/HRC/17/38)</w:t>
      </w:r>
      <w:r w:rsidRPr="00F50ECD">
        <w:t>.</w:t>
      </w:r>
      <w:r>
        <w:t xml:space="preserve"> She </w:t>
      </w:r>
      <w:r w:rsidRPr="00556683">
        <w:t>underline</w:t>
      </w:r>
      <w:r>
        <w:t>d</w:t>
      </w:r>
      <w:r w:rsidRPr="00556683">
        <w:t xml:space="preserve"> the need to build stronger relationships between cultural institutions and communities, including indigenous peoples, and to develop good practices </w:t>
      </w:r>
      <w:r>
        <w:t>(para. 16)</w:t>
      </w:r>
      <w:r w:rsidRPr="00556683">
        <w:t>.</w:t>
      </w:r>
    </w:p>
    <w:p w:rsidR="008927C4" w:rsidRDefault="008927C4" w:rsidP="00AA6755">
      <w:pPr>
        <w:pStyle w:val="SingleTxtG"/>
        <w:numPr>
          <w:ilvl w:val="0"/>
          <w:numId w:val="26"/>
        </w:numPr>
        <w:ind w:left="1134" w:firstLine="0"/>
      </w:pPr>
      <w:r w:rsidRPr="00F50ECD">
        <w:t>The Special Rapporteur on</w:t>
      </w:r>
      <w:r>
        <w:t xml:space="preserve"> the</w:t>
      </w:r>
      <w:r w:rsidRPr="00F50ECD">
        <w:t xml:space="preserve"> rights of indigenous peoples </w:t>
      </w:r>
      <w:r>
        <w:t>has</w:t>
      </w:r>
      <w:r w:rsidRPr="00F50ECD">
        <w:t xml:space="preserve"> consistently addressed the issue of cultural heritage in </w:t>
      </w:r>
      <w:r>
        <w:t>thematic</w:t>
      </w:r>
      <w:r w:rsidRPr="00F50ECD">
        <w:t xml:space="preserve"> and country reports</w:t>
      </w:r>
      <w:r>
        <w:t xml:space="preserve">, </w:t>
      </w:r>
      <w:r w:rsidRPr="00F50ECD">
        <w:t>document</w:t>
      </w:r>
      <w:r>
        <w:t>ing</w:t>
      </w:r>
      <w:r w:rsidRPr="00F50ECD">
        <w:t xml:space="preserve"> instances where indigenous peoples </w:t>
      </w:r>
      <w:r>
        <w:t xml:space="preserve">have </w:t>
      </w:r>
      <w:r w:rsidRPr="00F50ECD">
        <w:t>had major concerns regarding the protection of their cultural heritage</w:t>
      </w:r>
      <w:r>
        <w:t>, such as</w:t>
      </w:r>
      <w:r w:rsidRPr="00F50ECD">
        <w:t xml:space="preserve"> the endangerment of their sacred places, heritage languages and cultures</w:t>
      </w:r>
      <w:r w:rsidR="00956875">
        <w:t xml:space="preserve"> (</w:t>
      </w:r>
      <w:r w:rsidR="00956875" w:rsidRPr="00AA6755">
        <w:rPr>
          <w:szCs w:val="18"/>
        </w:rPr>
        <w:t>A/HRC/21/47/Add.1, appendix II, para. 107</w:t>
      </w:r>
      <w:r w:rsidR="00956875">
        <w:t>)</w:t>
      </w:r>
      <w:r w:rsidRPr="00F50ECD">
        <w:t xml:space="preserve">, and the lack of control </w:t>
      </w:r>
      <w:r>
        <w:t>by</w:t>
      </w:r>
      <w:r w:rsidRPr="00F50ECD">
        <w:t xml:space="preserve"> indigenous peoples to establish </w:t>
      </w:r>
      <w:r>
        <w:t>their</w:t>
      </w:r>
      <w:r w:rsidRPr="00F50ECD">
        <w:t xml:space="preserve"> historic</w:t>
      </w:r>
      <w:r>
        <w:t>al</w:t>
      </w:r>
      <w:r w:rsidRPr="00F50ECD">
        <w:t xml:space="preserve"> cultural heritage site</w:t>
      </w:r>
      <w:r>
        <w:t>s</w:t>
      </w:r>
      <w:r w:rsidR="00956875">
        <w:t xml:space="preserve"> (</w:t>
      </w:r>
      <w:r w:rsidR="00956875" w:rsidRPr="00AA6755">
        <w:t>A/HRC/15/37/Add.5, para. </w:t>
      </w:r>
      <w:r w:rsidR="00956875" w:rsidRPr="009765D1">
        <w:t>64</w:t>
      </w:r>
      <w:r w:rsidR="00956875">
        <w:t>)</w:t>
      </w:r>
      <w:r w:rsidRPr="00F50ECD">
        <w:t>.</w:t>
      </w:r>
      <w:r>
        <w:t xml:space="preserve"> </w:t>
      </w:r>
      <w:r w:rsidRPr="005E5573">
        <w:t xml:space="preserve">The </w:t>
      </w:r>
      <w:r>
        <w:t xml:space="preserve">Special Rapporteur </w:t>
      </w:r>
      <w:r w:rsidRPr="005E5573">
        <w:t>ha</w:t>
      </w:r>
      <w:r>
        <w:t>s</w:t>
      </w:r>
      <w:r w:rsidRPr="005E5573">
        <w:t xml:space="preserve"> highlighted how the cultural heritage of indigenous peoples could be put in jeopardy when extractive industries or large-scale developmental projects </w:t>
      </w:r>
      <w:r>
        <w:t>invade</w:t>
      </w:r>
      <w:r w:rsidRPr="005E5573">
        <w:t xml:space="preserve"> indigenous peoples’ territories</w:t>
      </w:r>
      <w:r>
        <w:t>,</w:t>
      </w:r>
      <w:r w:rsidRPr="00F50ECD">
        <w:rPr>
          <w:rStyle w:val="FootnoteReference"/>
        </w:rPr>
        <w:footnoteReference w:id="10"/>
      </w:r>
      <w:r>
        <w:t xml:space="preserve"> and </w:t>
      </w:r>
      <w:r w:rsidRPr="005E5573">
        <w:t>the importance of education</w:t>
      </w:r>
      <w:r>
        <w:t>,</w:t>
      </w:r>
      <w:r w:rsidRPr="005E5573">
        <w:t xml:space="preserve"> particularly </w:t>
      </w:r>
      <w:r>
        <w:t>the role</w:t>
      </w:r>
      <w:r w:rsidRPr="005E5573">
        <w:t xml:space="preserve"> of </w:t>
      </w:r>
      <w:r>
        <w:t xml:space="preserve">indigenous </w:t>
      </w:r>
      <w:r w:rsidRPr="005E5573">
        <w:t>language</w:t>
      </w:r>
      <w:r>
        <w:t>s,</w:t>
      </w:r>
      <w:r w:rsidRPr="005E5573">
        <w:t xml:space="preserve"> in the </w:t>
      </w:r>
      <w:r>
        <w:t>preservation</w:t>
      </w:r>
      <w:r w:rsidRPr="005E5573">
        <w:t xml:space="preserve"> of cultural heritage.</w:t>
      </w:r>
      <w:r w:rsidRPr="00F50ECD">
        <w:rPr>
          <w:rStyle w:val="FootnoteReference"/>
        </w:rPr>
        <w:footnoteReference w:id="11"/>
      </w:r>
      <w:r>
        <w:t xml:space="preserve"> In particular, the Special Rapporteur has drawn attention to the lack of inclusion and participation of indigenous peoples in the nomination and management of world heritage sites under the World Heritage Convention</w:t>
      </w:r>
      <w:r w:rsidR="00186CCC">
        <w:t xml:space="preserve"> (</w:t>
      </w:r>
      <w:r w:rsidR="00186CCC" w:rsidRPr="00FB5641">
        <w:t>A/67/301, paras.</w:t>
      </w:r>
      <w:r w:rsidR="00186CCC">
        <w:t> </w:t>
      </w:r>
      <w:r w:rsidR="00186CCC" w:rsidRPr="00FB5641">
        <w:t>33</w:t>
      </w:r>
      <w:r w:rsidR="00186CCC">
        <w:t>–</w:t>
      </w:r>
      <w:r w:rsidR="00186CCC" w:rsidRPr="00FB5641">
        <w:t>42</w:t>
      </w:r>
      <w:r w:rsidR="00186CCC">
        <w:t>)</w:t>
      </w:r>
      <w:r>
        <w:t>.</w:t>
      </w:r>
    </w:p>
    <w:p w:rsidR="008927C4" w:rsidRPr="00344F44" w:rsidRDefault="008927C4" w:rsidP="008927C4">
      <w:pPr>
        <w:pStyle w:val="H1G"/>
      </w:pPr>
      <w:r>
        <w:tab/>
        <w:t>C.</w:t>
      </w:r>
      <w:r w:rsidRPr="005B1B04">
        <w:tab/>
      </w:r>
      <w:r w:rsidRPr="00C62C83">
        <w:t>Regional human rights</w:t>
      </w:r>
      <w:r>
        <w:t xml:space="preserve"> institutions</w:t>
      </w:r>
    </w:p>
    <w:p w:rsidR="008927C4" w:rsidRDefault="008927C4" w:rsidP="00AA6755">
      <w:pPr>
        <w:pStyle w:val="SingleTxtG"/>
        <w:numPr>
          <w:ilvl w:val="0"/>
          <w:numId w:val="26"/>
        </w:numPr>
        <w:ind w:left="1134" w:firstLine="0"/>
      </w:pPr>
      <w:r>
        <w:t>Regional c</w:t>
      </w:r>
      <w:r w:rsidRPr="00F50ECD">
        <w:t xml:space="preserve">ourts and human rights commissions have lent robust support to </w:t>
      </w:r>
      <w:r>
        <w:t xml:space="preserve">the rights of </w:t>
      </w:r>
      <w:r w:rsidRPr="00F50ECD">
        <w:t xml:space="preserve">indigenous peoples to their cultural heritage. </w:t>
      </w:r>
      <w:r>
        <w:t>T</w:t>
      </w:r>
      <w:r w:rsidRPr="00F50ECD">
        <w:t>he Inter-American Commission on Human Rights and the Inter-American Court of Human Rights</w:t>
      </w:r>
      <w:r>
        <w:t xml:space="preserve"> </w:t>
      </w:r>
      <w:r w:rsidRPr="00F50ECD">
        <w:t xml:space="preserve">have firmly established that States should create effective mechanisms for titling and demarcating </w:t>
      </w:r>
      <w:r>
        <w:t xml:space="preserve">the </w:t>
      </w:r>
      <w:r w:rsidRPr="00F50ECD">
        <w:t xml:space="preserve">lands, territories and resources </w:t>
      </w:r>
      <w:r>
        <w:t xml:space="preserve">of indigenous peoples </w:t>
      </w:r>
      <w:r w:rsidRPr="00F50ECD">
        <w:t>in accordance with their customs, cultures and traditions.</w:t>
      </w:r>
      <w:r w:rsidRPr="00F50ECD">
        <w:rPr>
          <w:rStyle w:val="FootnoteReference"/>
        </w:rPr>
        <w:footnoteReference w:id="12"/>
      </w:r>
      <w:r w:rsidRPr="00F50ECD">
        <w:t xml:space="preserve"> The Court </w:t>
      </w:r>
      <w:r>
        <w:t>has emphasized</w:t>
      </w:r>
      <w:r w:rsidRPr="00F50ECD">
        <w:t xml:space="preserve"> that the close relationship between indigenous peoples and their land must be recognized and understood as the fundamental base of their culture, spiritual life, integrity, economic survival and cultural preservation.</w:t>
      </w:r>
      <w:r w:rsidRPr="00F50ECD">
        <w:rPr>
          <w:rStyle w:val="FootnoteReference"/>
        </w:rPr>
        <w:footnoteReference w:id="13"/>
      </w:r>
    </w:p>
    <w:p w:rsidR="008927C4" w:rsidRDefault="008927C4" w:rsidP="00AA6755">
      <w:pPr>
        <w:pStyle w:val="SingleTxtG"/>
        <w:numPr>
          <w:ilvl w:val="0"/>
          <w:numId w:val="26"/>
        </w:numPr>
        <w:ind w:left="1134" w:firstLine="0"/>
      </w:pPr>
      <w:r w:rsidRPr="00F50ECD">
        <w:t>The African Commission on Human and Peoples’ Rights</w:t>
      </w:r>
      <w:r>
        <w:t xml:space="preserve"> </w:t>
      </w:r>
      <w:r w:rsidRPr="00F50ECD">
        <w:t>has also examined the right to cultural heritage as it applies to indigenous peoples. In the En</w:t>
      </w:r>
      <w:r>
        <w:t>dorois decision, the Commission highlighted that</w:t>
      </w:r>
      <w:r w:rsidRPr="00F50ECD">
        <w:t xml:space="preserve"> </w:t>
      </w:r>
      <w:r w:rsidR="003E15DD">
        <w:t>a</w:t>
      </w:r>
      <w:r>
        <w:t>rticle </w:t>
      </w:r>
      <w:r w:rsidRPr="00F50ECD">
        <w:t xml:space="preserve">17 of the Charter </w:t>
      </w:r>
      <w:r>
        <w:t>was</w:t>
      </w:r>
      <w:r w:rsidRPr="00F50ECD">
        <w:t xml:space="preserve"> dual dimension</w:t>
      </w:r>
      <w:r>
        <w:t>al</w:t>
      </w:r>
      <w:r w:rsidRPr="00F50ECD">
        <w:t xml:space="preserve"> in both its individual and collective nature, protecting, on the one hand, individuals’ participation in the cultural life of their community and, on the other hand, obliging the </w:t>
      </w:r>
      <w:r>
        <w:t>S</w:t>
      </w:r>
      <w:r w:rsidRPr="00F50ECD">
        <w:t xml:space="preserve">tate to promote and protect </w:t>
      </w:r>
      <w:r>
        <w:t xml:space="preserve">the </w:t>
      </w:r>
      <w:r w:rsidRPr="00F50ECD">
        <w:t>traditional values recogni</w:t>
      </w:r>
      <w:r>
        <w:t>z</w:t>
      </w:r>
      <w:r w:rsidRPr="00F50ECD">
        <w:t>ed by a community</w:t>
      </w:r>
      <w:r w:rsidR="003E15DD">
        <w:t>.</w:t>
      </w:r>
      <w:r w:rsidRPr="00F50ECD">
        <w:rPr>
          <w:rStyle w:val="FootnoteReference"/>
        </w:rPr>
        <w:footnoteReference w:id="14"/>
      </w:r>
      <w:r w:rsidRPr="00F50ECD">
        <w:t xml:space="preserve"> It added that </w:t>
      </w:r>
      <w:r>
        <w:t>article </w:t>
      </w:r>
      <w:r w:rsidRPr="00F50ECD">
        <w:t>17 require</w:t>
      </w:r>
      <w:r>
        <w:t>d</w:t>
      </w:r>
      <w:r w:rsidRPr="00F50ECD">
        <w:t xml:space="preserve"> governments to take measures aimed at the conservation, development and diffusion of culture, such as promoting awareness and enjoyment of </w:t>
      </w:r>
      <w:r>
        <w:t xml:space="preserve">the </w:t>
      </w:r>
      <w:r w:rsidRPr="00F50ECD">
        <w:t>cultural heritage of national ethnic groups and minorities and of indigenous sectors of the population.</w:t>
      </w:r>
      <w:r w:rsidRPr="00F50ECD">
        <w:rPr>
          <w:rStyle w:val="FootnoteReference"/>
        </w:rPr>
        <w:footnoteReference w:id="15"/>
      </w:r>
    </w:p>
    <w:p w:rsidR="008927C4" w:rsidRDefault="008927C4" w:rsidP="008927C4">
      <w:pPr>
        <w:pStyle w:val="HChG"/>
      </w:pPr>
      <w:r>
        <w:tab/>
        <w:t>IV</w:t>
      </w:r>
      <w:r w:rsidRPr="001D256A">
        <w:t>.</w:t>
      </w:r>
      <w:r>
        <w:tab/>
        <w:t>Participation of indigenous peoples in cultural heritage policies</w:t>
      </w:r>
    </w:p>
    <w:p w:rsidR="008927C4" w:rsidRDefault="008927C4" w:rsidP="00AA6755">
      <w:pPr>
        <w:pStyle w:val="SingleTxtG"/>
        <w:numPr>
          <w:ilvl w:val="0"/>
          <w:numId w:val="26"/>
        </w:numPr>
        <w:ind w:left="1134" w:firstLine="0"/>
        <w:rPr>
          <w:lang w:val="en-US"/>
        </w:rPr>
      </w:pPr>
      <w:r w:rsidRPr="00C6458F">
        <w:t>Effective participation in decision-making processes relating to cultural heritage is crucial for indigenous peoples</w:t>
      </w:r>
      <w:r>
        <w:t>, who</w:t>
      </w:r>
      <w:r w:rsidRPr="00C6458F">
        <w:t xml:space="preserve"> </w:t>
      </w:r>
      <w:r>
        <w:t>are</w:t>
      </w:r>
      <w:r w:rsidRPr="00C6458F">
        <w:t xml:space="preserve"> </w:t>
      </w:r>
      <w:r>
        <w:t>often</w:t>
      </w:r>
      <w:r w:rsidRPr="00C6458F">
        <w:t xml:space="preserve"> the victims of </w:t>
      </w:r>
      <w:r>
        <w:t xml:space="preserve">both </w:t>
      </w:r>
      <w:r w:rsidRPr="00C6458F">
        <w:t xml:space="preserve">cultural </w:t>
      </w:r>
      <w:r>
        <w:t xml:space="preserve">and natural </w:t>
      </w:r>
      <w:r w:rsidRPr="00C6458F">
        <w:t xml:space="preserve">heritage protection </w:t>
      </w:r>
      <w:r>
        <w:t>policies</w:t>
      </w:r>
      <w:r w:rsidRPr="00C6458F">
        <w:t xml:space="preserve"> </w:t>
      </w:r>
      <w:r>
        <w:t>that fail to</w:t>
      </w:r>
      <w:r w:rsidRPr="00C6458F">
        <w:t xml:space="preserve"> take their</w:t>
      </w:r>
      <w:r w:rsidR="00CD412C">
        <w:t xml:space="preserve"> rights and</w:t>
      </w:r>
      <w:r w:rsidRPr="00C6458F">
        <w:t xml:space="preserve"> perspective</w:t>
      </w:r>
      <w:r>
        <w:t>s</w:t>
      </w:r>
      <w:r w:rsidRPr="00C6458F">
        <w:t xml:space="preserve"> into consideration</w:t>
      </w:r>
      <w:r>
        <w:rPr>
          <w:lang w:val="en-US"/>
        </w:rPr>
        <w:t>.</w:t>
      </w:r>
    </w:p>
    <w:p w:rsidR="008927C4" w:rsidRDefault="008927C4" w:rsidP="00AA6755">
      <w:pPr>
        <w:pStyle w:val="SingleTxtG"/>
        <w:numPr>
          <w:ilvl w:val="0"/>
          <w:numId w:val="26"/>
        </w:numPr>
        <w:ind w:left="1134" w:firstLine="0"/>
      </w:pPr>
      <w:r w:rsidRPr="00C6458F">
        <w:t xml:space="preserve">The rights to </w:t>
      </w:r>
      <w:r>
        <w:t xml:space="preserve">effective </w:t>
      </w:r>
      <w:r w:rsidRPr="00C6458F">
        <w:t>participation, consultation and consent are strongly expressed in several articles of the</w:t>
      </w:r>
      <w:r>
        <w:t xml:space="preserve"> United Nations Declaration on the Rights of Indigenous Peoples</w:t>
      </w:r>
      <w:r w:rsidRPr="00C6458F">
        <w:t xml:space="preserve">. </w:t>
      </w:r>
      <w:r>
        <w:t xml:space="preserve">Article 32 requires </w:t>
      </w:r>
      <w:r w:rsidRPr="00493243">
        <w:t xml:space="preserve">States </w:t>
      </w:r>
      <w:r>
        <w:t xml:space="preserve">to </w:t>
      </w:r>
      <w:r w:rsidRPr="00493243">
        <w:t xml:space="preserve">consult and cooperate in good faith with the indigenous peoples concerned through their own representative institutions in order to obtain their free and informed consent prior to the approval of any project affecting their lands or territories and other resources, particularly in connection with the development, utilization or exploitation of mineral, water or other resources. </w:t>
      </w:r>
      <w:r>
        <w:t>This provision relates to any</w:t>
      </w:r>
      <w:r w:rsidRPr="00493243">
        <w:t xml:space="preserve"> decisions that would affect </w:t>
      </w:r>
      <w:r>
        <w:t xml:space="preserve">the </w:t>
      </w:r>
      <w:r w:rsidRPr="00493243">
        <w:t>lands and territories</w:t>
      </w:r>
      <w:r>
        <w:t xml:space="preserve"> of indigenous peoples,</w:t>
      </w:r>
      <w:r w:rsidRPr="00493243">
        <w:t xml:space="preserve"> includ</w:t>
      </w:r>
      <w:r>
        <w:t>ing</w:t>
      </w:r>
      <w:r w:rsidRPr="00493243">
        <w:t xml:space="preserve"> </w:t>
      </w:r>
      <w:r>
        <w:t xml:space="preserve">the </w:t>
      </w:r>
      <w:r w:rsidRPr="00493243">
        <w:t>classif</w:t>
      </w:r>
      <w:r>
        <w:t>ication of</w:t>
      </w:r>
      <w:r w:rsidRPr="00493243">
        <w:t xml:space="preserve"> their lands as cultural or natural heritage sites.</w:t>
      </w:r>
    </w:p>
    <w:p w:rsidR="008927C4" w:rsidRDefault="00CD412C" w:rsidP="00AA6755">
      <w:pPr>
        <w:pStyle w:val="SingleTxtG"/>
        <w:numPr>
          <w:ilvl w:val="0"/>
          <w:numId w:val="26"/>
        </w:numPr>
        <w:ind w:left="1134" w:firstLine="0"/>
      </w:pPr>
      <w:r>
        <w:t>F</w:t>
      </w:r>
      <w:r w:rsidR="008927C4">
        <w:t>ree, prior and informed consent is a key element</w:t>
      </w:r>
      <w:r w:rsidR="008927C4" w:rsidRPr="00C6458F">
        <w:t xml:space="preserve"> of </w:t>
      </w:r>
      <w:r w:rsidR="008927C4">
        <w:t xml:space="preserve">human rights </w:t>
      </w:r>
      <w:r w:rsidR="008927C4" w:rsidRPr="00C6458F">
        <w:t>jurisprudence</w:t>
      </w:r>
      <w:r w:rsidR="008927C4">
        <w:t>. T</w:t>
      </w:r>
      <w:r w:rsidR="008927C4" w:rsidRPr="00C6458F">
        <w:t xml:space="preserve">he </w:t>
      </w:r>
      <w:r w:rsidR="008927C4">
        <w:t xml:space="preserve">Committee on Economic, Social and Cultural Rights calls on </w:t>
      </w:r>
      <w:r w:rsidR="008927C4" w:rsidRPr="00C6458F">
        <w:t>States</w:t>
      </w:r>
      <w:r w:rsidR="008927C4">
        <w:t xml:space="preserve"> to</w:t>
      </w:r>
      <w:r w:rsidR="008C4436">
        <w:t xml:space="preserve"> </w:t>
      </w:r>
      <w:r w:rsidR="008927C4">
        <w:t>“</w:t>
      </w:r>
      <w:r w:rsidR="008927C4" w:rsidRPr="00C6458F">
        <w:t>respect the principle of free, prior and informed consent of indigenous peoples in all matters covered by their specific rights”</w:t>
      </w:r>
      <w:r w:rsidR="008927C4">
        <w:t>,</w:t>
      </w:r>
      <w:r w:rsidR="008927C4" w:rsidRPr="00C6458F">
        <w:rPr>
          <w:rStyle w:val="FootnoteReference"/>
        </w:rPr>
        <w:footnoteReference w:id="16"/>
      </w:r>
      <w:r w:rsidR="008927C4" w:rsidRPr="00C6458F">
        <w:t xml:space="preserve"> </w:t>
      </w:r>
      <w:r w:rsidR="008927C4">
        <w:t xml:space="preserve">and </w:t>
      </w:r>
      <w:r w:rsidR="008927C4" w:rsidRPr="00C6458F">
        <w:t>has also put great emphasis on</w:t>
      </w:r>
      <w:r w:rsidR="008927C4">
        <w:t xml:space="preserve"> such consent </w:t>
      </w:r>
      <w:r w:rsidR="008927C4" w:rsidRPr="00C6458F">
        <w:t xml:space="preserve">in the context of </w:t>
      </w:r>
      <w:r w:rsidR="008927C4">
        <w:t xml:space="preserve">their </w:t>
      </w:r>
      <w:r w:rsidR="008927C4" w:rsidRPr="00C6458F">
        <w:t>cultural heritage</w:t>
      </w:r>
      <w:r w:rsidR="003D03AE">
        <w:t xml:space="preserve"> (</w:t>
      </w:r>
      <w:r w:rsidR="003D03AE" w:rsidRPr="00AA6755">
        <w:t>E/C.12/TZA/CO/1-3, para. </w:t>
      </w:r>
      <w:r w:rsidR="003D03AE" w:rsidRPr="00174045">
        <w:t>29</w:t>
      </w:r>
      <w:r w:rsidR="003D03AE">
        <w:t>)</w:t>
      </w:r>
      <w:r w:rsidR="008927C4" w:rsidRPr="00C6458F">
        <w:t>.</w:t>
      </w:r>
      <w:r w:rsidR="008927C4">
        <w:t xml:space="preserve"> T</w:t>
      </w:r>
      <w:r w:rsidR="008927C4" w:rsidRPr="00D56F42">
        <w:t xml:space="preserve">he </w:t>
      </w:r>
      <w:r w:rsidR="008927C4">
        <w:t>Human Rights Committee, in several concluding observations,</w:t>
      </w:r>
      <w:r w:rsidR="008927C4" w:rsidRPr="00D56F42">
        <w:t xml:space="preserve"> has highlighted</w:t>
      </w:r>
      <w:r w:rsidR="008927C4">
        <w:t xml:space="preserve"> that it is essential for States to ensure the participation of </w:t>
      </w:r>
      <w:r w:rsidR="008927C4" w:rsidRPr="00D56F42">
        <w:t>indigenous peoples in decision-making process</w:t>
      </w:r>
      <w:r w:rsidR="008927C4">
        <w:t>es</w:t>
      </w:r>
      <w:r w:rsidR="008927C4" w:rsidRPr="00D56F42">
        <w:t xml:space="preserve"> </w:t>
      </w:r>
      <w:r w:rsidR="008927C4">
        <w:t xml:space="preserve">that </w:t>
      </w:r>
      <w:r w:rsidR="008927C4" w:rsidRPr="00D56F42">
        <w:t>would affect their cultural rights</w:t>
      </w:r>
      <w:r w:rsidR="008927C4">
        <w:t>, stressing</w:t>
      </w:r>
      <w:r w:rsidR="008927C4" w:rsidRPr="00D56F42">
        <w:t xml:space="preserve"> the need to seek their </w:t>
      </w:r>
      <w:r w:rsidR="008927C4">
        <w:t>consent on all matters affecting them</w:t>
      </w:r>
      <w:r w:rsidR="003D03AE">
        <w:t xml:space="preserve"> (</w:t>
      </w:r>
      <w:r w:rsidR="003D03AE" w:rsidRPr="00AA6755">
        <w:t>CCPR/C/PAN/CO/3, para. </w:t>
      </w:r>
      <w:r w:rsidR="003D03AE" w:rsidRPr="00174045">
        <w:rPr>
          <w:lang w:val="es-ES"/>
        </w:rPr>
        <w:t>21; CCPR/C/KEN/CO/3, para. </w:t>
      </w:r>
      <w:r w:rsidR="003D03AE" w:rsidRPr="00407B61">
        <w:rPr>
          <w:lang w:val="es-PA"/>
        </w:rPr>
        <w:t>24</w:t>
      </w:r>
      <w:r w:rsidR="003D03AE">
        <w:t>)</w:t>
      </w:r>
      <w:r w:rsidR="008927C4" w:rsidRPr="00D56F42">
        <w:t>.</w:t>
      </w:r>
    </w:p>
    <w:p w:rsidR="008927C4" w:rsidRPr="00AA6755" w:rsidRDefault="008927C4" w:rsidP="00AA6755">
      <w:pPr>
        <w:pStyle w:val="SingleTxtG"/>
        <w:numPr>
          <w:ilvl w:val="0"/>
          <w:numId w:val="26"/>
        </w:numPr>
        <w:ind w:left="1134" w:firstLine="0"/>
        <w:rPr>
          <w:bCs/>
        </w:rPr>
      </w:pPr>
      <w:r>
        <w:rPr>
          <w:lang w:eastAsia="en-GB"/>
        </w:rPr>
        <w:t>T</w:t>
      </w:r>
      <w:r w:rsidRPr="00F33309">
        <w:rPr>
          <w:lang w:eastAsia="en-GB"/>
        </w:rPr>
        <w:t xml:space="preserve">he </w:t>
      </w:r>
      <w:r>
        <w:rPr>
          <w:lang w:eastAsia="en-GB"/>
        </w:rPr>
        <w:t>Special Rapporteur</w:t>
      </w:r>
      <w:r w:rsidRPr="00F33309">
        <w:rPr>
          <w:lang w:eastAsia="en-GB"/>
        </w:rPr>
        <w:t xml:space="preserve"> </w:t>
      </w:r>
      <w:r>
        <w:rPr>
          <w:lang w:eastAsia="en-GB"/>
        </w:rPr>
        <w:t>in the field of</w:t>
      </w:r>
      <w:r w:rsidRPr="00F33309">
        <w:rPr>
          <w:lang w:eastAsia="en-GB"/>
        </w:rPr>
        <w:t xml:space="preserve"> cultural rights</w:t>
      </w:r>
      <w:r>
        <w:rPr>
          <w:lang w:eastAsia="en-GB"/>
        </w:rPr>
        <w:t xml:space="preserve"> has underlined</w:t>
      </w:r>
      <w:r w:rsidRPr="00F33309">
        <w:rPr>
          <w:lang w:eastAsia="en-GB"/>
        </w:rPr>
        <w:t xml:space="preserve"> </w:t>
      </w:r>
      <w:r>
        <w:rPr>
          <w:lang w:eastAsia="en-GB"/>
        </w:rPr>
        <w:t xml:space="preserve">that </w:t>
      </w:r>
      <w:r w:rsidRPr="00F33309">
        <w:rPr>
          <w:lang w:eastAsia="en-GB"/>
        </w:rPr>
        <w:t>the participation of individuals and communities in cultural heritage matters is crucial</w:t>
      </w:r>
      <w:r>
        <w:rPr>
          <w:lang w:eastAsia="en-GB"/>
        </w:rPr>
        <w:t xml:space="preserve"> and that. the </w:t>
      </w:r>
      <w:r w:rsidRPr="00F33309">
        <w:rPr>
          <w:lang w:eastAsia="en-GB"/>
        </w:rPr>
        <w:t>power differentials</w:t>
      </w:r>
      <w:r>
        <w:rPr>
          <w:lang w:eastAsia="en-GB"/>
        </w:rPr>
        <w:t xml:space="preserve"> that exist between, as well as within, communities</w:t>
      </w:r>
      <w:r w:rsidRPr="00F33309">
        <w:rPr>
          <w:lang w:eastAsia="en-GB"/>
        </w:rPr>
        <w:t xml:space="preserve"> must be taken into consideration, as they impact the ability of individuals and groups to effectively contribute to the identification, development and interpretation of what should be considered as a common “culture” or shared cultural heritage. </w:t>
      </w:r>
      <w:r>
        <w:rPr>
          <w:lang w:eastAsia="en-GB"/>
        </w:rPr>
        <w:t xml:space="preserve">She considered that it was also important to </w:t>
      </w:r>
      <w:r w:rsidRPr="00F33309">
        <w:rPr>
          <w:lang w:eastAsia="en-GB"/>
        </w:rPr>
        <w:t xml:space="preserve">fully </w:t>
      </w:r>
      <w:r>
        <w:rPr>
          <w:lang w:eastAsia="en-GB"/>
        </w:rPr>
        <w:t>respect</w:t>
      </w:r>
      <w:r w:rsidRPr="00F33309">
        <w:rPr>
          <w:lang w:eastAsia="en-GB"/>
        </w:rPr>
        <w:t xml:space="preserve"> the freedom of individuals to participate or not in one or several communities, to develop their multiple identities, to access their cultural heritage as well as that of others, and to contribute to the creation of culture, including through the contestation of dominant norms and values within the communities they belong to as well as those of other communities</w:t>
      </w:r>
      <w:r w:rsidR="003D03AE">
        <w:rPr>
          <w:lang w:eastAsia="en-GB"/>
        </w:rPr>
        <w:t xml:space="preserve"> (</w:t>
      </w:r>
      <w:r w:rsidR="003D03AE" w:rsidRPr="00AA6755">
        <w:t>A/HRC/17/38 and Corr.1, para. </w:t>
      </w:r>
      <w:r w:rsidR="003D03AE" w:rsidRPr="009765D1">
        <w:t>10</w:t>
      </w:r>
      <w:r w:rsidR="003D03AE">
        <w:rPr>
          <w:lang w:eastAsia="en-GB"/>
        </w:rPr>
        <w:t>)</w:t>
      </w:r>
      <w:r w:rsidRPr="00F33309">
        <w:rPr>
          <w:lang w:eastAsia="en-GB"/>
        </w:rPr>
        <w:t>.</w:t>
      </w:r>
      <w:r w:rsidRPr="003C0F88">
        <w:rPr>
          <w:lang w:eastAsia="en-GB"/>
        </w:rPr>
        <w:t xml:space="preserve"> In this respect, particular attention should be </w:t>
      </w:r>
      <w:r>
        <w:rPr>
          <w:lang w:eastAsia="en-GB"/>
        </w:rPr>
        <w:t>paid</w:t>
      </w:r>
      <w:r w:rsidRPr="003C0F88">
        <w:rPr>
          <w:lang w:eastAsia="en-GB"/>
        </w:rPr>
        <w:t xml:space="preserve"> to the position of women within indigenous communities</w:t>
      </w:r>
      <w:r>
        <w:rPr>
          <w:lang w:eastAsia="en-GB"/>
        </w:rPr>
        <w:t>, and</w:t>
      </w:r>
      <w:r w:rsidRPr="003C0F88">
        <w:rPr>
          <w:lang w:eastAsia="en-GB"/>
        </w:rPr>
        <w:t xml:space="preserve"> States should </w:t>
      </w:r>
      <w:r w:rsidRPr="003C0F88">
        <w:rPr>
          <w:bCs/>
          <w:lang w:eastAsia="en-GB"/>
        </w:rPr>
        <w:t>ensure that diverse women’s voices within specific communities are heard and that their human rights are not sacrificed in the name of culture</w:t>
      </w:r>
      <w:r w:rsidR="003D03AE">
        <w:rPr>
          <w:bCs/>
          <w:lang w:eastAsia="en-GB"/>
        </w:rPr>
        <w:t xml:space="preserve"> (</w:t>
      </w:r>
      <w:r w:rsidR="003D03AE" w:rsidRPr="00AA6755">
        <w:t>A/67/287, para. </w:t>
      </w:r>
      <w:r w:rsidR="003D03AE" w:rsidRPr="00FB5641">
        <w:rPr>
          <w:lang w:val="es-ES_tradnl"/>
        </w:rPr>
        <w:t>80</w:t>
      </w:r>
      <w:r w:rsidR="003D03AE">
        <w:rPr>
          <w:bCs/>
          <w:lang w:eastAsia="en-GB"/>
        </w:rPr>
        <w:t>)</w:t>
      </w:r>
      <w:r w:rsidRPr="003C0F88">
        <w:rPr>
          <w:bCs/>
          <w:lang w:eastAsia="en-GB"/>
        </w:rPr>
        <w:t>.</w:t>
      </w:r>
    </w:p>
    <w:p w:rsidR="008927C4" w:rsidRPr="00344F44" w:rsidRDefault="008927C4" w:rsidP="008927C4">
      <w:pPr>
        <w:pStyle w:val="H1G"/>
      </w:pPr>
      <w:r>
        <w:tab/>
        <w:t>A.</w:t>
      </w:r>
      <w:r>
        <w:tab/>
        <w:t>Participation at the international level</w:t>
      </w:r>
    </w:p>
    <w:p w:rsidR="008927C4" w:rsidRDefault="008927C4" w:rsidP="00AA6755">
      <w:pPr>
        <w:pStyle w:val="SingleTxtG"/>
        <w:numPr>
          <w:ilvl w:val="0"/>
          <w:numId w:val="26"/>
        </w:numPr>
        <w:ind w:left="1134" w:firstLine="0"/>
      </w:pPr>
      <w:r w:rsidRPr="006E53B5">
        <w:t xml:space="preserve">Since the adoption of the </w:t>
      </w:r>
      <w:r>
        <w:t>Declaration</w:t>
      </w:r>
      <w:r w:rsidRPr="006E53B5">
        <w:t xml:space="preserve">, there have been repeated complaints by indigenous peoples and human rights organizations about violations of </w:t>
      </w:r>
      <w:r>
        <w:t>the</w:t>
      </w:r>
      <w:r w:rsidRPr="006E53B5">
        <w:t xml:space="preserve"> rights</w:t>
      </w:r>
      <w:r>
        <w:t xml:space="preserve"> of indigenous peoples</w:t>
      </w:r>
      <w:r w:rsidRPr="006E53B5">
        <w:t xml:space="preserve"> in the implementation of the World Heritage Convention.</w:t>
      </w:r>
      <w:r>
        <w:rPr>
          <w:rStyle w:val="FootnoteReference"/>
        </w:rPr>
        <w:footnoteReference w:id="17"/>
      </w:r>
      <w:r w:rsidRPr="006E53B5">
        <w:t xml:space="preserve"> There is </w:t>
      </w:r>
      <w:r>
        <w:t>no</w:t>
      </w:r>
      <w:r w:rsidRPr="006E53B5">
        <w:t xml:space="preserve"> procedure to ensure </w:t>
      </w:r>
      <w:r>
        <w:t xml:space="preserve">the participation of </w:t>
      </w:r>
      <w:r w:rsidRPr="006E53B5">
        <w:t xml:space="preserve">indigenous peoples in the nomination and management of World Heritage </w:t>
      </w:r>
      <w:r>
        <w:t>s</w:t>
      </w:r>
      <w:r w:rsidRPr="006E53B5">
        <w:t>ites</w:t>
      </w:r>
      <w:r>
        <w:t xml:space="preserve"> nor is there a </w:t>
      </w:r>
      <w:r w:rsidRPr="006E53B5">
        <w:t xml:space="preserve">policy to ensure their </w:t>
      </w:r>
      <w:r>
        <w:t>free, prior and informed consent to the nomination of such sites</w:t>
      </w:r>
      <w:r w:rsidRPr="006E53B5">
        <w:t>.</w:t>
      </w:r>
      <w:r>
        <w:rPr>
          <w:rStyle w:val="FootnoteReference"/>
        </w:rPr>
        <w:footnoteReference w:id="18"/>
      </w:r>
      <w:r w:rsidRPr="006E53B5">
        <w:t xml:space="preserve"> </w:t>
      </w:r>
      <w:r>
        <w:t xml:space="preserve">Both </w:t>
      </w:r>
      <w:r w:rsidRPr="006E53B5">
        <w:t xml:space="preserve">the </w:t>
      </w:r>
      <w:r>
        <w:t>Permanent Forum on Indigenous Issues</w:t>
      </w:r>
      <w:r w:rsidRPr="006E53B5">
        <w:t xml:space="preserve"> and the </w:t>
      </w:r>
      <w:r>
        <w:t xml:space="preserve">Expert Mechanism </w:t>
      </w:r>
      <w:r w:rsidRPr="006E53B5">
        <w:t xml:space="preserve">have </w:t>
      </w:r>
      <w:r>
        <w:t>emphasized the importance of obtaining the free, prior and informed consent of</w:t>
      </w:r>
      <w:r w:rsidRPr="006E53B5">
        <w:t xml:space="preserve"> indigenous peoples</w:t>
      </w:r>
      <w:r>
        <w:t xml:space="preserve"> with regard to </w:t>
      </w:r>
      <w:r w:rsidRPr="006E53B5">
        <w:t xml:space="preserve">territories </w:t>
      </w:r>
      <w:r>
        <w:t xml:space="preserve">proposed for </w:t>
      </w:r>
      <w:r w:rsidRPr="006E53B5">
        <w:t>nominat</w:t>
      </w:r>
      <w:r>
        <w:t>ion</w:t>
      </w:r>
      <w:r w:rsidRPr="006E53B5">
        <w:t xml:space="preserve"> and inscri</w:t>
      </w:r>
      <w:r>
        <w:t>ption</w:t>
      </w:r>
      <w:r w:rsidRPr="006E53B5">
        <w:t xml:space="preserve"> as World Heritage </w:t>
      </w:r>
      <w:r>
        <w:t>s</w:t>
      </w:r>
      <w:r w:rsidRPr="006E53B5">
        <w:t xml:space="preserve">ites. </w:t>
      </w:r>
      <w:r>
        <w:t>The Expert Mechanism</w:t>
      </w:r>
      <w:r w:rsidRPr="006E53B5">
        <w:t xml:space="preserve"> </w:t>
      </w:r>
      <w:r>
        <w:t xml:space="preserve">also </w:t>
      </w:r>
      <w:r w:rsidRPr="006E53B5">
        <w:t xml:space="preserve">noted that </w:t>
      </w:r>
      <w:r>
        <w:t>“r</w:t>
      </w:r>
      <w:r w:rsidRPr="006E53B5">
        <w:t>obust procedures and mechanisms should be established to ensure indigenous peoples are adequately consulted and involved in the management and protection of World Heritage sites”</w:t>
      </w:r>
      <w:r w:rsidR="002149E2">
        <w:t xml:space="preserve"> (</w:t>
      </w:r>
      <w:r w:rsidR="002149E2" w:rsidRPr="00AA6755">
        <w:rPr>
          <w:rFonts w:eastAsia="MS Mincho"/>
        </w:rPr>
        <w:t>A/HRC/18/42</w:t>
      </w:r>
      <w:r w:rsidR="002149E2" w:rsidRPr="00AA6755">
        <w:t>, annex, para. </w:t>
      </w:r>
      <w:r w:rsidR="002149E2" w:rsidRPr="00A057AC">
        <w:rPr>
          <w:lang w:val="es-ES"/>
        </w:rPr>
        <w:t>38</w:t>
      </w:r>
      <w:r w:rsidR="002149E2">
        <w:t>)</w:t>
      </w:r>
      <w:r>
        <w:t>.</w:t>
      </w:r>
    </w:p>
    <w:p w:rsidR="008927C4" w:rsidRDefault="008927C4" w:rsidP="00AA6755">
      <w:pPr>
        <w:pStyle w:val="SingleTxtG"/>
        <w:numPr>
          <w:ilvl w:val="0"/>
          <w:numId w:val="26"/>
        </w:numPr>
        <w:ind w:left="1134" w:firstLine="0"/>
      </w:pPr>
      <w:r>
        <w:t>T</w:t>
      </w:r>
      <w:r w:rsidRPr="00556683">
        <w:t xml:space="preserve">he </w:t>
      </w:r>
      <w:r>
        <w:t xml:space="preserve">Special Rapporteur in the field of cultural rights </w:t>
      </w:r>
      <w:r w:rsidRPr="00556683">
        <w:t>recommend</w:t>
      </w:r>
      <w:r>
        <w:t>ed</w:t>
      </w:r>
      <w:r w:rsidRPr="00556683">
        <w:t xml:space="preserve"> that States</w:t>
      </w:r>
      <w:r w:rsidR="008C4436">
        <w:t xml:space="preserve"> </w:t>
      </w:r>
      <w:r w:rsidRPr="00556683">
        <w:t xml:space="preserve">seek the free, prior and informed consent of source communities before adopting measures concerning their specific cultural heritage, in particular in the case of indigenous peoples, in accordance with the United Nations Declaration on the Rights of Indigenous Peoples. </w:t>
      </w:r>
      <w:r>
        <w:t>She specifically emphasized that n</w:t>
      </w:r>
      <w:r w:rsidRPr="00556683">
        <w:t xml:space="preserve">o inscription on UNESCO lists relating to cultural heritage or national lists or registers should be requested or granted without the free, prior and informed consent of the </w:t>
      </w:r>
      <w:r w:rsidR="002149E2">
        <w:t xml:space="preserve">communities </w:t>
      </w:r>
      <w:r w:rsidRPr="00556683">
        <w:t>concerned</w:t>
      </w:r>
      <w:r w:rsidR="002149E2">
        <w:t xml:space="preserve"> (</w:t>
      </w:r>
      <w:r w:rsidR="002149E2" w:rsidRPr="00AA6755">
        <w:t>A/HRC/17/38 and Corr.1, para. </w:t>
      </w:r>
      <w:r w:rsidR="002149E2" w:rsidRPr="00FB5641">
        <w:t>80</w:t>
      </w:r>
      <w:r w:rsidR="002149E2">
        <w:t>)</w:t>
      </w:r>
      <w:r w:rsidRPr="00556683">
        <w:t>.</w:t>
      </w:r>
    </w:p>
    <w:p w:rsidR="008927C4" w:rsidRDefault="008927C4" w:rsidP="00AA6755">
      <w:pPr>
        <w:pStyle w:val="SingleTxtG"/>
        <w:numPr>
          <w:ilvl w:val="0"/>
          <w:numId w:val="26"/>
        </w:numPr>
        <w:ind w:left="1134" w:firstLine="0"/>
      </w:pPr>
      <w:r>
        <w:t>In 2011, the African Commission on Human and Peoples’ Rights</w:t>
      </w:r>
      <w:r w:rsidRPr="00C6458F">
        <w:t xml:space="preserve"> </w:t>
      </w:r>
      <w:r>
        <w:t>adopted</w:t>
      </w:r>
      <w:r w:rsidRPr="00C6458F">
        <w:t xml:space="preserve"> a</w:t>
      </w:r>
      <w:r w:rsidR="008C4436">
        <w:t xml:space="preserve"> </w:t>
      </w:r>
      <w:r w:rsidRPr="00C6458F">
        <w:t>resolution condemning the inscription of Lake Bogoria National Reserve in Kenya on the World Heritage List</w:t>
      </w:r>
      <w:r>
        <w:t xml:space="preserve">, as the World Heritage Committee had failed to respect the rights </w:t>
      </w:r>
      <w:r w:rsidRPr="00C6458F">
        <w:t>of the Endorois community</w:t>
      </w:r>
      <w:r>
        <w:t>.</w:t>
      </w:r>
      <w:r w:rsidRPr="00C6458F">
        <w:rPr>
          <w:rStyle w:val="FootnoteReference"/>
        </w:rPr>
        <w:footnoteReference w:id="19"/>
      </w:r>
      <w:r>
        <w:t xml:space="preserve"> In the resolution, the African Commission noted that</w:t>
      </w:r>
      <w:r w:rsidRPr="009E33EA">
        <w:t xml:space="preserve"> </w:t>
      </w:r>
      <w:r>
        <w:t>many sites “</w:t>
      </w:r>
      <w:r w:rsidRPr="009E33EA">
        <w:t>have been inscribed without the free, prior and informed consent of the indigenous peoples in whose territories they are located and whose management frameworks are not consistent with the principles of the UN Declaration on the Rights of Indigenous Peoples”</w:t>
      </w:r>
      <w:r w:rsidR="003E15DD">
        <w:t>.</w:t>
      </w:r>
      <w:r w:rsidRPr="009E33EA">
        <w:t xml:space="preserve"> </w:t>
      </w:r>
      <w:r w:rsidRPr="00D44916">
        <w:t>Th</w:t>
      </w:r>
      <w:r>
        <w:t xml:space="preserve">e </w:t>
      </w:r>
      <w:r w:rsidRPr="00D44916">
        <w:t xml:space="preserve">resolution </w:t>
      </w:r>
      <w:r>
        <w:t>drew attention to the</w:t>
      </w:r>
      <w:r w:rsidRPr="00D44916">
        <w:t xml:space="preserve"> general lack of respect </w:t>
      </w:r>
      <w:r>
        <w:t>for</w:t>
      </w:r>
      <w:r w:rsidRPr="00D44916">
        <w:t xml:space="preserve"> the rights of indigenous peoples in the context of </w:t>
      </w:r>
      <w:r>
        <w:t xml:space="preserve">nomination of </w:t>
      </w:r>
      <w:r w:rsidRPr="00D44916">
        <w:t xml:space="preserve">World Heritage </w:t>
      </w:r>
      <w:r>
        <w:t>s</w:t>
      </w:r>
      <w:r w:rsidRPr="00D44916">
        <w:t>ites.</w:t>
      </w:r>
    </w:p>
    <w:p w:rsidR="008927C4" w:rsidRDefault="008927C4" w:rsidP="00AA6755">
      <w:pPr>
        <w:pStyle w:val="SingleTxtG"/>
        <w:numPr>
          <w:ilvl w:val="0"/>
          <w:numId w:val="26"/>
        </w:numPr>
        <w:ind w:left="1134" w:firstLine="0"/>
      </w:pPr>
      <w:r>
        <w:t xml:space="preserve">The International Union for the Conservation of Nature World Conservation Congress adopted a resolution calling on </w:t>
      </w:r>
      <w:r w:rsidRPr="0036133D">
        <w:t>the Wor</w:t>
      </w:r>
      <w:r>
        <w:t xml:space="preserve">ld Heritage Committee to </w:t>
      </w:r>
      <w:r w:rsidRPr="0036133D">
        <w:t xml:space="preserve">review and revise its procedures in consultation with indigenous peoples to ensure that </w:t>
      </w:r>
      <w:r>
        <w:t>their</w:t>
      </w:r>
      <w:r w:rsidRPr="0036133D">
        <w:t xml:space="preserve"> rights are upheld and implemented in the management and protection of existing World Heritage sites</w:t>
      </w:r>
      <w:r>
        <w:t xml:space="preserve">. The aim of the resolution is to make the decision-making process </w:t>
      </w:r>
      <w:r w:rsidRPr="0036133D">
        <w:t xml:space="preserve">consistent with the Declaration on the Rights of Indigenous Peoples and </w:t>
      </w:r>
      <w:r>
        <w:t xml:space="preserve">to ensure </w:t>
      </w:r>
      <w:r w:rsidRPr="0036133D">
        <w:t xml:space="preserve">that no World Heritage sites are established in </w:t>
      </w:r>
      <w:r>
        <w:t xml:space="preserve">the </w:t>
      </w:r>
      <w:r w:rsidRPr="0036133D">
        <w:t>territories</w:t>
      </w:r>
      <w:r>
        <w:t xml:space="preserve"> of indigenous peoples</w:t>
      </w:r>
      <w:r w:rsidRPr="0036133D">
        <w:t xml:space="preserve"> without their f</w:t>
      </w:r>
      <w:r>
        <w:t>ree, prior and informed consent.</w:t>
      </w:r>
      <w:r>
        <w:rPr>
          <w:rStyle w:val="FootnoteReference"/>
        </w:rPr>
        <w:footnoteReference w:id="20"/>
      </w:r>
    </w:p>
    <w:p w:rsidR="008927C4" w:rsidRDefault="008927C4" w:rsidP="00AA6755">
      <w:pPr>
        <w:pStyle w:val="SingleTxtG"/>
        <w:numPr>
          <w:ilvl w:val="0"/>
          <w:numId w:val="26"/>
        </w:numPr>
        <w:ind w:left="1134" w:firstLine="0"/>
      </w:pPr>
      <w:r w:rsidRPr="00C6458F">
        <w:t>International Finance Corporation</w:t>
      </w:r>
      <w:r>
        <w:t xml:space="preserve"> </w:t>
      </w:r>
      <w:r w:rsidR="003E15DD">
        <w:t>p</w:t>
      </w:r>
      <w:r w:rsidRPr="00C6458F">
        <w:t xml:space="preserve">erformance standard 7 </w:t>
      </w:r>
      <w:r>
        <w:t>on</w:t>
      </w:r>
      <w:r w:rsidRPr="00C6458F">
        <w:t xml:space="preserve"> indigenous peoples states</w:t>
      </w:r>
      <w:r>
        <w:t xml:space="preserve"> that </w:t>
      </w:r>
      <w:r w:rsidRPr="00C6458F">
        <w:t>“</w:t>
      </w:r>
      <w:r>
        <w:t>w</w:t>
      </w:r>
      <w:r w:rsidRPr="00C6458F">
        <w:t>here a project may significantly impact on critical cultural heritage that is essential to the identity and/or cultural, ceremonial, or spiritual aspects of Indigenous Peoples</w:t>
      </w:r>
      <w:r>
        <w:t>’</w:t>
      </w:r>
      <w:r w:rsidRPr="00C6458F">
        <w:t xml:space="preserve"> lives, priority will be given to the avoidance of such impacts. Where significant project impacts on critical cultural heritage are unavoidable, the client will obtain the FPIC of the Affected Communities of Indigenous Peoples”</w:t>
      </w:r>
      <w:r>
        <w:t xml:space="preserve"> (para. 16)</w:t>
      </w:r>
      <w:r w:rsidR="003E15DD">
        <w:t>.</w:t>
      </w:r>
      <w:r w:rsidRPr="00C6458F">
        <w:t xml:space="preserve"> </w:t>
      </w:r>
      <w:r w:rsidRPr="00D4183E">
        <w:t xml:space="preserve">The adoption of </w:t>
      </w:r>
      <w:r>
        <w:t>th</w:t>
      </w:r>
      <w:r w:rsidR="00E671AC">
        <w:t>is</w:t>
      </w:r>
      <w:r>
        <w:t xml:space="preserve"> </w:t>
      </w:r>
      <w:r w:rsidRPr="00D4183E">
        <w:t xml:space="preserve">standard by </w:t>
      </w:r>
      <w:r>
        <w:t>a</w:t>
      </w:r>
      <w:r w:rsidRPr="00D4183E">
        <w:t xml:space="preserve"> </w:t>
      </w:r>
      <w:r w:rsidR="003E15DD">
        <w:t>c</w:t>
      </w:r>
      <w:r>
        <w:t xml:space="preserve">orporation that </w:t>
      </w:r>
      <w:r w:rsidR="00E671AC">
        <w:t>supports</w:t>
      </w:r>
      <w:r w:rsidRPr="00D4183E">
        <w:t xml:space="preserve"> investments globally is significant</w:t>
      </w:r>
      <w:r>
        <w:t xml:space="preserve"> and indicates</w:t>
      </w:r>
      <w:r w:rsidRPr="00D4183E">
        <w:t xml:space="preserve"> that human rights obligations are not limited to the public sector.</w:t>
      </w:r>
      <w:r>
        <w:t xml:space="preserve"> Nonetheless, it</w:t>
      </w:r>
      <w:r w:rsidRPr="00D44916">
        <w:t xml:space="preserve"> has been widely </w:t>
      </w:r>
      <w:r>
        <w:t>observed</w:t>
      </w:r>
      <w:r w:rsidRPr="00D44916">
        <w:t xml:space="preserve"> that the requirements of participation and consultation</w:t>
      </w:r>
      <w:r>
        <w:t>, and in particular the requirement to obtain the free, prior and informed consent of indigenous peoples,</w:t>
      </w:r>
      <w:r w:rsidRPr="00D44916">
        <w:t xml:space="preserve"> are not</w:t>
      </w:r>
      <w:r>
        <w:t xml:space="preserve"> yet properly implemented and respected at the international level.</w:t>
      </w:r>
    </w:p>
    <w:p w:rsidR="008927C4" w:rsidRDefault="008927C4" w:rsidP="00AA6755">
      <w:pPr>
        <w:pStyle w:val="SingleTxtG"/>
        <w:numPr>
          <w:ilvl w:val="0"/>
          <w:numId w:val="26"/>
        </w:numPr>
        <w:ind w:left="1134" w:firstLine="0"/>
        <w:rPr>
          <w:lang w:eastAsia="en-GB"/>
        </w:rPr>
      </w:pPr>
      <w:r>
        <w:rPr>
          <w:bCs/>
          <w:lang w:eastAsia="en-GB"/>
        </w:rPr>
        <w:t xml:space="preserve">Some questions have also been raised </w:t>
      </w:r>
      <w:r>
        <w:rPr>
          <w:lang w:eastAsia="en-GB"/>
        </w:rPr>
        <w:t>with regard to the rights of women</w:t>
      </w:r>
      <w:r>
        <w:rPr>
          <w:bCs/>
          <w:lang w:eastAsia="en-GB"/>
        </w:rPr>
        <w:t xml:space="preserve"> in the implementation of the UNESCO Convention </w:t>
      </w:r>
      <w:r w:rsidRPr="003D16CD">
        <w:rPr>
          <w:lang w:eastAsia="en-GB"/>
        </w:rPr>
        <w:t>for the Safeguarding of the Intangible Cultural Heritage</w:t>
      </w:r>
      <w:r>
        <w:rPr>
          <w:lang w:eastAsia="en-GB"/>
        </w:rPr>
        <w:t xml:space="preserve">. </w:t>
      </w:r>
      <w:r>
        <w:rPr>
          <w:bCs/>
          <w:lang w:eastAsia="en-GB"/>
        </w:rPr>
        <w:t>T</w:t>
      </w:r>
      <w:r w:rsidRPr="003D16CD">
        <w:rPr>
          <w:lang w:eastAsia="en-GB"/>
        </w:rPr>
        <w:t>he</w:t>
      </w:r>
      <w:r>
        <w:rPr>
          <w:lang w:eastAsia="en-GB"/>
        </w:rPr>
        <w:t xml:space="preserve"> Special Rapporteur in the field of cultural rights stressed that article </w:t>
      </w:r>
      <w:r w:rsidRPr="003D16CD">
        <w:rPr>
          <w:lang w:eastAsia="en-GB"/>
        </w:rPr>
        <w:t>13</w:t>
      </w:r>
      <w:r>
        <w:rPr>
          <w:lang w:eastAsia="en-GB"/>
        </w:rPr>
        <w:t xml:space="preserve"> </w:t>
      </w:r>
      <w:r w:rsidRPr="003D16CD">
        <w:rPr>
          <w:lang w:eastAsia="en-GB"/>
        </w:rPr>
        <w:t>(d)</w:t>
      </w:r>
      <w:r>
        <w:rPr>
          <w:lang w:eastAsia="en-GB"/>
        </w:rPr>
        <w:t xml:space="preserve"> </w:t>
      </w:r>
      <w:r w:rsidRPr="003D16CD">
        <w:rPr>
          <w:lang w:eastAsia="en-GB"/>
        </w:rPr>
        <w:t xml:space="preserve">(ii) of the Convention, according to which access to cultural heritage should be ensured “while respecting customary practices governing access to specific aspects of such heritage”, cannot be interpreted as permitting gender-based discrimination. </w:t>
      </w:r>
      <w:r w:rsidR="007B6104">
        <w:rPr>
          <w:lang w:eastAsia="en-GB"/>
        </w:rPr>
        <w:t>D</w:t>
      </w:r>
      <w:r w:rsidRPr="003D16CD">
        <w:rPr>
          <w:lang w:eastAsia="en-GB"/>
        </w:rPr>
        <w:t xml:space="preserve">istinctions </w:t>
      </w:r>
      <w:r w:rsidR="007B6104">
        <w:rPr>
          <w:lang w:eastAsia="en-GB"/>
        </w:rPr>
        <w:t xml:space="preserve">must </w:t>
      </w:r>
      <w:r w:rsidRPr="003D16CD">
        <w:rPr>
          <w:lang w:eastAsia="en-GB"/>
        </w:rPr>
        <w:t>not lead to indirect or structural discrimination against women and girls</w:t>
      </w:r>
      <w:r w:rsidR="002149E2">
        <w:rPr>
          <w:lang w:eastAsia="en-GB"/>
        </w:rPr>
        <w:t xml:space="preserve"> (</w:t>
      </w:r>
      <w:r w:rsidR="002149E2" w:rsidRPr="00F35BFB">
        <w:t>A/67/287, para. 63</w:t>
      </w:r>
      <w:r w:rsidR="002149E2">
        <w:rPr>
          <w:lang w:eastAsia="en-GB"/>
        </w:rPr>
        <w:t>)</w:t>
      </w:r>
      <w:r w:rsidRPr="003D16CD">
        <w:rPr>
          <w:lang w:eastAsia="en-GB"/>
        </w:rPr>
        <w:t>.</w:t>
      </w:r>
    </w:p>
    <w:p w:rsidR="008927C4" w:rsidRDefault="008927C4" w:rsidP="00AA6755">
      <w:pPr>
        <w:pStyle w:val="SingleTxtG"/>
        <w:numPr>
          <w:ilvl w:val="0"/>
          <w:numId w:val="26"/>
        </w:numPr>
        <w:ind w:left="1134" w:firstLine="0"/>
      </w:pPr>
      <w:r w:rsidRPr="00BC32BF">
        <w:t xml:space="preserve">Since </w:t>
      </w:r>
      <w:r>
        <w:t>its</w:t>
      </w:r>
      <w:r w:rsidRPr="00BC32BF">
        <w:t xml:space="preserve"> inception</w:t>
      </w:r>
      <w:r>
        <w:t>,</w:t>
      </w:r>
      <w:r w:rsidRPr="00BC32BF">
        <w:t xml:space="preserve"> the </w:t>
      </w:r>
      <w:r>
        <w:t xml:space="preserve">WIPO Intergovernmental Committee has been trying to support </w:t>
      </w:r>
      <w:r w:rsidRPr="00BC32BF">
        <w:t xml:space="preserve">an inclusive approach to promote the direct involvement of all stakeholders, especially indigenous peoples and local communities. During </w:t>
      </w:r>
      <w:r>
        <w:t>all its</w:t>
      </w:r>
      <w:r w:rsidRPr="00BC32BF">
        <w:t xml:space="preserve"> sessions, </w:t>
      </w:r>
      <w:r>
        <w:t>indigenous peoples</w:t>
      </w:r>
      <w:r w:rsidRPr="00BC32BF">
        <w:t xml:space="preserve"> may intervene on any issue on the agenda and make draft </w:t>
      </w:r>
      <w:r>
        <w:t>proposals, which could be</w:t>
      </w:r>
      <w:r w:rsidRPr="00BC32BF">
        <w:t xml:space="preserve"> incorporated in</w:t>
      </w:r>
      <w:r>
        <w:t>to</w:t>
      </w:r>
      <w:r w:rsidRPr="00BC32BF">
        <w:t xml:space="preserve"> the text under discussion</w:t>
      </w:r>
      <w:r>
        <w:t xml:space="preserve"> if </w:t>
      </w:r>
      <w:r w:rsidRPr="00BC32BF">
        <w:t xml:space="preserve">supported by at least one </w:t>
      </w:r>
      <w:r>
        <w:t>m</w:t>
      </w:r>
      <w:r w:rsidRPr="00BC32BF">
        <w:t xml:space="preserve">ember State. In 2005, the WIPO General Assembly established a </w:t>
      </w:r>
      <w:r>
        <w:t>v</w:t>
      </w:r>
      <w:r w:rsidRPr="00BC32BF">
        <w:t>oluntary fund to facilitate the participation of accredited indigenous peoples and local communities. Through this mechanism</w:t>
      </w:r>
      <w:r>
        <w:t>,</w:t>
      </w:r>
      <w:r w:rsidRPr="00BC32BF">
        <w:t xml:space="preserve"> </w:t>
      </w:r>
      <w:r>
        <w:t xml:space="preserve">representatives of </w:t>
      </w:r>
      <w:r w:rsidRPr="00BC32BF">
        <w:t>more than 80 indigenous peoples and local communities world</w:t>
      </w:r>
      <w:r>
        <w:t>wide</w:t>
      </w:r>
      <w:r w:rsidRPr="00BC32BF">
        <w:t xml:space="preserve"> have </w:t>
      </w:r>
      <w:r>
        <w:t>received</w:t>
      </w:r>
      <w:r w:rsidRPr="00BC32BF">
        <w:t xml:space="preserve"> fund</w:t>
      </w:r>
      <w:r>
        <w:t>ing</w:t>
      </w:r>
      <w:r w:rsidRPr="00BC32BF">
        <w:t xml:space="preserve"> to participate in sessions</w:t>
      </w:r>
      <w:r>
        <w:t xml:space="preserve"> of the Intergovernmental Committee</w:t>
      </w:r>
      <w:r w:rsidRPr="00BC32BF">
        <w:t>.</w:t>
      </w:r>
    </w:p>
    <w:p w:rsidR="008927C4" w:rsidRPr="00344F44" w:rsidRDefault="008927C4" w:rsidP="008927C4">
      <w:pPr>
        <w:pStyle w:val="H1G"/>
      </w:pPr>
      <w:r>
        <w:tab/>
        <w:t>B.</w:t>
      </w:r>
      <w:r>
        <w:tab/>
        <w:t>Participation at the national level</w:t>
      </w:r>
    </w:p>
    <w:p w:rsidR="008927C4" w:rsidRDefault="008927C4" w:rsidP="00AA6755">
      <w:pPr>
        <w:pStyle w:val="SingleTxtG"/>
        <w:numPr>
          <w:ilvl w:val="0"/>
          <w:numId w:val="26"/>
        </w:numPr>
        <w:ind w:left="1134" w:firstLine="0"/>
      </w:pPr>
      <w:r>
        <w:t>In its g</w:t>
      </w:r>
      <w:r w:rsidRPr="005A2230">
        <w:t xml:space="preserve">eneral </w:t>
      </w:r>
      <w:r>
        <w:t>c</w:t>
      </w:r>
      <w:r w:rsidRPr="005A2230">
        <w:t>omment</w:t>
      </w:r>
      <w:r>
        <w:t xml:space="preserve"> No. </w:t>
      </w:r>
      <w:r w:rsidRPr="005A2230">
        <w:t>21</w:t>
      </w:r>
      <w:r>
        <w:t>, the Committee on Economic, Social and Cultural Rights</w:t>
      </w:r>
      <w:r w:rsidRPr="005A2230">
        <w:t xml:space="preserve"> emphasize</w:t>
      </w:r>
      <w:r>
        <w:t>d</w:t>
      </w:r>
      <w:r w:rsidRPr="005A2230">
        <w:t xml:space="preserve"> that States ha</w:t>
      </w:r>
      <w:r>
        <w:t>d</w:t>
      </w:r>
      <w:r w:rsidRPr="005A2230">
        <w:t xml:space="preserve"> an obligation to allow and encourage the participation of indigenous peoples in the design and implementation of laws and policies that affect them.</w:t>
      </w:r>
      <w:r w:rsidRPr="00C6458F">
        <w:rPr>
          <w:rStyle w:val="FootnoteReference"/>
        </w:rPr>
        <w:footnoteReference w:id="21"/>
      </w:r>
      <w:r w:rsidRPr="005A2230">
        <w:t xml:space="preserve"> In particular, States parties should obtain their </w:t>
      </w:r>
      <w:r>
        <w:t>free, prior and informed consent</w:t>
      </w:r>
      <w:r w:rsidRPr="005A2230">
        <w:t xml:space="preserve"> when the preservation of cultural resources, especially those associated with their way of life and cultural expression, are at risk. </w:t>
      </w:r>
      <w:r w:rsidR="00C036C1">
        <w:t>This includes</w:t>
      </w:r>
      <w:r w:rsidRPr="00C6458F">
        <w:t xml:space="preserve"> decision</w:t>
      </w:r>
      <w:r>
        <w:t>s</w:t>
      </w:r>
      <w:r w:rsidRPr="00C6458F">
        <w:t xml:space="preserve"> to classify their territories under the label of Cultural </w:t>
      </w:r>
      <w:r>
        <w:t xml:space="preserve">or Natural </w:t>
      </w:r>
      <w:r w:rsidRPr="00C6458F">
        <w:t>Heritage Sites.</w:t>
      </w:r>
    </w:p>
    <w:p w:rsidR="008927C4" w:rsidRDefault="008927C4" w:rsidP="00AA6755">
      <w:pPr>
        <w:pStyle w:val="SingleTxtG"/>
        <w:numPr>
          <w:ilvl w:val="0"/>
          <w:numId w:val="26"/>
        </w:numPr>
        <w:ind w:left="1134" w:firstLine="0"/>
        <w:rPr>
          <w:lang w:val="en-US"/>
        </w:rPr>
      </w:pPr>
      <w:r w:rsidRPr="00BC06E7">
        <w:t xml:space="preserve">The </w:t>
      </w:r>
      <w:r>
        <w:t>Special Rapporteur</w:t>
      </w:r>
      <w:r w:rsidRPr="00BC06E7">
        <w:t xml:space="preserve"> in the field of cultural rights </w:t>
      </w:r>
      <w:r>
        <w:t xml:space="preserve">has </w:t>
      </w:r>
      <w:r w:rsidRPr="00BC06E7">
        <w:t xml:space="preserve">stressed that </w:t>
      </w:r>
      <w:r w:rsidRPr="00BC06E7">
        <w:rPr>
          <w:lang w:val="en-US"/>
        </w:rPr>
        <w:t>concerned communities and individuals</w:t>
      </w:r>
      <w:r>
        <w:rPr>
          <w:lang w:val="en-US"/>
        </w:rPr>
        <w:t xml:space="preserve"> should</w:t>
      </w:r>
      <w:r w:rsidRPr="00BC06E7">
        <w:rPr>
          <w:lang w:val="en-US"/>
        </w:rPr>
        <w:t xml:space="preserve"> be consulted and be able to actively participate in the </w:t>
      </w:r>
      <w:r w:rsidRPr="00AA6755">
        <w:t>process</w:t>
      </w:r>
      <w:r w:rsidRPr="00BC06E7">
        <w:rPr>
          <w:lang w:val="en-US"/>
        </w:rPr>
        <w:t xml:space="preserve"> of identification, selection, classification, interpretation, preservation/safeguard, stewardship and development of cultural heritage. Furthermore, States have the duty not to destroy, damage or alter cultural heritage, at least not without the free, prior and informed consent of concerned communities, and to take measures to preserve/safeguard cultural heritage from destruction or damage by third parties</w:t>
      </w:r>
      <w:r w:rsidR="003462E9">
        <w:rPr>
          <w:lang w:val="en-US"/>
        </w:rPr>
        <w:t xml:space="preserve"> (</w:t>
      </w:r>
      <w:r w:rsidR="003462E9" w:rsidRPr="003462E9">
        <w:rPr>
          <w:lang w:val="en-US"/>
        </w:rPr>
        <w:t>A/HRC/17/38</w:t>
      </w:r>
      <w:r w:rsidR="003462E9">
        <w:rPr>
          <w:lang w:val="en-US"/>
        </w:rPr>
        <w:t>,</w:t>
      </w:r>
      <w:r w:rsidR="003462E9" w:rsidRPr="003462E9">
        <w:rPr>
          <w:lang w:val="en-US"/>
        </w:rPr>
        <w:t xml:space="preserve"> para</w:t>
      </w:r>
      <w:r w:rsidR="003462E9">
        <w:rPr>
          <w:lang w:val="en-US"/>
        </w:rPr>
        <w:t>.</w:t>
      </w:r>
      <w:r w:rsidR="003462E9" w:rsidRPr="003462E9">
        <w:rPr>
          <w:lang w:val="en-US"/>
        </w:rPr>
        <w:t xml:space="preserve"> 80 (b) and (c)</w:t>
      </w:r>
      <w:r w:rsidR="003462E9">
        <w:rPr>
          <w:lang w:val="en-US"/>
        </w:rPr>
        <w:t>)</w:t>
      </w:r>
      <w:r w:rsidRPr="00BC06E7">
        <w:rPr>
          <w:lang w:val="en-US"/>
        </w:rPr>
        <w:t>.</w:t>
      </w:r>
    </w:p>
    <w:p w:rsidR="008927C4" w:rsidRDefault="008927C4" w:rsidP="00AA6755">
      <w:pPr>
        <w:pStyle w:val="SingleTxtG"/>
        <w:numPr>
          <w:ilvl w:val="0"/>
          <w:numId w:val="26"/>
        </w:numPr>
        <w:ind w:left="1134" w:firstLine="0"/>
      </w:pPr>
      <w:r w:rsidRPr="00C6458F">
        <w:t xml:space="preserve">Indigenous peoples in Canada are actively involved in the protection of their cultural heritage and have been supported by formal legislation in this area. </w:t>
      </w:r>
      <w:r>
        <w:t>For</w:t>
      </w:r>
      <w:r w:rsidRPr="00C6458F">
        <w:t xml:space="preserve"> example, the Province of British Columbia enacted the </w:t>
      </w:r>
      <w:r w:rsidRPr="00F35BFB">
        <w:rPr>
          <w:iCs/>
        </w:rPr>
        <w:t>Heritage Conservation Act of 1996</w:t>
      </w:r>
      <w:r>
        <w:t xml:space="preserve">, which was </w:t>
      </w:r>
      <w:r w:rsidRPr="00C6458F">
        <w:t xml:space="preserve">created in order “to encourage and facilitate the protection and conservation of heritage property in British Columbia.” </w:t>
      </w:r>
      <w:r w:rsidR="00C036C1">
        <w:t xml:space="preserve">This </w:t>
      </w:r>
      <w:r>
        <w:t>includes ensuring that i</w:t>
      </w:r>
      <w:r w:rsidRPr="004D24FD">
        <w:t xml:space="preserve">ndigenous peoples are consulted on the status of cultural heritage sites and objects within their traditional lands and territories. </w:t>
      </w:r>
      <w:r w:rsidRPr="00947657">
        <w:t>Another positive example is the recent nomination of Pimachiowin Aki as a World Heritage site</w:t>
      </w:r>
      <w:r>
        <w:t>,</w:t>
      </w:r>
      <w:r w:rsidRPr="00947657">
        <w:t xml:space="preserve"> a joint effort of two Canadian provinces and </w:t>
      </w:r>
      <w:r>
        <w:t xml:space="preserve">the </w:t>
      </w:r>
      <w:r w:rsidRPr="00947657">
        <w:t>First Nations</w:t>
      </w:r>
      <w:r w:rsidR="007B6104">
        <w:t xml:space="preserve"> affected</w:t>
      </w:r>
      <w:r w:rsidRPr="00947657">
        <w:t>.</w:t>
      </w:r>
      <w:r>
        <w:rPr>
          <w:rStyle w:val="FootnoteReference"/>
        </w:rPr>
        <w:footnoteReference w:id="22"/>
      </w:r>
    </w:p>
    <w:p w:rsidR="008927C4" w:rsidRDefault="008927C4" w:rsidP="00AA6755">
      <w:pPr>
        <w:pStyle w:val="SingleTxtG"/>
        <w:numPr>
          <w:ilvl w:val="0"/>
          <w:numId w:val="26"/>
        </w:numPr>
        <w:ind w:left="1134" w:firstLine="0"/>
      </w:pPr>
      <w:r w:rsidRPr="00FE1D63">
        <w:t xml:space="preserve">The Australian </w:t>
      </w:r>
      <w:r>
        <w:t xml:space="preserve">National Committee of the International </w:t>
      </w:r>
      <w:r w:rsidRPr="00FE1D63">
        <w:t>Council</w:t>
      </w:r>
      <w:r>
        <w:t xml:space="preserve"> on Monuments and Sites</w:t>
      </w:r>
      <w:r w:rsidRPr="00FE1D63">
        <w:t xml:space="preserve"> adopted the Burra Charter</w:t>
      </w:r>
      <w:r>
        <w:t xml:space="preserve"> for Places of Cultural Significance</w:t>
      </w:r>
      <w:r w:rsidRPr="00FE1D63">
        <w:t xml:space="preserve"> </w:t>
      </w:r>
      <w:r>
        <w:t xml:space="preserve">(2013) </w:t>
      </w:r>
      <w:r w:rsidRPr="00FE1D63">
        <w:t xml:space="preserve">as </w:t>
      </w:r>
      <w:r>
        <w:t xml:space="preserve">a </w:t>
      </w:r>
      <w:r w:rsidRPr="00FE1D63">
        <w:t>best</w:t>
      </w:r>
      <w:r>
        <w:t xml:space="preserve"> </w:t>
      </w:r>
      <w:r w:rsidRPr="00FE1D63">
        <w:t xml:space="preserve">practice cultural heritage </w:t>
      </w:r>
      <w:r>
        <w:t xml:space="preserve">conservation and </w:t>
      </w:r>
      <w:r w:rsidRPr="00FE1D63">
        <w:t>management</w:t>
      </w:r>
      <w:r>
        <w:t xml:space="preserve"> guide</w:t>
      </w:r>
      <w:r w:rsidRPr="00FE1D63">
        <w:t xml:space="preserve">. The </w:t>
      </w:r>
      <w:r>
        <w:t>c</w:t>
      </w:r>
      <w:r w:rsidRPr="00FE1D63">
        <w:t xml:space="preserve">onservation </w:t>
      </w:r>
      <w:r>
        <w:t>p</w:t>
      </w:r>
      <w:r w:rsidRPr="00FE1D63">
        <w:t xml:space="preserve">rinciples </w:t>
      </w:r>
      <w:r>
        <w:t xml:space="preserve">set out </w:t>
      </w:r>
      <w:r w:rsidRPr="00FE1D63">
        <w:t xml:space="preserve">in the Burra Charter form the basis </w:t>
      </w:r>
      <w:r>
        <w:t>for</w:t>
      </w:r>
      <w:r w:rsidRPr="00FE1D63">
        <w:t xml:space="preserve"> management of all places of cultural significance in Australia. The Charter establishes appropriate decision-making proce</w:t>
      </w:r>
      <w:r>
        <w:t>dures</w:t>
      </w:r>
      <w:r w:rsidRPr="00FE1D63">
        <w:t xml:space="preserve"> and ensures the participation of cultural groups affected</w:t>
      </w:r>
      <w:r>
        <w:t xml:space="preserve"> by the decisions</w:t>
      </w:r>
      <w:r w:rsidRPr="00FE1D63">
        <w:t>.</w:t>
      </w:r>
      <w:r>
        <w:rPr>
          <w:rStyle w:val="FootnoteReference"/>
        </w:rPr>
        <w:footnoteReference w:id="23"/>
      </w:r>
    </w:p>
    <w:p w:rsidR="008927C4" w:rsidRDefault="008927C4" w:rsidP="00AA6755">
      <w:pPr>
        <w:pStyle w:val="SingleTxtG"/>
        <w:numPr>
          <w:ilvl w:val="0"/>
          <w:numId w:val="26"/>
        </w:numPr>
        <w:ind w:left="1134" w:firstLine="0"/>
      </w:pPr>
      <w:r>
        <w:t>The</w:t>
      </w:r>
      <w:r w:rsidRPr="00F934C2">
        <w:t xml:space="preserve"> 2012 F</w:t>
      </w:r>
      <w:r>
        <w:t xml:space="preserve">ree, </w:t>
      </w:r>
      <w:r w:rsidRPr="00F934C2">
        <w:t>P</w:t>
      </w:r>
      <w:r>
        <w:t xml:space="preserve">rior and </w:t>
      </w:r>
      <w:r w:rsidRPr="00F934C2">
        <w:t>I</w:t>
      </w:r>
      <w:r>
        <w:t xml:space="preserve">nformed </w:t>
      </w:r>
      <w:r w:rsidRPr="00F934C2">
        <w:t>C</w:t>
      </w:r>
      <w:r>
        <w:t>onsent</w:t>
      </w:r>
      <w:r w:rsidRPr="00F934C2">
        <w:t xml:space="preserve"> Guidelines of the National Commission on Indigenous Peoples </w:t>
      </w:r>
      <w:r>
        <w:t>of</w:t>
      </w:r>
      <w:r w:rsidRPr="00F934C2">
        <w:t xml:space="preserve"> the Philippines mentions sacred grounds, burial sites and cultural and heritage sites as areas excluded for any activity except for exclusive purposes where they are identified. However, </w:t>
      </w:r>
      <w:r>
        <w:t xml:space="preserve">it seems that </w:t>
      </w:r>
      <w:r w:rsidRPr="00F934C2">
        <w:t>its implementation remains a huge challenge</w:t>
      </w:r>
      <w:r>
        <w:t>, owing</w:t>
      </w:r>
      <w:r w:rsidRPr="00F934C2">
        <w:t xml:space="preserve"> to the manipulation of </w:t>
      </w:r>
      <w:r>
        <w:t>the process</w:t>
      </w:r>
      <w:r w:rsidRPr="00F934C2">
        <w:t xml:space="preserve"> by interested parties.</w:t>
      </w:r>
      <w:r>
        <w:rPr>
          <w:rStyle w:val="FootnoteReference"/>
        </w:rPr>
        <w:footnoteReference w:id="24"/>
      </w:r>
    </w:p>
    <w:p w:rsidR="008927C4" w:rsidRDefault="008927C4" w:rsidP="00AA6755">
      <w:pPr>
        <w:pStyle w:val="SingleTxtG"/>
        <w:numPr>
          <w:ilvl w:val="0"/>
          <w:numId w:val="26"/>
        </w:numPr>
        <w:ind w:left="1134" w:firstLine="0"/>
        <w:rPr>
          <w:rFonts w:eastAsia="ACMEKE+TimesNewRoman"/>
        </w:rPr>
      </w:pPr>
      <w:r w:rsidRPr="00EC2029">
        <w:rPr>
          <w:rFonts w:eastAsia="ACMEMG+TimesNewRoman,Italic"/>
        </w:rPr>
        <w:t xml:space="preserve">The </w:t>
      </w:r>
      <w:r>
        <w:rPr>
          <w:rFonts w:eastAsia="ACMEMG+TimesNewRoman,Italic"/>
        </w:rPr>
        <w:t>i</w:t>
      </w:r>
      <w:r w:rsidRPr="00EC2029">
        <w:rPr>
          <w:rFonts w:eastAsia="ACMEMG+TimesNewRoman,Italic"/>
        </w:rPr>
        <w:t xml:space="preserve">ndigenous </w:t>
      </w:r>
      <w:r>
        <w:rPr>
          <w:rFonts w:eastAsia="ACMEMG+TimesNewRoman,Italic"/>
        </w:rPr>
        <w:t>p</w:t>
      </w:r>
      <w:r w:rsidRPr="00EC2029">
        <w:rPr>
          <w:rFonts w:eastAsia="ACMEMG+TimesNewRoman,Italic"/>
        </w:rPr>
        <w:t xml:space="preserve">eoples of </w:t>
      </w:r>
      <w:r>
        <w:rPr>
          <w:rFonts w:eastAsia="ACMEMG+TimesNewRoman,Italic"/>
        </w:rPr>
        <w:t xml:space="preserve">the </w:t>
      </w:r>
      <w:r w:rsidRPr="00EC2029">
        <w:rPr>
          <w:rFonts w:eastAsia="ACMEMG+TimesNewRoman,Italic"/>
        </w:rPr>
        <w:t>States</w:t>
      </w:r>
      <w:r>
        <w:rPr>
          <w:rFonts w:eastAsia="ACMEMG+TimesNewRoman,Italic"/>
        </w:rPr>
        <w:t xml:space="preserve"> of the Caribbean Community (CARICOM)</w:t>
      </w:r>
      <w:r w:rsidRPr="00EC2029">
        <w:rPr>
          <w:rFonts w:eastAsia="ACMEMG+TimesNewRoman,Italic"/>
        </w:rPr>
        <w:t xml:space="preserve"> participated in the creation of a </w:t>
      </w:r>
      <w:r>
        <w:rPr>
          <w:rFonts w:eastAsia="ACMEMG+TimesNewRoman,Italic"/>
        </w:rPr>
        <w:t>d</w:t>
      </w:r>
      <w:r w:rsidRPr="00EC2029">
        <w:rPr>
          <w:rFonts w:eastAsia="ACMEKE+TimesNewRoman"/>
        </w:rPr>
        <w:t xml:space="preserve">raft CARICOM </w:t>
      </w:r>
      <w:r w:rsidR="00A36318">
        <w:rPr>
          <w:rFonts w:eastAsia="ACMEKE+TimesNewRoman"/>
        </w:rPr>
        <w:t>r</w:t>
      </w:r>
      <w:r w:rsidRPr="00EC2029">
        <w:rPr>
          <w:rFonts w:eastAsia="ACMEKE+TimesNewRoman"/>
        </w:rPr>
        <w:t xml:space="preserve">egional </w:t>
      </w:r>
      <w:r w:rsidR="00A36318">
        <w:rPr>
          <w:rFonts w:eastAsia="ACMEMG+TimesNewRoman,Italic"/>
        </w:rPr>
        <w:t>f</w:t>
      </w:r>
      <w:r w:rsidRPr="00EC2029">
        <w:rPr>
          <w:rFonts w:eastAsia="ACMEMG+TimesNewRoman,Italic"/>
        </w:rPr>
        <w:t>ramework</w:t>
      </w:r>
      <w:r>
        <w:rPr>
          <w:rFonts w:eastAsia="ACMEMG+TimesNewRoman,Italic"/>
        </w:rPr>
        <w:t>,</w:t>
      </w:r>
      <w:r w:rsidRPr="00EC2029">
        <w:rPr>
          <w:rFonts w:eastAsia="ACMEMG+TimesNewRoman,Italic"/>
        </w:rPr>
        <w:t xml:space="preserve"> which seeks to establish a regional instrument for the </w:t>
      </w:r>
      <w:r>
        <w:rPr>
          <w:rFonts w:eastAsia="ACMEMG+TimesNewRoman,Italic"/>
        </w:rPr>
        <w:t>p</w:t>
      </w:r>
      <w:r w:rsidRPr="00EC2029">
        <w:rPr>
          <w:rFonts w:eastAsia="ACMEMG+TimesNewRoman,Italic"/>
        </w:rPr>
        <w:t xml:space="preserve">rotection of </w:t>
      </w:r>
      <w:r>
        <w:rPr>
          <w:rFonts w:eastAsia="ACMEMG+TimesNewRoman,Italic"/>
        </w:rPr>
        <w:t>genetic resources</w:t>
      </w:r>
      <w:r w:rsidRPr="00EC2029">
        <w:rPr>
          <w:rFonts w:eastAsia="ACMEMG+TimesNewRoman,Italic"/>
        </w:rPr>
        <w:t xml:space="preserve">, </w:t>
      </w:r>
      <w:r>
        <w:rPr>
          <w:rFonts w:eastAsia="ACMEMG+TimesNewRoman,Italic"/>
        </w:rPr>
        <w:t>traditional knowledge</w:t>
      </w:r>
      <w:r w:rsidRPr="00EC2029">
        <w:rPr>
          <w:rFonts w:eastAsia="ACMEMG+TimesNewRoman,Italic"/>
        </w:rPr>
        <w:t xml:space="preserve"> and </w:t>
      </w:r>
      <w:r>
        <w:rPr>
          <w:rFonts w:eastAsia="ACMEMG+TimesNewRoman,Italic"/>
        </w:rPr>
        <w:t>traditional cultural expressions,</w:t>
      </w:r>
      <w:r w:rsidRPr="00EC2029">
        <w:rPr>
          <w:rFonts w:eastAsia="ACMEMG+TimesNewRoman,Italic"/>
        </w:rPr>
        <w:t xml:space="preserve"> </w:t>
      </w:r>
      <w:r w:rsidRPr="00EC2029">
        <w:rPr>
          <w:rFonts w:eastAsia="ACMEKE+TimesNewRoman"/>
        </w:rPr>
        <w:t xml:space="preserve">while ensuring the </w:t>
      </w:r>
      <w:r>
        <w:rPr>
          <w:rFonts w:eastAsia="ACMEKE+TimesNewRoman"/>
        </w:rPr>
        <w:t>free, prior and informed consent</w:t>
      </w:r>
      <w:r w:rsidRPr="00EC2029">
        <w:rPr>
          <w:rFonts w:eastAsia="ACMEKE+TimesNewRoman"/>
        </w:rPr>
        <w:t xml:space="preserve"> of the </w:t>
      </w:r>
      <w:r>
        <w:rPr>
          <w:rFonts w:eastAsia="ACMEKE+TimesNewRoman"/>
        </w:rPr>
        <w:t xml:space="preserve">rightful </w:t>
      </w:r>
      <w:r w:rsidRPr="00EC2029">
        <w:rPr>
          <w:rFonts w:eastAsia="ACMEKE+TimesNewRoman"/>
        </w:rPr>
        <w:t>owners/holders</w:t>
      </w:r>
      <w:r>
        <w:rPr>
          <w:rFonts w:eastAsia="ACMEKE+TimesNewRoman"/>
        </w:rPr>
        <w:t>/</w:t>
      </w:r>
      <w:r w:rsidRPr="00EC2029">
        <w:rPr>
          <w:rFonts w:eastAsia="ACMEKE+TimesNewRoman"/>
        </w:rPr>
        <w:t>beneficiaries on mutually agreed terms and</w:t>
      </w:r>
      <w:r w:rsidR="00A36318">
        <w:rPr>
          <w:rFonts w:eastAsia="ACMEKE+TimesNewRoman"/>
        </w:rPr>
        <w:t xml:space="preserve"> with</w:t>
      </w:r>
      <w:r w:rsidRPr="00EC2029">
        <w:rPr>
          <w:rFonts w:eastAsia="ACMEKE+TimesNewRoman"/>
        </w:rPr>
        <w:t xml:space="preserve"> fair and equitable benefit</w:t>
      </w:r>
      <w:r w:rsidR="00A36318">
        <w:rPr>
          <w:rFonts w:eastAsia="ACMEKE+TimesNewRoman"/>
        </w:rPr>
        <w:t>-</w:t>
      </w:r>
      <w:r w:rsidRPr="00EC2029">
        <w:rPr>
          <w:rFonts w:eastAsia="ACMEKE+TimesNewRoman"/>
        </w:rPr>
        <w:t>sharing.</w:t>
      </w:r>
      <w:r>
        <w:rPr>
          <w:rStyle w:val="FootnoteReference"/>
          <w:rFonts w:eastAsia="ACMEKE+TimesNewRoman"/>
        </w:rPr>
        <w:footnoteReference w:id="25"/>
      </w:r>
    </w:p>
    <w:p w:rsidR="008927C4" w:rsidRDefault="007B6104" w:rsidP="00AA6755">
      <w:pPr>
        <w:pStyle w:val="SingleTxtG"/>
        <w:numPr>
          <w:ilvl w:val="0"/>
          <w:numId w:val="26"/>
        </w:numPr>
        <w:ind w:left="1134" w:firstLine="0"/>
      </w:pPr>
      <w:r>
        <w:t>W</w:t>
      </w:r>
      <w:r w:rsidR="008927C4">
        <w:t xml:space="preserve">hile there </w:t>
      </w:r>
      <w:r>
        <w:t xml:space="preserve">are </w:t>
      </w:r>
      <w:r w:rsidR="008927C4">
        <w:t>some good practice</w:t>
      </w:r>
      <w:r>
        <w:t>s</w:t>
      </w:r>
      <w:r w:rsidR="008927C4">
        <w:t xml:space="preserve"> emerging at </w:t>
      </w:r>
      <w:r w:rsidR="00A36318">
        <w:t xml:space="preserve">the </w:t>
      </w:r>
      <w:r w:rsidR="008927C4">
        <w:t>national level, there are still many instances where indigenous peoples have not been allowed to participate in decision-making processes that affect their cultural heritage.</w:t>
      </w:r>
      <w:r w:rsidR="008927C4">
        <w:rPr>
          <w:rStyle w:val="FootnoteReference"/>
        </w:rPr>
        <w:footnoteReference w:id="26"/>
      </w:r>
      <w:r w:rsidR="008927C4">
        <w:t xml:space="preserve"> </w:t>
      </w:r>
      <w:r w:rsidR="00A36318">
        <w:t>I</w:t>
      </w:r>
      <w:r w:rsidR="008927C4">
        <w:t xml:space="preserve">n 2011, </w:t>
      </w:r>
      <w:r w:rsidR="00A36318">
        <w:t xml:space="preserve">for example, </w:t>
      </w:r>
      <w:r w:rsidR="008927C4">
        <w:t xml:space="preserve">the </w:t>
      </w:r>
      <w:r w:rsidR="008927C4" w:rsidRPr="00A64342">
        <w:t xml:space="preserve">Western Ghats (India) and the Sangha Trinational (Congo/Cameroon/Central African Republic) were inscribed </w:t>
      </w:r>
      <w:r w:rsidR="008927C4">
        <w:t xml:space="preserve">as natural World Heritage sites, despite the fact that in both situations, serious objections were raised about the lack of any </w:t>
      </w:r>
      <w:r w:rsidR="008927C4" w:rsidRPr="00A64342">
        <w:t xml:space="preserve">meaningful </w:t>
      </w:r>
      <w:r w:rsidR="008927C4">
        <w:t>participation of indigenous peoples</w:t>
      </w:r>
      <w:r w:rsidR="008927C4" w:rsidRPr="00A64342">
        <w:t xml:space="preserve"> living in the respective areas</w:t>
      </w:r>
      <w:r w:rsidR="008927C4">
        <w:t>. In both cases, there was a blatant lack of respect for the free, prior and informed consent of the concerned communities, as the affected i</w:t>
      </w:r>
      <w:r w:rsidR="008927C4" w:rsidRPr="00A64342">
        <w:t xml:space="preserve">ndigenous peoples had not even seen the submitted nomination documents, </w:t>
      </w:r>
      <w:r w:rsidR="008927C4">
        <w:t>which</w:t>
      </w:r>
      <w:r w:rsidR="008927C4" w:rsidRPr="00A64342">
        <w:t xml:space="preserve"> had not been made publicly available.</w:t>
      </w:r>
      <w:r w:rsidR="008927C4">
        <w:rPr>
          <w:rStyle w:val="FootnoteReference"/>
        </w:rPr>
        <w:footnoteReference w:id="27"/>
      </w:r>
    </w:p>
    <w:p w:rsidR="008927C4" w:rsidRDefault="008927C4" w:rsidP="008927C4">
      <w:pPr>
        <w:pStyle w:val="HChG"/>
        <w:rPr>
          <w:lang w:val="en-US"/>
        </w:rPr>
      </w:pPr>
      <w:r>
        <w:rPr>
          <w:lang w:val="en-US"/>
        </w:rPr>
        <w:tab/>
        <w:t>V.</w:t>
      </w:r>
      <w:r>
        <w:rPr>
          <w:lang w:val="en-US"/>
        </w:rPr>
        <w:tab/>
        <w:t>Specific issues relating to the rights of indigenous peoples with respect to their cultural heritage</w:t>
      </w:r>
    </w:p>
    <w:p w:rsidR="008927C4" w:rsidRPr="00344F44" w:rsidRDefault="008927C4" w:rsidP="008927C4">
      <w:pPr>
        <w:pStyle w:val="H1G"/>
      </w:pPr>
      <w:r>
        <w:tab/>
        <w:t>A.</w:t>
      </w:r>
      <w:r>
        <w:tab/>
        <w:t>Lands, territories and cultural heritage</w:t>
      </w:r>
    </w:p>
    <w:p w:rsidR="008927C4" w:rsidRDefault="008927C4" w:rsidP="00AA6755">
      <w:pPr>
        <w:pStyle w:val="SingleTxtG"/>
        <w:numPr>
          <w:ilvl w:val="0"/>
          <w:numId w:val="26"/>
        </w:numPr>
        <w:ind w:left="1134" w:firstLine="0"/>
      </w:pPr>
      <w:r>
        <w:t xml:space="preserve">Access to and use of lands, territories and the environment are essential elements of cultural heritage for many indigenous peoples. </w:t>
      </w:r>
      <w:r w:rsidR="007B6104">
        <w:t>T</w:t>
      </w:r>
      <w:r>
        <w:t xml:space="preserve">he connection between land rights and cultural heritage is strongly embedded in international legal instruments and in international jurisprudence. Many human rights institutions have highlighted that </w:t>
      </w:r>
      <w:r w:rsidRPr="00BF1070">
        <w:t>own</w:t>
      </w:r>
      <w:r>
        <w:t>ership</w:t>
      </w:r>
      <w:r w:rsidRPr="00BF1070">
        <w:t>, control and manage</w:t>
      </w:r>
      <w:r>
        <w:t>ment of</w:t>
      </w:r>
      <w:r w:rsidRPr="00BF1070">
        <w:t xml:space="preserve"> their ancestral territories</w:t>
      </w:r>
      <w:r>
        <w:t xml:space="preserve"> constitutes an essential element of the cultural heritage of indigenous peoples.</w:t>
      </w:r>
      <w:r>
        <w:rPr>
          <w:rStyle w:val="FootnoteReference"/>
        </w:rPr>
        <w:footnoteReference w:id="28"/>
      </w:r>
      <w:r>
        <w:t xml:space="preserve"> The Committee on Economic, Social and Cultural Rights calls on</w:t>
      </w:r>
      <w:r w:rsidRPr="00F50ECD">
        <w:t xml:space="preserve"> States</w:t>
      </w:r>
      <w:r>
        <w:t xml:space="preserve"> to</w:t>
      </w:r>
      <w:r w:rsidRPr="00F50ECD">
        <w:t xml:space="preserve"> “respect the rights of indigenous peoples to their culture and heritage and to maintain and strengthen their spiritual relationship with their ancestral lands and other natural resources traditionally owned, occupied or used by them, and indispensable to their cultural life.”</w:t>
      </w:r>
      <w:r w:rsidRPr="00F50ECD">
        <w:rPr>
          <w:rStyle w:val="FootnoteReference"/>
        </w:rPr>
        <w:footnoteReference w:id="29"/>
      </w:r>
    </w:p>
    <w:p w:rsidR="008927C4" w:rsidRDefault="008927C4" w:rsidP="00AA6755">
      <w:pPr>
        <w:pStyle w:val="SingleTxtG"/>
        <w:numPr>
          <w:ilvl w:val="0"/>
          <w:numId w:val="26"/>
        </w:numPr>
        <w:ind w:left="1134" w:firstLine="0"/>
      </w:pPr>
      <w:r>
        <w:t>Both the African Commission on Human and Peoples’ Rights</w:t>
      </w:r>
      <w:r w:rsidRPr="00C6458F">
        <w:t xml:space="preserve"> </w:t>
      </w:r>
      <w:r>
        <w:t>and the Inter-American Court of Human Rights have given prominence to the importance of land and territorial rights in their decisions, emphasizing that land rights constitute a foundation for the cultural integrity of indigenous peoples, including their rights to culture, religion, health, development and natural resources.</w:t>
      </w:r>
      <w:r>
        <w:rPr>
          <w:rStyle w:val="FootnoteReference"/>
        </w:rPr>
        <w:footnoteReference w:id="30"/>
      </w:r>
      <w:r>
        <w:t xml:space="preserve"> </w:t>
      </w:r>
      <w:r w:rsidR="007B6104">
        <w:t xml:space="preserve">Both recognize </w:t>
      </w:r>
      <w:r>
        <w:t>the spiritual value that indigenous peoples attach to their territories as part of their cultural heritage. The protection of sacred sites is a key element of indigenous peoples’ territorial rights, and therefore of their cultural heritage.</w:t>
      </w:r>
    </w:p>
    <w:p w:rsidR="008927C4" w:rsidRDefault="008927C4" w:rsidP="00AA6755">
      <w:pPr>
        <w:pStyle w:val="SingleTxtG"/>
        <w:numPr>
          <w:ilvl w:val="0"/>
          <w:numId w:val="26"/>
        </w:numPr>
        <w:ind w:left="1134" w:firstLine="0"/>
      </w:pPr>
      <w:r>
        <w:t>L</w:t>
      </w:r>
      <w:r w:rsidRPr="00BF1070">
        <w:t xml:space="preserve">ack </w:t>
      </w:r>
      <w:r>
        <w:t xml:space="preserve">of recognition of </w:t>
      </w:r>
      <w:r w:rsidRPr="00BF1070">
        <w:t xml:space="preserve">indigenous </w:t>
      </w:r>
      <w:r>
        <w:t>peoples’ land rights</w:t>
      </w:r>
      <w:r w:rsidR="00D030BF">
        <w:t xml:space="preserve"> and their relationships with their territories</w:t>
      </w:r>
      <w:r w:rsidRPr="00BF1070">
        <w:t xml:space="preserve"> negatively affect</w:t>
      </w:r>
      <w:r>
        <w:t>s</w:t>
      </w:r>
      <w:r w:rsidRPr="00BF1070">
        <w:t xml:space="preserve"> their right to enjoy, access and promote their cultural heritage.</w:t>
      </w:r>
      <w:r>
        <w:t xml:space="preserve"> As such, no policy or legislation can adequately address the cultural heritage of indigenous peoples without recognizing their fundamental rights to their lands and territories.</w:t>
      </w:r>
    </w:p>
    <w:p w:rsidR="008927C4" w:rsidRDefault="008927C4" w:rsidP="00AA6755">
      <w:pPr>
        <w:pStyle w:val="SingleTxtG"/>
        <w:numPr>
          <w:ilvl w:val="0"/>
          <w:numId w:val="26"/>
        </w:numPr>
        <w:ind w:left="1134" w:firstLine="0"/>
      </w:pPr>
      <w:r>
        <w:t>The establishment of World Heritage sites, or other forms of protected areas</w:t>
      </w:r>
      <w:r w:rsidR="00F6448E">
        <w:t xml:space="preserve"> can have</w:t>
      </w:r>
      <w:r>
        <w:t xml:space="preserve"> a negative impact on indigenous peoples because, often, their ancestral rights over their lands and territories are not respected or protected. </w:t>
      </w:r>
      <w:r w:rsidRPr="00B52749">
        <w:t>In many nature-protected areas, including areas inscribed on the World Heritage List,</w:t>
      </w:r>
      <w:r>
        <w:t xml:space="preserve"> narrow</w:t>
      </w:r>
      <w:r w:rsidRPr="00B52749">
        <w:t xml:space="preserve"> restrictions are imposed on </w:t>
      </w:r>
      <w:r>
        <w:t xml:space="preserve">traditional </w:t>
      </w:r>
      <w:r w:rsidRPr="00B52749">
        <w:t>practices</w:t>
      </w:r>
      <w:r>
        <w:t xml:space="preserve"> and activities,</w:t>
      </w:r>
      <w:r w:rsidRPr="00B52749">
        <w:t xml:space="preserve"> such as hunting, gathering,</w:t>
      </w:r>
      <w:r>
        <w:t xml:space="preserve"> </w:t>
      </w:r>
      <w:r w:rsidRPr="00B52749">
        <w:t xml:space="preserve">farming or animal husbandry, in violation of </w:t>
      </w:r>
      <w:r>
        <w:t>the</w:t>
      </w:r>
      <w:r w:rsidRPr="00B52749">
        <w:t xml:space="preserve"> cultural and subsistence</w:t>
      </w:r>
      <w:r>
        <w:t xml:space="preserve"> </w:t>
      </w:r>
      <w:r w:rsidRPr="00B52749">
        <w:t>rights</w:t>
      </w:r>
      <w:r>
        <w:t xml:space="preserve"> of indigenous peoples</w:t>
      </w:r>
      <w:r w:rsidRPr="00B52749">
        <w:t>.</w:t>
      </w:r>
      <w:r>
        <w:t xml:space="preserve"> </w:t>
      </w:r>
      <w:r w:rsidRPr="00B52749">
        <w:t xml:space="preserve">To be included on </w:t>
      </w:r>
      <w:r w:rsidRPr="008B2E66">
        <w:t>the World Heritage List</w:t>
      </w:r>
      <w:r w:rsidRPr="00B52749">
        <w:t xml:space="preserve">, sites must be of “outstanding universal value”, a concept which can lead to management frameworks that prioritize the protection of those heritage aspects at the expense of </w:t>
      </w:r>
      <w:r>
        <w:t>the</w:t>
      </w:r>
      <w:r w:rsidRPr="00B52749">
        <w:t xml:space="preserve"> land rights</w:t>
      </w:r>
      <w:r>
        <w:t xml:space="preserve"> of </w:t>
      </w:r>
      <w:r w:rsidRPr="00B52749">
        <w:t xml:space="preserve">indigenous peoples. </w:t>
      </w:r>
      <w:r w:rsidRPr="009E6153">
        <w:t xml:space="preserve">As a result, the protection of </w:t>
      </w:r>
      <w:r>
        <w:t>w</w:t>
      </w:r>
      <w:r w:rsidRPr="009E6153">
        <w:t xml:space="preserve">orld </w:t>
      </w:r>
      <w:r>
        <w:t>h</w:t>
      </w:r>
      <w:r w:rsidRPr="009E6153">
        <w:t xml:space="preserve">eritage can undermine indigenous peoples’ relationship with their traditional lands, territories and resources, </w:t>
      </w:r>
      <w:r>
        <w:t xml:space="preserve">as well as </w:t>
      </w:r>
      <w:r w:rsidRPr="009E6153">
        <w:t xml:space="preserve">their livelihoods and cultural heritage, especially in sites where the natural values are deemed to be of </w:t>
      </w:r>
      <w:r>
        <w:t>outstanding universal value but</w:t>
      </w:r>
      <w:r w:rsidRPr="009E6153">
        <w:t xml:space="preserve"> the cultural values </w:t>
      </w:r>
      <w:r>
        <w:t xml:space="preserve">of indigenous peoples </w:t>
      </w:r>
      <w:r w:rsidRPr="009E6153">
        <w:t>are not</w:t>
      </w:r>
      <w:r>
        <w:t xml:space="preserve"> taken into account.</w:t>
      </w:r>
    </w:p>
    <w:p w:rsidR="008927C4" w:rsidRDefault="008927C4" w:rsidP="00AA6755">
      <w:pPr>
        <w:pStyle w:val="SingleTxtG"/>
        <w:numPr>
          <w:ilvl w:val="0"/>
          <w:numId w:val="26"/>
        </w:numPr>
        <w:ind w:left="1134" w:firstLine="0"/>
      </w:pPr>
      <w:r>
        <w:t>Non-State actors who invade indigenous peoples’ territories often negatively impact the fundamental connection between land rights and cultural heritage. Extractive industries</w:t>
      </w:r>
      <w:r w:rsidRPr="007C6D10">
        <w:t xml:space="preserve"> and other </w:t>
      </w:r>
      <w:r w:rsidR="007B6104">
        <w:t>business</w:t>
      </w:r>
      <w:r w:rsidRPr="007C6D10">
        <w:t xml:space="preserve"> can result in profound and often irreversible damage to the cultural heritage of indigenous peoples.</w:t>
      </w:r>
      <w:r>
        <w:t xml:space="preserve"> </w:t>
      </w:r>
      <w:r w:rsidR="00D030BF">
        <w:t>There is an</w:t>
      </w:r>
      <w:r w:rsidRPr="007C6D10">
        <w:t xml:space="preserve"> urgent need </w:t>
      </w:r>
      <w:r>
        <w:t xml:space="preserve">to </w:t>
      </w:r>
      <w:r w:rsidRPr="007C6D10">
        <w:t xml:space="preserve">protect indigenous natural heritage from </w:t>
      </w:r>
      <w:r>
        <w:t xml:space="preserve">the operations of </w:t>
      </w:r>
      <w:r w:rsidRPr="007C6D10">
        <w:t>extractive industries and to recognize indigenous peoples’ substantive rights to self-determination.</w:t>
      </w:r>
    </w:p>
    <w:p w:rsidR="008927C4" w:rsidRPr="00344F44" w:rsidRDefault="008927C4" w:rsidP="008927C4">
      <w:pPr>
        <w:pStyle w:val="H1G"/>
      </w:pPr>
      <w:r>
        <w:tab/>
        <w:t>B.</w:t>
      </w:r>
      <w:r>
        <w:tab/>
        <w:t>Traditional knowledge, intellectual property and cultural heritage</w:t>
      </w:r>
    </w:p>
    <w:p w:rsidR="008927C4" w:rsidRDefault="008927C4" w:rsidP="00AA6755">
      <w:pPr>
        <w:pStyle w:val="SingleTxtG"/>
        <w:numPr>
          <w:ilvl w:val="0"/>
          <w:numId w:val="26"/>
        </w:numPr>
        <w:ind w:left="1134" w:firstLine="0"/>
        <w:rPr>
          <w:rFonts w:eastAsia="Calibri"/>
          <w:lang w:eastAsia="en-GB"/>
        </w:rPr>
      </w:pPr>
      <w:r>
        <w:t>T</w:t>
      </w:r>
      <w:r w:rsidRPr="00C31C28">
        <w:t xml:space="preserve">raditional knowledge </w:t>
      </w:r>
      <w:r>
        <w:t>can be understood as</w:t>
      </w:r>
      <w:r w:rsidRPr="00C31C28">
        <w:t xml:space="preserve"> a living body of knowledge that is developed, sustained and passed on from generation to generation within a community, often forming part of its cultural and spiritual identity. It encompasses knowledge, know-how, skills, innovations and practices. Traditional knowledge also encompasses traditional cultural expressions</w:t>
      </w:r>
      <w:r w:rsidR="00A35963">
        <w:t>, including</w:t>
      </w:r>
      <w:r w:rsidRPr="00C31C28">
        <w:t xml:space="preserve"> dances, songs, handicrafts, designs, ceremonies, tales, or other artistic or cultural expressions. Intellectual property protection could make it possible to protect traditional remedies and indigenous crafts and music against misappropriation and enable communities to control and benefit collectively from their commercial exploitation</w:t>
      </w:r>
      <w:r>
        <w:rPr>
          <w:rFonts w:eastAsia="Calibri"/>
          <w:lang w:eastAsia="en-GB"/>
        </w:rPr>
        <w:t>.</w:t>
      </w:r>
    </w:p>
    <w:p w:rsidR="008927C4" w:rsidRDefault="008927C4" w:rsidP="00AA6755">
      <w:pPr>
        <w:pStyle w:val="SingleTxtG"/>
        <w:numPr>
          <w:ilvl w:val="0"/>
          <w:numId w:val="26"/>
        </w:numPr>
        <w:ind w:left="1134" w:firstLine="0"/>
      </w:pPr>
      <w:r w:rsidRPr="00C31C28">
        <w:t xml:space="preserve">In recent years, indigenous peoples, local communities </w:t>
      </w:r>
      <w:r w:rsidR="00A36318">
        <w:t>and</w:t>
      </w:r>
      <w:r w:rsidRPr="00C31C28">
        <w:t xml:space="preserve"> governments, mainly in developing countries, have demanded intellectual property protection for traditional forms of creativity and innovation. </w:t>
      </w:r>
      <w:r w:rsidRPr="00072843">
        <w:t>Indigenous peoples h</w:t>
      </w:r>
      <w:r w:rsidRPr="00C31C28">
        <w:t xml:space="preserve">ave expressed concern that existing international mechanisms to protect intellectual property </w:t>
      </w:r>
      <w:r>
        <w:t>are</w:t>
      </w:r>
      <w:r w:rsidRPr="00C31C28">
        <w:t xml:space="preserve"> inadequate.</w:t>
      </w:r>
      <w:r>
        <w:t xml:space="preserve"> They note</w:t>
      </w:r>
      <w:r w:rsidRPr="00C31C28">
        <w:t xml:space="preserve"> that the intellectual property system </w:t>
      </w:r>
      <w:r>
        <w:t>focuses</w:t>
      </w:r>
      <w:r w:rsidRPr="00C31C28">
        <w:t xml:space="preserve"> on protecting the intellectual property of individuals</w:t>
      </w:r>
      <w:r>
        <w:t>,</w:t>
      </w:r>
      <w:r w:rsidRPr="00C31C28">
        <w:t xml:space="preserve"> rather than </w:t>
      </w:r>
      <w:r w:rsidR="00A36318">
        <w:t>collectives</w:t>
      </w:r>
      <w:r w:rsidRPr="00C31C28">
        <w:t xml:space="preserve">, </w:t>
      </w:r>
      <w:r>
        <w:t xml:space="preserve">and </w:t>
      </w:r>
      <w:r w:rsidRPr="00C31C28">
        <w:t xml:space="preserve">views intellectual property as alienable, </w:t>
      </w:r>
      <w:r>
        <w:t xml:space="preserve">which </w:t>
      </w:r>
      <w:r w:rsidR="00196593">
        <w:t xml:space="preserve">is </w:t>
      </w:r>
      <w:r>
        <w:t>not</w:t>
      </w:r>
      <w:r w:rsidRPr="00C31C28">
        <w:t xml:space="preserve"> consistent with indigenous peoples’ laws and policies related to their knowledge</w:t>
      </w:r>
      <w:r w:rsidR="00196E21">
        <w:t xml:space="preserve"> (</w:t>
      </w:r>
      <w:r w:rsidR="00196E21" w:rsidRPr="00FB5641">
        <w:t>A/HRC/21/53, para</w:t>
      </w:r>
      <w:r w:rsidR="00196E21">
        <w:t>. </w:t>
      </w:r>
      <w:r w:rsidR="00196E21" w:rsidRPr="00FB5641">
        <w:t>62</w:t>
      </w:r>
      <w:r w:rsidR="00196E21">
        <w:t>)</w:t>
      </w:r>
      <w:r w:rsidRPr="00C31C28">
        <w:t>.</w:t>
      </w:r>
      <w:r w:rsidRPr="00C01D86">
        <w:t xml:space="preserve"> Furthermore, indigenous peoples </w:t>
      </w:r>
      <w:r w:rsidRPr="00072843">
        <w:t xml:space="preserve">reject </w:t>
      </w:r>
      <w:r>
        <w:t>the</w:t>
      </w:r>
      <w:r w:rsidRPr="00072843">
        <w:t xml:space="preserve"> “public domain” status of </w:t>
      </w:r>
      <w:r w:rsidRPr="00C31C28">
        <w:t xml:space="preserve">traditional knowledge and traditional cultural expressions and argue that </w:t>
      </w:r>
      <w:r>
        <w:t>it</w:t>
      </w:r>
      <w:r w:rsidRPr="00C31C28">
        <w:t xml:space="preserve"> opens them up to misappropriation and misuse.</w:t>
      </w:r>
    </w:p>
    <w:p w:rsidR="008927C4" w:rsidRPr="00344F44" w:rsidRDefault="008927C4" w:rsidP="008927C4">
      <w:pPr>
        <w:pStyle w:val="H1G"/>
      </w:pPr>
      <w:r>
        <w:tab/>
        <w:t>C.</w:t>
      </w:r>
      <w:r>
        <w:tab/>
        <w:t>Tourism and cultural heritage</w:t>
      </w:r>
    </w:p>
    <w:p w:rsidR="008927C4" w:rsidRDefault="008927C4" w:rsidP="00AA6755">
      <w:pPr>
        <w:pStyle w:val="SingleTxtG"/>
        <w:numPr>
          <w:ilvl w:val="0"/>
          <w:numId w:val="26"/>
        </w:numPr>
        <w:ind w:left="1134" w:firstLine="0"/>
      </w:pPr>
      <w:r w:rsidRPr="00CF6ED7">
        <w:t xml:space="preserve">Cultural heritage has acquired enormous economic value as one of the mainstays of the tourism industry, often </w:t>
      </w:r>
      <w:r>
        <w:t>negatively impacting</w:t>
      </w:r>
      <w:r w:rsidRPr="00CF6ED7">
        <w:t xml:space="preserve"> the rights of indigenous peoples.</w:t>
      </w:r>
      <w:r>
        <w:t xml:space="preserve"> </w:t>
      </w:r>
      <w:r w:rsidRPr="005A4C57">
        <w:t>The inscription of sites on the World Heritage List is a catalyst for rapid tourism development.</w:t>
      </w:r>
      <w:r>
        <w:t xml:space="preserve"> </w:t>
      </w:r>
      <w:r w:rsidRPr="00E06A92">
        <w:t>However</w:t>
      </w:r>
      <w:r>
        <w:t>,</w:t>
      </w:r>
      <w:r w:rsidRPr="00E06A92">
        <w:t xml:space="preserve"> indigenous peoples rarely benefit from</w:t>
      </w:r>
      <w:r>
        <w:t xml:space="preserve"> the often large-scale</w:t>
      </w:r>
      <w:r w:rsidRPr="00E06A92">
        <w:t xml:space="preserve"> developments on their territories</w:t>
      </w:r>
      <w:r>
        <w:t>.</w:t>
      </w:r>
    </w:p>
    <w:p w:rsidR="008927C4" w:rsidRDefault="008927C4" w:rsidP="00AA6755">
      <w:pPr>
        <w:pStyle w:val="SingleTxtG"/>
        <w:numPr>
          <w:ilvl w:val="0"/>
          <w:numId w:val="26"/>
        </w:numPr>
        <w:ind w:left="1134" w:firstLine="0"/>
      </w:pPr>
      <w:r>
        <w:t xml:space="preserve">The Ngorongoro Conservation Area in </w:t>
      </w:r>
      <w:r w:rsidR="00196593">
        <w:t xml:space="preserve">the United Republic of </w:t>
      </w:r>
      <w:r>
        <w:t>Tanzania, which is classified as a World Natural Heritage site and constitutes a key touris</w:t>
      </w:r>
      <w:r w:rsidR="00196593">
        <w:t>t</w:t>
      </w:r>
      <w:r>
        <w:t xml:space="preserve"> destination, provides very little benefit to the indigenous peoples of the area.</w:t>
      </w:r>
      <w:r>
        <w:rPr>
          <w:rStyle w:val="FootnoteReference"/>
        </w:rPr>
        <w:footnoteReference w:id="31"/>
      </w:r>
      <w:r>
        <w:t xml:space="preserve"> </w:t>
      </w:r>
      <w:r w:rsidRPr="005252BA">
        <w:t xml:space="preserve">Pastoralist organizations have urged the </w:t>
      </w:r>
      <w:r>
        <w:t>G</w:t>
      </w:r>
      <w:r w:rsidRPr="005252BA">
        <w:t xml:space="preserve">overnment to </w:t>
      </w:r>
      <w:r>
        <w:t>en</w:t>
      </w:r>
      <w:r w:rsidRPr="005252BA">
        <w:t>sure that the income accruing from tourism</w:t>
      </w:r>
      <w:r>
        <w:t xml:space="preserve"> in the area</w:t>
      </w:r>
      <w:r w:rsidRPr="005252BA">
        <w:t xml:space="preserve"> is distributed equally. </w:t>
      </w:r>
      <w:r>
        <w:t>This</w:t>
      </w:r>
      <w:r w:rsidRPr="005252BA">
        <w:t xml:space="preserve"> is </w:t>
      </w:r>
      <w:r>
        <w:t xml:space="preserve">certainly </w:t>
      </w:r>
      <w:r w:rsidRPr="005252BA">
        <w:t>not</w:t>
      </w:r>
      <w:r>
        <w:t xml:space="preserve"> an isolated situation. It is essential that benefit-sharing mechanisms be established in cases of tourism development on indigenous territories.</w:t>
      </w:r>
    </w:p>
    <w:p w:rsidR="008927C4" w:rsidRDefault="008927C4" w:rsidP="00AA6755">
      <w:pPr>
        <w:pStyle w:val="SingleTxtG"/>
        <w:numPr>
          <w:ilvl w:val="0"/>
          <w:numId w:val="26"/>
        </w:numPr>
        <w:ind w:left="1134" w:firstLine="0"/>
      </w:pPr>
      <w:r>
        <w:t>M</w:t>
      </w:r>
      <w:r w:rsidRPr="00F6403E">
        <w:t xml:space="preserve">isappropriation of </w:t>
      </w:r>
      <w:r>
        <w:t xml:space="preserve">the </w:t>
      </w:r>
      <w:r w:rsidRPr="00F6403E">
        <w:t>cultural heritage</w:t>
      </w:r>
      <w:r>
        <w:t xml:space="preserve"> of indigenous peoples</w:t>
      </w:r>
      <w:r w:rsidRPr="00F6403E">
        <w:t xml:space="preserve"> by the tourism industry</w:t>
      </w:r>
      <w:r>
        <w:t xml:space="preserve"> is another issue</w:t>
      </w:r>
      <w:r w:rsidRPr="00F6403E">
        <w:t xml:space="preserve">. For example, the Saami costume, </w:t>
      </w:r>
      <w:r w:rsidR="00A35963">
        <w:t>a</w:t>
      </w:r>
      <w:r w:rsidRPr="00F6403E">
        <w:t xml:space="preserve"> symbol of the cultural heritage</w:t>
      </w:r>
      <w:r>
        <w:t xml:space="preserve"> of the </w:t>
      </w:r>
      <w:r w:rsidRPr="00F6403E">
        <w:t xml:space="preserve">Saami people, is misused in many ways by the tourism industry in Finland. Gift shops often sell handicrafts with Saami designs that are not produced by indigenous crafters or use traditional </w:t>
      </w:r>
      <w:r>
        <w:t xml:space="preserve">Saami </w:t>
      </w:r>
      <w:r w:rsidRPr="00F6403E">
        <w:t>styles and colours in products that are in no way related to Saami culture. Imitations of the Saami costume are also often misused in tourism as employees</w:t>
      </w:r>
      <w:r>
        <w:t>’</w:t>
      </w:r>
      <w:r w:rsidRPr="00F6403E">
        <w:t xml:space="preserve"> </w:t>
      </w:r>
      <w:r>
        <w:t>uniforms</w:t>
      </w:r>
      <w:r w:rsidRPr="00F6403E">
        <w:t>.</w:t>
      </w:r>
      <w:r w:rsidRPr="00F6403E">
        <w:rPr>
          <w:rStyle w:val="FootnoteReference"/>
        </w:rPr>
        <w:footnoteReference w:id="32"/>
      </w:r>
      <w:r w:rsidRPr="00F6403E">
        <w:t xml:space="preserve"> </w:t>
      </w:r>
      <w:r>
        <w:t xml:space="preserve">Such misappropriation of </w:t>
      </w:r>
      <w:r w:rsidRPr="00F6403E">
        <w:t>indigenous peoples’ cultural heritage by the tourism industry</w:t>
      </w:r>
      <w:r>
        <w:t xml:space="preserve"> has</w:t>
      </w:r>
      <w:r w:rsidRPr="00F6403E">
        <w:t xml:space="preserve"> detrimental effects on </w:t>
      </w:r>
      <w:r>
        <w:t>their</w:t>
      </w:r>
      <w:r w:rsidRPr="00F6403E">
        <w:t xml:space="preserve"> identity and self-image. It</w:t>
      </w:r>
      <w:r>
        <w:t xml:space="preserve"> </w:t>
      </w:r>
      <w:r w:rsidRPr="00F6403E">
        <w:t xml:space="preserve">is important </w:t>
      </w:r>
      <w:r>
        <w:t xml:space="preserve">that States </w:t>
      </w:r>
      <w:r w:rsidRPr="00F6403E">
        <w:t xml:space="preserve">monitor the tourism industry to ensure the protection of </w:t>
      </w:r>
      <w:r>
        <w:t>the</w:t>
      </w:r>
      <w:r w:rsidRPr="00F6403E">
        <w:t xml:space="preserve"> cultural heritage</w:t>
      </w:r>
      <w:r>
        <w:t xml:space="preserve"> of indigenous peoples.</w:t>
      </w:r>
    </w:p>
    <w:p w:rsidR="008927C4" w:rsidRPr="00344F44" w:rsidRDefault="008927C4" w:rsidP="008927C4">
      <w:pPr>
        <w:pStyle w:val="H1G"/>
      </w:pPr>
      <w:r>
        <w:tab/>
        <w:t>D.</w:t>
      </w:r>
      <w:r>
        <w:tab/>
      </w:r>
      <w:r w:rsidR="00C37B7F">
        <w:t>S</w:t>
      </w:r>
      <w:r>
        <w:t>ports and</w:t>
      </w:r>
      <w:r w:rsidR="00C37B7F">
        <w:t xml:space="preserve"> traditional</w:t>
      </w:r>
      <w:r>
        <w:t xml:space="preserve"> games</w:t>
      </w:r>
    </w:p>
    <w:p w:rsidR="008927C4" w:rsidRDefault="008927C4" w:rsidP="00AA6755">
      <w:pPr>
        <w:pStyle w:val="SingleTxtG"/>
        <w:numPr>
          <w:ilvl w:val="0"/>
          <w:numId w:val="26"/>
        </w:numPr>
        <w:ind w:left="1134" w:firstLine="0"/>
        <w:rPr>
          <w:rFonts w:eastAsia="Calibri"/>
          <w:lang w:eastAsia="en-GB"/>
        </w:rPr>
      </w:pPr>
      <w:r w:rsidRPr="00CA4769">
        <w:t xml:space="preserve">Sports and traditional games have been recognized as integral parts of the rights of </w:t>
      </w:r>
      <w:r>
        <w:t>i</w:t>
      </w:r>
      <w:r w:rsidRPr="00CA4769">
        <w:t xml:space="preserve">ndigenous peoples to maintain, control, protect and develop their cultural heritage, traditional knowledge and traditional cultural </w:t>
      </w:r>
      <w:r>
        <w:t>expressions,</w:t>
      </w:r>
      <w:r w:rsidRPr="00CA4769">
        <w:t xml:space="preserve"> as affirmed in </w:t>
      </w:r>
      <w:r>
        <w:t>article </w:t>
      </w:r>
      <w:r w:rsidRPr="00CA4769">
        <w:t>31 of the Declaration</w:t>
      </w:r>
      <w:r>
        <w:rPr>
          <w:rFonts w:eastAsia="Calibri"/>
          <w:lang w:eastAsia="en-GB"/>
        </w:rPr>
        <w:t>.</w:t>
      </w:r>
      <w:r w:rsidR="00C37B7F">
        <w:rPr>
          <w:rFonts w:eastAsia="Calibri"/>
          <w:lang w:eastAsia="en-GB"/>
        </w:rPr>
        <w:t xml:space="preserve"> This right to sports and traditional games has been explicitly recognized by the Permanent Forum on Indigenous Issues</w:t>
      </w:r>
      <w:r w:rsidR="00196593">
        <w:rPr>
          <w:rFonts w:eastAsia="Calibri"/>
          <w:lang w:eastAsia="en-GB"/>
        </w:rPr>
        <w:t>,</w:t>
      </w:r>
      <w:r w:rsidR="00C37B7F">
        <w:rPr>
          <w:rFonts w:eastAsia="Calibri"/>
          <w:lang w:eastAsia="en-GB"/>
        </w:rPr>
        <w:t xml:space="preserve"> in the report o</w:t>
      </w:r>
      <w:r w:rsidR="00196593">
        <w:rPr>
          <w:rFonts w:eastAsia="Calibri"/>
          <w:lang w:eastAsia="en-GB"/>
        </w:rPr>
        <w:t>n</w:t>
      </w:r>
      <w:r w:rsidR="00C37B7F">
        <w:rPr>
          <w:rFonts w:eastAsia="Calibri"/>
          <w:lang w:eastAsia="en-GB"/>
        </w:rPr>
        <w:t xml:space="preserve"> its fourth session (E/2005/43).</w:t>
      </w:r>
    </w:p>
    <w:p w:rsidR="008927C4" w:rsidRDefault="008927C4" w:rsidP="00AA6755">
      <w:pPr>
        <w:pStyle w:val="SingleTxtG"/>
        <w:numPr>
          <w:ilvl w:val="0"/>
          <w:numId w:val="26"/>
        </w:numPr>
        <w:ind w:left="1134" w:firstLine="0"/>
      </w:pPr>
      <w:r w:rsidRPr="00CA4769">
        <w:t>The benefits and value of sports and traditional games</w:t>
      </w:r>
      <w:r w:rsidR="008545E5">
        <w:t>, which</w:t>
      </w:r>
      <w:r w:rsidRPr="00CA4769">
        <w:t xml:space="preserve"> are </w:t>
      </w:r>
      <w:r w:rsidR="008545E5">
        <w:t>also alluded to</w:t>
      </w:r>
      <w:r w:rsidRPr="00CA4769">
        <w:t xml:space="preserve"> in the Convention on the Rights of the Child</w:t>
      </w:r>
      <w:r>
        <w:t xml:space="preserve">, </w:t>
      </w:r>
      <w:r w:rsidRPr="00CA4769">
        <w:t>are</w:t>
      </w:r>
      <w:r>
        <w:t xml:space="preserve"> </w:t>
      </w:r>
      <w:r w:rsidRPr="00CA4769">
        <w:t xml:space="preserve">an important component </w:t>
      </w:r>
      <w:r w:rsidR="008545E5">
        <w:t>in</w:t>
      </w:r>
      <w:r w:rsidRPr="00CA4769">
        <w:t xml:space="preserve"> ensuring that </w:t>
      </w:r>
      <w:r>
        <w:t>i</w:t>
      </w:r>
      <w:r w:rsidRPr="00CA4769">
        <w:t>ndigenous peoples are able to freely determine and pursue their cultural development as part of their right to self-determination</w:t>
      </w:r>
      <w:r>
        <w:t>,</w:t>
      </w:r>
      <w:r w:rsidRPr="00CA4769">
        <w:t xml:space="preserve"> as set out in article</w:t>
      </w:r>
      <w:r>
        <w:t>s 3 and</w:t>
      </w:r>
      <w:r w:rsidRPr="00CA4769">
        <w:t xml:space="preserve"> 5 of </w:t>
      </w:r>
      <w:r>
        <w:t>the Declaration</w:t>
      </w:r>
      <w:r w:rsidRPr="00CA4769">
        <w:t>.</w:t>
      </w:r>
    </w:p>
    <w:p w:rsidR="008927C4" w:rsidRDefault="008927C4" w:rsidP="00AA6755">
      <w:pPr>
        <w:pStyle w:val="SingleTxtG"/>
        <w:numPr>
          <w:ilvl w:val="0"/>
          <w:numId w:val="26"/>
        </w:numPr>
        <w:ind w:left="1134" w:firstLine="0"/>
      </w:pPr>
      <w:r w:rsidRPr="00CA4769">
        <w:t>The Mato Grosso Declaration</w:t>
      </w:r>
      <w:r>
        <w:t>,</w:t>
      </w:r>
      <w:r w:rsidRPr="00CA4769">
        <w:t xml:space="preserve"> </w:t>
      </w:r>
      <w:r>
        <w:t xml:space="preserve">adopted at the Second International Sports Congress held in </w:t>
      </w:r>
      <w:r w:rsidR="00C37B7F">
        <w:t xml:space="preserve">Cuiabá, </w:t>
      </w:r>
      <w:r>
        <w:t>Brazil, from 9 to 16 November</w:t>
      </w:r>
      <w:r w:rsidR="00C37B7F">
        <w:t xml:space="preserve"> 2013</w:t>
      </w:r>
      <w:r>
        <w:t>,</w:t>
      </w:r>
      <w:r w:rsidRPr="00CA4769">
        <w:t xml:space="preserve"> called</w:t>
      </w:r>
      <w:r>
        <w:t xml:space="preserve"> on</w:t>
      </w:r>
      <w:r w:rsidRPr="00CA4769">
        <w:t xml:space="preserve"> States and governments to join </w:t>
      </w:r>
      <w:r>
        <w:t xml:space="preserve">indigenous peoples </w:t>
      </w:r>
      <w:r w:rsidRPr="00CA4769">
        <w:t xml:space="preserve">in partnership and mutual respect in implementing </w:t>
      </w:r>
      <w:r>
        <w:t>their</w:t>
      </w:r>
      <w:r w:rsidRPr="00CA4769">
        <w:t xml:space="preserve"> right to self-determination through sports and traditional games as well as the manifestations of </w:t>
      </w:r>
      <w:r>
        <w:t>their</w:t>
      </w:r>
      <w:r w:rsidRPr="00CA4769">
        <w:t xml:space="preserve"> traditional knowledge and cultural expressions</w:t>
      </w:r>
      <w:r w:rsidR="00196E21">
        <w:t xml:space="preserve"> (</w:t>
      </w:r>
      <w:r w:rsidR="00196E21" w:rsidRPr="00FB5641">
        <w:t>A/HRC/EMRIP/2014/CRP.2</w:t>
      </w:r>
      <w:r w:rsidR="00196E21">
        <w:t>, annex, para. 2)</w:t>
      </w:r>
      <w:r w:rsidRPr="00CA4769">
        <w:t>.</w:t>
      </w:r>
    </w:p>
    <w:p w:rsidR="008927C4" w:rsidRDefault="008927C4" w:rsidP="008927C4">
      <w:pPr>
        <w:pStyle w:val="HChG"/>
        <w:rPr>
          <w:lang w:val="en-US"/>
        </w:rPr>
      </w:pPr>
      <w:r>
        <w:rPr>
          <w:lang w:val="en-US"/>
        </w:rPr>
        <w:tab/>
      </w:r>
      <w:r w:rsidRPr="00FE5AAE">
        <w:rPr>
          <w:lang w:val="en-US"/>
        </w:rPr>
        <w:t>VI</w:t>
      </w:r>
      <w:r>
        <w:rPr>
          <w:lang w:val="en-US"/>
        </w:rPr>
        <w:t>.</w:t>
      </w:r>
      <w:r>
        <w:rPr>
          <w:lang w:val="en-US"/>
        </w:rPr>
        <w:tab/>
        <w:t>Cultural appropriation, restitution and repatriation</w:t>
      </w:r>
    </w:p>
    <w:p w:rsidR="008927C4" w:rsidRPr="00344F44" w:rsidRDefault="008927C4" w:rsidP="008927C4">
      <w:pPr>
        <w:pStyle w:val="H1G"/>
      </w:pPr>
      <w:r>
        <w:tab/>
        <w:t>A.</w:t>
      </w:r>
      <w:r>
        <w:tab/>
        <w:t>Cultural misappropriation and interpretation</w:t>
      </w:r>
    </w:p>
    <w:p w:rsidR="008927C4" w:rsidRDefault="008927C4" w:rsidP="00AA6755">
      <w:pPr>
        <w:pStyle w:val="SingleTxtG"/>
        <w:numPr>
          <w:ilvl w:val="0"/>
          <w:numId w:val="26"/>
        </w:numPr>
        <w:ind w:left="1134" w:firstLine="0"/>
      </w:pPr>
      <w:r w:rsidRPr="00233B65">
        <w:t>Many indigenous peoples are affected by the misappropriation of their cultural heritage</w:t>
      </w:r>
      <w:r>
        <w:t xml:space="preserve">, which may </w:t>
      </w:r>
      <w:r w:rsidRPr="00233B65">
        <w:t>take many forms, including commodification</w:t>
      </w:r>
      <w:r w:rsidR="00E56966">
        <w:t>,</w:t>
      </w:r>
      <w:r w:rsidRPr="00233B65">
        <w:t xml:space="preserve"> the use of indigenous peoples’ imagery and symbols </w:t>
      </w:r>
      <w:r w:rsidR="009A4F55">
        <w:t>in</w:t>
      </w:r>
      <w:r w:rsidR="009A4F55" w:rsidRPr="00233B65">
        <w:t xml:space="preserve"> </w:t>
      </w:r>
      <w:r w:rsidRPr="00233B65">
        <w:t>marketing</w:t>
      </w:r>
      <w:r w:rsidR="00E56966">
        <w:t>,</w:t>
      </w:r>
      <w:r w:rsidRPr="00233B65">
        <w:t xml:space="preserve"> </w:t>
      </w:r>
      <w:r>
        <w:t xml:space="preserve">and </w:t>
      </w:r>
      <w:r w:rsidRPr="00233B65">
        <w:t xml:space="preserve">the misappropriation of traditional songs. </w:t>
      </w:r>
      <w:r>
        <w:t>A</w:t>
      </w:r>
      <w:r w:rsidRPr="00233B65">
        <w:t xml:space="preserve"> recent settlement included </w:t>
      </w:r>
      <w:r>
        <w:t>the</w:t>
      </w:r>
      <w:r w:rsidRPr="00233B65">
        <w:t xml:space="preserve"> requirement to recogni</w:t>
      </w:r>
      <w:r>
        <w:t>z</w:t>
      </w:r>
      <w:r w:rsidRPr="00233B65">
        <w:t xml:space="preserve">e the indigenous composer of the Maori </w:t>
      </w:r>
      <w:r w:rsidRPr="00233B65">
        <w:rPr>
          <w:i/>
        </w:rPr>
        <w:t>haka</w:t>
      </w:r>
      <w:r w:rsidRPr="00233B65">
        <w:t xml:space="preserve"> (tribal war dance) when</w:t>
      </w:r>
      <w:r>
        <w:t>ever it is</w:t>
      </w:r>
      <w:r w:rsidRPr="00233B65">
        <w:t xml:space="preserve"> used in public or commercial situations.</w:t>
      </w:r>
      <w:r w:rsidRPr="00233B65">
        <w:rPr>
          <w:rStyle w:val="FootnoteReference"/>
        </w:rPr>
        <w:footnoteReference w:id="33"/>
      </w:r>
    </w:p>
    <w:p w:rsidR="008927C4" w:rsidRDefault="008927C4" w:rsidP="00AA6755">
      <w:pPr>
        <w:pStyle w:val="SingleTxtG"/>
        <w:numPr>
          <w:ilvl w:val="0"/>
          <w:numId w:val="26"/>
        </w:numPr>
        <w:ind w:left="1134" w:firstLine="0"/>
      </w:pPr>
      <w:r w:rsidRPr="00233B65">
        <w:t xml:space="preserve">Cultural misinterpretation is another issue </w:t>
      </w:r>
      <w:r>
        <w:t>that negatively impacts the cultural heritage of</w:t>
      </w:r>
      <w:r w:rsidRPr="00233B65">
        <w:t xml:space="preserve"> indigenous peoples</w:t>
      </w:r>
      <w:r>
        <w:t xml:space="preserve">. This occurs </w:t>
      </w:r>
      <w:r w:rsidRPr="00233B65">
        <w:t>when visitor centres, interpretive signage, information brochures, guided tours</w:t>
      </w:r>
      <w:r>
        <w:t xml:space="preserve"> or</w:t>
      </w:r>
      <w:r w:rsidRPr="00233B65">
        <w:t xml:space="preserve"> audio</w:t>
      </w:r>
      <w:r w:rsidR="00E56966">
        <w:t xml:space="preserve"> </w:t>
      </w:r>
      <w:r w:rsidRPr="00233B65">
        <w:t>guides</w:t>
      </w:r>
      <w:r>
        <w:t xml:space="preserve"> on</w:t>
      </w:r>
      <w:r w:rsidRPr="00233B65">
        <w:t xml:space="preserve"> cultural or natural heritage sites</w:t>
      </w:r>
      <w:r>
        <w:t xml:space="preserve"> do not provide correct</w:t>
      </w:r>
      <w:r w:rsidRPr="00233B65">
        <w:t xml:space="preserve"> information regarding indigenous peoples’ cultural </w:t>
      </w:r>
      <w:r>
        <w:t xml:space="preserve">or natural </w:t>
      </w:r>
      <w:r w:rsidRPr="00233B65">
        <w:t>heritage</w:t>
      </w:r>
      <w:r>
        <w:t xml:space="preserve"> or do not reflect their particular interpretation of the cultural or natural heritage in question</w:t>
      </w:r>
      <w:r w:rsidRPr="00233B65">
        <w:t>.</w:t>
      </w:r>
    </w:p>
    <w:p w:rsidR="008927C4" w:rsidRDefault="008927C4" w:rsidP="00AA6755">
      <w:pPr>
        <w:pStyle w:val="SingleTxtG"/>
        <w:numPr>
          <w:ilvl w:val="0"/>
          <w:numId w:val="26"/>
        </w:numPr>
        <w:ind w:left="1134" w:firstLine="0"/>
      </w:pPr>
      <w:r w:rsidRPr="00233B65">
        <w:t xml:space="preserve">Museums </w:t>
      </w:r>
      <w:r>
        <w:t xml:space="preserve">are regarded as </w:t>
      </w:r>
      <w:r w:rsidRPr="00233B65">
        <w:t>source</w:t>
      </w:r>
      <w:r w:rsidR="00E56966">
        <w:t>s</w:t>
      </w:r>
      <w:r w:rsidRPr="00233B65">
        <w:t xml:space="preserve"> of education and cultural understanding. In particular, museums </w:t>
      </w:r>
      <w:r>
        <w:t>provide a space</w:t>
      </w:r>
      <w:r w:rsidRPr="00233B65">
        <w:t xml:space="preserve"> for displaying artefacts and objects that represent particular events and the relationship between indigenous and non-indigenous peoples. For example, the </w:t>
      </w:r>
      <w:r>
        <w:t>National</w:t>
      </w:r>
      <w:r w:rsidRPr="00233B65">
        <w:t xml:space="preserve"> Museum of the American Indian </w:t>
      </w:r>
      <w:r>
        <w:t>and</w:t>
      </w:r>
      <w:r w:rsidRPr="00233B65">
        <w:t xml:space="preserve"> the Canadian Museum for Human Rights, among others, display original copies of </w:t>
      </w:r>
      <w:r>
        <w:t>t</w:t>
      </w:r>
      <w:r w:rsidRPr="00233B65">
        <w:t>reaties signed between the Government</w:t>
      </w:r>
      <w:r>
        <w:t xml:space="preserve"> of Canada</w:t>
      </w:r>
      <w:r w:rsidRPr="00233B65">
        <w:t xml:space="preserve">, </w:t>
      </w:r>
      <w:r>
        <w:t xml:space="preserve">the </w:t>
      </w:r>
      <w:r w:rsidRPr="00233B65">
        <w:t>British Crown</w:t>
      </w:r>
      <w:r>
        <w:t>,</w:t>
      </w:r>
      <w:r w:rsidRPr="00233B65">
        <w:t xml:space="preserve"> the</w:t>
      </w:r>
      <w:r>
        <w:t xml:space="preserve"> Government of the</w:t>
      </w:r>
      <w:r w:rsidRPr="00233B65">
        <w:t xml:space="preserve"> United States</w:t>
      </w:r>
      <w:r>
        <w:t xml:space="preserve"> of America</w:t>
      </w:r>
      <w:r w:rsidRPr="00233B65">
        <w:t xml:space="preserve"> and indigenous peoples. The significance of th</w:t>
      </w:r>
      <w:r>
        <w:t>ose displays</w:t>
      </w:r>
      <w:r w:rsidRPr="00233B65">
        <w:t xml:space="preserve"> is the vital role of spirituality and </w:t>
      </w:r>
      <w:r>
        <w:t xml:space="preserve">the </w:t>
      </w:r>
      <w:r w:rsidRPr="00233B65">
        <w:t xml:space="preserve">cultural ceremony of </w:t>
      </w:r>
      <w:r>
        <w:t>t</w:t>
      </w:r>
      <w:r w:rsidRPr="00233B65">
        <w:t xml:space="preserve">reaty-making. </w:t>
      </w:r>
      <w:r>
        <w:t>M</w:t>
      </w:r>
      <w:r w:rsidRPr="00233B65">
        <w:t xml:space="preserve">useums are </w:t>
      </w:r>
      <w:r>
        <w:t xml:space="preserve">an </w:t>
      </w:r>
      <w:r w:rsidRPr="00233B65">
        <w:t xml:space="preserve">important </w:t>
      </w:r>
      <w:r>
        <w:t>space</w:t>
      </w:r>
      <w:r w:rsidRPr="00233B65">
        <w:t xml:space="preserve"> for the promotion and appreciation of </w:t>
      </w:r>
      <w:r>
        <w:t>i</w:t>
      </w:r>
      <w:r w:rsidRPr="00233B65">
        <w:t>ndigenous cultural heritage.</w:t>
      </w:r>
      <w:r>
        <w:t xml:space="preserve"> The Sámi Museum Siida is an example of how museums that are managed by indigenous peoples themselves play a key role in the preservation, promotion and transmission of cultural heritage.</w:t>
      </w:r>
      <w:r>
        <w:rPr>
          <w:rStyle w:val="FootnoteReference"/>
        </w:rPr>
        <w:footnoteReference w:id="34"/>
      </w:r>
    </w:p>
    <w:p w:rsidR="008927C4" w:rsidRDefault="008927C4" w:rsidP="00AA6755">
      <w:pPr>
        <w:pStyle w:val="SingleTxtG"/>
        <w:numPr>
          <w:ilvl w:val="0"/>
          <w:numId w:val="26"/>
        </w:numPr>
        <w:ind w:left="1134" w:firstLine="0"/>
      </w:pPr>
      <w:r w:rsidRPr="00233B65">
        <w:t>However</w:t>
      </w:r>
      <w:r>
        <w:t>,</w:t>
      </w:r>
      <w:r w:rsidRPr="00233B65">
        <w:t xml:space="preserve"> museums </w:t>
      </w:r>
      <w:r>
        <w:t>often</w:t>
      </w:r>
      <w:r w:rsidRPr="00233B65">
        <w:t xml:space="preserve"> contribute to the misappropriation of </w:t>
      </w:r>
      <w:r>
        <w:t xml:space="preserve">the </w:t>
      </w:r>
      <w:r w:rsidRPr="00233B65">
        <w:t>cultural heritage</w:t>
      </w:r>
      <w:r>
        <w:t xml:space="preserve"> of </w:t>
      </w:r>
      <w:r w:rsidRPr="00233B65">
        <w:t xml:space="preserve">indigenous peoples. Many museums, </w:t>
      </w:r>
      <w:r>
        <w:t xml:space="preserve">both </w:t>
      </w:r>
      <w:r w:rsidRPr="00233B65">
        <w:t xml:space="preserve">private </w:t>
      </w:r>
      <w:r>
        <w:t>and</w:t>
      </w:r>
      <w:r w:rsidRPr="00233B65">
        <w:t xml:space="preserve"> public, hold and display </w:t>
      </w:r>
      <w:r>
        <w:t xml:space="preserve">the </w:t>
      </w:r>
      <w:r w:rsidRPr="00233B65">
        <w:t xml:space="preserve">cultural heritage </w:t>
      </w:r>
      <w:r>
        <w:t xml:space="preserve">of </w:t>
      </w:r>
      <w:r w:rsidRPr="00233B65">
        <w:t>indigenous peoples without the consent of the peoples</w:t>
      </w:r>
      <w:r>
        <w:t xml:space="preserve"> concerned</w:t>
      </w:r>
      <w:r w:rsidRPr="00233B65">
        <w:t xml:space="preserve">. For example, the Swedish National Museum of Ethnography </w:t>
      </w:r>
      <w:r>
        <w:t>currently holds</w:t>
      </w:r>
      <w:r w:rsidRPr="00233B65">
        <w:t xml:space="preserve"> a ceremonial </w:t>
      </w:r>
      <w:r>
        <w:t>d</w:t>
      </w:r>
      <w:r w:rsidRPr="00233B65">
        <w:t xml:space="preserve">eer </w:t>
      </w:r>
      <w:r>
        <w:t>h</w:t>
      </w:r>
      <w:r w:rsidRPr="00233B65">
        <w:t>ead (</w:t>
      </w:r>
      <w:r w:rsidRPr="00233B65">
        <w:rPr>
          <w:i/>
        </w:rPr>
        <w:t>Maaso Kova</w:t>
      </w:r>
      <w:r w:rsidRPr="00233B65">
        <w:t>), a sacred item of the highest spiritual and cultural significance for the Yaqui Nation</w:t>
      </w:r>
      <w:r>
        <w:t xml:space="preserve">, </w:t>
      </w:r>
      <w:r w:rsidRPr="00233B65">
        <w:t xml:space="preserve">used in the Yaqui Deer Dance ceremony. Despite many official </w:t>
      </w:r>
      <w:r>
        <w:t>requests</w:t>
      </w:r>
      <w:r w:rsidRPr="00233B65">
        <w:t xml:space="preserve"> for restitution, the museum authorities have refused</w:t>
      </w:r>
      <w:r>
        <w:t xml:space="preserve"> to return the deer head</w:t>
      </w:r>
      <w:r w:rsidRPr="00233B65">
        <w:t>.</w:t>
      </w:r>
      <w:r w:rsidRPr="00233B65">
        <w:rPr>
          <w:rStyle w:val="FootnoteReference"/>
        </w:rPr>
        <w:footnoteReference w:id="35"/>
      </w:r>
      <w:r w:rsidRPr="00233B65">
        <w:t xml:space="preserve"> Unfortunately, this is not an isolated situation</w:t>
      </w:r>
      <w:r>
        <w:t>. M</w:t>
      </w:r>
      <w:r w:rsidRPr="00233B65">
        <w:t>any cultural items and human remains</w:t>
      </w:r>
      <w:r>
        <w:t xml:space="preserve"> of indigenous peoples</w:t>
      </w:r>
      <w:r w:rsidRPr="00233B65">
        <w:t xml:space="preserve"> are held </w:t>
      </w:r>
      <w:r>
        <w:t>by</w:t>
      </w:r>
      <w:r w:rsidRPr="00233B65">
        <w:t xml:space="preserve"> public museums and by private collectors world</w:t>
      </w:r>
      <w:r>
        <w:t xml:space="preserve">wide, </w:t>
      </w:r>
      <w:r w:rsidRPr="00233B65">
        <w:t xml:space="preserve">without the </w:t>
      </w:r>
      <w:r>
        <w:t>free, prior and informed consent of the peoples concerned</w:t>
      </w:r>
      <w:r w:rsidRPr="00233B65">
        <w:t>.</w:t>
      </w:r>
    </w:p>
    <w:p w:rsidR="008927C4" w:rsidRPr="00344F44" w:rsidRDefault="008927C4" w:rsidP="008927C4">
      <w:pPr>
        <w:pStyle w:val="H1G"/>
      </w:pPr>
      <w:r>
        <w:tab/>
        <w:t>B.</w:t>
      </w:r>
      <w:r>
        <w:tab/>
      </w:r>
      <w:r w:rsidRPr="005D036E">
        <w:t>Restitution</w:t>
      </w:r>
      <w:r>
        <w:t xml:space="preserve"> and repatriation</w:t>
      </w:r>
    </w:p>
    <w:p w:rsidR="008927C4" w:rsidRDefault="008927C4" w:rsidP="00AA6755">
      <w:pPr>
        <w:pStyle w:val="SingleTxtG"/>
        <w:numPr>
          <w:ilvl w:val="0"/>
          <w:numId w:val="26"/>
        </w:numPr>
        <w:ind w:left="1134" w:firstLine="0"/>
      </w:pPr>
      <w:r w:rsidRPr="00233B65">
        <w:t xml:space="preserve">The right to redress and restitution where violations of the rights of indigenous peoples have occurred is a foundational element to ensuring reconciliation and the future commitment to </w:t>
      </w:r>
      <w:r>
        <w:t>protecting</w:t>
      </w:r>
      <w:r w:rsidRPr="00233B65">
        <w:t xml:space="preserve"> the rights of indigenous </w:t>
      </w:r>
      <w:r w:rsidRPr="008A6166">
        <w:t>peoples. Under human rights law</w:t>
      </w:r>
      <w:r>
        <w:t>,</w:t>
      </w:r>
      <w:r w:rsidRPr="008A6166">
        <w:t xml:space="preserve"> there is a strong principle in favour of restitution when a violation has occurred. </w:t>
      </w:r>
      <w:r>
        <w:t>The Declaration</w:t>
      </w:r>
      <w:r w:rsidRPr="00233B65">
        <w:t xml:space="preserve"> affirms that “States shall provide redress through effective mechanisms, which may include restitution, developed in conjunction with indigenous peoples, with respect to their cultural, intellectual, religious and spiritual property taken without their free, prior and informed consent or in violation of their</w:t>
      </w:r>
      <w:r>
        <w:t xml:space="preserve"> laws, traditions and customs” (art</w:t>
      </w:r>
      <w:r w:rsidR="00E56966">
        <w:t>.</w:t>
      </w:r>
      <w:r>
        <w:t xml:space="preserve"> 11).</w:t>
      </w:r>
    </w:p>
    <w:p w:rsidR="008927C4" w:rsidRDefault="008927C4" w:rsidP="00AA6755">
      <w:pPr>
        <w:pStyle w:val="SingleTxtG"/>
        <w:numPr>
          <w:ilvl w:val="0"/>
          <w:numId w:val="26"/>
        </w:numPr>
        <w:ind w:left="1134" w:firstLine="0"/>
      </w:pPr>
      <w:r w:rsidRPr="00233B65">
        <w:t xml:space="preserve">The establishment and management of protected cultural heritage sites have often resulted in indigenous peoples’ dispossession </w:t>
      </w:r>
      <w:r>
        <w:t xml:space="preserve">of </w:t>
      </w:r>
      <w:r w:rsidRPr="00233B65">
        <w:t xml:space="preserve">and alienation from their traditional lands and resources. </w:t>
      </w:r>
      <w:r>
        <w:t xml:space="preserve">In such cases, indigenous peoples are entitled to restitution of their ancestral lands. </w:t>
      </w:r>
      <w:r w:rsidRPr="00233B65">
        <w:t xml:space="preserve">The </w:t>
      </w:r>
      <w:r>
        <w:t xml:space="preserve">right to restitution of land and territories </w:t>
      </w:r>
      <w:r w:rsidR="00C37B7F">
        <w:t>obtained</w:t>
      </w:r>
      <w:r>
        <w:t xml:space="preserve"> without their consent constitutes a key component of indigenous peoples’ rights.</w:t>
      </w:r>
      <w:r>
        <w:rPr>
          <w:rStyle w:val="FootnoteReference"/>
        </w:rPr>
        <w:footnoteReference w:id="36"/>
      </w:r>
    </w:p>
    <w:p w:rsidR="008927C4" w:rsidRDefault="008927C4" w:rsidP="00AA6755">
      <w:pPr>
        <w:pStyle w:val="SingleTxtG"/>
        <w:numPr>
          <w:ilvl w:val="0"/>
          <w:numId w:val="26"/>
        </w:numPr>
        <w:ind w:left="1134" w:firstLine="0"/>
      </w:pPr>
      <w:r>
        <w:t xml:space="preserve">The repatriation of the cultural heritage of indigenous peoples is an important aspect of such restitution. The </w:t>
      </w:r>
      <w:r w:rsidRPr="00233B65">
        <w:t xml:space="preserve">ancient burial grounds </w:t>
      </w:r>
      <w:r>
        <w:t>of m</w:t>
      </w:r>
      <w:r w:rsidRPr="00233B65">
        <w:t>any indigenous communities have</w:t>
      </w:r>
      <w:r>
        <w:t xml:space="preserve"> been</w:t>
      </w:r>
      <w:r w:rsidRPr="00233B65">
        <w:t xml:space="preserve"> disrespected and </w:t>
      </w:r>
      <w:r>
        <w:t xml:space="preserve">the communities concerned </w:t>
      </w:r>
      <w:r w:rsidRPr="00233B65">
        <w:t>have asked for the repatriation of human remains and sacred and cultural objects, whether held in private or public collections.</w:t>
      </w:r>
      <w:r>
        <w:rPr>
          <w:rStyle w:val="FootnoteReference"/>
        </w:rPr>
        <w:footnoteReference w:id="37"/>
      </w:r>
      <w:r w:rsidRPr="00CF5279">
        <w:t xml:space="preserve"> </w:t>
      </w:r>
      <w:r>
        <w:t>The General Assembly affirmed and recognized the importance of repatriating indigenous peoples’ ceremonial objects and human remains.</w:t>
      </w:r>
      <w:r>
        <w:rPr>
          <w:rStyle w:val="FootnoteReference"/>
        </w:rPr>
        <w:footnoteReference w:id="38"/>
      </w:r>
    </w:p>
    <w:p w:rsidR="008927C4" w:rsidRDefault="008927C4" w:rsidP="00AA6755">
      <w:pPr>
        <w:pStyle w:val="SingleTxtG"/>
        <w:numPr>
          <w:ilvl w:val="0"/>
          <w:numId w:val="26"/>
        </w:numPr>
        <w:ind w:left="1134" w:firstLine="0"/>
      </w:pPr>
      <w:r>
        <w:t>Although</w:t>
      </w:r>
      <w:r w:rsidRPr="00233B65">
        <w:t xml:space="preserve"> some potential avenues for redress or protection might exist</w:t>
      </w:r>
      <w:r>
        <w:t xml:space="preserve"> in legal terms</w:t>
      </w:r>
      <w:r w:rsidRPr="00233B65">
        <w:t xml:space="preserve">, notably via the </w:t>
      </w:r>
      <w:r>
        <w:t xml:space="preserve">International Institute for the Unification of Private Law </w:t>
      </w:r>
      <w:r w:rsidRPr="00233B65">
        <w:t>Convention on Stolen or Illegally Exported Cultural Objects</w:t>
      </w:r>
      <w:r>
        <w:t xml:space="preserve"> (2005)</w:t>
      </w:r>
      <w:r w:rsidRPr="00233B65">
        <w:t xml:space="preserve">, in reality it is extremely </w:t>
      </w:r>
      <w:r>
        <w:t>difficult</w:t>
      </w:r>
      <w:r w:rsidRPr="00233B65">
        <w:t xml:space="preserve"> for indigenous peoples to receive proper protection and reparation when their cultural heritage</w:t>
      </w:r>
      <w:r>
        <w:t xml:space="preserve">, </w:t>
      </w:r>
      <w:r w:rsidR="00C37B7F">
        <w:t>particularly</w:t>
      </w:r>
      <w:r>
        <w:t xml:space="preserve"> intangible heritage, is</w:t>
      </w:r>
      <w:r w:rsidRPr="00233B65">
        <w:t xml:space="preserve"> misappropriated</w:t>
      </w:r>
      <w:r w:rsidR="00A8175D">
        <w:t>.</w:t>
      </w:r>
      <w:r w:rsidR="008C4436">
        <w:t xml:space="preserve"> </w:t>
      </w:r>
      <w:r>
        <w:t>While t</w:t>
      </w:r>
      <w:r w:rsidRPr="00233B65">
        <w:t>he role of public authorities is crucial to ensur</w:t>
      </w:r>
      <w:r>
        <w:t>ing</w:t>
      </w:r>
      <w:r w:rsidRPr="00233B65">
        <w:t xml:space="preserve"> such repatr</w:t>
      </w:r>
      <w:r>
        <w:t>iation, t</w:t>
      </w:r>
      <w:r w:rsidRPr="00233B65">
        <w:t xml:space="preserve">he repatriation of ceremonial objects and human remains requires the cooperation of the places where </w:t>
      </w:r>
      <w:r>
        <w:t>the</w:t>
      </w:r>
      <w:r w:rsidRPr="00233B65">
        <w:t xml:space="preserve"> objects and remains are stored, such as museums</w:t>
      </w:r>
      <w:r w:rsidR="00D030BF">
        <w:t xml:space="preserve"> and auction houses</w:t>
      </w:r>
      <w:r>
        <w:t>.</w:t>
      </w:r>
    </w:p>
    <w:p w:rsidR="008927C4" w:rsidRDefault="008927C4" w:rsidP="00AA6755">
      <w:pPr>
        <w:pStyle w:val="SingleTxtG"/>
        <w:numPr>
          <w:ilvl w:val="0"/>
          <w:numId w:val="26"/>
        </w:numPr>
        <w:ind w:left="1134" w:firstLine="0"/>
      </w:pPr>
      <w:r>
        <w:t>S</w:t>
      </w:r>
      <w:r w:rsidRPr="00233B65">
        <w:t xml:space="preserve">ome legislation </w:t>
      </w:r>
      <w:r>
        <w:t>and</w:t>
      </w:r>
      <w:r w:rsidRPr="00233B65">
        <w:t xml:space="preserve"> policies </w:t>
      </w:r>
      <w:r>
        <w:t>stipulating</w:t>
      </w:r>
      <w:r w:rsidRPr="00233B65">
        <w:t xml:space="preserve"> repatriation of indigenous peoples’ </w:t>
      </w:r>
      <w:r>
        <w:t>cultural heritage exist</w:t>
      </w:r>
      <w:r w:rsidRPr="00233B65">
        <w:t xml:space="preserve">. In 2011, the Australian </w:t>
      </w:r>
      <w:r w:rsidR="008669A9">
        <w:t>G</w:t>
      </w:r>
      <w:r w:rsidRPr="00233B65">
        <w:t>overnment adopted a policy on indigenous repatriation which facilitates the return of Aboriginal and Torres Strait Islander</w:t>
      </w:r>
      <w:r>
        <w:t>s</w:t>
      </w:r>
      <w:r w:rsidR="00F43BC5">
        <w:t>’</w:t>
      </w:r>
      <w:r w:rsidRPr="00233B65">
        <w:t xml:space="preserve"> ancestral remains from overseas institutions to their communities of origin. To date, </w:t>
      </w:r>
      <w:r>
        <w:t>this</w:t>
      </w:r>
      <w:r w:rsidRPr="00233B65">
        <w:t xml:space="preserve"> </w:t>
      </w:r>
      <w:r>
        <w:t>programme</w:t>
      </w:r>
      <w:r w:rsidRPr="00233B65">
        <w:t xml:space="preserve"> has facilitated the return of over 1</w:t>
      </w:r>
      <w:r>
        <w:t>,</w:t>
      </w:r>
      <w:r w:rsidRPr="00233B65">
        <w:t>400 ancestral remains and over 1</w:t>
      </w:r>
      <w:r>
        <w:t>,</w:t>
      </w:r>
      <w:r w:rsidRPr="00233B65">
        <w:t>400 sacred objects from within Australian collections, and brought home more than 1</w:t>
      </w:r>
      <w:r>
        <w:t>,</w:t>
      </w:r>
      <w:r w:rsidRPr="00233B65">
        <w:t>200 ancestral remains to Australia from overseas.</w:t>
      </w:r>
      <w:r w:rsidRPr="00233B65">
        <w:rPr>
          <w:rStyle w:val="FootnoteReference"/>
        </w:rPr>
        <w:footnoteReference w:id="39"/>
      </w:r>
      <w:r w:rsidRPr="00233B65">
        <w:t xml:space="preserve"> Other example</w:t>
      </w:r>
      <w:r>
        <w:t>s</w:t>
      </w:r>
      <w:r w:rsidRPr="00233B65">
        <w:t xml:space="preserve"> include the Native American Grave Protection and Repatriation Act and the National Museum of the American Indian Act in the United States.</w:t>
      </w:r>
      <w:r w:rsidRPr="00233B65">
        <w:rPr>
          <w:rStyle w:val="FootnoteReference"/>
        </w:rPr>
        <w:footnoteReference w:id="40"/>
      </w:r>
      <w:r>
        <w:t xml:space="preserve"> </w:t>
      </w:r>
      <w:r w:rsidRPr="00233B65">
        <w:t>In Canada, the First Nations Sacred Ceremonial Objects Repatriation Act creates a mechanism by which cultural heritage sites and objects can be protected, preserved and repatriated.</w:t>
      </w:r>
      <w:r>
        <w:t xml:space="preserve"> However, numerous examples throughout the world </w:t>
      </w:r>
      <w:r w:rsidR="00C37B7F">
        <w:t xml:space="preserve">exist </w:t>
      </w:r>
      <w:r>
        <w:t xml:space="preserve">where </w:t>
      </w:r>
      <w:r w:rsidR="00B80B30">
        <w:t xml:space="preserve">restitution and </w:t>
      </w:r>
      <w:r>
        <w:t xml:space="preserve">repatriation </w:t>
      </w:r>
      <w:r w:rsidR="00B80B30">
        <w:t xml:space="preserve">are </w:t>
      </w:r>
      <w:r>
        <w:t>not respected and enforced.</w:t>
      </w:r>
      <w:r w:rsidR="00C37B7F">
        <w:t xml:space="preserve"> One such example is the recent legal </w:t>
      </w:r>
      <w:r w:rsidR="00B80B30">
        <w:t xml:space="preserve">case </w:t>
      </w:r>
      <w:r w:rsidR="00C37B7F">
        <w:t xml:space="preserve">against indigenous chiefs in Canada, including Bernie Makokis, under the Wildlife Act, </w:t>
      </w:r>
      <w:r w:rsidR="00163767">
        <w:t>after</w:t>
      </w:r>
      <w:r w:rsidR="00C37B7F">
        <w:t xml:space="preserve"> they </w:t>
      </w:r>
      <w:r w:rsidR="00163767">
        <w:t xml:space="preserve">had </w:t>
      </w:r>
      <w:r w:rsidR="00C37B7F">
        <w:t>offered a sacred headdress as a gift to a non-ind</w:t>
      </w:r>
      <w:r w:rsidR="00D030BF">
        <w:t>igenous guest from the United S</w:t>
      </w:r>
      <w:r w:rsidR="00C37B7F">
        <w:t>tates.</w:t>
      </w:r>
      <w:r w:rsidR="007A1350">
        <w:t xml:space="preserve"> </w:t>
      </w:r>
    </w:p>
    <w:p w:rsidR="008927C4" w:rsidRPr="0029530A" w:rsidRDefault="0029530A" w:rsidP="0029530A">
      <w:pPr>
        <w:pStyle w:val="H1G"/>
      </w:pPr>
      <w:r>
        <w:tab/>
      </w:r>
      <w:r w:rsidR="008927C4" w:rsidRPr="0029530A">
        <w:t>C.</w:t>
      </w:r>
      <w:r w:rsidR="008927C4" w:rsidRPr="0029530A">
        <w:tab/>
        <w:t>Right to cultural revitalization</w:t>
      </w:r>
    </w:p>
    <w:p w:rsidR="008927C4" w:rsidRDefault="008927C4" w:rsidP="00AA6755">
      <w:pPr>
        <w:pStyle w:val="SingleTxtG"/>
        <w:numPr>
          <w:ilvl w:val="0"/>
          <w:numId w:val="26"/>
        </w:numPr>
        <w:ind w:left="1134" w:firstLine="0"/>
      </w:pPr>
      <w:r w:rsidRPr="006212BD">
        <w:t>A</w:t>
      </w:r>
      <w:r>
        <w:t>rticle </w:t>
      </w:r>
      <w:r w:rsidRPr="006212BD">
        <w:t xml:space="preserve">11 of </w:t>
      </w:r>
      <w:r>
        <w:t>the Declaration states that</w:t>
      </w:r>
      <w:r w:rsidRPr="006212BD">
        <w:t xml:space="preserve"> “</w:t>
      </w:r>
      <w:r>
        <w:t>i</w:t>
      </w:r>
      <w:r w:rsidRPr="006212BD">
        <w:t>ndigenous peoples have the right to practise and revitalize their cultural traditions and customs”</w:t>
      </w:r>
      <w:r w:rsidR="000B5836">
        <w:t>.</w:t>
      </w:r>
      <w:r w:rsidRPr="006212BD">
        <w:t xml:space="preserve"> </w:t>
      </w:r>
      <w:r w:rsidRPr="00233B65">
        <w:t xml:space="preserve">During the </w:t>
      </w:r>
      <w:r w:rsidRPr="00B91F0D">
        <w:t>Expert Seminar</w:t>
      </w:r>
      <w:r>
        <w:t xml:space="preserve"> </w:t>
      </w:r>
      <w:r w:rsidRPr="00450AD8">
        <w:t>on Indigenous Peoples’ Rights with Respect to their Cultural Heritage</w:t>
      </w:r>
      <w:r w:rsidRPr="00233B65">
        <w:t xml:space="preserve">, many </w:t>
      </w:r>
      <w:r>
        <w:t xml:space="preserve">presentations </w:t>
      </w:r>
      <w:r w:rsidRPr="00233B65">
        <w:t xml:space="preserve">highlighted how </w:t>
      </w:r>
      <w:r>
        <w:t xml:space="preserve">important </w:t>
      </w:r>
      <w:r w:rsidRPr="00233B65">
        <w:t xml:space="preserve">the process of cultural revitalization </w:t>
      </w:r>
      <w:r>
        <w:t>is</w:t>
      </w:r>
      <w:r w:rsidRPr="00233B65">
        <w:t xml:space="preserve"> for</w:t>
      </w:r>
      <w:r>
        <w:t xml:space="preserve"> the </w:t>
      </w:r>
      <w:r w:rsidRPr="00233B65">
        <w:t>cultural heritage</w:t>
      </w:r>
      <w:r>
        <w:t xml:space="preserve"> of </w:t>
      </w:r>
      <w:r w:rsidRPr="00233B65">
        <w:t xml:space="preserve">indigenous peoples. </w:t>
      </w:r>
      <w:r>
        <w:t>S</w:t>
      </w:r>
      <w:r w:rsidRPr="00233B65">
        <w:t>ome positive examples of indigenous peoples taking the initiative to revitalize their cultural heritage</w:t>
      </w:r>
      <w:r>
        <w:t xml:space="preserve"> exist</w:t>
      </w:r>
      <w:r w:rsidRPr="00233B65">
        <w:t xml:space="preserve">, such as the revitalization of the Maori language, or the use of </w:t>
      </w:r>
      <w:r>
        <w:t xml:space="preserve">bilingual education programmes and </w:t>
      </w:r>
      <w:r w:rsidRPr="00233B65">
        <w:t xml:space="preserve">radio to strengthen and revitalize </w:t>
      </w:r>
      <w:r>
        <w:t>indigenous</w:t>
      </w:r>
      <w:r w:rsidRPr="00233B65">
        <w:t xml:space="preserve"> language</w:t>
      </w:r>
      <w:r>
        <w:t>s</w:t>
      </w:r>
      <w:r w:rsidRPr="00233B65">
        <w:t xml:space="preserve"> in </w:t>
      </w:r>
      <w:r>
        <w:t>Mexico</w:t>
      </w:r>
      <w:r w:rsidRPr="00233B65">
        <w:t>.</w:t>
      </w:r>
      <w:r w:rsidRPr="00233B65">
        <w:rPr>
          <w:rStyle w:val="FootnoteReference"/>
        </w:rPr>
        <w:footnoteReference w:id="41"/>
      </w:r>
      <w:r>
        <w:t xml:space="preserve"> </w:t>
      </w:r>
    </w:p>
    <w:p w:rsidR="008927C4" w:rsidRDefault="008927C4" w:rsidP="00AA6755">
      <w:pPr>
        <w:pStyle w:val="SingleTxtG"/>
        <w:numPr>
          <w:ilvl w:val="0"/>
          <w:numId w:val="26"/>
        </w:numPr>
        <w:ind w:left="1134" w:firstLine="0"/>
      </w:pPr>
      <w:r>
        <w:t>The increasing recognition of food production systems and seeds as cultural heritage is another instance of cultural revitalization. In Guatemala, for example, corn is considered intangible cultural heritage due to its historical, cultural, and spiritual value.</w:t>
      </w:r>
      <w:r>
        <w:rPr>
          <w:rStyle w:val="FootnoteReference"/>
        </w:rPr>
        <w:footnoteReference w:id="42"/>
      </w:r>
    </w:p>
    <w:p w:rsidR="008927C4" w:rsidRDefault="008927C4" w:rsidP="00AA6755">
      <w:pPr>
        <w:pStyle w:val="SingleTxtG"/>
        <w:numPr>
          <w:ilvl w:val="0"/>
          <w:numId w:val="26"/>
        </w:numPr>
        <w:ind w:left="1134" w:firstLine="0"/>
      </w:pPr>
      <w:r>
        <w:t xml:space="preserve">In terms of good practices, the Indigenous Rights Programme of the National Commission for the Development of Indigenous Peoples, in Mexico, has implemented a programme on cultural rights, which supports community-level initiatives to revitalize cultural heritage among indigenous peoples, including languages, music and traditional medicine. </w:t>
      </w:r>
      <w:r w:rsidR="00C37B7F">
        <w:t>This includes</w:t>
      </w:r>
      <w:r>
        <w:t xml:space="preserve"> training </w:t>
      </w:r>
      <w:r w:rsidR="000B5836">
        <w:t>for</w:t>
      </w:r>
      <w:r>
        <w:t xml:space="preserve"> indigenous youth on the protection of cultural heritage. To date, the programme has supported 505 community initiatives.</w:t>
      </w:r>
      <w:r>
        <w:rPr>
          <w:rStyle w:val="FootnoteReference"/>
        </w:rPr>
        <w:footnoteReference w:id="43"/>
      </w:r>
      <w:r w:rsidR="00C37B7F">
        <w:t xml:space="preserve"> </w:t>
      </w:r>
      <w:r w:rsidRPr="00233B65">
        <w:t xml:space="preserve">Another important element relating to </w:t>
      </w:r>
      <w:r>
        <w:t xml:space="preserve">the </w:t>
      </w:r>
      <w:r w:rsidRPr="00233B65">
        <w:t xml:space="preserve">revitalization of indigenous cultures </w:t>
      </w:r>
      <w:r>
        <w:t>is</w:t>
      </w:r>
      <w:r w:rsidRPr="00233B65">
        <w:t xml:space="preserve"> the recognition of indigenous women as active agents of transformation. Recent studies have demonstrated that indigenous women play an immense role in the revitalization and the transmission of </w:t>
      </w:r>
      <w:r>
        <w:t xml:space="preserve">the </w:t>
      </w:r>
      <w:r w:rsidRPr="00233B65">
        <w:t>cosmovision and cultural heritage</w:t>
      </w:r>
      <w:r>
        <w:t xml:space="preserve"> of </w:t>
      </w:r>
      <w:r w:rsidRPr="00233B65">
        <w:t>indigenous peoples.</w:t>
      </w:r>
      <w:r w:rsidRPr="00233B65">
        <w:rPr>
          <w:rStyle w:val="FootnoteReference"/>
        </w:rPr>
        <w:footnoteReference w:id="44"/>
      </w:r>
    </w:p>
    <w:p w:rsidR="008927C4" w:rsidRPr="00A057AC" w:rsidRDefault="008927C4" w:rsidP="008927C4">
      <w:pPr>
        <w:pStyle w:val="HChG"/>
        <w:tabs>
          <w:tab w:val="clear" w:pos="851"/>
        </w:tabs>
      </w:pPr>
      <w:r>
        <w:br w:type="page"/>
      </w:r>
      <w:r w:rsidRPr="00DF7D24">
        <w:t>Annex</w:t>
      </w:r>
    </w:p>
    <w:p w:rsidR="006F0B21" w:rsidRDefault="008927C4" w:rsidP="00AA6755">
      <w:pPr>
        <w:pStyle w:val="HChG"/>
        <w:spacing w:after="0"/>
      </w:pPr>
      <w:r w:rsidRPr="00DF7D24">
        <w:tab/>
      </w:r>
      <w:r w:rsidRPr="00DF7D24">
        <w:tab/>
        <w:t xml:space="preserve">Expert Mechanism </w:t>
      </w:r>
      <w:r w:rsidR="006F0B21">
        <w:t>a</w:t>
      </w:r>
      <w:r w:rsidRPr="00DF7D24">
        <w:t>dvice</w:t>
      </w:r>
      <w:r>
        <w:t xml:space="preserve"> No. </w:t>
      </w:r>
      <w:r w:rsidRPr="00DF7D24">
        <w:t>8 (2015):</w:t>
      </w:r>
    </w:p>
    <w:p w:rsidR="008927C4" w:rsidRPr="00DF7D24" w:rsidRDefault="006F0B21" w:rsidP="00AA6755">
      <w:pPr>
        <w:pStyle w:val="HChG"/>
        <w:spacing w:before="0"/>
        <w:ind w:right="1701"/>
      </w:pPr>
      <w:r>
        <w:tab/>
      </w:r>
      <w:r>
        <w:tab/>
      </w:r>
      <w:r w:rsidR="008927C4" w:rsidRPr="00DF7D24">
        <w:t>Promotion and protection of the rights of indigenous peoples with respect to</w:t>
      </w:r>
      <w:r w:rsidR="008927C4">
        <w:t> </w:t>
      </w:r>
      <w:r w:rsidR="008927C4" w:rsidRPr="00DF7D24">
        <w:t>their cultural heritage</w:t>
      </w:r>
    </w:p>
    <w:p w:rsidR="008927C4" w:rsidRDefault="008927C4" w:rsidP="008927C4">
      <w:pPr>
        <w:pStyle w:val="H1G"/>
      </w:pPr>
      <w:r>
        <w:tab/>
        <w:t>A.</w:t>
      </w:r>
      <w:r>
        <w:tab/>
        <w:t>General</w:t>
      </w:r>
    </w:p>
    <w:p w:rsidR="008927C4" w:rsidRDefault="008927C4" w:rsidP="00AA6755">
      <w:pPr>
        <w:pStyle w:val="SingleTxtG"/>
        <w:numPr>
          <w:ilvl w:val="0"/>
          <w:numId w:val="28"/>
        </w:numPr>
        <w:ind w:left="1134" w:firstLine="0"/>
      </w:pPr>
      <w:r>
        <w:t>The cultural heritage</w:t>
      </w:r>
      <w:r w:rsidRPr="0020501D">
        <w:t xml:space="preserve"> </w:t>
      </w:r>
      <w:r>
        <w:t xml:space="preserve">of indigenous peoples </w:t>
      </w:r>
      <w:r w:rsidRPr="0020501D">
        <w:t xml:space="preserve">is a holistic </w:t>
      </w:r>
      <w:r>
        <w:t xml:space="preserve">and inter-generational </w:t>
      </w:r>
      <w:r w:rsidRPr="0020501D">
        <w:t xml:space="preserve">concept based on common material and spiritual values and includes distinctive manifestations in language, spirituality, membership, </w:t>
      </w:r>
      <w:r>
        <w:t xml:space="preserve">the </w:t>
      </w:r>
      <w:r w:rsidRPr="0020501D">
        <w:t>arts, literature, traditional knowledge, customs, rituals, ceremonies, methods of production, festive events, music, sports and traditional games, behaviour, habits, tools, shelter, clothing, economic activities, morals, value systems, cosmovision, laws and activities such as hunting, fishing, trapping and gathering.</w:t>
      </w:r>
    </w:p>
    <w:p w:rsidR="008927C4" w:rsidRDefault="008927C4" w:rsidP="00AA6755">
      <w:pPr>
        <w:pStyle w:val="SingleTxtG"/>
        <w:numPr>
          <w:ilvl w:val="0"/>
          <w:numId w:val="28"/>
        </w:numPr>
        <w:ind w:left="1134" w:firstLine="0"/>
      </w:pPr>
      <w:r w:rsidRPr="008D7983">
        <w:t xml:space="preserve">The </w:t>
      </w:r>
      <w:r>
        <w:t xml:space="preserve">cultural </w:t>
      </w:r>
      <w:r w:rsidRPr="008D7983">
        <w:t>heritage of indigenous peoples is comprised of all objects, sites, plant</w:t>
      </w:r>
      <w:r>
        <w:t>s</w:t>
      </w:r>
      <w:r w:rsidRPr="008D7983">
        <w:t xml:space="preserve"> and animal species, customs and practices, expressions, beliefs and knowledge, the nature or use of which has been transmitted from generation to generation, and which are regarded as pertaining to a particular people or its territory.</w:t>
      </w:r>
    </w:p>
    <w:p w:rsidR="008927C4" w:rsidRDefault="008927C4" w:rsidP="00AA6755">
      <w:pPr>
        <w:pStyle w:val="SingleTxtG"/>
        <w:numPr>
          <w:ilvl w:val="0"/>
          <w:numId w:val="28"/>
        </w:numPr>
        <w:ind w:left="1134" w:firstLine="0"/>
      </w:pPr>
      <w:r>
        <w:t xml:space="preserve">The </w:t>
      </w:r>
      <w:r w:rsidRPr="0020501D">
        <w:t>cultural heritage</w:t>
      </w:r>
      <w:r>
        <w:t xml:space="preserve"> of indigenous peoples</w:t>
      </w:r>
      <w:r w:rsidRPr="0020501D">
        <w:t xml:space="preserve"> includes tangible and intangible manifestations of their ways of life, achievements and creativity, and should be considered an expression of their self-determination and of their spiritual and physical relationships with their lands, territories and resources</w:t>
      </w:r>
      <w:r>
        <w:t>.</w:t>
      </w:r>
    </w:p>
    <w:p w:rsidR="008927C4" w:rsidRDefault="008927C4" w:rsidP="00AA6755">
      <w:pPr>
        <w:pStyle w:val="SingleTxtG"/>
        <w:numPr>
          <w:ilvl w:val="0"/>
          <w:numId w:val="28"/>
        </w:numPr>
        <w:ind w:left="1134" w:firstLine="0"/>
      </w:pPr>
      <w:r w:rsidRPr="002C3144">
        <w:t xml:space="preserve">The right of access to and enjoyment of cultural heritage forms part of international human rights law and represents an important aspect of </w:t>
      </w:r>
      <w:r>
        <w:t xml:space="preserve">the rights of </w:t>
      </w:r>
      <w:r w:rsidRPr="002C3144">
        <w:t>indigenous peoples</w:t>
      </w:r>
      <w:r>
        <w:t xml:space="preserve">, </w:t>
      </w:r>
      <w:r w:rsidRPr="002C3144">
        <w:t>includ</w:t>
      </w:r>
      <w:r>
        <w:t>ing</w:t>
      </w:r>
      <w:r w:rsidRPr="002C3144">
        <w:t xml:space="preserve"> the right to take part in cultural life, the right to enjoy their own culture and the right to self-determination. The right of indigenous peoples to self-determination implies their right to maintain, control, protect and develop their own cultural heritage</w:t>
      </w:r>
      <w:r>
        <w:t>.</w:t>
      </w:r>
    </w:p>
    <w:p w:rsidR="008927C4" w:rsidRDefault="008927C4" w:rsidP="00AA6755">
      <w:pPr>
        <w:pStyle w:val="SingleTxtG"/>
        <w:numPr>
          <w:ilvl w:val="0"/>
          <w:numId w:val="28"/>
        </w:numPr>
        <w:ind w:left="1134" w:firstLine="0"/>
      </w:pPr>
      <w:r w:rsidRPr="008D7983">
        <w:t xml:space="preserve">The </w:t>
      </w:r>
      <w:r>
        <w:t>safeguard</w:t>
      </w:r>
      <w:r w:rsidRPr="008D7983">
        <w:t xml:space="preserve"> and development of </w:t>
      </w:r>
      <w:r>
        <w:t xml:space="preserve">the cultures of </w:t>
      </w:r>
      <w:r w:rsidRPr="008D7983">
        <w:t xml:space="preserve">indigenous peoples require the protection of their lands, territories and resources. Cultural rights entail rights to land and natural resources, and </w:t>
      </w:r>
      <w:r>
        <w:t xml:space="preserve">imply </w:t>
      </w:r>
      <w:r w:rsidRPr="008D7983">
        <w:t>an obligation to protect the cultural heritage of indigenous peoples through the recognition of their rights to own, control and manage their ancestral territories.</w:t>
      </w:r>
    </w:p>
    <w:p w:rsidR="008927C4" w:rsidRDefault="008927C4" w:rsidP="00AA6755">
      <w:pPr>
        <w:pStyle w:val="SingleTxtG"/>
        <w:numPr>
          <w:ilvl w:val="0"/>
          <w:numId w:val="28"/>
        </w:numPr>
        <w:ind w:left="1134" w:firstLine="0"/>
      </w:pPr>
      <w:r w:rsidRPr="008D7983">
        <w:t>Heritage policies, program</w:t>
      </w:r>
      <w:r>
        <w:t>me</w:t>
      </w:r>
      <w:r w:rsidRPr="008D7983">
        <w:t>s and activities affecting indigenous peoples should be based on full recognition of the inseparability of natural and cultural heritage, and the deep-seated interconnectedness of intangible cultural heritage and tangible cultural and natural heritage</w:t>
      </w:r>
      <w:r>
        <w:t>.</w:t>
      </w:r>
    </w:p>
    <w:p w:rsidR="008927C4" w:rsidRDefault="008927C4" w:rsidP="00AA6755">
      <w:pPr>
        <w:pStyle w:val="SingleTxtG"/>
        <w:numPr>
          <w:ilvl w:val="0"/>
          <w:numId w:val="28"/>
        </w:numPr>
        <w:ind w:left="1134" w:firstLine="0"/>
      </w:pPr>
      <w:r w:rsidRPr="00E10752">
        <w:t>For indigenous peoples</w:t>
      </w:r>
      <w:r>
        <w:t>,</w:t>
      </w:r>
      <w:r w:rsidRPr="00E10752">
        <w:t xml:space="preserve"> cultural and natural values are inseparably interwoven and should be managed and protected in a holistic manner. It is imperative that all the instruments that derive from such regimes and relate to </w:t>
      </w:r>
      <w:r>
        <w:t xml:space="preserve">the </w:t>
      </w:r>
      <w:r w:rsidRPr="00E10752">
        <w:t>cultural heritage</w:t>
      </w:r>
      <w:r>
        <w:t xml:space="preserve"> of </w:t>
      </w:r>
      <w:r w:rsidRPr="00E10752">
        <w:t xml:space="preserve">indigenous peoples are interpreted in the light of the </w:t>
      </w:r>
      <w:r>
        <w:t xml:space="preserve">United Nations Declaration on the Rights of Indigenous Peoples, </w:t>
      </w:r>
      <w:r w:rsidRPr="00E10752">
        <w:t xml:space="preserve">which is the most specific, representative and comprehensive </w:t>
      </w:r>
      <w:r w:rsidR="000A5A7A">
        <w:t>instrument</w:t>
      </w:r>
      <w:r w:rsidR="000A5A7A" w:rsidRPr="00E10752">
        <w:t xml:space="preserve"> </w:t>
      </w:r>
      <w:r w:rsidRPr="00E10752">
        <w:t>on indigenous cultural heritage.</w:t>
      </w:r>
      <w:r>
        <w:rPr>
          <w:rStyle w:val="FootnoteReference"/>
        </w:rPr>
        <w:footnoteReference w:id="45"/>
      </w:r>
    </w:p>
    <w:p w:rsidR="008927C4" w:rsidRDefault="008927C4" w:rsidP="00AA6755">
      <w:pPr>
        <w:pStyle w:val="SingleTxtG"/>
        <w:numPr>
          <w:ilvl w:val="0"/>
          <w:numId w:val="28"/>
        </w:numPr>
        <w:ind w:left="1134" w:firstLine="0"/>
      </w:pPr>
      <w:r>
        <w:t>Indigenous peoples have the right to redress when their cultural heritage is misappropriated without their free, prior and informed consent. This includes a right to repatriation and restitution.</w:t>
      </w:r>
    </w:p>
    <w:p w:rsidR="008927C4" w:rsidRDefault="008927C4" w:rsidP="008927C4">
      <w:pPr>
        <w:pStyle w:val="H1G"/>
      </w:pPr>
      <w:r>
        <w:tab/>
        <w:t>B.</w:t>
      </w:r>
      <w:r>
        <w:tab/>
        <w:t>Advice for States</w:t>
      </w:r>
    </w:p>
    <w:p w:rsidR="008927C4" w:rsidRDefault="008927C4" w:rsidP="00AA6755">
      <w:pPr>
        <w:pStyle w:val="SingleTxtG"/>
        <w:numPr>
          <w:ilvl w:val="0"/>
          <w:numId w:val="28"/>
        </w:numPr>
        <w:ind w:left="1134" w:firstLine="0"/>
      </w:pPr>
      <w:r>
        <w:t>States should r</w:t>
      </w:r>
      <w:r w:rsidRPr="008D7983">
        <w:t>ecogni</w:t>
      </w:r>
      <w:r>
        <w:t>z</w:t>
      </w:r>
      <w:r w:rsidRPr="008D7983">
        <w:t>e the value and livelihood aspect</w:t>
      </w:r>
      <w:r>
        <w:t>s</w:t>
      </w:r>
      <w:r w:rsidRPr="008D7983">
        <w:t xml:space="preserve"> of </w:t>
      </w:r>
      <w:r>
        <w:t xml:space="preserve">the </w:t>
      </w:r>
      <w:r w:rsidRPr="008D7983">
        <w:t>cultural heritage</w:t>
      </w:r>
      <w:r>
        <w:t xml:space="preserve"> of </w:t>
      </w:r>
      <w:r w:rsidRPr="008D7983">
        <w:t>indigenous peoples</w:t>
      </w:r>
      <w:r w:rsidR="000A5A7A">
        <w:t>, which</w:t>
      </w:r>
      <w:r w:rsidRPr="008D7983">
        <w:t xml:space="preserve"> is not limited</w:t>
      </w:r>
      <w:r>
        <w:t xml:space="preserve"> to</w:t>
      </w:r>
      <w:r w:rsidRPr="008D7983">
        <w:t xml:space="preserve"> the protection </w:t>
      </w:r>
      <w:r>
        <w:t>of</w:t>
      </w:r>
      <w:r w:rsidRPr="008D7983">
        <w:t xml:space="preserve"> specific manifestations, symbols or objects</w:t>
      </w:r>
      <w:r>
        <w:t>,</w:t>
      </w:r>
      <w:r w:rsidRPr="008D7983">
        <w:t xml:space="preserve"> but </w:t>
      </w:r>
      <w:r>
        <w:t xml:space="preserve">also </w:t>
      </w:r>
      <w:r w:rsidRPr="008205AC">
        <w:t>include</w:t>
      </w:r>
      <w:r>
        <w:t>s</w:t>
      </w:r>
      <w:r w:rsidRPr="008205AC">
        <w:t xml:space="preserve"> tangible and intangible manifestations of their ways of life, achievements and creativity, </w:t>
      </w:r>
      <w:r>
        <w:t xml:space="preserve">and </w:t>
      </w:r>
      <w:r w:rsidRPr="008205AC">
        <w:t>of their spiritual and physical relationships with their lands, territories and resources</w:t>
      </w:r>
      <w:r>
        <w:t>.</w:t>
      </w:r>
    </w:p>
    <w:p w:rsidR="008927C4" w:rsidRDefault="008927C4" w:rsidP="00AA6755">
      <w:pPr>
        <w:pStyle w:val="SingleTxtG"/>
        <w:numPr>
          <w:ilvl w:val="0"/>
          <w:numId w:val="28"/>
        </w:numPr>
        <w:ind w:left="1134" w:firstLine="0"/>
      </w:pPr>
      <w:r w:rsidRPr="008D7983">
        <w:t>Indigenous peoples should be consulted and enabled to actively participate in the whole process of identification, evaluation, classificatio</w:t>
      </w:r>
      <w:r>
        <w:t xml:space="preserve">n, interpretation, preservation, </w:t>
      </w:r>
      <w:r w:rsidRPr="008D7983">
        <w:t xml:space="preserve">safeguarding, monitoring, stewardship and development of their cultural and natural heritage. </w:t>
      </w:r>
    </w:p>
    <w:p w:rsidR="008927C4" w:rsidRDefault="008927C4" w:rsidP="00AA6755">
      <w:pPr>
        <w:pStyle w:val="SingleTxtG"/>
        <w:numPr>
          <w:ilvl w:val="0"/>
          <w:numId w:val="28"/>
        </w:numPr>
        <w:ind w:left="1134" w:firstLine="0"/>
      </w:pPr>
      <w:r>
        <w:t xml:space="preserve">States should revisit the </w:t>
      </w:r>
      <w:r w:rsidRPr="006B7374">
        <w:t xml:space="preserve">draft Principles and </w:t>
      </w:r>
      <w:r>
        <w:t>g</w:t>
      </w:r>
      <w:r w:rsidRPr="006B7374">
        <w:t xml:space="preserve">uidelines </w:t>
      </w:r>
      <w:r>
        <w:t xml:space="preserve">for the protection </w:t>
      </w:r>
      <w:r w:rsidRPr="006B7374">
        <w:t>o</w:t>
      </w:r>
      <w:r>
        <w:t>f</w:t>
      </w:r>
      <w:r w:rsidRPr="006B7374">
        <w:t xml:space="preserve"> the </w:t>
      </w:r>
      <w:r>
        <w:t>h</w:t>
      </w:r>
      <w:r w:rsidRPr="006B7374">
        <w:t xml:space="preserve">eritage of </w:t>
      </w:r>
      <w:r>
        <w:t>i</w:t>
      </w:r>
      <w:r w:rsidRPr="006B7374">
        <w:t xml:space="preserve">ndigenous </w:t>
      </w:r>
      <w:r>
        <w:t>p</w:t>
      </w:r>
      <w:r w:rsidRPr="006B7374">
        <w:t>eoples</w:t>
      </w:r>
      <w:r w:rsidR="00A04DBA">
        <w:t xml:space="preserve"> (</w:t>
      </w:r>
      <w:r w:rsidR="00A04DBA" w:rsidRPr="00FB5641">
        <w:t>E/CN.4/Sub.2/1995/26</w:t>
      </w:r>
      <w:r w:rsidR="00A04DBA">
        <w:t>, annex)</w:t>
      </w:r>
      <w:r>
        <w:t>, with a view to adopting them as an instrument to protect the cultural heritage of indigenous peoples.</w:t>
      </w:r>
    </w:p>
    <w:p w:rsidR="008927C4" w:rsidRDefault="008927C4" w:rsidP="00AA6755">
      <w:pPr>
        <w:pStyle w:val="SingleTxtG"/>
        <w:numPr>
          <w:ilvl w:val="0"/>
          <w:numId w:val="28"/>
        </w:numPr>
        <w:ind w:left="1134" w:firstLine="0"/>
      </w:pPr>
      <w:r w:rsidRPr="008D7983">
        <w:t xml:space="preserve">In accordance with the </w:t>
      </w:r>
      <w:r>
        <w:t>United Nations Declaration on the Rights of Indigenous Peoples</w:t>
      </w:r>
      <w:r w:rsidRPr="008D7983">
        <w:t xml:space="preserve">, States have the obligation to seek the </w:t>
      </w:r>
      <w:r>
        <w:t>free, prior and informed consent</w:t>
      </w:r>
      <w:r w:rsidRPr="008D7983">
        <w:t xml:space="preserve"> of indigenous peoples before adopting measures affecting their cultural or natural heritage.</w:t>
      </w:r>
      <w:r>
        <w:t xml:space="preserve"> </w:t>
      </w:r>
      <w:r w:rsidRPr="00B612E7">
        <w:t>No inscription on lists</w:t>
      </w:r>
      <w:r>
        <w:t xml:space="preserve"> of the United Nations Educational, Scientific and Cultural Organization (UNESCO)</w:t>
      </w:r>
      <w:r w:rsidRPr="00B612E7">
        <w:t xml:space="preserve"> relating to </w:t>
      </w:r>
      <w:r>
        <w:t xml:space="preserve">the </w:t>
      </w:r>
      <w:r w:rsidRPr="00B612E7">
        <w:t xml:space="preserve">cultural or natural heritage </w:t>
      </w:r>
      <w:r>
        <w:t xml:space="preserve">of </w:t>
      </w:r>
      <w:r w:rsidRPr="00B612E7">
        <w:t xml:space="preserve">indigenous peoples or national lists or registers should be requested or granted without the </w:t>
      </w:r>
      <w:r>
        <w:t>free, prior and informed consent</w:t>
      </w:r>
      <w:r w:rsidRPr="00B612E7">
        <w:t xml:space="preserve"> </w:t>
      </w:r>
      <w:r>
        <w:t xml:space="preserve">of </w:t>
      </w:r>
      <w:r w:rsidRPr="00B612E7">
        <w:t>the indigenous peoples</w:t>
      </w:r>
      <w:r>
        <w:t xml:space="preserve"> concerned</w:t>
      </w:r>
      <w:r w:rsidRPr="00B612E7">
        <w:t>.</w:t>
      </w:r>
    </w:p>
    <w:p w:rsidR="008927C4" w:rsidRDefault="008927C4" w:rsidP="00AA6755">
      <w:pPr>
        <w:pStyle w:val="SingleTxtG"/>
        <w:numPr>
          <w:ilvl w:val="0"/>
          <w:numId w:val="28"/>
        </w:numPr>
        <w:ind w:left="1134" w:firstLine="0"/>
      </w:pPr>
      <w:r>
        <w:t>States need to l</w:t>
      </w:r>
      <w:r w:rsidRPr="00A25EB5">
        <w:t>egally recognize and protect the right of indigenous peoples to their lands, territories and resources through appropriate measures and policies</w:t>
      </w:r>
      <w:r>
        <w:t>,</w:t>
      </w:r>
      <w:r w:rsidRPr="00A25EB5">
        <w:t xml:space="preserve"> including declaring cultural heritage sites, sacred sites and other areas of spiritual significance to indigenous peoples as </w:t>
      </w:r>
      <w:r>
        <w:t>“</w:t>
      </w:r>
      <w:r w:rsidRPr="00A25EB5">
        <w:t>no</w:t>
      </w:r>
      <w:r>
        <w:t>-</w:t>
      </w:r>
      <w:r w:rsidRPr="00A25EB5">
        <w:t>go zones</w:t>
      </w:r>
      <w:r>
        <w:t>”</w:t>
      </w:r>
      <w:r w:rsidRPr="00A25EB5">
        <w:t xml:space="preserve"> for extractive industries, tourism </w:t>
      </w:r>
      <w:r>
        <w:t>development and other development project</w:t>
      </w:r>
      <w:r w:rsidR="000A5A7A">
        <w:t>s</w:t>
      </w:r>
      <w:r>
        <w:t xml:space="preserve"> which have not received the free, prior and informed consent of the indigenous peoples concerned.</w:t>
      </w:r>
    </w:p>
    <w:p w:rsidR="008927C4" w:rsidRPr="006A3012" w:rsidRDefault="008927C4" w:rsidP="00AA6755">
      <w:pPr>
        <w:pStyle w:val="SingleTxtG"/>
        <w:numPr>
          <w:ilvl w:val="0"/>
          <w:numId w:val="28"/>
        </w:numPr>
        <w:ind w:left="1134" w:firstLine="0"/>
      </w:pPr>
      <w:r>
        <w:t>States n</w:t>
      </w:r>
      <w:r w:rsidRPr="008D7983">
        <w:t>eed to harmonize their national l</w:t>
      </w:r>
      <w:r>
        <w:t>egislations</w:t>
      </w:r>
      <w:r w:rsidRPr="008D7983">
        <w:t xml:space="preserve"> based on</w:t>
      </w:r>
      <w:r>
        <w:t xml:space="preserve"> the provisions of the</w:t>
      </w:r>
      <w:r w:rsidRPr="008D7983">
        <w:t xml:space="preserve"> </w:t>
      </w:r>
      <w:r>
        <w:t>Declaration and t</w:t>
      </w:r>
      <w:r w:rsidRPr="008D7983">
        <w:t>aking note of the outcome document</w:t>
      </w:r>
      <w:r>
        <w:t xml:space="preserve"> of the World Conference on Indigenous Peoples (General Assembly resolution 69/2)</w:t>
      </w:r>
      <w:r w:rsidRPr="008D7983">
        <w:t xml:space="preserve">, </w:t>
      </w:r>
      <w:r>
        <w:t>and should develop</w:t>
      </w:r>
      <w:r w:rsidRPr="008D7983">
        <w:t xml:space="preserve"> national action plan</w:t>
      </w:r>
      <w:r>
        <w:t>s</w:t>
      </w:r>
      <w:r w:rsidRPr="008D7983">
        <w:t xml:space="preserve"> </w:t>
      </w:r>
      <w:r>
        <w:t>for the protection and promotion of the cultural heritage of indigenous peoples.</w:t>
      </w:r>
    </w:p>
    <w:p w:rsidR="008927C4" w:rsidRDefault="008927C4" w:rsidP="00AA6755">
      <w:pPr>
        <w:pStyle w:val="SingleTxtG"/>
        <w:numPr>
          <w:ilvl w:val="0"/>
          <w:numId w:val="28"/>
        </w:numPr>
        <w:ind w:left="1134" w:firstLine="0"/>
      </w:pPr>
      <w:r w:rsidRPr="00E85D5E">
        <w:t>In the case of cross-border indigenous peoples, bordering States should ensure the protection of cultural rights on an equal basis.</w:t>
      </w:r>
    </w:p>
    <w:p w:rsidR="008927C4" w:rsidRPr="00851015" w:rsidRDefault="008927C4" w:rsidP="00AA6755">
      <w:pPr>
        <w:pStyle w:val="SingleTxtG"/>
        <w:numPr>
          <w:ilvl w:val="0"/>
          <w:numId w:val="28"/>
        </w:numPr>
        <w:ind w:left="1134" w:firstLine="0"/>
      </w:pPr>
      <w:r w:rsidRPr="009D7F6E">
        <w:t xml:space="preserve">States </w:t>
      </w:r>
      <w:r>
        <w:t xml:space="preserve">should </w:t>
      </w:r>
      <w:r w:rsidRPr="009D7F6E">
        <w:t>ensure that</w:t>
      </w:r>
      <w:r>
        <w:t xml:space="preserve"> </w:t>
      </w:r>
      <w:r w:rsidRPr="009D7F6E">
        <w:t xml:space="preserve">the benefits arising from the use of </w:t>
      </w:r>
      <w:r>
        <w:t xml:space="preserve">the </w:t>
      </w:r>
      <w:r w:rsidRPr="009D7F6E">
        <w:t xml:space="preserve">lands, territories and resources </w:t>
      </w:r>
      <w:r>
        <w:t>of i</w:t>
      </w:r>
      <w:r w:rsidRPr="009D7F6E">
        <w:t>ndigenous peoples’ as</w:t>
      </w:r>
      <w:r>
        <w:t xml:space="preserve"> </w:t>
      </w:r>
      <w:r w:rsidRPr="009D7F6E">
        <w:t xml:space="preserve">World Heritage sites are defined by and genuinely accrue to the </w:t>
      </w:r>
      <w:r>
        <w:t>i</w:t>
      </w:r>
      <w:r w:rsidRPr="009D7F6E">
        <w:t>ndigenous peoples</w:t>
      </w:r>
      <w:r>
        <w:t xml:space="preserve"> </w:t>
      </w:r>
      <w:r w:rsidRPr="009D7F6E">
        <w:t>concerned, in a fair and equitable manner</w:t>
      </w:r>
      <w:r>
        <w:t>.</w:t>
      </w:r>
    </w:p>
    <w:p w:rsidR="008927C4" w:rsidRDefault="008927C4" w:rsidP="00AA6755">
      <w:pPr>
        <w:pStyle w:val="SingleTxtG"/>
        <w:numPr>
          <w:ilvl w:val="0"/>
          <w:numId w:val="28"/>
        </w:numPr>
        <w:ind w:left="1134" w:firstLine="0"/>
      </w:pPr>
      <w:r w:rsidRPr="00A25EB5">
        <w:t xml:space="preserve">States should guarantee that indigenous peoples have </w:t>
      </w:r>
      <w:r>
        <w:t xml:space="preserve">available </w:t>
      </w:r>
      <w:r w:rsidRPr="00A25EB5">
        <w:t>financial resources that effectively allow them to maintain, safeguard and protect their cultural heritage</w:t>
      </w:r>
      <w:r>
        <w:t>, including</w:t>
      </w:r>
      <w:r w:rsidRPr="00A25EB5">
        <w:t xml:space="preserve"> through</w:t>
      </w:r>
      <w:r>
        <w:t xml:space="preserve"> the</w:t>
      </w:r>
      <w:r w:rsidRPr="00A25EB5">
        <w:t xml:space="preserve"> recogni</w:t>
      </w:r>
      <w:r>
        <w:t>tion of</w:t>
      </w:r>
      <w:r w:rsidRPr="00A25EB5">
        <w:t xml:space="preserve"> indigenous peoples’ right to control and benefit from their natural resources, traditional knowledge and traditional cultural expressions.</w:t>
      </w:r>
      <w:r>
        <w:t xml:space="preserve"> </w:t>
      </w:r>
    </w:p>
    <w:p w:rsidR="008927C4" w:rsidRDefault="008927C4" w:rsidP="00AA6755">
      <w:pPr>
        <w:pStyle w:val="SingleTxtG"/>
        <w:numPr>
          <w:ilvl w:val="0"/>
          <w:numId w:val="28"/>
        </w:numPr>
        <w:ind w:left="1134" w:firstLine="0"/>
      </w:pPr>
      <w:r>
        <w:t>States should p</w:t>
      </w:r>
      <w:r w:rsidRPr="008D7983">
        <w:t xml:space="preserve">rovide measures for the revitalization and transmission of </w:t>
      </w:r>
      <w:r>
        <w:t>the</w:t>
      </w:r>
      <w:r w:rsidR="008C4436">
        <w:t xml:space="preserve"> </w:t>
      </w:r>
      <w:r>
        <w:t>cultural heritage of indigenous peoples</w:t>
      </w:r>
      <w:r w:rsidRPr="008D7983">
        <w:t xml:space="preserve"> in formal and informal education</w:t>
      </w:r>
      <w:r>
        <w:t>, including the promotion and protection of indigenous</w:t>
      </w:r>
      <w:r w:rsidRPr="00CA7E7E">
        <w:t xml:space="preserve"> peoples’ languages through effective mother tongue education for indigenous children. </w:t>
      </w:r>
    </w:p>
    <w:p w:rsidR="008927C4" w:rsidRDefault="008927C4" w:rsidP="00AA6755">
      <w:pPr>
        <w:pStyle w:val="SingleTxtG"/>
        <w:numPr>
          <w:ilvl w:val="0"/>
          <w:numId w:val="28"/>
        </w:numPr>
        <w:ind w:left="1134" w:firstLine="0"/>
      </w:pPr>
      <w:r w:rsidRPr="009061E6">
        <w:t xml:space="preserve">States should take effective measures to assess, redress and remedy the effects of past injustices and violations of </w:t>
      </w:r>
      <w:r>
        <w:t xml:space="preserve">the </w:t>
      </w:r>
      <w:r w:rsidRPr="009061E6">
        <w:t>rights</w:t>
      </w:r>
      <w:r>
        <w:t xml:space="preserve"> of indigenous peoples</w:t>
      </w:r>
      <w:r w:rsidRPr="009061E6">
        <w:t xml:space="preserve"> </w:t>
      </w:r>
      <w:r>
        <w:t>by</w:t>
      </w:r>
      <w:r w:rsidRPr="009061E6">
        <w:t xml:space="preserve"> ensuring the restitution and repatriation of their cultural heritage. </w:t>
      </w:r>
    </w:p>
    <w:p w:rsidR="008927C4" w:rsidRDefault="008927C4" w:rsidP="00AA6755">
      <w:pPr>
        <w:pStyle w:val="SingleTxtG"/>
        <w:numPr>
          <w:ilvl w:val="0"/>
          <w:numId w:val="28"/>
        </w:numPr>
        <w:ind w:left="1134" w:firstLine="0"/>
      </w:pPr>
      <w:r w:rsidRPr="008D7983">
        <w:t>Sta</w:t>
      </w:r>
      <w:r>
        <w:t>t</w:t>
      </w:r>
      <w:r w:rsidRPr="008D7983">
        <w:t xml:space="preserve">es should increase </w:t>
      </w:r>
      <w:r>
        <w:t>their financial support to</w:t>
      </w:r>
      <w:r w:rsidRPr="008D7983">
        <w:t xml:space="preserve"> museums </w:t>
      </w:r>
      <w:r>
        <w:t>that are owned and managed by</w:t>
      </w:r>
      <w:r w:rsidRPr="008D7983">
        <w:t xml:space="preserve"> indigenous people</w:t>
      </w:r>
      <w:r>
        <w:t>s,</w:t>
      </w:r>
      <w:r w:rsidRPr="008D7983">
        <w:t xml:space="preserve"> as part of the redress and repatriation process.</w:t>
      </w:r>
    </w:p>
    <w:p w:rsidR="008927C4" w:rsidRDefault="008927C4" w:rsidP="00AA6755">
      <w:pPr>
        <w:pStyle w:val="SingleTxtG"/>
        <w:numPr>
          <w:ilvl w:val="0"/>
          <w:numId w:val="28"/>
        </w:numPr>
        <w:ind w:left="1134" w:firstLine="0"/>
      </w:pPr>
      <w:r>
        <w:t>States should s</w:t>
      </w:r>
      <w:r w:rsidRPr="008D7983">
        <w:t xml:space="preserve">trengthen their legal </w:t>
      </w:r>
      <w:r>
        <w:t>and</w:t>
      </w:r>
      <w:r w:rsidRPr="008D7983">
        <w:t xml:space="preserve"> policy framework</w:t>
      </w:r>
      <w:r>
        <w:t>s</w:t>
      </w:r>
      <w:r w:rsidRPr="008D7983">
        <w:t xml:space="preserve"> to encourage public and private museums to reach out to indigenous communities </w:t>
      </w:r>
      <w:r>
        <w:t xml:space="preserve">in order </w:t>
      </w:r>
      <w:r w:rsidRPr="008D7983">
        <w:t>to better understand the impact of restoring stolen cultur</w:t>
      </w:r>
      <w:r>
        <w:t>al heritage</w:t>
      </w:r>
      <w:r w:rsidRPr="008D7983">
        <w:t>.</w:t>
      </w:r>
    </w:p>
    <w:p w:rsidR="008927C4" w:rsidRDefault="008927C4" w:rsidP="00AA6755">
      <w:pPr>
        <w:pStyle w:val="SingleTxtG"/>
        <w:numPr>
          <w:ilvl w:val="0"/>
          <w:numId w:val="28"/>
        </w:numPr>
        <w:ind w:left="1134" w:firstLine="0"/>
      </w:pPr>
      <w:r w:rsidRPr="008D7983">
        <w:t>States should ensure that investors and corporations respect the cultural heritage of indigenous peoples. Business</w:t>
      </w:r>
      <w:r>
        <w:t>es have</w:t>
      </w:r>
      <w:r w:rsidRPr="008D7983">
        <w:t xml:space="preserve"> a responsibility</w:t>
      </w:r>
      <w:r>
        <w:t xml:space="preserve"> to protect the right to cultural heritage; i</w:t>
      </w:r>
      <w:r w:rsidRPr="008D7983">
        <w:t>f operations have a negative impact on the reali</w:t>
      </w:r>
      <w:r w:rsidR="00A65565">
        <w:t>z</w:t>
      </w:r>
      <w:r w:rsidRPr="008D7983">
        <w:t>ation of that right</w:t>
      </w:r>
      <w:r>
        <w:t>,</w:t>
      </w:r>
      <w:r w:rsidRPr="008D7983">
        <w:t xml:space="preserve"> </w:t>
      </w:r>
      <w:r>
        <w:t>b</w:t>
      </w:r>
      <w:r w:rsidRPr="008D7983">
        <w:t>usiness</w:t>
      </w:r>
      <w:r>
        <w:t>es</w:t>
      </w:r>
      <w:r w:rsidRPr="008D7983">
        <w:t xml:space="preserve"> ha</w:t>
      </w:r>
      <w:r>
        <w:t>ve</w:t>
      </w:r>
      <w:r w:rsidRPr="008D7983">
        <w:t xml:space="preserve"> a responsibility to remedy that impact</w:t>
      </w:r>
      <w:r>
        <w:t>.</w:t>
      </w:r>
    </w:p>
    <w:p w:rsidR="008927C4" w:rsidRDefault="008927C4" w:rsidP="00AA6755">
      <w:pPr>
        <w:pStyle w:val="SingleTxtG"/>
        <w:numPr>
          <w:ilvl w:val="0"/>
          <w:numId w:val="28"/>
        </w:numPr>
        <w:ind w:left="1134" w:firstLine="0"/>
      </w:pPr>
      <w:r w:rsidRPr="00E85D5E">
        <w:t>States that have not already done so should ratify the Convention for the Safeguarding of the Intangible Cultural Heritage, as a measure to increase the protection afforded to indigenous peoples’ intangible cultural heritage.</w:t>
      </w:r>
    </w:p>
    <w:p w:rsidR="008927C4" w:rsidRDefault="008927C4" w:rsidP="008927C4">
      <w:pPr>
        <w:pStyle w:val="H1G"/>
      </w:pPr>
      <w:r>
        <w:tab/>
        <w:t>C.</w:t>
      </w:r>
      <w:r>
        <w:tab/>
        <w:t>Advice for international organizations</w:t>
      </w:r>
    </w:p>
    <w:p w:rsidR="008927C4" w:rsidRDefault="008927C4" w:rsidP="00AA6755">
      <w:pPr>
        <w:pStyle w:val="SingleTxtG"/>
        <w:numPr>
          <w:ilvl w:val="0"/>
          <w:numId w:val="28"/>
        </w:numPr>
        <w:ind w:left="1134" w:firstLine="0"/>
      </w:pPr>
      <w:r>
        <w:t>There is a need for better c</w:t>
      </w:r>
      <w:r w:rsidRPr="008D7983">
        <w:t>oordination and collaboration</w:t>
      </w:r>
      <w:r w:rsidRPr="00095A6B">
        <w:t xml:space="preserve"> </w:t>
      </w:r>
      <w:r w:rsidRPr="008D7983">
        <w:t xml:space="preserve">between institutions and agencies </w:t>
      </w:r>
      <w:r>
        <w:t>of</w:t>
      </w:r>
      <w:r w:rsidRPr="008D7983">
        <w:t xml:space="preserve"> the </w:t>
      </w:r>
      <w:r>
        <w:t>United Nations</w:t>
      </w:r>
      <w:r w:rsidRPr="008D7983">
        <w:t xml:space="preserve"> system</w:t>
      </w:r>
      <w:r>
        <w:t xml:space="preserve"> on matters relating to cultural heritage and its human rights dimensions</w:t>
      </w:r>
      <w:r w:rsidRPr="008D7983">
        <w:t xml:space="preserve"> </w:t>
      </w:r>
      <w:r>
        <w:t xml:space="preserve">so as </w:t>
      </w:r>
      <w:r w:rsidRPr="008D7983">
        <w:t xml:space="preserve">to </w:t>
      </w:r>
      <w:r>
        <w:t>increase coherence</w:t>
      </w:r>
      <w:r w:rsidRPr="008D7983">
        <w:t xml:space="preserve"> </w:t>
      </w:r>
      <w:r>
        <w:t>and avoid duplication of work. This issue</w:t>
      </w:r>
      <w:r w:rsidR="008C4436">
        <w:t xml:space="preserve"> </w:t>
      </w:r>
      <w:r>
        <w:t>could be addressed in the system-wide action plan on indigenous peoples that is currently being developed, as requested by the General Assembly in the outcome document of the World Conference on Indigenous Peoples.</w:t>
      </w:r>
      <w:r w:rsidRPr="008D7983">
        <w:t xml:space="preserve"> </w:t>
      </w:r>
    </w:p>
    <w:p w:rsidR="008927C4" w:rsidRDefault="008927C4" w:rsidP="00AA6755">
      <w:pPr>
        <w:pStyle w:val="SingleTxtG"/>
        <w:numPr>
          <w:ilvl w:val="0"/>
          <w:numId w:val="28"/>
        </w:numPr>
        <w:ind w:left="1134" w:firstLine="0"/>
      </w:pPr>
      <w:r w:rsidRPr="008D7983">
        <w:t>Relevant spe</w:t>
      </w:r>
      <w:r>
        <w:t>cial procedures should monitor S</w:t>
      </w:r>
      <w:r w:rsidRPr="008D7983">
        <w:t xml:space="preserve">tate policies on access to cultural heritage to ensure </w:t>
      </w:r>
      <w:r>
        <w:t xml:space="preserve">that </w:t>
      </w:r>
      <w:r w:rsidRPr="008D7983">
        <w:t xml:space="preserve">they respect the principles of the </w:t>
      </w:r>
      <w:r>
        <w:t>Declaration</w:t>
      </w:r>
      <w:r w:rsidRPr="008D7983">
        <w:t xml:space="preserve"> and that States act </w:t>
      </w:r>
      <w:r>
        <w:t xml:space="preserve">in </w:t>
      </w:r>
      <w:r w:rsidRPr="008D7983">
        <w:t>accord</w:t>
      </w:r>
      <w:r>
        <w:t>ance</w:t>
      </w:r>
      <w:r w:rsidRPr="008D7983">
        <w:t xml:space="preserve"> with </w:t>
      </w:r>
      <w:r>
        <w:t xml:space="preserve">the </w:t>
      </w:r>
      <w:r w:rsidRPr="008D7983">
        <w:t xml:space="preserve">provisions </w:t>
      </w:r>
      <w:r>
        <w:t xml:space="preserve">in the International Labour Organization Indigenous and Tribal Peoples Convention No. 169 </w:t>
      </w:r>
      <w:r w:rsidRPr="008D7983">
        <w:t xml:space="preserve">that protect cultural heritage. </w:t>
      </w:r>
    </w:p>
    <w:p w:rsidR="008927C4" w:rsidRDefault="008927C4" w:rsidP="00AA6755">
      <w:pPr>
        <w:pStyle w:val="SingleTxtG"/>
        <w:numPr>
          <w:ilvl w:val="0"/>
          <w:numId w:val="28"/>
        </w:numPr>
        <w:ind w:left="1134" w:firstLine="0"/>
      </w:pPr>
      <w:r>
        <w:t xml:space="preserve">International organizations working in the field of cultural heritage, such as UNESCO, the World Intellectual Property Organization (WIPO) and other United Nations specialized agencies, </w:t>
      </w:r>
      <w:r w:rsidR="000A5A7A">
        <w:t>must</w:t>
      </w:r>
      <w:r w:rsidRPr="008D7983">
        <w:t xml:space="preserve"> integrate and respect the rights proclaimed in the </w:t>
      </w:r>
      <w:r>
        <w:t>Declaration in their work</w:t>
      </w:r>
      <w:r w:rsidRPr="008D7983">
        <w:t xml:space="preserve">. This includes </w:t>
      </w:r>
      <w:r w:rsidR="000A5A7A">
        <w:t>obtaining</w:t>
      </w:r>
      <w:r>
        <w:t xml:space="preserve"> </w:t>
      </w:r>
      <w:r w:rsidR="000B5836">
        <w:t xml:space="preserve">the </w:t>
      </w:r>
      <w:r>
        <w:t xml:space="preserve">free, prior and informed consent </w:t>
      </w:r>
      <w:r w:rsidRPr="008D7983">
        <w:t>of indigenous peoples before any decision affecting their lands is taken.</w:t>
      </w:r>
      <w:r>
        <w:t xml:space="preserve"> </w:t>
      </w:r>
    </w:p>
    <w:p w:rsidR="008927C4" w:rsidRDefault="008927C4" w:rsidP="00AA6755">
      <w:pPr>
        <w:pStyle w:val="SingleTxtG"/>
        <w:numPr>
          <w:ilvl w:val="0"/>
          <w:numId w:val="28"/>
        </w:numPr>
        <w:ind w:left="1134" w:firstLine="0"/>
      </w:pPr>
      <w:r w:rsidRPr="00815562">
        <w:t>The World Heritage Committee should take effective measures to ensure that the protection</w:t>
      </w:r>
      <w:r>
        <w:t xml:space="preserve"> </w:t>
      </w:r>
      <w:r w:rsidRPr="00815562">
        <w:t>of World Heritage does not undermine indigenous peoples’ relationship with their traditional</w:t>
      </w:r>
      <w:r>
        <w:t xml:space="preserve"> </w:t>
      </w:r>
      <w:r w:rsidRPr="00815562">
        <w:t>lands, territories and resources, their livelihoods and their rights to protect, exercise and</w:t>
      </w:r>
      <w:r>
        <w:t xml:space="preserve"> </w:t>
      </w:r>
      <w:r w:rsidRPr="00815562">
        <w:t>develop their cultural heritage and expressions.</w:t>
      </w:r>
    </w:p>
    <w:p w:rsidR="008927C4" w:rsidRDefault="008927C4" w:rsidP="00AA6755">
      <w:pPr>
        <w:pStyle w:val="SingleTxtG"/>
        <w:numPr>
          <w:ilvl w:val="0"/>
          <w:numId w:val="28"/>
        </w:numPr>
        <w:ind w:left="1134" w:firstLine="0"/>
      </w:pPr>
      <w:r w:rsidRPr="008D7983">
        <w:t xml:space="preserve">The World Heritage Committee needs to review its current procedures and Operational Guidelines, with the full and effective participation of indigenous peoples, to ensure that the implementation of the World Heritage Convention is consistent with the </w:t>
      </w:r>
      <w:r>
        <w:t>Declaration.</w:t>
      </w:r>
    </w:p>
    <w:p w:rsidR="008927C4" w:rsidRDefault="008927C4" w:rsidP="00AA6755">
      <w:pPr>
        <w:pStyle w:val="SingleTxtG"/>
        <w:numPr>
          <w:ilvl w:val="0"/>
          <w:numId w:val="28"/>
        </w:numPr>
        <w:ind w:left="1134" w:firstLine="0"/>
      </w:pPr>
      <w:r w:rsidRPr="008D7983">
        <w:t xml:space="preserve">The World Heritage Committee should adopt changes to the criteria and regulations for the assessment of “outstanding universal value” </w:t>
      </w:r>
      <w:r>
        <w:t xml:space="preserve">so as </w:t>
      </w:r>
      <w:r w:rsidRPr="008D7983">
        <w:t>to ensure that the values assigned to World Heritage sites by indigenous peoples are fully and consistently recognized as part of their outstanding universal value.</w:t>
      </w:r>
    </w:p>
    <w:p w:rsidR="008927C4" w:rsidRDefault="008927C4" w:rsidP="00AA6755">
      <w:pPr>
        <w:pStyle w:val="SingleTxtG"/>
        <w:numPr>
          <w:ilvl w:val="0"/>
          <w:numId w:val="28"/>
        </w:numPr>
        <w:ind w:left="1134" w:firstLine="0"/>
      </w:pPr>
      <w:r w:rsidRPr="008D7983">
        <w:t>UNESCO and the World Heritage Committee should dedicate resources to the development of mechanisms to ensure that indigenous peoples can effectively participate in all World Heritage Convention processes affecting them and that their rights, priorities, values and needs are duly recognized, considered and reflected.</w:t>
      </w:r>
    </w:p>
    <w:p w:rsidR="008927C4" w:rsidRDefault="008927C4" w:rsidP="00AA6755">
      <w:pPr>
        <w:pStyle w:val="SingleTxtG"/>
        <w:numPr>
          <w:ilvl w:val="0"/>
          <w:numId w:val="28"/>
        </w:numPr>
        <w:ind w:left="1134" w:firstLine="0"/>
      </w:pPr>
      <w:r w:rsidRPr="00D05404">
        <w:t xml:space="preserve">UNESCO should strengthen its efforts to finalize </w:t>
      </w:r>
      <w:r>
        <w:t>its</w:t>
      </w:r>
      <w:r w:rsidRPr="00D05404">
        <w:t xml:space="preserve"> Policy on Indigenous Peoples, in</w:t>
      </w:r>
      <w:r>
        <w:t xml:space="preserve"> </w:t>
      </w:r>
      <w:r w:rsidRPr="00D05404">
        <w:t>cooperation with indigenous peoples and the three U</w:t>
      </w:r>
      <w:r>
        <w:t xml:space="preserve">nited </w:t>
      </w:r>
      <w:r w:rsidRPr="00D05404">
        <w:t>N</w:t>
      </w:r>
      <w:r>
        <w:t>ations</w:t>
      </w:r>
      <w:r w:rsidRPr="00D05404">
        <w:t xml:space="preserve"> mechanisms with specific mandates</w:t>
      </w:r>
      <w:r>
        <w:t xml:space="preserve"> </w:t>
      </w:r>
      <w:r w:rsidRPr="00D05404">
        <w:t xml:space="preserve">regarding </w:t>
      </w:r>
      <w:r>
        <w:t xml:space="preserve">the rights of </w:t>
      </w:r>
      <w:r w:rsidRPr="00D05404">
        <w:t>indigenous peoples.</w:t>
      </w:r>
    </w:p>
    <w:p w:rsidR="008927C4" w:rsidRDefault="008927C4" w:rsidP="00AA6755">
      <w:pPr>
        <w:pStyle w:val="SingleTxtG"/>
        <w:numPr>
          <w:ilvl w:val="0"/>
          <w:numId w:val="28"/>
        </w:numPr>
        <w:ind w:left="1134" w:firstLine="0"/>
      </w:pPr>
      <w:r w:rsidRPr="008D7983">
        <w:t xml:space="preserve">UNESCO should consider developing a </w:t>
      </w:r>
      <w:r>
        <w:t>c</w:t>
      </w:r>
      <w:r w:rsidRPr="008D7983">
        <w:t xml:space="preserve">harter on </w:t>
      </w:r>
      <w:r>
        <w:t>s</w:t>
      </w:r>
      <w:r w:rsidRPr="008D7983">
        <w:t xml:space="preserve">ports and </w:t>
      </w:r>
      <w:r w:rsidR="000A5A7A">
        <w:t>t</w:t>
      </w:r>
      <w:r w:rsidR="000A5A7A" w:rsidRPr="008D7983">
        <w:t xml:space="preserve">raditional </w:t>
      </w:r>
      <w:r>
        <w:t>g</w:t>
      </w:r>
      <w:r w:rsidRPr="008D7983">
        <w:t xml:space="preserve">ames that protects the cultural heritage of </w:t>
      </w:r>
      <w:r>
        <w:t>i</w:t>
      </w:r>
      <w:r w:rsidRPr="008D7983">
        <w:t xml:space="preserve">ndigenous </w:t>
      </w:r>
      <w:r>
        <w:t>p</w:t>
      </w:r>
      <w:r w:rsidRPr="008D7983">
        <w:t xml:space="preserve">eoples in the area of </w:t>
      </w:r>
      <w:r w:rsidR="008545E5">
        <w:t xml:space="preserve">sports and </w:t>
      </w:r>
      <w:r w:rsidRPr="008D7983">
        <w:t>traditional games.</w:t>
      </w:r>
    </w:p>
    <w:p w:rsidR="008927C4" w:rsidRDefault="008927C4" w:rsidP="00AA6755">
      <w:pPr>
        <w:pStyle w:val="SingleTxtG"/>
        <w:numPr>
          <w:ilvl w:val="0"/>
          <w:numId w:val="28"/>
        </w:numPr>
        <w:ind w:left="1134" w:firstLine="0"/>
      </w:pPr>
      <w:r>
        <w:t>United Nations</w:t>
      </w:r>
      <w:r w:rsidRPr="008D7983">
        <w:t xml:space="preserve"> </w:t>
      </w:r>
      <w:r>
        <w:t xml:space="preserve">institutions </w:t>
      </w:r>
      <w:r w:rsidRPr="008D7983">
        <w:t xml:space="preserve">should continue </w:t>
      </w:r>
      <w:r>
        <w:t xml:space="preserve">to </w:t>
      </w:r>
      <w:r w:rsidRPr="008D7983">
        <w:t xml:space="preserve">develop guidelines and other norms and practices </w:t>
      </w:r>
      <w:r>
        <w:t xml:space="preserve">aimed at </w:t>
      </w:r>
      <w:r w:rsidRPr="008D7983">
        <w:t>the protection and inclusion of traditional cultural heritage</w:t>
      </w:r>
      <w:r>
        <w:t>,</w:t>
      </w:r>
      <w:r w:rsidRPr="008D7983">
        <w:t xml:space="preserve"> </w:t>
      </w:r>
      <w:r>
        <w:t>including the role of</w:t>
      </w:r>
      <w:r w:rsidRPr="008D7983">
        <w:t xml:space="preserve"> </w:t>
      </w:r>
      <w:r>
        <w:t>traditional knowledge,</w:t>
      </w:r>
      <w:r w:rsidRPr="008D7983">
        <w:t xml:space="preserve"> in enhancing community resilience and sustainable development</w:t>
      </w:r>
      <w:r>
        <w:t>.</w:t>
      </w:r>
    </w:p>
    <w:p w:rsidR="008927C4" w:rsidRDefault="008927C4" w:rsidP="00AA6755">
      <w:pPr>
        <w:pStyle w:val="SingleTxtG"/>
        <w:numPr>
          <w:ilvl w:val="0"/>
          <w:numId w:val="28"/>
        </w:numPr>
        <w:ind w:left="1134" w:firstLine="0"/>
      </w:pPr>
      <w:r>
        <w:t xml:space="preserve">WIPO and its Intergovernmental Committee should ensure that indigenous peoples fully participate in the current negotiations and that their free, prior and informed consent is sought and obtained before any new international instruments for the protection of traditional knowledge is adopted. The process </w:t>
      </w:r>
      <w:r w:rsidRPr="00E45BB2">
        <w:t>in which laws governing the use of</w:t>
      </w:r>
      <w:r>
        <w:t xml:space="preserve"> traditional knowledge, cultural expressions and genetic resources </w:t>
      </w:r>
      <w:r w:rsidRPr="00E45BB2">
        <w:t xml:space="preserve">are developed </w:t>
      </w:r>
      <w:r>
        <w:t>needs to conform with the</w:t>
      </w:r>
      <w:r w:rsidRPr="00E45BB2">
        <w:t xml:space="preserve"> rights </w:t>
      </w:r>
      <w:r>
        <w:t xml:space="preserve">guaranteed </w:t>
      </w:r>
      <w:r w:rsidRPr="00E45BB2">
        <w:t xml:space="preserve">under the </w:t>
      </w:r>
      <w:r>
        <w:t>Declaration,</w:t>
      </w:r>
      <w:r w:rsidRPr="00E45BB2">
        <w:t xml:space="preserve"> particular</w:t>
      </w:r>
      <w:r w:rsidR="000A5A7A">
        <w:t>ly</w:t>
      </w:r>
      <w:r w:rsidRPr="00E45BB2">
        <w:t xml:space="preserve"> </w:t>
      </w:r>
      <w:r>
        <w:t>article </w:t>
      </w:r>
      <w:r w:rsidRPr="00E45BB2">
        <w:t>31.</w:t>
      </w:r>
    </w:p>
    <w:p w:rsidR="008927C4" w:rsidRDefault="008927C4" w:rsidP="00AA6755">
      <w:pPr>
        <w:pStyle w:val="SingleTxtG"/>
        <w:numPr>
          <w:ilvl w:val="0"/>
          <w:numId w:val="28"/>
        </w:numPr>
        <w:ind w:left="1134" w:firstLine="0"/>
      </w:pPr>
      <w:r w:rsidRPr="008D7983">
        <w:t xml:space="preserve">The Human Rights Council should </w:t>
      </w:r>
      <w:r>
        <w:t>consider</w:t>
      </w:r>
      <w:r w:rsidRPr="008D7983">
        <w:t xml:space="preserve"> calling for an immediate hal</w:t>
      </w:r>
      <w:r>
        <w:t xml:space="preserve">t to any removal of </w:t>
      </w:r>
      <w:r w:rsidRPr="008D7983">
        <w:t xml:space="preserve">ancestral remains and cultural items </w:t>
      </w:r>
      <w:r>
        <w:t>indigenous p</w:t>
      </w:r>
      <w:r w:rsidRPr="008D7983">
        <w:t>eoples for any reason</w:t>
      </w:r>
      <w:r>
        <w:t>,</w:t>
      </w:r>
      <w:r w:rsidRPr="008D7983">
        <w:t xml:space="preserve"> unless</w:t>
      </w:r>
      <w:r>
        <w:t xml:space="preserve"> their</w:t>
      </w:r>
      <w:r w:rsidRPr="008D7983">
        <w:t xml:space="preserve"> </w:t>
      </w:r>
      <w:r>
        <w:t>free, prior and informed consent</w:t>
      </w:r>
      <w:r w:rsidRPr="008D7983">
        <w:t xml:space="preserve"> is </w:t>
      </w:r>
      <w:r>
        <w:t>obtained.</w:t>
      </w:r>
    </w:p>
    <w:p w:rsidR="008927C4" w:rsidRDefault="008927C4" w:rsidP="008927C4">
      <w:pPr>
        <w:pStyle w:val="H1G"/>
      </w:pPr>
      <w:r>
        <w:tab/>
        <w:t>D.</w:t>
      </w:r>
      <w:r>
        <w:tab/>
        <w:t>Advice for indigenous peoples</w:t>
      </w:r>
    </w:p>
    <w:p w:rsidR="008927C4" w:rsidRPr="00CC5AB0" w:rsidRDefault="008927C4" w:rsidP="00AA6755">
      <w:pPr>
        <w:pStyle w:val="SingleTxtG"/>
        <w:numPr>
          <w:ilvl w:val="0"/>
          <w:numId w:val="28"/>
        </w:numPr>
        <w:ind w:left="1134" w:firstLine="0"/>
      </w:pPr>
      <w:r>
        <w:t>Indigenous peoples are the primary k</w:t>
      </w:r>
      <w:r w:rsidRPr="000E190E">
        <w:t xml:space="preserve">eepers of </w:t>
      </w:r>
      <w:r>
        <w:t>their</w:t>
      </w:r>
      <w:r w:rsidRPr="000E190E">
        <w:t xml:space="preserve"> cultural heritage</w:t>
      </w:r>
      <w:r>
        <w:t xml:space="preserve">. As such they have an active role to play in its preservation, transmission and revitalization. </w:t>
      </w:r>
    </w:p>
    <w:p w:rsidR="008927C4" w:rsidRDefault="008927C4" w:rsidP="00AA6755">
      <w:pPr>
        <w:pStyle w:val="SingleTxtG"/>
        <w:numPr>
          <w:ilvl w:val="0"/>
          <w:numId w:val="28"/>
        </w:numPr>
        <w:ind w:left="1134" w:firstLine="0"/>
      </w:pPr>
      <w:r>
        <w:t>Indigenous peoples should ensure the equal participation of women in discussions and decisions on cultural heritage at the level of the community.</w:t>
      </w:r>
    </w:p>
    <w:p w:rsidR="008927C4" w:rsidRDefault="008927C4" w:rsidP="00AA6755">
      <w:pPr>
        <w:pStyle w:val="SingleTxtG"/>
        <w:numPr>
          <w:ilvl w:val="0"/>
          <w:numId w:val="28"/>
        </w:numPr>
        <w:ind w:left="1134" w:firstLine="0"/>
      </w:pPr>
      <w:r w:rsidRPr="00CC5AB0">
        <w:t xml:space="preserve">Indigenous peoples should engage and take an active part in </w:t>
      </w:r>
      <w:r>
        <w:t xml:space="preserve">international fora related to the protection of cultural heritage, notably under the aegis of </w:t>
      </w:r>
      <w:r w:rsidRPr="00CC5AB0">
        <w:t>WIPO and UNESCO.</w:t>
      </w:r>
    </w:p>
    <w:p w:rsidR="008927C4" w:rsidRDefault="008927C4" w:rsidP="00AA6755">
      <w:pPr>
        <w:pStyle w:val="SingleTxtG"/>
        <w:numPr>
          <w:ilvl w:val="0"/>
          <w:numId w:val="28"/>
        </w:numPr>
        <w:ind w:left="1134" w:firstLine="0"/>
      </w:pPr>
      <w:r w:rsidRPr="00CC5AB0">
        <w:t xml:space="preserve">Indigenous peoples should </w:t>
      </w:r>
      <w:r>
        <w:t>participate in</w:t>
      </w:r>
      <w:r w:rsidRPr="00CC5AB0">
        <w:t xml:space="preserve"> the practical Workshops for Indigenous Peoples and Local Communities on intellectual property, </w:t>
      </w:r>
      <w:r>
        <w:t>traditional knowledge</w:t>
      </w:r>
      <w:r w:rsidRPr="00CC5AB0">
        <w:t xml:space="preserve"> and </w:t>
      </w:r>
      <w:r>
        <w:t>traditional cultural expressions that</w:t>
      </w:r>
      <w:r w:rsidRPr="00CC5AB0">
        <w:t xml:space="preserve"> are organized by WIPO, which impart knowledge of the main principles of the </w:t>
      </w:r>
      <w:r>
        <w:t xml:space="preserve">intellectual property </w:t>
      </w:r>
      <w:r w:rsidRPr="00CC5AB0">
        <w:t xml:space="preserve">system, and explain, among other things, the rationale, objectives and methodology of the negotiations that are </w:t>
      </w:r>
      <w:r>
        <w:t>currently being conducted by the Intergovernmental Committee.</w:t>
      </w:r>
    </w:p>
    <w:p w:rsidR="008927C4" w:rsidRDefault="008927C4" w:rsidP="00AA6755">
      <w:pPr>
        <w:pStyle w:val="SingleTxtG"/>
        <w:numPr>
          <w:ilvl w:val="0"/>
          <w:numId w:val="28"/>
        </w:numPr>
        <w:ind w:left="1134" w:firstLine="0"/>
      </w:pPr>
      <w:r w:rsidRPr="00CC5AB0">
        <w:t>Indigenous peoples should participate actively to educate</w:t>
      </w:r>
      <w:r>
        <w:t xml:space="preserve"> the</w:t>
      </w:r>
      <w:r w:rsidRPr="00CC5AB0">
        <w:t xml:space="preserve"> non-indigenous population </w:t>
      </w:r>
      <w:r>
        <w:t>about</w:t>
      </w:r>
      <w:r w:rsidRPr="00CC5AB0">
        <w:t xml:space="preserve"> the importance of </w:t>
      </w:r>
      <w:r>
        <w:t xml:space="preserve">the </w:t>
      </w:r>
      <w:r w:rsidRPr="00CC5AB0">
        <w:t xml:space="preserve">collective protection of </w:t>
      </w:r>
      <w:r>
        <w:t xml:space="preserve">the heritage of </w:t>
      </w:r>
      <w:r w:rsidRPr="00CC5AB0">
        <w:t xml:space="preserve">indigenous </w:t>
      </w:r>
      <w:r>
        <w:t>peoples.</w:t>
      </w:r>
    </w:p>
    <w:p w:rsidR="008927C4" w:rsidRDefault="008927C4" w:rsidP="00AA6755">
      <w:pPr>
        <w:pStyle w:val="SingleTxtG"/>
        <w:numPr>
          <w:ilvl w:val="0"/>
          <w:numId w:val="28"/>
        </w:numPr>
        <w:ind w:left="1134" w:firstLine="0"/>
      </w:pPr>
      <w:r>
        <w:t>Indigenous peoples should ensure the inter-generational transmission of their cultural heritage within their communities.</w:t>
      </w:r>
    </w:p>
    <w:p w:rsidR="008927C4" w:rsidRDefault="008927C4" w:rsidP="00A65565">
      <w:pPr>
        <w:pStyle w:val="H1G"/>
      </w:pPr>
      <w:r>
        <w:tab/>
        <w:t>E.</w:t>
      </w:r>
      <w:r>
        <w:tab/>
        <w:t xml:space="preserve">Advice for </w:t>
      </w:r>
      <w:r w:rsidR="00A65565">
        <w:t>m</w:t>
      </w:r>
      <w:r>
        <w:t>useums</w:t>
      </w:r>
    </w:p>
    <w:p w:rsidR="008927C4" w:rsidRPr="00CE680C" w:rsidRDefault="008927C4" w:rsidP="00AA6755">
      <w:pPr>
        <w:pStyle w:val="SingleTxtG"/>
        <w:numPr>
          <w:ilvl w:val="0"/>
          <w:numId w:val="28"/>
        </w:numPr>
        <w:ind w:left="1134" w:firstLine="0"/>
      </w:pPr>
      <w:r w:rsidRPr="00C524D8">
        <w:t xml:space="preserve">Museums and other places in which </w:t>
      </w:r>
      <w:r>
        <w:t xml:space="preserve">the </w:t>
      </w:r>
      <w:r w:rsidRPr="00C524D8">
        <w:t>cultural heritage</w:t>
      </w:r>
      <w:r>
        <w:t xml:space="preserve"> of indigenous peoples</w:t>
      </w:r>
      <w:r w:rsidRPr="00C524D8">
        <w:t xml:space="preserve"> is stored should inform the relevant indigenous peoples and develop mechanisms to facilitate the return of such cultural heritage whe</w:t>
      </w:r>
      <w:r>
        <w:t>n</w:t>
      </w:r>
      <w:r w:rsidRPr="00C524D8">
        <w:t xml:space="preserve"> sought by the indigenous peoples concerned</w:t>
      </w:r>
      <w:r w:rsidRPr="00AA6755">
        <w:rPr>
          <w:bCs/>
        </w:rPr>
        <w:t>.</w:t>
      </w:r>
    </w:p>
    <w:p w:rsidR="008927C4" w:rsidRPr="00410613" w:rsidRDefault="008927C4" w:rsidP="008927C4">
      <w:pPr>
        <w:pStyle w:val="Bullet1G"/>
        <w:numPr>
          <w:ilvl w:val="0"/>
          <w:numId w:val="0"/>
        </w:numPr>
        <w:tabs>
          <w:tab w:val="left" w:pos="1701"/>
        </w:tabs>
        <w:spacing w:before="240" w:after="0"/>
        <w:ind w:left="1134"/>
        <w:jc w:val="center"/>
        <w:rPr>
          <w:u w:val="single"/>
          <w:lang w:val="en-US"/>
        </w:rPr>
      </w:pPr>
      <w:r>
        <w:rPr>
          <w:u w:val="single"/>
          <w:lang w:val="en-US"/>
        </w:rPr>
        <w:tab/>
      </w:r>
      <w:r>
        <w:rPr>
          <w:u w:val="single"/>
          <w:lang w:val="en-US"/>
        </w:rPr>
        <w:tab/>
      </w:r>
      <w:r>
        <w:rPr>
          <w:u w:val="single"/>
          <w:lang w:val="en-US"/>
        </w:rPr>
        <w:tab/>
      </w:r>
    </w:p>
    <w:sectPr w:rsidR="008927C4" w:rsidRPr="00410613" w:rsidSect="00A42BA9">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F5E" w:rsidRDefault="00E53F5E"/>
  </w:endnote>
  <w:endnote w:type="continuationSeparator" w:id="0">
    <w:p w:rsidR="00E53F5E" w:rsidRDefault="00E53F5E"/>
  </w:endnote>
  <w:endnote w:type="continuationNotice" w:id="1">
    <w:p w:rsidR="00E53F5E" w:rsidRDefault="00E5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CMEMG+TimesNewRoman,Italic">
    <w:altName w:val="SimSun"/>
    <w:panose1 w:val="00000000000000000000"/>
    <w:charset w:val="86"/>
    <w:family w:val="roman"/>
    <w:notTrueType/>
    <w:pitch w:val="default"/>
    <w:sig w:usb0="00000001" w:usb1="080E0000" w:usb2="00000010" w:usb3="00000000" w:csb0="00040000" w:csb1="00000000"/>
  </w:font>
  <w:font w:name="ACMEKE+TimesNewRoman">
    <w:altName w:val="SimSun"/>
    <w:panose1 w:val="00000000000000000000"/>
    <w:charset w:val="86"/>
    <w:family w:val="roman"/>
    <w:notTrueType/>
    <w:pitch w:val="default"/>
    <w:sig w:usb0="00000001" w:usb1="080E0000" w:usb2="00000010" w:usb3="00000000" w:csb0="00040000" w:csb1="00000000"/>
  </w:font>
  <w:font w:name="Barcode 3 of 9 by request">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C7" w:rsidRPr="004A3D85" w:rsidRDefault="00B452C7" w:rsidP="004A3D85">
    <w:pPr>
      <w:pStyle w:val="Footer"/>
      <w:tabs>
        <w:tab w:val="right" w:pos="9638"/>
      </w:tabs>
    </w:pPr>
    <w:r w:rsidRPr="004A3D85">
      <w:rPr>
        <w:b/>
        <w:sz w:val="18"/>
      </w:rPr>
      <w:fldChar w:fldCharType="begin"/>
    </w:r>
    <w:r w:rsidRPr="004A3D85">
      <w:rPr>
        <w:b/>
        <w:sz w:val="18"/>
      </w:rPr>
      <w:instrText xml:space="preserve"> PAGE  \* MERGEFORMAT </w:instrText>
    </w:r>
    <w:r w:rsidRPr="004A3D85">
      <w:rPr>
        <w:b/>
        <w:sz w:val="18"/>
      </w:rPr>
      <w:fldChar w:fldCharType="separate"/>
    </w:r>
    <w:r w:rsidR="00464E52">
      <w:rPr>
        <w:b/>
        <w:noProof/>
        <w:sz w:val="18"/>
      </w:rPr>
      <w:t>24</w:t>
    </w:r>
    <w:r w:rsidRPr="004A3D85">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C7" w:rsidRPr="004A3D85" w:rsidRDefault="00B452C7" w:rsidP="004A3D85">
    <w:pPr>
      <w:pStyle w:val="Footer"/>
      <w:tabs>
        <w:tab w:val="right" w:pos="9638"/>
      </w:tabs>
      <w:rPr>
        <w:b/>
        <w:sz w:val="18"/>
      </w:rPr>
    </w:pPr>
    <w:r>
      <w:tab/>
    </w:r>
    <w:r w:rsidRPr="004A3D85">
      <w:rPr>
        <w:b/>
        <w:sz w:val="18"/>
      </w:rPr>
      <w:fldChar w:fldCharType="begin"/>
    </w:r>
    <w:r w:rsidRPr="004A3D85">
      <w:rPr>
        <w:b/>
        <w:sz w:val="18"/>
      </w:rPr>
      <w:instrText xml:space="preserve"> PAGE  \* MERGEFORMAT </w:instrText>
    </w:r>
    <w:r w:rsidRPr="004A3D85">
      <w:rPr>
        <w:b/>
        <w:sz w:val="18"/>
      </w:rPr>
      <w:fldChar w:fldCharType="separate"/>
    </w:r>
    <w:r w:rsidR="00464E52">
      <w:rPr>
        <w:b/>
        <w:noProof/>
        <w:sz w:val="18"/>
      </w:rPr>
      <w:t>23</w:t>
    </w:r>
    <w:r w:rsidRPr="004A3D85">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42BA9" w:rsidTr="00A42BA9">
      <w:tc>
        <w:tcPr>
          <w:tcW w:w="3614" w:type="dxa"/>
          <w:shd w:val="clear" w:color="auto" w:fill="auto"/>
        </w:tcPr>
        <w:p w:rsidR="00A42BA9" w:rsidRDefault="00A42BA9" w:rsidP="00A42BA9">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GE.15-14053(E)</w:t>
          </w:r>
        </w:p>
        <w:p w:rsidR="00A42BA9" w:rsidRPr="00A42BA9" w:rsidRDefault="00A42BA9" w:rsidP="00A42BA9">
          <w:pPr>
            <w:pStyle w:val="Footer"/>
            <w:rPr>
              <w:rFonts w:ascii="Barcode 3 of 9 by request" w:hAnsi="Barcode 3 of 9 by request"/>
              <w:sz w:val="24"/>
            </w:rPr>
          </w:pPr>
          <w:r>
            <w:rPr>
              <w:rFonts w:ascii="Barcode 3 of 9 by request" w:hAnsi="Barcode 3 of 9 by request"/>
              <w:sz w:val="24"/>
            </w:rPr>
            <w:t>*1514053*</w:t>
          </w:r>
        </w:p>
      </w:tc>
      <w:tc>
        <w:tcPr>
          <w:tcW w:w="4752" w:type="dxa"/>
          <w:shd w:val="clear" w:color="auto" w:fill="auto"/>
        </w:tcPr>
        <w:p w:rsidR="00A42BA9" w:rsidRDefault="00A42BA9" w:rsidP="00A42BA9">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42BA9" w:rsidRPr="00A42BA9" w:rsidRDefault="00A42BA9" w:rsidP="00A42BA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F5E" w:rsidRPr="000B175B" w:rsidRDefault="00E53F5E" w:rsidP="000B175B">
      <w:pPr>
        <w:tabs>
          <w:tab w:val="right" w:pos="2155"/>
        </w:tabs>
        <w:spacing w:after="80"/>
        <w:ind w:left="680"/>
        <w:rPr>
          <w:u w:val="single"/>
        </w:rPr>
      </w:pPr>
      <w:r>
        <w:rPr>
          <w:u w:val="single"/>
        </w:rPr>
        <w:tab/>
      </w:r>
    </w:p>
  </w:footnote>
  <w:footnote w:type="continuationSeparator" w:id="0">
    <w:p w:rsidR="00E53F5E" w:rsidRPr="00FC68B7" w:rsidRDefault="00E53F5E" w:rsidP="00FC68B7">
      <w:pPr>
        <w:tabs>
          <w:tab w:val="left" w:pos="2155"/>
        </w:tabs>
        <w:spacing w:after="80"/>
        <w:ind w:left="680"/>
        <w:rPr>
          <w:u w:val="single"/>
        </w:rPr>
      </w:pPr>
      <w:r>
        <w:rPr>
          <w:u w:val="single"/>
        </w:rPr>
        <w:tab/>
      </w:r>
    </w:p>
  </w:footnote>
  <w:footnote w:type="continuationNotice" w:id="1">
    <w:p w:rsidR="00E53F5E" w:rsidRDefault="00E53F5E"/>
  </w:footnote>
  <w:footnote w:id="2">
    <w:p w:rsidR="00B452C7" w:rsidRPr="00FB5641" w:rsidRDefault="00B452C7" w:rsidP="008927C4">
      <w:pPr>
        <w:pStyle w:val="FootnoteText"/>
      </w:pPr>
      <w:r>
        <w:rPr>
          <w:rFonts w:eastAsia="MS Mincho"/>
        </w:rPr>
        <w:tab/>
      </w:r>
      <w:r w:rsidRPr="00FB5641">
        <w:rPr>
          <w:rStyle w:val="FootnoteReference"/>
          <w:szCs w:val="18"/>
        </w:rPr>
        <w:footnoteRef/>
      </w:r>
      <w:r>
        <w:rPr>
          <w:rFonts w:eastAsia="MS Mincho"/>
        </w:rPr>
        <w:tab/>
        <w:t xml:space="preserve">See </w:t>
      </w:r>
      <w:r w:rsidRPr="00FB5641">
        <w:rPr>
          <w:rFonts w:eastAsia="MS Mincho"/>
        </w:rPr>
        <w:t>www.ohchr.org/EN/Issues/IPeoples/EMRIP/Pages/Studyonculturalheritage.aspx</w:t>
      </w:r>
      <w:r>
        <w:rPr>
          <w:rFonts w:eastAsia="MS Mincho"/>
        </w:rPr>
        <w:t>.</w:t>
      </w:r>
    </w:p>
  </w:footnote>
  <w:footnote w:id="3">
    <w:p w:rsidR="00B452C7" w:rsidRPr="00FB5641" w:rsidRDefault="00B452C7" w:rsidP="001D2B9B">
      <w:pPr>
        <w:pStyle w:val="FootnoteText"/>
        <w:jc w:val="both"/>
        <w:rPr>
          <w:szCs w:val="18"/>
        </w:rPr>
      </w:pPr>
      <w:r>
        <w:rPr>
          <w:szCs w:val="18"/>
        </w:rPr>
        <w:tab/>
      </w:r>
      <w:r w:rsidRPr="00FB5641">
        <w:rPr>
          <w:rStyle w:val="FootnoteReference"/>
          <w:szCs w:val="18"/>
        </w:rPr>
        <w:footnoteRef/>
      </w:r>
      <w:r>
        <w:rPr>
          <w:szCs w:val="18"/>
        </w:rPr>
        <w:tab/>
        <w:t xml:space="preserve">See </w:t>
      </w:r>
      <w:r w:rsidR="00196E21">
        <w:rPr>
          <w:szCs w:val="18"/>
        </w:rPr>
        <w:t xml:space="preserve">the </w:t>
      </w:r>
      <w:r>
        <w:rPr>
          <w:szCs w:val="18"/>
        </w:rPr>
        <w:t>s</w:t>
      </w:r>
      <w:r w:rsidRPr="00FB5641">
        <w:rPr>
          <w:szCs w:val="18"/>
        </w:rPr>
        <w:t>ubmission</w:t>
      </w:r>
      <w:r>
        <w:rPr>
          <w:szCs w:val="18"/>
        </w:rPr>
        <w:t xml:space="preserve"> from the</w:t>
      </w:r>
      <w:r w:rsidRPr="00FB5641">
        <w:rPr>
          <w:szCs w:val="18"/>
        </w:rPr>
        <w:t xml:space="preserve"> Asia Indigenous Peoples</w:t>
      </w:r>
      <w:r>
        <w:rPr>
          <w:szCs w:val="18"/>
        </w:rPr>
        <w:t>’</w:t>
      </w:r>
      <w:r w:rsidRPr="00FB5641">
        <w:rPr>
          <w:szCs w:val="18"/>
        </w:rPr>
        <w:t xml:space="preserve"> Pact.</w:t>
      </w:r>
    </w:p>
  </w:footnote>
  <w:footnote w:id="4">
    <w:p w:rsidR="00B452C7" w:rsidRPr="00FB5641" w:rsidRDefault="00B452C7">
      <w:pPr>
        <w:pStyle w:val="FootnoteText"/>
        <w:jc w:val="both"/>
        <w:rPr>
          <w:szCs w:val="18"/>
        </w:rPr>
      </w:pPr>
      <w:r>
        <w:rPr>
          <w:szCs w:val="18"/>
        </w:rPr>
        <w:tab/>
      </w:r>
      <w:r w:rsidRPr="00FB5641">
        <w:rPr>
          <w:rStyle w:val="FootnoteReference"/>
          <w:szCs w:val="18"/>
        </w:rPr>
        <w:footnoteRef/>
      </w:r>
      <w:r>
        <w:rPr>
          <w:szCs w:val="18"/>
        </w:rPr>
        <w:tab/>
        <w:t>See</w:t>
      </w:r>
      <w:r w:rsidR="00196E21">
        <w:rPr>
          <w:szCs w:val="18"/>
        </w:rPr>
        <w:t xml:space="preserve"> the</w:t>
      </w:r>
      <w:r>
        <w:rPr>
          <w:szCs w:val="18"/>
        </w:rPr>
        <w:t xml:space="preserve"> s</w:t>
      </w:r>
      <w:r w:rsidRPr="00FB5641">
        <w:rPr>
          <w:szCs w:val="18"/>
        </w:rPr>
        <w:t>ubmission</w:t>
      </w:r>
      <w:r>
        <w:rPr>
          <w:szCs w:val="18"/>
        </w:rPr>
        <w:t xml:space="preserve"> from the</w:t>
      </w:r>
      <w:r w:rsidRPr="00FB5641">
        <w:rPr>
          <w:szCs w:val="18"/>
        </w:rPr>
        <w:t xml:space="preserve"> International Indian Treaty Council.</w:t>
      </w:r>
    </w:p>
  </w:footnote>
  <w:footnote w:id="5">
    <w:p w:rsidR="00B452C7" w:rsidRPr="00FB5641" w:rsidRDefault="00B452C7" w:rsidP="008927C4">
      <w:pPr>
        <w:pStyle w:val="FootnoteText"/>
      </w:pPr>
      <w:r w:rsidRPr="00F35BFB">
        <w:tab/>
      </w:r>
      <w:r w:rsidRPr="00FB5641">
        <w:rPr>
          <w:rStyle w:val="FootnoteReference"/>
          <w:szCs w:val="18"/>
        </w:rPr>
        <w:footnoteRef/>
      </w:r>
      <w:r w:rsidRPr="00F35BFB">
        <w:tab/>
        <w:t xml:space="preserve">Committee on Economic, Social and Cultural Rights, general comment No. </w:t>
      </w:r>
      <w:r>
        <w:t xml:space="preserve">21 (2009), </w:t>
      </w:r>
      <w:r w:rsidRPr="00F35BFB">
        <w:t>para. </w:t>
      </w:r>
      <w:r w:rsidRPr="00FB5641">
        <w:t>50.</w:t>
      </w:r>
    </w:p>
  </w:footnote>
  <w:footnote w:id="6">
    <w:p w:rsidR="00B452C7" w:rsidRPr="002D3CB9" w:rsidRDefault="00B452C7" w:rsidP="00CB5E7F">
      <w:pPr>
        <w:pStyle w:val="FootnoteText"/>
      </w:pPr>
      <w:r>
        <w:tab/>
      </w:r>
      <w:r>
        <w:rPr>
          <w:rStyle w:val="FootnoteReference"/>
        </w:rPr>
        <w:footnoteRef/>
      </w:r>
      <w:r>
        <w:t xml:space="preserve"> </w:t>
      </w:r>
      <w:r>
        <w:tab/>
        <w:t xml:space="preserve">Jérémie Gilbert, </w:t>
      </w:r>
      <w:r w:rsidRPr="00F35BFB">
        <w:rPr>
          <w:i/>
          <w:iCs/>
        </w:rPr>
        <w:t>Indigenous Peoples’ Land Rights under International Law: From Victims to Actors</w:t>
      </w:r>
      <w:r>
        <w:t xml:space="preserve"> (</w:t>
      </w:r>
      <w:r w:rsidR="004F42B4">
        <w:t xml:space="preserve">Ardsley, </w:t>
      </w:r>
      <w:r>
        <w:t>New York, Transnational Publishers Inc., 2006), p. 115.</w:t>
      </w:r>
    </w:p>
  </w:footnote>
  <w:footnote w:id="7">
    <w:p w:rsidR="00B452C7" w:rsidRPr="00F35BFB" w:rsidRDefault="00B452C7" w:rsidP="008927C4">
      <w:pPr>
        <w:pStyle w:val="FootnoteText"/>
      </w:pPr>
      <w:r w:rsidRPr="00F35BFB">
        <w:tab/>
      </w:r>
      <w:r w:rsidRPr="005B1B11">
        <w:rPr>
          <w:rStyle w:val="FootnoteReference"/>
          <w:szCs w:val="18"/>
        </w:rPr>
        <w:footnoteRef/>
      </w:r>
      <w:r w:rsidRPr="00F35BFB">
        <w:tab/>
        <w:t>See</w:t>
      </w:r>
      <w:r>
        <w:t>,</w:t>
      </w:r>
      <w:r w:rsidRPr="00F35BFB">
        <w:t xml:space="preserve"> </w:t>
      </w:r>
      <w:r>
        <w:t xml:space="preserve">for example, </w:t>
      </w:r>
      <w:r w:rsidRPr="00F35BFB">
        <w:t xml:space="preserve">Human Rights Committee, communication No. 511/1992, </w:t>
      </w:r>
      <w:r w:rsidRPr="004F42B4">
        <w:rPr>
          <w:i/>
          <w:iCs/>
        </w:rPr>
        <w:t>Länsman et al. v.</w:t>
      </w:r>
      <w:r w:rsidRPr="00F35BFB">
        <w:rPr>
          <w:i/>
          <w:iCs/>
        </w:rPr>
        <w:t xml:space="preserve"> Finland</w:t>
      </w:r>
      <w:r>
        <w:t xml:space="preserve">, Views adopted on 26 October 1994, </w:t>
      </w:r>
      <w:r w:rsidRPr="00F35BFB">
        <w:t>para. 9.3.</w:t>
      </w:r>
    </w:p>
  </w:footnote>
  <w:footnote w:id="8">
    <w:p w:rsidR="00B452C7" w:rsidRPr="00F35BFB" w:rsidRDefault="00B452C7" w:rsidP="008927C4">
      <w:pPr>
        <w:pStyle w:val="FootnoteText"/>
      </w:pPr>
      <w:r w:rsidRPr="00F35BFB">
        <w:tab/>
      </w:r>
      <w:r w:rsidRPr="005B1B11">
        <w:rPr>
          <w:rStyle w:val="FootnoteReference"/>
          <w:szCs w:val="18"/>
        </w:rPr>
        <w:footnoteRef/>
      </w:r>
      <w:r w:rsidRPr="00F35BFB">
        <w:tab/>
      </w:r>
      <w:r>
        <w:t xml:space="preserve">See the Committee’s general comments No. 17 (2005) and No. </w:t>
      </w:r>
      <w:r w:rsidRPr="00F35BFB">
        <w:t>21</w:t>
      </w:r>
      <w:r>
        <w:t xml:space="preserve"> (2009)</w:t>
      </w:r>
      <w:r w:rsidRPr="00F35BFB">
        <w:t xml:space="preserve">. </w:t>
      </w:r>
    </w:p>
  </w:footnote>
  <w:footnote w:id="9">
    <w:p w:rsidR="00B452C7" w:rsidRPr="00AA6755" w:rsidRDefault="00B452C7" w:rsidP="008927C4">
      <w:pPr>
        <w:pStyle w:val="FootnoteText"/>
        <w:rPr>
          <w:lang w:val="es-PA"/>
        </w:rPr>
      </w:pPr>
      <w:r w:rsidRPr="00F532A0">
        <w:tab/>
      </w:r>
      <w:r w:rsidRPr="00FB5641">
        <w:rPr>
          <w:rStyle w:val="FootnoteReference"/>
          <w:szCs w:val="18"/>
        </w:rPr>
        <w:footnoteRef/>
      </w:r>
      <w:r w:rsidRPr="00794203">
        <w:tab/>
      </w:r>
      <w:r>
        <w:t>Committee on the Elimination of Racial Discrimination, g</w:t>
      </w:r>
      <w:r w:rsidRPr="00F35BFB">
        <w:rPr>
          <w:bCs/>
        </w:rPr>
        <w:t>ene</w:t>
      </w:r>
      <w:r w:rsidRPr="00F51C41">
        <w:rPr>
          <w:bCs/>
        </w:rPr>
        <w:t xml:space="preserve">ral </w:t>
      </w:r>
      <w:r>
        <w:rPr>
          <w:bCs/>
        </w:rPr>
        <w:t>r</w:t>
      </w:r>
      <w:r w:rsidRPr="00F51C41">
        <w:rPr>
          <w:bCs/>
        </w:rPr>
        <w:t xml:space="preserve">ecommendation </w:t>
      </w:r>
      <w:r>
        <w:rPr>
          <w:bCs/>
        </w:rPr>
        <w:t>No. 23 (1997)</w:t>
      </w:r>
      <w:r w:rsidR="00246ABF">
        <w:rPr>
          <w:bCs/>
        </w:rPr>
        <w:t xml:space="preserve">, para. </w:t>
      </w:r>
      <w:r w:rsidR="00246ABF" w:rsidRPr="00AA6755">
        <w:rPr>
          <w:bCs/>
          <w:lang w:val="es-PA"/>
        </w:rPr>
        <w:t>3</w:t>
      </w:r>
      <w:r w:rsidRPr="00AA6755">
        <w:rPr>
          <w:lang w:val="es-PA"/>
        </w:rPr>
        <w:t>.</w:t>
      </w:r>
    </w:p>
  </w:footnote>
  <w:footnote w:id="10">
    <w:p w:rsidR="00B452C7" w:rsidRPr="00A057AC" w:rsidRDefault="00B452C7" w:rsidP="008927C4">
      <w:pPr>
        <w:pStyle w:val="FootnoteText"/>
        <w:rPr>
          <w:lang w:val="es-ES"/>
        </w:rPr>
      </w:pPr>
      <w:r>
        <w:rPr>
          <w:lang w:val="es-PA"/>
        </w:rPr>
        <w:tab/>
      </w:r>
      <w:r w:rsidRPr="00FB5641">
        <w:rPr>
          <w:rStyle w:val="FootnoteReference"/>
          <w:szCs w:val="18"/>
        </w:rPr>
        <w:footnoteRef/>
      </w:r>
      <w:r>
        <w:rPr>
          <w:lang w:val="es-PA"/>
        </w:rPr>
        <w:tab/>
      </w:r>
      <w:r w:rsidRPr="00FB5641">
        <w:rPr>
          <w:lang w:val="es-PA"/>
        </w:rPr>
        <w:t>A/HRC/21/47/Add.3, para.</w:t>
      </w:r>
      <w:r>
        <w:rPr>
          <w:lang w:val="es-PA"/>
        </w:rPr>
        <w:t> </w:t>
      </w:r>
      <w:r w:rsidRPr="00FB5641">
        <w:rPr>
          <w:lang w:val="es-PA"/>
        </w:rPr>
        <w:t>69;</w:t>
      </w:r>
      <w:r>
        <w:rPr>
          <w:lang w:val="es-PA"/>
        </w:rPr>
        <w:t xml:space="preserve"> </w:t>
      </w:r>
      <w:r w:rsidRPr="00FB5641">
        <w:rPr>
          <w:lang w:val="es-PA"/>
        </w:rPr>
        <w:t>A/HRC/18/35/Add.1,</w:t>
      </w:r>
      <w:r>
        <w:rPr>
          <w:lang w:val="es-PA"/>
        </w:rPr>
        <w:t xml:space="preserve"> </w:t>
      </w:r>
      <w:r w:rsidRPr="00FB5641">
        <w:rPr>
          <w:lang w:val="es-PA"/>
        </w:rPr>
        <w:t>para.</w:t>
      </w:r>
      <w:r>
        <w:rPr>
          <w:lang w:val="es-PA"/>
        </w:rPr>
        <w:t> </w:t>
      </w:r>
      <w:r w:rsidRPr="00FB5641">
        <w:rPr>
          <w:lang w:val="es-PA"/>
        </w:rPr>
        <w:t>1</w:t>
      </w:r>
      <w:r>
        <w:rPr>
          <w:lang w:val="es-PA"/>
        </w:rPr>
        <w:t>0</w:t>
      </w:r>
      <w:r w:rsidRPr="00FB5641">
        <w:rPr>
          <w:lang w:val="es-PA"/>
        </w:rPr>
        <w:t>; A/HRC/15/37/Add.1,</w:t>
      </w:r>
      <w:r>
        <w:rPr>
          <w:lang w:val="es-PA"/>
        </w:rPr>
        <w:t xml:space="preserve"> </w:t>
      </w:r>
      <w:r w:rsidRPr="00FB5641">
        <w:rPr>
          <w:lang w:val="es-PA"/>
        </w:rPr>
        <w:t>para.</w:t>
      </w:r>
      <w:r>
        <w:rPr>
          <w:lang w:val="es-PA"/>
        </w:rPr>
        <w:t> </w:t>
      </w:r>
      <w:r w:rsidRPr="00A057AC">
        <w:rPr>
          <w:lang w:val="es-ES"/>
        </w:rPr>
        <w:t>242.</w:t>
      </w:r>
    </w:p>
  </w:footnote>
  <w:footnote w:id="11">
    <w:p w:rsidR="00B452C7" w:rsidRPr="00FB5641" w:rsidRDefault="00B452C7" w:rsidP="008927C4">
      <w:pPr>
        <w:pStyle w:val="FootnoteText"/>
        <w:rPr>
          <w:szCs w:val="18"/>
        </w:rPr>
      </w:pPr>
      <w:r>
        <w:rPr>
          <w:lang w:val="es-PA"/>
        </w:rPr>
        <w:tab/>
      </w:r>
      <w:r w:rsidRPr="00FB5641">
        <w:rPr>
          <w:rStyle w:val="FootnoteReference"/>
          <w:szCs w:val="18"/>
        </w:rPr>
        <w:footnoteRef/>
      </w:r>
      <w:r>
        <w:rPr>
          <w:lang w:val="es-PA"/>
        </w:rPr>
        <w:tab/>
      </w:r>
      <w:r w:rsidRPr="00FB5641">
        <w:rPr>
          <w:lang w:val="es-PA"/>
        </w:rPr>
        <w:t>E/CN.4/2005/88/Add.4, paras</w:t>
      </w:r>
      <w:r>
        <w:rPr>
          <w:lang w:val="es-PA"/>
        </w:rPr>
        <w:t>. </w:t>
      </w:r>
      <w:r w:rsidRPr="00FB5641">
        <w:rPr>
          <w:lang w:val="es-PA"/>
        </w:rPr>
        <w:t>10 and 17; E/CN.4/2006/78/Add.4, para.</w:t>
      </w:r>
      <w:r>
        <w:rPr>
          <w:lang w:val="es-PA"/>
        </w:rPr>
        <w:t> </w:t>
      </w:r>
      <w:r w:rsidRPr="00AA6755">
        <w:rPr>
          <w:lang w:val="es-PA"/>
        </w:rPr>
        <w:t xml:space="preserve">26; </w:t>
      </w:r>
      <w:r w:rsidRPr="00AA6755">
        <w:rPr>
          <w:szCs w:val="18"/>
          <w:lang w:val="es-PA"/>
        </w:rPr>
        <w:t>A/HRC/4/32/Add.4, para. </w:t>
      </w:r>
      <w:r w:rsidRPr="00FB5641">
        <w:rPr>
          <w:szCs w:val="18"/>
        </w:rPr>
        <w:t>33.</w:t>
      </w:r>
    </w:p>
  </w:footnote>
  <w:footnote w:id="12">
    <w:p w:rsidR="00B452C7" w:rsidRPr="00FB5641" w:rsidRDefault="00B452C7" w:rsidP="008927C4">
      <w:pPr>
        <w:pStyle w:val="FootnoteText"/>
      </w:pPr>
      <w:r>
        <w:tab/>
      </w:r>
      <w:r w:rsidRPr="00FB5641">
        <w:rPr>
          <w:rStyle w:val="FootnoteReference"/>
          <w:szCs w:val="18"/>
        </w:rPr>
        <w:footnoteRef/>
      </w:r>
      <w:r>
        <w:tab/>
        <w:t xml:space="preserve">Inter-American Court of Human Rights, </w:t>
      </w:r>
      <w:r w:rsidRPr="00A057AC">
        <w:rPr>
          <w:i/>
          <w:iCs/>
        </w:rPr>
        <w:t xml:space="preserve">Mayagna (Sumo) Awas Tingni </w:t>
      </w:r>
      <w:r w:rsidRPr="00704BA4">
        <w:rPr>
          <w:i/>
          <w:iCs/>
        </w:rPr>
        <w:t>Community v.</w:t>
      </w:r>
      <w:r w:rsidRPr="00A057AC">
        <w:rPr>
          <w:i/>
          <w:iCs/>
        </w:rPr>
        <w:t xml:space="preserve"> Nicaragua</w:t>
      </w:r>
      <w:r>
        <w:rPr>
          <w:i/>
          <w:iCs/>
        </w:rPr>
        <w:t>,</w:t>
      </w:r>
      <w:r w:rsidRPr="00FB5641">
        <w:t xml:space="preserve"> </w:t>
      </w:r>
      <w:r>
        <w:t xml:space="preserve">judgement of 31 August 2001 </w:t>
      </w:r>
      <w:r w:rsidRPr="00FB5641">
        <w:t>(</w:t>
      </w:r>
      <w:r>
        <w:t>Series C, No. 79</w:t>
      </w:r>
      <w:r w:rsidRPr="00FB5641">
        <w:t>)</w:t>
      </w:r>
      <w:r w:rsidR="00186CCC">
        <w:t>, para. 153</w:t>
      </w:r>
      <w:r w:rsidRPr="00FB5641">
        <w:t>.</w:t>
      </w:r>
    </w:p>
  </w:footnote>
  <w:footnote w:id="13">
    <w:p w:rsidR="00B452C7" w:rsidRPr="00FB5641" w:rsidRDefault="00B452C7">
      <w:pPr>
        <w:pStyle w:val="FootnoteText"/>
        <w:rPr>
          <w:szCs w:val="18"/>
        </w:rPr>
      </w:pPr>
      <w:r>
        <w:tab/>
      </w:r>
      <w:r w:rsidRPr="00FB5641">
        <w:rPr>
          <w:rStyle w:val="FootnoteReference"/>
          <w:szCs w:val="18"/>
        </w:rPr>
        <w:footnoteRef/>
      </w:r>
      <w:r>
        <w:tab/>
      </w:r>
      <w:r w:rsidRPr="00FB5641">
        <w:t>I</w:t>
      </w:r>
      <w:r>
        <w:t xml:space="preserve">nter-American </w:t>
      </w:r>
      <w:r w:rsidRPr="00FB5641">
        <w:t xml:space="preserve">Court </w:t>
      </w:r>
      <w:r>
        <w:t>of Human Rights</w:t>
      </w:r>
      <w:r w:rsidRPr="00FB5641">
        <w:t xml:space="preserve">, </w:t>
      </w:r>
      <w:r w:rsidRPr="00A057AC">
        <w:rPr>
          <w:i/>
          <w:iCs/>
        </w:rPr>
        <w:t xml:space="preserve">Yakye Axa Indigenous </w:t>
      </w:r>
      <w:r w:rsidRPr="00704BA4">
        <w:rPr>
          <w:i/>
          <w:iCs/>
        </w:rPr>
        <w:t>Community v. Paraguay</w:t>
      </w:r>
      <w:r>
        <w:t>, judgement of 17 June 2005 (Series C, No. </w:t>
      </w:r>
      <w:r>
        <w:rPr>
          <w:szCs w:val="18"/>
        </w:rPr>
        <w:t>125)</w:t>
      </w:r>
      <w:r w:rsidR="00704BA4">
        <w:rPr>
          <w:szCs w:val="18"/>
        </w:rPr>
        <w:t>,</w:t>
      </w:r>
      <w:r>
        <w:rPr>
          <w:szCs w:val="18"/>
        </w:rPr>
        <w:t xml:space="preserve"> para. </w:t>
      </w:r>
      <w:r w:rsidR="003D03AE">
        <w:rPr>
          <w:szCs w:val="18"/>
        </w:rPr>
        <w:t>131</w:t>
      </w:r>
      <w:r w:rsidRPr="00FB5641">
        <w:rPr>
          <w:szCs w:val="18"/>
        </w:rPr>
        <w:t>.</w:t>
      </w:r>
    </w:p>
  </w:footnote>
  <w:footnote w:id="14">
    <w:p w:rsidR="00B452C7" w:rsidRPr="00F35BFB" w:rsidRDefault="00B452C7" w:rsidP="008927C4">
      <w:pPr>
        <w:pStyle w:val="FootnoteText"/>
        <w:rPr>
          <w:szCs w:val="18"/>
        </w:rPr>
      </w:pPr>
      <w:r>
        <w:tab/>
      </w:r>
      <w:r w:rsidRPr="00FB5641">
        <w:rPr>
          <w:rStyle w:val="FootnoteReference"/>
          <w:szCs w:val="18"/>
        </w:rPr>
        <w:footnoteRef/>
      </w:r>
      <w:r>
        <w:tab/>
      </w:r>
      <w:r w:rsidRPr="00F50ECD">
        <w:t>African Commission on Human and Peoples’ Rights</w:t>
      </w:r>
      <w:r>
        <w:t xml:space="preserve">, </w:t>
      </w:r>
      <w:r w:rsidRPr="00A057AC">
        <w:rPr>
          <w:i/>
          <w:iCs/>
        </w:rPr>
        <w:t xml:space="preserve">Centre for Minority Rights Development and Minority Rights Group International on behalf </w:t>
      </w:r>
      <w:r w:rsidRPr="00A057AC">
        <w:rPr>
          <w:i/>
          <w:iCs/>
          <w:szCs w:val="18"/>
        </w:rPr>
        <w:t xml:space="preserve">of Endorois Welfare </w:t>
      </w:r>
      <w:r w:rsidRPr="003D03AE">
        <w:rPr>
          <w:i/>
          <w:iCs/>
          <w:szCs w:val="18"/>
        </w:rPr>
        <w:t>Council v. Kenya</w:t>
      </w:r>
      <w:r w:rsidRPr="00FB5641">
        <w:rPr>
          <w:szCs w:val="18"/>
        </w:rPr>
        <w:t xml:space="preserve">, </w:t>
      </w:r>
      <w:r>
        <w:rPr>
          <w:szCs w:val="18"/>
        </w:rPr>
        <w:t>276/2003 (2010), para. </w:t>
      </w:r>
      <w:r w:rsidRPr="00F35BFB">
        <w:rPr>
          <w:szCs w:val="18"/>
        </w:rPr>
        <w:t xml:space="preserve">241. </w:t>
      </w:r>
    </w:p>
  </w:footnote>
  <w:footnote w:id="15">
    <w:p w:rsidR="00B452C7" w:rsidRPr="008927C4" w:rsidRDefault="00B452C7" w:rsidP="008927C4">
      <w:pPr>
        <w:pStyle w:val="FootnoteText"/>
        <w:rPr>
          <w:sz w:val="20"/>
        </w:rPr>
      </w:pPr>
      <w:r w:rsidRPr="00F35BFB">
        <w:tab/>
      </w:r>
      <w:r w:rsidRPr="00FB5641">
        <w:rPr>
          <w:rStyle w:val="FootnoteReference"/>
          <w:szCs w:val="18"/>
        </w:rPr>
        <w:footnoteRef/>
      </w:r>
      <w:r w:rsidRPr="008927C4">
        <w:tab/>
        <w:t>Ibid., para. 246.</w:t>
      </w:r>
    </w:p>
  </w:footnote>
  <w:footnote w:id="16">
    <w:p w:rsidR="00B452C7" w:rsidRPr="00AA6755" w:rsidRDefault="00B452C7" w:rsidP="008927C4">
      <w:pPr>
        <w:pStyle w:val="FootnoteText"/>
        <w:rPr>
          <w:lang w:val="en-GB"/>
        </w:rPr>
      </w:pPr>
      <w:r w:rsidRPr="00F35BFB">
        <w:tab/>
      </w:r>
      <w:r w:rsidRPr="00FB5641">
        <w:rPr>
          <w:rStyle w:val="FootnoteReference"/>
          <w:szCs w:val="18"/>
        </w:rPr>
        <w:footnoteRef/>
      </w:r>
      <w:r w:rsidRPr="00F35BFB">
        <w:tab/>
        <w:t xml:space="preserve">See the Committee’s general comment No. </w:t>
      </w:r>
      <w:r w:rsidRPr="00777BE5">
        <w:t>21 (2009), para. </w:t>
      </w:r>
      <w:r w:rsidRPr="00AA6755">
        <w:rPr>
          <w:lang w:val="en-GB"/>
        </w:rPr>
        <w:t>37.</w:t>
      </w:r>
    </w:p>
  </w:footnote>
  <w:footnote w:id="17">
    <w:p w:rsidR="00B452C7" w:rsidRPr="00BC32BF" w:rsidRDefault="00B452C7">
      <w:pPr>
        <w:pStyle w:val="FootnoteText"/>
        <w:rPr>
          <w:sz w:val="20"/>
        </w:rPr>
      </w:pPr>
      <w:r w:rsidRPr="00AA6755">
        <w:rPr>
          <w:lang w:val="en-GB"/>
        </w:rPr>
        <w:tab/>
      </w:r>
      <w:r w:rsidRPr="00FB5641">
        <w:rPr>
          <w:rStyle w:val="FootnoteReference"/>
          <w:szCs w:val="18"/>
        </w:rPr>
        <w:footnoteRef/>
      </w:r>
      <w:r w:rsidRPr="009765D1">
        <w:rPr>
          <w:lang w:val="es-ES"/>
        </w:rPr>
        <w:tab/>
        <w:t xml:space="preserve">E/2010/43-E/C.19/2010/15, para. 131; A/HRC/18/42, annex, para. </w:t>
      </w:r>
      <w:r w:rsidRPr="00FB5641">
        <w:t xml:space="preserve">38; </w:t>
      </w:r>
      <w:r>
        <w:t xml:space="preserve">and </w:t>
      </w:r>
      <w:r w:rsidR="003D03AE">
        <w:t>l</w:t>
      </w:r>
      <w:r w:rsidRPr="00FB5641">
        <w:t xml:space="preserve">etter </w:t>
      </w:r>
      <w:r>
        <w:t>from the</w:t>
      </w:r>
      <w:r w:rsidRPr="00FB5641">
        <w:t xml:space="preserve"> Special </w:t>
      </w:r>
      <w:r w:rsidRPr="00FB5641">
        <w:rPr>
          <w:szCs w:val="18"/>
        </w:rPr>
        <w:t>Rapporteur on the rights of indigenous peoples to the Director of the World Heritage</w:t>
      </w:r>
      <w:r>
        <w:rPr>
          <w:szCs w:val="18"/>
        </w:rPr>
        <w:t xml:space="preserve"> Centre (A/HRC/25/74, p. </w:t>
      </w:r>
      <w:r w:rsidRPr="00FB5641">
        <w:rPr>
          <w:szCs w:val="18"/>
        </w:rPr>
        <w:t>127</w:t>
      </w:r>
      <w:r>
        <w:rPr>
          <w:szCs w:val="18"/>
        </w:rPr>
        <w:t>)</w:t>
      </w:r>
      <w:r w:rsidRPr="00FB5641">
        <w:rPr>
          <w:szCs w:val="18"/>
        </w:rPr>
        <w:t>.</w:t>
      </w:r>
    </w:p>
  </w:footnote>
  <w:footnote w:id="18">
    <w:p w:rsidR="00B452C7" w:rsidRPr="00FB5641" w:rsidRDefault="00B452C7">
      <w:pPr>
        <w:pStyle w:val="FootnoteText"/>
      </w:pPr>
      <w:r>
        <w:tab/>
      </w:r>
      <w:r w:rsidRPr="00FB5641">
        <w:rPr>
          <w:rStyle w:val="FootnoteReference"/>
          <w:szCs w:val="18"/>
        </w:rPr>
        <w:footnoteRef/>
      </w:r>
      <w:r>
        <w:tab/>
        <w:t xml:space="preserve">“World Heritage and Indigenous Peoples — A </w:t>
      </w:r>
      <w:r w:rsidRPr="00FB5641">
        <w:t>Call to Action</w:t>
      </w:r>
      <w:r>
        <w:t>”</w:t>
      </w:r>
      <w:r w:rsidRPr="00FB5641">
        <w:t xml:space="preserve">, </w:t>
      </w:r>
      <w:r>
        <w:t xml:space="preserve">Report of the </w:t>
      </w:r>
      <w:r w:rsidRPr="00FB5641">
        <w:t>International Expert Workshop on the World Heritage Convention and Indigenous Peoples</w:t>
      </w:r>
      <w:r>
        <w:t xml:space="preserve"> (</w:t>
      </w:r>
      <w:r w:rsidRPr="00FB5641">
        <w:t>Copenhagen, 20</w:t>
      </w:r>
      <w:r w:rsidR="003D03AE">
        <w:t xml:space="preserve"> and </w:t>
      </w:r>
      <w:r w:rsidRPr="00FB5641">
        <w:t>21 September 2012</w:t>
      </w:r>
      <w:r>
        <w:t>), p. 60</w:t>
      </w:r>
      <w:r w:rsidRPr="00FB5641">
        <w:t>.</w:t>
      </w:r>
    </w:p>
  </w:footnote>
  <w:footnote w:id="19">
    <w:p w:rsidR="00B452C7" w:rsidRPr="00FB5641" w:rsidRDefault="00B452C7" w:rsidP="008927C4">
      <w:pPr>
        <w:pStyle w:val="FootnoteText"/>
        <w:rPr>
          <w:szCs w:val="18"/>
        </w:rPr>
      </w:pPr>
      <w:r>
        <w:tab/>
      </w:r>
      <w:r w:rsidRPr="00FB5641">
        <w:rPr>
          <w:rStyle w:val="FootnoteReference"/>
          <w:szCs w:val="18"/>
        </w:rPr>
        <w:footnoteRef/>
      </w:r>
      <w:r>
        <w:tab/>
      </w:r>
      <w:r w:rsidRPr="00FB5641">
        <w:t>Resolution</w:t>
      </w:r>
      <w:r>
        <w:t xml:space="preserve"> No. 197</w:t>
      </w:r>
      <w:r w:rsidRPr="00FB5641">
        <w:t xml:space="preserve"> on Protection of Indigenous Peoples’ Rights in the Context of the</w:t>
      </w:r>
      <w:r>
        <w:t xml:space="preserve"> </w:t>
      </w:r>
      <w:r w:rsidRPr="00FB5641">
        <w:rPr>
          <w:szCs w:val="18"/>
        </w:rPr>
        <w:t>World Heritage Convention and the Designation of Lake Bogoria as a World Heritage site.</w:t>
      </w:r>
    </w:p>
  </w:footnote>
  <w:footnote w:id="20">
    <w:p w:rsidR="00B452C7" w:rsidRPr="00BC32BF" w:rsidRDefault="00B452C7" w:rsidP="008927C4">
      <w:pPr>
        <w:pStyle w:val="FootnoteText"/>
        <w:rPr>
          <w:sz w:val="20"/>
        </w:rPr>
      </w:pPr>
      <w:r>
        <w:tab/>
      </w:r>
      <w:r w:rsidRPr="00FB5641">
        <w:rPr>
          <w:rStyle w:val="FootnoteReference"/>
          <w:szCs w:val="18"/>
        </w:rPr>
        <w:footnoteRef/>
      </w:r>
      <w:r>
        <w:tab/>
      </w:r>
      <w:r w:rsidRPr="00FB5641">
        <w:t>Resolution WCC-2012-Res-047</w:t>
      </w:r>
      <w:r>
        <w:t xml:space="preserve"> on </w:t>
      </w:r>
      <w:r w:rsidRPr="00FB5641">
        <w:t xml:space="preserve">Implementation of the United Nations Declaration on the </w:t>
      </w:r>
      <w:r w:rsidRPr="00FB5641">
        <w:rPr>
          <w:szCs w:val="18"/>
        </w:rPr>
        <w:t>Rights of Indigenous Peoples in the context of the UNESCO World Heritage Convention.</w:t>
      </w:r>
      <w:r w:rsidRPr="00BC32BF">
        <w:rPr>
          <w:sz w:val="20"/>
        </w:rPr>
        <w:t xml:space="preserve"> </w:t>
      </w:r>
    </w:p>
  </w:footnote>
  <w:footnote w:id="21">
    <w:p w:rsidR="00B452C7" w:rsidRPr="00E22C22" w:rsidRDefault="00B452C7" w:rsidP="008927C4">
      <w:pPr>
        <w:pStyle w:val="FootnoteText"/>
        <w:rPr>
          <w:lang w:val="en-GB"/>
        </w:rPr>
      </w:pPr>
      <w:r w:rsidRPr="00F35BFB">
        <w:tab/>
      </w:r>
      <w:r w:rsidRPr="00D31DE9">
        <w:rPr>
          <w:rStyle w:val="FootnoteReference"/>
          <w:szCs w:val="18"/>
        </w:rPr>
        <w:footnoteRef/>
      </w:r>
      <w:r w:rsidRPr="00F35BFB">
        <w:tab/>
        <w:t>See the Committee’s general comment No. 21 (2009), para. </w:t>
      </w:r>
      <w:r w:rsidRPr="00E22C22">
        <w:rPr>
          <w:lang w:val="en-GB"/>
        </w:rPr>
        <w:t>55</w:t>
      </w:r>
      <w:r w:rsidR="002149E2" w:rsidRPr="00E22C22">
        <w:rPr>
          <w:lang w:val="en-GB"/>
        </w:rPr>
        <w:t xml:space="preserve"> </w:t>
      </w:r>
      <w:r w:rsidRPr="00E22C22">
        <w:rPr>
          <w:lang w:val="en-GB"/>
        </w:rPr>
        <w:t>(e).</w:t>
      </w:r>
    </w:p>
  </w:footnote>
  <w:footnote w:id="22">
    <w:p w:rsidR="00B452C7" w:rsidRPr="00FB5641" w:rsidRDefault="00B452C7">
      <w:pPr>
        <w:pStyle w:val="FootnoteText"/>
        <w:rPr>
          <w:szCs w:val="18"/>
        </w:rPr>
      </w:pPr>
      <w:r w:rsidRPr="00E22C22">
        <w:rPr>
          <w:lang w:val="en-GB"/>
        </w:rPr>
        <w:tab/>
      </w:r>
      <w:r w:rsidRPr="00FB5641">
        <w:rPr>
          <w:rStyle w:val="FootnoteReference"/>
          <w:szCs w:val="18"/>
        </w:rPr>
        <w:footnoteRef/>
      </w:r>
      <w:r>
        <w:tab/>
      </w:r>
      <w:r w:rsidR="00590CFC">
        <w:t xml:space="preserve">See </w:t>
      </w:r>
      <w:r w:rsidR="00196E21">
        <w:t xml:space="preserve">the </w:t>
      </w:r>
      <w:r w:rsidR="00590CFC">
        <w:t>s</w:t>
      </w:r>
      <w:r w:rsidRPr="00FB5641">
        <w:t>ubmission</w:t>
      </w:r>
      <w:r w:rsidR="00590CFC">
        <w:t xml:space="preserve"> from the</w:t>
      </w:r>
      <w:r w:rsidRPr="00FB5641">
        <w:t xml:space="preserve"> International Work Group </w:t>
      </w:r>
      <w:r w:rsidR="00590CFC">
        <w:t>on</w:t>
      </w:r>
      <w:r w:rsidRPr="00FB5641">
        <w:t xml:space="preserve"> Indigenous Affairs </w:t>
      </w:r>
      <w:r w:rsidRPr="00FB5641">
        <w:rPr>
          <w:szCs w:val="18"/>
        </w:rPr>
        <w:t xml:space="preserve">and </w:t>
      </w:r>
      <w:r w:rsidR="00590CFC">
        <w:rPr>
          <w:szCs w:val="18"/>
        </w:rPr>
        <w:t xml:space="preserve">the </w:t>
      </w:r>
      <w:r w:rsidRPr="00FB5641">
        <w:rPr>
          <w:szCs w:val="18"/>
        </w:rPr>
        <w:t>Forest Peoples Programme.</w:t>
      </w:r>
    </w:p>
  </w:footnote>
  <w:footnote w:id="23">
    <w:p w:rsidR="00B452C7" w:rsidRPr="00FB5641" w:rsidRDefault="00B452C7">
      <w:pPr>
        <w:pStyle w:val="FootnoteText"/>
      </w:pPr>
      <w:r>
        <w:tab/>
      </w:r>
      <w:r w:rsidRPr="00FB5641">
        <w:rPr>
          <w:rStyle w:val="FootnoteReference"/>
          <w:szCs w:val="18"/>
        </w:rPr>
        <w:footnoteRef/>
      </w:r>
      <w:r>
        <w:tab/>
      </w:r>
      <w:r w:rsidR="00590CFC">
        <w:t xml:space="preserve">See </w:t>
      </w:r>
      <w:r w:rsidR="00196E21">
        <w:t xml:space="preserve">the </w:t>
      </w:r>
      <w:r w:rsidR="00590CFC">
        <w:t>s</w:t>
      </w:r>
      <w:r w:rsidRPr="00FB5641">
        <w:t>ubmission</w:t>
      </w:r>
      <w:r w:rsidR="00590CFC">
        <w:t xml:space="preserve"> from</w:t>
      </w:r>
      <w:r w:rsidRPr="00FB5641">
        <w:t xml:space="preserve"> Australia.</w:t>
      </w:r>
    </w:p>
  </w:footnote>
  <w:footnote w:id="24">
    <w:p w:rsidR="00B452C7" w:rsidRPr="00FB5641" w:rsidRDefault="00B452C7">
      <w:pPr>
        <w:pStyle w:val="FootnoteText"/>
      </w:pPr>
      <w:r>
        <w:tab/>
      </w:r>
      <w:r w:rsidRPr="00FB5641">
        <w:rPr>
          <w:rStyle w:val="FootnoteReference"/>
          <w:szCs w:val="18"/>
        </w:rPr>
        <w:footnoteRef/>
      </w:r>
      <w:r>
        <w:tab/>
      </w:r>
      <w:r w:rsidR="00590CFC">
        <w:t>See</w:t>
      </w:r>
      <w:r w:rsidR="00196E21">
        <w:t xml:space="preserve"> the</w:t>
      </w:r>
      <w:r w:rsidR="00590CFC">
        <w:t xml:space="preserve"> s</w:t>
      </w:r>
      <w:r w:rsidRPr="00FB5641">
        <w:t>ubmission</w:t>
      </w:r>
      <w:r w:rsidR="00590CFC">
        <w:t xml:space="preserve"> from the</w:t>
      </w:r>
      <w:r w:rsidRPr="00FB5641">
        <w:t xml:space="preserve"> Asia Indigenous Peoples Pact.</w:t>
      </w:r>
    </w:p>
  </w:footnote>
  <w:footnote w:id="25">
    <w:p w:rsidR="00B452C7" w:rsidRPr="00F35BFB" w:rsidRDefault="00B452C7">
      <w:pPr>
        <w:pStyle w:val="FootnoteText"/>
      </w:pPr>
      <w:r>
        <w:tab/>
      </w:r>
      <w:r w:rsidRPr="00FB5641">
        <w:rPr>
          <w:rStyle w:val="FootnoteReference"/>
          <w:szCs w:val="18"/>
        </w:rPr>
        <w:footnoteRef/>
      </w:r>
      <w:r>
        <w:tab/>
      </w:r>
      <w:r w:rsidR="00590CFC">
        <w:t>See</w:t>
      </w:r>
      <w:r w:rsidR="00196E21">
        <w:t xml:space="preserve"> the</w:t>
      </w:r>
      <w:r w:rsidR="00590CFC">
        <w:t xml:space="preserve"> s</w:t>
      </w:r>
      <w:r w:rsidRPr="00F35BFB">
        <w:t>ubmission</w:t>
      </w:r>
      <w:r w:rsidR="00590CFC">
        <w:t xml:space="preserve"> from</w:t>
      </w:r>
      <w:r w:rsidRPr="00F35BFB">
        <w:t xml:space="preserve"> </w:t>
      </w:r>
      <w:r w:rsidR="00590CFC">
        <w:t>t</w:t>
      </w:r>
      <w:r w:rsidRPr="00F35BFB">
        <w:t>he A</w:t>
      </w:r>
      <w:r w:rsidR="00590CFC">
        <w:t>ldet</w:t>
      </w:r>
      <w:r w:rsidRPr="00F35BFB">
        <w:t xml:space="preserve"> Centre-Saint Lucia.</w:t>
      </w:r>
    </w:p>
  </w:footnote>
  <w:footnote w:id="26">
    <w:p w:rsidR="00B452C7" w:rsidRPr="00FB5641" w:rsidRDefault="00B452C7">
      <w:pPr>
        <w:pStyle w:val="FootnoteText"/>
        <w:rPr>
          <w:rFonts w:eastAsia="Cambria"/>
        </w:rPr>
      </w:pPr>
      <w:r>
        <w:rPr>
          <w:rFonts w:eastAsia="Cambria"/>
        </w:rPr>
        <w:tab/>
      </w:r>
      <w:r w:rsidRPr="00FB5641">
        <w:rPr>
          <w:rStyle w:val="FootnoteReference"/>
          <w:szCs w:val="18"/>
        </w:rPr>
        <w:footnoteRef/>
      </w:r>
      <w:r>
        <w:rPr>
          <w:rFonts w:eastAsia="Cambria"/>
        </w:rPr>
        <w:tab/>
        <w:t xml:space="preserve">S. </w:t>
      </w:r>
      <w:r w:rsidRPr="00FB5641">
        <w:rPr>
          <w:rFonts w:eastAsia="Cambria"/>
        </w:rPr>
        <w:t xml:space="preserve">Disko </w:t>
      </w:r>
      <w:r>
        <w:rPr>
          <w:rFonts w:eastAsia="Cambria"/>
        </w:rPr>
        <w:t>and H.</w:t>
      </w:r>
      <w:r w:rsidRPr="00FB5641">
        <w:rPr>
          <w:rFonts w:eastAsia="Cambria"/>
        </w:rPr>
        <w:t xml:space="preserve"> Tugendhat (eds.), </w:t>
      </w:r>
      <w:r w:rsidRPr="00F35BFB">
        <w:rPr>
          <w:rFonts w:eastAsia="Cambria"/>
          <w:i/>
          <w:iCs/>
        </w:rPr>
        <w:t>World Heritage Sites and Indigenous Peoples’ Rights</w:t>
      </w:r>
      <w:r w:rsidRPr="00FB5641">
        <w:rPr>
          <w:rFonts w:eastAsia="Cambria"/>
        </w:rPr>
        <w:t xml:space="preserve"> (</w:t>
      </w:r>
      <w:r w:rsidRPr="00FB5641">
        <w:t>International Work Group for Indigenous Affairs</w:t>
      </w:r>
      <w:r w:rsidR="00754FC6">
        <w:t xml:space="preserve">, </w:t>
      </w:r>
      <w:r w:rsidR="00754FC6" w:rsidRPr="00754FC6">
        <w:rPr>
          <w:lang w:val="en-GB"/>
        </w:rPr>
        <w:t>Forest Peoples Programme and Gundjeihmi Aboriginal Corporation,</w:t>
      </w:r>
      <w:r w:rsidRPr="00FB5641">
        <w:t xml:space="preserve"> </w:t>
      </w:r>
      <w:r w:rsidR="00754FC6">
        <w:rPr>
          <w:rFonts w:eastAsia="Cambria"/>
        </w:rPr>
        <w:t>d</w:t>
      </w:r>
      <w:r>
        <w:rPr>
          <w:rFonts w:eastAsia="Cambria"/>
        </w:rPr>
        <w:t>ocument No. 129</w:t>
      </w:r>
      <w:r w:rsidRPr="00FB5641">
        <w:rPr>
          <w:rFonts w:eastAsia="Cambria"/>
        </w:rPr>
        <w:t>, 2014).</w:t>
      </w:r>
    </w:p>
  </w:footnote>
  <w:footnote w:id="27">
    <w:p w:rsidR="00B452C7" w:rsidRPr="00BC32BF" w:rsidRDefault="00B452C7">
      <w:pPr>
        <w:pStyle w:val="FootnoteText"/>
        <w:rPr>
          <w:sz w:val="20"/>
        </w:rPr>
      </w:pPr>
      <w:r>
        <w:tab/>
      </w:r>
      <w:r w:rsidRPr="00FB5641">
        <w:rPr>
          <w:rStyle w:val="FootnoteReference"/>
          <w:szCs w:val="18"/>
        </w:rPr>
        <w:footnoteRef/>
      </w:r>
      <w:r>
        <w:tab/>
      </w:r>
      <w:r w:rsidRPr="00FB5641">
        <w:t xml:space="preserve">Joint </w:t>
      </w:r>
      <w:r>
        <w:t>s</w:t>
      </w:r>
      <w:r w:rsidRPr="00FB5641">
        <w:t xml:space="preserve">tatement on </w:t>
      </w:r>
      <w:r>
        <w:t>c</w:t>
      </w:r>
      <w:r w:rsidRPr="00FB5641">
        <w:t xml:space="preserve">ontinuous violations of the principle of </w:t>
      </w:r>
      <w:r>
        <w:t>free, prior and informed consent</w:t>
      </w:r>
      <w:r w:rsidRPr="00FB5641">
        <w:t xml:space="preserve"> in the context of UNESCO’s</w:t>
      </w:r>
      <w:r>
        <w:t xml:space="preserve"> </w:t>
      </w:r>
      <w:r w:rsidRPr="00FB5641">
        <w:rPr>
          <w:szCs w:val="18"/>
        </w:rPr>
        <w:t xml:space="preserve">World Heritage Convention, endorsed by over 70 </w:t>
      </w:r>
      <w:r w:rsidR="00754FC6">
        <w:rPr>
          <w:szCs w:val="18"/>
        </w:rPr>
        <w:t>i</w:t>
      </w:r>
      <w:r w:rsidRPr="00FB5641">
        <w:rPr>
          <w:szCs w:val="18"/>
        </w:rPr>
        <w:t>ndigenous organizations and NGOs, submitted to the World Heritage Committee in May 2011.</w:t>
      </w:r>
    </w:p>
  </w:footnote>
  <w:footnote w:id="28">
    <w:p w:rsidR="00B452C7" w:rsidRPr="00FB5641" w:rsidRDefault="00B452C7">
      <w:pPr>
        <w:pStyle w:val="FootnoteText"/>
        <w:rPr>
          <w:rFonts w:eastAsia="Cambria"/>
          <w:szCs w:val="18"/>
        </w:rPr>
      </w:pPr>
      <w:r>
        <w:tab/>
      </w:r>
      <w:r w:rsidRPr="00FB5641">
        <w:rPr>
          <w:rStyle w:val="FootnoteReference"/>
          <w:szCs w:val="18"/>
        </w:rPr>
        <w:footnoteRef/>
      </w:r>
      <w:r>
        <w:tab/>
      </w:r>
      <w:r w:rsidRPr="00FB5641">
        <w:t>J</w:t>
      </w:r>
      <w:r w:rsidR="00754FC6">
        <w:t>éré</w:t>
      </w:r>
      <w:r w:rsidRPr="00FB5641">
        <w:t xml:space="preserve">mie Gilbert, “Indigenous </w:t>
      </w:r>
      <w:r w:rsidR="00754FC6">
        <w:t>p</w:t>
      </w:r>
      <w:r w:rsidRPr="00FB5641">
        <w:t xml:space="preserve">eoples’ </w:t>
      </w:r>
      <w:r w:rsidR="00754FC6">
        <w:t>h</w:t>
      </w:r>
      <w:r w:rsidRPr="00FB5641">
        <w:t xml:space="preserve">eritage and </w:t>
      </w:r>
      <w:r w:rsidR="00754FC6">
        <w:t>h</w:t>
      </w:r>
      <w:r w:rsidRPr="00FB5641">
        <w:t xml:space="preserve">uman </w:t>
      </w:r>
      <w:r w:rsidR="00754FC6">
        <w:t>r</w:t>
      </w:r>
      <w:r w:rsidRPr="00FB5641">
        <w:t>ights”</w:t>
      </w:r>
      <w:r>
        <w:t xml:space="preserve">, </w:t>
      </w:r>
      <w:r>
        <w:rPr>
          <w:rFonts w:eastAsia="Cambria"/>
        </w:rPr>
        <w:t xml:space="preserve">S. </w:t>
      </w:r>
      <w:r w:rsidRPr="00FB5641">
        <w:rPr>
          <w:rFonts w:eastAsia="Cambria"/>
        </w:rPr>
        <w:t xml:space="preserve">Disko </w:t>
      </w:r>
      <w:r>
        <w:rPr>
          <w:rFonts w:eastAsia="Cambria"/>
        </w:rPr>
        <w:t>and H.</w:t>
      </w:r>
      <w:r w:rsidRPr="00FB5641">
        <w:rPr>
          <w:rFonts w:eastAsia="Cambria"/>
        </w:rPr>
        <w:t xml:space="preserve"> Tugendhat (eds.), </w:t>
      </w:r>
      <w:r w:rsidRPr="00F35BFB">
        <w:rPr>
          <w:rFonts w:eastAsia="Cambria"/>
          <w:i/>
          <w:iCs/>
        </w:rPr>
        <w:t xml:space="preserve">World Heritage Sites </w:t>
      </w:r>
      <w:r w:rsidRPr="00F35BFB">
        <w:rPr>
          <w:rFonts w:eastAsia="Cambria"/>
          <w:i/>
          <w:iCs/>
          <w:szCs w:val="18"/>
        </w:rPr>
        <w:t>and Indigenous Peoples’ Rights</w:t>
      </w:r>
      <w:r>
        <w:rPr>
          <w:rFonts w:eastAsia="Cambria"/>
          <w:szCs w:val="18"/>
        </w:rPr>
        <w:t xml:space="preserve"> (see footnote </w:t>
      </w:r>
      <w:r w:rsidR="00571589">
        <w:rPr>
          <w:rFonts w:eastAsia="Cambria"/>
          <w:szCs w:val="18"/>
        </w:rPr>
        <w:t xml:space="preserve">25 </w:t>
      </w:r>
      <w:r w:rsidR="00262E80">
        <w:rPr>
          <w:rFonts w:eastAsia="Cambria"/>
          <w:szCs w:val="18"/>
        </w:rPr>
        <w:t>above</w:t>
      </w:r>
      <w:r>
        <w:rPr>
          <w:rFonts w:eastAsia="Cambria"/>
          <w:szCs w:val="18"/>
        </w:rPr>
        <w:t>)</w:t>
      </w:r>
      <w:r w:rsidRPr="00FB5641">
        <w:rPr>
          <w:rFonts w:eastAsia="Cambria"/>
          <w:szCs w:val="18"/>
        </w:rPr>
        <w:t>.</w:t>
      </w:r>
    </w:p>
  </w:footnote>
  <w:footnote w:id="29">
    <w:p w:rsidR="00B452C7" w:rsidRPr="008927C4" w:rsidRDefault="00B452C7" w:rsidP="008927C4">
      <w:pPr>
        <w:pStyle w:val="FootnoteText"/>
        <w:rPr>
          <w:lang w:val="es-ES"/>
        </w:rPr>
      </w:pPr>
      <w:r w:rsidRPr="00A057AC">
        <w:tab/>
      </w:r>
      <w:r w:rsidRPr="00FB5641">
        <w:rPr>
          <w:rStyle w:val="FootnoteReference"/>
          <w:szCs w:val="18"/>
        </w:rPr>
        <w:footnoteRef/>
      </w:r>
      <w:r>
        <w:rPr>
          <w:lang w:val="es-PA"/>
        </w:rPr>
        <w:tab/>
        <w:t>General comment No. 21 (2009)</w:t>
      </w:r>
      <w:r w:rsidRPr="00FB5641">
        <w:rPr>
          <w:lang w:val="es-PA"/>
        </w:rPr>
        <w:t>, para.</w:t>
      </w:r>
      <w:r>
        <w:rPr>
          <w:lang w:val="es-PA"/>
        </w:rPr>
        <w:t> </w:t>
      </w:r>
      <w:r w:rsidRPr="008927C4">
        <w:rPr>
          <w:lang w:val="es-ES"/>
        </w:rPr>
        <w:t>49 (d).</w:t>
      </w:r>
    </w:p>
  </w:footnote>
  <w:footnote w:id="30">
    <w:p w:rsidR="00B452C7" w:rsidRPr="00777BE5" w:rsidRDefault="00B452C7" w:rsidP="008927C4">
      <w:pPr>
        <w:pStyle w:val="FootnoteText"/>
        <w:rPr>
          <w:sz w:val="20"/>
        </w:rPr>
      </w:pPr>
      <w:r w:rsidRPr="008927C4">
        <w:rPr>
          <w:lang w:val="es-ES"/>
        </w:rPr>
        <w:tab/>
      </w:r>
      <w:r w:rsidRPr="00FB5641">
        <w:rPr>
          <w:rStyle w:val="FootnoteReference"/>
          <w:szCs w:val="18"/>
        </w:rPr>
        <w:footnoteRef/>
      </w:r>
      <w:r w:rsidRPr="00F35BFB">
        <w:tab/>
      </w:r>
      <w:r>
        <w:t xml:space="preserve">Inter-American Court of Human Rights, </w:t>
      </w:r>
      <w:r w:rsidRPr="00A057AC">
        <w:rPr>
          <w:i/>
          <w:iCs/>
        </w:rPr>
        <w:t>Mayagna (Sumo) Awas Tingni Communit</w:t>
      </w:r>
      <w:r w:rsidRPr="00196E21">
        <w:rPr>
          <w:i/>
          <w:iCs/>
        </w:rPr>
        <w:t>y v. N</w:t>
      </w:r>
      <w:r w:rsidRPr="00A057AC">
        <w:rPr>
          <w:i/>
          <w:iCs/>
        </w:rPr>
        <w:t>icaragua</w:t>
      </w:r>
      <w:r w:rsidRPr="00F35BFB">
        <w:t xml:space="preserve">, para. 149; and </w:t>
      </w:r>
      <w:r w:rsidRPr="00F50ECD">
        <w:t>African Commission on Human and Peoples’ Rights</w:t>
      </w:r>
      <w:r>
        <w:t xml:space="preserve">, </w:t>
      </w:r>
      <w:r w:rsidRPr="00A057AC">
        <w:rPr>
          <w:i/>
          <w:iCs/>
        </w:rPr>
        <w:t xml:space="preserve">Centre for Minority Rights Development and Minority Rights Group International on behalf </w:t>
      </w:r>
      <w:r w:rsidRPr="00A057AC">
        <w:rPr>
          <w:i/>
          <w:iCs/>
          <w:szCs w:val="18"/>
        </w:rPr>
        <w:t>of Endorois Welfare Council</w:t>
      </w:r>
      <w:r w:rsidRPr="00196E21">
        <w:rPr>
          <w:i/>
          <w:iCs/>
          <w:szCs w:val="18"/>
        </w:rPr>
        <w:t xml:space="preserve"> v.</w:t>
      </w:r>
      <w:r w:rsidRPr="00A057AC">
        <w:rPr>
          <w:i/>
          <w:iCs/>
          <w:szCs w:val="18"/>
        </w:rPr>
        <w:t xml:space="preserve"> Kenya</w:t>
      </w:r>
      <w:r w:rsidRPr="00F35BFB">
        <w:t>, para. </w:t>
      </w:r>
      <w:r w:rsidRPr="00777BE5">
        <w:t>16.</w:t>
      </w:r>
    </w:p>
  </w:footnote>
  <w:footnote w:id="31">
    <w:p w:rsidR="00B452C7" w:rsidRPr="00FB5641" w:rsidRDefault="00B452C7" w:rsidP="00AA6755">
      <w:pPr>
        <w:pStyle w:val="FootnoteText"/>
        <w:rPr>
          <w:szCs w:val="18"/>
        </w:rPr>
      </w:pPr>
      <w:r>
        <w:tab/>
      </w:r>
      <w:r w:rsidRPr="00FB5641">
        <w:rPr>
          <w:rStyle w:val="FootnoteReference"/>
          <w:szCs w:val="18"/>
        </w:rPr>
        <w:footnoteRef/>
      </w:r>
      <w:r>
        <w:tab/>
      </w:r>
      <w:r w:rsidRPr="00FB5641">
        <w:t>W. Olenasha, “A World Heritage Site in the Ngorongoro Conservation Area”</w:t>
      </w:r>
      <w:r>
        <w:t>,</w:t>
      </w:r>
      <w:r w:rsidRPr="00FB5641">
        <w:t xml:space="preserve"> </w:t>
      </w:r>
      <w:r>
        <w:rPr>
          <w:rFonts w:eastAsia="Cambria"/>
        </w:rPr>
        <w:t xml:space="preserve">S. </w:t>
      </w:r>
      <w:r w:rsidRPr="00FB5641">
        <w:rPr>
          <w:rFonts w:eastAsia="Cambria"/>
        </w:rPr>
        <w:t xml:space="preserve">Disko </w:t>
      </w:r>
      <w:r>
        <w:rPr>
          <w:rFonts w:eastAsia="Cambria"/>
        </w:rPr>
        <w:t>and H.</w:t>
      </w:r>
      <w:r w:rsidRPr="00FB5641">
        <w:rPr>
          <w:rFonts w:eastAsia="Cambria"/>
        </w:rPr>
        <w:t xml:space="preserve"> </w:t>
      </w:r>
      <w:r w:rsidRPr="00052E40">
        <w:rPr>
          <w:rFonts w:eastAsia="Cambria"/>
        </w:rPr>
        <w:t xml:space="preserve">Tugendhat (eds.), </w:t>
      </w:r>
      <w:r w:rsidRPr="00052E40">
        <w:rPr>
          <w:rFonts w:eastAsia="Cambria"/>
          <w:i/>
          <w:iCs/>
        </w:rPr>
        <w:t xml:space="preserve">World Heritage Sites </w:t>
      </w:r>
      <w:r w:rsidRPr="00052E40">
        <w:rPr>
          <w:rFonts w:eastAsia="Cambria"/>
          <w:i/>
          <w:iCs/>
          <w:szCs w:val="18"/>
        </w:rPr>
        <w:t>and Indigenous Peoples’ Rights</w:t>
      </w:r>
      <w:r w:rsidRPr="00052E40">
        <w:t xml:space="preserve">, </w:t>
      </w:r>
      <w:r w:rsidRPr="00052E40">
        <w:rPr>
          <w:szCs w:val="18"/>
        </w:rPr>
        <w:t>p. 214 (see footnote</w:t>
      </w:r>
      <w:r w:rsidR="00DE43F7">
        <w:rPr>
          <w:szCs w:val="18"/>
        </w:rPr>
        <w:t xml:space="preserve"> 25 above</w:t>
      </w:r>
      <w:r w:rsidRPr="00052E40">
        <w:rPr>
          <w:szCs w:val="18"/>
        </w:rPr>
        <w:t>).</w:t>
      </w:r>
      <w:r w:rsidRPr="00FB5641">
        <w:rPr>
          <w:szCs w:val="18"/>
        </w:rPr>
        <w:t xml:space="preserve"> </w:t>
      </w:r>
    </w:p>
  </w:footnote>
  <w:footnote w:id="32">
    <w:p w:rsidR="00B452C7" w:rsidRPr="00FB5641" w:rsidRDefault="00B452C7">
      <w:pPr>
        <w:pStyle w:val="FootnoteText"/>
        <w:rPr>
          <w:szCs w:val="18"/>
        </w:rPr>
      </w:pPr>
      <w:r>
        <w:tab/>
      </w:r>
      <w:r w:rsidRPr="00FB5641">
        <w:rPr>
          <w:rStyle w:val="FootnoteReference"/>
          <w:szCs w:val="18"/>
        </w:rPr>
        <w:footnoteRef/>
      </w:r>
      <w:r>
        <w:tab/>
      </w:r>
      <w:r w:rsidR="00196E21">
        <w:t>See the s</w:t>
      </w:r>
      <w:r w:rsidRPr="00FB5641">
        <w:t>ubmission</w:t>
      </w:r>
      <w:r w:rsidR="00196E21">
        <w:t xml:space="preserve"> from the</w:t>
      </w:r>
      <w:r w:rsidRPr="00FB5641">
        <w:t xml:space="preserve"> Saami Parliamentary Council of Finland; </w:t>
      </w:r>
      <w:r>
        <w:t>and</w:t>
      </w:r>
      <w:r w:rsidR="00196E21">
        <w:t xml:space="preserve"> the</w:t>
      </w:r>
      <w:r>
        <w:t xml:space="preserve"> </w:t>
      </w:r>
      <w:r w:rsidR="00196E21">
        <w:t>p</w:t>
      </w:r>
      <w:r w:rsidRPr="00FB5641">
        <w:t xml:space="preserve">resentation by </w:t>
      </w:r>
      <w:r w:rsidRPr="00FB5641">
        <w:rPr>
          <w:szCs w:val="18"/>
        </w:rPr>
        <w:t>Piia</w:t>
      </w:r>
      <w:r w:rsidR="00196E21">
        <w:rPr>
          <w:szCs w:val="18"/>
        </w:rPr>
        <w:t> </w:t>
      </w:r>
      <w:r w:rsidRPr="00FB5641">
        <w:rPr>
          <w:szCs w:val="18"/>
        </w:rPr>
        <w:t>Nuorgam</w:t>
      </w:r>
      <w:r>
        <w:rPr>
          <w:szCs w:val="18"/>
        </w:rPr>
        <w:t>,</w:t>
      </w:r>
      <w:r>
        <w:t xml:space="preserve"> Expert Seminar on </w:t>
      </w:r>
      <w:r w:rsidRPr="00450AD8">
        <w:t>Indigenous Peoples’ Rights with Respect to their Cultural Heritage</w:t>
      </w:r>
      <w:r>
        <w:t>,</w:t>
      </w:r>
      <w:r w:rsidRPr="00450AD8">
        <w:t xml:space="preserve"> 2015</w:t>
      </w:r>
      <w:r w:rsidRPr="00FB5641">
        <w:rPr>
          <w:szCs w:val="18"/>
        </w:rPr>
        <w:t>.</w:t>
      </w:r>
    </w:p>
  </w:footnote>
  <w:footnote w:id="33">
    <w:p w:rsidR="00B452C7" w:rsidRPr="00F51C41" w:rsidRDefault="00B452C7">
      <w:pPr>
        <w:pStyle w:val="FootnoteText"/>
      </w:pPr>
      <w:r>
        <w:tab/>
      </w:r>
      <w:r w:rsidRPr="00F51C41">
        <w:rPr>
          <w:rStyle w:val="FootnoteReference"/>
          <w:szCs w:val="18"/>
        </w:rPr>
        <w:footnoteRef/>
      </w:r>
      <w:r>
        <w:tab/>
      </w:r>
      <w:r w:rsidR="00196E21">
        <w:t>See the s</w:t>
      </w:r>
      <w:r w:rsidRPr="00F51C41">
        <w:t>ubmission</w:t>
      </w:r>
      <w:r w:rsidR="00196E21">
        <w:t xml:space="preserve"> from the</w:t>
      </w:r>
      <w:r w:rsidRPr="00F51C41">
        <w:t xml:space="preserve"> New Zealand Human Rights Commission.</w:t>
      </w:r>
    </w:p>
  </w:footnote>
  <w:footnote w:id="34">
    <w:p w:rsidR="00B452C7" w:rsidRPr="00F51C41" w:rsidRDefault="00B452C7" w:rsidP="008927C4">
      <w:pPr>
        <w:pStyle w:val="FootnoteText"/>
      </w:pPr>
      <w:r>
        <w:tab/>
      </w:r>
      <w:r w:rsidRPr="00F51C41">
        <w:rPr>
          <w:rStyle w:val="FootnoteReference"/>
          <w:szCs w:val="18"/>
        </w:rPr>
        <w:footnoteRef/>
      </w:r>
      <w:r>
        <w:tab/>
        <w:t>P</w:t>
      </w:r>
      <w:r w:rsidRPr="00F51C41">
        <w:t>resentations by Päivi Magga and Eija Ojanlatva</w:t>
      </w:r>
      <w:r>
        <w:t xml:space="preserve">, Expert Seminar on </w:t>
      </w:r>
      <w:r w:rsidRPr="00450AD8">
        <w:t>Indigenous Peoples’ Rights with Respect to their Cultural Heritage</w:t>
      </w:r>
      <w:r>
        <w:t>,</w:t>
      </w:r>
      <w:r w:rsidRPr="00450AD8">
        <w:t xml:space="preserve"> 2015</w:t>
      </w:r>
      <w:r w:rsidRPr="00F51C41">
        <w:t>.</w:t>
      </w:r>
    </w:p>
  </w:footnote>
  <w:footnote w:id="35">
    <w:p w:rsidR="00B452C7" w:rsidRPr="00F51C41" w:rsidRDefault="00B452C7">
      <w:pPr>
        <w:pStyle w:val="FootnoteText"/>
      </w:pPr>
      <w:r>
        <w:tab/>
      </w:r>
      <w:r w:rsidRPr="00F51C41">
        <w:rPr>
          <w:rStyle w:val="FootnoteReference"/>
          <w:szCs w:val="18"/>
        </w:rPr>
        <w:footnoteRef/>
      </w:r>
      <w:r>
        <w:tab/>
      </w:r>
      <w:r w:rsidR="00196E21">
        <w:t>See the s</w:t>
      </w:r>
      <w:r w:rsidRPr="00F51C41">
        <w:t>ubmission</w:t>
      </w:r>
      <w:r w:rsidR="00196E21">
        <w:t xml:space="preserve"> from the</w:t>
      </w:r>
      <w:r w:rsidRPr="00F51C41">
        <w:t xml:space="preserve"> </w:t>
      </w:r>
      <w:r w:rsidRPr="00FB5641">
        <w:rPr>
          <w:szCs w:val="18"/>
        </w:rPr>
        <w:t>International Indian Treaty Council</w:t>
      </w:r>
      <w:r w:rsidRPr="00F51C41">
        <w:t>.</w:t>
      </w:r>
    </w:p>
  </w:footnote>
  <w:footnote w:id="36">
    <w:p w:rsidR="00B452C7" w:rsidRPr="00FB5641" w:rsidRDefault="00B452C7" w:rsidP="008927C4">
      <w:pPr>
        <w:pStyle w:val="FootnoteText"/>
      </w:pPr>
      <w:r>
        <w:tab/>
      </w:r>
      <w:r w:rsidRPr="00FB5641">
        <w:rPr>
          <w:rStyle w:val="FootnoteReference"/>
          <w:szCs w:val="18"/>
        </w:rPr>
        <w:footnoteRef/>
      </w:r>
      <w:r>
        <w:tab/>
        <w:t>Committee on the Elimination of Racial Discrimination, g</w:t>
      </w:r>
      <w:r w:rsidRPr="00CC22DC">
        <w:rPr>
          <w:bCs/>
        </w:rPr>
        <w:t>ene</w:t>
      </w:r>
      <w:r w:rsidRPr="00F51C41">
        <w:rPr>
          <w:bCs/>
        </w:rPr>
        <w:t xml:space="preserve">ral </w:t>
      </w:r>
      <w:r>
        <w:rPr>
          <w:bCs/>
        </w:rPr>
        <w:t>r</w:t>
      </w:r>
      <w:r w:rsidRPr="00F51C41">
        <w:rPr>
          <w:bCs/>
        </w:rPr>
        <w:t xml:space="preserve">ecommendation </w:t>
      </w:r>
      <w:r>
        <w:rPr>
          <w:bCs/>
        </w:rPr>
        <w:t>No. 23 (1997)</w:t>
      </w:r>
      <w:r>
        <w:t>, para. 5.</w:t>
      </w:r>
    </w:p>
  </w:footnote>
  <w:footnote w:id="37">
    <w:p w:rsidR="00B452C7" w:rsidRPr="00FB5641" w:rsidRDefault="00B452C7">
      <w:pPr>
        <w:pStyle w:val="FootnoteText"/>
      </w:pPr>
      <w:r>
        <w:tab/>
      </w:r>
      <w:r w:rsidRPr="00FB5641">
        <w:rPr>
          <w:rStyle w:val="FootnoteReference"/>
          <w:szCs w:val="18"/>
        </w:rPr>
        <w:footnoteRef/>
      </w:r>
      <w:r>
        <w:tab/>
      </w:r>
      <w:r w:rsidR="00CF0AA9">
        <w:t>See the s</w:t>
      </w:r>
      <w:r w:rsidRPr="00FB5641">
        <w:t>ubmission</w:t>
      </w:r>
      <w:r w:rsidR="00CF0AA9">
        <w:t xml:space="preserve"> from the</w:t>
      </w:r>
      <w:r w:rsidRPr="00FB5641">
        <w:t xml:space="preserve"> International Repatriation Project.</w:t>
      </w:r>
    </w:p>
  </w:footnote>
  <w:footnote w:id="38">
    <w:p w:rsidR="00B452C7" w:rsidRPr="00FB5641" w:rsidRDefault="00B452C7" w:rsidP="008927C4">
      <w:pPr>
        <w:pStyle w:val="FootnoteText"/>
      </w:pPr>
      <w:r>
        <w:tab/>
      </w:r>
      <w:r w:rsidRPr="00FB5641">
        <w:rPr>
          <w:rStyle w:val="FootnoteReference"/>
          <w:szCs w:val="18"/>
        </w:rPr>
        <w:footnoteRef/>
      </w:r>
      <w:r>
        <w:tab/>
        <w:t xml:space="preserve">General Assembly resolution </w:t>
      </w:r>
      <w:r w:rsidRPr="00FB5641">
        <w:t>69/2, para. 27.</w:t>
      </w:r>
    </w:p>
  </w:footnote>
  <w:footnote w:id="39">
    <w:p w:rsidR="00B452C7" w:rsidRPr="00FB5641" w:rsidRDefault="00B452C7">
      <w:pPr>
        <w:pStyle w:val="FootnoteText"/>
      </w:pPr>
      <w:r>
        <w:tab/>
      </w:r>
      <w:r w:rsidRPr="00FB5641">
        <w:rPr>
          <w:rStyle w:val="FootnoteReference"/>
          <w:szCs w:val="18"/>
        </w:rPr>
        <w:footnoteRef/>
      </w:r>
      <w:r>
        <w:tab/>
      </w:r>
      <w:r w:rsidR="00CF0AA9">
        <w:t>See the s</w:t>
      </w:r>
      <w:r w:rsidRPr="00FB5641">
        <w:t>ubmission</w:t>
      </w:r>
      <w:r w:rsidR="00CF0AA9">
        <w:t xml:space="preserve"> from</w:t>
      </w:r>
      <w:r w:rsidRPr="00FB5641">
        <w:t xml:space="preserve"> Australia.</w:t>
      </w:r>
    </w:p>
  </w:footnote>
  <w:footnote w:id="40">
    <w:p w:rsidR="00B452C7" w:rsidRPr="00FB5641" w:rsidRDefault="00B452C7">
      <w:pPr>
        <w:pStyle w:val="FootnoteText"/>
      </w:pPr>
      <w:r>
        <w:tab/>
      </w:r>
      <w:r w:rsidRPr="00FB5641">
        <w:rPr>
          <w:rStyle w:val="FootnoteReference"/>
          <w:szCs w:val="18"/>
        </w:rPr>
        <w:footnoteRef/>
      </w:r>
      <w:r>
        <w:tab/>
      </w:r>
      <w:r w:rsidR="00CF0AA9">
        <w:t>See the s</w:t>
      </w:r>
      <w:r w:rsidRPr="00FB5641">
        <w:t>ubmission</w:t>
      </w:r>
      <w:r w:rsidR="00CF0AA9">
        <w:t xml:space="preserve"> from</w:t>
      </w:r>
      <w:r w:rsidRPr="00FB5641">
        <w:t xml:space="preserve"> Human Rights Advocates.</w:t>
      </w:r>
    </w:p>
  </w:footnote>
  <w:footnote w:id="41">
    <w:p w:rsidR="00B452C7" w:rsidRPr="00BC32BF" w:rsidRDefault="00B452C7">
      <w:pPr>
        <w:pStyle w:val="FootnoteText"/>
        <w:rPr>
          <w:sz w:val="20"/>
        </w:rPr>
      </w:pPr>
      <w:r>
        <w:tab/>
      </w:r>
      <w:r w:rsidRPr="00FB5641">
        <w:rPr>
          <w:rStyle w:val="FootnoteReference"/>
          <w:szCs w:val="18"/>
        </w:rPr>
        <w:footnoteRef/>
      </w:r>
      <w:r>
        <w:tab/>
      </w:r>
      <w:r w:rsidR="00CF0AA9">
        <w:t>See the s</w:t>
      </w:r>
      <w:r w:rsidRPr="00FB5641">
        <w:t>ubmissions</w:t>
      </w:r>
      <w:r w:rsidR="00CF0AA9">
        <w:t xml:space="preserve"> from</w:t>
      </w:r>
      <w:r w:rsidRPr="00FB5641">
        <w:t xml:space="preserve"> Cultural Survival</w:t>
      </w:r>
      <w:r>
        <w:t xml:space="preserve"> and</w:t>
      </w:r>
      <w:r w:rsidR="00CF0AA9">
        <w:t xml:space="preserve"> from</w:t>
      </w:r>
      <w:r>
        <w:t xml:space="preserve"> </w:t>
      </w:r>
      <w:r w:rsidRPr="00FB5641">
        <w:t>Mexico.</w:t>
      </w:r>
    </w:p>
  </w:footnote>
  <w:footnote w:id="42">
    <w:p w:rsidR="00B452C7" w:rsidRPr="00AA6755" w:rsidRDefault="00B452C7">
      <w:pPr>
        <w:pStyle w:val="FootnoteText"/>
        <w:rPr>
          <w:lang w:val="en-GB"/>
        </w:rPr>
      </w:pPr>
      <w:r>
        <w:tab/>
      </w:r>
      <w:r w:rsidRPr="00FB5641">
        <w:rPr>
          <w:rStyle w:val="FootnoteReference"/>
          <w:szCs w:val="18"/>
        </w:rPr>
        <w:footnoteRef/>
      </w:r>
      <w:r w:rsidRPr="00AA6755">
        <w:rPr>
          <w:lang w:val="en-GB"/>
        </w:rPr>
        <w:tab/>
      </w:r>
      <w:r w:rsidR="00CF0AA9" w:rsidRPr="00AA6755">
        <w:rPr>
          <w:lang w:val="en-GB"/>
        </w:rPr>
        <w:t>See the s</w:t>
      </w:r>
      <w:r w:rsidRPr="00AA6755">
        <w:rPr>
          <w:lang w:val="en-GB"/>
        </w:rPr>
        <w:t>ubmission</w:t>
      </w:r>
      <w:r w:rsidR="00CF0AA9" w:rsidRPr="00AA6755">
        <w:rPr>
          <w:lang w:val="en-GB"/>
        </w:rPr>
        <w:t xml:space="preserve"> from</w:t>
      </w:r>
      <w:r w:rsidRPr="00AA6755">
        <w:rPr>
          <w:lang w:val="en-GB"/>
        </w:rPr>
        <w:t xml:space="preserve"> Guatemala.</w:t>
      </w:r>
    </w:p>
  </w:footnote>
  <w:footnote w:id="43">
    <w:p w:rsidR="00B452C7" w:rsidRPr="00AA6755" w:rsidRDefault="00B452C7">
      <w:pPr>
        <w:pStyle w:val="FootnoteText"/>
        <w:rPr>
          <w:lang w:val="en-GB"/>
        </w:rPr>
      </w:pPr>
      <w:r w:rsidRPr="00AA6755">
        <w:rPr>
          <w:lang w:val="en-GB"/>
        </w:rPr>
        <w:tab/>
      </w:r>
      <w:r w:rsidRPr="00FB5641">
        <w:rPr>
          <w:rStyle w:val="FootnoteReference"/>
          <w:szCs w:val="18"/>
        </w:rPr>
        <w:footnoteRef/>
      </w:r>
      <w:r w:rsidRPr="00AA6755">
        <w:rPr>
          <w:lang w:val="en-GB"/>
        </w:rPr>
        <w:tab/>
      </w:r>
      <w:r w:rsidR="00A04DBA" w:rsidRPr="00AA6755">
        <w:rPr>
          <w:lang w:val="en-GB"/>
        </w:rPr>
        <w:t>See the s</w:t>
      </w:r>
      <w:r w:rsidRPr="00AA6755">
        <w:rPr>
          <w:lang w:val="en-GB"/>
        </w:rPr>
        <w:t>ubmission</w:t>
      </w:r>
      <w:r w:rsidR="00A04DBA" w:rsidRPr="00AA6755">
        <w:rPr>
          <w:lang w:val="en-GB"/>
        </w:rPr>
        <w:t xml:space="preserve"> from</w:t>
      </w:r>
      <w:r w:rsidRPr="00AA6755">
        <w:rPr>
          <w:lang w:val="en-GB"/>
        </w:rPr>
        <w:t xml:space="preserve"> Mexico.</w:t>
      </w:r>
    </w:p>
  </w:footnote>
  <w:footnote w:id="44">
    <w:p w:rsidR="00B452C7" w:rsidRPr="00BC32BF" w:rsidRDefault="00B452C7">
      <w:pPr>
        <w:pStyle w:val="FootnoteText"/>
        <w:rPr>
          <w:sz w:val="20"/>
          <w:lang w:val="es-PA"/>
        </w:rPr>
      </w:pPr>
      <w:r w:rsidRPr="00AA6755">
        <w:rPr>
          <w:lang w:val="en-GB"/>
        </w:rPr>
        <w:tab/>
      </w:r>
      <w:r w:rsidRPr="00FB5641">
        <w:rPr>
          <w:rStyle w:val="FootnoteReference"/>
          <w:szCs w:val="18"/>
        </w:rPr>
        <w:footnoteRef/>
      </w:r>
      <w:r>
        <w:rPr>
          <w:lang w:val="es-PA"/>
        </w:rPr>
        <w:tab/>
      </w:r>
      <w:r w:rsidR="00A04DBA">
        <w:rPr>
          <w:lang w:val="es-PA"/>
        </w:rPr>
        <w:t>See the s</w:t>
      </w:r>
      <w:r>
        <w:rPr>
          <w:lang w:val="es-PA"/>
        </w:rPr>
        <w:t>ubmis</w:t>
      </w:r>
      <w:r w:rsidRPr="00FB5641">
        <w:rPr>
          <w:lang w:val="es-PA"/>
        </w:rPr>
        <w:t>s</w:t>
      </w:r>
      <w:r>
        <w:rPr>
          <w:lang w:val="es-PA"/>
        </w:rPr>
        <w:t>i</w:t>
      </w:r>
      <w:r w:rsidRPr="00FB5641">
        <w:rPr>
          <w:lang w:val="es-PA"/>
        </w:rPr>
        <w:t>on</w:t>
      </w:r>
      <w:r w:rsidR="00A04DBA">
        <w:rPr>
          <w:lang w:val="es-PA"/>
        </w:rPr>
        <w:t xml:space="preserve"> from</w:t>
      </w:r>
      <w:r w:rsidRPr="00FB5641">
        <w:rPr>
          <w:lang w:val="es-PA"/>
        </w:rPr>
        <w:t xml:space="preserve"> Comité de América Latina y el Caribe para la Defensa de los Derechos de</w:t>
      </w:r>
      <w:r>
        <w:rPr>
          <w:lang w:val="es-PA"/>
        </w:rPr>
        <w:t xml:space="preserve"> </w:t>
      </w:r>
      <w:r w:rsidRPr="00FB5641">
        <w:rPr>
          <w:lang w:val="es-PA"/>
        </w:rPr>
        <w:t>la Mujer.</w:t>
      </w:r>
    </w:p>
  </w:footnote>
  <w:footnote w:id="45">
    <w:p w:rsidR="00B452C7" w:rsidRPr="00FB5641" w:rsidRDefault="00B452C7" w:rsidP="008927C4">
      <w:pPr>
        <w:pStyle w:val="FootnoteText"/>
      </w:pPr>
      <w:r w:rsidRPr="000B2E17">
        <w:rPr>
          <w:lang w:val="es-PA"/>
        </w:rPr>
        <w:tab/>
      </w:r>
      <w:r w:rsidRPr="00FB5641">
        <w:rPr>
          <w:rStyle w:val="FootnoteReference"/>
          <w:szCs w:val="18"/>
        </w:rPr>
        <w:footnoteRef/>
      </w:r>
      <w:r>
        <w:tab/>
        <w:t>P</w:t>
      </w:r>
      <w:r w:rsidRPr="00FB5641">
        <w:t>resentations by Alexandra Xanthaki</w:t>
      </w:r>
      <w:r>
        <w:t>, Expert S</w:t>
      </w:r>
      <w:r w:rsidRPr="00450AD8">
        <w:t>eminar on Indigenous Peoples’ Rights with Respect to their Cultural Heritage</w:t>
      </w:r>
      <w:r>
        <w:t xml:space="preserve">, </w:t>
      </w:r>
      <w:r w:rsidRPr="00450AD8">
        <w:t>2015</w:t>
      </w:r>
      <w:r w:rsidRPr="00FB564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C7" w:rsidRPr="004A3D85" w:rsidRDefault="00B452C7">
    <w:pPr>
      <w:pStyle w:val="Header"/>
    </w:pPr>
    <w:r>
      <w:t>A/HRC/30/53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2C7" w:rsidRPr="004A3D85" w:rsidRDefault="00B452C7" w:rsidP="004A3D85">
    <w:pPr>
      <w:pStyle w:val="Header"/>
      <w:jc w:val="right"/>
    </w:pPr>
    <w:r>
      <w:t>A/HRC/30/53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E91BB4"/>
    <w:multiLevelType w:val="hybridMultilevel"/>
    <w:tmpl w:val="0F58094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9786316"/>
    <w:multiLevelType w:val="hybridMultilevel"/>
    <w:tmpl w:val="D7B4B9E2"/>
    <w:lvl w:ilvl="0" w:tplc="CB9CB73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E644246"/>
    <w:multiLevelType w:val="hybridMultilevel"/>
    <w:tmpl w:val="DA00EC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AAA13B2"/>
    <w:multiLevelType w:val="hybridMultilevel"/>
    <w:tmpl w:val="1EDAD66E"/>
    <w:lvl w:ilvl="0" w:tplc="849CED2A">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nsid w:val="1E154FDA"/>
    <w:multiLevelType w:val="hybridMultilevel"/>
    <w:tmpl w:val="264EEA5E"/>
    <w:lvl w:ilvl="0" w:tplc="1F6CC8F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A297D"/>
    <w:multiLevelType w:val="hybridMultilevel"/>
    <w:tmpl w:val="547A37B6"/>
    <w:lvl w:ilvl="0" w:tplc="80ACD59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0D493D"/>
    <w:multiLevelType w:val="hybridMultilevel"/>
    <w:tmpl w:val="5D8ACA5C"/>
    <w:lvl w:ilvl="0" w:tplc="27CC0B7E">
      <w:start w:val="1"/>
      <w:numFmt w:val="upperLetter"/>
      <w:lvlText w:val="%1."/>
      <w:lvlJc w:val="left"/>
      <w:pPr>
        <w:ind w:left="1234" w:hanging="5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48F76670"/>
    <w:multiLevelType w:val="hybridMultilevel"/>
    <w:tmpl w:val="D8C0D9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BE4B78"/>
    <w:multiLevelType w:val="hybridMultilevel"/>
    <w:tmpl w:val="AD44A2C6"/>
    <w:lvl w:ilvl="0" w:tplc="F4E224EA">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5">
    <w:nsid w:val="54EE6394"/>
    <w:multiLevelType w:val="hybridMultilevel"/>
    <w:tmpl w:val="73143FEE"/>
    <w:lvl w:ilvl="0" w:tplc="53EE35E8">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FB7A71"/>
    <w:multiLevelType w:val="hybridMultilevel"/>
    <w:tmpl w:val="51D49B56"/>
    <w:lvl w:ilvl="0" w:tplc="64FC963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nsid w:val="67EC1E0C"/>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9B755E4"/>
    <w:multiLevelType w:val="hybridMultilevel"/>
    <w:tmpl w:val="264EEA5E"/>
    <w:lvl w:ilvl="0" w:tplc="1F6CC8F6">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6CDF0836"/>
    <w:multiLevelType w:val="hybridMultilevel"/>
    <w:tmpl w:val="5D8ACA5C"/>
    <w:lvl w:ilvl="0" w:tplc="27CC0B7E">
      <w:start w:val="1"/>
      <w:numFmt w:val="upperLetter"/>
      <w:lvlText w:val="%1."/>
      <w:lvlJc w:val="left"/>
      <w:pPr>
        <w:ind w:left="1234" w:hanging="5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6EA27F42"/>
    <w:multiLevelType w:val="hybridMultilevel"/>
    <w:tmpl w:val="DA825C36"/>
    <w:lvl w:ilvl="0" w:tplc="CA78F328">
      <w:start w:val="1"/>
      <w:numFmt w:val="upperLetter"/>
      <w:lvlText w:val="%1."/>
      <w:lvlJc w:val="left"/>
      <w:pPr>
        <w:ind w:left="263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700C4369"/>
    <w:multiLevelType w:val="hybridMultilevel"/>
    <w:tmpl w:val="AEB2676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706C233B"/>
    <w:multiLevelType w:val="multilevel"/>
    <w:tmpl w:val="0409001D"/>
    <w:styleLink w:val="Style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2C66EED"/>
    <w:multiLevelType w:val="hybridMultilevel"/>
    <w:tmpl w:val="C3AE7CF6"/>
    <w:lvl w:ilvl="0" w:tplc="C7C0CED8">
      <w:start w:val="1"/>
      <w:numFmt w:val="upperLetter"/>
      <w:lvlText w:val="%1."/>
      <w:lvlJc w:val="left"/>
      <w:pPr>
        <w:ind w:left="1560" w:hanging="48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72D220A1"/>
    <w:multiLevelType w:val="hybridMultilevel"/>
    <w:tmpl w:val="5D8ACA5C"/>
    <w:lvl w:ilvl="0" w:tplc="27CC0B7E">
      <w:start w:val="1"/>
      <w:numFmt w:val="upperLetter"/>
      <w:lvlText w:val="%1."/>
      <w:lvlJc w:val="left"/>
      <w:pPr>
        <w:ind w:left="1234" w:hanging="52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787F040A"/>
    <w:multiLevelType w:val="hybridMultilevel"/>
    <w:tmpl w:val="B212F7B4"/>
    <w:lvl w:ilvl="0" w:tplc="CA78F328">
      <w:start w:val="1"/>
      <w:numFmt w:val="upperLetter"/>
      <w:lvlText w:val="%1."/>
      <w:lvlJc w:val="left"/>
      <w:pPr>
        <w:ind w:left="1500" w:hanging="360"/>
      </w:pPr>
      <w:rPr>
        <w:rFonts w:hint="default"/>
      </w:rPr>
    </w:lvl>
    <w:lvl w:ilvl="1" w:tplc="65EC86DE">
      <w:start w:val="1"/>
      <w:numFmt w:val="decimal"/>
      <w:lvlText w:val="%2."/>
      <w:lvlJc w:val="left"/>
      <w:pPr>
        <w:ind w:left="2415" w:hanging="555"/>
      </w:pPr>
      <w:rPr>
        <w:rFonts w:hint="default"/>
      </w:r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11"/>
  </w:num>
  <w:num w:numId="2">
    <w:abstractNumId w:val="8"/>
  </w:num>
  <w:num w:numId="3">
    <w:abstractNumId w:val="20"/>
  </w:num>
  <w:num w:numId="4">
    <w:abstractNumId w:val="5"/>
  </w:num>
  <w:num w:numId="5">
    <w:abstractNumId w:val="0"/>
  </w:num>
  <w:num w:numId="6">
    <w:abstractNumId w:val="1"/>
  </w:num>
  <w:num w:numId="7">
    <w:abstractNumId w:val="18"/>
  </w:num>
  <w:num w:numId="8">
    <w:abstractNumId w:val="17"/>
  </w:num>
  <w:num w:numId="9">
    <w:abstractNumId w:val="24"/>
  </w:num>
  <w:num w:numId="10">
    <w:abstractNumId w:val="10"/>
  </w:num>
  <w:num w:numId="11">
    <w:abstractNumId w:val="12"/>
  </w:num>
  <w:num w:numId="12">
    <w:abstractNumId w:val="26"/>
  </w:num>
  <w:num w:numId="13">
    <w:abstractNumId w:val="21"/>
  </w:num>
  <w:num w:numId="14">
    <w:abstractNumId w:val="14"/>
  </w:num>
  <w:num w:numId="15">
    <w:abstractNumId w:val="16"/>
  </w:num>
  <w:num w:numId="16">
    <w:abstractNumId w:val="27"/>
  </w:num>
  <w:num w:numId="17">
    <w:abstractNumId w:val="25"/>
  </w:num>
  <w:num w:numId="18">
    <w:abstractNumId w:val="6"/>
  </w:num>
  <w:num w:numId="19">
    <w:abstractNumId w:val="23"/>
  </w:num>
  <w:num w:numId="20">
    <w:abstractNumId w:val="22"/>
  </w:num>
  <w:num w:numId="21">
    <w:abstractNumId w:val="9"/>
  </w:num>
  <w:num w:numId="22">
    <w:abstractNumId w:val="15"/>
  </w:num>
  <w:num w:numId="23">
    <w:abstractNumId w:val="13"/>
  </w:num>
  <w:num w:numId="24">
    <w:abstractNumId w:val="4"/>
  </w:num>
  <w:num w:numId="25">
    <w:abstractNumId w:val="2"/>
  </w:num>
  <w:num w:numId="26">
    <w:abstractNumId w:val="3"/>
  </w:num>
  <w:num w:numId="27">
    <w:abstractNumId w:val="19"/>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CA" w:vendorID="64" w:dllVersion="131078" w:nlCheck="1" w:checkStyle="1"/>
  <w:activeWritingStyle w:appName="MSWord" w:lang="es-PA"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34E"/>
    <w:rsid w:val="0000530A"/>
    <w:rsid w:val="00005B50"/>
    <w:rsid w:val="00007238"/>
    <w:rsid w:val="00007F7F"/>
    <w:rsid w:val="00012167"/>
    <w:rsid w:val="00022DB5"/>
    <w:rsid w:val="0002665B"/>
    <w:rsid w:val="000403D1"/>
    <w:rsid w:val="00040C82"/>
    <w:rsid w:val="000449AA"/>
    <w:rsid w:val="00045091"/>
    <w:rsid w:val="000450A0"/>
    <w:rsid w:val="00050F6B"/>
    <w:rsid w:val="00052E40"/>
    <w:rsid w:val="0005782C"/>
    <w:rsid w:val="0006145F"/>
    <w:rsid w:val="00064226"/>
    <w:rsid w:val="00072C8C"/>
    <w:rsid w:val="00073E70"/>
    <w:rsid w:val="000876EB"/>
    <w:rsid w:val="00091419"/>
    <w:rsid w:val="000931C0"/>
    <w:rsid w:val="000A5A7A"/>
    <w:rsid w:val="000B175B"/>
    <w:rsid w:val="000B2E17"/>
    <w:rsid w:val="000B3A0F"/>
    <w:rsid w:val="000B4206"/>
    <w:rsid w:val="000B4A3B"/>
    <w:rsid w:val="000B5836"/>
    <w:rsid w:val="000D1851"/>
    <w:rsid w:val="000D1DFE"/>
    <w:rsid w:val="000E0415"/>
    <w:rsid w:val="000E313D"/>
    <w:rsid w:val="000E572E"/>
    <w:rsid w:val="00122571"/>
    <w:rsid w:val="00146D32"/>
    <w:rsid w:val="001509BA"/>
    <w:rsid w:val="00163767"/>
    <w:rsid w:val="00174045"/>
    <w:rsid w:val="00174F56"/>
    <w:rsid w:val="00175633"/>
    <w:rsid w:val="00186CCC"/>
    <w:rsid w:val="00196593"/>
    <w:rsid w:val="00196E21"/>
    <w:rsid w:val="001A6367"/>
    <w:rsid w:val="001B4B04"/>
    <w:rsid w:val="001B4F97"/>
    <w:rsid w:val="001C6663"/>
    <w:rsid w:val="001C7895"/>
    <w:rsid w:val="001D26DF"/>
    <w:rsid w:val="001D2B9B"/>
    <w:rsid w:val="001D6158"/>
    <w:rsid w:val="001E2790"/>
    <w:rsid w:val="00211E0B"/>
    <w:rsid w:val="00211E72"/>
    <w:rsid w:val="00214047"/>
    <w:rsid w:val="002149E2"/>
    <w:rsid w:val="0022130F"/>
    <w:rsid w:val="00231EC7"/>
    <w:rsid w:val="00237785"/>
    <w:rsid w:val="002410DD"/>
    <w:rsid w:val="00241466"/>
    <w:rsid w:val="00246ABF"/>
    <w:rsid w:val="0025233A"/>
    <w:rsid w:val="00253D58"/>
    <w:rsid w:val="00262E80"/>
    <w:rsid w:val="0026391C"/>
    <w:rsid w:val="002650AA"/>
    <w:rsid w:val="0027725F"/>
    <w:rsid w:val="00277665"/>
    <w:rsid w:val="0029530A"/>
    <w:rsid w:val="002A3FAE"/>
    <w:rsid w:val="002C21F0"/>
    <w:rsid w:val="002D325D"/>
    <w:rsid w:val="002D4A4C"/>
    <w:rsid w:val="002D53EA"/>
    <w:rsid w:val="00303A02"/>
    <w:rsid w:val="003107FA"/>
    <w:rsid w:val="00313C12"/>
    <w:rsid w:val="003229D8"/>
    <w:rsid w:val="003314D1"/>
    <w:rsid w:val="00332E64"/>
    <w:rsid w:val="00335A2F"/>
    <w:rsid w:val="00341937"/>
    <w:rsid w:val="00342921"/>
    <w:rsid w:val="003462E9"/>
    <w:rsid w:val="00346A06"/>
    <w:rsid w:val="003562A9"/>
    <w:rsid w:val="0039277A"/>
    <w:rsid w:val="003972E0"/>
    <w:rsid w:val="003975ED"/>
    <w:rsid w:val="003C2CC4"/>
    <w:rsid w:val="003D03AE"/>
    <w:rsid w:val="003D4B23"/>
    <w:rsid w:val="003E0151"/>
    <w:rsid w:val="003E15DD"/>
    <w:rsid w:val="003F7960"/>
    <w:rsid w:val="00407B61"/>
    <w:rsid w:val="00424C80"/>
    <w:rsid w:val="004325CB"/>
    <w:rsid w:val="004402A2"/>
    <w:rsid w:val="0044175A"/>
    <w:rsid w:val="0044503A"/>
    <w:rsid w:val="004468F9"/>
    <w:rsid w:val="00446DE4"/>
    <w:rsid w:val="00447761"/>
    <w:rsid w:val="00450103"/>
    <w:rsid w:val="00451EC3"/>
    <w:rsid w:val="00464E52"/>
    <w:rsid w:val="004721B1"/>
    <w:rsid w:val="004859EC"/>
    <w:rsid w:val="00496A15"/>
    <w:rsid w:val="004A3D85"/>
    <w:rsid w:val="004B03C6"/>
    <w:rsid w:val="004B75D2"/>
    <w:rsid w:val="004D1140"/>
    <w:rsid w:val="004F42B4"/>
    <w:rsid w:val="004F55ED"/>
    <w:rsid w:val="0050247F"/>
    <w:rsid w:val="005057C8"/>
    <w:rsid w:val="005058DD"/>
    <w:rsid w:val="00514D2E"/>
    <w:rsid w:val="0052176C"/>
    <w:rsid w:val="005261E5"/>
    <w:rsid w:val="005420F2"/>
    <w:rsid w:val="00542574"/>
    <w:rsid w:val="005436AB"/>
    <w:rsid w:val="00546DBF"/>
    <w:rsid w:val="00553D76"/>
    <w:rsid w:val="005552B5"/>
    <w:rsid w:val="00555FF2"/>
    <w:rsid w:val="00561122"/>
    <w:rsid w:val="0056117B"/>
    <w:rsid w:val="0056131E"/>
    <w:rsid w:val="00570116"/>
    <w:rsid w:val="00571365"/>
    <w:rsid w:val="00571589"/>
    <w:rsid w:val="005875E0"/>
    <w:rsid w:val="00590CFC"/>
    <w:rsid w:val="00594E1F"/>
    <w:rsid w:val="005B3DB3"/>
    <w:rsid w:val="005B6E48"/>
    <w:rsid w:val="005C3225"/>
    <w:rsid w:val="005C3B6D"/>
    <w:rsid w:val="005D74C9"/>
    <w:rsid w:val="005E0459"/>
    <w:rsid w:val="005E1712"/>
    <w:rsid w:val="005F3D74"/>
    <w:rsid w:val="005F4DE3"/>
    <w:rsid w:val="00610E4F"/>
    <w:rsid w:val="00611FC4"/>
    <w:rsid w:val="00612962"/>
    <w:rsid w:val="0061447C"/>
    <w:rsid w:val="006176FB"/>
    <w:rsid w:val="00640B26"/>
    <w:rsid w:val="0064761B"/>
    <w:rsid w:val="0066487A"/>
    <w:rsid w:val="00670741"/>
    <w:rsid w:val="006935CA"/>
    <w:rsid w:val="00696BD6"/>
    <w:rsid w:val="006A3520"/>
    <w:rsid w:val="006A67C0"/>
    <w:rsid w:val="006A6B9D"/>
    <w:rsid w:val="006A7283"/>
    <w:rsid w:val="006A7392"/>
    <w:rsid w:val="006B3189"/>
    <w:rsid w:val="006B7D65"/>
    <w:rsid w:val="006C13DB"/>
    <w:rsid w:val="006D316F"/>
    <w:rsid w:val="006D6DA6"/>
    <w:rsid w:val="006E564B"/>
    <w:rsid w:val="006F0B21"/>
    <w:rsid w:val="006F13F0"/>
    <w:rsid w:val="006F5035"/>
    <w:rsid w:val="00704BA4"/>
    <w:rsid w:val="007065EB"/>
    <w:rsid w:val="0071731B"/>
    <w:rsid w:val="00720183"/>
    <w:rsid w:val="0072632A"/>
    <w:rsid w:val="00731456"/>
    <w:rsid w:val="0074200B"/>
    <w:rsid w:val="00754FC6"/>
    <w:rsid w:val="00756722"/>
    <w:rsid w:val="00765793"/>
    <w:rsid w:val="007801AA"/>
    <w:rsid w:val="00785282"/>
    <w:rsid w:val="00795443"/>
    <w:rsid w:val="007A1350"/>
    <w:rsid w:val="007A6296"/>
    <w:rsid w:val="007A75B2"/>
    <w:rsid w:val="007B6104"/>
    <w:rsid w:val="007B6BA5"/>
    <w:rsid w:val="007C1167"/>
    <w:rsid w:val="007C1B62"/>
    <w:rsid w:val="007C3390"/>
    <w:rsid w:val="007C4F4B"/>
    <w:rsid w:val="007D2CDC"/>
    <w:rsid w:val="007D5327"/>
    <w:rsid w:val="007F091F"/>
    <w:rsid w:val="007F2EE4"/>
    <w:rsid w:val="007F6611"/>
    <w:rsid w:val="008040D1"/>
    <w:rsid w:val="008062B3"/>
    <w:rsid w:val="0080676E"/>
    <w:rsid w:val="008155C3"/>
    <w:rsid w:val="008175E9"/>
    <w:rsid w:val="0082243E"/>
    <w:rsid w:val="008242D7"/>
    <w:rsid w:val="0083450D"/>
    <w:rsid w:val="00834DA1"/>
    <w:rsid w:val="0085412D"/>
    <w:rsid w:val="008544DC"/>
    <w:rsid w:val="008545E5"/>
    <w:rsid w:val="00856CD2"/>
    <w:rsid w:val="00861BC6"/>
    <w:rsid w:val="008669A9"/>
    <w:rsid w:val="00871FD5"/>
    <w:rsid w:val="008730F5"/>
    <w:rsid w:val="008927C4"/>
    <w:rsid w:val="008979B1"/>
    <w:rsid w:val="008A6B25"/>
    <w:rsid w:val="008A6C4F"/>
    <w:rsid w:val="008B21C1"/>
    <w:rsid w:val="008B2B52"/>
    <w:rsid w:val="008C1E4D"/>
    <w:rsid w:val="008C4436"/>
    <w:rsid w:val="008D1C49"/>
    <w:rsid w:val="008E0E46"/>
    <w:rsid w:val="008E6E5A"/>
    <w:rsid w:val="008F3D16"/>
    <w:rsid w:val="008F401E"/>
    <w:rsid w:val="009034E9"/>
    <w:rsid w:val="0090452C"/>
    <w:rsid w:val="00907C3F"/>
    <w:rsid w:val="0092237C"/>
    <w:rsid w:val="009327C8"/>
    <w:rsid w:val="0093707B"/>
    <w:rsid w:val="009400EB"/>
    <w:rsid w:val="00942763"/>
    <w:rsid w:val="009427E3"/>
    <w:rsid w:val="00956875"/>
    <w:rsid w:val="00956D9B"/>
    <w:rsid w:val="00963CBA"/>
    <w:rsid w:val="009654B7"/>
    <w:rsid w:val="009765D1"/>
    <w:rsid w:val="00991261"/>
    <w:rsid w:val="009A0B83"/>
    <w:rsid w:val="009A4F55"/>
    <w:rsid w:val="009B3800"/>
    <w:rsid w:val="009B3AA2"/>
    <w:rsid w:val="009C214D"/>
    <w:rsid w:val="009C2438"/>
    <w:rsid w:val="009D22AC"/>
    <w:rsid w:val="009D50DB"/>
    <w:rsid w:val="009E1C4E"/>
    <w:rsid w:val="009F171E"/>
    <w:rsid w:val="00A03B80"/>
    <w:rsid w:val="00A04DBA"/>
    <w:rsid w:val="00A05E0B"/>
    <w:rsid w:val="00A117EE"/>
    <w:rsid w:val="00A13B5D"/>
    <w:rsid w:val="00A1427D"/>
    <w:rsid w:val="00A35963"/>
    <w:rsid w:val="00A36318"/>
    <w:rsid w:val="00A42BA9"/>
    <w:rsid w:val="00A44B80"/>
    <w:rsid w:val="00A4634F"/>
    <w:rsid w:val="00A47854"/>
    <w:rsid w:val="00A51CF3"/>
    <w:rsid w:val="00A55183"/>
    <w:rsid w:val="00A65565"/>
    <w:rsid w:val="00A67C3C"/>
    <w:rsid w:val="00A72B98"/>
    <w:rsid w:val="00A72F22"/>
    <w:rsid w:val="00A748A6"/>
    <w:rsid w:val="00A8175D"/>
    <w:rsid w:val="00A8718B"/>
    <w:rsid w:val="00A879A4"/>
    <w:rsid w:val="00A87DF1"/>
    <w:rsid w:val="00A87E95"/>
    <w:rsid w:val="00A92E29"/>
    <w:rsid w:val="00AA6755"/>
    <w:rsid w:val="00AA7187"/>
    <w:rsid w:val="00AD014D"/>
    <w:rsid w:val="00AD03EF"/>
    <w:rsid w:val="00AD09E9"/>
    <w:rsid w:val="00AD3DC2"/>
    <w:rsid w:val="00AF0576"/>
    <w:rsid w:val="00AF2EC0"/>
    <w:rsid w:val="00AF3829"/>
    <w:rsid w:val="00B02326"/>
    <w:rsid w:val="00B037F0"/>
    <w:rsid w:val="00B2020F"/>
    <w:rsid w:val="00B2327D"/>
    <w:rsid w:val="00B23860"/>
    <w:rsid w:val="00B2718F"/>
    <w:rsid w:val="00B30179"/>
    <w:rsid w:val="00B3317B"/>
    <w:rsid w:val="00B334DC"/>
    <w:rsid w:val="00B3631A"/>
    <w:rsid w:val="00B452C7"/>
    <w:rsid w:val="00B53013"/>
    <w:rsid w:val="00B56E03"/>
    <w:rsid w:val="00B67F5E"/>
    <w:rsid w:val="00B73E65"/>
    <w:rsid w:val="00B80B30"/>
    <w:rsid w:val="00B81E12"/>
    <w:rsid w:val="00B8463F"/>
    <w:rsid w:val="00B87110"/>
    <w:rsid w:val="00B879A9"/>
    <w:rsid w:val="00B97FA8"/>
    <w:rsid w:val="00BC1385"/>
    <w:rsid w:val="00BC74E9"/>
    <w:rsid w:val="00BD1A4E"/>
    <w:rsid w:val="00BD3C32"/>
    <w:rsid w:val="00BE618E"/>
    <w:rsid w:val="00C036C1"/>
    <w:rsid w:val="00C15C25"/>
    <w:rsid w:val="00C24693"/>
    <w:rsid w:val="00C30B02"/>
    <w:rsid w:val="00C328BB"/>
    <w:rsid w:val="00C35F0B"/>
    <w:rsid w:val="00C3634E"/>
    <w:rsid w:val="00C37B7F"/>
    <w:rsid w:val="00C440AB"/>
    <w:rsid w:val="00C463DD"/>
    <w:rsid w:val="00C617B1"/>
    <w:rsid w:val="00C64458"/>
    <w:rsid w:val="00C65F4C"/>
    <w:rsid w:val="00C66445"/>
    <w:rsid w:val="00C745C3"/>
    <w:rsid w:val="00C95358"/>
    <w:rsid w:val="00CA1F69"/>
    <w:rsid w:val="00CA2A58"/>
    <w:rsid w:val="00CA580C"/>
    <w:rsid w:val="00CB5E7F"/>
    <w:rsid w:val="00CB62B6"/>
    <w:rsid w:val="00CC0B55"/>
    <w:rsid w:val="00CC2358"/>
    <w:rsid w:val="00CD412C"/>
    <w:rsid w:val="00CD6995"/>
    <w:rsid w:val="00CD6F98"/>
    <w:rsid w:val="00CE4A8F"/>
    <w:rsid w:val="00CF0214"/>
    <w:rsid w:val="00CF07E9"/>
    <w:rsid w:val="00CF0AA9"/>
    <w:rsid w:val="00CF586F"/>
    <w:rsid w:val="00CF7D43"/>
    <w:rsid w:val="00D030BF"/>
    <w:rsid w:val="00D11129"/>
    <w:rsid w:val="00D2031B"/>
    <w:rsid w:val="00D20797"/>
    <w:rsid w:val="00D22332"/>
    <w:rsid w:val="00D25FE2"/>
    <w:rsid w:val="00D37AB2"/>
    <w:rsid w:val="00D43252"/>
    <w:rsid w:val="00D52FE3"/>
    <w:rsid w:val="00D550F9"/>
    <w:rsid w:val="00D572B0"/>
    <w:rsid w:val="00D61A45"/>
    <w:rsid w:val="00D62E90"/>
    <w:rsid w:val="00D6329A"/>
    <w:rsid w:val="00D63C93"/>
    <w:rsid w:val="00D76BE5"/>
    <w:rsid w:val="00D943DE"/>
    <w:rsid w:val="00D978C6"/>
    <w:rsid w:val="00DA67AD"/>
    <w:rsid w:val="00DB18CE"/>
    <w:rsid w:val="00DE3EC0"/>
    <w:rsid w:val="00DE43F7"/>
    <w:rsid w:val="00E11593"/>
    <w:rsid w:val="00E12B6B"/>
    <w:rsid w:val="00E130AB"/>
    <w:rsid w:val="00E20835"/>
    <w:rsid w:val="00E22C22"/>
    <w:rsid w:val="00E438D9"/>
    <w:rsid w:val="00E51512"/>
    <w:rsid w:val="00E53F5E"/>
    <w:rsid w:val="00E553A5"/>
    <w:rsid w:val="00E5644E"/>
    <w:rsid w:val="00E56966"/>
    <w:rsid w:val="00E64CBD"/>
    <w:rsid w:val="00E671AC"/>
    <w:rsid w:val="00E70092"/>
    <w:rsid w:val="00E70483"/>
    <w:rsid w:val="00E7260F"/>
    <w:rsid w:val="00E806EE"/>
    <w:rsid w:val="00E85D9D"/>
    <w:rsid w:val="00E92B63"/>
    <w:rsid w:val="00E96630"/>
    <w:rsid w:val="00EA0044"/>
    <w:rsid w:val="00EA2FCA"/>
    <w:rsid w:val="00EB04C6"/>
    <w:rsid w:val="00EB0FB9"/>
    <w:rsid w:val="00ED0CA9"/>
    <w:rsid w:val="00ED59AC"/>
    <w:rsid w:val="00ED600F"/>
    <w:rsid w:val="00ED7A2A"/>
    <w:rsid w:val="00EE2439"/>
    <w:rsid w:val="00EE4625"/>
    <w:rsid w:val="00EE7F8C"/>
    <w:rsid w:val="00EF1D7F"/>
    <w:rsid w:val="00EF5BDB"/>
    <w:rsid w:val="00F07FD9"/>
    <w:rsid w:val="00F11D4A"/>
    <w:rsid w:val="00F23933"/>
    <w:rsid w:val="00F24119"/>
    <w:rsid w:val="00F3031E"/>
    <w:rsid w:val="00F3213C"/>
    <w:rsid w:val="00F40211"/>
    <w:rsid w:val="00F40E75"/>
    <w:rsid w:val="00F41EC4"/>
    <w:rsid w:val="00F42CD9"/>
    <w:rsid w:val="00F43BC5"/>
    <w:rsid w:val="00F445E9"/>
    <w:rsid w:val="00F52936"/>
    <w:rsid w:val="00F64146"/>
    <w:rsid w:val="00F6448E"/>
    <w:rsid w:val="00F667BD"/>
    <w:rsid w:val="00F677CB"/>
    <w:rsid w:val="00FA7DF3"/>
    <w:rsid w:val="00FC2641"/>
    <w:rsid w:val="00FC68B7"/>
    <w:rsid w:val="00FD7C12"/>
    <w:rsid w:val="00FE2C67"/>
    <w:rsid w:val="00FF11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1D6158"/>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1D6158"/>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semiHidden/>
    <w:rsid w:val="008B21C1"/>
    <w:rPr>
      <w:rFonts w:ascii="Tahoma" w:hAnsi="Tahoma" w:cs="Tahoma"/>
      <w:sz w:val="16"/>
      <w:szCs w:val="16"/>
    </w:rPr>
  </w:style>
  <w:style w:type="character" w:styleId="CommentReference">
    <w:name w:val="annotation reference"/>
    <w:rsid w:val="00EE4625"/>
    <w:rPr>
      <w:sz w:val="16"/>
      <w:szCs w:val="16"/>
    </w:rPr>
  </w:style>
  <w:style w:type="paragraph" w:styleId="CommentText">
    <w:name w:val="annotation text"/>
    <w:basedOn w:val="Normal"/>
    <w:link w:val="CommentTextChar"/>
    <w:rsid w:val="00EE4625"/>
  </w:style>
  <w:style w:type="character" w:customStyle="1" w:styleId="CommentTextChar">
    <w:name w:val="Comment Text Char"/>
    <w:link w:val="CommentText"/>
    <w:rsid w:val="00EE4625"/>
    <w:rPr>
      <w:lang w:val="en-GB" w:eastAsia="en-US"/>
    </w:rPr>
  </w:style>
  <w:style w:type="paragraph" w:styleId="CommentSubject">
    <w:name w:val="annotation subject"/>
    <w:basedOn w:val="CommentText"/>
    <w:next w:val="CommentText"/>
    <w:link w:val="CommentSubjectChar"/>
    <w:rsid w:val="00EE4625"/>
    <w:rPr>
      <w:b/>
      <w:bCs/>
    </w:rPr>
  </w:style>
  <w:style w:type="character" w:customStyle="1" w:styleId="CommentSubjectChar">
    <w:name w:val="Comment Subject Char"/>
    <w:link w:val="CommentSubject"/>
    <w:rsid w:val="00EE4625"/>
    <w:rPr>
      <w:b/>
      <w:bCs/>
      <w:lang w:val="en-GB" w:eastAsia="en-US"/>
    </w:rPr>
  </w:style>
  <w:style w:type="paragraph" w:styleId="Revision">
    <w:name w:val="Revision"/>
    <w:hidden/>
    <w:uiPriority w:val="99"/>
    <w:semiHidden/>
    <w:rsid w:val="00D20797"/>
    <w:rPr>
      <w:lang w:eastAsia="en-US"/>
    </w:rPr>
  </w:style>
  <w:style w:type="paragraph" w:styleId="NormalWeb">
    <w:name w:val="Normal (Web)"/>
    <w:basedOn w:val="Normal"/>
    <w:rsid w:val="00450103"/>
    <w:rPr>
      <w:sz w:val="24"/>
      <w:szCs w:val="24"/>
    </w:rPr>
  </w:style>
  <w:style w:type="character" w:styleId="Strong">
    <w:name w:val="Strong"/>
    <w:qFormat/>
    <w:rsid w:val="00450103"/>
    <w:rPr>
      <w:b/>
      <w:bCs/>
    </w:rPr>
  </w:style>
  <w:style w:type="numbering" w:customStyle="1" w:styleId="Style1">
    <w:name w:val="Style1"/>
    <w:rsid w:val="00450103"/>
    <w:pPr>
      <w:numPr>
        <w:numId w:val="9"/>
      </w:numPr>
    </w:pPr>
  </w:style>
  <w:style w:type="numbering" w:customStyle="1" w:styleId="Style2">
    <w:name w:val="Style2"/>
    <w:rsid w:val="00450103"/>
    <w:pPr>
      <w:numPr>
        <w:numId w:val="10"/>
      </w:numPr>
    </w:pPr>
  </w:style>
  <w:style w:type="character" w:customStyle="1" w:styleId="SingleTxtGChar">
    <w:name w:val="_ Single Txt_G Char"/>
    <w:link w:val="SingleTxtG"/>
    <w:rsid w:val="00450103"/>
    <w:rPr>
      <w:lang w:eastAsia="en-US"/>
    </w:rPr>
  </w:style>
  <w:style w:type="character" w:customStyle="1" w:styleId="lblnewstitle1">
    <w:name w:val="lblnewstitle1"/>
    <w:rsid w:val="00450103"/>
    <w:rPr>
      <w:b/>
      <w:bCs/>
      <w:sz w:val="29"/>
      <w:szCs w:val="29"/>
    </w:rPr>
  </w:style>
  <w:style w:type="character" w:customStyle="1" w:styleId="FootnoteTextChar">
    <w:name w:val="Footnote Text Char"/>
    <w:aliases w:val="5_G Char"/>
    <w:link w:val="FootnoteText"/>
    <w:locked/>
    <w:rsid w:val="00450103"/>
    <w:rPr>
      <w:rFonts w:eastAsia="SimSun"/>
      <w:sz w:val="18"/>
      <w:lang w:val="en-US"/>
    </w:rPr>
  </w:style>
  <w:style w:type="paragraph" w:customStyle="1" w:styleId="MediumList2-Accent41">
    <w:name w:val="Medium List 2 - Accent 41"/>
    <w:basedOn w:val="Normal"/>
    <w:uiPriority w:val="34"/>
    <w:qFormat/>
    <w:rsid w:val="00450103"/>
    <w:pPr>
      <w:suppressAutoHyphens w:val="0"/>
      <w:spacing w:line="240" w:lineRule="auto"/>
      <w:ind w:left="720"/>
      <w:contextualSpacing/>
    </w:pPr>
    <w:rPr>
      <w:rFonts w:ascii="Cambria" w:eastAsia="MS Mincho" w:hAnsi="Cambria"/>
      <w:sz w:val="24"/>
      <w:szCs w:val="24"/>
    </w:rPr>
  </w:style>
  <w:style w:type="character" w:customStyle="1" w:styleId="FooterChar">
    <w:name w:val="Footer Char"/>
    <w:aliases w:val="3_G Char"/>
    <w:link w:val="Footer"/>
    <w:uiPriority w:val="99"/>
    <w:rsid w:val="00450103"/>
    <w:rPr>
      <w:sz w:val="16"/>
      <w:lang w:eastAsia="en-US"/>
    </w:rPr>
  </w:style>
  <w:style w:type="paragraph" w:styleId="ListParagraph">
    <w:name w:val="List Paragraph"/>
    <w:basedOn w:val="Normal"/>
    <w:uiPriority w:val="34"/>
    <w:qFormat/>
    <w:rsid w:val="002D32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1D6158"/>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1D6158"/>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semiHidden/>
    <w:rsid w:val="008B21C1"/>
    <w:rPr>
      <w:rFonts w:ascii="Tahoma" w:hAnsi="Tahoma" w:cs="Tahoma"/>
      <w:sz w:val="16"/>
      <w:szCs w:val="16"/>
    </w:rPr>
  </w:style>
  <w:style w:type="character" w:styleId="CommentReference">
    <w:name w:val="annotation reference"/>
    <w:rsid w:val="00EE4625"/>
    <w:rPr>
      <w:sz w:val="16"/>
      <w:szCs w:val="16"/>
    </w:rPr>
  </w:style>
  <w:style w:type="paragraph" w:styleId="CommentText">
    <w:name w:val="annotation text"/>
    <w:basedOn w:val="Normal"/>
    <w:link w:val="CommentTextChar"/>
    <w:rsid w:val="00EE4625"/>
  </w:style>
  <w:style w:type="character" w:customStyle="1" w:styleId="CommentTextChar">
    <w:name w:val="Comment Text Char"/>
    <w:link w:val="CommentText"/>
    <w:rsid w:val="00EE4625"/>
    <w:rPr>
      <w:lang w:val="en-GB" w:eastAsia="en-US"/>
    </w:rPr>
  </w:style>
  <w:style w:type="paragraph" w:styleId="CommentSubject">
    <w:name w:val="annotation subject"/>
    <w:basedOn w:val="CommentText"/>
    <w:next w:val="CommentText"/>
    <w:link w:val="CommentSubjectChar"/>
    <w:rsid w:val="00EE4625"/>
    <w:rPr>
      <w:b/>
      <w:bCs/>
    </w:rPr>
  </w:style>
  <w:style w:type="character" w:customStyle="1" w:styleId="CommentSubjectChar">
    <w:name w:val="Comment Subject Char"/>
    <w:link w:val="CommentSubject"/>
    <w:rsid w:val="00EE4625"/>
    <w:rPr>
      <w:b/>
      <w:bCs/>
      <w:lang w:val="en-GB" w:eastAsia="en-US"/>
    </w:rPr>
  </w:style>
  <w:style w:type="paragraph" w:styleId="Revision">
    <w:name w:val="Revision"/>
    <w:hidden/>
    <w:uiPriority w:val="99"/>
    <w:semiHidden/>
    <w:rsid w:val="00D20797"/>
    <w:rPr>
      <w:lang w:eastAsia="en-US"/>
    </w:rPr>
  </w:style>
  <w:style w:type="paragraph" w:styleId="NormalWeb">
    <w:name w:val="Normal (Web)"/>
    <w:basedOn w:val="Normal"/>
    <w:rsid w:val="00450103"/>
    <w:rPr>
      <w:sz w:val="24"/>
      <w:szCs w:val="24"/>
    </w:rPr>
  </w:style>
  <w:style w:type="character" w:styleId="Strong">
    <w:name w:val="Strong"/>
    <w:qFormat/>
    <w:rsid w:val="00450103"/>
    <w:rPr>
      <w:b/>
      <w:bCs/>
    </w:rPr>
  </w:style>
  <w:style w:type="numbering" w:customStyle="1" w:styleId="Style1">
    <w:name w:val="Style1"/>
    <w:rsid w:val="00450103"/>
    <w:pPr>
      <w:numPr>
        <w:numId w:val="9"/>
      </w:numPr>
    </w:pPr>
  </w:style>
  <w:style w:type="numbering" w:customStyle="1" w:styleId="Style2">
    <w:name w:val="Style2"/>
    <w:rsid w:val="00450103"/>
    <w:pPr>
      <w:numPr>
        <w:numId w:val="10"/>
      </w:numPr>
    </w:pPr>
  </w:style>
  <w:style w:type="character" w:customStyle="1" w:styleId="SingleTxtGChar">
    <w:name w:val="_ Single Txt_G Char"/>
    <w:link w:val="SingleTxtG"/>
    <w:rsid w:val="00450103"/>
    <w:rPr>
      <w:lang w:eastAsia="en-US"/>
    </w:rPr>
  </w:style>
  <w:style w:type="character" w:customStyle="1" w:styleId="lblnewstitle1">
    <w:name w:val="lblnewstitle1"/>
    <w:rsid w:val="00450103"/>
    <w:rPr>
      <w:b/>
      <w:bCs/>
      <w:sz w:val="29"/>
      <w:szCs w:val="29"/>
    </w:rPr>
  </w:style>
  <w:style w:type="character" w:customStyle="1" w:styleId="FootnoteTextChar">
    <w:name w:val="Footnote Text Char"/>
    <w:aliases w:val="5_G Char"/>
    <w:link w:val="FootnoteText"/>
    <w:locked/>
    <w:rsid w:val="00450103"/>
    <w:rPr>
      <w:rFonts w:eastAsia="SimSun"/>
      <w:sz w:val="18"/>
      <w:lang w:val="en-US"/>
    </w:rPr>
  </w:style>
  <w:style w:type="paragraph" w:customStyle="1" w:styleId="MediumList2-Accent41">
    <w:name w:val="Medium List 2 - Accent 41"/>
    <w:basedOn w:val="Normal"/>
    <w:uiPriority w:val="34"/>
    <w:qFormat/>
    <w:rsid w:val="00450103"/>
    <w:pPr>
      <w:suppressAutoHyphens w:val="0"/>
      <w:spacing w:line="240" w:lineRule="auto"/>
      <w:ind w:left="720"/>
      <w:contextualSpacing/>
    </w:pPr>
    <w:rPr>
      <w:rFonts w:ascii="Cambria" w:eastAsia="MS Mincho" w:hAnsi="Cambria"/>
      <w:sz w:val="24"/>
      <w:szCs w:val="24"/>
    </w:rPr>
  </w:style>
  <w:style w:type="character" w:customStyle="1" w:styleId="FooterChar">
    <w:name w:val="Footer Char"/>
    <w:aliases w:val="3_G Char"/>
    <w:link w:val="Footer"/>
    <w:uiPriority w:val="99"/>
    <w:rsid w:val="00450103"/>
    <w:rPr>
      <w:sz w:val="16"/>
      <w:lang w:eastAsia="en-US"/>
    </w:rPr>
  </w:style>
  <w:style w:type="paragraph" w:styleId="ListParagraph">
    <w:name w:val="List Paragraph"/>
    <w:basedOn w:val="Normal"/>
    <w:uiPriority w:val="34"/>
    <w:qFormat/>
    <w:rsid w:val="002D3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LAIRE~1.CHA\LOCALS~1\Temp\notes36968F\Emrip%20prov.%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2C972-FF6A-4256-8911-BDEF409DDCC0}"/>
</file>

<file path=customXml/itemProps2.xml><?xml version="1.0" encoding="utf-8"?>
<ds:datastoreItem xmlns:ds="http://schemas.openxmlformats.org/officeDocument/2006/customXml" ds:itemID="{560FBF37-AD23-413D-BCB0-2D510E6E6087}"/>
</file>

<file path=customXml/itemProps3.xml><?xml version="1.0" encoding="utf-8"?>
<ds:datastoreItem xmlns:ds="http://schemas.openxmlformats.org/officeDocument/2006/customXml" ds:itemID="{9B990A64-330E-4A3A-AA4D-7176791CE51B}"/>
</file>

<file path=customXml/itemProps4.xml><?xml version="1.0" encoding="utf-8"?>
<ds:datastoreItem xmlns:ds="http://schemas.openxmlformats.org/officeDocument/2006/customXml" ds:itemID="{BB956B13-BFF3-40FC-A22F-071F73CDA95C}"/>
</file>

<file path=docProps/app.xml><?xml version="1.0" encoding="utf-8"?>
<Properties xmlns="http://schemas.openxmlformats.org/officeDocument/2006/extended-properties" xmlns:vt="http://schemas.openxmlformats.org/officeDocument/2006/docPropsVTypes">
  <Template>Emrip prov. agenda</Template>
  <TotalTime>0</TotalTime>
  <Pages>24</Pages>
  <Words>10343</Words>
  <Characters>58961</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69166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the rights of indigenous peoples with respect to their cultural heritage - Study of the Expert Mechanism on the Rights of Indigenous Peoples in English</dc:title>
  <dc:creator>OHCHR</dc:creator>
  <cp:lastModifiedBy>Somova Iuliia</cp:lastModifiedBy>
  <cp:revision>2</cp:revision>
  <cp:lastPrinted>2015-08-19T08:35:00Z</cp:lastPrinted>
  <dcterms:created xsi:type="dcterms:W3CDTF">2015-09-17T08:03:00Z</dcterms:created>
  <dcterms:modified xsi:type="dcterms:W3CDTF">2015-09-17T08:03:00Z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