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DE5DDF" w:rsidTr="00E806EE">
        <w:trPr>
          <w:trHeight w:val="851"/>
        </w:trPr>
        <w:tc>
          <w:tcPr>
            <w:tcW w:w="1259" w:type="dxa"/>
            <w:tcBorders>
              <w:top w:val="nil"/>
              <w:left w:val="nil"/>
              <w:bottom w:val="single" w:sz="4" w:space="0" w:color="auto"/>
              <w:right w:val="nil"/>
            </w:tcBorders>
          </w:tcPr>
          <w:p w:rsidR="00446DE4" w:rsidRPr="00C5346C" w:rsidRDefault="00446DE4" w:rsidP="00C5346C">
            <w:pPr>
              <w:tabs>
                <w:tab w:val="right" w:pos="850"/>
                <w:tab w:val="left" w:pos="1134"/>
                <w:tab w:val="right" w:leader="dot" w:pos="8504"/>
              </w:tabs>
              <w:spacing w:line="20" w:lineRule="exact"/>
              <w:rPr>
                <w:sz w:val="2"/>
              </w:rPr>
            </w:pPr>
            <w:bookmarkStart w:id="0" w:name="_GoBack"/>
            <w:bookmarkEnd w:id="0"/>
          </w:p>
          <w:p w:rsidR="00C5346C" w:rsidRPr="00DE5DDF" w:rsidRDefault="00C5346C"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DE5DDF" w:rsidRDefault="00B3317B" w:rsidP="0022130F">
            <w:pPr>
              <w:spacing w:after="80" w:line="300" w:lineRule="exact"/>
              <w:rPr>
                <w:sz w:val="28"/>
                <w:szCs w:val="28"/>
              </w:rPr>
            </w:pPr>
            <w:r w:rsidRPr="00DE5DDF">
              <w:rPr>
                <w:sz w:val="28"/>
                <w:szCs w:val="28"/>
              </w:rPr>
              <w:t>United Nations</w:t>
            </w:r>
          </w:p>
        </w:tc>
        <w:tc>
          <w:tcPr>
            <w:tcW w:w="6144" w:type="dxa"/>
            <w:gridSpan w:val="2"/>
            <w:tcBorders>
              <w:top w:val="nil"/>
              <w:left w:val="nil"/>
              <w:bottom w:val="single" w:sz="4" w:space="0" w:color="auto"/>
              <w:right w:val="nil"/>
            </w:tcBorders>
            <w:vAlign w:val="bottom"/>
          </w:tcPr>
          <w:p w:rsidR="00446DE4" w:rsidRPr="00DE5DDF" w:rsidRDefault="004B7CB6" w:rsidP="007804ED">
            <w:pPr>
              <w:jc w:val="right"/>
            </w:pPr>
            <w:r w:rsidRPr="00DE5DDF">
              <w:rPr>
                <w:sz w:val="40"/>
              </w:rPr>
              <w:t>A</w:t>
            </w:r>
            <w:r w:rsidRPr="00DE5DDF">
              <w:t>/HRC/</w:t>
            </w:r>
            <w:r w:rsidR="007804ED" w:rsidRPr="00DE5DDF">
              <w:t>30/54</w:t>
            </w:r>
          </w:p>
        </w:tc>
      </w:tr>
      <w:tr w:rsidR="003107FA" w:rsidRPr="00DE5DDF" w:rsidTr="00E806EE">
        <w:trPr>
          <w:trHeight w:val="2835"/>
        </w:trPr>
        <w:tc>
          <w:tcPr>
            <w:tcW w:w="1259" w:type="dxa"/>
            <w:tcBorders>
              <w:top w:val="single" w:sz="4" w:space="0" w:color="auto"/>
              <w:left w:val="nil"/>
              <w:bottom w:val="single" w:sz="12" w:space="0" w:color="auto"/>
              <w:right w:val="nil"/>
            </w:tcBorders>
          </w:tcPr>
          <w:p w:rsidR="003107FA" w:rsidRPr="00DE5DDF" w:rsidRDefault="005E483F" w:rsidP="00956D9B">
            <w:pPr>
              <w:spacing w:before="120"/>
              <w:jc w:val="center"/>
            </w:pPr>
            <w:r w:rsidRPr="00D74124">
              <w:rPr>
                <w:noProof/>
                <w:lang w:eastAsia="en-GB"/>
              </w:rPr>
              <w:drawing>
                <wp:inline distT="0" distB="0" distL="0" distR="0" wp14:anchorId="56432253" wp14:editId="6888A41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DE5DDF" w:rsidRDefault="00B3317B" w:rsidP="00EF5BDB">
            <w:pPr>
              <w:spacing w:before="120" w:line="420" w:lineRule="exact"/>
              <w:rPr>
                <w:b/>
                <w:sz w:val="40"/>
                <w:szCs w:val="40"/>
              </w:rPr>
            </w:pPr>
            <w:r w:rsidRPr="00DE5DDF">
              <w:rPr>
                <w:b/>
                <w:sz w:val="40"/>
                <w:szCs w:val="40"/>
              </w:rPr>
              <w:t>General Assembly</w:t>
            </w:r>
          </w:p>
        </w:tc>
        <w:tc>
          <w:tcPr>
            <w:tcW w:w="2930" w:type="dxa"/>
            <w:tcBorders>
              <w:top w:val="single" w:sz="4" w:space="0" w:color="auto"/>
              <w:left w:val="nil"/>
              <w:bottom w:val="single" w:sz="12" w:space="0" w:color="auto"/>
              <w:right w:val="nil"/>
            </w:tcBorders>
          </w:tcPr>
          <w:p w:rsidR="004B7CB6" w:rsidRPr="00DE5DDF" w:rsidRDefault="004B7CB6" w:rsidP="004B7CB6">
            <w:pPr>
              <w:spacing w:before="240" w:line="240" w:lineRule="exact"/>
            </w:pPr>
            <w:r w:rsidRPr="00DE5DDF">
              <w:t>Distr.: General</w:t>
            </w:r>
          </w:p>
          <w:p w:rsidR="004B7CB6" w:rsidRPr="00DE5DDF" w:rsidRDefault="00E33BBE" w:rsidP="00D74124">
            <w:pPr>
              <w:spacing w:line="240" w:lineRule="exact"/>
            </w:pPr>
            <w:r>
              <w:t>17</w:t>
            </w:r>
            <w:r w:rsidR="00DF769B" w:rsidRPr="00DE5DDF">
              <w:t xml:space="preserve"> August</w:t>
            </w:r>
            <w:r w:rsidR="007804ED" w:rsidRPr="00DE5DDF">
              <w:t xml:space="preserve"> </w:t>
            </w:r>
            <w:r w:rsidR="007E2473" w:rsidRPr="00DE5DDF">
              <w:t>2015</w:t>
            </w:r>
          </w:p>
          <w:p w:rsidR="004B7CB6" w:rsidRPr="00DE5DDF" w:rsidRDefault="004B7CB6" w:rsidP="004B7CB6">
            <w:pPr>
              <w:spacing w:line="240" w:lineRule="exact"/>
            </w:pPr>
          </w:p>
          <w:p w:rsidR="00353FF4" w:rsidRPr="00DE5DDF" w:rsidRDefault="004B7CB6" w:rsidP="0080700A">
            <w:pPr>
              <w:spacing w:line="240" w:lineRule="exact"/>
            </w:pPr>
            <w:r w:rsidRPr="00DE5DDF">
              <w:t>Original: English</w:t>
            </w:r>
          </w:p>
        </w:tc>
      </w:tr>
    </w:tbl>
    <w:p w:rsidR="00E50289" w:rsidRPr="005E7802" w:rsidRDefault="00E50289" w:rsidP="005E7802">
      <w:pPr>
        <w:spacing w:before="120"/>
      </w:pPr>
      <w:r w:rsidRPr="005E7802">
        <w:rPr>
          <w:b/>
          <w:bCs/>
          <w:sz w:val="24"/>
          <w:szCs w:val="24"/>
        </w:rPr>
        <w:t>Human Rights Council</w:t>
      </w:r>
      <w:r w:rsidRPr="005E7802">
        <w:rPr>
          <w:sz w:val="24"/>
          <w:szCs w:val="24"/>
        </w:rPr>
        <w:br/>
      </w:r>
      <w:r w:rsidR="00655B1B" w:rsidRPr="005E7802">
        <w:rPr>
          <w:b/>
          <w:bCs/>
        </w:rPr>
        <w:t>Thirtieth</w:t>
      </w:r>
      <w:r w:rsidRPr="005E7802">
        <w:rPr>
          <w:b/>
          <w:bCs/>
        </w:rPr>
        <w:t xml:space="preserve"> session</w:t>
      </w:r>
    </w:p>
    <w:p w:rsidR="00E50289" w:rsidRPr="005E7802" w:rsidRDefault="00655B1B" w:rsidP="00E50289">
      <w:r w:rsidRPr="005E7802">
        <w:t>Agenda item 5</w:t>
      </w:r>
    </w:p>
    <w:p w:rsidR="007E2473" w:rsidRPr="00DE5DDF" w:rsidRDefault="00655B1B" w:rsidP="004B7CB6">
      <w:pPr>
        <w:rPr>
          <w:b/>
          <w:bCs/>
        </w:rPr>
      </w:pPr>
      <w:r w:rsidRPr="00DE5DDF">
        <w:rPr>
          <w:b/>
          <w:bCs/>
        </w:rPr>
        <w:t>Human rights bodies and mechanisms</w:t>
      </w:r>
    </w:p>
    <w:p w:rsidR="004B7CB6" w:rsidRPr="00DE5DDF" w:rsidRDefault="004B7CB6" w:rsidP="009E48A1">
      <w:pPr>
        <w:pStyle w:val="HChG"/>
      </w:pPr>
      <w:r w:rsidRPr="00DE5DDF">
        <w:tab/>
      </w:r>
      <w:r w:rsidRPr="00DE5DDF">
        <w:tab/>
      </w:r>
      <w:r w:rsidR="007804ED" w:rsidRPr="00DE5DDF">
        <w:t xml:space="preserve">Summary of responses </w:t>
      </w:r>
      <w:r w:rsidR="00655B1B" w:rsidRPr="00DE5DDF">
        <w:t>to</w:t>
      </w:r>
      <w:r w:rsidR="007804ED" w:rsidRPr="00DE5DDF">
        <w:t xml:space="preserve"> the questionnaire seeking the views of States and indigenous</w:t>
      </w:r>
      <w:r w:rsidR="007E2473" w:rsidRPr="00DE5DDF">
        <w:t xml:space="preserve"> peoples </w:t>
      </w:r>
      <w:r w:rsidR="007804ED" w:rsidRPr="00DE5DDF">
        <w:t>on best practices regarding possible appropriate measures and implementation strategies to attain the goals of the United Nations Declaration on the Rights of Indigenous Peoples</w:t>
      </w:r>
    </w:p>
    <w:p w:rsidR="00E50289" w:rsidRPr="00DE5DDF" w:rsidRDefault="00E50289" w:rsidP="009E48A1">
      <w:pPr>
        <w:pStyle w:val="H1G"/>
      </w:pPr>
      <w:r w:rsidRPr="00DE5DDF">
        <w:tab/>
      </w:r>
      <w:r w:rsidRPr="00DE5DDF">
        <w:tab/>
      </w:r>
      <w:r w:rsidR="007804ED" w:rsidRPr="00DE5DDF">
        <w:t>Report of the</w:t>
      </w:r>
      <w:r w:rsidRPr="00DE5DDF">
        <w:t xml:space="preserve"> Expert Mechanism on the Rights of Indigenous Peoples</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9E1DCB" w:rsidRPr="00DE5DDF" w:rsidTr="00551484">
        <w:trPr>
          <w:jc w:val="center"/>
        </w:trPr>
        <w:tc>
          <w:tcPr>
            <w:tcW w:w="9637" w:type="dxa"/>
            <w:shd w:val="clear" w:color="auto" w:fill="auto"/>
          </w:tcPr>
          <w:p w:rsidR="009E1DCB" w:rsidRPr="005E7802" w:rsidRDefault="009E1DCB" w:rsidP="00551484">
            <w:pPr>
              <w:spacing w:before="240" w:after="120"/>
              <w:ind w:left="255"/>
              <w:rPr>
                <w:i/>
                <w:sz w:val="24"/>
              </w:rPr>
            </w:pPr>
            <w:r w:rsidRPr="005E7802">
              <w:rPr>
                <w:i/>
                <w:sz w:val="24"/>
              </w:rPr>
              <w:t>Summary</w:t>
            </w:r>
          </w:p>
        </w:tc>
      </w:tr>
      <w:tr w:rsidR="009E1DCB" w:rsidRPr="00DE5DDF" w:rsidTr="00551484">
        <w:trPr>
          <w:jc w:val="center"/>
        </w:trPr>
        <w:tc>
          <w:tcPr>
            <w:tcW w:w="9637" w:type="dxa"/>
            <w:shd w:val="clear" w:color="auto" w:fill="auto"/>
          </w:tcPr>
          <w:p w:rsidR="00B96C04" w:rsidRPr="00DE5DDF" w:rsidRDefault="009E1DCB" w:rsidP="00D74124">
            <w:pPr>
              <w:pStyle w:val="SingleTxtG"/>
            </w:pPr>
            <w:r w:rsidRPr="00DE5DDF">
              <w:tab/>
            </w:r>
            <w:r w:rsidR="007804ED" w:rsidRPr="005E7802">
              <w:t xml:space="preserve">The present conference room paper contains a draft summary of responses from States and indigenous peoples to the questionnaires seeking their views on best practices regarding possible appropriate measures and implementation strategies to attain the goals of the United Nations Declaration on the Rights of Indigenous Peoples, as requested by the Human Rights Council in its resolution 27/13. Following discussions at the eighth session, the </w:t>
            </w:r>
            <w:r w:rsidR="004002DA" w:rsidRPr="005E7802">
              <w:t xml:space="preserve">Expert Mechanism on the Rights of Indigenous Peoples </w:t>
            </w:r>
            <w:r w:rsidR="007804ED" w:rsidRPr="005E7802">
              <w:t xml:space="preserve">will finalize this document for submission to the Human Rights Council at its </w:t>
            </w:r>
            <w:r w:rsidR="00D74124" w:rsidRPr="005E7802">
              <w:t>thirtieth</w:t>
            </w:r>
            <w:r w:rsidR="007804ED" w:rsidRPr="005E7802">
              <w:t xml:space="preserve"> session</w:t>
            </w:r>
            <w:r w:rsidR="00B96C04" w:rsidRPr="00D74124">
              <w:rPr>
                <w:lang w:eastAsia="en-GB"/>
              </w:rPr>
              <w:t>.</w:t>
            </w:r>
          </w:p>
        </w:tc>
      </w:tr>
      <w:tr w:rsidR="009E1DCB" w:rsidRPr="00DE5DDF" w:rsidTr="00551484">
        <w:trPr>
          <w:jc w:val="center"/>
        </w:trPr>
        <w:tc>
          <w:tcPr>
            <w:tcW w:w="9637" w:type="dxa"/>
            <w:shd w:val="clear" w:color="auto" w:fill="auto"/>
          </w:tcPr>
          <w:p w:rsidR="009E1DCB" w:rsidRPr="005E7802" w:rsidRDefault="009E1DCB" w:rsidP="009E1DCB"/>
        </w:tc>
      </w:tr>
    </w:tbl>
    <w:p w:rsidR="00241636" w:rsidRPr="005E7802" w:rsidRDefault="00241636" w:rsidP="005E7802">
      <w:pPr>
        <w:pStyle w:val="SingleTxtG"/>
      </w:pPr>
    </w:p>
    <w:p w:rsidR="00241636" w:rsidRPr="005E7802" w:rsidRDefault="009E1DCB" w:rsidP="009E1DCB">
      <w:pPr>
        <w:rPr>
          <w:bCs/>
        </w:rPr>
      </w:pPr>
      <w:r w:rsidRPr="005E7802">
        <w:rPr>
          <w:bCs/>
        </w:rPr>
        <w:br w:type="page"/>
      </w:r>
    </w:p>
    <w:p w:rsidR="00241636" w:rsidRPr="005E7802" w:rsidRDefault="00241636" w:rsidP="00241636">
      <w:pPr>
        <w:spacing w:after="120"/>
      </w:pPr>
      <w:r w:rsidRPr="005E7802">
        <w:rPr>
          <w:sz w:val="28"/>
        </w:rPr>
        <w:lastRenderedPageBreak/>
        <w:t>Contents</w:t>
      </w:r>
    </w:p>
    <w:p w:rsidR="00241636" w:rsidRPr="005E7802" w:rsidRDefault="00241636" w:rsidP="00241636">
      <w:pPr>
        <w:tabs>
          <w:tab w:val="right" w:pos="9638"/>
        </w:tabs>
        <w:spacing w:after="120"/>
        <w:ind w:left="283"/>
      </w:pPr>
      <w:r w:rsidRPr="005E7802">
        <w:rPr>
          <w:i/>
        </w:rPr>
        <w:tab/>
        <w:t>Page</w:t>
      </w:r>
    </w:p>
    <w:p w:rsidR="00241636" w:rsidRPr="005E7802" w:rsidRDefault="00241636" w:rsidP="005E7802">
      <w:pPr>
        <w:tabs>
          <w:tab w:val="right" w:pos="850"/>
          <w:tab w:val="left" w:pos="1134"/>
          <w:tab w:val="left" w:pos="1559"/>
          <w:tab w:val="left" w:pos="1984"/>
          <w:tab w:val="left" w:leader="dot" w:pos="8929"/>
          <w:tab w:val="right" w:pos="9638"/>
        </w:tabs>
        <w:spacing w:after="120"/>
      </w:pPr>
      <w:r w:rsidRPr="005E7802">
        <w:tab/>
        <w:t>I.</w:t>
      </w:r>
      <w:r w:rsidRPr="005E7802">
        <w:tab/>
        <w:t>Introduction</w:t>
      </w:r>
      <w:r w:rsidRPr="005E7802">
        <w:tab/>
      </w:r>
      <w:r w:rsidRPr="005E7802">
        <w:tab/>
        <w:t>3</w:t>
      </w:r>
    </w:p>
    <w:p w:rsidR="00406566"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00DB3CAF" w:rsidRPr="00DE5DDF">
        <w:t>II.</w:t>
      </w:r>
      <w:r w:rsidR="00DB3CAF" w:rsidRPr="00DE5DDF">
        <w:tab/>
      </w:r>
      <w:r w:rsidR="005E5446" w:rsidRPr="00DE5DDF">
        <w:t>Responses from States and from indigenous peoples</w:t>
      </w:r>
      <w:r w:rsidR="00CA4F62" w:rsidRPr="00DE5DDF">
        <w:tab/>
      </w:r>
      <w:r w:rsidR="001E7F19" w:rsidRPr="00DE5DDF">
        <w:tab/>
      </w:r>
      <w:r w:rsidR="005E5446" w:rsidRPr="00DE5DDF">
        <w:t>4</w:t>
      </w:r>
    </w:p>
    <w:p w:rsidR="005A26E9" w:rsidRPr="00DE5DDF" w:rsidRDefault="00391563" w:rsidP="005E7802">
      <w:pPr>
        <w:tabs>
          <w:tab w:val="right" w:pos="850"/>
          <w:tab w:val="left" w:pos="1134"/>
          <w:tab w:val="left" w:pos="1559"/>
          <w:tab w:val="left" w:pos="1984"/>
          <w:tab w:val="left" w:leader="dot" w:pos="8929"/>
          <w:tab w:val="right" w:pos="9638"/>
        </w:tabs>
        <w:spacing w:after="120"/>
      </w:pPr>
      <w:r w:rsidRPr="00DE5DDF">
        <w:tab/>
      </w:r>
      <w:r w:rsidR="005A26E9" w:rsidRPr="00DE5DDF">
        <w:tab/>
      </w:r>
      <w:r w:rsidR="005E5446" w:rsidRPr="00DE5DDF">
        <w:t>A.</w:t>
      </w:r>
      <w:r w:rsidR="005E5446" w:rsidRPr="00DE5DDF">
        <w:tab/>
        <w:t xml:space="preserve">National </w:t>
      </w:r>
      <w:r w:rsidR="00655B1B" w:rsidRPr="00DE5DDF">
        <w:t>i</w:t>
      </w:r>
      <w:r w:rsidR="005E5446" w:rsidRPr="00DE5DDF">
        <w:t>mplementation strategies</w:t>
      </w:r>
      <w:r w:rsidR="00CA4F62" w:rsidRPr="00DE5DDF">
        <w:tab/>
      </w:r>
      <w:r w:rsidR="001E7F19" w:rsidRPr="00DE5DDF">
        <w:tab/>
      </w:r>
      <w:r w:rsidR="005E5446" w:rsidRPr="00DE5DDF">
        <w:t>4</w:t>
      </w:r>
    </w:p>
    <w:p w:rsidR="005A26E9"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5E5446" w:rsidRPr="00DE5DDF">
        <w:t>B.</w:t>
      </w:r>
      <w:r w:rsidR="005E5446" w:rsidRPr="00DE5DDF">
        <w:tab/>
        <w:t>Self-determination and autonomy</w:t>
      </w:r>
      <w:r w:rsidR="00CA4F62" w:rsidRPr="00DE5DDF">
        <w:tab/>
      </w:r>
      <w:r w:rsidR="001E7F19" w:rsidRPr="00DE5DDF">
        <w:tab/>
      </w:r>
      <w:r w:rsidR="005E5446" w:rsidRPr="00DE5DDF">
        <w:t>5</w:t>
      </w:r>
    </w:p>
    <w:p w:rsidR="00A16837"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A16837" w:rsidRPr="00DE5DDF">
        <w:t>C.</w:t>
      </w:r>
      <w:r w:rsidR="00A16837" w:rsidRPr="00DE5DDF">
        <w:tab/>
      </w:r>
      <w:r w:rsidR="005E5446" w:rsidRPr="00DE5DDF">
        <w:t>Participation in decision-making and free, prior and informed consent</w:t>
      </w:r>
      <w:r w:rsidR="00CA4F62" w:rsidRPr="00DE5DDF">
        <w:tab/>
      </w:r>
      <w:r w:rsidR="001E7F19" w:rsidRPr="00DE5DDF">
        <w:tab/>
      </w:r>
      <w:r w:rsidR="005E5446" w:rsidRPr="00DE5DDF">
        <w:t>6</w:t>
      </w:r>
    </w:p>
    <w:p w:rsidR="00A16837"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A16837" w:rsidRPr="00DE5DDF">
        <w:t>D.</w:t>
      </w:r>
      <w:r w:rsidR="00A16837" w:rsidRPr="00DE5DDF">
        <w:tab/>
      </w:r>
      <w:r w:rsidR="005E5446" w:rsidRPr="00DE5DDF">
        <w:t>Cultures and languages</w:t>
      </w:r>
      <w:r w:rsidR="00CA4F62" w:rsidRPr="00DE5DDF">
        <w:tab/>
      </w:r>
      <w:r w:rsidR="00E50289" w:rsidRPr="00DE5DDF">
        <w:tab/>
      </w:r>
      <w:r w:rsidR="007E4A2A">
        <w:t>7</w:t>
      </w:r>
    </w:p>
    <w:p w:rsidR="005E5446"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5E5446" w:rsidRPr="00DE5DDF">
        <w:t>E.</w:t>
      </w:r>
      <w:r w:rsidR="005E5446" w:rsidRPr="00DE5DDF">
        <w:tab/>
        <w:t>Non-discrimination and equality</w:t>
      </w:r>
      <w:r w:rsidR="005E5446" w:rsidRPr="00DE5DDF">
        <w:tab/>
      </w:r>
      <w:r w:rsidR="005E5446" w:rsidRPr="00DE5DDF">
        <w:tab/>
      </w:r>
      <w:r w:rsidR="00AE7E5F" w:rsidRPr="00DE5DDF">
        <w:t>9</w:t>
      </w:r>
    </w:p>
    <w:p w:rsidR="00AE7E5F"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AE7E5F" w:rsidRPr="00DE5DDF">
        <w:t>F.</w:t>
      </w:r>
      <w:r w:rsidR="00AE7E5F" w:rsidRPr="00DE5DDF">
        <w:tab/>
        <w:t>Lands, territories and resources</w:t>
      </w:r>
      <w:r w:rsidR="00240B17" w:rsidRPr="005E7802">
        <w:tab/>
      </w:r>
      <w:r w:rsidR="007E4A2A">
        <w:tab/>
        <w:t>9</w:t>
      </w:r>
    </w:p>
    <w:p w:rsidR="00AE7E5F"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AE7E5F" w:rsidRPr="00DE5DDF">
        <w:t>G.</w:t>
      </w:r>
      <w:r w:rsidR="00AE7E5F" w:rsidRPr="00DE5DDF">
        <w:tab/>
        <w:t>Treaties, agreements and other construct</w:t>
      </w:r>
      <w:r w:rsidR="007E4A2A">
        <w:t>ive arrangements with States</w:t>
      </w:r>
      <w:r w:rsidR="007E4A2A">
        <w:tab/>
      </w:r>
      <w:r w:rsidR="007E4A2A">
        <w:tab/>
        <w:t>10</w:t>
      </w:r>
    </w:p>
    <w:p w:rsidR="00AE7E5F"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AE7E5F" w:rsidRPr="00DE5DDF">
        <w:t>H.</w:t>
      </w:r>
      <w:r w:rsidR="00AE7E5F" w:rsidRPr="00DE5DDF">
        <w:tab/>
        <w:t>Indigenous women, youth, children, elders, p</w:t>
      </w:r>
      <w:r w:rsidR="00655B1B" w:rsidRPr="00DE5DDF">
        <w:t>ersons with disabilities and</w:t>
      </w:r>
      <w:r w:rsidRPr="005E7802">
        <w:t xml:space="preserve"> </w:t>
      </w:r>
      <w:r w:rsidR="00AE7E5F" w:rsidRPr="00DE5DDF">
        <w:t xml:space="preserve">any other </w:t>
      </w:r>
      <w:r w:rsidRPr="005E7802">
        <w:br/>
      </w:r>
      <w:r w:rsidRPr="005E7802">
        <w:tab/>
      </w:r>
      <w:r w:rsidRPr="005E7802">
        <w:tab/>
      </w:r>
      <w:r w:rsidRPr="005E7802">
        <w:tab/>
      </w:r>
      <w:r w:rsidR="00AE7E5F" w:rsidRPr="00DE5DDF">
        <w:t>vulnerable groups</w:t>
      </w:r>
      <w:r w:rsidR="00AE7E5F" w:rsidRPr="00DE5DDF">
        <w:tab/>
      </w:r>
      <w:r w:rsidR="00AE7E5F" w:rsidRPr="00DE5DDF">
        <w:tab/>
        <w:t>11</w:t>
      </w:r>
    </w:p>
    <w:p w:rsidR="00AE7E5F" w:rsidRPr="00DE5DDF" w:rsidRDefault="00241636" w:rsidP="005E7802">
      <w:pPr>
        <w:tabs>
          <w:tab w:val="right" w:pos="850"/>
          <w:tab w:val="left" w:pos="1134"/>
          <w:tab w:val="left" w:pos="1560"/>
          <w:tab w:val="left" w:pos="1984"/>
          <w:tab w:val="left" w:leader="dot" w:pos="8929"/>
          <w:tab w:val="right" w:pos="9638"/>
        </w:tabs>
        <w:spacing w:after="120"/>
      </w:pPr>
      <w:r w:rsidRPr="005E7802">
        <w:tab/>
      </w:r>
      <w:r w:rsidRPr="005E7802">
        <w:tab/>
        <w:t>I.</w:t>
      </w:r>
      <w:r w:rsidRPr="005E7802">
        <w:tab/>
      </w:r>
      <w:r w:rsidR="00AE7E5F" w:rsidRPr="00DE5DDF">
        <w:t>Participation of indigenous peoples in the development and implementation</w:t>
      </w:r>
      <w:r w:rsidR="00655B1B" w:rsidRPr="00DE5DDF">
        <w:br/>
      </w:r>
      <w:r w:rsidRPr="005E7802">
        <w:tab/>
      </w:r>
      <w:r w:rsidRPr="005E7802">
        <w:tab/>
      </w:r>
      <w:r w:rsidRPr="005E7802">
        <w:tab/>
      </w:r>
      <w:r w:rsidR="00AE7E5F" w:rsidRPr="00DE5DDF">
        <w:t>of legislative, policy or administrative measures that</w:t>
      </w:r>
      <w:r w:rsidR="009E26F4" w:rsidRPr="00DE5DDF">
        <w:t xml:space="preserve"> </w:t>
      </w:r>
      <w:r w:rsidR="00655B1B" w:rsidRPr="00DE5DDF">
        <w:t>a</w:t>
      </w:r>
      <w:r w:rsidR="00AE7E5F" w:rsidRPr="00DE5DDF">
        <w:t>ffect them</w:t>
      </w:r>
      <w:r w:rsidR="00AE7E5F" w:rsidRPr="00DE5DDF">
        <w:tab/>
      </w:r>
      <w:r w:rsidR="00AE7E5F" w:rsidRPr="00DE5DDF">
        <w:tab/>
        <w:t>12</w:t>
      </w:r>
    </w:p>
    <w:p w:rsidR="00AE7E5F"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AE7E5F" w:rsidRPr="00DE5DDF">
        <w:t>J.</w:t>
      </w:r>
      <w:r w:rsidR="00AE7E5F" w:rsidRPr="00DE5DDF">
        <w:tab/>
        <w:t>Raising awareness about the Declaration</w:t>
      </w:r>
      <w:r w:rsidR="00AE7E5F" w:rsidRPr="00DE5DDF">
        <w:tab/>
      </w:r>
      <w:r w:rsidR="00AE7E5F" w:rsidRPr="00DE5DDF">
        <w:tab/>
        <w:t>13</w:t>
      </w:r>
    </w:p>
    <w:p w:rsidR="00AE7E5F"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EA2D62" w:rsidRPr="00DE5DDF">
        <w:t>K</w:t>
      </w:r>
      <w:r w:rsidR="00AE7E5F" w:rsidRPr="00DE5DDF">
        <w:tab/>
        <w:t>Challenges encountered in adopting measures a</w:t>
      </w:r>
      <w:r w:rsidR="00655B1B" w:rsidRPr="00DE5DDF">
        <w:t>nd implementing strategies to</w:t>
      </w:r>
      <w:r w:rsidRPr="005E7802">
        <w:t xml:space="preserve"> </w:t>
      </w:r>
      <w:r w:rsidR="00655B1B" w:rsidRPr="00DE5DDF">
        <w:t>a</w:t>
      </w:r>
      <w:r w:rsidR="00AE7E5F" w:rsidRPr="00DE5DDF">
        <w:t xml:space="preserve">chieve </w:t>
      </w:r>
      <w:r w:rsidRPr="005E7802">
        <w:br/>
      </w:r>
      <w:r w:rsidRPr="005E7802">
        <w:tab/>
      </w:r>
      <w:r w:rsidRPr="005E7802">
        <w:tab/>
      </w:r>
      <w:r w:rsidRPr="005E7802">
        <w:tab/>
      </w:r>
      <w:r w:rsidR="00AE7E5F" w:rsidRPr="00DE5DDF">
        <w:t>the ends</w:t>
      </w:r>
      <w:r w:rsidR="00655B1B" w:rsidRPr="00DE5DDF">
        <w:t xml:space="preserve"> of the Declaration</w:t>
      </w:r>
      <w:r w:rsidR="00655B1B" w:rsidRPr="00DE5DDF">
        <w:tab/>
      </w:r>
      <w:r w:rsidR="00655B1B" w:rsidRPr="00DE5DDF">
        <w:tab/>
        <w:t>14</w:t>
      </w:r>
    </w:p>
    <w:p w:rsidR="00EA2D62"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EA2D62" w:rsidRPr="00DE5DDF">
        <w:t>L.</w:t>
      </w:r>
      <w:r w:rsidR="00EA2D62" w:rsidRPr="00DE5DDF">
        <w:tab/>
        <w:t>Promising practices</w:t>
      </w:r>
      <w:r w:rsidR="00EA2D62" w:rsidRPr="00DE5DDF">
        <w:tab/>
      </w:r>
      <w:r w:rsidR="00EA2D62" w:rsidRPr="00DE5DDF">
        <w:tab/>
        <w:t>15</w:t>
      </w:r>
    </w:p>
    <w:p w:rsidR="00EA2D62"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Pr="005E7802">
        <w:tab/>
      </w:r>
      <w:r w:rsidR="00EA2D62" w:rsidRPr="00DE5DDF">
        <w:t>M.</w:t>
      </w:r>
      <w:r w:rsidR="00EA2D62" w:rsidRPr="00DE5DDF">
        <w:tab/>
        <w:t xml:space="preserve">Feedback on the </w:t>
      </w:r>
      <w:r w:rsidR="007E4A2A">
        <w:t>role of the Expert Mechanism</w:t>
      </w:r>
      <w:r w:rsidR="007E4A2A">
        <w:tab/>
      </w:r>
      <w:r w:rsidR="007E4A2A">
        <w:tab/>
        <w:t>15</w:t>
      </w:r>
    </w:p>
    <w:p w:rsidR="00A16837" w:rsidRPr="00DE5DDF" w:rsidRDefault="00241636" w:rsidP="005E7802">
      <w:pPr>
        <w:tabs>
          <w:tab w:val="right" w:pos="850"/>
          <w:tab w:val="left" w:pos="1134"/>
          <w:tab w:val="left" w:pos="1559"/>
          <w:tab w:val="left" w:pos="1984"/>
          <w:tab w:val="left" w:leader="dot" w:pos="8929"/>
          <w:tab w:val="right" w:pos="9638"/>
        </w:tabs>
        <w:spacing w:after="120"/>
      </w:pPr>
      <w:r w:rsidRPr="005E7802">
        <w:tab/>
      </w:r>
      <w:r w:rsidR="00A16837" w:rsidRPr="00DE5DDF">
        <w:t>I</w:t>
      </w:r>
      <w:r w:rsidR="00EA2D62" w:rsidRPr="00DE5DDF">
        <w:t>II</w:t>
      </w:r>
      <w:r w:rsidR="00A16837" w:rsidRPr="00DE5DDF">
        <w:t>.</w:t>
      </w:r>
      <w:r w:rsidR="00EA2D62" w:rsidRPr="00DE5DDF">
        <w:tab/>
        <w:t>Concluding comments</w:t>
      </w:r>
      <w:r w:rsidR="00261404" w:rsidRPr="00DE5DDF">
        <w:tab/>
      </w:r>
      <w:r w:rsidR="00E50289" w:rsidRPr="00DE5DDF">
        <w:tab/>
      </w:r>
      <w:r w:rsidR="00EA2D62" w:rsidRPr="00DE5DDF">
        <w:t>16</w:t>
      </w:r>
    </w:p>
    <w:p w:rsidR="004B7CB6" w:rsidRPr="005E7802" w:rsidRDefault="009E1DCB" w:rsidP="00AD78CD">
      <w:pPr>
        <w:pStyle w:val="HChG"/>
      </w:pPr>
      <w:r w:rsidRPr="005E7802">
        <w:br w:type="page"/>
      </w:r>
      <w:r w:rsidR="00DE38EC" w:rsidRPr="005E7802">
        <w:lastRenderedPageBreak/>
        <w:tab/>
      </w:r>
      <w:r w:rsidR="004B7CB6" w:rsidRPr="005E7802">
        <w:t>I.</w:t>
      </w:r>
      <w:r w:rsidR="00DE38EC" w:rsidRPr="005E7802">
        <w:tab/>
      </w:r>
      <w:r w:rsidR="004B7CB6" w:rsidRPr="005E7802">
        <w:t>I</w:t>
      </w:r>
      <w:r w:rsidRPr="005E7802">
        <w:t>ntroduction</w:t>
      </w:r>
    </w:p>
    <w:p w:rsidR="00631EDA" w:rsidRPr="005E7802" w:rsidRDefault="005E7802" w:rsidP="005E7802">
      <w:pPr>
        <w:pStyle w:val="SingleTxtG"/>
      </w:pPr>
      <w:r w:rsidRPr="005E7802">
        <w:t>1.</w:t>
      </w:r>
      <w:r w:rsidRPr="005E7802">
        <w:tab/>
      </w:r>
      <w:r w:rsidR="00631EDA" w:rsidRPr="005E7802">
        <w:t xml:space="preserve">In </w:t>
      </w:r>
      <w:r w:rsidR="00951804" w:rsidRPr="005E7802">
        <w:t xml:space="preserve">its </w:t>
      </w:r>
      <w:r w:rsidR="00631EDA" w:rsidRPr="005E7802">
        <w:t>resolution 18/8 of 2011, the Human Rights Council first requested the Expert Mechanism on the Rights of Indigenous Peoples to undertake, with the assistance of the Office of the United Nations High Commissioner for Human Rights</w:t>
      </w:r>
      <w:r w:rsidR="004002DA" w:rsidRPr="005E7802">
        <w:t xml:space="preserve"> (OHCHR)</w:t>
      </w:r>
      <w:r w:rsidR="00631EDA" w:rsidRPr="005E7802">
        <w:t xml:space="preserve">, a questionnaire on best practices regarding possible appropriate measures and implementation strategies to attain the goals of the United Nations Declaration on the Rights of Indigenous Peoples. In its resolutions 21/24 (2012) and 24/10 (2013), the Council requested the Expert Mechanism to continue to undertake the survey, with a view to completing summaries of responses for presentation to the Council at its twenty-fourth and twenty-seventh sessions, respectively. In </w:t>
      </w:r>
      <w:r w:rsidR="004002DA" w:rsidRPr="00DE5DDF">
        <w:t xml:space="preserve">its </w:t>
      </w:r>
      <w:r w:rsidR="00631EDA" w:rsidRPr="00DE5DDF">
        <w:t xml:space="preserve">resolution 27/13 of </w:t>
      </w:r>
      <w:r w:rsidR="004002DA" w:rsidRPr="00DE5DDF">
        <w:t xml:space="preserve">25 </w:t>
      </w:r>
      <w:r w:rsidR="00631EDA" w:rsidRPr="00DE5DDF">
        <w:t>September 2014, the Human Rights Council once again requested the Expert Mechanism on the Rights of Indigenous Peoples to continue this exercise. The present report builds upon reports presented to the Human Rights Council at its twenty-first, twenty-fourth and twenty-seventh sessions (A/HRC/21/54, A/HRC/24/51 and A/HRC/27/67).</w:t>
      </w:r>
    </w:p>
    <w:p w:rsidR="00631EDA" w:rsidRPr="00DE5DDF" w:rsidRDefault="005E7802" w:rsidP="005E7802">
      <w:pPr>
        <w:pStyle w:val="SingleTxtG"/>
      </w:pPr>
      <w:r w:rsidRPr="00DE5DDF">
        <w:t>2.</w:t>
      </w:r>
      <w:r w:rsidRPr="00DE5DDF">
        <w:tab/>
      </w:r>
      <w:r w:rsidR="00631EDA" w:rsidRPr="00DE5DDF">
        <w:t xml:space="preserve">Upon reviewing the questionnaires distributed in previous years, the Expert Mechanism on the Rights of Indigenous Peoples decided to update them, with the aim of streamlining and clarifying the information sought from States and indigenous peoples, as well as taking into account the </w:t>
      </w:r>
      <w:r w:rsidR="00C52ADB" w:rsidRPr="005E7802">
        <w:t>o</w:t>
      </w:r>
      <w:r w:rsidR="00E57A13" w:rsidRPr="005E7802">
        <w:t xml:space="preserve">utcome document of the high-level plenary meeting of the General Assembly known as the World Conference on Indigenous Peoples </w:t>
      </w:r>
      <w:r w:rsidR="00631EDA" w:rsidRPr="00DE5DDF">
        <w:t>(</w:t>
      </w:r>
      <w:r w:rsidR="00E57A13" w:rsidRPr="00DE5DDF">
        <w:t xml:space="preserve">General Assembly resolution </w:t>
      </w:r>
      <w:r w:rsidR="00631EDA" w:rsidRPr="00DE5DDF">
        <w:t>69/2). The revised questionnaire focuses on best practices in the areas of self-determination; participation in decision-making including free, prior and informed consent; languages and culture; non-discrimination and equality; lands, territories and resources; treaties, agreements and other constructive arrangements; and measures taken to promote and protect rights of indigenous women, youth, children, elders, persons with disabilities and any other vulnerable groups.</w:t>
      </w:r>
    </w:p>
    <w:p w:rsidR="00631EDA" w:rsidRPr="00DE5DDF" w:rsidRDefault="005E7802" w:rsidP="005E7802">
      <w:pPr>
        <w:pStyle w:val="SingleTxtG"/>
      </w:pPr>
      <w:r w:rsidRPr="00DE5DDF">
        <w:t>3.</w:t>
      </w:r>
      <w:r w:rsidRPr="00DE5DDF">
        <w:tab/>
      </w:r>
      <w:r w:rsidR="00631EDA" w:rsidRPr="00DE5DDF">
        <w:t xml:space="preserve">The questionnaires for indigenous peoples and States were designed to be as consistent as possible with each other, in order to facilitate the comparison of responses and generate ideas for partnerships for implementation of the Declaration. </w:t>
      </w:r>
      <w:r w:rsidR="004C0309" w:rsidRPr="00DE5DDF">
        <w:t xml:space="preserve">All </w:t>
      </w:r>
      <w:r w:rsidR="00631EDA" w:rsidRPr="00DE5DDF">
        <w:t>of the questions posed to States and indigenous peoples are reproduced below. The complete questionnaires, as well as the responses received (where permission was granted) are available on the website of the Expert Mechanism.</w:t>
      </w:r>
      <w:r w:rsidR="00631EDA" w:rsidRPr="00DE5DDF">
        <w:rPr>
          <w:rStyle w:val="FootnoteReference"/>
        </w:rPr>
        <w:footnoteReference w:id="2"/>
      </w:r>
      <w:r w:rsidR="00631EDA" w:rsidRPr="00DE5DDF">
        <w:t xml:space="preserve"> </w:t>
      </w:r>
    </w:p>
    <w:p w:rsidR="00631EDA" w:rsidRPr="00DE5DDF" w:rsidRDefault="005E7802" w:rsidP="005E7802">
      <w:pPr>
        <w:pStyle w:val="SingleTxtG"/>
      </w:pPr>
      <w:r w:rsidRPr="00DE5DDF">
        <w:t>4.</w:t>
      </w:r>
      <w:r w:rsidRPr="00DE5DDF">
        <w:tab/>
      </w:r>
      <w:r w:rsidR="00631EDA" w:rsidRPr="00DE5DDF">
        <w:t xml:space="preserve">The Expert Mechanism thanks </w:t>
      </w:r>
      <w:r w:rsidR="004C0309" w:rsidRPr="00DE5DDF">
        <w:t>those who</w:t>
      </w:r>
      <w:r w:rsidR="00631EDA" w:rsidRPr="00DE5DDF">
        <w:t xml:space="preserve"> responded to this year’s questionnaire. Responses were received from Australia, Burundi, Chile, Colombia, Costa Rica, Cuba, Denmark and the Government of Greenland, France, Guatemala, Japan, Paraguay and Peru.</w:t>
      </w:r>
    </w:p>
    <w:p w:rsidR="00631EDA" w:rsidRPr="00DE5DDF" w:rsidRDefault="005E7802" w:rsidP="005E7802">
      <w:pPr>
        <w:pStyle w:val="SingleTxtG"/>
      </w:pPr>
      <w:r w:rsidRPr="00DE5DDF">
        <w:t>5.</w:t>
      </w:r>
      <w:r w:rsidRPr="00DE5DDF">
        <w:tab/>
      </w:r>
      <w:r w:rsidR="00631EDA" w:rsidRPr="00DE5DDF">
        <w:t>The Expert Mechanism also thanks the following indigenous peoples and indigenous peoples’ organizations and representative bodies for their responses to this year’s questionnaire: ALDET Centre (Saint Lucia); Asociación Kunas Unidos por Napguana (Panama); Corporación Red Nacional de Mujeres Comunales, Comunitarias, Indígenas y Campesinas de la República de Colombia (REDCOMUINCACOL); Elnu Abenaki Tribe (United States); Les Amis du Sankuru (Democratic Republic of the Congo); ONG ADJMOR (Mali); Rehoboth Basters Community (Namibia); Saami Parliament of Finland; and Teemashane Community Development Trust (Botswana).</w:t>
      </w:r>
    </w:p>
    <w:p w:rsidR="00DF0BC5" w:rsidRPr="00DE5DDF" w:rsidRDefault="005E7802" w:rsidP="005E7802">
      <w:pPr>
        <w:pStyle w:val="SingleTxtG"/>
      </w:pPr>
      <w:r w:rsidRPr="00DE5DDF">
        <w:t>6.</w:t>
      </w:r>
      <w:r w:rsidRPr="00DE5DDF">
        <w:tab/>
      </w:r>
      <w:r w:rsidR="00631EDA" w:rsidRPr="00DE5DDF">
        <w:t>The Expert Mechanism also thanks the Faculty of Law at the University of Manitoba, Canada, for its assistance in reviewing the responses from States.</w:t>
      </w:r>
    </w:p>
    <w:p w:rsidR="004B7CB6" w:rsidRPr="00DE5DDF" w:rsidRDefault="00465D61" w:rsidP="00655B1B">
      <w:pPr>
        <w:pStyle w:val="HChG"/>
        <w:ind w:left="709" w:hanging="709"/>
      </w:pPr>
      <w:r w:rsidRPr="00DE5DDF">
        <w:tab/>
      </w:r>
      <w:r w:rsidR="00DE38EC" w:rsidRPr="00DE5DDF">
        <w:tab/>
      </w:r>
      <w:r w:rsidR="004B7CB6" w:rsidRPr="00DE5DDF">
        <w:t>II.</w:t>
      </w:r>
      <w:r w:rsidR="00DE38EC" w:rsidRPr="00DE5DDF">
        <w:tab/>
      </w:r>
      <w:r w:rsidR="00631EDA" w:rsidRPr="00DE5DDF">
        <w:t>Responses from States and from indigenous peoples</w:t>
      </w:r>
    </w:p>
    <w:p w:rsidR="00FA03A1" w:rsidRPr="005E7802" w:rsidRDefault="005E7802" w:rsidP="005E7802">
      <w:pPr>
        <w:pStyle w:val="SingleTxtG"/>
        <w:rPr>
          <w:rFonts w:eastAsia="SimSun"/>
          <w:color w:val="000000"/>
          <w:lang w:eastAsia="zh-CN"/>
        </w:rPr>
      </w:pPr>
      <w:r w:rsidRPr="005E7802">
        <w:rPr>
          <w:rFonts w:eastAsia="SimSun"/>
          <w:color w:val="000000"/>
          <w:lang w:eastAsia="zh-CN"/>
        </w:rPr>
        <w:t>7.</w:t>
      </w:r>
      <w:r w:rsidRPr="005E7802">
        <w:rPr>
          <w:rFonts w:eastAsia="SimSun"/>
          <w:color w:val="000000"/>
          <w:lang w:eastAsia="zh-CN"/>
        </w:rPr>
        <w:tab/>
      </w:r>
      <w:r w:rsidR="00631EDA" w:rsidRPr="00DE5DDF">
        <w:t>This section summarizes the responses from States and from indigenous peoples to the questionnaire. It must be borne in mind that responses from States and indigenous peoples may have conflicting views on the benefits of measures adopted to implement the Declaration or the ideal strategies to achieve its implementation.</w:t>
      </w:r>
    </w:p>
    <w:p w:rsidR="004B7CB6" w:rsidRPr="00DE5DDF" w:rsidRDefault="00DE38EC" w:rsidP="00AD78CD">
      <w:pPr>
        <w:pStyle w:val="H1G"/>
      </w:pPr>
      <w:r w:rsidRPr="00DE5DDF">
        <w:tab/>
      </w:r>
      <w:r w:rsidR="004B7CB6" w:rsidRPr="00DE5DDF">
        <w:t>A.</w:t>
      </w:r>
      <w:r w:rsidRPr="00DE5DDF">
        <w:tab/>
      </w:r>
      <w:r w:rsidR="00631EDA" w:rsidRPr="00DE5DDF">
        <w:t>National implementation strategies</w:t>
      </w:r>
    </w:p>
    <w:p w:rsidR="00631EDA" w:rsidRPr="005E7802" w:rsidRDefault="005E7802" w:rsidP="005E7802">
      <w:pPr>
        <w:pStyle w:val="SingleTxtG"/>
        <w:rPr>
          <w:iCs/>
        </w:rPr>
      </w:pPr>
      <w:r w:rsidRPr="005E7802">
        <w:rPr>
          <w:iCs/>
        </w:rPr>
        <w:t>8.</w:t>
      </w:r>
      <w:r w:rsidRPr="005E7802">
        <w:rPr>
          <w:iCs/>
        </w:rPr>
        <w:tab/>
      </w:r>
      <w:r w:rsidR="00631EDA" w:rsidRPr="00DE5DDF">
        <w:t xml:space="preserve">The questionnaire posed the following question to States: </w:t>
      </w:r>
      <w:r w:rsidR="00C457A3" w:rsidRPr="00DE5DDF">
        <w:t>“</w:t>
      </w:r>
      <w:r w:rsidR="00631EDA" w:rsidRPr="005E7802">
        <w:rPr>
          <w:iCs/>
        </w:rPr>
        <w:t xml:space="preserve">Does the </w:t>
      </w:r>
      <w:r w:rsidR="00DD547A" w:rsidRPr="00DE5DDF">
        <w:rPr>
          <w:iCs/>
        </w:rPr>
        <w:t>S</w:t>
      </w:r>
      <w:r w:rsidR="00DD547A" w:rsidRPr="005E7802">
        <w:rPr>
          <w:iCs/>
        </w:rPr>
        <w:t xml:space="preserve">tate </w:t>
      </w:r>
      <w:r w:rsidR="00631EDA" w:rsidRPr="005E7802">
        <w:rPr>
          <w:iCs/>
        </w:rPr>
        <w:t>have an overarching national implementation strategy to attain the goals of the Declaration?</w:t>
      </w:r>
      <w:r w:rsidR="00240B17" w:rsidRPr="005E7802">
        <w:rPr>
          <w:iCs/>
        </w:rPr>
        <w:t xml:space="preserve"> </w:t>
      </w:r>
      <w:r w:rsidR="00631EDA" w:rsidRPr="005E7802">
        <w:rPr>
          <w:iCs/>
        </w:rPr>
        <w:t>If yes, please provide details, including the involvement of State institutions and indigenous peoples. If not, are there any plans to develop one?</w:t>
      </w:r>
      <w:r w:rsidR="00C457A3" w:rsidRPr="00DE5DDF">
        <w:rPr>
          <w:iCs/>
        </w:rPr>
        <w:t>”</w:t>
      </w:r>
    </w:p>
    <w:p w:rsidR="00631EDA" w:rsidRPr="00DE5DDF" w:rsidRDefault="005E7802" w:rsidP="005E7802">
      <w:pPr>
        <w:pStyle w:val="SingleTxtG"/>
      </w:pPr>
      <w:r w:rsidRPr="00DE5DDF">
        <w:t>9.</w:t>
      </w:r>
      <w:r w:rsidRPr="00DE5DDF">
        <w:tab/>
      </w:r>
      <w:r w:rsidR="00631EDA" w:rsidRPr="00DE5DDF">
        <w:t xml:space="preserve">This question is linked to the commitment made by States in the </w:t>
      </w:r>
      <w:r w:rsidR="00853C87" w:rsidRPr="00DE5DDF">
        <w:t>outcome document of the World Conference on Indigenous Peoples</w:t>
      </w:r>
      <w:r w:rsidR="00631EDA" w:rsidRPr="00DE5DDF">
        <w:t>, through their own representative institutions, to develop and implement national action plans, strategies or other measures</w:t>
      </w:r>
      <w:r w:rsidR="00C457A3" w:rsidRPr="00DE5DDF">
        <w:t xml:space="preserve"> and</w:t>
      </w:r>
      <w:r w:rsidR="00631EDA" w:rsidRPr="00DE5DDF">
        <w:t>, where relevant, to achieve the ends of the Declaration.</w:t>
      </w:r>
    </w:p>
    <w:p w:rsidR="00631EDA" w:rsidRPr="00DE5DDF" w:rsidRDefault="005E7802" w:rsidP="005E7802">
      <w:pPr>
        <w:pStyle w:val="SingleTxtG"/>
      </w:pPr>
      <w:r w:rsidRPr="00DE5DDF">
        <w:t>10.</w:t>
      </w:r>
      <w:r w:rsidRPr="00DE5DDF">
        <w:tab/>
      </w:r>
      <w:r w:rsidR="00631EDA" w:rsidRPr="00DE5DDF">
        <w:t>Most States that responded did not have an overarching national implementation strategy specifically linked to attaining the goals of the Declaration. However, in their responses they discussed how the situation and rights of indigenous peoples are addressed through national development strategies</w:t>
      </w:r>
      <w:r w:rsidR="00C457A3" w:rsidRPr="00DE5DDF">
        <w:t>,</w:t>
      </w:r>
      <w:r w:rsidR="00631EDA" w:rsidRPr="00DE5DDF">
        <w:t xml:space="preserve"> as well as programmes and policies in specific sectors, such as health and education.</w:t>
      </w:r>
    </w:p>
    <w:p w:rsidR="00631EDA" w:rsidRPr="00DE5DDF" w:rsidRDefault="005E7802" w:rsidP="005E7802">
      <w:pPr>
        <w:pStyle w:val="SingleTxtG"/>
      </w:pPr>
      <w:r w:rsidRPr="00DE5DDF">
        <w:t>11.</w:t>
      </w:r>
      <w:r w:rsidRPr="00DE5DDF">
        <w:tab/>
      </w:r>
      <w:r w:rsidR="00631EDA" w:rsidRPr="00DE5DDF">
        <w:t xml:space="preserve">Guatemala discussed the “K’atun Nuestra Guatemala 2032” strategy, which was prepared with the participation and consultation of the three different indigenous peoples in Guatemala: the Maya, Garifuna and Xinka. The plan </w:t>
      </w:r>
      <w:r w:rsidR="009054E6" w:rsidRPr="00DE5DDF">
        <w:t xml:space="preserve">guided </w:t>
      </w:r>
      <w:r w:rsidR="00631EDA" w:rsidRPr="00DE5DDF">
        <w:t xml:space="preserve">the work of the State by focusing on reducing the gaps in access to education, improving overall health and improving access to water and basic sanitation. In addition, Guatemala’s response highlighted that from 2013 onwards, the National Budget Law </w:t>
      </w:r>
      <w:r w:rsidR="009054E6" w:rsidRPr="00DE5DDF">
        <w:t xml:space="preserve">stipulated </w:t>
      </w:r>
      <w:r w:rsidR="00631EDA" w:rsidRPr="00DE5DDF">
        <w:t>that budget</w:t>
      </w:r>
      <w:r w:rsidR="00DD547A" w:rsidRPr="00DE5DDF">
        <w:t>-</w:t>
      </w:r>
      <w:r w:rsidR="00631EDA" w:rsidRPr="00DE5DDF">
        <w:t>executing agencies need</w:t>
      </w:r>
      <w:r w:rsidR="009054E6" w:rsidRPr="00DE5DDF">
        <w:t>ed</w:t>
      </w:r>
      <w:r w:rsidR="00631EDA" w:rsidRPr="00DE5DDF">
        <w:t xml:space="preserve"> to provide information regarding the beneficiary population of their programmes, including in terms of ethnicity</w:t>
      </w:r>
      <w:r w:rsidR="006349EC" w:rsidRPr="00DE5DDF">
        <w:t>.</w:t>
      </w:r>
    </w:p>
    <w:p w:rsidR="00631EDA" w:rsidRPr="00DE5DDF" w:rsidRDefault="005E7802" w:rsidP="005E7802">
      <w:pPr>
        <w:pStyle w:val="SingleTxtG"/>
      </w:pPr>
      <w:r w:rsidRPr="00DE5DDF">
        <w:t>12.</w:t>
      </w:r>
      <w:r w:rsidRPr="00DE5DDF">
        <w:tab/>
      </w:r>
      <w:r w:rsidR="00631EDA" w:rsidRPr="00DE5DDF">
        <w:t xml:space="preserve">In Costa Rica, the Vice-Ministry of Political Affairs </w:t>
      </w:r>
      <w:r w:rsidR="009054E6" w:rsidRPr="00DE5DDF">
        <w:t xml:space="preserve">had </w:t>
      </w:r>
      <w:r w:rsidR="00631EDA" w:rsidRPr="00DE5DDF">
        <w:t>a strategy on indigenous peoples based on four axes: a consultation policy; a policy for the recovery of lands, territories and resources; a mechanism for dialogue with the 24 indigenous territories in the country; and inter-institutional coordination. Costa Rica’s response also examined several sector-specific initiatives relating to indigenous peoples in the areas of health, education and employment.</w:t>
      </w:r>
    </w:p>
    <w:p w:rsidR="00631EDA" w:rsidRPr="00DE5DDF" w:rsidRDefault="005E7802" w:rsidP="005E7802">
      <w:pPr>
        <w:pStyle w:val="SingleTxtG"/>
      </w:pPr>
      <w:r w:rsidRPr="00DE5DDF">
        <w:t>13.</w:t>
      </w:r>
      <w:r w:rsidRPr="00DE5DDF">
        <w:tab/>
      </w:r>
      <w:r w:rsidR="00631EDA" w:rsidRPr="00DE5DDF">
        <w:t xml:space="preserve">Those States that did not have a national strategy nonetheless reported on measures they </w:t>
      </w:r>
      <w:r w:rsidR="009054E6" w:rsidRPr="00DE5DDF">
        <w:t xml:space="preserve">had </w:t>
      </w:r>
      <w:r w:rsidR="00631EDA" w:rsidRPr="00DE5DDF">
        <w:t xml:space="preserve">taken to ensure that the goals of the Declaration </w:t>
      </w:r>
      <w:r w:rsidR="009054E6" w:rsidRPr="00DE5DDF">
        <w:t xml:space="preserve">were </w:t>
      </w:r>
      <w:r w:rsidR="00631EDA" w:rsidRPr="00DE5DDF">
        <w:t xml:space="preserve">considered in policy and programme development. Australia, for example, noted that relevant </w:t>
      </w:r>
      <w:r w:rsidR="00C457A3" w:rsidRPr="00DE5DDF">
        <w:t xml:space="preserve">Government </w:t>
      </w:r>
      <w:r w:rsidR="00631EDA" w:rsidRPr="00DE5DDF">
        <w:t>agencies liaise</w:t>
      </w:r>
      <w:r w:rsidR="009054E6" w:rsidRPr="00DE5DDF">
        <w:t>d</w:t>
      </w:r>
      <w:r w:rsidR="00631EDA" w:rsidRPr="00DE5DDF">
        <w:t xml:space="preserve"> closely on relevant issues to ensure the Declaration </w:t>
      </w:r>
      <w:r w:rsidR="009054E6" w:rsidRPr="00DE5DDF">
        <w:t xml:space="preserve">was </w:t>
      </w:r>
      <w:r w:rsidR="00631EDA" w:rsidRPr="00DE5DDF">
        <w:t>taken into account.</w:t>
      </w:r>
    </w:p>
    <w:p w:rsidR="00631EDA" w:rsidRPr="00DE5DDF" w:rsidRDefault="005E7802" w:rsidP="005E7802">
      <w:pPr>
        <w:pStyle w:val="SingleTxtG"/>
      </w:pPr>
      <w:r w:rsidRPr="00DE5DDF">
        <w:t>14.</w:t>
      </w:r>
      <w:r w:rsidRPr="00DE5DDF">
        <w:tab/>
      </w:r>
      <w:r w:rsidR="00631EDA" w:rsidRPr="00DE5DDF">
        <w:t xml:space="preserve">Japan’s response highlighted the establishment of a high-level Advisory Council for Future Ainu Policy, which </w:t>
      </w:r>
      <w:r w:rsidR="009054E6" w:rsidRPr="00DE5DDF">
        <w:t xml:space="preserve">referred </w:t>
      </w:r>
      <w:r w:rsidR="00631EDA" w:rsidRPr="00DE5DDF">
        <w:t>to relevant provisions of the Declaration. This Council developed basic principles for new Ainu policy. Subsequently, Japan established the Council for Ainu Policy Promotion to discuss comprehensive and effective measures for Ainu people, which reflect</w:t>
      </w:r>
      <w:r w:rsidR="009054E6" w:rsidRPr="00DE5DDF">
        <w:t>ed</w:t>
      </w:r>
      <w:r w:rsidR="00631EDA" w:rsidRPr="00DE5DDF">
        <w:t xml:space="preserve"> the opinions of the Ainu people.</w:t>
      </w:r>
    </w:p>
    <w:p w:rsidR="00631EDA" w:rsidRPr="00DE5DDF" w:rsidRDefault="005E7802" w:rsidP="005E7802">
      <w:pPr>
        <w:pStyle w:val="SingleTxtG"/>
      </w:pPr>
      <w:r w:rsidRPr="00DE5DDF">
        <w:t>15.</w:t>
      </w:r>
      <w:r w:rsidRPr="00DE5DDF">
        <w:tab/>
      </w:r>
      <w:r w:rsidR="00631EDA" w:rsidRPr="00DE5DDF">
        <w:t xml:space="preserve">Paraguay noted that it </w:t>
      </w:r>
      <w:r w:rsidR="009054E6" w:rsidRPr="00DE5DDF">
        <w:t xml:space="preserve">had </w:t>
      </w:r>
      <w:r w:rsidR="00631EDA" w:rsidRPr="00DE5DDF">
        <w:t xml:space="preserve">a National Human Rights Plan, which </w:t>
      </w:r>
      <w:r w:rsidR="009054E6" w:rsidRPr="00DE5DDF">
        <w:t>sought</w:t>
      </w:r>
      <w:r w:rsidR="00631EDA" w:rsidRPr="00DE5DDF">
        <w:t>, inter alia, to address structural inequalities and discrimination in conformity with the goals of the Declaration.</w:t>
      </w:r>
    </w:p>
    <w:p w:rsidR="00631EDA" w:rsidRPr="00DE5DDF" w:rsidRDefault="005E7802" w:rsidP="005E7802">
      <w:pPr>
        <w:pStyle w:val="SingleTxtG"/>
      </w:pPr>
      <w:r w:rsidRPr="00DE5DDF">
        <w:t>16.</w:t>
      </w:r>
      <w:r w:rsidRPr="00DE5DDF">
        <w:tab/>
      </w:r>
      <w:r w:rsidR="00631EDA" w:rsidRPr="00DE5DDF">
        <w:t xml:space="preserve">Peru stated that it </w:t>
      </w:r>
      <w:r w:rsidR="009054E6" w:rsidRPr="00DE5DDF">
        <w:t xml:space="preserve">did </w:t>
      </w:r>
      <w:r w:rsidR="00631EDA" w:rsidRPr="00DE5DDF">
        <w:t xml:space="preserve">not have a national plan, but in 2010 it established the Ministry of Culture, which </w:t>
      </w:r>
      <w:r w:rsidR="009054E6" w:rsidRPr="00DE5DDF">
        <w:t xml:space="preserve">included </w:t>
      </w:r>
      <w:r w:rsidR="00631EDA" w:rsidRPr="00DE5DDF">
        <w:t>a Vice-Ministry for Inter</w:t>
      </w:r>
      <w:r w:rsidR="00C457A3" w:rsidRPr="00DE5DDF">
        <w:t>c</w:t>
      </w:r>
      <w:r w:rsidR="00631EDA" w:rsidRPr="00DE5DDF">
        <w:t xml:space="preserve">ultural Affairs. The Vice-Ministry </w:t>
      </w:r>
      <w:r w:rsidR="009054E6" w:rsidRPr="00DE5DDF">
        <w:t xml:space="preserve">was </w:t>
      </w:r>
      <w:r w:rsidR="00631EDA" w:rsidRPr="00DE5DDF">
        <w:t>directly responsible for implementing specialized policies for indigenous peoples and technical assistance, in coordination with the pertinent public entities</w:t>
      </w:r>
      <w:r w:rsidR="00C457A3" w:rsidRPr="00DE5DDF">
        <w:t>,</w:t>
      </w:r>
      <w:r w:rsidR="00631EDA" w:rsidRPr="00DE5DDF">
        <w:t xml:space="preserve"> based on dialogue with indigenous peoples’ organizations. It </w:t>
      </w:r>
      <w:r w:rsidR="009054E6" w:rsidRPr="00DE5DDF">
        <w:t xml:space="preserve">was </w:t>
      </w:r>
      <w:r w:rsidR="00631EDA" w:rsidRPr="00DE5DDF">
        <w:t>also in charge of administering territorial reserves established for indigenous peoples in voluntary isolation or initial contact.</w:t>
      </w:r>
    </w:p>
    <w:p w:rsidR="00631EDA" w:rsidRPr="00DE5DDF" w:rsidRDefault="005E7802" w:rsidP="005E7802">
      <w:pPr>
        <w:pStyle w:val="SingleTxtG"/>
      </w:pPr>
      <w:r w:rsidRPr="00DE5DDF">
        <w:t>17.</w:t>
      </w:r>
      <w:r w:rsidRPr="00DE5DDF">
        <w:tab/>
      </w:r>
      <w:r w:rsidR="00631EDA" w:rsidRPr="00DE5DDF">
        <w:t xml:space="preserve">Although Colombia </w:t>
      </w:r>
      <w:r w:rsidR="009054E6" w:rsidRPr="00DE5DDF">
        <w:t xml:space="preserve">did </w:t>
      </w:r>
      <w:r w:rsidR="00631EDA" w:rsidRPr="00DE5DDF">
        <w:t>not have an overarching national implementation strategy, its response focused on its national laws and policies to promote and protect the rights of indigenous peoples in the areas of health and education.</w:t>
      </w:r>
    </w:p>
    <w:p w:rsidR="00631EDA" w:rsidRPr="00DE5DDF" w:rsidRDefault="005E7802" w:rsidP="005E7802">
      <w:pPr>
        <w:pStyle w:val="SingleTxtG"/>
      </w:pPr>
      <w:r w:rsidRPr="00DE5DDF">
        <w:t>18.</w:t>
      </w:r>
      <w:r w:rsidRPr="00DE5DDF">
        <w:tab/>
      </w:r>
      <w:r w:rsidR="00631EDA" w:rsidRPr="00DE5DDF">
        <w:t xml:space="preserve">Burundi noted that </w:t>
      </w:r>
      <w:r w:rsidR="00C457A3" w:rsidRPr="00DE5DDF">
        <w:t>it ha</w:t>
      </w:r>
      <w:r w:rsidR="009054E6" w:rsidRPr="00DE5DDF">
        <w:t>d</w:t>
      </w:r>
      <w:r w:rsidR="00631EDA" w:rsidRPr="00DE5DDF">
        <w:t xml:space="preserve"> developed policies and strategies to improve the living conditions of the Batwa people</w:t>
      </w:r>
      <w:r w:rsidR="00C457A3" w:rsidRPr="00DE5DDF">
        <w:t>, p</w:t>
      </w:r>
      <w:r w:rsidR="00631EDA" w:rsidRPr="00DE5DDF">
        <w:t>articularly in the areas of land, health and education.</w:t>
      </w:r>
    </w:p>
    <w:p w:rsidR="00631EDA" w:rsidRPr="005E7802" w:rsidRDefault="005E7802" w:rsidP="005E7802">
      <w:pPr>
        <w:pStyle w:val="SingleTxtG"/>
        <w:rPr>
          <w:rStyle w:val="hps"/>
        </w:rPr>
      </w:pPr>
      <w:r w:rsidRPr="005E7802">
        <w:rPr>
          <w:rStyle w:val="hps"/>
        </w:rPr>
        <w:t>19.</w:t>
      </w:r>
      <w:r w:rsidRPr="005E7802">
        <w:rPr>
          <w:rStyle w:val="hps"/>
        </w:rPr>
        <w:tab/>
      </w:r>
      <w:r w:rsidR="00631EDA" w:rsidRPr="005E7802">
        <w:rPr>
          <w:rStyle w:val="hps"/>
        </w:rPr>
        <w:t xml:space="preserve">A similar question was posed to indigenous peoples: </w:t>
      </w:r>
      <w:r w:rsidR="00C457A3" w:rsidRPr="005E7802">
        <w:rPr>
          <w:rStyle w:val="hps"/>
        </w:rPr>
        <w:t>“</w:t>
      </w:r>
      <w:r w:rsidR="00631EDA" w:rsidRPr="005E7802">
        <w:rPr>
          <w:rStyle w:val="hps"/>
        </w:rPr>
        <w:t>Do you have an overarching action plan or strategy to achieve the ends of the Declaration?</w:t>
      </w:r>
      <w:r w:rsidR="00240B17" w:rsidRPr="005E7802">
        <w:rPr>
          <w:rStyle w:val="hps"/>
        </w:rPr>
        <w:t xml:space="preserve"> </w:t>
      </w:r>
      <w:r w:rsidR="00631EDA" w:rsidRPr="005E7802">
        <w:rPr>
          <w:rStyle w:val="hps"/>
        </w:rPr>
        <w:t>If yes, please provide detail</w:t>
      </w:r>
      <w:r w:rsidR="00102CE5" w:rsidRPr="00DE5DDF">
        <w:rPr>
          <w:rStyle w:val="hps"/>
        </w:rPr>
        <w:t>s</w:t>
      </w:r>
      <w:r w:rsidR="00631EDA" w:rsidRPr="005E7802">
        <w:rPr>
          <w:rStyle w:val="hps"/>
        </w:rPr>
        <w:t xml:space="preserve"> about the implementation strategy, including how indigenous peoples have been involved. If not, are there any plans to develop one?</w:t>
      </w:r>
      <w:r w:rsidR="00C457A3" w:rsidRPr="005E7802">
        <w:rPr>
          <w:rStyle w:val="hps"/>
        </w:rPr>
        <w:t>”</w:t>
      </w:r>
    </w:p>
    <w:p w:rsidR="007771CF" w:rsidRPr="00DE5DDF" w:rsidRDefault="005E7802" w:rsidP="005E7802">
      <w:pPr>
        <w:pStyle w:val="SingleTxtG"/>
      </w:pPr>
      <w:r w:rsidRPr="00DE5DDF">
        <w:t>20.</w:t>
      </w:r>
      <w:r w:rsidRPr="00DE5DDF">
        <w:tab/>
      </w:r>
      <w:r w:rsidR="00631EDA" w:rsidRPr="005E7802">
        <w:rPr>
          <w:rStyle w:val="hps"/>
        </w:rPr>
        <w:t>Most indigenous peoples’ organizations reported on a lack of national strategies or plans of action to achieve the ends of the Declaration. Responses from indigenous peoples highlighted the fact that the Declaration should be seen as an instrument of action for national policies that ensure the promotion and protection of indigenous peoples’ rights</w:t>
      </w:r>
      <w:r w:rsidR="007771CF" w:rsidRPr="00DE5DDF">
        <w:t>.</w:t>
      </w:r>
    </w:p>
    <w:p w:rsidR="00053AED" w:rsidRPr="005E7802" w:rsidRDefault="00053AED" w:rsidP="005E7802">
      <w:pPr>
        <w:pStyle w:val="H1G"/>
        <w:rPr>
          <w:b w:val="0"/>
        </w:rPr>
      </w:pPr>
      <w:r w:rsidRPr="005E7802">
        <w:tab/>
        <w:t>B.</w:t>
      </w:r>
      <w:r w:rsidRPr="005E7802">
        <w:tab/>
        <w:t>Self-determination and autonomy</w:t>
      </w:r>
    </w:p>
    <w:p w:rsidR="000A6BAE" w:rsidRPr="00DE5DDF" w:rsidRDefault="005E7802" w:rsidP="005E7802">
      <w:pPr>
        <w:pStyle w:val="SingleTxtG"/>
      </w:pPr>
      <w:r w:rsidRPr="00DE5DDF">
        <w:t>21.</w:t>
      </w:r>
      <w:r w:rsidRPr="00DE5DDF">
        <w:tab/>
      </w:r>
      <w:r w:rsidR="000A6BAE" w:rsidRPr="00DE5DDF">
        <w:t xml:space="preserve">The questionnaire posed the following question to States and indigenous peoples: </w:t>
      </w:r>
      <w:r w:rsidR="0026341E" w:rsidRPr="00DE5DDF">
        <w:t>“</w:t>
      </w:r>
      <w:r w:rsidR="000A6BAE" w:rsidRPr="005E7802">
        <w:t>Have specific legislative, policy, or administrative measures relating to self-determination and autonomy been adopted in your country?</w:t>
      </w:r>
      <w:r w:rsidR="00240B17" w:rsidRPr="005E7802">
        <w:t xml:space="preserve"> </w:t>
      </w:r>
      <w:r w:rsidR="000A6BAE" w:rsidRPr="005E7802">
        <w:t>If yes, please provide details. If not, please outline any plans to develop legislative, policy or administrative measures in this area.</w:t>
      </w:r>
      <w:r w:rsidR="0026341E" w:rsidRPr="00DE5DDF">
        <w:t>”</w:t>
      </w:r>
    </w:p>
    <w:p w:rsidR="000A6BAE" w:rsidRPr="005E7802" w:rsidRDefault="005E7802" w:rsidP="005E7802">
      <w:pPr>
        <w:pStyle w:val="SingleTxtG"/>
      </w:pPr>
      <w:r w:rsidRPr="005E7802">
        <w:t>22.</w:t>
      </w:r>
      <w:r w:rsidRPr="005E7802">
        <w:tab/>
      </w:r>
      <w:r w:rsidR="000A6BAE" w:rsidRPr="005E7802">
        <w:t>The importance of self-determination has been highlighted throughout the Expert Mechanism’s work, including in its studies on access to justice (see A/HRC/24/50 and A/HRC/27/65) and participation in decision</w:t>
      </w:r>
      <w:r w:rsidR="002154E6" w:rsidRPr="005E7802">
        <w:t>-</w:t>
      </w:r>
      <w:r w:rsidR="000A6BAE" w:rsidRPr="005E7802">
        <w:t>making (see A/HRC/18/42 and A/HRC/21/55). The Expert Mechanism has repeatedly maintained that self-determination is an essential element for the fulfilment of other rights.</w:t>
      </w:r>
    </w:p>
    <w:p w:rsidR="000A6BAE" w:rsidRPr="00DE5DDF" w:rsidRDefault="005E7802" w:rsidP="005E7802">
      <w:pPr>
        <w:pStyle w:val="SingleTxtG"/>
        <w:rPr>
          <w:color w:val="000000"/>
        </w:rPr>
      </w:pPr>
      <w:r w:rsidRPr="00DE5DDF">
        <w:rPr>
          <w:color w:val="000000"/>
        </w:rPr>
        <w:t>23.</w:t>
      </w:r>
      <w:r w:rsidRPr="00DE5DDF">
        <w:rPr>
          <w:color w:val="000000"/>
        </w:rPr>
        <w:tab/>
      </w:r>
      <w:r w:rsidR="000A6BAE" w:rsidRPr="00DE5DDF">
        <w:t xml:space="preserve">In their replies to the questionnaire, some States noted that they </w:t>
      </w:r>
      <w:r w:rsidR="009054E6" w:rsidRPr="00DE5DDF">
        <w:t xml:space="preserve">were </w:t>
      </w:r>
      <w:r w:rsidR="000A6BAE" w:rsidRPr="00DE5DDF">
        <w:t>party to international instruments that recognize</w:t>
      </w:r>
      <w:r w:rsidR="009054E6" w:rsidRPr="00DE5DDF">
        <w:t>d</w:t>
      </w:r>
      <w:r w:rsidR="000A6BAE" w:rsidRPr="00DE5DDF">
        <w:t xml:space="preserve"> the right of self-determination, which </w:t>
      </w:r>
      <w:r w:rsidR="009054E6" w:rsidRPr="00DE5DDF">
        <w:t xml:space="preserve">formed </w:t>
      </w:r>
      <w:r w:rsidR="000A6BAE" w:rsidRPr="00DE5DDF">
        <w:t>part of their domestic law.</w:t>
      </w:r>
    </w:p>
    <w:p w:rsidR="000A6BAE" w:rsidRPr="00DE5DDF" w:rsidRDefault="005E7802" w:rsidP="005E7802">
      <w:pPr>
        <w:pStyle w:val="SingleTxtG"/>
        <w:rPr>
          <w:color w:val="000000"/>
        </w:rPr>
      </w:pPr>
      <w:r w:rsidRPr="00DE5DDF">
        <w:rPr>
          <w:color w:val="000000"/>
        </w:rPr>
        <w:t>24.</w:t>
      </w:r>
      <w:r w:rsidRPr="00DE5DDF">
        <w:rPr>
          <w:color w:val="000000"/>
        </w:rPr>
        <w:tab/>
      </w:r>
      <w:r w:rsidR="000A6BAE" w:rsidRPr="00DE5DDF">
        <w:rPr>
          <w:color w:val="000000"/>
        </w:rPr>
        <w:t xml:space="preserve">Denmark and the Government of Greenland referred to the Act on Greenland Self-Government, which came into force in October 2009. The Act </w:t>
      </w:r>
      <w:r w:rsidR="009054E6" w:rsidRPr="00DE5DDF">
        <w:rPr>
          <w:color w:val="000000"/>
        </w:rPr>
        <w:t xml:space="preserve">recognized </w:t>
      </w:r>
      <w:r w:rsidR="000A6BAE" w:rsidRPr="00DE5DDF">
        <w:rPr>
          <w:color w:val="000000"/>
        </w:rPr>
        <w:t xml:space="preserve">that the people of Greenland </w:t>
      </w:r>
      <w:r w:rsidR="009054E6" w:rsidRPr="00DE5DDF">
        <w:rPr>
          <w:color w:val="000000"/>
        </w:rPr>
        <w:t xml:space="preserve">were </w:t>
      </w:r>
      <w:r w:rsidR="000A6BAE" w:rsidRPr="00DE5DDF">
        <w:rPr>
          <w:color w:val="000000"/>
        </w:rPr>
        <w:t>a people pursuant to international law, with the right to self-determination.</w:t>
      </w:r>
    </w:p>
    <w:p w:rsidR="000A6BAE" w:rsidRPr="00DE5DDF" w:rsidRDefault="005E7802" w:rsidP="005E7802">
      <w:pPr>
        <w:pStyle w:val="SingleTxtG"/>
      </w:pPr>
      <w:r w:rsidRPr="00DE5DDF">
        <w:t>25.</w:t>
      </w:r>
      <w:r w:rsidRPr="00DE5DDF">
        <w:tab/>
      </w:r>
      <w:r w:rsidR="000A6BAE" w:rsidRPr="00DE5DDF">
        <w:t xml:space="preserve">Paraguay’s </w:t>
      </w:r>
      <w:r w:rsidR="002154E6" w:rsidRPr="00DE5DDF">
        <w:t xml:space="preserve">Constitution </w:t>
      </w:r>
      <w:r w:rsidR="009054E6" w:rsidRPr="00DE5DDF">
        <w:t xml:space="preserve">recognized </w:t>
      </w:r>
      <w:r w:rsidR="000A6BAE" w:rsidRPr="00DE5DDF">
        <w:t xml:space="preserve">the existence of indigenous peoples, including their right to preserve and develop their ethnic identity, their political and legal systems, as well as communal ownership of land in sufficient quantity and quality to preserve and develop their particular way of life. The Guatemalan </w:t>
      </w:r>
      <w:r w:rsidR="002154E6" w:rsidRPr="00DE5DDF">
        <w:t xml:space="preserve">Constitution </w:t>
      </w:r>
      <w:r w:rsidR="000A6BAE" w:rsidRPr="00DE5DDF">
        <w:t xml:space="preserve">also </w:t>
      </w:r>
      <w:r w:rsidR="009054E6" w:rsidRPr="00DE5DDF">
        <w:t xml:space="preserve">recognized </w:t>
      </w:r>
      <w:r w:rsidR="000A6BAE" w:rsidRPr="00DE5DDF">
        <w:t>specific ethnic groups, including the Maya people, respecting and promoting their way of life, customs, traditions, languages and use of tradit</w:t>
      </w:r>
      <w:r w:rsidR="004A6059" w:rsidRPr="00DE5DDF">
        <w:t>ional dress.</w:t>
      </w:r>
    </w:p>
    <w:p w:rsidR="000A6BAE" w:rsidRPr="00DE5DDF" w:rsidRDefault="005E7802" w:rsidP="005E7802">
      <w:pPr>
        <w:pStyle w:val="SingleTxtG"/>
      </w:pPr>
      <w:r w:rsidRPr="00DE5DDF">
        <w:t>26.</w:t>
      </w:r>
      <w:r w:rsidRPr="00DE5DDF">
        <w:tab/>
      </w:r>
      <w:r w:rsidR="000A6BAE" w:rsidRPr="00DE5DDF">
        <w:t xml:space="preserve">In Australia, the Aboriginal and Torres Strait Islander Peoples Recognition Act of 2013 </w:t>
      </w:r>
      <w:r w:rsidR="009054E6" w:rsidRPr="00DE5DDF">
        <w:t xml:space="preserve">recognized </w:t>
      </w:r>
      <w:r w:rsidR="000A6BAE" w:rsidRPr="00DE5DDF">
        <w:t xml:space="preserve">Aboriginal and Torres Strait Islanders as the first peoples of Australia. The Prime Minister </w:t>
      </w:r>
      <w:r w:rsidR="009054E6" w:rsidRPr="00DE5DDF">
        <w:t xml:space="preserve">remained </w:t>
      </w:r>
      <w:r w:rsidR="000A6BAE" w:rsidRPr="00DE5DDF">
        <w:t>committed to holding a referendum to recognize Aboriginal and Torres Strait Islander peoples in the Constitution by 2017.</w:t>
      </w:r>
    </w:p>
    <w:p w:rsidR="000A6BAE" w:rsidRPr="00DE5DDF" w:rsidRDefault="005E7802" w:rsidP="005E7802">
      <w:pPr>
        <w:pStyle w:val="SingleTxtG"/>
      </w:pPr>
      <w:r w:rsidRPr="00DE5DDF">
        <w:t>27.</w:t>
      </w:r>
      <w:r w:rsidRPr="00DE5DDF">
        <w:tab/>
      </w:r>
      <w:r w:rsidR="000A6BAE" w:rsidRPr="00DE5DDF">
        <w:t xml:space="preserve">In Chile, a free, prior and informed consultation process </w:t>
      </w:r>
      <w:r w:rsidR="009054E6" w:rsidRPr="00DE5DDF">
        <w:t xml:space="preserve">had </w:t>
      </w:r>
      <w:r w:rsidR="000A6BAE" w:rsidRPr="00DE5DDF">
        <w:t xml:space="preserve">been taking place since 2014, through which the Ministry of Social Development </w:t>
      </w:r>
      <w:r w:rsidR="009054E6" w:rsidRPr="00DE5DDF">
        <w:t xml:space="preserve">was </w:t>
      </w:r>
      <w:r w:rsidR="000A6BAE" w:rsidRPr="00DE5DDF">
        <w:t xml:space="preserve">seeking to establish new institutions that </w:t>
      </w:r>
      <w:r w:rsidR="009054E6" w:rsidRPr="00DE5DDF">
        <w:t xml:space="preserve">would </w:t>
      </w:r>
      <w:r w:rsidR="000A6BAE" w:rsidRPr="00DE5DDF">
        <w:t>validate the right of indigenous peoples to develop their rights to autonomy and self-determination. The indigenous peoples of the country decided to create a national council system to represent each of the various peoples (Mapuche, Aymara, Rapa Nui, Atacama, Quechua, Diaguita, Kawashkar and Yag</w:t>
      </w:r>
      <w:r w:rsidR="000A6BAE" w:rsidRPr="00DE5DDF">
        <w:rPr>
          <w:color w:val="000000"/>
        </w:rPr>
        <w:t xml:space="preserve">án). There </w:t>
      </w:r>
      <w:r w:rsidR="009054E6" w:rsidRPr="00DE5DDF">
        <w:rPr>
          <w:color w:val="000000"/>
        </w:rPr>
        <w:t xml:space="preserve">was </w:t>
      </w:r>
      <w:r w:rsidR="000A6BAE" w:rsidRPr="00DE5DDF">
        <w:rPr>
          <w:color w:val="000000"/>
        </w:rPr>
        <w:t>also a “Proposal for a State Policy Agenda for Decentralization and Territorial Development of Chile”</w:t>
      </w:r>
      <w:r w:rsidR="00B1525D" w:rsidRPr="00DE5DDF">
        <w:rPr>
          <w:color w:val="000000"/>
        </w:rPr>
        <w:t>,</w:t>
      </w:r>
      <w:r w:rsidR="000A6BAE" w:rsidRPr="00DE5DDF">
        <w:rPr>
          <w:color w:val="000000"/>
        </w:rPr>
        <w:t xml:space="preserve"> which </w:t>
      </w:r>
      <w:r w:rsidR="009054E6" w:rsidRPr="00DE5DDF">
        <w:rPr>
          <w:color w:val="000000"/>
        </w:rPr>
        <w:t xml:space="preserve">recognized </w:t>
      </w:r>
      <w:r w:rsidR="000A6BAE" w:rsidRPr="00DE5DDF">
        <w:rPr>
          <w:color w:val="000000"/>
        </w:rPr>
        <w:t>the Araucanía Region as multinational and multicultural in recognition of the Mapuche people.</w:t>
      </w:r>
    </w:p>
    <w:p w:rsidR="000A6BAE" w:rsidRPr="00DE5DDF" w:rsidRDefault="005E7802" w:rsidP="005E7802">
      <w:pPr>
        <w:pStyle w:val="SingleTxtG"/>
      </w:pPr>
      <w:r w:rsidRPr="00DE5DDF">
        <w:t>28.</w:t>
      </w:r>
      <w:r w:rsidRPr="00DE5DDF">
        <w:tab/>
      </w:r>
      <w:r w:rsidR="000A6BAE" w:rsidRPr="00DE5DDF">
        <w:t xml:space="preserve">In relation to self-determination, Peru’s measures </w:t>
      </w:r>
      <w:r w:rsidR="009054E6" w:rsidRPr="00DE5DDF">
        <w:t xml:space="preserve">had </w:t>
      </w:r>
      <w:r w:rsidR="000A6BAE" w:rsidRPr="00DE5DDF">
        <w:t xml:space="preserve">two areas of focus. The first </w:t>
      </w:r>
      <w:r w:rsidR="009054E6" w:rsidRPr="00DE5DDF">
        <w:t xml:space="preserve">was </w:t>
      </w:r>
      <w:r w:rsidR="000A6BAE" w:rsidRPr="00DE5DDF">
        <w:t xml:space="preserve">taking steps to improve the identification and registration of indigenous peoples. The second </w:t>
      </w:r>
      <w:r w:rsidR="009054E6" w:rsidRPr="00DE5DDF">
        <w:t xml:space="preserve">was </w:t>
      </w:r>
      <w:r w:rsidR="000A6BAE" w:rsidRPr="00DE5DDF">
        <w:t>to recognize the right of self-determination for indigenous peoples in voluntary isolation and those in initial contact, including the recognition and prot</w:t>
      </w:r>
      <w:r w:rsidR="004A6059" w:rsidRPr="00DE5DDF">
        <w:t>ection of territorial reserves.</w:t>
      </w:r>
    </w:p>
    <w:p w:rsidR="000A6BAE" w:rsidRPr="00DE5DDF" w:rsidRDefault="005E7802" w:rsidP="005E7802">
      <w:pPr>
        <w:pStyle w:val="SingleTxtG"/>
      </w:pPr>
      <w:r w:rsidRPr="00DE5DDF">
        <w:t>29.</w:t>
      </w:r>
      <w:r w:rsidRPr="00DE5DDF">
        <w:tab/>
      </w:r>
      <w:r w:rsidR="000A6BAE" w:rsidRPr="00DE5DDF">
        <w:t>In the case of Costa Rica, at the time of reporting, the Government was supporting a draft law on indigenous peoples’ autonomy which was being discussed by the Legislative Assembly.</w:t>
      </w:r>
    </w:p>
    <w:p w:rsidR="000A6BAE" w:rsidRPr="00DE5DDF" w:rsidRDefault="005E7802" w:rsidP="005E7802">
      <w:pPr>
        <w:pStyle w:val="SingleTxtG"/>
      </w:pPr>
      <w:r w:rsidRPr="00DE5DDF">
        <w:t>30.</w:t>
      </w:r>
      <w:r w:rsidRPr="00DE5DDF">
        <w:tab/>
      </w:r>
      <w:r w:rsidR="000A6BAE" w:rsidRPr="00DE5DDF">
        <w:t xml:space="preserve">Colombia, in addition to highlighting its ratification of </w:t>
      </w:r>
      <w:r w:rsidR="00B1525D" w:rsidRPr="00DE5DDF">
        <w:t>the International Labour Organization (</w:t>
      </w:r>
      <w:r w:rsidR="000A6BAE" w:rsidRPr="00DE5DDF">
        <w:t>ILO</w:t>
      </w:r>
      <w:r w:rsidR="00B1525D" w:rsidRPr="00DE5DDF">
        <w:t>)</w:t>
      </w:r>
      <w:r w:rsidR="000A6BAE" w:rsidRPr="00DE5DDF">
        <w:t xml:space="preserve"> Convention No. 169 in 1991, also referred to Decree 1953 of 2014, which </w:t>
      </w:r>
      <w:r w:rsidR="00D435A9" w:rsidRPr="00DE5DDF">
        <w:t xml:space="preserve">created </w:t>
      </w:r>
      <w:r w:rsidR="000A6BAE" w:rsidRPr="00DE5DDF">
        <w:t>a special regime for indigenous peoples’ territories regarding the administration of their own health, education, and water and sanitation systems.</w:t>
      </w:r>
    </w:p>
    <w:p w:rsidR="002511AA" w:rsidRPr="00DE5DDF" w:rsidRDefault="005E7802" w:rsidP="005E7802">
      <w:pPr>
        <w:pStyle w:val="SingleTxtG"/>
      </w:pPr>
      <w:r w:rsidRPr="00DE5DDF">
        <w:t>31.</w:t>
      </w:r>
      <w:r w:rsidRPr="00DE5DDF">
        <w:tab/>
      </w:r>
      <w:r w:rsidR="000A6BAE" w:rsidRPr="00DE5DDF">
        <w:t xml:space="preserve">Responses from indigenous peoples varied significantly. In this regard, the Asociación Kunas Unidos por Napguana reported that the Kuna people </w:t>
      </w:r>
      <w:r w:rsidR="00D435A9" w:rsidRPr="00DE5DDF">
        <w:t xml:space="preserve">had </w:t>
      </w:r>
      <w:r w:rsidR="000A6BAE" w:rsidRPr="00DE5DDF">
        <w:t xml:space="preserve">enjoyed autonomy over their territory (Comarca de Guna Yala) in Panama since 1935, under the leadership of the Kuna General Congress, through which 49 communities </w:t>
      </w:r>
      <w:r w:rsidR="00D435A9" w:rsidRPr="00DE5DDF">
        <w:t xml:space="preserve">were </w:t>
      </w:r>
      <w:r w:rsidR="000A6BAE" w:rsidRPr="00DE5DDF">
        <w:t xml:space="preserve">represented. In other cases, while the legal framework </w:t>
      </w:r>
      <w:r w:rsidR="00D435A9" w:rsidRPr="00DE5DDF">
        <w:t xml:space="preserve">provided </w:t>
      </w:r>
      <w:r w:rsidR="000A6BAE" w:rsidRPr="00DE5DDF">
        <w:t xml:space="preserve">for significant levels of autonomy, </w:t>
      </w:r>
      <w:r w:rsidR="00D435A9" w:rsidRPr="00DE5DDF">
        <w:t xml:space="preserve">those </w:t>
      </w:r>
      <w:r w:rsidR="000A6BAE" w:rsidRPr="00DE5DDF">
        <w:t xml:space="preserve">rights </w:t>
      </w:r>
      <w:r w:rsidR="00D435A9" w:rsidRPr="00DE5DDF">
        <w:t xml:space="preserve">were </w:t>
      </w:r>
      <w:r w:rsidR="000A6BAE" w:rsidRPr="00DE5DDF">
        <w:t xml:space="preserve">not in fact respected. Finally, some responses indicated situations in which domestic laws and institutions still </w:t>
      </w:r>
      <w:r w:rsidR="00D435A9" w:rsidRPr="00DE5DDF">
        <w:t xml:space="preserve">did </w:t>
      </w:r>
      <w:r w:rsidR="000A6BAE" w:rsidRPr="00DE5DDF">
        <w:t>not recognize indigenous peoples (ONG Adjmor reporting on the situation in Mali, Rehoboth Basters Community reporting on the situation in Namibia, and Teemashane Community Development Trust reporting on the situation in Botswana).</w:t>
      </w:r>
    </w:p>
    <w:p w:rsidR="005B1B04" w:rsidRPr="00DE5DDF" w:rsidRDefault="001F73DA" w:rsidP="00AD78CD">
      <w:pPr>
        <w:pStyle w:val="H1G"/>
      </w:pPr>
      <w:r w:rsidRPr="00DE5DDF">
        <w:tab/>
      </w:r>
      <w:r w:rsidR="005B1B04" w:rsidRPr="00DE5DDF">
        <w:t>C.</w:t>
      </w:r>
      <w:r w:rsidR="005B1B04" w:rsidRPr="00DE5DDF">
        <w:tab/>
      </w:r>
      <w:r w:rsidR="000A6BAE" w:rsidRPr="00DE5DDF">
        <w:t>Participation in decision-making and free, prior and informed consent</w:t>
      </w:r>
    </w:p>
    <w:p w:rsidR="000A6BAE" w:rsidRPr="00DE5DDF" w:rsidRDefault="005E7802" w:rsidP="005E7802">
      <w:pPr>
        <w:pStyle w:val="SingleTxtG"/>
      </w:pPr>
      <w:r w:rsidRPr="00DE5DDF">
        <w:t>32.</w:t>
      </w:r>
      <w:r w:rsidRPr="00DE5DDF">
        <w:tab/>
      </w:r>
      <w:r w:rsidR="000A6BAE" w:rsidRPr="00DE5DDF">
        <w:t xml:space="preserve">The questionnaire posed the following question to States and indigenous peoples: </w:t>
      </w:r>
      <w:r w:rsidR="00B1525D" w:rsidRPr="00DE5DDF">
        <w:t>“</w:t>
      </w:r>
      <w:r w:rsidR="000A6BAE" w:rsidRPr="005E7802">
        <w:t>Have specific legislative, policy, or administrative measures been adopted to implement rights relating to participation in decision-making, including the obligation to seek free, prior and informed consent?</w:t>
      </w:r>
      <w:r w:rsidR="00240B17" w:rsidRPr="005E7802">
        <w:t xml:space="preserve"> </w:t>
      </w:r>
      <w:r w:rsidR="000A6BAE" w:rsidRPr="005E7802">
        <w:t>If yes, please provide details. If not, please outline any plans to develop legislative, policy or administrative measures in this area.</w:t>
      </w:r>
      <w:r w:rsidR="00B1525D" w:rsidRPr="00DE5DDF">
        <w:t>”</w:t>
      </w:r>
    </w:p>
    <w:p w:rsidR="000A6BAE" w:rsidRPr="00DE5DDF" w:rsidRDefault="005E7802" w:rsidP="005E7802">
      <w:pPr>
        <w:pStyle w:val="SingleTxtG"/>
      </w:pPr>
      <w:r w:rsidRPr="00DE5DDF">
        <w:t>33.</w:t>
      </w:r>
      <w:r w:rsidRPr="00DE5DDF">
        <w:tab/>
      </w:r>
      <w:r w:rsidR="000A6BAE" w:rsidRPr="00DE5DDF">
        <w:t>The role that the right to participation plays in the implementation of the Declaration has been examined by the Expert Mechanism, including in its study on participation in decision</w:t>
      </w:r>
      <w:r w:rsidR="00B1525D" w:rsidRPr="00DE5DDF">
        <w:t>-</w:t>
      </w:r>
      <w:r w:rsidR="000A6BAE" w:rsidRPr="00DE5DDF">
        <w:t>making (A/HRC/18/42), in which it stated that the right to participate is indivisible from and interrelated with other rights, such as the right to self-determination and rights to lands, territories and resources.</w:t>
      </w:r>
    </w:p>
    <w:p w:rsidR="000A6BAE" w:rsidRPr="00DE5DDF" w:rsidRDefault="005E7802" w:rsidP="005E7802">
      <w:pPr>
        <w:pStyle w:val="SingleTxtG"/>
      </w:pPr>
      <w:r w:rsidRPr="00DE5DDF">
        <w:t>34.</w:t>
      </w:r>
      <w:r w:rsidRPr="00DE5DDF">
        <w:tab/>
      </w:r>
      <w:r w:rsidR="000A6BAE" w:rsidRPr="00DE5DDF">
        <w:t xml:space="preserve">Several States noted that the right of indigenous peoples to participate in decision-making </w:t>
      </w:r>
      <w:r w:rsidR="00D435A9" w:rsidRPr="00DE5DDF">
        <w:t xml:space="preserve">was </w:t>
      </w:r>
      <w:r w:rsidR="000A6BAE" w:rsidRPr="00DE5DDF">
        <w:t>part of domestic law.</w:t>
      </w:r>
      <w:r w:rsidR="00240B17" w:rsidRPr="00DE5DDF">
        <w:t xml:space="preserve"> </w:t>
      </w:r>
      <w:r w:rsidR="000A6BAE" w:rsidRPr="00DE5DDF">
        <w:t xml:space="preserve">For example, Chilean law </w:t>
      </w:r>
      <w:r w:rsidR="00D435A9" w:rsidRPr="00DE5DDF">
        <w:t xml:space="preserve">provided </w:t>
      </w:r>
      <w:r w:rsidR="000A6BAE" w:rsidRPr="00DE5DDF">
        <w:t xml:space="preserve">a procedure for indigenous peoples to have a technical advisory role when the </w:t>
      </w:r>
      <w:r w:rsidR="009054E6" w:rsidRPr="00DE5DDF">
        <w:t xml:space="preserve">Government </w:t>
      </w:r>
      <w:r w:rsidR="00D435A9" w:rsidRPr="00DE5DDF">
        <w:t xml:space="preserve">was </w:t>
      </w:r>
      <w:r w:rsidR="000A6BAE" w:rsidRPr="00DE5DDF">
        <w:t>taking legislative or administrative measures that directly or indirectly impact</w:t>
      </w:r>
      <w:r w:rsidR="00D435A9" w:rsidRPr="00DE5DDF">
        <w:t>ed</w:t>
      </w:r>
      <w:r w:rsidR="000A6BAE" w:rsidRPr="00DE5DDF">
        <w:t xml:space="preserve"> them. In Guatemala, the right to participate in decision-making </w:t>
      </w:r>
      <w:r w:rsidR="00D435A9" w:rsidRPr="00DE5DDF">
        <w:t xml:space="preserve">was </w:t>
      </w:r>
      <w:r w:rsidR="000A6BAE" w:rsidRPr="00DE5DDF">
        <w:t>established in law</w:t>
      </w:r>
      <w:r w:rsidR="009054E6" w:rsidRPr="00DE5DDF">
        <w:t>,</w:t>
      </w:r>
      <w:r w:rsidR="000A6BAE" w:rsidRPr="00DE5DDF">
        <w:t xml:space="preserve"> with the goal of achieving respect for all cultures and peoples in the country, and promoting harmonious intercultural relations and partici</w:t>
      </w:r>
      <w:r w:rsidR="004A6059" w:rsidRPr="00DE5DDF">
        <w:t>pation in democratic processes.</w:t>
      </w:r>
    </w:p>
    <w:p w:rsidR="000A6BAE" w:rsidRPr="00DE5DDF" w:rsidRDefault="005E7802" w:rsidP="005E7802">
      <w:pPr>
        <w:pStyle w:val="SingleTxtG"/>
      </w:pPr>
      <w:r w:rsidRPr="00DE5DDF">
        <w:t>35.</w:t>
      </w:r>
      <w:r w:rsidRPr="00DE5DDF">
        <w:tab/>
      </w:r>
      <w:r w:rsidR="000A6BAE" w:rsidRPr="00DE5DDF">
        <w:t xml:space="preserve">Denmark and the Government of Greenland responded that the Government of Greenland </w:t>
      </w:r>
      <w:r w:rsidR="00D435A9" w:rsidRPr="00DE5DDF">
        <w:t>was</w:t>
      </w:r>
      <w:r w:rsidR="000A6BAE" w:rsidRPr="00DE5DDF">
        <w:t xml:space="preserve"> democratically elected and that all members of the Parliament and Government </w:t>
      </w:r>
      <w:r w:rsidR="00D435A9" w:rsidRPr="00DE5DDF">
        <w:t xml:space="preserve">were </w:t>
      </w:r>
      <w:r w:rsidR="000A6BAE" w:rsidRPr="00DE5DDF">
        <w:t>of Inuit descent.</w:t>
      </w:r>
    </w:p>
    <w:p w:rsidR="000A6BAE" w:rsidRPr="00DE5DDF" w:rsidRDefault="005E7802" w:rsidP="005E7802">
      <w:pPr>
        <w:pStyle w:val="SingleTxtG"/>
      </w:pPr>
      <w:r w:rsidRPr="00DE5DDF">
        <w:t>36.</w:t>
      </w:r>
      <w:r w:rsidRPr="00DE5DDF">
        <w:tab/>
      </w:r>
      <w:r w:rsidR="000A6BAE" w:rsidRPr="00DE5DDF">
        <w:t xml:space="preserve">Although some States did not have specific legislation, they indicated that processes </w:t>
      </w:r>
      <w:r w:rsidR="00D435A9" w:rsidRPr="00DE5DDF">
        <w:t xml:space="preserve">were </w:t>
      </w:r>
      <w:r w:rsidR="000A6BAE" w:rsidRPr="00DE5DDF">
        <w:t>underway to develop consultation protocols.</w:t>
      </w:r>
      <w:r w:rsidR="00240B17" w:rsidRPr="00DE5DDF">
        <w:t xml:space="preserve"> </w:t>
      </w:r>
      <w:r w:rsidR="000A6BAE" w:rsidRPr="00DE5DDF">
        <w:t xml:space="preserve">For example, Paraguay and Peru </w:t>
      </w:r>
      <w:r w:rsidR="00D435A9" w:rsidRPr="00DE5DDF">
        <w:t xml:space="preserve">had </w:t>
      </w:r>
      <w:r w:rsidR="000A6BAE" w:rsidRPr="00DE5DDF">
        <w:t>been developing consultation protocols in consultation with indigenous organizations.</w:t>
      </w:r>
    </w:p>
    <w:p w:rsidR="000A6BAE" w:rsidRPr="00DE5DDF" w:rsidRDefault="005E7802" w:rsidP="005E7802">
      <w:pPr>
        <w:pStyle w:val="SingleTxtG"/>
      </w:pPr>
      <w:r w:rsidRPr="00DE5DDF">
        <w:t>37.</w:t>
      </w:r>
      <w:r w:rsidRPr="00DE5DDF">
        <w:tab/>
      </w:r>
      <w:r w:rsidR="000A6BAE" w:rsidRPr="00DE5DDF">
        <w:t xml:space="preserve">France reported that the successive adoption of laws on New Caledonia (1999) and French Polynesia (2004) </w:t>
      </w:r>
      <w:r w:rsidR="00D435A9" w:rsidRPr="00DE5DDF">
        <w:t xml:space="preserve">had </w:t>
      </w:r>
      <w:r w:rsidR="000A6BAE" w:rsidRPr="00DE5DDF">
        <w:t>allowed for significant progress in the full and effective participation of indigenous peoples in decisions that directly or indirectly affect them.</w:t>
      </w:r>
      <w:r w:rsidR="00240B17" w:rsidRPr="00DE5DDF">
        <w:t xml:space="preserve"> </w:t>
      </w:r>
      <w:r w:rsidR="000A6BAE" w:rsidRPr="00DE5DDF">
        <w:t xml:space="preserve">The degree of autonomy was greater with each successive law. In French </w:t>
      </w:r>
      <w:r w:rsidR="00A573E4" w:rsidRPr="00DE5DDF">
        <w:t>Guiana</w:t>
      </w:r>
      <w:r w:rsidR="000A6BAE" w:rsidRPr="00DE5DDF">
        <w:t xml:space="preserve">, it was decided to create a consultation council of Amerindians and </w:t>
      </w:r>
      <w:r w:rsidR="000A6BAE" w:rsidRPr="005E7802">
        <w:rPr>
          <w:i/>
          <w:iCs/>
        </w:rPr>
        <w:t>Bushinenge</w:t>
      </w:r>
      <w:r w:rsidR="000A6BAE" w:rsidRPr="00DE5DDF">
        <w:t>.</w:t>
      </w:r>
    </w:p>
    <w:p w:rsidR="000A6BAE" w:rsidRPr="00DE5DDF" w:rsidRDefault="005E7802" w:rsidP="005E7802">
      <w:pPr>
        <w:pStyle w:val="SingleTxtG"/>
      </w:pPr>
      <w:r w:rsidRPr="00DE5DDF">
        <w:t>38.</w:t>
      </w:r>
      <w:r w:rsidRPr="00DE5DDF">
        <w:tab/>
      </w:r>
      <w:r w:rsidR="000A6BAE" w:rsidRPr="00DE5DDF">
        <w:t xml:space="preserve">Colombia made reference to the special circumscription for the election of senators and representatives from indigenous communities, which </w:t>
      </w:r>
      <w:r w:rsidR="00D435A9" w:rsidRPr="00DE5DDF">
        <w:t xml:space="preserve">was </w:t>
      </w:r>
      <w:r w:rsidR="000A6BAE" w:rsidRPr="00DE5DDF">
        <w:t xml:space="preserve">enshrined in the Constitution. Colombia also highlighted the </w:t>
      </w:r>
      <w:r w:rsidR="000A6BAE" w:rsidRPr="005E7802">
        <w:rPr>
          <w:iCs/>
        </w:rPr>
        <w:t>Mesa Permanente de Concertación</w:t>
      </w:r>
      <w:r w:rsidR="000A6BAE" w:rsidRPr="00DE5DDF">
        <w:t xml:space="preserve"> (Permanent Commission for Dialogue), which </w:t>
      </w:r>
      <w:r w:rsidR="00D435A9" w:rsidRPr="00DE5DDF">
        <w:t xml:space="preserve">facilitated </w:t>
      </w:r>
      <w:r w:rsidR="000A6BAE" w:rsidRPr="00DE5DDF">
        <w:t xml:space="preserve">dialogue between indigenous peoples and the State on all administrative and legislative measures that may affect them. Indigenous peoples </w:t>
      </w:r>
      <w:r w:rsidR="00D435A9" w:rsidRPr="00DE5DDF">
        <w:t xml:space="preserve">were participating </w:t>
      </w:r>
      <w:r w:rsidR="000A6BAE" w:rsidRPr="00DE5DDF">
        <w:t>in this mechanism through five umbrella organizations.</w:t>
      </w:r>
    </w:p>
    <w:p w:rsidR="000A6BAE" w:rsidRPr="00DE5DDF" w:rsidRDefault="005E7802" w:rsidP="005E7802">
      <w:pPr>
        <w:pStyle w:val="SingleTxtG"/>
      </w:pPr>
      <w:r w:rsidRPr="00DE5DDF">
        <w:t>39.</w:t>
      </w:r>
      <w:r w:rsidRPr="00DE5DDF">
        <w:tab/>
      </w:r>
      <w:r w:rsidR="000A6BAE" w:rsidRPr="00DE5DDF">
        <w:t xml:space="preserve">Other States highlighted the general democratic processes as providing opportunities for indigenous peoples to participate in decision-making. Burundi, for example, highlighted the ways in which the national electoral system </w:t>
      </w:r>
      <w:r w:rsidR="00D435A9" w:rsidRPr="00DE5DDF">
        <w:t xml:space="preserve">provided </w:t>
      </w:r>
      <w:r w:rsidR="000A6BAE" w:rsidRPr="00DE5DDF">
        <w:t>representation to the Batwa people.</w:t>
      </w:r>
    </w:p>
    <w:p w:rsidR="000A6BAE" w:rsidRPr="00DE5DDF" w:rsidRDefault="005E7802" w:rsidP="005E7802">
      <w:pPr>
        <w:pStyle w:val="SingleTxtG"/>
      </w:pPr>
      <w:r w:rsidRPr="00DE5DDF">
        <w:t>40.</w:t>
      </w:r>
      <w:r w:rsidRPr="00DE5DDF">
        <w:tab/>
      </w:r>
      <w:r w:rsidR="000A6BAE" w:rsidRPr="00DE5DDF">
        <w:rPr>
          <w:color w:val="000000"/>
        </w:rPr>
        <w:t xml:space="preserve">In terms of responses from indigenous peoples, the Saami Parliament of Finland reported that there </w:t>
      </w:r>
      <w:r w:rsidR="009054E6" w:rsidRPr="00DE5DDF">
        <w:rPr>
          <w:color w:val="000000"/>
        </w:rPr>
        <w:t xml:space="preserve">were </w:t>
      </w:r>
      <w:r w:rsidR="000A6BAE" w:rsidRPr="00DE5DDF">
        <w:rPr>
          <w:color w:val="000000"/>
        </w:rPr>
        <w:t xml:space="preserve">no provisions in Finnish law requiring free, prior and informed consent. However, a proposed </w:t>
      </w:r>
      <w:r w:rsidR="000A6BAE" w:rsidRPr="00DE5DDF">
        <w:t xml:space="preserve">Amendment Act of the Saami Parliament would require authorities to conduct bona fide negotiations seeking agreement with the Saami </w:t>
      </w:r>
      <w:r w:rsidR="009054E6" w:rsidRPr="00DE5DDF">
        <w:t xml:space="preserve">Parliament </w:t>
      </w:r>
      <w:r w:rsidR="000A6BAE" w:rsidRPr="00DE5DDF">
        <w:t>concerning significant measures affecting the Saami homeland of the status of the Saami people.</w:t>
      </w:r>
    </w:p>
    <w:p w:rsidR="000A6BAE" w:rsidRPr="00DE5DDF" w:rsidRDefault="005E7802" w:rsidP="005E7802">
      <w:pPr>
        <w:pStyle w:val="SingleTxtG"/>
      </w:pPr>
      <w:r w:rsidRPr="00DE5DDF">
        <w:t>41.</w:t>
      </w:r>
      <w:r w:rsidRPr="00DE5DDF">
        <w:tab/>
      </w:r>
      <w:r w:rsidR="000A6BAE" w:rsidRPr="00DE5DDF">
        <w:t xml:space="preserve">Asociación Kunas Unidos por Napguana indicated that due to the special status of the Guna Yala region, the State </w:t>
      </w:r>
      <w:r w:rsidR="00D435A9" w:rsidRPr="00DE5DDF">
        <w:t xml:space="preserve">had </w:t>
      </w:r>
      <w:r w:rsidR="000A6BAE" w:rsidRPr="00DE5DDF">
        <w:t xml:space="preserve">to consult the Kuna people prior to implementing large projects within their lands. In </w:t>
      </w:r>
      <w:r w:rsidR="00D435A9" w:rsidRPr="00DE5DDF">
        <w:t xml:space="preserve">that </w:t>
      </w:r>
      <w:r w:rsidR="000A6BAE" w:rsidRPr="00DE5DDF">
        <w:t xml:space="preserve">regard, the Kuna Congress </w:t>
      </w:r>
      <w:r w:rsidR="00D435A9" w:rsidRPr="00DE5DDF">
        <w:t xml:space="preserve">had </w:t>
      </w:r>
      <w:r w:rsidR="000A6BAE" w:rsidRPr="00DE5DDF">
        <w:t>rejected several projects because they threatened the integrity of their territory. They stressed, however, that in other indigenous regions of Panama</w:t>
      </w:r>
      <w:r w:rsidR="00D435A9" w:rsidRPr="00DE5DDF">
        <w:t>,</w:t>
      </w:r>
      <w:r w:rsidR="000A6BAE" w:rsidRPr="00DE5DDF">
        <w:t xml:space="preserve"> </w:t>
      </w:r>
      <w:r w:rsidR="00D435A9" w:rsidRPr="00DE5DDF">
        <w:t xml:space="preserve">those </w:t>
      </w:r>
      <w:r w:rsidR="000A6BAE" w:rsidRPr="00DE5DDF">
        <w:t xml:space="preserve">consultation processes </w:t>
      </w:r>
      <w:r w:rsidR="00D435A9" w:rsidRPr="00DE5DDF">
        <w:t xml:space="preserve">had </w:t>
      </w:r>
      <w:r w:rsidR="000A6BAE" w:rsidRPr="00DE5DDF">
        <w:t>not been respected, in particular in the lands of the Ngäbe-Buglé and Naso peoples.</w:t>
      </w:r>
    </w:p>
    <w:p w:rsidR="00733393" w:rsidRPr="00DE5DDF" w:rsidRDefault="005E7802" w:rsidP="005E7802">
      <w:pPr>
        <w:pStyle w:val="SingleTxtG"/>
      </w:pPr>
      <w:r w:rsidRPr="00DE5DDF">
        <w:t>42.</w:t>
      </w:r>
      <w:r w:rsidRPr="00DE5DDF">
        <w:tab/>
      </w:r>
      <w:r w:rsidR="000A6BAE" w:rsidRPr="00DE5DDF">
        <w:t>The Teemashane Community Development Trust responded that</w:t>
      </w:r>
      <w:r w:rsidR="00A573E4" w:rsidRPr="00DE5DDF">
        <w:t>,</w:t>
      </w:r>
      <w:r w:rsidR="000A6BAE" w:rsidRPr="00DE5DDF">
        <w:t xml:space="preserve"> in Botswana</w:t>
      </w:r>
      <w:r w:rsidR="00A573E4" w:rsidRPr="00DE5DDF">
        <w:t>,</w:t>
      </w:r>
      <w:r w:rsidR="000A6BAE" w:rsidRPr="00DE5DDF">
        <w:t xml:space="preserve"> indigenous peoples </w:t>
      </w:r>
      <w:r w:rsidR="00D435A9" w:rsidRPr="00DE5DDF">
        <w:t xml:space="preserve">were </w:t>
      </w:r>
      <w:r w:rsidR="000A6BAE" w:rsidRPr="00DE5DDF">
        <w:t xml:space="preserve">only consulted insofar as consultations on a particular issue </w:t>
      </w:r>
      <w:r w:rsidR="00D435A9" w:rsidRPr="00DE5DDF">
        <w:t xml:space="preserve">were </w:t>
      </w:r>
      <w:r w:rsidR="000A6BAE" w:rsidRPr="00DE5DDF">
        <w:t xml:space="preserve">carried out through traditional meetings or village gatherings. However, this system </w:t>
      </w:r>
      <w:r w:rsidR="00D435A9" w:rsidRPr="00DE5DDF">
        <w:t xml:space="preserve">did </w:t>
      </w:r>
      <w:r w:rsidR="000A6BAE" w:rsidRPr="00DE5DDF">
        <w:t xml:space="preserve">not favour the views of indigenous peoples. Rather, it </w:t>
      </w:r>
      <w:r w:rsidR="00D435A9" w:rsidRPr="00DE5DDF">
        <w:t xml:space="preserve">was </w:t>
      </w:r>
      <w:r w:rsidR="000A6BAE" w:rsidRPr="00DE5DDF">
        <w:t>usually the dominant society’s views and opinions that inform</w:t>
      </w:r>
      <w:r w:rsidR="00D435A9" w:rsidRPr="00DE5DDF">
        <w:t>ed</w:t>
      </w:r>
      <w:r w:rsidR="000A6BAE" w:rsidRPr="00DE5DDF">
        <w:t xml:space="preserve"> decisions</w:t>
      </w:r>
      <w:r w:rsidR="00733393" w:rsidRPr="00DE5DDF">
        <w:t>.</w:t>
      </w:r>
    </w:p>
    <w:p w:rsidR="002F623B" w:rsidRPr="00DE5DDF" w:rsidRDefault="0087498B" w:rsidP="00AD78CD">
      <w:pPr>
        <w:pStyle w:val="H1G"/>
        <w:rPr>
          <w:lang w:eastAsia="en-GB"/>
        </w:rPr>
      </w:pPr>
      <w:r w:rsidRPr="00DE5DDF">
        <w:rPr>
          <w:lang w:eastAsia="en-GB"/>
        </w:rPr>
        <w:tab/>
      </w:r>
      <w:r w:rsidR="002F623B" w:rsidRPr="00DE5DDF">
        <w:rPr>
          <w:lang w:eastAsia="en-GB"/>
        </w:rPr>
        <w:t>D.</w:t>
      </w:r>
      <w:r w:rsidR="002F623B" w:rsidRPr="00DE5DDF">
        <w:rPr>
          <w:lang w:eastAsia="en-GB"/>
        </w:rPr>
        <w:tab/>
      </w:r>
      <w:r w:rsidR="00DF4B5C" w:rsidRPr="00DE5DDF">
        <w:t>Cultures and languages</w:t>
      </w:r>
    </w:p>
    <w:p w:rsidR="00DF4B5C" w:rsidRPr="00DE5DDF" w:rsidRDefault="005E7802" w:rsidP="005E7802">
      <w:pPr>
        <w:pStyle w:val="SingleTxtG"/>
      </w:pPr>
      <w:r w:rsidRPr="00DE5DDF">
        <w:t>43.</w:t>
      </w:r>
      <w:r w:rsidRPr="00DE5DDF">
        <w:tab/>
      </w:r>
      <w:r w:rsidR="00DF4B5C" w:rsidRPr="00DE5DDF">
        <w:t xml:space="preserve">The questionnaire posed the following question to States and indigenous peoples: </w:t>
      </w:r>
      <w:r w:rsidR="00CC60F8" w:rsidRPr="00DE5DDF">
        <w:t>“</w:t>
      </w:r>
      <w:r w:rsidR="00DF4B5C" w:rsidRPr="005E7802">
        <w:t>Have specific legislative, policy, or administrative measures been adopted to implement rights relating to cultures and languages?</w:t>
      </w:r>
      <w:r w:rsidR="00240B17" w:rsidRPr="005E7802">
        <w:t xml:space="preserve"> </w:t>
      </w:r>
      <w:r w:rsidR="00DF4B5C" w:rsidRPr="005E7802">
        <w:t>If yes, please provide details. If not, please outline any plans to develop legislative, policy or administrative measures in this area</w:t>
      </w:r>
      <w:r w:rsidR="00CC60F8" w:rsidRPr="005E7802">
        <w:t>.”</w:t>
      </w:r>
    </w:p>
    <w:p w:rsidR="00DF4B5C" w:rsidRPr="00DE5DDF" w:rsidRDefault="005E7802" w:rsidP="005E7802">
      <w:pPr>
        <w:pStyle w:val="SingleTxtG"/>
      </w:pPr>
      <w:r w:rsidRPr="00DE5DDF">
        <w:t>44.</w:t>
      </w:r>
      <w:r w:rsidRPr="00DE5DDF">
        <w:tab/>
      </w:r>
      <w:r w:rsidR="00DF4B5C" w:rsidRPr="00DE5DDF">
        <w:t xml:space="preserve">Indigenous peoples’ languages and cultures are of fundamental importance for the protection and promotion of indigenous peoples’ rights. As the Expert Mechanism argued in its </w:t>
      </w:r>
      <w:r w:rsidR="00CC60F8" w:rsidRPr="00DE5DDF">
        <w:t xml:space="preserve">advice </w:t>
      </w:r>
      <w:r w:rsidR="00DF4B5C" w:rsidRPr="00DE5DDF">
        <w:t>on this theme, “</w:t>
      </w:r>
      <w:r w:rsidR="00402313" w:rsidRPr="00DE5DDF">
        <w:rPr>
          <w:rFonts w:cs="Calibri"/>
        </w:rPr>
        <w:t>The Declaration on the Rights of Indigenous Peoples should be the basis of all action, including at the legislative and policy level, on the protection and promotion of indigenous peoples’ rights to their languages and cultures</w:t>
      </w:r>
      <w:r w:rsidR="00DF4B5C" w:rsidRPr="00DE5DDF">
        <w:t xml:space="preserve">” (A/HRC/21/53, </w:t>
      </w:r>
      <w:r w:rsidR="00CC60F8" w:rsidRPr="00DE5DDF">
        <w:t>annex</w:t>
      </w:r>
      <w:r w:rsidR="00DF4B5C" w:rsidRPr="00DE5DDF">
        <w:t xml:space="preserve">, </w:t>
      </w:r>
      <w:r w:rsidR="00CC60F8" w:rsidRPr="00DE5DDF">
        <w:t xml:space="preserve">para. </w:t>
      </w:r>
      <w:r w:rsidR="00DF4B5C" w:rsidRPr="00DE5DDF">
        <w:t>5).</w:t>
      </w:r>
    </w:p>
    <w:p w:rsidR="00DF4B5C" w:rsidRPr="00DE5DDF" w:rsidRDefault="005E7802" w:rsidP="005E7802">
      <w:pPr>
        <w:pStyle w:val="SingleTxtG"/>
      </w:pPr>
      <w:r w:rsidRPr="00DE5DDF">
        <w:t>45.</w:t>
      </w:r>
      <w:r w:rsidRPr="00DE5DDF">
        <w:tab/>
      </w:r>
      <w:r w:rsidR="00DF4B5C" w:rsidRPr="00DE5DDF">
        <w:t xml:space="preserve">Paraguay </w:t>
      </w:r>
      <w:r w:rsidR="00CC60F8" w:rsidRPr="00DE5DDF">
        <w:t xml:space="preserve">had </w:t>
      </w:r>
      <w:r w:rsidR="00DF4B5C" w:rsidRPr="00DE5DDF">
        <w:t xml:space="preserve">developed a national plan of indigenous languages through a process of free prior and informed consultation with representatives from the </w:t>
      </w:r>
      <w:r w:rsidR="00CC60F8" w:rsidRPr="00DE5DDF">
        <w:t xml:space="preserve">19 </w:t>
      </w:r>
      <w:r w:rsidR="00DF4B5C" w:rsidRPr="00DE5DDF">
        <w:t xml:space="preserve">indigenous peoples in the country. The Linguistics Policy Secretariat </w:t>
      </w:r>
      <w:r w:rsidR="00CC60F8" w:rsidRPr="00DE5DDF">
        <w:t xml:space="preserve">had </w:t>
      </w:r>
      <w:r w:rsidR="00DF4B5C" w:rsidRPr="00DE5DDF">
        <w:t>started activities to document and revitalize indigenous languages, especially those at greater risk.</w:t>
      </w:r>
      <w:r w:rsidR="00240B17" w:rsidRPr="00DE5DDF">
        <w:t xml:space="preserve"> </w:t>
      </w:r>
      <w:r w:rsidR="00DF4B5C" w:rsidRPr="00DE5DDF">
        <w:t xml:space="preserve">Efforts </w:t>
      </w:r>
      <w:r w:rsidR="00CC60F8" w:rsidRPr="00DE5DDF">
        <w:t>were</w:t>
      </w:r>
      <w:r w:rsidR="00DF4B5C" w:rsidRPr="00DE5DDF">
        <w:t xml:space="preserve"> </w:t>
      </w:r>
      <w:r w:rsidR="00CC60F8" w:rsidRPr="00DE5DDF">
        <w:t xml:space="preserve">also </w:t>
      </w:r>
      <w:r w:rsidR="00DF4B5C" w:rsidRPr="00DE5DDF">
        <w:t>taken to raise public awareness nationally and internationally on the status of indigenous languages.</w:t>
      </w:r>
    </w:p>
    <w:p w:rsidR="00DF4B5C" w:rsidRPr="00DE5DDF" w:rsidRDefault="005E7802" w:rsidP="005E7802">
      <w:pPr>
        <w:pStyle w:val="SingleTxtG"/>
      </w:pPr>
      <w:r w:rsidRPr="00DE5DDF">
        <w:t>46.</w:t>
      </w:r>
      <w:r w:rsidRPr="00DE5DDF">
        <w:tab/>
      </w:r>
      <w:r w:rsidR="00DF4B5C" w:rsidRPr="00DE5DDF">
        <w:t xml:space="preserve">In Costa Rica, the National Policy on Cultural Rights </w:t>
      </w:r>
      <w:r w:rsidR="00CC60F8" w:rsidRPr="00DE5DDF">
        <w:t xml:space="preserve">included </w:t>
      </w:r>
      <w:r w:rsidR="00DF4B5C" w:rsidRPr="00DE5DDF">
        <w:t xml:space="preserve">indigenous peoples’ cultural rights as one of its five strategic axes. The objective of this axis </w:t>
      </w:r>
      <w:r w:rsidR="00CC60F8" w:rsidRPr="00DE5DDF">
        <w:t xml:space="preserve">was </w:t>
      </w:r>
      <w:r w:rsidR="00DF4B5C" w:rsidRPr="00DE5DDF">
        <w:t>to promote the diversity and cultural wealth of indigenous peoples, both within and outside indigenous territories. Also, the Department of Inter</w:t>
      </w:r>
      <w:r w:rsidR="00CC60F8" w:rsidRPr="00DE5DDF">
        <w:t>c</w:t>
      </w:r>
      <w:r w:rsidR="00DF4B5C" w:rsidRPr="00DE5DDF">
        <w:t xml:space="preserve">ultural Education of the Ministry of Education </w:t>
      </w:r>
      <w:r w:rsidR="00CC60F8" w:rsidRPr="00DE5DDF">
        <w:t xml:space="preserve">promoted </w:t>
      </w:r>
      <w:r w:rsidR="00DF4B5C" w:rsidRPr="00DE5DDF">
        <w:t>respect and strengthening of indigenous cultures and languages.</w:t>
      </w:r>
    </w:p>
    <w:p w:rsidR="00DF4B5C" w:rsidRPr="00DE5DDF" w:rsidRDefault="005E7802" w:rsidP="005E7802">
      <w:pPr>
        <w:pStyle w:val="SingleTxtG"/>
      </w:pPr>
      <w:r w:rsidRPr="00DE5DDF">
        <w:t>47.</w:t>
      </w:r>
      <w:r w:rsidRPr="00DE5DDF">
        <w:tab/>
      </w:r>
      <w:r w:rsidR="00DF4B5C" w:rsidRPr="00DE5DDF">
        <w:t>Japan passed the Ainu Culture Promotion Act in 1997</w:t>
      </w:r>
      <w:r w:rsidR="00CC60F8" w:rsidRPr="00DE5DDF">
        <w:t>,</w:t>
      </w:r>
      <w:r w:rsidR="00DF4B5C" w:rsidRPr="00DE5DDF">
        <w:t xml:space="preserve"> which </w:t>
      </w:r>
      <w:r w:rsidR="00CC60F8" w:rsidRPr="00DE5DDF">
        <w:t xml:space="preserve">promoted </w:t>
      </w:r>
      <w:r w:rsidR="00DF4B5C" w:rsidRPr="00DE5DDF">
        <w:t xml:space="preserve">Ainu culture and languages, as well as fostering public understanding of Ainu history. A national centre for revitalizing Ainu culture </w:t>
      </w:r>
      <w:r w:rsidR="00CC60F8" w:rsidRPr="00DE5DDF">
        <w:t xml:space="preserve">was </w:t>
      </w:r>
      <w:r w:rsidR="00DF4B5C" w:rsidRPr="00DE5DDF">
        <w:t>set to open in 2020.</w:t>
      </w:r>
    </w:p>
    <w:p w:rsidR="00DF4B5C" w:rsidRPr="00DE5DDF" w:rsidRDefault="005E7802" w:rsidP="005E7802">
      <w:pPr>
        <w:pStyle w:val="SingleTxtG"/>
      </w:pPr>
      <w:r w:rsidRPr="00DE5DDF">
        <w:t>48.</w:t>
      </w:r>
      <w:r w:rsidRPr="00DE5DDF">
        <w:tab/>
      </w:r>
      <w:r w:rsidR="00DF4B5C" w:rsidRPr="00DE5DDF">
        <w:t xml:space="preserve">Peru </w:t>
      </w:r>
      <w:r w:rsidR="00CC60F8" w:rsidRPr="00DE5DDF">
        <w:t xml:space="preserve">had </w:t>
      </w:r>
      <w:r w:rsidR="00DF4B5C" w:rsidRPr="00DE5DDF">
        <w:t xml:space="preserve">trained civil servants at the national and regional level on language rights and </w:t>
      </w:r>
      <w:r w:rsidR="00CC60F8" w:rsidRPr="00DE5DDF">
        <w:t xml:space="preserve">continued </w:t>
      </w:r>
      <w:r w:rsidR="00DF4B5C" w:rsidRPr="00DE5DDF">
        <w:t xml:space="preserve">to work to strengthen the registry of interpreters and translators, which </w:t>
      </w:r>
      <w:r w:rsidR="00CC60F8" w:rsidRPr="00DE5DDF">
        <w:t xml:space="preserve">provided </w:t>
      </w:r>
      <w:r w:rsidR="00DF4B5C" w:rsidRPr="00DE5DDF">
        <w:t>services in indigenous languages. Peru also reported having media in indigenous languages.</w:t>
      </w:r>
    </w:p>
    <w:p w:rsidR="00DF4B5C" w:rsidRPr="00DE5DDF" w:rsidRDefault="005E7802" w:rsidP="005E7802">
      <w:pPr>
        <w:pStyle w:val="SingleTxtG"/>
      </w:pPr>
      <w:r w:rsidRPr="00DE5DDF">
        <w:t>49.</w:t>
      </w:r>
      <w:r w:rsidRPr="00DE5DDF">
        <w:tab/>
      </w:r>
      <w:r w:rsidR="00DF4B5C" w:rsidRPr="00DE5DDF">
        <w:t xml:space="preserve">Guatemala indicated that it </w:t>
      </w:r>
      <w:r w:rsidR="00CC60F8" w:rsidRPr="00DE5DDF">
        <w:t xml:space="preserve">had </w:t>
      </w:r>
      <w:r w:rsidR="00DF4B5C" w:rsidRPr="00DE5DDF">
        <w:t>a national law for the protection of cultural heritage and that the Constitution and national laws support</w:t>
      </w:r>
      <w:r w:rsidR="00CC60F8" w:rsidRPr="00DE5DDF">
        <w:t>ed</w:t>
      </w:r>
      <w:r w:rsidR="00DF4B5C" w:rsidRPr="00DE5DDF">
        <w:t xml:space="preserve"> bilingual education as a means to affirm and strengthen the identity and cultural values of communities.</w:t>
      </w:r>
    </w:p>
    <w:p w:rsidR="00DF4B5C" w:rsidRPr="00DE5DDF" w:rsidRDefault="005E7802" w:rsidP="005E7802">
      <w:pPr>
        <w:pStyle w:val="SingleTxtG"/>
      </w:pPr>
      <w:r w:rsidRPr="00DE5DDF">
        <w:t>50.</w:t>
      </w:r>
      <w:r w:rsidRPr="00DE5DDF">
        <w:tab/>
      </w:r>
      <w:r w:rsidR="00DF4B5C" w:rsidRPr="00DE5DDF">
        <w:t xml:space="preserve">Chile </w:t>
      </w:r>
      <w:r w:rsidR="00CC60F8" w:rsidRPr="00DE5DDF">
        <w:t xml:space="preserve">was </w:t>
      </w:r>
      <w:r w:rsidR="00DF4B5C" w:rsidRPr="00DE5DDF">
        <w:t xml:space="preserve">developing a process of national consultation for the creation of the Ministry of Culture with the nine indigenous peoples in Chile. The new ministry </w:t>
      </w:r>
      <w:r w:rsidR="00CC60F8" w:rsidRPr="00DE5DDF">
        <w:t xml:space="preserve">would </w:t>
      </w:r>
      <w:r w:rsidR="00DF4B5C" w:rsidRPr="00DE5DDF">
        <w:t xml:space="preserve">provide indigenous peoples with State support to revitalize and protect their cultures and languages. There </w:t>
      </w:r>
      <w:r w:rsidR="00CC60F8" w:rsidRPr="00DE5DDF">
        <w:t xml:space="preserve">was </w:t>
      </w:r>
      <w:r w:rsidR="00DF4B5C" w:rsidRPr="00DE5DDF">
        <w:t xml:space="preserve">also a recovery and revitalization of indigenous languages programme that </w:t>
      </w:r>
      <w:r w:rsidR="00CC60F8" w:rsidRPr="00DE5DDF">
        <w:t xml:space="preserve">provided </w:t>
      </w:r>
      <w:r w:rsidR="00DF4B5C" w:rsidRPr="00DE5DDF">
        <w:t>research and other forms of</w:t>
      </w:r>
      <w:r w:rsidR="004A6059" w:rsidRPr="00DE5DDF">
        <w:t xml:space="preserve"> support.</w:t>
      </w:r>
    </w:p>
    <w:p w:rsidR="00DF4B5C" w:rsidRPr="005E7802" w:rsidRDefault="005E7802" w:rsidP="005E7802">
      <w:pPr>
        <w:pStyle w:val="SingleTxtG"/>
      </w:pPr>
      <w:r w:rsidRPr="005E7802">
        <w:t>51.</w:t>
      </w:r>
      <w:r w:rsidRPr="005E7802">
        <w:tab/>
      </w:r>
      <w:r w:rsidR="00DF4B5C" w:rsidRPr="00DE5DDF">
        <w:t>France indicated that</w:t>
      </w:r>
      <w:r w:rsidR="00A573E4" w:rsidRPr="00DE5DDF">
        <w:t>,</w:t>
      </w:r>
      <w:r w:rsidR="00DF4B5C" w:rsidRPr="00DE5DDF">
        <w:t xml:space="preserve"> in Mayotte</w:t>
      </w:r>
      <w:r w:rsidR="00A573E4" w:rsidRPr="00DE5DDF">
        <w:t>,</w:t>
      </w:r>
      <w:r w:rsidR="00DF4B5C" w:rsidRPr="00DE5DDF">
        <w:t xml:space="preserve"> a </w:t>
      </w:r>
      <w:r w:rsidR="00CC60F8" w:rsidRPr="00DE5DDF">
        <w:t xml:space="preserve">council </w:t>
      </w:r>
      <w:r w:rsidR="00DF4B5C" w:rsidRPr="00DE5DDF">
        <w:t>of culture, education and the environment was set up in consultation with the Mayotte people. A regional cultural programme was developed focusing on the fields of languages, literature and the arts.</w:t>
      </w:r>
      <w:r w:rsidR="00240B17" w:rsidRPr="00DE5DDF">
        <w:t xml:space="preserve"> </w:t>
      </w:r>
      <w:r w:rsidR="00DF4B5C" w:rsidRPr="00DE5DDF">
        <w:t xml:space="preserve">In New Caledonia, the Tjibaou cultural centre opened in 1998 to promote the Kanak culture. </w:t>
      </w:r>
      <w:r w:rsidR="00DF4B5C" w:rsidRPr="005E7802">
        <w:rPr>
          <w:rStyle w:val="hps"/>
        </w:rPr>
        <w:t>The French</w:t>
      </w:r>
      <w:r w:rsidR="00DF4B5C" w:rsidRPr="005E7802">
        <w:t xml:space="preserve"> </w:t>
      </w:r>
      <w:r w:rsidR="00DF4B5C" w:rsidRPr="005E7802">
        <w:rPr>
          <w:rStyle w:val="hps"/>
        </w:rPr>
        <w:t>Ministry of Culture</w:t>
      </w:r>
      <w:r w:rsidR="00DF4B5C" w:rsidRPr="005E7802">
        <w:t xml:space="preserve"> </w:t>
      </w:r>
      <w:r w:rsidR="00CC60F8" w:rsidRPr="005E7802">
        <w:rPr>
          <w:rStyle w:val="hps"/>
        </w:rPr>
        <w:t>had</w:t>
      </w:r>
      <w:r w:rsidR="00CC60F8" w:rsidRPr="005E7802">
        <w:t xml:space="preserve"> </w:t>
      </w:r>
      <w:r w:rsidR="00DF4B5C" w:rsidRPr="005E7802">
        <w:rPr>
          <w:rStyle w:val="hps"/>
        </w:rPr>
        <w:t>an active policy</w:t>
      </w:r>
      <w:r w:rsidR="00DF4B5C" w:rsidRPr="005E7802">
        <w:t xml:space="preserve"> </w:t>
      </w:r>
      <w:r w:rsidR="00DF4B5C" w:rsidRPr="005E7802">
        <w:rPr>
          <w:rStyle w:val="hps"/>
        </w:rPr>
        <w:t>for the promotion</w:t>
      </w:r>
      <w:r w:rsidR="00DF4B5C" w:rsidRPr="005E7802">
        <w:t xml:space="preserve"> </w:t>
      </w:r>
      <w:r w:rsidR="00DF4B5C" w:rsidRPr="005E7802">
        <w:rPr>
          <w:rStyle w:val="hps"/>
        </w:rPr>
        <w:t>of Polynesian culture</w:t>
      </w:r>
      <w:r w:rsidR="00DF4B5C" w:rsidRPr="005E7802">
        <w:t xml:space="preserve">. </w:t>
      </w:r>
      <w:r w:rsidR="00DF4B5C" w:rsidRPr="005E7802">
        <w:rPr>
          <w:rStyle w:val="hps"/>
        </w:rPr>
        <w:t>French Polynesia</w:t>
      </w:r>
      <w:r w:rsidR="00DF4B5C" w:rsidRPr="005E7802">
        <w:t xml:space="preserve"> </w:t>
      </w:r>
      <w:r w:rsidR="00DF4B5C" w:rsidRPr="005E7802">
        <w:rPr>
          <w:rStyle w:val="hps"/>
        </w:rPr>
        <w:t xml:space="preserve">in particular </w:t>
      </w:r>
      <w:r w:rsidR="00CC60F8" w:rsidRPr="005E7802">
        <w:rPr>
          <w:rStyle w:val="hps"/>
        </w:rPr>
        <w:t>had</w:t>
      </w:r>
      <w:r w:rsidR="00CC60F8" w:rsidRPr="005E7802">
        <w:t xml:space="preserve"> </w:t>
      </w:r>
      <w:r w:rsidR="00DF4B5C" w:rsidRPr="005E7802">
        <w:rPr>
          <w:rStyle w:val="hps"/>
        </w:rPr>
        <w:t>two</w:t>
      </w:r>
      <w:r w:rsidR="00DF4B5C" w:rsidRPr="005E7802">
        <w:t xml:space="preserve"> </w:t>
      </w:r>
      <w:r w:rsidR="00DF4B5C" w:rsidRPr="005E7802">
        <w:rPr>
          <w:rStyle w:val="hps"/>
        </w:rPr>
        <w:t>museums,</w:t>
      </w:r>
      <w:r w:rsidR="00DF4B5C" w:rsidRPr="005E7802">
        <w:t xml:space="preserve"> </w:t>
      </w:r>
      <w:r w:rsidR="00DF4B5C" w:rsidRPr="005E7802">
        <w:rPr>
          <w:rStyle w:val="hps"/>
        </w:rPr>
        <w:t>an arts</w:t>
      </w:r>
      <w:r w:rsidR="00DF4B5C" w:rsidRPr="005E7802">
        <w:t xml:space="preserve"> </w:t>
      </w:r>
      <w:r w:rsidR="00DF4B5C" w:rsidRPr="005E7802">
        <w:rPr>
          <w:rStyle w:val="hps"/>
        </w:rPr>
        <w:t>academy</w:t>
      </w:r>
      <w:r w:rsidR="00DF4B5C" w:rsidRPr="005E7802">
        <w:t xml:space="preserve">, a house </w:t>
      </w:r>
      <w:r w:rsidR="00DF4B5C" w:rsidRPr="005E7802">
        <w:rPr>
          <w:rStyle w:val="hps"/>
        </w:rPr>
        <w:t>of culture</w:t>
      </w:r>
      <w:r w:rsidR="00DF4B5C" w:rsidRPr="005E7802">
        <w:t xml:space="preserve"> </w:t>
      </w:r>
      <w:r w:rsidR="00DF4B5C" w:rsidRPr="005E7802">
        <w:rPr>
          <w:rStyle w:val="hps"/>
        </w:rPr>
        <w:t>and two</w:t>
      </w:r>
      <w:r w:rsidR="00DF4B5C" w:rsidRPr="005E7802">
        <w:t xml:space="preserve"> </w:t>
      </w:r>
      <w:r w:rsidR="00DF4B5C" w:rsidRPr="005E7802">
        <w:rPr>
          <w:rStyle w:val="hps"/>
        </w:rPr>
        <w:t>academies</w:t>
      </w:r>
      <w:r w:rsidR="00DF4B5C" w:rsidRPr="005E7802">
        <w:t xml:space="preserve"> </w:t>
      </w:r>
      <w:r w:rsidR="00DF4B5C" w:rsidRPr="005E7802">
        <w:rPr>
          <w:rStyle w:val="hps"/>
        </w:rPr>
        <w:t>(</w:t>
      </w:r>
      <w:r w:rsidR="00DF4B5C" w:rsidRPr="005E7802">
        <w:t xml:space="preserve">Polynesian and </w:t>
      </w:r>
      <w:r w:rsidR="00DF4B5C" w:rsidRPr="005E7802">
        <w:rPr>
          <w:rStyle w:val="hps"/>
        </w:rPr>
        <w:t>Marquesas</w:t>
      </w:r>
      <w:r w:rsidR="00DF4B5C" w:rsidRPr="005E7802">
        <w:t xml:space="preserve">). </w:t>
      </w:r>
      <w:r w:rsidR="00DF4B5C" w:rsidRPr="005E7802">
        <w:rPr>
          <w:rStyle w:val="hps"/>
        </w:rPr>
        <w:t xml:space="preserve">The French </w:t>
      </w:r>
      <w:r w:rsidR="00CC60F8" w:rsidRPr="005E7802">
        <w:rPr>
          <w:rStyle w:val="hps"/>
        </w:rPr>
        <w:t>Government</w:t>
      </w:r>
      <w:r w:rsidR="00CC60F8" w:rsidRPr="005E7802">
        <w:t xml:space="preserve"> </w:t>
      </w:r>
      <w:r w:rsidR="00CC60F8" w:rsidRPr="005E7802">
        <w:rPr>
          <w:rStyle w:val="hps"/>
        </w:rPr>
        <w:t xml:space="preserve">provided </w:t>
      </w:r>
      <w:r w:rsidR="00DF4B5C" w:rsidRPr="005E7802">
        <w:rPr>
          <w:rStyle w:val="hps"/>
        </w:rPr>
        <w:t>support</w:t>
      </w:r>
      <w:r w:rsidR="00DF4B5C" w:rsidRPr="005E7802">
        <w:t xml:space="preserve"> </w:t>
      </w:r>
      <w:r w:rsidR="00DF4B5C" w:rsidRPr="005E7802">
        <w:rPr>
          <w:rStyle w:val="hps"/>
        </w:rPr>
        <w:t>when needed</w:t>
      </w:r>
      <w:r w:rsidR="00DF4B5C" w:rsidRPr="005E7802">
        <w:t xml:space="preserve">, </w:t>
      </w:r>
      <w:r w:rsidR="00DF4B5C" w:rsidRPr="005E7802">
        <w:rPr>
          <w:rStyle w:val="hps"/>
        </w:rPr>
        <w:t>particularly in the context</w:t>
      </w:r>
      <w:r w:rsidR="00DF4B5C" w:rsidRPr="005E7802">
        <w:t xml:space="preserve"> </w:t>
      </w:r>
      <w:r w:rsidR="00DF4B5C" w:rsidRPr="005E7802">
        <w:rPr>
          <w:rStyle w:val="hps"/>
        </w:rPr>
        <w:t>of applications from</w:t>
      </w:r>
      <w:r w:rsidR="00DF4B5C" w:rsidRPr="005E7802">
        <w:t xml:space="preserve"> </w:t>
      </w:r>
      <w:r w:rsidR="00DF4B5C" w:rsidRPr="005E7802">
        <w:rPr>
          <w:rStyle w:val="hps"/>
        </w:rPr>
        <w:t>Polynesia</w:t>
      </w:r>
      <w:r w:rsidR="00DF4B5C" w:rsidRPr="005E7802">
        <w:t xml:space="preserve"> </w:t>
      </w:r>
      <w:r w:rsidR="00DF4B5C" w:rsidRPr="005E7802">
        <w:rPr>
          <w:rStyle w:val="hps"/>
        </w:rPr>
        <w:t>to</w:t>
      </w:r>
      <w:r w:rsidR="00DF4B5C" w:rsidRPr="005E7802">
        <w:t xml:space="preserve"> </w:t>
      </w:r>
      <w:r w:rsidR="00DF4B5C" w:rsidRPr="005E7802">
        <w:rPr>
          <w:rStyle w:val="hps"/>
        </w:rPr>
        <w:t>secure recognition of sites in the</w:t>
      </w:r>
      <w:r w:rsidR="00DF4B5C" w:rsidRPr="005E7802">
        <w:t xml:space="preserve"> </w:t>
      </w:r>
      <w:r w:rsidR="00CC60F8" w:rsidRPr="00DE5DDF">
        <w:t>United Nations Educational, Scientific and Cultural Organization (</w:t>
      </w:r>
      <w:r w:rsidR="00DF4B5C" w:rsidRPr="005E7802">
        <w:rPr>
          <w:rStyle w:val="hps"/>
        </w:rPr>
        <w:t>UNESCO</w:t>
      </w:r>
      <w:r w:rsidR="00CC60F8" w:rsidRPr="005E7802">
        <w:rPr>
          <w:rStyle w:val="hps"/>
        </w:rPr>
        <w:t>)</w:t>
      </w:r>
      <w:r w:rsidR="00DF4B5C" w:rsidRPr="005E7802">
        <w:rPr>
          <w:rStyle w:val="hps"/>
        </w:rPr>
        <w:t xml:space="preserve"> World</w:t>
      </w:r>
      <w:r w:rsidR="00DF4B5C" w:rsidRPr="005E7802">
        <w:t xml:space="preserve"> </w:t>
      </w:r>
      <w:r w:rsidR="00DF4B5C" w:rsidRPr="005E7802">
        <w:rPr>
          <w:rStyle w:val="hps"/>
        </w:rPr>
        <w:t xml:space="preserve">Heritage listings. In accordance with </w:t>
      </w:r>
      <w:r w:rsidR="00DF4B5C" w:rsidRPr="005E7802">
        <w:t xml:space="preserve">the </w:t>
      </w:r>
      <w:r w:rsidR="00DF4B5C" w:rsidRPr="005E7802">
        <w:rPr>
          <w:rStyle w:val="hps"/>
        </w:rPr>
        <w:t>Convention</w:t>
      </w:r>
      <w:r w:rsidR="00DF4B5C" w:rsidRPr="005E7802">
        <w:t xml:space="preserve"> </w:t>
      </w:r>
      <w:r w:rsidR="00DF4B5C" w:rsidRPr="005E7802">
        <w:rPr>
          <w:rStyle w:val="hps"/>
        </w:rPr>
        <w:t>for</w:t>
      </w:r>
      <w:r w:rsidR="00DF4B5C" w:rsidRPr="005E7802">
        <w:t xml:space="preserve"> </w:t>
      </w:r>
      <w:r w:rsidR="00DF4B5C" w:rsidRPr="005E7802">
        <w:rPr>
          <w:rStyle w:val="hps"/>
        </w:rPr>
        <w:t>the Safeguarding of Intangible</w:t>
      </w:r>
      <w:r w:rsidR="00DF4B5C" w:rsidRPr="005E7802">
        <w:t xml:space="preserve"> </w:t>
      </w:r>
      <w:r w:rsidR="00DF4B5C" w:rsidRPr="005E7802">
        <w:rPr>
          <w:rStyle w:val="hps"/>
        </w:rPr>
        <w:t>Cultural Heritage, France began to</w:t>
      </w:r>
      <w:r w:rsidR="00DF4B5C" w:rsidRPr="005E7802">
        <w:t xml:space="preserve"> </w:t>
      </w:r>
      <w:r w:rsidR="00DF4B5C" w:rsidRPr="005E7802">
        <w:rPr>
          <w:rStyle w:val="hps"/>
        </w:rPr>
        <w:t>develop</w:t>
      </w:r>
      <w:r w:rsidR="00DF4B5C" w:rsidRPr="005E7802">
        <w:t xml:space="preserve"> </w:t>
      </w:r>
      <w:r w:rsidR="00DF4B5C" w:rsidRPr="005E7802">
        <w:rPr>
          <w:rStyle w:val="hps"/>
        </w:rPr>
        <w:t>its</w:t>
      </w:r>
      <w:r w:rsidR="00DF4B5C" w:rsidRPr="005E7802">
        <w:t xml:space="preserve"> </w:t>
      </w:r>
      <w:r w:rsidR="00DF4B5C" w:rsidRPr="005E7802">
        <w:rPr>
          <w:rStyle w:val="hps"/>
        </w:rPr>
        <w:t>inventory, including the</w:t>
      </w:r>
      <w:r w:rsidR="00DF4B5C" w:rsidRPr="005E7802">
        <w:t xml:space="preserve"> </w:t>
      </w:r>
      <w:r w:rsidR="00DF4B5C" w:rsidRPr="005E7802">
        <w:rPr>
          <w:rStyle w:val="hps"/>
        </w:rPr>
        <w:t>Marake</w:t>
      </w:r>
      <w:r w:rsidR="00DF4B5C" w:rsidRPr="005E7802">
        <w:t xml:space="preserve"> </w:t>
      </w:r>
      <w:r w:rsidR="00DF4B5C" w:rsidRPr="005E7802">
        <w:rPr>
          <w:rStyle w:val="hps"/>
        </w:rPr>
        <w:t>ritual</w:t>
      </w:r>
      <w:r w:rsidR="00DF4B5C" w:rsidRPr="005E7802">
        <w:t xml:space="preserve"> </w:t>
      </w:r>
      <w:r w:rsidR="00DF4B5C" w:rsidRPr="005E7802">
        <w:rPr>
          <w:rStyle w:val="hps"/>
        </w:rPr>
        <w:t>in Guyana</w:t>
      </w:r>
      <w:r w:rsidR="00DF4B5C" w:rsidRPr="005E7802">
        <w:t xml:space="preserve"> </w:t>
      </w:r>
      <w:r w:rsidR="00DF4B5C" w:rsidRPr="005E7802">
        <w:rPr>
          <w:rStyle w:val="hps"/>
        </w:rPr>
        <w:t>and the AIJE</w:t>
      </w:r>
      <w:r w:rsidR="00DF4B5C" w:rsidRPr="005E7802">
        <w:rPr>
          <w:rStyle w:val="atn"/>
        </w:rPr>
        <w:t>-</w:t>
      </w:r>
      <w:r w:rsidR="00DF4B5C" w:rsidRPr="005E7802">
        <w:t xml:space="preserve">Aro </w:t>
      </w:r>
      <w:r w:rsidR="00DF4B5C" w:rsidRPr="005E7802">
        <w:rPr>
          <w:rStyle w:val="hps"/>
        </w:rPr>
        <w:t>area</w:t>
      </w:r>
      <w:r w:rsidR="00DF4B5C" w:rsidRPr="005E7802">
        <w:t xml:space="preserve"> </w:t>
      </w:r>
      <w:r w:rsidR="00DF4B5C" w:rsidRPr="005E7802">
        <w:rPr>
          <w:rStyle w:val="hps"/>
        </w:rPr>
        <w:t>in New Caledonia</w:t>
      </w:r>
      <w:r w:rsidR="00DF4B5C" w:rsidRPr="005E7802">
        <w:t>.</w:t>
      </w:r>
    </w:p>
    <w:p w:rsidR="006D6C44" w:rsidRPr="00DE5DDF" w:rsidRDefault="005E7802" w:rsidP="005E7802">
      <w:pPr>
        <w:pStyle w:val="SingleTxtG"/>
      </w:pPr>
      <w:r w:rsidRPr="00DE5DDF">
        <w:t>52.</w:t>
      </w:r>
      <w:r w:rsidRPr="00DE5DDF">
        <w:tab/>
      </w:r>
      <w:r w:rsidR="00DF4B5C" w:rsidRPr="00DE5DDF">
        <w:t xml:space="preserve">Red COMUINCACOL reported that bilingual education </w:t>
      </w:r>
      <w:r w:rsidR="00BC3C91" w:rsidRPr="00DE5DDF">
        <w:t xml:space="preserve">was being </w:t>
      </w:r>
      <w:r w:rsidR="00DF4B5C" w:rsidRPr="00DE5DDF">
        <w:t>contemplated in legislative, policy and administrative measures in Colombia. ONG Adjmor indicated that</w:t>
      </w:r>
      <w:r w:rsidR="00A573E4" w:rsidRPr="00DE5DDF">
        <w:t>,</w:t>
      </w:r>
      <w:r w:rsidR="00DF4B5C" w:rsidRPr="00DE5DDF">
        <w:t xml:space="preserve"> while indigenous cultures </w:t>
      </w:r>
      <w:r w:rsidR="00BC3C91" w:rsidRPr="00DE5DDF">
        <w:t xml:space="preserve">were </w:t>
      </w:r>
      <w:r w:rsidR="00DF4B5C" w:rsidRPr="00DE5DDF">
        <w:t>promoted in Mali through support to traditional expressions and cultures</w:t>
      </w:r>
      <w:r w:rsidR="00BC3C91" w:rsidRPr="00DE5DDF">
        <w:t>,</w:t>
      </w:r>
      <w:r w:rsidR="00DF4B5C" w:rsidRPr="00DE5DDF">
        <w:t xml:space="preserve"> and the teaching of indigenous languages in primary schools, </w:t>
      </w:r>
      <w:r w:rsidR="00BC3C91" w:rsidRPr="00DE5DDF">
        <w:t xml:space="preserve">those </w:t>
      </w:r>
      <w:r w:rsidR="00DF4B5C" w:rsidRPr="00DE5DDF">
        <w:t xml:space="preserve">programmes </w:t>
      </w:r>
      <w:r w:rsidR="00BC3C91" w:rsidRPr="00DE5DDF">
        <w:t xml:space="preserve">were </w:t>
      </w:r>
      <w:r w:rsidR="00DF4B5C" w:rsidRPr="00DE5DDF">
        <w:t>often not sustainable in the long</w:t>
      </w:r>
      <w:r w:rsidR="00BC3C91" w:rsidRPr="00DE5DDF">
        <w:t xml:space="preserve"> </w:t>
      </w:r>
      <w:r w:rsidR="00DF4B5C" w:rsidRPr="00DE5DDF">
        <w:t xml:space="preserve">term due to budget constraints. In Panama, under the coordination of the General Congress, the Kuna people </w:t>
      </w:r>
      <w:r w:rsidR="00BC3C91" w:rsidRPr="00DE5DDF">
        <w:t xml:space="preserve">had </w:t>
      </w:r>
      <w:r w:rsidR="00DF4B5C" w:rsidRPr="00DE5DDF">
        <w:t xml:space="preserve">implemented bilingual education in schools in their region for the </w:t>
      </w:r>
      <w:r w:rsidR="00BC3C91" w:rsidRPr="00DE5DDF">
        <w:t xml:space="preserve">previous </w:t>
      </w:r>
      <w:r w:rsidR="00DF4B5C" w:rsidRPr="00DE5DDF">
        <w:t xml:space="preserve">10 years. However, the national education system in general </w:t>
      </w:r>
      <w:r w:rsidR="00BC3C91" w:rsidRPr="00DE5DDF">
        <w:t xml:space="preserve">did </w:t>
      </w:r>
      <w:r w:rsidR="00DF4B5C" w:rsidRPr="00DE5DDF">
        <w:t>not respond to the specific needs of the Kuna people, often alienating them from their cultural and linguistic identity</w:t>
      </w:r>
      <w:r w:rsidR="006D6C44" w:rsidRPr="00DE5DDF">
        <w:t>.</w:t>
      </w:r>
    </w:p>
    <w:p w:rsidR="00DF4B5C" w:rsidRPr="00DE5DDF" w:rsidRDefault="00DF4B5C" w:rsidP="00DF4B5C">
      <w:pPr>
        <w:pStyle w:val="H1G"/>
      </w:pPr>
      <w:r w:rsidRPr="00DE5DDF">
        <w:tab/>
        <w:t>E.</w:t>
      </w:r>
      <w:r w:rsidRPr="00DE5DDF">
        <w:tab/>
        <w:t>Non-discrimination and equality</w:t>
      </w:r>
    </w:p>
    <w:p w:rsidR="00DF4B5C" w:rsidRPr="00DE5DDF" w:rsidRDefault="005E7802" w:rsidP="005E7802">
      <w:pPr>
        <w:pStyle w:val="SingleTxtG"/>
      </w:pPr>
      <w:r w:rsidRPr="00DE5DDF">
        <w:t>53.</w:t>
      </w:r>
      <w:r w:rsidRPr="00DE5DDF">
        <w:tab/>
      </w:r>
      <w:r w:rsidR="00DF4B5C" w:rsidRPr="00DE5DDF">
        <w:t xml:space="preserve">The questionnaire posed the following question to States and indigenous peoples: </w:t>
      </w:r>
      <w:r w:rsidR="00BC3C91" w:rsidRPr="00DE5DDF">
        <w:t>“</w:t>
      </w:r>
      <w:r w:rsidR="00DF4B5C" w:rsidRPr="005E7802">
        <w:t>Have specific legislative, policy, or administrative measures relating to non-discrimination and equality been adopted?</w:t>
      </w:r>
      <w:r w:rsidR="00240B17" w:rsidRPr="005E7802">
        <w:t xml:space="preserve"> </w:t>
      </w:r>
      <w:r w:rsidR="00DF4B5C" w:rsidRPr="005E7802">
        <w:t>If yes, please provide details. If not, please outline any plans to develop legislative, policy or administrative measures in this area.</w:t>
      </w:r>
      <w:r w:rsidR="00BC3C91" w:rsidRPr="005E7802">
        <w:t>”</w:t>
      </w:r>
    </w:p>
    <w:p w:rsidR="00DF4B5C" w:rsidRPr="00DE5DDF" w:rsidRDefault="005E7802" w:rsidP="005E7802">
      <w:pPr>
        <w:pStyle w:val="SingleTxtG"/>
      </w:pPr>
      <w:r w:rsidRPr="00DE5DDF">
        <w:t>54.</w:t>
      </w:r>
      <w:r w:rsidRPr="00DE5DDF">
        <w:tab/>
      </w:r>
      <w:r w:rsidR="00DF4B5C" w:rsidRPr="00DE5DDF">
        <w:t xml:space="preserve">Non-discrimination and equality </w:t>
      </w:r>
      <w:r w:rsidR="00BC3C91" w:rsidRPr="00DE5DDF">
        <w:t xml:space="preserve">are </w:t>
      </w:r>
      <w:r w:rsidR="00DF4B5C" w:rsidRPr="00DE5DDF">
        <w:t>a central principle of human rights. As article 2 of the Declaration states, “Indigenous peoples and individuals are free and equal to all other peoples and individuals</w:t>
      </w:r>
      <w:r w:rsidR="00BC3C91" w:rsidRPr="00DE5DDF">
        <w:t>,</w:t>
      </w:r>
      <w:r w:rsidR="00DF4B5C" w:rsidRPr="00DE5DDF">
        <w:t xml:space="preserve"> and have the right to be free from any kind of discrimination, in the exercise of their rights, in particular that based on their indigenous origin or identity.”</w:t>
      </w:r>
    </w:p>
    <w:p w:rsidR="00DF4B5C" w:rsidRPr="00DE5DDF" w:rsidRDefault="005E7802" w:rsidP="005E7802">
      <w:pPr>
        <w:pStyle w:val="SingleTxtG"/>
      </w:pPr>
      <w:r w:rsidRPr="00DE5DDF">
        <w:t>55.</w:t>
      </w:r>
      <w:r w:rsidRPr="00DE5DDF">
        <w:tab/>
      </w:r>
      <w:r w:rsidR="00DF4B5C" w:rsidRPr="00DE5DDF">
        <w:t xml:space="preserve">Some States, including Cuba and Paraguay, noted that discrimination </w:t>
      </w:r>
      <w:r w:rsidR="00BC3C91" w:rsidRPr="00DE5DDF">
        <w:t xml:space="preserve">was </w:t>
      </w:r>
      <w:r w:rsidR="00DF4B5C" w:rsidRPr="00DE5DDF">
        <w:t>prohibited under domestic law.</w:t>
      </w:r>
      <w:r w:rsidR="00240B17" w:rsidRPr="00DE5DDF">
        <w:t xml:space="preserve"> </w:t>
      </w:r>
      <w:r w:rsidR="00DF4B5C" w:rsidRPr="00DE5DDF">
        <w:t>Costa Rica identified not only domestic laws and policies, but also its ratification of international human rights instruments that prohibit</w:t>
      </w:r>
      <w:r w:rsidR="00BC3C91" w:rsidRPr="00DE5DDF">
        <w:t>ed</w:t>
      </w:r>
      <w:r w:rsidR="00DF4B5C" w:rsidRPr="00DE5DDF">
        <w:t xml:space="preserve"> all forms of discrimination. Costa Rica </w:t>
      </w:r>
      <w:r w:rsidR="00BC3C91" w:rsidRPr="00DE5DDF">
        <w:t xml:space="preserve">had </w:t>
      </w:r>
      <w:r w:rsidR="00DF4B5C" w:rsidRPr="00DE5DDF">
        <w:t>a National Policy for a Society Free from Racism, Discrimination and Xenophobia, which in addition to strengthening the recognition of indigenous peoples’ rights (and those of other groups)</w:t>
      </w:r>
      <w:r w:rsidR="00BC3C91" w:rsidRPr="00DE5DDF">
        <w:t>,</w:t>
      </w:r>
      <w:r w:rsidR="00DF4B5C" w:rsidRPr="00DE5DDF">
        <w:t xml:space="preserve"> also </w:t>
      </w:r>
      <w:r w:rsidR="00A573E4" w:rsidRPr="00DE5DDF">
        <w:t xml:space="preserve">sought </w:t>
      </w:r>
      <w:r w:rsidR="00DF4B5C" w:rsidRPr="00DE5DDF">
        <w:t>to improve their living conditions.</w:t>
      </w:r>
    </w:p>
    <w:p w:rsidR="00DF4B5C" w:rsidRPr="00DE5DDF" w:rsidRDefault="005E7802" w:rsidP="005E7802">
      <w:pPr>
        <w:pStyle w:val="SingleTxtG"/>
      </w:pPr>
      <w:r w:rsidRPr="00DE5DDF">
        <w:t>56.</w:t>
      </w:r>
      <w:r w:rsidRPr="00DE5DDF">
        <w:tab/>
      </w:r>
      <w:r w:rsidR="00DF4B5C" w:rsidRPr="00DE5DDF">
        <w:t>Guatemala indicated that</w:t>
      </w:r>
      <w:r w:rsidR="00BC3C91" w:rsidRPr="00DE5DDF">
        <w:t>,</w:t>
      </w:r>
      <w:r w:rsidR="00DF4B5C" w:rsidRPr="00DE5DDF">
        <w:t xml:space="preserve"> in addition to national laws against racial discrimination, there </w:t>
      </w:r>
      <w:r w:rsidR="00BC3C91" w:rsidRPr="00DE5DDF">
        <w:t xml:space="preserve">was </w:t>
      </w:r>
      <w:r w:rsidR="00DF4B5C" w:rsidRPr="00DE5DDF">
        <w:t>also</w:t>
      </w:r>
      <w:r w:rsidR="00BC3C91" w:rsidRPr="00DE5DDF">
        <w:t xml:space="preserve"> a</w:t>
      </w:r>
      <w:r w:rsidR="00DF4B5C" w:rsidRPr="00DE5DDF">
        <w:t xml:space="preserve"> national policy for the advancement of women, which </w:t>
      </w:r>
      <w:r w:rsidR="00BC3C91" w:rsidRPr="00DE5DDF">
        <w:t xml:space="preserve">promoted </w:t>
      </w:r>
      <w:r w:rsidR="00DF4B5C" w:rsidRPr="00DE5DDF">
        <w:t>the participation of Maya, Garifuna and Xinka women in the areas of economic, social, political and cultural development.</w:t>
      </w:r>
    </w:p>
    <w:p w:rsidR="00DF4B5C" w:rsidRPr="00DE5DDF" w:rsidRDefault="005E7802" w:rsidP="005E7802">
      <w:pPr>
        <w:pStyle w:val="SingleTxtG"/>
      </w:pPr>
      <w:r w:rsidRPr="00DE5DDF">
        <w:t>57.</w:t>
      </w:r>
      <w:r w:rsidRPr="00DE5DDF">
        <w:tab/>
      </w:r>
      <w:r w:rsidR="00DF4B5C" w:rsidRPr="00DE5DDF">
        <w:t xml:space="preserve">In 2015, the Government of Japan </w:t>
      </w:r>
      <w:r w:rsidR="00BC3C91" w:rsidRPr="00DE5DDF">
        <w:t xml:space="preserve">was to </w:t>
      </w:r>
      <w:r w:rsidR="00DF4B5C" w:rsidRPr="00DE5DDF">
        <w:t xml:space="preserve">conduct a national survey on Ainu issues to find out and </w:t>
      </w:r>
      <w:r w:rsidR="00BC3C91" w:rsidRPr="00DE5DDF">
        <w:t xml:space="preserve">analyse </w:t>
      </w:r>
      <w:r w:rsidR="00DF4B5C" w:rsidRPr="00DE5DDF">
        <w:t xml:space="preserve">the current level of public understanding of discrimination against the Ainu and determine the actual situation of discrimination against the Ainu. The results of this survey </w:t>
      </w:r>
      <w:r w:rsidR="00BC3C91" w:rsidRPr="00DE5DDF">
        <w:t xml:space="preserve">would </w:t>
      </w:r>
      <w:r w:rsidR="00DF4B5C" w:rsidRPr="00DE5DDF">
        <w:t>be used when developing future policies.</w:t>
      </w:r>
    </w:p>
    <w:p w:rsidR="00DF4B5C" w:rsidRPr="00DE5DDF" w:rsidRDefault="005E7802" w:rsidP="005E7802">
      <w:pPr>
        <w:pStyle w:val="SingleTxtG"/>
      </w:pPr>
      <w:r w:rsidRPr="00DE5DDF">
        <w:t>58.</w:t>
      </w:r>
      <w:r w:rsidRPr="00DE5DDF">
        <w:tab/>
      </w:r>
      <w:r w:rsidR="00DF4B5C" w:rsidRPr="00DE5DDF">
        <w:t xml:space="preserve">Peru </w:t>
      </w:r>
      <w:r w:rsidR="00BC3C91" w:rsidRPr="00DE5DDF">
        <w:t xml:space="preserve">had </w:t>
      </w:r>
      <w:r w:rsidR="00DF4B5C" w:rsidRPr="00DE5DDF">
        <w:t xml:space="preserve">taken steps to improve access to health, including adapting services to the particular needs of indigenous peoples. This </w:t>
      </w:r>
      <w:r w:rsidR="00BC3C91" w:rsidRPr="00DE5DDF">
        <w:t xml:space="preserve">included </w:t>
      </w:r>
      <w:r w:rsidR="00DF4B5C" w:rsidRPr="00DE5DDF">
        <w:t>a national multisectoral health coordinating process with participation by civil society and indigenous organizations in the preparation and monitoring of the implementation of proposals in the areas of HIV/AIDS, malaria and tuberculosis.</w:t>
      </w:r>
    </w:p>
    <w:p w:rsidR="00DF4B5C" w:rsidRPr="00DE5DDF" w:rsidRDefault="005E7802" w:rsidP="005E7802">
      <w:pPr>
        <w:pStyle w:val="SingleTxtG"/>
      </w:pPr>
      <w:r w:rsidRPr="00DE5DDF">
        <w:t>59.</w:t>
      </w:r>
      <w:r w:rsidRPr="00DE5DDF">
        <w:tab/>
      </w:r>
      <w:r w:rsidR="00DF4B5C" w:rsidRPr="00DE5DDF">
        <w:t xml:space="preserve">There </w:t>
      </w:r>
      <w:r w:rsidR="00BC3C91" w:rsidRPr="00DE5DDF">
        <w:t xml:space="preserve">were </w:t>
      </w:r>
      <w:r w:rsidR="00DF4B5C" w:rsidRPr="00DE5DDF">
        <w:t xml:space="preserve">efforts being made by the Government of Burundi to change the negative perceptions that other Burundians </w:t>
      </w:r>
      <w:r w:rsidR="00BC3C91" w:rsidRPr="00DE5DDF">
        <w:t xml:space="preserve">had </w:t>
      </w:r>
      <w:r w:rsidR="00DF4B5C" w:rsidRPr="00DE5DDF">
        <w:t xml:space="preserve">of the Batwa people. The Burundi </w:t>
      </w:r>
      <w:r w:rsidR="00BC3C91" w:rsidRPr="00DE5DDF">
        <w:t xml:space="preserve">Constitution </w:t>
      </w:r>
      <w:r w:rsidR="00DF4B5C" w:rsidRPr="00DE5DDF">
        <w:t xml:space="preserve">also </w:t>
      </w:r>
      <w:r w:rsidR="00BC3C91" w:rsidRPr="00DE5DDF">
        <w:t xml:space="preserve">recognized </w:t>
      </w:r>
      <w:r w:rsidR="00DF4B5C" w:rsidRPr="00DE5DDF">
        <w:t xml:space="preserve">that all citizens </w:t>
      </w:r>
      <w:r w:rsidR="00BC3C91" w:rsidRPr="00DE5DDF">
        <w:t xml:space="preserve">were </w:t>
      </w:r>
      <w:r w:rsidR="00DF4B5C" w:rsidRPr="00DE5DDF">
        <w:t xml:space="preserve">equal before the law. Furthermore, the national human rights policy </w:t>
      </w:r>
      <w:r w:rsidR="00BC3C91" w:rsidRPr="00DE5DDF">
        <w:t xml:space="preserve">had </w:t>
      </w:r>
      <w:r w:rsidR="00DF4B5C" w:rsidRPr="00DE5DDF">
        <w:t>a chapter specifically relating to the Batwa.</w:t>
      </w:r>
    </w:p>
    <w:p w:rsidR="00DF4B5C" w:rsidRPr="00DE5DDF" w:rsidRDefault="005E7802" w:rsidP="005E7802">
      <w:pPr>
        <w:pStyle w:val="SingleTxtG"/>
      </w:pPr>
      <w:r w:rsidRPr="00DE5DDF">
        <w:t>60.</w:t>
      </w:r>
      <w:r w:rsidRPr="00DE5DDF">
        <w:tab/>
      </w:r>
      <w:r w:rsidR="00DF4B5C" w:rsidRPr="00DE5DDF">
        <w:t xml:space="preserve">Similarly to the State responses, several responses from indigenous peoples referred to constitutional and other provisions relating to non-discrimination and equality before the law. However, these responses also emphasized that there </w:t>
      </w:r>
      <w:r w:rsidR="00BC3C91" w:rsidRPr="00DE5DDF">
        <w:t xml:space="preserve">was </w:t>
      </w:r>
      <w:r w:rsidR="00DF4B5C" w:rsidRPr="00DE5DDF">
        <w:t>a significant implementation gap and that indigenous peoples continue</w:t>
      </w:r>
      <w:r w:rsidR="00BC3C91" w:rsidRPr="00DE5DDF">
        <w:t>d</w:t>
      </w:r>
      <w:r w:rsidR="00DF4B5C" w:rsidRPr="00DE5DDF">
        <w:t xml:space="preserve"> to be victims of discrimination, including in accessing social services.</w:t>
      </w:r>
    </w:p>
    <w:p w:rsidR="0044497A" w:rsidRPr="00DE5DDF" w:rsidRDefault="0044497A" w:rsidP="0044497A">
      <w:pPr>
        <w:pStyle w:val="H1G"/>
      </w:pPr>
      <w:r w:rsidRPr="00DE5DDF">
        <w:tab/>
        <w:t>F.</w:t>
      </w:r>
      <w:r w:rsidRPr="00DE5DDF">
        <w:tab/>
        <w:t>Lands, territories and resources</w:t>
      </w:r>
    </w:p>
    <w:p w:rsidR="0044497A" w:rsidRPr="00DE5DDF" w:rsidRDefault="005E7802" w:rsidP="005E7802">
      <w:pPr>
        <w:pStyle w:val="SingleTxtG"/>
      </w:pPr>
      <w:r w:rsidRPr="00DE5DDF">
        <w:t>61.</w:t>
      </w:r>
      <w:r w:rsidRPr="00DE5DDF">
        <w:tab/>
      </w:r>
      <w:r w:rsidR="0044497A" w:rsidRPr="00DE5DDF">
        <w:t xml:space="preserve">The questionnaire posed the following question to States and indigenous peoples: </w:t>
      </w:r>
      <w:r w:rsidR="00D51D92" w:rsidRPr="005E7802">
        <w:t>“</w:t>
      </w:r>
      <w:r w:rsidR="0044497A" w:rsidRPr="005E7802">
        <w:t>Have specific legislative, policy, or administrative measures been adopted to implement rights relating to lands, territories and resources?</w:t>
      </w:r>
      <w:r w:rsidR="00240B17" w:rsidRPr="005E7802">
        <w:t xml:space="preserve"> </w:t>
      </w:r>
      <w:r w:rsidR="0044497A" w:rsidRPr="005E7802">
        <w:t>If yes, please provide details. If not, please outline any plans to develop legislative, policy or administrative measures in this area.</w:t>
      </w:r>
      <w:r w:rsidR="00D51D92" w:rsidRPr="00DE5DDF">
        <w:t>”</w:t>
      </w:r>
    </w:p>
    <w:p w:rsidR="0044497A" w:rsidRPr="00DE5DDF" w:rsidRDefault="005E7802" w:rsidP="005E7802">
      <w:pPr>
        <w:pStyle w:val="SingleTxtG"/>
      </w:pPr>
      <w:r w:rsidRPr="00DE5DDF">
        <w:t>62.</w:t>
      </w:r>
      <w:r w:rsidRPr="00DE5DDF">
        <w:tab/>
      </w:r>
      <w:r w:rsidR="0044497A" w:rsidRPr="00DE5DDF">
        <w:t>The Expert Mechanism has repeatedly emphasized the importance of indigenous peoples’ rights relating to lands, territories and resources, including in the context of access to justice, languages and cultures, and disaster risk reduction.</w:t>
      </w:r>
    </w:p>
    <w:p w:rsidR="0044497A" w:rsidRPr="00DE5DDF" w:rsidRDefault="005E7802" w:rsidP="005E7802">
      <w:pPr>
        <w:pStyle w:val="SingleTxtG"/>
      </w:pPr>
      <w:r w:rsidRPr="00DE5DDF">
        <w:t>63.</w:t>
      </w:r>
      <w:r w:rsidRPr="00DE5DDF">
        <w:tab/>
      </w:r>
      <w:r w:rsidR="0044497A" w:rsidRPr="005E7802">
        <w:t xml:space="preserve">Peru noted that the titling of indigenous forest community lands </w:t>
      </w:r>
      <w:r w:rsidR="00D51D92" w:rsidRPr="005E7802">
        <w:t xml:space="preserve">was </w:t>
      </w:r>
      <w:r w:rsidR="0044497A" w:rsidRPr="005E7802">
        <w:t xml:space="preserve">fundamental for the protection of other rights. Peru </w:t>
      </w:r>
      <w:r w:rsidR="00D51D92" w:rsidRPr="00DE5DDF">
        <w:t xml:space="preserve">had </w:t>
      </w:r>
      <w:r w:rsidR="0044497A" w:rsidRPr="005E7802">
        <w:t xml:space="preserve">a project aimed at titling and registering lands of indigenous communities in the Amazon. Paraguay </w:t>
      </w:r>
      <w:r w:rsidR="00D51D92" w:rsidRPr="00DE5DDF">
        <w:t xml:space="preserve">had </w:t>
      </w:r>
      <w:r w:rsidR="0044497A" w:rsidRPr="00DE5DDF">
        <w:t>undertaken to title lands for several communities, including expropriating lands for the Sawhoyamaxa in compliance with the 2006 judgment of the Inter-American Court of Human Rights.</w:t>
      </w:r>
    </w:p>
    <w:p w:rsidR="0044497A" w:rsidRPr="00DE5DDF" w:rsidRDefault="005E7802" w:rsidP="005E7802">
      <w:pPr>
        <w:pStyle w:val="SingleTxtG"/>
      </w:pPr>
      <w:r w:rsidRPr="00DE5DDF">
        <w:t>64.</w:t>
      </w:r>
      <w:r w:rsidRPr="00DE5DDF">
        <w:tab/>
      </w:r>
      <w:r w:rsidR="0044497A" w:rsidRPr="00DE5DDF">
        <w:t>Colombia reported on an initiative to demarcate sacred sites in the Sierra Nevada de Santa Marta region, including through a consultation process with the indigenous peoples involved. Colombia also reported on measures taken to strengthen indigenous peoples’ autonomy and governance in the Amazonas, Guainía and Vaupés departments.</w:t>
      </w:r>
    </w:p>
    <w:p w:rsidR="0044497A" w:rsidRPr="005E7802" w:rsidRDefault="005E7802" w:rsidP="005E7802">
      <w:pPr>
        <w:pStyle w:val="SingleTxtG"/>
      </w:pPr>
      <w:r w:rsidRPr="005E7802">
        <w:t>65.</w:t>
      </w:r>
      <w:r w:rsidRPr="005E7802">
        <w:tab/>
      </w:r>
      <w:r w:rsidR="0044497A" w:rsidRPr="00DE5DDF">
        <w:t xml:space="preserve">France indicated that in New Caledonia, the Noumea agreements </w:t>
      </w:r>
      <w:r w:rsidR="00D51D92" w:rsidRPr="00DE5DDF">
        <w:t xml:space="preserve">had </w:t>
      </w:r>
      <w:r w:rsidR="0044497A" w:rsidRPr="00DE5DDF">
        <w:t xml:space="preserve">fully recognized the special relationship the Kanak </w:t>
      </w:r>
      <w:r w:rsidR="00D51D92" w:rsidRPr="00DE5DDF">
        <w:t xml:space="preserve">had </w:t>
      </w:r>
      <w:r w:rsidR="0044497A" w:rsidRPr="00DE5DDF">
        <w:t xml:space="preserve">with the </w:t>
      </w:r>
      <w:r w:rsidR="00D51D92" w:rsidRPr="00DE5DDF">
        <w:t>Earth</w:t>
      </w:r>
      <w:r w:rsidR="0044497A" w:rsidRPr="00DE5DDF">
        <w:t>.</w:t>
      </w:r>
    </w:p>
    <w:p w:rsidR="0044497A" w:rsidRPr="00DE5DDF" w:rsidRDefault="005E7802" w:rsidP="005E7802">
      <w:pPr>
        <w:pStyle w:val="SingleTxtG"/>
      </w:pPr>
      <w:r w:rsidRPr="00DE5DDF">
        <w:t>66.</w:t>
      </w:r>
      <w:r w:rsidRPr="00DE5DDF">
        <w:tab/>
      </w:r>
      <w:r w:rsidR="0044497A" w:rsidRPr="00DE5DDF">
        <w:t xml:space="preserve">Denmark and the Government of Greenland noted that the Act on Greenland Self-Government </w:t>
      </w:r>
      <w:r w:rsidR="00D51D92" w:rsidRPr="00DE5DDF">
        <w:t xml:space="preserve">provided </w:t>
      </w:r>
      <w:r w:rsidR="0044497A" w:rsidRPr="00DE5DDF">
        <w:t xml:space="preserve">for Greenland to assume a series of new fields of responsibility and </w:t>
      </w:r>
      <w:r w:rsidR="00D51D92" w:rsidRPr="00DE5DDF">
        <w:t xml:space="preserve">introduced </w:t>
      </w:r>
      <w:r w:rsidR="0044497A" w:rsidRPr="00DE5DDF">
        <w:t>new arrangements regarding mineral resource activities in Greenland.</w:t>
      </w:r>
    </w:p>
    <w:p w:rsidR="0044497A" w:rsidRPr="00DE5DDF" w:rsidRDefault="005E7802" w:rsidP="005E7802">
      <w:pPr>
        <w:pStyle w:val="SingleTxtG"/>
      </w:pPr>
      <w:r w:rsidRPr="00DE5DDF">
        <w:t>67.</w:t>
      </w:r>
      <w:r w:rsidRPr="00DE5DDF">
        <w:tab/>
      </w:r>
      <w:r w:rsidR="0044497A" w:rsidRPr="00DE5DDF">
        <w:t xml:space="preserve">In Guatemala, the Ministry of Land Affairs </w:t>
      </w:r>
      <w:r w:rsidR="00D51D92" w:rsidRPr="00DE5DDF">
        <w:t xml:space="preserve">was </w:t>
      </w:r>
      <w:r w:rsidR="0044497A" w:rsidRPr="00DE5DDF">
        <w:t xml:space="preserve">responsible for coordinating the implementation of land policy, including access to land; resolution of land disputes; access to other productive assets; and predictability and legal certainty. There </w:t>
      </w:r>
      <w:r w:rsidR="00D51D92" w:rsidRPr="00DE5DDF">
        <w:t xml:space="preserve">was </w:t>
      </w:r>
      <w:r w:rsidR="0044497A" w:rsidRPr="00DE5DDF">
        <w:t xml:space="preserve">a regulation that </w:t>
      </w:r>
      <w:r w:rsidR="00D51D92" w:rsidRPr="00DE5DDF">
        <w:t xml:space="preserve">established </w:t>
      </w:r>
      <w:r w:rsidR="0044497A" w:rsidRPr="00DE5DDF">
        <w:t xml:space="preserve">an administrative procedure for registration of the system of collective land tenure of indigenous communities. Connected to this procedure, 200 people (leaders, indigenous authorities, public authorities, academics and donors) were brought together to discuss the importance of communal lands and the need for environmental public entities. Finally, Guatemala </w:t>
      </w:r>
      <w:r w:rsidR="00D51D92" w:rsidRPr="00DE5DDF">
        <w:t xml:space="preserve">had </w:t>
      </w:r>
      <w:r w:rsidR="0044497A" w:rsidRPr="005E7802">
        <w:rPr>
          <w:rStyle w:val="hps"/>
        </w:rPr>
        <w:t>provided legal</w:t>
      </w:r>
      <w:r w:rsidR="0044497A" w:rsidRPr="005E7802">
        <w:t xml:space="preserve"> </w:t>
      </w:r>
      <w:r w:rsidR="0044497A" w:rsidRPr="005E7802">
        <w:rPr>
          <w:rStyle w:val="hps"/>
        </w:rPr>
        <w:t>certainty</w:t>
      </w:r>
      <w:r w:rsidR="0044497A" w:rsidRPr="005E7802">
        <w:t xml:space="preserve"> </w:t>
      </w:r>
      <w:r w:rsidR="0044497A" w:rsidRPr="005E7802">
        <w:rPr>
          <w:rStyle w:val="hps"/>
        </w:rPr>
        <w:t>to four</w:t>
      </w:r>
      <w:r w:rsidR="0044497A" w:rsidRPr="005E7802">
        <w:t xml:space="preserve"> </w:t>
      </w:r>
      <w:r w:rsidR="0044497A" w:rsidRPr="005E7802">
        <w:rPr>
          <w:rStyle w:val="hps"/>
        </w:rPr>
        <w:t>Q’eqchi</w:t>
      </w:r>
      <w:r w:rsidR="0044497A" w:rsidRPr="005E7802">
        <w:t xml:space="preserve"> </w:t>
      </w:r>
      <w:r w:rsidR="0044497A" w:rsidRPr="005E7802">
        <w:rPr>
          <w:rStyle w:val="hps"/>
        </w:rPr>
        <w:t>Maya</w:t>
      </w:r>
      <w:r w:rsidR="0044497A" w:rsidRPr="005E7802">
        <w:t xml:space="preserve"> </w:t>
      </w:r>
      <w:r w:rsidR="0044497A" w:rsidRPr="005E7802">
        <w:rPr>
          <w:rStyle w:val="hps"/>
        </w:rPr>
        <w:t>communities</w:t>
      </w:r>
      <w:r w:rsidR="0044497A" w:rsidRPr="005E7802">
        <w:t xml:space="preserve"> </w:t>
      </w:r>
      <w:r w:rsidR="0044497A" w:rsidRPr="005E7802">
        <w:rPr>
          <w:rStyle w:val="hps"/>
        </w:rPr>
        <w:t>settled</w:t>
      </w:r>
      <w:r w:rsidR="0044497A" w:rsidRPr="005E7802">
        <w:t xml:space="preserve"> </w:t>
      </w:r>
      <w:r w:rsidR="0044497A" w:rsidRPr="005E7802">
        <w:rPr>
          <w:rStyle w:val="hps"/>
        </w:rPr>
        <w:t>within the</w:t>
      </w:r>
      <w:r w:rsidR="0044497A" w:rsidRPr="005E7802">
        <w:t xml:space="preserve"> </w:t>
      </w:r>
      <w:r w:rsidR="0044497A" w:rsidRPr="005E7802">
        <w:rPr>
          <w:rStyle w:val="hps"/>
        </w:rPr>
        <w:t>buffer zone of</w:t>
      </w:r>
      <w:r w:rsidR="0044497A" w:rsidRPr="005E7802">
        <w:t xml:space="preserve"> </w:t>
      </w:r>
      <w:r w:rsidR="0044497A" w:rsidRPr="005E7802">
        <w:rPr>
          <w:rStyle w:val="hps"/>
        </w:rPr>
        <w:t>the Biosphere Reserve</w:t>
      </w:r>
      <w:r w:rsidR="0044497A" w:rsidRPr="005E7802">
        <w:t xml:space="preserve"> </w:t>
      </w:r>
      <w:r w:rsidR="0044497A" w:rsidRPr="005E7802">
        <w:rPr>
          <w:rStyle w:val="hps"/>
        </w:rPr>
        <w:t>Sierra de las</w:t>
      </w:r>
      <w:r w:rsidR="0044497A" w:rsidRPr="005E7802">
        <w:t xml:space="preserve"> </w:t>
      </w:r>
      <w:r w:rsidR="0044497A" w:rsidRPr="005E7802">
        <w:rPr>
          <w:rStyle w:val="hps"/>
        </w:rPr>
        <w:t xml:space="preserve">Minas, which </w:t>
      </w:r>
      <w:r w:rsidR="00307365" w:rsidRPr="005E7802">
        <w:rPr>
          <w:rStyle w:val="hps"/>
        </w:rPr>
        <w:t xml:space="preserve">recognized </w:t>
      </w:r>
      <w:r w:rsidR="0044497A" w:rsidRPr="005E7802">
        <w:rPr>
          <w:rStyle w:val="hps"/>
        </w:rPr>
        <w:t xml:space="preserve">the communal ownership </w:t>
      </w:r>
      <w:r w:rsidR="00307365" w:rsidRPr="005E7802">
        <w:rPr>
          <w:rStyle w:val="hps"/>
        </w:rPr>
        <w:t xml:space="preserve">of </w:t>
      </w:r>
      <w:r w:rsidR="0044497A" w:rsidRPr="005E7802">
        <w:rPr>
          <w:rStyle w:val="hps"/>
        </w:rPr>
        <w:t>certain ancestral lands.</w:t>
      </w:r>
    </w:p>
    <w:p w:rsidR="0044497A" w:rsidRPr="00DE5DDF" w:rsidRDefault="005E7802" w:rsidP="005E7802">
      <w:pPr>
        <w:pStyle w:val="SingleTxtG"/>
      </w:pPr>
      <w:r w:rsidRPr="00DE5DDF">
        <w:t>68.</w:t>
      </w:r>
      <w:r w:rsidRPr="00DE5DDF">
        <w:tab/>
      </w:r>
      <w:r w:rsidR="0044497A" w:rsidRPr="00DE5DDF">
        <w:t>In relation to lands, territories and resources, some States identified the need to consider third-party interests and other public interests.</w:t>
      </w:r>
    </w:p>
    <w:p w:rsidR="0044497A" w:rsidRPr="00DE5DDF" w:rsidRDefault="005E7802" w:rsidP="005E7802">
      <w:pPr>
        <w:pStyle w:val="SingleTxtG"/>
      </w:pPr>
      <w:r w:rsidRPr="00DE5DDF">
        <w:t>69.</w:t>
      </w:r>
      <w:r w:rsidRPr="00DE5DDF">
        <w:tab/>
      </w:r>
      <w:r w:rsidR="0044497A" w:rsidRPr="00DE5DDF">
        <w:t xml:space="preserve">Japan provided examples of access to resources. For example, the local </w:t>
      </w:r>
      <w:r w:rsidR="00307365" w:rsidRPr="00DE5DDF">
        <w:t xml:space="preserve">Government provided </w:t>
      </w:r>
      <w:r w:rsidR="0044497A" w:rsidRPr="00DE5DDF">
        <w:t>Ainu people special permission to catch salmon in inland waters to protect their traditional rituals.</w:t>
      </w:r>
    </w:p>
    <w:p w:rsidR="0044497A" w:rsidRPr="00DE5DDF" w:rsidRDefault="005E7802" w:rsidP="005E7802">
      <w:pPr>
        <w:pStyle w:val="SingleTxtG"/>
      </w:pPr>
      <w:r w:rsidRPr="00DE5DDF">
        <w:t>70.</w:t>
      </w:r>
      <w:r w:rsidRPr="00DE5DDF">
        <w:tab/>
      </w:r>
      <w:r w:rsidR="0044497A" w:rsidRPr="00DE5DDF">
        <w:t>Responses from Red COMUINCACOL (Colombia) and ONG Adjmor (Mali) stated that measures for protecting indigenous peoples’ lands and resources exist</w:t>
      </w:r>
      <w:r w:rsidR="00307365" w:rsidRPr="00DE5DDF">
        <w:t>ed</w:t>
      </w:r>
      <w:r w:rsidR="0044497A" w:rsidRPr="00DE5DDF">
        <w:t xml:space="preserve">, but that </w:t>
      </w:r>
      <w:r w:rsidR="00307365" w:rsidRPr="00DE5DDF">
        <w:t xml:space="preserve">their </w:t>
      </w:r>
      <w:r w:rsidR="0044497A" w:rsidRPr="00DE5DDF">
        <w:t xml:space="preserve">enforcement </w:t>
      </w:r>
      <w:r w:rsidR="00307365" w:rsidRPr="00DE5DDF">
        <w:t xml:space="preserve">was </w:t>
      </w:r>
      <w:r w:rsidR="0044497A" w:rsidRPr="00DE5DDF">
        <w:t xml:space="preserve">very weak. Teemashane Community Development Trust </w:t>
      </w:r>
      <w:r w:rsidR="00307365" w:rsidRPr="00DE5DDF">
        <w:t xml:space="preserve">mentioned </w:t>
      </w:r>
      <w:r w:rsidR="0044497A" w:rsidRPr="00DE5DDF">
        <w:t xml:space="preserve">that in Botswana the Tribal Land Act </w:t>
      </w:r>
      <w:r w:rsidR="00307365" w:rsidRPr="00DE5DDF">
        <w:t xml:space="preserve">had </w:t>
      </w:r>
      <w:r w:rsidR="0044497A" w:rsidRPr="00DE5DDF">
        <w:t>been used to displace indigenous peoples from their lands in the name of conservation and social and economic development of the country.</w:t>
      </w:r>
    </w:p>
    <w:p w:rsidR="00E449F4" w:rsidRPr="00DE5DDF" w:rsidRDefault="00E449F4" w:rsidP="00E449F4">
      <w:pPr>
        <w:pStyle w:val="H1G"/>
      </w:pPr>
      <w:r w:rsidRPr="00DE5DDF">
        <w:tab/>
        <w:t>G.</w:t>
      </w:r>
      <w:r w:rsidRPr="00DE5DDF">
        <w:tab/>
        <w:t>Treaties, agreements and other constructive arrangements with States</w:t>
      </w:r>
    </w:p>
    <w:p w:rsidR="00E449F4" w:rsidRPr="00DE5DDF" w:rsidRDefault="005E7802" w:rsidP="005E7802">
      <w:pPr>
        <w:pStyle w:val="SingleTxtG"/>
      </w:pPr>
      <w:r w:rsidRPr="00DE5DDF">
        <w:t>71.</w:t>
      </w:r>
      <w:r w:rsidRPr="00DE5DDF">
        <w:tab/>
      </w:r>
      <w:r w:rsidR="00E449F4" w:rsidRPr="00DE5DDF">
        <w:t xml:space="preserve">The questionnaire posed the following question to States and indigenous peoples: </w:t>
      </w:r>
      <w:r w:rsidR="006B13E5" w:rsidRPr="00DE5DDF">
        <w:t>“</w:t>
      </w:r>
      <w:r w:rsidR="00E449F4" w:rsidRPr="005E7802">
        <w:t>Have specific legislative, policy, or administrative measures been adopted to implement rights relating to treaties, agreements and other constructive arrangements with States?</w:t>
      </w:r>
      <w:r w:rsidR="00240B17" w:rsidRPr="005E7802">
        <w:t xml:space="preserve"> </w:t>
      </w:r>
      <w:r w:rsidR="00E449F4" w:rsidRPr="005E7802">
        <w:t>If yes, please provide details. If not, please outline any plans to develop legislative, policy or administrative measures in this area.</w:t>
      </w:r>
      <w:r w:rsidR="006B13E5" w:rsidRPr="00DE5DDF">
        <w:t>”</w:t>
      </w:r>
    </w:p>
    <w:p w:rsidR="00E449F4" w:rsidRPr="00DE5DDF" w:rsidRDefault="005E7802" w:rsidP="005E7802">
      <w:pPr>
        <w:pStyle w:val="SingleTxtG"/>
      </w:pPr>
      <w:r w:rsidRPr="00DE5DDF">
        <w:t>72.</w:t>
      </w:r>
      <w:r w:rsidRPr="00DE5DDF">
        <w:tab/>
      </w:r>
      <w:r w:rsidR="00E449F4" w:rsidRPr="00DE5DDF">
        <w:t>In response to this question, most States made reference to work to implement international human rights treaties</w:t>
      </w:r>
      <w:r w:rsidR="004072EC" w:rsidRPr="00DE5DDF">
        <w:t>,</w:t>
      </w:r>
      <w:r w:rsidR="00E449F4" w:rsidRPr="00DE5DDF">
        <w:t xml:space="preserve"> such as ILO Convention No. 169 and the Convention on the Elimination of All Forms of Racial Discrimination, rather than to treaties or other constructive agreements with indigenous peoples. Peru indicated that it did not have any treaties with indigenous peoples, but there were agreements arising from consultation processes, which must follow national laws on prior consultation. Colombia reported on measures it </w:t>
      </w:r>
      <w:r w:rsidR="004072EC" w:rsidRPr="00DE5DDF">
        <w:t xml:space="preserve">was </w:t>
      </w:r>
      <w:r w:rsidR="00E449F4" w:rsidRPr="00DE5DDF">
        <w:t>taking to ensure the protection of indigenous peoples in voluntary isolation and initial contact.</w:t>
      </w:r>
    </w:p>
    <w:p w:rsidR="00E449F4" w:rsidRPr="00DE5DDF" w:rsidRDefault="005E7802" w:rsidP="005E7802">
      <w:pPr>
        <w:pStyle w:val="SingleTxtG"/>
      </w:pPr>
      <w:r w:rsidRPr="00DE5DDF">
        <w:t>73.</w:t>
      </w:r>
      <w:r w:rsidRPr="00DE5DDF">
        <w:tab/>
      </w:r>
      <w:r w:rsidR="00E449F4" w:rsidRPr="00DE5DDF">
        <w:t>Only one response from indigenous peoples addressed the specific issue of constructive arrangements between States and indigenous peoples. Asociación Kuna Unidos por Napguana highlighted the recognition of Kuna territory by the State in 1938, and recognition of their authorities (Congreso General Kuna) in 1953. They also referred to more recent national laws protecting cultural heritage and traditional handicrafts of the Kuna people and the establishment of the Ngäbe-Buglé indigenous territory in 1997.</w:t>
      </w:r>
    </w:p>
    <w:p w:rsidR="00B17892" w:rsidRPr="00DE5DDF" w:rsidRDefault="00B17892" w:rsidP="00B17892">
      <w:pPr>
        <w:pStyle w:val="H1G"/>
      </w:pPr>
      <w:r w:rsidRPr="00DE5DDF">
        <w:tab/>
        <w:t>H.</w:t>
      </w:r>
      <w:r w:rsidRPr="00DE5DDF">
        <w:tab/>
        <w:t xml:space="preserve">Indigenous women, youth, children, elders, persons with disabilities </w:t>
      </w:r>
      <w:r w:rsidR="00FC0091" w:rsidRPr="00DE5DDF">
        <w:br/>
      </w:r>
      <w:r w:rsidRPr="00DE5DDF">
        <w:t>and any other vulnerable groups</w:t>
      </w:r>
    </w:p>
    <w:p w:rsidR="00B17892" w:rsidRPr="00DE5DDF" w:rsidRDefault="005E7802" w:rsidP="005E7802">
      <w:pPr>
        <w:pStyle w:val="SingleTxtG"/>
      </w:pPr>
      <w:r w:rsidRPr="00DE5DDF">
        <w:t>74.</w:t>
      </w:r>
      <w:r w:rsidRPr="00DE5DDF">
        <w:tab/>
      </w:r>
      <w:r w:rsidR="00B17892" w:rsidRPr="00DE5DDF">
        <w:t xml:space="preserve">The questionnaire posed the following question to States: </w:t>
      </w:r>
      <w:r w:rsidR="004072EC" w:rsidRPr="00DE5DDF">
        <w:t>“</w:t>
      </w:r>
      <w:r w:rsidR="00B17892" w:rsidRPr="005E7802">
        <w:t xml:space="preserve">Has the State taken any particular measures to promote and protect the rights of indigenous women, youth, children, </w:t>
      </w:r>
      <w:r w:rsidR="004072EC" w:rsidRPr="00DE5DDF">
        <w:t>elders</w:t>
      </w:r>
      <w:r w:rsidR="00B17892" w:rsidRPr="005E7802">
        <w:t>, persons with disabilities and any other vulnerable groups (such as LGBT persons)?</w:t>
      </w:r>
      <w:r w:rsidR="00240B17" w:rsidRPr="005E7802">
        <w:t xml:space="preserve"> </w:t>
      </w:r>
      <w:r w:rsidR="00B17892" w:rsidRPr="005E7802">
        <w:t>If yes, please provide details. If not, please outline any plans to develop measures relating to these groups.</w:t>
      </w:r>
      <w:r w:rsidR="004072EC" w:rsidRPr="00DE5DDF">
        <w:t>”</w:t>
      </w:r>
    </w:p>
    <w:p w:rsidR="00B17892" w:rsidRPr="00DE5DDF" w:rsidRDefault="005E7802" w:rsidP="005E7802">
      <w:pPr>
        <w:pStyle w:val="SingleTxtG"/>
      </w:pPr>
      <w:r w:rsidRPr="00DE5DDF">
        <w:t>75.</w:t>
      </w:r>
      <w:r w:rsidRPr="00DE5DDF">
        <w:tab/>
      </w:r>
      <w:r w:rsidR="00B17892" w:rsidRPr="00DE5DDF">
        <w:t>In its follow-up study on access to justice, the Expert Mechanism drew attention to the fact that indigenous individuals who belong</w:t>
      </w:r>
      <w:r w:rsidR="004072EC" w:rsidRPr="00DE5DDF">
        <w:t>ed</w:t>
      </w:r>
      <w:r w:rsidR="00B17892" w:rsidRPr="00DE5DDF">
        <w:t xml:space="preserve"> to other vulnerable groups often suffer</w:t>
      </w:r>
      <w:r w:rsidR="004072EC" w:rsidRPr="00DE5DDF">
        <w:t>ed</w:t>
      </w:r>
      <w:r w:rsidR="00B17892" w:rsidRPr="00DE5DDF">
        <w:t xml:space="preserve"> from discrimination on multiple grounds, which </w:t>
      </w:r>
      <w:r w:rsidR="004072EC" w:rsidRPr="00DE5DDF">
        <w:t xml:space="preserve">could </w:t>
      </w:r>
      <w:r w:rsidR="00B17892" w:rsidRPr="00DE5DDF">
        <w:t xml:space="preserve">put them in a particularly disadvantaged situation with respect to their rights. The Expert Mechanism advised States to “address the root causes of multiple forms of discrimination facing these groups, including systemic biased use of discretionary powers, poverty, marginalization and violence against indigenous women” (A/HRC/27/65, </w:t>
      </w:r>
      <w:r w:rsidR="004072EC" w:rsidRPr="00DE5DDF">
        <w:t>annex</w:t>
      </w:r>
      <w:r w:rsidR="00B17892" w:rsidRPr="00DE5DDF">
        <w:t xml:space="preserve">, </w:t>
      </w:r>
      <w:r w:rsidR="004072EC" w:rsidRPr="00DE5DDF">
        <w:t xml:space="preserve">para. </w:t>
      </w:r>
      <w:r w:rsidR="00B17892" w:rsidRPr="00DE5DDF">
        <w:t>8).</w:t>
      </w:r>
    </w:p>
    <w:p w:rsidR="00B17892" w:rsidRPr="00DE5DDF" w:rsidRDefault="005E7802" w:rsidP="005E7802">
      <w:pPr>
        <w:pStyle w:val="SingleTxtG"/>
      </w:pPr>
      <w:r w:rsidRPr="00DE5DDF">
        <w:t>76.</w:t>
      </w:r>
      <w:r w:rsidRPr="00DE5DDF">
        <w:tab/>
      </w:r>
      <w:r w:rsidR="00B17892" w:rsidRPr="00DE5DDF">
        <w:t>In response to this question, many States identified general policies aimed at addressing the situation of women, youth, older persons and persons with disabilities. It was not always clear from the responses whether there were specific programmes targeted at indigenous persons within these groups.</w:t>
      </w:r>
    </w:p>
    <w:p w:rsidR="00B17892" w:rsidRPr="00DE5DDF" w:rsidRDefault="005E7802" w:rsidP="005E7802">
      <w:pPr>
        <w:pStyle w:val="SingleTxtG"/>
      </w:pPr>
      <w:r w:rsidRPr="00DE5DDF">
        <w:t>77.</w:t>
      </w:r>
      <w:r w:rsidRPr="00DE5DDF">
        <w:tab/>
      </w:r>
      <w:r w:rsidR="00B17892" w:rsidRPr="00DE5DDF">
        <w:t xml:space="preserve">Since 2012, Colombia </w:t>
      </w:r>
      <w:r w:rsidR="004072EC" w:rsidRPr="00DE5DDF">
        <w:t xml:space="preserve">had </w:t>
      </w:r>
      <w:r w:rsidR="00B17892" w:rsidRPr="00DE5DDF">
        <w:t xml:space="preserve">implemented a </w:t>
      </w:r>
      <w:r w:rsidR="004072EC" w:rsidRPr="00DE5DDF">
        <w:t xml:space="preserve">programme </w:t>
      </w:r>
      <w:r w:rsidR="00B17892" w:rsidRPr="00DE5DDF">
        <w:t xml:space="preserve">for the protection of the rights of internally displaced indigenous women, seeking to address the disproportionate impact of forced displacement on this group caused by armed conflict. At the heart of this public policy </w:t>
      </w:r>
      <w:r w:rsidR="004072EC" w:rsidRPr="00DE5DDF">
        <w:t xml:space="preserve">was </w:t>
      </w:r>
      <w:r w:rsidR="00B17892" w:rsidRPr="00DE5DDF">
        <w:t xml:space="preserve">the recognition of displaced indigenous women as subjects of special protection by the State. The design of the programme included consultations with indigenous peoples. Colombia also </w:t>
      </w:r>
      <w:r w:rsidR="004072EC" w:rsidRPr="00DE5DDF">
        <w:t xml:space="preserve">had </w:t>
      </w:r>
      <w:r w:rsidR="00B17892" w:rsidRPr="00DE5DDF">
        <w:t>a National Action Plan for the protection of the human rights of indigenous women.</w:t>
      </w:r>
    </w:p>
    <w:p w:rsidR="00B17892" w:rsidRPr="00DE5DDF" w:rsidRDefault="005E7802" w:rsidP="005E7802">
      <w:pPr>
        <w:pStyle w:val="SingleTxtG"/>
      </w:pPr>
      <w:r w:rsidRPr="00DE5DDF">
        <w:t>78.</w:t>
      </w:r>
      <w:r w:rsidRPr="00DE5DDF">
        <w:tab/>
      </w:r>
      <w:r w:rsidR="00B17892" w:rsidRPr="00DE5DDF">
        <w:t xml:space="preserve">Peru highlighted three particularly vulnerable groups identified in State policy: indigenous individuals who </w:t>
      </w:r>
      <w:r w:rsidR="004072EC" w:rsidRPr="00DE5DDF">
        <w:t xml:space="preserve">did </w:t>
      </w:r>
      <w:r w:rsidR="00B17892" w:rsidRPr="00DE5DDF">
        <w:t xml:space="preserve">not have identification documents, which </w:t>
      </w:r>
      <w:r w:rsidR="004072EC" w:rsidRPr="00DE5DDF">
        <w:t xml:space="preserve">perpetuated </w:t>
      </w:r>
      <w:r w:rsidR="00B17892" w:rsidRPr="00DE5DDF">
        <w:t xml:space="preserve">the level of invisibility within the State; indigenous peoples living in border areas where there </w:t>
      </w:r>
      <w:r w:rsidR="004072EC" w:rsidRPr="00DE5DDF">
        <w:t xml:space="preserve">was </w:t>
      </w:r>
      <w:r w:rsidR="00B17892" w:rsidRPr="00DE5DDF">
        <w:t>very difficult access; and indigenous women, particularly in terms of including them in national level plans and policies on gender.</w:t>
      </w:r>
    </w:p>
    <w:p w:rsidR="00B17892" w:rsidRPr="00DE5DDF" w:rsidRDefault="005E7802" w:rsidP="005E7802">
      <w:pPr>
        <w:pStyle w:val="SingleTxtG"/>
      </w:pPr>
      <w:r w:rsidRPr="00DE5DDF">
        <w:t>79.</w:t>
      </w:r>
      <w:r w:rsidRPr="00DE5DDF">
        <w:tab/>
      </w:r>
      <w:r w:rsidR="00B17892" w:rsidRPr="00DE5DDF">
        <w:t xml:space="preserve">In Japan, the Third Basic Plan for Gender Equality approved by the cabinet in 2010 </w:t>
      </w:r>
      <w:r w:rsidR="004072EC" w:rsidRPr="00DE5DDF">
        <w:t xml:space="preserve">stipulated </w:t>
      </w:r>
      <w:r w:rsidR="00B17892" w:rsidRPr="00DE5DDF">
        <w:t xml:space="preserve">that measures should be taken for Ainu women in cases where they </w:t>
      </w:r>
      <w:r w:rsidR="004072EC" w:rsidRPr="00DE5DDF">
        <w:t xml:space="preserve">were </w:t>
      </w:r>
      <w:r w:rsidR="00B17892" w:rsidRPr="00DE5DDF">
        <w:t>forced into difficult situations due to their gender.</w:t>
      </w:r>
    </w:p>
    <w:p w:rsidR="00B17892" w:rsidRPr="00DE5DDF" w:rsidRDefault="005E7802" w:rsidP="005E7802">
      <w:pPr>
        <w:pStyle w:val="SingleTxtG"/>
      </w:pPr>
      <w:r w:rsidRPr="00DE5DDF">
        <w:t>80.</w:t>
      </w:r>
      <w:r w:rsidRPr="00DE5DDF">
        <w:tab/>
      </w:r>
      <w:r w:rsidR="00B17892" w:rsidRPr="00DE5DDF">
        <w:t>Costa Rica highlighted its Pact for an Accessible and Inclusive Country, a programme aiming to address the double vulnerability of persons with disabilities who also belong</w:t>
      </w:r>
      <w:r w:rsidR="004072EC" w:rsidRPr="00DE5DDF">
        <w:t>ed</w:t>
      </w:r>
      <w:r w:rsidR="00B17892" w:rsidRPr="00DE5DDF">
        <w:t xml:space="preserve"> to other vulnerable groups, including indigenous peoples.</w:t>
      </w:r>
    </w:p>
    <w:p w:rsidR="00B17892" w:rsidRPr="00DE5DDF" w:rsidRDefault="005E7802" w:rsidP="005E7802">
      <w:pPr>
        <w:pStyle w:val="SingleTxtG"/>
      </w:pPr>
      <w:r w:rsidRPr="00DE5DDF">
        <w:t>81.</w:t>
      </w:r>
      <w:r w:rsidRPr="00DE5DDF">
        <w:tab/>
      </w:r>
      <w:r w:rsidR="00B17892" w:rsidRPr="00DE5DDF">
        <w:t xml:space="preserve">Paraguay identified programmes to address gender-based violence as well as extensive community centres, some of which </w:t>
      </w:r>
      <w:r w:rsidR="004072EC" w:rsidRPr="00DE5DDF">
        <w:t xml:space="preserve">were </w:t>
      </w:r>
      <w:r w:rsidR="00B17892" w:rsidRPr="00DE5DDF">
        <w:t>aimed at urban indigenous peoples.</w:t>
      </w:r>
    </w:p>
    <w:p w:rsidR="00B17892" w:rsidRPr="00DE5DDF" w:rsidRDefault="005E7802" w:rsidP="005E7802">
      <w:pPr>
        <w:pStyle w:val="SingleTxtG"/>
      </w:pPr>
      <w:r w:rsidRPr="00DE5DDF">
        <w:t>82.</w:t>
      </w:r>
      <w:r w:rsidRPr="00DE5DDF">
        <w:tab/>
      </w:r>
      <w:r w:rsidR="00B17892" w:rsidRPr="00DE5DDF">
        <w:t xml:space="preserve">The questionnaire posed the following question to indigenous peoples: </w:t>
      </w:r>
      <w:r w:rsidR="004072EC" w:rsidRPr="00DE5DDF">
        <w:t>“</w:t>
      </w:r>
      <w:r w:rsidR="00B17892" w:rsidRPr="00DE5DDF">
        <w:t>Have any particular measures been taken to promote and protect the rights of indigenous women, youth, children, elders, persons with disabilities and any other vulnerable groups (such as LGBT persons)?</w:t>
      </w:r>
      <w:r w:rsidR="00240B17" w:rsidRPr="00DE5DDF">
        <w:t xml:space="preserve"> </w:t>
      </w:r>
      <w:r w:rsidR="00B17892" w:rsidRPr="00DE5DDF">
        <w:t>If yes, please provide details. If not, please outline any plans to develop measures relating to these groups.</w:t>
      </w:r>
      <w:r w:rsidR="004072EC" w:rsidRPr="00DE5DDF">
        <w:t>”</w:t>
      </w:r>
    </w:p>
    <w:p w:rsidR="00B17892" w:rsidRPr="00DE5DDF" w:rsidRDefault="005E7802" w:rsidP="005E7802">
      <w:pPr>
        <w:pStyle w:val="SingleTxtG"/>
      </w:pPr>
      <w:r w:rsidRPr="00DE5DDF">
        <w:t>83.</w:t>
      </w:r>
      <w:r w:rsidRPr="00DE5DDF">
        <w:tab/>
      </w:r>
      <w:r w:rsidR="00B17892" w:rsidRPr="00DE5DDF">
        <w:t>Responses were very general, without a specific focus on indigenous peoples suffering from discrimination on multiple grounds.</w:t>
      </w:r>
    </w:p>
    <w:p w:rsidR="00B17892" w:rsidRPr="00DE5DDF" w:rsidRDefault="00B17892" w:rsidP="00B17892">
      <w:pPr>
        <w:pStyle w:val="H1G"/>
      </w:pPr>
      <w:r w:rsidRPr="00DE5DDF">
        <w:tab/>
        <w:t>I.</w:t>
      </w:r>
      <w:r w:rsidRPr="00DE5DDF">
        <w:tab/>
        <w:t xml:space="preserve">Participation of indigenous peoples in the development and implementation of legislative, policy or administrative </w:t>
      </w:r>
      <w:r w:rsidR="00FC0091" w:rsidRPr="00DE5DDF">
        <w:br/>
      </w:r>
      <w:r w:rsidRPr="00DE5DDF">
        <w:t>measures that affect them</w:t>
      </w:r>
    </w:p>
    <w:p w:rsidR="00B17892" w:rsidRPr="00DE5DDF" w:rsidRDefault="005E7802" w:rsidP="005E7802">
      <w:pPr>
        <w:pStyle w:val="SingleTxtG"/>
      </w:pPr>
      <w:r w:rsidRPr="00DE5DDF">
        <w:t>84.</w:t>
      </w:r>
      <w:r w:rsidRPr="00DE5DDF">
        <w:tab/>
      </w:r>
      <w:r w:rsidR="00B17892" w:rsidRPr="00DE5DDF">
        <w:t xml:space="preserve">The questionnaire posed the following question to States and indigenous peoples: </w:t>
      </w:r>
      <w:r w:rsidR="009C599B" w:rsidRPr="00DE5DDF">
        <w:t>“</w:t>
      </w:r>
      <w:r w:rsidR="00B17892" w:rsidRPr="005E7802">
        <w:t>To what extent do indigenous peoples themselves participate in the development and implementation of legislative, policy, or administrative measures that affect them? Is their free, prior and informed consent required by law?</w:t>
      </w:r>
      <w:r w:rsidR="009C599B" w:rsidRPr="005E7802">
        <w:t>”</w:t>
      </w:r>
    </w:p>
    <w:p w:rsidR="00B17892" w:rsidRPr="00DE5DDF" w:rsidRDefault="005E7802" w:rsidP="005E7802">
      <w:pPr>
        <w:pStyle w:val="SingleTxtG"/>
      </w:pPr>
      <w:r w:rsidRPr="00DE5DDF">
        <w:t>85.</w:t>
      </w:r>
      <w:r w:rsidRPr="00DE5DDF">
        <w:tab/>
      </w:r>
      <w:r w:rsidR="00B17892" w:rsidRPr="00DE5DDF">
        <w:t xml:space="preserve">The Expert Mechanism has examined the role of participation in the implementation of the Declaration, including the principle of free, prior and informed consent. In its study on participation in decision-making, the Expert Mechanism noted that specific laws and policies </w:t>
      </w:r>
      <w:r w:rsidR="009C599B" w:rsidRPr="00DE5DDF">
        <w:t xml:space="preserve">could </w:t>
      </w:r>
      <w:r w:rsidR="00B17892" w:rsidRPr="00DE5DDF">
        <w:t xml:space="preserve">lead to the effective implementation of this principle (A/HRC/18/42, </w:t>
      </w:r>
      <w:r w:rsidR="009C599B" w:rsidRPr="00DE5DDF">
        <w:t>para</w:t>
      </w:r>
      <w:r w:rsidR="000F2BC7" w:rsidRPr="00DE5DDF">
        <w:t>. </w:t>
      </w:r>
      <w:r w:rsidR="00B17892" w:rsidRPr="00DE5DDF">
        <w:t>63).</w:t>
      </w:r>
    </w:p>
    <w:p w:rsidR="00B17892" w:rsidRPr="00DE5DDF" w:rsidRDefault="005E7802" w:rsidP="005E7802">
      <w:pPr>
        <w:pStyle w:val="SingleTxtG"/>
      </w:pPr>
      <w:r w:rsidRPr="00DE5DDF">
        <w:t>86.</w:t>
      </w:r>
      <w:r w:rsidRPr="00DE5DDF">
        <w:tab/>
      </w:r>
      <w:r w:rsidR="00B17892" w:rsidRPr="00DE5DDF">
        <w:t xml:space="preserve">Peru </w:t>
      </w:r>
      <w:r w:rsidR="009C599B" w:rsidRPr="00DE5DDF">
        <w:t xml:space="preserve">had </w:t>
      </w:r>
      <w:r w:rsidR="00B17892" w:rsidRPr="00DE5DDF">
        <w:t xml:space="preserve">carried out 19 consultation processes with indigenous peoples, of which </w:t>
      </w:r>
      <w:r w:rsidR="009C599B" w:rsidRPr="00DE5DDF">
        <w:t xml:space="preserve">8 had </w:t>
      </w:r>
      <w:r w:rsidR="00B17892" w:rsidRPr="00DE5DDF">
        <w:t xml:space="preserve">so far resulted in agreements. The issues addressed in </w:t>
      </w:r>
      <w:r w:rsidR="009C599B" w:rsidRPr="00DE5DDF">
        <w:t xml:space="preserve">those </w:t>
      </w:r>
      <w:r w:rsidR="00B17892" w:rsidRPr="00DE5DDF">
        <w:t>consultations include</w:t>
      </w:r>
      <w:r w:rsidR="009C599B" w:rsidRPr="00DE5DDF">
        <w:t>d</w:t>
      </w:r>
      <w:r w:rsidR="00B17892" w:rsidRPr="00DE5DDF">
        <w:t xml:space="preserve"> environmental monitoring, participation in oversight bodies and employment. Peru </w:t>
      </w:r>
      <w:r w:rsidR="009C599B" w:rsidRPr="00DE5DDF">
        <w:t xml:space="preserve">had </w:t>
      </w:r>
      <w:r w:rsidR="00B17892" w:rsidRPr="00DE5DDF">
        <w:t>also organized an international seminar on prior consultation in the hydrocarbon sector to provide a comparative approach and lessons learned.</w:t>
      </w:r>
    </w:p>
    <w:p w:rsidR="00B17892" w:rsidRPr="00DE5DDF" w:rsidRDefault="005E7802" w:rsidP="005E7802">
      <w:pPr>
        <w:pStyle w:val="SingleTxtG"/>
      </w:pPr>
      <w:r w:rsidRPr="00DE5DDF">
        <w:t>87.</w:t>
      </w:r>
      <w:r w:rsidRPr="00DE5DDF">
        <w:tab/>
      </w:r>
      <w:r w:rsidR="00B17892" w:rsidRPr="00DE5DDF">
        <w:t xml:space="preserve">Through the Permanent Commission for Dialogue (Mesa Permanente de Concertación), the National Government of Colombia </w:t>
      </w:r>
      <w:r w:rsidR="009C599B" w:rsidRPr="00DE5DDF">
        <w:t xml:space="preserve">consulted </w:t>
      </w:r>
      <w:r w:rsidR="00B17892" w:rsidRPr="00DE5DDF">
        <w:t xml:space="preserve">with indigenous peoples regarding all administrative and legislative measures that </w:t>
      </w:r>
      <w:r w:rsidR="009C599B" w:rsidRPr="00DE5DDF">
        <w:t xml:space="preserve">could </w:t>
      </w:r>
      <w:r w:rsidR="00B17892" w:rsidRPr="00DE5DDF">
        <w:t xml:space="preserve">affect them. There </w:t>
      </w:r>
      <w:r w:rsidR="009C599B" w:rsidRPr="00DE5DDF">
        <w:t xml:space="preserve">was </w:t>
      </w:r>
      <w:r w:rsidR="00B17892" w:rsidRPr="00DE5DDF">
        <w:t>also a Constitutional Court judgment (T-129 of 2011) establishing exceptional cases in which free, prior and informed consent of indigenous peoples must be sought. These include</w:t>
      </w:r>
      <w:r w:rsidR="009C599B" w:rsidRPr="00DE5DDF">
        <w:t>d</w:t>
      </w:r>
      <w:r w:rsidR="00B17892" w:rsidRPr="00DE5DDF">
        <w:t xml:space="preserve"> projects that would involve the displacement of indigenous communities, the storage of toxic waste on indigenous lands, or a high social, cultural or environmental impact on the community.</w:t>
      </w:r>
    </w:p>
    <w:p w:rsidR="00B17892" w:rsidRPr="00DE5DDF" w:rsidRDefault="005E7802" w:rsidP="005E7802">
      <w:pPr>
        <w:pStyle w:val="SingleTxtG"/>
      </w:pPr>
      <w:r w:rsidRPr="00DE5DDF">
        <w:t>88.</w:t>
      </w:r>
      <w:r w:rsidRPr="00DE5DDF">
        <w:tab/>
      </w:r>
      <w:r w:rsidR="00B17892" w:rsidRPr="00DE5DDF">
        <w:t xml:space="preserve">Chile explained that there </w:t>
      </w:r>
      <w:r w:rsidR="00853C87" w:rsidRPr="00DE5DDF">
        <w:t xml:space="preserve">were </w:t>
      </w:r>
      <w:r w:rsidR="00B17892" w:rsidRPr="00DE5DDF">
        <w:t xml:space="preserve">national representative bodies of indigenous peoples that </w:t>
      </w:r>
      <w:r w:rsidR="00853C87" w:rsidRPr="00DE5DDF">
        <w:t xml:space="preserve">were </w:t>
      </w:r>
      <w:r w:rsidR="00B17892" w:rsidRPr="00DE5DDF">
        <w:t xml:space="preserve">consulted when laws and policies </w:t>
      </w:r>
      <w:r w:rsidR="00853C87" w:rsidRPr="00DE5DDF">
        <w:t xml:space="preserve">were </w:t>
      </w:r>
      <w:r w:rsidR="00B17892" w:rsidRPr="00DE5DDF">
        <w:t xml:space="preserve">developed. In Paraguay, a legislative bill </w:t>
      </w:r>
      <w:r w:rsidR="00853C87" w:rsidRPr="00DE5DDF">
        <w:t xml:space="preserve">was </w:t>
      </w:r>
      <w:r w:rsidR="00B17892" w:rsidRPr="00DE5DDF">
        <w:t>currently being studied that would ensure effective participation of indigenous peoples in development projects that could have negative impacts on their way of life, their lands and the environment. In Guatemala</w:t>
      </w:r>
      <w:r w:rsidR="00853C87" w:rsidRPr="00DE5DDF">
        <w:t>,</w:t>
      </w:r>
      <w:r w:rsidR="00B17892" w:rsidRPr="00DE5DDF">
        <w:t xml:space="preserve"> there </w:t>
      </w:r>
      <w:r w:rsidR="00853C87" w:rsidRPr="00DE5DDF">
        <w:t xml:space="preserve">was </w:t>
      </w:r>
      <w:r w:rsidR="00B17892" w:rsidRPr="00DE5DDF">
        <w:t>currently a bill on consultation with indigenous peoples before Congress.</w:t>
      </w:r>
    </w:p>
    <w:p w:rsidR="00B17892" w:rsidRPr="00DE5DDF" w:rsidRDefault="005E7802" w:rsidP="005E7802">
      <w:pPr>
        <w:pStyle w:val="SingleTxtG"/>
      </w:pPr>
      <w:r w:rsidRPr="00DE5DDF">
        <w:t>89.</w:t>
      </w:r>
      <w:r w:rsidRPr="00DE5DDF">
        <w:tab/>
      </w:r>
      <w:r w:rsidR="00B17892" w:rsidRPr="00DE5DDF">
        <w:t xml:space="preserve">Costa Rica cited its ratification of ILO Convention No. 169, and the fact that domestic legislation </w:t>
      </w:r>
      <w:r w:rsidR="00853C87" w:rsidRPr="00DE5DDF">
        <w:t xml:space="preserve">required </w:t>
      </w:r>
      <w:r w:rsidR="00B17892" w:rsidRPr="00DE5DDF">
        <w:t>free, prior and informed consent in line with this international instrument.</w:t>
      </w:r>
    </w:p>
    <w:p w:rsidR="00B17892" w:rsidRPr="00DE5DDF" w:rsidRDefault="005E7802" w:rsidP="005E7802">
      <w:pPr>
        <w:pStyle w:val="SingleTxtG"/>
      </w:pPr>
      <w:r w:rsidRPr="00DE5DDF">
        <w:t>90.</w:t>
      </w:r>
      <w:r w:rsidRPr="00DE5DDF">
        <w:tab/>
      </w:r>
      <w:r w:rsidR="00B17892" w:rsidRPr="00DE5DDF">
        <w:t xml:space="preserve">In collaboration with non-governmental organizations, Burundi </w:t>
      </w:r>
      <w:r w:rsidR="00853C87" w:rsidRPr="00DE5DDF">
        <w:t xml:space="preserve">had </w:t>
      </w:r>
      <w:r w:rsidR="00B17892" w:rsidRPr="00DE5DDF">
        <w:t>developed agropastoral and various self-development projects with the Batwa to increase revenue and to meet the needs of Batwa people beyond food.</w:t>
      </w:r>
    </w:p>
    <w:p w:rsidR="00B17892" w:rsidRPr="00DE5DDF" w:rsidRDefault="005E7802" w:rsidP="005E7802">
      <w:pPr>
        <w:pStyle w:val="SingleTxtG"/>
      </w:pPr>
      <w:r w:rsidRPr="00DE5DDF">
        <w:t>91.</w:t>
      </w:r>
      <w:r w:rsidRPr="00DE5DDF">
        <w:tab/>
      </w:r>
      <w:r w:rsidR="00B17892" w:rsidRPr="00DE5DDF">
        <w:t xml:space="preserve">The Saami Parliament of Finland indicated that the Parliament of Finland </w:t>
      </w:r>
      <w:r w:rsidR="00853C87" w:rsidRPr="00DE5DDF">
        <w:t xml:space="preserve">had </w:t>
      </w:r>
      <w:r w:rsidR="00B17892" w:rsidRPr="00DE5DDF">
        <w:t xml:space="preserve">provisions on the obligation to hear the Saami people in its rules of procedure. According to </w:t>
      </w:r>
      <w:r w:rsidR="00853C87" w:rsidRPr="00DE5DDF">
        <w:t xml:space="preserve">those </w:t>
      </w:r>
      <w:r w:rsidR="00B17892" w:rsidRPr="00DE5DDF">
        <w:t xml:space="preserve">rules, a committee considering a </w:t>
      </w:r>
      <w:r w:rsidR="00853C87" w:rsidRPr="00DE5DDF">
        <w:t xml:space="preserve">Government </w:t>
      </w:r>
      <w:r w:rsidR="00B17892" w:rsidRPr="00DE5DDF">
        <w:t xml:space="preserve">bill or other issue concerning the Saami people in particular must reserve the right for representatives of the Saami people to be heard by the committee. However, </w:t>
      </w:r>
      <w:r w:rsidR="00853C87" w:rsidRPr="00DE5DDF">
        <w:t xml:space="preserve">that </w:t>
      </w:r>
      <w:r w:rsidR="00B17892" w:rsidRPr="00DE5DDF">
        <w:t xml:space="preserve">provision </w:t>
      </w:r>
      <w:r w:rsidR="00853C87" w:rsidRPr="00DE5DDF">
        <w:t xml:space="preserve">did </w:t>
      </w:r>
      <w:r w:rsidR="00B17892" w:rsidRPr="00DE5DDF">
        <w:t>not require the committee to take account of proposals made by the Saami Parliament.</w:t>
      </w:r>
    </w:p>
    <w:p w:rsidR="00B17892" w:rsidRPr="00DE5DDF" w:rsidRDefault="00B17892" w:rsidP="00B17892">
      <w:pPr>
        <w:pStyle w:val="H1G"/>
      </w:pPr>
      <w:r w:rsidRPr="00DE5DDF">
        <w:tab/>
        <w:t>J.</w:t>
      </w:r>
      <w:r w:rsidRPr="00DE5DDF">
        <w:tab/>
        <w:t>Raising awareness about the Declaration</w:t>
      </w:r>
    </w:p>
    <w:p w:rsidR="00B17892" w:rsidRPr="005E7802" w:rsidRDefault="005E7802" w:rsidP="005E7802">
      <w:pPr>
        <w:pStyle w:val="SingleTxtG"/>
      </w:pPr>
      <w:r w:rsidRPr="005E7802">
        <w:t>92.</w:t>
      </w:r>
      <w:r w:rsidRPr="005E7802">
        <w:tab/>
      </w:r>
      <w:r w:rsidR="00B17892" w:rsidRPr="00DE5DDF">
        <w:t xml:space="preserve">The questionnaire posed the following question to States: </w:t>
      </w:r>
      <w:r w:rsidR="00853C87" w:rsidRPr="00DE5DDF">
        <w:t>“</w:t>
      </w:r>
      <w:r w:rsidR="00B17892" w:rsidRPr="005E7802">
        <w:t>Has the State taken measures to raise awareness about the Declaration among various sectors of society, including Parliamentarians, the judiciary, the civil service, and indigenous peoples?</w:t>
      </w:r>
      <w:r w:rsidR="00853C87" w:rsidRPr="005E7802">
        <w:t>”</w:t>
      </w:r>
    </w:p>
    <w:p w:rsidR="00B17892" w:rsidRPr="00DE5DDF" w:rsidRDefault="005E7802" w:rsidP="005E7802">
      <w:pPr>
        <w:pStyle w:val="SingleTxtG"/>
      </w:pPr>
      <w:r w:rsidRPr="00DE5DDF">
        <w:t>93.</w:t>
      </w:r>
      <w:r w:rsidRPr="00DE5DDF">
        <w:tab/>
      </w:r>
      <w:r w:rsidR="00B17892" w:rsidRPr="00DE5DDF">
        <w:t xml:space="preserve">In the </w:t>
      </w:r>
      <w:r w:rsidR="00853C87" w:rsidRPr="00DE5DDF">
        <w:t xml:space="preserve">outcome document </w:t>
      </w:r>
      <w:r w:rsidR="00B17892" w:rsidRPr="00DE5DDF">
        <w:t>of the World Conference on Indigenous Peoples, States committed themselves to promoting awareness of the Declaration among all sectors of the society, including members of the legislatures, the judiciary and the civil service (</w:t>
      </w:r>
      <w:r w:rsidR="00853C87" w:rsidRPr="00DE5DDF">
        <w:t xml:space="preserve">General Assembly resolution </w:t>
      </w:r>
      <w:r w:rsidR="00B17892" w:rsidRPr="00DE5DDF">
        <w:t>69/2, para</w:t>
      </w:r>
      <w:r w:rsidR="00853C87" w:rsidRPr="00DE5DDF">
        <w:t>.</w:t>
      </w:r>
      <w:r w:rsidR="00B17892" w:rsidRPr="00DE5DDF">
        <w:t xml:space="preserve"> 7).</w:t>
      </w:r>
    </w:p>
    <w:p w:rsidR="00B17892" w:rsidRPr="00DE5DDF" w:rsidRDefault="005E7802" w:rsidP="005E7802">
      <w:pPr>
        <w:pStyle w:val="SingleTxtG"/>
      </w:pPr>
      <w:r w:rsidRPr="00DE5DDF">
        <w:t>94.</w:t>
      </w:r>
      <w:r w:rsidRPr="00DE5DDF">
        <w:tab/>
      </w:r>
      <w:r w:rsidR="00B17892" w:rsidRPr="00DE5DDF">
        <w:t xml:space="preserve">Several States indicated that they had developed resources such as training manuals and held training workshops on the Declaration. Australia’s National Human Rights Commission </w:t>
      </w:r>
      <w:r w:rsidR="00853C87" w:rsidRPr="00DE5DDF">
        <w:t xml:space="preserve">had </w:t>
      </w:r>
      <w:r w:rsidR="00B17892" w:rsidRPr="00DE5DDF">
        <w:t>produced reports and developed resources to help Aboriginal and Torres Strait Islander peoples understand and protect their rights. The Aboriginal and Torres Strait Islander Social Justice Commissioner</w:t>
      </w:r>
      <w:r w:rsidR="00853C87" w:rsidRPr="00DE5DDF">
        <w:t>,</w:t>
      </w:r>
      <w:r w:rsidR="00B17892" w:rsidRPr="00DE5DDF">
        <w:t xml:space="preserve"> in collaboration with the National Congress of Australia’s First Peoples held “Declaration Dialogue” meetings in 2013 and 2014 with indigenous communities throughout Australia to raise awareness of the Declaration.</w:t>
      </w:r>
    </w:p>
    <w:p w:rsidR="00B17892" w:rsidRPr="00DE5DDF" w:rsidRDefault="005E7802" w:rsidP="005E7802">
      <w:pPr>
        <w:pStyle w:val="SingleTxtG"/>
      </w:pPr>
      <w:r w:rsidRPr="00DE5DDF">
        <w:t>95.</w:t>
      </w:r>
      <w:r w:rsidRPr="00DE5DDF">
        <w:tab/>
      </w:r>
      <w:r w:rsidR="00B17892" w:rsidRPr="00DE5DDF">
        <w:t>Denmark and the Government of Greenland reported on the translation into Greenlandic and publication of several international human rights instruments, including the Declaration and ILO Convention No. 169. The Parliament of Greenland endorsed the Declaration at an early stage and called for enhanced efforts to disseminate it to the public and through educational facilities.</w:t>
      </w:r>
    </w:p>
    <w:p w:rsidR="00B17892" w:rsidRPr="00DE5DDF" w:rsidRDefault="005E7802" w:rsidP="005E7802">
      <w:pPr>
        <w:pStyle w:val="SingleTxtG"/>
      </w:pPr>
      <w:r w:rsidRPr="00DE5DDF">
        <w:t>96.</w:t>
      </w:r>
      <w:r w:rsidRPr="00DE5DDF">
        <w:tab/>
      </w:r>
      <w:r w:rsidR="00B17892" w:rsidRPr="00DE5DDF">
        <w:t xml:space="preserve">Paraguay </w:t>
      </w:r>
      <w:r w:rsidR="00853C87" w:rsidRPr="00DE5DDF">
        <w:t xml:space="preserve">had </w:t>
      </w:r>
      <w:r w:rsidR="00B17892" w:rsidRPr="00DE5DDF">
        <w:t xml:space="preserve">taken action to inform legislators, lawyers, judges and administrative authorities on promoting the rights of indigenous peoples with an emphasis on the Declaration. In cooperation with the Federation for the Self-Determination of Indigenous Peoples, Paraguay </w:t>
      </w:r>
      <w:r w:rsidR="00853C87" w:rsidRPr="00DE5DDF">
        <w:t xml:space="preserve">had </w:t>
      </w:r>
      <w:r w:rsidR="00B17892" w:rsidRPr="00DE5DDF">
        <w:t xml:space="preserve">developed a manual on indigenous rights and human rights, published with the support of </w:t>
      </w:r>
      <w:r w:rsidR="000C5E67" w:rsidRPr="00DE5DDF">
        <w:t xml:space="preserve">the </w:t>
      </w:r>
      <w:r w:rsidR="00B17892" w:rsidRPr="00DE5DDF">
        <w:t>United Nations Development Program</w:t>
      </w:r>
      <w:r w:rsidR="00853C87" w:rsidRPr="00DE5DDF">
        <w:t>me</w:t>
      </w:r>
      <w:r w:rsidR="00B17892" w:rsidRPr="00DE5DDF">
        <w:t xml:space="preserve">. In 2013, the Justice and Indigenous Peoples project provided technical assistance to the judicial officials on human rights doctrine and its applicability in the administration of justice. Indigenous peoples </w:t>
      </w:r>
      <w:r w:rsidR="00853C87" w:rsidRPr="00DE5DDF">
        <w:t xml:space="preserve">had </w:t>
      </w:r>
      <w:r w:rsidR="00B17892" w:rsidRPr="00DE5DDF">
        <w:t>participated in the process of developing the materials and providing information on their customs.</w:t>
      </w:r>
      <w:r w:rsidR="00853C87" w:rsidRPr="00DE5DDF">
        <w:t xml:space="preserve"> </w:t>
      </w:r>
    </w:p>
    <w:p w:rsidR="00B17892" w:rsidRPr="005E7802" w:rsidRDefault="005E7802" w:rsidP="005E7802">
      <w:pPr>
        <w:pStyle w:val="SingleTxtG"/>
      </w:pPr>
      <w:r w:rsidRPr="005E7802">
        <w:t>97.</w:t>
      </w:r>
      <w:r w:rsidRPr="005E7802">
        <w:tab/>
      </w:r>
      <w:r w:rsidR="00B17892" w:rsidRPr="00DE5DDF">
        <w:t xml:space="preserve">Guatemala </w:t>
      </w:r>
      <w:r w:rsidR="00C52ADB" w:rsidRPr="00DE5DDF">
        <w:t xml:space="preserve">had </w:t>
      </w:r>
      <w:r w:rsidR="00B17892" w:rsidRPr="00DE5DDF">
        <w:t>several programmes to increase understanding of civil servants, public institutions and civil society regarding indigenous peoples’ rights.</w:t>
      </w:r>
      <w:r w:rsidR="00240B17" w:rsidRPr="00DE5DDF">
        <w:t xml:space="preserve"> </w:t>
      </w:r>
      <w:r w:rsidR="00C52ADB" w:rsidRPr="00DE5DDF">
        <w:t xml:space="preserve">These included </w:t>
      </w:r>
      <w:r w:rsidR="00B17892" w:rsidRPr="00DE5DDF">
        <w:t xml:space="preserve">a </w:t>
      </w:r>
      <w:r w:rsidR="00C52ADB" w:rsidRPr="00DE5DDF">
        <w:t xml:space="preserve">postgraduate </w:t>
      </w:r>
      <w:r w:rsidR="00B17892" w:rsidRPr="00DE5DDF">
        <w:t xml:space="preserve">programme </w:t>
      </w:r>
      <w:r w:rsidR="00B17892" w:rsidRPr="005E7802">
        <w:rPr>
          <w:rStyle w:val="hps"/>
        </w:rPr>
        <w:t xml:space="preserve">on </w:t>
      </w:r>
      <w:r w:rsidR="00B17892" w:rsidRPr="005E7802">
        <w:t>h</w:t>
      </w:r>
      <w:r w:rsidR="00B17892" w:rsidRPr="005E7802">
        <w:rPr>
          <w:rStyle w:val="hps"/>
        </w:rPr>
        <w:t>uman</w:t>
      </w:r>
      <w:r w:rsidR="00B17892" w:rsidRPr="005E7802">
        <w:t xml:space="preserve"> </w:t>
      </w:r>
      <w:r w:rsidR="00B17892" w:rsidRPr="005E7802">
        <w:rPr>
          <w:rStyle w:val="hps"/>
        </w:rPr>
        <w:t>rights,</w:t>
      </w:r>
      <w:r w:rsidR="00B17892" w:rsidRPr="005E7802">
        <w:t xml:space="preserve"> the </w:t>
      </w:r>
      <w:r w:rsidR="00B17892" w:rsidRPr="005E7802">
        <w:rPr>
          <w:rStyle w:val="hps"/>
        </w:rPr>
        <w:t>rights of indigenous</w:t>
      </w:r>
      <w:r w:rsidR="00B17892" w:rsidRPr="005E7802">
        <w:t xml:space="preserve"> </w:t>
      </w:r>
      <w:r w:rsidR="00B17892" w:rsidRPr="005E7802">
        <w:rPr>
          <w:rStyle w:val="hps"/>
        </w:rPr>
        <w:t>peoples</w:t>
      </w:r>
      <w:r w:rsidR="00B17892" w:rsidRPr="005E7802">
        <w:t xml:space="preserve">, racism </w:t>
      </w:r>
      <w:r w:rsidR="00B17892" w:rsidRPr="005E7802">
        <w:rPr>
          <w:rStyle w:val="hps"/>
        </w:rPr>
        <w:t>and</w:t>
      </w:r>
      <w:r w:rsidR="00B17892" w:rsidRPr="005E7802">
        <w:t xml:space="preserve"> </w:t>
      </w:r>
      <w:r w:rsidR="00B17892" w:rsidRPr="005E7802">
        <w:rPr>
          <w:rStyle w:val="hps"/>
        </w:rPr>
        <w:t>racial</w:t>
      </w:r>
      <w:r w:rsidR="00B17892" w:rsidRPr="005E7802">
        <w:t xml:space="preserve"> </w:t>
      </w:r>
      <w:r w:rsidR="00B17892" w:rsidRPr="005E7802">
        <w:rPr>
          <w:rStyle w:val="hps"/>
        </w:rPr>
        <w:t>discrimination</w:t>
      </w:r>
      <w:r w:rsidR="00B17892" w:rsidRPr="005E7802">
        <w:t xml:space="preserve">, aimed at </w:t>
      </w:r>
      <w:r w:rsidR="00B17892" w:rsidRPr="005E7802">
        <w:rPr>
          <w:rStyle w:val="hps"/>
        </w:rPr>
        <w:t>judicial officers</w:t>
      </w:r>
      <w:r w:rsidR="00B17892" w:rsidRPr="005E7802">
        <w:t xml:space="preserve">, especially </w:t>
      </w:r>
      <w:r w:rsidR="00B17892" w:rsidRPr="005E7802">
        <w:rPr>
          <w:rStyle w:val="hps"/>
        </w:rPr>
        <w:t xml:space="preserve">in the </w:t>
      </w:r>
      <w:r w:rsidR="00C52ADB" w:rsidRPr="005E7802">
        <w:rPr>
          <w:rStyle w:val="hps"/>
        </w:rPr>
        <w:t xml:space="preserve">judicial branch </w:t>
      </w:r>
      <w:r w:rsidR="00B17892" w:rsidRPr="005E7802">
        <w:rPr>
          <w:rStyle w:val="hps"/>
        </w:rPr>
        <w:t>and</w:t>
      </w:r>
      <w:r w:rsidR="00B17892" w:rsidRPr="005E7802">
        <w:t xml:space="preserve"> </w:t>
      </w:r>
      <w:r w:rsidR="00B17892" w:rsidRPr="005E7802">
        <w:rPr>
          <w:rStyle w:val="hps"/>
        </w:rPr>
        <w:t>the Institute of</w:t>
      </w:r>
      <w:r w:rsidR="00B17892" w:rsidRPr="005E7802">
        <w:t xml:space="preserve"> </w:t>
      </w:r>
      <w:r w:rsidR="00B17892" w:rsidRPr="005E7802">
        <w:rPr>
          <w:rStyle w:val="hps"/>
        </w:rPr>
        <w:t xml:space="preserve">Public Criminal Defense. There </w:t>
      </w:r>
      <w:r w:rsidR="00C52ADB" w:rsidRPr="005E7802">
        <w:rPr>
          <w:rStyle w:val="hps"/>
        </w:rPr>
        <w:t xml:space="preserve">was </w:t>
      </w:r>
      <w:r w:rsidR="00B17892" w:rsidRPr="005E7802">
        <w:rPr>
          <w:rStyle w:val="hps"/>
        </w:rPr>
        <w:t>also a diploma course on human rights</w:t>
      </w:r>
      <w:r w:rsidR="00B17892" w:rsidRPr="005E7802">
        <w:t xml:space="preserve">, racism </w:t>
      </w:r>
      <w:r w:rsidR="00B17892" w:rsidRPr="005E7802">
        <w:rPr>
          <w:rStyle w:val="hps"/>
        </w:rPr>
        <w:t>and</w:t>
      </w:r>
      <w:r w:rsidR="00B17892" w:rsidRPr="005E7802">
        <w:t xml:space="preserve"> </w:t>
      </w:r>
      <w:r w:rsidR="00B17892" w:rsidRPr="005E7802">
        <w:rPr>
          <w:rStyle w:val="hps"/>
        </w:rPr>
        <w:t>discrimination</w:t>
      </w:r>
      <w:r w:rsidR="00B17892" w:rsidRPr="005E7802">
        <w:t xml:space="preserve"> aimed at </w:t>
      </w:r>
      <w:r w:rsidR="00B17892" w:rsidRPr="005E7802">
        <w:rPr>
          <w:rStyle w:val="hps"/>
        </w:rPr>
        <w:t>civil servants</w:t>
      </w:r>
      <w:r w:rsidR="00B17892" w:rsidRPr="005E7802">
        <w:t xml:space="preserve"> </w:t>
      </w:r>
      <w:r w:rsidR="00B17892" w:rsidRPr="005E7802">
        <w:rPr>
          <w:rStyle w:val="hps"/>
        </w:rPr>
        <w:t>from different institutions</w:t>
      </w:r>
      <w:r w:rsidR="00B17892" w:rsidRPr="005E7802">
        <w:t xml:space="preserve"> </w:t>
      </w:r>
      <w:r w:rsidR="00B17892" w:rsidRPr="005E7802">
        <w:rPr>
          <w:rStyle w:val="hps"/>
        </w:rPr>
        <w:t>of the executive branch</w:t>
      </w:r>
      <w:r w:rsidR="00B17892" w:rsidRPr="005E7802">
        <w:t xml:space="preserve"> </w:t>
      </w:r>
      <w:r w:rsidR="00B17892" w:rsidRPr="005E7802">
        <w:rPr>
          <w:rStyle w:val="hps"/>
        </w:rPr>
        <w:t>and young</w:t>
      </w:r>
      <w:r w:rsidR="00B17892" w:rsidRPr="005E7802">
        <w:t xml:space="preserve"> </w:t>
      </w:r>
      <w:r w:rsidR="00B17892" w:rsidRPr="005E7802">
        <w:rPr>
          <w:rStyle w:val="hps"/>
        </w:rPr>
        <w:t>members of</w:t>
      </w:r>
      <w:r w:rsidR="00B17892" w:rsidRPr="005E7802">
        <w:t xml:space="preserve"> </w:t>
      </w:r>
      <w:r w:rsidR="00B17892" w:rsidRPr="005E7802">
        <w:rPr>
          <w:rStyle w:val="hps"/>
        </w:rPr>
        <w:t>civil</w:t>
      </w:r>
      <w:r w:rsidR="00B17892" w:rsidRPr="005E7802">
        <w:t xml:space="preserve"> </w:t>
      </w:r>
      <w:r w:rsidR="00B17892" w:rsidRPr="005E7802">
        <w:rPr>
          <w:rStyle w:val="hps"/>
        </w:rPr>
        <w:t>society</w:t>
      </w:r>
      <w:r w:rsidR="00B17892" w:rsidRPr="005E7802">
        <w:t>.</w:t>
      </w:r>
    </w:p>
    <w:p w:rsidR="00B17892" w:rsidRPr="005E7802" w:rsidRDefault="005E7802" w:rsidP="005E7802">
      <w:pPr>
        <w:pStyle w:val="SingleTxtG"/>
      </w:pPr>
      <w:r w:rsidRPr="005E7802">
        <w:t>98.</w:t>
      </w:r>
      <w:r w:rsidRPr="005E7802">
        <w:tab/>
      </w:r>
      <w:r w:rsidR="00B17892" w:rsidRPr="005E7802">
        <w:t xml:space="preserve">Peru </w:t>
      </w:r>
      <w:r w:rsidR="00C52ADB" w:rsidRPr="005E7802">
        <w:t xml:space="preserve">had </w:t>
      </w:r>
      <w:r w:rsidR="00B17892" w:rsidRPr="005E7802">
        <w:t>developed four training manuals, including one on the rights of indigenous peoples in Peru, to train environment officials and leaders on these issues in an effort to increase competency.</w:t>
      </w:r>
    </w:p>
    <w:p w:rsidR="00B17892" w:rsidRPr="00DE5DDF" w:rsidRDefault="005E7802" w:rsidP="005E7802">
      <w:pPr>
        <w:pStyle w:val="SingleTxtG"/>
      </w:pPr>
      <w:r w:rsidRPr="00DE5DDF">
        <w:t>99.</w:t>
      </w:r>
      <w:r w:rsidRPr="00DE5DDF">
        <w:tab/>
      </w:r>
      <w:r w:rsidR="00B17892" w:rsidRPr="00DE5DDF">
        <w:t xml:space="preserve">In Japan, Ainu policy </w:t>
      </w:r>
      <w:r w:rsidR="00C52ADB" w:rsidRPr="00DE5DDF">
        <w:t xml:space="preserve">made </w:t>
      </w:r>
      <w:r w:rsidR="00B17892" w:rsidRPr="00DE5DDF">
        <w:t>reference to relevant provisions of the Declaration.</w:t>
      </w:r>
      <w:r w:rsidR="00240B17" w:rsidRPr="00DE5DDF">
        <w:t xml:space="preserve"> </w:t>
      </w:r>
      <w:r w:rsidR="00B17892" w:rsidRPr="00DE5DDF">
        <w:t xml:space="preserve">The Declaration </w:t>
      </w:r>
      <w:r w:rsidR="00C52ADB" w:rsidRPr="00DE5DDF">
        <w:t xml:space="preserve">had </w:t>
      </w:r>
      <w:r w:rsidR="00B17892" w:rsidRPr="00DE5DDF">
        <w:t>also been translated into Japanese.</w:t>
      </w:r>
    </w:p>
    <w:p w:rsidR="00B17892" w:rsidRPr="005E7802" w:rsidRDefault="005E7802" w:rsidP="005E7802">
      <w:pPr>
        <w:pStyle w:val="SingleTxtG"/>
      </w:pPr>
      <w:r w:rsidRPr="005E7802">
        <w:t>100.</w:t>
      </w:r>
      <w:r w:rsidRPr="005E7802">
        <w:tab/>
      </w:r>
      <w:r w:rsidR="00B17892" w:rsidRPr="00DE5DDF">
        <w:t xml:space="preserve">The questionnaire posed the following question to indigenous peoples: </w:t>
      </w:r>
      <w:r w:rsidR="00C52ADB" w:rsidRPr="00DE5DDF">
        <w:t>“</w:t>
      </w:r>
      <w:r w:rsidR="00B17892" w:rsidRPr="005E7802">
        <w:t>Have you taken any measures to raise awareness about the Declaration at various levels of the community and governance to enhance the prospects of its implementation?</w:t>
      </w:r>
      <w:r w:rsidR="00C52ADB" w:rsidRPr="005E7802">
        <w:t>”</w:t>
      </w:r>
    </w:p>
    <w:p w:rsidR="00B17892" w:rsidRPr="00DE5DDF" w:rsidRDefault="005E7802" w:rsidP="005E7802">
      <w:pPr>
        <w:pStyle w:val="SingleTxtG"/>
      </w:pPr>
      <w:r w:rsidRPr="00DE5DDF">
        <w:t>101.</w:t>
      </w:r>
      <w:r w:rsidRPr="00DE5DDF">
        <w:tab/>
      </w:r>
      <w:r w:rsidR="00B17892" w:rsidRPr="00DE5DDF">
        <w:t>Responses from indigenous peoples reference</w:t>
      </w:r>
      <w:r w:rsidR="00C52ADB" w:rsidRPr="00DE5DDF">
        <w:t>d</w:t>
      </w:r>
      <w:r w:rsidR="00B17892" w:rsidRPr="00DE5DDF">
        <w:t xml:space="preserve"> capacity</w:t>
      </w:r>
      <w:r w:rsidR="00C52ADB" w:rsidRPr="00DE5DDF">
        <w:t>-</w:t>
      </w:r>
      <w:r w:rsidR="00B17892" w:rsidRPr="00DE5DDF">
        <w:t>building workshops and the development of training materials. Red COMUINCACOL stressed the importance of developing easy</w:t>
      </w:r>
      <w:r w:rsidR="00C52ADB" w:rsidRPr="00DE5DDF">
        <w:t>-</w:t>
      </w:r>
      <w:r w:rsidR="00B17892" w:rsidRPr="00DE5DDF">
        <w:t>to</w:t>
      </w:r>
      <w:r w:rsidR="00C52ADB" w:rsidRPr="00DE5DDF">
        <w:t>-</w:t>
      </w:r>
      <w:r w:rsidR="00B17892" w:rsidRPr="00DE5DDF">
        <w:t xml:space="preserve">understand learning materials and using communications media and the education system. Les Amis du Sankuru indicated that, while they </w:t>
      </w:r>
      <w:r w:rsidR="00C52ADB" w:rsidRPr="00DE5DDF">
        <w:t xml:space="preserve">had </w:t>
      </w:r>
      <w:r w:rsidR="00B17892" w:rsidRPr="00DE5DDF">
        <w:t xml:space="preserve">carried out dissemination within their organization and nearby communities, financial constraints </w:t>
      </w:r>
      <w:r w:rsidR="00C52ADB" w:rsidRPr="00DE5DDF">
        <w:t xml:space="preserve">made </w:t>
      </w:r>
      <w:r w:rsidR="00B17892" w:rsidRPr="00DE5DDF">
        <w:t>it difficult to reach more distant provinces and to purchase media space for dissemination.</w:t>
      </w:r>
    </w:p>
    <w:p w:rsidR="00B17892" w:rsidRPr="00DE5DDF" w:rsidRDefault="00B17892" w:rsidP="00B17892">
      <w:pPr>
        <w:pStyle w:val="H1G"/>
      </w:pPr>
      <w:r w:rsidRPr="00DE5DDF">
        <w:tab/>
        <w:t>K.</w:t>
      </w:r>
      <w:r w:rsidRPr="00DE5DDF">
        <w:tab/>
        <w:t>Challenges encountered in adopting measures and implementing strategies to achieve the ends of the Declaration</w:t>
      </w:r>
    </w:p>
    <w:p w:rsidR="00B17892" w:rsidRPr="005E7802" w:rsidRDefault="005E7802" w:rsidP="005E7802">
      <w:pPr>
        <w:pStyle w:val="SingleTxtG"/>
      </w:pPr>
      <w:r w:rsidRPr="005E7802">
        <w:t>102.</w:t>
      </w:r>
      <w:r w:rsidRPr="005E7802">
        <w:tab/>
      </w:r>
      <w:r w:rsidR="00B17892" w:rsidRPr="00DE5DDF">
        <w:t xml:space="preserve">The questionnaire posed the following question to States and indigenous peoples: </w:t>
      </w:r>
      <w:r w:rsidR="00C52ADB" w:rsidRPr="005E7802">
        <w:t>“</w:t>
      </w:r>
      <w:r w:rsidR="00B17892" w:rsidRPr="005E7802">
        <w:t>What are the main challenges encountered in adopting measures and implementing strategies to achieve the ends of the Declaration?</w:t>
      </w:r>
      <w:r w:rsidR="00C52ADB" w:rsidRPr="005E7802">
        <w:t>”</w:t>
      </w:r>
    </w:p>
    <w:p w:rsidR="00B17892" w:rsidRPr="00DE5DDF" w:rsidRDefault="005E7802" w:rsidP="005E7802">
      <w:pPr>
        <w:pStyle w:val="SingleTxtG"/>
      </w:pPr>
      <w:r w:rsidRPr="00DE5DDF">
        <w:t>103.</w:t>
      </w:r>
      <w:r w:rsidRPr="00DE5DDF">
        <w:tab/>
      </w:r>
      <w:r w:rsidR="00B17892" w:rsidRPr="00DE5DDF">
        <w:t xml:space="preserve">States noted a range of challenges to achieve the ends of the Declaration. Some States highlighted the translation of the Declaration into indigenous languages as an ongoing challenge for future work. Burundi identified the low literacy rates among the Batwa as a challenge. Chile noted that a specific challenge </w:t>
      </w:r>
      <w:r w:rsidR="00C52ADB" w:rsidRPr="00DE5DDF">
        <w:t xml:space="preserve">was </w:t>
      </w:r>
      <w:r w:rsidR="00B17892" w:rsidRPr="00DE5DDF">
        <w:t xml:space="preserve">the diversity of indigenous peoples within the country, which </w:t>
      </w:r>
      <w:r w:rsidR="00C52ADB" w:rsidRPr="00DE5DDF">
        <w:t xml:space="preserve">required </w:t>
      </w:r>
      <w:r w:rsidR="00B17892" w:rsidRPr="00DE5DDF">
        <w:t>a detailed framework to respond to the differences amongst indigenous peoples.</w:t>
      </w:r>
    </w:p>
    <w:p w:rsidR="00B17892" w:rsidRPr="00DE5DDF" w:rsidRDefault="005E7802" w:rsidP="005E7802">
      <w:pPr>
        <w:pStyle w:val="SingleTxtG"/>
      </w:pPr>
      <w:r w:rsidRPr="00DE5DDF">
        <w:t>104.</w:t>
      </w:r>
      <w:r w:rsidRPr="00DE5DDF">
        <w:tab/>
      </w:r>
      <w:r w:rsidR="00B17892" w:rsidRPr="005E7802">
        <w:rPr>
          <w:rStyle w:val="hps"/>
        </w:rPr>
        <w:t xml:space="preserve">Peru indicated that the lack of national data </w:t>
      </w:r>
      <w:r w:rsidR="00C52ADB" w:rsidRPr="005E7802">
        <w:rPr>
          <w:rStyle w:val="hps"/>
        </w:rPr>
        <w:t xml:space="preserve">presented </w:t>
      </w:r>
      <w:r w:rsidR="00B17892" w:rsidRPr="005E7802">
        <w:rPr>
          <w:rStyle w:val="hps"/>
        </w:rPr>
        <w:t xml:space="preserve">a problem for implementation. </w:t>
      </w:r>
      <w:r w:rsidR="00C52ADB" w:rsidRPr="005E7802">
        <w:rPr>
          <w:rStyle w:val="hps"/>
        </w:rPr>
        <w:t xml:space="preserve">It </w:t>
      </w:r>
      <w:r w:rsidR="00B17892" w:rsidRPr="005E7802">
        <w:rPr>
          <w:rStyle w:val="hps"/>
        </w:rPr>
        <w:t xml:space="preserve">also indicated that consultation </w:t>
      </w:r>
      <w:r w:rsidR="00C52ADB" w:rsidRPr="005E7802">
        <w:rPr>
          <w:rStyle w:val="hps"/>
        </w:rPr>
        <w:t xml:space="preserve">was </w:t>
      </w:r>
      <w:r w:rsidR="00B17892" w:rsidRPr="005E7802">
        <w:rPr>
          <w:rStyle w:val="hps"/>
        </w:rPr>
        <w:t>a challenge because capacity had to be built among both public sector staff and indigenous leaders. Peru also reiterated the challenge of the diverse and disperse</w:t>
      </w:r>
      <w:r w:rsidR="003F6FB2" w:rsidRPr="00DE5DDF">
        <w:rPr>
          <w:rStyle w:val="hps"/>
        </w:rPr>
        <w:t>d</w:t>
      </w:r>
      <w:r w:rsidR="00B17892" w:rsidRPr="005E7802">
        <w:rPr>
          <w:rStyle w:val="hps"/>
        </w:rPr>
        <w:t xml:space="preserve"> populations of indigenous peoples.</w:t>
      </w:r>
    </w:p>
    <w:p w:rsidR="00B17892" w:rsidRPr="005E7802" w:rsidRDefault="005E7802" w:rsidP="005E7802">
      <w:pPr>
        <w:pStyle w:val="SingleTxtG"/>
        <w:rPr>
          <w:rStyle w:val="hps"/>
        </w:rPr>
      </w:pPr>
      <w:r w:rsidRPr="005E7802">
        <w:rPr>
          <w:rStyle w:val="hps"/>
        </w:rPr>
        <w:t>105.</w:t>
      </w:r>
      <w:r w:rsidRPr="005E7802">
        <w:rPr>
          <w:rStyle w:val="hps"/>
        </w:rPr>
        <w:tab/>
      </w:r>
      <w:r w:rsidR="00B17892" w:rsidRPr="00DE5DDF">
        <w:t xml:space="preserve">Guatemala indicated a need to strengthen institutional mechanisms to protect indigenous peoples’ rights, as well as a need for more opportunities for inter-agency coordination with civil society </w:t>
      </w:r>
      <w:r w:rsidR="00B17892" w:rsidRPr="005E7802">
        <w:rPr>
          <w:rStyle w:val="hps"/>
        </w:rPr>
        <w:t>to monitor</w:t>
      </w:r>
      <w:r w:rsidR="00B17892" w:rsidRPr="005E7802">
        <w:t xml:space="preserve"> </w:t>
      </w:r>
      <w:r w:rsidR="00B17892" w:rsidRPr="005E7802">
        <w:rPr>
          <w:rStyle w:val="hps"/>
        </w:rPr>
        <w:t>the actions and measures</w:t>
      </w:r>
      <w:r w:rsidR="00B17892" w:rsidRPr="005E7802">
        <w:t xml:space="preserve"> </w:t>
      </w:r>
      <w:r w:rsidR="00B17892" w:rsidRPr="005E7802">
        <w:rPr>
          <w:rStyle w:val="hps"/>
        </w:rPr>
        <w:t>in the implementation of</w:t>
      </w:r>
      <w:r w:rsidR="00B17892" w:rsidRPr="005E7802">
        <w:t xml:space="preserve"> </w:t>
      </w:r>
      <w:r w:rsidR="00B17892" w:rsidRPr="005E7802">
        <w:rPr>
          <w:rStyle w:val="hps"/>
        </w:rPr>
        <w:t>the</w:t>
      </w:r>
      <w:r w:rsidR="00B17892" w:rsidRPr="005E7802">
        <w:t xml:space="preserve"> </w:t>
      </w:r>
      <w:r w:rsidR="00B17892" w:rsidRPr="005E7802">
        <w:rPr>
          <w:rStyle w:val="hps"/>
        </w:rPr>
        <w:t>Declaration on the Rights of Indigenous Peoples</w:t>
      </w:r>
      <w:r w:rsidR="00B17892" w:rsidRPr="005E7802">
        <w:t xml:space="preserve"> </w:t>
      </w:r>
      <w:r w:rsidR="00B17892" w:rsidRPr="005E7802">
        <w:rPr>
          <w:rStyle w:val="hps"/>
        </w:rPr>
        <w:t>and to achieve</w:t>
      </w:r>
      <w:r w:rsidR="00B17892" w:rsidRPr="005E7802">
        <w:t xml:space="preserve"> </w:t>
      </w:r>
      <w:r w:rsidR="00B17892" w:rsidRPr="005E7802">
        <w:rPr>
          <w:rStyle w:val="hps"/>
        </w:rPr>
        <w:t xml:space="preserve">the </w:t>
      </w:r>
      <w:r w:rsidR="003F6FB2" w:rsidRPr="00DE5DDF">
        <w:rPr>
          <w:rStyle w:val="hps"/>
        </w:rPr>
        <w:t>fulfilment</w:t>
      </w:r>
      <w:r w:rsidR="00B17892" w:rsidRPr="005E7802">
        <w:rPr>
          <w:rStyle w:val="hps"/>
        </w:rPr>
        <w:t xml:space="preserve"> of its</w:t>
      </w:r>
      <w:r w:rsidR="00B17892" w:rsidRPr="005E7802">
        <w:t xml:space="preserve"> </w:t>
      </w:r>
      <w:r w:rsidR="00B17892" w:rsidRPr="005E7802">
        <w:rPr>
          <w:rStyle w:val="hps"/>
        </w:rPr>
        <w:t>objectives.</w:t>
      </w:r>
    </w:p>
    <w:p w:rsidR="00B17892" w:rsidRPr="005E7802" w:rsidRDefault="005E7802" w:rsidP="005E7802">
      <w:pPr>
        <w:pStyle w:val="SingleTxtG"/>
        <w:rPr>
          <w:rStyle w:val="hps"/>
        </w:rPr>
      </w:pPr>
      <w:r w:rsidRPr="005E7802">
        <w:rPr>
          <w:rStyle w:val="hps"/>
        </w:rPr>
        <w:t>106.</w:t>
      </w:r>
      <w:r w:rsidRPr="005E7802">
        <w:rPr>
          <w:rStyle w:val="hps"/>
        </w:rPr>
        <w:tab/>
      </w:r>
      <w:r w:rsidR="00B17892" w:rsidRPr="005E7802">
        <w:rPr>
          <w:rStyle w:val="hps"/>
        </w:rPr>
        <w:t xml:space="preserve">Colombia cited three challenges: the re-establishment of peace in those indigenous territories that </w:t>
      </w:r>
      <w:r w:rsidR="00C52ADB" w:rsidRPr="005E7802">
        <w:rPr>
          <w:rStyle w:val="hps"/>
        </w:rPr>
        <w:t xml:space="preserve">were </w:t>
      </w:r>
      <w:r w:rsidR="00B17892" w:rsidRPr="005E7802">
        <w:rPr>
          <w:rStyle w:val="hps"/>
        </w:rPr>
        <w:t>still facing difficulties caused by armed conflict; the complexities of implementing policies and programmes</w:t>
      </w:r>
      <w:r w:rsidR="000C5E67" w:rsidRPr="00DE5DDF">
        <w:rPr>
          <w:rStyle w:val="hps"/>
        </w:rPr>
        <w:t>,</w:t>
      </w:r>
      <w:r w:rsidR="00B17892" w:rsidRPr="005E7802">
        <w:rPr>
          <w:rStyle w:val="hps"/>
        </w:rPr>
        <w:t xml:space="preserve"> given the geographical dispersion of indigenous peoples in the country; and conflicts of representation within some indigenous organizations/communities.</w:t>
      </w:r>
    </w:p>
    <w:p w:rsidR="00B17892" w:rsidRPr="00DE5DDF" w:rsidRDefault="005E7802" w:rsidP="005E7802">
      <w:pPr>
        <w:pStyle w:val="SingleTxtG"/>
      </w:pPr>
      <w:r w:rsidRPr="00DE5DDF">
        <w:t>107.</w:t>
      </w:r>
      <w:r w:rsidRPr="00DE5DDF">
        <w:tab/>
      </w:r>
      <w:r w:rsidR="00B17892" w:rsidRPr="00DE5DDF">
        <w:t xml:space="preserve">Some States again reiterated that the provision of financial resources </w:t>
      </w:r>
      <w:r w:rsidR="00C52ADB" w:rsidRPr="00DE5DDF">
        <w:t xml:space="preserve">was </w:t>
      </w:r>
      <w:r w:rsidR="00B17892" w:rsidRPr="00DE5DDF">
        <w:t>essential to implementation of the Declaration, particularly in relation to promoting and revitalizing languages.</w:t>
      </w:r>
    </w:p>
    <w:p w:rsidR="00B17892" w:rsidRPr="00DE5DDF" w:rsidRDefault="005E7802" w:rsidP="005E7802">
      <w:pPr>
        <w:pStyle w:val="SingleTxtG"/>
      </w:pPr>
      <w:r w:rsidRPr="00DE5DDF">
        <w:t>108.</w:t>
      </w:r>
      <w:r w:rsidRPr="00DE5DDF">
        <w:tab/>
      </w:r>
      <w:r w:rsidR="00B17892" w:rsidRPr="00DE5DDF">
        <w:t>The main challenges identified by indigenous peoples include</w:t>
      </w:r>
      <w:r w:rsidR="00C52ADB" w:rsidRPr="00DE5DDF">
        <w:t>d</w:t>
      </w:r>
      <w:r w:rsidR="00B17892" w:rsidRPr="00DE5DDF">
        <w:t xml:space="preserve"> lack of political will, lack of knowledge of the Declaration among local authorities, and the fact that indigenous peoples’ rights </w:t>
      </w:r>
      <w:r w:rsidR="00C52ADB" w:rsidRPr="00DE5DDF">
        <w:t xml:space="preserve">were </w:t>
      </w:r>
      <w:r w:rsidR="00B17892" w:rsidRPr="00DE5DDF">
        <w:t>often set against the rights of the mainstream population.</w:t>
      </w:r>
    </w:p>
    <w:p w:rsidR="00B17892" w:rsidRPr="00DE5DDF" w:rsidRDefault="00B17892" w:rsidP="00B17892">
      <w:pPr>
        <w:pStyle w:val="H1G"/>
      </w:pPr>
      <w:r w:rsidRPr="00DE5DDF">
        <w:tab/>
        <w:t>L.</w:t>
      </w:r>
      <w:r w:rsidRPr="00DE5DDF">
        <w:tab/>
        <w:t>Promising practices</w:t>
      </w:r>
    </w:p>
    <w:p w:rsidR="00B17892" w:rsidRPr="00DE5DDF" w:rsidRDefault="005E7802" w:rsidP="005E7802">
      <w:pPr>
        <w:pStyle w:val="SingleTxtG"/>
      </w:pPr>
      <w:r w:rsidRPr="00DE5DDF">
        <w:t>109.</w:t>
      </w:r>
      <w:r w:rsidRPr="00DE5DDF">
        <w:tab/>
      </w:r>
      <w:r w:rsidR="00B17892" w:rsidRPr="00DE5DDF">
        <w:t xml:space="preserve">The questionnaire posed the following question to States and indigenous peoples: </w:t>
      </w:r>
      <w:r w:rsidR="00C52ADB" w:rsidRPr="00DE5DDF">
        <w:t>“</w:t>
      </w:r>
      <w:r w:rsidR="00B17892" w:rsidRPr="005E7802">
        <w:t>In the light of the information provided above, please provide examples of promising practices regarding possible appropriate measures and implementation strategies to attain the goals of the Declaration.</w:t>
      </w:r>
      <w:r w:rsidR="00C52ADB" w:rsidRPr="005E7802">
        <w:t>”</w:t>
      </w:r>
    </w:p>
    <w:p w:rsidR="00B17892" w:rsidRPr="00DE5DDF" w:rsidRDefault="005E7802" w:rsidP="005E7802">
      <w:pPr>
        <w:pStyle w:val="SingleTxtG"/>
      </w:pPr>
      <w:r w:rsidRPr="00DE5DDF">
        <w:t>110.</w:t>
      </w:r>
      <w:r w:rsidRPr="00DE5DDF">
        <w:tab/>
      </w:r>
      <w:r w:rsidR="00B17892" w:rsidRPr="00DE5DDF">
        <w:t xml:space="preserve">Some States emphasized the need to assess the impact of policies and programmes where success </w:t>
      </w:r>
      <w:r w:rsidR="00C52ADB" w:rsidRPr="00DE5DDF">
        <w:t xml:space="preserve">was </w:t>
      </w:r>
      <w:r w:rsidR="00B17892" w:rsidRPr="00DE5DDF">
        <w:t>not being achieved</w:t>
      </w:r>
      <w:r w:rsidR="00C52ADB" w:rsidRPr="00DE5DDF">
        <w:t>,</w:t>
      </w:r>
      <w:r w:rsidR="00B17892" w:rsidRPr="00DE5DDF">
        <w:t xml:space="preserve"> and to be prepared to try new approaches. Australia emphasized a need for best practice strategies to rely on clear data, with a focus on practical outcomes to ensure </w:t>
      </w:r>
      <w:r w:rsidR="00C52ADB" w:rsidRPr="00DE5DDF">
        <w:t xml:space="preserve">that </w:t>
      </w:r>
      <w:r w:rsidR="00B17892" w:rsidRPr="00DE5DDF">
        <w:t xml:space="preserve">policies deliver real results on the ground. It </w:t>
      </w:r>
      <w:r w:rsidR="00C52ADB" w:rsidRPr="00DE5DDF">
        <w:t xml:space="preserve">was </w:t>
      </w:r>
      <w:r w:rsidR="00B17892" w:rsidRPr="00DE5DDF">
        <w:t>important to engage indigenous peoples in this problem</w:t>
      </w:r>
      <w:r w:rsidR="00C52ADB" w:rsidRPr="00DE5DDF">
        <w:t>-</w:t>
      </w:r>
      <w:r w:rsidR="00B17892" w:rsidRPr="00DE5DDF">
        <w:t>solving approach.</w:t>
      </w:r>
    </w:p>
    <w:p w:rsidR="00B17892" w:rsidRPr="00DE5DDF" w:rsidRDefault="005E7802" w:rsidP="005E7802">
      <w:pPr>
        <w:pStyle w:val="SingleTxtG"/>
      </w:pPr>
      <w:r w:rsidRPr="00DE5DDF">
        <w:t>111.</w:t>
      </w:r>
      <w:r w:rsidRPr="00DE5DDF">
        <w:tab/>
      </w:r>
      <w:r w:rsidR="00B17892" w:rsidRPr="00DE5DDF">
        <w:t>In Chile, the National Indigenous Development Corporation and the Department of the Environment work</w:t>
      </w:r>
      <w:r w:rsidR="00C52ADB" w:rsidRPr="00DE5DDF">
        <w:t>ed</w:t>
      </w:r>
      <w:r w:rsidR="00B17892" w:rsidRPr="00DE5DDF">
        <w:t xml:space="preserve"> jointly and in coordination to provide technical support to indigenous consultation processes in connection with environmental assessment processes.</w:t>
      </w:r>
    </w:p>
    <w:p w:rsidR="00B17892" w:rsidRPr="005E7802" w:rsidRDefault="005E7802" w:rsidP="005E7802">
      <w:pPr>
        <w:pStyle w:val="SingleTxtG"/>
      </w:pPr>
      <w:r w:rsidRPr="005E7802">
        <w:t>112.</w:t>
      </w:r>
      <w:r w:rsidRPr="005E7802">
        <w:tab/>
      </w:r>
      <w:r w:rsidR="00B17892" w:rsidRPr="005E7802">
        <w:t xml:space="preserve">Guatemala highlighted, among other public policy and institutional initiatives, the establishment in 2014 of the Cabinet for Indigenous Peoples and Interculturalism, which </w:t>
      </w:r>
      <w:r w:rsidR="00C52ADB" w:rsidRPr="005E7802">
        <w:t xml:space="preserve">formulated </w:t>
      </w:r>
      <w:r w:rsidR="00B17892" w:rsidRPr="005E7802">
        <w:t xml:space="preserve">proposals for political, administrative and legal reforms, focusing on integral and culturally-appropriate development for indigenous peoples. This office </w:t>
      </w:r>
      <w:r w:rsidR="00C52ADB" w:rsidRPr="005E7802">
        <w:t xml:space="preserve">included </w:t>
      </w:r>
      <w:r w:rsidR="00B17892" w:rsidRPr="005E7802">
        <w:t xml:space="preserve">members of the Executive and representatives of the Maya, Garifuna and Xinka peoples. Another </w:t>
      </w:r>
      <w:r w:rsidR="00C52ADB" w:rsidRPr="005E7802">
        <w:t xml:space="preserve">example of </w:t>
      </w:r>
      <w:r w:rsidR="00B17892" w:rsidRPr="005E7802">
        <w:t xml:space="preserve">best practice </w:t>
      </w:r>
      <w:r w:rsidR="00C52ADB" w:rsidRPr="005E7802">
        <w:t xml:space="preserve">was </w:t>
      </w:r>
      <w:r w:rsidR="00B17892" w:rsidRPr="005E7802">
        <w:t xml:space="preserve">the Institution for the Defence of Indigenous Women (Defensoría de la mujer indígena), which </w:t>
      </w:r>
      <w:r w:rsidR="00C52ADB" w:rsidRPr="005E7802">
        <w:t xml:space="preserve">was </w:t>
      </w:r>
      <w:r w:rsidR="00B17892" w:rsidRPr="005E7802">
        <w:t xml:space="preserve">a </w:t>
      </w:r>
      <w:r w:rsidR="00C52ADB" w:rsidRPr="005E7802">
        <w:t xml:space="preserve">Governmental </w:t>
      </w:r>
      <w:r w:rsidR="00B17892" w:rsidRPr="005E7802">
        <w:t xml:space="preserve">institution that </w:t>
      </w:r>
      <w:r w:rsidR="00C52ADB" w:rsidRPr="005E7802">
        <w:t xml:space="preserve">worked </w:t>
      </w:r>
      <w:r w:rsidR="00B17892" w:rsidRPr="005E7802">
        <w:t>with indigenous women to develop policies, plans and programmes for the prevention, protection and eradication of all forms of violence and discrimination against indigenous women.</w:t>
      </w:r>
    </w:p>
    <w:p w:rsidR="00B17892" w:rsidRPr="005E7802" w:rsidRDefault="005E7802" w:rsidP="005E7802">
      <w:pPr>
        <w:pStyle w:val="SingleTxtG"/>
      </w:pPr>
      <w:r w:rsidRPr="005E7802">
        <w:t>113.</w:t>
      </w:r>
      <w:r w:rsidRPr="005E7802">
        <w:tab/>
      </w:r>
      <w:r w:rsidR="00B17892" w:rsidRPr="005E7802">
        <w:t xml:space="preserve">Peru indicated that the training of interpreters and translators </w:t>
      </w:r>
      <w:r w:rsidR="00C52ADB" w:rsidRPr="005E7802">
        <w:t xml:space="preserve">had </w:t>
      </w:r>
      <w:r w:rsidR="00B17892" w:rsidRPr="005E7802">
        <w:t>allowed for services, particularly health services, to be provided in different languages.</w:t>
      </w:r>
      <w:r w:rsidR="00240B17" w:rsidRPr="005E7802">
        <w:t xml:space="preserve"> </w:t>
      </w:r>
      <w:r w:rsidR="00C52ADB" w:rsidRPr="005E7802">
        <w:t xml:space="preserve">Those </w:t>
      </w:r>
      <w:r w:rsidR="00B17892" w:rsidRPr="005E7802">
        <w:t xml:space="preserve">interpreters </w:t>
      </w:r>
      <w:r w:rsidR="00C52ADB" w:rsidRPr="005E7802">
        <w:t xml:space="preserve">had </w:t>
      </w:r>
      <w:r w:rsidR="00B17892" w:rsidRPr="005E7802">
        <w:t>also assisted in the consultation processes.</w:t>
      </w:r>
    </w:p>
    <w:p w:rsidR="00B17892" w:rsidRPr="00DE5DDF" w:rsidRDefault="005E7802" w:rsidP="005E7802">
      <w:pPr>
        <w:pStyle w:val="SingleTxtG"/>
      </w:pPr>
      <w:r w:rsidRPr="00DE5DDF">
        <w:t>114.</w:t>
      </w:r>
      <w:r w:rsidRPr="00DE5DDF">
        <w:tab/>
      </w:r>
      <w:r w:rsidR="00B17892" w:rsidRPr="00DE5DDF">
        <w:t xml:space="preserve">The Saami Parliament of Finland noted that Finland, Sweden and Norway </w:t>
      </w:r>
      <w:r w:rsidR="00C52ADB" w:rsidRPr="00DE5DDF">
        <w:t xml:space="preserve">had </w:t>
      </w:r>
      <w:r w:rsidR="00B17892" w:rsidRPr="00DE5DDF">
        <w:t>initiated negotiations on a Nordic Saami Treaty</w:t>
      </w:r>
      <w:r w:rsidR="00C52ADB" w:rsidRPr="00DE5DDF">
        <w:t>,</w:t>
      </w:r>
      <w:r w:rsidR="00B17892" w:rsidRPr="00DE5DDF">
        <w:t xml:space="preserve"> with the objective of harmonizing legislation concerning the Saami people. </w:t>
      </w:r>
      <w:r w:rsidR="00C52ADB" w:rsidRPr="00DE5DDF">
        <w:t xml:space="preserve">Those </w:t>
      </w:r>
      <w:r w:rsidR="00B17892" w:rsidRPr="00DE5DDF">
        <w:t xml:space="preserve">negotiations </w:t>
      </w:r>
      <w:r w:rsidR="00C52ADB" w:rsidRPr="00DE5DDF">
        <w:t xml:space="preserve">had </w:t>
      </w:r>
      <w:r w:rsidR="00B17892" w:rsidRPr="00DE5DDF">
        <w:t xml:space="preserve">included the Saami Parliaments of the three countries. However, negotiations on the treaty </w:t>
      </w:r>
      <w:r w:rsidR="00C52ADB" w:rsidRPr="00DE5DDF">
        <w:t xml:space="preserve">had </w:t>
      </w:r>
      <w:r w:rsidR="00B17892" w:rsidRPr="00DE5DDF">
        <w:t xml:space="preserve">been suspended for the time being. Also, Pan-Nordic conferences to discuss progress in attaining the goals of the </w:t>
      </w:r>
      <w:r w:rsidR="00C52ADB" w:rsidRPr="00DE5DDF">
        <w:t xml:space="preserve">outcome document </w:t>
      </w:r>
      <w:r w:rsidR="00B17892" w:rsidRPr="00DE5DDF">
        <w:t xml:space="preserve">of the World Conference on Indigenous Peoples </w:t>
      </w:r>
      <w:r w:rsidR="006B50EC" w:rsidRPr="00DE5DDF">
        <w:t xml:space="preserve">had </w:t>
      </w:r>
      <w:r w:rsidR="00B17892" w:rsidRPr="00DE5DDF">
        <w:t>been held periodically, with the participation of indigenous peoples.</w:t>
      </w:r>
    </w:p>
    <w:p w:rsidR="00B17892" w:rsidRPr="00DE5DDF" w:rsidRDefault="005E7802" w:rsidP="005E7802">
      <w:pPr>
        <w:pStyle w:val="SingleTxtG"/>
      </w:pPr>
      <w:r w:rsidRPr="00DE5DDF">
        <w:t>115.</w:t>
      </w:r>
      <w:r w:rsidRPr="00DE5DDF">
        <w:tab/>
      </w:r>
      <w:r w:rsidR="00B17892" w:rsidRPr="00DE5DDF">
        <w:t>Red COMUINCACOL emphasized the importance of empowering indigenous communities through training and awareness-raising. Asociación Kunas Unidos por Napguana highlighted the Kuna people’s successful struggle to achieve autonomy and recognition.</w:t>
      </w:r>
    </w:p>
    <w:p w:rsidR="00B17892" w:rsidRPr="00DE5DDF" w:rsidRDefault="00B17892" w:rsidP="00B17892">
      <w:pPr>
        <w:pStyle w:val="H1G"/>
      </w:pPr>
      <w:r w:rsidRPr="00DE5DDF">
        <w:tab/>
        <w:t>M.</w:t>
      </w:r>
      <w:r w:rsidRPr="00DE5DDF">
        <w:tab/>
        <w:t>Feedback on the role of the Expert Mechanism</w:t>
      </w:r>
    </w:p>
    <w:p w:rsidR="00B17892" w:rsidRPr="00DE5DDF" w:rsidRDefault="005E7802" w:rsidP="005E7802">
      <w:pPr>
        <w:pStyle w:val="SingleTxtG"/>
      </w:pPr>
      <w:r w:rsidRPr="00DE5DDF">
        <w:t>116.</w:t>
      </w:r>
      <w:r w:rsidRPr="00DE5DDF">
        <w:tab/>
      </w:r>
      <w:r w:rsidR="00B17892" w:rsidRPr="00DE5DDF">
        <w:t xml:space="preserve">The questionnaire posed the following question to States and indigenous peoples: </w:t>
      </w:r>
      <w:r w:rsidR="006B50EC" w:rsidRPr="005E7802">
        <w:t>“</w:t>
      </w:r>
      <w:r w:rsidR="00B17892" w:rsidRPr="005E7802">
        <w:t xml:space="preserve">In light of paragraph 28 of the </w:t>
      </w:r>
      <w:r w:rsidR="006B50EC" w:rsidRPr="005E7802">
        <w:t xml:space="preserve">outcome document </w:t>
      </w:r>
      <w:r w:rsidR="00B17892" w:rsidRPr="005E7802">
        <w:t>of the World Conference on Indigenous Peoples (</w:t>
      </w:r>
      <w:r w:rsidR="006B50EC" w:rsidRPr="00DE5DDF">
        <w:t>General Assembly resolution 69/2</w:t>
      </w:r>
      <w:r w:rsidR="00B17892" w:rsidRPr="005E7802">
        <w:t>), please provide feedback on how the Expert Mechanism can more effectively promote respect for the Declaration, and how it can better assist States to monitor, evaluate and improve the achievement of the ends of the Declaration.</w:t>
      </w:r>
      <w:r w:rsidR="006B50EC" w:rsidRPr="005E7802">
        <w:t>”</w:t>
      </w:r>
    </w:p>
    <w:p w:rsidR="00B17892" w:rsidRPr="00DE5DDF" w:rsidRDefault="005E7802" w:rsidP="005E7802">
      <w:pPr>
        <w:pStyle w:val="SingleTxtG"/>
      </w:pPr>
      <w:r w:rsidRPr="00DE5DDF">
        <w:t>117.</w:t>
      </w:r>
      <w:r w:rsidRPr="00DE5DDF">
        <w:tab/>
      </w:r>
      <w:r w:rsidR="00B17892" w:rsidRPr="00DE5DDF">
        <w:t xml:space="preserve">In paragraph 28 of the </w:t>
      </w:r>
      <w:r w:rsidR="006B50EC" w:rsidRPr="00DE5DDF">
        <w:t xml:space="preserve">outcome document </w:t>
      </w:r>
      <w:r w:rsidR="00B17892" w:rsidRPr="00DE5DDF">
        <w:t xml:space="preserve">of the World Conference on the Rights of Indigenous Peoples, the General Assembly </w:t>
      </w:r>
      <w:r w:rsidR="006B50EC" w:rsidRPr="00DE5DDF">
        <w:t xml:space="preserve">invited </w:t>
      </w:r>
      <w:r w:rsidR="00B17892" w:rsidRPr="00DE5DDF">
        <w:t>the Human Rights Council</w:t>
      </w:r>
      <w:r w:rsidR="006B50EC" w:rsidRPr="00DE5DDF">
        <w:t>,</w:t>
      </w:r>
      <w:r w:rsidR="00B17892" w:rsidRPr="00DE5DDF">
        <w:t xml:space="preserve"> “taking into account the views of indigenous peoples, to review the mandates of its existing mechanisms, in particular the Expert Mechanism on the Rights of Indigenous Peoples… with a view to modifying and improving the Expert Mechanism so that it can more effectively promote respect for the Declaration, including by better assisting Member States to monitor, evaluate and improve the achievement of the ends of the Declaration.”</w:t>
      </w:r>
    </w:p>
    <w:p w:rsidR="00B17892" w:rsidRPr="005E7802" w:rsidRDefault="005E7802" w:rsidP="005E7802">
      <w:pPr>
        <w:pStyle w:val="SingleTxtG"/>
        <w:rPr>
          <w:rStyle w:val="hps"/>
        </w:rPr>
      </w:pPr>
      <w:r w:rsidRPr="005E7802">
        <w:rPr>
          <w:rStyle w:val="hps"/>
        </w:rPr>
        <w:t>118.</w:t>
      </w:r>
      <w:r w:rsidRPr="005E7802">
        <w:rPr>
          <w:rStyle w:val="hps"/>
        </w:rPr>
        <w:tab/>
      </w:r>
      <w:r w:rsidR="00B17892" w:rsidRPr="00DE5DDF">
        <w:t xml:space="preserve">Australia noted that the Expert Mechanism </w:t>
      </w:r>
      <w:r w:rsidR="006B50EC" w:rsidRPr="00DE5DDF">
        <w:t xml:space="preserve">could </w:t>
      </w:r>
      <w:r w:rsidR="00B17892" w:rsidRPr="00DE5DDF">
        <w:t>assist States by sharing examples of successful measures taken by other Member States. Paraguay suggested that the Expert Mechanism work with States to develop guidelines and performance indicators to guide and improve monitoring to achieve the aims of the Declaration.</w:t>
      </w:r>
      <w:r w:rsidR="00240B17" w:rsidRPr="00DE5DDF">
        <w:t xml:space="preserve"> </w:t>
      </w:r>
      <w:r w:rsidR="00B17892" w:rsidRPr="00DE5DDF">
        <w:t>The suggestion for development of indicators was echoed by Guatemala. Guatemala also suggested that the Expert Mechanism conduct</w:t>
      </w:r>
      <w:r w:rsidR="00B17892" w:rsidRPr="005E7802">
        <w:rPr>
          <w:rStyle w:val="hps"/>
        </w:rPr>
        <w:t xml:space="preserve"> regional</w:t>
      </w:r>
      <w:r w:rsidR="00B17892" w:rsidRPr="005E7802">
        <w:t xml:space="preserve"> </w:t>
      </w:r>
      <w:r w:rsidR="00B17892" w:rsidRPr="005E7802">
        <w:rPr>
          <w:rStyle w:val="hps"/>
        </w:rPr>
        <w:t>studies</w:t>
      </w:r>
      <w:r w:rsidR="00B17892" w:rsidRPr="005E7802">
        <w:t xml:space="preserve"> </w:t>
      </w:r>
      <w:r w:rsidR="00B17892" w:rsidRPr="005E7802">
        <w:rPr>
          <w:rStyle w:val="hps"/>
        </w:rPr>
        <w:t>considering</w:t>
      </w:r>
      <w:r w:rsidR="00B17892" w:rsidRPr="005E7802">
        <w:t xml:space="preserve"> </w:t>
      </w:r>
      <w:r w:rsidR="00B17892" w:rsidRPr="005E7802">
        <w:rPr>
          <w:rStyle w:val="hps"/>
        </w:rPr>
        <w:t>the particularities of the</w:t>
      </w:r>
      <w:r w:rsidR="00B17892" w:rsidRPr="005E7802">
        <w:t xml:space="preserve"> various </w:t>
      </w:r>
      <w:r w:rsidR="00B17892" w:rsidRPr="005E7802">
        <w:rPr>
          <w:rStyle w:val="hps"/>
        </w:rPr>
        <w:t>regions, including</w:t>
      </w:r>
      <w:r w:rsidR="00B17892" w:rsidRPr="005E7802">
        <w:t xml:space="preserve"> </w:t>
      </w:r>
      <w:r w:rsidR="00B17892" w:rsidRPr="005E7802">
        <w:rPr>
          <w:rStyle w:val="hps"/>
        </w:rPr>
        <w:t>political and cultural</w:t>
      </w:r>
      <w:r w:rsidR="00B17892" w:rsidRPr="005E7802">
        <w:t xml:space="preserve"> </w:t>
      </w:r>
      <w:r w:rsidR="00B17892" w:rsidRPr="005E7802">
        <w:rPr>
          <w:rStyle w:val="hps"/>
        </w:rPr>
        <w:t xml:space="preserve">differences. Guatemala also suggested that the Expert Mechanism work with States to strengthen national institutions that </w:t>
      </w:r>
      <w:r w:rsidR="00581B1C" w:rsidRPr="005E7802">
        <w:rPr>
          <w:rStyle w:val="hps"/>
        </w:rPr>
        <w:t xml:space="preserve">were </w:t>
      </w:r>
      <w:r w:rsidR="00B17892" w:rsidRPr="005E7802">
        <w:rPr>
          <w:rStyle w:val="hps"/>
        </w:rPr>
        <w:t xml:space="preserve">mandated to develop the rights of indigenous peoples. Peru echoed calls for developing standardized monitoring indicators and indicated that the Expert Mechanism </w:t>
      </w:r>
      <w:r w:rsidR="00581B1C" w:rsidRPr="005E7802">
        <w:rPr>
          <w:rStyle w:val="hps"/>
        </w:rPr>
        <w:t xml:space="preserve">could </w:t>
      </w:r>
      <w:r w:rsidR="00B17892" w:rsidRPr="005E7802">
        <w:rPr>
          <w:rStyle w:val="hps"/>
        </w:rPr>
        <w:t xml:space="preserve">be a platform for </w:t>
      </w:r>
      <w:r w:rsidR="00B17892" w:rsidRPr="005E7802">
        <w:t>exchanging</w:t>
      </w:r>
      <w:r w:rsidR="00B17892" w:rsidRPr="005E7802">
        <w:rPr>
          <w:rStyle w:val="hps"/>
        </w:rPr>
        <w:t xml:space="preserve"> information and best practices among States.</w:t>
      </w:r>
    </w:p>
    <w:p w:rsidR="00B17892" w:rsidRPr="00DE5DDF" w:rsidRDefault="005E7802" w:rsidP="005E7802">
      <w:pPr>
        <w:pStyle w:val="SingleTxtG"/>
      </w:pPr>
      <w:r w:rsidRPr="00DE5DDF">
        <w:t>119.</w:t>
      </w:r>
      <w:r w:rsidRPr="00DE5DDF">
        <w:tab/>
      </w:r>
      <w:r w:rsidR="00B17892" w:rsidRPr="00DE5DDF">
        <w:t>The Saami Parliament of Finland responded that the implementation of commitments under the Declaration should be monitored on a regular basis, adding that such monitoring should be State</w:t>
      </w:r>
      <w:r w:rsidR="00581B1C" w:rsidRPr="00DE5DDF">
        <w:t>-</w:t>
      </w:r>
      <w:r w:rsidR="00B17892" w:rsidRPr="00DE5DDF">
        <w:t>specific and that indigenous peoples living in the State in question should be heard. The Saami Parliament of Finland also suggested that recommendations should be issued to States for more effective implementation of the Declaration.</w:t>
      </w:r>
    </w:p>
    <w:p w:rsidR="00B17892" w:rsidRPr="00DE5DDF" w:rsidRDefault="005E7802" w:rsidP="005E7802">
      <w:pPr>
        <w:pStyle w:val="SingleTxtG"/>
      </w:pPr>
      <w:r w:rsidRPr="00DE5DDF">
        <w:t>120.</w:t>
      </w:r>
      <w:r w:rsidRPr="00DE5DDF">
        <w:tab/>
      </w:r>
      <w:r w:rsidR="00B17892" w:rsidRPr="00DE5DDF">
        <w:t>Teemashane Community Development Trust suggested that the Expert Mechanism could assist States in aligning domestic legislation to the Declaration.</w:t>
      </w:r>
    </w:p>
    <w:p w:rsidR="004B7CB6" w:rsidRPr="00DE5DDF" w:rsidRDefault="00391563" w:rsidP="00AD78CD">
      <w:pPr>
        <w:pStyle w:val="HChG"/>
      </w:pPr>
      <w:r w:rsidRPr="00DE5DDF">
        <w:tab/>
        <w:t>III.</w:t>
      </w:r>
      <w:r w:rsidRPr="00DE5DDF">
        <w:tab/>
      </w:r>
      <w:r w:rsidR="00B17892" w:rsidRPr="00DE5DDF">
        <w:t>Concluding comments</w:t>
      </w:r>
    </w:p>
    <w:p w:rsidR="00C21FEB" w:rsidRPr="00DE5DDF" w:rsidRDefault="005E7802" w:rsidP="005E7802">
      <w:pPr>
        <w:pStyle w:val="SingleTxtG"/>
        <w:rPr>
          <w:b/>
        </w:rPr>
      </w:pPr>
      <w:r w:rsidRPr="00DE5DDF">
        <w:t>121.</w:t>
      </w:r>
      <w:r w:rsidRPr="00DE5DDF">
        <w:tab/>
      </w:r>
      <w:r w:rsidR="00C21FEB" w:rsidRPr="00DE5DDF">
        <w:rPr>
          <w:b/>
        </w:rPr>
        <w:t>The Expert Mechanism on the Rights of Indigenous Peoples very much appreciates the responses of States and of indigenous peoples and indigenous peoples’ organizations to its questionnaire. The responses received allow the Expert Mechanism to evaluate some of the advances and challenges in the implementation of the Declaration from the perspectives of both States and indigenous peoples. However, the Expert Mechanism regrets the relatively low number of responses received and the fact that many Sates with indigenous peoples did not submit any information on their laws, policies and practices related to the implementation of the Declaration.</w:t>
      </w:r>
    </w:p>
    <w:p w:rsidR="00C21FEB" w:rsidRPr="00DE5DDF" w:rsidRDefault="005E7802" w:rsidP="005E7802">
      <w:pPr>
        <w:pStyle w:val="SingleTxtG"/>
        <w:rPr>
          <w:b/>
        </w:rPr>
      </w:pPr>
      <w:r w:rsidRPr="00DE5DDF">
        <w:t>122.</w:t>
      </w:r>
      <w:r w:rsidRPr="00DE5DDF">
        <w:tab/>
      </w:r>
      <w:r w:rsidR="00C21FEB" w:rsidRPr="00DE5DDF">
        <w:rPr>
          <w:b/>
        </w:rPr>
        <w:t>The majority of responses received from States provide information at a very general level. While information was provided on laws, policies and programmes relating to indigenous peoples, there was almost no information indicating the effectiveness of the measures taken. Most States provided only positive answers to questions. Negative answers would also provide a greater understanding of the barriers faced by States when implementing the Declaration.</w:t>
      </w:r>
    </w:p>
    <w:p w:rsidR="00C21FEB" w:rsidRPr="00DE5DDF" w:rsidRDefault="005E7802" w:rsidP="005E7802">
      <w:pPr>
        <w:pStyle w:val="SingleTxtG"/>
        <w:rPr>
          <w:b/>
        </w:rPr>
      </w:pPr>
      <w:r w:rsidRPr="00DE5DDF">
        <w:t>123.</w:t>
      </w:r>
      <w:r w:rsidRPr="00DE5DDF">
        <w:tab/>
      </w:r>
      <w:r w:rsidR="00C21FEB" w:rsidRPr="00DE5DDF">
        <w:rPr>
          <w:b/>
        </w:rPr>
        <w:t xml:space="preserve">Although several States reported on sectoral initiatives to implement provisions of the Declaration in areas such as education, health and environmental policy, very few reported on strategies or national action plans for the full implementation of the Declaration. There was also </w:t>
      </w:r>
      <w:r w:rsidR="006C1824" w:rsidRPr="00DE5DDF">
        <w:rPr>
          <w:b/>
        </w:rPr>
        <w:t xml:space="preserve">a </w:t>
      </w:r>
      <w:r w:rsidR="00C21FEB" w:rsidRPr="00DE5DDF">
        <w:rPr>
          <w:b/>
        </w:rPr>
        <w:t xml:space="preserve">lack of information as to any plans to develop such strategies or action plans, despite the commitment made by the Member States in the </w:t>
      </w:r>
      <w:r w:rsidR="006C1824" w:rsidRPr="00DE5DDF">
        <w:rPr>
          <w:b/>
        </w:rPr>
        <w:t>outcome document of the World Conference on Indigenous Peoples</w:t>
      </w:r>
      <w:r w:rsidR="00C21FEB" w:rsidRPr="00DE5DDF">
        <w:rPr>
          <w:b/>
        </w:rPr>
        <w:t>.</w:t>
      </w:r>
      <w:r w:rsidR="00240B17" w:rsidRPr="00DE5DDF">
        <w:rPr>
          <w:b/>
        </w:rPr>
        <w:t xml:space="preserve"> </w:t>
      </w:r>
      <w:r w:rsidR="00C21FEB" w:rsidRPr="00DE5DDF">
        <w:rPr>
          <w:b/>
        </w:rPr>
        <w:t xml:space="preserve">Given the interdependence and interrelatedness of the rights contained in the Declaration, its implementation requires comprehensive approaches and actions, as highlighted in the </w:t>
      </w:r>
      <w:r w:rsidR="006C1824" w:rsidRPr="00DE5DDF">
        <w:rPr>
          <w:b/>
        </w:rPr>
        <w:t xml:space="preserve">outcome document </w:t>
      </w:r>
      <w:r w:rsidR="00C21FEB" w:rsidRPr="00DE5DDF">
        <w:rPr>
          <w:b/>
        </w:rPr>
        <w:t>of the World Conference on Indigenous Peoples. Furthermore, in some cases the role that indigenous peoples and their own representative institutions played in developing the</w:t>
      </w:r>
      <w:r w:rsidR="004A6059" w:rsidRPr="00DE5DDF">
        <w:rPr>
          <w:b/>
        </w:rPr>
        <w:t>se initiatives remains unclear.</w:t>
      </w:r>
    </w:p>
    <w:p w:rsidR="00C21FEB" w:rsidRPr="00DE5DDF" w:rsidRDefault="005E7802" w:rsidP="005E7802">
      <w:pPr>
        <w:pStyle w:val="SingleTxtG"/>
        <w:rPr>
          <w:b/>
        </w:rPr>
      </w:pPr>
      <w:r w:rsidRPr="00DE5DDF">
        <w:t>124.</w:t>
      </w:r>
      <w:r w:rsidRPr="00DE5DDF">
        <w:tab/>
      </w:r>
      <w:r w:rsidR="00C21FEB" w:rsidRPr="00DE5DDF">
        <w:rPr>
          <w:b/>
        </w:rPr>
        <w:t>The Expert Mechanism underscores that substantive equality may require treating indigenous peoples as distinct groups facing unique circumstances. Several States discussed their commitment to equality and the equal treatment of all citizens under domestic law. However, some responses pointed towards the fact that equality is sometimes interpreted as prohibiting specialized programmes aimed at achieving the goals of the Declaration. The Expert Mechanism notes that the framework provided in the Declaration implies a need for special measures for indigenous peoples to ensure that they can enjoy the same rights and freedoms as other citizens. Indeed, special measures are specifically identified in numerous provisions of the Declaration.</w:t>
      </w:r>
    </w:p>
    <w:p w:rsidR="00C21FEB" w:rsidRPr="00DE5DDF" w:rsidRDefault="005E7802" w:rsidP="005E7802">
      <w:pPr>
        <w:pStyle w:val="SingleTxtG"/>
        <w:rPr>
          <w:b/>
        </w:rPr>
      </w:pPr>
      <w:r w:rsidRPr="00DE5DDF">
        <w:t>125.</w:t>
      </w:r>
      <w:r w:rsidRPr="00DE5DDF">
        <w:tab/>
      </w:r>
      <w:r w:rsidR="00C21FEB" w:rsidRPr="00DE5DDF">
        <w:rPr>
          <w:b/>
        </w:rPr>
        <w:t xml:space="preserve">Several responses from States showed encouraging progress in terms of efforts to adopt national legislation relating to indigenous peoples’ right to participate in decision-making. However, it was not always clear whether States were following the obligation to seek indigenous peoples’ free, prior and informed consent. Instead, several States referred to “prior consultation”. The Expert Mechanism encourages States to ensure that consultation processes work towards seeking indigenous peoples’ free, prior and informed consent. </w:t>
      </w:r>
    </w:p>
    <w:p w:rsidR="00C21FEB" w:rsidRPr="00DE5DDF" w:rsidRDefault="005E7802" w:rsidP="005E7802">
      <w:pPr>
        <w:pStyle w:val="SingleTxtG"/>
        <w:rPr>
          <w:b/>
        </w:rPr>
      </w:pPr>
      <w:r w:rsidRPr="00DE5DDF">
        <w:t>126.</w:t>
      </w:r>
      <w:r w:rsidRPr="00DE5DDF">
        <w:tab/>
      </w:r>
      <w:r w:rsidR="00C21FEB" w:rsidRPr="00DE5DDF">
        <w:rPr>
          <w:b/>
        </w:rPr>
        <w:t>Some States expressed concern that the diversity of indigenous peoples, geographic dispersion, and the lack of a unified indigenous voice often make it difficult to develop policies. The Expert Mechanism notes that the Declaration recognizes and embraces the diversity of indigenous peoples. This diversity may lead to different needs and different voices expressed by indigenous peoples within the same State, which should be adequately addressed in order to aid the implementation of the Declaration.</w:t>
      </w:r>
    </w:p>
    <w:p w:rsidR="00C21FEB" w:rsidRPr="00DE5DDF" w:rsidRDefault="005E7802" w:rsidP="005E7802">
      <w:pPr>
        <w:pStyle w:val="SingleTxtG"/>
        <w:rPr>
          <w:b/>
        </w:rPr>
      </w:pPr>
      <w:r w:rsidRPr="00DE5DDF">
        <w:t>127.</w:t>
      </w:r>
      <w:r w:rsidRPr="00DE5DDF">
        <w:tab/>
      </w:r>
      <w:r w:rsidR="00C21FEB" w:rsidRPr="00DE5DDF">
        <w:rPr>
          <w:b/>
        </w:rPr>
        <w:t>In answering questions, some States highlighted general measures of non-discrimination, gender equality and the protection of specific vulnerable groups. While the Expert Mechanism commends States for undertaking these measures, it encourages them to continue to examine how to best address the situation of indigenous peoples and individuals facing discrimination on multiple grounds.</w:t>
      </w:r>
    </w:p>
    <w:p w:rsidR="00C21FEB" w:rsidRPr="00DE5DDF" w:rsidRDefault="005E7802" w:rsidP="005E7802">
      <w:pPr>
        <w:pStyle w:val="SingleTxtG"/>
        <w:rPr>
          <w:b/>
        </w:rPr>
      </w:pPr>
      <w:r w:rsidRPr="00DE5DDF">
        <w:t>128.</w:t>
      </w:r>
      <w:r w:rsidRPr="00DE5DDF">
        <w:tab/>
      </w:r>
      <w:r w:rsidR="00C21FEB" w:rsidRPr="00DE5DDF">
        <w:rPr>
          <w:b/>
        </w:rPr>
        <w:t>Responses from indigenous peoples provide examples of approaches and activities, including advocacy and awareness-raising, development of resources on the Declaration, training for indigenous communities and organizations, and translating the Declaration into indigenous languages. However, few of the indigenous peoples that responded proposed overarching strategies for implementation of the Declaration. This may partly be due to the fact that most of the indigenous respondents work at the local level and are generally limited by a lack of financial resources and, in some cases, by a lack of will from State institutions to cooperate and engage with indigenous peoples.</w:t>
      </w:r>
    </w:p>
    <w:p w:rsidR="00C21FEB" w:rsidRPr="00DE5DDF" w:rsidRDefault="005E7802" w:rsidP="005E7802">
      <w:pPr>
        <w:pStyle w:val="SingleTxtG"/>
        <w:rPr>
          <w:b/>
        </w:rPr>
      </w:pPr>
      <w:r w:rsidRPr="00DE5DDF">
        <w:t>129.</w:t>
      </w:r>
      <w:r w:rsidRPr="00DE5DDF">
        <w:tab/>
      </w:r>
      <w:r w:rsidR="00C21FEB" w:rsidRPr="00DE5DDF">
        <w:rPr>
          <w:b/>
        </w:rPr>
        <w:t>Most indigenous peoples’ organizations reported a lack of attention from States in considering the Declaration and, more generally, the rights of indigenous peoples. These concerns hamper the effective implementation of the Declaration.</w:t>
      </w:r>
    </w:p>
    <w:p w:rsidR="00C21FEB" w:rsidRPr="00DE5DDF" w:rsidRDefault="00C21FEB" w:rsidP="00C21FEB">
      <w:pPr>
        <w:pStyle w:val="SingleTxtG"/>
        <w:spacing w:before="240" w:after="0"/>
        <w:jc w:val="center"/>
        <w:rPr>
          <w:rFonts w:eastAsia="SimSun"/>
          <w:u w:val="single"/>
          <w:lang w:eastAsia="ar-SA"/>
        </w:rPr>
      </w:pPr>
      <w:r w:rsidRPr="00DE5DDF">
        <w:rPr>
          <w:rFonts w:eastAsia="SimSun"/>
          <w:u w:val="single"/>
          <w:lang w:eastAsia="ar-SA"/>
        </w:rPr>
        <w:tab/>
      </w:r>
      <w:r w:rsidRPr="00DE5DDF">
        <w:rPr>
          <w:rFonts w:eastAsia="SimSun"/>
          <w:u w:val="single"/>
          <w:lang w:eastAsia="ar-SA"/>
        </w:rPr>
        <w:tab/>
      </w:r>
      <w:r w:rsidRPr="00DE5DDF">
        <w:rPr>
          <w:rFonts w:eastAsia="SimSun"/>
          <w:u w:val="single"/>
          <w:lang w:eastAsia="ar-SA"/>
        </w:rPr>
        <w:tab/>
      </w:r>
    </w:p>
    <w:sectPr w:rsidR="00C21FEB" w:rsidRPr="00DE5DDF" w:rsidSect="00C5346C">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36C" w:rsidRDefault="006E136C"/>
  </w:endnote>
  <w:endnote w:type="continuationSeparator" w:id="0">
    <w:p w:rsidR="006E136C" w:rsidRDefault="006E136C"/>
  </w:endnote>
  <w:endnote w:type="continuationNotice" w:id="1">
    <w:p w:rsidR="006E136C" w:rsidRDefault="006E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92" w:rsidRPr="004B7CB6" w:rsidRDefault="00D51D92" w:rsidP="0013720A">
    <w:pPr>
      <w:pStyle w:val="Footer"/>
      <w:tabs>
        <w:tab w:val="right" w:pos="9638"/>
      </w:tabs>
    </w:pPr>
    <w:r w:rsidRPr="004B7CB6">
      <w:rPr>
        <w:b/>
        <w:sz w:val="18"/>
      </w:rPr>
      <w:fldChar w:fldCharType="begin"/>
    </w:r>
    <w:r w:rsidRPr="004B7CB6">
      <w:rPr>
        <w:b/>
        <w:sz w:val="18"/>
      </w:rPr>
      <w:instrText xml:space="preserve"> PAGE  \* MERGEFORMAT </w:instrText>
    </w:r>
    <w:r w:rsidRPr="004B7CB6">
      <w:rPr>
        <w:b/>
        <w:sz w:val="18"/>
      </w:rPr>
      <w:fldChar w:fldCharType="separate"/>
    </w:r>
    <w:r w:rsidR="00183730">
      <w:rPr>
        <w:b/>
        <w:noProof/>
        <w:sz w:val="18"/>
      </w:rPr>
      <w:t>16</w:t>
    </w:r>
    <w:r w:rsidRPr="004B7CB6">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92" w:rsidRPr="004B7CB6" w:rsidRDefault="00D51D92" w:rsidP="004B7CB6">
    <w:pPr>
      <w:pStyle w:val="Footer"/>
      <w:tabs>
        <w:tab w:val="right" w:pos="9638"/>
      </w:tabs>
      <w:rPr>
        <w:b/>
        <w:sz w:val="18"/>
      </w:rPr>
    </w:pPr>
    <w:r>
      <w:tab/>
    </w:r>
    <w:r w:rsidRPr="004B7CB6">
      <w:rPr>
        <w:b/>
        <w:sz w:val="18"/>
      </w:rPr>
      <w:fldChar w:fldCharType="begin"/>
    </w:r>
    <w:r w:rsidRPr="004B7CB6">
      <w:rPr>
        <w:b/>
        <w:sz w:val="18"/>
      </w:rPr>
      <w:instrText xml:space="preserve"> PAGE  \* MERGEFORMAT </w:instrText>
    </w:r>
    <w:r w:rsidRPr="004B7CB6">
      <w:rPr>
        <w:b/>
        <w:sz w:val="18"/>
      </w:rPr>
      <w:fldChar w:fldCharType="separate"/>
    </w:r>
    <w:r w:rsidR="00183730">
      <w:rPr>
        <w:b/>
        <w:noProof/>
        <w:sz w:val="18"/>
      </w:rPr>
      <w:t>17</w:t>
    </w:r>
    <w:r w:rsidRPr="004B7CB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C5346C" w:rsidTr="00C5346C">
      <w:tc>
        <w:tcPr>
          <w:tcW w:w="3614" w:type="dxa"/>
          <w:shd w:val="clear" w:color="auto" w:fill="auto"/>
        </w:tcPr>
        <w:p w:rsidR="00C5346C" w:rsidRDefault="00C5346C" w:rsidP="00C5346C">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54&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4&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GE.15-13902(E)</w:t>
          </w:r>
        </w:p>
        <w:p w:rsidR="00C5346C" w:rsidRPr="00C5346C" w:rsidRDefault="00C5346C" w:rsidP="00C5346C">
          <w:pPr>
            <w:pStyle w:val="Footer"/>
            <w:rPr>
              <w:rFonts w:ascii="Barcode 3 of 9 by request" w:hAnsi="Barcode 3 of 9 by request"/>
              <w:sz w:val="24"/>
            </w:rPr>
          </w:pPr>
          <w:r>
            <w:rPr>
              <w:rFonts w:ascii="Barcode 3 of 9 by request" w:hAnsi="Barcode 3 of 9 by request"/>
              <w:sz w:val="24"/>
            </w:rPr>
            <w:t>*1513902*</w:t>
          </w:r>
        </w:p>
      </w:tc>
      <w:tc>
        <w:tcPr>
          <w:tcW w:w="4752" w:type="dxa"/>
          <w:shd w:val="clear" w:color="auto" w:fill="auto"/>
        </w:tcPr>
        <w:p w:rsidR="00C5346C" w:rsidRDefault="00C5346C" w:rsidP="00C5346C">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C5346C" w:rsidRPr="00C5346C" w:rsidRDefault="00C5346C" w:rsidP="00C5346C">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36C" w:rsidRPr="000B175B" w:rsidRDefault="006E136C" w:rsidP="000B175B">
      <w:pPr>
        <w:tabs>
          <w:tab w:val="right" w:pos="2155"/>
        </w:tabs>
        <w:spacing w:after="80"/>
        <w:ind w:left="680"/>
        <w:rPr>
          <w:u w:val="single"/>
        </w:rPr>
      </w:pPr>
      <w:r>
        <w:rPr>
          <w:u w:val="single"/>
        </w:rPr>
        <w:tab/>
      </w:r>
    </w:p>
  </w:footnote>
  <w:footnote w:type="continuationSeparator" w:id="0">
    <w:p w:rsidR="006E136C" w:rsidRPr="00FC68B7" w:rsidRDefault="006E136C" w:rsidP="00FC68B7">
      <w:pPr>
        <w:tabs>
          <w:tab w:val="left" w:pos="2155"/>
        </w:tabs>
        <w:spacing w:after="80"/>
        <w:ind w:left="680"/>
        <w:rPr>
          <w:u w:val="single"/>
        </w:rPr>
      </w:pPr>
      <w:r>
        <w:rPr>
          <w:u w:val="single"/>
        </w:rPr>
        <w:tab/>
      </w:r>
    </w:p>
  </w:footnote>
  <w:footnote w:type="continuationNotice" w:id="1">
    <w:p w:rsidR="006E136C" w:rsidRDefault="006E136C"/>
  </w:footnote>
  <w:footnote w:id="2">
    <w:p w:rsidR="00D51D92" w:rsidRPr="00053AED" w:rsidRDefault="00D51D92" w:rsidP="00631EDA">
      <w:pPr>
        <w:pStyle w:val="FootnoteText"/>
      </w:pPr>
      <w:r>
        <w:tab/>
      </w:r>
      <w:r>
        <w:rPr>
          <w:rStyle w:val="FootnoteReference"/>
        </w:rPr>
        <w:footnoteRef/>
      </w:r>
      <w:r>
        <w:tab/>
        <w:t xml:space="preserve">Available from </w:t>
      </w:r>
      <w:hyperlink r:id="rId1" w:history="1">
        <w:r w:rsidRPr="005E7802">
          <w:t>http://www.ohchr.org/EN/Issues/IPeoples/EMRIP/Pages/QuestionnaireDeclaration.aspx</w:t>
        </w:r>
      </w:hyperlink>
      <w:r w:rsidRPr="00053AE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92" w:rsidRPr="004B7CB6" w:rsidRDefault="00D51D92">
    <w:pPr>
      <w:pStyle w:val="Header"/>
    </w:pPr>
    <w:r>
      <w:t>A/HRC/30/54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92" w:rsidRPr="004B7CB6" w:rsidRDefault="00D51D92" w:rsidP="004B7CB6">
    <w:pPr>
      <w:pStyle w:val="Header"/>
      <w:jc w:val="right"/>
    </w:pPr>
    <w:r>
      <w:t>A/HRC/30/54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3"/>
      <w:numFmt w:val="lowerLetter"/>
      <w:lvlText w:val="%1)"/>
      <w:lvlJc w:val="left"/>
      <w:pPr>
        <w:tabs>
          <w:tab w:val="num" w:pos="720"/>
        </w:tabs>
        <w:ind w:left="720" w:hanging="360"/>
      </w:pPr>
    </w:lvl>
  </w:abstractNum>
  <w:abstractNum w:abstractNumId="1">
    <w:nsid w:val="00000002"/>
    <w:multiLevelType w:val="singleLevel"/>
    <w:tmpl w:val="00000002"/>
    <w:name w:val="WW8Num5"/>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7"/>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9"/>
    <w:lvl w:ilvl="0">
      <w:start w:val="1"/>
      <w:numFmt w:val="lowerRoman"/>
      <w:lvlText w:val="(%1)"/>
      <w:lvlJc w:val="left"/>
      <w:pPr>
        <w:tabs>
          <w:tab w:val="num" w:pos="1080"/>
        </w:tabs>
        <w:ind w:left="1080" w:hanging="720"/>
      </w:pPr>
    </w:lvl>
  </w:abstractNum>
  <w:abstractNum w:abstractNumId="4">
    <w:nsid w:val="00000005"/>
    <w:multiLevelType w:val="singleLevel"/>
    <w:tmpl w:val="00000005"/>
    <w:name w:val="WW8Num10"/>
    <w:lvl w:ilvl="0">
      <w:start w:val="1"/>
      <w:numFmt w:val="lowerLetter"/>
      <w:lvlText w:val="%1)"/>
      <w:lvlJc w:val="left"/>
      <w:pPr>
        <w:tabs>
          <w:tab w:val="num" w:pos="720"/>
        </w:tabs>
        <w:ind w:left="720" w:hanging="360"/>
      </w:pPr>
    </w:lvl>
  </w:abstractNum>
  <w:abstractNum w:abstractNumId="5">
    <w:nsid w:val="03F2036B"/>
    <w:multiLevelType w:val="hybridMultilevel"/>
    <w:tmpl w:val="F3DA9786"/>
    <w:lvl w:ilvl="0" w:tplc="6C6A905C">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0606D1C"/>
    <w:multiLevelType w:val="hybridMultilevel"/>
    <w:tmpl w:val="6BDC5C8A"/>
    <w:lvl w:ilvl="0" w:tplc="6C3800DE">
      <w:start w:val="1"/>
      <w:numFmt w:val="decimal"/>
      <w:lvlText w:val="%1."/>
      <w:lvlJc w:val="left"/>
      <w:pPr>
        <w:ind w:left="1689" w:hanging="555"/>
      </w:pPr>
      <w:rPr>
        <w:rFonts w:hint="default"/>
        <w:b w:val="0"/>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AAA13B2"/>
    <w:multiLevelType w:val="hybridMultilevel"/>
    <w:tmpl w:val="1EDAD66E"/>
    <w:lvl w:ilvl="0" w:tplc="849CED2A">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nsid w:val="2B87169C"/>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CC46426"/>
    <w:multiLevelType w:val="hybridMultilevel"/>
    <w:tmpl w:val="CAA4945C"/>
    <w:lvl w:ilvl="0" w:tplc="92AC5FC6">
      <w:start w:val="6"/>
      <w:numFmt w:val="upperLetter"/>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10">
    <w:nsid w:val="3E0D493D"/>
    <w:multiLevelType w:val="hybridMultilevel"/>
    <w:tmpl w:val="5D8ACA5C"/>
    <w:lvl w:ilvl="0" w:tplc="27CC0B7E">
      <w:start w:val="1"/>
      <w:numFmt w:val="upperLetter"/>
      <w:lvlText w:val="%1."/>
      <w:lvlJc w:val="left"/>
      <w:pPr>
        <w:ind w:left="1234" w:hanging="52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4F442D14"/>
    <w:multiLevelType w:val="hybridMultilevel"/>
    <w:tmpl w:val="21449AA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54BE4B78"/>
    <w:multiLevelType w:val="hybridMultilevel"/>
    <w:tmpl w:val="AD44A2C6"/>
    <w:lvl w:ilvl="0" w:tplc="F4E224EA">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3">
    <w:nsid w:val="54FB7A71"/>
    <w:multiLevelType w:val="hybridMultilevel"/>
    <w:tmpl w:val="51D49B56"/>
    <w:lvl w:ilvl="0" w:tplc="64FC963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nsid w:val="656D53B5"/>
    <w:multiLevelType w:val="hybridMultilevel"/>
    <w:tmpl w:val="43382A3A"/>
    <w:lvl w:ilvl="0" w:tplc="16E6F94A">
      <w:start w:val="1"/>
      <w:numFmt w:val="upp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nsid w:val="67EC1E0C"/>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CDF0836"/>
    <w:multiLevelType w:val="hybridMultilevel"/>
    <w:tmpl w:val="5D8ACA5C"/>
    <w:lvl w:ilvl="0" w:tplc="27CC0B7E">
      <w:start w:val="1"/>
      <w:numFmt w:val="upperLetter"/>
      <w:lvlText w:val="%1."/>
      <w:lvlJc w:val="left"/>
      <w:pPr>
        <w:ind w:left="1234" w:hanging="52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706C233B"/>
    <w:multiLevelType w:val="multilevel"/>
    <w:tmpl w:val="0409001D"/>
    <w:styleLink w:val="Style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2C66EED"/>
    <w:multiLevelType w:val="hybridMultilevel"/>
    <w:tmpl w:val="C3AE7CF6"/>
    <w:lvl w:ilvl="0" w:tplc="C7C0CED8">
      <w:start w:val="1"/>
      <w:numFmt w:val="upperLetter"/>
      <w:lvlText w:val="%1."/>
      <w:lvlJc w:val="left"/>
      <w:pPr>
        <w:ind w:left="1560" w:hanging="48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72D220A1"/>
    <w:multiLevelType w:val="hybridMultilevel"/>
    <w:tmpl w:val="5D8ACA5C"/>
    <w:lvl w:ilvl="0" w:tplc="27CC0B7E">
      <w:start w:val="1"/>
      <w:numFmt w:val="upperLetter"/>
      <w:lvlText w:val="%1."/>
      <w:lvlJc w:val="left"/>
      <w:pPr>
        <w:ind w:left="1234" w:hanging="52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787F040A"/>
    <w:multiLevelType w:val="hybridMultilevel"/>
    <w:tmpl w:val="FF5029B2"/>
    <w:lvl w:ilvl="0" w:tplc="CA78F328">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5"/>
  </w:num>
  <w:num w:numId="2">
    <w:abstractNumId w:val="16"/>
  </w:num>
  <w:num w:numId="3">
    <w:abstractNumId w:val="15"/>
  </w:num>
  <w:num w:numId="4">
    <w:abstractNumId w:val="18"/>
  </w:num>
  <w:num w:numId="5">
    <w:abstractNumId w:val="8"/>
  </w:num>
  <w:num w:numId="6">
    <w:abstractNumId w:val="10"/>
  </w:num>
  <w:num w:numId="7">
    <w:abstractNumId w:val="20"/>
  </w:num>
  <w:num w:numId="8">
    <w:abstractNumId w:val="17"/>
  </w:num>
  <w:num w:numId="9">
    <w:abstractNumId w:val="12"/>
  </w:num>
  <w:num w:numId="10">
    <w:abstractNumId w:val="13"/>
  </w:num>
  <w:num w:numId="11">
    <w:abstractNumId w:val="21"/>
  </w:num>
  <w:num w:numId="12">
    <w:abstractNumId w:val="19"/>
  </w:num>
  <w:num w:numId="13">
    <w:abstractNumId w:val="7"/>
  </w:num>
  <w:num w:numId="14">
    <w:abstractNumId w:val="9"/>
  </w:num>
  <w:num w:numId="15">
    <w:abstractNumId w:val="14"/>
  </w:num>
  <w:num w:numId="16">
    <w:abstractNumId w:val="11"/>
  </w:num>
  <w:num w:numId="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B6"/>
    <w:rsid w:val="00007074"/>
    <w:rsid w:val="00007F7F"/>
    <w:rsid w:val="00020D31"/>
    <w:rsid w:val="0002167D"/>
    <w:rsid w:val="00022DB5"/>
    <w:rsid w:val="000403D1"/>
    <w:rsid w:val="0004204A"/>
    <w:rsid w:val="00044106"/>
    <w:rsid w:val="000449AA"/>
    <w:rsid w:val="00050F6B"/>
    <w:rsid w:val="00053AED"/>
    <w:rsid w:val="000549BE"/>
    <w:rsid w:val="00057BCA"/>
    <w:rsid w:val="00072C8C"/>
    <w:rsid w:val="00073E70"/>
    <w:rsid w:val="00075C90"/>
    <w:rsid w:val="000822DB"/>
    <w:rsid w:val="0008363C"/>
    <w:rsid w:val="000876EB"/>
    <w:rsid w:val="00087701"/>
    <w:rsid w:val="00087EBE"/>
    <w:rsid w:val="00091419"/>
    <w:rsid w:val="000931C0"/>
    <w:rsid w:val="000A6913"/>
    <w:rsid w:val="000A6BAE"/>
    <w:rsid w:val="000B175B"/>
    <w:rsid w:val="000B3620"/>
    <w:rsid w:val="000B3A0F"/>
    <w:rsid w:val="000B4A3B"/>
    <w:rsid w:val="000B5D35"/>
    <w:rsid w:val="000C583F"/>
    <w:rsid w:val="000C5E67"/>
    <w:rsid w:val="000D1851"/>
    <w:rsid w:val="000E0415"/>
    <w:rsid w:val="000E28F0"/>
    <w:rsid w:val="000E30C2"/>
    <w:rsid w:val="000F2BC7"/>
    <w:rsid w:val="000F3C72"/>
    <w:rsid w:val="00102CE5"/>
    <w:rsid w:val="0012222C"/>
    <w:rsid w:val="0013720A"/>
    <w:rsid w:val="00137D95"/>
    <w:rsid w:val="00146D32"/>
    <w:rsid w:val="001505F5"/>
    <w:rsid w:val="001509BA"/>
    <w:rsid w:val="00162138"/>
    <w:rsid w:val="00182822"/>
    <w:rsid w:val="00183730"/>
    <w:rsid w:val="00190D17"/>
    <w:rsid w:val="001B4B04"/>
    <w:rsid w:val="001C6663"/>
    <w:rsid w:val="001C7895"/>
    <w:rsid w:val="001D256A"/>
    <w:rsid w:val="001D26DF"/>
    <w:rsid w:val="001D4F13"/>
    <w:rsid w:val="001E2790"/>
    <w:rsid w:val="001E7F19"/>
    <w:rsid w:val="001F365A"/>
    <w:rsid w:val="001F73DA"/>
    <w:rsid w:val="002005FC"/>
    <w:rsid w:val="0020091F"/>
    <w:rsid w:val="002118E4"/>
    <w:rsid w:val="00211E0B"/>
    <w:rsid w:val="00211E72"/>
    <w:rsid w:val="002123FD"/>
    <w:rsid w:val="00214047"/>
    <w:rsid w:val="002154E6"/>
    <w:rsid w:val="0022046F"/>
    <w:rsid w:val="00220CF7"/>
    <w:rsid w:val="0022130F"/>
    <w:rsid w:val="00237785"/>
    <w:rsid w:val="00240B17"/>
    <w:rsid w:val="002410DD"/>
    <w:rsid w:val="00241466"/>
    <w:rsid w:val="00241636"/>
    <w:rsid w:val="002511AA"/>
    <w:rsid w:val="00253B95"/>
    <w:rsid w:val="00253D58"/>
    <w:rsid w:val="002570D9"/>
    <w:rsid w:val="00261404"/>
    <w:rsid w:val="002616BA"/>
    <w:rsid w:val="0026341E"/>
    <w:rsid w:val="0026566A"/>
    <w:rsid w:val="002718E1"/>
    <w:rsid w:val="00273985"/>
    <w:rsid w:val="00275C3C"/>
    <w:rsid w:val="0027725F"/>
    <w:rsid w:val="00277438"/>
    <w:rsid w:val="0028016C"/>
    <w:rsid w:val="00295E79"/>
    <w:rsid w:val="002A61CB"/>
    <w:rsid w:val="002B0576"/>
    <w:rsid w:val="002B3B04"/>
    <w:rsid w:val="002B531C"/>
    <w:rsid w:val="002C1326"/>
    <w:rsid w:val="002C21F0"/>
    <w:rsid w:val="002C663A"/>
    <w:rsid w:val="002D0500"/>
    <w:rsid w:val="002E6044"/>
    <w:rsid w:val="002E7BC9"/>
    <w:rsid w:val="002F623B"/>
    <w:rsid w:val="002F7615"/>
    <w:rsid w:val="0030033E"/>
    <w:rsid w:val="00307365"/>
    <w:rsid w:val="003107FA"/>
    <w:rsid w:val="00310B84"/>
    <w:rsid w:val="00317FB3"/>
    <w:rsid w:val="003229D8"/>
    <w:rsid w:val="0032326F"/>
    <w:rsid w:val="0032618B"/>
    <w:rsid w:val="003314D1"/>
    <w:rsid w:val="00335A2F"/>
    <w:rsid w:val="003366F4"/>
    <w:rsid w:val="00341937"/>
    <w:rsid w:val="003473EA"/>
    <w:rsid w:val="00353FF4"/>
    <w:rsid w:val="00356EDA"/>
    <w:rsid w:val="00362483"/>
    <w:rsid w:val="0037167B"/>
    <w:rsid w:val="00376AF2"/>
    <w:rsid w:val="00391563"/>
    <w:rsid w:val="0039277A"/>
    <w:rsid w:val="00392E53"/>
    <w:rsid w:val="00393B01"/>
    <w:rsid w:val="003972E0"/>
    <w:rsid w:val="003975ED"/>
    <w:rsid w:val="003A0BEE"/>
    <w:rsid w:val="003A7C4B"/>
    <w:rsid w:val="003B4E01"/>
    <w:rsid w:val="003C2A09"/>
    <w:rsid w:val="003C2CC4"/>
    <w:rsid w:val="003D1D40"/>
    <w:rsid w:val="003D4B23"/>
    <w:rsid w:val="003E4CFC"/>
    <w:rsid w:val="003F6CCD"/>
    <w:rsid w:val="003F6FB2"/>
    <w:rsid w:val="004002DA"/>
    <w:rsid w:val="004005FE"/>
    <w:rsid w:val="00402313"/>
    <w:rsid w:val="0040441C"/>
    <w:rsid w:val="00406566"/>
    <w:rsid w:val="004069B5"/>
    <w:rsid w:val="00407078"/>
    <w:rsid w:val="004072EC"/>
    <w:rsid w:val="00410613"/>
    <w:rsid w:val="004211F3"/>
    <w:rsid w:val="00421CCA"/>
    <w:rsid w:val="00424C80"/>
    <w:rsid w:val="00430727"/>
    <w:rsid w:val="0043236F"/>
    <w:rsid w:val="004325CB"/>
    <w:rsid w:val="00436461"/>
    <w:rsid w:val="00436754"/>
    <w:rsid w:val="0044497A"/>
    <w:rsid w:val="0044503A"/>
    <w:rsid w:val="00446DE4"/>
    <w:rsid w:val="00447761"/>
    <w:rsid w:val="004517E8"/>
    <w:rsid w:val="00451EC3"/>
    <w:rsid w:val="004522D7"/>
    <w:rsid w:val="00461EDE"/>
    <w:rsid w:val="00465D61"/>
    <w:rsid w:val="0047060A"/>
    <w:rsid w:val="004721B1"/>
    <w:rsid w:val="0047231E"/>
    <w:rsid w:val="00474BA2"/>
    <w:rsid w:val="004859EC"/>
    <w:rsid w:val="00494B61"/>
    <w:rsid w:val="00496A15"/>
    <w:rsid w:val="004A218C"/>
    <w:rsid w:val="004A5C63"/>
    <w:rsid w:val="004A6059"/>
    <w:rsid w:val="004B3071"/>
    <w:rsid w:val="004B75D2"/>
    <w:rsid w:val="004B7CB6"/>
    <w:rsid w:val="004C0309"/>
    <w:rsid w:val="004C3D85"/>
    <w:rsid w:val="004C4064"/>
    <w:rsid w:val="004D1140"/>
    <w:rsid w:val="004D4E62"/>
    <w:rsid w:val="004F05FC"/>
    <w:rsid w:val="004F0910"/>
    <w:rsid w:val="004F55ED"/>
    <w:rsid w:val="005008CE"/>
    <w:rsid w:val="00502E47"/>
    <w:rsid w:val="00503A75"/>
    <w:rsid w:val="00511A71"/>
    <w:rsid w:val="0052176C"/>
    <w:rsid w:val="005261E5"/>
    <w:rsid w:val="005262AC"/>
    <w:rsid w:val="00531EA0"/>
    <w:rsid w:val="00532B0D"/>
    <w:rsid w:val="00533D71"/>
    <w:rsid w:val="005420F2"/>
    <w:rsid w:val="00542574"/>
    <w:rsid w:val="005436AB"/>
    <w:rsid w:val="00546DBF"/>
    <w:rsid w:val="00550342"/>
    <w:rsid w:val="00551484"/>
    <w:rsid w:val="00552B8E"/>
    <w:rsid w:val="00553D76"/>
    <w:rsid w:val="005552B5"/>
    <w:rsid w:val="005564A9"/>
    <w:rsid w:val="0056117B"/>
    <w:rsid w:val="00561E1A"/>
    <w:rsid w:val="0057029A"/>
    <w:rsid w:val="00571365"/>
    <w:rsid w:val="00576B83"/>
    <w:rsid w:val="00581B1C"/>
    <w:rsid w:val="00583647"/>
    <w:rsid w:val="005A26E9"/>
    <w:rsid w:val="005A3DEF"/>
    <w:rsid w:val="005B1B04"/>
    <w:rsid w:val="005B1B11"/>
    <w:rsid w:val="005B3DB3"/>
    <w:rsid w:val="005B6E48"/>
    <w:rsid w:val="005C14CF"/>
    <w:rsid w:val="005D006D"/>
    <w:rsid w:val="005D02C8"/>
    <w:rsid w:val="005E1712"/>
    <w:rsid w:val="005E483F"/>
    <w:rsid w:val="005E5446"/>
    <w:rsid w:val="005E7802"/>
    <w:rsid w:val="005F7FDA"/>
    <w:rsid w:val="0061035E"/>
    <w:rsid w:val="00611421"/>
    <w:rsid w:val="00611FC4"/>
    <w:rsid w:val="00612123"/>
    <w:rsid w:val="00612A5C"/>
    <w:rsid w:val="0061509B"/>
    <w:rsid w:val="0061765F"/>
    <w:rsid w:val="006176FB"/>
    <w:rsid w:val="006211C6"/>
    <w:rsid w:val="0062722B"/>
    <w:rsid w:val="0063180B"/>
    <w:rsid w:val="00631EDA"/>
    <w:rsid w:val="006349EC"/>
    <w:rsid w:val="00635C87"/>
    <w:rsid w:val="00640B26"/>
    <w:rsid w:val="00651F82"/>
    <w:rsid w:val="00655B1B"/>
    <w:rsid w:val="0066506D"/>
    <w:rsid w:val="00670741"/>
    <w:rsid w:val="00691C73"/>
    <w:rsid w:val="00696BD6"/>
    <w:rsid w:val="006A3012"/>
    <w:rsid w:val="006A53D3"/>
    <w:rsid w:val="006A6B9D"/>
    <w:rsid w:val="006A7392"/>
    <w:rsid w:val="006A7E0E"/>
    <w:rsid w:val="006B13E5"/>
    <w:rsid w:val="006B3189"/>
    <w:rsid w:val="006B50EC"/>
    <w:rsid w:val="006B7D65"/>
    <w:rsid w:val="006C1824"/>
    <w:rsid w:val="006C7D91"/>
    <w:rsid w:val="006D6C44"/>
    <w:rsid w:val="006D6DA6"/>
    <w:rsid w:val="006E136C"/>
    <w:rsid w:val="006E13F0"/>
    <w:rsid w:val="006E564B"/>
    <w:rsid w:val="006F0C30"/>
    <w:rsid w:val="006F13F0"/>
    <w:rsid w:val="006F2EDC"/>
    <w:rsid w:val="006F5035"/>
    <w:rsid w:val="00700ED8"/>
    <w:rsid w:val="0070311D"/>
    <w:rsid w:val="00703773"/>
    <w:rsid w:val="007043A0"/>
    <w:rsid w:val="007065EB"/>
    <w:rsid w:val="00716337"/>
    <w:rsid w:val="00720183"/>
    <w:rsid w:val="007239E1"/>
    <w:rsid w:val="0072632A"/>
    <w:rsid w:val="00730FD0"/>
    <w:rsid w:val="00731B48"/>
    <w:rsid w:val="00733393"/>
    <w:rsid w:val="007358C7"/>
    <w:rsid w:val="0074200B"/>
    <w:rsid w:val="00747C5A"/>
    <w:rsid w:val="0075119D"/>
    <w:rsid w:val="00774545"/>
    <w:rsid w:val="007771CF"/>
    <w:rsid w:val="007804ED"/>
    <w:rsid w:val="007822D2"/>
    <w:rsid w:val="0078635D"/>
    <w:rsid w:val="007940AF"/>
    <w:rsid w:val="00794513"/>
    <w:rsid w:val="007A6296"/>
    <w:rsid w:val="007B1741"/>
    <w:rsid w:val="007B6BA5"/>
    <w:rsid w:val="007C1B62"/>
    <w:rsid w:val="007C3390"/>
    <w:rsid w:val="007C4F4B"/>
    <w:rsid w:val="007D2CDC"/>
    <w:rsid w:val="007D5327"/>
    <w:rsid w:val="007D582E"/>
    <w:rsid w:val="007E2473"/>
    <w:rsid w:val="007E4A2A"/>
    <w:rsid w:val="007F6611"/>
    <w:rsid w:val="008005FB"/>
    <w:rsid w:val="0080700A"/>
    <w:rsid w:val="00813632"/>
    <w:rsid w:val="0081499B"/>
    <w:rsid w:val="008155C3"/>
    <w:rsid w:val="008175E9"/>
    <w:rsid w:val="00821501"/>
    <w:rsid w:val="0082243E"/>
    <w:rsid w:val="008242D7"/>
    <w:rsid w:val="00831087"/>
    <w:rsid w:val="00831184"/>
    <w:rsid w:val="0084360C"/>
    <w:rsid w:val="00851015"/>
    <w:rsid w:val="00853C87"/>
    <w:rsid w:val="00856CD2"/>
    <w:rsid w:val="00861BC6"/>
    <w:rsid w:val="00863AAB"/>
    <w:rsid w:val="00864EF5"/>
    <w:rsid w:val="00871FD5"/>
    <w:rsid w:val="0087498B"/>
    <w:rsid w:val="0087662E"/>
    <w:rsid w:val="008853BF"/>
    <w:rsid w:val="00892D1C"/>
    <w:rsid w:val="00895B14"/>
    <w:rsid w:val="00895B68"/>
    <w:rsid w:val="008979B1"/>
    <w:rsid w:val="008A6166"/>
    <w:rsid w:val="008A6B25"/>
    <w:rsid w:val="008A6C4F"/>
    <w:rsid w:val="008B3049"/>
    <w:rsid w:val="008C1E4D"/>
    <w:rsid w:val="008E0AE1"/>
    <w:rsid w:val="008E0E46"/>
    <w:rsid w:val="008F15EF"/>
    <w:rsid w:val="008F4273"/>
    <w:rsid w:val="0090452C"/>
    <w:rsid w:val="009054E6"/>
    <w:rsid w:val="00907C3F"/>
    <w:rsid w:val="00912DF4"/>
    <w:rsid w:val="009219AC"/>
    <w:rsid w:val="0092237C"/>
    <w:rsid w:val="009226BB"/>
    <w:rsid w:val="0092559C"/>
    <w:rsid w:val="00934AC9"/>
    <w:rsid w:val="0093707B"/>
    <w:rsid w:val="009400EB"/>
    <w:rsid w:val="00941568"/>
    <w:rsid w:val="00942446"/>
    <w:rsid w:val="009427E3"/>
    <w:rsid w:val="00942E65"/>
    <w:rsid w:val="00944C4B"/>
    <w:rsid w:val="0094678E"/>
    <w:rsid w:val="00951804"/>
    <w:rsid w:val="00956D9B"/>
    <w:rsid w:val="00963CBA"/>
    <w:rsid w:val="009654B7"/>
    <w:rsid w:val="00980C30"/>
    <w:rsid w:val="009876B8"/>
    <w:rsid w:val="00991261"/>
    <w:rsid w:val="009A00C2"/>
    <w:rsid w:val="009A0B83"/>
    <w:rsid w:val="009A34EA"/>
    <w:rsid w:val="009B3800"/>
    <w:rsid w:val="009C0B09"/>
    <w:rsid w:val="009C4C58"/>
    <w:rsid w:val="009C599B"/>
    <w:rsid w:val="009D22AC"/>
    <w:rsid w:val="009D50DB"/>
    <w:rsid w:val="009D5F4D"/>
    <w:rsid w:val="009D6F1A"/>
    <w:rsid w:val="009E08F0"/>
    <w:rsid w:val="009E0A4C"/>
    <w:rsid w:val="009E1C4E"/>
    <w:rsid w:val="009E1DCB"/>
    <w:rsid w:val="009E26F4"/>
    <w:rsid w:val="009E2AE9"/>
    <w:rsid w:val="009E48A1"/>
    <w:rsid w:val="00A01A58"/>
    <w:rsid w:val="00A031D2"/>
    <w:rsid w:val="00A05E0B"/>
    <w:rsid w:val="00A0777E"/>
    <w:rsid w:val="00A1427D"/>
    <w:rsid w:val="00A16837"/>
    <w:rsid w:val="00A22440"/>
    <w:rsid w:val="00A40752"/>
    <w:rsid w:val="00A41162"/>
    <w:rsid w:val="00A44A4D"/>
    <w:rsid w:val="00A45BEB"/>
    <w:rsid w:val="00A4634F"/>
    <w:rsid w:val="00A51CF3"/>
    <w:rsid w:val="00A53DB2"/>
    <w:rsid w:val="00A573E4"/>
    <w:rsid w:val="00A72F22"/>
    <w:rsid w:val="00A748A6"/>
    <w:rsid w:val="00A75505"/>
    <w:rsid w:val="00A81B00"/>
    <w:rsid w:val="00A879A4"/>
    <w:rsid w:val="00A87B8B"/>
    <w:rsid w:val="00A87E95"/>
    <w:rsid w:val="00A92E29"/>
    <w:rsid w:val="00A97292"/>
    <w:rsid w:val="00AA2EDA"/>
    <w:rsid w:val="00AC5461"/>
    <w:rsid w:val="00AC72D3"/>
    <w:rsid w:val="00AD09E9"/>
    <w:rsid w:val="00AD4023"/>
    <w:rsid w:val="00AD78CD"/>
    <w:rsid w:val="00AE15F0"/>
    <w:rsid w:val="00AE7E5F"/>
    <w:rsid w:val="00AF0576"/>
    <w:rsid w:val="00AF3829"/>
    <w:rsid w:val="00AF7138"/>
    <w:rsid w:val="00B037F0"/>
    <w:rsid w:val="00B03EE6"/>
    <w:rsid w:val="00B042E6"/>
    <w:rsid w:val="00B0717A"/>
    <w:rsid w:val="00B1525D"/>
    <w:rsid w:val="00B17892"/>
    <w:rsid w:val="00B20171"/>
    <w:rsid w:val="00B2327D"/>
    <w:rsid w:val="00B2504E"/>
    <w:rsid w:val="00B2718F"/>
    <w:rsid w:val="00B30179"/>
    <w:rsid w:val="00B3241F"/>
    <w:rsid w:val="00B3317B"/>
    <w:rsid w:val="00B334DC"/>
    <w:rsid w:val="00B3631A"/>
    <w:rsid w:val="00B4318C"/>
    <w:rsid w:val="00B51545"/>
    <w:rsid w:val="00B53013"/>
    <w:rsid w:val="00B60E39"/>
    <w:rsid w:val="00B67F5E"/>
    <w:rsid w:val="00B72361"/>
    <w:rsid w:val="00B73E65"/>
    <w:rsid w:val="00B743D2"/>
    <w:rsid w:val="00B75006"/>
    <w:rsid w:val="00B81E12"/>
    <w:rsid w:val="00B82FE4"/>
    <w:rsid w:val="00B83B3B"/>
    <w:rsid w:val="00B87110"/>
    <w:rsid w:val="00B96C04"/>
    <w:rsid w:val="00B97FA8"/>
    <w:rsid w:val="00BA0FF5"/>
    <w:rsid w:val="00BA1AD2"/>
    <w:rsid w:val="00BC1385"/>
    <w:rsid w:val="00BC3C91"/>
    <w:rsid w:val="00BC74E9"/>
    <w:rsid w:val="00BD4A86"/>
    <w:rsid w:val="00BD7886"/>
    <w:rsid w:val="00BE2813"/>
    <w:rsid w:val="00BE618E"/>
    <w:rsid w:val="00BF1099"/>
    <w:rsid w:val="00BF14BD"/>
    <w:rsid w:val="00BF7CD7"/>
    <w:rsid w:val="00C12C0B"/>
    <w:rsid w:val="00C21FEB"/>
    <w:rsid w:val="00C24693"/>
    <w:rsid w:val="00C35F0B"/>
    <w:rsid w:val="00C36A67"/>
    <w:rsid w:val="00C40C6B"/>
    <w:rsid w:val="00C457A3"/>
    <w:rsid w:val="00C463DD"/>
    <w:rsid w:val="00C52ADB"/>
    <w:rsid w:val="00C5346C"/>
    <w:rsid w:val="00C62855"/>
    <w:rsid w:val="00C64458"/>
    <w:rsid w:val="00C745C3"/>
    <w:rsid w:val="00C9294E"/>
    <w:rsid w:val="00CA2A58"/>
    <w:rsid w:val="00CA4F62"/>
    <w:rsid w:val="00CA5443"/>
    <w:rsid w:val="00CB10DF"/>
    <w:rsid w:val="00CB68A1"/>
    <w:rsid w:val="00CC0469"/>
    <w:rsid w:val="00CC0B55"/>
    <w:rsid w:val="00CC60F8"/>
    <w:rsid w:val="00CD6995"/>
    <w:rsid w:val="00CE4A8F"/>
    <w:rsid w:val="00CE680C"/>
    <w:rsid w:val="00CF0214"/>
    <w:rsid w:val="00CF4A86"/>
    <w:rsid w:val="00CF586F"/>
    <w:rsid w:val="00CF5F82"/>
    <w:rsid w:val="00CF7D43"/>
    <w:rsid w:val="00D06601"/>
    <w:rsid w:val="00D11129"/>
    <w:rsid w:val="00D143A2"/>
    <w:rsid w:val="00D2031B"/>
    <w:rsid w:val="00D22332"/>
    <w:rsid w:val="00D25FE2"/>
    <w:rsid w:val="00D2617C"/>
    <w:rsid w:val="00D26DEF"/>
    <w:rsid w:val="00D31DE9"/>
    <w:rsid w:val="00D426A5"/>
    <w:rsid w:val="00D43252"/>
    <w:rsid w:val="00D435A9"/>
    <w:rsid w:val="00D46E75"/>
    <w:rsid w:val="00D502E0"/>
    <w:rsid w:val="00D51D92"/>
    <w:rsid w:val="00D550F9"/>
    <w:rsid w:val="00D572B0"/>
    <w:rsid w:val="00D62E90"/>
    <w:rsid w:val="00D656BD"/>
    <w:rsid w:val="00D6636B"/>
    <w:rsid w:val="00D74124"/>
    <w:rsid w:val="00D76BE5"/>
    <w:rsid w:val="00D978C6"/>
    <w:rsid w:val="00DA0891"/>
    <w:rsid w:val="00DA0EDC"/>
    <w:rsid w:val="00DA67AD"/>
    <w:rsid w:val="00DA6CAF"/>
    <w:rsid w:val="00DB18CE"/>
    <w:rsid w:val="00DB269D"/>
    <w:rsid w:val="00DB3CAF"/>
    <w:rsid w:val="00DB75F1"/>
    <w:rsid w:val="00DC54C9"/>
    <w:rsid w:val="00DD2012"/>
    <w:rsid w:val="00DD2597"/>
    <w:rsid w:val="00DD3F2C"/>
    <w:rsid w:val="00DD547A"/>
    <w:rsid w:val="00DE0043"/>
    <w:rsid w:val="00DE1D88"/>
    <w:rsid w:val="00DE38EC"/>
    <w:rsid w:val="00DE3EC0"/>
    <w:rsid w:val="00DE5DDF"/>
    <w:rsid w:val="00DF0BC5"/>
    <w:rsid w:val="00DF4B5C"/>
    <w:rsid w:val="00DF6341"/>
    <w:rsid w:val="00DF72BB"/>
    <w:rsid w:val="00DF769B"/>
    <w:rsid w:val="00DF7D24"/>
    <w:rsid w:val="00E03373"/>
    <w:rsid w:val="00E11593"/>
    <w:rsid w:val="00E12B6B"/>
    <w:rsid w:val="00E130AB"/>
    <w:rsid w:val="00E16651"/>
    <w:rsid w:val="00E2478C"/>
    <w:rsid w:val="00E33BBE"/>
    <w:rsid w:val="00E36631"/>
    <w:rsid w:val="00E438D9"/>
    <w:rsid w:val="00E4472C"/>
    <w:rsid w:val="00E44899"/>
    <w:rsid w:val="00E449F4"/>
    <w:rsid w:val="00E50289"/>
    <w:rsid w:val="00E50F8B"/>
    <w:rsid w:val="00E5644E"/>
    <w:rsid w:val="00E57A13"/>
    <w:rsid w:val="00E61CE7"/>
    <w:rsid w:val="00E64171"/>
    <w:rsid w:val="00E7260F"/>
    <w:rsid w:val="00E806EE"/>
    <w:rsid w:val="00E840AF"/>
    <w:rsid w:val="00E85D5E"/>
    <w:rsid w:val="00E93996"/>
    <w:rsid w:val="00E96630"/>
    <w:rsid w:val="00EA2D62"/>
    <w:rsid w:val="00EA6B2E"/>
    <w:rsid w:val="00EA6B86"/>
    <w:rsid w:val="00EB0943"/>
    <w:rsid w:val="00EB0FB9"/>
    <w:rsid w:val="00EB7D06"/>
    <w:rsid w:val="00EC2910"/>
    <w:rsid w:val="00EC4D26"/>
    <w:rsid w:val="00ED0CA9"/>
    <w:rsid w:val="00ED7A2A"/>
    <w:rsid w:val="00EE4F82"/>
    <w:rsid w:val="00EF1D7F"/>
    <w:rsid w:val="00EF5BDB"/>
    <w:rsid w:val="00F05FB6"/>
    <w:rsid w:val="00F07FD9"/>
    <w:rsid w:val="00F1142C"/>
    <w:rsid w:val="00F12E4E"/>
    <w:rsid w:val="00F23933"/>
    <w:rsid w:val="00F23C15"/>
    <w:rsid w:val="00F24119"/>
    <w:rsid w:val="00F33B66"/>
    <w:rsid w:val="00F36473"/>
    <w:rsid w:val="00F37762"/>
    <w:rsid w:val="00F40E75"/>
    <w:rsid w:val="00F4293E"/>
    <w:rsid w:val="00F42CD9"/>
    <w:rsid w:val="00F52936"/>
    <w:rsid w:val="00F677CB"/>
    <w:rsid w:val="00F824B6"/>
    <w:rsid w:val="00F929C5"/>
    <w:rsid w:val="00F94CF6"/>
    <w:rsid w:val="00F96485"/>
    <w:rsid w:val="00F96E8E"/>
    <w:rsid w:val="00F97E89"/>
    <w:rsid w:val="00FA03A1"/>
    <w:rsid w:val="00FA42BE"/>
    <w:rsid w:val="00FA7DF3"/>
    <w:rsid w:val="00FB2DB7"/>
    <w:rsid w:val="00FB374B"/>
    <w:rsid w:val="00FB5641"/>
    <w:rsid w:val="00FC0091"/>
    <w:rsid w:val="00FC68B7"/>
    <w:rsid w:val="00FD1A81"/>
    <w:rsid w:val="00FD7C12"/>
    <w:rsid w:val="00FE5AAE"/>
    <w:rsid w:val="00FF0E77"/>
    <w:rsid w:val="00FF48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numPr>
        <w:numId w:val="3"/>
      </w:numPr>
      <w:spacing w:after="0" w:line="240" w:lineRule="auto"/>
      <w:ind w:right="0"/>
      <w:jc w:val="left"/>
      <w:outlineLvl w:val="0"/>
    </w:pPr>
  </w:style>
  <w:style w:type="paragraph" w:styleId="Heading2">
    <w:name w:val="heading 2"/>
    <w:basedOn w:val="Normal"/>
    <w:next w:val="Normal"/>
    <w:qFormat/>
    <w:rsid w:val="00CF0214"/>
    <w:pPr>
      <w:numPr>
        <w:ilvl w:val="1"/>
        <w:numId w:val="3"/>
      </w:numPr>
      <w:spacing w:line="240" w:lineRule="auto"/>
      <w:outlineLvl w:val="1"/>
    </w:pPr>
  </w:style>
  <w:style w:type="paragraph" w:styleId="Heading3">
    <w:name w:val="heading 3"/>
    <w:basedOn w:val="Normal"/>
    <w:next w:val="Normal"/>
    <w:qFormat/>
    <w:rsid w:val="00CF0214"/>
    <w:pPr>
      <w:numPr>
        <w:ilvl w:val="2"/>
        <w:numId w:val="3"/>
      </w:numPr>
      <w:spacing w:line="240" w:lineRule="auto"/>
      <w:outlineLvl w:val="2"/>
    </w:pPr>
  </w:style>
  <w:style w:type="paragraph" w:styleId="Heading4">
    <w:name w:val="heading 4"/>
    <w:basedOn w:val="Normal"/>
    <w:next w:val="Normal"/>
    <w:qFormat/>
    <w:rsid w:val="00CF0214"/>
    <w:pPr>
      <w:numPr>
        <w:ilvl w:val="3"/>
        <w:numId w:val="3"/>
      </w:numPr>
      <w:spacing w:line="240" w:lineRule="auto"/>
      <w:outlineLvl w:val="3"/>
    </w:pPr>
  </w:style>
  <w:style w:type="paragraph" w:styleId="Heading5">
    <w:name w:val="heading 5"/>
    <w:basedOn w:val="Normal"/>
    <w:next w:val="Normal"/>
    <w:qFormat/>
    <w:rsid w:val="00CF0214"/>
    <w:pPr>
      <w:numPr>
        <w:ilvl w:val="4"/>
        <w:numId w:val="3"/>
      </w:numPr>
      <w:spacing w:line="240" w:lineRule="auto"/>
      <w:outlineLvl w:val="4"/>
    </w:pPr>
  </w:style>
  <w:style w:type="paragraph" w:styleId="Heading6">
    <w:name w:val="heading 6"/>
    <w:basedOn w:val="Normal"/>
    <w:next w:val="Normal"/>
    <w:qFormat/>
    <w:rsid w:val="00CF0214"/>
    <w:pPr>
      <w:numPr>
        <w:ilvl w:val="5"/>
        <w:numId w:val="3"/>
      </w:numPr>
      <w:spacing w:line="240" w:lineRule="auto"/>
      <w:outlineLvl w:val="5"/>
    </w:pPr>
  </w:style>
  <w:style w:type="paragraph" w:styleId="Heading7">
    <w:name w:val="heading 7"/>
    <w:basedOn w:val="Normal"/>
    <w:next w:val="Normal"/>
    <w:qFormat/>
    <w:rsid w:val="00CF0214"/>
    <w:pPr>
      <w:numPr>
        <w:ilvl w:val="6"/>
        <w:numId w:val="3"/>
      </w:numPr>
      <w:spacing w:line="240" w:lineRule="auto"/>
      <w:outlineLvl w:val="6"/>
    </w:pPr>
  </w:style>
  <w:style w:type="paragraph" w:styleId="Heading8">
    <w:name w:val="heading 8"/>
    <w:basedOn w:val="Normal"/>
    <w:next w:val="Normal"/>
    <w:qFormat/>
    <w:rsid w:val="00CF0214"/>
    <w:pPr>
      <w:numPr>
        <w:ilvl w:val="7"/>
        <w:numId w:val="3"/>
      </w:numPr>
      <w:spacing w:line="240" w:lineRule="auto"/>
      <w:outlineLvl w:val="7"/>
    </w:pPr>
  </w:style>
  <w:style w:type="paragraph" w:styleId="Heading9">
    <w:name w:val="heading 9"/>
    <w:basedOn w:val="Normal"/>
    <w:next w:val="Normal"/>
    <w:qFormat/>
    <w:rsid w:val="00CF0214"/>
    <w:pPr>
      <w:numPr>
        <w:ilvl w:val="8"/>
        <w:numId w:val="3"/>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053AED"/>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053AED"/>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qFormat/>
    <w:rsid w:val="00053AED"/>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NormalWeb">
    <w:name w:val="Normal (Web)"/>
    <w:basedOn w:val="Normal"/>
    <w:rsid w:val="004B7CB6"/>
    <w:rPr>
      <w:sz w:val="24"/>
      <w:szCs w:val="24"/>
    </w:rPr>
  </w:style>
  <w:style w:type="character" w:styleId="Strong">
    <w:name w:val="Strong"/>
    <w:qFormat/>
    <w:rsid w:val="004B7CB6"/>
    <w:rPr>
      <w:b/>
      <w:bCs/>
    </w:rPr>
  </w:style>
  <w:style w:type="numbering" w:customStyle="1" w:styleId="Style1">
    <w:name w:val="Style1"/>
    <w:rsid w:val="005A26E9"/>
    <w:pPr>
      <w:numPr>
        <w:numId w:val="4"/>
      </w:numPr>
    </w:pPr>
  </w:style>
  <w:style w:type="numbering" w:customStyle="1" w:styleId="Style2">
    <w:name w:val="Style2"/>
    <w:rsid w:val="005A26E9"/>
    <w:pPr>
      <w:numPr>
        <w:numId w:val="5"/>
      </w:numPr>
    </w:pPr>
  </w:style>
  <w:style w:type="paragraph" w:styleId="BalloonText">
    <w:name w:val="Balloon Text"/>
    <w:basedOn w:val="Normal"/>
    <w:semiHidden/>
    <w:rsid w:val="00430727"/>
    <w:rPr>
      <w:rFonts w:ascii="Tahoma" w:hAnsi="Tahoma" w:cs="Tahoma"/>
      <w:sz w:val="16"/>
      <w:szCs w:val="16"/>
    </w:rPr>
  </w:style>
  <w:style w:type="character" w:styleId="CommentReference">
    <w:name w:val="annotation reference"/>
    <w:semiHidden/>
    <w:rsid w:val="004A5C63"/>
    <w:rPr>
      <w:sz w:val="16"/>
      <w:szCs w:val="16"/>
    </w:rPr>
  </w:style>
  <w:style w:type="paragraph" w:styleId="CommentText">
    <w:name w:val="annotation text"/>
    <w:basedOn w:val="Normal"/>
    <w:semiHidden/>
    <w:rsid w:val="004A5C63"/>
  </w:style>
  <w:style w:type="paragraph" w:styleId="CommentSubject">
    <w:name w:val="annotation subject"/>
    <w:basedOn w:val="CommentText"/>
    <w:next w:val="CommentText"/>
    <w:semiHidden/>
    <w:rsid w:val="004A5C63"/>
    <w:rPr>
      <w:b/>
      <w:bCs/>
    </w:rPr>
  </w:style>
  <w:style w:type="character" w:customStyle="1" w:styleId="SingleTxtGChar">
    <w:name w:val="_ Single Txt_G Char"/>
    <w:link w:val="SingleTxtG"/>
    <w:rsid w:val="00FA03A1"/>
    <w:rPr>
      <w:lang w:eastAsia="en-US"/>
    </w:rPr>
  </w:style>
  <w:style w:type="character" w:customStyle="1" w:styleId="lblnewstitle1">
    <w:name w:val="lblnewstitle1"/>
    <w:rsid w:val="00FA03A1"/>
    <w:rPr>
      <w:b/>
      <w:bCs/>
      <w:sz w:val="29"/>
      <w:szCs w:val="29"/>
    </w:rPr>
  </w:style>
  <w:style w:type="character" w:customStyle="1" w:styleId="FootnoteTextChar">
    <w:name w:val="Footnote Text Char"/>
    <w:aliases w:val="5_G Char"/>
    <w:link w:val="FootnoteText"/>
    <w:locked/>
    <w:rsid w:val="00B75006"/>
    <w:rPr>
      <w:rFonts w:eastAsiaTheme="minorHAnsi"/>
      <w:sz w:val="18"/>
      <w:lang w:eastAsia="en-US"/>
    </w:rPr>
  </w:style>
  <w:style w:type="paragraph" w:customStyle="1" w:styleId="MediumList2-Accent41">
    <w:name w:val="Medium List 2 - Accent 41"/>
    <w:basedOn w:val="Normal"/>
    <w:uiPriority w:val="34"/>
    <w:qFormat/>
    <w:rsid w:val="003D1D40"/>
    <w:pPr>
      <w:suppressAutoHyphens w:val="0"/>
      <w:spacing w:line="240" w:lineRule="auto"/>
      <w:ind w:left="720"/>
      <w:contextualSpacing/>
    </w:pPr>
    <w:rPr>
      <w:rFonts w:ascii="Cambria" w:eastAsia="MS Mincho" w:hAnsi="Cambria"/>
      <w:sz w:val="24"/>
      <w:szCs w:val="24"/>
    </w:rPr>
  </w:style>
  <w:style w:type="character" w:customStyle="1" w:styleId="hps">
    <w:name w:val="hps"/>
    <w:rsid w:val="00631EDA"/>
  </w:style>
  <w:style w:type="character" w:customStyle="1" w:styleId="atn">
    <w:name w:val="atn"/>
    <w:rsid w:val="00DF4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numPr>
        <w:numId w:val="3"/>
      </w:numPr>
      <w:spacing w:after="0" w:line="240" w:lineRule="auto"/>
      <w:ind w:right="0"/>
      <w:jc w:val="left"/>
      <w:outlineLvl w:val="0"/>
    </w:pPr>
  </w:style>
  <w:style w:type="paragraph" w:styleId="Heading2">
    <w:name w:val="heading 2"/>
    <w:basedOn w:val="Normal"/>
    <w:next w:val="Normal"/>
    <w:qFormat/>
    <w:rsid w:val="00CF0214"/>
    <w:pPr>
      <w:numPr>
        <w:ilvl w:val="1"/>
        <w:numId w:val="3"/>
      </w:numPr>
      <w:spacing w:line="240" w:lineRule="auto"/>
      <w:outlineLvl w:val="1"/>
    </w:pPr>
  </w:style>
  <w:style w:type="paragraph" w:styleId="Heading3">
    <w:name w:val="heading 3"/>
    <w:basedOn w:val="Normal"/>
    <w:next w:val="Normal"/>
    <w:qFormat/>
    <w:rsid w:val="00CF0214"/>
    <w:pPr>
      <w:numPr>
        <w:ilvl w:val="2"/>
        <w:numId w:val="3"/>
      </w:numPr>
      <w:spacing w:line="240" w:lineRule="auto"/>
      <w:outlineLvl w:val="2"/>
    </w:pPr>
  </w:style>
  <w:style w:type="paragraph" w:styleId="Heading4">
    <w:name w:val="heading 4"/>
    <w:basedOn w:val="Normal"/>
    <w:next w:val="Normal"/>
    <w:qFormat/>
    <w:rsid w:val="00CF0214"/>
    <w:pPr>
      <w:numPr>
        <w:ilvl w:val="3"/>
        <w:numId w:val="3"/>
      </w:numPr>
      <w:spacing w:line="240" w:lineRule="auto"/>
      <w:outlineLvl w:val="3"/>
    </w:pPr>
  </w:style>
  <w:style w:type="paragraph" w:styleId="Heading5">
    <w:name w:val="heading 5"/>
    <w:basedOn w:val="Normal"/>
    <w:next w:val="Normal"/>
    <w:qFormat/>
    <w:rsid w:val="00CF0214"/>
    <w:pPr>
      <w:numPr>
        <w:ilvl w:val="4"/>
        <w:numId w:val="3"/>
      </w:numPr>
      <w:spacing w:line="240" w:lineRule="auto"/>
      <w:outlineLvl w:val="4"/>
    </w:pPr>
  </w:style>
  <w:style w:type="paragraph" w:styleId="Heading6">
    <w:name w:val="heading 6"/>
    <w:basedOn w:val="Normal"/>
    <w:next w:val="Normal"/>
    <w:qFormat/>
    <w:rsid w:val="00CF0214"/>
    <w:pPr>
      <w:numPr>
        <w:ilvl w:val="5"/>
        <w:numId w:val="3"/>
      </w:numPr>
      <w:spacing w:line="240" w:lineRule="auto"/>
      <w:outlineLvl w:val="5"/>
    </w:pPr>
  </w:style>
  <w:style w:type="paragraph" w:styleId="Heading7">
    <w:name w:val="heading 7"/>
    <w:basedOn w:val="Normal"/>
    <w:next w:val="Normal"/>
    <w:qFormat/>
    <w:rsid w:val="00CF0214"/>
    <w:pPr>
      <w:numPr>
        <w:ilvl w:val="6"/>
        <w:numId w:val="3"/>
      </w:numPr>
      <w:spacing w:line="240" w:lineRule="auto"/>
      <w:outlineLvl w:val="6"/>
    </w:pPr>
  </w:style>
  <w:style w:type="paragraph" w:styleId="Heading8">
    <w:name w:val="heading 8"/>
    <w:basedOn w:val="Normal"/>
    <w:next w:val="Normal"/>
    <w:qFormat/>
    <w:rsid w:val="00CF0214"/>
    <w:pPr>
      <w:numPr>
        <w:ilvl w:val="7"/>
        <w:numId w:val="3"/>
      </w:numPr>
      <w:spacing w:line="240" w:lineRule="auto"/>
      <w:outlineLvl w:val="7"/>
    </w:pPr>
  </w:style>
  <w:style w:type="paragraph" w:styleId="Heading9">
    <w:name w:val="heading 9"/>
    <w:basedOn w:val="Normal"/>
    <w:next w:val="Normal"/>
    <w:qFormat/>
    <w:rsid w:val="00CF0214"/>
    <w:pPr>
      <w:numPr>
        <w:ilvl w:val="8"/>
        <w:numId w:val="3"/>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053AED"/>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053AED"/>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qFormat/>
    <w:rsid w:val="00053AED"/>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NormalWeb">
    <w:name w:val="Normal (Web)"/>
    <w:basedOn w:val="Normal"/>
    <w:rsid w:val="004B7CB6"/>
    <w:rPr>
      <w:sz w:val="24"/>
      <w:szCs w:val="24"/>
    </w:rPr>
  </w:style>
  <w:style w:type="character" w:styleId="Strong">
    <w:name w:val="Strong"/>
    <w:qFormat/>
    <w:rsid w:val="004B7CB6"/>
    <w:rPr>
      <w:b/>
      <w:bCs/>
    </w:rPr>
  </w:style>
  <w:style w:type="numbering" w:customStyle="1" w:styleId="Style1">
    <w:name w:val="Style1"/>
    <w:rsid w:val="005A26E9"/>
    <w:pPr>
      <w:numPr>
        <w:numId w:val="4"/>
      </w:numPr>
    </w:pPr>
  </w:style>
  <w:style w:type="numbering" w:customStyle="1" w:styleId="Style2">
    <w:name w:val="Style2"/>
    <w:rsid w:val="005A26E9"/>
    <w:pPr>
      <w:numPr>
        <w:numId w:val="5"/>
      </w:numPr>
    </w:pPr>
  </w:style>
  <w:style w:type="paragraph" w:styleId="BalloonText">
    <w:name w:val="Balloon Text"/>
    <w:basedOn w:val="Normal"/>
    <w:semiHidden/>
    <w:rsid w:val="00430727"/>
    <w:rPr>
      <w:rFonts w:ascii="Tahoma" w:hAnsi="Tahoma" w:cs="Tahoma"/>
      <w:sz w:val="16"/>
      <w:szCs w:val="16"/>
    </w:rPr>
  </w:style>
  <w:style w:type="character" w:styleId="CommentReference">
    <w:name w:val="annotation reference"/>
    <w:semiHidden/>
    <w:rsid w:val="004A5C63"/>
    <w:rPr>
      <w:sz w:val="16"/>
      <w:szCs w:val="16"/>
    </w:rPr>
  </w:style>
  <w:style w:type="paragraph" w:styleId="CommentText">
    <w:name w:val="annotation text"/>
    <w:basedOn w:val="Normal"/>
    <w:semiHidden/>
    <w:rsid w:val="004A5C63"/>
  </w:style>
  <w:style w:type="paragraph" w:styleId="CommentSubject">
    <w:name w:val="annotation subject"/>
    <w:basedOn w:val="CommentText"/>
    <w:next w:val="CommentText"/>
    <w:semiHidden/>
    <w:rsid w:val="004A5C63"/>
    <w:rPr>
      <w:b/>
      <w:bCs/>
    </w:rPr>
  </w:style>
  <w:style w:type="character" w:customStyle="1" w:styleId="SingleTxtGChar">
    <w:name w:val="_ Single Txt_G Char"/>
    <w:link w:val="SingleTxtG"/>
    <w:rsid w:val="00FA03A1"/>
    <w:rPr>
      <w:lang w:eastAsia="en-US"/>
    </w:rPr>
  </w:style>
  <w:style w:type="character" w:customStyle="1" w:styleId="lblnewstitle1">
    <w:name w:val="lblnewstitle1"/>
    <w:rsid w:val="00FA03A1"/>
    <w:rPr>
      <w:b/>
      <w:bCs/>
      <w:sz w:val="29"/>
      <w:szCs w:val="29"/>
    </w:rPr>
  </w:style>
  <w:style w:type="character" w:customStyle="1" w:styleId="FootnoteTextChar">
    <w:name w:val="Footnote Text Char"/>
    <w:aliases w:val="5_G Char"/>
    <w:link w:val="FootnoteText"/>
    <w:locked/>
    <w:rsid w:val="00B75006"/>
    <w:rPr>
      <w:rFonts w:eastAsiaTheme="minorHAnsi"/>
      <w:sz w:val="18"/>
      <w:lang w:eastAsia="en-US"/>
    </w:rPr>
  </w:style>
  <w:style w:type="paragraph" w:customStyle="1" w:styleId="MediumList2-Accent41">
    <w:name w:val="Medium List 2 - Accent 41"/>
    <w:basedOn w:val="Normal"/>
    <w:uiPriority w:val="34"/>
    <w:qFormat/>
    <w:rsid w:val="003D1D40"/>
    <w:pPr>
      <w:suppressAutoHyphens w:val="0"/>
      <w:spacing w:line="240" w:lineRule="auto"/>
      <w:ind w:left="720"/>
      <w:contextualSpacing/>
    </w:pPr>
    <w:rPr>
      <w:rFonts w:ascii="Cambria" w:eastAsia="MS Mincho" w:hAnsi="Cambria"/>
      <w:sz w:val="24"/>
      <w:szCs w:val="24"/>
    </w:rPr>
  </w:style>
  <w:style w:type="character" w:customStyle="1" w:styleId="hps">
    <w:name w:val="hps"/>
    <w:rsid w:val="00631EDA"/>
  </w:style>
  <w:style w:type="character" w:customStyle="1" w:styleId="atn">
    <w:name w:val="atn"/>
    <w:rsid w:val="00DF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58613">
      <w:bodyDiv w:val="1"/>
      <w:marLeft w:val="0"/>
      <w:marRight w:val="0"/>
      <w:marTop w:val="0"/>
      <w:marBottom w:val="0"/>
      <w:divBdr>
        <w:top w:val="none" w:sz="0" w:space="0" w:color="auto"/>
        <w:left w:val="none" w:sz="0" w:space="0" w:color="auto"/>
        <w:bottom w:val="none" w:sz="0" w:space="0" w:color="auto"/>
        <w:right w:val="none" w:sz="0" w:space="0" w:color="auto"/>
      </w:divBdr>
      <w:divsChild>
        <w:div w:id="1838955070">
          <w:marLeft w:val="0"/>
          <w:marRight w:val="0"/>
          <w:marTop w:val="0"/>
          <w:marBottom w:val="0"/>
          <w:divBdr>
            <w:top w:val="none" w:sz="0" w:space="0" w:color="auto"/>
            <w:left w:val="none" w:sz="0" w:space="0" w:color="auto"/>
            <w:bottom w:val="none" w:sz="0" w:space="0" w:color="auto"/>
            <w:right w:val="none" w:sz="0" w:space="0" w:color="auto"/>
          </w:divBdr>
        </w:div>
        <w:div w:id="63070586">
          <w:marLeft w:val="0"/>
          <w:marRight w:val="0"/>
          <w:marTop w:val="0"/>
          <w:marBottom w:val="0"/>
          <w:divBdr>
            <w:top w:val="none" w:sz="0" w:space="0" w:color="auto"/>
            <w:left w:val="none" w:sz="0" w:space="0" w:color="auto"/>
            <w:bottom w:val="none" w:sz="0" w:space="0" w:color="auto"/>
            <w:right w:val="none" w:sz="0" w:space="0" w:color="auto"/>
          </w:divBdr>
        </w:div>
        <w:div w:id="498664406">
          <w:marLeft w:val="0"/>
          <w:marRight w:val="0"/>
          <w:marTop w:val="0"/>
          <w:marBottom w:val="0"/>
          <w:divBdr>
            <w:top w:val="none" w:sz="0" w:space="0" w:color="auto"/>
            <w:left w:val="none" w:sz="0" w:space="0" w:color="auto"/>
            <w:bottom w:val="none" w:sz="0" w:space="0" w:color="auto"/>
            <w:right w:val="none" w:sz="0" w:space="0" w:color="auto"/>
          </w:divBdr>
        </w:div>
        <w:div w:id="1042099194">
          <w:marLeft w:val="0"/>
          <w:marRight w:val="0"/>
          <w:marTop w:val="0"/>
          <w:marBottom w:val="0"/>
          <w:divBdr>
            <w:top w:val="none" w:sz="0" w:space="0" w:color="auto"/>
            <w:left w:val="none" w:sz="0" w:space="0" w:color="auto"/>
            <w:bottom w:val="none" w:sz="0" w:space="0" w:color="auto"/>
            <w:right w:val="none" w:sz="0" w:space="0" w:color="auto"/>
          </w:divBdr>
        </w:div>
      </w:divsChild>
    </w:div>
    <w:div w:id="955718663">
      <w:bodyDiv w:val="1"/>
      <w:marLeft w:val="0"/>
      <w:marRight w:val="0"/>
      <w:marTop w:val="0"/>
      <w:marBottom w:val="0"/>
      <w:divBdr>
        <w:top w:val="none" w:sz="0" w:space="0" w:color="auto"/>
        <w:left w:val="none" w:sz="0" w:space="0" w:color="auto"/>
        <w:bottom w:val="none" w:sz="0" w:space="0" w:color="auto"/>
        <w:right w:val="none" w:sz="0" w:space="0" w:color="auto"/>
      </w:divBdr>
      <w:divsChild>
        <w:div w:id="974221455">
          <w:marLeft w:val="0"/>
          <w:marRight w:val="0"/>
          <w:marTop w:val="0"/>
          <w:marBottom w:val="0"/>
          <w:divBdr>
            <w:top w:val="none" w:sz="0" w:space="0" w:color="auto"/>
            <w:left w:val="none" w:sz="0" w:space="0" w:color="auto"/>
            <w:bottom w:val="none" w:sz="0" w:space="0" w:color="auto"/>
            <w:right w:val="none" w:sz="0" w:space="0" w:color="auto"/>
          </w:divBdr>
        </w:div>
        <w:div w:id="974678729">
          <w:marLeft w:val="0"/>
          <w:marRight w:val="0"/>
          <w:marTop w:val="0"/>
          <w:marBottom w:val="0"/>
          <w:divBdr>
            <w:top w:val="none" w:sz="0" w:space="0" w:color="auto"/>
            <w:left w:val="none" w:sz="0" w:space="0" w:color="auto"/>
            <w:bottom w:val="none" w:sz="0" w:space="0" w:color="auto"/>
            <w:right w:val="none" w:sz="0" w:space="0" w:color="auto"/>
          </w:divBdr>
        </w:div>
      </w:divsChild>
    </w:div>
    <w:div w:id="1048333935">
      <w:bodyDiv w:val="1"/>
      <w:marLeft w:val="0"/>
      <w:marRight w:val="0"/>
      <w:marTop w:val="0"/>
      <w:marBottom w:val="0"/>
      <w:divBdr>
        <w:top w:val="none" w:sz="0" w:space="0" w:color="auto"/>
        <w:left w:val="none" w:sz="0" w:space="0" w:color="auto"/>
        <w:bottom w:val="none" w:sz="0" w:space="0" w:color="auto"/>
        <w:right w:val="none" w:sz="0" w:space="0" w:color="auto"/>
      </w:divBdr>
      <w:divsChild>
        <w:div w:id="390615576">
          <w:marLeft w:val="0"/>
          <w:marRight w:val="0"/>
          <w:marTop w:val="0"/>
          <w:marBottom w:val="0"/>
          <w:divBdr>
            <w:top w:val="none" w:sz="0" w:space="0" w:color="auto"/>
            <w:left w:val="none" w:sz="0" w:space="0" w:color="auto"/>
            <w:bottom w:val="none" w:sz="0" w:space="0" w:color="auto"/>
            <w:right w:val="none" w:sz="0" w:space="0" w:color="auto"/>
          </w:divBdr>
        </w:div>
        <w:div w:id="196821655">
          <w:marLeft w:val="0"/>
          <w:marRight w:val="0"/>
          <w:marTop w:val="0"/>
          <w:marBottom w:val="0"/>
          <w:divBdr>
            <w:top w:val="none" w:sz="0" w:space="0" w:color="auto"/>
            <w:left w:val="none" w:sz="0" w:space="0" w:color="auto"/>
            <w:bottom w:val="none" w:sz="0" w:space="0" w:color="auto"/>
            <w:right w:val="none" w:sz="0" w:space="0" w:color="auto"/>
          </w:divBdr>
        </w:div>
      </w:divsChild>
    </w:div>
    <w:div w:id="1342666165">
      <w:bodyDiv w:val="1"/>
      <w:marLeft w:val="0"/>
      <w:marRight w:val="0"/>
      <w:marTop w:val="0"/>
      <w:marBottom w:val="0"/>
      <w:divBdr>
        <w:top w:val="none" w:sz="0" w:space="0" w:color="auto"/>
        <w:left w:val="none" w:sz="0" w:space="0" w:color="auto"/>
        <w:bottom w:val="none" w:sz="0" w:space="0" w:color="auto"/>
        <w:right w:val="none" w:sz="0" w:space="0" w:color="auto"/>
      </w:divBdr>
      <w:divsChild>
        <w:div w:id="1280180736">
          <w:marLeft w:val="0"/>
          <w:marRight w:val="0"/>
          <w:marTop w:val="0"/>
          <w:marBottom w:val="0"/>
          <w:divBdr>
            <w:top w:val="none" w:sz="0" w:space="0" w:color="auto"/>
            <w:left w:val="none" w:sz="0" w:space="0" w:color="auto"/>
            <w:bottom w:val="none" w:sz="0" w:space="0" w:color="auto"/>
            <w:right w:val="none" w:sz="0" w:space="0" w:color="auto"/>
          </w:divBdr>
        </w:div>
        <w:div w:id="812482434">
          <w:marLeft w:val="0"/>
          <w:marRight w:val="0"/>
          <w:marTop w:val="0"/>
          <w:marBottom w:val="0"/>
          <w:divBdr>
            <w:top w:val="none" w:sz="0" w:space="0" w:color="auto"/>
            <w:left w:val="none" w:sz="0" w:space="0" w:color="auto"/>
            <w:bottom w:val="none" w:sz="0" w:space="0" w:color="auto"/>
            <w:right w:val="none" w:sz="0" w:space="0" w:color="auto"/>
          </w:divBdr>
        </w:div>
        <w:div w:id="1302999346">
          <w:marLeft w:val="0"/>
          <w:marRight w:val="0"/>
          <w:marTop w:val="0"/>
          <w:marBottom w:val="0"/>
          <w:divBdr>
            <w:top w:val="none" w:sz="0" w:space="0" w:color="auto"/>
            <w:left w:val="none" w:sz="0" w:space="0" w:color="auto"/>
            <w:bottom w:val="none" w:sz="0" w:space="0" w:color="auto"/>
            <w:right w:val="none" w:sz="0" w:space="0" w:color="auto"/>
          </w:divBdr>
        </w:div>
        <w:div w:id="158711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Issues/IPeoples/EMRIP/Pages/QuestionnaireDeclar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40F30-2EA7-4D7C-8BB3-35D8F5527B13}"/>
</file>

<file path=customXml/itemProps2.xml><?xml version="1.0" encoding="utf-8"?>
<ds:datastoreItem xmlns:ds="http://schemas.openxmlformats.org/officeDocument/2006/customXml" ds:itemID="{2DE32494-EBD7-4259-9BC7-2FB3D902890F}"/>
</file>

<file path=customXml/itemProps3.xml><?xml version="1.0" encoding="utf-8"?>
<ds:datastoreItem xmlns:ds="http://schemas.openxmlformats.org/officeDocument/2006/customXml" ds:itemID="{67871C80-3DBD-4DA2-A7B5-B8B76E31DFDB}"/>
</file>

<file path=customXml/itemProps4.xml><?xml version="1.0" encoding="utf-8"?>
<ds:datastoreItem xmlns:ds="http://schemas.openxmlformats.org/officeDocument/2006/customXml" ds:itemID="{6CD37A45-28CB-45E3-B460-B022607A2E6E}"/>
</file>

<file path=docProps/app.xml><?xml version="1.0" encoding="utf-8"?>
<Properties xmlns="http://schemas.openxmlformats.org/officeDocument/2006/extended-properties" xmlns:vt="http://schemas.openxmlformats.org/officeDocument/2006/docPropsVTypes">
  <Template>Normal</Template>
  <TotalTime>1</TotalTime>
  <Pages>17</Pages>
  <Words>8362</Words>
  <Characters>47670</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55921</CharactersWithSpaces>
  <SharedDoc>false</SharedDoc>
  <HLinks>
    <vt:vector size="6" baseType="variant">
      <vt:variant>
        <vt:i4>5701710</vt:i4>
      </vt:variant>
      <vt:variant>
        <vt:i4>0</vt:i4>
      </vt:variant>
      <vt:variant>
        <vt:i4>0</vt:i4>
      </vt:variant>
      <vt:variant>
        <vt:i4>5</vt:i4>
      </vt:variant>
      <vt:variant>
        <vt:lpwstr>http://www.ohchr.org/EN/Issues/IPeoples/EMRIP/Pages/QuestionnaireDeclaration.aspx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summary of responses to the questionnaire survey on best practices regarding possible appropriate measures and implementation strategies in order to attain the goals of the United Nations Declaration on the Rights of Indigenous Peoples in English</dc:title>
  <dc:creator>agrabovac</dc:creator>
  <cp:lastModifiedBy>Somova Iuliia</cp:lastModifiedBy>
  <cp:revision>2</cp:revision>
  <cp:lastPrinted>2015-08-14T08:19:00Z</cp:lastPrinted>
  <dcterms:created xsi:type="dcterms:W3CDTF">2015-09-17T08:07:00Z</dcterms:created>
  <dcterms:modified xsi:type="dcterms:W3CDTF">2015-09-17T08:07:00Z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44800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