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75C" w:rsidRDefault="003A775C" w:rsidP="003A775C">
      <w:pPr>
        <w:spacing w:line="240" w:lineRule="auto"/>
        <w:rPr>
          <w:sz w:val="2"/>
        </w:rPr>
        <w:sectPr w:rsidR="003A775C" w:rsidSect="003A775C">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Pr>
          <w:rStyle w:val="CommentReference"/>
        </w:rPr>
        <w:commentReference w:id="0"/>
      </w:r>
    </w:p>
    <w:p w:rsidR="003A775C" w:rsidRDefault="003A775C" w:rsidP="003A775C">
      <w:pPr>
        <w:pStyle w:val="H1"/>
      </w:pPr>
      <w:r>
        <w:lastRenderedPageBreak/>
        <w:t>Conseil des droits de l</w:t>
      </w:r>
      <w:r w:rsidR="001C28C8">
        <w:t>’</w:t>
      </w:r>
      <w:r>
        <w:t>homme</w:t>
      </w:r>
    </w:p>
    <w:p w:rsidR="00C36315" w:rsidRPr="00837C42" w:rsidRDefault="00C36315" w:rsidP="00D51C46">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eastAsia="en-GB"/>
        </w:rPr>
      </w:pPr>
      <w:r w:rsidRPr="00837C42">
        <w:rPr>
          <w:lang w:eastAsia="en-GB"/>
        </w:rPr>
        <w:t>Trentième session</w:t>
      </w:r>
    </w:p>
    <w:p w:rsidR="00C36315" w:rsidRPr="00837C42" w:rsidRDefault="00C36315" w:rsidP="00D51C46">
      <w:pPr>
        <w:tabs>
          <w:tab w:val="right" w:pos="1022"/>
          <w:tab w:val="left" w:pos="1267"/>
          <w:tab w:val="left" w:pos="2218"/>
          <w:tab w:val="left" w:pos="2693"/>
          <w:tab w:val="left" w:pos="3182"/>
          <w:tab w:val="left" w:pos="3658"/>
          <w:tab w:val="left" w:pos="4133"/>
          <w:tab w:val="left" w:pos="4622"/>
          <w:tab w:val="left" w:pos="5098"/>
          <w:tab w:val="left" w:pos="5573"/>
          <w:tab w:val="left" w:pos="6048"/>
        </w:tabs>
        <w:rPr>
          <w:lang w:eastAsia="en-GB"/>
        </w:rPr>
      </w:pPr>
      <w:r w:rsidRPr="00837C42">
        <w:rPr>
          <w:lang w:eastAsia="en-GB"/>
        </w:rPr>
        <w:t>Point 5 de l</w:t>
      </w:r>
      <w:r w:rsidR="001C28C8">
        <w:rPr>
          <w:lang w:eastAsia="en-GB"/>
        </w:rPr>
        <w:t>’</w:t>
      </w:r>
      <w:r w:rsidRPr="00837C42">
        <w:rPr>
          <w:lang w:eastAsia="en-GB"/>
        </w:rPr>
        <w:t>ordre du jour</w:t>
      </w:r>
    </w:p>
    <w:p w:rsidR="00C36315" w:rsidRDefault="00C36315" w:rsidP="00D51C46">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eastAsia="en-GB"/>
        </w:rPr>
      </w:pPr>
      <w:r w:rsidRPr="00837C42">
        <w:rPr>
          <w:lang w:eastAsia="en-GB"/>
        </w:rPr>
        <w:t>Organismes et mécanismes de protection des droits de l</w:t>
      </w:r>
      <w:r w:rsidR="001C28C8">
        <w:rPr>
          <w:lang w:eastAsia="en-GB"/>
        </w:rPr>
        <w:t>’</w:t>
      </w:r>
      <w:r w:rsidRPr="00837C42">
        <w:rPr>
          <w:lang w:eastAsia="en-GB"/>
        </w:rPr>
        <w:t>homme</w:t>
      </w:r>
    </w:p>
    <w:p w:rsidR="004B304A" w:rsidRPr="004B304A" w:rsidRDefault="004B304A" w:rsidP="004B304A">
      <w:pPr>
        <w:spacing w:line="120" w:lineRule="exact"/>
        <w:rPr>
          <w:sz w:val="10"/>
          <w:lang w:eastAsia="en-GB"/>
        </w:rPr>
      </w:pPr>
    </w:p>
    <w:p w:rsidR="004B304A" w:rsidRPr="004B304A" w:rsidRDefault="004B304A" w:rsidP="004B304A">
      <w:pPr>
        <w:spacing w:line="120" w:lineRule="exact"/>
        <w:rPr>
          <w:sz w:val="10"/>
          <w:lang w:eastAsia="en-GB"/>
        </w:rPr>
      </w:pPr>
    </w:p>
    <w:p w:rsidR="004B304A" w:rsidRPr="004B304A" w:rsidRDefault="004B304A" w:rsidP="004B304A">
      <w:pPr>
        <w:spacing w:line="120" w:lineRule="exact"/>
        <w:rPr>
          <w:sz w:val="10"/>
          <w:lang w:eastAsia="en-GB"/>
        </w:rPr>
      </w:pPr>
    </w:p>
    <w:p w:rsidR="00C36315" w:rsidRDefault="00C36315" w:rsidP="004B304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37C42">
        <w:tab/>
      </w:r>
      <w:r w:rsidRPr="00837C42">
        <w:tab/>
        <w:t xml:space="preserve">Rapport du Groupe de travail intergouvernemental </w:t>
      </w:r>
      <w:r w:rsidR="004B304A">
        <w:br/>
      </w:r>
      <w:r w:rsidRPr="00837C42">
        <w:t xml:space="preserve">à composition non limitée sur un projet de déclaration </w:t>
      </w:r>
      <w:r w:rsidR="004B304A">
        <w:br/>
      </w:r>
      <w:r w:rsidRPr="00837C42">
        <w:t>des Nations Unies sur les droits des paysans et des autres personnes travaillant dans les zones rurales</w:t>
      </w:r>
    </w:p>
    <w:p w:rsidR="00F6735C" w:rsidRPr="00F6735C" w:rsidRDefault="00F6735C" w:rsidP="00F6735C">
      <w:pPr>
        <w:pStyle w:val="SingleTxt"/>
        <w:spacing w:after="0" w:line="120" w:lineRule="exact"/>
        <w:rPr>
          <w:sz w:val="10"/>
        </w:rPr>
      </w:pPr>
    </w:p>
    <w:p w:rsidR="00F6735C" w:rsidRPr="00F6735C" w:rsidRDefault="00F6735C" w:rsidP="00F6735C">
      <w:pPr>
        <w:pStyle w:val="SingleTxt"/>
        <w:spacing w:after="0" w:line="120" w:lineRule="exact"/>
        <w:rPr>
          <w:sz w:val="10"/>
        </w:rPr>
      </w:pPr>
    </w:p>
    <w:p w:rsidR="00C36315" w:rsidRDefault="00F6735C" w:rsidP="00F6735C">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tab/>
      </w:r>
      <w:r>
        <w:tab/>
      </w:r>
      <w:r w:rsidR="00C36315">
        <w:t>Présidente-Rapporteuse</w:t>
      </w:r>
      <w:r>
        <w:t> </w:t>
      </w:r>
      <w:r w:rsidR="00C36315">
        <w:t>:</w:t>
      </w:r>
      <w:r w:rsidR="00C36315" w:rsidRPr="00837C42">
        <w:t xml:space="preserve"> Angélica C.</w:t>
      </w:r>
      <w:r>
        <w:t> </w:t>
      </w:r>
      <w:r w:rsidR="00C36315" w:rsidRPr="00837C42">
        <w:t>Navarro Llanos</w:t>
      </w:r>
    </w:p>
    <w:p w:rsidR="00F6735C" w:rsidRPr="00F6735C" w:rsidRDefault="00F6735C" w:rsidP="00F6735C">
      <w:pPr>
        <w:spacing w:line="120" w:lineRule="exact"/>
        <w:rPr>
          <w:sz w:val="10"/>
        </w:rPr>
      </w:pPr>
    </w:p>
    <w:p w:rsidR="00F6735C" w:rsidRPr="00F6735C" w:rsidRDefault="00F6735C" w:rsidP="00F6735C">
      <w:pPr>
        <w:spacing w:line="120" w:lineRule="exact"/>
        <w:rPr>
          <w:sz w:val="10"/>
        </w:rPr>
      </w:pPr>
    </w:p>
    <w:p w:rsidR="00F6735C" w:rsidRPr="00F6735C" w:rsidRDefault="00F6735C" w:rsidP="00F6735C">
      <w:pPr>
        <w:spacing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79317F" w:rsidTr="0079317F">
        <w:tc>
          <w:tcPr>
            <w:tcW w:w="10051" w:type="dxa"/>
            <w:tcBorders>
              <w:top w:val="single" w:sz="2" w:space="0" w:color="auto"/>
            </w:tcBorders>
            <w:shd w:val="clear" w:color="auto" w:fill="auto"/>
          </w:tcPr>
          <w:p w:rsidR="0079317F" w:rsidRPr="0079317F" w:rsidRDefault="0079317F" w:rsidP="0079317F">
            <w:pPr>
              <w:tabs>
                <w:tab w:val="left" w:pos="240"/>
              </w:tabs>
              <w:spacing w:before="240" w:after="120"/>
              <w:rPr>
                <w:i/>
                <w:sz w:val="24"/>
              </w:rPr>
            </w:pPr>
            <w:r>
              <w:rPr>
                <w:i/>
                <w:sz w:val="24"/>
              </w:rPr>
              <w:tab/>
              <w:t>Résumé</w:t>
            </w:r>
          </w:p>
        </w:tc>
      </w:tr>
      <w:tr w:rsidR="0079317F" w:rsidTr="0079317F">
        <w:tc>
          <w:tcPr>
            <w:tcW w:w="10051" w:type="dxa"/>
            <w:shd w:val="clear" w:color="auto" w:fill="auto"/>
          </w:tcPr>
          <w:p w:rsidR="0079317F" w:rsidRPr="0079317F" w:rsidRDefault="0079317F" w:rsidP="0079317F">
            <w:pPr>
              <w:pStyle w:val="SingleTxt"/>
            </w:pPr>
            <w:r>
              <w:tab/>
            </w:r>
            <w:r w:rsidRPr="0079317F">
              <w:t>La Présidente-Rapporteuse a l</w:t>
            </w:r>
            <w:r w:rsidR="001C28C8">
              <w:t>’</w:t>
            </w:r>
            <w:r w:rsidRPr="0079317F">
              <w:t>honneur de soumettre aux membres du Conseil des droits de l</w:t>
            </w:r>
            <w:r w:rsidR="001C28C8">
              <w:t>’</w:t>
            </w:r>
            <w:r w:rsidRPr="0079317F">
              <w:t>homme le rapport du Groupe de travail intergouvernemental à composition non limitée sur un projet de déclaration des Nations Unies sur les droits des paysans et des autres personnes travaillant dans les zones rurales, conformément aux résolutions 21/19 et 26/26 du Conseil</w:t>
            </w:r>
            <w:r>
              <w:t>.</w:t>
            </w:r>
          </w:p>
        </w:tc>
      </w:tr>
      <w:tr w:rsidR="0079317F" w:rsidTr="0079317F">
        <w:tc>
          <w:tcPr>
            <w:tcW w:w="10051" w:type="dxa"/>
            <w:tcBorders>
              <w:bottom w:val="single" w:sz="2" w:space="0" w:color="auto"/>
            </w:tcBorders>
            <w:shd w:val="clear" w:color="auto" w:fill="auto"/>
          </w:tcPr>
          <w:p w:rsidR="0079317F" w:rsidRPr="0079317F" w:rsidRDefault="0079317F" w:rsidP="0079317F">
            <w:pPr>
              <w:pStyle w:val="SingleTxt"/>
            </w:pPr>
          </w:p>
        </w:tc>
      </w:tr>
    </w:tbl>
    <w:p w:rsidR="0079317F" w:rsidRPr="00F6735C" w:rsidRDefault="0079317F" w:rsidP="00F6735C"/>
    <w:p w:rsidR="00EA63A9" w:rsidRDefault="00C36315" w:rsidP="00C36315">
      <w:pPr>
        <w:spacing w:after="120" w:line="720" w:lineRule="auto"/>
        <w:ind w:left="567"/>
      </w:pPr>
      <w:r w:rsidRPr="00837C42">
        <w:br w:type="page"/>
      </w:r>
    </w:p>
    <w:p w:rsidR="00EA63A9" w:rsidRPr="00EA63A9" w:rsidRDefault="00EA63A9" w:rsidP="00EA63A9">
      <w:pPr>
        <w:pStyle w:val="HCH"/>
        <w:spacing w:after="120"/>
      </w:pPr>
      <w:r>
        <w:lastRenderedPageBreak/>
        <w:t>Table des matières</w:t>
      </w:r>
    </w:p>
    <w:tbl>
      <w:tblPr>
        <w:tblW w:w="10035" w:type="dxa"/>
        <w:tblLayout w:type="fixed"/>
        <w:tblCellMar>
          <w:left w:w="0" w:type="dxa"/>
          <w:right w:w="0" w:type="dxa"/>
        </w:tblCellMar>
        <w:tblLook w:val="0000" w:firstRow="0" w:lastRow="0" w:firstColumn="0" w:lastColumn="0" w:noHBand="0" w:noVBand="0"/>
      </w:tblPr>
      <w:tblGrid>
        <w:gridCol w:w="1060"/>
        <w:gridCol w:w="7315"/>
        <w:gridCol w:w="994"/>
        <w:gridCol w:w="666"/>
      </w:tblGrid>
      <w:tr w:rsidR="00EA63A9" w:rsidRPr="00EA63A9" w:rsidTr="0051586A">
        <w:tc>
          <w:tcPr>
            <w:tcW w:w="1060" w:type="dxa"/>
            <w:shd w:val="clear" w:color="auto" w:fill="auto"/>
          </w:tcPr>
          <w:p w:rsidR="00EA63A9" w:rsidRPr="00EA63A9" w:rsidRDefault="00EA63A9" w:rsidP="00EA63A9">
            <w:pPr>
              <w:spacing w:after="120" w:line="240" w:lineRule="auto"/>
              <w:jc w:val="right"/>
              <w:rPr>
                <w:i/>
                <w:sz w:val="14"/>
              </w:rPr>
            </w:pPr>
          </w:p>
        </w:tc>
        <w:tc>
          <w:tcPr>
            <w:tcW w:w="7315" w:type="dxa"/>
            <w:shd w:val="clear" w:color="auto" w:fill="auto"/>
          </w:tcPr>
          <w:p w:rsidR="00EA63A9" w:rsidRPr="00EA63A9" w:rsidRDefault="00EA63A9" w:rsidP="00EA63A9">
            <w:pPr>
              <w:spacing w:after="120" w:line="240" w:lineRule="auto"/>
              <w:rPr>
                <w:i/>
                <w:sz w:val="14"/>
              </w:rPr>
            </w:pPr>
          </w:p>
        </w:tc>
        <w:tc>
          <w:tcPr>
            <w:tcW w:w="994" w:type="dxa"/>
            <w:shd w:val="clear" w:color="auto" w:fill="auto"/>
          </w:tcPr>
          <w:p w:rsidR="00EA63A9" w:rsidRPr="00EA63A9" w:rsidRDefault="00EA63A9" w:rsidP="00EA63A9">
            <w:pPr>
              <w:spacing w:after="120" w:line="240" w:lineRule="auto"/>
              <w:jc w:val="right"/>
              <w:rPr>
                <w:i/>
                <w:sz w:val="14"/>
              </w:rPr>
            </w:pPr>
          </w:p>
        </w:tc>
        <w:tc>
          <w:tcPr>
            <w:tcW w:w="666" w:type="dxa"/>
            <w:shd w:val="clear" w:color="auto" w:fill="auto"/>
          </w:tcPr>
          <w:p w:rsidR="00EA63A9" w:rsidRPr="00EA63A9" w:rsidRDefault="00EA63A9" w:rsidP="00EA63A9">
            <w:pPr>
              <w:spacing w:after="120" w:line="240" w:lineRule="auto"/>
              <w:jc w:val="right"/>
              <w:rPr>
                <w:i/>
                <w:sz w:val="14"/>
              </w:rPr>
            </w:pPr>
            <w:r>
              <w:rPr>
                <w:i/>
                <w:sz w:val="14"/>
              </w:rPr>
              <w:t>Page</w:t>
            </w:r>
          </w:p>
        </w:tc>
      </w:tr>
      <w:tr w:rsidR="00EA63A9" w:rsidRPr="009F5448" w:rsidTr="0051586A">
        <w:tc>
          <w:tcPr>
            <w:tcW w:w="9369" w:type="dxa"/>
            <w:gridSpan w:val="3"/>
            <w:shd w:val="clear" w:color="auto" w:fill="auto"/>
          </w:tcPr>
          <w:p w:rsidR="00EA63A9" w:rsidRPr="009F5448" w:rsidRDefault="009F5448" w:rsidP="00EA63A9">
            <w:pPr>
              <w:pStyle w:val="ListParagraph"/>
              <w:numPr>
                <w:ilvl w:val="0"/>
                <w:numId w:val="6"/>
              </w:numPr>
              <w:tabs>
                <w:tab w:val="left" w:pos="1296"/>
                <w:tab w:val="right" w:leader="dot" w:pos="9360"/>
              </w:tabs>
              <w:suppressAutoHyphens/>
              <w:spacing w:after="120"/>
              <w:rPr>
                <w:szCs w:val="20"/>
              </w:rPr>
            </w:pPr>
            <w:r w:rsidRPr="00DC2AA6">
              <w:t>Introduction</w:t>
            </w:r>
            <w:r w:rsidR="00EA63A9" w:rsidRPr="009F5448">
              <w:rPr>
                <w:spacing w:val="60"/>
                <w:szCs w:val="20"/>
              </w:rPr>
              <w:tab/>
            </w:r>
          </w:p>
        </w:tc>
        <w:tc>
          <w:tcPr>
            <w:tcW w:w="666" w:type="dxa"/>
            <w:shd w:val="clear" w:color="auto" w:fill="auto"/>
            <w:vAlign w:val="bottom"/>
          </w:tcPr>
          <w:p w:rsidR="00EA63A9" w:rsidRPr="009F5448" w:rsidRDefault="00E31905" w:rsidP="00EA63A9">
            <w:pPr>
              <w:spacing w:after="120"/>
              <w:ind w:right="40"/>
              <w:jc w:val="right"/>
              <w:rPr>
                <w:szCs w:val="20"/>
              </w:rPr>
            </w:pPr>
            <w:r>
              <w:rPr>
                <w:szCs w:val="20"/>
              </w:rPr>
              <w:t>3</w:t>
            </w:r>
          </w:p>
        </w:tc>
      </w:tr>
      <w:tr w:rsidR="00EA63A9" w:rsidRPr="009F5448" w:rsidTr="0051586A">
        <w:tc>
          <w:tcPr>
            <w:tcW w:w="9369" w:type="dxa"/>
            <w:gridSpan w:val="3"/>
            <w:shd w:val="clear" w:color="auto" w:fill="auto"/>
          </w:tcPr>
          <w:p w:rsidR="00EA63A9" w:rsidRPr="009F5448" w:rsidRDefault="005A3B14" w:rsidP="00EA63A9">
            <w:pPr>
              <w:pStyle w:val="ListParagraph"/>
              <w:numPr>
                <w:ilvl w:val="0"/>
                <w:numId w:val="6"/>
              </w:numPr>
              <w:tabs>
                <w:tab w:val="left" w:pos="1296"/>
                <w:tab w:val="right" w:leader="dot" w:pos="9360"/>
              </w:tabs>
              <w:suppressAutoHyphens/>
              <w:spacing w:after="120"/>
              <w:rPr>
                <w:spacing w:val="60"/>
                <w:szCs w:val="20"/>
              </w:rPr>
            </w:pPr>
            <w:r>
              <w:t>Organisation de la session</w:t>
            </w:r>
            <w:r w:rsidR="00EA63A9" w:rsidRPr="009F5448">
              <w:rPr>
                <w:spacing w:val="60"/>
                <w:szCs w:val="20"/>
              </w:rPr>
              <w:tab/>
            </w:r>
          </w:p>
        </w:tc>
        <w:tc>
          <w:tcPr>
            <w:tcW w:w="666" w:type="dxa"/>
            <w:shd w:val="clear" w:color="auto" w:fill="auto"/>
            <w:vAlign w:val="bottom"/>
          </w:tcPr>
          <w:p w:rsidR="00EA63A9" w:rsidRPr="009F5448" w:rsidRDefault="00E31905" w:rsidP="00EA63A9">
            <w:pPr>
              <w:spacing w:after="120"/>
              <w:ind w:right="40"/>
              <w:jc w:val="right"/>
              <w:rPr>
                <w:szCs w:val="20"/>
              </w:rPr>
            </w:pPr>
            <w:r>
              <w:rPr>
                <w:szCs w:val="20"/>
              </w:rPr>
              <w:t>3</w:t>
            </w:r>
          </w:p>
        </w:tc>
      </w:tr>
      <w:tr w:rsidR="00EA63A9" w:rsidRPr="009F5448" w:rsidTr="0051586A">
        <w:tc>
          <w:tcPr>
            <w:tcW w:w="9369" w:type="dxa"/>
            <w:gridSpan w:val="3"/>
            <w:shd w:val="clear" w:color="auto" w:fill="auto"/>
          </w:tcPr>
          <w:p w:rsidR="00EA63A9" w:rsidRPr="009F5448" w:rsidRDefault="00E31905" w:rsidP="00EA63A9">
            <w:pPr>
              <w:pStyle w:val="ListParagraph"/>
              <w:numPr>
                <w:ilvl w:val="1"/>
                <w:numId w:val="6"/>
              </w:numPr>
              <w:tabs>
                <w:tab w:val="clear" w:pos="1728"/>
                <w:tab w:val="left" w:pos="1296"/>
                <w:tab w:val="right" w:leader="dot" w:pos="9360"/>
              </w:tabs>
              <w:suppressAutoHyphens/>
              <w:spacing w:after="120"/>
              <w:rPr>
                <w:spacing w:val="60"/>
                <w:szCs w:val="20"/>
              </w:rPr>
            </w:pPr>
            <w:r>
              <w:t>Élection du Président-Rapporteur et du Vice-Président</w:t>
            </w:r>
            <w:r w:rsidR="00EA63A9" w:rsidRPr="009F5448">
              <w:rPr>
                <w:spacing w:val="60"/>
                <w:szCs w:val="20"/>
              </w:rPr>
              <w:tab/>
            </w:r>
          </w:p>
        </w:tc>
        <w:tc>
          <w:tcPr>
            <w:tcW w:w="666" w:type="dxa"/>
            <w:shd w:val="clear" w:color="auto" w:fill="auto"/>
            <w:vAlign w:val="bottom"/>
          </w:tcPr>
          <w:p w:rsidR="00EA63A9" w:rsidRPr="009F5448" w:rsidRDefault="00E31905" w:rsidP="00EA63A9">
            <w:pPr>
              <w:spacing w:after="120"/>
              <w:ind w:right="40"/>
              <w:jc w:val="right"/>
              <w:rPr>
                <w:szCs w:val="20"/>
              </w:rPr>
            </w:pPr>
            <w:r>
              <w:rPr>
                <w:szCs w:val="20"/>
              </w:rPr>
              <w:t>3</w:t>
            </w:r>
          </w:p>
        </w:tc>
      </w:tr>
      <w:tr w:rsidR="00EA63A9" w:rsidRPr="009F5448" w:rsidTr="0051586A">
        <w:tc>
          <w:tcPr>
            <w:tcW w:w="9369" w:type="dxa"/>
            <w:gridSpan w:val="3"/>
            <w:shd w:val="clear" w:color="auto" w:fill="auto"/>
          </w:tcPr>
          <w:p w:rsidR="00EA63A9" w:rsidRPr="009F5448" w:rsidRDefault="001C28C8" w:rsidP="00EA63A9">
            <w:pPr>
              <w:pStyle w:val="ListParagraph"/>
              <w:numPr>
                <w:ilvl w:val="1"/>
                <w:numId w:val="6"/>
              </w:numPr>
              <w:tabs>
                <w:tab w:val="clear" w:pos="1728"/>
                <w:tab w:val="left" w:pos="1296"/>
                <w:tab w:val="right" w:leader="dot" w:pos="9360"/>
              </w:tabs>
              <w:suppressAutoHyphens/>
              <w:spacing w:after="120"/>
              <w:rPr>
                <w:spacing w:val="60"/>
                <w:szCs w:val="20"/>
              </w:rPr>
            </w:pPr>
            <w:r>
              <w:t>Participation</w:t>
            </w:r>
            <w:r w:rsidR="00EA63A9" w:rsidRPr="009F5448">
              <w:rPr>
                <w:spacing w:val="60"/>
                <w:szCs w:val="20"/>
              </w:rPr>
              <w:tab/>
            </w:r>
          </w:p>
        </w:tc>
        <w:tc>
          <w:tcPr>
            <w:tcW w:w="666" w:type="dxa"/>
            <w:shd w:val="clear" w:color="auto" w:fill="auto"/>
            <w:vAlign w:val="bottom"/>
          </w:tcPr>
          <w:p w:rsidR="00EA63A9" w:rsidRPr="009F5448" w:rsidRDefault="000E07DF" w:rsidP="00EA63A9">
            <w:pPr>
              <w:spacing w:after="120"/>
              <w:ind w:right="40"/>
              <w:jc w:val="right"/>
              <w:rPr>
                <w:szCs w:val="20"/>
              </w:rPr>
            </w:pPr>
            <w:r>
              <w:rPr>
                <w:szCs w:val="20"/>
              </w:rPr>
              <w:t>4</w:t>
            </w:r>
          </w:p>
        </w:tc>
      </w:tr>
      <w:tr w:rsidR="00EA63A9" w:rsidRPr="009F5448" w:rsidTr="0051586A">
        <w:tc>
          <w:tcPr>
            <w:tcW w:w="9369" w:type="dxa"/>
            <w:gridSpan w:val="3"/>
            <w:shd w:val="clear" w:color="auto" w:fill="auto"/>
          </w:tcPr>
          <w:p w:rsidR="00EA63A9" w:rsidRPr="009F5448" w:rsidRDefault="00DE10E7" w:rsidP="00EA63A9">
            <w:pPr>
              <w:pStyle w:val="ListParagraph"/>
              <w:numPr>
                <w:ilvl w:val="1"/>
                <w:numId w:val="6"/>
              </w:numPr>
              <w:tabs>
                <w:tab w:val="clear" w:pos="1728"/>
                <w:tab w:val="left" w:pos="1296"/>
                <w:tab w:val="right" w:leader="dot" w:pos="9360"/>
              </w:tabs>
              <w:suppressAutoHyphens/>
              <w:spacing w:after="120"/>
              <w:rPr>
                <w:spacing w:val="60"/>
                <w:szCs w:val="20"/>
              </w:rPr>
            </w:pPr>
            <w:r w:rsidRPr="00837C42">
              <w:t>Documentation</w:t>
            </w:r>
            <w:r w:rsidR="00EA63A9" w:rsidRPr="009F5448">
              <w:rPr>
                <w:spacing w:val="60"/>
                <w:szCs w:val="20"/>
              </w:rPr>
              <w:tab/>
            </w:r>
          </w:p>
        </w:tc>
        <w:tc>
          <w:tcPr>
            <w:tcW w:w="666" w:type="dxa"/>
            <w:shd w:val="clear" w:color="auto" w:fill="auto"/>
            <w:vAlign w:val="bottom"/>
          </w:tcPr>
          <w:p w:rsidR="00EA63A9" w:rsidRPr="009F5448" w:rsidRDefault="000E07DF" w:rsidP="00EA63A9">
            <w:pPr>
              <w:spacing w:after="120"/>
              <w:ind w:right="40"/>
              <w:jc w:val="right"/>
              <w:rPr>
                <w:szCs w:val="20"/>
              </w:rPr>
            </w:pPr>
            <w:r>
              <w:rPr>
                <w:szCs w:val="20"/>
              </w:rPr>
              <w:t>4</w:t>
            </w:r>
          </w:p>
        </w:tc>
      </w:tr>
      <w:tr w:rsidR="00EA63A9" w:rsidRPr="009F5448" w:rsidTr="0051586A">
        <w:tc>
          <w:tcPr>
            <w:tcW w:w="9369" w:type="dxa"/>
            <w:gridSpan w:val="3"/>
            <w:shd w:val="clear" w:color="auto" w:fill="auto"/>
          </w:tcPr>
          <w:p w:rsidR="00EA63A9" w:rsidRPr="009F5448" w:rsidRDefault="000E07DF" w:rsidP="00EA63A9">
            <w:pPr>
              <w:pStyle w:val="ListParagraph"/>
              <w:numPr>
                <w:ilvl w:val="0"/>
                <w:numId w:val="6"/>
              </w:numPr>
              <w:tabs>
                <w:tab w:val="left" w:pos="1296"/>
                <w:tab w:val="right" w:leader="dot" w:pos="9360"/>
              </w:tabs>
              <w:suppressAutoHyphens/>
              <w:spacing w:after="120"/>
              <w:rPr>
                <w:spacing w:val="60"/>
                <w:szCs w:val="20"/>
              </w:rPr>
            </w:pPr>
            <w:r w:rsidRPr="00E33A23">
              <w:t>Tables rondes</w:t>
            </w:r>
            <w:r w:rsidR="00EA63A9" w:rsidRPr="009F5448">
              <w:rPr>
                <w:spacing w:val="60"/>
                <w:szCs w:val="20"/>
              </w:rPr>
              <w:tab/>
            </w:r>
          </w:p>
        </w:tc>
        <w:tc>
          <w:tcPr>
            <w:tcW w:w="666" w:type="dxa"/>
            <w:shd w:val="clear" w:color="auto" w:fill="auto"/>
            <w:vAlign w:val="bottom"/>
          </w:tcPr>
          <w:p w:rsidR="00EA63A9" w:rsidRPr="009F5448" w:rsidRDefault="000E07DF" w:rsidP="00EA63A9">
            <w:pPr>
              <w:spacing w:after="120"/>
              <w:ind w:right="40"/>
              <w:jc w:val="right"/>
              <w:rPr>
                <w:szCs w:val="20"/>
              </w:rPr>
            </w:pPr>
            <w:r>
              <w:rPr>
                <w:szCs w:val="20"/>
              </w:rPr>
              <w:t>5</w:t>
            </w:r>
          </w:p>
        </w:tc>
      </w:tr>
      <w:tr w:rsidR="00EA63A9" w:rsidRPr="009F5448" w:rsidTr="0051586A">
        <w:tc>
          <w:tcPr>
            <w:tcW w:w="9369" w:type="dxa"/>
            <w:gridSpan w:val="3"/>
            <w:shd w:val="clear" w:color="auto" w:fill="auto"/>
          </w:tcPr>
          <w:p w:rsidR="00EA63A9" w:rsidRPr="009F5448" w:rsidRDefault="000E07DF" w:rsidP="00677725">
            <w:pPr>
              <w:pStyle w:val="ListParagraph"/>
              <w:numPr>
                <w:ilvl w:val="1"/>
                <w:numId w:val="6"/>
              </w:numPr>
              <w:tabs>
                <w:tab w:val="clear" w:pos="1728"/>
                <w:tab w:val="left" w:pos="1296"/>
                <w:tab w:val="right" w:leader="dot" w:pos="9360"/>
              </w:tabs>
              <w:suppressAutoHyphens/>
              <w:spacing w:after="120"/>
              <w:rPr>
                <w:spacing w:val="60"/>
                <w:szCs w:val="20"/>
              </w:rPr>
            </w:pPr>
            <w:r>
              <w:t>Table ronde</w:t>
            </w:r>
            <w:r w:rsidRPr="00837C42">
              <w:t xml:space="preserve"> I. </w:t>
            </w:r>
            <w:r>
              <w:t>D</w:t>
            </w:r>
            <w:r w:rsidRPr="00E33A23">
              <w:t xml:space="preserve">roits civils, politiques, économiques, sociaux et culturels </w:t>
            </w:r>
            <w:r w:rsidR="00677725">
              <w:br/>
            </w:r>
            <w:r w:rsidRPr="00E33A23">
              <w:t xml:space="preserve">des paysans et des autres personnes travaillant </w:t>
            </w:r>
            <w:r>
              <w:t>dans les</w:t>
            </w:r>
            <w:r w:rsidRPr="00E33A23">
              <w:t xml:space="preserve"> zone</w:t>
            </w:r>
            <w:r>
              <w:t>s</w:t>
            </w:r>
            <w:r w:rsidRPr="00E33A23">
              <w:t xml:space="preserve"> rurale</w:t>
            </w:r>
            <w:r>
              <w:t>s</w:t>
            </w:r>
            <w:r w:rsidRPr="00E33A23">
              <w:t xml:space="preserve"> </w:t>
            </w:r>
            <w:r w:rsidR="00677725">
              <w:br/>
            </w:r>
            <w:r w:rsidRPr="00E33A23">
              <w:t>et lacunes en la matière</w:t>
            </w:r>
            <w:r w:rsidR="00EA63A9" w:rsidRPr="009F5448">
              <w:rPr>
                <w:spacing w:val="60"/>
                <w:szCs w:val="20"/>
              </w:rPr>
              <w:tab/>
            </w:r>
          </w:p>
        </w:tc>
        <w:tc>
          <w:tcPr>
            <w:tcW w:w="666" w:type="dxa"/>
            <w:shd w:val="clear" w:color="auto" w:fill="auto"/>
            <w:vAlign w:val="bottom"/>
          </w:tcPr>
          <w:p w:rsidR="00EA63A9" w:rsidRPr="009F5448" w:rsidRDefault="000E07DF" w:rsidP="00EA63A9">
            <w:pPr>
              <w:spacing w:after="120"/>
              <w:ind w:right="40"/>
              <w:jc w:val="right"/>
              <w:rPr>
                <w:szCs w:val="20"/>
              </w:rPr>
            </w:pPr>
            <w:r>
              <w:rPr>
                <w:szCs w:val="20"/>
              </w:rPr>
              <w:t>5</w:t>
            </w:r>
          </w:p>
        </w:tc>
      </w:tr>
      <w:tr w:rsidR="00EA63A9" w:rsidRPr="009F5448" w:rsidTr="0051586A">
        <w:tc>
          <w:tcPr>
            <w:tcW w:w="9369" w:type="dxa"/>
            <w:gridSpan w:val="3"/>
            <w:shd w:val="clear" w:color="auto" w:fill="auto"/>
          </w:tcPr>
          <w:p w:rsidR="00EA63A9" w:rsidRPr="009F5448" w:rsidRDefault="009F1E63" w:rsidP="009F1E63">
            <w:pPr>
              <w:pStyle w:val="ListParagraph"/>
              <w:numPr>
                <w:ilvl w:val="1"/>
                <w:numId w:val="6"/>
              </w:numPr>
              <w:tabs>
                <w:tab w:val="clear" w:pos="1728"/>
                <w:tab w:val="left" w:pos="1296"/>
                <w:tab w:val="right" w:leader="dot" w:pos="9360"/>
              </w:tabs>
              <w:suppressAutoHyphens/>
              <w:spacing w:after="120"/>
              <w:rPr>
                <w:spacing w:val="60"/>
                <w:szCs w:val="20"/>
              </w:rPr>
            </w:pPr>
            <w:r>
              <w:t xml:space="preserve">Table ronde </w:t>
            </w:r>
            <w:r w:rsidRPr="00837C42">
              <w:t xml:space="preserve">II. </w:t>
            </w:r>
            <w:r>
              <w:t>D</w:t>
            </w:r>
            <w:r w:rsidRPr="00AD75D9">
              <w:t xml:space="preserve">roits des paysans et des autres personnes travaillant </w:t>
            </w:r>
            <w:r>
              <w:br/>
              <w:t>dans les</w:t>
            </w:r>
            <w:r w:rsidRPr="00AD75D9">
              <w:t xml:space="preserve"> zone</w:t>
            </w:r>
            <w:r>
              <w:t>s</w:t>
            </w:r>
            <w:r w:rsidRPr="00AD75D9">
              <w:t xml:space="preserve"> rurale</w:t>
            </w:r>
            <w:r>
              <w:t>s</w:t>
            </w:r>
            <w:r w:rsidRPr="00AD75D9">
              <w:t xml:space="preserve"> </w:t>
            </w:r>
            <w:r>
              <w:t>énoncés dans d’</w:t>
            </w:r>
            <w:r w:rsidRPr="00AD75D9">
              <w:t xml:space="preserve">autres instruments </w:t>
            </w:r>
            <w:r>
              <w:br/>
            </w:r>
            <w:r w:rsidRPr="00AD75D9">
              <w:t>internationaux et lacunes en la matière</w:t>
            </w:r>
            <w:r w:rsidR="00EA63A9" w:rsidRPr="009F5448">
              <w:rPr>
                <w:spacing w:val="60"/>
                <w:szCs w:val="20"/>
              </w:rPr>
              <w:tab/>
            </w:r>
          </w:p>
        </w:tc>
        <w:tc>
          <w:tcPr>
            <w:tcW w:w="666" w:type="dxa"/>
            <w:shd w:val="clear" w:color="auto" w:fill="auto"/>
            <w:vAlign w:val="bottom"/>
          </w:tcPr>
          <w:p w:rsidR="00EA63A9" w:rsidRPr="009F5448" w:rsidRDefault="00B937DA" w:rsidP="00EA63A9">
            <w:pPr>
              <w:spacing w:after="120"/>
              <w:ind w:right="40"/>
              <w:jc w:val="right"/>
              <w:rPr>
                <w:szCs w:val="20"/>
              </w:rPr>
            </w:pPr>
            <w:r>
              <w:rPr>
                <w:szCs w:val="20"/>
              </w:rPr>
              <w:t>8</w:t>
            </w:r>
          </w:p>
        </w:tc>
      </w:tr>
      <w:tr w:rsidR="00EA63A9" w:rsidRPr="009F5448" w:rsidTr="0051586A">
        <w:tc>
          <w:tcPr>
            <w:tcW w:w="9369" w:type="dxa"/>
            <w:gridSpan w:val="3"/>
            <w:shd w:val="clear" w:color="auto" w:fill="auto"/>
          </w:tcPr>
          <w:p w:rsidR="00EA63A9" w:rsidRPr="009F5448" w:rsidRDefault="00B24D13" w:rsidP="00EA63A9">
            <w:pPr>
              <w:pStyle w:val="ListParagraph"/>
              <w:numPr>
                <w:ilvl w:val="0"/>
                <w:numId w:val="6"/>
              </w:numPr>
              <w:tabs>
                <w:tab w:val="left" w:pos="1296"/>
                <w:tab w:val="right" w:leader="dot" w:pos="9360"/>
              </w:tabs>
              <w:suppressAutoHyphens/>
              <w:spacing w:after="120"/>
              <w:rPr>
                <w:spacing w:val="60"/>
                <w:szCs w:val="20"/>
              </w:rPr>
            </w:pPr>
            <w:r>
              <w:t>Déclarations générales</w:t>
            </w:r>
            <w:r w:rsidR="00EA63A9" w:rsidRPr="009F5448">
              <w:rPr>
                <w:spacing w:val="60"/>
                <w:szCs w:val="20"/>
              </w:rPr>
              <w:tab/>
            </w:r>
          </w:p>
        </w:tc>
        <w:tc>
          <w:tcPr>
            <w:tcW w:w="666" w:type="dxa"/>
            <w:shd w:val="clear" w:color="auto" w:fill="auto"/>
            <w:vAlign w:val="bottom"/>
          </w:tcPr>
          <w:p w:rsidR="00EA63A9" w:rsidRPr="009F5448" w:rsidRDefault="00B24D13" w:rsidP="00EA63A9">
            <w:pPr>
              <w:spacing w:after="120"/>
              <w:ind w:right="40"/>
              <w:jc w:val="right"/>
              <w:rPr>
                <w:szCs w:val="20"/>
              </w:rPr>
            </w:pPr>
            <w:r>
              <w:rPr>
                <w:szCs w:val="20"/>
              </w:rPr>
              <w:t>10</w:t>
            </w:r>
          </w:p>
        </w:tc>
      </w:tr>
      <w:tr w:rsidR="00EA63A9" w:rsidRPr="009F5448" w:rsidTr="0051586A">
        <w:tc>
          <w:tcPr>
            <w:tcW w:w="9369" w:type="dxa"/>
            <w:gridSpan w:val="3"/>
            <w:shd w:val="clear" w:color="auto" w:fill="auto"/>
          </w:tcPr>
          <w:p w:rsidR="00EA63A9" w:rsidRPr="009F5448" w:rsidRDefault="00B24D13" w:rsidP="00D04B42">
            <w:pPr>
              <w:pStyle w:val="ListParagraph"/>
              <w:numPr>
                <w:ilvl w:val="0"/>
                <w:numId w:val="6"/>
              </w:numPr>
              <w:tabs>
                <w:tab w:val="left" w:pos="1296"/>
                <w:tab w:val="right" w:leader="dot" w:pos="9360"/>
              </w:tabs>
              <w:suppressAutoHyphens/>
              <w:spacing w:after="120"/>
              <w:rPr>
                <w:spacing w:val="60"/>
                <w:szCs w:val="20"/>
              </w:rPr>
            </w:pPr>
            <w:r w:rsidRPr="00347750">
              <w:t xml:space="preserve">Première lecture du projet de déclaration des Nations Unies sur les droits </w:t>
            </w:r>
            <w:r w:rsidR="00D04B42">
              <w:br/>
            </w:r>
            <w:r w:rsidRPr="00347750">
              <w:t>des paysans et des autres personnes travaillant dans les zones rurales</w:t>
            </w:r>
            <w:r w:rsidR="00EA63A9" w:rsidRPr="009F5448">
              <w:rPr>
                <w:spacing w:val="60"/>
                <w:szCs w:val="20"/>
              </w:rPr>
              <w:tab/>
            </w:r>
          </w:p>
        </w:tc>
        <w:tc>
          <w:tcPr>
            <w:tcW w:w="666" w:type="dxa"/>
            <w:shd w:val="clear" w:color="auto" w:fill="auto"/>
            <w:vAlign w:val="bottom"/>
          </w:tcPr>
          <w:p w:rsidR="00EA63A9" w:rsidRPr="009F5448" w:rsidRDefault="00B24D13" w:rsidP="00EA63A9">
            <w:pPr>
              <w:spacing w:after="120"/>
              <w:ind w:right="40"/>
              <w:jc w:val="right"/>
              <w:rPr>
                <w:szCs w:val="20"/>
              </w:rPr>
            </w:pPr>
            <w:r>
              <w:rPr>
                <w:szCs w:val="20"/>
              </w:rPr>
              <w:t>12</w:t>
            </w:r>
          </w:p>
        </w:tc>
      </w:tr>
      <w:tr w:rsidR="00EA63A9" w:rsidRPr="009F5448" w:rsidTr="0051586A">
        <w:tc>
          <w:tcPr>
            <w:tcW w:w="9369" w:type="dxa"/>
            <w:gridSpan w:val="3"/>
            <w:shd w:val="clear" w:color="auto" w:fill="auto"/>
          </w:tcPr>
          <w:p w:rsidR="00EA63A9" w:rsidRPr="009F5448" w:rsidRDefault="0002333A" w:rsidP="00EA63A9">
            <w:pPr>
              <w:pStyle w:val="ListParagraph"/>
              <w:numPr>
                <w:ilvl w:val="0"/>
                <w:numId w:val="6"/>
              </w:numPr>
              <w:tabs>
                <w:tab w:val="left" w:pos="1296"/>
                <w:tab w:val="right" w:leader="dot" w:pos="9360"/>
              </w:tabs>
              <w:suppressAutoHyphens/>
              <w:spacing w:after="120"/>
              <w:rPr>
                <w:spacing w:val="60"/>
                <w:szCs w:val="20"/>
              </w:rPr>
            </w:pPr>
            <w:r w:rsidRPr="008E483F">
              <w:rPr>
                <w:lang w:val="fr-FR"/>
              </w:rPr>
              <w:t>Conclusions</w:t>
            </w:r>
            <w:r w:rsidR="00EA63A9" w:rsidRPr="009F5448">
              <w:rPr>
                <w:spacing w:val="60"/>
                <w:szCs w:val="20"/>
              </w:rPr>
              <w:tab/>
            </w:r>
          </w:p>
        </w:tc>
        <w:tc>
          <w:tcPr>
            <w:tcW w:w="666" w:type="dxa"/>
            <w:shd w:val="clear" w:color="auto" w:fill="auto"/>
            <w:vAlign w:val="bottom"/>
          </w:tcPr>
          <w:p w:rsidR="00EA63A9" w:rsidRPr="009F5448" w:rsidRDefault="0002333A" w:rsidP="00EA63A9">
            <w:pPr>
              <w:spacing w:after="120"/>
              <w:ind w:right="40"/>
              <w:jc w:val="right"/>
              <w:rPr>
                <w:szCs w:val="20"/>
              </w:rPr>
            </w:pPr>
            <w:r>
              <w:rPr>
                <w:szCs w:val="20"/>
              </w:rPr>
              <w:t>21</w:t>
            </w:r>
          </w:p>
        </w:tc>
      </w:tr>
      <w:tr w:rsidR="00EA63A9" w:rsidRPr="009F5448" w:rsidTr="0051586A">
        <w:tc>
          <w:tcPr>
            <w:tcW w:w="9369" w:type="dxa"/>
            <w:gridSpan w:val="3"/>
            <w:shd w:val="clear" w:color="auto" w:fill="auto"/>
          </w:tcPr>
          <w:p w:rsidR="00EA63A9" w:rsidRPr="009F5448" w:rsidRDefault="0002333A" w:rsidP="00EA63A9">
            <w:pPr>
              <w:pStyle w:val="ListParagraph"/>
              <w:numPr>
                <w:ilvl w:val="0"/>
                <w:numId w:val="6"/>
              </w:numPr>
              <w:tabs>
                <w:tab w:val="left" w:pos="1296"/>
                <w:tab w:val="right" w:leader="dot" w:pos="9360"/>
              </w:tabs>
              <w:suppressAutoHyphens/>
              <w:spacing w:after="120"/>
              <w:rPr>
                <w:spacing w:val="60"/>
                <w:szCs w:val="20"/>
              </w:rPr>
            </w:pPr>
            <w:r w:rsidRPr="008E483F">
              <w:rPr>
                <w:lang w:val="fr-FR"/>
              </w:rPr>
              <w:t>Recommandations de la Présidente-Rapporteuse</w:t>
            </w:r>
            <w:r w:rsidR="00EA63A9" w:rsidRPr="009F5448">
              <w:rPr>
                <w:spacing w:val="60"/>
                <w:szCs w:val="20"/>
              </w:rPr>
              <w:tab/>
            </w:r>
          </w:p>
        </w:tc>
        <w:tc>
          <w:tcPr>
            <w:tcW w:w="666" w:type="dxa"/>
            <w:shd w:val="clear" w:color="auto" w:fill="auto"/>
            <w:vAlign w:val="bottom"/>
          </w:tcPr>
          <w:p w:rsidR="00EA63A9" w:rsidRPr="009F5448" w:rsidRDefault="0002333A" w:rsidP="00EA63A9">
            <w:pPr>
              <w:spacing w:after="120"/>
              <w:ind w:right="40"/>
              <w:jc w:val="right"/>
              <w:rPr>
                <w:szCs w:val="20"/>
              </w:rPr>
            </w:pPr>
            <w:r>
              <w:rPr>
                <w:szCs w:val="20"/>
              </w:rPr>
              <w:t>21</w:t>
            </w:r>
          </w:p>
        </w:tc>
      </w:tr>
      <w:tr w:rsidR="00EA63A9" w:rsidRPr="009F5448" w:rsidTr="0051586A">
        <w:tc>
          <w:tcPr>
            <w:tcW w:w="9369" w:type="dxa"/>
            <w:gridSpan w:val="3"/>
            <w:shd w:val="clear" w:color="auto" w:fill="auto"/>
          </w:tcPr>
          <w:p w:rsidR="00EA63A9" w:rsidRPr="009F5448" w:rsidRDefault="0002333A" w:rsidP="00EA63A9">
            <w:pPr>
              <w:pStyle w:val="ListParagraph"/>
              <w:numPr>
                <w:ilvl w:val="0"/>
                <w:numId w:val="6"/>
              </w:numPr>
              <w:tabs>
                <w:tab w:val="left" w:pos="1296"/>
                <w:tab w:val="right" w:leader="dot" w:pos="9360"/>
              </w:tabs>
              <w:suppressAutoHyphens/>
              <w:spacing w:after="120"/>
              <w:rPr>
                <w:spacing w:val="60"/>
                <w:szCs w:val="20"/>
              </w:rPr>
            </w:pPr>
            <w:r w:rsidRPr="008E483F">
              <w:rPr>
                <w:lang w:val="fr-FR"/>
              </w:rPr>
              <w:t>Adoption du rapport</w:t>
            </w:r>
            <w:r w:rsidR="00EA63A9" w:rsidRPr="009F5448">
              <w:rPr>
                <w:spacing w:val="60"/>
                <w:szCs w:val="20"/>
              </w:rPr>
              <w:tab/>
            </w:r>
          </w:p>
        </w:tc>
        <w:tc>
          <w:tcPr>
            <w:tcW w:w="666" w:type="dxa"/>
            <w:shd w:val="clear" w:color="auto" w:fill="auto"/>
            <w:vAlign w:val="bottom"/>
          </w:tcPr>
          <w:p w:rsidR="00EA63A9" w:rsidRPr="009F5448" w:rsidRDefault="0002333A" w:rsidP="00EA63A9">
            <w:pPr>
              <w:spacing w:after="120"/>
              <w:ind w:right="40"/>
              <w:jc w:val="right"/>
              <w:rPr>
                <w:szCs w:val="20"/>
              </w:rPr>
            </w:pPr>
            <w:r>
              <w:rPr>
                <w:szCs w:val="20"/>
              </w:rPr>
              <w:t>21</w:t>
            </w:r>
          </w:p>
        </w:tc>
      </w:tr>
      <w:tr w:rsidR="00EA63A9" w:rsidRPr="009F5448" w:rsidTr="0051586A">
        <w:tc>
          <w:tcPr>
            <w:tcW w:w="9369" w:type="dxa"/>
            <w:gridSpan w:val="3"/>
            <w:shd w:val="clear" w:color="auto" w:fill="auto"/>
          </w:tcPr>
          <w:p w:rsidR="00EA63A9" w:rsidRPr="00B71ABE" w:rsidRDefault="00EA63A9" w:rsidP="00EA63A9">
            <w:pPr>
              <w:pStyle w:val="ListParagraph"/>
              <w:tabs>
                <w:tab w:val="right" w:leader="dot" w:pos="9360"/>
              </w:tabs>
              <w:suppressAutoHyphens/>
              <w:spacing w:after="120"/>
              <w:ind w:left="0"/>
              <w:rPr>
                <w:szCs w:val="20"/>
              </w:rPr>
            </w:pPr>
            <w:r w:rsidRPr="00B71ABE">
              <w:rPr>
                <w:szCs w:val="20"/>
              </w:rPr>
              <w:t>Annexes</w:t>
            </w:r>
          </w:p>
        </w:tc>
        <w:tc>
          <w:tcPr>
            <w:tcW w:w="666" w:type="dxa"/>
            <w:shd w:val="clear" w:color="auto" w:fill="auto"/>
            <w:vAlign w:val="bottom"/>
          </w:tcPr>
          <w:p w:rsidR="00EA63A9" w:rsidRPr="009F5448" w:rsidRDefault="00EA63A9" w:rsidP="00EA63A9">
            <w:pPr>
              <w:spacing w:after="120"/>
              <w:ind w:right="40"/>
              <w:jc w:val="right"/>
              <w:rPr>
                <w:szCs w:val="20"/>
              </w:rPr>
            </w:pPr>
          </w:p>
        </w:tc>
      </w:tr>
      <w:tr w:rsidR="00EA63A9" w:rsidRPr="009F5448" w:rsidTr="0051586A">
        <w:tc>
          <w:tcPr>
            <w:tcW w:w="9369" w:type="dxa"/>
            <w:gridSpan w:val="3"/>
            <w:shd w:val="clear" w:color="auto" w:fill="auto"/>
          </w:tcPr>
          <w:p w:rsidR="00EA63A9" w:rsidRPr="009F5448" w:rsidRDefault="0002333A" w:rsidP="00D04B42">
            <w:pPr>
              <w:pStyle w:val="ListParagraph"/>
              <w:numPr>
                <w:ilvl w:val="0"/>
                <w:numId w:val="15"/>
              </w:numPr>
              <w:tabs>
                <w:tab w:val="left" w:pos="1296"/>
                <w:tab w:val="right" w:leader="dot" w:pos="9360"/>
              </w:tabs>
              <w:suppressAutoHyphens/>
              <w:spacing w:after="120"/>
              <w:rPr>
                <w:spacing w:val="60"/>
                <w:szCs w:val="20"/>
              </w:rPr>
            </w:pPr>
            <w:r w:rsidRPr="008E483F">
              <w:rPr>
                <w:lang w:val="fr-FR"/>
              </w:rPr>
              <w:t>Ordre du jour</w:t>
            </w:r>
            <w:r w:rsidR="00EA63A9" w:rsidRPr="009F5448">
              <w:rPr>
                <w:spacing w:val="60"/>
                <w:szCs w:val="20"/>
              </w:rPr>
              <w:tab/>
            </w:r>
          </w:p>
        </w:tc>
        <w:tc>
          <w:tcPr>
            <w:tcW w:w="666" w:type="dxa"/>
            <w:shd w:val="clear" w:color="auto" w:fill="auto"/>
            <w:vAlign w:val="bottom"/>
          </w:tcPr>
          <w:p w:rsidR="00EA63A9" w:rsidRPr="009F5448" w:rsidRDefault="0002333A" w:rsidP="00EA63A9">
            <w:pPr>
              <w:spacing w:after="120"/>
              <w:ind w:right="40"/>
              <w:jc w:val="right"/>
              <w:rPr>
                <w:szCs w:val="20"/>
              </w:rPr>
            </w:pPr>
            <w:r>
              <w:rPr>
                <w:szCs w:val="20"/>
              </w:rPr>
              <w:t>22</w:t>
            </w:r>
          </w:p>
        </w:tc>
      </w:tr>
      <w:tr w:rsidR="005A3B14" w:rsidRPr="009F5448" w:rsidTr="0051586A">
        <w:tc>
          <w:tcPr>
            <w:tcW w:w="9369" w:type="dxa"/>
            <w:gridSpan w:val="3"/>
            <w:shd w:val="clear" w:color="auto" w:fill="auto"/>
          </w:tcPr>
          <w:p w:rsidR="005A3B14" w:rsidRPr="005A3B14" w:rsidRDefault="0002333A" w:rsidP="00D04B42">
            <w:pPr>
              <w:pStyle w:val="ListParagraph"/>
              <w:numPr>
                <w:ilvl w:val="0"/>
                <w:numId w:val="15"/>
              </w:numPr>
              <w:tabs>
                <w:tab w:val="left" w:pos="1296"/>
                <w:tab w:val="right" w:leader="dot" w:pos="9360"/>
              </w:tabs>
              <w:suppressAutoHyphens/>
              <w:spacing w:after="120"/>
              <w:rPr>
                <w:spacing w:val="60"/>
                <w:sz w:val="17"/>
                <w:szCs w:val="20"/>
              </w:rPr>
            </w:pPr>
            <w:r w:rsidRPr="008E483F">
              <w:rPr>
                <w:lang w:val="fr-FR"/>
              </w:rPr>
              <w:t>Liste des intervenants dans les tables rondes</w:t>
            </w:r>
            <w:r w:rsidR="005A3B14">
              <w:rPr>
                <w:spacing w:val="60"/>
                <w:sz w:val="17"/>
                <w:szCs w:val="20"/>
              </w:rPr>
              <w:tab/>
            </w:r>
          </w:p>
        </w:tc>
        <w:tc>
          <w:tcPr>
            <w:tcW w:w="666" w:type="dxa"/>
            <w:shd w:val="clear" w:color="auto" w:fill="auto"/>
            <w:vAlign w:val="bottom"/>
          </w:tcPr>
          <w:p w:rsidR="005A3B14" w:rsidRPr="009F5448" w:rsidRDefault="0002333A" w:rsidP="00EA63A9">
            <w:pPr>
              <w:spacing w:after="120"/>
              <w:ind w:right="40"/>
              <w:jc w:val="right"/>
              <w:rPr>
                <w:szCs w:val="20"/>
              </w:rPr>
            </w:pPr>
            <w:r>
              <w:rPr>
                <w:szCs w:val="20"/>
              </w:rPr>
              <w:t>23</w:t>
            </w:r>
          </w:p>
        </w:tc>
      </w:tr>
    </w:tbl>
    <w:p w:rsidR="00EA63A9" w:rsidRDefault="00EA63A9" w:rsidP="00EA63A9">
      <w:pPr>
        <w:tabs>
          <w:tab w:val="right" w:pos="1022"/>
          <w:tab w:val="left" w:pos="1267"/>
          <w:tab w:val="left" w:pos="2218"/>
          <w:tab w:val="left" w:pos="2693"/>
          <w:tab w:val="left" w:pos="3182"/>
          <w:tab w:val="left" w:pos="3658"/>
          <w:tab w:val="left" w:pos="4133"/>
          <w:tab w:val="left" w:pos="4622"/>
          <w:tab w:val="left" w:pos="5098"/>
          <w:tab w:val="left" w:pos="5573"/>
          <w:tab w:val="left" w:pos="6048"/>
        </w:tabs>
      </w:pPr>
    </w:p>
    <w:p w:rsidR="00C36315" w:rsidRDefault="00C36315" w:rsidP="00AB70FA">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837C42">
        <w:tab/>
      </w:r>
      <w:r w:rsidRPr="00837C42">
        <w:br w:type="page"/>
      </w:r>
      <w:r w:rsidRPr="00837C42">
        <w:lastRenderedPageBreak/>
        <w:tab/>
      </w:r>
      <w:r w:rsidRPr="00D929C4">
        <w:t>I.</w:t>
      </w:r>
      <w:r w:rsidRPr="00D929C4">
        <w:tab/>
        <w:t>Introduction</w:t>
      </w:r>
    </w:p>
    <w:p w:rsidR="00AB70FA" w:rsidRPr="00AB70FA" w:rsidRDefault="00AB70FA" w:rsidP="00AB70FA">
      <w:pPr>
        <w:spacing w:line="120" w:lineRule="exact"/>
        <w:rPr>
          <w:sz w:val="10"/>
        </w:rPr>
      </w:pPr>
    </w:p>
    <w:p w:rsidR="00AB70FA" w:rsidRPr="00AB70FA" w:rsidRDefault="00AB70FA" w:rsidP="00AB70FA">
      <w:pPr>
        <w:spacing w:line="120" w:lineRule="exact"/>
        <w:rPr>
          <w:sz w:val="10"/>
        </w:rPr>
      </w:pPr>
    </w:p>
    <w:p w:rsidR="00C36315" w:rsidRPr="00837C42" w:rsidRDefault="00C36315" w:rsidP="00E23FC2">
      <w:pPr>
        <w:pStyle w:val="SingleTxt"/>
        <w:numPr>
          <w:ilvl w:val="0"/>
          <w:numId w:val="9"/>
        </w:numPr>
        <w:tabs>
          <w:tab w:val="clear" w:pos="475"/>
          <w:tab w:val="num" w:pos="1742"/>
        </w:tabs>
        <w:ind w:left="1267"/>
      </w:pPr>
      <w:r>
        <w:t xml:space="preserve">Rappelant </w:t>
      </w:r>
      <w:r w:rsidRPr="00EF7BBD">
        <w:t xml:space="preserve">ses </w:t>
      </w:r>
      <w:r>
        <w:t>résolutions 13/4, 16/27 et 19/7, le Conseil des droits de l</w:t>
      </w:r>
      <w:r w:rsidR="001C28C8">
        <w:t>’</w:t>
      </w:r>
      <w:r>
        <w:t xml:space="preserve">homme a créé, dans sa résolution 21/19, le </w:t>
      </w:r>
      <w:r w:rsidRPr="00EF7BBD">
        <w:t>Groupe de travail intergouvernemental à composition non limitée sur un projet de déclaration des Nations Unies sur les droits des paysans et des autres personnes travaillant dans les zones rurales</w:t>
      </w:r>
      <w:r>
        <w:t xml:space="preserve"> </w:t>
      </w:r>
      <w:r w:rsidRPr="00837C42">
        <w:t>(</w:t>
      </w:r>
      <w:r w:rsidR="00B937DA">
        <w:t>« </w:t>
      </w:r>
      <w:r>
        <w:t>le Groupe de travail</w:t>
      </w:r>
      <w:r w:rsidR="001C28C8">
        <w:t> »</w:t>
      </w:r>
      <w:r>
        <w:t>), chargé de négocier, de rédiger puis de présenter au Conseil des droits de l</w:t>
      </w:r>
      <w:r w:rsidR="001C28C8">
        <w:t>’</w:t>
      </w:r>
      <w:r>
        <w:t>homme un projet de déclaration des Nations Unies sur les droits des paysans et des autres personnes vivant dans les zones rurales</w:t>
      </w:r>
      <w:r w:rsidRPr="00837C42">
        <w:t xml:space="preserve">. </w:t>
      </w:r>
      <w:r>
        <w:t xml:space="preserve">Dans sa résolution </w:t>
      </w:r>
      <w:r w:rsidRPr="00837C42">
        <w:t xml:space="preserve">26/26 </w:t>
      </w:r>
      <w:r>
        <w:t xml:space="preserve">du </w:t>
      </w:r>
      <w:r w:rsidRPr="00837C42">
        <w:t>23</w:t>
      </w:r>
      <w:r w:rsidR="000458A7">
        <w:t> </w:t>
      </w:r>
      <w:r>
        <w:t xml:space="preserve">juin 2014, le Conseil a décidé que le Groupe de travail tiendrait une deuxième session de cinq jours ouvrables avant la vingt-neuvième session du Conseil; demandé à la </w:t>
      </w:r>
      <w:r w:rsidRPr="003B2AD9">
        <w:t>Présidente-Rapporteuse du Groupe de travail d</w:t>
      </w:r>
      <w:r w:rsidR="001C28C8">
        <w:t>’</w:t>
      </w:r>
      <w:r w:rsidRPr="003B2AD9">
        <w:t>organiser des consultations informelles avec les gouvernements, les titulaires de mandat au titre des procédures spéciales pertinentes du Conseil des droits de l</w:t>
      </w:r>
      <w:r w:rsidR="001C28C8">
        <w:t>’</w:t>
      </w:r>
      <w:r w:rsidRPr="003B2AD9">
        <w:t>homme, les groupes régionaux, les organisations intergouvernementales, les mécanismes des Nations Unies, la société civile et les représentants des paysans et des autres personnes travaillant dans les zones rurales</w:t>
      </w:r>
      <w:r w:rsidRPr="00837C42">
        <w:t xml:space="preserve">; </w:t>
      </w:r>
      <w:r>
        <w:t xml:space="preserve">demandé </w:t>
      </w:r>
      <w:r w:rsidRPr="003B2AD9">
        <w:t xml:space="preserve">à la Présidente-Rapporteuse du </w:t>
      </w:r>
      <w:r>
        <w:t>Groupe</w:t>
      </w:r>
      <w:r w:rsidRPr="003B2AD9">
        <w:t xml:space="preserve"> de travail de rédiger un nouveau texte en se fondant sur les débats tenus pendant la première session du </w:t>
      </w:r>
      <w:r>
        <w:t>G</w:t>
      </w:r>
      <w:r w:rsidRPr="003B2AD9">
        <w:t>roupe de travail, le projet de déclaration présenté par le Comité consultatif</w:t>
      </w:r>
      <w:r>
        <w:t xml:space="preserve"> et</w:t>
      </w:r>
      <w:r w:rsidRPr="003B2AD9">
        <w:t xml:space="preserve"> les consultations informelles qui </w:t>
      </w:r>
      <w:r>
        <w:t>devaient</w:t>
      </w:r>
      <w:r w:rsidRPr="003B2AD9">
        <w:t xml:space="preserve"> avoir lieu, et de le soumettre au </w:t>
      </w:r>
      <w:r>
        <w:t>Groupe</w:t>
      </w:r>
      <w:r w:rsidRPr="003B2AD9">
        <w:t xml:space="preserve"> de travail à sa deuxième session pour examen et poursuite des débats</w:t>
      </w:r>
      <w:r w:rsidRPr="00837C42">
        <w:t xml:space="preserve">. </w:t>
      </w:r>
      <w:r>
        <w:t xml:space="preserve">Dans la même résolution, il a prié le </w:t>
      </w:r>
      <w:r w:rsidRPr="003B2AD9">
        <w:t>Haut-Commissariat des Nations Unies aux droits de l</w:t>
      </w:r>
      <w:r w:rsidR="001C28C8">
        <w:t>’</w:t>
      </w:r>
      <w:r w:rsidRPr="003B2AD9">
        <w:t xml:space="preserve">homme de fournir au </w:t>
      </w:r>
      <w:r>
        <w:t>Groupe</w:t>
      </w:r>
      <w:r w:rsidRPr="003B2AD9">
        <w:t xml:space="preserve"> de travail l</w:t>
      </w:r>
      <w:r w:rsidR="001C28C8">
        <w:t>’</w:t>
      </w:r>
      <w:r w:rsidRPr="003B2AD9">
        <w:t xml:space="preserve">assistance humaine, technique et financière nécessaire à </w:t>
      </w:r>
      <w:r>
        <w:t>l</w:t>
      </w:r>
      <w:r w:rsidR="001C28C8">
        <w:t>’</w:t>
      </w:r>
      <w:r>
        <w:t>accomplissement de son mandat, et prié le Groupe de travail</w:t>
      </w:r>
      <w:r w:rsidRPr="00837C42">
        <w:t xml:space="preserve"> </w:t>
      </w:r>
      <w:r w:rsidRPr="00AA0B41">
        <w:t>de soumettre au Conseil pour examen à sa trentième session un rapport sur l</w:t>
      </w:r>
      <w:r w:rsidR="001C28C8">
        <w:t>’</w:t>
      </w:r>
      <w:r w:rsidRPr="00AA0B41">
        <w:t>état d</w:t>
      </w:r>
      <w:r w:rsidR="001C28C8">
        <w:t>’</w:t>
      </w:r>
      <w:r w:rsidRPr="00AA0B41">
        <w:t xml:space="preserve">avancement de ses travaux, qui </w:t>
      </w:r>
      <w:r>
        <w:t>serait</w:t>
      </w:r>
      <w:r w:rsidRPr="00AA0B41">
        <w:t xml:space="preserve"> publié en tant que document officiel dans toutes les langues officielles de l</w:t>
      </w:r>
      <w:r w:rsidR="001C28C8">
        <w:t>’</w:t>
      </w:r>
      <w:r w:rsidRPr="00AA0B41">
        <w:t>Organisation des Nations Unies.</w:t>
      </w:r>
      <w:r>
        <w:t xml:space="preserve"> </w:t>
      </w:r>
    </w:p>
    <w:p w:rsidR="00C36315" w:rsidRPr="00837C42" w:rsidRDefault="00C36315" w:rsidP="00E23FC2">
      <w:pPr>
        <w:pStyle w:val="SingleTxt"/>
        <w:numPr>
          <w:ilvl w:val="0"/>
          <w:numId w:val="9"/>
        </w:numPr>
        <w:tabs>
          <w:tab w:val="clear" w:pos="475"/>
          <w:tab w:val="num" w:pos="1742"/>
        </w:tabs>
        <w:ind w:left="1267"/>
      </w:pPr>
      <w:r>
        <w:t>En application de la résolution</w:t>
      </w:r>
      <w:r w:rsidRPr="00837C42">
        <w:t xml:space="preserve"> </w:t>
      </w:r>
      <w:r>
        <w:t>susmentionnée</w:t>
      </w:r>
      <w:r w:rsidRPr="00837C42">
        <w:t xml:space="preserve">, </w:t>
      </w:r>
      <w:r>
        <w:t xml:space="preserve">le Groupe de travail a tenu sa deuxième session du </w:t>
      </w:r>
      <w:r w:rsidRPr="00837C42">
        <w:t xml:space="preserve">2 </w:t>
      </w:r>
      <w:r>
        <w:t xml:space="preserve">au </w:t>
      </w:r>
      <w:r w:rsidRPr="00837C42">
        <w:t>6 </w:t>
      </w:r>
      <w:r>
        <w:t xml:space="preserve">février </w:t>
      </w:r>
      <w:r w:rsidRPr="00837C42">
        <w:t>2015.</w:t>
      </w:r>
    </w:p>
    <w:p w:rsidR="00AB70FA" w:rsidRPr="00DC2AA6" w:rsidRDefault="00C36315" w:rsidP="00E23FC2">
      <w:pPr>
        <w:pStyle w:val="SingleTxt"/>
        <w:numPr>
          <w:ilvl w:val="0"/>
          <w:numId w:val="9"/>
        </w:numPr>
        <w:tabs>
          <w:tab w:val="clear" w:pos="475"/>
          <w:tab w:val="num" w:pos="1742"/>
        </w:tabs>
        <w:ind w:left="1267"/>
        <w:rPr>
          <w:spacing w:val="2"/>
        </w:rPr>
      </w:pPr>
      <w:r w:rsidRPr="00ED59CB">
        <w:t>La deuxième session a été ouverte le 2</w:t>
      </w:r>
      <w:r w:rsidR="000458A7" w:rsidRPr="00ED59CB">
        <w:t> </w:t>
      </w:r>
      <w:r w:rsidRPr="00ED59CB">
        <w:t>février 2015 par Craig Mokhiber, Chef du Service du développement et des questions économiques et sociales, du Haut-</w:t>
      </w:r>
      <w:r w:rsidRPr="00DC2AA6">
        <w:rPr>
          <w:spacing w:val="2"/>
        </w:rPr>
        <w:t>Commissariat des Nations Unies aux droits de l</w:t>
      </w:r>
      <w:r w:rsidR="001C28C8">
        <w:rPr>
          <w:spacing w:val="2"/>
        </w:rPr>
        <w:t>’</w:t>
      </w:r>
      <w:r w:rsidRPr="00DC2AA6">
        <w:rPr>
          <w:spacing w:val="2"/>
        </w:rPr>
        <w:t xml:space="preserve">homme. Celui-ci a dit que les personnes </w:t>
      </w:r>
      <w:r w:rsidRPr="00D632C4">
        <w:t>travaillant dans les zones rurales étaient plus vulnérables aux situations d</w:t>
      </w:r>
      <w:r w:rsidR="001C28C8">
        <w:t>’</w:t>
      </w:r>
      <w:r w:rsidRPr="00D632C4">
        <w:t>urgence, aux maladies</w:t>
      </w:r>
      <w:r w:rsidRPr="000C0ADD">
        <w:t xml:space="preserve"> et aux conflits, étant victimes de multiples formes de discrimination parce que les États manquaient depuis longtemps à la responsabilité de respecter, de protéger et de garantir leurs droits. Il a souligné que ces personnes pâtissaient également d</w:t>
      </w:r>
      <w:r w:rsidR="001C28C8">
        <w:t>’</w:t>
      </w:r>
      <w:r w:rsidRPr="000C0ADD">
        <w:t>inégalités structurelles, qui compromettaient souvent la capacité qu</w:t>
      </w:r>
      <w:r w:rsidR="001C28C8">
        <w:t>’</w:t>
      </w:r>
      <w:r w:rsidRPr="000C0ADD">
        <w:t>avaient les petits exploitants de préserver les valeurs agricoles, de déterminer les prix et d</w:t>
      </w:r>
      <w:r w:rsidR="001C28C8">
        <w:t>’</w:t>
      </w:r>
      <w:r w:rsidRPr="000C0ADD">
        <w:t>accéder aux marchés, ainsi que de promouvoir la diversité biologique.</w:t>
      </w:r>
    </w:p>
    <w:p w:rsidR="00AB70FA" w:rsidRPr="00AB70FA" w:rsidRDefault="00AB70FA" w:rsidP="00AB70FA">
      <w:pPr>
        <w:pStyle w:val="SingleTxt"/>
        <w:spacing w:after="0" w:line="120" w:lineRule="exact"/>
        <w:rPr>
          <w:sz w:val="10"/>
        </w:rPr>
      </w:pPr>
    </w:p>
    <w:p w:rsidR="00AB70FA" w:rsidRPr="00AB70FA" w:rsidRDefault="00AB70FA" w:rsidP="00AB70FA">
      <w:pPr>
        <w:pStyle w:val="SingleTxt"/>
        <w:spacing w:after="0" w:line="120" w:lineRule="exact"/>
        <w:rPr>
          <w:sz w:val="10"/>
        </w:rPr>
      </w:pPr>
    </w:p>
    <w:p w:rsidR="00C36315" w:rsidRDefault="00C36315" w:rsidP="00AB70FA">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837C42">
        <w:tab/>
        <w:t>II</w:t>
      </w:r>
      <w:r w:rsidR="00D04B42">
        <w:t>.</w:t>
      </w:r>
      <w:r w:rsidRPr="00837C42">
        <w:tab/>
      </w:r>
      <w:r>
        <w:t>Organisation de la session</w:t>
      </w:r>
    </w:p>
    <w:p w:rsidR="00AB70FA" w:rsidRPr="00AB70FA" w:rsidRDefault="00AB70FA" w:rsidP="00AB70FA">
      <w:pPr>
        <w:spacing w:line="120" w:lineRule="exact"/>
        <w:rPr>
          <w:sz w:val="10"/>
        </w:rPr>
      </w:pPr>
    </w:p>
    <w:p w:rsidR="00AB70FA" w:rsidRPr="00AB70FA" w:rsidRDefault="00AB70FA" w:rsidP="00AB70FA">
      <w:pPr>
        <w:spacing w:line="120" w:lineRule="exact"/>
        <w:rPr>
          <w:sz w:val="10"/>
        </w:rPr>
      </w:pPr>
    </w:p>
    <w:p w:rsidR="00C36315" w:rsidRDefault="00C36315" w:rsidP="00AB70FA">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837C42">
        <w:tab/>
        <w:t>A.</w:t>
      </w:r>
      <w:r w:rsidRPr="00837C42">
        <w:tab/>
      </w:r>
      <w:r>
        <w:t>Élection du Président-Rapporteur et du Vice-Président</w:t>
      </w:r>
    </w:p>
    <w:p w:rsidR="00AB70FA" w:rsidRPr="00AB70FA" w:rsidRDefault="00AB70FA" w:rsidP="00AB70FA">
      <w:pPr>
        <w:spacing w:line="120" w:lineRule="exact"/>
        <w:rPr>
          <w:sz w:val="10"/>
        </w:rPr>
      </w:pPr>
    </w:p>
    <w:p w:rsidR="00AB70FA" w:rsidRPr="00AB70FA" w:rsidRDefault="00AB70FA" w:rsidP="00AB70FA">
      <w:pPr>
        <w:spacing w:line="120" w:lineRule="exact"/>
        <w:rPr>
          <w:sz w:val="10"/>
        </w:rPr>
      </w:pPr>
    </w:p>
    <w:p w:rsidR="00C36315" w:rsidRPr="00837C42" w:rsidRDefault="00C36315" w:rsidP="00E23FC2">
      <w:pPr>
        <w:pStyle w:val="SingleTxt"/>
        <w:numPr>
          <w:ilvl w:val="0"/>
          <w:numId w:val="9"/>
        </w:numPr>
        <w:tabs>
          <w:tab w:val="clear" w:pos="475"/>
          <w:tab w:val="num" w:pos="1742"/>
        </w:tabs>
        <w:ind w:left="1267"/>
      </w:pPr>
      <w:r>
        <w:t>À sa deuxième séance, le 2 février 2015, le Groupe de travail a réélu M</w:t>
      </w:r>
      <w:r w:rsidRPr="000458A7">
        <w:rPr>
          <w:vertAlign w:val="superscript"/>
        </w:rPr>
        <w:t>me</w:t>
      </w:r>
      <w:r w:rsidR="001C28C8">
        <w:rPr>
          <w:vertAlign w:val="superscript"/>
        </w:rPr>
        <w:t> </w:t>
      </w:r>
      <w:r w:rsidRPr="00837C42">
        <w:t>Navarro Llanos (</w:t>
      </w:r>
      <w:r>
        <w:t>État plurinational de Bolivie</w:t>
      </w:r>
      <w:r w:rsidRPr="00837C42">
        <w:t xml:space="preserve">) </w:t>
      </w:r>
      <w:r>
        <w:t>Présidente-Rapporteuse</w:t>
      </w:r>
      <w:r w:rsidRPr="00837C42">
        <w:t xml:space="preserve">, </w:t>
      </w:r>
      <w:r>
        <w:t xml:space="preserve">par </w:t>
      </w:r>
      <w:r w:rsidRPr="00837C42">
        <w:t xml:space="preserve">acclamation. </w:t>
      </w:r>
      <w:r>
        <w:t>S</w:t>
      </w:r>
      <w:r w:rsidR="001C28C8">
        <w:t>’</w:t>
      </w:r>
      <w:r>
        <w:t xml:space="preserve">exprimant au nom du </w:t>
      </w:r>
      <w:r w:rsidRPr="007B5CA6">
        <w:t>Groupe des pays d</w:t>
      </w:r>
      <w:r w:rsidR="001C28C8">
        <w:t>’</w:t>
      </w:r>
      <w:r w:rsidRPr="007B5CA6">
        <w:t>Amérique latine et des Caraïbes</w:t>
      </w:r>
      <w:r>
        <w:t xml:space="preserve">, le </w:t>
      </w:r>
      <w:r w:rsidRPr="00E54402">
        <w:t>représentant</w:t>
      </w:r>
      <w:r>
        <w:t xml:space="preserve"> du </w:t>
      </w:r>
      <w:r w:rsidRPr="00837C42">
        <w:t>Guatemala</w:t>
      </w:r>
      <w:r>
        <w:t xml:space="preserve"> a indiqué que son pays avait présenté la candidature de M</w:t>
      </w:r>
      <w:r w:rsidRPr="00DC2AA6">
        <w:rPr>
          <w:vertAlign w:val="superscript"/>
        </w:rPr>
        <w:t>me</w:t>
      </w:r>
      <w:r w:rsidR="001C28C8">
        <w:rPr>
          <w:vertAlign w:val="superscript"/>
        </w:rPr>
        <w:t> </w:t>
      </w:r>
      <w:r w:rsidRPr="00837C42">
        <w:t xml:space="preserve">Navarro </w:t>
      </w:r>
      <w:r>
        <w:t xml:space="preserve">au vu de </w:t>
      </w:r>
      <w:r w:rsidRPr="00E039C7">
        <w:t>l</w:t>
      </w:r>
      <w:r w:rsidR="001C28C8">
        <w:t>’</w:t>
      </w:r>
      <w:r w:rsidRPr="00E039C7">
        <w:t>impulsion</w:t>
      </w:r>
      <w:r>
        <w:t xml:space="preserve"> déterminante que l</w:t>
      </w:r>
      <w:r w:rsidR="001C28C8">
        <w:t>’</w:t>
      </w:r>
      <w:r>
        <w:t>État plurinational de Bolivie avait donnée aux travaux du Groupe de travail et du rôle de chef de file qu</w:t>
      </w:r>
      <w:r w:rsidR="001C28C8">
        <w:t>’</w:t>
      </w:r>
      <w:r>
        <w:t>il avait joué pendant la première session et les consultations informelles tenues entre les sessions. Il a ajouté que M</w:t>
      </w:r>
      <w:r w:rsidRPr="00DC2AA6">
        <w:rPr>
          <w:vertAlign w:val="superscript"/>
        </w:rPr>
        <w:t>me</w:t>
      </w:r>
      <w:r w:rsidR="001C28C8">
        <w:rPr>
          <w:vertAlign w:val="superscript"/>
        </w:rPr>
        <w:t> </w:t>
      </w:r>
      <w:r w:rsidRPr="00837C42">
        <w:t>Navarro</w:t>
      </w:r>
      <w:r w:rsidR="00DC2AA6">
        <w:t> </w:t>
      </w:r>
      <w:r w:rsidRPr="00837C42">
        <w:t xml:space="preserve">Llanos </w:t>
      </w:r>
      <w:r>
        <w:t xml:space="preserve">possédait toutes les </w:t>
      </w:r>
      <w:r w:rsidRPr="00E530B8">
        <w:t xml:space="preserve">qualifications nécessaires </w:t>
      </w:r>
      <w:r>
        <w:t>pour mener à bien son mandat</w:t>
      </w:r>
      <w:r w:rsidRPr="00837C42">
        <w:t>.</w:t>
      </w:r>
    </w:p>
    <w:p w:rsidR="00C36315" w:rsidRDefault="00C36315" w:rsidP="00E23FC2">
      <w:pPr>
        <w:pStyle w:val="SingleTxt"/>
        <w:numPr>
          <w:ilvl w:val="0"/>
          <w:numId w:val="9"/>
        </w:numPr>
        <w:tabs>
          <w:tab w:val="clear" w:pos="475"/>
          <w:tab w:val="num" w:pos="1742"/>
        </w:tabs>
        <w:ind w:left="1267"/>
      </w:pPr>
      <w:r>
        <w:lastRenderedPageBreak/>
        <w:t>En raison de problèmes de santé</w:t>
      </w:r>
      <w:r w:rsidRPr="00837C42">
        <w:t xml:space="preserve">, </w:t>
      </w:r>
      <w:r>
        <w:t xml:space="preserve">la </w:t>
      </w:r>
      <w:r w:rsidRPr="000A10B1">
        <w:t xml:space="preserve">Présidente-Rapporteuse </w:t>
      </w:r>
      <w:r>
        <w:t>a suspendu la 5</w:t>
      </w:r>
      <w:r w:rsidRPr="000E1DA5">
        <w:rPr>
          <w:vertAlign w:val="superscript"/>
        </w:rPr>
        <w:t>e</w:t>
      </w:r>
      <w:r w:rsidR="00DC2AA6">
        <w:t> </w:t>
      </w:r>
      <w:r>
        <w:t xml:space="preserve">séance de la session </w:t>
      </w:r>
      <w:r w:rsidRPr="00837C42">
        <w:t>(</w:t>
      </w:r>
      <w:r>
        <w:t xml:space="preserve">matinée du </w:t>
      </w:r>
      <w:r w:rsidRPr="00837C42">
        <w:t>3 </w:t>
      </w:r>
      <w:r>
        <w:t xml:space="preserve">février </w:t>
      </w:r>
      <w:r w:rsidRPr="00837C42">
        <w:t xml:space="preserve">2015) </w:t>
      </w:r>
      <w:r>
        <w:t>et proposé au Groupe de travail d</w:t>
      </w:r>
      <w:r w:rsidR="001C28C8">
        <w:t>’</w:t>
      </w:r>
      <w:r>
        <w:t>élire un Vice-Président à titre temporaire pour garantir le bon déroulement du reste de la session. La 5</w:t>
      </w:r>
      <w:r w:rsidRPr="000E1DA5">
        <w:rPr>
          <w:vertAlign w:val="superscript"/>
        </w:rPr>
        <w:t>e</w:t>
      </w:r>
      <w:r w:rsidR="00DC2AA6">
        <w:t> </w:t>
      </w:r>
      <w:r>
        <w:t>séance a été reprise l</w:t>
      </w:r>
      <w:r w:rsidR="001C28C8">
        <w:t>’</w:t>
      </w:r>
      <w:r>
        <w:t>après-midi. Au nom du Secrétaire général de l</w:t>
      </w:r>
      <w:r w:rsidR="001C28C8">
        <w:t>’</w:t>
      </w:r>
      <w:r>
        <w:t xml:space="preserve">ONU, un représentant du </w:t>
      </w:r>
      <w:r w:rsidRPr="00E039C7">
        <w:t>Haut-Commissariat des Nations Unies aux droits de l</w:t>
      </w:r>
      <w:r w:rsidR="001C28C8">
        <w:t>’</w:t>
      </w:r>
      <w:r w:rsidRPr="00E039C7">
        <w:t>homme</w:t>
      </w:r>
      <w:r>
        <w:t xml:space="preserve"> (</w:t>
      </w:r>
      <w:r w:rsidRPr="00731D71">
        <w:t>HCDH</w:t>
      </w:r>
      <w:r>
        <w:t>) a ouvert la séance et, aucune objection n</w:t>
      </w:r>
      <w:r w:rsidR="001C28C8">
        <w:t>’</w:t>
      </w:r>
      <w:r>
        <w:t>ayant été faite à la proposition de la Présidente-Rapporteuse, a procédé à l</w:t>
      </w:r>
      <w:r w:rsidR="001C28C8">
        <w:t>’</w:t>
      </w:r>
      <w:r>
        <w:t>élection du Vice-Président. Le</w:t>
      </w:r>
      <w:r w:rsidR="001C28C8">
        <w:t> </w:t>
      </w:r>
      <w:r>
        <w:t xml:space="preserve">Guatemala a </w:t>
      </w:r>
      <w:r w:rsidRPr="000E1DA5">
        <w:t>présenté la candidature</w:t>
      </w:r>
      <w:r>
        <w:t xml:space="preserve"> de </w:t>
      </w:r>
      <w:r w:rsidRPr="00837C42">
        <w:t>Luis Espinoza (</w:t>
      </w:r>
      <w:r>
        <w:t>Équateur</w:t>
      </w:r>
      <w:r w:rsidRPr="00837C42">
        <w:t xml:space="preserve">). </w:t>
      </w:r>
      <w:r>
        <w:t>En l</w:t>
      </w:r>
      <w:r w:rsidR="001C28C8">
        <w:t>’</w:t>
      </w:r>
      <w:r>
        <w:t>absence d</w:t>
      </w:r>
      <w:r w:rsidR="001C28C8">
        <w:t>’</w:t>
      </w:r>
      <w:r>
        <w:t>autres candidatures</w:t>
      </w:r>
      <w:r w:rsidRPr="00837C42">
        <w:t xml:space="preserve">, </w:t>
      </w:r>
      <w:r>
        <w:t>ce dernier</w:t>
      </w:r>
      <w:r w:rsidRPr="00837C42">
        <w:t xml:space="preserve"> </w:t>
      </w:r>
      <w:r>
        <w:t>a été élu Vice-Président du Groupe de travail et a rempli cette fonction à titre temporaire jusqu</w:t>
      </w:r>
      <w:r w:rsidR="001C28C8">
        <w:t>’</w:t>
      </w:r>
      <w:r>
        <w:t>à la fin de la session. Il a présidé les 5</w:t>
      </w:r>
      <w:r w:rsidRPr="000E1DA5">
        <w:rPr>
          <w:vertAlign w:val="superscript"/>
        </w:rPr>
        <w:t>e</w:t>
      </w:r>
      <w:r>
        <w:t>, 6</w:t>
      </w:r>
      <w:r w:rsidRPr="000E1DA5">
        <w:rPr>
          <w:vertAlign w:val="superscript"/>
        </w:rPr>
        <w:t>e</w:t>
      </w:r>
      <w:r>
        <w:t xml:space="preserve"> et 7</w:t>
      </w:r>
      <w:r w:rsidRPr="000E1DA5">
        <w:rPr>
          <w:vertAlign w:val="superscript"/>
        </w:rPr>
        <w:t>e</w:t>
      </w:r>
      <w:r w:rsidR="001C28C8">
        <w:t> </w:t>
      </w:r>
      <w:r>
        <w:t xml:space="preserve">séances. </w:t>
      </w:r>
    </w:p>
    <w:p w:rsidR="00AB70FA" w:rsidRPr="00AB70FA" w:rsidRDefault="00AB70FA" w:rsidP="00AB70FA">
      <w:pPr>
        <w:pStyle w:val="SingleTxt"/>
        <w:spacing w:after="0" w:line="120" w:lineRule="exact"/>
        <w:rPr>
          <w:sz w:val="10"/>
        </w:rPr>
      </w:pPr>
    </w:p>
    <w:p w:rsidR="00AB70FA" w:rsidRPr="00AB70FA" w:rsidRDefault="00AB70FA" w:rsidP="00AB70FA">
      <w:pPr>
        <w:pStyle w:val="SingleTxt"/>
        <w:spacing w:after="0" w:line="120" w:lineRule="exact"/>
        <w:rPr>
          <w:sz w:val="10"/>
        </w:rPr>
      </w:pPr>
    </w:p>
    <w:p w:rsidR="00C36315" w:rsidRDefault="00C36315" w:rsidP="00AB70FA">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837C42">
        <w:tab/>
        <w:t>B.</w:t>
      </w:r>
      <w:r w:rsidRPr="00837C42">
        <w:tab/>
      </w:r>
      <w:r>
        <w:t>Participation</w:t>
      </w:r>
    </w:p>
    <w:p w:rsidR="00AB70FA" w:rsidRPr="00AB70FA" w:rsidRDefault="00AB70FA" w:rsidP="00AB70FA">
      <w:pPr>
        <w:spacing w:line="120" w:lineRule="exact"/>
        <w:rPr>
          <w:sz w:val="10"/>
        </w:rPr>
      </w:pPr>
    </w:p>
    <w:p w:rsidR="00AB70FA" w:rsidRPr="00AB70FA" w:rsidRDefault="00AB70FA" w:rsidP="00AB70FA">
      <w:pPr>
        <w:spacing w:line="120" w:lineRule="exact"/>
        <w:rPr>
          <w:sz w:val="10"/>
        </w:rPr>
      </w:pPr>
    </w:p>
    <w:p w:rsidR="00C36315" w:rsidRPr="00837C42" w:rsidRDefault="00C36315" w:rsidP="00E23FC2">
      <w:pPr>
        <w:pStyle w:val="SingleTxt"/>
        <w:numPr>
          <w:ilvl w:val="0"/>
          <w:numId w:val="9"/>
        </w:numPr>
        <w:tabs>
          <w:tab w:val="clear" w:pos="475"/>
          <w:tab w:val="num" w:pos="1742"/>
        </w:tabs>
        <w:ind w:left="1267"/>
      </w:pPr>
      <w:r>
        <w:t xml:space="preserve">Les </w:t>
      </w:r>
      <w:r w:rsidRPr="00D93CC6">
        <w:t xml:space="preserve">États Membres de </w:t>
      </w:r>
      <w:r>
        <w:t>l</w:t>
      </w:r>
      <w:r w:rsidR="001C28C8">
        <w:t>’</w:t>
      </w:r>
      <w:r>
        <w:t>ONU</w:t>
      </w:r>
      <w:r w:rsidRPr="00D93CC6">
        <w:t xml:space="preserve"> ci-après</w:t>
      </w:r>
      <w:r>
        <w:t xml:space="preserve"> étaient représentés à la session</w:t>
      </w:r>
      <w:r w:rsidR="002D73B9">
        <w:t> </w:t>
      </w:r>
      <w:r w:rsidRPr="00D93CC6">
        <w:t>:</w:t>
      </w:r>
      <w:r>
        <w:t xml:space="preserve"> </w:t>
      </w:r>
      <w:r w:rsidRPr="00837C42">
        <w:t xml:space="preserve">Afghanistan, </w:t>
      </w:r>
      <w:r w:rsidRPr="00D55DDF">
        <w:t>Afrique du Sud</w:t>
      </w:r>
      <w:r>
        <w:t>,</w:t>
      </w:r>
      <w:r w:rsidRPr="00D55DDF">
        <w:t xml:space="preserve"> </w:t>
      </w:r>
      <w:r>
        <w:t>Algérie</w:t>
      </w:r>
      <w:r w:rsidRPr="00837C42">
        <w:t xml:space="preserve">, </w:t>
      </w:r>
      <w:r w:rsidRPr="00D55DDF">
        <w:t>Allemagne,</w:t>
      </w:r>
      <w:r>
        <w:t xml:space="preserve"> Autriche, Argentine</w:t>
      </w:r>
      <w:r w:rsidRPr="00837C42">
        <w:t xml:space="preserve">, </w:t>
      </w:r>
      <w:r>
        <w:t>Bahreïn</w:t>
      </w:r>
      <w:r w:rsidRPr="00837C42">
        <w:t xml:space="preserve">, Bangladesh, </w:t>
      </w:r>
      <w:r w:rsidRPr="00D55DDF">
        <w:t xml:space="preserve">Bolivie </w:t>
      </w:r>
      <w:r>
        <w:t>(État plurinational de)</w:t>
      </w:r>
      <w:r w:rsidRPr="00837C42">
        <w:t xml:space="preserve">, Botswana, </w:t>
      </w:r>
      <w:r>
        <w:t>Brésil, Chili, Chine, Colombie</w:t>
      </w:r>
      <w:r w:rsidR="002D73B9">
        <w:t>, Cuba, Costa Rica,</w:t>
      </w:r>
      <w:r w:rsidRPr="00837C42">
        <w:t xml:space="preserve"> </w:t>
      </w:r>
      <w:r>
        <w:t xml:space="preserve">Équateur </w:t>
      </w:r>
      <w:r w:rsidRPr="00837C42">
        <w:t>(</w:t>
      </w:r>
      <w:r>
        <w:t xml:space="preserve">au nom du </w:t>
      </w:r>
      <w:r w:rsidRPr="00D93CC6">
        <w:t>Groupe des pays d</w:t>
      </w:r>
      <w:r w:rsidR="001C28C8">
        <w:t>’</w:t>
      </w:r>
      <w:r>
        <w:t>Amérique latine et des Caraïbes)</w:t>
      </w:r>
      <w:r w:rsidRPr="00837C42">
        <w:t xml:space="preserve">, El Salvador, Égypte, </w:t>
      </w:r>
      <w:r w:rsidRPr="00D55DDF">
        <w:t>Espagne, États-Unis d</w:t>
      </w:r>
      <w:r w:rsidR="001C28C8">
        <w:t>’</w:t>
      </w:r>
      <w:r w:rsidRPr="00D55DDF">
        <w:t>Amérique,</w:t>
      </w:r>
      <w:r>
        <w:t xml:space="preserve"> </w:t>
      </w:r>
      <w:r w:rsidRPr="00837C42">
        <w:t xml:space="preserve">Éthiopie, </w:t>
      </w:r>
      <w:r w:rsidRPr="00D55DDF">
        <w:t xml:space="preserve">Fédération de Russie, </w:t>
      </w:r>
      <w:r w:rsidRPr="00837C42">
        <w:t xml:space="preserve">Finlande, France, </w:t>
      </w:r>
      <w:r>
        <w:t>Grèce</w:t>
      </w:r>
      <w:r w:rsidRPr="00837C42">
        <w:t>, Guatemala (</w:t>
      </w:r>
      <w:r>
        <w:t xml:space="preserve">au nom du </w:t>
      </w:r>
      <w:r w:rsidRPr="00D10969">
        <w:t xml:space="preserve">Groupe des pays </w:t>
      </w:r>
      <w:r w:rsidRPr="006B2863">
        <w:rPr>
          <w:spacing w:val="0"/>
        </w:rPr>
        <w:t>d</w:t>
      </w:r>
      <w:r w:rsidR="001C28C8" w:rsidRPr="006B2863">
        <w:rPr>
          <w:spacing w:val="0"/>
        </w:rPr>
        <w:t>’</w:t>
      </w:r>
      <w:r w:rsidRPr="006B2863">
        <w:rPr>
          <w:spacing w:val="0"/>
        </w:rPr>
        <w:t>A</w:t>
      </w:r>
      <w:bookmarkStart w:id="1" w:name="insstart"/>
      <w:bookmarkEnd w:id="1"/>
      <w:r w:rsidRPr="006B2863">
        <w:rPr>
          <w:spacing w:val="0"/>
        </w:rPr>
        <w:t xml:space="preserve">mérique latine et des Caraïbes), Italie, Inde, Indonésie, </w:t>
      </w:r>
      <w:r w:rsidR="001C28C8" w:rsidRPr="006B2863">
        <w:rPr>
          <w:spacing w:val="0"/>
        </w:rPr>
        <w:t>Iran (République islamique d’</w:t>
      </w:r>
      <w:r w:rsidRPr="006B2863">
        <w:rPr>
          <w:spacing w:val="0"/>
        </w:rPr>
        <w:t>)</w:t>
      </w:r>
      <w:r w:rsidRPr="00D10969">
        <w:t xml:space="preserve"> </w:t>
      </w:r>
      <w:r w:rsidRPr="00837C42">
        <w:t>(</w:t>
      </w:r>
      <w:r>
        <w:t>au nom du Mouvement des pays non alignés), Iraq</w:t>
      </w:r>
      <w:r w:rsidRPr="00837C42">
        <w:t xml:space="preserve">, </w:t>
      </w:r>
      <w:r>
        <w:t>Irlande</w:t>
      </w:r>
      <w:r w:rsidRPr="00837C42">
        <w:t xml:space="preserve">, </w:t>
      </w:r>
      <w:r>
        <w:t>Japon</w:t>
      </w:r>
      <w:r w:rsidRPr="00837C42">
        <w:t xml:space="preserve">, </w:t>
      </w:r>
      <w:r>
        <w:t>Jordanie</w:t>
      </w:r>
      <w:r w:rsidRPr="00837C42">
        <w:t xml:space="preserve">, </w:t>
      </w:r>
      <w:r>
        <w:t>Koweït,</w:t>
      </w:r>
      <w:r w:rsidRPr="00D10969">
        <w:t xml:space="preserve"> Kirghizistan</w:t>
      </w:r>
      <w:r w:rsidRPr="00837C42">
        <w:t xml:space="preserve">, </w:t>
      </w:r>
      <w:r w:rsidRPr="00D10969">
        <w:t>Lettonie</w:t>
      </w:r>
      <w:r>
        <w:t xml:space="preserve"> </w:t>
      </w:r>
      <w:r w:rsidRPr="00837C42">
        <w:t>(</w:t>
      </w:r>
      <w:r>
        <w:t>au nom de l</w:t>
      </w:r>
      <w:r w:rsidR="001C28C8">
        <w:t>’</w:t>
      </w:r>
      <w:r>
        <w:t>Union européenne</w:t>
      </w:r>
      <w:r w:rsidRPr="00837C42">
        <w:t xml:space="preserve">), Luxembourg, </w:t>
      </w:r>
      <w:r>
        <w:t>Malaisie</w:t>
      </w:r>
      <w:r w:rsidRPr="00837C42">
        <w:t xml:space="preserve">, </w:t>
      </w:r>
      <w:r>
        <w:t>Mexique</w:t>
      </w:r>
      <w:r w:rsidRPr="00837C42">
        <w:t xml:space="preserve">, </w:t>
      </w:r>
      <w:r>
        <w:t>Maroc, Myanmar, Nicaragua, Nigé</w:t>
      </w:r>
      <w:r w:rsidRPr="00837C42">
        <w:t xml:space="preserve">ria, </w:t>
      </w:r>
      <w:r>
        <w:t>Norvège</w:t>
      </w:r>
      <w:r w:rsidRPr="00837C42">
        <w:t xml:space="preserve">, Pakistan, Paraguay, </w:t>
      </w:r>
      <w:r>
        <w:t>Pérou</w:t>
      </w:r>
      <w:r w:rsidRPr="00837C42">
        <w:t xml:space="preserve">, Philippines, </w:t>
      </w:r>
      <w:r w:rsidRPr="00D55DDF">
        <w:t xml:space="preserve">République arabe syrienne, République de Corée, République démocratique populaire lao, République tchèque, ex-République yougoslave de Macédoine, </w:t>
      </w:r>
      <w:r>
        <w:t>Roumanie</w:t>
      </w:r>
      <w:r w:rsidRPr="00837C42">
        <w:t xml:space="preserve">, Sénégal, Sri Lanka, </w:t>
      </w:r>
      <w:r>
        <w:t>Suisse</w:t>
      </w:r>
      <w:r w:rsidRPr="00837C42">
        <w:t xml:space="preserve">, </w:t>
      </w:r>
      <w:r>
        <w:t>Thaïlande</w:t>
      </w:r>
      <w:r w:rsidRPr="00837C42">
        <w:t xml:space="preserve">, </w:t>
      </w:r>
      <w:r>
        <w:t>Togo, Tunisie</w:t>
      </w:r>
      <w:r w:rsidRPr="00837C42">
        <w:t xml:space="preserve">, </w:t>
      </w:r>
      <w:r>
        <w:t>Royaume-Uni de Grande-Bretagne et d</w:t>
      </w:r>
      <w:r w:rsidR="001C28C8">
        <w:t>’</w:t>
      </w:r>
      <w:r>
        <w:t>Irlande du Nord</w:t>
      </w:r>
      <w:r w:rsidRPr="00837C42">
        <w:t xml:space="preserve">, Uruguay </w:t>
      </w:r>
      <w:r>
        <w:t>et</w:t>
      </w:r>
      <w:r w:rsidRPr="00837C42">
        <w:t xml:space="preserve"> Venezuela (</w:t>
      </w:r>
      <w:r w:rsidRPr="00D10969">
        <w:t>République bolivarienne du</w:t>
      </w:r>
      <w:r w:rsidRPr="00837C42">
        <w:t xml:space="preserve">). </w:t>
      </w:r>
    </w:p>
    <w:p w:rsidR="00C36315" w:rsidRPr="00837C42" w:rsidRDefault="00C36315" w:rsidP="00E23FC2">
      <w:pPr>
        <w:pStyle w:val="SingleTxt"/>
        <w:numPr>
          <w:ilvl w:val="0"/>
          <w:numId w:val="9"/>
        </w:numPr>
        <w:tabs>
          <w:tab w:val="clear" w:pos="475"/>
          <w:tab w:val="num" w:pos="1742"/>
        </w:tabs>
        <w:ind w:left="1267"/>
      </w:pPr>
      <w:r>
        <w:t>L</w:t>
      </w:r>
      <w:r w:rsidR="001C28C8">
        <w:t>’</w:t>
      </w:r>
      <w:r>
        <w:t xml:space="preserve">État ci-après, non membre </w:t>
      </w:r>
      <w:r w:rsidRPr="00D10969">
        <w:t>de l</w:t>
      </w:r>
      <w:r w:rsidR="001C28C8">
        <w:t>’</w:t>
      </w:r>
      <w:r w:rsidRPr="00D10969">
        <w:t xml:space="preserve">ONU, </w:t>
      </w:r>
      <w:r>
        <w:t>était présent en qualité d</w:t>
      </w:r>
      <w:r w:rsidR="001C28C8">
        <w:t>’</w:t>
      </w:r>
      <w:r>
        <w:t>observateur</w:t>
      </w:r>
      <w:r w:rsidR="002D73B9">
        <w:t> </w:t>
      </w:r>
      <w:r w:rsidRPr="00837C42">
        <w:t xml:space="preserve">: </w:t>
      </w:r>
      <w:r>
        <w:t>Saint-Siège</w:t>
      </w:r>
      <w:r w:rsidRPr="00837C42">
        <w:t>.</w:t>
      </w:r>
    </w:p>
    <w:p w:rsidR="00C36315" w:rsidRPr="00837C42" w:rsidRDefault="00C36315" w:rsidP="00E23FC2">
      <w:pPr>
        <w:pStyle w:val="SingleTxt"/>
        <w:numPr>
          <w:ilvl w:val="0"/>
          <w:numId w:val="9"/>
        </w:numPr>
        <w:tabs>
          <w:tab w:val="clear" w:pos="475"/>
          <w:tab w:val="num" w:pos="1742"/>
        </w:tabs>
        <w:ind w:left="1267"/>
      </w:pPr>
      <w:r>
        <w:t xml:space="preserve">Les </w:t>
      </w:r>
      <w:r w:rsidRPr="008B5797">
        <w:t>organisation</w:t>
      </w:r>
      <w:r>
        <w:t>s</w:t>
      </w:r>
      <w:r w:rsidRPr="008B5797">
        <w:t xml:space="preserve"> intergouvernementale</w:t>
      </w:r>
      <w:r>
        <w:t>s</w:t>
      </w:r>
      <w:r w:rsidRPr="008B5797">
        <w:t xml:space="preserve"> </w:t>
      </w:r>
      <w:r>
        <w:t>ci-après</w:t>
      </w:r>
      <w:r w:rsidRPr="008B5797">
        <w:t xml:space="preserve"> étai</w:t>
      </w:r>
      <w:r>
        <w:t>en</w:t>
      </w:r>
      <w:r w:rsidRPr="008B5797">
        <w:t>t représentée</w:t>
      </w:r>
      <w:r>
        <w:t>s</w:t>
      </w:r>
      <w:r w:rsidR="002D73B9">
        <w:t> </w:t>
      </w:r>
      <w:r w:rsidRPr="00837C42">
        <w:t xml:space="preserve">: </w:t>
      </w:r>
      <w:r>
        <w:t>l</w:t>
      </w:r>
      <w:r w:rsidR="001C28C8">
        <w:t>’</w:t>
      </w:r>
      <w:r w:rsidRPr="00837C42">
        <w:t xml:space="preserve">Union </w:t>
      </w:r>
      <w:r>
        <w:t>européenne et l</w:t>
      </w:r>
      <w:r w:rsidR="001C28C8">
        <w:t>’</w:t>
      </w:r>
      <w:r w:rsidRPr="00022C6E">
        <w:t>Organisation des Nations Unies pour l</w:t>
      </w:r>
      <w:r w:rsidR="001C28C8">
        <w:t>’</w:t>
      </w:r>
      <w:r w:rsidRPr="00022C6E">
        <w:t>alimentation et l</w:t>
      </w:r>
      <w:r w:rsidR="001C28C8">
        <w:t>’</w:t>
      </w:r>
      <w:r w:rsidRPr="00022C6E">
        <w:t xml:space="preserve">agriculture </w:t>
      </w:r>
      <w:r w:rsidRPr="00837C42">
        <w:t xml:space="preserve">(FAO). </w:t>
      </w:r>
    </w:p>
    <w:p w:rsidR="00C36315" w:rsidRDefault="00C36315" w:rsidP="00E23FC2">
      <w:pPr>
        <w:pStyle w:val="SingleTxt"/>
        <w:numPr>
          <w:ilvl w:val="0"/>
          <w:numId w:val="9"/>
        </w:numPr>
        <w:tabs>
          <w:tab w:val="clear" w:pos="475"/>
          <w:tab w:val="num" w:pos="1742"/>
        </w:tabs>
        <w:ind w:left="1267"/>
      </w:pPr>
      <w:r>
        <w:t>Étaient également représentées les organisations non gouvernementales ci-après, dotées du statut consultatif auprès du Conseil économique et social</w:t>
      </w:r>
      <w:r w:rsidR="002D73B9">
        <w:t> </w:t>
      </w:r>
      <w:r w:rsidRPr="00837C42">
        <w:t xml:space="preserve">: </w:t>
      </w:r>
      <w:r w:rsidRPr="008B5797">
        <w:t xml:space="preserve">Fondation </w:t>
      </w:r>
      <w:r>
        <w:t xml:space="preserve">Pain </w:t>
      </w:r>
      <w:r w:rsidRPr="008B5797">
        <w:t>pour le prochain</w:t>
      </w:r>
      <w:r w:rsidRPr="00837C42">
        <w:t xml:space="preserve">, Center for Legal and Social Studies, </w:t>
      </w:r>
      <w:r>
        <w:t>Centre Europe – Tiers Monde</w:t>
      </w:r>
      <w:r w:rsidRPr="00837C42">
        <w:t>, Friends World Committee for Consultation, Foodfirst Information and Action Network, Programme on Women</w:t>
      </w:r>
      <w:r w:rsidR="001C28C8">
        <w:t>’</w:t>
      </w:r>
      <w:r w:rsidRPr="00837C42">
        <w:t>s Economic, Social and Cultural Rights,</w:t>
      </w:r>
      <w:r>
        <w:t xml:space="preserve"> </w:t>
      </w:r>
      <w:r w:rsidRPr="00CC69E0">
        <w:t>Bureau de la Société de</w:t>
      </w:r>
      <w:r>
        <w:t>s Amis auprès des Nations Unies</w:t>
      </w:r>
      <w:r w:rsidRPr="00837C42">
        <w:t xml:space="preserve">, </w:t>
      </w:r>
      <w:r w:rsidRPr="00053E9F">
        <w:t>Union internationale des travailleurs de l</w:t>
      </w:r>
      <w:r w:rsidR="001C28C8">
        <w:t>’</w:t>
      </w:r>
      <w:r w:rsidRPr="00053E9F">
        <w:t>alimentation, de l</w:t>
      </w:r>
      <w:r w:rsidR="001C28C8">
        <w:t>’</w:t>
      </w:r>
      <w:r w:rsidRPr="00053E9F">
        <w:t>agriculture, de l</w:t>
      </w:r>
      <w:r w:rsidR="001C28C8">
        <w:t>’</w:t>
      </w:r>
      <w:r w:rsidRPr="00053E9F">
        <w:t>hôtellerie-restauration, du tabac et des branches</w:t>
      </w:r>
      <w:r>
        <w:t xml:space="preserve"> connexes</w:t>
      </w:r>
      <w:r w:rsidRPr="00837C42">
        <w:t>, R</w:t>
      </w:r>
      <w:r>
        <w:t>éseau international des droits h</w:t>
      </w:r>
      <w:r w:rsidRPr="00837C42">
        <w:t xml:space="preserve">umains, VIVAT International, </w:t>
      </w:r>
      <w:r>
        <w:t>Villages uni</w:t>
      </w:r>
      <w:r w:rsidRPr="00837C42">
        <w:t>s</w:t>
      </w:r>
      <w:r>
        <w:t xml:space="preserve"> et </w:t>
      </w:r>
      <w:r w:rsidRPr="00053E9F">
        <w:t>Association américaine des juristes</w:t>
      </w:r>
      <w:r w:rsidRPr="00837C42">
        <w:t xml:space="preserve">. </w:t>
      </w:r>
    </w:p>
    <w:p w:rsidR="00AB70FA" w:rsidRPr="00AB70FA" w:rsidRDefault="00AB70FA" w:rsidP="00AB70FA">
      <w:pPr>
        <w:pStyle w:val="SingleTxt"/>
        <w:spacing w:after="0" w:line="120" w:lineRule="exact"/>
        <w:rPr>
          <w:sz w:val="10"/>
        </w:rPr>
      </w:pPr>
    </w:p>
    <w:p w:rsidR="00AB70FA" w:rsidRPr="00AB70FA" w:rsidRDefault="00AB70FA" w:rsidP="00AB70FA">
      <w:pPr>
        <w:pStyle w:val="SingleTxt"/>
        <w:spacing w:after="0" w:line="120" w:lineRule="exact"/>
        <w:rPr>
          <w:sz w:val="10"/>
        </w:rPr>
      </w:pPr>
    </w:p>
    <w:p w:rsidR="00C36315" w:rsidRDefault="00C36315" w:rsidP="00AB70FA">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837C42">
        <w:tab/>
        <w:t>C.</w:t>
      </w:r>
      <w:r w:rsidRPr="00837C42">
        <w:tab/>
        <w:t>Documentation</w:t>
      </w:r>
    </w:p>
    <w:p w:rsidR="00AB70FA" w:rsidRPr="00AB70FA" w:rsidRDefault="00AB70FA" w:rsidP="007D4190">
      <w:pPr>
        <w:pStyle w:val="SingleTxt"/>
        <w:spacing w:after="0" w:line="120" w:lineRule="exact"/>
        <w:rPr>
          <w:sz w:val="10"/>
        </w:rPr>
      </w:pPr>
    </w:p>
    <w:p w:rsidR="00AB70FA" w:rsidRPr="00AB70FA" w:rsidRDefault="00AB70FA" w:rsidP="007D4190">
      <w:pPr>
        <w:pStyle w:val="SingleTxt"/>
        <w:spacing w:after="0" w:line="120" w:lineRule="exact"/>
        <w:rPr>
          <w:sz w:val="10"/>
        </w:rPr>
      </w:pPr>
    </w:p>
    <w:p w:rsidR="00C36315" w:rsidRPr="00837C42" w:rsidRDefault="00C36315" w:rsidP="00E23FC2">
      <w:pPr>
        <w:pStyle w:val="SingleTxt"/>
        <w:numPr>
          <w:ilvl w:val="0"/>
          <w:numId w:val="9"/>
        </w:numPr>
        <w:tabs>
          <w:tab w:val="clear" w:pos="475"/>
          <w:tab w:val="num" w:pos="1742"/>
        </w:tabs>
        <w:ind w:left="1267"/>
      </w:pPr>
      <w:r>
        <w:t>Le Groupe de travail était saisi du nouveau texte du projet de déclaration (A/HRC/WG.15/1/2), ainsi que des documents suivants</w:t>
      </w:r>
      <w:r w:rsidR="00AB70FA">
        <w:t> </w:t>
      </w:r>
      <w:r w:rsidRPr="00837C42">
        <w:t>:</w:t>
      </w:r>
    </w:p>
    <w:p w:rsidR="00C36315" w:rsidRPr="00837C42" w:rsidRDefault="00AB70FA" w:rsidP="00AB70FA">
      <w:pPr>
        <w:pStyle w:val="SingleTxt"/>
      </w:pPr>
      <w:r>
        <w:tab/>
      </w:r>
      <w:r w:rsidR="00C36315" w:rsidRPr="00837C42">
        <w:t>a)</w:t>
      </w:r>
      <w:r w:rsidR="00C36315" w:rsidRPr="00837C42">
        <w:tab/>
      </w:r>
      <w:r w:rsidR="00C36315">
        <w:t xml:space="preserve">Résolution </w:t>
      </w:r>
      <w:r w:rsidR="00C36315" w:rsidRPr="00837C42">
        <w:t xml:space="preserve">21/19 </w:t>
      </w:r>
      <w:r w:rsidR="00C36315">
        <w:t xml:space="preserve">sur la </w:t>
      </w:r>
      <w:r w:rsidR="00C36315" w:rsidRPr="00837C42">
        <w:t xml:space="preserve">promotion </w:t>
      </w:r>
      <w:r w:rsidR="00C36315">
        <w:t xml:space="preserve">et la </w:t>
      </w:r>
      <w:r w:rsidR="00C36315" w:rsidRPr="00837C42">
        <w:t xml:space="preserve">protection </w:t>
      </w:r>
      <w:r w:rsidR="00C36315">
        <w:t>des droits de l</w:t>
      </w:r>
      <w:r w:rsidR="001C28C8">
        <w:t>’</w:t>
      </w:r>
      <w:r w:rsidR="00C36315">
        <w:t>homme des paysans et des autres personnes vivant dans les zones rurales</w:t>
      </w:r>
      <w:r w:rsidR="00C36315" w:rsidRPr="00837C42">
        <w:t>;</w:t>
      </w:r>
    </w:p>
    <w:p w:rsidR="00C36315" w:rsidRDefault="00AB70FA" w:rsidP="00AB70FA">
      <w:pPr>
        <w:pStyle w:val="SingleTxt"/>
      </w:pPr>
      <w:r>
        <w:lastRenderedPageBreak/>
        <w:tab/>
      </w:r>
      <w:r w:rsidR="00C36315" w:rsidRPr="00837C42">
        <w:t>b)</w:t>
      </w:r>
      <w:r w:rsidR="00C36315" w:rsidRPr="00837C42">
        <w:tab/>
        <w:t xml:space="preserve">Résolution 26/26 </w:t>
      </w:r>
      <w:r w:rsidR="00C36315">
        <w:t xml:space="preserve">sur la </w:t>
      </w:r>
      <w:r w:rsidR="00C36315" w:rsidRPr="00837C42">
        <w:t xml:space="preserve">promotion </w:t>
      </w:r>
      <w:r w:rsidR="00C36315">
        <w:t xml:space="preserve">et la </w:t>
      </w:r>
      <w:r w:rsidR="00C36315" w:rsidRPr="00837C42">
        <w:t xml:space="preserve">protection </w:t>
      </w:r>
      <w:r w:rsidR="00C36315">
        <w:t>des droits de l</w:t>
      </w:r>
      <w:r w:rsidR="001C28C8">
        <w:t>’</w:t>
      </w:r>
      <w:r w:rsidR="00C36315">
        <w:t xml:space="preserve">homme </w:t>
      </w:r>
      <w:r w:rsidR="00C36315" w:rsidRPr="004875ED">
        <w:t>des paysans et des autres personnes travaillant dans les zones rurales</w:t>
      </w:r>
      <w:r w:rsidR="00C36315" w:rsidRPr="00837C42">
        <w:t>;</w:t>
      </w:r>
    </w:p>
    <w:p w:rsidR="00C36315" w:rsidRPr="00837C42" w:rsidRDefault="00AB70FA" w:rsidP="00AB70FA">
      <w:pPr>
        <w:pStyle w:val="SingleTxt"/>
      </w:pPr>
      <w:r>
        <w:tab/>
      </w:r>
      <w:r w:rsidR="00C36315">
        <w:t>c)</w:t>
      </w:r>
      <w:r w:rsidR="00C36315">
        <w:tab/>
        <w:t>Étude finale du Comité consultatif du Conseil des droits de l</w:t>
      </w:r>
      <w:r w:rsidR="001C28C8">
        <w:t>’</w:t>
      </w:r>
      <w:r w:rsidR="00C36315">
        <w:t xml:space="preserve">homme sur la promotion des droits des paysans et des autres personnes travaillant dans des zones rurales </w:t>
      </w:r>
      <w:r w:rsidR="00C36315" w:rsidRPr="00837C42">
        <w:t>(A/HRC/19/75);</w:t>
      </w:r>
    </w:p>
    <w:p w:rsidR="00C36315" w:rsidRDefault="00AB70FA" w:rsidP="00AB70FA">
      <w:pPr>
        <w:pStyle w:val="SingleTxt"/>
      </w:pPr>
      <w:r>
        <w:tab/>
      </w:r>
      <w:r w:rsidR="00C36315" w:rsidRPr="00837C42">
        <w:t>d)</w:t>
      </w:r>
      <w:r w:rsidR="00C36315">
        <w:tab/>
        <w:t xml:space="preserve">Rapport du Groupe de travail intergouvernemental à composition non limitée sur un projet de déclaration des Nations Unies sur les droits des paysans et des autres personnes travaillant dans les zones rurales </w:t>
      </w:r>
      <w:r w:rsidR="00C36315" w:rsidRPr="00837C42">
        <w:t>(A/HRC/26/48).</w:t>
      </w:r>
    </w:p>
    <w:p w:rsidR="00AB70FA" w:rsidRPr="00AB70FA" w:rsidRDefault="00AB70FA" w:rsidP="00AB70FA">
      <w:pPr>
        <w:pStyle w:val="SingleTxt"/>
        <w:spacing w:after="0" w:line="120" w:lineRule="exact"/>
        <w:rPr>
          <w:sz w:val="10"/>
        </w:rPr>
      </w:pPr>
    </w:p>
    <w:p w:rsidR="00C36315" w:rsidRDefault="00C36315" w:rsidP="00AB70FA">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837C42">
        <w:tab/>
      </w:r>
      <w:r w:rsidRPr="00837C42">
        <w:tab/>
      </w:r>
      <w:r w:rsidRPr="00790AA0">
        <w:t>Adoption de l</w:t>
      </w:r>
      <w:r w:rsidR="001C28C8">
        <w:t>’</w:t>
      </w:r>
      <w:r w:rsidRPr="00790AA0">
        <w:t>ordre du jour et organisation des travaux</w:t>
      </w:r>
    </w:p>
    <w:p w:rsidR="00AB70FA" w:rsidRPr="00AB70FA" w:rsidRDefault="00AB70FA" w:rsidP="00AB70FA">
      <w:pPr>
        <w:spacing w:line="120" w:lineRule="exact"/>
        <w:rPr>
          <w:sz w:val="10"/>
        </w:rPr>
      </w:pPr>
    </w:p>
    <w:p w:rsidR="00C36315" w:rsidRDefault="00C36315" w:rsidP="00E23FC2">
      <w:pPr>
        <w:pStyle w:val="SingleTxt"/>
        <w:numPr>
          <w:ilvl w:val="0"/>
          <w:numId w:val="9"/>
        </w:numPr>
        <w:tabs>
          <w:tab w:val="clear" w:pos="475"/>
          <w:tab w:val="num" w:pos="1742"/>
        </w:tabs>
        <w:ind w:left="1267"/>
      </w:pPr>
      <w:r w:rsidRPr="005A03E5">
        <w:t xml:space="preserve">Dans sa déclaration liminaire, la Présidente-Rapporteuse a remercié la délégation </w:t>
      </w:r>
      <w:r>
        <w:t xml:space="preserve">du </w:t>
      </w:r>
      <w:r w:rsidRPr="00837C42">
        <w:t xml:space="preserve">Guatemala </w:t>
      </w:r>
      <w:r>
        <w:t xml:space="preserve">et le </w:t>
      </w:r>
      <w:r w:rsidRPr="005A03E5">
        <w:t>Groupe des pays d</w:t>
      </w:r>
      <w:r w:rsidR="001C28C8">
        <w:t>’</w:t>
      </w:r>
      <w:r w:rsidRPr="005A03E5">
        <w:t>Amérique latine et des Caraïbes d</w:t>
      </w:r>
      <w:r w:rsidR="001C28C8">
        <w:t>’</w:t>
      </w:r>
      <w:r w:rsidRPr="005A03E5">
        <w:t xml:space="preserve">avoir présenté sa candidature comme Présidente-Rapporteuse et </w:t>
      </w:r>
      <w:r>
        <w:t>les a remerciés de</w:t>
      </w:r>
      <w:r w:rsidRPr="005A03E5">
        <w:t xml:space="preserve"> leurs remarques encourageantes </w:t>
      </w:r>
      <w:r>
        <w:t>au sujet du Groupe de travail</w:t>
      </w:r>
      <w:r w:rsidRPr="00837C42">
        <w:rPr>
          <w:bCs/>
        </w:rPr>
        <w:t xml:space="preserve">. </w:t>
      </w:r>
      <w:r>
        <w:rPr>
          <w:bCs/>
        </w:rPr>
        <w:t>E</w:t>
      </w:r>
      <w:r w:rsidRPr="005A03E5">
        <w:t xml:space="preserve">lle a informé les participants que </w:t>
      </w:r>
      <w:r>
        <w:t xml:space="preserve">deux séances de </w:t>
      </w:r>
      <w:r w:rsidRPr="00837C42">
        <w:t xml:space="preserve">consultations </w:t>
      </w:r>
      <w:r w:rsidRPr="005A03E5">
        <w:t xml:space="preserve">informelles </w:t>
      </w:r>
      <w:r>
        <w:t>avaient été tenues les 12</w:t>
      </w:r>
      <w:r w:rsidR="00DE10E7">
        <w:t> </w:t>
      </w:r>
      <w:r>
        <w:t>novembre et 4</w:t>
      </w:r>
      <w:r w:rsidR="00DE10E7">
        <w:t> </w:t>
      </w:r>
      <w:r>
        <w:t xml:space="preserve">décembre 2014, et a rappelé que tous les renseignements </w:t>
      </w:r>
      <w:r w:rsidRPr="00065F2E">
        <w:t>utiles sur le Groupe de travail étaient disponibles sur le site Web du HCDH. Évoquant le projet de déclaration dont le Groupe de travail</w:t>
      </w:r>
      <w:r>
        <w:t xml:space="preserve"> était saisi</w:t>
      </w:r>
      <w:r w:rsidRPr="00065F2E">
        <w:t>, elle a informé les</w:t>
      </w:r>
      <w:r w:rsidRPr="00FE08C1">
        <w:t xml:space="preserve"> participants que l</w:t>
      </w:r>
      <w:r>
        <w:t>e programme de travail comport</w:t>
      </w:r>
      <w:r w:rsidRPr="00FE08C1">
        <w:t xml:space="preserve">ait </w:t>
      </w:r>
      <w:r>
        <w:t xml:space="preserve">deux </w:t>
      </w:r>
      <w:r w:rsidRPr="00FE08C1">
        <w:t>tables rondes thématiques,</w:t>
      </w:r>
      <w:r>
        <w:t xml:space="preserve"> qui</w:t>
      </w:r>
      <w:r w:rsidRPr="00FE08C1">
        <w:t xml:space="preserve"> </w:t>
      </w:r>
      <w:r>
        <w:t>réuniraient huit</w:t>
      </w:r>
      <w:r w:rsidRPr="00FE08C1">
        <w:t xml:space="preserve"> intervenants.</w:t>
      </w:r>
      <w:r>
        <w:t xml:space="preserve"> La première porterait sur les droits civils, politiques, économiques, sociaux et culturels des paysans </w:t>
      </w:r>
      <w:r w:rsidRPr="00976636">
        <w:t xml:space="preserve">et des autres personnes travaillant </w:t>
      </w:r>
      <w:r>
        <w:t xml:space="preserve">dans les zones rurales et </w:t>
      </w:r>
      <w:r w:rsidRPr="00976636">
        <w:t>les lacunes en la matière</w:t>
      </w:r>
      <w:r>
        <w:t xml:space="preserve">, la seconde sur les droits des paysans et des autres personnes travaillant </w:t>
      </w:r>
      <w:r w:rsidRPr="00065F2E">
        <w:t>dans les zones rurales</w:t>
      </w:r>
      <w:r>
        <w:t xml:space="preserve"> énoncés dans d</w:t>
      </w:r>
      <w:r w:rsidR="001C28C8">
        <w:t>’</w:t>
      </w:r>
      <w:r w:rsidRPr="00AC4864">
        <w:t>autres</w:t>
      </w:r>
      <w:r>
        <w:t xml:space="preserve"> instruments internationaux et les lacunes en la matière. À l</w:t>
      </w:r>
      <w:r w:rsidR="001C28C8">
        <w:t>’</w:t>
      </w:r>
      <w:r>
        <w:t xml:space="preserve">issue des tables rondes, </w:t>
      </w:r>
      <w:r w:rsidRPr="00464E7E">
        <w:t xml:space="preserve">les participants auraient la possibilité de faire des déclarations générales; il serait ensuite procédé à </w:t>
      </w:r>
      <w:r w:rsidRPr="00E039C7">
        <w:t>l</w:t>
      </w:r>
      <w:r w:rsidR="001C28C8">
        <w:t>’</w:t>
      </w:r>
      <w:r w:rsidRPr="00E039C7">
        <w:t>examen en première lecture</w:t>
      </w:r>
      <w:r>
        <w:t xml:space="preserve"> du projet de déclaration</w:t>
      </w:r>
      <w:r w:rsidRPr="00464E7E">
        <w:t>.</w:t>
      </w:r>
      <w:r>
        <w:t xml:space="preserve"> Il n</w:t>
      </w:r>
      <w:r w:rsidR="001C28C8">
        <w:t>’</w:t>
      </w:r>
      <w:r>
        <w:t xml:space="preserve">y aurait pas de liste des orateurs pour les déclarations générales, étant donné que tous les participants pourraient prendre la parole. </w:t>
      </w:r>
      <w:r w:rsidRPr="00464E7E">
        <w:t>La lecture du projet de déclaration s</w:t>
      </w:r>
      <w:r w:rsidR="001C28C8">
        <w:t>’</w:t>
      </w:r>
      <w:r w:rsidRPr="00464E7E">
        <w:t>effectuerait par groupe d</w:t>
      </w:r>
      <w:r w:rsidR="001C28C8">
        <w:t>’</w:t>
      </w:r>
      <w:r w:rsidRPr="00464E7E">
        <w:t>articles</w:t>
      </w:r>
      <w:r w:rsidR="002D73B9">
        <w:t> </w:t>
      </w:r>
      <w:r w:rsidRPr="00464E7E">
        <w:t>:</w:t>
      </w:r>
      <w:r>
        <w:t xml:space="preserve"> articles 1 à </w:t>
      </w:r>
      <w:r w:rsidRPr="00837C42">
        <w:t xml:space="preserve">6, </w:t>
      </w:r>
      <w:r>
        <w:t xml:space="preserve">7 à </w:t>
      </w:r>
      <w:r w:rsidRPr="00837C42">
        <w:t xml:space="preserve">14, </w:t>
      </w:r>
      <w:r>
        <w:t xml:space="preserve">15 à </w:t>
      </w:r>
      <w:r w:rsidRPr="00837C42">
        <w:t xml:space="preserve">18, </w:t>
      </w:r>
      <w:r>
        <w:t xml:space="preserve">19 à </w:t>
      </w:r>
      <w:r w:rsidRPr="00837C42">
        <w:t>23</w:t>
      </w:r>
      <w:r>
        <w:t xml:space="preserve"> et 24 à 30</w:t>
      </w:r>
      <w:r w:rsidRPr="00837C42">
        <w:t xml:space="preserve">. </w:t>
      </w:r>
      <w:r>
        <w:t xml:space="preserve">Trois journées et demie seraient consacrées à cet examen; </w:t>
      </w:r>
      <w:r w:rsidRPr="009356D1">
        <w:t xml:space="preserve">tous les participants pourraient </w:t>
      </w:r>
      <w:r>
        <w:t>prendre la parole</w:t>
      </w:r>
      <w:r w:rsidRPr="009356D1">
        <w:t>.</w:t>
      </w:r>
      <w:r>
        <w:t xml:space="preserve"> Il n</w:t>
      </w:r>
      <w:r w:rsidR="001C28C8">
        <w:t>’</w:t>
      </w:r>
      <w:r>
        <w:t xml:space="preserve">y aurait pas de consultations publiques lors de la première séance de la dernière journée. Le rapport final comprendrait un compte rendu des débats et des tables </w:t>
      </w:r>
      <w:r w:rsidRPr="002F373D">
        <w:t>rondes et le résumé de la Présidente-Rapporteuse</w:t>
      </w:r>
      <w:r>
        <w:t>. La Présidente-Rapporteuse a indiqué qu</w:t>
      </w:r>
      <w:r w:rsidR="001C28C8">
        <w:t>’</w:t>
      </w:r>
      <w:r>
        <w:t xml:space="preserve">elle avait mené des consultations informelles avec des délégations et des </w:t>
      </w:r>
      <w:r w:rsidRPr="0071217A">
        <w:t>groupes régionaux et politiques</w:t>
      </w:r>
      <w:r>
        <w:t>; e</w:t>
      </w:r>
      <w:r w:rsidRPr="0071217A">
        <w:t>lle espérait que les travaux du Groupe seraient féconds et s</w:t>
      </w:r>
      <w:r w:rsidR="001C28C8">
        <w:t>’</w:t>
      </w:r>
      <w:r w:rsidRPr="0071217A">
        <w:t>inspireraient des différentes vues exprimées par les participants.</w:t>
      </w:r>
    </w:p>
    <w:p w:rsidR="00C36315" w:rsidRDefault="00C36315" w:rsidP="00E23FC2">
      <w:pPr>
        <w:pStyle w:val="SingleTxt"/>
        <w:numPr>
          <w:ilvl w:val="0"/>
          <w:numId w:val="9"/>
        </w:numPr>
        <w:tabs>
          <w:tab w:val="clear" w:pos="475"/>
          <w:tab w:val="num" w:pos="1742"/>
        </w:tabs>
        <w:ind w:left="1267"/>
      </w:pPr>
      <w:r>
        <w:t xml:space="preserve">La </w:t>
      </w:r>
      <w:r w:rsidRPr="0071217A">
        <w:t>Présidente-Rapporteuse</w:t>
      </w:r>
      <w:r>
        <w:t xml:space="preserve"> </w:t>
      </w:r>
      <w:r w:rsidRPr="0071217A">
        <w:t xml:space="preserve">a </w:t>
      </w:r>
      <w:r>
        <w:t>souhaité que les travaux de la session se fondent sur les principes suivants</w:t>
      </w:r>
      <w:r w:rsidR="002D73B9">
        <w:t> </w:t>
      </w:r>
      <w:r>
        <w:t xml:space="preserve">: transparence, </w:t>
      </w:r>
      <w:r w:rsidRPr="0071217A">
        <w:t>ouverture</w:t>
      </w:r>
      <w:r>
        <w:t>, responsabilité</w:t>
      </w:r>
      <w:r w:rsidRPr="0071217A">
        <w:t xml:space="preserve"> et objectivité.</w:t>
      </w:r>
      <w:r>
        <w:t xml:space="preserve"> </w:t>
      </w:r>
    </w:p>
    <w:p w:rsidR="00C36315" w:rsidRDefault="00C36315" w:rsidP="00E23FC2">
      <w:pPr>
        <w:pStyle w:val="SingleTxt"/>
        <w:numPr>
          <w:ilvl w:val="0"/>
          <w:numId w:val="9"/>
        </w:numPr>
        <w:tabs>
          <w:tab w:val="clear" w:pos="475"/>
          <w:tab w:val="num" w:pos="1742"/>
        </w:tabs>
        <w:ind w:left="1267"/>
      </w:pPr>
      <w:r w:rsidRPr="002C0DFE">
        <w:t>En l</w:t>
      </w:r>
      <w:r w:rsidR="001C28C8">
        <w:t>’</w:t>
      </w:r>
      <w:r w:rsidRPr="002C0DFE">
        <w:t>absence d</w:t>
      </w:r>
      <w:r w:rsidR="001C28C8">
        <w:t>’</w:t>
      </w:r>
      <w:r w:rsidRPr="002C0DFE">
        <w:t>objection au programme de travail, la Présidente-Rapporteuse a déclaré celui-ci adopté.</w:t>
      </w:r>
      <w:r>
        <w:t xml:space="preserve"> </w:t>
      </w:r>
    </w:p>
    <w:p w:rsidR="00AB70FA" w:rsidRPr="00AB70FA" w:rsidRDefault="00AB70FA" w:rsidP="00AB70FA">
      <w:pPr>
        <w:pStyle w:val="SingleTxt"/>
        <w:spacing w:after="0" w:line="120" w:lineRule="exact"/>
        <w:rPr>
          <w:sz w:val="10"/>
        </w:rPr>
      </w:pPr>
    </w:p>
    <w:p w:rsidR="00AB70FA" w:rsidRPr="00AB70FA" w:rsidRDefault="00AB70FA" w:rsidP="00AB70FA">
      <w:pPr>
        <w:pStyle w:val="SingleTxt"/>
        <w:spacing w:after="0" w:line="120" w:lineRule="exact"/>
        <w:rPr>
          <w:sz w:val="10"/>
        </w:rPr>
      </w:pPr>
    </w:p>
    <w:p w:rsidR="00C36315" w:rsidRDefault="00C36315" w:rsidP="00AB70FA">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837C42">
        <w:tab/>
        <w:t>III.</w:t>
      </w:r>
      <w:r w:rsidRPr="00837C42">
        <w:tab/>
      </w:r>
      <w:r w:rsidRPr="00E33A23">
        <w:t>Tables rondes</w:t>
      </w:r>
    </w:p>
    <w:p w:rsidR="00AB70FA" w:rsidRPr="00AB70FA" w:rsidRDefault="00AB70FA" w:rsidP="00AB70FA">
      <w:pPr>
        <w:spacing w:line="120" w:lineRule="exact"/>
        <w:rPr>
          <w:sz w:val="10"/>
        </w:rPr>
      </w:pPr>
    </w:p>
    <w:p w:rsidR="00AB70FA" w:rsidRPr="00AB70FA" w:rsidRDefault="00AB70FA" w:rsidP="00AB70FA">
      <w:pPr>
        <w:spacing w:line="120" w:lineRule="exact"/>
        <w:rPr>
          <w:sz w:val="10"/>
        </w:rPr>
      </w:pPr>
    </w:p>
    <w:p w:rsidR="00C36315" w:rsidRDefault="00C36315" w:rsidP="00AB70F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37C42">
        <w:rPr>
          <w:lang w:eastAsia="en-GB"/>
        </w:rPr>
        <w:tab/>
      </w:r>
      <w:r w:rsidRPr="00837C42">
        <w:t>A.</w:t>
      </w:r>
      <w:r w:rsidRPr="00837C42">
        <w:tab/>
      </w:r>
      <w:r>
        <w:t>Table ronde</w:t>
      </w:r>
      <w:r w:rsidRPr="00837C42">
        <w:t xml:space="preserve"> I. </w:t>
      </w:r>
      <w:r>
        <w:t>D</w:t>
      </w:r>
      <w:r w:rsidRPr="00E33A23">
        <w:t xml:space="preserve">roits civils, politiques, économiques, sociaux </w:t>
      </w:r>
      <w:r w:rsidR="00AB70FA">
        <w:br/>
      </w:r>
      <w:r w:rsidRPr="00E33A23">
        <w:t xml:space="preserve">et culturels des paysans et des autres personnes travaillant </w:t>
      </w:r>
      <w:r w:rsidR="00AB70FA">
        <w:br/>
      </w:r>
      <w:r>
        <w:t>dans les</w:t>
      </w:r>
      <w:r w:rsidRPr="00E33A23">
        <w:t xml:space="preserve"> zone</w:t>
      </w:r>
      <w:r>
        <w:t>s</w:t>
      </w:r>
      <w:r w:rsidRPr="00E33A23">
        <w:t xml:space="preserve"> rurale</w:t>
      </w:r>
      <w:r>
        <w:t>s</w:t>
      </w:r>
      <w:r w:rsidRPr="00E33A23">
        <w:t xml:space="preserve"> et lacunes en la matière</w:t>
      </w:r>
    </w:p>
    <w:p w:rsidR="00AB70FA" w:rsidRPr="00AB70FA" w:rsidRDefault="00AB70FA" w:rsidP="00AB70FA">
      <w:pPr>
        <w:pStyle w:val="SingleTxt"/>
        <w:spacing w:after="0" w:line="120" w:lineRule="exact"/>
        <w:rPr>
          <w:sz w:val="10"/>
        </w:rPr>
      </w:pPr>
    </w:p>
    <w:p w:rsidR="00AB70FA" w:rsidRPr="00AB70FA" w:rsidRDefault="00AB70FA" w:rsidP="00AB70FA">
      <w:pPr>
        <w:pStyle w:val="SingleTxt"/>
        <w:spacing w:after="0" w:line="120" w:lineRule="exact"/>
        <w:rPr>
          <w:sz w:val="10"/>
        </w:rPr>
      </w:pPr>
    </w:p>
    <w:p w:rsidR="00C36315" w:rsidRDefault="00C36315" w:rsidP="00E23FC2">
      <w:pPr>
        <w:pStyle w:val="SingleTxt"/>
        <w:numPr>
          <w:ilvl w:val="0"/>
          <w:numId w:val="9"/>
        </w:numPr>
        <w:tabs>
          <w:tab w:val="clear" w:pos="475"/>
          <w:tab w:val="num" w:pos="1742"/>
        </w:tabs>
        <w:ind w:left="1267"/>
      </w:pPr>
      <w:r>
        <w:t>Un intervenant a fait observer que la grande majorité des droits énoncés dans le projet de déclaration n</w:t>
      </w:r>
      <w:r w:rsidR="001C28C8">
        <w:t>’</w:t>
      </w:r>
      <w:r>
        <w:t>étaient pas nouveaux, ayant déjà été reconnus dans d</w:t>
      </w:r>
      <w:r w:rsidR="001C28C8">
        <w:t>’</w:t>
      </w:r>
      <w:r>
        <w:t>autres instruments internationaux relatifs aux droits de l</w:t>
      </w:r>
      <w:r w:rsidR="001C28C8">
        <w:t>’</w:t>
      </w:r>
      <w:r>
        <w:t>homme</w:t>
      </w:r>
      <w:r w:rsidRPr="00837C42">
        <w:t xml:space="preserve">. </w:t>
      </w:r>
      <w:r>
        <w:t xml:space="preserve">Les échanges ont porté sur la question des petits producteurs de denrées </w:t>
      </w:r>
      <w:r w:rsidRPr="002F373D">
        <w:t xml:space="preserve">alimentaires, dont il fallait reconnaître </w:t>
      </w:r>
      <w:r w:rsidRPr="002F373D">
        <w:lastRenderedPageBreak/>
        <w:t>l</w:t>
      </w:r>
      <w:r w:rsidR="001C28C8">
        <w:t>’</w:t>
      </w:r>
      <w:r w:rsidRPr="002F373D">
        <w:t>import</w:t>
      </w:r>
      <w:r>
        <w:t>ance pour l</w:t>
      </w:r>
      <w:r w:rsidR="001C28C8">
        <w:t>’</w:t>
      </w:r>
      <w:r>
        <w:t>alimentation de la population mondiale. Il a été dit qu</w:t>
      </w:r>
      <w:r w:rsidR="001C28C8">
        <w:t>’</w:t>
      </w:r>
      <w:r>
        <w:t>il était nécessaire d</w:t>
      </w:r>
      <w:r w:rsidR="001C28C8">
        <w:t>’</w:t>
      </w:r>
      <w:r>
        <w:t>informer ces producteurs de leurs droits, ce qui serait facilité, le cas échéant, par l</w:t>
      </w:r>
      <w:r w:rsidR="001C28C8">
        <w:t>’</w:t>
      </w:r>
      <w:r>
        <w:t>adoption du projet de déclaration. Certains intervenants ont estimé que le droit à l</w:t>
      </w:r>
      <w:r w:rsidR="001C28C8">
        <w:t>’</w:t>
      </w:r>
      <w:r>
        <w:t xml:space="preserve">eau devrait concerner non seulement </w:t>
      </w:r>
      <w:r w:rsidRPr="00E16FFB">
        <w:t>l</w:t>
      </w:r>
      <w:r w:rsidR="001C28C8">
        <w:t>’</w:t>
      </w:r>
      <w:r w:rsidRPr="00E16FFB">
        <w:t>eau nécessaire à l</w:t>
      </w:r>
      <w:r w:rsidR="001C28C8">
        <w:t>’</w:t>
      </w:r>
      <w:r w:rsidRPr="00E16FFB">
        <w:t>assainissement et à la consommation humaine</w:t>
      </w:r>
      <w:r>
        <w:t>, mais aussi l</w:t>
      </w:r>
      <w:r w:rsidR="001C28C8">
        <w:t>’</w:t>
      </w:r>
      <w:r>
        <w:t>eau destinée à l</w:t>
      </w:r>
      <w:r w:rsidR="001C28C8">
        <w:t>’</w:t>
      </w:r>
      <w:r>
        <w:t>irrigation.</w:t>
      </w:r>
    </w:p>
    <w:p w:rsidR="00C36315" w:rsidRDefault="00C36315" w:rsidP="00E23FC2">
      <w:pPr>
        <w:pStyle w:val="SingleTxt"/>
        <w:numPr>
          <w:ilvl w:val="0"/>
          <w:numId w:val="9"/>
        </w:numPr>
        <w:tabs>
          <w:tab w:val="clear" w:pos="475"/>
          <w:tab w:val="num" w:pos="1742"/>
        </w:tabs>
        <w:ind w:left="1267"/>
      </w:pPr>
      <w:r>
        <w:t>Plusieurs intervenants ont estimé qu</w:t>
      </w:r>
      <w:r w:rsidR="001C28C8">
        <w:t>’</w:t>
      </w:r>
      <w:r>
        <w:t>il fallait protéger les droits civils et politiques des paysans, qui étaient souvent privés d</w:t>
      </w:r>
      <w:r w:rsidR="001C28C8">
        <w:t>’</w:t>
      </w:r>
      <w:r>
        <w:t>accès à la justice et ne bénéficiaient pas de la même protection que le reste de la population. Les paysans étaient souvent persécutés, détenus, arrêtés ou soumis à des actes de violence lorsqu</w:t>
      </w:r>
      <w:r w:rsidR="001C28C8">
        <w:t>’</w:t>
      </w:r>
      <w:r w:rsidRPr="00F14027">
        <w:t xml:space="preserve">ils </w:t>
      </w:r>
      <w:r>
        <w:t>faisaient valoir</w:t>
      </w:r>
      <w:r w:rsidRPr="00F14027">
        <w:t xml:space="preserve"> </w:t>
      </w:r>
      <w:r>
        <w:t xml:space="preserve">leur </w:t>
      </w:r>
      <w:r w:rsidRPr="00F14027">
        <w:t>liberté d</w:t>
      </w:r>
      <w:r w:rsidR="001C28C8">
        <w:t>’</w:t>
      </w:r>
      <w:r w:rsidRPr="00F14027">
        <w:t xml:space="preserve">association ou </w:t>
      </w:r>
      <w:r>
        <w:t xml:space="preserve">leur </w:t>
      </w:r>
      <w:r w:rsidRPr="00F14027">
        <w:t>droit de manifester</w:t>
      </w:r>
      <w:r>
        <w:t>. Un intervenant a fait remarquer qu</w:t>
      </w:r>
      <w:r w:rsidR="001C28C8">
        <w:t>’</w:t>
      </w:r>
      <w:r>
        <w:t xml:space="preserve">il était courant pour les éleveurs de bétail de travailler dans différents pays et par conséquent de traverser des frontières internationales; dans bien des cas, il importait donc que </w:t>
      </w:r>
      <w:r w:rsidRPr="00574981">
        <w:t>leur droit de circuler librement</w:t>
      </w:r>
      <w:r>
        <w:t xml:space="preserve"> soit protégé par tous les États concernés.</w:t>
      </w:r>
    </w:p>
    <w:p w:rsidR="00C36315" w:rsidRDefault="00C36315" w:rsidP="00E23FC2">
      <w:pPr>
        <w:pStyle w:val="SingleTxt"/>
        <w:numPr>
          <w:ilvl w:val="0"/>
          <w:numId w:val="9"/>
        </w:numPr>
        <w:tabs>
          <w:tab w:val="clear" w:pos="475"/>
          <w:tab w:val="num" w:pos="1742"/>
        </w:tabs>
        <w:ind w:left="1267"/>
      </w:pPr>
      <w:r>
        <w:t>Un intervenant a jugé que les autochtones n</w:t>
      </w:r>
      <w:r w:rsidR="001C28C8">
        <w:t>’</w:t>
      </w:r>
      <w:r>
        <w:t>étaient généralement pas pris en compte et qu</w:t>
      </w:r>
      <w:r w:rsidR="001C28C8">
        <w:t>’</w:t>
      </w:r>
      <w:r>
        <w:t>il convenait d</w:t>
      </w:r>
      <w:r w:rsidR="001C28C8">
        <w:t>’</w:t>
      </w:r>
      <w:r>
        <w:t>accorder une plus grande attention aux liens unissant les paysans et les autochtones, qui ne formaient souvent qu</w:t>
      </w:r>
      <w:r w:rsidR="001C28C8">
        <w:t>’</w:t>
      </w:r>
      <w:r>
        <w:t>un seul et même groupe. Il a également été dit qu</w:t>
      </w:r>
      <w:r w:rsidR="001C28C8">
        <w:t>’</w:t>
      </w:r>
      <w:r>
        <w:t xml:space="preserve">il convenait de faire une place, dans la déclaration, à </w:t>
      </w:r>
      <w:r w:rsidRPr="002F373D">
        <w:t>la notion</w:t>
      </w:r>
      <w:r>
        <w:t xml:space="preserve"> autochtone</w:t>
      </w:r>
      <w:r w:rsidRPr="002F373D">
        <w:t xml:space="preserve"> de </w:t>
      </w:r>
      <w:r>
        <w:t xml:space="preserve">la </w:t>
      </w:r>
      <w:r w:rsidRPr="002F373D">
        <w:t>T</w:t>
      </w:r>
      <w:r>
        <w:t>erre Mère. D</w:t>
      </w:r>
      <w:r w:rsidR="001C28C8">
        <w:t>’</w:t>
      </w:r>
      <w:r>
        <w:t>après un autre intervenant, les droits culturels, notamment en ce qui concernait les savoirs traditionnels, n</w:t>
      </w:r>
      <w:r w:rsidR="001C28C8">
        <w:t>’</w:t>
      </w:r>
      <w:r>
        <w:t>étaient pas suffisamment protégés par le droit international. Le corps de règles du droit international ayant trait à la question était cependant de plus en plus important et comprenait notamment l</w:t>
      </w:r>
      <w:r w:rsidR="001C28C8">
        <w:t>’</w:t>
      </w:r>
      <w:r>
        <w:t>article</w:t>
      </w:r>
      <w:r w:rsidR="009F1E63">
        <w:t> </w:t>
      </w:r>
      <w:r>
        <w:t xml:space="preserve">15 du </w:t>
      </w:r>
      <w:r w:rsidRPr="00C53349">
        <w:t>Pacte international relatif aux droits éc</w:t>
      </w:r>
      <w:r>
        <w:t>o</w:t>
      </w:r>
      <w:r w:rsidR="009F1E63">
        <w:t xml:space="preserve">nomiques, sociaux et culturels, </w:t>
      </w:r>
      <w:r>
        <w:t>l</w:t>
      </w:r>
      <w:r w:rsidR="001C28C8">
        <w:t>’</w:t>
      </w:r>
      <w:r w:rsidR="005E731E">
        <w:t>O</w:t>
      </w:r>
      <w:r w:rsidR="009F1E63">
        <w:t>bservation générale n</w:t>
      </w:r>
      <w:r w:rsidR="009F1E63" w:rsidRPr="009F1E63">
        <w:rPr>
          <w:vertAlign w:val="superscript"/>
        </w:rPr>
        <w:t>o</w:t>
      </w:r>
      <w:r w:rsidR="009F1E63">
        <w:t> </w:t>
      </w:r>
      <w:r>
        <w:t xml:space="preserve">21 </w:t>
      </w:r>
      <w:r w:rsidR="005E731E">
        <w:t xml:space="preserve">(2009) </w:t>
      </w:r>
      <w:r>
        <w:t>du Comité des droits économiques, sociaux et culturels sur le droit de chacun de participer à la vie culturelle (relative à l</w:t>
      </w:r>
      <w:r w:rsidR="001C28C8">
        <w:t>’</w:t>
      </w:r>
      <w:r>
        <w:t>article</w:t>
      </w:r>
      <w:r w:rsidR="009F1E63">
        <w:t> </w:t>
      </w:r>
      <w:r>
        <w:t xml:space="preserve">15 du Pacte), les rapports du </w:t>
      </w:r>
      <w:r w:rsidRPr="001E6425">
        <w:t>Rapporteur spécial sur la réalisation des droits économiques, sociaux et culturels</w:t>
      </w:r>
      <w:r>
        <w:t xml:space="preserve"> </w:t>
      </w:r>
      <w:r w:rsidRPr="002F373D">
        <w:t>et différents accords multilatéraux concernant la biodiversité, le patrimoine culturel et la propriété intellectuelle qui consacraient le droit à l</w:t>
      </w:r>
      <w:r w:rsidR="001C28C8">
        <w:t>’</w:t>
      </w:r>
      <w:r w:rsidRPr="002F373D">
        <w:t>ide</w:t>
      </w:r>
      <w:r>
        <w:t>ntité culturelle, y</w:t>
      </w:r>
      <w:r w:rsidR="009F1E63">
        <w:t> </w:t>
      </w:r>
      <w:r>
        <w:t>compris en matière de savoirs traditionnels, et l</w:t>
      </w:r>
      <w:r w:rsidR="001C28C8">
        <w:t>’</w:t>
      </w:r>
      <w:r>
        <w:t>obligation incombant à l</w:t>
      </w:r>
      <w:r w:rsidR="001C28C8">
        <w:t>’</w:t>
      </w:r>
      <w:r>
        <w:t>État de respecter, protéger et réaliser les droits culturels.</w:t>
      </w:r>
    </w:p>
    <w:p w:rsidR="00C36315" w:rsidRDefault="00C36315" w:rsidP="00E23FC2">
      <w:pPr>
        <w:pStyle w:val="SingleTxt"/>
        <w:numPr>
          <w:ilvl w:val="0"/>
          <w:numId w:val="9"/>
        </w:numPr>
        <w:tabs>
          <w:tab w:val="clear" w:pos="475"/>
          <w:tab w:val="num" w:pos="1742"/>
        </w:tabs>
        <w:ind w:left="1267"/>
      </w:pPr>
      <w:r w:rsidRPr="00E23FC2">
        <w:t>Certains intervenants ont affirmé qu</w:t>
      </w:r>
      <w:r w:rsidR="001C28C8">
        <w:t>’</w:t>
      </w:r>
      <w:r w:rsidRPr="00E23FC2">
        <w:t>il était essentiel d</w:t>
      </w:r>
      <w:r w:rsidR="001C28C8">
        <w:t>’</w:t>
      </w:r>
      <w:r w:rsidRPr="00E23FC2">
        <w:t>énoncer dans le projet de déclaration les principes de l</w:t>
      </w:r>
      <w:r w:rsidR="001C28C8">
        <w:t>’</w:t>
      </w:r>
      <w:r w:rsidRPr="00E23FC2">
        <w:t xml:space="preserve">égalité des sexes et de la non-discrimination, qui étaient des principes </w:t>
      </w:r>
      <w:r w:rsidR="00934D34" w:rsidRPr="00E23FC2">
        <w:t>fondamentaux</w:t>
      </w:r>
      <w:r w:rsidRPr="00E23FC2">
        <w:t xml:space="preserve"> du droit international des droits de l</w:t>
      </w:r>
      <w:r w:rsidR="001C28C8">
        <w:t>’</w:t>
      </w:r>
      <w:r w:rsidRPr="00E23FC2">
        <w:t>homme. Les paysans et les autres personnes travaillant dans les zones rurales étaient souvent dans l</w:t>
      </w:r>
      <w:r w:rsidR="001C28C8">
        <w:t>’</w:t>
      </w:r>
      <w:r w:rsidRPr="00E23FC2">
        <w:t>impossibilité de jouir des droits de l</w:t>
      </w:r>
      <w:r w:rsidR="001C28C8">
        <w:t>’</w:t>
      </w:r>
      <w:r w:rsidRPr="00E23FC2">
        <w:t>homme au même titre que le reste de la population. Les mécanismes internationaux relatifs aux droits de l</w:t>
      </w:r>
      <w:r w:rsidR="001C28C8">
        <w:t>’</w:t>
      </w:r>
      <w:r w:rsidRPr="00E23FC2">
        <w:t>homme avaient fait ressortir que la discrimination à l</w:t>
      </w:r>
      <w:r w:rsidR="001C28C8">
        <w:t>’</w:t>
      </w:r>
      <w:r w:rsidRPr="00E23FC2">
        <w:t>égard des femmes rurales était courante. Il fallait également recenser les formes de discrimination croisée et cumulative et y remédier. Les paysans et les personnes travaillant dans les zone rurales, qui formaient une population diversifiée, risquaient d</w:t>
      </w:r>
      <w:r w:rsidR="001C28C8">
        <w:t>’</w:t>
      </w:r>
      <w:r w:rsidRPr="00E23FC2">
        <w:t>être victimes de discrimination pour de nombreux motifs, parmi lesquels le sexe, l</w:t>
      </w:r>
      <w:r w:rsidR="001C28C8">
        <w:t>’</w:t>
      </w:r>
      <w:r w:rsidRPr="00E23FC2">
        <w:t>âge, la capacité fonctionnelle, la situation socioéconomique, l</w:t>
      </w:r>
      <w:r w:rsidR="001C28C8">
        <w:t>’</w:t>
      </w:r>
      <w:r w:rsidRPr="00E23FC2">
        <w:t>origine ethnique, la religion, etc. Différant quantitativement et qualitativement de la discrimination fondée sur un seul motif, la discrimination croisée pouvait donner lieu à diverses violations des droits de l</w:t>
      </w:r>
      <w:r w:rsidR="001C28C8">
        <w:t>’</w:t>
      </w:r>
      <w:r w:rsidRPr="00E23FC2">
        <w:t>homme qui s</w:t>
      </w:r>
      <w:r w:rsidR="001C28C8">
        <w:t>’</w:t>
      </w:r>
      <w:r w:rsidRPr="00E23FC2">
        <w:t>aggravaient les unes les autres. Le droit international fait obligation aux États de garantir l</w:t>
      </w:r>
      <w:r w:rsidR="001C28C8">
        <w:t>’</w:t>
      </w:r>
      <w:r w:rsidRPr="00E23FC2">
        <w:t>égalité aussi bien formelle (</w:t>
      </w:r>
      <w:r w:rsidRPr="00E23FC2">
        <w:rPr>
          <w:i/>
        </w:rPr>
        <w:t>de jure</w:t>
      </w:r>
      <w:r w:rsidRPr="00E23FC2">
        <w:t>) qu</w:t>
      </w:r>
      <w:r w:rsidR="001C28C8">
        <w:t>’</w:t>
      </w:r>
      <w:r w:rsidRPr="00E23FC2">
        <w:t>effective (</w:t>
      </w:r>
      <w:r w:rsidRPr="00E23FC2">
        <w:rPr>
          <w:i/>
        </w:rPr>
        <w:t>de facto</w:t>
      </w:r>
      <w:r w:rsidRPr="00E23FC2">
        <w:t>), ainsi que de prévenir la discrimination directe et indirecte et y porter</w:t>
      </w:r>
      <w:r>
        <w:t xml:space="preserve"> remède. Pour ce faire, il était nécessaire d</w:t>
      </w:r>
      <w:r w:rsidR="001C28C8">
        <w:t>’</w:t>
      </w:r>
      <w:r>
        <w:t>adopter des mesures concrètes – y compris, au besoin, des mesures temporaires spéciales – propres à remédier aux effets de la discrimination et à garantir l</w:t>
      </w:r>
      <w:r w:rsidR="001C28C8">
        <w:t>’</w:t>
      </w:r>
      <w:r>
        <w:t xml:space="preserve">égalité réelle des chances. Selon deux intervenants, les femmes rurales voyaient leur accès </w:t>
      </w:r>
      <w:r w:rsidRPr="009F4643">
        <w:t>aux terres et aux ressources productives</w:t>
      </w:r>
      <w:r>
        <w:t xml:space="preserve"> entravé par certains obstacles supplémentaires, comme les régimes fonciers coutumiers, qui les empêchaient dans bien des cas d</w:t>
      </w:r>
      <w:r w:rsidR="001C28C8">
        <w:t>’</w:t>
      </w:r>
      <w:r>
        <w:t>exercer directement des droits de propriété ou d</w:t>
      </w:r>
      <w:r w:rsidR="001C28C8">
        <w:t>’</w:t>
      </w:r>
      <w:r>
        <w:t xml:space="preserve">héritage. Ils ont précisé </w:t>
      </w:r>
      <w:r>
        <w:lastRenderedPageBreak/>
        <w:t xml:space="preserve">que le </w:t>
      </w:r>
      <w:r w:rsidRPr="009C3CCD">
        <w:t>Comité pour l</w:t>
      </w:r>
      <w:r w:rsidR="001C28C8">
        <w:t>’</w:t>
      </w:r>
      <w:r w:rsidRPr="009C3CCD">
        <w:t>élimination de la discrimination à l</w:t>
      </w:r>
      <w:r w:rsidR="001C28C8">
        <w:t>’</w:t>
      </w:r>
      <w:r w:rsidRPr="009C3CCD">
        <w:t xml:space="preserve">égard des femmes </w:t>
      </w:r>
      <w:r w:rsidRPr="00AD6957">
        <w:t>s</w:t>
      </w:r>
      <w:r w:rsidR="001C28C8">
        <w:t>’</w:t>
      </w:r>
      <w:r w:rsidRPr="00AD6957">
        <w:t>apprêtait à</w:t>
      </w:r>
      <w:r>
        <w:t xml:space="preserve"> adopter une recommandation générale sur l</w:t>
      </w:r>
      <w:r w:rsidR="001C28C8">
        <w:t>’</w:t>
      </w:r>
      <w:r>
        <w:t>article</w:t>
      </w:r>
      <w:r w:rsidR="009F1E63">
        <w:t> </w:t>
      </w:r>
      <w:r>
        <w:t xml:space="preserve">14 de la </w:t>
      </w:r>
      <w:r w:rsidRPr="005F101C">
        <w:t>Convention sur l</w:t>
      </w:r>
      <w:r w:rsidR="001C28C8">
        <w:t>’</w:t>
      </w:r>
      <w:r w:rsidRPr="005F101C">
        <w:t>élimination de toutes les formes de discrimination à l</w:t>
      </w:r>
      <w:r w:rsidR="001C28C8">
        <w:t>’</w:t>
      </w:r>
      <w:r w:rsidRPr="005F101C">
        <w:t>égard des femmes</w:t>
      </w:r>
      <w:r>
        <w:t xml:space="preserve">, reconnaissant </w:t>
      </w:r>
      <w:r w:rsidRPr="00AD6957">
        <w:t xml:space="preserve">explicitement </w:t>
      </w:r>
      <w:r>
        <w:t>que les femmes rurales avaient les mêmes droits que les hommes en ce qui concernait la procréation et les soins de santé, les programmes de sécurité sociale, la formation et l</w:t>
      </w:r>
      <w:r w:rsidR="001C28C8">
        <w:t>’</w:t>
      </w:r>
      <w:r>
        <w:t>éducation, les groupes d</w:t>
      </w:r>
      <w:r w:rsidR="001C28C8">
        <w:t>’</w:t>
      </w:r>
      <w:r>
        <w:t>entraide, les activités communautaires, le crédit, les conditions de vie décentes, la prévention des violences sexistes, les droits de succession et d</w:t>
      </w:r>
      <w:r w:rsidR="001C28C8">
        <w:t>’</w:t>
      </w:r>
      <w:r>
        <w:t>héritage et les droits fonciers.</w:t>
      </w:r>
    </w:p>
    <w:p w:rsidR="00C36315" w:rsidRDefault="00C36315" w:rsidP="00E23FC2">
      <w:pPr>
        <w:pStyle w:val="SingleTxt"/>
        <w:numPr>
          <w:ilvl w:val="0"/>
          <w:numId w:val="9"/>
        </w:numPr>
        <w:tabs>
          <w:tab w:val="clear" w:pos="475"/>
          <w:tab w:val="num" w:pos="1742"/>
        </w:tabs>
        <w:ind w:left="1267"/>
      </w:pPr>
      <w:r>
        <w:t>Il a également été dit que les obligations internationales concernant la disponibilité, l</w:t>
      </w:r>
      <w:r w:rsidR="001C28C8">
        <w:t>’</w:t>
      </w:r>
      <w:r>
        <w:t>accessibilité, l</w:t>
      </w:r>
      <w:r w:rsidR="001C28C8">
        <w:t>’</w:t>
      </w:r>
      <w:r>
        <w:t>adaptabilité et l</w:t>
      </w:r>
      <w:r w:rsidR="001C28C8">
        <w:t>’</w:t>
      </w:r>
      <w:r>
        <w:t>acceptabilité de l</w:t>
      </w:r>
      <w:r w:rsidR="001C28C8">
        <w:t>’</w:t>
      </w:r>
      <w:r>
        <w:t>enseignement n</w:t>
      </w:r>
      <w:r w:rsidR="001C28C8">
        <w:t>’</w:t>
      </w:r>
      <w:r>
        <w:t>étaient pas véritablement respectées dans les zones rurales. Il existait un cadre juridique international solide concernant le droit à l</w:t>
      </w:r>
      <w:r w:rsidR="001C28C8">
        <w:t>’</w:t>
      </w:r>
      <w:r>
        <w:t>éducation, mais l</w:t>
      </w:r>
      <w:r w:rsidR="001C28C8">
        <w:t>’</w:t>
      </w:r>
      <w:r w:rsidRPr="00101911">
        <w:t>Organisation des Nations Unies pour l</w:t>
      </w:r>
      <w:r w:rsidR="001C28C8">
        <w:t>’</w:t>
      </w:r>
      <w:r w:rsidRPr="00101911">
        <w:t xml:space="preserve">éducation, la science et la culture </w:t>
      </w:r>
      <w:r>
        <w:t>et d</w:t>
      </w:r>
      <w:r w:rsidR="001C28C8">
        <w:t>’</w:t>
      </w:r>
      <w:r>
        <w:t>autres acteurs avaient constaté que les zones rurales étaient souvent à la traîne sur le plan de la disponibilité et de l</w:t>
      </w:r>
      <w:r w:rsidR="001C28C8">
        <w:t>’</w:t>
      </w:r>
      <w:r>
        <w:t>accessibilité d</w:t>
      </w:r>
      <w:r w:rsidR="001C28C8">
        <w:t>’</w:t>
      </w:r>
      <w:r>
        <w:t>un enseignement de bonne qualité. Au titre du droit à l</w:t>
      </w:r>
      <w:r w:rsidR="001C28C8">
        <w:t>’</w:t>
      </w:r>
      <w:r>
        <w:t>éducation énoncé à l</w:t>
      </w:r>
      <w:r w:rsidR="001C28C8">
        <w:t>’</w:t>
      </w:r>
      <w:r>
        <w:t>article</w:t>
      </w:r>
      <w:r w:rsidR="009F1E63">
        <w:t> </w:t>
      </w:r>
      <w:r>
        <w:t>26 de la Déclaration universelle des droits de l</w:t>
      </w:r>
      <w:r w:rsidR="001C28C8">
        <w:t>’</w:t>
      </w:r>
      <w:r>
        <w:t>homme et à l</w:t>
      </w:r>
      <w:r w:rsidR="001C28C8">
        <w:t>’</w:t>
      </w:r>
      <w:r>
        <w:t>article</w:t>
      </w:r>
      <w:r w:rsidR="009F1E63">
        <w:t> </w:t>
      </w:r>
      <w:r>
        <w:t xml:space="preserve">13 du </w:t>
      </w:r>
      <w:r w:rsidRPr="00D60BEE">
        <w:t>Pacte international relatif aux droits éc</w:t>
      </w:r>
      <w:r>
        <w:t>onomiques, sociaux et culturels, les États étaient tenus de veiller à ce que l</w:t>
      </w:r>
      <w:r w:rsidR="001C28C8">
        <w:t>’</w:t>
      </w:r>
      <w:r>
        <w:t>enseignement scolaire et extrascolaire soient accessibles à tous sur un pied d</w:t>
      </w:r>
      <w:r w:rsidR="001C28C8">
        <w:t>’</w:t>
      </w:r>
      <w:r>
        <w:t>égalité. Ils devaient faire en sorte que l</w:t>
      </w:r>
      <w:r w:rsidR="001C28C8">
        <w:t>’</w:t>
      </w:r>
      <w:r>
        <w:t>enseignement soit disponible et accessible sans discrimination aucune, à tous les niveaux du système éducatif</w:t>
      </w:r>
      <w:r w:rsidR="002D73B9">
        <w:t> </w:t>
      </w:r>
      <w:r>
        <w:t>: enseignement préscolaire, primaire universel, secondaire, professionnel et supérieur, formation continue et éducation extrascolaire (alphabétisation, programmes concernant les moyens de subsistance, etc.).</w:t>
      </w:r>
    </w:p>
    <w:p w:rsidR="00C36315" w:rsidRDefault="00C36315" w:rsidP="00E23FC2">
      <w:pPr>
        <w:pStyle w:val="SingleTxt"/>
        <w:numPr>
          <w:ilvl w:val="0"/>
          <w:numId w:val="9"/>
        </w:numPr>
        <w:tabs>
          <w:tab w:val="clear" w:pos="475"/>
          <w:tab w:val="num" w:pos="1742"/>
        </w:tabs>
        <w:ind w:left="1267"/>
      </w:pPr>
      <w:r>
        <w:t>Il a été souligné qu</w:t>
      </w:r>
      <w:r w:rsidR="001C28C8">
        <w:t>’</w:t>
      </w:r>
      <w:r>
        <w:t xml:space="preserve">il fallait </w:t>
      </w:r>
      <w:r w:rsidRPr="00E47925">
        <w:t xml:space="preserve">respecter, protéger et garantir le droit </w:t>
      </w:r>
      <w:r w:rsidRPr="00E158AC">
        <w:t>à l</w:t>
      </w:r>
      <w:r w:rsidR="001C28C8">
        <w:t>’</w:t>
      </w:r>
      <w:r w:rsidRPr="00E158AC">
        <w:t>éducation</w:t>
      </w:r>
      <w:r>
        <w:t xml:space="preserve"> des paysans et des autres personnes vivant dans les zones rurales, mieux tenir compte du cadre juridique international pertinent dans le projet de déclaration et mettre l</w:t>
      </w:r>
      <w:r w:rsidR="001C28C8">
        <w:t>’</w:t>
      </w:r>
      <w:r>
        <w:t>accent sur l</w:t>
      </w:r>
      <w:r w:rsidR="001C28C8">
        <w:t>’</w:t>
      </w:r>
      <w:r>
        <w:t>obligation (énoncée à l</w:t>
      </w:r>
      <w:r w:rsidR="001C28C8">
        <w:t>’</w:t>
      </w:r>
      <w:r>
        <w:t>article</w:t>
      </w:r>
      <w:r w:rsidR="009F1E63">
        <w:t> </w:t>
      </w:r>
      <w:r>
        <w:t>28 du projet de déclaration) qu</w:t>
      </w:r>
      <w:r w:rsidR="001C28C8">
        <w:t>’</w:t>
      </w:r>
      <w:r>
        <w:t>avaient les États d</w:t>
      </w:r>
      <w:r w:rsidR="001C28C8">
        <w:t>’</w:t>
      </w:r>
      <w:r>
        <w:t>adapter l</w:t>
      </w:r>
      <w:r w:rsidR="001C28C8">
        <w:t>’</w:t>
      </w:r>
      <w:r>
        <w:t>enseignement aux besoins particuliers des paysans et des personnes vivant dans les zones rurales.</w:t>
      </w:r>
    </w:p>
    <w:p w:rsidR="00C36315" w:rsidRDefault="00C36315" w:rsidP="00E23FC2">
      <w:pPr>
        <w:pStyle w:val="SingleTxt"/>
        <w:numPr>
          <w:ilvl w:val="0"/>
          <w:numId w:val="9"/>
        </w:numPr>
        <w:tabs>
          <w:tab w:val="clear" w:pos="475"/>
          <w:tab w:val="num" w:pos="1742"/>
        </w:tabs>
        <w:ind w:left="1267"/>
      </w:pPr>
      <w:r>
        <w:t>Certains intervenants ont indiqué que l</w:t>
      </w:r>
      <w:r w:rsidR="001C28C8">
        <w:t>’</w:t>
      </w:r>
      <w:r>
        <w:t>utilisation de produits chimiques avait souvent une incidence néfaste sur le droit des paysans à la santé et à un environnement sain. Il importait de permettre aux paysans de maîtriser leur utilisation de pesticides et de substances chimiques. Les paysans devraient avoir le droit de savoir quels problèmes de santé pouvaient en résulter (cancer, diabète, hypertension artérielle, etc.). Un intervenant a souligné que les paysans devaient avoir le droit de conserver leurs propres semences et la possibilité de ne pas utiliser d</w:t>
      </w:r>
      <w:r w:rsidR="001C28C8">
        <w:t>’</w:t>
      </w:r>
      <w:r>
        <w:t>organismes génétiquement modifiés. Certains intervenants ont dit que les paysans ne pouvaient pas décider seuls des prix sur les marchés, ceux-ci étant aussi déterminés par la demande, et qu</w:t>
      </w:r>
      <w:r w:rsidR="001C28C8">
        <w:t>’</w:t>
      </w:r>
      <w:r>
        <w:t>il fallait protéger leur droit à un revenu décent et à un niveau de vie suffisant.</w:t>
      </w:r>
    </w:p>
    <w:p w:rsidR="00C36315" w:rsidRDefault="00C36315" w:rsidP="00E23FC2">
      <w:pPr>
        <w:pStyle w:val="SingleTxt"/>
        <w:numPr>
          <w:ilvl w:val="0"/>
          <w:numId w:val="9"/>
        </w:numPr>
        <w:tabs>
          <w:tab w:val="clear" w:pos="475"/>
          <w:tab w:val="num" w:pos="1742"/>
        </w:tabs>
        <w:ind w:left="1267"/>
      </w:pPr>
      <w:r>
        <w:t>Pendant la discussion</w:t>
      </w:r>
      <w:r w:rsidRPr="00837C42">
        <w:t xml:space="preserve">, </w:t>
      </w:r>
      <w:r>
        <w:t>la Présidente-Rapporteuse a fait observer qu</w:t>
      </w:r>
      <w:r w:rsidR="001C28C8">
        <w:t>’</w:t>
      </w:r>
      <w:r>
        <w:t>il était fréquent que de nouveaux droits de l</w:t>
      </w:r>
      <w:r w:rsidR="001C28C8">
        <w:t>’</w:t>
      </w:r>
      <w:r>
        <w:t>homme soient créés et qu</w:t>
      </w:r>
      <w:r w:rsidR="001C28C8">
        <w:t>’</w:t>
      </w:r>
      <w:r>
        <w:t xml:space="preserve">il arrivait que des droits existants </w:t>
      </w:r>
      <w:r w:rsidRPr="00511B15">
        <w:t>soient adaptés</w:t>
      </w:r>
      <w:r>
        <w:t>,</w:t>
      </w:r>
      <w:r w:rsidRPr="00511B15">
        <w:t xml:space="preserve"> </w:t>
      </w:r>
      <w:r>
        <w:t xml:space="preserve">que </w:t>
      </w:r>
      <w:r w:rsidRPr="00511B15">
        <w:t>la discrimination croisée à l</w:t>
      </w:r>
      <w:r w:rsidR="001C28C8">
        <w:t>’</w:t>
      </w:r>
      <w:r w:rsidRPr="00511B15">
        <w:t>égard des groupes les plus v</w:t>
      </w:r>
      <w:r>
        <w:t xml:space="preserve">ulnérables était chose courante, </w:t>
      </w:r>
      <w:r w:rsidRPr="00511B15">
        <w:t xml:space="preserve">et </w:t>
      </w:r>
      <w:r>
        <w:t xml:space="preserve">que les </w:t>
      </w:r>
      <w:r w:rsidRPr="00511B15">
        <w:t xml:space="preserve">initiatives locales et les travaux du Groupe de travail contribuaient à donner </w:t>
      </w:r>
      <w:r w:rsidRPr="008F2E62">
        <w:t>une connotation positive</w:t>
      </w:r>
      <w:r>
        <w:t xml:space="preserve"> </w:t>
      </w:r>
      <w:r w:rsidRPr="00511B15">
        <w:t>au</w:t>
      </w:r>
      <w:r>
        <w:t xml:space="preserve"> mot </w:t>
      </w:r>
      <w:r w:rsidR="009F1E63">
        <w:t>« </w:t>
      </w:r>
      <w:r>
        <w:t>paysan</w:t>
      </w:r>
      <w:r w:rsidR="001C28C8">
        <w:t> »</w:t>
      </w:r>
      <w:r>
        <w:t>. Elle a ajouté qu</w:t>
      </w:r>
      <w:r w:rsidR="001C28C8">
        <w:t>’</w:t>
      </w:r>
      <w:r>
        <w:t>il serait possible d</w:t>
      </w:r>
      <w:r w:rsidR="001C28C8">
        <w:t>’</w:t>
      </w:r>
      <w:r>
        <w:t xml:space="preserve">intégrer la notion de </w:t>
      </w:r>
      <w:r w:rsidRPr="00E25C79">
        <w:t xml:space="preserve">Terre </w:t>
      </w:r>
      <w:r>
        <w:t>M</w:t>
      </w:r>
      <w:r w:rsidRPr="00E25C79">
        <w:t>ère</w:t>
      </w:r>
      <w:r>
        <w:t xml:space="preserve"> dans la déclaration en se fondant sur les formulations déjà acceptées. </w:t>
      </w:r>
    </w:p>
    <w:p w:rsidR="00C36315" w:rsidRDefault="00C36315" w:rsidP="00E23FC2">
      <w:pPr>
        <w:pStyle w:val="SingleTxt"/>
        <w:numPr>
          <w:ilvl w:val="0"/>
          <w:numId w:val="9"/>
        </w:numPr>
        <w:tabs>
          <w:tab w:val="clear" w:pos="475"/>
          <w:tab w:val="num" w:pos="1742"/>
        </w:tabs>
        <w:ind w:left="1267"/>
      </w:pPr>
      <w:r>
        <w:t>Plusieurs questions ayant été posées à</w:t>
      </w:r>
      <w:r w:rsidR="009F1E63">
        <w:t xml:space="preserve"> ce sujet par les participants, </w:t>
      </w:r>
      <w:r>
        <w:t>les intervenants ont indiqué que les États avaient l</w:t>
      </w:r>
      <w:r w:rsidR="001C28C8">
        <w:t>’</w:t>
      </w:r>
      <w:r>
        <w:t xml:space="preserve">obligation de ne pas </w:t>
      </w:r>
      <w:r w:rsidRPr="006429AF">
        <w:t>expulser</w:t>
      </w:r>
      <w:r>
        <w:t xml:space="preserve"> les paysans de leurs terres et de contribuer à leur apporter une aide alimentaire. Les États étaient également tenus de les protéger et de soutenir les prix des produits agricoles de sorte que les paysans puissent se procurer les biens d</w:t>
      </w:r>
      <w:r w:rsidR="001C28C8">
        <w:t>’</w:t>
      </w:r>
      <w:r>
        <w:t xml:space="preserve">équipement ménager et les denrées alimentaires dont ils avaient besoin. Il fallait que les États aient le droit </w:t>
      </w:r>
      <w:r>
        <w:lastRenderedPageBreak/>
        <w:t>d</w:t>
      </w:r>
      <w:r w:rsidR="001C28C8">
        <w:t>’</w:t>
      </w:r>
      <w:r>
        <w:t>adopter des politiques agricoles pour favoriser l</w:t>
      </w:r>
      <w:r w:rsidR="001C28C8">
        <w:t>’</w:t>
      </w:r>
      <w:r>
        <w:t>emploi de méthodes durables et le développement durable.</w:t>
      </w:r>
    </w:p>
    <w:p w:rsidR="00C36315" w:rsidRDefault="00C36315" w:rsidP="00E23FC2">
      <w:pPr>
        <w:pStyle w:val="SingleTxt"/>
        <w:numPr>
          <w:ilvl w:val="0"/>
          <w:numId w:val="9"/>
        </w:numPr>
        <w:tabs>
          <w:tab w:val="clear" w:pos="475"/>
          <w:tab w:val="num" w:pos="1742"/>
        </w:tabs>
        <w:ind w:left="1267"/>
      </w:pPr>
      <w:r>
        <w:t xml:space="preserve">Un intervenant a rappelé que le système des Nations Unies avait reconnu </w:t>
      </w:r>
      <w:r w:rsidRPr="005412F6">
        <w:t>dès 1948</w:t>
      </w:r>
      <w:r>
        <w:t xml:space="preserve"> le droit à l</w:t>
      </w:r>
      <w:r w:rsidR="001C28C8">
        <w:t>’</w:t>
      </w:r>
      <w:r>
        <w:t>alimentation et le droit à un niveau de vie suffisant, qui s</w:t>
      </w:r>
      <w:r w:rsidR="001C28C8">
        <w:t>’</w:t>
      </w:r>
      <w:r>
        <w:t>appliquaient</w:t>
      </w:r>
      <w:r w:rsidRPr="002912F9">
        <w:t xml:space="preserve"> </w:t>
      </w:r>
      <w:r>
        <w:t>aux paysans et aux autres personnes travaillant dans les zones rurales, et que ces droits étaient énoncés dans le Pacte international relatif aux droits économiques, sociaux et culturels, ainsi que dans des instruments de la FAO. Certains intervenants ont appelé l</w:t>
      </w:r>
      <w:r w:rsidR="001C28C8">
        <w:t>’</w:t>
      </w:r>
      <w:r>
        <w:t>attention sur la différence entre droits individuels et droits collectifs, estimant que la grande majorité des droits proposés étaient des droits individuels, qui ne pouvaient être exercés utilement que de façon collective. Un intervenant a dit qu</w:t>
      </w:r>
      <w:r w:rsidR="001C28C8">
        <w:t>’</w:t>
      </w:r>
      <w:r>
        <w:t xml:space="preserve">il existait des </w:t>
      </w:r>
      <w:r w:rsidRPr="003978DB">
        <w:t>cas de discrimination à l</w:t>
      </w:r>
      <w:r w:rsidR="001C28C8">
        <w:t>’</w:t>
      </w:r>
      <w:r w:rsidRPr="003978DB">
        <w:t>égard de différents groupes, notamment les peuples autochtones, les communautés roms et les personnes d</w:t>
      </w:r>
      <w:r w:rsidR="001C28C8">
        <w:t>’</w:t>
      </w:r>
      <w:r>
        <w:t>ascendance</w:t>
      </w:r>
      <w:r w:rsidRPr="003978DB">
        <w:t xml:space="preserve"> africaine, et que </w:t>
      </w:r>
      <w:r>
        <w:t xml:space="preserve">le processus en cours offrait </w:t>
      </w:r>
      <w:r w:rsidRPr="003978DB">
        <w:t>l</w:t>
      </w:r>
      <w:r w:rsidR="001C28C8">
        <w:t>’</w:t>
      </w:r>
      <w:r w:rsidRPr="003978DB">
        <w:t>occasion de mieux définir l</w:t>
      </w:r>
      <w:r w:rsidR="001C28C8">
        <w:t>’</w:t>
      </w:r>
      <w:r w:rsidRPr="003978DB">
        <w:t>égalité et la non-discrimination dans le contexte de ces groupes</w:t>
      </w:r>
      <w:r>
        <w:t>. Un autre intervenant a souligné que les droits relatifs à la non-discrimination et à l</w:t>
      </w:r>
      <w:r w:rsidR="001C28C8">
        <w:t>’</w:t>
      </w:r>
      <w:r>
        <w:t>égalité avaient des effets négatifs et positifs, et qu</w:t>
      </w:r>
      <w:r w:rsidR="001C28C8">
        <w:t>’</w:t>
      </w:r>
      <w:r>
        <w:t>il était possible d</w:t>
      </w:r>
      <w:r w:rsidR="001C28C8">
        <w:t>’</w:t>
      </w:r>
      <w:r>
        <w:t xml:space="preserve">interpréter chaque droit de façon à y </w:t>
      </w:r>
      <w:r w:rsidRPr="0035292D">
        <w:t xml:space="preserve">associer des obligations positives et </w:t>
      </w:r>
      <w:r>
        <w:t>négatives. Tous les intervenants ont convenu qu</w:t>
      </w:r>
      <w:r w:rsidR="001C28C8">
        <w:t>’</w:t>
      </w:r>
      <w:r>
        <w:t>il était nécessaire d</w:t>
      </w:r>
      <w:r w:rsidR="001C28C8">
        <w:t>’</w:t>
      </w:r>
      <w:r>
        <w:t xml:space="preserve">adopter une </w:t>
      </w:r>
      <w:r w:rsidRPr="00AD75D9">
        <w:t>déclaration des Nations Unies sur les droits des paysans et des autres personnes travaillant dans les zones rurales</w:t>
      </w:r>
      <w:r>
        <w:t xml:space="preserve">, dont le texte devait être clair et compréhensible pour que les paysans puissent exercer leurs droits. </w:t>
      </w:r>
    </w:p>
    <w:p w:rsidR="00E23FC2" w:rsidRPr="00E23FC2" w:rsidRDefault="00E23FC2" w:rsidP="00E23FC2">
      <w:pPr>
        <w:pStyle w:val="SingleTxt"/>
        <w:spacing w:after="0" w:line="120" w:lineRule="exact"/>
        <w:rPr>
          <w:sz w:val="10"/>
        </w:rPr>
      </w:pPr>
    </w:p>
    <w:p w:rsidR="00E23FC2" w:rsidRPr="00E23FC2" w:rsidRDefault="00E23FC2" w:rsidP="00E23FC2">
      <w:pPr>
        <w:pStyle w:val="SingleTxt"/>
        <w:spacing w:after="0" w:line="120" w:lineRule="exact"/>
        <w:rPr>
          <w:sz w:val="10"/>
        </w:rPr>
      </w:pPr>
    </w:p>
    <w:p w:rsidR="00C36315" w:rsidRDefault="00C36315" w:rsidP="00E23FC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37C42">
        <w:tab/>
        <w:t>B.</w:t>
      </w:r>
      <w:r w:rsidRPr="00837C42">
        <w:tab/>
      </w:r>
      <w:r>
        <w:t xml:space="preserve">Table ronde </w:t>
      </w:r>
      <w:r w:rsidRPr="00837C42">
        <w:t xml:space="preserve">II. </w:t>
      </w:r>
      <w:r>
        <w:t>D</w:t>
      </w:r>
      <w:r w:rsidRPr="00AD75D9">
        <w:t xml:space="preserve">roits des paysans et des autres personnes travaillant </w:t>
      </w:r>
      <w:r>
        <w:t>dans les</w:t>
      </w:r>
      <w:r w:rsidRPr="00AD75D9">
        <w:t xml:space="preserve"> zone</w:t>
      </w:r>
      <w:r>
        <w:t>s</w:t>
      </w:r>
      <w:r w:rsidRPr="00AD75D9">
        <w:t xml:space="preserve"> rurale</w:t>
      </w:r>
      <w:r>
        <w:t>s</w:t>
      </w:r>
      <w:r w:rsidRPr="00AD75D9">
        <w:t xml:space="preserve"> </w:t>
      </w:r>
      <w:r>
        <w:t>énoncés dans d</w:t>
      </w:r>
      <w:r w:rsidR="001C28C8">
        <w:t>’</w:t>
      </w:r>
      <w:r w:rsidRPr="00AD75D9">
        <w:t xml:space="preserve">autres </w:t>
      </w:r>
      <w:r w:rsidR="00E23FC2">
        <w:br/>
      </w:r>
      <w:r w:rsidRPr="00AD75D9">
        <w:t>instruments internationaux et lacunes en la matière</w:t>
      </w:r>
    </w:p>
    <w:p w:rsidR="00E23FC2" w:rsidRPr="00E23FC2" w:rsidRDefault="00E23FC2" w:rsidP="00E23FC2">
      <w:pPr>
        <w:pStyle w:val="SingleTxt"/>
        <w:spacing w:after="0" w:line="120" w:lineRule="exact"/>
        <w:rPr>
          <w:sz w:val="10"/>
        </w:rPr>
      </w:pPr>
    </w:p>
    <w:p w:rsidR="00E23FC2" w:rsidRPr="00E23FC2" w:rsidRDefault="00E23FC2" w:rsidP="00E23FC2">
      <w:pPr>
        <w:pStyle w:val="SingleTxt"/>
        <w:spacing w:after="0" w:line="120" w:lineRule="exact"/>
        <w:rPr>
          <w:sz w:val="10"/>
        </w:rPr>
      </w:pPr>
    </w:p>
    <w:p w:rsidR="00C36315" w:rsidRDefault="00C36315" w:rsidP="00E23FC2">
      <w:pPr>
        <w:pStyle w:val="SingleTxt"/>
        <w:numPr>
          <w:ilvl w:val="0"/>
          <w:numId w:val="9"/>
        </w:numPr>
        <w:tabs>
          <w:tab w:val="clear" w:pos="475"/>
          <w:tab w:val="num" w:pos="1742"/>
        </w:tabs>
        <w:ind w:left="1267"/>
      </w:pPr>
      <w:r>
        <w:t>Deux intervenants ont recensé les dispositions applicables du droit international et les mécanismes de protection</w:t>
      </w:r>
      <w:r w:rsidR="002D73B9">
        <w:t xml:space="preserve"> des droits de l</w:t>
      </w:r>
      <w:r w:rsidR="001C28C8">
        <w:t>’</w:t>
      </w:r>
      <w:r w:rsidR="002D73B9">
        <w:t>homme de l</w:t>
      </w:r>
      <w:r w:rsidR="001C28C8">
        <w:t>’</w:t>
      </w:r>
      <w:r w:rsidR="002D73B9">
        <w:t>ONU</w:t>
      </w:r>
      <w:r>
        <w:t>, y compris les procédures spéciales, ainsi que les directives de la FAO sur la promotion du droit à l</w:t>
      </w:r>
      <w:r w:rsidR="001C28C8">
        <w:t>’</w:t>
      </w:r>
      <w:r>
        <w:t xml:space="preserve">alimentation. Ils ont rappelé que dans son </w:t>
      </w:r>
      <w:r w:rsidR="00437FC9">
        <w:t xml:space="preserve">Observation </w:t>
      </w:r>
      <w:r>
        <w:t xml:space="preserve">générale </w:t>
      </w:r>
      <w:r w:rsidR="009F1E63">
        <w:t>n</w:t>
      </w:r>
      <w:r w:rsidR="009F1E63" w:rsidRPr="009F1E63">
        <w:rPr>
          <w:vertAlign w:val="superscript"/>
        </w:rPr>
        <w:t>o</w:t>
      </w:r>
      <w:r w:rsidR="009F1E63">
        <w:t> </w:t>
      </w:r>
      <w:r>
        <w:t>12 (1999) sur le droit à une nourriture suffisante, le Comité des droits économiques, sociaux et culturels avait précisé que le droit à l</w:t>
      </w:r>
      <w:r w:rsidR="001C28C8">
        <w:t>’</w:t>
      </w:r>
      <w:r>
        <w:t>alimentation concernait l</w:t>
      </w:r>
      <w:r w:rsidR="001C28C8">
        <w:t>’</w:t>
      </w:r>
      <w:r>
        <w:t>accès à une nourriture suffisante ou aux moyens de se la procurer; or, comme une nourriture saine et nutritive pouvait être obtenue par l</w:t>
      </w:r>
      <w:r w:rsidR="001C28C8">
        <w:t>’</w:t>
      </w:r>
      <w:r>
        <w:t>agriculture, l</w:t>
      </w:r>
      <w:r w:rsidR="001C28C8">
        <w:t>’</w:t>
      </w:r>
      <w:r>
        <w:t>accès aux ressources naturelles était une dimension fondamentale du droit à une nourriture suffisante.</w:t>
      </w:r>
    </w:p>
    <w:p w:rsidR="00C36315" w:rsidRDefault="00C36315" w:rsidP="00E23FC2">
      <w:pPr>
        <w:pStyle w:val="SingleTxt"/>
        <w:numPr>
          <w:ilvl w:val="0"/>
          <w:numId w:val="9"/>
        </w:numPr>
        <w:tabs>
          <w:tab w:val="clear" w:pos="475"/>
          <w:tab w:val="num" w:pos="1742"/>
        </w:tabs>
        <w:ind w:left="1267"/>
      </w:pPr>
      <w:r>
        <w:t xml:space="preserve">Un expert a indiqué que </w:t>
      </w:r>
      <w:r w:rsidRPr="00F248C5">
        <w:t>certains principes relatifs aux droits de l</w:t>
      </w:r>
      <w:r w:rsidR="001C28C8">
        <w:t>’</w:t>
      </w:r>
      <w:r w:rsidRPr="00F248C5">
        <w:t>homme tels que la dignité humaine, l</w:t>
      </w:r>
      <w:r w:rsidR="001C28C8">
        <w:t>’</w:t>
      </w:r>
      <w:r w:rsidRPr="00F248C5">
        <w:t>égalité des sexes, la participation, la transparence, la responsabilité effective et l</w:t>
      </w:r>
      <w:r w:rsidR="001C28C8">
        <w:t>’</w:t>
      </w:r>
      <w:r w:rsidRPr="00F248C5">
        <w:t>état de droit</w:t>
      </w:r>
      <w:r>
        <w:t xml:space="preserve"> avaient été réaffirmés dans la </w:t>
      </w:r>
      <w:r w:rsidRPr="00F248C5">
        <w:t xml:space="preserve">Déclaration des Nations Unies sur les droits des peuples autochtones </w:t>
      </w:r>
      <w:r>
        <w:t xml:space="preserve">et les </w:t>
      </w:r>
      <w:r w:rsidRPr="00F248C5">
        <w:t xml:space="preserve">Directives volontaires </w:t>
      </w:r>
      <w:r>
        <w:t xml:space="preserve">de la FAO </w:t>
      </w:r>
      <w:r w:rsidRPr="00F248C5">
        <w:t>pour une gouvernance responsable des régimes fonciers applicables aux terres, aux pêches et aux forêts dans le contexte de la sécurité alimentaire nationale</w:t>
      </w:r>
      <w:r>
        <w:t>, qui mettaient l</w:t>
      </w:r>
      <w:r w:rsidR="001C28C8">
        <w:t>’</w:t>
      </w:r>
      <w:r>
        <w:t>accent sur l</w:t>
      </w:r>
      <w:r w:rsidR="001C28C8">
        <w:t>’</w:t>
      </w:r>
      <w:r>
        <w:t>obligation incombant aux États de respecter, de protéger et de promouvoir les droits fonciers légitimes</w:t>
      </w:r>
      <w:r w:rsidRPr="00837C42">
        <w:t xml:space="preserve">. </w:t>
      </w:r>
      <w:r>
        <w:t>Ces directives portaient également sur la restitution et la redistribution des terres, des pêcheries et des forêts, y compris la possibilité de restreindre la propriété foncière. De toute évidence, les États ne les avaient pas adoptées dans le but de créer de nouveaux droits, mais de donner des indications d</w:t>
      </w:r>
      <w:r w:rsidR="001C28C8">
        <w:t>’</w:t>
      </w:r>
      <w:r>
        <w:t>ordre pratique sur les politiques et les mesures intéressant le respect des obligations relatives au droit à l</w:t>
      </w:r>
      <w:r w:rsidR="001C28C8">
        <w:t>’</w:t>
      </w:r>
      <w:r>
        <w:t>alimentation. Dans le même temps, ce texte traduisait manifestement un consensus international sans précédent au sujet de l</w:t>
      </w:r>
      <w:r w:rsidR="001C28C8">
        <w:t>’</w:t>
      </w:r>
      <w:r>
        <w:t>action que les États devraient mener en matière de gouvernance responsable des régimes fonciers. C</w:t>
      </w:r>
      <w:r w:rsidR="001C28C8">
        <w:t>’</w:t>
      </w:r>
      <w:r>
        <w:t xml:space="preserve">est pourquoi il avait apporté une très grande contribution au développement du droit international; il restait cependant à définir plus clairement les droits relatifs aux </w:t>
      </w:r>
      <w:r w:rsidRPr="00E640AE">
        <w:t>terres</w:t>
      </w:r>
      <w:r>
        <w:t xml:space="preserve"> et aux ressources naturelles dont bénéficiaient les personnes concernées, notamment les personnes sans terre, les paysans, les pêcheurs artisanaux et les éleveurs nomades, </w:t>
      </w:r>
      <w:r>
        <w:lastRenderedPageBreak/>
        <w:t>pour enfin établir clairement les droits qu</w:t>
      </w:r>
      <w:r w:rsidR="001C28C8">
        <w:t>’</w:t>
      </w:r>
      <w:r>
        <w:t>elles pouvaient faire valoir dans ce domaine, notamment en engageant des actions en justice.</w:t>
      </w:r>
    </w:p>
    <w:p w:rsidR="00C36315" w:rsidRDefault="00C36315" w:rsidP="00E23FC2">
      <w:pPr>
        <w:pStyle w:val="SingleTxt"/>
        <w:numPr>
          <w:ilvl w:val="0"/>
          <w:numId w:val="9"/>
        </w:numPr>
        <w:tabs>
          <w:tab w:val="clear" w:pos="475"/>
          <w:tab w:val="num" w:pos="1742"/>
        </w:tabs>
        <w:ind w:left="1267"/>
      </w:pPr>
      <w:r>
        <w:t>Une experte a longuement traité des conventions de l</w:t>
      </w:r>
      <w:r w:rsidR="001C28C8">
        <w:t>’</w:t>
      </w:r>
      <w:r w:rsidRPr="004C3FB1">
        <w:t xml:space="preserve">Organisation internationale du Travail </w:t>
      </w:r>
      <w:r>
        <w:t xml:space="preserve">(OIT) qui </w:t>
      </w:r>
      <w:r w:rsidRPr="004304E5">
        <w:t xml:space="preserve">pouvaient </w:t>
      </w:r>
      <w:r>
        <w:t>faciliter l</w:t>
      </w:r>
      <w:r w:rsidR="001C28C8">
        <w:t>’</w:t>
      </w:r>
      <w:r>
        <w:t>adoption d</w:t>
      </w:r>
      <w:r w:rsidR="001C28C8">
        <w:t>’</w:t>
      </w:r>
      <w:r>
        <w:t xml:space="preserve">une </w:t>
      </w:r>
      <w:r w:rsidRPr="004C3FB1">
        <w:t>déclaration des Nations Unies sur les droits des paysans et des autres personnes travaillant dans les zones rurales</w:t>
      </w:r>
      <w:r>
        <w:t xml:space="preserve">, à savoir la </w:t>
      </w:r>
      <w:r w:rsidRPr="004C3FB1">
        <w:t>Convention de 1921 sur le dro</w:t>
      </w:r>
      <w:r>
        <w:t>it d</w:t>
      </w:r>
      <w:r w:rsidR="001C28C8">
        <w:t>’</w:t>
      </w:r>
      <w:r>
        <w:t>association (agriculture) (</w:t>
      </w:r>
      <w:r w:rsidR="009F1E63">
        <w:t>n</w:t>
      </w:r>
      <w:r w:rsidR="009F1E63" w:rsidRPr="009F1E63">
        <w:rPr>
          <w:vertAlign w:val="superscript"/>
        </w:rPr>
        <w:t>o</w:t>
      </w:r>
      <w:r w:rsidR="009F1E63">
        <w:t> </w:t>
      </w:r>
      <w:r>
        <w:t>11)</w:t>
      </w:r>
      <w:r w:rsidRPr="00837C42">
        <w:t xml:space="preserve">, </w:t>
      </w:r>
      <w:r>
        <w:t xml:space="preserve">la </w:t>
      </w:r>
      <w:r w:rsidRPr="004C3FB1">
        <w:t>Convention de 19</w:t>
      </w:r>
      <w:r>
        <w:t>58 sur les plantations (</w:t>
      </w:r>
      <w:r w:rsidR="009F1E63">
        <w:t>n</w:t>
      </w:r>
      <w:r w:rsidR="009F1E63" w:rsidRPr="009F1E63">
        <w:rPr>
          <w:vertAlign w:val="superscript"/>
        </w:rPr>
        <w:t>o</w:t>
      </w:r>
      <w:r w:rsidR="009F1E63">
        <w:t> </w:t>
      </w:r>
      <w:r>
        <w:t>110)</w:t>
      </w:r>
      <w:r w:rsidRPr="00837C42">
        <w:t xml:space="preserve">, </w:t>
      </w:r>
      <w:r>
        <w:t xml:space="preserve">la </w:t>
      </w:r>
      <w:r w:rsidRPr="004C3FB1">
        <w:t>Convention de 1975 sur les organisations de travailleurs ruraux (</w:t>
      </w:r>
      <w:r w:rsidR="009F1E63">
        <w:t>n</w:t>
      </w:r>
      <w:r w:rsidR="009F1E63" w:rsidRPr="009F1E63">
        <w:rPr>
          <w:vertAlign w:val="superscript"/>
        </w:rPr>
        <w:t>o</w:t>
      </w:r>
      <w:r w:rsidR="009F1E63">
        <w:t> </w:t>
      </w:r>
      <w:r>
        <w:t xml:space="preserve">141), la </w:t>
      </w:r>
      <w:r w:rsidRPr="004C3FB1">
        <w:t>Convention de 1989 relative aux peuples indigènes et tribaux (</w:t>
      </w:r>
      <w:r w:rsidR="009F1E63">
        <w:t>n</w:t>
      </w:r>
      <w:r w:rsidR="009F1E63" w:rsidRPr="009F1E63">
        <w:rPr>
          <w:vertAlign w:val="superscript"/>
        </w:rPr>
        <w:t>o</w:t>
      </w:r>
      <w:r w:rsidR="009F1E63">
        <w:t> </w:t>
      </w:r>
      <w:r>
        <w:t xml:space="preserve">169), la </w:t>
      </w:r>
      <w:r w:rsidRPr="004C3FB1">
        <w:t>Convention de 2001 sur la sécurité et la santé dans l</w:t>
      </w:r>
      <w:r w:rsidR="001C28C8">
        <w:t>’</w:t>
      </w:r>
      <w:r w:rsidRPr="004C3FB1">
        <w:t>agriculture (</w:t>
      </w:r>
      <w:r w:rsidR="009F1E63">
        <w:t>n</w:t>
      </w:r>
      <w:r w:rsidR="009F1E63" w:rsidRPr="009F1E63">
        <w:rPr>
          <w:vertAlign w:val="superscript"/>
        </w:rPr>
        <w:t>o</w:t>
      </w:r>
      <w:r w:rsidR="009F1E63">
        <w:t> </w:t>
      </w:r>
      <w:r>
        <w:t>184) et les conventions ayant trait aux droits des travailleurs. Cette intervenante a appelé l</w:t>
      </w:r>
      <w:r w:rsidR="001C28C8">
        <w:t>’</w:t>
      </w:r>
      <w:r>
        <w:t xml:space="preserve">attention sur les </w:t>
      </w:r>
      <w:r w:rsidRPr="00FB5E27">
        <w:t>droits</w:t>
      </w:r>
      <w:r>
        <w:t xml:space="preserve"> et les obligations énoncés dans ces instruments, comme la liberté d</w:t>
      </w:r>
      <w:r w:rsidR="001C28C8">
        <w:t>’</w:t>
      </w:r>
      <w:r>
        <w:t>association, l</w:t>
      </w:r>
      <w:r w:rsidR="001C28C8">
        <w:t>’</w:t>
      </w:r>
      <w:r>
        <w:t>élimination de toutes formes de travail forcé ou obligatoire et de travail des enfants, le droit des travailleurs agricoles de se syndiquer et l</w:t>
      </w:r>
      <w:r w:rsidR="001C28C8">
        <w:t>’</w:t>
      </w:r>
      <w:r>
        <w:t>obligation incombant aux États de promouvoir activement les syndicats agricoles et de veiller à ce que les lois nationales n</w:t>
      </w:r>
      <w:r w:rsidR="001C28C8">
        <w:t>’</w:t>
      </w:r>
      <w:r>
        <w:t>en entravent pas les activités, et a passé en revue les principes directeurs concernant le salaire minimum, la protection de la maternité, l</w:t>
      </w:r>
      <w:r w:rsidR="001C28C8">
        <w:t>’</w:t>
      </w:r>
      <w:r>
        <w:t>inspection du travail, le logement et les soins médicaux. Elle a jugé qu</w:t>
      </w:r>
      <w:r w:rsidR="001C28C8">
        <w:t>’</w:t>
      </w:r>
      <w:r>
        <w:t>il restait des lacunes dans la protection des droits, particulièrement ceux des travailleurs migrants et des femmes rurales, lesquelles étaient souvent victimes de harcèlement sexuel au travail.</w:t>
      </w:r>
    </w:p>
    <w:p w:rsidR="00C36315" w:rsidRDefault="00C36315" w:rsidP="00E23FC2">
      <w:pPr>
        <w:pStyle w:val="SingleTxt"/>
        <w:numPr>
          <w:ilvl w:val="0"/>
          <w:numId w:val="9"/>
        </w:numPr>
        <w:tabs>
          <w:tab w:val="clear" w:pos="475"/>
          <w:tab w:val="num" w:pos="1742"/>
        </w:tabs>
        <w:ind w:left="1267"/>
      </w:pPr>
      <w:r w:rsidRPr="003E2093">
        <w:t>Une</w:t>
      </w:r>
      <w:r>
        <w:t xml:space="preserve"> experte a expliqué que la plupart des droits définis dans le projet de déclaration et présentés comme de </w:t>
      </w:r>
      <w:r w:rsidR="009F1E63">
        <w:t>« </w:t>
      </w:r>
      <w:r>
        <w:t>nouveaux droits</w:t>
      </w:r>
      <w:r w:rsidR="001C28C8">
        <w:t> »</w:t>
      </w:r>
      <w:r>
        <w:t xml:space="preserve"> n</w:t>
      </w:r>
      <w:r w:rsidR="001C28C8">
        <w:t>’</w:t>
      </w:r>
      <w:r>
        <w:t>étaient en réalité pas entièrement nouveaux en droit international, puisqu</w:t>
      </w:r>
      <w:r w:rsidR="001C28C8">
        <w:t>’</w:t>
      </w:r>
      <w:r>
        <w:t>ils correspondaient à des obligations déjà contractées par des États en vertu d</w:t>
      </w:r>
      <w:r w:rsidR="001C28C8">
        <w:t>’</w:t>
      </w:r>
      <w:r>
        <w:t>un certain nombre d</w:t>
      </w:r>
      <w:r w:rsidR="001C28C8">
        <w:t>’</w:t>
      </w:r>
      <w:r>
        <w:t>instruments internationaux. Les instruments visant à protéger l</w:t>
      </w:r>
      <w:r w:rsidR="001C28C8">
        <w:t>’</w:t>
      </w:r>
      <w:r>
        <w:t>environnement et le patrimoine culturel faisaient obligation aux États de respecter et de protéger les pratiques culturelles traditionnelles des paysans et des autres personnes travaillant dans les zones rurales et de prendre des mesures pour leur garantir un accès aux ressources naturelles, notamment aux terres et aux semences. Le droit à la participation et le principe du consentement préalable, libre et éclairé étaient bien établis par différents instruments internationaux, dont certains avaient été ratifiés par de nombreux pays, notamment la C</w:t>
      </w:r>
      <w:r w:rsidRPr="00266FEC">
        <w:t>onvention des Nations Unies sur la lutte contre la désertification dans les pays gravement touchés par la sécheresse et/ou la désertifica</w:t>
      </w:r>
      <w:r>
        <w:t xml:space="preserve">tion, en particulier en Afrique, le </w:t>
      </w:r>
      <w:r w:rsidRPr="00266FEC">
        <w:t>Traité international sur les ressources phytogénétiques pour l</w:t>
      </w:r>
      <w:r w:rsidR="001C28C8">
        <w:t>’</w:t>
      </w:r>
      <w:r w:rsidRPr="00266FEC">
        <w:t>alimentation et l</w:t>
      </w:r>
      <w:r w:rsidR="001C28C8">
        <w:t>’</w:t>
      </w:r>
      <w:r w:rsidRPr="00266FEC">
        <w:t xml:space="preserve">agriculture </w:t>
      </w:r>
      <w:r>
        <w:t>et le</w:t>
      </w:r>
      <w:r w:rsidRPr="00266FEC">
        <w:t xml:space="preserve"> Protocole de Nagoya sur l</w:t>
      </w:r>
      <w:r w:rsidR="001C28C8">
        <w:t>’</w:t>
      </w:r>
      <w:r w:rsidRPr="00266FEC">
        <w:t>accès aux ressources génétiques et le partage juste et équitable des avantages découlant de leur utilisation relatif à la Convent</w:t>
      </w:r>
      <w:r>
        <w:t>ion sur la diversité biologique</w:t>
      </w:r>
      <w:r w:rsidRPr="00837C42">
        <w:t xml:space="preserve">. </w:t>
      </w:r>
      <w:r>
        <w:t>C</w:t>
      </w:r>
      <w:r w:rsidRPr="002C5179">
        <w:t xml:space="preserve">es droits </w:t>
      </w:r>
      <w:r>
        <w:t>étaient de plus en plus reconnus par les tribunaux internationaux et avaient été intégrés dans le droit national de plusieurs États. Selon elle, il était fondamental que le Conseil des droits de l</w:t>
      </w:r>
      <w:r w:rsidR="001C28C8">
        <w:t>’</w:t>
      </w:r>
      <w:r>
        <w:t>homme réunisse les principes juridiques existants en un seul instrument, en vue de garantir l</w:t>
      </w:r>
      <w:r w:rsidR="001C28C8">
        <w:t>’</w:t>
      </w:r>
      <w:r>
        <w:t>exercice des droits des paysans et des autres personnes travaillant dans les zones rurales du m</w:t>
      </w:r>
      <w:r w:rsidR="00E23FC2">
        <w:t>onde entier.</w:t>
      </w:r>
      <w:bookmarkStart w:id="2" w:name="_GoBack"/>
      <w:bookmarkEnd w:id="2"/>
    </w:p>
    <w:p w:rsidR="00C36315" w:rsidRDefault="00C36315" w:rsidP="00E23FC2">
      <w:pPr>
        <w:pStyle w:val="SingleTxt"/>
        <w:numPr>
          <w:ilvl w:val="0"/>
          <w:numId w:val="9"/>
        </w:numPr>
        <w:tabs>
          <w:tab w:val="clear" w:pos="475"/>
          <w:tab w:val="num" w:pos="1742"/>
        </w:tabs>
        <w:ind w:left="1267"/>
      </w:pPr>
      <w:r>
        <w:t>Plusieurs participants ont demandé aux intervenants d</w:t>
      </w:r>
      <w:r w:rsidR="001C28C8">
        <w:t>’</w:t>
      </w:r>
      <w:r>
        <w:t>approfondir la question du droit à la terre et de ses incidences sur les obligations des États. Une intervenante a indiqué qu</w:t>
      </w:r>
      <w:r w:rsidR="001C28C8">
        <w:t>’</w:t>
      </w:r>
      <w:r>
        <w:t>il restait des lacunes dans la législation en la matière et que ce droit devrait être reconnu comme étant un droit fondamental, étant d</w:t>
      </w:r>
      <w:r w:rsidR="001C28C8">
        <w:t>’</w:t>
      </w:r>
      <w:r>
        <w:t>une importance vitale pour l</w:t>
      </w:r>
      <w:r w:rsidR="001C28C8">
        <w:t>’</w:t>
      </w:r>
      <w:r>
        <w:t>existence des communautés rurales. Elle a ajouté que la terre était souvent privatisée, vendue et commercialisée sans que l</w:t>
      </w:r>
      <w:r w:rsidR="001C28C8">
        <w:t>’</w:t>
      </w:r>
      <w:r>
        <w:t>attention voulue ne soit accordée au fait que tous les êtres humains en avaient besoin pour vivre.</w:t>
      </w:r>
    </w:p>
    <w:p w:rsidR="000A758E" w:rsidRDefault="000A758E" w:rsidP="008A3F98">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pPr>
      <w:r>
        <w:lastRenderedPageBreak/>
        <w:tab/>
        <w:t>IV.</w:t>
      </w:r>
      <w:r>
        <w:tab/>
        <w:t>Déclarations générales</w:t>
      </w:r>
    </w:p>
    <w:p w:rsidR="000A758E" w:rsidRPr="00DC3796" w:rsidRDefault="000A758E" w:rsidP="008A3F98">
      <w:pPr>
        <w:pStyle w:val="SingleTxt"/>
        <w:keepNext/>
        <w:keepLines/>
        <w:spacing w:after="0" w:line="120" w:lineRule="exact"/>
        <w:rPr>
          <w:sz w:val="10"/>
        </w:rPr>
      </w:pPr>
    </w:p>
    <w:p w:rsidR="000A758E" w:rsidRPr="00DC3796" w:rsidRDefault="000A758E" w:rsidP="008A3F98">
      <w:pPr>
        <w:pStyle w:val="SingleTxt"/>
        <w:keepNext/>
        <w:keepLines/>
        <w:spacing w:after="0" w:line="120" w:lineRule="exact"/>
        <w:rPr>
          <w:sz w:val="10"/>
        </w:rPr>
      </w:pPr>
    </w:p>
    <w:p w:rsidR="000A758E" w:rsidRPr="00DC3796" w:rsidRDefault="000A758E" w:rsidP="008A3F98">
      <w:pPr>
        <w:pStyle w:val="SingleTxt"/>
        <w:keepNext/>
        <w:keepLines/>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pPr>
      <w:r w:rsidRPr="00DC3796">
        <w:t>De nombreuses délégations ont dit ne pas être en mesure de formuler des commentaires sur le projet de déclaration compte tenu de la réception tardive du texte; les observations et les vues qu’elles exprimeraient seraient donc préliminaires. Pour la même raison, nombre d’États désireux de coopérer ont dit devoir réserver leur position sur le projet de déclaration. Différents États ont exprimé leurs préoccupations quant aux droits qui n’étaient pas encore reconnus comme des droits de l’homme internationaux. Ils ont également noté que la manière dont les droits de l’homme existants étaient énoncés dans le nouveau projet de déclaration pouvait leur conférer une portée plus vaste que celle qui leur était habituellement reconnue. Certaines délégations ont exprimé leurs préoccupations quant à la procédure suivie concernant le premier projet de déclaration distribué par le comité consultatif du Conseil des droits de l’homme. Elles ont affirmé que le Conseil n’avait pas ordonné la rédaction de la déclaration et se sont dites préoccupées par le champ d’application et la longueur de la dernière version du projet de déclaration. Certains États ont fait valoir que le projet de déclaration était trop axé sur les droits des paysans autochtones et que le fait de distinguer ce groupe pouvait avoir un effet discriminatoire sur les autres groupes. Un État a fait observer que le projet de déclaration n’accordait pas une place satisfaisante au principe du consentement libre, préalable et éclairé. Une délégation a déclaré que le Conseil des droits de l’homme n’était pas le cadre idéal pour élaborer une déclaration sur les paysans et les autres personnes travaillant dans les zones rurales. Toutes les délégations se sont déclarées disposées à participer aux travaux du groupe de travail de manière constructive afin de trouver un terrain d’entente et d’examiner les moyens de faire avancer le processus.</w:t>
      </w:r>
    </w:p>
    <w:p w:rsidR="000A758E" w:rsidRPr="00A32880" w:rsidRDefault="000A758E" w:rsidP="000A758E">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pPr>
      <w:r w:rsidRPr="00DC3796">
        <w:t>Plusieurs États ont souligné qu’ils étaient favorables à l’élaboration, en tant que nouvel instrument relatif aux droits de l’homme, d’une déclaration des Nations Unies spécifiquement axée sur les droits des paysans et des autres personnes travaillant dans les zones rurales, qui constituaient un groupe vulnérable de plus d’un milliard de personnes. Ils ont appelé l’attention sur le mandat confié par le Conseil des droits de l’homme au groupe de travail dans les résolutions 21/19 et 26/26 de négocier, de rédiger puis de présenter au Conseil un projet de déclaration des Nations Unies sur les droits des paysans et des autres personnes travaillant dans les zones rurales. Ils ont également souligné que le projet de déclaration était le fruit des consultations informelles et de l’action conjointe menées sur la base des vues exprimées à la première session du groupe de travail tenue par le Conseil. Certains États ont fait observer qu’il fallait que les délégations s’entendent pour trouver un consensus sur le texte du projet de déclaration, et un État a affirmé que le texte devrait être fondé sur le principe de la solidarité internationale. De nombreux États ont félicité la Présidente-Rapporteuse pour sa réélection et l’ont remerciée pour les travaux qu’elle menait concernant le projet de déclaration.</w:t>
      </w:r>
    </w:p>
    <w:p w:rsidR="000A758E" w:rsidRPr="00A32880" w:rsidRDefault="000A758E" w:rsidP="000A758E">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pPr>
      <w:r w:rsidRPr="00DC3796">
        <w:t>Différentes ONG se sont dites favorables au nouveau texte du projet de déclaration, dont elles ont approuvé la lon</w:t>
      </w:r>
      <w:r w:rsidR="00C55D58">
        <w:t>gueur et le champ d’application</w:t>
      </w:r>
      <w:r w:rsidRPr="00DC3796">
        <w:t xml:space="preserve">. Elles ont pris note avec intérêt de l’inclusion des droits civils et politiques et de leur application aux besoins et aux réalités propres des paysans. Elles ont pris note avec satisfaction de la reconnaissance de droits importants, tels que le droit à la terre, le droit aux semences et le droit à la diversité biologique, et ont fait observer que ces droits soi-disant </w:t>
      </w:r>
      <w:r>
        <w:t>« </w:t>
      </w:r>
      <w:r w:rsidRPr="00DC3796">
        <w:t>nouveaux</w:t>
      </w:r>
      <w:r>
        <w:t> »</w:t>
      </w:r>
      <w:r w:rsidRPr="00DC3796">
        <w:t xml:space="preserve"> étaient déjà consacrés par d’autres instruments internationaux et que tous les droits avaient un jour ou l’autr</w:t>
      </w:r>
      <w:r w:rsidR="00C55D58">
        <w:t>e été considérés comme nouveaux</w:t>
      </w:r>
      <w:r w:rsidRPr="00DC3796">
        <w:t xml:space="preserve">. Elles ont également relevé avec intérêt que le texte énonçait les obligations incombant spécifiquement aux États pour chaque article et contenait une référence générale aux obligations extraterritoriales et aux acteurs non étatiques. Plusieurs ONG ont noté que des efforts avaient été faits pour employer autant que possible la terminologie </w:t>
      </w:r>
      <w:r w:rsidRPr="00DC3796">
        <w:lastRenderedPageBreak/>
        <w:t>convenue et ont formulé l’espoir que cela facilite les négociations et aide tous les États à coopérer de manière constructive. Elles ont en outre rappelé que cette déclaration était très importante en ce qu’elle permettrait de mieux protéger les droits et d’améliorer les conditions de vie de millions de paysans, de pêcheurs, de pasteurs, de nomades et d’autres personnes travaillant dans les zones rurales qui étaient victimes de formes multiples de discrimination et de violations des droits de l’homme. Elles ont également souligné qu’à terme, l’adoption de la déclaration permettrait de renforcer la sécurité et la souveraineté alimentaires au niveau mondial, profitant ainsi à toute l’humanité.</w:t>
      </w:r>
    </w:p>
    <w:p w:rsidR="000A758E" w:rsidRPr="00A32880" w:rsidRDefault="000A758E" w:rsidP="000A758E">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pPr>
      <w:r w:rsidRPr="0065547E">
        <w:t>Les participants se sont accordés à reconnaître la nécessité d’améliorer la situation des paysans et des autres personnes travaillant dans les zones rurales. Certains ont fait observer en particulier que l’extrême pauvreté, la faim et la malnutrition touchaient essentiellement les zones rurales, alors même que les paysans contribuaient de façon non négligeable à la sécurité et à la souveraineté alimentaires. Plusieurs participants ont</w:t>
      </w:r>
      <w:r>
        <w:t xml:space="preserve"> également souligné que 75 à 80 % </w:t>
      </w:r>
      <w:r w:rsidRPr="0065547E">
        <w:t>des personnes touchées par la faim et la malnutrition travaillaient dans les zones rurales et que les paysans étaient victimes de nombreuses formes de discrimination. Il a en outre été souligné que les femmes étaient particulièrement vulnérables en raison de leur âge, de leur sexe, de leur statut matrimonial et de leur identité autochtone et paysanne. Il a également été noté que les paysans étaient, entre autres difficultés, confrontés au déni de leurs moyens de subsistance et à l’impossibilité de contrôler leurs moyens de production et de fixer le prix de vente de leurs produits. Les participants ont affirmé que ces problèmes portaient atteinte aux conditions de vie des paysans et des autres personnes travaillant dans les zones rurales.</w:t>
      </w:r>
    </w:p>
    <w:p w:rsidR="000A758E" w:rsidRPr="00A32880" w:rsidRDefault="000A758E" w:rsidP="000A758E">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pPr>
      <w:r w:rsidRPr="00926320">
        <w:t>Un certain nombre de délégations et de participants ont noté que les droits examinés existaient déjà en tant que droits de l’homme civils, politiques, économiques, sociaux et culturels. Ils ont noté que les droits économiques, sociaux et culturels tels que les droits à l’alimentation, à la santé, à l’eau et à l’éducation étaient régulièrement bafoués parce que les États n’avaient pas alloué suffisamment de ressources aux infrastructures destinées aux communautés paysannes. Ils ont également fait observer que les droits civils et politiques n’étaient pas respectés, étant donné que les paysans qui organisaient des mouvements de protestation étaient souvent emprisonnés ou placés en détention et soumis à des lois et à des politiques gouvernementales visant à restreindre leur liberté d’expression et d’association.</w:t>
      </w:r>
    </w:p>
    <w:p w:rsidR="000A758E" w:rsidRPr="00A32880" w:rsidRDefault="000A758E" w:rsidP="000A758E">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pPr>
      <w:r w:rsidRPr="00A32880">
        <w:t>Des participants se sont dits favorables au droit à l’eau et ont affirmé qu’il fallait élargir la portée de ce droit pour inclure l’eau utilisée dans la production agricole. Ils ont affirmé que ce droit existait déjà dans les pays développés, mais que les petits exploitants agricoles des pays en développement n’en jouissaient pas. D’autres États ont déclaré qu’il était nécessaire d’examiner de manière plus approfondie la terminologie déjà convenue au niveau international concernant le droit à l’eau et à l’assainissement.</w:t>
      </w:r>
    </w:p>
    <w:p w:rsidR="000A758E" w:rsidRPr="000948AF" w:rsidRDefault="000A758E" w:rsidP="000A758E">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pPr>
      <w:r w:rsidRPr="000948AF">
        <w:t xml:space="preserve">Un certain nombre de participants ont mis en lumière les différentes formes de discrimination dont faisaient l’objet les paysannes, les femmes travaillant dans les zones rurales n’ayant pas accès à l’éducation. Il a également été affirmé que si les femmes pouvaient accéder à l’éducation, elles pourraient jouer un rôle à part entière dans la société et mieux exercer leurs droits fondamentaux. Un participant a également fait observer qu’une partie du travail accompli par les paysannes était souvent invisible, ce qui limitait l’accès de ces femmes à l’éducation. Les participants ont en outre fait valoir que si les États souhaitaient améliorer l’accès à l’éducation, ils devaient régler les problèmes structurels en adoptant des politiques ciblées. Un autre participant a noté que les femmes étaient victimes d’une discrimination fondée sur les politiques foncières et les pratiques coutumières puisque, bien souvent, elles ne possédaient pas de terres ou étaient exclues par la coutume, qui était d’enregistrer les </w:t>
      </w:r>
      <w:r w:rsidRPr="000948AF">
        <w:lastRenderedPageBreak/>
        <w:t>titres de propriété au nom de l’homme de la famille. Le prix croissant des terres a également été mis en avant par un participant, qui a affirmé que c’était la raison pour laquelle de nombreux habitants de pays développés se voyaient dans l’impossibilité de devenir de petits exploitants agricoles et que les politiques gouvernementales entravaient la capacité de ces personnes à travailler dans les zones rurales. Plusieurs ONG ont affirmé que la déclaration devait accorder une place spécifique aux femmes, qui étaient les plus pauvres parmi les paysans touchés par l’insécurité alimentaire et qui étaient privées de leurs droits, notamment fonciers. Une ONG a souligné qu’il fallait que le projet de déclaration couvre les mineurs et les communautés vivant dans les zones d’exploitation minière et tienne compte des responsabilités et des obligations des États et des acteurs non étatiques à l’égard de ce groupe. Une autre ONG a affirmé qu’il fallait inclure dans la déclaration l’ obligation spécifique incombant aux États de respecter, protéger et réaliser les droits des paysans et des autres personnes travaillant dans les zones rurales, les obligations extraterritoriales des États en ce qui concerne ces droits, la distinction entre la réalisation progressive et la réalisation immédiate de certains de ces droits et les moyens de garantir le respect du principe de responsabilité.</w:t>
      </w:r>
    </w:p>
    <w:p w:rsidR="000A758E" w:rsidRDefault="000A758E" w:rsidP="000A758E">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pPr>
      <w:r w:rsidRPr="00EC68CC">
        <w:t xml:space="preserve">Certains participants ont également noté avec inquiétude que la définition de </w:t>
      </w:r>
      <w:r>
        <w:t>« </w:t>
      </w:r>
      <w:r w:rsidRPr="00EC68CC">
        <w:t>paysans</w:t>
      </w:r>
      <w:r>
        <w:t> »</w:t>
      </w:r>
      <w:r w:rsidRPr="00EC68CC">
        <w:t xml:space="preserve"> ne couvrait pas les migrants. Ils ont souligné la nécessité d’adopter des mesures de protection spéciales, notamment en ce qui concernait les femmes migrantes, qui étaient victimes de discrimination et dont l’accès aux terres et aux autres ressources était limité. Ils ont relevé que bien souvent, les migrants n’étaient pas protégés et n’avaient notamment pas accès aux services de santé, à l’eau et à l’assainissement.</w:t>
      </w:r>
    </w:p>
    <w:p w:rsidR="000A758E" w:rsidRPr="0046635A" w:rsidRDefault="000A758E" w:rsidP="000A758E">
      <w:pPr>
        <w:pStyle w:val="SingleTxt"/>
        <w:spacing w:after="0" w:line="120" w:lineRule="exact"/>
        <w:rPr>
          <w:sz w:val="10"/>
        </w:rPr>
      </w:pPr>
    </w:p>
    <w:p w:rsidR="000A758E" w:rsidRPr="0046635A" w:rsidRDefault="000A758E" w:rsidP="000A758E">
      <w:pPr>
        <w:pStyle w:val="SingleTxt"/>
        <w:spacing w:after="0" w:line="120" w:lineRule="exact"/>
        <w:rPr>
          <w:sz w:val="10"/>
        </w:rPr>
      </w:pPr>
    </w:p>
    <w:p w:rsidR="000A758E" w:rsidRDefault="000A758E" w:rsidP="000A758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347750">
        <w:t>V.</w:t>
      </w:r>
      <w:r w:rsidRPr="00347750">
        <w:tab/>
        <w:t xml:space="preserve">Première lecture du projet de déclaration des Nations </w:t>
      </w:r>
      <w:r w:rsidR="00E216C7">
        <w:br/>
      </w:r>
      <w:r w:rsidRPr="00347750">
        <w:t xml:space="preserve">Unies sur les droits des paysans et des autres personnes </w:t>
      </w:r>
      <w:r>
        <w:br/>
      </w:r>
      <w:r w:rsidRPr="00347750">
        <w:t>travaillant dans les zones rurales</w:t>
      </w:r>
    </w:p>
    <w:p w:rsidR="000A758E" w:rsidRPr="0046635A" w:rsidRDefault="000A758E" w:rsidP="000A758E">
      <w:pPr>
        <w:pStyle w:val="SingleTxt"/>
        <w:spacing w:after="0" w:line="120" w:lineRule="exact"/>
        <w:rPr>
          <w:sz w:val="10"/>
        </w:rPr>
      </w:pPr>
    </w:p>
    <w:p w:rsidR="000A758E" w:rsidRPr="0046635A" w:rsidRDefault="000A758E" w:rsidP="000A758E">
      <w:pPr>
        <w:pStyle w:val="SingleTxt"/>
        <w:spacing w:after="0" w:line="120" w:lineRule="exact"/>
        <w:rPr>
          <w:sz w:val="10"/>
        </w:rPr>
      </w:pPr>
    </w:p>
    <w:p w:rsidR="000A758E" w:rsidRPr="0046635A" w:rsidRDefault="000A758E" w:rsidP="000A758E">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pPr>
      <w:r w:rsidRPr="0046635A">
        <w:t>La Présidente-Rapporteuse a fait observer que le nouveau projet de déclaration était fondé sur plus de 50</w:t>
      </w:r>
      <w:r w:rsidR="00F20F45">
        <w:t> </w:t>
      </w:r>
      <w:r w:rsidRPr="0046635A">
        <w:t>conventions, pactes et instruments internationaux, notamment sur les normes et traités internationaux relatifs aux droits de l’homme élaborés par les mécanismes des Nations Unies relatifs aux droits de l’homme; les traités régionaux relatifs aux droits de l’homme; les résolutions de l’Assemblée générale et du Conseil des droits de l’homme; les instruments adoptés par la FAO et l’OIT; ainsi que d’autres traités internationaux, des documents finaux de conférences internationales, des rapports de l’ONU et des instruments élaborés par la société civile, les mouvements sociaux, le milieu universita</w:t>
      </w:r>
      <w:r>
        <w:t>ire et des experts.</w:t>
      </w:r>
    </w:p>
    <w:p w:rsidR="000A758E" w:rsidRPr="00445376" w:rsidRDefault="000A758E" w:rsidP="000A758E">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pPr>
      <w:r w:rsidRPr="00445376">
        <w:t>La Présidente-Rapporteuse a présenté les articles</w:t>
      </w:r>
      <w:r w:rsidR="00F20F45">
        <w:t> </w:t>
      </w:r>
      <w:r w:rsidRPr="00445376">
        <w:t>1 à 6 en faisant l’historique de chacun d’ eux et a invité les représentants des États et de la société civile et les autres participan</w:t>
      </w:r>
      <w:r>
        <w:t>ts à formuler des observations.</w:t>
      </w:r>
    </w:p>
    <w:p w:rsidR="000A758E" w:rsidRPr="00A23BF2" w:rsidRDefault="000A758E" w:rsidP="000A758E">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pPr>
      <w:r w:rsidRPr="00A23BF2">
        <w:t xml:space="preserve">De nombreux États ont réservé leur position en raison de la distribution tardive du projet de déclaration. Certains ont estimé qu’il était prématuré de présenter un projet pendant la session en cours. Des participants se sont dits préoccupés par la mise en œuvre de la déclaration et ont fait observer que différentes déclarations internationales relatives aux droits de l’homme n’étaient pas mises en application, même après avoir été signées et ratifiées par les États membres. Différents participants se sont opposés à l’emploi du terme </w:t>
      </w:r>
      <w:r>
        <w:t>« </w:t>
      </w:r>
      <w:r w:rsidRPr="00A23BF2">
        <w:t>paysans</w:t>
      </w:r>
      <w:r>
        <w:t> »</w:t>
      </w:r>
      <w:r w:rsidRPr="00A23BF2">
        <w:t xml:space="preserve">, qu’ils ont jugé désobligeant et irrespectueux, et ont demandé un examen plus approfondi de cette question. Certains participants ont affirmé que la définition donnée à l’article premier était étroite et ont proposé de l’élargir, tandis que d’autres ont estimé qu’il était bon de définir le terme </w:t>
      </w:r>
      <w:r>
        <w:lastRenderedPageBreak/>
        <w:t>« </w:t>
      </w:r>
      <w:r w:rsidRPr="00A23BF2">
        <w:t>paysans</w:t>
      </w:r>
      <w:r>
        <w:t> »</w:t>
      </w:r>
      <w:r w:rsidRPr="00A23BF2">
        <w:t xml:space="preserve"> à l’article premier de la déclaration mais que la définition proposée était trop large. Un État a indiqué qu’il serait difficile de faire des observations sur le texte étant donné que celui-ci n’avait été distribué qu’en anglais. Cette délégation a fait observer que le concept de </w:t>
      </w:r>
      <w:r>
        <w:t>« </w:t>
      </w:r>
      <w:r w:rsidRPr="00A23BF2">
        <w:t>paysans</w:t>
      </w:r>
      <w:r>
        <w:t> »</w:t>
      </w:r>
      <w:r w:rsidRPr="00A23BF2">
        <w:t xml:space="preserve"> n’existait pas dans son pays et que le terme employé dans les traductions en arabe à l’ONU qui correspondait à </w:t>
      </w:r>
      <w:r>
        <w:t>« </w:t>
      </w:r>
      <w:r w:rsidRPr="00A23BF2">
        <w:t>agriculteur</w:t>
      </w:r>
      <w:r>
        <w:t> »</w:t>
      </w:r>
      <w:r w:rsidRPr="00A23BF2">
        <w:t>, pouvait aussi désigner les grands exploitants agricoles.</w:t>
      </w:r>
    </w:p>
    <w:p w:rsidR="000A758E" w:rsidRPr="008474A1" w:rsidRDefault="000A758E" w:rsidP="000A758E">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pPr>
      <w:r w:rsidRPr="008474A1">
        <w:t xml:space="preserve">Une ONG a noté avec préoccupation que les Dalits, les locataires et les métayers n’étaient pas couverts par la définition du terme </w:t>
      </w:r>
      <w:r>
        <w:t>« </w:t>
      </w:r>
      <w:r w:rsidRPr="008474A1">
        <w:t>paysan</w:t>
      </w:r>
      <w:r>
        <w:t> »</w:t>
      </w:r>
      <w:r w:rsidRPr="008474A1">
        <w:t xml:space="preserve"> et a proposé de les y inclure dans le cadre de la </w:t>
      </w:r>
      <w:r>
        <w:t>déclaration.</w:t>
      </w:r>
    </w:p>
    <w:p w:rsidR="000A758E" w:rsidRPr="003332A7" w:rsidRDefault="000A758E" w:rsidP="000A758E">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pPr>
      <w:r w:rsidRPr="003332A7">
        <w:t xml:space="preserve">Plusieurs représentants ont demandé des précisions sur l’expression </w:t>
      </w:r>
      <w:r>
        <w:t>« </w:t>
      </w:r>
      <w:r w:rsidRPr="003332A7">
        <w:t>accès aux ressources naturelles</w:t>
      </w:r>
      <w:r>
        <w:t> »</w:t>
      </w:r>
      <w:r w:rsidRPr="003332A7">
        <w:t xml:space="preserve"> et sur sa signification et sa portée au regard du projet de déclaration. Une délégation a exprimé ses préoccupations quant à la définition des ressources naturelles et du droit des communautés sur ces ressources. Des représentants ont également souligné que l’article</w:t>
      </w:r>
      <w:r w:rsidR="00F20F45">
        <w:t> </w:t>
      </w:r>
      <w:r w:rsidRPr="003332A7">
        <w:t>2 de la déclaration faisait mention des obligations extraterritoriales des États, mais qu’il fallait préciser davantage les responsabilités des États et des acteurs non étatiques. Il a également été avancé que cette expression avait été explicitée, mais qu’il fallait définir les responsabilités propres aux entreprises internationales.</w:t>
      </w:r>
    </w:p>
    <w:p w:rsidR="000A758E" w:rsidRPr="003332A7" w:rsidRDefault="000A758E" w:rsidP="000A758E">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pPr>
      <w:r w:rsidRPr="003332A7">
        <w:t>Un certain nombre d’États ont demandé des informations complémentaires sur l’article 5 du projet de déclaration et le concept de souveraineté. Ils ont affirmé que le concept de souveraineté alimentaire faisait l’objet de discussions au sein des instances internationales et qu’il n’avait pas été totalement défini. Des ONG ont également déclaré que la sécurité alimentaire et la souveraineté alimentaire étaient deux concepts distincts qui ne devaient pas être employés indifféremment. Elles ont fait valoir que les deux expressions devaient être clairement définies et suffisamment explicitées. Une ONG a noté que l’article</w:t>
      </w:r>
      <w:r w:rsidR="00F20F45">
        <w:t> </w:t>
      </w:r>
      <w:r w:rsidRPr="003332A7">
        <w:t>5 pouvait être divisé en deux articles distincts, l’un portant sur la sécurité alimentaire, l’autre sur la souveraineté alimentaire. Une autre ONG a fait observer que la souveraineté alimentaire était, à son sens, directement liée au droit des peuples à disposer d’eux-mêmes et qu’elle devait donc occuper une place centrale dans les premiers articles du projet de déclaration. Certaines délégations ont affirmé que le libellé de l’article</w:t>
      </w:r>
      <w:r w:rsidR="00F20F45">
        <w:t> </w:t>
      </w:r>
      <w:r w:rsidRPr="003332A7">
        <w:t>5 devait être fondé sur les instruments relatifs aux droits de l’homme, notamment sur la Déclaration universelle des droits de l’</w:t>
      </w:r>
      <w:r>
        <w:t>homme.</w:t>
      </w:r>
    </w:p>
    <w:p w:rsidR="000A758E" w:rsidRPr="00A4760F" w:rsidRDefault="000A758E" w:rsidP="000A758E">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pPr>
      <w:r w:rsidRPr="00A4760F">
        <w:t xml:space="preserve">Une délégation a affirmé qu’il était préférable d’employer une terminologie ayant trait à la discrimination sexiste plutôt qu’à l’identité sexuelle, car celle-ci serait plus universellement acceptée. Une autre délégation a demandé des précisions sur les termes </w:t>
      </w:r>
      <w:r>
        <w:t>« </w:t>
      </w:r>
      <w:r w:rsidRPr="00A4760F">
        <w:t>subsistance</w:t>
      </w:r>
      <w:r>
        <w:t> »</w:t>
      </w:r>
      <w:r w:rsidRPr="00A4760F">
        <w:t xml:space="preserve"> et </w:t>
      </w:r>
      <w:r>
        <w:t>« </w:t>
      </w:r>
      <w:r w:rsidRPr="00A4760F">
        <w:t>petits exploitants</w:t>
      </w:r>
      <w:r>
        <w:t> »</w:t>
      </w:r>
      <w:r w:rsidRPr="00A4760F">
        <w:t xml:space="preserve"> et a proposé la reconnaissance du terme </w:t>
      </w:r>
      <w:r>
        <w:t>« </w:t>
      </w:r>
      <w:r w:rsidRPr="00A4760F">
        <w:t>justiciabilité</w:t>
      </w:r>
      <w:r>
        <w:t> »</w:t>
      </w:r>
      <w:r w:rsidRPr="00A4760F">
        <w:t xml:space="preserve"> et l’inclusion de principes relatifs aux droits de l’homme tels que l’interdiction de la discrimination ainsi que du droit au développement dans la déclaration.</w:t>
      </w:r>
    </w:p>
    <w:p w:rsidR="000A758E" w:rsidRDefault="000A758E" w:rsidP="000A758E">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pPr>
      <w:r w:rsidRPr="00C86487">
        <w:t>Plusieurs ONG, dont des représentants de paysans et d’autres personnes travaillant dans les zones rurales, se sont déclarés généralement favorables aux articles</w:t>
      </w:r>
      <w:r w:rsidR="00F20F45">
        <w:t> </w:t>
      </w:r>
      <w:r w:rsidRPr="00C86487">
        <w:t xml:space="preserve">1 à 6. Elles ont salué le caractère inclusif de la définition de </w:t>
      </w:r>
      <w:r>
        <w:t>« </w:t>
      </w:r>
      <w:r w:rsidRPr="00C86487">
        <w:t>paysan</w:t>
      </w:r>
      <w:r>
        <w:t> »</w:t>
      </w:r>
      <w:r w:rsidRPr="00C86487">
        <w:t xml:space="preserve"> et la reconnaissance de l’identité paysanne. Elles ont proposé de faire référence, dans la définition, à la relation spécifique des paysans avec la terre et au fait que les paysans n’étaient pas essentiellement intéressés par le profit et l’accumulation mais plutôt par leur subsistance et l’élargissement de leur famille. Elles ont souligné leur préférence pour l’emploi de la notion de d’</w:t>
      </w:r>
      <w:r>
        <w:t>« </w:t>
      </w:r>
      <w:r w:rsidRPr="00C86487">
        <w:t>agriculture paysanne</w:t>
      </w:r>
      <w:r>
        <w:t> »</w:t>
      </w:r>
      <w:r w:rsidRPr="00C86487">
        <w:t xml:space="preserve"> plutôt que d</w:t>
      </w:r>
      <w:r>
        <w:t>’« </w:t>
      </w:r>
      <w:r w:rsidRPr="00C86487">
        <w:t>agriculture à petite échelle</w:t>
      </w:r>
      <w:r>
        <w:t> »</w:t>
      </w:r>
      <w:r w:rsidRPr="00C86487">
        <w:t>. Elles se sont félicitées de l’inclusion du droit à la souveraineté alimentaire et ont proposé que ce droit soit séparé du droit à la souveraineté sur les ressources naturelles, ces deux questions étant distinctes l’une de l’autre. De même, elles ont fermement appuyé l’inclusion de l’article</w:t>
      </w:r>
      <w:r w:rsidR="00F20F45">
        <w:t> </w:t>
      </w:r>
      <w:r w:rsidRPr="00C86487">
        <w:t>6 sur le droit des femmes rurales, les femmes étant les plus en butte à la discrimination dans les zones rurales.</w:t>
      </w:r>
    </w:p>
    <w:p w:rsidR="000A758E" w:rsidRPr="006A7CC3" w:rsidRDefault="000A758E" w:rsidP="000A758E">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pPr>
      <w:r w:rsidRPr="006A7CC3">
        <w:lastRenderedPageBreak/>
        <w:t>La Présidente-Rapporteuse a présenté les articles</w:t>
      </w:r>
      <w:r w:rsidR="00111E91">
        <w:t> </w:t>
      </w:r>
      <w:r w:rsidRPr="006A7CC3">
        <w:t>7 à 14 en faisant l’historique de chacun d’eux et a invité les représentants des États et de la société civile et les autres participants à formuler des observations</w:t>
      </w:r>
      <w:r>
        <w:t>.</w:t>
      </w:r>
    </w:p>
    <w:p w:rsidR="000A758E" w:rsidRPr="00C763BF" w:rsidRDefault="000A758E" w:rsidP="000A758E">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pPr>
      <w:r w:rsidRPr="00C763BF">
        <w:t xml:space="preserve">Une ONG a demandé pourquoi, dans la version anglaise, on avait employé le mot </w:t>
      </w:r>
      <w:r>
        <w:t>« </w:t>
      </w:r>
      <w:r w:rsidRPr="00C763BF">
        <w:t>liberty</w:t>
      </w:r>
      <w:r>
        <w:t> »</w:t>
      </w:r>
      <w:r w:rsidRPr="00C763BF">
        <w:t xml:space="preserve"> à la place de </w:t>
      </w:r>
      <w:r>
        <w:t>« </w:t>
      </w:r>
      <w:r w:rsidRPr="00C763BF">
        <w:t>freedom</w:t>
      </w:r>
      <w:r>
        <w:t> »</w:t>
      </w:r>
      <w:r w:rsidRPr="00C763BF">
        <w:t>, tandis qu’une autre ONG a noté que les États devaient se doter de mécanismes efficaces de prévention des violations du droit à la vie. Une autre délégation a relevé que l’article 7 devait être lu à la lumière de l’unité territoriale et que les coutumes locales ne devaient pas servir à justifier les violations du droit national et du droit international.</w:t>
      </w:r>
    </w:p>
    <w:p w:rsidR="000A758E" w:rsidRPr="00B33DF8" w:rsidRDefault="000A758E" w:rsidP="000A758E">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pPr>
      <w:r w:rsidRPr="00136B7F">
        <w:t>Les participants ont souligné que l’article</w:t>
      </w:r>
      <w:r w:rsidR="00111E91">
        <w:t> </w:t>
      </w:r>
      <w:r w:rsidRPr="00136B7F">
        <w:t>9 du projet de déclaration ne définissait pas expressément la liberté de circulation des paysans nomades. Certains participants ont affirmé que les États devaient redoubler d’efforts pour promouvoir la mobilité transfrontalière et faciliter la libre circulation des troupeaux, tout en instituant les garanties voulues. Un participant a proposé de faire une place aux mécanismes de recours collectifs dans la déclaration. Les participants ont également souligné que les femmes des zones rurales devaient pouvoir accéder à la justice et aux mécanismes judiciaires.</w:t>
      </w:r>
    </w:p>
    <w:p w:rsidR="000A758E" w:rsidRPr="00B33DF8" w:rsidRDefault="000A758E" w:rsidP="000A758E">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pPr>
      <w:r w:rsidRPr="00B33DF8">
        <w:t>Plusieurs ONG, dont certaines représentant les paysans et autres personnes travaillant dans les zones rurales, ont pris note avec intérêt de l’ajout, dans le nouveau projet, d’articles relatifs aux droits civils et politiques. Elles ont affirmé que si ces droits étaient déjà reconnus comme étant des droits de l’homme, il était nécessaire de leur donner davantage de visibilité et de les adapter aux besoins et aux réalités propres des paysans. Elles ont fait observer que les paysans et les autres personnes travaillant dans les zones rurales continuaient de faire l’objet de violations multiples des droits civils et politiques qui étaient les leurs, en particulier de leurs droits à la liberté d’association et à la liberté de pensée, d’opinion et d’expression, et qu’ils n’avaient, bien souvent, pas accès à la justice. Elles ont affirmé que les chefs de mouvements paysans étaient continuellement victimes de violations des droits de l’homme et que le droit à la vie n’était pas respecté.</w:t>
      </w:r>
    </w:p>
    <w:p w:rsidR="000A758E" w:rsidRPr="00236AE5" w:rsidRDefault="000A758E" w:rsidP="000A758E">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pPr>
      <w:r w:rsidRPr="00236AE5">
        <w:t>Certains participants ont souligné que conformément à l’article</w:t>
      </w:r>
      <w:r w:rsidR="00111E91">
        <w:t> </w:t>
      </w:r>
      <w:r w:rsidRPr="00236AE5">
        <w:t>12 du projet de déclaration, il fallait donner aux paysans le droit de participer à l’élaboration des politiques et programmes gouvernementaux les touchant ainsi que les autres personnes travaillant dans les zones rurales. Ils ont affirmé que cela permettrait aux paysans et aux autres personnes travaillant dans les zones rurales d’accéder aisément à l’information et aux marchés. Un participant a signalé que les paysans et les autres personnes travaillant dans les zones rurales ne participaient pas à la vie politique et a recommandé que les États veillent à ce que la participation des paysans au processus décisionnel atteigne un taux d’au moins 50</w:t>
      </w:r>
      <w:r>
        <w:t> %.</w:t>
      </w:r>
    </w:p>
    <w:p w:rsidR="000A758E" w:rsidRPr="001279E0" w:rsidRDefault="000A758E" w:rsidP="000A758E">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pPr>
      <w:r w:rsidRPr="001279E0">
        <w:t>Un participant a fait observer que l’article</w:t>
      </w:r>
      <w:r w:rsidR="00111E91">
        <w:t> </w:t>
      </w:r>
      <w:r w:rsidRPr="001279E0">
        <w:t>13 était trop détaillé et irréaliste et a demandé à avoir rapidement des précisions sur la manière dont un acheteur entendait commercialiser les denrées agricoles achetées.</w:t>
      </w:r>
    </w:p>
    <w:p w:rsidR="000A758E" w:rsidRPr="001A7C97" w:rsidRDefault="000A758E" w:rsidP="000A758E">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pPr>
      <w:r w:rsidRPr="001A7C97">
        <w:t>Plusieurs participants ont exprimé leurs préoccupations concernant l’article</w:t>
      </w:r>
      <w:r w:rsidR="00111E91">
        <w:t> </w:t>
      </w:r>
      <w:r w:rsidRPr="001A7C97">
        <w:t>14, dont le libellé devrait être davantage conforme à la terminologie des droits de l’homme convenue au niveau international. Certains participants ont noté qu’il était nécessaire d’adopter des politiques gouvernementales d’indemnisation pour les paysans et les autres personnes travaillant dans les zones rurales victimes de violations des droits de l’</w:t>
      </w:r>
      <w:r>
        <w:t>homme.</w:t>
      </w:r>
    </w:p>
    <w:p w:rsidR="000A758E" w:rsidRPr="00DD2E7F" w:rsidRDefault="000A758E" w:rsidP="000A758E">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pPr>
      <w:r w:rsidRPr="00DD2E7F">
        <w:t>Le Vice-Président a présenté les articles</w:t>
      </w:r>
      <w:r w:rsidR="00111E91">
        <w:t> </w:t>
      </w:r>
      <w:r w:rsidRPr="00DD2E7F">
        <w:t>15 à 18 en faisant l’historique de chacun d’eux et a invité les représentants des États et de la société civile et les autres participants à formuler des observations</w:t>
      </w:r>
      <w:r>
        <w:t>.</w:t>
      </w:r>
    </w:p>
    <w:p w:rsidR="000A758E" w:rsidRDefault="000A758E" w:rsidP="000A758E">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pPr>
      <w:r w:rsidRPr="00DD2E7F">
        <w:lastRenderedPageBreak/>
        <w:t xml:space="preserve">Certaines délégations ont noté avec préoccupation que la Présidente-Rapporteuse affirmait que le groupe de travail avait une </w:t>
      </w:r>
      <w:r>
        <w:t>« </w:t>
      </w:r>
      <w:r w:rsidRPr="00DD2E7F">
        <w:t>opinion positive</w:t>
      </w:r>
      <w:r>
        <w:t> »</w:t>
      </w:r>
      <w:r w:rsidRPr="00DD2E7F">
        <w:t xml:space="preserve"> du projet de déclaration, ce qui selon elles donnait une image inexacte des débats. Elles ont également soulevé la question du fondement juridique des nouveaux droits énoncés dans le projet. Elles ont demandé de plus amples informations concernant l’organisation des travaux de la deuxième session et ont prié le Vice-Président de donner des précisions sur les résultats escomptés de la session. Le Vice-Président a répondu à ces préoccupations en expliquant que l’objectif de la deuxième session était d’échanger des vues et des informations et que le projet de texte ne serait pas examiné ligne par ligne pendant la session. Certains participants ont dit considérer le processus en cours comme une première lecture du projet de déclaration. Une délégation a demandé un complément d’information sur l’expression </w:t>
      </w:r>
      <w:r>
        <w:t>« </w:t>
      </w:r>
      <w:r w:rsidRPr="00DD2E7F">
        <w:t>créer un environnement favorable</w:t>
      </w:r>
      <w:r>
        <w:t> »</w:t>
      </w:r>
      <w:r w:rsidRPr="00DD2E7F">
        <w:t xml:space="preserve"> et sur les obligations correspondantes incombant aux États, énoncées à l’article</w:t>
      </w:r>
      <w:r w:rsidR="00111E91">
        <w:t> </w:t>
      </w:r>
      <w:r w:rsidRPr="00DD2E7F">
        <w:t>15. Une délégation a déclaré qu’elle aurait besoin de consulter des experts du travail au sujet des articles</w:t>
      </w:r>
      <w:r w:rsidR="00111E91">
        <w:t> </w:t>
      </w:r>
      <w:r w:rsidRPr="00DD2E7F">
        <w:t>15, 16 et 18, et a demandé si l’Organisation international</w:t>
      </w:r>
      <w:r>
        <w:t>e</w:t>
      </w:r>
      <w:r w:rsidRPr="00DD2E7F">
        <w:t xml:space="preserve"> du Travail ne serait pas un cadre plus approprié que le Conseil des droits de l’homme pour ce débat. Une ONG s’est déclarée favorable à l’article</w:t>
      </w:r>
      <w:r w:rsidR="00111E91">
        <w:t> </w:t>
      </w:r>
      <w:r w:rsidRPr="00DD2E7F">
        <w:t>15 de la déclaration et a recommandé qu’un accent spécifique soit mis sur les travailleurs du secteur agricole, qui étaient souvent victimes de la traite et exploités. Une autre délégation a noté qu’il importait d’ajouter des références au travail forcé et à la servitude afin de contribuer à la lutte contre l’exploitation.</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 xml:space="preserve">Une délégation a estimé qu’il était nécessaire d’arrêter une définition claire du terme </w:t>
      </w:r>
      <w:r>
        <w:rPr>
          <w:lang w:val="fr-FR"/>
        </w:rPr>
        <w:t>« </w:t>
      </w:r>
      <w:r w:rsidRPr="008E483F">
        <w:rPr>
          <w:lang w:val="fr-FR"/>
        </w:rPr>
        <w:t>paysans</w:t>
      </w:r>
      <w:r>
        <w:rPr>
          <w:lang w:val="fr-FR"/>
        </w:rPr>
        <w:t> »</w:t>
      </w:r>
      <w:r w:rsidRPr="008E483F">
        <w:rPr>
          <w:lang w:val="fr-FR"/>
        </w:rPr>
        <w:t xml:space="preserve"> pour que les politiques gouvernementales puissent se concentrer sur la mise en place d’un cadre en vue de la mise en œuvre de l’article</w:t>
      </w:r>
      <w:r w:rsidR="00111E91">
        <w:rPr>
          <w:lang w:val="fr-FR"/>
        </w:rPr>
        <w:t> </w:t>
      </w:r>
      <w:r w:rsidRPr="008E483F">
        <w:rPr>
          <w:lang w:val="fr-FR"/>
        </w:rPr>
        <w:t>16. Un représentant a fait valoir que l’article</w:t>
      </w:r>
      <w:r w:rsidR="00B171D7">
        <w:rPr>
          <w:lang w:val="fr-FR"/>
        </w:rPr>
        <w:t> </w:t>
      </w:r>
      <w:r w:rsidRPr="008E483F">
        <w:rPr>
          <w:lang w:val="fr-FR"/>
        </w:rPr>
        <w:t>16 pourrait être rapproché d’autres articles concernant le droit à la santé et a demandé s’il était nécessaire d’adopter des articles distincts. Une ONG a répondu à cette question en soulignant qu’il était utile d’adopter un article sur le droit à la sécurité et la santé au travail parce que les environnements de travail des paysans et des autres personnes travaillant dans les zones rurales étaient parmi les plus dangereux.</w:t>
      </w:r>
    </w:p>
    <w:p w:rsidR="000A758E" w:rsidRPr="006D2201"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Une délégation a fait observer que le libellé de l’article</w:t>
      </w:r>
      <w:r w:rsidR="00B171D7">
        <w:rPr>
          <w:lang w:val="fr-FR"/>
        </w:rPr>
        <w:t> </w:t>
      </w:r>
      <w:r w:rsidRPr="008E483F">
        <w:rPr>
          <w:lang w:val="fr-FR"/>
        </w:rPr>
        <w:t xml:space="preserve">17 devait mettre davantage l’accent sur la </w:t>
      </w:r>
      <w:r w:rsidRPr="008E483F">
        <w:rPr>
          <w:bCs/>
          <w:lang w:val="fr-FR"/>
        </w:rPr>
        <w:t>prise en compte de la problématique hommes-</w:t>
      </w:r>
      <w:r w:rsidRPr="00C37E62">
        <w:t>femmes</w:t>
      </w:r>
      <w:r w:rsidRPr="008E483F">
        <w:rPr>
          <w:lang w:val="fr-FR"/>
        </w:rPr>
        <w:t>. Elle a en outre fait part de ses inquiétudes concernant la fixation des prix et son incidence sur les obligations imposées aux États. Une ONG a appuyé l’article</w:t>
      </w:r>
      <w:r w:rsidR="00B171D7">
        <w:rPr>
          <w:lang w:val="fr-FR"/>
        </w:rPr>
        <w:t> </w:t>
      </w:r>
      <w:r w:rsidRPr="008E483F">
        <w:rPr>
          <w:lang w:val="fr-FR"/>
        </w:rPr>
        <w:t xml:space="preserve">17, notant que le texte devait inclure autant d’éléments que possible concernant la nutrition et le droit à une alimentation saine. Plusieurs participants ont demandé des précisions concernant </w:t>
      </w:r>
      <w:r w:rsidRPr="006D2201">
        <w:rPr>
          <w:lang w:val="fr-FR"/>
        </w:rPr>
        <w:t>l’expression « aliments culturellement acceptables », notamment sur ses sources.</w:t>
      </w:r>
    </w:p>
    <w:p w:rsidR="000A758E" w:rsidRPr="006D2201"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6D2201">
        <w:rPr>
          <w:lang w:val="fr-FR"/>
        </w:rPr>
        <w:t xml:space="preserve">Plusieurs États ont exprimé des préoccupations concernant le libellé de l’article 18 et fait observer que le texte proposé au sujet des marchés pouvait laisser penser que le Conseil des droits de l’homme outrepassait son mandat. Une autre </w:t>
      </w:r>
      <w:r w:rsidRPr="006D2201">
        <w:t>délégation</w:t>
      </w:r>
      <w:r w:rsidRPr="006D2201">
        <w:rPr>
          <w:lang w:val="fr-FR"/>
        </w:rPr>
        <w:t xml:space="preserve"> a aussi exprimé des préoccupations concernant le terme « système de commercialisation communautaire » et a demandé des éclaircissements sur le texte. Deux délégations ont marqué leur appui à l’article</w:t>
      </w:r>
      <w:r w:rsidR="006D2201">
        <w:rPr>
          <w:lang w:val="fr-FR"/>
        </w:rPr>
        <w:t> </w:t>
      </w:r>
      <w:r w:rsidRPr="006D2201">
        <w:rPr>
          <w:lang w:val="fr-FR"/>
        </w:rPr>
        <w:t>18 et ont noté qu’il était important que cet article soit maintenu dans le projet de déclaration car les paysans et les autres personnes travaillant dans les zones rurales devaient pouvoir vendre leurs produits à des prix qui leur permettent d’avoir un niveau de vie suffisant.</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Plusieurs ONG, notamment des organisations représentant les paysans et les autres personnes travaillant dans les zones rurales, ont insisté sur l’importance des articles</w:t>
      </w:r>
      <w:r w:rsidR="006D2201">
        <w:rPr>
          <w:lang w:val="fr-FR"/>
        </w:rPr>
        <w:t> </w:t>
      </w:r>
      <w:r w:rsidRPr="008E483F">
        <w:rPr>
          <w:lang w:val="fr-FR"/>
        </w:rPr>
        <w:t xml:space="preserve">15 à 18. Elles ont souligné qu’ils portaient sur des droits économiques, sociaux et culturels certes déjà reconnus mais qui devaient bénéficier d’une plus grande visibilité et être appliqués aux besoins et aux réalités propres des paysans et des autres personnes travaillant dans les zones rurales. Plusieurs participants ont souligné l’importance du droit à l’alimentation, car les paysans et les autres personnes </w:t>
      </w:r>
      <w:r w:rsidRPr="008E483F">
        <w:rPr>
          <w:lang w:val="fr-FR"/>
        </w:rPr>
        <w:lastRenderedPageBreak/>
        <w:t>travaillant dans les zones rurales représentaient 80</w:t>
      </w:r>
      <w:r>
        <w:rPr>
          <w:lang w:val="fr-FR"/>
        </w:rPr>
        <w:t> </w:t>
      </w:r>
      <w:r w:rsidRPr="008E483F">
        <w:rPr>
          <w:lang w:val="fr-FR"/>
        </w:rPr>
        <w:t>% des personnes souffrant de la faim dans le monde. Certains ont fait observer que l’élément cl</w:t>
      </w:r>
      <w:r>
        <w:rPr>
          <w:lang w:val="fr-FR"/>
        </w:rPr>
        <w:t>ef</w:t>
      </w:r>
      <w:r w:rsidRPr="008E483F">
        <w:rPr>
          <w:lang w:val="fr-FR"/>
        </w:rPr>
        <w:t xml:space="preserve"> du droit à l’alimentation des paysans devait être le droit de produire de la nourriture, et que cet aspect devait être renforcé dans la rédaction de l’article. Plusieurs participants se sont félicités de l’inclusion dans la déclaration du droit à un revenu décent. Ils ont souligné que l’un des principaux obstacles à un revenu décent pour les paysans résidait dans le fait que ces derniers n’étaient pas en mesure de vendre leur production à un prix équitable. Par conséquent, ils ont proposé d’inclure certaines obligations imposées aux États relatives à la nécessité de réglementer les marchés alimentaires afin de garantir un juste prix pour la production des paysans, ainsi que de lutter contre les abus de pouvoir des intermédiaires, le dumping des produits agricoles et les monopoles des sociétés transnationales. Ils ont en outre souligné qu’il fallait ajouter des dispositions relatives à la nécessité pour les États de favoriser l’accès de la production paysanne aux marchés locaux et de cesser d’appliquer à ces produits les mêmes normes et règlements que ceux appliqués à l’agriculture industrielle. Certains participants ont aussi mis en avant la question des subventions et des aides publiques et ont proposé d’inclure une obligation pour les États de donner la priorité aux paysans dans l’attribution de celles-ci. Le problème du revenu décent pour les travailleurs agricoles et de la mise en œuvre lacunaire des instruments existants, notamment des instruments de l’OIT, a également été souligné par plusieurs participants qui ont fait observer que le libellé de l’article devait être renforcé à cet égard.</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Le Vice-Président a présenté les articles 19 à 23 en faisant l’historique de chacun et a invité les représentants des États et de la société civile et tous les autres participants à formuler des observations.</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Plusieurs délégations ont noté que l’article 19 devrait être examiné dans d’autres instances des Nations Unies et que de nombreux aspects de cet article appelaient des éclaircissements. Une délégation a demandé des précisions sur les sources de l’</w:t>
      </w:r>
      <w:r>
        <w:rPr>
          <w:lang w:val="fr-FR"/>
        </w:rPr>
        <w:t>article </w:t>
      </w:r>
      <w:r w:rsidRPr="008E483F">
        <w:rPr>
          <w:lang w:val="fr-FR"/>
        </w:rPr>
        <w:t xml:space="preserve">19. D’autres ont noté qu’il était important de reconnaître les droits qui y étaient visés, en s’appuyant sur les normes internationales déjà reconnues, comme celles relatives à la gouvernance responsable des terres, de la pêche et des forêts. Un certain nombre d’ONG ont soutenu que, bien que le droit à la terre soit considéré comme un droit </w:t>
      </w:r>
      <w:r>
        <w:rPr>
          <w:lang w:val="fr-FR"/>
        </w:rPr>
        <w:t>« </w:t>
      </w:r>
      <w:r w:rsidRPr="008E483F">
        <w:rPr>
          <w:lang w:val="fr-FR"/>
        </w:rPr>
        <w:t xml:space="preserve">nouveau », il était déjà énoncé dans d’autres instruments internationaux comme la </w:t>
      </w:r>
      <w:r w:rsidRPr="008E483F">
        <w:rPr>
          <w:bCs/>
          <w:lang w:val="fr-FR"/>
        </w:rPr>
        <w:t>Déclaration sur le progrès et le développement dans le domaine social</w:t>
      </w:r>
      <w:r w:rsidRPr="008E483F">
        <w:rPr>
          <w:lang w:val="fr-FR"/>
        </w:rPr>
        <w:t>, et que ce droit devait être maintenu dans la déclaration parce que les paysans et les autres personnes travaillant dans les zones rurales avaient une relation culturelle particulière avec leurs terres et leurs territoires. Elles ont en outre noté que les entreprises étaient en mesure de faire valoir leurs droits à la terre et à la propriété privée, qui étaient refusés aux paysans et aux autres personnes travaillant dans les zones rurales.</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Une délégation a exprimé des préoccupations au sujet de l’article</w:t>
      </w:r>
      <w:r w:rsidR="006D2201">
        <w:rPr>
          <w:lang w:val="fr-FR"/>
        </w:rPr>
        <w:t> </w:t>
      </w:r>
      <w:r w:rsidRPr="008E483F">
        <w:rPr>
          <w:lang w:val="fr-FR"/>
        </w:rPr>
        <w:t xml:space="preserve">20 et a demandé des précisions concernant le terme </w:t>
      </w:r>
      <w:r>
        <w:rPr>
          <w:lang w:val="fr-FR"/>
        </w:rPr>
        <w:t>« </w:t>
      </w:r>
      <w:r w:rsidRPr="008E483F">
        <w:rPr>
          <w:lang w:val="fr-FR"/>
        </w:rPr>
        <w:t xml:space="preserve">dommages </w:t>
      </w:r>
      <w:r w:rsidRPr="00C37E62">
        <w:t>environnementaux</w:t>
      </w:r>
      <w:r w:rsidRPr="008E483F">
        <w:rPr>
          <w:lang w:val="fr-FR"/>
        </w:rPr>
        <w:t xml:space="preserve"> transfrontières » et les incidences de ce concept sur les obligations des États.</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Plusieurs délégations ont exprimé des préoccupations au sujet de l’article</w:t>
      </w:r>
      <w:r>
        <w:rPr>
          <w:lang w:val="fr-FR"/>
        </w:rPr>
        <w:t> </w:t>
      </w:r>
      <w:r w:rsidRPr="008E483F">
        <w:rPr>
          <w:lang w:val="fr-FR"/>
        </w:rPr>
        <w:t xml:space="preserve">22, notant qu’il concernait un </w:t>
      </w:r>
      <w:r>
        <w:rPr>
          <w:lang w:val="fr-FR"/>
        </w:rPr>
        <w:t>« </w:t>
      </w:r>
      <w:r w:rsidRPr="008E483F">
        <w:rPr>
          <w:lang w:val="fr-FR"/>
        </w:rPr>
        <w:t xml:space="preserve">nouveau » droit, qui devrait être </w:t>
      </w:r>
      <w:r w:rsidRPr="00C37E62">
        <w:t>examiné</w:t>
      </w:r>
      <w:r w:rsidRPr="008E483F">
        <w:rPr>
          <w:lang w:val="fr-FR"/>
        </w:rPr>
        <w:t xml:space="preserve"> dans le cadre d’autres instances des Nations Unies. Elles ont noté que le droit proposé n’était pas conforme à bon nombre de politiques nationales et d’accords commerciaux. Certaines délégations ont aussi recommandé que la question des droits sur les semences soit examinée par l’Organisation mondiale de la propriété intellectuelle, plutôt que par le Conseil des droits de l’homme. D’autres délégations ont fait observer qu’il était important d’inclure ce droit dans la déclaration, même si le libellé pouvait être adapté pour tenir compte des autres instruments internationaux. Plusieurs ONG ont fait valoir que l’article</w:t>
      </w:r>
      <w:r w:rsidR="006D2201">
        <w:rPr>
          <w:lang w:val="fr-FR"/>
        </w:rPr>
        <w:t> </w:t>
      </w:r>
      <w:r w:rsidRPr="008E483F">
        <w:rPr>
          <w:lang w:val="fr-FR"/>
        </w:rPr>
        <w:t>22 était un article cl</w:t>
      </w:r>
      <w:r>
        <w:rPr>
          <w:lang w:val="fr-FR"/>
        </w:rPr>
        <w:t>ef</w:t>
      </w:r>
      <w:r w:rsidRPr="008E483F">
        <w:rPr>
          <w:lang w:val="fr-FR"/>
        </w:rPr>
        <w:t xml:space="preserve"> du projet de déclaration car les paysans et les autres personnes travaillant dans les zones rurales étaient soumis à des pressions </w:t>
      </w:r>
      <w:r w:rsidRPr="008E483F">
        <w:rPr>
          <w:lang w:val="fr-FR"/>
        </w:rPr>
        <w:lastRenderedPageBreak/>
        <w:t>exercées par des entreprises les incitant à utiliser des semences génétiquement modifiées plutôt que celles qu’ils utilisaient traditionnellement. Elles ont en outre souligné que les lois sur les brevets étaient instrumentalisées pour obliger les paysans et les petits agriculteurs à utiliser les semences vendues par certaines sociétés.</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Plusieurs délégations ont fait observer que le droit énoncé à l’article</w:t>
      </w:r>
      <w:r w:rsidR="006D2201">
        <w:rPr>
          <w:lang w:val="fr-FR"/>
        </w:rPr>
        <w:t> </w:t>
      </w:r>
      <w:r w:rsidRPr="008E483F">
        <w:rPr>
          <w:lang w:val="fr-FR"/>
        </w:rPr>
        <w:t xml:space="preserve">23 était considéré comme un </w:t>
      </w:r>
      <w:r>
        <w:rPr>
          <w:lang w:val="fr-FR"/>
        </w:rPr>
        <w:t>« </w:t>
      </w:r>
      <w:r w:rsidRPr="008E483F">
        <w:rPr>
          <w:lang w:val="fr-FR"/>
        </w:rPr>
        <w:t xml:space="preserve">nouveau » droit et qu’elles devraient par conséquent consulter leurs gouvernements respectifs à ce sujet. Certaines ont également soutenu que le droit à la diversité biologique n’était pas une question relevant du Conseil des droits de l’homme. D’autres ont fait valoir que ce droit était important pour les paysans et les autres personnes </w:t>
      </w:r>
      <w:r w:rsidRPr="00C37E62">
        <w:t>travaillant</w:t>
      </w:r>
      <w:r w:rsidRPr="008E483F">
        <w:rPr>
          <w:lang w:val="fr-FR"/>
        </w:rPr>
        <w:t xml:space="preserve"> dans les zones rurales.</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Un certain nombre d’ONG, notamment des organisations représentant les paysans et les autres personnes travaillant dans les zones rurales, ont salué les nouveaux projets d’articles</w:t>
      </w:r>
      <w:r w:rsidR="006D2201">
        <w:rPr>
          <w:lang w:val="fr-FR"/>
        </w:rPr>
        <w:t> </w:t>
      </w:r>
      <w:r w:rsidRPr="008E483F">
        <w:rPr>
          <w:lang w:val="fr-FR"/>
        </w:rPr>
        <w:t xml:space="preserve">19 à 23 et souligné que ces articles étaient probablement les </w:t>
      </w:r>
      <w:r w:rsidRPr="00C37E62">
        <w:t>plus</w:t>
      </w:r>
      <w:r w:rsidRPr="008E483F">
        <w:rPr>
          <w:lang w:val="fr-FR"/>
        </w:rPr>
        <w:t xml:space="preserve"> importants de l’ensemble de la déclaration. Elles ont souligné en particulier que le droit à la terre et le droit aux semences étaient essentiels pour les paysans et les autres personnes travaillant dans les zones rurales. Elles ont insisté sur le fait que de nombreux éléments figurant dans ces articles n’étaient en fait pas nouveaux, mais repris d’autres instruments internationaux existants. S’agissant du droit à la terre, plusieurs d’entre elles ont fait observer que l’accès à la terre et la </w:t>
      </w:r>
      <w:r w:rsidRPr="008E483F">
        <w:rPr>
          <w:bCs/>
          <w:lang w:val="fr-FR"/>
        </w:rPr>
        <w:t>sécurité des droits fonciers</w:t>
      </w:r>
      <w:r w:rsidRPr="008E483F">
        <w:rPr>
          <w:b/>
          <w:bCs/>
          <w:lang w:val="fr-FR"/>
        </w:rPr>
        <w:t xml:space="preserve"> </w:t>
      </w:r>
      <w:r w:rsidRPr="008E483F">
        <w:rPr>
          <w:lang w:val="fr-FR"/>
        </w:rPr>
        <w:t>étaient les éléments cl</w:t>
      </w:r>
      <w:r>
        <w:rPr>
          <w:lang w:val="fr-FR"/>
        </w:rPr>
        <w:t>ef</w:t>
      </w:r>
      <w:r w:rsidRPr="008E483F">
        <w:rPr>
          <w:lang w:val="fr-FR"/>
        </w:rPr>
        <w:t>s qui devaient être reconnus. Elles se sont félicitées des efforts visant à utiliser un libellé approuvé mais ont mis en avant certains éléments importants qui avaient été perdus dans le processus et qui devaient être réintroduits, soulignant en particulier la réforme agraire, qui, ont-elles rappelé, était appuyée dans une certaine mesure par plusieurs instruments des Nations Unies relatifs aux droits de l’homme, mais aussi la fonction sociale de la terre, l’interdiction des latifundia et l’obligation imposée aux États de prendre des mesures pour prévenir la concentration de la propriété des terres. Une ONG a proposé d’inclure des obligations extraterritoriales spécifiques, ainsi que l’obligation de réglementer les acteurs non étatiques.</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Le Vice-Président a présenté les articles</w:t>
      </w:r>
      <w:r w:rsidR="006D2201">
        <w:rPr>
          <w:lang w:val="fr-FR"/>
        </w:rPr>
        <w:t> </w:t>
      </w:r>
      <w:r w:rsidRPr="008E483F">
        <w:rPr>
          <w:lang w:val="fr-FR"/>
        </w:rPr>
        <w:t>24 à 30 en faisant l’historique de chacun et a invité les représentants des États et de la société civile et tous les autres participants à formuler des</w:t>
      </w:r>
      <w:r>
        <w:rPr>
          <w:lang w:val="fr-FR"/>
        </w:rPr>
        <w:t xml:space="preserve"> observations</w:t>
      </w:r>
      <w:r w:rsidRPr="008E483F">
        <w:rPr>
          <w:lang w:val="fr-FR"/>
        </w:rPr>
        <w:t>.</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Plusieurs délégations ont exprimé des préoccupations à propos de l’article</w:t>
      </w:r>
      <w:r w:rsidR="006D2201">
        <w:rPr>
          <w:lang w:val="fr-FR"/>
        </w:rPr>
        <w:t> </w:t>
      </w:r>
      <w:r w:rsidRPr="008E483F">
        <w:rPr>
          <w:lang w:val="fr-FR"/>
        </w:rPr>
        <w:t xml:space="preserve">24 et ont demandé des éclaircissements concernant les termes </w:t>
      </w:r>
      <w:r>
        <w:rPr>
          <w:lang w:val="fr-FR"/>
        </w:rPr>
        <w:t>« </w:t>
      </w:r>
      <w:r w:rsidRPr="008E483F">
        <w:rPr>
          <w:lang w:val="fr-FR"/>
        </w:rPr>
        <w:t xml:space="preserve">système </w:t>
      </w:r>
      <w:r w:rsidRPr="00C37E62">
        <w:t>coutumier</w:t>
      </w:r>
      <w:r w:rsidRPr="008E483F">
        <w:rPr>
          <w:lang w:val="fr-FR"/>
        </w:rPr>
        <w:t xml:space="preserve"> de gestion de l’eau</w:t>
      </w:r>
      <w:r>
        <w:rPr>
          <w:lang w:val="fr-FR"/>
        </w:rPr>
        <w:t> »</w:t>
      </w:r>
      <w:r w:rsidRPr="008E483F">
        <w:rPr>
          <w:lang w:val="fr-FR"/>
        </w:rPr>
        <w:t xml:space="preserve">, </w:t>
      </w:r>
      <w:r>
        <w:rPr>
          <w:lang w:val="fr-FR"/>
        </w:rPr>
        <w:t>« </w:t>
      </w:r>
      <w:r w:rsidRPr="008E483F">
        <w:rPr>
          <w:lang w:val="fr-FR"/>
        </w:rPr>
        <w:t>utilisation coutumière de l’eau</w:t>
      </w:r>
      <w:r>
        <w:rPr>
          <w:lang w:val="fr-FR"/>
        </w:rPr>
        <w:t> »</w:t>
      </w:r>
      <w:r w:rsidRPr="008E483F">
        <w:rPr>
          <w:lang w:val="fr-FR"/>
        </w:rPr>
        <w:t xml:space="preserve"> et </w:t>
      </w:r>
      <w:r>
        <w:rPr>
          <w:lang w:val="fr-FR"/>
        </w:rPr>
        <w:t>« </w:t>
      </w:r>
      <w:r w:rsidRPr="008E483F">
        <w:rPr>
          <w:lang w:val="fr-FR"/>
        </w:rPr>
        <w:t>utilisation de l’eau à des fins autres qu’un usage personnel</w:t>
      </w:r>
      <w:r>
        <w:rPr>
          <w:lang w:val="fr-FR"/>
        </w:rPr>
        <w:t> »</w:t>
      </w:r>
      <w:r w:rsidRPr="008E483F">
        <w:rPr>
          <w:lang w:val="fr-FR"/>
        </w:rPr>
        <w:t>. Une délégation a noté que le libellé de l’article</w:t>
      </w:r>
      <w:r>
        <w:rPr>
          <w:lang w:val="fr-FR"/>
        </w:rPr>
        <w:t> </w:t>
      </w:r>
      <w:r w:rsidRPr="008E483F">
        <w:rPr>
          <w:lang w:val="fr-FR"/>
        </w:rPr>
        <w:t xml:space="preserve">24 pouvait être considéré comme discriminatoire car il faisait référence uniquement à des groupes défavorisés. Des précisions ont été demandées sur le terme </w:t>
      </w:r>
      <w:r>
        <w:rPr>
          <w:lang w:val="fr-FR"/>
        </w:rPr>
        <w:t>« </w:t>
      </w:r>
      <w:r w:rsidRPr="008E483F">
        <w:rPr>
          <w:lang w:val="fr-FR"/>
        </w:rPr>
        <w:t>empoisonnement des eaux</w:t>
      </w:r>
      <w:r>
        <w:rPr>
          <w:lang w:val="fr-FR"/>
        </w:rPr>
        <w:t> »</w:t>
      </w:r>
      <w:r w:rsidRPr="008E483F">
        <w:rPr>
          <w:lang w:val="fr-FR"/>
        </w:rPr>
        <w:t>. D’autres délégations ont estimé qu’il était important d’inclure ce droit dans la déclaration. Une délégation a indiqué qu’elle appuyait le droit à l’eau et à l’assainissement mais qu’elle tenait à ce que le libellé utilisé soit conforme à la législation nationale. Un certain nombre d’ONG ont souligné qu’il importait de prendre en compte les besoins particuliers des paysans, notamment en matière d’eau et d’irrigation. Elles ont fait valoir que l’eau devait être gérée au niveau local, car les paysans et les petits intervenants comprenaient les effets d’une mauvaise utilisation de cette ressource. Elles ont également noté que les paysans et les autres personnes travaillant dans les zones rurales voulaient une solution juste et durable, et considéraient que les anciens systèmes de distribution de l’eau étaient inéquitables et obsolètes.</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 xml:space="preserve">Deux ONG ont fait remarquer que le droit à la sécurité sociale n’était pas réservé aux personnes qui vivaient dans les zones urbaines; il convenait </w:t>
      </w:r>
      <w:r w:rsidRPr="00C37E62">
        <w:t>d’adopter</w:t>
      </w:r>
      <w:r w:rsidRPr="008E483F">
        <w:rPr>
          <w:lang w:val="fr-FR"/>
        </w:rPr>
        <w:t xml:space="preserve"> des mesures pour veiller à ce que les femmes, les personnes âgées et les personnes affectées par les </w:t>
      </w:r>
      <w:r w:rsidRPr="008E483F">
        <w:rPr>
          <w:lang w:val="fr-FR"/>
        </w:rPr>
        <w:lastRenderedPageBreak/>
        <w:t>changements climatiques soient également protégées. Certaines délégations se sont dites en faveur de l’inclusion du droit à la sécurité sociale car ce droit était essentiel pour les paysans et les autres personnes travaillant dans les zones rurales. Une délégation a noté que les lois nationales variaient d’un pays à l’autre et qu’il n’existait pas de système de sécurité sociale universellement reconnu.</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Une délégation a noté que le droit à la santé était déjà reconnu et que ce droit, comme d’autres droits énoncés dans la déclaration, était déjà bien défini. Un certain nombre d’ONG, jugeant qu’il était nécessaire de faire référence aux effets nocifs des produits chimiques et autres pesticides, se sont prononcées en faveur de l’article</w:t>
      </w:r>
      <w:r>
        <w:rPr>
          <w:lang w:val="fr-FR"/>
        </w:rPr>
        <w:t> </w:t>
      </w:r>
      <w:r w:rsidRPr="008E483F">
        <w:rPr>
          <w:lang w:val="fr-FR"/>
        </w:rPr>
        <w:t xml:space="preserve">26. Elles ont en outre insisté sur les effets négatifs des produits chimiques sur les paysans et les autres </w:t>
      </w:r>
      <w:r w:rsidRPr="00C37E62">
        <w:t>personnes</w:t>
      </w:r>
      <w:r w:rsidRPr="008E483F">
        <w:rPr>
          <w:lang w:val="fr-FR"/>
        </w:rPr>
        <w:t xml:space="preserve"> travaillant dans les zones rurales, particulièrement en ce qui concernait les droits des femmes liés à la procréation.</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Il a été proposé d’inclure l’obligation spécifique imposée aux États de prendre des mesures pour limiter l’utilisation de produits chimiques dans l’agriculture. L’importance de l’article</w:t>
      </w:r>
      <w:r w:rsidR="00932A3B">
        <w:rPr>
          <w:lang w:val="fr-FR"/>
        </w:rPr>
        <w:t> </w:t>
      </w:r>
      <w:r w:rsidRPr="008E483F">
        <w:rPr>
          <w:lang w:val="fr-FR"/>
        </w:rPr>
        <w:t xml:space="preserve">25 pour la sécurité sociale a également été soulignée et </w:t>
      </w:r>
      <w:r w:rsidRPr="00C37E62">
        <w:t>son</w:t>
      </w:r>
      <w:r w:rsidRPr="008E483F">
        <w:rPr>
          <w:lang w:val="fr-FR"/>
        </w:rPr>
        <w:t xml:space="preserve"> inclusion dans le nouveau projet a été accueillie favorablement. Plusieurs participants ont proposé d’inclure l’obligation pour les États de mettre en place un système d’assurance des paysans contre les effets des événements climatiques et environnementaux.</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 xml:space="preserve">Une délégation a demandé comment </w:t>
      </w:r>
      <w:r w:rsidRPr="00C37E62">
        <w:t>l’article</w:t>
      </w:r>
      <w:r w:rsidR="00932A3B">
        <w:rPr>
          <w:lang w:val="fr-FR"/>
        </w:rPr>
        <w:t> </w:t>
      </w:r>
      <w:r w:rsidRPr="008E483F">
        <w:rPr>
          <w:lang w:val="fr-FR"/>
        </w:rPr>
        <w:t>30 du projet de déclaration pourrait être mis en œuvre.</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 xml:space="preserve">À la fin de la séance, le Vice-Président a apporté des précisions sur le terme </w:t>
      </w:r>
      <w:r>
        <w:rPr>
          <w:lang w:val="fr-FR"/>
        </w:rPr>
        <w:t>« </w:t>
      </w:r>
      <w:r w:rsidRPr="008E483F">
        <w:rPr>
          <w:lang w:val="fr-FR"/>
        </w:rPr>
        <w:t>empoisonnement des eaux</w:t>
      </w:r>
      <w:r>
        <w:rPr>
          <w:lang w:val="fr-FR"/>
        </w:rPr>
        <w:t> »</w:t>
      </w:r>
      <w:r w:rsidRPr="008E483F">
        <w:rPr>
          <w:lang w:val="fr-FR"/>
        </w:rPr>
        <w:t xml:space="preserve">, en expliquant qu’il s’agissait d’un </w:t>
      </w:r>
      <w:r>
        <w:rPr>
          <w:lang w:val="fr-FR"/>
        </w:rPr>
        <w:t>« </w:t>
      </w:r>
      <w:r w:rsidRPr="008E483F">
        <w:rPr>
          <w:lang w:val="fr-FR"/>
        </w:rPr>
        <w:t>empoisonnement lent</w:t>
      </w:r>
      <w:r>
        <w:rPr>
          <w:lang w:val="fr-FR"/>
        </w:rPr>
        <w:t> »</w:t>
      </w:r>
      <w:r w:rsidRPr="008E483F">
        <w:rPr>
          <w:lang w:val="fr-FR"/>
        </w:rPr>
        <w:t>. Il a donné l’exemple de poissons vivant dans des eaux polluées par le mercure, qui absorbaient le mercure et le transféraient ensuite à l’homme.</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 xml:space="preserve">Le Vice-Président a présenté le préambule, précisant l’origine et les sources de celui-ci, et il a invité les représentants des États et de la </w:t>
      </w:r>
      <w:r w:rsidRPr="00C37E62">
        <w:t>société</w:t>
      </w:r>
      <w:r w:rsidRPr="008E483F">
        <w:rPr>
          <w:lang w:val="fr-FR"/>
        </w:rPr>
        <w:t xml:space="preserve"> civile et tous les autres participants à faire part de leurs observations.</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 xml:space="preserve">Plusieurs délégations ont indiqué qu’elles avaient le sentiment que la déclaration octroyait des droits spéciaux aux personnes appartenant à certains groupes et que cela pourrait avoir une incidence négative sur d’autres catégories de personnes. </w:t>
      </w:r>
      <w:r w:rsidRPr="00C37E62">
        <w:t>Elles</w:t>
      </w:r>
      <w:r w:rsidRPr="008E483F">
        <w:rPr>
          <w:lang w:val="fr-FR"/>
        </w:rPr>
        <w:t xml:space="preserve"> ont également fait observer qu’elles souhaitaient éviter les ambiguïtés et ont estimé qu’il était nécessaire d’apporter des précisions concernant l’expression </w:t>
      </w:r>
      <w:r>
        <w:rPr>
          <w:lang w:val="fr-FR"/>
        </w:rPr>
        <w:t>« </w:t>
      </w:r>
      <w:r w:rsidRPr="008E483F">
        <w:rPr>
          <w:lang w:val="fr-FR"/>
        </w:rPr>
        <w:t>pratiques en harmonie avec la Terre Mère ». Elles ont aussi souligné que chaque pays avait ses propres pratiques et que la définition de certains termes variait selon les pays. Elles ont en outre noté que la FAO, l’OIT et l’Organisation mondiale de la propriété intellectuelle auraient dû être consultées durant le processus de rédaction et qu’elles étaient des instances plus appropriées pour débattre de ces questions que le Conseil des droits de l’homme. Une autre délégation a fait observer qu’il serait préférable d’analyser les déclarations et les conventions existantes pour traiter des différentes questions liées aux paysans et aux autres personnes travaillant dans les zones rurales. Certaines délégations ont débattu de la portée extraterritoriale de la déclaration, soulignant que l’origine des menaces qui pesaient sur les paysans et les autres personnes travaillant dans les zones rurales était souvent située en dehors du territoire national.</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 xml:space="preserve">Plusieurs délégations ont remercié la Présidente-Rapporteuse et le Vice-Président d’avoir conduit les travaux du Groupe de travail de manière transparente et se sont déclarées particulièrement satisfaites de l’intégration d’une </w:t>
      </w:r>
      <w:r w:rsidRPr="008E483F">
        <w:rPr>
          <w:bCs/>
          <w:lang w:val="fr-FR"/>
        </w:rPr>
        <w:t>démarche soucieuse de la problématique hommes-femmes</w:t>
      </w:r>
      <w:r w:rsidRPr="008E483F">
        <w:rPr>
          <w:lang w:val="fr-FR"/>
        </w:rPr>
        <w:t>. Une délégation a souligné la nécessité d’accorder une plus grande attention aux enfants et aux personnes handicapées.</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lastRenderedPageBreak/>
        <w:t xml:space="preserve">Une délégation a indiqué qu’elle </w:t>
      </w:r>
      <w:r w:rsidRPr="00C37E62">
        <w:t>préférait</w:t>
      </w:r>
      <w:r w:rsidRPr="008E483F">
        <w:rPr>
          <w:lang w:val="fr-FR"/>
        </w:rPr>
        <w:t xml:space="preserve"> le terme </w:t>
      </w:r>
      <w:r>
        <w:rPr>
          <w:lang w:val="fr-FR"/>
        </w:rPr>
        <w:t>« </w:t>
      </w:r>
      <w:r w:rsidRPr="008E483F">
        <w:rPr>
          <w:lang w:val="fr-FR"/>
        </w:rPr>
        <w:t xml:space="preserve">sécurité alimentaire » plutôt que </w:t>
      </w:r>
      <w:r>
        <w:rPr>
          <w:lang w:val="fr-FR"/>
        </w:rPr>
        <w:t>« </w:t>
      </w:r>
      <w:r w:rsidRPr="008E483F">
        <w:rPr>
          <w:lang w:val="fr-FR"/>
        </w:rPr>
        <w:t>souveraineté alimentaire</w:t>
      </w:r>
      <w:r>
        <w:rPr>
          <w:lang w:val="fr-FR"/>
        </w:rPr>
        <w:t> »</w:t>
      </w:r>
      <w:r w:rsidRPr="008E483F">
        <w:rPr>
          <w:lang w:val="fr-FR"/>
        </w:rPr>
        <w:t xml:space="preserve"> car il était plus largement accepté, et qu’elle était plus favorable à un libellé proche de la formulation utilisée dans les instruments existants du droit international des droits de l’homme.</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 xml:space="preserve">Une délégation a noté que le préambule mettait en évidence un certain nombre de traités et instruments internationaux relatifs aux droits de </w:t>
      </w:r>
      <w:r w:rsidRPr="00C37E62">
        <w:t>l’homme</w:t>
      </w:r>
      <w:r w:rsidRPr="008E483F">
        <w:rPr>
          <w:lang w:val="fr-FR"/>
        </w:rPr>
        <w:t>, et que les articles</w:t>
      </w:r>
      <w:r w:rsidR="00932A3B">
        <w:rPr>
          <w:lang w:val="fr-FR"/>
        </w:rPr>
        <w:t> </w:t>
      </w:r>
      <w:r w:rsidR="00046043">
        <w:rPr>
          <w:lang w:val="fr-FR"/>
        </w:rPr>
        <w:t>22 1) et 23 </w:t>
      </w:r>
      <w:r w:rsidRPr="008E483F">
        <w:rPr>
          <w:lang w:val="fr-FR"/>
        </w:rPr>
        <w:t xml:space="preserve">1) devraient également figurer dans le préambule car ils ne donnaient lieu à aucune obligation spécifique. Elle a en outre recommandé d’ajouter une référence à la </w:t>
      </w:r>
      <w:r w:rsidRPr="008E483F">
        <w:rPr>
          <w:bCs/>
          <w:lang w:val="fr-FR"/>
        </w:rPr>
        <w:t>Conférence internationale sur la réforme agraire et le développement rural</w:t>
      </w:r>
      <w:r w:rsidRPr="008E483F">
        <w:rPr>
          <w:lang w:val="fr-FR"/>
        </w:rPr>
        <w:t>.</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 xml:space="preserve">Plusieurs États ont indiqué qu’ils avaient besoin de plus de temps pour étudier et analyser la déclaration de manière plus approfondie, mais qu’ils étaient convaincus qu’il était indispensable de garantir les droits des paysans et des autres </w:t>
      </w:r>
      <w:r w:rsidRPr="00C37E62">
        <w:t>personnes</w:t>
      </w:r>
      <w:r w:rsidRPr="008E483F">
        <w:rPr>
          <w:lang w:val="fr-FR"/>
        </w:rPr>
        <w:t xml:space="preserve"> travaillant dans les zones rurales et d’encourager la communauté internationale à appuyer cette déclaration. Une délégation a également noté que les articles</w:t>
      </w:r>
      <w:r w:rsidR="00932A3B">
        <w:rPr>
          <w:lang w:val="fr-FR"/>
        </w:rPr>
        <w:t> </w:t>
      </w:r>
      <w:r w:rsidRPr="008E483F">
        <w:rPr>
          <w:lang w:val="fr-FR"/>
        </w:rPr>
        <w:t>24 à</w:t>
      </w:r>
      <w:r w:rsidR="00932A3B">
        <w:rPr>
          <w:lang w:val="fr-FR"/>
        </w:rPr>
        <w:t xml:space="preserve"> </w:t>
      </w:r>
      <w:r w:rsidRPr="008E483F">
        <w:rPr>
          <w:lang w:val="fr-FR"/>
        </w:rPr>
        <w:t>30 étaient essentiels pour garantir et protéger les droits économiques, sociaux et culturels.</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 xml:space="preserve">Une autre délégation a noté que la promotion et la défense des paysans et des autres personnes travaillant dans les zones rurales était essentielle et que la déclaration renforcerait les initiatives nationales et internationales visant à lutter contre la faim et les crises alimentaires ainsi qu’à promouvoir la préservation de la biodiversité. Elle a aussi noté qu’il était nécessaire de disposer d’instruments promouvant clairement l’intégration économique et sociale de toutes les personnes vivant dans les zones rurales et des communautés </w:t>
      </w:r>
      <w:r w:rsidRPr="00C37E62">
        <w:t>de</w:t>
      </w:r>
      <w:r w:rsidRPr="008E483F">
        <w:rPr>
          <w:lang w:val="fr-FR"/>
        </w:rPr>
        <w:t xml:space="preserve"> pêcheurs, et que la déclaration visait à leur assurer un accès aux marchés, au crédit et à des mécanismes d’irrigation sophistiqués afin de réduire la pau</w:t>
      </w:r>
      <w:r>
        <w:rPr>
          <w:lang w:val="fr-FR"/>
        </w:rPr>
        <w:t>vreté. Elle a noté en outre qu’</w:t>
      </w:r>
      <w:r w:rsidRPr="008E483F">
        <w:rPr>
          <w:lang w:val="fr-FR"/>
        </w:rPr>
        <w:t>un défi majeur restait de garantir l’existence d’un système de sécurité et de protection sociales, et que les femmes des zones rurales avaient un rôle cl</w:t>
      </w:r>
      <w:r>
        <w:rPr>
          <w:lang w:val="fr-FR"/>
        </w:rPr>
        <w:t>ef</w:t>
      </w:r>
      <w:r w:rsidRPr="008E483F">
        <w:rPr>
          <w:lang w:val="fr-FR"/>
        </w:rPr>
        <w:t xml:space="preserve"> à jouer à cet égard.</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 xml:space="preserve">Une délégation a fait valoir que la déclaration pourrait contribuer à favoriser le développement des paysans et des autres personnes travaillant dans </w:t>
      </w:r>
      <w:r w:rsidRPr="00C37E62">
        <w:t>les</w:t>
      </w:r>
      <w:r w:rsidRPr="008E483F">
        <w:rPr>
          <w:lang w:val="fr-FR"/>
        </w:rPr>
        <w:t xml:space="preserve"> zones rurales en améliorant leur bien-être. Elle a déclaré qu’elle appuyait la notion de souveraineté alimentaire, car celle-ci mettait l’accent sur la nécessité de garantir un commerce équitable, en particulier pour les petits producteurs. Elle a en outre noté que les articles</w:t>
      </w:r>
      <w:r w:rsidR="00932A3B">
        <w:rPr>
          <w:lang w:val="fr-FR"/>
        </w:rPr>
        <w:t> </w:t>
      </w:r>
      <w:r w:rsidRPr="008E483F">
        <w:rPr>
          <w:lang w:val="fr-FR"/>
        </w:rPr>
        <w:t>5, 18 et 21 à 24 étaient des articles cl</w:t>
      </w:r>
      <w:r>
        <w:rPr>
          <w:lang w:val="fr-FR"/>
        </w:rPr>
        <w:t>ef</w:t>
      </w:r>
      <w:r w:rsidRPr="008E483F">
        <w:rPr>
          <w:lang w:val="fr-FR"/>
        </w:rPr>
        <w:t>s de la déclaration car ils contenaient des garanties relatives à la terre et aux semences, aux connaissances culturelles, aux prêts agricoles, aux écosystèmes pour les générations futures, aux services de commercialisation, aux technologies appropriées, à l’égalité de traitement dans la réforme agraire et à la qualité de vie des paysans et des autres personnes travaillant dans les zones rurales.</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 xml:space="preserve">Une ONG a noté qu’en Asie du Sud le terme </w:t>
      </w:r>
      <w:r>
        <w:rPr>
          <w:lang w:val="fr-FR"/>
        </w:rPr>
        <w:t>« </w:t>
      </w:r>
      <w:r w:rsidRPr="008E483F">
        <w:rPr>
          <w:lang w:val="fr-FR"/>
        </w:rPr>
        <w:t>agriculteur</w:t>
      </w:r>
      <w:r>
        <w:rPr>
          <w:lang w:val="fr-FR"/>
        </w:rPr>
        <w:t> »</w:t>
      </w:r>
      <w:r w:rsidRPr="008E483F">
        <w:rPr>
          <w:lang w:val="fr-FR"/>
        </w:rPr>
        <w:t xml:space="preserve"> désignait généralement seulement des hommes et elle a donc demandé que les mots </w:t>
      </w:r>
      <w:r>
        <w:rPr>
          <w:lang w:val="fr-FR"/>
        </w:rPr>
        <w:t>« </w:t>
      </w:r>
      <w:r w:rsidRPr="008E483F">
        <w:rPr>
          <w:lang w:val="fr-FR"/>
        </w:rPr>
        <w:t>paysans et paysannes » soient ajoutés au préambule.</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Une ONG a noté que la notion de Terre Mère n’était pas nouvelle dans le système des Nations Unies et que c’était une notion précieuse pour les paysans et les autres personnes travaillant dans les zones rurales, particulièrement dans les pays qui reconnaissaient les droits collectifs. Elle a aussi noté que l’examen de ces droits par le Conseil sous l’angle des droits de l’homme mettait en avant leur importance et l’obligation pour les États de les respecter.</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 xml:space="preserve">Certaines ONG ont souligné qu’il fallait que le texte soit aisément compréhensible à la lecture pour les paysans et les autres personnes travaillant </w:t>
      </w:r>
      <w:r w:rsidRPr="00C37E62">
        <w:t>dans</w:t>
      </w:r>
      <w:r w:rsidRPr="008E483F">
        <w:rPr>
          <w:lang w:val="fr-FR"/>
        </w:rPr>
        <w:t xml:space="preserve"> les zones rurales. En outre, elles ont souligné qu’il importait de garder à l’esprit le rôle majeur des paysans dans la production alimentaire et leur contribution à la </w:t>
      </w:r>
      <w:r w:rsidRPr="008E483F">
        <w:rPr>
          <w:lang w:val="fr-FR"/>
        </w:rPr>
        <w:lastRenderedPageBreak/>
        <w:t xml:space="preserve">préservation de l’environnement dans le contexte des changements climatiques. Elles ont aussi relevé l’importance de la terre, des semences et de l’eau en tant que droits et ont insisté sur le fait que les paysans et les autres personnes travaillant dans les zones rurales avaient une relation particulière avec la nature. Elles ont soutenu que cela contribuait à la préservation de la biodiversité et que, sans la souveraineté alimentaire, il était presque impossible de garantir tout autre droit de l’homme. Accueillant favorablement le terme </w:t>
      </w:r>
      <w:r>
        <w:rPr>
          <w:lang w:val="fr-FR"/>
        </w:rPr>
        <w:t>« </w:t>
      </w:r>
      <w:r w:rsidRPr="008E483F">
        <w:rPr>
          <w:lang w:val="fr-FR"/>
        </w:rPr>
        <w:t>souveraineté alimentaire », elles ont noté que la sécurité alimentaire et la souveraineté alimentaire ne désignaient pas la même notion et n’étaient pas interchangeables.</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 xml:space="preserve">Plusieurs ONG ont appelé l’attention sur la discrimination dont les paysans étaient victimes et ont souligné qu’ils étaient les plus vulnérables en matière d’accès à la justice, particulièrement lorsqu’il était question de réforme agraire et </w:t>
      </w:r>
      <w:r w:rsidRPr="00C37E62">
        <w:t>d’</w:t>
      </w:r>
      <w:r w:rsidRPr="00C37E62">
        <w:rPr>
          <w:bCs/>
        </w:rPr>
        <w:t>appropriation</w:t>
      </w:r>
      <w:r w:rsidRPr="008E483F">
        <w:rPr>
          <w:bCs/>
          <w:lang w:val="fr-FR"/>
        </w:rPr>
        <w:t xml:space="preserve"> de terres</w:t>
      </w:r>
      <w:r w:rsidRPr="008E483F">
        <w:rPr>
          <w:lang w:val="fr-FR"/>
        </w:rPr>
        <w:t>.</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Plusieurs ONG ont souligné l’importance pour les paysans et les autres personnes travaillant dans les zones rurales d’avoir accès aux semences et à l’information, particulièrement l’information sur les organismes génétiquement modifiés. Une ONG a en outre noté, s’agissant des questions liées au développement, qu’il était important de bien distinguer le trafic de drogue et les cultures illicites, car des paysans avaient été arrêtés pour trafic de drogue au motif qu’ils cultivaient certaines plantes.</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 xml:space="preserve">Le Vice-Président a informé les participants qu’ils pouvaient soumettre leurs observations par écrit et, prenant acte de l’absence d’autres questions, a </w:t>
      </w:r>
      <w:r w:rsidRPr="00C37E62">
        <w:t>prononcé</w:t>
      </w:r>
      <w:r w:rsidRPr="008E483F">
        <w:rPr>
          <w:lang w:val="fr-FR"/>
        </w:rPr>
        <w:t xml:space="preserve"> la clôture de la séance.</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 xml:space="preserve">La Présidente-Rapporteuse a ouvert la séance de clôture et a invité les représentants des États et de la société civile et tous les participants au Groupe de </w:t>
      </w:r>
      <w:r w:rsidRPr="00C37E62">
        <w:t>travail</w:t>
      </w:r>
      <w:r w:rsidRPr="008E483F">
        <w:rPr>
          <w:lang w:val="fr-FR"/>
        </w:rPr>
        <w:t xml:space="preserve"> à faire des observations sur le texte proposé pour les conclusions et les recommandations.</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 xml:space="preserve">Une délégation a proposé de remplacer le mot </w:t>
      </w:r>
      <w:r>
        <w:rPr>
          <w:lang w:val="fr-FR"/>
        </w:rPr>
        <w:t>« </w:t>
      </w:r>
      <w:r w:rsidRPr="008E483F">
        <w:rPr>
          <w:lang w:val="fr-FR"/>
        </w:rPr>
        <w:t xml:space="preserve">négociations » par </w:t>
      </w:r>
      <w:r>
        <w:rPr>
          <w:lang w:val="fr-FR"/>
        </w:rPr>
        <w:t>« </w:t>
      </w:r>
      <w:r w:rsidRPr="008E483F">
        <w:rPr>
          <w:lang w:val="fr-FR"/>
        </w:rPr>
        <w:t xml:space="preserve">débats », estimant que ce mot suggérait qu’une concertation officielle avait eu lieu au </w:t>
      </w:r>
      <w:r w:rsidRPr="00C37E62">
        <w:t>cours</w:t>
      </w:r>
      <w:r w:rsidRPr="008E483F">
        <w:rPr>
          <w:lang w:val="fr-FR"/>
        </w:rPr>
        <w:t xml:space="preserve"> de la deuxième session du Groupe de travail. Cette position a été appuyée par plusieurs délégations, qui ont souligné qu’elles ne prenaient pas part à des négociations car elles n’avaient pas reçu de leurs gouvernements un mandat officiel en ce sens. Elles ont en outre fait remarquer que le texte du projet de déclaration n’avait pas été traduit dans toutes les langues officielles de l’ONU et avait été distribué tardivement. Ces délégations ont proposé d’apporter une modific</w:t>
      </w:r>
      <w:r w:rsidR="00046043">
        <w:rPr>
          <w:lang w:val="fr-FR"/>
        </w:rPr>
        <w:t>ation au texte du paragraphe</w:t>
      </w:r>
      <w:r w:rsidR="00932A3B">
        <w:rPr>
          <w:lang w:val="fr-FR"/>
        </w:rPr>
        <w:t> </w:t>
      </w:r>
      <w:r w:rsidR="00046043">
        <w:rPr>
          <w:lang w:val="fr-FR"/>
        </w:rPr>
        <w:t>91 </w:t>
      </w:r>
      <w:r w:rsidRPr="008E483F">
        <w:rPr>
          <w:lang w:val="fr-FR"/>
        </w:rPr>
        <w:t xml:space="preserve">a) en y ajoutant le terme </w:t>
      </w:r>
      <w:r>
        <w:rPr>
          <w:lang w:val="fr-FR"/>
        </w:rPr>
        <w:t>« </w:t>
      </w:r>
      <w:r w:rsidRPr="008E483F">
        <w:rPr>
          <w:lang w:val="fr-FR"/>
        </w:rPr>
        <w:t>poursuivre ». Ces propositions ont été appuyées par d’autres délégations.</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 xml:space="preserve">Plusieurs délégations ont indiqué qu’elles étaient en désaccord avec les autres délégations et affirmé que des négociations avaient effectivement eu lieu tout au long de la semaine car la réunion d’un groupe de travail avait précisément pour but de </w:t>
      </w:r>
      <w:r w:rsidRPr="00C37E62">
        <w:t>négocier</w:t>
      </w:r>
      <w:r w:rsidRPr="008E483F">
        <w:rPr>
          <w:lang w:val="fr-FR"/>
        </w:rPr>
        <w:t xml:space="preserve"> et le terme </w:t>
      </w:r>
      <w:r>
        <w:rPr>
          <w:lang w:val="fr-FR"/>
        </w:rPr>
        <w:t>« </w:t>
      </w:r>
      <w:r w:rsidRPr="008E483F">
        <w:rPr>
          <w:lang w:val="fr-FR"/>
        </w:rPr>
        <w:t xml:space="preserve">négociation » figurait expressément dans les diverses résolutions établissant le mandat du Groupe de travail. Une délégation a noté que, bien que le terme </w:t>
      </w:r>
      <w:r>
        <w:rPr>
          <w:lang w:val="fr-FR"/>
        </w:rPr>
        <w:t>« </w:t>
      </w:r>
      <w:r w:rsidRPr="008E483F">
        <w:rPr>
          <w:lang w:val="fr-FR"/>
        </w:rPr>
        <w:t xml:space="preserve">négociation » prête à interprétation, elle était d’avis que toute consultation informelle qui se tenait à l’ONU était par défaut une forme de négociation. Un participant a indiqué qu’il estimait aussi que le terme </w:t>
      </w:r>
      <w:r>
        <w:rPr>
          <w:lang w:val="fr-FR"/>
        </w:rPr>
        <w:t>« </w:t>
      </w:r>
      <w:r w:rsidRPr="008E483F">
        <w:rPr>
          <w:lang w:val="fr-FR"/>
        </w:rPr>
        <w:t>négociations » devait être conservé et qu’il appuyait les arguments avancés par ces délégations.</w:t>
      </w:r>
    </w:p>
    <w:p w:rsidR="000A758E" w:rsidRPr="008E483F"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 xml:space="preserve">La Présidente-Rapporteuse a remercié tous les </w:t>
      </w:r>
      <w:r w:rsidRPr="00C37E62">
        <w:t>participants</w:t>
      </w:r>
      <w:r w:rsidRPr="008E483F">
        <w:rPr>
          <w:lang w:val="fr-FR"/>
        </w:rPr>
        <w:t xml:space="preserve"> et a proposé de supprimer le mot </w:t>
      </w:r>
      <w:r>
        <w:rPr>
          <w:lang w:val="fr-FR"/>
        </w:rPr>
        <w:t>« </w:t>
      </w:r>
      <w:r w:rsidRPr="008E483F">
        <w:rPr>
          <w:lang w:val="fr-FR"/>
        </w:rPr>
        <w:t>négociation » du paragraphe 91</w:t>
      </w:r>
      <w:r w:rsidR="00046043">
        <w:rPr>
          <w:lang w:val="fr-FR"/>
        </w:rPr>
        <w:t> </w:t>
      </w:r>
      <w:r w:rsidRPr="008E483F">
        <w:rPr>
          <w:lang w:val="fr-FR"/>
        </w:rPr>
        <w:t>b), comme cela avait d’abord été proposé, mais d</w:t>
      </w:r>
      <w:r w:rsidR="00046043">
        <w:rPr>
          <w:lang w:val="fr-FR"/>
        </w:rPr>
        <w:t>e le conserver au paragraphe 91 </w:t>
      </w:r>
      <w:r w:rsidRPr="008E483F">
        <w:rPr>
          <w:lang w:val="fr-FR"/>
        </w:rPr>
        <w:t xml:space="preserve">a), comme dans le reste du texte, tout en ajoutant le terme </w:t>
      </w:r>
      <w:r>
        <w:rPr>
          <w:lang w:val="fr-FR"/>
        </w:rPr>
        <w:t>« </w:t>
      </w:r>
      <w:r w:rsidRPr="008E483F">
        <w:rPr>
          <w:lang w:val="fr-FR"/>
        </w:rPr>
        <w:t>poursuivre » proposé.</w:t>
      </w:r>
    </w:p>
    <w:p w:rsidR="000A758E"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lastRenderedPageBreak/>
        <w:t>En l’absence d’objection, le texte a été adopté et la Présidente-Rapporteuse a informé les participants qu’ils pouvaient communiquer leurs propositions de modifications au secrétariat jusqu’au 20</w:t>
      </w:r>
      <w:r>
        <w:rPr>
          <w:lang w:val="fr-FR"/>
        </w:rPr>
        <w:t> </w:t>
      </w:r>
      <w:r w:rsidRPr="008E483F">
        <w:rPr>
          <w:lang w:val="fr-FR"/>
        </w:rPr>
        <w:t>février 2015. La Présidente-Rapporteuse a remercié les participants pour leur participation aux travaux du Groupe de travail et a prononcé la clôture de la session.</w:t>
      </w:r>
    </w:p>
    <w:p w:rsidR="000A758E" w:rsidRPr="007639AE" w:rsidRDefault="000A758E" w:rsidP="000A758E">
      <w:pPr>
        <w:pStyle w:val="SingleTxt"/>
        <w:spacing w:after="0" w:line="120" w:lineRule="exact"/>
        <w:rPr>
          <w:sz w:val="10"/>
          <w:lang w:val="fr-FR"/>
        </w:rPr>
      </w:pPr>
    </w:p>
    <w:p w:rsidR="000A758E" w:rsidRPr="007639AE" w:rsidRDefault="000A758E" w:rsidP="000A758E">
      <w:pPr>
        <w:pStyle w:val="SingleTxt"/>
        <w:spacing w:after="0" w:line="120" w:lineRule="exact"/>
        <w:rPr>
          <w:sz w:val="10"/>
          <w:lang w:val="fr-FR"/>
        </w:rPr>
      </w:pPr>
    </w:p>
    <w:p w:rsidR="000A758E" w:rsidRDefault="000A758E" w:rsidP="000A758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8E483F">
        <w:rPr>
          <w:lang w:val="fr-FR"/>
        </w:rPr>
        <w:tab/>
        <w:t>VI.</w:t>
      </w:r>
      <w:r w:rsidRPr="008E483F">
        <w:rPr>
          <w:lang w:val="fr-FR"/>
        </w:rPr>
        <w:tab/>
        <w:t>Conclusions</w:t>
      </w:r>
    </w:p>
    <w:p w:rsidR="000A758E" w:rsidRPr="007639AE" w:rsidRDefault="000A758E" w:rsidP="000A758E">
      <w:pPr>
        <w:pStyle w:val="SingleTxt"/>
        <w:spacing w:after="0" w:line="120" w:lineRule="exact"/>
        <w:rPr>
          <w:sz w:val="10"/>
          <w:lang w:val="fr-FR"/>
        </w:rPr>
      </w:pPr>
    </w:p>
    <w:p w:rsidR="000A758E" w:rsidRPr="007639AE" w:rsidRDefault="000A758E" w:rsidP="000A758E">
      <w:pPr>
        <w:pStyle w:val="SingleTxt"/>
        <w:spacing w:after="0" w:line="120" w:lineRule="exact"/>
        <w:rPr>
          <w:sz w:val="10"/>
          <w:lang w:val="fr-FR"/>
        </w:rPr>
      </w:pPr>
    </w:p>
    <w:p w:rsidR="000A758E"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 xml:space="preserve">À la séance finale de sa deuxième session, le </w:t>
      </w:r>
      <w:r w:rsidRPr="008E483F">
        <w:rPr>
          <w:bCs/>
          <w:lang w:val="fr-FR"/>
        </w:rPr>
        <w:t>Groupe de travail intergouvernemental à composition non limitée chargé de rédiger un projet de déclaration des Nations Unies sur les droits des paysans</w:t>
      </w:r>
      <w:r w:rsidRPr="008E483F">
        <w:rPr>
          <w:b/>
          <w:bCs/>
          <w:lang w:val="fr-FR"/>
        </w:rPr>
        <w:t xml:space="preserve"> </w:t>
      </w:r>
      <w:r w:rsidRPr="008E483F">
        <w:rPr>
          <w:lang w:val="fr-FR"/>
        </w:rPr>
        <w:t xml:space="preserve">s’est félicité de la participation du Chef du </w:t>
      </w:r>
      <w:r w:rsidRPr="008E483F">
        <w:rPr>
          <w:bCs/>
          <w:lang w:val="fr-FR"/>
        </w:rPr>
        <w:t>Service du développement et des questions économiques et sociales</w:t>
      </w:r>
      <w:r w:rsidRPr="008E483F">
        <w:rPr>
          <w:lang w:val="fr-FR"/>
        </w:rPr>
        <w:t xml:space="preserve"> du HCDH, ainsi que des différents experts indépendants qui avaient pris part aux tables rondes. Il a pris note des contributions apportées par les gouvernements, les groupes régionaux et politiques, la société civile, les ONG et toutes les autres parties prenantes, ainsi que du dialogue constructif qu’ils avaient eu ensemble.</w:t>
      </w:r>
    </w:p>
    <w:p w:rsidR="000A758E" w:rsidRPr="007639AE" w:rsidRDefault="000A758E" w:rsidP="000A758E">
      <w:pPr>
        <w:pStyle w:val="SingleTxt"/>
        <w:spacing w:after="0" w:line="120" w:lineRule="exact"/>
        <w:rPr>
          <w:sz w:val="10"/>
          <w:lang w:val="fr-FR"/>
        </w:rPr>
      </w:pPr>
    </w:p>
    <w:p w:rsidR="000A758E" w:rsidRPr="007639AE" w:rsidRDefault="000A758E" w:rsidP="000A758E">
      <w:pPr>
        <w:pStyle w:val="SingleTxt"/>
        <w:spacing w:after="0" w:line="120" w:lineRule="exact"/>
        <w:rPr>
          <w:sz w:val="10"/>
          <w:u w:val="single"/>
          <w:lang w:val="fr-FR"/>
        </w:rPr>
      </w:pPr>
    </w:p>
    <w:p w:rsidR="000A758E" w:rsidRDefault="000A758E" w:rsidP="000A758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8E483F">
        <w:rPr>
          <w:lang w:val="fr-FR"/>
        </w:rPr>
        <w:tab/>
        <w:t>VII.</w:t>
      </w:r>
      <w:r w:rsidRPr="008E483F">
        <w:rPr>
          <w:lang w:val="fr-FR"/>
        </w:rPr>
        <w:tab/>
        <w:t>Recommandations de la Présidente-Rapporteuse</w:t>
      </w:r>
    </w:p>
    <w:p w:rsidR="000A758E" w:rsidRPr="007639AE" w:rsidRDefault="000A758E" w:rsidP="000A758E">
      <w:pPr>
        <w:pStyle w:val="SingleTxt"/>
        <w:spacing w:after="0" w:line="120" w:lineRule="exact"/>
        <w:rPr>
          <w:sz w:val="10"/>
          <w:lang w:val="fr-FR"/>
        </w:rPr>
      </w:pPr>
    </w:p>
    <w:p w:rsidR="000A758E" w:rsidRPr="007639AE" w:rsidRDefault="000A758E" w:rsidP="000A758E">
      <w:pPr>
        <w:pStyle w:val="SingleTxt"/>
        <w:spacing w:after="0" w:line="120" w:lineRule="exact"/>
        <w:rPr>
          <w:sz w:val="10"/>
          <w:lang w:val="fr-FR"/>
        </w:rPr>
      </w:pPr>
    </w:p>
    <w:p w:rsidR="000A758E" w:rsidRPr="00C37E62" w:rsidRDefault="000A758E" w:rsidP="00C37E62">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b/>
          <w:bCs/>
          <w:lang w:val="fr-FR"/>
        </w:rPr>
      </w:pPr>
      <w:r w:rsidRPr="00C37E62">
        <w:rPr>
          <w:b/>
          <w:bCs/>
          <w:lang w:val="fr-FR"/>
        </w:rPr>
        <w:t>À l’issue de la deuxième session du Groupe de travail intergouvernemental à composition non limitée chargé de rédiger un projet de déclaration des Nations Unies sur les droits des paysans, la Présidente-Rapporteuse a recommandé au Conseil des droits de l’homme :</w:t>
      </w:r>
    </w:p>
    <w:p w:rsidR="000A758E" w:rsidRPr="008E483F" w:rsidRDefault="000A758E" w:rsidP="000A758E">
      <w:pPr>
        <w:pStyle w:val="SingleTxt"/>
        <w:rPr>
          <w:b/>
          <w:lang w:val="fr-FR"/>
        </w:rPr>
      </w:pPr>
      <w:r>
        <w:rPr>
          <w:b/>
          <w:lang w:val="fr-FR"/>
        </w:rPr>
        <w:tab/>
      </w:r>
      <w:r w:rsidRPr="008E483F">
        <w:rPr>
          <w:b/>
          <w:lang w:val="fr-FR"/>
        </w:rPr>
        <w:t>a)</w:t>
      </w:r>
      <w:r w:rsidRPr="008E483F">
        <w:rPr>
          <w:b/>
          <w:lang w:val="fr-FR"/>
        </w:rPr>
        <w:tab/>
        <w:t xml:space="preserve">Que le Groupe de travail tienne une troisième session afin de poursuivre les </w:t>
      </w:r>
      <w:r w:rsidRPr="008E483F">
        <w:rPr>
          <w:b/>
          <w:bCs/>
          <w:lang w:val="fr-FR"/>
        </w:rPr>
        <w:t>négociations sur la base du projet de déclaration présenté par la Présidente-Rapporteuse durant sa deuxième session, en prenant en considération le rapport de la Présidente-Rapporteuse sur la deuxième session ainsi que les consultations informelles qui auraient lieu entre les sessions;</w:t>
      </w:r>
    </w:p>
    <w:p w:rsidR="000A758E" w:rsidRPr="008E483F" w:rsidRDefault="000A758E" w:rsidP="000A758E">
      <w:pPr>
        <w:pStyle w:val="SingleTxt"/>
        <w:rPr>
          <w:b/>
          <w:lang w:val="fr-FR"/>
        </w:rPr>
      </w:pPr>
      <w:r>
        <w:rPr>
          <w:b/>
          <w:lang w:val="fr-FR"/>
        </w:rPr>
        <w:tab/>
      </w:r>
      <w:r w:rsidRPr="008E483F">
        <w:rPr>
          <w:b/>
          <w:lang w:val="fr-FR"/>
        </w:rPr>
        <w:t>b)</w:t>
      </w:r>
      <w:r w:rsidRPr="008E483F">
        <w:rPr>
          <w:b/>
          <w:lang w:val="fr-FR"/>
        </w:rPr>
        <w:tab/>
        <w:t xml:space="preserve">Que la Présidente-Rapporteuse tienne, </w:t>
      </w:r>
      <w:r w:rsidRPr="008E483F">
        <w:rPr>
          <w:b/>
          <w:bCs/>
          <w:lang w:val="fr-FR"/>
        </w:rPr>
        <w:t xml:space="preserve">entre les sessions </w:t>
      </w:r>
      <w:r w:rsidRPr="008E483F">
        <w:rPr>
          <w:b/>
          <w:lang w:val="fr-FR"/>
        </w:rPr>
        <w:t>du Groupe de travail, des consultations informelles avec les gouvernements, les groupes régionaux, les organisations intergouvernementales, les mécanismes des Nations Unies, la société civile et les représentants des paysans et des autres personnes travaillant dans les zones rurales ainsi que les autres parties prenantes intéressées;</w:t>
      </w:r>
    </w:p>
    <w:p w:rsidR="000A758E" w:rsidRDefault="000A758E" w:rsidP="000A758E">
      <w:pPr>
        <w:pStyle w:val="SingleTxt"/>
        <w:rPr>
          <w:b/>
          <w:bCs/>
          <w:lang w:val="fr-FR"/>
        </w:rPr>
      </w:pPr>
      <w:r>
        <w:rPr>
          <w:b/>
          <w:lang w:val="fr-FR"/>
        </w:rPr>
        <w:tab/>
      </w:r>
      <w:r w:rsidRPr="008E483F">
        <w:rPr>
          <w:b/>
          <w:lang w:val="fr-FR"/>
        </w:rPr>
        <w:t>c)</w:t>
      </w:r>
      <w:r w:rsidRPr="008E483F">
        <w:rPr>
          <w:b/>
          <w:lang w:val="fr-FR"/>
        </w:rPr>
        <w:tab/>
      </w:r>
      <w:r w:rsidRPr="008E483F">
        <w:rPr>
          <w:b/>
          <w:bCs/>
          <w:lang w:val="fr-FR"/>
        </w:rPr>
        <w:t>Que la Présidente-Rapporteuse, avec l’appui du HCDH, redouble d’efforts pour encourager un engagement plus ferme et une participation plus active de toutes les parties prenantes, en particulier les organisations intergouvernementales, les mécanismes des Nations Unies, la société civile et les représentants des paysans et des autres personnes travaillant dans les zones rurales, aux travaux du Groupe de travail.</w:t>
      </w:r>
    </w:p>
    <w:p w:rsidR="000A758E" w:rsidRPr="007639AE" w:rsidRDefault="000A758E" w:rsidP="000A758E">
      <w:pPr>
        <w:pStyle w:val="SingleTxt"/>
        <w:spacing w:after="0" w:line="120" w:lineRule="exact"/>
        <w:rPr>
          <w:b/>
          <w:bCs/>
          <w:sz w:val="10"/>
          <w:lang w:val="fr-FR"/>
        </w:rPr>
      </w:pPr>
    </w:p>
    <w:p w:rsidR="000A758E" w:rsidRPr="007639AE" w:rsidRDefault="000A758E" w:rsidP="000A758E">
      <w:pPr>
        <w:pStyle w:val="SingleTxt"/>
        <w:spacing w:after="0" w:line="120" w:lineRule="exact"/>
        <w:rPr>
          <w:sz w:val="10"/>
          <w:lang w:val="fr-FR"/>
        </w:rPr>
      </w:pPr>
    </w:p>
    <w:p w:rsidR="000A758E" w:rsidRDefault="000A758E" w:rsidP="000A758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8E483F">
        <w:rPr>
          <w:lang w:val="fr-FR"/>
        </w:rPr>
        <w:tab/>
        <w:t>VIII.</w:t>
      </w:r>
      <w:r w:rsidRPr="008E483F">
        <w:rPr>
          <w:lang w:val="fr-FR"/>
        </w:rPr>
        <w:tab/>
        <w:t>Adoption du rapport</w:t>
      </w:r>
    </w:p>
    <w:p w:rsidR="000A758E" w:rsidRPr="007639AE" w:rsidRDefault="000A758E" w:rsidP="000A758E">
      <w:pPr>
        <w:pStyle w:val="SingleTxt"/>
        <w:spacing w:after="0" w:line="120" w:lineRule="exact"/>
        <w:rPr>
          <w:sz w:val="10"/>
          <w:lang w:val="fr-FR"/>
        </w:rPr>
      </w:pPr>
    </w:p>
    <w:p w:rsidR="000A758E" w:rsidRPr="007639AE" w:rsidRDefault="000A758E" w:rsidP="000A758E">
      <w:pPr>
        <w:pStyle w:val="SingleTxt"/>
        <w:spacing w:after="0" w:line="120" w:lineRule="exact"/>
        <w:rPr>
          <w:sz w:val="10"/>
          <w:lang w:val="fr-FR"/>
        </w:rPr>
      </w:pPr>
    </w:p>
    <w:p w:rsidR="000A758E" w:rsidRDefault="000A758E" w:rsidP="00BF68C9">
      <w:pPr>
        <w:pStyle w:val="SingleTxt"/>
        <w:numPr>
          <w:ilvl w:val="0"/>
          <w:numId w:val="13"/>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8E483F">
        <w:rPr>
          <w:lang w:val="fr-FR"/>
        </w:rPr>
        <w:t>À sa 9</w:t>
      </w:r>
      <w:r w:rsidRPr="007639AE">
        <w:rPr>
          <w:vertAlign w:val="superscript"/>
          <w:lang w:val="fr-FR"/>
        </w:rPr>
        <w:t>e</w:t>
      </w:r>
      <w:r w:rsidR="005D60D4">
        <w:rPr>
          <w:lang w:val="fr-FR"/>
        </w:rPr>
        <w:t> </w:t>
      </w:r>
      <w:r w:rsidRPr="008E483F">
        <w:rPr>
          <w:lang w:val="fr-FR"/>
        </w:rPr>
        <w:t>séance, le 6</w:t>
      </w:r>
      <w:r>
        <w:rPr>
          <w:lang w:val="fr-FR"/>
        </w:rPr>
        <w:t> </w:t>
      </w:r>
      <w:r w:rsidRPr="008E483F">
        <w:rPr>
          <w:lang w:val="fr-FR"/>
        </w:rPr>
        <w:t xml:space="preserve">février 2015, le Groupe de travail a adopté le projet de rapport sur sa deuxième </w:t>
      </w:r>
      <w:r w:rsidRPr="00BF68C9">
        <w:rPr>
          <w:bCs/>
          <w:lang w:val="fr-FR"/>
        </w:rPr>
        <w:t>session</w:t>
      </w:r>
      <w:r w:rsidRPr="008E483F">
        <w:rPr>
          <w:lang w:val="fr-FR"/>
        </w:rPr>
        <w:t xml:space="preserve"> et décidé de confier à la Présidente-Rapporteuse le soin d’en mettre au point la version finale.</w:t>
      </w:r>
    </w:p>
    <w:p w:rsidR="000A758E" w:rsidRDefault="000A758E">
      <w:pPr>
        <w:spacing w:line="240" w:lineRule="auto"/>
      </w:pPr>
      <w:r>
        <w:br w:type="page"/>
      </w:r>
    </w:p>
    <w:p w:rsidR="000A758E" w:rsidRDefault="000A758E" w:rsidP="000A758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8E483F">
        <w:rPr>
          <w:lang w:val="fr-FR"/>
        </w:rPr>
        <w:lastRenderedPageBreak/>
        <w:t>Annexe I</w:t>
      </w:r>
    </w:p>
    <w:p w:rsidR="000A758E" w:rsidRPr="007639AE" w:rsidRDefault="000A758E" w:rsidP="000A758E">
      <w:pPr>
        <w:pStyle w:val="SingleTxt"/>
        <w:spacing w:after="0" w:line="120" w:lineRule="exact"/>
        <w:rPr>
          <w:sz w:val="10"/>
          <w:lang w:val="fr-FR"/>
        </w:rPr>
      </w:pPr>
    </w:p>
    <w:p w:rsidR="000A758E" w:rsidRDefault="000A758E" w:rsidP="000A758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8E483F">
        <w:rPr>
          <w:lang w:val="fr-FR"/>
        </w:rPr>
        <w:tab/>
      </w:r>
      <w:r w:rsidRPr="008E483F">
        <w:rPr>
          <w:lang w:val="fr-FR"/>
        </w:rPr>
        <w:tab/>
        <w:t>Ordre du jour</w:t>
      </w:r>
    </w:p>
    <w:p w:rsidR="000A758E" w:rsidRPr="007639AE" w:rsidRDefault="000A758E" w:rsidP="000A758E">
      <w:pPr>
        <w:pStyle w:val="SingleTxt"/>
        <w:spacing w:after="0" w:line="120" w:lineRule="exact"/>
        <w:rPr>
          <w:sz w:val="10"/>
          <w:lang w:val="fr-FR"/>
        </w:rPr>
      </w:pPr>
    </w:p>
    <w:p w:rsidR="000A758E" w:rsidRPr="007639AE" w:rsidRDefault="000A758E" w:rsidP="000A758E">
      <w:pPr>
        <w:pStyle w:val="SingleTxt"/>
        <w:spacing w:after="0" w:line="120" w:lineRule="exact"/>
        <w:rPr>
          <w:sz w:val="10"/>
          <w:lang w:val="fr-FR"/>
        </w:rPr>
      </w:pPr>
    </w:p>
    <w:p w:rsidR="000A758E" w:rsidRPr="008E483F" w:rsidRDefault="000A758E" w:rsidP="000A758E">
      <w:pPr>
        <w:pStyle w:val="SingleTxt"/>
        <w:jc w:val="left"/>
        <w:rPr>
          <w:lang w:val="fr-FR"/>
        </w:rPr>
      </w:pPr>
      <w:r w:rsidRPr="008E483F">
        <w:rPr>
          <w:lang w:val="fr-FR"/>
        </w:rPr>
        <w:t>1.</w:t>
      </w:r>
      <w:r w:rsidRPr="008E483F">
        <w:rPr>
          <w:lang w:val="fr-FR"/>
        </w:rPr>
        <w:tab/>
        <w:t>Ouverture de la session.</w:t>
      </w:r>
    </w:p>
    <w:p w:rsidR="000A758E" w:rsidRPr="008E483F" w:rsidRDefault="000A758E" w:rsidP="000A758E">
      <w:pPr>
        <w:pStyle w:val="SingleTxt"/>
        <w:jc w:val="left"/>
        <w:rPr>
          <w:lang w:val="fr-FR"/>
        </w:rPr>
      </w:pPr>
      <w:r w:rsidRPr="008E483F">
        <w:rPr>
          <w:lang w:val="fr-FR"/>
        </w:rPr>
        <w:t>2.</w:t>
      </w:r>
      <w:r w:rsidRPr="008E483F">
        <w:rPr>
          <w:lang w:val="fr-FR"/>
        </w:rPr>
        <w:tab/>
        <w:t>Élection du Président</w:t>
      </w:r>
      <w:r>
        <w:rPr>
          <w:lang w:val="fr-FR"/>
        </w:rPr>
        <w:t>-Rapporteur</w:t>
      </w:r>
      <w:r w:rsidRPr="008E483F">
        <w:rPr>
          <w:lang w:val="fr-FR"/>
        </w:rPr>
        <w:t>.</w:t>
      </w:r>
    </w:p>
    <w:p w:rsidR="000A758E" w:rsidRPr="008E483F" w:rsidRDefault="000A758E" w:rsidP="000A758E">
      <w:pPr>
        <w:pStyle w:val="SingleTxt"/>
        <w:jc w:val="left"/>
        <w:rPr>
          <w:lang w:val="fr-FR"/>
        </w:rPr>
      </w:pPr>
      <w:r w:rsidRPr="008E483F">
        <w:rPr>
          <w:lang w:val="fr-FR"/>
        </w:rPr>
        <w:t>3.</w:t>
      </w:r>
      <w:r w:rsidRPr="008E483F">
        <w:rPr>
          <w:lang w:val="fr-FR"/>
        </w:rPr>
        <w:tab/>
        <w:t xml:space="preserve">Adoption de l’ordre du jour et </w:t>
      </w:r>
      <w:r>
        <w:rPr>
          <w:lang w:val="fr-FR"/>
        </w:rPr>
        <w:t>organisation des travaux.</w:t>
      </w:r>
    </w:p>
    <w:p w:rsidR="000A758E" w:rsidRPr="008E483F" w:rsidRDefault="000A758E" w:rsidP="000A758E">
      <w:pPr>
        <w:pStyle w:val="SingleTxt"/>
        <w:jc w:val="left"/>
        <w:rPr>
          <w:lang w:val="fr-FR"/>
        </w:rPr>
      </w:pPr>
      <w:r w:rsidRPr="008E483F">
        <w:rPr>
          <w:lang w:val="fr-FR"/>
        </w:rPr>
        <w:t>4.</w:t>
      </w:r>
      <w:r w:rsidRPr="008E483F">
        <w:rPr>
          <w:lang w:val="fr-FR"/>
        </w:rPr>
        <w:tab/>
        <w:t>Programme de travail.</w:t>
      </w:r>
    </w:p>
    <w:p w:rsidR="000A758E" w:rsidRPr="008E483F" w:rsidRDefault="000A758E" w:rsidP="000A758E">
      <w:pPr>
        <w:pStyle w:val="SingleTxt"/>
        <w:jc w:val="left"/>
        <w:rPr>
          <w:lang w:val="fr-FR"/>
        </w:rPr>
      </w:pPr>
      <w:r w:rsidRPr="008E483F">
        <w:rPr>
          <w:lang w:val="fr-FR"/>
        </w:rPr>
        <w:t>5.</w:t>
      </w:r>
      <w:r w:rsidRPr="008E483F">
        <w:rPr>
          <w:lang w:val="fr-FR"/>
        </w:rPr>
        <w:tab/>
        <w:t>Table ronde.</w:t>
      </w:r>
    </w:p>
    <w:p w:rsidR="000A758E" w:rsidRPr="008E483F" w:rsidRDefault="000A758E" w:rsidP="000A758E">
      <w:pPr>
        <w:pStyle w:val="SingleTxt"/>
        <w:ind w:left="1742" w:hanging="475"/>
        <w:jc w:val="left"/>
        <w:rPr>
          <w:b/>
          <w:lang w:val="fr-FR"/>
        </w:rPr>
      </w:pPr>
      <w:r w:rsidRPr="008E483F">
        <w:rPr>
          <w:lang w:val="fr-FR"/>
        </w:rPr>
        <w:t>6.</w:t>
      </w:r>
      <w:r w:rsidRPr="008E483F">
        <w:rPr>
          <w:lang w:val="fr-FR"/>
        </w:rPr>
        <w:tab/>
        <w:t xml:space="preserve">Déclarations générales suivies de l’examen en première lecture du projet </w:t>
      </w:r>
      <w:r w:rsidR="006B0070">
        <w:rPr>
          <w:lang w:val="fr-FR"/>
        </w:rPr>
        <w:br/>
      </w:r>
      <w:r w:rsidRPr="008E483F">
        <w:rPr>
          <w:lang w:val="fr-FR"/>
        </w:rPr>
        <w:t>de</w:t>
      </w:r>
      <w:r>
        <w:rPr>
          <w:lang w:val="fr-FR"/>
        </w:rPr>
        <w:t xml:space="preserve"> </w:t>
      </w:r>
      <w:r w:rsidRPr="008E483F">
        <w:rPr>
          <w:lang w:val="fr-FR"/>
        </w:rPr>
        <w:t>déclaration.</w:t>
      </w:r>
    </w:p>
    <w:p w:rsidR="000A758E" w:rsidRDefault="000A758E" w:rsidP="000A758E">
      <w:pPr>
        <w:pStyle w:val="SingleTxt"/>
        <w:ind w:left="1742" w:hanging="475"/>
        <w:jc w:val="left"/>
        <w:rPr>
          <w:lang w:val="fr-FR"/>
        </w:rPr>
      </w:pPr>
      <w:r w:rsidRPr="008E483F">
        <w:rPr>
          <w:lang w:val="fr-FR"/>
        </w:rPr>
        <w:t>7.</w:t>
      </w:r>
      <w:r w:rsidRPr="008E483F">
        <w:rPr>
          <w:lang w:val="fr-FR"/>
        </w:rPr>
        <w:tab/>
        <w:t>Adoption du rapport.</w:t>
      </w:r>
    </w:p>
    <w:p w:rsidR="000A758E" w:rsidRDefault="000A758E">
      <w:pPr>
        <w:spacing w:line="240" w:lineRule="auto"/>
        <w:rPr>
          <w:lang w:val="fr-FR"/>
        </w:rPr>
      </w:pPr>
      <w:r>
        <w:rPr>
          <w:lang w:val="fr-FR"/>
        </w:rPr>
        <w:br w:type="page"/>
      </w:r>
    </w:p>
    <w:p w:rsidR="000A758E" w:rsidRDefault="000A758E" w:rsidP="000A758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8E483F">
        <w:rPr>
          <w:lang w:val="fr-FR"/>
        </w:rPr>
        <w:lastRenderedPageBreak/>
        <w:t>Annexe II</w:t>
      </w:r>
    </w:p>
    <w:p w:rsidR="000A758E" w:rsidRPr="009A17CD" w:rsidRDefault="000A758E" w:rsidP="000A758E">
      <w:pPr>
        <w:pStyle w:val="SingleTxt"/>
        <w:spacing w:after="0" w:line="120" w:lineRule="exact"/>
        <w:rPr>
          <w:sz w:val="10"/>
          <w:lang w:val="fr-FR"/>
        </w:rPr>
      </w:pPr>
    </w:p>
    <w:p w:rsidR="000A758E" w:rsidRDefault="000A758E" w:rsidP="000A758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8E483F">
        <w:rPr>
          <w:lang w:val="fr-FR"/>
        </w:rPr>
        <w:tab/>
      </w:r>
      <w:r w:rsidRPr="008E483F">
        <w:rPr>
          <w:lang w:val="fr-FR"/>
        </w:rPr>
        <w:tab/>
        <w:t>Liste des intervenants dans les tables rondes</w:t>
      </w:r>
    </w:p>
    <w:p w:rsidR="000A758E" w:rsidRPr="00676E88" w:rsidRDefault="000A758E" w:rsidP="000A758E">
      <w:pPr>
        <w:pStyle w:val="SingleTxt"/>
        <w:spacing w:after="0" w:line="120" w:lineRule="exact"/>
        <w:rPr>
          <w:sz w:val="10"/>
          <w:lang w:val="fr-FR"/>
        </w:rPr>
      </w:pPr>
    </w:p>
    <w:p w:rsidR="000A758E" w:rsidRPr="00676E88" w:rsidRDefault="000A758E" w:rsidP="000A758E">
      <w:pPr>
        <w:pStyle w:val="SingleTxt"/>
        <w:spacing w:after="0" w:line="120" w:lineRule="exact"/>
        <w:rPr>
          <w:sz w:val="10"/>
          <w:lang w:val="fr-FR"/>
        </w:rPr>
      </w:pPr>
    </w:p>
    <w:p w:rsidR="000A758E" w:rsidRDefault="000A758E" w:rsidP="000A758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8E483F">
        <w:rPr>
          <w:lang w:val="fr-FR"/>
        </w:rPr>
        <w:tab/>
      </w:r>
      <w:r w:rsidRPr="008E483F">
        <w:rPr>
          <w:lang w:val="fr-FR"/>
        </w:rPr>
        <w:tab/>
        <w:t xml:space="preserve">Table ronde I. Droits civils, politiques, économiques, sociaux et culturels </w:t>
      </w:r>
      <w:r>
        <w:rPr>
          <w:lang w:val="fr-FR"/>
        </w:rPr>
        <w:br/>
      </w:r>
      <w:r w:rsidRPr="008E483F">
        <w:rPr>
          <w:lang w:val="fr-FR"/>
        </w:rPr>
        <w:t xml:space="preserve">des paysans et des autres personnes travaillant dans les zones rurales, </w:t>
      </w:r>
      <w:r>
        <w:rPr>
          <w:lang w:val="fr-FR"/>
        </w:rPr>
        <w:br/>
      </w:r>
      <w:r w:rsidRPr="008E483F">
        <w:rPr>
          <w:lang w:val="fr-FR"/>
        </w:rPr>
        <w:t>et lacunes en la matière</w:t>
      </w:r>
    </w:p>
    <w:p w:rsidR="000A758E" w:rsidRPr="00676E88" w:rsidRDefault="000A758E" w:rsidP="000A758E">
      <w:pPr>
        <w:pStyle w:val="SingleTxt"/>
        <w:spacing w:after="0" w:line="120" w:lineRule="exact"/>
        <w:rPr>
          <w:sz w:val="10"/>
          <w:lang w:val="fr-FR"/>
        </w:rPr>
      </w:pPr>
    </w:p>
    <w:p w:rsidR="000A758E" w:rsidRPr="008E483F" w:rsidRDefault="000A758E" w:rsidP="000A758E">
      <w:pPr>
        <w:pStyle w:val="SingleTxt"/>
        <w:rPr>
          <w:lang w:val="fr-FR"/>
        </w:rPr>
      </w:pPr>
      <w:r w:rsidRPr="008E483F">
        <w:rPr>
          <w:lang w:val="fr-FR"/>
        </w:rPr>
        <w:t>Christophe Golay, Académie de droit international humanitaire et de droits humains à Genève</w:t>
      </w:r>
    </w:p>
    <w:p w:rsidR="000A758E" w:rsidRPr="008E483F" w:rsidRDefault="000A758E" w:rsidP="000A758E">
      <w:pPr>
        <w:pStyle w:val="SingleTxt"/>
        <w:rPr>
          <w:bCs/>
          <w:lang w:val="fr-FR"/>
        </w:rPr>
      </w:pPr>
      <w:r w:rsidRPr="008E483F">
        <w:rPr>
          <w:bCs/>
          <w:lang w:val="fr-FR"/>
        </w:rPr>
        <w:t>Jos</w:t>
      </w:r>
      <w:r>
        <w:rPr>
          <w:bCs/>
          <w:lang w:val="fr-FR"/>
        </w:rPr>
        <w:t>é</w:t>
      </w:r>
      <w:r w:rsidRPr="008E483F">
        <w:rPr>
          <w:bCs/>
          <w:lang w:val="fr-FR"/>
        </w:rPr>
        <w:t xml:space="preserve"> Francisco Cali Tzay, Président du Comité pour l’éliminati</w:t>
      </w:r>
      <w:r>
        <w:rPr>
          <w:bCs/>
          <w:lang w:val="fr-FR"/>
        </w:rPr>
        <w:t>on de la discrimination raciale</w:t>
      </w:r>
    </w:p>
    <w:p w:rsidR="000A758E" w:rsidRPr="008E483F" w:rsidRDefault="000A758E" w:rsidP="000A758E">
      <w:pPr>
        <w:pStyle w:val="SingleTxt"/>
        <w:rPr>
          <w:bCs/>
          <w:lang w:val="fr-FR"/>
        </w:rPr>
      </w:pPr>
      <w:r w:rsidRPr="008E483F">
        <w:rPr>
          <w:bCs/>
          <w:lang w:val="fr-FR"/>
        </w:rPr>
        <w:t>Joanna Bourke-Mar</w:t>
      </w:r>
      <w:r>
        <w:rPr>
          <w:bCs/>
          <w:lang w:val="fr-FR"/>
        </w:rPr>
        <w:t>tignooi, Université de Fribourg</w:t>
      </w:r>
    </w:p>
    <w:p w:rsidR="000A758E" w:rsidRDefault="000A758E" w:rsidP="000A758E">
      <w:pPr>
        <w:pStyle w:val="SingleTxt"/>
        <w:rPr>
          <w:bCs/>
          <w:lang w:val="fr-FR"/>
        </w:rPr>
      </w:pPr>
      <w:r w:rsidRPr="008E483F">
        <w:rPr>
          <w:bCs/>
          <w:lang w:val="fr-FR"/>
        </w:rPr>
        <w:t>Gene</w:t>
      </w:r>
      <w:r>
        <w:rPr>
          <w:bCs/>
          <w:lang w:val="fr-FR"/>
        </w:rPr>
        <w:t>viève Savigny, La Via Campesina</w:t>
      </w:r>
    </w:p>
    <w:p w:rsidR="000A758E" w:rsidRPr="00676E88" w:rsidRDefault="000A758E" w:rsidP="000A758E">
      <w:pPr>
        <w:pStyle w:val="SingleTxt"/>
        <w:spacing w:after="0" w:line="120" w:lineRule="exact"/>
        <w:rPr>
          <w:bCs/>
          <w:sz w:val="10"/>
          <w:lang w:val="fr-FR"/>
        </w:rPr>
      </w:pPr>
    </w:p>
    <w:p w:rsidR="000A758E" w:rsidRDefault="000A758E" w:rsidP="000A758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8E483F">
        <w:rPr>
          <w:lang w:val="fr-FR"/>
        </w:rPr>
        <w:tab/>
      </w:r>
      <w:r w:rsidRPr="008E483F">
        <w:rPr>
          <w:lang w:val="fr-FR"/>
        </w:rPr>
        <w:tab/>
        <w:t xml:space="preserve">Table ronde II. Droits des paysans et des autres personnes travaillant </w:t>
      </w:r>
      <w:r>
        <w:rPr>
          <w:lang w:val="fr-FR"/>
        </w:rPr>
        <w:br/>
      </w:r>
      <w:r w:rsidRPr="008E483F">
        <w:rPr>
          <w:lang w:val="fr-FR"/>
        </w:rPr>
        <w:t xml:space="preserve">dans les zones rurales énoncés dans d’autres instruments internationaux, </w:t>
      </w:r>
      <w:r>
        <w:rPr>
          <w:lang w:val="fr-FR"/>
        </w:rPr>
        <w:br/>
      </w:r>
      <w:r w:rsidRPr="008E483F">
        <w:rPr>
          <w:lang w:val="fr-FR"/>
        </w:rPr>
        <w:t>et lacunes en la matière</w:t>
      </w:r>
    </w:p>
    <w:p w:rsidR="000A758E" w:rsidRPr="00676E88" w:rsidRDefault="000A758E" w:rsidP="000A758E">
      <w:pPr>
        <w:pStyle w:val="SingleTxt"/>
        <w:spacing w:after="0" w:line="120" w:lineRule="exact"/>
        <w:rPr>
          <w:sz w:val="10"/>
          <w:lang w:val="fr-FR"/>
        </w:rPr>
      </w:pPr>
    </w:p>
    <w:p w:rsidR="000A758E" w:rsidRPr="008E483F" w:rsidRDefault="000A758E" w:rsidP="000A758E">
      <w:pPr>
        <w:pStyle w:val="SingleTxt"/>
        <w:rPr>
          <w:lang w:val="fr-FR"/>
        </w:rPr>
      </w:pPr>
      <w:r w:rsidRPr="008E483F">
        <w:rPr>
          <w:lang w:val="fr-FR"/>
        </w:rPr>
        <w:t>Sofia Monsalve, Food First Information a</w:t>
      </w:r>
      <w:r>
        <w:rPr>
          <w:lang w:val="fr-FR"/>
        </w:rPr>
        <w:t>nd Action Network International</w:t>
      </w:r>
    </w:p>
    <w:p w:rsidR="000A758E" w:rsidRPr="008E483F" w:rsidRDefault="000A758E" w:rsidP="000A758E">
      <w:pPr>
        <w:pStyle w:val="SingleTxt"/>
        <w:rPr>
          <w:lang w:val="fr-FR"/>
        </w:rPr>
      </w:pPr>
      <w:r w:rsidRPr="008E483F">
        <w:rPr>
          <w:lang w:val="fr-FR"/>
        </w:rPr>
        <w:t xml:space="preserve">Sue Longley, Union internationale des travailleurs de l’alimentation, de l’agriculture, de l’hôtellerie-restauration, du tabac </w:t>
      </w:r>
      <w:r>
        <w:rPr>
          <w:lang w:val="fr-FR"/>
        </w:rPr>
        <w:t>et des branches connexes</w:t>
      </w:r>
    </w:p>
    <w:p w:rsidR="000A758E" w:rsidRDefault="000A758E" w:rsidP="000A758E">
      <w:pPr>
        <w:pStyle w:val="SingleTxt"/>
        <w:rPr>
          <w:lang w:val="fr-FR"/>
        </w:rPr>
      </w:pPr>
      <w:r w:rsidRPr="008E483F">
        <w:rPr>
          <w:lang w:val="fr-FR"/>
        </w:rPr>
        <w:t>Adriana Bessa, Académie de droit international humanitair</w:t>
      </w:r>
      <w:r>
        <w:rPr>
          <w:lang w:val="fr-FR"/>
        </w:rPr>
        <w:t>e et de droits humains à Genève</w:t>
      </w:r>
    </w:p>
    <w:p w:rsidR="000A758E" w:rsidRDefault="000A758E" w:rsidP="000A758E">
      <w:pPr>
        <w:pStyle w:val="SingleTxt"/>
        <w:rPr>
          <w:lang w:val="fr-FR"/>
        </w:rPr>
      </w:pPr>
      <w:r w:rsidRPr="008E483F">
        <w:rPr>
          <w:lang w:val="fr-FR"/>
        </w:rPr>
        <w:t>Henry Saragih, La Via Campesina</w:t>
      </w:r>
    </w:p>
    <w:p w:rsidR="000A758E" w:rsidRPr="000A758E" w:rsidRDefault="000A758E" w:rsidP="000A758E">
      <w:pPr>
        <w:pStyle w:val="SingleTxt"/>
        <w:spacing w:after="0" w:line="240" w:lineRule="auto"/>
      </w:pPr>
      <w:r>
        <w:rPr>
          <w:noProof/>
          <w:w w:val="100"/>
          <w:lang w:val="en-US"/>
        </w:rPr>
        <mc:AlternateContent>
          <mc:Choice Requires="wps">
            <w:drawing>
              <wp:anchor distT="0" distB="0" distL="114300" distR="114300" simplePos="0" relativeHeight="251659264" behindDoc="0" locked="0" layoutInCell="1" allowOverlap="1">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0A758E" w:rsidRPr="000A758E" w:rsidSect="003A775C">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7T13:32:00Z" w:initials="Start">
    <w:p w:rsidR="003A775C" w:rsidRDefault="003A775C">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NO&gt;&gt;N1516189F&lt;&lt;ODS JOB NO&gt;&gt;</w:t>
      </w:r>
    </w:p>
    <w:p w:rsidR="003A775C" w:rsidRDefault="003A775C">
      <w:pPr>
        <w:pStyle w:val="CommentText"/>
      </w:pPr>
      <w:r>
        <w:t>&lt;&lt;ODS DOC SYMBOL1&gt;&gt;A/HRC/30/55&lt;&lt;ODS DOC SYMBOL1&gt;&gt;</w:t>
      </w:r>
    </w:p>
    <w:p w:rsidR="003A775C" w:rsidRDefault="003A775C">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BEC" w:rsidRDefault="00FC7BEC" w:rsidP="00F3330B">
      <w:pPr>
        <w:spacing w:line="240" w:lineRule="auto"/>
      </w:pPr>
      <w:r>
        <w:separator/>
      </w:r>
    </w:p>
  </w:endnote>
  <w:endnote w:type="continuationSeparator" w:id="0">
    <w:p w:rsidR="00FC7BEC" w:rsidRDefault="00FC7BEC"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A775C" w:rsidTr="003A775C">
      <w:trPr>
        <w:jc w:val="center"/>
      </w:trPr>
      <w:tc>
        <w:tcPr>
          <w:tcW w:w="5126" w:type="dxa"/>
          <w:shd w:val="clear" w:color="auto" w:fill="auto"/>
        </w:tcPr>
        <w:p w:rsidR="003A775C" w:rsidRPr="003A775C" w:rsidRDefault="003A775C" w:rsidP="003A775C">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DF59C2">
            <w:rPr>
              <w:b w:val="0"/>
              <w:w w:val="103"/>
              <w:sz w:val="14"/>
            </w:rPr>
            <w:t>GE.15-12286</w:t>
          </w:r>
          <w:r>
            <w:rPr>
              <w:b w:val="0"/>
              <w:w w:val="103"/>
              <w:sz w:val="14"/>
            </w:rPr>
            <w:fldChar w:fldCharType="end"/>
          </w:r>
        </w:p>
      </w:tc>
      <w:tc>
        <w:tcPr>
          <w:tcW w:w="5127" w:type="dxa"/>
          <w:shd w:val="clear" w:color="auto" w:fill="auto"/>
        </w:tcPr>
        <w:p w:rsidR="003A775C" w:rsidRPr="003A775C" w:rsidRDefault="003A775C" w:rsidP="003A775C">
          <w:pPr>
            <w:pStyle w:val="Footer"/>
            <w:rPr>
              <w:w w:val="103"/>
            </w:rPr>
          </w:pPr>
          <w:r>
            <w:rPr>
              <w:w w:val="103"/>
            </w:rPr>
            <w:fldChar w:fldCharType="begin"/>
          </w:r>
          <w:r>
            <w:rPr>
              <w:w w:val="103"/>
            </w:rPr>
            <w:instrText xml:space="preserve"> PAGE  \* Arabic  \* MERGEFORMAT </w:instrText>
          </w:r>
          <w:r>
            <w:rPr>
              <w:w w:val="103"/>
            </w:rPr>
            <w:fldChar w:fldCharType="separate"/>
          </w:r>
          <w:r w:rsidR="00DF59C2">
            <w:rPr>
              <w:noProof/>
              <w:w w:val="103"/>
            </w:rPr>
            <w:t>10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DF59C2">
            <w:rPr>
              <w:noProof/>
              <w:w w:val="103"/>
            </w:rPr>
            <w:t>23</w:t>
          </w:r>
          <w:r>
            <w:rPr>
              <w:w w:val="103"/>
            </w:rPr>
            <w:fldChar w:fldCharType="end"/>
          </w:r>
        </w:p>
      </w:tc>
    </w:tr>
  </w:tbl>
  <w:p w:rsidR="003A775C" w:rsidRPr="003A775C" w:rsidRDefault="003A775C" w:rsidP="003A77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A775C" w:rsidTr="003A775C">
      <w:trPr>
        <w:jc w:val="center"/>
      </w:trPr>
      <w:tc>
        <w:tcPr>
          <w:tcW w:w="5126" w:type="dxa"/>
          <w:shd w:val="clear" w:color="auto" w:fill="auto"/>
        </w:tcPr>
        <w:p w:rsidR="003A775C" w:rsidRPr="003A775C" w:rsidRDefault="003A775C" w:rsidP="003A775C">
          <w:pPr>
            <w:pStyle w:val="Footer"/>
            <w:jc w:val="right"/>
            <w:rPr>
              <w:w w:val="103"/>
            </w:rPr>
          </w:pPr>
          <w:r>
            <w:rPr>
              <w:w w:val="103"/>
            </w:rPr>
            <w:fldChar w:fldCharType="begin"/>
          </w:r>
          <w:r>
            <w:rPr>
              <w:w w:val="103"/>
            </w:rPr>
            <w:instrText xml:space="preserve"> PAGE  \* Arabic  \* MERGEFORMAT </w:instrText>
          </w:r>
          <w:r>
            <w:rPr>
              <w:w w:val="103"/>
            </w:rPr>
            <w:fldChar w:fldCharType="separate"/>
          </w:r>
          <w:r w:rsidR="00DF59C2">
            <w:rPr>
              <w:noProof/>
              <w:w w:val="103"/>
            </w:rPr>
            <w:t>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DF59C2">
            <w:rPr>
              <w:noProof/>
              <w:w w:val="103"/>
            </w:rPr>
            <w:t>23</w:t>
          </w:r>
          <w:r>
            <w:rPr>
              <w:w w:val="103"/>
            </w:rPr>
            <w:fldChar w:fldCharType="end"/>
          </w:r>
        </w:p>
      </w:tc>
      <w:tc>
        <w:tcPr>
          <w:tcW w:w="5127" w:type="dxa"/>
          <w:shd w:val="clear" w:color="auto" w:fill="auto"/>
        </w:tcPr>
        <w:p w:rsidR="003A775C" w:rsidRPr="003A775C" w:rsidRDefault="003A775C" w:rsidP="003A775C">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DF59C2">
            <w:rPr>
              <w:b w:val="0"/>
              <w:w w:val="103"/>
              <w:sz w:val="14"/>
            </w:rPr>
            <w:t>GE.15-12286</w:t>
          </w:r>
          <w:r>
            <w:rPr>
              <w:b w:val="0"/>
              <w:w w:val="103"/>
              <w:sz w:val="14"/>
            </w:rPr>
            <w:fldChar w:fldCharType="end"/>
          </w:r>
        </w:p>
      </w:tc>
    </w:tr>
  </w:tbl>
  <w:p w:rsidR="003A775C" w:rsidRPr="003A775C" w:rsidRDefault="003A775C" w:rsidP="003A77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75C" w:rsidRDefault="003A775C">
    <w:pPr>
      <w:pStyle w:val="Footer"/>
    </w:pPr>
    <w:r>
      <w:rPr>
        <w:noProof/>
      </w:rPr>
      <w:drawing>
        <wp:anchor distT="0" distB="0" distL="114300" distR="114300" simplePos="0" relativeHeight="251658240" behindDoc="0" locked="0" layoutInCell="1" allowOverlap="1" wp14:anchorId="5B5C76DE" wp14:editId="0549178A">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55&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5&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3A775C" w:rsidTr="003A775C">
      <w:tc>
        <w:tcPr>
          <w:tcW w:w="3859" w:type="dxa"/>
        </w:tcPr>
        <w:p w:rsidR="003A775C" w:rsidRDefault="003A775C" w:rsidP="003A775C">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DF59C2">
            <w:rPr>
              <w:b w:val="0"/>
              <w:sz w:val="20"/>
            </w:rPr>
            <w:t>GE.15-12286 (F)</w:t>
          </w:r>
          <w:r>
            <w:rPr>
              <w:b w:val="0"/>
              <w:sz w:val="20"/>
            </w:rPr>
            <w:fldChar w:fldCharType="end"/>
          </w:r>
          <w:r w:rsidR="001A29EE">
            <w:rPr>
              <w:b w:val="0"/>
              <w:sz w:val="20"/>
            </w:rPr>
            <w:t xml:space="preserve">    04</w:t>
          </w:r>
          <w:r>
            <w:rPr>
              <w:b w:val="0"/>
              <w:sz w:val="20"/>
            </w:rPr>
            <w:t xml:space="preserve">0915    </w:t>
          </w:r>
          <w:r w:rsidR="00C103AF">
            <w:rPr>
              <w:b w:val="0"/>
              <w:sz w:val="20"/>
            </w:rPr>
            <w:t>08</w:t>
          </w:r>
          <w:r>
            <w:rPr>
              <w:b w:val="0"/>
              <w:sz w:val="20"/>
            </w:rPr>
            <w:t>0915</w:t>
          </w:r>
        </w:p>
        <w:p w:rsidR="003A775C" w:rsidRPr="003A775C" w:rsidRDefault="003A775C" w:rsidP="003A775C">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DF59C2">
            <w:rPr>
              <w:rFonts w:ascii="Barcode 3 of 9 by request" w:hAnsi="Barcode 3 of 9 by request"/>
              <w:b w:val="0"/>
              <w:spacing w:val="0"/>
              <w:w w:val="100"/>
              <w:sz w:val="24"/>
            </w:rPr>
            <w:t>*1512286*</w:t>
          </w:r>
          <w:r>
            <w:rPr>
              <w:rFonts w:ascii="Barcode 3 of 9 by request" w:hAnsi="Barcode 3 of 9 by request"/>
              <w:b w:val="0"/>
              <w:spacing w:val="0"/>
              <w:w w:val="100"/>
              <w:sz w:val="24"/>
            </w:rPr>
            <w:fldChar w:fldCharType="end"/>
          </w:r>
        </w:p>
      </w:tc>
      <w:tc>
        <w:tcPr>
          <w:tcW w:w="5127" w:type="dxa"/>
        </w:tcPr>
        <w:p w:rsidR="003A775C" w:rsidRDefault="003A775C" w:rsidP="003A775C">
          <w:pPr>
            <w:pStyle w:val="Footer"/>
            <w:spacing w:line="240" w:lineRule="atLeast"/>
            <w:jc w:val="right"/>
            <w:rPr>
              <w:b w:val="0"/>
              <w:sz w:val="20"/>
            </w:rPr>
          </w:pPr>
          <w:r>
            <w:rPr>
              <w:b w:val="0"/>
              <w:noProof/>
              <w:sz w:val="20"/>
            </w:rPr>
            <w:drawing>
              <wp:inline distT="0" distB="0" distL="0" distR="0" wp14:anchorId="07AEDA20" wp14:editId="59F2C136">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3A775C" w:rsidRPr="003A775C" w:rsidRDefault="003A775C" w:rsidP="003A775C">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BEC" w:rsidRPr="003E47D8" w:rsidRDefault="00FC7BEC" w:rsidP="003E47D8">
      <w:pPr>
        <w:pStyle w:val="Footer"/>
        <w:spacing w:after="80"/>
        <w:rPr>
          <w:sz w:val="16"/>
        </w:rPr>
      </w:pPr>
      <w:r w:rsidRPr="003E47D8">
        <w:rPr>
          <w:sz w:val="16"/>
        </w:rPr>
        <w:t>__________________</w:t>
      </w:r>
    </w:p>
  </w:footnote>
  <w:footnote w:type="continuationSeparator" w:id="0">
    <w:p w:rsidR="00FC7BEC" w:rsidRPr="003E47D8" w:rsidRDefault="00FC7BEC" w:rsidP="003E47D8">
      <w:pPr>
        <w:pStyle w:val="Footer"/>
        <w:spacing w:after="80"/>
        <w:rPr>
          <w:sz w:val="16"/>
        </w:rPr>
      </w:pPr>
      <w:r w:rsidRPr="003E47D8">
        <w:rPr>
          <w:sz w:val="16"/>
        </w:rPr>
        <w:t>__________________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3A775C" w:rsidTr="003A775C">
      <w:trPr>
        <w:trHeight w:hRule="exact" w:val="864"/>
        <w:jc w:val="center"/>
      </w:trPr>
      <w:tc>
        <w:tcPr>
          <w:tcW w:w="4882" w:type="dxa"/>
          <w:shd w:val="clear" w:color="auto" w:fill="auto"/>
          <w:vAlign w:val="bottom"/>
        </w:tcPr>
        <w:p w:rsidR="003A775C" w:rsidRPr="003A775C" w:rsidRDefault="003A775C" w:rsidP="003A775C">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DF59C2">
            <w:rPr>
              <w:b/>
              <w:color w:val="000000"/>
            </w:rPr>
            <w:t>A/HRC/30/55</w:t>
          </w:r>
          <w:r>
            <w:rPr>
              <w:b/>
              <w:color w:val="000000"/>
            </w:rPr>
            <w:fldChar w:fldCharType="end"/>
          </w:r>
        </w:p>
      </w:tc>
      <w:tc>
        <w:tcPr>
          <w:tcW w:w="5127" w:type="dxa"/>
          <w:shd w:val="clear" w:color="auto" w:fill="auto"/>
          <w:vAlign w:val="bottom"/>
        </w:tcPr>
        <w:p w:rsidR="003A775C" w:rsidRDefault="003A775C" w:rsidP="003A775C">
          <w:pPr>
            <w:pStyle w:val="Header"/>
          </w:pPr>
        </w:p>
      </w:tc>
    </w:tr>
  </w:tbl>
  <w:p w:rsidR="003A775C" w:rsidRPr="003A775C" w:rsidRDefault="003A775C" w:rsidP="003A775C">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3A775C" w:rsidTr="003A775C">
      <w:trPr>
        <w:trHeight w:hRule="exact" w:val="864"/>
        <w:jc w:val="center"/>
      </w:trPr>
      <w:tc>
        <w:tcPr>
          <w:tcW w:w="4882" w:type="dxa"/>
          <w:shd w:val="clear" w:color="auto" w:fill="auto"/>
          <w:vAlign w:val="bottom"/>
        </w:tcPr>
        <w:p w:rsidR="003A775C" w:rsidRDefault="003A775C" w:rsidP="003A775C">
          <w:pPr>
            <w:pStyle w:val="Header"/>
          </w:pPr>
        </w:p>
      </w:tc>
      <w:tc>
        <w:tcPr>
          <w:tcW w:w="5127" w:type="dxa"/>
          <w:shd w:val="clear" w:color="auto" w:fill="auto"/>
          <w:vAlign w:val="bottom"/>
        </w:tcPr>
        <w:p w:rsidR="003A775C" w:rsidRPr="003A775C" w:rsidRDefault="003A775C" w:rsidP="003A775C">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DF59C2">
            <w:rPr>
              <w:b/>
              <w:color w:val="000000"/>
            </w:rPr>
            <w:t>A/HRC/30/55</w:t>
          </w:r>
          <w:r>
            <w:rPr>
              <w:b/>
              <w:color w:val="000000"/>
            </w:rPr>
            <w:fldChar w:fldCharType="end"/>
          </w:r>
        </w:p>
      </w:tc>
    </w:tr>
  </w:tbl>
  <w:p w:rsidR="003A775C" w:rsidRPr="003A775C" w:rsidRDefault="003A775C" w:rsidP="003A775C">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3A775C" w:rsidTr="003A775C">
      <w:trPr>
        <w:trHeight w:hRule="exact" w:val="864"/>
      </w:trPr>
      <w:tc>
        <w:tcPr>
          <w:tcW w:w="1267" w:type="dxa"/>
          <w:tcBorders>
            <w:bottom w:val="single" w:sz="4" w:space="0" w:color="auto"/>
          </w:tcBorders>
          <w:shd w:val="clear" w:color="auto" w:fill="auto"/>
          <w:vAlign w:val="bottom"/>
        </w:tcPr>
        <w:p w:rsidR="003A775C" w:rsidRDefault="003A775C" w:rsidP="003A775C">
          <w:pPr>
            <w:pStyle w:val="Header"/>
            <w:spacing w:after="120"/>
          </w:pPr>
        </w:p>
      </w:tc>
      <w:tc>
        <w:tcPr>
          <w:tcW w:w="2059" w:type="dxa"/>
          <w:tcBorders>
            <w:bottom w:val="single" w:sz="4" w:space="0" w:color="auto"/>
          </w:tcBorders>
          <w:shd w:val="clear" w:color="auto" w:fill="auto"/>
          <w:vAlign w:val="bottom"/>
        </w:tcPr>
        <w:p w:rsidR="003A775C" w:rsidRPr="003A775C" w:rsidRDefault="003A775C" w:rsidP="003A775C">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3A775C" w:rsidRDefault="003A775C" w:rsidP="003A775C">
          <w:pPr>
            <w:pStyle w:val="Header"/>
            <w:spacing w:after="120"/>
          </w:pPr>
        </w:p>
      </w:tc>
      <w:tc>
        <w:tcPr>
          <w:tcW w:w="6653" w:type="dxa"/>
          <w:gridSpan w:val="4"/>
          <w:tcBorders>
            <w:bottom w:val="single" w:sz="4" w:space="0" w:color="auto"/>
          </w:tcBorders>
          <w:shd w:val="clear" w:color="auto" w:fill="auto"/>
          <w:vAlign w:val="bottom"/>
        </w:tcPr>
        <w:p w:rsidR="003A775C" w:rsidRPr="003A775C" w:rsidRDefault="003A775C" w:rsidP="003A775C">
          <w:pPr>
            <w:spacing w:after="80" w:line="240" w:lineRule="auto"/>
            <w:jc w:val="right"/>
            <w:rPr>
              <w:position w:val="-4"/>
            </w:rPr>
          </w:pPr>
          <w:r>
            <w:rPr>
              <w:position w:val="-4"/>
              <w:sz w:val="40"/>
            </w:rPr>
            <w:t>A</w:t>
          </w:r>
          <w:r>
            <w:rPr>
              <w:position w:val="-4"/>
            </w:rPr>
            <w:t>/HRC/30/55</w:t>
          </w:r>
        </w:p>
      </w:tc>
    </w:tr>
    <w:tr w:rsidR="003A775C" w:rsidRPr="003A775C" w:rsidTr="003A775C">
      <w:trPr>
        <w:gridAfter w:val="1"/>
        <w:wAfter w:w="18" w:type="dxa"/>
        <w:trHeight w:hRule="exact" w:val="2880"/>
      </w:trPr>
      <w:tc>
        <w:tcPr>
          <w:tcW w:w="1267" w:type="dxa"/>
          <w:tcBorders>
            <w:top w:val="single" w:sz="4" w:space="0" w:color="auto"/>
            <w:bottom w:val="single" w:sz="12" w:space="0" w:color="auto"/>
          </w:tcBorders>
          <w:shd w:val="clear" w:color="auto" w:fill="auto"/>
        </w:tcPr>
        <w:p w:rsidR="003A775C" w:rsidRPr="003A775C" w:rsidRDefault="003A775C" w:rsidP="003A775C">
          <w:pPr>
            <w:pStyle w:val="Header"/>
            <w:spacing w:before="120" w:line="240" w:lineRule="auto"/>
            <w:ind w:left="-72"/>
            <w:jc w:val="center"/>
          </w:pPr>
          <w:r>
            <w:t xml:space="preserve">  </w:t>
          </w:r>
          <w:r>
            <w:rPr>
              <w:noProof/>
            </w:rPr>
            <w:drawing>
              <wp:inline distT="0" distB="0" distL="0" distR="0" wp14:anchorId="4768E360" wp14:editId="1DE7A974">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3A775C" w:rsidRPr="003A775C" w:rsidRDefault="003A775C" w:rsidP="003A775C">
          <w:pPr>
            <w:pStyle w:val="XLarge"/>
            <w:spacing w:before="109"/>
          </w:pPr>
          <w:r>
            <w:t>Assemblée générale</w:t>
          </w:r>
        </w:p>
      </w:tc>
      <w:tc>
        <w:tcPr>
          <w:tcW w:w="245" w:type="dxa"/>
          <w:tcBorders>
            <w:top w:val="single" w:sz="4" w:space="0" w:color="auto"/>
            <w:bottom w:val="single" w:sz="12" w:space="0" w:color="auto"/>
          </w:tcBorders>
          <w:shd w:val="clear" w:color="auto" w:fill="auto"/>
        </w:tcPr>
        <w:p w:rsidR="003A775C" w:rsidRPr="003A775C" w:rsidRDefault="003A775C" w:rsidP="003A775C">
          <w:pPr>
            <w:pStyle w:val="Header"/>
            <w:spacing w:before="109"/>
          </w:pPr>
        </w:p>
      </w:tc>
      <w:tc>
        <w:tcPr>
          <w:tcW w:w="3280" w:type="dxa"/>
          <w:tcBorders>
            <w:top w:val="single" w:sz="4" w:space="0" w:color="auto"/>
            <w:bottom w:val="single" w:sz="12" w:space="0" w:color="auto"/>
          </w:tcBorders>
          <w:shd w:val="clear" w:color="auto" w:fill="auto"/>
        </w:tcPr>
        <w:p w:rsidR="003A775C" w:rsidRDefault="003A775C" w:rsidP="003A775C">
          <w:pPr>
            <w:pStyle w:val="Distribution"/>
            <w:rPr>
              <w:color w:val="000000"/>
            </w:rPr>
          </w:pPr>
          <w:r>
            <w:rPr>
              <w:color w:val="000000"/>
            </w:rPr>
            <w:t>Distr. générale</w:t>
          </w:r>
        </w:p>
        <w:p w:rsidR="003A775C" w:rsidRDefault="003A775C" w:rsidP="003A775C">
          <w:pPr>
            <w:pStyle w:val="Publication"/>
            <w:rPr>
              <w:color w:val="000000"/>
            </w:rPr>
          </w:pPr>
          <w:r>
            <w:rPr>
              <w:color w:val="000000"/>
            </w:rPr>
            <w:t>22 juillet 2015</w:t>
          </w:r>
        </w:p>
        <w:p w:rsidR="003A775C" w:rsidRDefault="003A775C" w:rsidP="003A775C">
          <w:pPr>
            <w:rPr>
              <w:lang w:val="en-US"/>
            </w:rPr>
          </w:pPr>
          <w:r>
            <w:rPr>
              <w:lang w:val="en-US"/>
            </w:rPr>
            <w:t>Français</w:t>
          </w:r>
        </w:p>
        <w:p w:rsidR="003A775C" w:rsidRPr="003A775C" w:rsidRDefault="003A775C" w:rsidP="003A775C">
          <w:pPr>
            <w:pStyle w:val="Original"/>
            <w:rPr>
              <w:color w:val="000000"/>
            </w:rPr>
          </w:pPr>
          <w:r>
            <w:rPr>
              <w:color w:val="000000"/>
            </w:rPr>
            <w:t>Original : anglais</w:t>
          </w:r>
        </w:p>
      </w:tc>
    </w:tr>
  </w:tbl>
  <w:p w:rsidR="003A775C" w:rsidRPr="003A775C" w:rsidRDefault="003A775C" w:rsidP="003A775C">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143978A7"/>
    <w:multiLevelType w:val="singleLevel"/>
    <w:tmpl w:val="4A4CD722"/>
    <w:lvl w:ilvl="0">
      <w:start w:val="54"/>
      <w:numFmt w:val="decimal"/>
      <w:lvlRestart w:val="0"/>
      <w:lvlText w:val="%1."/>
      <w:lvlJc w:val="left"/>
      <w:pPr>
        <w:tabs>
          <w:tab w:val="num" w:pos="475"/>
        </w:tabs>
        <w:ind w:left="0" w:firstLine="0"/>
      </w:pPr>
      <w:rPr>
        <w:rFonts w:hint="default"/>
        <w:b w:val="0"/>
        <w:w w:val="100"/>
      </w:rPr>
    </w:lvl>
  </w:abstractNum>
  <w:abstractNum w:abstractNumId="4">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002BC"/>
    <w:multiLevelType w:val="singleLevel"/>
    <w:tmpl w:val="0409000F"/>
    <w:lvl w:ilvl="0">
      <w:start w:val="1"/>
      <w:numFmt w:val="decimal"/>
      <w:lvlText w:val="%1."/>
      <w:lvlJc w:val="left"/>
      <w:pPr>
        <w:ind w:left="720" w:hanging="360"/>
      </w:pPr>
    </w:lvl>
  </w:abstractNum>
  <w:abstractNum w:abstractNumId="6">
    <w:nsid w:val="262A478C"/>
    <w:multiLevelType w:val="multilevel"/>
    <w:tmpl w:val="A1F49184"/>
    <w:name w:val="TOC"/>
    <w:lvl w:ilvl="0">
      <w:start w:val="1"/>
      <w:numFmt w:val="upperRoman"/>
      <w:lvlText w:val="%1."/>
      <w:lvlJc w:val="right"/>
      <w:pPr>
        <w:tabs>
          <w:tab w:val="num" w:pos="1296"/>
        </w:tabs>
        <w:ind w:left="1296" w:hanging="216"/>
      </w:pPr>
      <w:rPr>
        <w:spacing w:val="4"/>
        <w:sz w:val="20"/>
        <w:szCs w:val="20"/>
      </w:rPr>
    </w:lvl>
    <w:lvl w:ilvl="1">
      <w:start w:val="1"/>
      <w:numFmt w:val="upperLetter"/>
      <w:lvlText w:val="%2."/>
      <w:lvlJc w:val="left"/>
      <w:pPr>
        <w:tabs>
          <w:tab w:val="num" w:pos="1728"/>
        </w:tabs>
        <w:ind w:left="1728" w:hanging="432"/>
      </w:pPr>
      <w:rPr>
        <w:sz w:val="20"/>
        <w:szCs w:val="20"/>
      </w:r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28D359B5"/>
    <w:multiLevelType w:val="singleLevel"/>
    <w:tmpl w:val="6B003F72"/>
    <w:lvl w:ilvl="0">
      <w:start w:val="1"/>
      <w:numFmt w:val="decimal"/>
      <w:lvlRestart w:val="0"/>
      <w:lvlText w:val="%1."/>
      <w:lvlJc w:val="left"/>
      <w:pPr>
        <w:tabs>
          <w:tab w:val="num" w:pos="475"/>
        </w:tabs>
        <w:ind w:left="0" w:firstLine="0"/>
      </w:pPr>
      <w:rPr>
        <w:w w:val="100"/>
      </w:rPr>
    </w:lvl>
  </w:abstractNum>
  <w:abstractNum w:abstractNumId="8">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B61200"/>
    <w:multiLevelType w:val="singleLevel"/>
    <w:tmpl w:val="0409000F"/>
    <w:lvl w:ilvl="0">
      <w:start w:val="1"/>
      <w:numFmt w:val="decimal"/>
      <w:lvlText w:val="%1."/>
      <w:lvlJc w:val="left"/>
      <w:pPr>
        <w:ind w:left="720" w:hanging="360"/>
      </w:pPr>
    </w:lvl>
  </w:abstractNum>
  <w:abstractNum w:abstractNumId="10">
    <w:nsid w:val="572C7B41"/>
    <w:multiLevelType w:val="singleLevel"/>
    <w:tmpl w:val="6B003F72"/>
    <w:lvl w:ilvl="0">
      <w:start w:val="1"/>
      <w:numFmt w:val="decimal"/>
      <w:lvlRestart w:val="0"/>
      <w:lvlText w:val="%1."/>
      <w:lvlJc w:val="left"/>
      <w:pPr>
        <w:tabs>
          <w:tab w:val="num" w:pos="475"/>
        </w:tabs>
        <w:ind w:left="0" w:firstLine="0"/>
      </w:pPr>
      <w:rPr>
        <w:w w:val="100"/>
      </w:rPr>
    </w:lvl>
  </w:abstractNum>
  <w:abstractNum w:abstractNumId="11">
    <w:nsid w:val="60334F15"/>
    <w:multiLevelType w:val="multilevel"/>
    <w:tmpl w:val="DE96DB2C"/>
    <w:name w:val="TOC2"/>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60D8187C"/>
    <w:multiLevelType w:val="singleLevel"/>
    <w:tmpl w:val="47FAA160"/>
    <w:lvl w:ilvl="0">
      <w:start w:val="29"/>
      <w:numFmt w:val="decimal"/>
      <w:lvlRestart w:val="0"/>
      <w:lvlText w:val="%1."/>
      <w:lvlJc w:val="left"/>
      <w:pPr>
        <w:tabs>
          <w:tab w:val="num" w:pos="475"/>
        </w:tabs>
        <w:ind w:left="0" w:firstLine="0"/>
      </w:pPr>
      <w:rPr>
        <w:rFonts w:hint="default"/>
        <w:b w:val="0"/>
        <w:w w:val="100"/>
        <w:sz w:val="20"/>
        <w:szCs w:val="20"/>
      </w:rPr>
    </w:lvl>
  </w:abstractNum>
  <w:abstractNum w:abstractNumId="13">
    <w:nsid w:val="74181794"/>
    <w:multiLevelType w:val="multilevel"/>
    <w:tmpl w:val="8CEA7440"/>
    <w:lvl w:ilvl="0">
      <w:start w:val="1"/>
      <w:numFmt w:val="upperRoman"/>
      <w:lvlText w:val="%1."/>
      <w:lvlJc w:val="right"/>
      <w:pPr>
        <w:tabs>
          <w:tab w:val="num" w:pos="1296"/>
        </w:tabs>
        <w:ind w:left="1296" w:hanging="216"/>
      </w:pPr>
      <w:rPr>
        <w:sz w:val="20"/>
        <w:szCs w:val="20"/>
      </w:rPr>
    </w:lvl>
    <w:lvl w:ilvl="1">
      <w:start w:val="1"/>
      <w:numFmt w:val="upperLetter"/>
      <w:lvlText w:val="%2."/>
      <w:lvlJc w:val="left"/>
      <w:pPr>
        <w:tabs>
          <w:tab w:val="num" w:pos="1728"/>
        </w:tabs>
        <w:ind w:left="1728" w:hanging="432"/>
      </w:pPr>
      <w:rPr>
        <w:sz w:val="20"/>
        <w:szCs w:val="20"/>
      </w:r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4"/>
  </w:num>
  <w:num w:numId="4">
    <w:abstractNumId w:val="8"/>
  </w:num>
  <w:num w:numId="5">
    <w:abstractNumId w:val="0"/>
  </w:num>
  <w:num w:numId="6">
    <w:abstractNumId w:val="6"/>
  </w:num>
  <w:num w:numId="7">
    <w:abstractNumId w:val="10"/>
  </w:num>
  <w:num w:numId="8">
    <w:abstractNumId w:val="7"/>
  </w:num>
  <w:num w:numId="9">
    <w:abstractNumId w:val="7"/>
    <w:lvlOverride w:ilvl="0">
      <w:lvl w:ilvl="0">
        <w:start w:val="1"/>
        <w:numFmt w:val="decimal"/>
        <w:lvlRestart w:val="0"/>
        <w:lvlText w:val="%1."/>
        <w:lvlJc w:val="left"/>
        <w:pPr>
          <w:tabs>
            <w:tab w:val="num" w:pos="475"/>
          </w:tabs>
          <w:ind w:left="0" w:firstLine="0"/>
        </w:pPr>
        <w:rPr>
          <w:w w:val="100"/>
        </w:rPr>
      </w:lvl>
    </w:lvlOverride>
  </w:num>
  <w:num w:numId="10">
    <w:abstractNumId w:val="11"/>
  </w:num>
  <w:num w:numId="11">
    <w:abstractNumId w:val="9"/>
  </w:num>
  <w:num w:numId="12">
    <w:abstractNumId w:val="5"/>
  </w:num>
  <w:num w:numId="13">
    <w:abstractNumId w:val="1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stylePaneSortMethod w:val="0003"/>
  <w:revisionView w:markup="0"/>
  <w:defaultTabStop w:val="475"/>
  <w:doNotHyphenateCaps/>
  <w:evenAndOddHeaders/>
  <w:characterSpacingControl w:val="doNotCompress"/>
  <w:hdrShapeDefaults>
    <o:shapedefaults v:ext="edit" spidmax="14337"/>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286*"/>
    <w:docVar w:name="CreationDt" w:val="9/7/2015 1:32: PM"/>
    <w:docVar w:name="DocCategory" w:val="Doc"/>
    <w:docVar w:name="DocType" w:val="Final"/>
    <w:docVar w:name="DutyStation" w:val="Geneva"/>
    <w:docVar w:name="FooterJN" w:val="GE.15-12286"/>
    <w:docVar w:name="jobn" w:val="GE.15-12286 (F)"/>
    <w:docVar w:name="jobnDT" w:val="GE.15-12286 (F)   070915"/>
    <w:docVar w:name="jobnDTDT" w:val="GE.15-12286 (F)   070915   070915"/>
    <w:docVar w:name="JobNo" w:val="GE.1512286F"/>
    <w:docVar w:name="JobNo2" w:val="GE.1516189F"/>
    <w:docVar w:name="LocalDrive" w:val="0"/>
    <w:docVar w:name="OandT" w:val="Christine"/>
    <w:docVar w:name="PaperSize" w:val="A4"/>
    <w:docVar w:name="sss1" w:val="A/HRC/30/55"/>
    <w:docVar w:name="sss2" w:val="-"/>
    <w:docVar w:name="Symbol1" w:val="A/HRC/30/55"/>
    <w:docVar w:name="Symbol2" w:val="-"/>
  </w:docVars>
  <w:rsids>
    <w:rsidRoot w:val="00FC7BEC"/>
    <w:rsid w:val="000015B8"/>
    <w:rsid w:val="000046A5"/>
    <w:rsid w:val="000055FB"/>
    <w:rsid w:val="00014D7D"/>
    <w:rsid w:val="00015284"/>
    <w:rsid w:val="00016483"/>
    <w:rsid w:val="00022173"/>
    <w:rsid w:val="0002226F"/>
    <w:rsid w:val="00022B4A"/>
    <w:rsid w:val="0002333A"/>
    <w:rsid w:val="00023E37"/>
    <w:rsid w:val="000249FF"/>
    <w:rsid w:val="00025DE5"/>
    <w:rsid w:val="000274C2"/>
    <w:rsid w:val="00033DC9"/>
    <w:rsid w:val="000378DE"/>
    <w:rsid w:val="00040497"/>
    <w:rsid w:val="00041ABD"/>
    <w:rsid w:val="000458A7"/>
    <w:rsid w:val="00046043"/>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BDF"/>
    <w:rsid w:val="00077CC4"/>
    <w:rsid w:val="00083D89"/>
    <w:rsid w:val="00085112"/>
    <w:rsid w:val="00086B19"/>
    <w:rsid w:val="0008708F"/>
    <w:rsid w:val="00091BC1"/>
    <w:rsid w:val="00091DBD"/>
    <w:rsid w:val="00096B3C"/>
    <w:rsid w:val="000A18B6"/>
    <w:rsid w:val="000A24DE"/>
    <w:rsid w:val="000A2612"/>
    <w:rsid w:val="000A3AB1"/>
    <w:rsid w:val="000A4A47"/>
    <w:rsid w:val="000A74D1"/>
    <w:rsid w:val="000A758E"/>
    <w:rsid w:val="000B0E9A"/>
    <w:rsid w:val="000B1A18"/>
    <w:rsid w:val="000B2CD0"/>
    <w:rsid w:val="000B3ED4"/>
    <w:rsid w:val="000B5AF0"/>
    <w:rsid w:val="000B6B84"/>
    <w:rsid w:val="000B7004"/>
    <w:rsid w:val="000C085A"/>
    <w:rsid w:val="000C0ADD"/>
    <w:rsid w:val="000C349B"/>
    <w:rsid w:val="000C683C"/>
    <w:rsid w:val="000D44E3"/>
    <w:rsid w:val="000D5D82"/>
    <w:rsid w:val="000D66AC"/>
    <w:rsid w:val="000D7829"/>
    <w:rsid w:val="000D7ED4"/>
    <w:rsid w:val="000E07DF"/>
    <w:rsid w:val="000E1550"/>
    <w:rsid w:val="000E1ABE"/>
    <w:rsid w:val="000E718A"/>
    <w:rsid w:val="000F04A8"/>
    <w:rsid w:val="000F1B8A"/>
    <w:rsid w:val="000F299A"/>
    <w:rsid w:val="000F32CA"/>
    <w:rsid w:val="000F36A0"/>
    <w:rsid w:val="000F53E9"/>
    <w:rsid w:val="000F6A05"/>
    <w:rsid w:val="000F6E7D"/>
    <w:rsid w:val="000F7FD8"/>
    <w:rsid w:val="001027E2"/>
    <w:rsid w:val="0010575E"/>
    <w:rsid w:val="00106549"/>
    <w:rsid w:val="00107710"/>
    <w:rsid w:val="00107C97"/>
    <w:rsid w:val="00111E91"/>
    <w:rsid w:val="0011255C"/>
    <w:rsid w:val="001126A7"/>
    <w:rsid w:val="00112FE9"/>
    <w:rsid w:val="0011497A"/>
    <w:rsid w:val="001156F7"/>
    <w:rsid w:val="00116149"/>
    <w:rsid w:val="00123812"/>
    <w:rsid w:val="001256F6"/>
    <w:rsid w:val="001262BA"/>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D05"/>
    <w:rsid w:val="00193A8C"/>
    <w:rsid w:val="001A29EE"/>
    <w:rsid w:val="001A2E2D"/>
    <w:rsid w:val="001A4BAA"/>
    <w:rsid w:val="001A4F4E"/>
    <w:rsid w:val="001A76F3"/>
    <w:rsid w:val="001B5583"/>
    <w:rsid w:val="001B5A24"/>
    <w:rsid w:val="001C0599"/>
    <w:rsid w:val="001C28C8"/>
    <w:rsid w:val="001C3C57"/>
    <w:rsid w:val="001C4664"/>
    <w:rsid w:val="001C4EBE"/>
    <w:rsid w:val="001C5B90"/>
    <w:rsid w:val="001D0E60"/>
    <w:rsid w:val="001D272D"/>
    <w:rsid w:val="001D280C"/>
    <w:rsid w:val="001D294E"/>
    <w:rsid w:val="001E2D50"/>
    <w:rsid w:val="001E44F3"/>
    <w:rsid w:val="001F053A"/>
    <w:rsid w:val="001F2DA6"/>
    <w:rsid w:val="001F4DBE"/>
    <w:rsid w:val="001F62AF"/>
    <w:rsid w:val="001F793D"/>
    <w:rsid w:val="001F7E9D"/>
    <w:rsid w:val="002021E9"/>
    <w:rsid w:val="00202789"/>
    <w:rsid w:val="00202F1F"/>
    <w:rsid w:val="00205199"/>
    <w:rsid w:val="0020521E"/>
    <w:rsid w:val="00206598"/>
    <w:rsid w:val="00207447"/>
    <w:rsid w:val="00207CAA"/>
    <w:rsid w:val="0021168F"/>
    <w:rsid w:val="002178A7"/>
    <w:rsid w:val="0022148D"/>
    <w:rsid w:val="002220FF"/>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46AE"/>
    <w:rsid w:val="00285DC4"/>
    <w:rsid w:val="00286531"/>
    <w:rsid w:val="002867C7"/>
    <w:rsid w:val="0029018C"/>
    <w:rsid w:val="002A07EF"/>
    <w:rsid w:val="002A27E5"/>
    <w:rsid w:val="002A69DB"/>
    <w:rsid w:val="002B037D"/>
    <w:rsid w:val="002B1D15"/>
    <w:rsid w:val="002B4A7F"/>
    <w:rsid w:val="002B5449"/>
    <w:rsid w:val="002B5928"/>
    <w:rsid w:val="002C3640"/>
    <w:rsid w:val="002C3FD3"/>
    <w:rsid w:val="002C419A"/>
    <w:rsid w:val="002C472D"/>
    <w:rsid w:val="002C77CF"/>
    <w:rsid w:val="002D45C0"/>
    <w:rsid w:val="002D5981"/>
    <w:rsid w:val="002D73B9"/>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6628"/>
    <w:rsid w:val="00316B58"/>
    <w:rsid w:val="00317686"/>
    <w:rsid w:val="003235C7"/>
    <w:rsid w:val="00326270"/>
    <w:rsid w:val="0032685C"/>
    <w:rsid w:val="0032728E"/>
    <w:rsid w:val="00332A87"/>
    <w:rsid w:val="00333703"/>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A775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F108A"/>
    <w:rsid w:val="003F11A9"/>
    <w:rsid w:val="003F27A0"/>
    <w:rsid w:val="003F34C6"/>
    <w:rsid w:val="003F57D1"/>
    <w:rsid w:val="00401219"/>
    <w:rsid w:val="00401A28"/>
    <w:rsid w:val="004039C7"/>
    <w:rsid w:val="004065B7"/>
    <w:rsid w:val="004066EB"/>
    <w:rsid w:val="00406E1E"/>
    <w:rsid w:val="00414C9D"/>
    <w:rsid w:val="00415A2B"/>
    <w:rsid w:val="00416293"/>
    <w:rsid w:val="004204AE"/>
    <w:rsid w:val="0042753D"/>
    <w:rsid w:val="004309B5"/>
    <w:rsid w:val="0043103D"/>
    <w:rsid w:val="00432662"/>
    <w:rsid w:val="004342B2"/>
    <w:rsid w:val="00437FC9"/>
    <w:rsid w:val="00441593"/>
    <w:rsid w:val="00443A00"/>
    <w:rsid w:val="00444609"/>
    <w:rsid w:val="004448E6"/>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1DBB"/>
    <w:rsid w:val="004B304A"/>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586A"/>
    <w:rsid w:val="0051666F"/>
    <w:rsid w:val="0051772A"/>
    <w:rsid w:val="00517E8B"/>
    <w:rsid w:val="00520271"/>
    <w:rsid w:val="00520B7B"/>
    <w:rsid w:val="00522110"/>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6065E"/>
    <w:rsid w:val="005669CA"/>
    <w:rsid w:val="00575199"/>
    <w:rsid w:val="00577899"/>
    <w:rsid w:val="00577BDD"/>
    <w:rsid w:val="005811A3"/>
    <w:rsid w:val="00583566"/>
    <w:rsid w:val="00584E7A"/>
    <w:rsid w:val="00585CA8"/>
    <w:rsid w:val="00585DEA"/>
    <w:rsid w:val="0058795C"/>
    <w:rsid w:val="00590A88"/>
    <w:rsid w:val="00591AA0"/>
    <w:rsid w:val="0059357F"/>
    <w:rsid w:val="00593781"/>
    <w:rsid w:val="00594AE2"/>
    <w:rsid w:val="005958B3"/>
    <w:rsid w:val="00596647"/>
    <w:rsid w:val="00597A85"/>
    <w:rsid w:val="005A037D"/>
    <w:rsid w:val="005A0DEC"/>
    <w:rsid w:val="005A1E12"/>
    <w:rsid w:val="005A305D"/>
    <w:rsid w:val="005A3B14"/>
    <w:rsid w:val="005A6A6E"/>
    <w:rsid w:val="005A6D92"/>
    <w:rsid w:val="005A6DD6"/>
    <w:rsid w:val="005A7976"/>
    <w:rsid w:val="005B33A4"/>
    <w:rsid w:val="005B5D99"/>
    <w:rsid w:val="005B74B8"/>
    <w:rsid w:val="005C1353"/>
    <w:rsid w:val="005C3A63"/>
    <w:rsid w:val="005C65C2"/>
    <w:rsid w:val="005D60D4"/>
    <w:rsid w:val="005D7CA9"/>
    <w:rsid w:val="005E731E"/>
    <w:rsid w:val="005F12E0"/>
    <w:rsid w:val="005F2726"/>
    <w:rsid w:val="005F2A30"/>
    <w:rsid w:val="005F2FA6"/>
    <w:rsid w:val="005F35C5"/>
    <w:rsid w:val="005F4882"/>
    <w:rsid w:val="005F6A9F"/>
    <w:rsid w:val="005F6E3F"/>
    <w:rsid w:val="0060033F"/>
    <w:rsid w:val="00603211"/>
    <w:rsid w:val="0060375B"/>
    <w:rsid w:val="00606A0C"/>
    <w:rsid w:val="00607448"/>
    <w:rsid w:val="0060792E"/>
    <w:rsid w:val="00611860"/>
    <w:rsid w:val="00611DA0"/>
    <w:rsid w:val="00612407"/>
    <w:rsid w:val="006125AC"/>
    <w:rsid w:val="00616E84"/>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0332"/>
    <w:rsid w:val="00671687"/>
    <w:rsid w:val="00673F2C"/>
    <w:rsid w:val="00675A53"/>
    <w:rsid w:val="006770E8"/>
    <w:rsid w:val="00677725"/>
    <w:rsid w:val="006803F5"/>
    <w:rsid w:val="006817AB"/>
    <w:rsid w:val="006853D8"/>
    <w:rsid w:val="006866E8"/>
    <w:rsid w:val="00687FB1"/>
    <w:rsid w:val="0069608C"/>
    <w:rsid w:val="00697952"/>
    <w:rsid w:val="006A04E6"/>
    <w:rsid w:val="006A0B3D"/>
    <w:rsid w:val="006A2F71"/>
    <w:rsid w:val="006A5910"/>
    <w:rsid w:val="006B0070"/>
    <w:rsid w:val="006B1ABC"/>
    <w:rsid w:val="006B2863"/>
    <w:rsid w:val="006B64BE"/>
    <w:rsid w:val="006C1A92"/>
    <w:rsid w:val="006C3BDD"/>
    <w:rsid w:val="006C449D"/>
    <w:rsid w:val="006D0C9B"/>
    <w:rsid w:val="006D1115"/>
    <w:rsid w:val="006D138E"/>
    <w:rsid w:val="006D1B76"/>
    <w:rsid w:val="006D2201"/>
    <w:rsid w:val="006D5832"/>
    <w:rsid w:val="006E215F"/>
    <w:rsid w:val="006E3D5C"/>
    <w:rsid w:val="006E4078"/>
    <w:rsid w:val="006E4E12"/>
    <w:rsid w:val="006E4EFA"/>
    <w:rsid w:val="006E5649"/>
    <w:rsid w:val="006F41DD"/>
    <w:rsid w:val="006F5A33"/>
    <w:rsid w:val="006F6787"/>
    <w:rsid w:val="006F6EDD"/>
    <w:rsid w:val="007033D2"/>
    <w:rsid w:val="00704AF5"/>
    <w:rsid w:val="0070555E"/>
    <w:rsid w:val="00707DF8"/>
    <w:rsid w:val="00711F00"/>
    <w:rsid w:val="0071328D"/>
    <w:rsid w:val="00721866"/>
    <w:rsid w:val="0072436A"/>
    <w:rsid w:val="00727A50"/>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9C3"/>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271"/>
    <w:rsid w:val="007867FB"/>
    <w:rsid w:val="00790459"/>
    <w:rsid w:val="00790682"/>
    <w:rsid w:val="00790789"/>
    <w:rsid w:val="00791633"/>
    <w:rsid w:val="00792100"/>
    <w:rsid w:val="0079292B"/>
    <w:rsid w:val="0079302E"/>
    <w:rsid w:val="0079317F"/>
    <w:rsid w:val="0079379B"/>
    <w:rsid w:val="0079452A"/>
    <w:rsid w:val="00794EC6"/>
    <w:rsid w:val="00794FED"/>
    <w:rsid w:val="00795AD7"/>
    <w:rsid w:val="007961E2"/>
    <w:rsid w:val="007A345A"/>
    <w:rsid w:val="007A3D35"/>
    <w:rsid w:val="007A78C2"/>
    <w:rsid w:val="007B05E9"/>
    <w:rsid w:val="007B1E17"/>
    <w:rsid w:val="007C0C1F"/>
    <w:rsid w:val="007C206E"/>
    <w:rsid w:val="007C2936"/>
    <w:rsid w:val="007C662A"/>
    <w:rsid w:val="007C7D7F"/>
    <w:rsid w:val="007D33BA"/>
    <w:rsid w:val="007D4190"/>
    <w:rsid w:val="007D6FCB"/>
    <w:rsid w:val="007D7FD4"/>
    <w:rsid w:val="007E2FEB"/>
    <w:rsid w:val="007E74E9"/>
    <w:rsid w:val="007F0ED6"/>
    <w:rsid w:val="007F3DCC"/>
    <w:rsid w:val="007F49BD"/>
    <w:rsid w:val="007F6F95"/>
    <w:rsid w:val="007F77CB"/>
    <w:rsid w:val="00800903"/>
    <w:rsid w:val="008040BA"/>
    <w:rsid w:val="00804131"/>
    <w:rsid w:val="00804565"/>
    <w:rsid w:val="008067ED"/>
    <w:rsid w:val="00806A3B"/>
    <w:rsid w:val="00807CA4"/>
    <w:rsid w:val="008100FD"/>
    <w:rsid w:val="008114C3"/>
    <w:rsid w:val="00814C2A"/>
    <w:rsid w:val="00816ECE"/>
    <w:rsid w:val="008173CF"/>
    <w:rsid w:val="00817884"/>
    <w:rsid w:val="0082537E"/>
    <w:rsid w:val="00825C31"/>
    <w:rsid w:val="00833A79"/>
    <w:rsid w:val="00833BFF"/>
    <w:rsid w:val="0083677A"/>
    <w:rsid w:val="00837284"/>
    <w:rsid w:val="0083731D"/>
    <w:rsid w:val="00837549"/>
    <w:rsid w:val="008415FE"/>
    <w:rsid w:val="00842319"/>
    <w:rsid w:val="008435C2"/>
    <w:rsid w:val="00844B5C"/>
    <w:rsid w:val="00846431"/>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3ABC"/>
    <w:rsid w:val="008A3F98"/>
    <w:rsid w:val="008A4C0E"/>
    <w:rsid w:val="008A5334"/>
    <w:rsid w:val="008A630B"/>
    <w:rsid w:val="008A734B"/>
    <w:rsid w:val="008B24ED"/>
    <w:rsid w:val="008B5932"/>
    <w:rsid w:val="008C1225"/>
    <w:rsid w:val="008C1646"/>
    <w:rsid w:val="008C189A"/>
    <w:rsid w:val="008C1E51"/>
    <w:rsid w:val="008C2C0E"/>
    <w:rsid w:val="008C5E6B"/>
    <w:rsid w:val="008C6672"/>
    <w:rsid w:val="008C682D"/>
    <w:rsid w:val="008D2DCF"/>
    <w:rsid w:val="008D3043"/>
    <w:rsid w:val="008D3318"/>
    <w:rsid w:val="008D4C00"/>
    <w:rsid w:val="008D52CD"/>
    <w:rsid w:val="008D5C5F"/>
    <w:rsid w:val="008D613D"/>
    <w:rsid w:val="008D756B"/>
    <w:rsid w:val="008E1E88"/>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21BE8"/>
    <w:rsid w:val="00922E3D"/>
    <w:rsid w:val="009316DC"/>
    <w:rsid w:val="00931752"/>
    <w:rsid w:val="00932A3B"/>
    <w:rsid w:val="00932FDF"/>
    <w:rsid w:val="00934D34"/>
    <w:rsid w:val="00936529"/>
    <w:rsid w:val="00940B65"/>
    <w:rsid w:val="0094133A"/>
    <w:rsid w:val="0094148D"/>
    <w:rsid w:val="009419AD"/>
    <w:rsid w:val="0095064A"/>
    <w:rsid w:val="00951A0B"/>
    <w:rsid w:val="009535B3"/>
    <w:rsid w:val="00953A36"/>
    <w:rsid w:val="00955DBA"/>
    <w:rsid w:val="00957244"/>
    <w:rsid w:val="00962CAC"/>
    <w:rsid w:val="00964BDE"/>
    <w:rsid w:val="009676D3"/>
    <w:rsid w:val="00970A5C"/>
    <w:rsid w:val="00971E24"/>
    <w:rsid w:val="0098128C"/>
    <w:rsid w:val="009813FE"/>
    <w:rsid w:val="00983DD0"/>
    <w:rsid w:val="0098670F"/>
    <w:rsid w:val="00986E56"/>
    <w:rsid w:val="00990AFB"/>
    <w:rsid w:val="00991387"/>
    <w:rsid w:val="00992A5D"/>
    <w:rsid w:val="00993B88"/>
    <w:rsid w:val="00993D02"/>
    <w:rsid w:val="009943AB"/>
    <w:rsid w:val="00994740"/>
    <w:rsid w:val="00995515"/>
    <w:rsid w:val="009966F8"/>
    <w:rsid w:val="009969AD"/>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5A2E"/>
    <w:rsid w:val="009D702B"/>
    <w:rsid w:val="009E0573"/>
    <w:rsid w:val="009E06DE"/>
    <w:rsid w:val="009E09FA"/>
    <w:rsid w:val="009E246F"/>
    <w:rsid w:val="009E76A1"/>
    <w:rsid w:val="009F004A"/>
    <w:rsid w:val="009F1E63"/>
    <w:rsid w:val="009F235E"/>
    <w:rsid w:val="009F29EB"/>
    <w:rsid w:val="009F2D3B"/>
    <w:rsid w:val="009F3C78"/>
    <w:rsid w:val="009F5448"/>
    <w:rsid w:val="009F5ACE"/>
    <w:rsid w:val="009F7FE9"/>
    <w:rsid w:val="00A00A92"/>
    <w:rsid w:val="00A02426"/>
    <w:rsid w:val="00A0589C"/>
    <w:rsid w:val="00A06CAB"/>
    <w:rsid w:val="00A12A69"/>
    <w:rsid w:val="00A12DBB"/>
    <w:rsid w:val="00A150A7"/>
    <w:rsid w:val="00A151B8"/>
    <w:rsid w:val="00A157E7"/>
    <w:rsid w:val="00A210DD"/>
    <w:rsid w:val="00A21443"/>
    <w:rsid w:val="00A22ED0"/>
    <w:rsid w:val="00A24099"/>
    <w:rsid w:val="00A264B0"/>
    <w:rsid w:val="00A2768E"/>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72C1F"/>
    <w:rsid w:val="00A72F5E"/>
    <w:rsid w:val="00A75482"/>
    <w:rsid w:val="00A761B5"/>
    <w:rsid w:val="00A83E5E"/>
    <w:rsid w:val="00A84C12"/>
    <w:rsid w:val="00A85CA4"/>
    <w:rsid w:val="00A85D0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0FA"/>
    <w:rsid w:val="00AB71F3"/>
    <w:rsid w:val="00AC0555"/>
    <w:rsid w:val="00AC625F"/>
    <w:rsid w:val="00AC67C3"/>
    <w:rsid w:val="00AC6CA3"/>
    <w:rsid w:val="00AC6DB5"/>
    <w:rsid w:val="00AD3D04"/>
    <w:rsid w:val="00AD500D"/>
    <w:rsid w:val="00AD7C27"/>
    <w:rsid w:val="00AE0DF0"/>
    <w:rsid w:val="00AE10E9"/>
    <w:rsid w:val="00AE164F"/>
    <w:rsid w:val="00AE73A1"/>
    <w:rsid w:val="00AF4648"/>
    <w:rsid w:val="00AF4DD3"/>
    <w:rsid w:val="00AF6B78"/>
    <w:rsid w:val="00B01631"/>
    <w:rsid w:val="00B01D80"/>
    <w:rsid w:val="00B05198"/>
    <w:rsid w:val="00B0544B"/>
    <w:rsid w:val="00B06C4C"/>
    <w:rsid w:val="00B078C6"/>
    <w:rsid w:val="00B10BF5"/>
    <w:rsid w:val="00B145B5"/>
    <w:rsid w:val="00B152AC"/>
    <w:rsid w:val="00B16C8B"/>
    <w:rsid w:val="00B171D7"/>
    <w:rsid w:val="00B20969"/>
    <w:rsid w:val="00B22BE8"/>
    <w:rsid w:val="00B2356B"/>
    <w:rsid w:val="00B249F3"/>
    <w:rsid w:val="00B24D13"/>
    <w:rsid w:val="00B25B74"/>
    <w:rsid w:val="00B26B93"/>
    <w:rsid w:val="00B26C0B"/>
    <w:rsid w:val="00B27126"/>
    <w:rsid w:val="00B32CDE"/>
    <w:rsid w:val="00B34479"/>
    <w:rsid w:val="00B362BE"/>
    <w:rsid w:val="00B363A2"/>
    <w:rsid w:val="00B37213"/>
    <w:rsid w:val="00B37AFC"/>
    <w:rsid w:val="00B41711"/>
    <w:rsid w:val="00B44EB6"/>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1ABE"/>
    <w:rsid w:val="00B7200B"/>
    <w:rsid w:val="00B76414"/>
    <w:rsid w:val="00B77EB8"/>
    <w:rsid w:val="00B81A2A"/>
    <w:rsid w:val="00B84109"/>
    <w:rsid w:val="00B85BDA"/>
    <w:rsid w:val="00B870D6"/>
    <w:rsid w:val="00B874A9"/>
    <w:rsid w:val="00B932C8"/>
    <w:rsid w:val="00B937DA"/>
    <w:rsid w:val="00B93B31"/>
    <w:rsid w:val="00B9457F"/>
    <w:rsid w:val="00B965BF"/>
    <w:rsid w:val="00BA06B1"/>
    <w:rsid w:val="00BA3125"/>
    <w:rsid w:val="00BA3654"/>
    <w:rsid w:val="00BA600B"/>
    <w:rsid w:val="00BC05C8"/>
    <w:rsid w:val="00BC0F9A"/>
    <w:rsid w:val="00BC43E2"/>
    <w:rsid w:val="00BD0917"/>
    <w:rsid w:val="00BD1607"/>
    <w:rsid w:val="00BD45A0"/>
    <w:rsid w:val="00BD45BA"/>
    <w:rsid w:val="00BE1D55"/>
    <w:rsid w:val="00BE2F51"/>
    <w:rsid w:val="00BE3214"/>
    <w:rsid w:val="00BE5325"/>
    <w:rsid w:val="00BE5439"/>
    <w:rsid w:val="00BE62DB"/>
    <w:rsid w:val="00BE656C"/>
    <w:rsid w:val="00BE7E1A"/>
    <w:rsid w:val="00BF041C"/>
    <w:rsid w:val="00BF055A"/>
    <w:rsid w:val="00BF0B13"/>
    <w:rsid w:val="00BF10E7"/>
    <w:rsid w:val="00BF651C"/>
    <w:rsid w:val="00BF68C9"/>
    <w:rsid w:val="00BF7BD3"/>
    <w:rsid w:val="00C01B04"/>
    <w:rsid w:val="00C01B3A"/>
    <w:rsid w:val="00C03721"/>
    <w:rsid w:val="00C05291"/>
    <w:rsid w:val="00C06025"/>
    <w:rsid w:val="00C067A3"/>
    <w:rsid w:val="00C103AF"/>
    <w:rsid w:val="00C115C1"/>
    <w:rsid w:val="00C118DD"/>
    <w:rsid w:val="00C13C81"/>
    <w:rsid w:val="00C14A5C"/>
    <w:rsid w:val="00C14B0A"/>
    <w:rsid w:val="00C23EFE"/>
    <w:rsid w:val="00C2552C"/>
    <w:rsid w:val="00C26CD3"/>
    <w:rsid w:val="00C3047B"/>
    <w:rsid w:val="00C30749"/>
    <w:rsid w:val="00C3163F"/>
    <w:rsid w:val="00C35E4D"/>
    <w:rsid w:val="00C36315"/>
    <w:rsid w:val="00C37E62"/>
    <w:rsid w:val="00C436F7"/>
    <w:rsid w:val="00C45692"/>
    <w:rsid w:val="00C46175"/>
    <w:rsid w:val="00C47E57"/>
    <w:rsid w:val="00C55B02"/>
    <w:rsid w:val="00C55D58"/>
    <w:rsid w:val="00C56142"/>
    <w:rsid w:val="00C56B3A"/>
    <w:rsid w:val="00C56EFE"/>
    <w:rsid w:val="00C57F00"/>
    <w:rsid w:val="00C60C0B"/>
    <w:rsid w:val="00C66382"/>
    <w:rsid w:val="00C67F09"/>
    <w:rsid w:val="00C72788"/>
    <w:rsid w:val="00C75F9C"/>
    <w:rsid w:val="00C76A5E"/>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38A1"/>
    <w:rsid w:val="00CD4A8B"/>
    <w:rsid w:val="00CE3799"/>
    <w:rsid w:val="00CE4AA9"/>
    <w:rsid w:val="00CE5477"/>
    <w:rsid w:val="00CE7ADD"/>
    <w:rsid w:val="00CF5E7B"/>
    <w:rsid w:val="00CF7A75"/>
    <w:rsid w:val="00D00362"/>
    <w:rsid w:val="00D01153"/>
    <w:rsid w:val="00D02293"/>
    <w:rsid w:val="00D026B6"/>
    <w:rsid w:val="00D02F73"/>
    <w:rsid w:val="00D03953"/>
    <w:rsid w:val="00D03F61"/>
    <w:rsid w:val="00D047D6"/>
    <w:rsid w:val="00D047EE"/>
    <w:rsid w:val="00D04B42"/>
    <w:rsid w:val="00D12150"/>
    <w:rsid w:val="00D12CFB"/>
    <w:rsid w:val="00D1326C"/>
    <w:rsid w:val="00D1431B"/>
    <w:rsid w:val="00D14690"/>
    <w:rsid w:val="00D15BBA"/>
    <w:rsid w:val="00D16823"/>
    <w:rsid w:val="00D16F48"/>
    <w:rsid w:val="00D17215"/>
    <w:rsid w:val="00D265B2"/>
    <w:rsid w:val="00D26BA6"/>
    <w:rsid w:val="00D27D4B"/>
    <w:rsid w:val="00D320C3"/>
    <w:rsid w:val="00D33B40"/>
    <w:rsid w:val="00D35146"/>
    <w:rsid w:val="00D3596F"/>
    <w:rsid w:val="00D42F04"/>
    <w:rsid w:val="00D447E5"/>
    <w:rsid w:val="00D457D0"/>
    <w:rsid w:val="00D463A4"/>
    <w:rsid w:val="00D4699C"/>
    <w:rsid w:val="00D47877"/>
    <w:rsid w:val="00D513A1"/>
    <w:rsid w:val="00D51C46"/>
    <w:rsid w:val="00D57D07"/>
    <w:rsid w:val="00D618E7"/>
    <w:rsid w:val="00D619A2"/>
    <w:rsid w:val="00D632C4"/>
    <w:rsid w:val="00D66AB5"/>
    <w:rsid w:val="00D676A0"/>
    <w:rsid w:val="00D70856"/>
    <w:rsid w:val="00D73117"/>
    <w:rsid w:val="00D73216"/>
    <w:rsid w:val="00D73D86"/>
    <w:rsid w:val="00D8335C"/>
    <w:rsid w:val="00D9068D"/>
    <w:rsid w:val="00D92B16"/>
    <w:rsid w:val="00D93862"/>
    <w:rsid w:val="00D93CC2"/>
    <w:rsid w:val="00D9629E"/>
    <w:rsid w:val="00D97633"/>
    <w:rsid w:val="00DA2106"/>
    <w:rsid w:val="00DA23EB"/>
    <w:rsid w:val="00DA4ECD"/>
    <w:rsid w:val="00DB02EF"/>
    <w:rsid w:val="00DB0A56"/>
    <w:rsid w:val="00DB1699"/>
    <w:rsid w:val="00DB3DC8"/>
    <w:rsid w:val="00DB5115"/>
    <w:rsid w:val="00DB5177"/>
    <w:rsid w:val="00DB5C75"/>
    <w:rsid w:val="00DB66E6"/>
    <w:rsid w:val="00DC23FE"/>
    <w:rsid w:val="00DC2AA6"/>
    <w:rsid w:val="00DC38B9"/>
    <w:rsid w:val="00DC5B37"/>
    <w:rsid w:val="00DC5DDD"/>
    <w:rsid w:val="00DD309E"/>
    <w:rsid w:val="00DE01B6"/>
    <w:rsid w:val="00DE10E7"/>
    <w:rsid w:val="00DE1304"/>
    <w:rsid w:val="00DE1DD3"/>
    <w:rsid w:val="00DE1FBD"/>
    <w:rsid w:val="00DE4677"/>
    <w:rsid w:val="00DE5410"/>
    <w:rsid w:val="00DE64ED"/>
    <w:rsid w:val="00DF064D"/>
    <w:rsid w:val="00DF0CBF"/>
    <w:rsid w:val="00DF59C2"/>
    <w:rsid w:val="00E003D9"/>
    <w:rsid w:val="00E00C20"/>
    <w:rsid w:val="00E028F6"/>
    <w:rsid w:val="00E03FDD"/>
    <w:rsid w:val="00E0753F"/>
    <w:rsid w:val="00E10BF1"/>
    <w:rsid w:val="00E11B5C"/>
    <w:rsid w:val="00E13E2B"/>
    <w:rsid w:val="00E216C7"/>
    <w:rsid w:val="00E22DB7"/>
    <w:rsid w:val="00E23C1B"/>
    <w:rsid w:val="00E23FC2"/>
    <w:rsid w:val="00E24D2B"/>
    <w:rsid w:val="00E25DDC"/>
    <w:rsid w:val="00E31905"/>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0788"/>
    <w:rsid w:val="00E91E16"/>
    <w:rsid w:val="00E952EF"/>
    <w:rsid w:val="00E9573B"/>
    <w:rsid w:val="00E96437"/>
    <w:rsid w:val="00E968A0"/>
    <w:rsid w:val="00E97145"/>
    <w:rsid w:val="00EA4196"/>
    <w:rsid w:val="00EA63A9"/>
    <w:rsid w:val="00EB0BAE"/>
    <w:rsid w:val="00EB0F20"/>
    <w:rsid w:val="00EB1632"/>
    <w:rsid w:val="00EB377B"/>
    <w:rsid w:val="00EB4086"/>
    <w:rsid w:val="00EB4EB6"/>
    <w:rsid w:val="00EB535D"/>
    <w:rsid w:val="00EC34E0"/>
    <w:rsid w:val="00EC5385"/>
    <w:rsid w:val="00EC5430"/>
    <w:rsid w:val="00EC60B6"/>
    <w:rsid w:val="00EC6373"/>
    <w:rsid w:val="00EC7853"/>
    <w:rsid w:val="00ED047D"/>
    <w:rsid w:val="00ED0A59"/>
    <w:rsid w:val="00ED297E"/>
    <w:rsid w:val="00ED4626"/>
    <w:rsid w:val="00ED59CB"/>
    <w:rsid w:val="00ED5B3C"/>
    <w:rsid w:val="00ED732D"/>
    <w:rsid w:val="00ED7BC4"/>
    <w:rsid w:val="00EE104D"/>
    <w:rsid w:val="00EE116C"/>
    <w:rsid w:val="00EE5F6D"/>
    <w:rsid w:val="00EF0701"/>
    <w:rsid w:val="00EF11F2"/>
    <w:rsid w:val="00EF236F"/>
    <w:rsid w:val="00EF3067"/>
    <w:rsid w:val="00F03AFB"/>
    <w:rsid w:val="00F03CB2"/>
    <w:rsid w:val="00F13DC7"/>
    <w:rsid w:val="00F14729"/>
    <w:rsid w:val="00F14ED7"/>
    <w:rsid w:val="00F150D6"/>
    <w:rsid w:val="00F17670"/>
    <w:rsid w:val="00F17A90"/>
    <w:rsid w:val="00F2031D"/>
    <w:rsid w:val="00F20F45"/>
    <w:rsid w:val="00F2622B"/>
    <w:rsid w:val="00F26369"/>
    <w:rsid w:val="00F31671"/>
    <w:rsid w:val="00F3240D"/>
    <w:rsid w:val="00F328DE"/>
    <w:rsid w:val="00F3330B"/>
    <w:rsid w:val="00F357CB"/>
    <w:rsid w:val="00F35CA0"/>
    <w:rsid w:val="00F36A57"/>
    <w:rsid w:val="00F4019F"/>
    <w:rsid w:val="00F4328A"/>
    <w:rsid w:val="00F44706"/>
    <w:rsid w:val="00F44A91"/>
    <w:rsid w:val="00F45420"/>
    <w:rsid w:val="00F5123C"/>
    <w:rsid w:val="00F51EF7"/>
    <w:rsid w:val="00F5253C"/>
    <w:rsid w:val="00F52A72"/>
    <w:rsid w:val="00F54C59"/>
    <w:rsid w:val="00F609CB"/>
    <w:rsid w:val="00F64004"/>
    <w:rsid w:val="00F642D3"/>
    <w:rsid w:val="00F65F73"/>
    <w:rsid w:val="00F6631A"/>
    <w:rsid w:val="00F66E3F"/>
    <w:rsid w:val="00F6735C"/>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65"/>
    <w:rsid w:val="00FC75B8"/>
    <w:rsid w:val="00FC75D3"/>
    <w:rsid w:val="00FC7BEC"/>
    <w:rsid w:val="00FD318F"/>
    <w:rsid w:val="00FD54BE"/>
    <w:rsid w:val="00FD7CD4"/>
    <w:rsid w:val="00FE2498"/>
    <w:rsid w:val="00FE3548"/>
    <w:rsid w:val="00FE3F2D"/>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Normal"/>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3A775C"/>
    <w:rPr>
      <w:sz w:val="16"/>
      <w:szCs w:val="16"/>
    </w:rPr>
  </w:style>
  <w:style w:type="paragraph" w:styleId="CommentText">
    <w:name w:val="annotation text"/>
    <w:basedOn w:val="Normal"/>
    <w:link w:val="CommentTextChar"/>
    <w:uiPriority w:val="99"/>
    <w:semiHidden/>
    <w:unhideWhenUsed/>
    <w:rsid w:val="003A775C"/>
    <w:pPr>
      <w:spacing w:line="240" w:lineRule="auto"/>
    </w:pPr>
    <w:rPr>
      <w:szCs w:val="20"/>
    </w:rPr>
  </w:style>
  <w:style w:type="character" w:customStyle="1" w:styleId="CommentTextChar">
    <w:name w:val="Comment Text Char"/>
    <w:basedOn w:val="DefaultParagraphFont"/>
    <w:link w:val="CommentText"/>
    <w:uiPriority w:val="99"/>
    <w:semiHidden/>
    <w:rsid w:val="003A775C"/>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3A775C"/>
    <w:rPr>
      <w:b/>
      <w:bCs/>
    </w:rPr>
  </w:style>
  <w:style w:type="character" w:customStyle="1" w:styleId="CommentSubjectChar">
    <w:name w:val="Comment Subject Char"/>
    <w:basedOn w:val="CommentTextChar"/>
    <w:link w:val="CommentSubject"/>
    <w:uiPriority w:val="99"/>
    <w:semiHidden/>
    <w:rsid w:val="003A775C"/>
    <w:rPr>
      <w:rFonts w:ascii="Times New Roman" w:hAnsi="Times New Roman"/>
      <w:b/>
      <w:bCs/>
      <w:spacing w:val="4"/>
      <w:w w:val="103"/>
      <w:kern w:val="14"/>
      <w:lang w:val="fr-CA"/>
    </w:rPr>
  </w:style>
  <w:style w:type="paragraph" w:customStyle="1" w:styleId="HChG">
    <w:name w:val="_ H _Ch_G"/>
    <w:basedOn w:val="Normal"/>
    <w:next w:val="Normal"/>
    <w:qFormat/>
    <w:rsid w:val="00C36315"/>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eastAsia="Calibri"/>
      <w:b/>
      <w:spacing w:val="0"/>
      <w:w w:val="100"/>
      <w:kern w:val="0"/>
      <w:sz w:val="28"/>
      <w:szCs w:val="20"/>
      <w:lang w:val="fr-FR"/>
    </w:rPr>
  </w:style>
  <w:style w:type="paragraph" w:customStyle="1" w:styleId="H1G">
    <w:name w:val="_ H_1_G"/>
    <w:basedOn w:val="Normal"/>
    <w:next w:val="Normal"/>
    <w:qFormat/>
    <w:rsid w:val="00C36315"/>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eastAsia="Calibri"/>
      <w:b/>
      <w:spacing w:val="0"/>
      <w:w w:val="100"/>
      <w:kern w:val="0"/>
      <w:sz w:val="24"/>
      <w:szCs w:val="20"/>
      <w:lang w:val="fr-FR"/>
    </w:rPr>
  </w:style>
  <w:style w:type="paragraph" w:customStyle="1" w:styleId="H23G">
    <w:name w:val="_ H_2/3_G"/>
    <w:basedOn w:val="Normal"/>
    <w:next w:val="Normal"/>
    <w:qFormat/>
    <w:rsid w:val="00C36315"/>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b/>
      <w:spacing w:val="0"/>
      <w:w w:val="100"/>
      <w:kern w:val="0"/>
      <w:sz w:val="24"/>
      <w:szCs w:val="20"/>
      <w:lang w:val="fr-FR"/>
    </w:rPr>
  </w:style>
  <w:style w:type="paragraph" w:customStyle="1" w:styleId="SingleTxtG">
    <w:name w:val="_ Single Txt_G"/>
    <w:basedOn w:val="Normal"/>
    <w:link w:val="SingleTxtGChar"/>
    <w:qFormat/>
    <w:rsid w:val="00C36315"/>
    <w:pPr>
      <w:suppressAutoHyphens/>
      <w:kinsoku w:val="0"/>
      <w:overflowPunct w:val="0"/>
      <w:autoSpaceDE w:val="0"/>
      <w:autoSpaceDN w:val="0"/>
      <w:adjustRightInd w:val="0"/>
      <w:snapToGrid w:val="0"/>
      <w:spacing w:after="120" w:line="240" w:lineRule="atLeast"/>
      <w:ind w:left="1134" w:right="1134"/>
      <w:jc w:val="both"/>
    </w:pPr>
    <w:rPr>
      <w:rFonts w:eastAsia="Calibri"/>
      <w:spacing w:val="0"/>
      <w:w w:val="100"/>
      <w:kern w:val="0"/>
      <w:sz w:val="24"/>
      <w:szCs w:val="20"/>
      <w:lang w:val="fr-FR"/>
    </w:rPr>
  </w:style>
  <w:style w:type="character" w:customStyle="1" w:styleId="SingleTxtGChar">
    <w:name w:val="_ Single Txt_G Char"/>
    <w:link w:val="SingleTxtG"/>
    <w:locked/>
    <w:rsid w:val="00C36315"/>
    <w:rPr>
      <w:rFonts w:ascii="Times New Roman" w:eastAsia="Calibri" w:hAnsi="Times New Roman"/>
      <w:sz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Normal"/>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3A775C"/>
    <w:rPr>
      <w:sz w:val="16"/>
      <w:szCs w:val="16"/>
    </w:rPr>
  </w:style>
  <w:style w:type="paragraph" w:styleId="CommentText">
    <w:name w:val="annotation text"/>
    <w:basedOn w:val="Normal"/>
    <w:link w:val="CommentTextChar"/>
    <w:uiPriority w:val="99"/>
    <w:semiHidden/>
    <w:unhideWhenUsed/>
    <w:rsid w:val="003A775C"/>
    <w:pPr>
      <w:spacing w:line="240" w:lineRule="auto"/>
    </w:pPr>
    <w:rPr>
      <w:szCs w:val="20"/>
    </w:rPr>
  </w:style>
  <w:style w:type="character" w:customStyle="1" w:styleId="CommentTextChar">
    <w:name w:val="Comment Text Char"/>
    <w:basedOn w:val="DefaultParagraphFont"/>
    <w:link w:val="CommentText"/>
    <w:uiPriority w:val="99"/>
    <w:semiHidden/>
    <w:rsid w:val="003A775C"/>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3A775C"/>
    <w:rPr>
      <w:b/>
      <w:bCs/>
    </w:rPr>
  </w:style>
  <w:style w:type="character" w:customStyle="1" w:styleId="CommentSubjectChar">
    <w:name w:val="Comment Subject Char"/>
    <w:basedOn w:val="CommentTextChar"/>
    <w:link w:val="CommentSubject"/>
    <w:uiPriority w:val="99"/>
    <w:semiHidden/>
    <w:rsid w:val="003A775C"/>
    <w:rPr>
      <w:rFonts w:ascii="Times New Roman" w:hAnsi="Times New Roman"/>
      <w:b/>
      <w:bCs/>
      <w:spacing w:val="4"/>
      <w:w w:val="103"/>
      <w:kern w:val="14"/>
      <w:lang w:val="fr-CA"/>
    </w:rPr>
  </w:style>
  <w:style w:type="paragraph" w:customStyle="1" w:styleId="HChG">
    <w:name w:val="_ H _Ch_G"/>
    <w:basedOn w:val="Normal"/>
    <w:next w:val="Normal"/>
    <w:qFormat/>
    <w:rsid w:val="00C36315"/>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eastAsia="Calibri"/>
      <w:b/>
      <w:spacing w:val="0"/>
      <w:w w:val="100"/>
      <w:kern w:val="0"/>
      <w:sz w:val="28"/>
      <w:szCs w:val="20"/>
      <w:lang w:val="fr-FR"/>
    </w:rPr>
  </w:style>
  <w:style w:type="paragraph" w:customStyle="1" w:styleId="H1G">
    <w:name w:val="_ H_1_G"/>
    <w:basedOn w:val="Normal"/>
    <w:next w:val="Normal"/>
    <w:qFormat/>
    <w:rsid w:val="00C36315"/>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eastAsia="Calibri"/>
      <w:b/>
      <w:spacing w:val="0"/>
      <w:w w:val="100"/>
      <w:kern w:val="0"/>
      <w:sz w:val="24"/>
      <w:szCs w:val="20"/>
      <w:lang w:val="fr-FR"/>
    </w:rPr>
  </w:style>
  <w:style w:type="paragraph" w:customStyle="1" w:styleId="H23G">
    <w:name w:val="_ H_2/3_G"/>
    <w:basedOn w:val="Normal"/>
    <w:next w:val="Normal"/>
    <w:qFormat/>
    <w:rsid w:val="00C36315"/>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b/>
      <w:spacing w:val="0"/>
      <w:w w:val="100"/>
      <w:kern w:val="0"/>
      <w:sz w:val="24"/>
      <w:szCs w:val="20"/>
      <w:lang w:val="fr-FR"/>
    </w:rPr>
  </w:style>
  <w:style w:type="paragraph" w:customStyle="1" w:styleId="SingleTxtG">
    <w:name w:val="_ Single Txt_G"/>
    <w:basedOn w:val="Normal"/>
    <w:link w:val="SingleTxtGChar"/>
    <w:qFormat/>
    <w:rsid w:val="00C36315"/>
    <w:pPr>
      <w:suppressAutoHyphens/>
      <w:kinsoku w:val="0"/>
      <w:overflowPunct w:val="0"/>
      <w:autoSpaceDE w:val="0"/>
      <w:autoSpaceDN w:val="0"/>
      <w:adjustRightInd w:val="0"/>
      <w:snapToGrid w:val="0"/>
      <w:spacing w:after="120" w:line="240" w:lineRule="atLeast"/>
      <w:ind w:left="1134" w:right="1134"/>
      <w:jc w:val="both"/>
    </w:pPr>
    <w:rPr>
      <w:rFonts w:eastAsia="Calibri"/>
      <w:spacing w:val="0"/>
      <w:w w:val="100"/>
      <w:kern w:val="0"/>
      <w:sz w:val="24"/>
      <w:szCs w:val="20"/>
      <w:lang w:val="fr-FR"/>
    </w:rPr>
  </w:style>
  <w:style w:type="character" w:customStyle="1" w:styleId="SingleTxtGChar">
    <w:name w:val="_ Single Txt_G Char"/>
    <w:link w:val="SingleTxtG"/>
    <w:locked/>
    <w:rsid w:val="00C36315"/>
    <w:rPr>
      <w:rFonts w:ascii="Times New Roman" w:eastAsia="Calibri" w:hAnsi="Times New Roman"/>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F85C7-49CF-441E-8C79-6BBFA6FFC97B}"/>
</file>

<file path=customXml/itemProps2.xml><?xml version="1.0" encoding="utf-8"?>
<ds:datastoreItem xmlns:ds="http://schemas.openxmlformats.org/officeDocument/2006/customXml" ds:itemID="{2C46B049-B3B6-4DBC-B40C-294F21A067A2}"/>
</file>

<file path=customXml/itemProps3.xml><?xml version="1.0" encoding="utf-8"?>
<ds:datastoreItem xmlns:ds="http://schemas.openxmlformats.org/officeDocument/2006/customXml" ds:itemID="{8A6D792E-CFE6-42B8-8CDB-D6503DF159FC}"/>
</file>

<file path=customXml/itemProps4.xml><?xml version="1.0" encoding="utf-8"?>
<ds:datastoreItem xmlns:ds="http://schemas.openxmlformats.org/officeDocument/2006/customXml" ds:itemID="{6A35A844-879D-4794-ADCC-715628C58358}"/>
</file>

<file path=docProps/app.xml><?xml version="1.0" encoding="utf-8"?>
<Properties xmlns="http://schemas.openxmlformats.org/officeDocument/2006/extended-properties" xmlns:vt="http://schemas.openxmlformats.org/officeDocument/2006/docPropsVTypes">
  <Template>Normal.dotm</Template>
  <TotalTime>0</TotalTime>
  <Pages>23</Pages>
  <Words>12023</Words>
  <Characters>66551</Characters>
  <Application>Microsoft Office Word</Application>
  <DocSecurity>0</DocSecurity>
  <Lines>1112</Lines>
  <Paragraphs>175</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78479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open-ended intergovernmental working group on the draft United Nations declaration on the rights of peasants and other people working in rural areas in French</dc:title>
  <dc:subject/>
  <dc:creator>Chautagnat</dc:creator>
  <cp:keywords/>
  <dc:description/>
  <cp:lastModifiedBy>Chautagnat</cp:lastModifiedBy>
  <cp:revision>3</cp:revision>
  <cp:lastPrinted>2015-09-08T08:56:00Z</cp:lastPrinted>
  <dcterms:created xsi:type="dcterms:W3CDTF">2015-09-08T08:56:00Z</dcterms:created>
  <dcterms:modified xsi:type="dcterms:W3CDTF">2015-09-08T08:56:00Z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1512286F</vt:lpwstr>
  </property>
  <property fmtid="{D5CDD505-2E9C-101B-9397-08002B2CF9AE}" pid="3" name="ODSRefJobNo">
    <vt:lpwstr>1516189F</vt:lpwstr>
  </property>
  <property fmtid="{D5CDD505-2E9C-101B-9397-08002B2CF9AE}" pid="4" name="Symbol1">
    <vt:lpwstr>A/HRC/30/55</vt:lpwstr>
  </property>
  <property fmtid="{D5CDD505-2E9C-101B-9397-08002B2CF9AE}" pid="5" name="Symbol2">
    <vt:lpwstr/>
  </property>
  <property fmtid="{D5CDD505-2E9C-101B-9397-08002B2CF9AE}" pid="6" name="Translator">
    <vt:lpwstr/>
  </property>
  <property fmtid="{D5CDD505-2E9C-101B-9397-08002B2CF9AE}" pid="7" name="Operator">
    <vt:lpwstr>Christine</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22 juillet 2015</vt:lpwstr>
  </property>
  <property fmtid="{D5CDD505-2E9C-101B-9397-08002B2CF9AE}" pid="12" name="Original">
    <vt:lpwstr>anglais</vt:lpwstr>
  </property>
  <property fmtid="{D5CDD505-2E9C-101B-9397-08002B2CF9AE}" pid="13" name="Release Date">
    <vt:lpwstr>070915</vt:lpwstr>
  </property>
  <property fmtid="{D5CDD505-2E9C-101B-9397-08002B2CF9AE}" pid="14" name="ContentTypeId">
    <vt:lpwstr>0x010100EF670F518423CB4F888C4265EEC2C475</vt:lpwstr>
  </property>
  <property fmtid="{D5CDD505-2E9C-101B-9397-08002B2CF9AE}" pid="15" name="Order">
    <vt:r8>34700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