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CD048E" w:rsidRPr="000F2E9A">
        <w:trPr>
          <w:trHeight w:val="851"/>
        </w:trPr>
        <w:tc>
          <w:tcPr>
            <w:tcW w:w="1259" w:type="dxa"/>
            <w:tcBorders>
              <w:top w:val="nil"/>
              <w:left w:val="nil"/>
              <w:bottom w:val="single" w:sz="4" w:space="0" w:color="auto"/>
              <w:right w:val="nil"/>
            </w:tcBorders>
          </w:tcPr>
          <w:p w:rsidR="000C4468" w:rsidRPr="000F2E9A" w:rsidRDefault="000C4468">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CD048E" w:rsidRPr="000F2E9A" w:rsidRDefault="00CD048E">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CD048E" w:rsidRPr="000F2E9A" w:rsidRDefault="00CD048E" w:rsidP="0021114E">
            <w:pPr>
              <w:jc w:val="right"/>
            </w:pPr>
            <w:r w:rsidRPr="000F2E9A">
              <w:rPr>
                <w:sz w:val="40"/>
              </w:rPr>
              <w:t>A</w:t>
            </w:r>
            <w:r w:rsidR="001E6A38" w:rsidRPr="000F2E9A">
              <w:t>/HRC/</w:t>
            </w:r>
            <w:r w:rsidR="0021114E" w:rsidRPr="000F2E9A">
              <w:t>31</w:t>
            </w:r>
            <w:r w:rsidRPr="000F2E9A">
              <w:t>/</w:t>
            </w:r>
            <w:r w:rsidR="0021114E" w:rsidRPr="000F2E9A">
              <w:t>60</w:t>
            </w:r>
            <w:r w:rsidR="00EE6913" w:rsidRPr="000F2E9A">
              <w:t>/</w:t>
            </w:r>
            <w:r w:rsidRPr="000F2E9A">
              <w:t>Add.</w:t>
            </w:r>
            <w:r w:rsidR="0021114E" w:rsidRPr="000F2E9A">
              <w:t>2</w:t>
            </w:r>
            <w:r w:rsidRPr="000F2E9A">
              <w:t xml:space="preserve"> </w:t>
            </w:r>
          </w:p>
        </w:tc>
      </w:tr>
      <w:tr w:rsidR="00CD048E" w:rsidRPr="000F2E9A">
        <w:trPr>
          <w:trHeight w:val="2835"/>
        </w:trPr>
        <w:tc>
          <w:tcPr>
            <w:tcW w:w="1259" w:type="dxa"/>
            <w:tcBorders>
              <w:top w:val="single" w:sz="4" w:space="0" w:color="auto"/>
              <w:left w:val="nil"/>
              <w:bottom w:val="single" w:sz="12" w:space="0" w:color="auto"/>
              <w:right w:val="nil"/>
            </w:tcBorders>
          </w:tcPr>
          <w:p w:rsidR="00CD048E" w:rsidRPr="000F2E9A" w:rsidRDefault="00CD048E">
            <w:pPr>
              <w:spacing w:before="120"/>
              <w:jc w:val="center"/>
            </w:pPr>
          </w:p>
        </w:tc>
        <w:tc>
          <w:tcPr>
            <w:tcW w:w="5450" w:type="dxa"/>
            <w:gridSpan w:val="2"/>
            <w:tcBorders>
              <w:top w:val="single" w:sz="4" w:space="0" w:color="auto"/>
              <w:left w:val="nil"/>
              <w:bottom w:val="single" w:sz="12" w:space="0" w:color="auto"/>
              <w:right w:val="nil"/>
            </w:tcBorders>
          </w:tcPr>
          <w:p w:rsidR="00CD048E" w:rsidRPr="005B2DF2" w:rsidRDefault="00D56EB7" w:rsidP="005B2DF2">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CD048E" w:rsidRPr="000F2E9A" w:rsidRDefault="00CD048E">
            <w:pPr>
              <w:spacing w:before="240" w:line="240" w:lineRule="exact"/>
            </w:pPr>
            <w:r w:rsidRPr="000F2E9A">
              <w:t>Distr.: General</w:t>
            </w:r>
          </w:p>
          <w:p w:rsidR="00CD048E" w:rsidRPr="000F2E9A" w:rsidRDefault="00C1752D" w:rsidP="00C34981">
            <w:pPr>
              <w:spacing w:line="240" w:lineRule="exact"/>
            </w:pPr>
            <w:r>
              <w:t>2</w:t>
            </w:r>
            <w:r w:rsidR="008B486B">
              <w:t>9</w:t>
            </w:r>
            <w:r w:rsidR="00823DAA" w:rsidRPr="000F2E9A">
              <w:t xml:space="preserve"> February</w:t>
            </w:r>
            <w:r w:rsidR="00017C92" w:rsidRPr="000F2E9A">
              <w:t xml:space="preserve"> </w:t>
            </w:r>
            <w:r w:rsidR="001E6A38" w:rsidRPr="000F2E9A">
              <w:t>201</w:t>
            </w:r>
            <w:r w:rsidR="0021114E" w:rsidRPr="000F2E9A">
              <w:t>6</w:t>
            </w:r>
          </w:p>
          <w:p w:rsidR="00CD048E" w:rsidRPr="000F2E9A" w:rsidRDefault="00CD048E">
            <w:pPr>
              <w:spacing w:line="240" w:lineRule="exact"/>
            </w:pPr>
          </w:p>
          <w:p w:rsidR="00CD048E" w:rsidRPr="000F2E9A" w:rsidRDefault="00CD048E">
            <w:pPr>
              <w:spacing w:line="240" w:lineRule="exact"/>
            </w:pPr>
            <w:r w:rsidRPr="000F2E9A">
              <w:t>Original: English</w:t>
            </w:r>
          </w:p>
        </w:tc>
      </w:tr>
    </w:tbl>
    <w:p w:rsidR="00CD048E" w:rsidRPr="000F2E9A" w:rsidRDefault="00CD048E">
      <w:pPr>
        <w:spacing w:before="120"/>
        <w:rPr>
          <w:b/>
          <w:bCs/>
          <w:sz w:val="24"/>
          <w:szCs w:val="24"/>
        </w:rPr>
      </w:pPr>
      <w:r w:rsidRPr="000F2E9A">
        <w:rPr>
          <w:b/>
          <w:bCs/>
          <w:sz w:val="24"/>
          <w:szCs w:val="24"/>
        </w:rPr>
        <w:t>Human Rights Council</w:t>
      </w:r>
    </w:p>
    <w:p w:rsidR="00CD048E" w:rsidRPr="000F2E9A" w:rsidRDefault="00CD048E" w:rsidP="00017C92">
      <w:pPr>
        <w:outlineLvl w:val="0"/>
        <w:rPr>
          <w:b/>
          <w:bCs/>
        </w:rPr>
      </w:pPr>
      <w:r w:rsidRPr="000F2E9A">
        <w:rPr>
          <w:b/>
          <w:bCs/>
        </w:rPr>
        <w:t>T</w:t>
      </w:r>
      <w:r w:rsidR="00EE6913" w:rsidRPr="000F2E9A">
        <w:rPr>
          <w:b/>
          <w:bCs/>
        </w:rPr>
        <w:t>hirt</w:t>
      </w:r>
      <w:r w:rsidR="0021114E" w:rsidRPr="000F2E9A">
        <w:rPr>
          <w:b/>
          <w:bCs/>
        </w:rPr>
        <w:t xml:space="preserve">y-first </w:t>
      </w:r>
      <w:proofErr w:type="gramStart"/>
      <w:r w:rsidRPr="000F2E9A">
        <w:rPr>
          <w:b/>
          <w:bCs/>
        </w:rPr>
        <w:t>session</w:t>
      </w:r>
      <w:proofErr w:type="gramEnd"/>
    </w:p>
    <w:p w:rsidR="00CD048E" w:rsidRPr="000F2E9A" w:rsidRDefault="00CD048E" w:rsidP="00D609DB">
      <w:pPr>
        <w:outlineLvl w:val="0"/>
      </w:pPr>
      <w:r w:rsidRPr="000F2E9A">
        <w:t>Agenda item 3</w:t>
      </w:r>
    </w:p>
    <w:p w:rsidR="00CD048E" w:rsidRPr="000F2E9A" w:rsidRDefault="00CD048E">
      <w:pPr>
        <w:rPr>
          <w:b/>
          <w:bCs/>
        </w:rPr>
      </w:pPr>
      <w:r w:rsidRPr="000F2E9A">
        <w:rPr>
          <w:b/>
          <w:bCs/>
        </w:rPr>
        <w:t xml:space="preserve">Promotion and protection of all human rights, civil, </w:t>
      </w:r>
      <w:r w:rsidRPr="000F2E9A">
        <w:rPr>
          <w:b/>
          <w:bCs/>
        </w:rPr>
        <w:br/>
        <w:t xml:space="preserve">political, economic, social and cultural rights, </w:t>
      </w:r>
      <w:r w:rsidRPr="000F2E9A">
        <w:rPr>
          <w:b/>
          <w:bCs/>
        </w:rPr>
        <w:br/>
        <w:t>including the right to development</w:t>
      </w:r>
    </w:p>
    <w:p w:rsidR="00CD048E" w:rsidRPr="00C1752D" w:rsidRDefault="00CD048E" w:rsidP="00C1752D">
      <w:pPr>
        <w:pStyle w:val="HChG"/>
      </w:pPr>
      <w:r w:rsidRPr="00C1752D">
        <w:tab/>
      </w:r>
      <w:r w:rsidRPr="00C1752D">
        <w:tab/>
      </w:r>
      <w:r w:rsidR="001E6A38" w:rsidRPr="00C1752D">
        <w:t>Report of the Independent Expert on the</w:t>
      </w:r>
      <w:r w:rsidR="0021114E" w:rsidRPr="00C1752D">
        <w:t xml:space="preserve"> effects of foreign debt and other related international financial obligations of States on the full enjoyment of all human rights, particularly economic, social and cultural rights on his</w:t>
      </w:r>
      <w:r w:rsidR="00386794" w:rsidRPr="00C1752D">
        <w:t xml:space="preserve"> </w:t>
      </w:r>
      <w:r w:rsidR="0021114E" w:rsidRPr="00C1752D">
        <w:t>mission to Greece</w:t>
      </w:r>
      <w:r w:rsidR="00C1752D">
        <w:rPr>
          <w:rStyle w:val="FootnoteReference"/>
        </w:rPr>
        <w:footnoteReference w:customMarkFollows="1" w:id="2"/>
        <w:t>*</w:t>
      </w:r>
    </w:p>
    <w:p w:rsidR="00CD048E" w:rsidRPr="000F2E9A" w:rsidRDefault="00CD048E" w:rsidP="004D44CF">
      <w:pPr>
        <w:pStyle w:val="H1G"/>
        <w:rPr>
          <w:b w:val="0"/>
          <w:bCs/>
          <w:sz w:val="20"/>
          <w:lang w:val="en-GB"/>
        </w:rPr>
      </w:pPr>
      <w:r w:rsidRPr="000F2E9A">
        <w:rPr>
          <w:lang w:val="en-GB"/>
        </w:rPr>
        <w:tab/>
      </w:r>
      <w:r w:rsidRPr="000F2E9A">
        <w:rPr>
          <w:lang w:val="en-GB"/>
        </w:rPr>
        <w:tab/>
      </w:r>
      <w:r w:rsidR="00424F0B" w:rsidRPr="000F2E9A">
        <w:rPr>
          <w:lang w:val="en-GB"/>
        </w:rPr>
        <w:t>Note by the Secretariat</w:t>
      </w:r>
    </w:p>
    <w:p w:rsidR="00505A88" w:rsidRPr="000F2E9A" w:rsidRDefault="00FF18E7" w:rsidP="00C1752D">
      <w:pPr>
        <w:pStyle w:val="SingleTxtG"/>
        <w:tabs>
          <w:tab w:val="left" w:pos="1701"/>
        </w:tabs>
        <w:ind w:firstLine="567"/>
        <w:rPr>
          <w:lang w:val="en-GB"/>
        </w:rPr>
      </w:pPr>
      <w:r w:rsidRPr="00C1752D">
        <w:t xml:space="preserve">The Secretariat </w:t>
      </w:r>
      <w:r w:rsidR="00400F00" w:rsidRPr="00C1752D">
        <w:t xml:space="preserve">has the </w:t>
      </w:r>
      <w:r w:rsidRPr="00C1752D">
        <w:t>honour to trans</w:t>
      </w:r>
      <w:r w:rsidR="006E40FC" w:rsidRPr="00C1752D">
        <w:t>m</w:t>
      </w:r>
      <w:r w:rsidRPr="00C1752D">
        <w:t>it to the</w:t>
      </w:r>
      <w:r w:rsidR="006E40FC" w:rsidRPr="00C1752D">
        <w:t xml:space="preserve"> Human Rights Council </w:t>
      </w:r>
      <w:r w:rsidR="00F27815" w:rsidRPr="00C1752D">
        <w:t>the report</w:t>
      </w:r>
      <w:r w:rsidR="006E40FC" w:rsidRPr="00C1752D">
        <w:t xml:space="preserve"> of</w:t>
      </w:r>
      <w:r w:rsidR="00F27815" w:rsidRPr="00C1752D">
        <w:t xml:space="preserve"> the Independent Expert</w:t>
      </w:r>
      <w:r w:rsidR="0021114E" w:rsidRPr="00C1752D">
        <w:t xml:space="preserve">, Juan Pablo </w:t>
      </w:r>
      <w:proofErr w:type="spellStart"/>
      <w:r w:rsidR="0021114E" w:rsidRPr="00C1752D">
        <w:t>Bohoslavsky</w:t>
      </w:r>
      <w:proofErr w:type="spellEnd"/>
      <w:r w:rsidR="00F27815" w:rsidRPr="00C1752D">
        <w:t xml:space="preserve">, </w:t>
      </w:r>
      <w:r w:rsidR="006E40FC" w:rsidRPr="00C1752D">
        <w:t xml:space="preserve">on </w:t>
      </w:r>
      <w:r w:rsidR="00F27815" w:rsidRPr="00C1752D">
        <w:t>h</w:t>
      </w:r>
      <w:r w:rsidR="0021114E" w:rsidRPr="00C1752D">
        <w:t xml:space="preserve">is </w:t>
      </w:r>
      <w:r w:rsidR="006E40FC" w:rsidRPr="00C1752D">
        <w:t xml:space="preserve">mission </w:t>
      </w:r>
      <w:r w:rsidR="00F27815" w:rsidRPr="00C1752D">
        <w:t xml:space="preserve">to </w:t>
      </w:r>
      <w:r w:rsidR="0021114E" w:rsidRPr="00C1752D">
        <w:t xml:space="preserve">Greece </w:t>
      </w:r>
      <w:r w:rsidR="00F27815" w:rsidRPr="00C1752D">
        <w:t xml:space="preserve">from </w:t>
      </w:r>
      <w:r w:rsidR="0021114E" w:rsidRPr="00C1752D">
        <w:t xml:space="preserve">30 November to 8 </w:t>
      </w:r>
      <w:r w:rsidR="00505A88" w:rsidRPr="00C1752D">
        <w:t>December 2015</w:t>
      </w:r>
      <w:r w:rsidR="00F27815" w:rsidRPr="00C1752D">
        <w:t xml:space="preserve">. </w:t>
      </w:r>
      <w:r w:rsidR="00715684" w:rsidRPr="00C1752D">
        <w:t xml:space="preserve">In the present report, the Independent Expert assesses new developments since </w:t>
      </w:r>
      <w:r w:rsidR="00DA203A" w:rsidRPr="00C1752D">
        <w:t>the visit of the previous mandate-holder in</w:t>
      </w:r>
      <w:r w:rsidR="00715684" w:rsidRPr="00C1752D">
        <w:t xml:space="preserve"> April 2013</w:t>
      </w:r>
      <w:r w:rsidR="00EA5C3F" w:rsidRPr="00C1752D">
        <w:t xml:space="preserve"> to address human rights concerns arising out of the debt crisis and the economic structural adjustment programme</w:t>
      </w:r>
      <w:r w:rsidR="00B5790B" w:rsidRPr="00C1752D">
        <w:t>s</w:t>
      </w:r>
      <w:r w:rsidR="00386794" w:rsidRPr="000F2E9A">
        <w:rPr>
          <w:lang w:val="en-GB"/>
        </w:rPr>
        <w:t xml:space="preserve"> implemented in Greece </w:t>
      </w:r>
      <w:r w:rsidR="00505A88" w:rsidRPr="000F2E9A">
        <w:rPr>
          <w:lang w:val="en-GB"/>
        </w:rPr>
        <w:t>(see A/HRC/25/50/Add.1)</w:t>
      </w:r>
      <w:r w:rsidR="00EA5C3F" w:rsidRPr="000F2E9A">
        <w:rPr>
          <w:lang w:val="en-GB"/>
        </w:rPr>
        <w:t>.</w:t>
      </w:r>
    </w:p>
    <w:p w:rsidR="00AF77DC" w:rsidRPr="000F2E9A" w:rsidRDefault="00AF77DC">
      <w:pPr>
        <w:suppressAutoHyphens w:val="0"/>
        <w:spacing w:line="240" w:lineRule="auto"/>
        <w:rPr>
          <w:b/>
          <w:sz w:val="28"/>
        </w:rPr>
      </w:pPr>
      <w:r w:rsidRPr="000F2E9A">
        <w:br w:type="page"/>
      </w:r>
    </w:p>
    <w:p w:rsidR="00CD048E" w:rsidRPr="000F2E9A" w:rsidRDefault="00AF77DC" w:rsidP="00017C92">
      <w:pPr>
        <w:pStyle w:val="HChG"/>
        <w:jc w:val="both"/>
        <w:rPr>
          <w:lang w:val="en-GB"/>
        </w:rPr>
      </w:pPr>
      <w:r w:rsidRPr="000F2E9A">
        <w:rPr>
          <w:rFonts w:eastAsia="MS Mincho"/>
          <w:lang w:val="en-GB"/>
        </w:rPr>
        <w:lastRenderedPageBreak/>
        <w:tab/>
      </w:r>
      <w:r w:rsidRPr="000F2E9A">
        <w:rPr>
          <w:rFonts w:eastAsia="MS Mincho"/>
          <w:lang w:val="en-GB"/>
        </w:rPr>
        <w:tab/>
      </w:r>
      <w:r w:rsidR="00A02D87" w:rsidRPr="000F2E9A">
        <w:rPr>
          <w:rFonts w:eastAsia="MS Mincho"/>
          <w:lang w:val="en-GB"/>
        </w:rPr>
        <w:t>Report of the Independent Expert on the</w:t>
      </w:r>
      <w:r w:rsidR="0021114E" w:rsidRPr="000F2E9A">
        <w:rPr>
          <w:rFonts w:eastAsia="MS Mincho"/>
          <w:lang w:val="en-GB"/>
        </w:rPr>
        <w:t xml:space="preserve"> effects of foreign debt and other related international financial obligations of States on the full</w:t>
      </w:r>
      <w:r w:rsidR="00A02D87" w:rsidRPr="000F2E9A">
        <w:rPr>
          <w:rFonts w:eastAsia="MS Mincho"/>
          <w:lang w:val="en-GB"/>
        </w:rPr>
        <w:t xml:space="preserve"> enjoyment of all human rights</w:t>
      </w:r>
      <w:r w:rsidR="0021114E" w:rsidRPr="000F2E9A">
        <w:rPr>
          <w:rFonts w:eastAsia="MS Mincho"/>
          <w:lang w:val="en-GB"/>
        </w:rPr>
        <w:t>, particularly economic, social and cultural rights on his mission to Greece</w:t>
      </w:r>
      <w:r w:rsidR="00C1752D">
        <w:rPr>
          <w:rStyle w:val="FootnoteReference"/>
          <w:rFonts w:eastAsia="MS Mincho"/>
          <w:lang w:val="en-GB"/>
        </w:rPr>
        <w:footnoteReference w:customMarkFollows="1" w:id="3"/>
        <w:t>**</w:t>
      </w:r>
    </w:p>
    <w:p w:rsidR="00CD048E" w:rsidRPr="00C1752D" w:rsidRDefault="00CD048E" w:rsidP="00D609DB">
      <w:pPr>
        <w:spacing w:after="120"/>
        <w:outlineLvl w:val="0"/>
        <w:rPr>
          <w:i/>
          <w:sz w:val="18"/>
          <w:lang w:val="fr-CH"/>
        </w:rPr>
      </w:pPr>
      <w:r w:rsidRPr="00C1752D">
        <w:rPr>
          <w:sz w:val="28"/>
          <w:lang w:val="fr-CH"/>
        </w:rPr>
        <w:t>Contents</w:t>
      </w:r>
    </w:p>
    <w:p w:rsidR="00CD048E" w:rsidRPr="00C1752D" w:rsidRDefault="00CD048E">
      <w:pPr>
        <w:tabs>
          <w:tab w:val="right" w:pos="8929"/>
          <w:tab w:val="right" w:pos="9638"/>
        </w:tabs>
        <w:spacing w:after="120"/>
        <w:ind w:left="283"/>
        <w:rPr>
          <w:lang w:val="fr-CH"/>
        </w:rPr>
      </w:pPr>
      <w:r w:rsidRPr="00C1752D">
        <w:rPr>
          <w:i/>
          <w:sz w:val="18"/>
          <w:lang w:val="fr-CH"/>
        </w:rPr>
        <w:tab/>
      </w:r>
      <w:r w:rsidRPr="00C1752D">
        <w:rPr>
          <w:i/>
          <w:sz w:val="18"/>
          <w:lang w:val="fr-CH"/>
        </w:rPr>
        <w:tab/>
        <w:t>Page</w:t>
      </w:r>
    </w:p>
    <w:p w:rsidR="00CD048E" w:rsidRPr="00C1752D" w:rsidRDefault="00CD048E" w:rsidP="00057911">
      <w:pPr>
        <w:tabs>
          <w:tab w:val="right" w:pos="850"/>
          <w:tab w:val="left" w:pos="1134"/>
          <w:tab w:val="left" w:pos="1559"/>
          <w:tab w:val="left" w:pos="1984"/>
          <w:tab w:val="left" w:leader="dot" w:pos="8931"/>
          <w:tab w:val="right" w:pos="9638"/>
        </w:tabs>
        <w:spacing w:after="120"/>
        <w:rPr>
          <w:lang w:val="fr-CH"/>
        </w:rPr>
      </w:pPr>
      <w:r w:rsidRPr="00C1752D">
        <w:rPr>
          <w:lang w:val="fr-CH"/>
        </w:rPr>
        <w:tab/>
        <w:t>I.</w:t>
      </w:r>
      <w:r w:rsidRPr="00C1752D">
        <w:rPr>
          <w:lang w:val="fr-CH"/>
        </w:rPr>
        <w:tab/>
        <w:t>Introduction</w:t>
      </w:r>
      <w:r w:rsidRPr="00C1752D">
        <w:rPr>
          <w:lang w:val="fr-CH"/>
        </w:rPr>
        <w:tab/>
      </w:r>
      <w:r w:rsidR="00057911" w:rsidRPr="00C1752D">
        <w:rPr>
          <w:lang w:val="fr-CH"/>
        </w:rPr>
        <w:tab/>
      </w:r>
      <w:r w:rsidR="00823DAA" w:rsidRPr="00C1752D">
        <w:rPr>
          <w:lang w:val="fr-CH"/>
        </w:rPr>
        <w:t>3</w:t>
      </w:r>
    </w:p>
    <w:p w:rsidR="00D04650" w:rsidRPr="00C1752D" w:rsidRDefault="00CD048E" w:rsidP="00057911">
      <w:pPr>
        <w:tabs>
          <w:tab w:val="right" w:pos="850"/>
          <w:tab w:val="left" w:pos="1134"/>
          <w:tab w:val="left" w:pos="1559"/>
          <w:tab w:val="left" w:pos="1984"/>
          <w:tab w:val="left" w:leader="dot" w:pos="8931"/>
          <w:tab w:val="right" w:pos="9638"/>
        </w:tabs>
        <w:spacing w:after="120"/>
        <w:rPr>
          <w:lang w:val="fr-CH"/>
        </w:rPr>
      </w:pPr>
      <w:r w:rsidRPr="00C1752D">
        <w:rPr>
          <w:lang w:val="fr-CH"/>
        </w:rPr>
        <w:tab/>
        <w:t>II.</w:t>
      </w:r>
      <w:r w:rsidRPr="00C1752D">
        <w:rPr>
          <w:lang w:val="fr-CH"/>
        </w:rPr>
        <w:tab/>
      </w:r>
      <w:proofErr w:type="spellStart"/>
      <w:r w:rsidR="00D630B8" w:rsidRPr="00C1752D">
        <w:rPr>
          <w:lang w:val="fr-CH"/>
        </w:rPr>
        <w:t>Current</w:t>
      </w:r>
      <w:proofErr w:type="spellEnd"/>
      <w:r w:rsidR="00D04650" w:rsidRPr="00C1752D">
        <w:rPr>
          <w:lang w:val="fr-CH"/>
        </w:rPr>
        <w:t xml:space="preserve"> </w:t>
      </w:r>
      <w:proofErr w:type="spellStart"/>
      <w:r w:rsidR="00D04650" w:rsidRPr="00C1752D">
        <w:rPr>
          <w:lang w:val="fr-CH"/>
        </w:rPr>
        <w:t>context</w:t>
      </w:r>
      <w:proofErr w:type="spellEnd"/>
      <w:r w:rsidR="00F55A8C" w:rsidRPr="00C1752D">
        <w:rPr>
          <w:lang w:val="fr-CH"/>
        </w:rPr>
        <w:tab/>
      </w:r>
      <w:r w:rsidR="00F55A8C" w:rsidRPr="00C1752D">
        <w:rPr>
          <w:lang w:val="fr-CH"/>
        </w:rPr>
        <w:tab/>
      </w:r>
      <w:r w:rsidR="00823DAA" w:rsidRPr="00C1752D">
        <w:rPr>
          <w:lang w:val="fr-CH"/>
        </w:rPr>
        <w:t>3</w:t>
      </w:r>
    </w:p>
    <w:p w:rsidR="00F55A8C" w:rsidRPr="00C1752D" w:rsidRDefault="00F55A8C" w:rsidP="00057911">
      <w:pPr>
        <w:tabs>
          <w:tab w:val="right" w:pos="850"/>
          <w:tab w:val="left" w:pos="1134"/>
          <w:tab w:val="left" w:pos="1559"/>
          <w:tab w:val="left" w:pos="1984"/>
          <w:tab w:val="left" w:leader="dot" w:pos="8931"/>
          <w:tab w:val="right" w:pos="9638"/>
        </w:tabs>
        <w:spacing w:after="120"/>
      </w:pPr>
      <w:r w:rsidRPr="00C1752D">
        <w:rPr>
          <w:lang w:val="fr-CH"/>
        </w:rPr>
        <w:tab/>
      </w:r>
      <w:r w:rsidRPr="00C1752D">
        <w:t>III.</w:t>
      </w:r>
      <w:r w:rsidRPr="00C1752D">
        <w:tab/>
        <w:t>Human rights obligations in the context of economic adjustment</w:t>
      </w:r>
      <w:r w:rsidRPr="00C1752D">
        <w:tab/>
      </w:r>
      <w:r w:rsidRPr="00C1752D">
        <w:tab/>
      </w:r>
      <w:r w:rsidR="00823DAA" w:rsidRPr="00C1752D">
        <w:t>6</w:t>
      </w:r>
    </w:p>
    <w:p w:rsidR="00F55A8C"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A.</w:t>
      </w:r>
      <w:r w:rsidRPr="00C1752D">
        <w:tab/>
      </w:r>
      <w:r w:rsidR="00F55A8C" w:rsidRPr="00C1752D">
        <w:t>Obligations of Greece</w:t>
      </w:r>
      <w:r w:rsidR="00F55A8C" w:rsidRPr="00C1752D">
        <w:tab/>
      </w:r>
      <w:r w:rsidR="00F55A8C" w:rsidRPr="00C1752D">
        <w:tab/>
      </w:r>
      <w:r w:rsidR="00823DAA" w:rsidRPr="00C1752D">
        <w:t>6</w:t>
      </w:r>
    </w:p>
    <w:p w:rsidR="00F55A8C"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B.</w:t>
      </w:r>
      <w:r w:rsidRPr="00C1752D">
        <w:tab/>
      </w:r>
      <w:r w:rsidR="00F55A8C" w:rsidRPr="00C1752D">
        <w:rPr>
          <w:lang w:eastAsia="en-GB"/>
        </w:rPr>
        <w:t xml:space="preserve">Obligations by European institutions, the IMF and </w:t>
      </w:r>
      <w:proofErr w:type="spellStart"/>
      <w:r w:rsidR="00843B05" w:rsidRPr="00C1752D">
        <w:rPr>
          <w:lang w:eastAsia="en-GB"/>
        </w:rPr>
        <w:t>e</w:t>
      </w:r>
      <w:r w:rsidR="00F55A8C" w:rsidRPr="00C1752D">
        <w:rPr>
          <w:lang w:eastAsia="en-GB"/>
        </w:rPr>
        <w:t>urozone</w:t>
      </w:r>
      <w:proofErr w:type="spellEnd"/>
      <w:r w:rsidR="00F55A8C" w:rsidRPr="00C1752D">
        <w:rPr>
          <w:lang w:eastAsia="en-GB"/>
        </w:rPr>
        <w:t xml:space="preserve"> States</w:t>
      </w:r>
      <w:r w:rsidR="00F55A8C" w:rsidRPr="00C1752D">
        <w:rPr>
          <w:lang w:eastAsia="en-GB"/>
        </w:rPr>
        <w:tab/>
      </w:r>
      <w:r w:rsidR="00F55A8C" w:rsidRPr="00C1752D">
        <w:rPr>
          <w:lang w:eastAsia="en-GB"/>
        </w:rPr>
        <w:tab/>
      </w:r>
      <w:r w:rsidR="00E315D1" w:rsidRPr="00C1752D">
        <w:rPr>
          <w:lang w:eastAsia="en-GB"/>
        </w:rPr>
        <w:t>6</w:t>
      </w:r>
    </w:p>
    <w:p w:rsidR="00F55A8C"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C.</w:t>
      </w:r>
      <w:r w:rsidRPr="00C1752D">
        <w:tab/>
      </w:r>
      <w:r w:rsidR="00F55A8C" w:rsidRPr="00C1752D">
        <w:rPr>
          <w:lang w:eastAsia="en-GB"/>
        </w:rPr>
        <w:t xml:space="preserve">Procedural obligations: </w:t>
      </w:r>
      <w:r w:rsidR="00843B05" w:rsidRPr="00C1752D">
        <w:rPr>
          <w:lang w:eastAsia="en-GB"/>
        </w:rPr>
        <w:t>h</w:t>
      </w:r>
      <w:r w:rsidR="00F55A8C" w:rsidRPr="00C1752D">
        <w:rPr>
          <w:lang w:eastAsia="en-GB"/>
        </w:rPr>
        <w:t xml:space="preserve">uman </w:t>
      </w:r>
      <w:r w:rsidR="00843B05" w:rsidRPr="00C1752D">
        <w:rPr>
          <w:lang w:eastAsia="en-GB"/>
        </w:rPr>
        <w:t>r</w:t>
      </w:r>
      <w:r w:rsidR="00F55A8C" w:rsidRPr="00C1752D">
        <w:rPr>
          <w:lang w:eastAsia="en-GB"/>
        </w:rPr>
        <w:t xml:space="preserve">ights </w:t>
      </w:r>
      <w:r w:rsidR="00843B05" w:rsidRPr="00C1752D">
        <w:rPr>
          <w:lang w:eastAsia="en-GB"/>
        </w:rPr>
        <w:t>i</w:t>
      </w:r>
      <w:r w:rsidR="00F55A8C" w:rsidRPr="00C1752D">
        <w:rPr>
          <w:lang w:eastAsia="en-GB"/>
        </w:rPr>
        <w:t xml:space="preserve">mpact </w:t>
      </w:r>
      <w:r w:rsidR="00843B05" w:rsidRPr="00C1752D">
        <w:rPr>
          <w:lang w:eastAsia="en-GB"/>
        </w:rPr>
        <w:t>a</w:t>
      </w:r>
      <w:r w:rsidR="00F55A8C" w:rsidRPr="00C1752D">
        <w:rPr>
          <w:lang w:eastAsia="en-GB"/>
        </w:rPr>
        <w:t>ssessment</w:t>
      </w:r>
      <w:r w:rsidR="00403EAF" w:rsidRPr="00C1752D">
        <w:rPr>
          <w:lang w:eastAsia="en-GB"/>
        </w:rPr>
        <w:t>s</w:t>
      </w:r>
      <w:r w:rsidR="00F55A8C" w:rsidRPr="00C1752D">
        <w:rPr>
          <w:lang w:eastAsia="en-GB"/>
        </w:rPr>
        <w:t xml:space="preserve"> and </w:t>
      </w:r>
      <w:r w:rsidR="00AC65F2" w:rsidRPr="00C1752D">
        <w:rPr>
          <w:lang w:eastAsia="en-GB"/>
        </w:rPr>
        <w:t>r</w:t>
      </w:r>
      <w:r w:rsidR="00F55A8C" w:rsidRPr="00C1752D">
        <w:rPr>
          <w:lang w:eastAsia="en-GB"/>
        </w:rPr>
        <w:t xml:space="preserve">ight to </w:t>
      </w:r>
      <w:r w:rsidR="00AC65F2" w:rsidRPr="00C1752D">
        <w:rPr>
          <w:lang w:eastAsia="en-GB"/>
        </w:rPr>
        <w:t>p</w:t>
      </w:r>
      <w:r w:rsidR="00F55A8C" w:rsidRPr="00C1752D">
        <w:rPr>
          <w:lang w:eastAsia="en-GB"/>
        </w:rPr>
        <w:t>articipation</w:t>
      </w:r>
      <w:r w:rsidR="00F55A8C" w:rsidRPr="00C1752D">
        <w:rPr>
          <w:lang w:eastAsia="en-GB"/>
        </w:rPr>
        <w:tab/>
      </w:r>
      <w:r w:rsidR="00F55A8C" w:rsidRPr="00C1752D">
        <w:rPr>
          <w:lang w:eastAsia="en-GB"/>
        </w:rPr>
        <w:tab/>
      </w:r>
      <w:r w:rsidR="00E315D1" w:rsidRPr="00C1752D">
        <w:rPr>
          <w:lang w:eastAsia="en-GB"/>
        </w:rPr>
        <w:t>8</w:t>
      </w:r>
    </w:p>
    <w:p w:rsidR="002A7557" w:rsidRPr="00C1752D" w:rsidRDefault="002A7557" w:rsidP="00F55A8C">
      <w:pPr>
        <w:tabs>
          <w:tab w:val="right" w:pos="850"/>
          <w:tab w:val="left" w:pos="1134"/>
          <w:tab w:val="left" w:pos="1559"/>
          <w:tab w:val="left" w:pos="1984"/>
          <w:tab w:val="left" w:leader="dot" w:pos="8931"/>
          <w:tab w:val="right" w:pos="9638"/>
        </w:tabs>
        <w:spacing w:after="120"/>
      </w:pPr>
      <w:r w:rsidRPr="00C1752D">
        <w:tab/>
      </w:r>
      <w:r w:rsidR="00D04650" w:rsidRPr="00C1752D">
        <w:t>I</w:t>
      </w:r>
      <w:r w:rsidRPr="00C1752D">
        <w:t>V</w:t>
      </w:r>
      <w:r w:rsidR="00D04650" w:rsidRPr="00C1752D">
        <w:t>.</w:t>
      </w:r>
      <w:r w:rsidRPr="00C1752D">
        <w:tab/>
      </w:r>
      <w:r w:rsidR="00C504A5" w:rsidRPr="00C1752D">
        <w:t>S</w:t>
      </w:r>
      <w:r w:rsidRPr="00C1752D">
        <w:t xml:space="preserve">tructural adjustment </w:t>
      </w:r>
      <w:r w:rsidR="00C504A5" w:rsidRPr="00C1752D">
        <w:t xml:space="preserve">in </w:t>
      </w:r>
      <w:r w:rsidR="006E0170" w:rsidRPr="00C1752D">
        <w:t>motion</w:t>
      </w:r>
      <w:r w:rsidRPr="00C1752D">
        <w:tab/>
      </w:r>
      <w:r w:rsidRPr="00C1752D">
        <w:tab/>
      </w:r>
      <w:r w:rsidR="00E315D1" w:rsidRPr="00C1752D">
        <w:t>9</w:t>
      </w:r>
    </w:p>
    <w:p w:rsidR="002A7557"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A.</w:t>
      </w:r>
      <w:r w:rsidRPr="00C1752D">
        <w:tab/>
      </w:r>
      <w:r w:rsidR="00C504A5" w:rsidRPr="00C1752D">
        <w:t>Excessive austerity</w:t>
      </w:r>
      <w:r w:rsidR="002A7557" w:rsidRPr="00C1752D">
        <w:tab/>
      </w:r>
      <w:r w:rsidR="002A7557" w:rsidRPr="00C1752D">
        <w:tab/>
      </w:r>
      <w:r w:rsidR="00E315D1" w:rsidRPr="00C1752D">
        <w:t>9</w:t>
      </w:r>
    </w:p>
    <w:p w:rsidR="002A7557"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B.</w:t>
      </w:r>
      <w:r w:rsidRPr="00C1752D">
        <w:tab/>
      </w:r>
      <w:r w:rsidR="002A7557" w:rsidRPr="00C1752D">
        <w:t xml:space="preserve">Adjustment measures foreseen </w:t>
      </w:r>
      <w:r w:rsidR="00403EAF" w:rsidRPr="00C1752D">
        <w:t>under</w:t>
      </w:r>
      <w:r w:rsidR="002A7557" w:rsidRPr="00C1752D">
        <w:t xml:space="preserve"> the third programme</w:t>
      </w:r>
      <w:r w:rsidR="002A7557" w:rsidRPr="00C1752D">
        <w:tab/>
      </w:r>
      <w:r w:rsidR="002A7557" w:rsidRPr="00C1752D">
        <w:tab/>
      </w:r>
      <w:r w:rsidR="00823DAA" w:rsidRPr="00C1752D">
        <w:t>12</w:t>
      </w:r>
    </w:p>
    <w:p w:rsidR="002A7557"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C.</w:t>
      </w:r>
      <w:r w:rsidRPr="00C1752D">
        <w:tab/>
      </w:r>
      <w:r w:rsidR="002A7557" w:rsidRPr="00C1752D">
        <w:t>Social impact assessment of the European Commission</w:t>
      </w:r>
      <w:r w:rsidR="002A7557" w:rsidRPr="00C1752D">
        <w:tab/>
      </w:r>
      <w:r w:rsidR="002A7557" w:rsidRPr="00C1752D">
        <w:tab/>
      </w:r>
      <w:r w:rsidR="00823DAA" w:rsidRPr="00C1752D">
        <w:t>13</w:t>
      </w:r>
    </w:p>
    <w:p w:rsidR="00E93085"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D.</w:t>
      </w:r>
      <w:r w:rsidRPr="00C1752D">
        <w:tab/>
      </w:r>
      <w:r w:rsidR="00E93085" w:rsidRPr="00C1752D">
        <w:t>Debt sustainability</w:t>
      </w:r>
      <w:r w:rsidR="00403EAF" w:rsidRPr="00C1752D">
        <w:tab/>
      </w:r>
      <w:r w:rsidR="00403EAF" w:rsidRPr="00C1752D">
        <w:tab/>
      </w:r>
      <w:r w:rsidR="00823DAA" w:rsidRPr="00C1752D">
        <w:t>13</w:t>
      </w:r>
    </w:p>
    <w:p w:rsidR="00E93085"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E.</w:t>
      </w:r>
      <w:r w:rsidRPr="00C1752D">
        <w:tab/>
      </w:r>
      <w:r w:rsidR="00E93085" w:rsidRPr="00C1752D">
        <w:t>Truth Committee on Public Debt</w:t>
      </w:r>
      <w:r w:rsidR="00E93085" w:rsidRPr="00C1752D">
        <w:tab/>
      </w:r>
      <w:r w:rsidR="00E93085" w:rsidRPr="00C1752D">
        <w:tab/>
      </w:r>
      <w:r w:rsidR="00823DAA" w:rsidRPr="00C1752D">
        <w:t>14</w:t>
      </w:r>
    </w:p>
    <w:p w:rsidR="000E76F5" w:rsidRPr="00C1752D" w:rsidRDefault="005573E4" w:rsidP="005573E4">
      <w:pPr>
        <w:tabs>
          <w:tab w:val="right" w:pos="850"/>
          <w:tab w:val="left" w:pos="1134"/>
          <w:tab w:val="left" w:pos="1559"/>
          <w:tab w:val="left" w:pos="1984"/>
          <w:tab w:val="left" w:leader="dot" w:pos="8931"/>
          <w:tab w:val="right" w:pos="9638"/>
        </w:tabs>
        <w:spacing w:after="120"/>
        <w:ind w:left="1560" w:hanging="420"/>
        <w:rPr>
          <w:b/>
          <w:lang w:eastAsia="en-GB"/>
        </w:rPr>
      </w:pPr>
      <w:r w:rsidRPr="00C1752D">
        <w:rPr>
          <w:lang w:eastAsia="en-GB"/>
        </w:rPr>
        <w:t>F.</w:t>
      </w:r>
      <w:r w:rsidRPr="00C1752D">
        <w:rPr>
          <w:lang w:eastAsia="en-GB"/>
        </w:rPr>
        <w:tab/>
      </w:r>
      <w:r w:rsidR="000E76F5" w:rsidRPr="00C1752D">
        <w:t>Response of national judicial and non-judicial protection mechanisms</w:t>
      </w:r>
      <w:r w:rsidR="000E76F5" w:rsidRPr="00C1752D">
        <w:rPr>
          <w:lang w:eastAsia="en-GB"/>
        </w:rPr>
        <w:tab/>
      </w:r>
      <w:r w:rsidR="000E76F5" w:rsidRPr="00C1752D">
        <w:rPr>
          <w:b/>
          <w:lang w:eastAsia="en-GB"/>
        </w:rPr>
        <w:tab/>
      </w:r>
      <w:r w:rsidR="00823DAA" w:rsidRPr="00C1752D">
        <w:rPr>
          <w:lang w:eastAsia="en-GB"/>
        </w:rPr>
        <w:t>14</w:t>
      </w:r>
    </w:p>
    <w:p w:rsidR="000862DB" w:rsidRPr="00C1752D" w:rsidRDefault="000862DB" w:rsidP="000862DB">
      <w:pPr>
        <w:tabs>
          <w:tab w:val="right" w:pos="850"/>
          <w:tab w:val="left" w:pos="1134"/>
          <w:tab w:val="left" w:pos="1559"/>
          <w:tab w:val="left" w:pos="1984"/>
          <w:tab w:val="left" w:leader="dot" w:pos="8931"/>
          <w:tab w:val="right" w:pos="9638"/>
        </w:tabs>
        <w:spacing w:after="120"/>
      </w:pPr>
      <w:r w:rsidRPr="00C1752D">
        <w:tab/>
        <w:t>V.</w:t>
      </w:r>
      <w:r w:rsidRPr="00C1752D">
        <w:tab/>
        <w:t xml:space="preserve">Impact of the </w:t>
      </w:r>
      <w:r w:rsidR="00E93085" w:rsidRPr="00C1752D">
        <w:t xml:space="preserve">crisis and adjustment programmes </w:t>
      </w:r>
      <w:r w:rsidRPr="00C1752D">
        <w:t>on the enjoyment of human rights</w:t>
      </w:r>
      <w:r w:rsidRPr="00C1752D">
        <w:tab/>
      </w:r>
      <w:r w:rsidRPr="00C1752D">
        <w:tab/>
      </w:r>
      <w:r w:rsidR="00823DAA" w:rsidRPr="00C1752D">
        <w:t>15</w:t>
      </w:r>
    </w:p>
    <w:p w:rsidR="00E93085"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A.</w:t>
      </w:r>
      <w:r w:rsidRPr="00C1752D">
        <w:tab/>
      </w:r>
      <w:r w:rsidR="00E93085" w:rsidRPr="00C1752D">
        <w:t>Right to work and to favourable condition of work</w:t>
      </w:r>
      <w:r w:rsidR="00C5435E" w:rsidRPr="00C1752D">
        <w:tab/>
      </w:r>
      <w:r w:rsidR="00C5435E" w:rsidRPr="00C1752D">
        <w:tab/>
      </w:r>
      <w:r w:rsidR="00E315D1" w:rsidRPr="00C1752D">
        <w:t>15</w:t>
      </w:r>
    </w:p>
    <w:p w:rsidR="00E93085"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B.</w:t>
      </w:r>
      <w:r w:rsidRPr="00C1752D">
        <w:tab/>
      </w:r>
      <w:r w:rsidR="00E93085" w:rsidRPr="00C1752D">
        <w:tab/>
        <w:t>Right to social security</w:t>
      </w:r>
      <w:r w:rsidR="00B5790B" w:rsidRPr="00C1752D">
        <w:t>,</w:t>
      </w:r>
      <w:r w:rsidR="00E93085" w:rsidRPr="00C1752D">
        <w:t xml:space="preserve"> poverty</w:t>
      </w:r>
      <w:r w:rsidR="00B5790B" w:rsidRPr="00C1752D">
        <w:t xml:space="preserve"> and severe material deprivation</w:t>
      </w:r>
      <w:r w:rsidR="00E93085" w:rsidRPr="00C1752D">
        <w:tab/>
      </w:r>
      <w:r w:rsidR="00C5435E" w:rsidRPr="00C1752D">
        <w:tab/>
      </w:r>
      <w:r w:rsidR="00823DAA" w:rsidRPr="00C1752D">
        <w:t>16</w:t>
      </w:r>
    </w:p>
    <w:p w:rsidR="00E93085" w:rsidRPr="00C1752D" w:rsidRDefault="005573E4" w:rsidP="005573E4">
      <w:pPr>
        <w:tabs>
          <w:tab w:val="right" w:pos="850"/>
          <w:tab w:val="left" w:pos="1134"/>
          <w:tab w:val="left" w:pos="1559"/>
          <w:tab w:val="left" w:pos="1984"/>
          <w:tab w:val="left" w:leader="dot" w:pos="8931"/>
          <w:tab w:val="right" w:pos="9638"/>
        </w:tabs>
        <w:spacing w:after="120"/>
        <w:ind w:left="1560" w:hanging="420"/>
      </w:pPr>
      <w:r w:rsidRPr="00C1752D">
        <w:t>C.</w:t>
      </w:r>
      <w:r w:rsidRPr="00C1752D">
        <w:tab/>
      </w:r>
      <w:r w:rsidR="00E93085" w:rsidRPr="00C1752D">
        <w:tab/>
      </w:r>
      <w:r w:rsidR="00C5435E" w:rsidRPr="00C1752D">
        <w:t>Right to food, housing and health</w:t>
      </w:r>
      <w:r w:rsidR="00E93085" w:rsidRPr="00C1752D">
        <w:tab/>
      </w:r>
      <w:r w:rsidR="00C5435E" w:rsidRPr="00C1752D">
        <w:tab/>
      </w:r>
      <w:r w:rsidR="00823DAA" w:rsidRPr="00C1752D">
        <w:t>18</w:t>
      </w:r>
    </w:p>
    <w:p w:rsidR="0079397B" w:rsidRPr="00C1752D" w:rsidRDefault="00017C92" w:rsidP="0079397B">
      <w:pPr>
        <w:tabs>
          <w:tab w:val="right" w:pos="850"/>
          <w:tab w:val="left" w:pos="1134"/>
          <w:tab w:val="left" w:pos="1559"/>
          <w:tab w:val="left" w:pos="1984"/>
          <w:tab w:val="left" w:leader="dot" w:pos="8931"/>
          <w:tab w:val="right" w:pos="9638"/>
        </w:tabs>
        <w:spacing w:after="120"/>
      </w:pPr>
      <w:r w:rsidRPr="00C1752D">
        <w:t xml:space="preserve"> </w:t>
      </w:r>
      <w:r w:rsidR="003370F0" w:rsidRPr="00C1752D">
        <w:tab/>
      </w:r>
      <w:r w:rsidR="00C10A8E" w:rsidRPr="00C1752D">
        <w:t>V</w:t>
      </w:r>
      <w:r w:rsidR="00D04650" w:rsidRPr="00C1752D">
        <w:t>I</w:t>
      </w:r>
      <w:r w:rsidR="00C10A8E" w:rsidRPr="00C1752D">
        <w:t xml:space="preserve">. </w:t>
      </w:r>
      <w:r w:rsidR="00C10A8E" w:rsidRPr="00C1752D">
        <w:tab/>
      </w:r>
      <w:r w:rsidR="00CD048E" w:rsidRPr="00C1752D">
        <w:t>Conclu</w:t>
      </w:r>
      <w:r w:rsidR="00057911" w:rsidRPr="00C1752D">
        <w:t>sions and recommendations</w:t>
      </w:r>
      <w:r w:rsidR="00057911" w:rsidRPr="00C1752D">
        <w:tab/>
      </w:r>
      <w:r w:rsidR="00057911" w:rsidRPr="00C1752D">
        <w:tab/>
      </w:r>
      <w:r w:rsidR="00823DAA" w:rsidRPr="00C1752D">
        <w:t>19</w:t>
      </w:r>
    </w:p>
    <w:p w:rsidR="007C1FE5" w:rsidRPr="00C1752D" w:rsidRDefault="00823DAA" w:rsidP="0079397B">
      <w:pPr>
        <w:pStyle w:val="ListParagraph"/>
        <w:tabs>
          <w:tab w:val="right" w:pos="850"/>
          <w:tab w:val="left" w:pos="1134"/>
          <w:tab w:val="left" w:pos="1559"/>
          <w:tab w:val="left" w:pos="1984"/>
          <w:tab w:val="left" w:leader="dot" w:pos="8931"/>
          <w:tab w:val="right" w:pos="9638"/>
        </w:tabs>
        <w:spacing w:after="120"/>
        <w:ind w:left="1560" w:hanging="426"/>
      </w:pPr>
      <w:r w:rsidRPr="00C1752D">
        <w:t>A</w:t>
      </w:r>
      <w:r w:rsidR="00045B4A" w:rsidRPr="00C1752D">
        <w:t>.</w:t>
      </w:r>
      <w:r w:rsidR="000862DB" w:rsidRPr="00C1752D">
        <w:tab/>
      </w:r>
      <w:r w:rsidR="00136BA5" w:rsidRPr="00C1752D">
        <w:t>Recommendations to the Government</w:t>
      </w:r>
      <w:r w:rsidRPr="00C1752D">
        <w:t xml:space="preserve"> and its international lenders</w:t>
      </w:r>
      <w:r w:rsidR="00057911" w:rsidRPr="00C1752D">
        <w:tab/>
      </w:r>
      <w:r w:rsidR="00057911" w:rsidRPr="00C1752D">
        <w:tab/>
      </w:r>
      <w:r w:rsidR="00E315D1" w:rsidRPr="00C1752D">
        <w:t>20</w:t>
      </w:r>
    </w:p>
    <w:p w:rsidR="00823DAA" w:rsidRPr="00C1752D" w:rsidRDefault="00823DAA" w:rsidP="005573E4">
      <w:pPr>
        <w:tabs>
          <w:tab w:val="right" w:pos="850"/>
          <w:tab w:val="left" w:pos="1134"/>
          <w:tab w:val="left" w:pos="1559"/>
          <w:tab w:val="left" w:pos="1984"/>
          <w:tab w:val="left" w:leader="dot" w:pos="8931"/>
          <w:tab w:val="right" w:pos="9638"/>
        </w:tabs>
        <w:spacing w:after="120"/>
        <w:ind w:left="1560" w:hanging="420"/>
      </w:pPr>
      <w:r w:rsidRPr="00C1752D">
        <w:t>B.</w:t>
      </w:r>
      <w:r w:rsidRPr="00C1752D">
        <w:tab/>
        <w:t>Recommendations to the Government</w:t>
      </w:r>
      <w:r w:rsidRPr="00C1752D">
        <w:tab/>
      </w:r>
      <w:r w:rsidRPr="00C1752D">
        <w:tab/>
        <w:t>21</w:t>
      </w:r>
    </w:p>
    <w:p w:rsidR="007C1FE5" w:rsidRPr="000F2E9A" w:rsidRDefault="000862DB" w:rsidP="00E315D1">
      <w:pPr>
        <w:pStyle w:val="ListParagraph"/>
        <w:tabs>
          <w:tab w:val="right" w:pos="850"/>
          <w:tab w:val="left" w:pos="1134"/>
          <w:tab w:val="left" w:pos="1559"/>
          <w:tab w:val="left" w:pos="1984"/>
          <w:tab w:val="left" w:leader="dot" w:pos="8931"/>
          <w:tab w:val="right" w:pos="9638"/>
        </w:tabs>
        <w:spacing w:after="120"/>
        <w:ind w:left="1560" w:hanging="426"/>
      </w:pPr>
      <w:r w:rsidRPr="00C1752D">
        <w:t>C.</w:t>
      </w:r>
      <w:r w:rsidR="007C1FE5" w:rsidRPr="00C1752D">
        <w:tab/>
        <w:t>Reco</w:t>
      </w:r>
      <w:r w:rsidR="00057911" w:rsidRPr="00C1752D">
        <w:t>mmendations to</w:t>
      </w:r>
      <w:r w:rsidR="00136BA5" w:rsidRPr="00C1752D">
        <w:t xml:space="preserve"> international lenders</w:t>
      </w:r>
      <w:r w:rsidR="00057911" w:rsidRPr="00C1752D">
        <w:tab/>
      </w:r>
      <w:r w:rsidR="00057911" w:rsidRPr="00C1752D">
        <w:tab/>
      </w:r>
      <w:r w:rsidR="00E315D1" w:rsidRPr="00C1752D">
        <w:t>22</w:t>
      </w:r>
    </w:p>
    <w:p w:rsidR="00CD048E" w:rsidRPr="000F2E9A" w:rsidRDefault="00CD048E">
      <w:pPr>
        <w:pStyle w:val="HChG"/>
        <w:rPr>
          <w:szCs w:val="24"/>
          <w:lang w:val="en-GB"/>
        </w:rPr>
      </w:pPr>
      <w:r w:rsidRPr="000F2E9A">
        <w:rPr>
          <w:lang w:val="en-GB"/>
        </w:rPr>
        <w:br w:type="page"/>
      </w:r>
      <w:r w:rsidRPr="000F2E9A">
        <w:rPr>
          <w:lang w:val="en-GB"/>
        </w:rPr>
        <w:lastRenderedPageBreak/>
        <w:tab/>
        <w:t>I.</w:t>
      </w:r>
      <w:r w:rsidRPr="000F2E9A">
        <w:rPr>
          <w:lang w:val="en-GB"/>
        </w:rPr>
        <w:tab/>
        <w:t>Introduction</w:t>
      </w:r>
    </w:p>
    <w:p w:rsidR="00552E6B" w:rsidRPr="000F2E9A" w:rsidRDefault="005573E4" w:rsidP="005573E4">
      <w:pPr>
        <w:pStyle w:val="SingleTxtG"/>
        <w:rPr>
          <w:lang w:val="en-GB"/>
        </w:rPr>
      </w:pPr>
      <w:r>
        <w:rPr>
          <w:lang w:val="en-GB"/>
        </w:rPr>
        <w:t>1.</w:t>
      </w:r>
      <w:r w:rsidRPr="000F2E9A">
        <w:rPr>
          <w:lang w:val="en-GB"/>
        </w:rPr>
        <w:tab/>
      </w:r>
      <w:r w:rsidR="00D519A8" w:rsidRPr="000F2E9A">
        <w:rPr>
          <w:lang w:val="en-GB"/>
        </w:rPr>
        <w:t xml:space="preserve">Pursuant to Human Rights Council </w:t>
      </w:r>
      <w:r w:rsidR="00136BA5" w:rsidRPr="000F2E9A">
        <w:rPr>
          <w:lang w:val="en-GB"/>
        </w:rPr>
        <w:t xml:space="preserve">resolution </w:t>
      </w:r>
      <w:r w:rsidR="00DB19E9" w:rsidRPr="000F2E9A">
        <w:rPr>
          <w:lang w:val="en-GB"/>
        </w:rPr>
        <w:t>25/16</w:t>
      </w:r>
      <w:r w:rsidR="00D519A8" w:rsidRPr="000F2E9A">
        <w:rPr>
          <w:lang w:val="en-GB"/>
        </w:rPr>
        <w:t>, the</w:t>
      </w:r>
      <w:r w:rsidR="00136BA5" w:rsidRPr="000F2E9A">
        <w:rPr>
          <w:lang w:val="en-GB"/>
        </w:rPr>
        <w:t xml:space="preserve"> Independent Expert on the</w:t>
      </w:r>
      <w:r w:rsidR="00B8336D" w:rsidRPr="000F2E9A">
        <w:rPr>
          <w:lang w:val="en-GB"/>
        </w:rPr>
        <w:t xml:space="preserve"> </w:t>
      </w:r>
      <w:r w:rsidR="00136BA5" w:rsidRPr="000F2E9A">
        <w:rPr>
          <w:lang w:val="en-GB"/>
        </w:rPr>
        <w:t>effects of foreign debt and other related international obligations of States on the full enjoyment of all human rights, particularly economic, social and cultural rights</w:t>
      </w:r>
      <w:r w:rsidR="00D519A8" w:rsidRPr="000F2E9A">
        <w:rPr>
          <w:lang w:val="en-GB"/>
        </w:rPr>
        <w:t xml:space="preserve"> conducted an official visit to</w:t>
      </w:r>
      <w:r w:rsidR="00215EC7" w:rsidRPr="000F2E9A">
        <w:rPr>
          <w:lang w:val="en-GB"/>
        </w:rPr>
        <w:t xml:space="preserve"> </w:t>
      </w:r>
      <w:r w:rsidR="00136BA5" w:rsidRPr="000F2E9A">
        <w:rPr>
          <w:lang w:val="en-GB"/>
        </w:rPr>
        <w:t xml:space="preserve">Greece from 30 November to 8 December 2015, </w:t>
      </w:r>
      <w:r w:rsidR="00D519A8" w:rsidRPr="000F2E9A">
        <w:rPr>
          <w:lang w:val="en-GB"/>
        </w:rPr>
        <w:t xml:space="preserve">at the invitation of the Government. </w:t>
      </w:r>
      <w:r w:rsidR="00510AFD" w:rsidRPr="000F2E9A">
        <w:rPr>
          <w:lang w:val="en-GB"/>
        </w:rPr>
        <w:t xml:space="preserve">His visit was in </w:t>
      </w:r>
      <w:r w:rsidR="00EA5C3F" w:rsidRPr="000F2E9A">
        <w:rPr>
          <w:lang w:val="en-GB"/>
        </w:rPr>
        <w:t xml:space="preserve">follow-up to </w:t>
      </w:r>
      <w:r w:rsidR="00CA3D5C" w:rsidRPr="000F2E9A">
        <w:rPr>
          <w:lang w:val="en-GB"/>
        </w:rPr>
        <w:t>the visit of the previous mandate holder to Greece from 22-27 April 2013</w:t>
      </w:r>
      <w:r w:rsidR="00C01EB7" w:rsidRPr="000F2E9A">
        <w:rPr>
          <w:lang w:val="en-GB"/>
        </w:rPr>
        <w:t xml:space="preserve"> assess</w:t>
      </w:r>
      <w:r w:rsidR="00510AFD" w:rsidRPr="000F2E9A">
        <w:rPr>
          <w:lang w:val="en-GB"/>
        </w:rPr>
        <w:t>ing</w:t>
      </w:r>
      <w:r w:rsidR="00C01EB7" w:rsidRPr="000F2E9A">
        <w:rPr>
          <w:lang w:val="en-GB"/>
        </w:rPr>
        <w:t xml:space="preserve"> the impact of the debt crisis and </w:t>
      </w:r>
      <w:r w:rsidR="00EA5C3F" w:rsidRPr="000F2E9A">
        <w:rPr>
          <w:lang w:val="en-GB"/>
        </w:rPr>
        <w:t xml:space="preserve">the structural adjustment programmes </w:t>
      </w:r>
      <w:r w:rsidR="00C01EB7" w:rsidRPr="000F2E9A">
        <w:rPr>
          <w:lang w:val="en-GB"/>
        </w:rPr>
        <w:t>on the enjoyment of human rights.</w:t>
      </w:r>
      <w:r w:rsidR="00510AFD" w:rsidRPr="000F2E9A">
        <w:rPr>
          <w:vertAlign w:val="superscript"/>
          <w:lang w:val="en-GB"/>
        </w:rPr>
        <w:footnoteReference w:id="4"/>
      </w:r>
      <w:r w:rsidR="00C01EB7" w:rsidRPr="000F2E9A">
        <w:rPr>
          <w:lang w:val="en-GB"/>
        </w:rPr>
        <w:t xml:space="preserve"> </w:t>
      </w:r>
      <w:r w:rsidR="00944E43" w:rsidRPr="000F2E9A">
        <w:rPr>
          <w:lang w:val="en-GB"/>
        </w:rPr>
        <w:t>The main focus of the visit was to receive updated information on the situation in Greece</w:t>
      </w:r>
      <w:r w:rsidR="00307E55" w:rsidRPr="000F2E9A">
        <w:rPr>
          <w:lang w:val="en-GB"/>
        </w:rPr>
        <w:t xml:space="preserve">, </w:t>
      </w:r>
      <w:r w:rsidR="00B8336D" w:rsidRPr="000F2E9A">
        <w:rPr>
          <w:lang w:val="en-GB"/>
        </w:rPr>
        <w:t xml:space="preserve">which is </w:t>
      </w:r>
      <w:r w:rsidR="00307E55" w:rsidRPr="000F2E9A">
        <w:rPr>
          <w:lang w:val="en-GB"/>
        </w:rPr>
        <w:t xml:space="preserve">currently implementing a </w:t>
      </w:r>
      <w:r w:rsidR="00944E43" w:rsidRPr="000F2E9A">
        <w:rPr>
          <w:lang w:val="en-GB"/>
        </w:rPr>
        <w:t xml:space="preserve">third adjustment programme, </w:t>
      </w:r>
      <w:r w:rsidR="00E26662" w:rsidRPr="000F2E9A">
        <w:rPr>
          <w:lang w:val="en-GB"/>
        </w:rPr>
        <w:t>signed on 19 August 2015 between the Government of Greece and the European Commission on behalf of the European Stability Mechanism (ESM)</w:t>
      </w:r>
      <w:r w:rsidR="00017C92" w:rsidRPr="000F2E9A">
        <w:rPr>
          <w:lang w:val="en-GB"/>
        </w:rPr>
        <w:t>.</w:t>
      </w:r>
    </w:p>
    <w:p w:rsidR="00EC5165" w:rsidRPr="000F2E9A" w:rsidRDefault="005573E4" w:rsidP="005573E4">
      <w:pPr>
        <w:pStyle w:val="SingleTxtG"/>
        <w:rPr>
          <w:lang w:val="en-GB"/>
        </w:rPr>
      </w:pPr>
      <w:r w:rsidRPr="000F2E9A">
        <w:rPr>
          <w:lang w:val="en-GB"/>
        </w:rPr>
        <w:t>2.</w:t>
      </w:r>
      <w:r w:rsidRPr="000F2E9A">
        <w:rPr>
          <w:lang w:val="en-GB"/>
        </w:rPr>
        <w:tab/>
      </w:r>
      <w:proofErr w:type="gramStart"/>
      <w:r w:rsidR="004610F8" w:rsidRPr="000F2E9A">
        <w:rPr>
          <w:lang w:val="en-GB"/>
        </w:rPr>
        <w:t>During</w:t>
      </w:r>
      <w:proofErr w:type="gramEnd"/>
      <w:r w:rsidR="00C837E6" w:rsidRPr="000F2E9A">
        <w:rPr>
          <w:lang w:val="en-GB"/>
        </w:rPr>
        <w:t xml:space="preserve"> the visit, the Independent Expert</w:t>
      </w:r>
      <w:r w:rsidR="008B5EBD" w:rsidRPr="000F2E9A">
        <w:rPr>
          <w:lang w:val="en-GB"/>
        </w:rPr>
        <w:t xml:space="preserve"> </w:t>
      </w:r>
      <w:r w:rsidR="00F326AB" w:rsidRPr="000F2E9A">
        <w:rPr>
          <w:lang w:val="en-GB"/>
        </w:rPr>
        <w:t>met with the Deputy Prime Minister</w:t>
      </w:r>
      <w:r w:rsidR="0097025F" w:rsidRPr="000F2E9A">
        <w:rPr>
          <w:lang w:val="en-GB"/>
        </w:rPr>
        <w:t xml:space="preserve">; the </w:t>
      </w:r>
      <w:r w:rsidR="00BF0E95" w:rsidRPr="000F2E9A">
        <w:rPr>
          <w:lang w:val="en-GB"/>
        </w:rPr>
        <w:t>Minister of Economy, Development and Tourism</w:t>
      </w:r>
      <w:r w:rsidR="0097025F" w:rsidRPr="000F2E9A">
        <w:rPr>
          <w:lang w:val="en-GB"/>
        </w:rPr>
        <w:t>;</w:t>
      </w:r>
      <w:r w:rsidR="00BF0E95" w:rsidRPr="000F2E9A">
        <w:rPr>
          <w:lang w:val="en-GB"/>
        </w:rPr>
        <w:t xml:space="preserve"> the Minister of Health</w:t>
      </w:r>
      <w:r w:rsidR="0097025F" w:rsidRPr="000F2E9A">
        <w:rPr>
          <w:lang w:val="en-GB"/>
        </w:rPr>
        <w:t>;</w:t>
      </w:r>
      <w:r w:rsidR="00BF0E95" w:rsidRPr="000F2E9A">
        <w:rPr>
          <w:lang w:val="en-GB"/>
        </w:rPr>
        <w:t xml:space="preserve"> the Minister of Labour, Social Security and Social Solidarity</w:t>
      </w:r>
      <w:r w:rsidR="0097025F" w:rsidRPr="000F2E9A">
        <w:rPr>
          <w:lang w:val="en-GB"/>
        </w:rPr>
        <w:t>;</w:t>
      </w:r>
      <w:r w:rsidR="00BF0E95" w:rsidRPr="000F2E9A">
        <w:rPr>
          <w:lang w:val="en-GB"/>
        </w:rPr>
        <w:t xml:space="preserve"> and the Alternate Minister for Migration Policy.</w:t>
      </w:r>
      <w:r w:rsidR="00017C92" w:rsidRPr="000F2E9A">
        <w:rPr>
          <w:lang w:val="en-GB"/>
        </w:rPr>
        <w:t xml:space="preserve"> </w:t>
      </w:r>
      <w:r w:rsidR="00BF0E95" w:rsidRPr="000F2E9A">
        <w:rPr>
          <w:lang w:val="en-GB"/>
        </w:rPr>
        <w:t xml:space="preserve">He </w:t>
      </w:r>
      <w:r w:rsidR="0097025F" w:rsidRPr="000F2E9A">
        <w:rPr>
          <w:lang w:val="en-GB"/>
        </w:rPr>
        <w:t xml:space="preserve">also </w:t>
      </w:r>
      <w:r w:rsidR="00BF0E95" w:rsidRPr="000F2E9A">
        <w:rPr>
          <w:lang w:val="en-GB"/>
        </w:rPr>
        <w:t xml:space="preserve">met with </w:t>
      </w:r>
      <w:r w:rsidR="00F326AB" w:rsidRPr="000F2E9A">
        <w:rPr>
          <w:lang w:val="en-GB"/>
        </w:rPr>
        <w:t xml:space="preserve">senior </w:t>
      </w:r>
      <w:r w:rsidR="00DB2378" w:rsidRPr="000F2E9A">
        <w:rPr>
          <w:lang w:val="en-GB"/>
        </w:rPr>
        <w:t xml:space="preserve">officials from the Ministries of </w:t>
      </w:r>
      <w:r w:rsidR="00BF0E95" w:rsidRPr="000F2E9A">
        <w:rPr>
          <w:lang w:val="en-GB"/>
        </w:rPr>
        <w:t xml:space="preserve">Education, Economy, Finance, Foreign Affairs, Interior and </w:t>
      </w:r>
      <w:r w:rsidR="0097025F" w:rsidRPr="000F2E9A">
        <w:rPr>
          <w:lang w:val="en-GB"/>
        </w:rPr>
        <w:t>Administrative</w:t>
      </w:r>
      <w:r w:rsidR="00BF0E95" w:rsidRPr="000F2E9A">
        <w:rPr>
          <w:lang w:val="en-GB"/>
        </w:rPr>
        <w:t xml:space="preserve"> Reconstruction, </w:t>
      </w:r>
      <w:r w:rsidR="00DB2378" w:rsidRPr="000F2E9A">
        <w:rPr>
          <w:lang w:val="en-GB"/>
        </w:rPr>
        <w:t>Justice, Transparency and Human Rights</w:t>
      </w:r>
      <w:r w:rsidR="00BF0E95" w:rsidRPr="000F2E9A">
        <w:rPr>
          <w:lang w:val="en-GB"/>
        </w:rPr>
        <w:t xml:space="preserve"> and </w:t>
      </w:r>
      <w:r w:rsidR="00F326AB" w:rsidRPr="000F2E9A">
        <w:rPr>
          <w:lang w:val="en-GB"/>
        </w:rPr>
        <w:t xml:space="preserve">the Presidents of the Supreme Court and </w:t>
      </w:r>
      <w:r w:rsidR="00A322B8" w:rsidRPr="000F2E9A">
        <w:rPr>
          <w:lang w:val="en-GB"/>
        </w:rPr>
        <w:t xml:space="preserve">of the </w:t>
      </w:r>
      <w:r w:rsidR="00F326AB" w:rsidRPr="000F2E9A">
        <w:rPr>
          <w:lang w:val="en-GB"/>
        </w:rPr>
        <w:t xml:space="preserve">Council of State, </w:t>
      </w:r>
      <w:r w:rsidR="0097025F" w:rsidRPr="000F2E9A">
        <w:rPr>
          <w:lang w:val="en-GB"/>
        </w:rPr>
        <w:t>M</w:t>
      </w:r>
      <w:r w:rsidR="00F326AB" w:rsidRPr="000F2E9A">
        <w:rPr>
          <w:lang w:val="en-GB"/>
        </w:rPr>
        <w:t>embers of Parliament</w:t>
      </w:r>
      <w:r w:rsidR="0097025F" w:rsidRPr="000F2E9A">
        <w:rPr>
          <w:lang w:val="en-GB"/>
        </w:rPr>
        <w:t xml:space="preserve"> and</w:t>
      </w:r>
      <w:r w:rsidR="00017C92" w:rsidRPr="000F2E9A">
        <w:rPr>
          <w:lang w:val="en-GB"/>
        </w:rPr>
        <w:t xml:space="preserve"> </w:t>
      </w:r>
      <w:r w:rsidR="0097025F" w:rsidRPr="000F2E9A">
        <w:rPr>
          <w:lang w:val="en-GB"/>
        </w:rPr>
        <w:t>members</w:t>
      </w:r>
      <w:r w:rsidR="00A322B8" w:rsidRPr="000F2E9A">
        <w:rPr>
          <w:lang w:val="en-GB"/>
        </w:rPr>
        <w:t xml:space="preserve"> </w:t>
      </w:r>
      <w:r w:rsidR="00666A4D" w:rsidRPr="000F2E9A">
        <w:rPr>
          <w:lang w:val="en-GB"/>
        </w:rPr>
        <w:t xml:space="preserve">of </w:t>
      </w:r>
      <w:r w:rsidR="00A322B8" w:rsidRPr="000F2E9A">
        <w:rPr>
          <w:lang w:val="en-GB"/>
        </w:rPr>
        <w:t>the</w:t>
      </w:r>
      <w:r w:rsidR="00666A4D" w:rsidRPr="000F2E9A">
        <w:rPr>
          <w:lang w:val="en-GB"/>
        </w:rPr>
        <w:t xml:space="preserve"> former</w:t>
      </w:r>
      <w:r w:rsidR="00A322B8" w:rsidRPr="000F2E9A">
        <w:rPr>
          <w:lang w:val="en-GB"/>
        </w:rPr>
        <w:t xml:space="preserve"> </w:t>
      </w:r>
      <w:r w:rsidR="00722601" w:rsidRPr="000F2E9A">
        <w:rPr>
          <w:lang w:val="en-GB"/>
        </w:rPr>
        <w:t>Truth Committee on Public Debt</w:t>
      </w:r>
      <w:r w:rsidR="00722601" w:rsidRPr="000F2E9A">
        <w:rPr>
          <w:vertAlign w:val="superscript"/>
          <w:lang w:val="en-GB"/>
        </w:rPr>
        <w:footnoteReference w:id="5"/>
      </w:r>
      <w:r w:rsidR="00F326AB" w:rsidRPr="000F2E9A">
        <w:rPr>
          <w:lang w:val="en-GB"/>
        </w:rPr>
        <w:t xml:space="preserve"> </w:t>
      </w:r>
      <w:r w:rsidR="0097025F" w:rsidRPr="000F2E9A">
        <w:rPr>
          <w:lang w:val="en-GB"/>
        </w:rPr>
        <w:t xml:space="preserve">His programme included meetings </w:t>
      </w:r>
      <w:r w:rsidR="00F326AB" w:rsidRPr="000F2E9A">
        <w:rPr>
          <w:lang w:val="en-GB"/>
        </w:rPr>
        <w:t xml:space="preserve">with representatives </w:t>
      </w:r>
      <w:r w:rsidR="0097025F" w:rsidRPr="000F2E9A">
        <w:rPr>
          <w:lang w:val="en-GB"/>
        </w:rPr>
        <w:t xml:space="preserve">of the Central Bank of Greece, </w:t>
      </w:r>
      <w:r w:rsidR="00F326AB" w:rsidRPr="000F2E9A">
        <w:rPr>
          <w:lang w:val="en-GB"/>
        </w:rPr>
        <w:t>the European Commission</w:t>
      </w:r>
      <w:r w:rsidR="00BF0E95" w:rsidRPr="000F2E9A">
        <w:rPr>
          <w:lang w:val="en-GB"/>
        </w:rPr>
        <w:t>,</w:t>
      </w:r>
      <w:r w:rsidR="00F326AB" w:rsidRPr="000F2E9A">
        <w:rPr>
          <w:lang w:val="en-GB"/>
        </w:rPr>
        <w:t xml:space="preserve"> the International Monetary Fun</w:t>
      </w:r>
      <w:r w:rsidR="00695760" w:rsidRPr="000F2E9A">
        <w:rPr>
          <w:lang w:val="en-GB"/>
        </w:rPr>
        <w:t>d (IMF)</w:t>
      </w:r>
      <w:r w:rsidR="00F326AB" w:rsidRPr="000F2E9A">
        <w:rPr>
          <w:lang w:val="en-GB"/>
        </w:rPr>
        <w:t>, the Greek Ombudsman</w:t>
      </w:r>
      <w:r w:rsidR="0097025F" w:rsidRPr="000F2E9A">
        <w:rPr>
          <w:lang w:val="en-GB"/>
        </w:rPr>
        <w:t xml:space="preserve">, </w:t>
      </w:r>
      <w:r w:rsidR="00F326AB" w:rsidRPr="000F2E9A">
        <w:rPr>
          <w:lang w:val="en-GB"/>
        </w:rPr>
        <w:t xml:space="preserve">the </w:t>
      </w:r>
      <w:r w:rsidR="00DE6B16" w:rsidRPr="000F2E9A">
        <w:rPr>
          <w:lang w:val="en-GB"/>
        </w:rPr>
        <w:t xml:space="preserve">Greek </w:t>
      </w:r>
      <w:r w:rsidR="00F326AB" w:rsidRPr="000F2E9A">
        <w:rPr>
          <w:lang w:val="en-GB"/>
        </w:rPr>
        <w:t xml:space="preserve">National </w:t>
      </w:r>
      <w:r w:rsidR="00DE6B16" w:rsidRPr="000F2E9A">
        <w:rPr>
          <w:lang w:val="en-GB"/>
        </w:rPr>
        <w:t xml:space="preserve">Commission for </w:t>
      </w:r>
      <w:r w:rsidR="00F326AB" w:rsidRPr="000F2E9A">
        <w:rPr>
          <w:lang w:val="en-GB"/>
        </w:rPr>
        <w:t>Human Rights, trade unions</w:t>
      </w:r>
      <w:r w:rsidR="00DE6B16" w:rsidRPr="000F2E9A">
        <w:rPr>
          <w:lang w:val="en-GB"/>
        </w:rPr>
        <w:t xml:space="preserve"> and employer organizations</w:t>
      </w:r>
      <w:r w:rsidR="00F326AB" w:rsidRPr="000F2E9A">
        <w:rPr>
          <w:lang w:val="en-GB"/>
        </w:rPr>
        <w:t>, civil society</w:t>
      </w:r>
      <w:r w:rsidR="0097025F" w:rsidRPr="000F2E9A">
        <w:rPr>
          <w:lang w:val="en-GB"/>
        </w:rPr>
        <w:t xml:space="preserve"> representatives</w:t>
      </w:r>
      <w:r w:rsidR="00F326AB" w:rsidRPr="000F2E9A">
        <w:rPr>
          <w:lang w:val="en-GB"/>
        </w:rPr>
        <w:t xml:space="preserve">, academic experts and officials from United Nations </w:t>
      </w:r>
      <w:r w:rsidR="00DE2717" w:rsidRPr="000F2E9A">
        <w:rPr>
          <w:lang w:val="en-GB"/>
        </w:rPr>
        <w:t>High Commissioner for Refugees</w:t>
      </w:r>
      <w:r w:rsidR="00017C92" w:rsidRPr="000F2E9A">
        <w:rPr>
          <w:lang w:val="en-GB"/>
        </w:rPr>
        <w:t>.</w:t>
      </w:r>
    </w:p>
    <w:p w:rsidR="00EE6913" w:rsidRPr="000F2E9A" w:rsidRDefault="005573E4" w:rsidP="005573E4">
      <w:pPr>
        <w:pStyle w:val="SingleTxtG"/>
        <w:rPr>
          <w:lang w:val="en-GB"/>
        </w:rPr>
      </w:pPr>
      <w:r w:rsidRPr="000F2E9A">
        <w:rPr>
          <w:lang w:val="en-GB"/>
        </w:rPr>
        <w:t>3.</w:t>
      </w:r>
      <w:r w:rsidRPr="000F2E9A">
        <w:rPr>
          <w:lang w:val="en-GB"/>
        </w:rPr>
        <w:tab/>
      </w:r>
      <w:r w:rsidR="00A02D87" w:rsidRPr="000F2E9A">
        <w:rPr>
          <w:lang w:val="en-GB"/>
        </w:rPr>
        <w:t xml:space="preserve">The Independent Expert </w:t>
      </w:r>
      <w:r w:rsidR="008B5EBD" w:rsidRPr="000F2E9A">
        <w:rPr>
          <w:lang w:val="en-GB"/>
        </w:rPr>
        <w:t>thank</w:t>
      </w:r>
      <w:r w:rsidR="00D03034" w:rsidRPr="000F2E9A">
        <w:rPr>
          <w:lang w:val="en-GB"/>
        </w:rPr>
        <w:t>s</w:t>
      </w:r>
      <w:r w:rsidR="00A02D87" w:rsidRPr="000F2E9A">
        <w:rPr>
          <w:lang w:val="en-GB"/>
        </w:rPr>
        <w:t xml:space="preserve"> the Government of </w:t>
      </w:r>
      <w:r w:rsidR="00160422" w:rsidRPr="000F2E9A">
        <w:rPr>
          <w:lang w:val="en-GB"/>
        </w:rPr>
        <w:t xml:space="preserve">Greece </w:t>
      </w:r>
      <w:r w:rsidR="00A02D87" w:rsidRPr="000F2E9A">
        <w:rPr>
          <w:lang w:val="en-GB"/>
        </w:rPr>
        <w:t>for extending an invitation to h</w:t>
      </w:r>
      <w:r w:rsidR="00160422" w:rsidRPr="000F2E9A">
        <w:rPr>
          <w:lang w:val="en-GB"/>
        </w:rPr>
        <w:t xml:space="preserve">im </w:t>
      </w:r>
      <w:r w:rsidR="00A02D87" w:rsidRPr="000F2E9A">
        <w:rPr>
          <w:lang w:val="en-GB"/>
        </w:rPr>
        <w:t xml:space="preserve">and for its </w:t>
      </w:r>
      <w:r w:rsidR="00DE2717" w:rsidRPr="000F2E9A">
        <w:rPr>
          <w:lang w:val="en-GB"/>
        </w:rPr>
        <w:t xml:space="preserve">full </w:t>
      </w:r>
      <w:r w:rsidR="00A02D87" w:rsidRPr="000F2E9A">
        <w:rPr>
          <w:lang w:val="en-GB"/>
        </w:rPr>
        <w:t>co</w:t>
      </w:r>
      <w:r w:rsidR="00A46A4C" w:rsidRPr="000F2E9A">
        <w:rPr>
          <w:lang w:val="en-GB"/>
        </w:rPr>
        <w:t>operation throughout the visit</w:t>
      </w:r>
      <w:r w:rsidR="008B5EBD" w:rsidRPr="000F2E9A">
        <w:rPr>
          <w:lang w:val="en-GB"/>
        </w:rPr>
        <w:t xml:space="preserve">. </w:t>
      </w:r>
      <w:r w:rsidR="007278E1" w:rsidRPr="000F2E9A">
        <w:rPr>
          <w:lang w:val="en-GB"/>
        </w:rPr>
        <w:t xml:space="preserve">He wishes to express his appreciation to all of his interlocutors for taking time to meet him and engaging in an open </w:t>
      </w:r>
      <w:r w:rsidR="00F01042" w:rsidRPr="000F2E9A">
        <w:rPr>
          <w:lang w:val="en-GB"/>
        </w:rPr>
        <w:t xml:space="preserve">and frank </w:t>
      </w:r>
      <w:r w:rsidR="00017C92" w:rsidRPr="000F2E9A">
        <w:rPr>
          <w:lang w:val="en-GB"/>
        </w:rPr>
        <w:t>dialogue.</w:t>
      </w:r>
    </w:p>
    <w:p w:rsidR="00D04650" w:rsidRPr="000F2E9A" w:rsidRDefault="005573E4" w:rsidP="005573E4">
      <w:pPr>
        <w:pStyle w:val="SingleTxtG"/>
        <w:rPr>
          <w:lang w:val="en-GB"/>
        </w:rPr>
      </w:pPr>
      <w:r w:rsidRPr="000F2E9A">
        <w:rPr>
          <w:lang w:val="en-GB"/>
        </w:rPr>
        <w:t>4.</w:t>
      </w:r>
      <w:r w:rsidRPr="000F2E9A">
        <w:rPr>
          <w:lang w:val="en-GB"/>
        </w:rPr>
        <w:tab/>
      </w:r>
      <w:r w:rsidR="0097025F" w:rsidRPr="000F2E9A">
        <w:rPr>
          <w:lang w:val="en-GB"/>
        </w:rPr>
        <w:t>In follow-up to his visit to Greece t</w:t>
      </w:r>
      <w:r w:rsidR="00F21B20" w:rsidRPr="000F2E9A">
        <w:rPr>
          <w:lang w:val="en-GB"/>
        </w:rPr>
        <w:t>he Independent Expert inten</w:t>
      </w:r>
      <w:r w:rsidR="00B8336D" w:rsidRPr="000F2E9A">
        <w:rPr>
          <w:lang w:val="en-GB"/>
        </w:rPr>
        <w:t>d</w:t>
      </w:r>
      <w:r w:rsidR="00F21B20" w:rsidRPr="000F2E9A">
        <w:rPr>
          <w:lang w:val="en-GB"/>
        </w:rPr>
        <w:t>s to undertake an official visit to Institutions of the European Union</w:t>
      </w:r>
      <w:r w:rsidR="0097025F" w:rsidRPr="000F2E9A">
        <w:rPr>
          <w:lang w:val="en-GB"/>
        </w:rPr>
        <w:t xml:space="preserve"> during 2016.</w:t>
      </w:r>
    </w:p>
    <w:p w:rsidR="00D04650" w:rsidRPr="000F2E9A" w:rsidRDefault="002A7557" w:rsidP="00F03547">
      <w:pPr>
        <w:pStyle w:val="HChG"/>
        <w:rPr>
          <w:lang w:val="en-GB"/>
        </w:rPr>
      </w:pPr>
      <w:r w:rsidRPr="000F2E9A">
        <w:rPr>
          <w:lang w:val="en-GB"/>
        </w:rPr>
        <w:tab/>
      </w:r>
      <w:r w:rsidR="00D04650" w:rsidRPr="000F2E9A">
        <w:rPr>
          <w:lang w:val="en-GB"/>
        </w:rPr>
        <w:t>II.</w:t>
      </w:r>
      <w:r w:rsidRPr="000F2E9A">
        <w:rPr>
          <w:lang w:val="en-GB"/>
        </w:rPr>
        <w:tab/>
      </w:r>
      <w:r w:rsidR="00D04650" w:rsidRPr="000F2E9A">
        <w:rPr>
          <w:lang w:val="en-GB"/>
        </w:rPr>
        <w:t>Current context</w:t>
      </w:r>
    </w:p>
    <w:p w:rsidR="00D22CEC" w:rsidRPr="000F2E9A" w:rsidRDefault="005573E4" w:rsidP="005573E4">
      <w:pPr>
        <w:pStyle w:val="SingleTxtG"/>
        <w:rPr>
          <w:lang w:val="en-GB"/>
        </w:rPr>
      </w:pPr>
      <w:r w:rsidRPr="000F2E9A">
        <w:rPr>
          <w:lang w:val="en-GB"/>
        </w:rPr>
        <w:t>5.</w:t>
      </w:r>
      <w:r w:rsidRPr="000F2E9A">
        <w:rPr>
          <w:lang w:val="en-GB"/>
        </w:rPr>
        <w:tab/>
      </w:r>
      <w:r w:rsidR="00BC35E0" w:rsidRPr="000F2E9A">
        <w:rPr>
          <w:lang w:val="en-GB"/>
        </w:rPr>
        <w:t xml:space="preserve">Since May 2010 the Government of Greece has been implementing an economic adjustment programme as a </w:t>
      </w:r>
      <w:r w:rsidR="00A42132" w:rsidRPr="000F2E9A">
        <w:rPr>
          <w:lang w:val="en-GB"/>
        </w:rPr>
        <w:t>pre</w:t>
      </w:r>
      <w:r w:rsidR="00BC35E0" w:rsidRPr="000F2E9A">
        <w:rPr>
          <w:lang w:val="en-GB"/>
        </w:rPr>
        <w:t xml:space="preserve">condition for </w:t>
      </w:r>
      <w:r w:rsidR="00A42132" w:rsidRPr="000F2E9A">
        <w:rPr>
          <w:lang w:val="en-GB"/>
        </w:rPr>
        <w:t>securing</w:t>
      </w:r>
      <w:r w:rsidR="00017C92" w:rsidRPr="000F2E9A">
        <w:rPr>
          <w:lang w:val="en-GB"/>
        </w:rPr>
        <w:t xml:space="preserve"> </w:t>
      </w:r>
      <w:r w:rsidR="00A42132" w:rsidRPr="000F2E9A">
        <w:rPr>
          <w:lang w:val="en-GB"/>
        </w:rPr>
        <w:t>financing package</w:t>
      </w:r>
      <w:r w:rsidR="0065504C" w:rsidRPr="000F2E9A">
        <w:rPr>
          <w:lang w:val="en-GB"/>
        </w:rPr>
        <w:t>s</w:t>
      </w:r>
      <w:r w:rsidR="00BC35E0" w:rsidRPr="000F2E9A">
        <w:rPr>
          <w:lang w:val="en-GB"/>
        </w:rPr>
        <w:t xml:space="preserve"> from the International Monetary Fund the European Commission and the European Central Bank</w:t>
      </w:r>
      <w:r w:rsidR="00D04650" w:rsidRPr="000F2E9A">
        <w:rPr>
          <w:lang w:val="en-GB"/>
        </w:rPr>
        <w:t>, also known as the “Troika”</w:t>
      </w:r>
      <w:r w:rsidR="00653643" w:rsidRPr="000F2E9A">
        <w:rPr>
          <w:lang w:val="en-GB"/>
        </w:rPr>
        <w:t xml:space="preserve"> or as the “Institutions”</w:t>
      </w:r>
      <w:r w:rsidR="00455CFF" w:rsidRPr="000F2E9A">
        <w:rPr>
          <w:lang w:val="en-GB"/>
        </w:rPr>
        <w:t>.</w:t>
      </w:r>
      <w:r w:rsidR="00EA1456" w:rsidRPr="000F2E9A">
        <w:rPr>
          <w:lang w:val="en-GB"/>
        </w:rPr>
        <w:t xml:space="preserve"> </w:t>
      </w:r>
      <w:r w:rsidR="00A61443" w:rsidRPr="000F2E9A">
        <w:rPr>
          <w:lang w:val="en-GB"/>
        </w:rPr>
        <w:t>On the European side, Eurozone countries have established the European Financial Stability Facility</w:t>
      </w:r>
      <w:r w:rsidR="002275CC" w:rsidRPr="000F2E9A">
        <w:rPr>
          <w:lang w:val="en-GB"/>
        </w:rPr>
        <w:t xml:space="preserve"> (EFSF)</w:t>
      </w:r>
      <w:r w:rsidR="00A61443" w:rsidRPr="000F2E9A">
        <w:rPr>
          <w:lang w:val="en-GB"/>
        </w:rPr>
        <w:t xml:space="preserve"> </w:t>
      </w:r>
      <w:r w:rsidR="00620BC9" w:rsidRPr="000F2E9A">
        <w:rPr>
          <w:lang w:val="en-GB"/>
        </w:rPr>
        <w:t xml:space="preserve">and later </w:t>
      </w:r>
      <w:r w:rsidR="00A61443" w:rsidRPr="000F2E9A">
        <w:rPr>
          <w:lang w:val="en-GB"/>
        </w:rPr>
        <w:t xml:space="preserve">the European Stability Mechanism </w:t>
      </w:r>
      <w:r w:rsidR="002275CC" w:rsidRPr="000F2E9A">
        <w:rPr>
          <w:lang w:val="en-GB"/>
        </w:rPr>
        <w:t xml:space="preserve">(ESM) </w:t>
      </w:r>
      <w:r w:rsidR="00620BC9" w:rsidRPr="000F2E9A">
        <w:rPr>
          <w:lang w:val="en-GB"/>
        </w:rPr>
        <w:t xml:space="preserve">as vehicles </w:t>
      </w:r>
      <w:r w:rsidR="00A61443" w:rsidRPr="000F2E9A">
        <w:rPr>
          <w:lang w:val="en-GB"/>
        </w:rPr>
        <w:t xml:space="preserve">through which financial support is provided. </w:t>
      </w:r>
      <w:r w:rsidR="00BD03A9" w:rsidRPr="000F2E9A">
        <w:rPr>
          <w:lang w:val="en-GB"/>
        </w:rPr>
        <w:t>The programme</w:t>
      </w:r>
      <w:r w:rsidR="0065504C" w:rsidRPr="000F2E9A">
        <w:rPr>
          <w:lang w:val="en-GB"/>
        </w:rPr>
        <w:t>s</w:t>
      </w:r>
      <w:r w:rsidR="00BD03A9" w:rsidRPr="000F2E9A">
        <w:rPr>
          <w:lang w:val="en-GB"/>
        </w:rPr>
        <w:t xml:space="preserve"> consist of stringent policy measures that entail deep public spending cuts, public sector job cuts, tax increases, the privatization of public enterprises and structural reforms, which are aimed at reducing the country’s fiscal deficit. </w:t>
      </w:r>
      <w:r w:rsidR="00C178C4" w:rsidRPr="000F2E9A">
        <w:rPr>
          <w:lang w:val="en-GB"/>
        </w:rPr>
        <w:t xml:space="preserve">As noted by </w:t>
      </w:r>
      <w:r w:rsidR="0097025F" w:rsidRPr="000F2E9A">
        <w:rPr>
          <w:lang w:val="en-GB"/>
        </w:rPr>
        <w:t xml:space="preserve">the previous mandate holder and more recently by </w:t>
      </w:r>
      <w:r w:rsidR="00C178C4" w:rsidRPr="000F2E9A">
        <w:rPr>
          <w:lang w:val="en-GB"/>
        </w:rPr>
        <w:t xml:space="preserve">the Committee on </w:t>
      </w:r>
      <w:r w:rsidR="0065504C" w:rsidRPr="000F2E9A">
        <w:rPr>
          <w:lang w:val="en-GB"/>
        </w:rPr>
        <w:t xml:space="preserve">Economic, </w:t>
      </w:r>
      <w:r w:rsidR="00C178C4" w:rsidRPr="000F2E9A">
        <w:rPr>
          <w:lang w:val="en-GB"/>
        </w:rPr>
        <w:t>Social, and Cultural Rights</w:t>
      </w:r>
      <w:r w:rsidR="004233CD" w:rsidRPr="000F2E9A">
        <w:rPr>
          <w:lang w:val="en-GB"/>
        </w:rPr>
        <w:t>,</w:t>
      </w:r>
      <w:r w:rsidR="007903C8" w:rsidRPr="000F2E9A">
        <w:rPr>
          <w:lang w:val="en-GB"/>
        </w:rPr>
        <w:t xml:space="preserve"> </w:t>
      </w:r>
      <w:r w:rsidR="00C702BC" w:rsidRPr="000F2E9A">
        <w:rPr>
          <w:lang w:val="en-GB"/>
        </w:rPr>
        <w:t xml:space="preserve">past adjustment programmes </w:t>
      </w:r>
      <w:r w:rsidR="00C178C4" w:rsidRPr="000F2E9A">
        <w:rPr>
          <w:lang w:val="en-GB"/>
        </w:rPr>
        <w:t xml:space="preserve">had significant regressive impacts on in the </w:t>
      </w:r>
      <w:r w:rsidR="00C178C4" w:rsidRPr="000F2E9A">
        <w:rPr>
          <w:lang w:val="en-GB"/>
        </w:rPr>
        <w:lastRenderedPageBreak/>
        <w:t>enjoyment of human rights in Greece, in particular in the field of economic, social and cultural rights.</w:t>
      </w:r>
      <w:r w:rsidR="00930347" w:rsidRPr="000F2E9A">
        <w:rPr>
          <w:vertAlign w:val="superscript"/>
          <w:lang w:val="en-GB"/>
        </w:rPr>
        <w:footnoteReference w:id="6"/>
      </w:r>
      <w:r w:rsidR="00653643" w:rsidRPr="000F2E9A">
        <w:rPr>
          <w:vertAlign w:val="superscript"/>
          <w:lang w:val="en-GB"/>
        </w:rPr>
        <w:t xml:space="preserve"> </w:t>
      </w:r>
      <w:r w:rsidR="00D22CEC" w:rsidRPr="000F2E9A">
        <w:rPr>
          <w:lang w:val="en-GB"/>
        </w:rPr>
        <w:t xml:space="preserve">An updated overview </w:t>
      </w:r>
      <w:r w:rsidR="007F2C9E" w:rsidRPr="000F2E9A">
        <w:rPr>
          <w:lang w:val="en-GB"/>
        </w:rPr>
        <w:t xml:space="preserve">of </w:t>
      </w:r>
      <w:r w:rsidR="004233CD" w:rsidRPr="000F2E9A">
        <w:rPr>
          <w:lang w:val="en-GB"/>
        </w:rPr>
        <w:t xml:space="preserve">some of </w:t>
      </w:r>
      <w:r w:rsidR="00D22CEC" w:rsidRPr="000F2E9A">
        <w:rPr>
          <w:lang w:val="en-GB"/>
        </w:rPr>
        <w:t xml:space="preserve">these adverse impacts is provided in Chapter </w:t>
      </w:r>
      <w:r w:rsidR="000B3A6B" w:rsidRPr="000F2E9A">
        <w:rPr>
          <w:lang w:val="en-GB"/>
        </w:rPr>
        <w:t>V</w:t>
      </w:r>
      <w:r w:rsidR="00D22CEC" w:rsidRPr="000F2E9A">
        <w:rPr>
          <w:lang w:val="en-GB"/>
        </w:rPr>
        <w:t xml:space="preserve"> of the present report.</w:t>
      </w:r>
    </w:p>
    <w:p w:rsidR="000B3A6B" w:rsidRPr="000F2E9A" w:rsidRDefault="005573E4" w:rsidP="005573E4">
      <w:pPr>
        <w:pStyle w:val="SingleTxtG"/>
        <w:rPr>
          <w:lang w:val="en-GB"/>
        </w:rPr>
      </w:pPr>
      <w:r w:rsidRPr="000F2E9A">
        <w:rPr>
          <w:lang w:val="en-GB"/>
        </w:rPr>
        <w:t>6.</w:t>
      </w:r>
      <w:r w:rsidRPr="000F2E9A">
        <w:rPr>
          <w:lang w:val="en-GB"/>
        </w:rPr>
        <w:tab/>
      </w:r>
      <w:r w:rsidR="000653DD" w:rsidRPr="000F2E9A">
        <w:rPr>
          <w:lang w:val="en-GB"/>
        </w:rPr>
        <w:t>A</w:t>
      </w:r>
      <w:r w:rsidR="00A42132" w:rsidRPr="000F2E9A">
        <w:rPr>
          <w:lang w:val="en-GB"/>
        </w:rPr>
        <w:t xml:space="preserve"> number of changes have taken place since the visit</w:t>
      </w:r>
      <w:r w:rsidR="00EC55F7" w:rsidRPr="000F2E9A">
        <w:rPr>
          <w:lang w:val="en-GB"/>
        </w:rPr>
        <w:t xml:space="preserve"> of</w:t>
      </w:r>
      <w:r w:rsidR="00A42132" w:rsidRPr="000F2E9A">
        <w:rPr>
          <w:lang w:val="en-GB"/>
        </w:rPr>
        <w:t xml:space="preserve"> the previous mandate holder in April 2013</w:t>
      </w:r>
      <w:r w:rsidR="000653DD" w:rsidRPr="000F2E9A">
        <w:rPr>
          <w:lang w:val="en-GB"/>
        </w:rPr>
        <w:t>.</w:t>
      </w:r>
      <w:r w:rsidR="00A15102" w:rsidRPr="000F2E9A">
        <w:rPr>
          <w:lang w:val="en-GB"/>
        </w:rPr>
        <w:t xml:space="preserve"> </w:t>
      </w:r>
      <w:r w:rsidR="00464293" w:rsidRPr="000F2E9A">
        <w:rPr>
          <w:lang w:val="en-GB"/>
        </w:rPr>
        <w:t xml:space="preserve">In January 2015 </w:t>
      </w:r>
      <w:r w:rsidR="000653DD" w:rsidRPr="000F2E9A">
        <w:rPr>
          <w:lang w:val="en-GB"/>
        </w:rPr>
        <w:t>a new Government was elected</w:t>
      </w:r>
      <w:r w:rsidR="00464293" w:rsidRPr="000F2E9A">
        <w:rPr>
          <w:lang w:val="en-GB"/>
        </w:rPr>
        <w:t>, largely on an agenda to end austerity</w:t>
      </w:r>
      <w:r w:rsidR="00A15102" w:rsidRPr="000F2E9A">
        <w:rPr>
          <w:lang w:val="en-GB"/>
        </w:rPr>
        <w:t>.</w:t>
      </w:r>
      <w:r w:rsidR="00017C92" w:rsidRPr="000F2E9A">
        <w:rPr>
          <w:lang w:val="en-GB"/>
        </w:rPr>
        <w:t xml:space="preserve"> </w:t>
      </w:r>
      <w:r w:rsidR="00C702BC" w:rsidRPr="000F2E9A">
        <w:rPr>
          <w:lang w:val="en-GB"/>
        </w:rPr>
        <w:t>Not having completed the second programme, the fiscal space of the new Government was very limited, as all expenditures and debt service had to be financed domestically, limiting de facto the ability of the Government to undertake without consent of the institutions any major reform with fiscal implic</w:t>
      </w:r>
      <w:r w:rsidR="00017C92" w:rsidRPr="000F2E9A">
        <w:rPr>
          <w:lang w:val="en-GB"/>
        </w:rPr>
        <w:t>ations without risking default.</w:t>
      </w:r>
    </w:p>
    <w:p w:rsidR="005F5C49" w:rsidRPr="000F2E9A" w:rsidRDefault="005573E4" w:rsidP="005573E4">
      <w:pPr>
        <w:pStyle w:val="SingleTxtG"/>
        <w:rPr>
          <w:lang w:val="en-GB"/>
        </w:rPr>
      </w:pPr>
      <w:r w:rsidRPr="000F2E9A">
        <w:rPr>
          <w:lang w:val="en-GB"/>
        </w:rPr>
        <w:t>7.</w:t>
      </w:r>
      <w:r w:rsidRPr="000F2E9A">
        <w:rPr>
          <w:lang w:val="en-GB"/>
        </w:rPr>
        <w:tab/>
      </w:r>
      <w:r w:rsidR="005F5C49" w:rsidRPr="000F2E9A">
        <w:rPr>
          <w:lang w:val="en-GB"/>
        </w:rPr>
        <w:t xml:space="preserve">In an effort to mitigate </w:t>
      </w:r>
      <w:r w:rsidR="0065504C" w:rsidRPr="000F2E9A">
        <w:rPr>
          <w:lang w:val="en-GB"/>
        </w:rPr>
        <w:t>the</w:t>
      </w:r>
      <w:r w:rsidR="005F5C49" w:rsidRPr="000F2E9A">
        <w:rPr>
          <w:lang w:val="en-GB"/>
        </w:rPr>
        <w:t xml:space="preserve"> particular</w:t>
      </w:r>
      <w:r w:rsidR="0065504C" w:rsidRPr="000F2E9A">
        <w:rPr>
          <w:lang w:val="en-GB"/>
        </w:rPr>
        <w:t>ly</w:t>
      </w:r>
      <w:r w:rsidR="005F5C49" w:rsidRPr="000F2E9A">
        <w:rPr>
          <w:lang w:val="en-GB"/>
        </w:rPr>
        <w:t xml:space="preserve"> harsh impacts of the economic crisis</w:t>
      </w:r>
      <w:r w:rsidR="0065504C" w:rsidRPr="000F2E9A">
        <w:rPr>
          <w:lang w:val="en-GB"/>
        </w:rPr>
        <w:t xml:space="preserve"> on </w:t>
      </w:r>
      <w:r w:rsidR="00A61443" w:rsidRPr="000F2E9A">
        <w:rPr>
          <w:lang w:val="en-GB"/>
        </w:rPr>
        <w:t>certain rights-holders</w:t>
      </w:r>
      <w:r w:rsidR="005F5C49" w:rsidRPr="000F2E9A">
        <w:rPr>
          <w:lang w:val="en-GB"/>
        </w:rPr>
        <w:t xml:space="preserve">, the new Government introduced </w:t>
      </w:r>
      <w:r w:rsidR="00240427" w:rsidRPr="000F2E9A">
        <w:rPr>
          <w:lang w:val="en-GB"/>
        </w:rPr>
        <w:t xml:space="preserve">in </w:t>
      </w:r>
      <w:r w:rsidR="006F285A" w:rsidRPr="000F2E9A">
        <w:rPr>
          <w:lang w:val="en-GB"/>
        </w:rPr>
        <w:t xml:space="preserve">March </w:t>
      </w:r>
      <w:r w:rsidR="00240427" w:rsidRPr="000F2E9A">
        <w:rPr>
          <w:lang w:val="en-GB"/>
        </w:rPr>
        <w:t xml:space="preserve">2015 </w:t>
      </w:r>
      <w:r w:rsidR="005F5C49" w:rsidRPr="000F2E9A">
        <w:rPr>
          <w:lang w:val="en-GB"/>
        </w:rPr>
        <w:t>Law 432</w:t>
      </w:r>
      <w:r w:rsidR="005E026B" w:rsidRPr="000F2E9A">
        <w:rPr>
          <w:lang w:val="en-GB"/>
        </w:rPr>
        <w:t>0</w:t>
      </w:r>
      <w:r w:rsidR="005F5C49" w:rsidRPr="000F2E9A">
        <w:rPr>
          <w:lang w:val="en-GB"/>
        </w:rPr>
        <w:t xml:space="preserve">/2015 which included certain </w:t>
      </w:r>
      <w:r w:rsidR="004233CD" w:rsidRPr="000F2E9A">
        <w:rPr>
          <w:lang w:val="en-GB"/>
        </w:rPr>
        <w:t>“</w:t>
      </w:r>
      <w:r w:rsidR="005F5C49" w:rsidRPr="000F2E9A">
        <w:rPr>
          <w:lang w:val="en-GB"/>
        </w:rPr>
        <w:t>immediate measures to address the humanitarian crisis</w:t>
      </w:r>
      <w:r w:rsidR="004233CD" w:rsidRPr="000F2E9A">
        <w:rPr>
          <w:lang w:val="en-GB"/>
        </w:rPr>
        <w:t>”</w:t>
      </w:r>
      <w:r w:rsidR="005F5C49" w:rsidRPr="000F2E9A">
        <w:rPr>
          <w:lang w:val="en-GB"/>
        </w:rPr>
        <w:t>. The law</w:t>
      </w:r>
      <w:r w:rsidR="005E026B" w:rsidRPr="000F2E9A">
        <w:rPr>
          <w:lang w:val="en-GB"/>
        </w:rPr>
        <w:t xml:space="preserve"> provided persons and families living in poverty</w:t>
      </w:r>
      <w:r w:rsidR="00017C92" w:rsidRPr="000F2E9A">
        <w:rPr>
          <w:lang w:val="en-GB"/>
        </w:rPr>
        <w:t xml:space="preserve"> </w:t>
      </w:r>
      <w:r w:rsidR="005E026B" w:rsidRPr="000F2E9A">
        <w:rPr>
          <w:lang w:val="en-GB"/>
        </w:rPr>
        <w:t xml:space="preserve">free electricity supply up to </w:t>
      </w:r>
      <w:r w:rsidR="00A61443" w:rsidRPr="000F2E9A">
        <w:rPr>
          <w:lang w:val="en-GB"/>
        </w:rPr>
        <w:t>1.2</w:t>
      </w:r>
      <w:r w:rsidR="005E026B" w:rsidRPr="000F2E9A">
        <w:rPr>
          <w:lang w:val="en-GB"/>
        </w:rPr>
        <w:t>00 kwh/month, a housing benefit (limited to not more than 3</w:t>
      </w:r>
      <w:r w:rsidR="00A61443" w:rsidRPr="000F2E9A">
        <w:rPr>
          <w:lang w:val="en-GB"/>
        </w:rPr>
        <w:t>1</w:t>
      </w:r>
      <w:r w:rsidR="005E026B" w:rsidRPr="000F2E9A">
        <w:rPr>
          <w:lang w:val="en-GB"/>
        </w:rPr>
        <w:t>.</w:t>
      </w:r>
      <w:r w:rsidR="00A61443" w:rsidRPr="000F2E9A">
        <w:rPr>
          <w:lang w:val="en-GB"/>
        </w:rPr>
        <w:t>369</w:t>
      </w:r>
      <w:r w:rsidR="005E026B" w:rsidRPr="000F2E9A">
        <w:rPr>
          <w:lang w:val="en-GB"/>
        </w:rPr>
        <w:t xml:space="preserve"> households)</w:t>
      </w:r>
      <w:r w:rsidR="00240427" w:rsidRPr="000F2E9A">
        <w:rPr>
          <w:lang w:val="en-GB"/>
        </w:rPr>
        <w:t>,</w:t>
      </w:r>
      <w:r w:rsidR="005E026B" w:rsidRPr="000F2E9A">
        <w:rPr>
          <w:lang w:val="en-GB"/>
        </w:rPr>
        <w:t xml:space="preserve"> and a food </w:t>
      </w:r>
      <w:r w:rsidR="00C03537" w:rsidRPr="000F2E9A">
        <w:rPr>
          <w:lang w:val="en-GB"/>
        </w:rPr>
        <w:t>stamps programme</w:t>
      </w:r>
      <w:r w:rsidR="005E026B" w:rsidRPr="000F2E9A">
        <w:rPr>
          <w:lang w:val="en-GB"/>
        </w:rPr>
        <w:t xml:space="preserve">. </w:t>
      </w:r>
      <w:r w:rsidR="00240427" w:rsidRPr="000F2E9A">
        <w:rPr>
          <w:lang w:val="en-GB"/>
        </w:rPr>
        <w:t>The</w:t>
      </w:r>
      <w:r w:rsidR="00C03537" w:rsidRPr="000F2E9A">
        <w:rPr>
          <w:lang w:val="en-GB"/>
        </w:rPr>
        <w:t xml:space="preserve"> Independent Expert welcomes the</w:t>
      </w:r>
      <w:r w:rsidR="00240427" w:rsidRPr="000F2E9A">
        <w:rPr>
          <w:lang w:val="en-GB"/>
        </w:rPr>
        <w:t>s</w:t>
      </w:r>
      <w:r w:rsidR="00C03537" w:rsidRPr="000F2E9A">
        <w:rPr>
          <w:lang w:val="en-GB"/>
        </w:rPr>
        <w:t>e</w:t>
      </w:r>
      <w:r w:rsidR="00240427" w:rsidRPr="000F2E9A">
        <w:rPr>
          <w:lang w:val="en-GB"/>
        </w:rPr>
        <w:t xml:space="preserve"> </w:t>
      </w:r>
      <w:r w:rsidR="00C03537" w:rsidRPr="000F2E9A">
        <w:rPr>
          <w:lang w:val="en-GB"/>
        </w:rPr>
        <w:t>measures</w:t>
      </w:r>
      <w:r w:rsidR="00240427" w:rsidRPr="000F2E9A">
        <w:rPr>
          <w:lang w:val="en-GB"/>
        </w:rPr>
        <w:t xml:space="preserve">, </w:t>
      </w:r>
      <w:r w:rsidR="00C03537" w:rsidRPr="000F2E9A">
        <w:rPr>
          <w:lang w:val="en-GB"/>
        </w:rPr>
        <w:t xml:space="preserve">however </w:t>
      </w:r>
      <w:r w:rsidR="00891759" w:rsidRPr="000F2E9A">
        <w:rPr>
          <w:lang w:val="en-GB"/>
        </w:rPr>
        <w:t xml:space="preserve">there is consensus that with budgetary costs estimated at </w:t>
      </w:r>
      <w:r w:rsidR="00C03537" w:rsidRPr="000F2E9A">
        <w:rPr>
          <w:lang w:val="en-GB"/>
        </w:rPr>
        <w:t>0.1</w:t>
      </w:r>
      <w:r w:rsidR="00396425">
        <w:rPr>
          <w:lang w:val="en-GB"/>
        </w:rPr>
        <w:t>%</w:t>
      </w:r>
      <w:r w:rsidR="00C03537" w:rsidRPr="000F2E9A">
        <w:rPr>
          <w:lang w:val="en-GB"/>
        </w:rPr>
        <w:t xml:space="preserve"> of GDP</w:t>
      </w:r>
      <w:r w:rsidR="006F285A" w:rsidRPr="000F2E9A">
        <w:rPr>
          <w:rStyle w:val="FootnoteReference"/>
          <w:lang w:val="en-GB"/>
        </w:rPr>
        <w:footnoteReference w:id="7"/>
      </w:r>
      <w:r w:rsidR="00C03537" w:rsidRPr="000F2E9A">
        <w:rPr>
          <w:lang w:val="en-GB"/>
        </w:rPr>
        <w:t xml:space="preserve"> </w:t>
      </w:r>
      <w:r w:rsidR="00891759" w:rsidRPr="000F2E9A">
        <w:rPr>
          <w:lang w:val="en-GB"/>
        </w:rPr>
        <w:t xml:space="preserve">the measures will not be able to </w:t>
      </w:r>
      <w:r w:rsidR="00C03537" w:rsidRPr="000F2E9A">
        <w:rPr>
          <w:lang w:val="en-GB"/>
        </w:rPr>
        <w:t xml:space="preserve">address in a holistic manner problems related to the affordability of </w:t>
      </w:r>
      <w:r w:rsidR="00240427" w:rsidRPr="000F2E9A">
        <w:rPr>
          <w:lang w:val="en-GB"/>
        </w:rPr>
        <w:t xml:space="preserve">the rights to housing or food for </w:t>
      </w:r>
      <w:r w:rsidR="00891759" w:rsidRPr="000F2E9A">
        <w:rPr>
          <w:lang w:val="en-GB"/>
        </w:rPr>
        <w:t xml:space="preserve">the increasing number of </w:t>
      </w:r>
      <w:r w:rsidR="00240427" w:rsidRPr="000F2E9A">
        <w:rPr>
          <w:lang w:val="en-GB"/>
        </w:rPr>
        <w:t>persons living in poverty</w:t>
      </w:r>
      <w:r w:rsidR="00891759" w:rsidRPr="000F2E9A">
        <w:rPr>
          <w:lang w:val="en-GB"/>
        </w:rPr>
        <w:t xml:space="preserve"> in Greece</w:t>
      </w:r>
      <w:r w:rsidR="00240427" w:rsidRPr="000F2E9A">
        <w:rPr>
          <w:lang w:val="en-GB"/>
        </w:rPr>
        <w:t>.</w:t>
      </w:r>
    </w:p>
    <w:p w:rsidR="00C178C4" w:rsidRPr="000F2E9A" w:rsidRDefault="005573E4" w:rsidP="005573E4">
      <w:pPr>
        <w:pStyle w:val="SingleTxtG"/>
        <w:rPr>
          <w:lang w:val="en-GB"/>
        </w:rPr>
      </w:pPr>
      <w:r w:rsidRPr="000F2E9A">
        <w:rPr>
          <w:lang w:val="en-GB"/>
        </w:rPr>
        <w:t>8.</w:t>
      </w:r>
      <w:r w:rsidRPr="000F2E9A">
        <w:rPr>
          <w:lang w:val="en-GB"/>
        </w:rPr>
        <w:tab/>
      </w:r>
      <w:r w:rsidR="00240427" w:rsidRPr="000F2E9A">
        <w:rPr>
          <w:lang w:val="en-GB"/>
        </w:rPr>
        <w:t xml:space="preserve">During the </w:t>
      </w:r>
      <w:r w:rsidR="00C178C4" w:rsidRPr="000F2E9A">
        <w:rPr>
          <w:lang w:val="en-GB"/>
        </w:rPr>
        <w:t>first half of 2015 a</w:t>
      </w:r>
      <w:r w:rsidR="00D87384" w:rsidRPr="000F2E9A">
        <w:rPr>
          <w:lang w:val="en-GB"/>
        </w:rPr>
        <w:t xml:space="preserve">n </w:t>
      </w:r>
      <w:r w:rsidR="00C178C4" w:rsidRPr="000F2E9A">
        <w:rPr>
          <w:lang w:val="en-GB"/>
        </w:rPr>
        <w:t>uneasy relationship between the Government of Greece and its Eurozone Partners evolved over how to deal with the ongoing financial and economic crisis</w:t>
      </w:r>
      <w:r w:rsidR="00C702BC" w:rsidRPr="000F2E9A">
        <w:rPr>
          <w:lang w:val="en-GB"/>
        </w:rPr>
        <w:t>. T</w:t>
      </w:r>
      <w:r w:rsidR="00C178C4" w:rsidRPr="000F2E9A">
        <w:rPr>
          <w:lang w:val="en-GB"/>
        </w:rPr>
        <w:t xml:space="preserve">he </w:t>
      </w:r>
      <w:proofErr w:type="spellStart"/>
      <w:r w:rsidR="00C178C4" w:rsidRPr="000F2E9A">
        <w:rPr>
          <w:lang w:val="en-GB"/>
        </w:rPr>
        <w:t>Eurogroup</w:t>
      </w:r>
      <w:proofErr w:type="spellEnd"/>
      <w:r w:rsidR="00C178C4" w:rsidRPr="000F2E9A">
        <w:rPr>
          <w:lang w:val="en-GB"/>
        </w:rPr>
        <w:t xml:space="preserve"> largely insist</w:t>
      </w:r>
      <w:r w:rsidR="00C702BC" w:rsidRPr="000F2E9A">
        <w:rPr>
          <w:lang w:val="en-GB"/>
        </w:rPr>
        <w:t xml:space="preserve">ed </w:t>
      </w:r>
      <w:r w:rsidR="00C178C4" w:rsidRPr="000F2E9A">
        <w:rPr>
          <w:lang w:val="en-GB"/>
        </w:rPr>
        <w:t>that Greece fully implement</w:t>
      </w:r>
      <w:r w:rsidR="00C702BC" w:rsidRPr="000F2E9A">
        <w:rPr>
          <w:lang w:val="en-GB"/>
        </w:rPr>
        <w:t>s</w:t>
      </w:r>
      <w:r w:rsidR="00C178C4" w:rsidRPr="000F2E9A">
        <w:rPr>
          <w:lang w:val="en-GB"/>
        </w:rPr>
        <w:t xml:space="preserve"> adjustment measures </w:t>
      </w:r>
      <w:r w:rsidR="00D52DE4" w:rsidRPr="000F2E9A">
        <w:rPr>
          <w:lang w:val="en-GB"/>
        </w:rPr>
        <w:t xml:space="preserve">previous </w:t>
      </w:r>
      <w:r w:rsidR="00C178C4" w:rsidRPr="000F2E9A">
        <w:rPr>
          <w:lang w:val="en-GB"/>
        </w:rPr>
        <w:t>Greek Governments had agreed to without further delay</w:t>
      </w:r>
      <w:r w:rsidR="00240427" w:rsidRPr="000F2E9A">
        <w:rPr>
          <w:lang w:val="en-GB"/>
        </w:rPr>
        <w:t>ing their implementation</w:t>
      </w:r>
      <w:r w:rsidR="00AC4D21" w:rsidRPr="000F2E9A">
        <w:rPr>
          <w:lang w:val="en-GB"/>
        </w:rPr>
        <w:t>,</w:t>
      </w:r>
      <w:r w:rsidR="00240427" w:rsidRPr="000F2E9A">
        <w:rPr>
          <w:lang w:val="en-GB"/>
        </w:rPr>
        <w:t xml:space="preserve"> ruling out any </w:t>
      </w:r>
      <w:r w:rsidR="00A70911" w:rsidRPr="000F2E9A">
        <w:rPr>
          <w:lang w:val="en-GB"/>
        </w:rPr>
        <w:t xml:space="preserve">further </w:t>
      </w:r>
      <w:r w:rsidR="00240427" w:rsidRPr="000F2E9A">
        <w:rPr>
          <w:lang w:val="en-GB"/>
        </w:rPr>
        <w:t xml:space="preserve">debt cancellation. </w:t>
      </w:r>
      <w:r w:rsidR="00C702BC" w:rsidRPr="000F2E9A">
        <w:rPr>
          <w:lang w:val="en-GB"/>
        </w:rPr>
        <w:t>T</w:t>
      </w:r>
      <w:r w:rsidR="0075474A" w:rsidRPr="000F2E9A">
        <w:rPr>
          <w:lang w:val="en-GB"/>
        </w:rPr>
        <w:t>he Gree</w:t>
      </w:r>
      <w:r w:rsidR="00042ECE" w:rsidRPr="000F2E9A">
        <w:rPr>
          <w:lang w:val="en-GB"/>
        </w:rPr>
        <w:t>k</w:t>
      </w:r>
      <w:r w:rsidR="0075474A" w:rsidRPr="000F2E9A">
        <w:rPr>
          <w:lang w:val="en-GB"/>
        </w:rPr>
        <w:t xml:space="preserve"> Government </w:t>
      </w:r>
      <w:r w:rsidR="006F285A" w:rsidRPr="000F2E9A">
        <w:rPr>
          <w:lang w:val="en-GB"/>
        </w:rPr>
        <w:t xml:space="preserve">continued to </w:t>
      </w:r>
      <w:r w:rsidR="0075474A" w:rsidRPr="000F2E9A">
        <w:rPr>
          <w:lang w:val="en-GB"/>
        </w:rPr>
        <w:t>stres</w:t>
      </w:r>
      <w:r w:rsidR="006F285A" w:rsidRPr="000F2E9A">
        <w:rPr>
          <w:lang w:val="en-GB"/>
        </w:rPr>
        <w:t>s</w:t>
      </w:r>
      <w:r w:rsidR="0075474A" w:rsidRPr="000F2E9A">
        <w:rPr>
          <w:lang w:val="en-GB"/>
        </w:rPr>
        <w:t xml:space="preserve"> the need for debt relief</w:t>
      </w:r>
      <w:r w:rsidR="00017C92" w:rsidRPr="000F2E9A">
        <w:rPr>
          <w:lang w:val="en-GB"/>
        </w:rPr>
        <w:t>.</w:t>
      </w:r>
    </w:p>
    <w:p w:rsidR="0075474A" w:rsidRPr="000F2E9A" w:rsidRDefault="005573E4" w:rsidP="005573E4">
      <w:pPr>
        <w:pStyle w:val="SingleTxtG"/>
        <w:rPr>
          <w:lang w:val="en-GB"/>
        </w:rPr>
      </w:pPr>
      <w:r w:rsidRPr="000F2E9A">
        <w:rPr>
          <w:lang w:val="en-GB"/>
        </w:rPr>
        <w:t>9.</w:t>
      </w:r>
      <w:r w:rsidRPr="000F2E9A">
        <w:rPr>
          <w:lang w:val="en-GB"/>
        </w:rPr>
        <w:tab/>
      </w:r>
      <w:r w:rsidR="002909BA" w:rsidRPr="000F2E9A">
        <w:rPr>
          <w:lang w:val="en-GB"/>
        </w:rPr>
        <w:t>No breakthrough could be reached in several rounds of negotiations w</w:t>
      </w:r>
      <w:r w:rsidR="001D2E9D" w:rsidRPr="000F2E9A">
        <w:rPr>
          <w:lang w:val="en-GB"/>
        </w:rPr>
        <w:t xml:space="preserve">hile the financial situation </w:t>
      </w:r>
      <w:r w:rsidR="00AC4D21" w:rsidRPr="000F2E9A">
        <w:rPr>
          <w:lang w:val="en-GB"/>
        </w:rPr>
        <w:t>in Greece</w:t>
      </w:r>
      <w:r w:rsidR="001D2E9D" w:rsidRPr="000F2E9A">
        <w:rPr>
          <w:lang w:val="en-GB"/>
        </w:rPr>
        <w:t xml:space="preserve"> became increasingly dramatic</w:t>
      </w:r>
      <w:r w:rsidR="00D87384" w:rsidRPr="000F2E9A">
        <w:rPr>
          <w:lang w:val="en-GB"/>
        </w:rPr>
        <w:t>.</w:t>
      </w:r>
      <w:r w:rsidR="0075474A" w:rsidRPr="000F2E9A">
        <w:rPr>
          <w:lang w:val="en-GB"/>
        </w:rPr>
        <w:t xml:space="preserve"> In this context the Independent Expert issued a media statement </w:t>
      </w:r>
      <w:r w:rsidR="007D1594" w:rsidRPr="000F2E9A">
        <w:rPr>
          <w:lang w:val="en-GB"/>
        </w:rPr>
        <w:t xml:space="preserve">on 2 June 2015 </w:t>
      </w:r>
      <w:r w:rsidR="0075474A" w:rsidRPr="000F2E9A">
        <w:rPr>
          <w:lang w:val="en-GB"/>
        </w:rPr>
        <w:t xml:space="preserve">urging the European institutions, the IMF and Greece to show courage and reach an agreement, expressing his concern that </w:t>
      </w:r>
      <w:r w:rsidR="00AC4D21" w:rsidRPr="000F2E9A">
        <w:rPr>
          <w:lang w:val="en-GB"/>
        </w:rPr>
        <w:t>without a</w:t>
      </w:r>
      <w:r w:rsidR="0075474A" w:rsidRPr="000F2E9A">
        <w:rPr>
          <w:lang w:val="en-GB"/>
        </w:rPr>
        <w:t xml:space="preserve"> compromise, Greece may sooner or later default, </w:t>
      </w:r>
      <w:r w:rsidR="00AC4D21" w:rsidRPr="000F2E9A">
        <w:rPr>
          <w:lang w:val="en-GB"/>
        </w:rPr>
        <w:t xml:space="preserve">worsening </w:t>
      </w:r>
      <w:r w:rsidR="0075474A" w:rsidRPr="000F2E9A">
        <w:rPr>
          <w:lang w:val="en-GB"/>
        </w:rPr>
        <w:t>the crisis</w:t>
      </w:r>
      <w:r w:rsidR="00D52DE4" w:rsidRPr="000F2E9A">
        <w:rPr>
          <w:lang w:val="en-GB"/>
        </w:rPr>
        <w:t>. The Independent Expert</w:t>
      </w:r>
      <w:r w:rsidR="0075474A" w:rsidRPr="000F2E9A">
        <w:rPr>
          <w:lang w:val="en-GB"/>
        </w:rPr>
        <w:t xml:space="preserve"> not</w:t>
      </w:r>
      <w:r w:rsidR="00D52DE4" w:rsidRPr="000F2E9A">
        <w:rPr>
          <w:lang w:val="en-GB"/>
        </w:rPr>
        <w:t>ed</w:t>
      </w:r>
      <w:r w:rsidR="0075474A" w:rsidRPr="000F2E9A">
        <w:rPr>
          <w:lang w:val="en-GB"/>
        </w:rPr>
        <w:t xml:space="preserve"> that economic and social rights could be further undermined in Greece by lack of flexibility and courage to find a mutually benefi</w:t>
      </w:r>
      <w:r w:rsidR="0065504C" w:rsidRPr="000F2E9A">
        <w:rPr>
          <w:lang w:val="en-GB"/>
        </w:rPr>
        <w:t>cial</w:t>
      </w:r>
      <w:r w:rsidR="0075474A" w:rsidRPr="000F2E9A">
        <w:rPr>
          <w:lang w:val="en-GB"/>
        </w:rPr>
        <w:t xml:space="preserve"> deal that respects human rights. </w:t>
      </w:r>
      <w:r w:rsidR="007D1594" w:rsidRPr="000F2E9A">
        <w:rPr>
          <w:lang w:val="en-GB"/>
        </w:rPr>
        <w:t>He stressed the need to find better solutions to prevent economic reform policies undermining the enjoyment of human rights</w:t>
      </w:r>
      <w:r w:rsidR="00042ECE" w:rsidRPr="000F2E9A">
        <w:rPr>
          <w:lang w:val="en-GB"/>
        </w:rPr>
        <w:t xml:space="preserve"> and</w:t>
      </w:r>
      <w:r w:rsidR="007D1594" w:rsidRPr="000F2E9A">
        <w:rPr>
          <w:lang w:val="en-GB"/>
        </w:rPr>
        <w:t xml:space="preserve"> urged that the burden of adjustment must be shared in a fair manner, compliant with the obligations Greece and creditor States have assumed under the International Covenant of Social and Economic Rights, the European Social Charter and other international human rights standards.</w:t>
      </w:r>
      <w:r w:rsidR="007D1594" w:rsidRPr="000F2E9A">
        <w:rPr>
          <w:vertAlign w:val="superscript"/>
          <w:lang w:val="en-GB"/>
        </w:rPr>
        <w:footnoteReference w:id="8"/>
      </w:r>
    </w:p>
    <w:p w:rsidR="00D87384" w:rsidRPr="000F2E9A" w:rsidRDefault="005573E4" w:rsidP="005573E4">
      <w:pPr>
        <w:pStyle w:val="SingleTxtG"/>
        <w:rPr>
          <w:lang w:val="en-GB"/>
        </w:rPr>
      </w:pPr>
      <w:r w:rsidRPr="000F2E9A">
        <w:rPr>
          <w:lang w:val="en-GB"/>
        </w:rPr>
        <w:t>10.</w:t>
      </w:r>
      <w:r w:rsidRPr="000F2E9A">
        <w:rPr>
          <w:lang w:val="en-GB"/>
        </w:rPr>
        <w:tab/>
      </w:r>
      <w:r w:rsidR="00A70911" w:rsidRPr="000F2E9A">
        <w:rPr>
          <w:lang w:val="en-GB"/>
        </w:rPr>
        <w:t>While efforts to secure a deal continued</w:t>
      </w:r>
      <w:r w:rsidR="00D52DE4" w:rsidRPr="000F2E9A">
        <w:rPr>
          <w:lang w:val="en-GB"/>
        </w:rPr>
        <w:t>,</w:t>
      </w:r>
      <w:r w:rsidR="00A70911" w:rsidRPr="000F2E9A">
        <w:rPr>
          <w:lang w:val="en-GB"/>
        </w:rPr>
        <w:t xml:space="preserve"> Greece postponed on 5 June 2015 a 300 million debt repayment to the IMF to the end of the month, raising fears that the country </w:t>
      </w:r>
      <w:r w:rsidR="00A70911" w:rsidRPr="000F2E9A">
        <w:rPr>
          <w:lang w:val="en-GB"/>
        </w:rPr>
        <w:lastRenderedPageBreak/>
        <w:t xml:space="preserve">was again close to insolvency. </w:t>
      </w:r>
      <w:r w:rsidR="00FF0B72" w:rsidRPr="000F2E9A">
        <w:rPr>
          <w:lang w:val="en-GB"/>
        </w:rPr>
        <w:t xml:space="preserve">Neither the Euro Summit with Heads of States on 22 June 2015 nor subsequent discussions at </w:t>
      </w:r>
      <w:proofErr w:type="spellStart"/>
      <w:r w:rsidR="00FF0B72" w:rsidRPr="000F2E9A">
        <w:rPr>
          <w:lang w:val="en-GB"/>
        </w:rPr>
        <w:t>Eurogroup</w:t>
      </w:r>
      <w:proofErr w:type="spellEnd"/>
      <w:r w:rsidR="00FF0B72" w:rsidRPr="000F2E9A">
        <w:rPr>
          <w:lang w:val="en-GB"/>
        </w:rPr>
        <w:t xml:space="preserve"> level resulted in an agreement acceptable to</w:t>
      </w:r>
      <w:r w:rsidR="00A70911" w:rsidRPr="000F2E9A">
        <w:rPr>
          <w:lang w:val="en-GB"/>
        </w:rPr>
        <w:t xml:space="preserve"> all parties</w:t>
      </w:r>
      <w:r w:rsidR="001567CF" w:rsidRPr="000F2E9A">
        <w:rPr>
          <w:lang w:val="en-GB"/>
        </w:rPr>
        <w:t xml:space="preserve">. </w:t>
      </w:r>
      <w:r w:rsidR="00B9409B" w:rsidRPr="000F2E9A">
        <w:rPr>
          <w:lang w:val="en-GB"/>
        </w:rPr>
        <w:t xml:space="preserve">On 26 June 2015 the </w:t>
      </w:r>
      <w:r w:rsidR="00E218A3" w:rsidRPr="000F2E9A">
        <w:rPr>
          <w:lang w:val="en-GB"/>
        </w:rPr>
        <w:t>Greek G</w:t>
      </w:r>
      <w:r w:rsidR="00D87384" w:rsidRPr="000F2E9A">
        <w:rPr>
          <w:lang w:val="en-GB"/>
        </w:rPr>
        <w:t>overnment decided to announce a referendum</w:t>
      </w:r>
      <w:r w:rsidR="0034552A" w:rsidRPr="000F2E9A">
        <w:rPr>
          <w:lang w:val="en-GB"/>
        </w:rPr>
        <w:t xml:space="preserve"> asking </w:t>
      </w:r>
      <w:r w:rsidR="00A70911" w:rsidRPr="000F2E9A">
        <w:rPr>
          <w:lang w:val="en-GB"/>
        </w:rPr>
        <w:t xml:space="preserve">for </w:t>
      </w:r>
      <w:r w:rsidR="0034552A" w:rsidRPr="000F2E9A">
        <w:rPr>
          <w:lang w:val="en-GB"/>
        </w:rPr>
        <w:t xml:space="preserve">a </w:t>
      </w:r>
      <w:r w:rsidR="00BB6CCE" w:rsidRPr="000F2E9A">
        <w:rPr>
          <w:lang w:val="en-GB"/>
        </w:rPr>
        <w:t xml:space="preserve">yes or no </w:t>
      </w:r>
      <w:r w:rsidR="0034552A" w:rsidRPr="000F2E9A">
        <w:rPr>
          <w:lang w:val="en-GB"/>
        </w:rPr>
        <w:t xml:space="preserve">vote on </w:t>
      </w:r>
      <w:r w:rsidR="001847EA" w:rsidRPr="000F2E9A">
        <w:rPr>
          <w:lang w:val="en-GB"/>
        </w:rPr>
        <w:t>proposals</w:t>
      </w:r>
      <w:r w:rsidR="003240AE" w:rsidRPr="000F2E9A">
        <w:rPr>
          <w:lang w:val="en-GB"/>
        </w:rPr>
        <w:t xml:space="preserve"> made by the Institutions </w:t>
      </w:r>
      <w:r w:rsidR="00B9409B" w:rsidRPr="000F2E9A">
        <w:rPr>
          <w:lang w:val="en-GB"/>
        </w:rPr>
        <w:t>which includ</w:t>
      </w:r>
      <w:r w:rsidR="003240AE" w:rsidRPr="000F2E9A">
        <w:rPr>
          <w:lang w:val="en-GB"/>
        </w:rPr>
        <w:t xml:space="preserve">ed </w:t>
      </w:r>
      <w:r w:rsidR="00BC3BF7" w:rsidRPr="000F2E9A">
        <w:rPr>
          <w:lang w:val="en-GB"/>
        </w:rPr>
        <w:t xml:space="preserve">various adjustment measures and structural reforms, including </w:t>
      </w:r>
      <w:r w:rsidR="00B9409B" w:rsidRPr="000F2E9A">
        <w:rPr>
          <w:lang w:val="en-GB"/>
        </w:rPr>
        <w:t xml:space="preserve">further cuts </w:t>
      </w:r>
      <w:r w:rsidR="003240AE" w:rsidRPr="000F2E9A">
        <w:rPr>
          <w:lang w:val="en-GB"/>
        </w:rPr>
        <w:t xml:space="preserve">to pensions and </w:t>
      </w:r>
      <w:r w:rsidR="00B9409B" w:rsidRPr="000F2E9A">
        <w:rPr>
          <w:lang w:val="en-GB"/>
        </w:rPr>
        <w:t xml:space="preserve">social welfare </w:t>
      </w:r>
      <w:r w:rsidR="00BC3BF7" w:rsidRPr="000F2E9A">
        <w:rPr>
          <w:lang w:val="en-GB"/>
        </w:rPr>
        <w:t>expenditure</w:t>
      </w:r>
      <w:r w:rsidR="00B9409B" w:rsidRPr="000F2E9A">
        <w:rPr>
          <w:lang w:val="en-GB"/>
        </w:rPr>
        <w:t>.</w:t>
      </w:r>
    </w:p>
    <w:p w:rsidR="00B83904" w:rsidRPr="000F2E9A" w:rsidRDefault="005573E4" w:rsidP="005573E4">
      <w:pPr>
        <w:pStyle w:val="SingleTxtG"/>
        <w:rPr>
          <w:lang w:val="en-GB"/>
        </w:rPr>
      </w:pPr>
      <w:r w:rsidRPr="000F2E9A">
        <w:rPr>
          <w:lang w:val="en-GB"/>
        </w:rPr>
        <w:t>11.</w:t>
      </w:r>
      <w:r w:rsidRPr="000F2E9A">
        <w:rPr>
          <w:lang w:val="en-GB"/>
        </w:rPr>
        <w:tab/>
      </w:r>
      <w:r w:rsidR="001847EA" w:rsidRPr="000F2E9A">
        <w:rPr>
          <w:lang w:val="en-GB"/>
        </w:rPr>
        <w:t xml:space="preserve">The </w:t>
      </w:r>
      <w:r w:rsidR="00251255" w:rsidRPr="000F2E9A">
        <w:rPr>
          <w:lang w:val="en-GB"/>
        </w:rPr>
        <w:t>r</w:t>
      </w:r>
      <w:r w:rsidR="00653643" w:rsidRPr="000F2E9A">
        <w:rPr>
          <w:lang w:val="en-GB"/>
        </w:rPr>
        <w:t>efer</w:t>
      </w:r>
      <w:r w:rsidR="00FF0B72" w:rsidRPr="000F2E9A">
        <w:rPr>
          <w:lang w:val="en-GB"/>
        </w:rPr>
        <w:t>en</w:t>
      </w:r>
      <w:r w:rsidR="00653643" w:rsidRPr="000F2E9A">
        <w:rPr>
          <w:lang w:val="en-GB"/>
        </w:rPr>
        <w:t xml:space="preserve">dum, held on </w:t>
      </w:r>
      <w:r w:rsidR="00BD59F9" w:rsidRPr="000F2E9A">
        <w:rPr>
          <w:lang w:val="en-GB"/>
        </w:rPr>
        <w:t>5 July 2015 result</w:t>
      </w:r>
      <w:r w:rsidR="00653643" w:rsidRPr="000F2E9A">
        <w:rPr>
          <w:lang w:val="en-GB"/>
        </w:rPr>
        <w:t>ed</w:t>
      </w:r>
      <w:r w:rsidR="00BD59F9" w:rsidRPr="000F2E9A">
        <w:rPr>
          <w:lang w:val="en-GB"/>
        </w:rPr>
        <w:t xml:space="preserve"> in 61.3</w:t>
      </w:r>
      <w:r w:rsidR="00396425">
        <w:rPr>
          <w:lang w:val="en-GB"/>
        </w:rPr>
        <w:t>%</w:t>
      </w:r>
      <w:r w:rsidR="00BD59F9" w:rsidRPr="000F2E9A">
        <w:rPr>
          <w:lang w:val="en-GB"/>
        </w:rPr>
        <w:t xml:space="preserve"> “no” to the bailout conditions offered earlier by the institutions with a voter turnout of 62.5</w:t>
      </w:r>
      <w:r w:rsidR="00396425">
        <w:rPr>
          <w:lang w:val="en-GB"/>
        </w:rPr>
        <w:t>%</w:t>
      </w:r>
      <w:r w:rsidR="00BD59F9" w:rsidRPr="000F2E9A">
        <w:rPr>
          <w:lang w:val="en-GB"/>
        </w:rPr>
        <w:t>.</w:t>
      </w:r>
      <w:r w:rsidR="00017C92" w:rsidRPr="000F2E9A">
        <w:rPr>
          <w:lang w:val="en-GB"/>
        </w:rPr>
        <w:t xml:space="preserve"> </w:t>
      </w:r>
      <w:r w:rsidR="00B06794" w:rsidRPr="000F2E9A">
        <w:rPr>
          <w:lang w:val="en-GB"/>
        </w:rPr>
        <w:t xml:space="preserve">At the same time Greek public opinion </w:t>
      </w:r>
      <w:r w:rsidR="00FF0B72" w:rsidRPr="000F2E9A">
        <w:rPr>
          <w:lang w:val="en-GB"/>
        </w:rPr>
        <w:t xml:space="preserve">continued to </w:t>
      </w:r>
      <w:r w:rsidR="00B06794" w:rsidRPr="000F2E9A">
        <w:rPr>
          <w:lang w:val="en-GB"/>
        </w:rPr>
        <w:t>show strong support for remaining in the European Monetary Union</w:t>
      </w:r>
      <w:r w:rsidR="00B9409B" w:rsidRPr="000F2E9A">
        <w:rPr>
          <w:lang w:val="en-GB"/>
        </w:rPr>
        <w:t xml:space="preserve"> (EMU)</w:t>
      </w:r>
      <w:r w:rsidR="000C28F7" w:rsidRPr="000F2E9A">
        <w:rPr>
          <w:lang w:val="en-GB"/>
        </w:rPr>
        <w:t xml:space="preserve">. </w:t>
      </w:r>
    </w:p>
    <w:p w:rsidR="00474CDA" w:rsidRPr="000F2E9A" w:rsidRDefault="005573E4" w:rsidP="005573E4">
      <w:pPr>
        <w:pStyle w:val="SingleTxtG"/>
        <w:rPr>
          <w:lang w:val="en-GB"/>
        </w:rPr>
      </w:pPr>
      <w:r w:rsidRPr="000F2E9A">
        <w:rPr>
          <w:lang w:val="en-GB"/>
        </w:rPr>
        <w:t>12.</w:t>
      </w:r>
      <w:r w:rsidRPr="000F2E9A">
        <w:rPr>
          <w:lang w:val="en-GB"/>
        </w:rPr>
        <w:tab/>
      </w:r>
      <w:r w:rsidR="00462B85" w:rsidRPr="000F2E9A">
        <w:rPr>
          <w:lang w:val="en-GB"/>
        </w:rPr>
        <w:t xml:space="preserve">Following the </w:t>
      </w:r>
      <w:r w:rsidR="00A36AFC" w:rsidRPr="000F2E9A">
        <w:rPr>
          <w:lang w:val="en-GB"/>
        </w:rPr>
        <w:t xml:space="preserve">referendum </w:t>
      </w:r>
      <w:r w:rsidR="00462B85" w:rsidRPr="000F2E9A">
        <w:rPr>
          <w:lang w:val="en-GB"/>
        </w:rPr>
        <w:t>the Greek Government decide</w:t>
      </w:r>
      <w:r w:rsidR="00A36AFC" w:rsidRPr="000F2E9A">
        <w:rPr>
          <w:lang w:val="en-GB"/>
        </w:rPr>
        <w:t>d</w:t>
      </w:r>
      <w:r w:rsidR="00462B85" w:rsidRPr="000F2E9A">
        <w:rPr>
          <w:lang w:val="en-GB"/>
        </w:rPr>
        <w:t xml:space="preserve"> to continue negotiations to avoid default and </w:t>
      </w:r>
      <w:r w:rsidR="00FF0B72" w:rsidRPr="000F2E9A">
        <w:rPr>
          <w:lang w:val="en-GB"/>
        </w:rPr>
        <w:t>a possible exit from the EMU</w:t>
      </w:r>
      <w:r w:rsidR="005F5C49" w:rsidRPr="000F2E9A">
        <w:rPr>
          <w:lang w:val="en-GB"/>
        </w:rPr>
        <w:t>.</w:t>
      </w:r>
      <w:r w:rsidR="00FF0B72" w:rsidRPr="000F2E9A">
        <w:rPr>
          <w:lang w:val="en-GB"/>
        </w:rPr>
        <w:t xml:space="preserve"> </w:t>
      </w:r>
      <w:r w:rsidR="005F5C49" w:rsidRPr="000F2E9A">
        <w:rPr>
          <w:lang w:val="en-GB"/>
        </w:rPr>
        <w:t>A</w:t>
      </w:r>
      <w:r w:rsidR="00462B85" w:rsidRPr="000F2E9A">
        <w:rPr>
          <w:lang w:val="en-GB"/>
        </w:rPr>
        <w:t xml:space="preserve"> new Government proposal </w:t>
      </w:r>
      <w:r w:rsidR="005F5C49" w:rsidRPr="000F2E9A">
        <w:rPr>
          <w:lang w:val="en-GB"/>
        </w:rPr>
        <w:t xml:space="preserve">for </w:t>
      </w:r>
      <w:r w:rsidR="00462B85" w:rsidRPr="000F2E9A">
        <w:rPr>
          <w:lang w:val="en-GB"/>
        </w:rPr>
        <w:t xml:space="preserve">a bailout package </w:t>
      </w:r>
      <w:r w:rsidR="00A7128A" w:rsidRPr="000F2E9A">
        <w:rPr>
          <w:lang w:val="en-GB"/>
        </w:rPr>
        <w:t xml:space="preserve">was endorsed by the Greek Parliament and on 12 July 2015 agreement was reached between the Greek authorities and Eurozone leaders to negotiate a </w:t>
      </w:r>
      <w:r w:rsidR="00B9409B" w:rsidRPr="000F2E9A">
        <w:rPr>
          <w:lang w:val="en-GB"/>
        </w:rPr>
        <w:t>third</w:t>
      </w:r>
      <w:r w:rsidR="00017C92" w:rsidRPr="000F2E9A">
        <w:rPr>
          <w:lang w:val="en-GB"/>
        </w:rPr>
        <w:t xml:space="preserve"> </w:t>
      </w:r>
      <w:r w:rsidR="00A7128A" w:rsidRPr="000F2E9A">
        <w:rPr>
          <w:lang w:val="en-GB"/>
        </w:rPr>
        <w:t>Memorandum of Understanding</w:t>
      </w:r>
      <w:r w:rsidR="00A36AFC" w:rsidRPr="000F2E9A">
        <w:rPr>
          <w:lang w:val="en-GB"/>
        </w:rPr>
        <w:t xml:space="preserve"> </w:t>
      </w:r>
      <w:r w:rsidR="004233CD" w:rsidRPr="000F2E9A">
        <w:rPr>
          <w:lang w:val="en-GB"/>
        </w:rPr>
        <w:t>(</w:t>
      </w:r>
      <w:proofErr w:type="spellStart"/>
      <w:r w:rsidR="004233CD" w:rsidRPr="000F2E9A">
        <w:rPr>
          <w:lang w:val="en-GB"/>
        </w:rPr>
        <w:t>MoU</w:t>
      </w:r>
      <w:proofErr w:type="spellEnd"/>
      <w:r w:rsidR="004233CD" w:rsidRPr="000F2E9A">
        <w:rPr>
          <w:lang w:val="en-GB"/>
        </w:rPr>
        <w:t xml:space="preserve">) </w:t>
      </w:r>
      <w:r w:rsidR="00A36AFC" w:rsidRPr="000F2E9A">
        <w:rPr>
          <w:lang w:val="en-GB"/>
        </w:rPr>
        <w:t xml:space="preserve">on the condition that the Greek Parliament adopts </w:t>
      </w:r>
      <w:r w:rsidR="00B9409B" w:rsidRPr="000F2E9A">
        <w:rPr>
          <w:lang w:val="en-GB"/>
        </w:rPr>
        <w:t xml:space="preserve">upfront </w:t>
      </w:r>
      <w:r w:rsidR="00A36AFC" w:rsidRPr="000F2E9A">
        <w:rPr>
          <w:lang w:val="en-GB"/>
        </w:rPr>
        <w:t>certain “trust building measures”.</w:t>
      </w:r>
      <w:r w:rsidR="009D61BF" w:rsidRPr="000F2E9A">
        <w:rPr>
          <w:lang w:val="en-GB"/>
        </w:rPr>
        <w:t xml:space="preserve"> The Independent Expert urged </w:t>
      </w:r>
      <w:r w:rsidR="001D1894" w:rsidRPr="000F2E9A">
        <w:rPr>
          <w:lang w:val="en-GB"/>
        </w:rPr>
        <w:t xml:space="preserve">in this context </w:t>
      </w:r>
      <w:r w:rsidR="009D61BF" w:rsidRPr="000F2E9A">
        <w:rPr>
          <w:lang w:val="en-GB"/>
        </w:rPr>
        <w:t xml:space="preserve">Greece </w:t>
      </w:r>
      <w:r w:rsidR="001D1894" w:rsidRPr="000F2E9A">
        <w:rPr>
          <w:lang w:val="en-GB"/>
        </w:rPr>
        <w:t xml:space="preserve">and European Institutions </w:t>
      </w:r>
      <w:r w:rsidR="009D61BF" w:rsidRPr="000F2E9A">
        <w:rPr>
          <w:lang w:val="en-GB"/>
        </w:rPr>
        <w:t>that further austerity measures should no</w:t>
      </w:r>
      <w:r w:rsidR="001D1894" w:rsidRPr="000F2E9A">
        <w:rPr>
          <w:lang w:val="en-GB"/>
        </w:rPr>
        <w:t xml:space="preserve">t come at </w:t>
      </w:r>
      <w:r w:rsidR="00E7171F" w:rsidRPr="000F2E9A">
        <w:rPr>
          <w:lang w:val="en-GB"/>
        </w:rPr>
        <w:t xml:space="preserve">the </w:t>
      </w:r>
      <w:r w:rsidR="001D1894" w:rsidRPr="000F2E9A">
        <w:rPr>
          <w:lang w:val="en-GB"/>
        </w:rPr>
        <w:t xml:space="preserve">cost </w:t>
      </w:r>
      <w:r w:rsidR="00E7171F" w:rsidRPr="000F2E9A">
        <w:rPr>
          <w:lang w:val="en-GB"/>
        </w:rPr>
        <w:t>of</w:t>
      </w:r>
      <w:r w:rsidR="001D1894" w:rsidRPr="000F2E9A">
        <w:rPr>
          <w:lang w:val="en-GB"/>
        </w:rPr>
        <w:t xml:space="preserve"> human rights, expressing concern that some of them could be incompatible with international human rights law.</w:t>
      </w:r>
      <w:r w:rsidR="001D1894" w:rsidRPr="000F2E9A">
        <w:rPr>
          <w:rStyle w:val="FootnoteReference"/>
          <w:lang w:val="en-GB"/>
        </w:rPr>
        <w:footnoteReference w:id="9"/>
      </w:r>
    </w:p>
    <w:p w:rsidR="004626EE" w:rsidRPr="000F2E9A" w:rsidRDefault="005573E4" w:rsidP="005573E4">
      <w:pPr>
        <w:pStyle w:val="SingleTxtG"/>
        <w:rPr>
          <w:lang w:val="en-GB"/>
        </w:rPr>
      </w:pPr>
      <w:r w:rsidRPr="000F2E9A">
        <w:rPr>
          <w:lang w:val="en-GB"/>
        </w:rPr>
        <w:t>13.</w:t>
      </w:r>
      <w:r w:rsidRPr="000F2E9A">
        <w:rPr>
          <w:lang w:val="en-GB"/>
        </w:rPr>
        <w:tab/>
      </w:r>
      <w:r w:rsidR="0088542D" w:rsidRPr="000F2E9A">
        <w:rPr>
          <w:lang w:val="en-GB"/>
        </w:rPr>
        <w:t>The third economic reform programme includes additional loans of EUR 86 billion over the years 2015-2018</w:t>
      </w:r>
      <w:r w:rsidR="00BC3BF7" w:rsidRPr="000F2E9A">
        <w:rPr>
          <w:lang w:val="en-GB"/>
        </w:rPr>
        <w:t xml:space="preserve"> and detailed adjustment and structural reform measures outlined in the </w:t>
      </w:r>
      <w:proofErr w:type="spellStart"/>
      <w:r w:rsidR="00BC3BF7" w:rsidRPr="000F2E9A">
        <w:rPr>
          <w:lang w:val="en-GB"/>
        </w:rPr>
        <w:t>MoU</w:t>
      </w:r>
      <w:proofErr w:type="spellEnd"/>
      <w:r w:rsidR="0088542D" w:rsidRPr="000F2E9A">
        <w:rPr>
          <w:lang w:val="en-GB"/>
        </w:rPr>
        <w:t>.</w:t>
      </w:r>
      <w:r w:rsidR="0088542D" w:rsidRPr="000F2E9A">
        <w:rPr>
          <w:vertAlign w:val="superscript"/>
          <w:lang w:val="en-GB"/>
        </w:rPr>
        <w:footnoteReference w:id="10"/>
      </w:r>
      <w:r w:rsidR="00017C92" w:rsidRPr="000F2E9A">
        <w:rPr>
          <w:lang w:val="en-GB"/>
        </w:rPr>
        <w:t xml:space="preserve"> </w:t>
      </w:r>
      <w:r w:rsidR="0088542D" w:rsidRPr="000F2E9A">
        <w:rPr>
          <w:lang w:val="en-GB"/>
        </w:rPr>
        <w:t xml:space="preserve">However during the vote on the first set of measures (Law 4336/205) </w:t>
      </w:r>
      <w:r w:rsidR="009174BD" w:rsidRPr="000F2E9A">
        <w:rPr>
          <w:lang w:val="en-GB"/>
        </w:rPr>
        <w:t xml:space="preserve">in Parliament </w:t>
      </w:r>
      <w:r w:rsidR="0048253D" w:rsidRPr="000F2E9A">
        <w:rPr>
          <w:lang w:val="en-GB"/>
        </w:rPr>
        <w:t>the Government lost its majority and had to rely on opposition parties to get the package passed</w:t>
      </w:r>
      <w:r w:rsidR="00A61443" w:rsidRPr="000F2E9A">
        <w:rPr>
          <w:lang w:val="en-GB"/>
        </w:rPr>
        <w:t xml:space="preserve">, </w:t>
      </w:r>
      <w:r w:rsidR="00F54B8E" w:rsidRPr="000F2E9A">
        <w:rPr>
          <w:lang w:val="en-GB"/>
        </w:rPr>
        <w:t xml:space="preserve">reflecting </w:t>
      </w:r>
      <w:r w:rsidR="00A61443" w:rsidRPr="000F2E9A">
        <w:rPr>
          <w:lang w:val="en-GB"/>
        </w:rPr>
        <w:t xml:space="preserve">a defection by a number of </w:t>
      </w:r>
      <w:proofErr w:type="spellStart"/>
      <w:r w:rsidR="00A61443" w:rsidRPr="000F2E9A">
        <w:rPr>
          <w:lang w:val="en-GB"/>
        </w:rPr>
        <w:t>Syriza</w:t>
      </w:r>
      <w:proofErr w:type="spellEnd"/>
      <w:r w:rsidR="00A61443" w:rsidRPr="000F2E9A">
        <w:rPr>
          <w:lang w:val="en-GB"/>
        </w:rPr>
        <w:t xml:space="preserve"> MPs who rejected the terms of the third </w:t>
      </w:r>
      <w:proofErr w:type="spellStart"/>
      <w:r w:rsidR="00A61443" w:rsidRPr="000F2E9A">
        <w:rPr>
          <w:lang w:val="en-GB"/>
        </w:rPr>
        <w:t>MoU</w:t>
      </w:r>
      <w:proofErr w:type="spellEnd"/>
      <w:r w:rsidR="0048253D" w:rsidRPr="000F2E9A">
        <w:rPr>
          <w:lang w:val="en-GB"/>
        </w:rPr>
        <w:t xml:space="preserve">. </w:t>
      </w:r>
      <w:r w:rsidR="004233CD" w:rsidRPr="000F2E9A">
        <w:rPr>
          <w:lang w:val="en-GB"/>
        </w:rPr>
        <w:t xml:space="preserve">A </w:t>
      </w:r>
      <w:r w:rsidR="009174BD" w:rsidRPr="000F2E9A">
        <w:rPr>
          <w:lang w:val="en-GB"/>
        </w:rPr>
        <w:t>snap election was called for</w:t>
      </w:r>
      <w:r w:rsidR="001576BE" w:rsidRPr="000F2E9A">
        <w:rPr>
          <w:lang w:val="en-GB"/>
        </w:rPr>
        <w:t xml:space="preserve"> </w:t>
      </w:r>
      <w:r w:rsidR="0088542D" w:rsidRPr="000F2E9A">
        <w:rPr>
          <w:lang w:val="en-GB"/>
        </w:rPr>
        <w:t>in 20 September 2015</w:t>
      </w:r>
      <w:r w:rsidR="009174BD" w:rsidRPr="000F2E9A">
        <w:rPr>
          <w:lang w:val="en-GB"/>
        </w:rPr>
        <w:t xml:space="preserve">, resulting in a </w:t>
      </w:r>
      <w:r w:rsidR="00861479" w:rsidRPr="000F2E9A">
        <w:rPr>
          <w:lang w:val="en-GB"/>
        </w:rPr>
        <w:t xml:space="preserve">majority for </w:t>
      </w:r>
      <w:r w:rsidR="009174BD" w:rsidRPr="000F2E9A">
        <w:rPr>
          <w:lang w:val="en-GB"/>
        </w:rPr>
        <w:t xml:space="preserve">the ruling </w:t>
      </w:r>
      <w:proofErr w:type="spellStart"/>
      <w:r w:rsidR="009174BD" w:rsidRPr="000F2E9A">
        <w:rPr>
          <w:lang w:val="en-GB"/>
        </w:rPr>
        <w:t>Syriza</w:t>
      </w:r>
      <w:proofErr w:type="spellEnd"/>
      <w:r w:rsidR="009174BD" w:rsidRPr="000F2E9A">
        <w:rPr>
          <w:lang w:val="en-GB"/>
        </w:rPr>
        <w:t>-Independent Greek (ANEL) coalition Government</w:t>
      </w:r>
      <w:r w:rsidR="00A61443" w:rsidRPr="000F2E9A">
        <w:rPr>
          <w:lang w:val="en-GB"/>
        </w:rPr>
        <w:t>.</w:t>
      </w:r>
    </w:p>
    <w:p w:rsidR="00CC57F1" w:rsidRPr="000F2E9A" w:rsidRDefault="005573E4" w:rsidP="005573E4">
      <w:pPr>
        <w:pStyle w:val="SingleTxtG"/>
        <w:rPr>
          <w:lang w:val="en-GB"/>
        </w:rPr>
      </w:pPr>
      <w:r w:rsidRPr="000F2E9A">
        <w:rPr>
          <w:lang w:val="en-GB"/>
        </w:rPr>
        <w:t>14.</w:t>
      </w:r>
      <w:r w:rsidRPr="000F2E9A">
        <w:rPr>
          <w:lang w:val="en-GB"/>
        </w:rPr>
        <w:tab/>
      </w:r>
      <w:r w:rsidR="00CC57F1" w:rsidRPr="000F2E9A">
        <w:rPr>
          <w:lang w:val="en-GB"/>
        </w:rPr>
        <w:t>The deal between the Eurozone States and Greece included a European Commission funded “Jobs and Growth Plan for Greece” to support Greece over the period 2014-2020 with 35 billion EUR through various European funds. About 3.9 billion EUR, or 11</w:t>
      </w:r>
      <w:r w:rsidR="00396425">
        <w:rPr>
          <w:lang w:val="en-GB"/>
        </w:rPr>
        <w:t>%</w:t>
      </w:r>
      <w:r w:rsidR="00CC57F1" w:rsidRPr="000F2E9A">
        <w:rPr>
          <w:lang w:val="en-GB"/>
        </w:rPr>
        <w:t xml:space="preserve"> of the entire package, are expected to be spent in on active labour market and social inclusion policies, including for the Youth Employment Initiative.</w:t>
      </w:r>
    </w:p>
    <w:p w:rsidR="00D3438C" w:rsidRPr="000F2E9A" w:rsidRDefault="005573E4" w:rsidP="005573E4">
      <w:pPr>
        <w:pStyle w:val="SingleTxtG"/>
        <w:rPr>
          <w:lang w:val="en-GB"/>
        </w:rPr>
      </w:pPr>
      <w:r w:rsidRPr="000F2E9A">
        <w:rPr>
          <w:lang w:val="en-GB"/>
        </w:rPr>
        <w:t>15.</w:t>
      </w:r>
      <w:r w:rsidRPr="000F2E9A">
        <w:rPr>
          <w:lang w:val="en-GB"/>
        </w:rPr>
        <w:tab/>
      </w:r>
      <w:r w:rsidR="00896C54" w:rsidRPr="000F2E9A">
        <w:rPr>
          <w:lang w:val="en-GB"/>
        </w:rPr>
        <w:t xml:space="preserve">On top of the economic and social crisis Greece another </w:t>
      </w:r>
      <w:r w:rsidR="00AC65F2" w:rsidRPr="000F2E9A">
        <w:rPr>
          <w:lang w:val="en-GB"/>
        </w:rPr>
        <w:t xml:space="preserve">humanitarian and </w:t>
      </w:r>
      <w:r w:rsidR="00EF5F0E" w:rsidRPr="000F2E9A">
        <w:rPr>
          <w:lang w:val="en-GB"/>
        </w:rPr>
        <w:t xml:space="preserve">human rights </w:t>
      </w:r>
      <w:r w:rsidR="00896C54" w:rsidRPr="000F2E9A">
        <w:rPr>
          <w:lang w:val="en-GB"/>
        </w:rPr>
        <w:t xml:space="preserve">crisis has unfolded. Since </w:t>
      </w:r>
      <w:r w:rsidR="00062306" w:rsidRPr="000F2E9A">
        <w:rPr>
          <w:lang w:val="en-GB"/>
        </w:rPr>
        <w:t>J</w:t>
      </w:r>
      <w:r w:rsidR="00A61443" w:rsidRPr="000F2E9A">
        <w:rPr>
          <w:lang w:val="en-GB"/>
        </w:rPr>
        <w:t xml:space="preserve">anuary </w:t>
      </w:r>
      <w:r w:rsidR="00062306" w:rsidRPr="000F2E9A">
        <w:rPr>
          <w:lang w:val="en-GB"/>
        </w:rPr>
        <w:t xml:space="preserve">2015 </w:t>
      </w:r>
      <w:r w:rsidR="00F7409E" w:rsidRPr="000F2E9A">
        <w:rPr>
          <w:lang w:val="en-GB"/>
        </w:rPr>
        <w:t xml:space="preserve">Greece </w:t>
      </w:r>
      <w:r w:rsidR="00C05EE1" w:rsidRPr="000F2E9A">
        <w:rPr>
          <w:lang w:val="en-GB"/>
        </w:rPr>
        <w:t xml:space="preserve">is </w:t>
      </w:r>
      <w:r w:rsidR="00062306" w:rsidRPr="000F2E9A">
        <w:rPr>
          <w:lang w:val="en-GB"/>
        </w:rPr>
        <w:t xml:space="preserve">witnessing an unprecedented </w:t>
      </w:r>
      <w:r w:rsidR="00896C54" w:rsidRPr="000F2E9A">
        <w:rPr>
          <w:lang w:val="en-GB"/>
        </w:rPr>
        <w:t xml:space="preserve">increase in the </w:t>
      </w:r>
      <w:r w:rsidR="00062306" w:rsidRPr="000F2E9A">
        <w:rPr>
          <w:lang w:val="en-GB"/>
        </w:rPr>
        <w:t xml:space="preserve">inflow of refugees and migrants </w:t>
      </w:r>
      <w:r w:rsidR="00896C54" w:rsidRPr="000F2E9A">
        <w:rPr>
          <w:lang w:val="en-GB"/>
        </w:rPr>
        <w:t xml:space="preserve">to </w:t>
      </w:r>
      <w:r w:rsidR="00062306" w:rsidRPr="000F2E9A">
        <w:rPr>
          <w:lang w:val="en-GB"/>
        </w:rPr>
        <w:t xml:space="preserve">its territory, mainly from conflict-torn countries such as Syria, Afghanistan and Iraq. </w:t>
      </w:r>
      <w:r w:rsidR="006C47E0" w:rsidRPr="000F2E9A">
        <w:rPr>
          <w:lang w:val="en-GB"/>
        </w:rPr>
        <w:t>According to Government information almost</w:t>
      </w:r>
      <w:r w:rsidR="00062306" w:rsidRPr="000F2E9A">
        <w:rPr>
          <w:lang w:val="en-GB"/>
        </w:rPr>
        <w:t xml:space="preserve"> </w:t>
      </w:r>
      <w:r w:rsidR="006C47E0" w:rsidRPr="000F2E9A">
        <w:rPr>
          <w:lang w:val="en-GB"/>
        </w:rPr>
        <w:t xml:space="preserve">950.000 </w:t>
      </w:r>
      <w:r w:rsidR="00062306" w:rsidRPr="000F2E9A">
        <w:rPr>
          <w:lang w:val="en-GB"/>
        </w:rPr>
        <w:t xml:space="preserve">refugees </w:t>
      </w:r>
      <w:r w:rsidR="006C47E0" w:rsidRPr="000F2E9A">
        <w:rPr>
          <w:lang w:val="en-GB"/>
        </w:rPr>
        <w:t xml:space="preserve">and migrants through Greek-Turkish sea borders </w:t>
      </w:r>
      <w:r w:rsidR="00EF5F0E" w:rsidRPr="000F2E9A">
        <w:rPr>
          <w:lang w:val="en-GB"/>
        </w:rPr>
        <w:t>in 2015</w:t>
      </w:r>
      <w:r w:rsidR="006C47E0" w:rsidRPr="000F2E9A">
        <w:rPr>
          <w:lang w:val="en-GB"/>
        </w:rPr>
        <w:t>, while more than 66.000 arrived in January 2016</w:t>
      </w:r>
      <w:r w:rsidR="00062306" w:rsidRPr="000F2E9A">
        <w:rPr>
          <w:lang w:val="en-GB"/>
        </w:rPr>
        <w:t xml:space="preserve">. </w:t>
      </w:r>
      <w:r w:rsidR="00C975C1" w:rsidRPr="000F2E9A">
        <w:rPr>
          <w:lang w:val="en-GB"/>
        </w:rPr>
        <w:t xml:space="preserve">At least </w:t>
      </w:r>
      <w:r w:rsidR="00062306" w:rsidRPr="000F2E9A">
        <w:rPr>
          <w:lang w:val="en-GB"/>
        </w:rPr>
        <w:t xml:space="preserve">272 refugees </w:t>
      </w:r>
      <w:r w:rsidR="00481903" w:rsidRPr="000F2E9A">
        <w:rPr>
          <w:lang w:val="en-GB"/>
        </w:rPr>
        <w:t>died</w:t>
      </w:r>
      <w:r w:rsidR="00EF5F0E" w:rsidRPr="000F2E9A">
        <w:rPr>
          <w:lang w:val="en-GB"/>
        </w:rPr>
        <w:t xml:space="preserve"> </w:t>
      </w:r>
      <w:r w:rsidR="00062306" w:rsidRPr="000F2E9A">
        <w:rPr>
          <w:lang w:val="en-GB"/>
        </w:rPr>
        <w:t xml:space="preserve">during the dangerous transit </w:t>
      </w:r>
      <w:r w:rsidR="00C975C1" w:rsidRPr="000F2E9A">
        <w:rPr>
          <w:lang w:val="en-GB"/>
        </w:rPr>
        <w:t>from Turkey to Aegean Islands in the territorial waters of Greece</w:t>
      </w:r>
      <w:r w:rsidR="00062306" w:rsidRPr="000F2E9A">
        <w:rPr>
          <w:lang w:val="en-GB"/>
        </w:rPr>
        <w:t xml:space="preserve"> </w:t>
      </w:r>
      <w:r w:rsidR="00C975C1" w:rsidRPr="000F2E9A">
        <w:rPr>
          <w:lang w:val="en-GB"/>
        </w:rPr>
        <w:t xml:space="preserve">while more than </w:t>
      </w:r>
      <w:r w:rsidR="00062306" w:rsidRPr="000F2E9A">
        <w:rPr>
          <w:lang w:val="en-GB"/>
        </w:rPr>
        <w:t>15</w:t>
      </w:r>
      <w:r w:rsidR="00C975C1" w:rsidRPr="000F2E9A">
        <w:rPr>
          <w:lang w:val="en-GB"/>
        </w:rPr>
        <w:t>0</w:t>
      </w:r>
      <w:r w:rsidR="00062306" w:rsidRPr="000F2E9A">
        <w:rPr>
          <w:lang w:val="en-GB"/>
        </w:rPr>
        <w:t xml:space="preserve"> person </w:t>
      </w:r>
      <w:r w:rsidR="00EF5F0E" w:rsidRPr="000F2E9A">
        <w:rPr>
          <w:lang w:val="en-GB"/>
        </w:rPr>
        <w:t xml:space="preserve">were </w:t>
      </w:r>
      <w:r w:rsidR="00062306" w:rsidRPr="000F2E9A">
        <w:rPr>
          <w:lang w:val="en-GB"/>
        </w:rPr>
        <w:t>reported missing</w:t>
      </w:r>
      <w:r w:rsidR="00EF5F0E" w:rsidRPr="000F2E9A">
        <w:rPr>
          <w:lang w:val="en-GB"/>
        </w:rPr>
        <w:t xml:space="preserve"> during 2015</w:t>
      </w:r>
      <w:r w:rsidR="000F2E9A" w:rsidRPr="000F2E9A">
        <w:rPr>
          <w:lang w:val="en-GB"/>
        </w:rPr>
        <w:t>.</w:t>
      </w:r>
      <w:r w:rsidR="004F34EF" w:rsidRPr="000F2E9A">
        <w:rPr>
          <w:rStyle w:val="FootnoteReference"/>
          <w:lang w:val="en-GB"/>
        </w:rPr>
        <w:footnoteReference w:id="11"/>
      </w:r>
      <w:r w:rsidR="00017C92" w:rsidRPr="000F2E9A">
        <w:rPr>
          <w:lang w:val="en-GB"/>
        </w:rPr>
        <w:t xml:space="preserve"> </w:t>
      </w:r>
      <w:r w:rsidR="006C47E0" w:rsidRPr="000F2E9A">
        <w:rPr>
          <w:lang w:val="en-GB"/>
        </w:rPr>
        <w:t xml:space="preserve">Greece made </w:t>
      </w:r>
      <w:r w:rsidR="00E32CA3" w:rsidRPr="000F2E9A">
        <w:rPr>
          <w:lang w:val="en-GB"/>
        </w:rPr>
        <w:t xml:space="preserve">increased </w:t>
      </w:r>
      <w:r w:rsidR="006C47E0" w:rsidRPr="000F2E9A">
        <w:rPr>
          <w:lang w:val="en-GB"/>
        </w:rPr>
        <w:t xml:space="preserve">efforts to rescue refugees fleeing from war, </w:t>
      </w:r>
      <w:r w:rsidR="001443E3" w:rsidRPr="000F2E9A">
        <w:rPr>
          <w:lang w:val="en-GB"/>
        </w:rPr>
        <w:t xml:space="preserve">crossing the Mediterranean See </w:t>
      </w:r>
      <w:r w:rsidR="006C47E0" w:rsidRPr="000F2E9A">
        <w:rPr>
          <w:lang w:val="en-GB"/>
        </w:rPr>
        <w:t>on unseaworthy boats and dinghies, including 2.500 search and rescue operations by the Hellenic Coast Guard</w:t>
      </w:r>
      <w:r w:rsidR="001443E3" w:rsidRPr="000F2E9A">
        <w:rPr>
          <w:lang w:val="en-GB"/>
        </w:rPr>
        <w:t>. The Greek State has provided aid and encouraged solidarity and support by the local population.</w:t>
      </w:r>
      <w:r w:rsidR="00017C92" w:rsidRPr="000F2E9A">
        <w:rPr>
          <w:lang w:val="en-GB"/>
        </w:rPr>
        <w:t xml:space="preserve"> </w:t>
      </w:r>
      <w:r w:rsidR="000F2E9A" w:rsidRPr="000F2E9A">
        <w:rPr>
          <w:lang w:val="en-GB"/>
        </w:rPr>
        <w:t>There</w:t>
      </w:r>
      <w:r w:rsidR="00D00E9F" w:rsidRPr="000F2E9A">
        <w:rPr>
          <w:lang w:val="en-GB"/>
        </w:rPr>
        <w:t xml:space="preserve"> </w:t>
      </w:r>
      <w:r w:rsidR="000F2E9A" w:rsidRPr="000F2E9A">
        <w:rPr>
          <w:lang w:val="en-GB"/>
        </w:rPr>
        <w:t>have been also positive developments</w:t>
      </w:r>
      <w:r w:rsidR="00D00E9F" w:rsidRPr="000F2E9A">
        <w:rPr>
          <w:lang w:val="en-GB"/>
        </w:rPr>
        <w:t xml:space="preserve"> in relation to the Greek Government policy </w:t>
      </w:r>
      <w:r w:rsidR="00D00E9F" w:rsidRPr="000F2E9A">
        <w:rPr>
          <w:lang w:val="en-GB"/>
        </w:rPr>
        <w:lastRenderedPageBreak/>
        <w:t>towards refugees and irregular migrants</w:t>
      </w:r>
      <w:r w:rsidR="001443E3" w:rsidRPr="000F2E9A">
        <w:rPr>
          <w:lang w:val="en-GB"/>
        </w:rPr>
        <w:t>,</w:t>
      </w:r>
      <w:r w:rsidR="00D00E9F" w:rsidRPr="000F2E9A">
        <w:rPr>
          <w:lang w:val="en-GB"/>
        </w:rPr>
        <w:t xml:space="preserve"> including a reduction of administrative detention. </w:t>
      </w:r>
      <w:r w:rsidR="001443E3" w:rsidRPr="000F2E9A">
        <w:rPr>
          <w:lang w:val="en-GB"/>
        </w:rPr>
        <w:t>However, o</w:t>
      </w:r>
      <w:r w:rsidR="00D00E9F" w:rsidRPr="000F2E9A">
        <w:rPr>
          <w:lang w:val="en-GB"/>
        </w:rPr>
        <w:t xml:space="preserve">wing to austerity and the economic crisis, the Greek State is in a difficult position to </w:t>
      </w:r>
      <w:r w:rsidR="0003542C" w:rsidRPr="000F2E9A">
        <w:rPr>
          <w:lang w:val="en-GB"/>
        </w:rPr>
        <w:t>respond</w:t>
      </w:r>
      <w:r w:rsidR="00D00E9F" w:rsidRPr="000F2E9A">
        <w:rPr>
          <w:lang w:val="en-GB"/>
        </w:rPr>
        <w:t xml:space="preserve"> adequately </w:t>
      </w:r>
      <w:r w:rsidR="00B003DF" w:rsidRPr="000F2E9A">
        <w:rPr>
          <w:lang w:val="en-GB"/>
        </w:rPr>
        <w:t>to</w:t>
      </w:r>
      <w:r w:rsidR="00D00E9F" w:rsidRPr="000F2E9A">
        <w:rPr>
          <w:lang w:val="en-GB"/>
        </w:rPr>
        <w:t xml:space="preserve"> the refugee crisis</w:t>
      </w:r>
      <w:r w:rsidR="001443E3" w:rsidRPr="000F2E9A">
        <w:rPr>
          <w:lang w:val="en-GB"/>
        </w:rPr>
        <w:t xml:space="preserve"> without additional European and </w:t>
      </w:r>
      <w:r w:rsidR="00051C2E" w:rsidRPr="000F2E9A">
        <w:rPr>
          <w:lang w:val="en-GB"/>
        </w:rPr>
        <w:t>i</w:t>
      </w:r>
      <w:r w:rsidR="001443E3" w:rsidRPr="000F2E9A">
        <w:rPr>
          <w:lang w:val="en-GB"/>
        </w:rPr>
        <w:t xml:space="preserve">nternational </w:t>
      </w:r>
      <w:r w:rsidR="00051C2E" w:rsidRPr="000F2E9A">
        <w:rPr>
          <w:lang w:val="en-GB"/>
        </w:rPr>
        <w:t>a</w:t>
      </w:r>
      <w:r w:rsidR="001443E3" w:rsidRPr="000F2E9A">
        <w:rPr>
          <w:lang w:val="en-GB"/>
        </w:rPr>
        <w:t>id</w:t>
      </w:r>
      <w:r w:rsidR="00D00E9F" w:rsidRPr="000F2E9A">
        <w:rPr>
          <w:lang w:val="en-GB"/>
        </w:rPr>
        <w:t>.</w:t>
      </w:r>
    </w:p>
    <w:p w:rsidR="00D87944" w:rsidRPr="000F2E9A" w:rsidRDefault="00D87944" w:rsidP="00D87944">
      <w:pPr>
        <w:pStyle w:val="HChG"/>
        <w:outlineLvl w:val="0"/>
        <w:rPr>
          <w:lang w:val="en-GB"/>
        </w:rPr>
      </w:pPr>
      <w:r w:rsidRPr="000F2E9A">
        <w:rPr>
          <w:lang w:val="en-GB"/>
        </w:rPr>
        <w:tab/>
        <w:t>II</w:t>
      </w:r>
      <w:r w:rsidR="00C05EE1" w:rsidRPr="000F2E9A">
        <w:rPr>
          <w:lang w:val="en-GB"/>
        </w:rPr>
        <w:t>I</w:t>
      </w:r>
      <w:r w:rsidRPr="000F2E9A">
        <w:rPr>
          <w:lang w:val="en-GB"/>
        </w:rPr>
        <w:t>.</w:t>
      </w:r>
      <w:r w:rsidRPr="000F2E9A">
        <w:rPr>
          <w:lang w:val="en-GB"/>
        </w:rPr>
        <w:tab/>
      </w:r>
      <w:r w:rsidR="00386794" w:rsidRPr="000F2E9A">
        <w:rPr>
          <w:lang w:val="en-GB"/>
        </w:rPr>
        <w:t>H</w:t>
      </w:r>
      <w:r w:rsidRPr="000F2E9A">
        <w:rPr>
          <w:lang w:val="en-GB"/>
        </w:rPr>
        <w:t>uman rights obligations in the context of economic adjustment</w:t>
      </w:r>
    </w:p>
    <w:p w:rsidR="00105654" w:rsidRPr="000F2E9A" w:rsidRDefault="00747061" w:rsidP="00747061">
      <w:pPr>
        <w:pStyle w:val="H1G"/>
        <w:rPr>
          <w:lang w:val="en-GB" w:eastAsia="en-GB"/>
        </w:rPr>
      </w:pPr>
      <w:r>
        <w:rPr>
          <w:lang w:val="en-GB" w:eastAsia="en-GB"/>
        </w:rPr>
        <w:tab/>
        <w:t>A.</w:t>
      </w:r>
      <w:r>
        <w:rPr>
          <w:lang w:val="en-GB" w:eastAsia="en-GB"/>
        </w:rPr>
        <w:tab/>
      </w:r>
      <w:r w:rsidR="00105654" w:rsidRPr="000F2E9A">
        <w:rPr>
          <w:lang w:val="en-GB" w:eastAsia="en-GB"/>
        </w:rPr>
        <w:t>Obligations of Greece</w:t>
      </w:r>
    </w:p>
    <w:p w:rsidR="00105654" w:rsidRPr="000F2E9A" w:rsidRDefault="005573E4" w:rsidP="005573E4">
      <w:pPr>
        <w:pStyle w:val="SingleTxtG"/>
        <w:rPr>
          <w:lang w:val="en-GB"/>
        </w:rPr>
      </w:pPr>
      <w:r w:rsidRPr="000F2E9A">
        <w:rPr>
          <w:lang w:val="en-GB"/>
        </w:rPr>
        <w:t>16.</w:t>
      </w:r>
      <w:r w:rsidRPr="000F2E9A">
        <w:rPr>
          <w:lang w:val="en-GB"/>
        </w:rPr>
        <w:tab/>
      </w:r>
      <w:r w:rsidR="00C3060B" w:rsidRPr="000F2E9A">
        <w:rPr>
          <w:lang w:val="en-GB"/>
        </w:rPr>
        <w:t xml:space="preserve">When implementing structural adjustment measures, borrowing </w:t>
      </w:r>
      <w:r w:rsidR="002275CC" w:rsidRPr="000F2E9A">
        <w:rPr>
          <w:lang w:val="en-GB"/>
        </w:rPr>
        <w:t xml:space="preserve">and lending </w:t>
      </w:r>
      <w:r w:rsidR="00C3060B" w:rsidRPr="000F2E9A">
        <w:rPr>
          <w:lang w:val="en-GB"/>
        </w:rPr>
        <w:t>State</w:t>
      </w:r>
      <w:r w:rsidR="002275CC" w:rsidRPr="000F2E9A">
        <w:rPr>
          <w:lang w:val="en-GB"/>
        </w:rPr>
        <w:t xml:space="preserve">s and lending </w:t>
      </w:r>
      <w:r w:rsidR="00C3060B" w:rsidRPr="000F2E9A">
        <w:rPr>
          <w:lang w:val="en-GB"/>
        </w:rPr>
        <w:t>institutions have obligations under international human rights law. Economic adjustment policies may raise important concerns regarding the protection of economic, social and cultural rights as they may</w:t>
      </w:r>
      <w:r w:rsidR="00105654" w:rsidRPr="000F2E9A">
        <w:rPr>
          <w:lang w:val="en-GB"/>
        </w:rPr>
        <w:t xml:space="preserve"> be incompatible with the obligation to ensure that every individual enjoys essential minimum levels of fulfilment of such rights or incompatible with the obligation of States to ensure their progressive realization and to avoid del</w:t>
      </w:r>
      <w:r w:rsidR="00747061">
        <w:rPr>
          <w:lang w:val="en-GB"/>
        </w:rPr>
        <w:t>iberate retrogressive measures.</w:t>
      </w:r>
    </w:p>
    <w:p w:rsidR="00105654" w:rsidRPr="000F2E9A" w:rsidRDefault="005573E4" w:rsidP="005573E4">
      <w:pPr>
        <w:pStyle w:val="SingleTxtG"/>
        <w:rPr>
          <w:lang w:val="en-GB"/>
        </w:rPr>
      </w:pPr>
      <w:r w:rsidRPr="000F2E9A">
        <w:rPr>
          <w:lang w:val="en-GB"/>
        </w:rPr>
        <w:t>17.</w:t>
      </w:r>
      <w:r w:rsidRPr="000F2E9A">
        <w:rPr>
          <w:lang w:val="en-GB"/>
        </w:rPr>
        <w:tab/>
      </w:r>
      <w:r w:rsidR="00105654" w:rsidRPr="000F2E9A">
        <w:rPr>
          <w:lang w:val="en-GB"/>
        </w:rPr>
        <w:t>The Committee on the Economic Social and Cultural Rights has recognized that economic and financial crises impede the progressive realization of economic, social and cultural rights and can lead to retrogression in the enjoyment of those rights. With respect to austerity measures and other adjustment policies, the Committee underscored four requirements that any proposed policy change should meet. First, that the policy is temporary and limited to the period of crisis; second, the policy is necessary and proportionate; third, the policy is not discriminatory and encompasses</w:t>
      </w:r>
      <w:r w:rsidR="00017C92" w:rsidRPr="000F2E9A">
        <w:rPr>
          <w:lang w:val="en-GB"/>
        </w:rPr>
        <w:t xml:space="preserve"> </w:t>
      </w:r>
      <w:r w:rsidR="00105654" w:rsidRPr="000F2E9A">
        <w:rPr>
          <w:lang w:val="en-GB"/>
        </w:rPr>
        <w:t>all possible measures, including fiscal measures, to ensure the necessary measures to mitigate inequalities that may arise in times of crisis; and fourth, the policy</w:t>
      </w:r>
      <w:r w:rsidR="00017C92" w:rsidRPr="000F2E9A">
        <w:rPr>
          <w:lang w:val="en-GB"/>
        </w:rPr>
        <w:t xml:space="preserve"> </w:t>
      </w:r>
      <w:r w:rsidR="00105654" w:rsidRPr="000F2E9A">
        <w:rPr>
          <w:lang w:val="en-GB"/>
        </w:rPr>
        <w:t>identifies the minimum core content of the rights enshrined in the Covenant, or a social protection floor, as developed by the International Labour Organization, and ensures the protection of this core content at all times.</w:t>
      </w:r>
      <w:r w:rsidR="00105654" w:rsidRPr="000F2E9A">
        <w:rPr>
          <w:vertAlign w:val="superscript"/>
          <w:lang w:val="en-GB"/>
        </w:rPr>
        <w:footnoteReference w:id="12"/>
      </w:r>
      <w:r w:rsidR="00017C92" w:rsidRPr="000F2E9A">
        <w:rPr>
          <w:lang w:val="en-GB"/>
        </w:rPr>
        <w:t xml:space="preserve"> </w:t>
      </w:r>
      <w:r w:rsidR="00105654" w:rsidRPr="000F2E9A">
        <w:rPr>
          <w:lang w:val="en-GB"/>
        </w:rPr>
        <w:t>In addition, States bear the burden of establishing that austerity measures have been introduced only after the most careful consideration of all other less restrictive alternatives.</w:t>
      </w:r>
      <w:r w:rsidR="00105654" w:rsidRPr="000F2E9A">
        <w:rPr>
          <w:vertAlign w:val="superscript"/>
          <w:lang w:val="en-GB"/>
        </w:rPr>
        <w:footnoteReference w:id="13"/>
      </w:r>
    </w:p>
    <w:p w:rsidR="0070410D" w:rsidRPr="000F2E9A" w:rsidRDefault="005573E4" w:rsidP="005573E4">
      <w:pPr>
        <w:pStyle w:val="SingleTxtG"/>
        <w:rPr>
          <w:lang w:val="en-GB"/>
        </w:rPr>
      </w:pPr>
      <w:r w:rsidRPr="000F2E9A">
        <w:rPr>
          <w:lang w:val="en-GB"/>
        </w:rPr>
        <w:t>18.</w:t>
      </w:r>
      <w:r w:rsidRPr="000F2E9A">
        <w:rPr>
          <w:lang w:val="en-GB"/>
        </w:rPr>
        <w:tab/>
      </w:r>
      <w:r w:rsidR="0070410D" w:rsidRPr="000F2E9A">
        <w:rPr>
          <w:lang w:val="en-GB"/>
        </w:rPr>
        <w:t>The Guiding Principles on foreign debt and human rights also underscore that States should ensure that their rights and obligations arising from external debt agreements or arrangements do not hinder the progressive realization of economic, social and cultural rights.</w:t>
      </w:r>
      <w:r w:rsidR="0070410D" w:rsidRPr="000F2E9A">
        <w:rPr>
          <w:vertAlign w:val="superscript"/>
          <w:lang w:val="en-GB"/>
        </w:rPr>
        <w:footnoteReference w:id="14"/>
      </w:r>
    </w:p>
    <w:p w:rsidR="007B5842" w:rsidRPr="00747061" w:rsidRDefault="00747061" w:rsidP="00747061">
      <w:pPr>
        <w:pStyle w:val="H1G"/>
      </w:pPr>
      <w:r>
        <w:rPr>
          <w:lang w:val="en-GB" w:eastAsia="en-GB"/>
        </w:rPr>
        <w:tab/>
        <w:t>B.</w:t>
      </w:r>
      <w:r>
        <w:rPr>
          <w:lang w:val="en-GB" w:eastAsia="en-GB"/>
        </w:rPr>
        <w:tab/>
      </w:r>
      <w:r w:rsidR="007B5842" w:rsidRPr="000F2E9A">
        <w:rPr>
          <w:lang w:val="en-GB" w:eastAsia="en-GB"/>
        </w:rPr>
        <w:t>Obligations by European institutions</w:t>
      </w:r>
      <w:r w:rsidR="00A9096B" w:rsidRPr="000F2E9A">
        <w:rPr>
          <w:lang w:val="en-GB" w:eastAsia="en-GB"/>
        </w:rPr>
        <w:t>, the IMF</w:t>
      </w:r>
      <w:r w:rsidR="007B5842" w:rsidRPr="000F2E9A">
        <w:rPr>
          <w:lang w:val="en-GB" w:eastAsia="en-GB"/>
        </w:rPr>
        <w:t xml:space="preserve"> </w:t>
      </w:r>
      <w:r w:rsidR="00A9096B" w:rsidRPr="000F2E9A">
        <w:rPr>
          <w:lang w:val="en-GB" w:eastAsia="en-GB"/>
        </w:rPr>
        <w:t xml:space="preserve">and </w:t>
      </w:r>
      <w:r w:rsidR="00F342A2" w:rsidRPr="000F2E9A">
        <w:rPr>
          <w:lang w:val="en-GB" w:eastAsia="en-GB"/>
        </w:rPr>
        <w:t xml:space="preserve">Eurozone </w:t>
      </w:r>
      <w:r>
        <w:rPr>
          <w:lang w:val="en-GB" w:eastAsia="en-GB"/>
        </w:rPr>
        <w:t>States</w:t>
      </w:r>
    </w:p>
    <w:p w:rsidR="002C21C8" w:rsidRPr="000F2E9A" w:rsidRDefault="005573E4" w:rsidP="005573E4">
      <w:pPr>
        <w:pStyle w:val="SingleTxtG"/>
        <w:rPr>
          <w:lang w:val="en-GB"/>
        </w:rPr>
      </w:pPr>
      <w:r w:rsidRPr="000F2E9A">
        <w:rPr>
          <w:lang w:val="en-GB"/>
        </w:rPr>
        <w:t>19.</w:t>
      </w:r>
      <w:r w:rsidRPr="000F2E9A">
        <w:rPr>
          <w:lang w:val="en-GB"/>
        </w:rPr>
        <w:tab/>
      </w:r>
      <w:r w:rsidR="007B0881" w:rsidRPr="000F2E9A">
        <w:rPr>
          <w:lang w:val="en-GB"/>
        </w:rPr>
        <w:t>While Greece holds primary responsibility to ensure that human rights within its territory are protected, t</w:t>
      </w:r>
      <w:r w:rsidR="00633164" w:rsidRPr="000F2E9A">
        <w:rPr>
          <w:lang w:val="en-GB"/>
        </w:rPr>
        <w:t>he obligation to protect, respect and fulfil human rights</w:t>
      </w:r>
      <w:r w:rsidR="002C21C8" w:rsidRPr="000F2E9A">
        <w:rPr>
          <w:lang w:val="en-GB"/>
        </w:rPr>
        <w:t xml:space="preserve"> is </w:t>
      </w:r>
      <w:r w:rsidR="00481903" w:rsidRPr="000F2E9A">
        <w:rPr>
          <w:lang w:val="en-GB"/>
        </w:rPr>
        <w:t>also</w:t>
      </w:r>
      <w:r w:rsidR="002C21C8" w:rsidRPr="000F2E9A">
        <w:rPr>
          <w:lang w:val="en-GB"/>
        </w:rPr>
        <w:t xml:space="preserve"> applicable to multilateral institutions,</w:t>
      </w:r>
      <w:r w:rsidR="00502AA1" w:rsidRPr="000F2E9A">
        <w:rPr>
          <w:lang w:val="en-GB"/>
        </w:rPr>
        <w:t xml:space="preserve"> including</w:t>
      </w:r>
      <w:r w:rsidR="002C21C8" w:rsidRPr="000F2E9A">
        <w:rPr>
          <w:lang w:val="en-GB"/>
        </w:rPr>
        <w:t xml:space="preserve"> international financial institutions</w:t>
      </w:r>
      <w:r w:rsidR="00E45F47" w:rsidRPr="000F2E9A">
        <w:rPr>
          <w:lang w:val="en-GB"/>
        </w:rPr>
        <w:t>,</w:t>
      </w:r>
      <w:r w:rsidR="002C21C8" w:rsidRPr="000F2E9A">
        <w:rPr>
          <w:lang w:val="en-GB"/>
        </w:rPr>
        <w:t xml:space="preserve"> and States</w:t>
      </w:r>
      <w:r w:rsidR="00016BA0" w:rsidRPr="000F2E9A">
        <w:rPr>
          <w:lang w:val="en-GB"/>
        </w:rPr>
        <w:t xml:space="preserve"> </w:t>
      </w:r>
      <w:r w:rsidR="00502AA1" w:rsidRPr="000F2E9A">
        <w:rPr>
          <w:lang w:val="en-GB"/>
        </w:rPr>
        <w:t xml:space="preserve">when </w:t>
      </w:r>
      <w:r w:rsidR="00016BA0" w:rsidRPr="000F2E9A">
        <w:rPr>
          <w:lang w:val="en-GB"/>
        </w:rPr>
        <w:t xml:space="preserve">deciding on </w:t>
      </w:r>
      <w:proofErr w:type="spellStart"/>
      <w:r w:rsidR="00502AA1" w:rsidRPr="000F2E9A">
        <w:rPr>
          <w:lang w:val="en-GB"/>
        </w:rPr>
        <w:t>conditionalities</w:t>
      </w:r>
      <w:proofErr w:type="spellEnd"/>
      <w:r w:rsidR="00502AA1" w:rsidRPr="000F2E9A">
        <w:rPr>
          <w:lang w:val="en-GB"/>
        </w:rPr>
        <w:t xml:space="preserve"> and adjustment measures attached to </w:t>
      </w:r>
      <w:r w:rsidR="00016BA0" w:rsidRPr="000F2E9A">
        <w:rPr>
          <w:lang w:val="en-GB"/>
        </w:rPr>
        <w:t>lending</w:t>
      </w:r>
      <w:r w:rsidR="002C21C8" w:rsidRPr="000F2E9A">
        <w:rPr>
          <w:lang w:val="en-GB"/>
        </w:rPr>
        <w:t>. States retain their international human rights law obligations when they participate in multilateral institutions or exercise effective control over</w:t>
      </w:r>
      <w:r w:rsidR="00502AA1" w:rsidRPr="000F2E9A">
        <w:rPr>
          <w:lang w:val="en-GB"/>
        </w:rPr>
        <w:t xml:space="preserve"> lending institutions, such as the </w:t>
      </w:r>
      <w:r w:rsidR="00502AA1" w:rsidRPr="000F2E9A">
        <w:rPr>
          <w:lang w:val="en-GB"/>
        </w:rPr>
        <w:lastRenderedPageBreak/>
        <w:t>EFSF.</w:t>
      </w:r>
      <w:r w:rsidR="002C21C8" w:rsidRPr="000F2E9A">
        <w:rPr>
          <w:lang w:val="en-GB"/>
        </w:rPr>
        <w:t xml:space="preserve"> International institutions, acting on behalf of members States such as the ESM, European Commission, ECB or IMF have</w:t>
      </w:r>
      <w:r w:rsidR="00E45F47" w:rsidRPr="000F2E9A">
        <w:rPr>
          <w:lang w:val="en-GB"/>
        </w:rPr>
        <w:t>,</w:t>
      </w:r>
      <w:r w:rsidR="002275CC" w:rsidRPr="000F2E9A">
        <w:rPr>
          <w:lang w:val="en-GB"/>
        </w:rPr>
        <w:t xml:space="preserve"> </w:t>
      </w:r>
      <w:r w:rsidR="00E45F47" w:rsidRPr="000F2E9A">
        <w:rPr>
          <w:lang w:val="en-GB"/>
        </w:rPr>
        <w:t>in the first instance,</w:t>
      </w:r>
      <w:r w:rsidR="002C21C8" w:rsidRPr="000F2E9A">
        <w:rPr>
          <w:lang w:val="en-GB"/>
        </w:rPr>
        <w:t xml:space="preserve"> to ensure that their policies respect international human rights standards</w:t>
      </w:r>
      <w:r w:rsidR="00502AA1" w:rsidRPr="000F2E9A">
        <w:rPr>
          <w:lang w:val="en-GB"/>
        </w:rPr>
        <w:t>.</w:t>
      </w:r>
      <w:r w:rsidR="002C21C8" w:rsidRPr="000F2E9A">
        <w:rPr>
          <w:lang w:val="en-GB"/>
        </w:rPr>
        <w:t xml:space="preserve"> </w:t>
      </w:r>
      <w:r w:rsidR="00502AA1" w:rsidRPr="000F2E9A">
        <w:rPr>
          <w:lang w:val="en-GB"/>
        </w:rPr>
        <w:t>T</w:t>
      </w:r>
      <w:r w:rsidR="002C21C8" w:rsidRPr="000F2E9A">
        <w:rPr>
          <w:lang w:val="en-GB"/>
        </w:rPr>
        <w:t>he Guiding principles on foreign debt and human rights</w:t>
      </w:r>
      <w:r w:rsidR="00502AA1" w:rsidRPr="000F2E9A">
        <w:rPr>
          <w:lang w:val="en-GB"/>
        </w:rPr>
        <w:t xml:space="preserve"> capture the</w:t>
      </w:r>
      <w:r w:rsidR="00E45F47" w:rsidRPr="000F2E9A">
        <w:rPr>
          <w:lang w:val="en-GB"/>
        </w:rPr>
        <w:t xml:space="preserve"> content of tho</w:t>
      </w:r>
      <w:r w:rsidR="00502AA1" w:rsidRPr="000F2E9A">
        <w:rPr>
          <w:lang w:val="en-GB"/>
        </w:rPr>
        <w:t>se obligations</w:t>
      </w:r>
      <w:r w:rsidR="002C21C8" w:rsidRPr="000F2E9A">
        <w:rPr>
          <w:lang w:val="en-GB"/>
        </w:rPr>
        <w:t>.</w:t>
      </w:r>
    </w:p>
    <w:p w:rsidR="004C2D66" w:rsidRPr="000F2E9A" w:rsidRDefault="005573E4" w:rsidP="005573E4">
      <w:pPr>
        <w:pStyle w:val="SingleTxtG"/>
        <w:rPr>
          <w:lang w:val="en-GB"/>
        </w:rPr>
      </w:pPr>
      <w:r w:rsidRPr="000F2E9A">
        <w:rPr>
          <w:lang w:val="en-GB"/>
        </w:rPr>
        <w:t>20.</w:t>
      </w:r>
      <w:r w:rsidRPr="000F2E9A">
        <w:rPr>
          <w:lang w:val="en-GB"/>
        </w:rPr>
        <w:tab/>
      </w:r>
      <w:r w:rsidR="00016BA0" w:rsidRPr="000F2E9A">
        <w:rPr>
          <w:lang w:val="en-GB"/>
        </w:rPr>
        <w:t>It is recognized that States acting alone</w:t>
      </w:r>
      <w:r w:rsidR="003A1101" w:rsidRPr="000F2E9A">
        <w:rPr>
          <w:lang w:val="en-GB"/>
        </w:rPr>
        <w:t>,</w:t>
      </w:r>
      <w:r w:rsidR="00016BA0" w:rsidRPr="000F2E9A">
        <w:rPr>
          <w:lang w:val="en-GB"/>
        </w:rPr>
        <w:t xml:space="preserve"> jointly with others </w:t>
      </w:r>
      <w:r w:rsidR="003A1101" w:rsidRPr="000F2E9A">
        <w:rPr>
          <w:lang w:val="en-GB"/>
        </w:rPr>
        <w:t xml:space="preserve">or through international organizations </w:t>
      </w:r>
      <w:r w:rsidR="00016BA0" w:rsidRPr="000F2E9A">
        <w:rPr>
          <w:lang w:val="en-GB"/>
        </w:rPr>
        <w:t>have human rights obligations beyond their own borders</w:t>
      </w:r>
      <w:r w:rsidR="00EC6920" w:rsidRPr="000F2E9A">
        <w:rPr>
          <w:lang w:val="en-GB"/>
        </w:rPr>
        <w:t xml:space="preserve">. </w:t>
      </w:r>
      <w:r w:rsidR="001D1894" w:rsidRPr="000F2E9A">
        <w:rPr>
          <w:lang w:val="en-GB"/>
        </w:rPr>
        <w:t>Extra-territorial human rights obligations have been reaffirmed by United Nations treaty bodies in their General Comments and in an increasing number of Concluding Observations</w:t>
      </w:r>
      <w:r w:rsidR="00CA1E46" w:rsidRPr="000F2E9A">
        <w:rPr>
          <w:vertAlign w:val="superscript"/>
          <w:lang w:val="en-GB"/>
        </w:rPr>
        <w:footnoteReference w:id="15"/>
      </w:r>
      <w:r w:rsidR="001D1894" w:rsidRPr="000F2E9A">
        <w:rPr>
          <w:lang w:val="en-GB"/>
        </w:rPr>
        <w:t xml:space="preserve"> and in the Guiding principles on foreign debt and human rights.</w:t>
      </w:r>
    </w:p>
    <w:p w:rsidR="001521D8" w:rsidRPr="000F2E9A" w:rsidRDefault="005573E4" w:rsidP="005573E4">
      <w:pPr>
        <w:pStyle w:val="SingleTxtG"/>
        <w:rPr>
          <w:lang w:val="en-GB"/>
        </w:rPr>
      </w:pPr>
      <w:r w:rsidRPr="000F2E9A">
        <w:rPr>
          <w:lang w:val="en-GB"/>
        </w:rPr>
        <w:t>21.</w:t>
      </w:r>
      <w:r w:rsidRPr="000F2E9A">
        <w:rPr>
          <w:lang w:val="en-GB"/>
        </w:rPr>
        <w:tab/>
      </w:r>
      <w:r w:rsidR="00481903" w:rsidRPr="000F2E9A">
        <w:rPr>
          <w:lang w:val="en-GB"/>
        </w:rPr>
        <w:t>According to the Treaty of the European Union (TEU), t</w:t>
      </w:r>
      <w:r w:rsidR="00E06628" w:rsidRPr="000F2E9A">
        <w:rPr>
          <w:lang w:val="en-GB"/>
        </w:rPr>
        <w:t xml:space="preserve">he European Union and its institutions are committed “to the values of respect for human dignity, freedom, democracy, equality, the rule of law and respect for human rights, including the rights of persons belonging to minorities” (Article 2) and “shall combat social exclusion and discrimination, and shall promote social justice and protection, equality between women and men, solidarity between generations and protection of the rights of the child.” </w:t>
      </w:r>
      <w:proofErr w:type="gramStart"/>
      <w:r w:rsidR="00E06628" w:rsidRPr="000F2E9A">
        <w:rPr>
          <w:lang w:val="en-GB"/>
        </w:rPr>
        <w:t>(Article 3 (3)).</w:t>
      </w:r>
      <w:proofErr w:type="gramEnd"/>
      <w:r w:rsidR="00017C92" w:rsidRPr="000F2E9A">
        <w:rPr>
          <w:lang w:val="en-GB"/>
        </w:rPr>
        <w:t xml:space="preserve"> </w:t>
      </w:r>
      <w:r w:rsidR="002C21C8" w:rsidRPr="000F2E9A">
        <w:rPr>
          <w:lang w:val="en-GB"/>
        </w:rPr>
        <w:t>The i</w:t>
      </w:r>
      <w:r w:rsidR="00A9096B" w:rsidRPr="000F2E9A">
        <w:rPr>
          <w:lang w:val="en-GB"/>
        </w:rPr>
        <w:t xml:space="preserve">nstitutions of the European Union, including the European Commission and the ECB are </w:t>
      </w:r>
      <w:r w:rsidR="00D841B0" w:rsidRPr="000F2E9A">
        <w:rPr>
          <w:lang w:val="en-GB"/>
        </w:rPr>
        <w:t xml:space="preserve">furthermore </w:t>
      </w:r>
      <w:r w:rsidR="00A9096B" w:rsidRPr="000F2E9A">
        <w:rPr>
          <w:lang w:val="en-GB"/>
        </w:rPr>
        <w:t>bound to comply with the requirements of the EU Charter of Fundamental Rights</w:t>
      </w:r>
      <w:r w:rsidR="001B2817" w:rsidRPr="000F2E9A">
        <w:rPr>
          <w:lang w:val="en-GB"/>
        </w:rPr>
        <w:t>, which include</w:t>
      </w:r>
      <w:r w:rsidR="00E8264E" w:rsidRPr="000F2E9A">
        <w:rPr>
          <w:lang w:val="en-GB"/>
        </w:rPr>
        <w:t>s</w:t>
      </w:r>
      <w:r w:rsidR="001B2817" w:rsidRPr="000F2E9A">
        <w:rPr>
          <w:lang w:val="en-GB"/>
        </w:rPr>
        <w:t xml:space="preserve"> </w:t>
      </w:r>
      <w:r w:rsidR="00E8264E" w:rsidRPr="000F2E9A">
        <w:rPr>
          <w:lang w:val="en-GB"/>
        </w:rPr>
        <w:t xml:space="preserve">among others </w:t>
      </w:r>
      <w:r w:rsidR="001B2817" w:rsidRPr="000F2E9A">
        <w:rPr>
          <w:lang w:val="en-GB"/>
        </w:rPr>
        <w:t>the right</w:t>
      </w:r>
      <w:r w:rsidR="0061441B" w:rsidRPr="000F2E9A">
        <w:rPr>
          <w:lang w:val="en-GB"/>
        </w:rPr>
        <w:t>s</w:t>
      </w:r>
      <w:r w:rsidR="001B2817" w:rsidRPr="000F2E9A">
        <w:rPr>
          <w:lang w:val="en-GB"/>
        </w:rPr>
        <w:t xml:space="preserve"> to fair and just working conditions, to social security and social assistance and </w:t>
      </w:r>
      <w:r w:rsidR="00F77AF5" w:rsidRPr="000F2E9A">
        <w:rPr>
          <w:lang w:val="en-GB"/>
        </w:rPr>
        <w:t xml:space="preserve">to </w:t>
      </w:r>
      <w:r w:rsidR="001B2817" w:rsidRPr="000F2E9A">
        <w:rPr>
          <w:lang w:val="en-GB"/>
        </w:rPr>
        <w:t>health care</w:t>
      </w:r>
      <w:r w:rsidR="00F77AF5" w:rsidRPr="000F2E9A">
        <w:rPr>
          <w:lang w:val="en-GB"/>
        </w:rPr>
        <w:t>.</w:t>
      </w:r>
      <w:r w:rsidR="00E06628" w:rsidRPr="000F2E9A">
        <w:rPr>
          <w:vertAlign w:val="superscript"/>
          <w:lang w:val="en-GB"/>
        </w:rPr>
        <w:footnoteReference w:id="16"/>
      </w:r>
    </w:p>
    <w:p w:rsidR="00C63ED3" w:rsidRPr="000F2E9A" w:rsidRDefault="005573E4" w:rsidP="005573E4">
      <w:pPr>
        <w:pStyle w:val="SingleTxtG"/>
        <w:rPr>
          <w:lang w:val="en-GB"/>
        </w:rPr>
      </w:pPr>
      <w:r w:rsidRPr="000F2E9A">
        <w:rPr>
          <w:lang w:val="en-GB"/>
        </w:rPr>
        <w:t>22.</w:t>
      </w:r>
      <w:r w:rsidRPr="000F2E9A">
        <w:rPr>
          <w:lang w:val="en-GB"/>
        </w:rPr>
        <w:tab/>
      </w:r>
      <w:r w:rsidR="007D5343" w:rsidRPr="000F2E9A">
        <w:rPr>
          <w:lang w:val="en-GB"/>
        </w:rPr>
        <w:t>W</w:t>
      </w:r>
      <w:r w:rsidR="00B82416" w:rsidRPr="000F2E9A">
        <w:rPr>
          <w:lang w:val="en-GB"/>
        </w:rPr>
        <w:t>hile it should be noted that w</w:t>
      </w:r>
      <w:r w:rsidR="00E06628" w:rsidRPr="000F2E9A">
        <w:rPr>
          <w:lang w:val="en-GB"/>
        </w:rPr>
        <w:t>ith</w:t>
      </w:r>
      <w:r w:rsidR="005F7E54" w:rsidRPr="000F2E9A">
        <w:rPr>
          <w:lang w:val="en-GB"/>
        </w:rPr>
        <w:t xml:space="preserve"> the exception of the Convention on the Rights of Persons with Disabilities</w:t>
      </w:r>
      <w:r w:rsidR="0056250F" w:rsidRPr="000F2E9A">
        <w:rPr>
          <w:lang w:val="en-GB"/>
        </w:rPr>
        <w:t xml:space="preserve">, </w:t>
      </w:r>
      <w:r w:rsidR="00CF45D1" w:rsidRPr="000F2E9A">
        <w:rPr>
          <w:lang w:val="en-GB"/>
        </w:rPr>
        <w:t xml:space="preserve">the European </w:t>
      </w:r>
      <w:r w:rsidR="00B82416" w:rsidRPr="000F2E9A">
        <w:rPr>
          <w:lang w:val="en-GB"/>
        </w:rPr>
        <w:t xml:space="preserve">Union </w:t>
      </w:r>
      <w:r w:rsidR="0056250F" w:rsidRPr="000F2E9A">
        <w:rPr>
          <w:lang w:val="en-GB"/>
        </w:rPr>
        <w:t>is</w:t>
      </w:r>
      <w:r w:rsidR="00CF45D1" w:rsidRPr="000F2E9A">
        <w:rPr>
          <w:lang w:val="en-GB"/>
        </w:rPr>
        <w:t xml:space="preserve"> </w:t>
      </w:r>
      <w:r w:rsidR="005F7E54" w:rsidRPr="000F2E9A">
        <w:rPr>
          <w:lang w:val="en-GB"/>
        </w:rPr>
        <w:t>not party to international human rights treaties</w:t>
      </w:r>
      <w:r w:rsidR="007D5343" w:rsidRPr="000F2E9A">
        <w:rPr>
          <w:lang w:val="en-GB"/>
        </w:rPr>
        <w:t xml:space="preserve"> of the United Nations</w:t>
      </w:r>
      <w:r w:rsidR="006E5B2E" w:rsidRPr="000F2E9A">
        <w:rPr>
          <w:lang w:val="en-GB"/>
        </w:rPr>
        <w:t>, i</w:t>
      </w:r>
      <w:r w:rsidR="007D5343" w:rsidRPr="000F2E9A">
        <w:rPr>
          <w:lang w:val="en-GB"/>
        </w:rPr>
        <w:t xml:space="preserve">nstitutions of the </w:t>
      </w:r>
      <w:r w:rsidR="0056250F" w:rsidRPr="000F2E9A">
        <w:rPr>
          <w:lang w:val="en-GB"/>
        </w:rPr>
        <w:t xml:space="preserve">European </w:t>
      </w:r>
      <w:r w:rsidR="007D5343" w:rsidRPr="000F2E9A">
        <w:rPr>
          <w:lang w:val="en-GB"/>
        </w:rPr>
        <w:t xml:space="preserve">Union are </w:t>
      </w:r>
      <w:r w:rsidR="00E06628" w:rsidRPr="000F2E9A">
        <w:rPr>
          <w:lang w:val="en-GB"/>
        </w:rPr>
        <w:t>n</w:t>
      </w:r>
      <w:r w:rsidR="00CF45D1" w:rsidRPr="000F2E9A">
        <w:rPr>
          <w:lang w:val="en-GB"/>
        </w:rPr>
        <w:t>everthel</w:t>
      </w:r>
      <w:r w:rsidR="005F7E54" w:rsidRPr="000F2E9A">
        <w:rPr>
          <w:lang w:val="en-GB"/>
        </w:rPr>
        <w:t>ess bound to comply with human rights enumerated in the Universal Declaration o</w:t>
      </w:r>
      <w:r w:rsidR="00C80216" w:rsidRPr="000F2E9A">
        <w:rPr>
          <w:lang w:val="en-GB"/>
        </w:rPr>
        <w:t>f</w:t>
      </w:r>
      <w:r w:rsidR="005F7E54" w:rsidRPr="000F2E9A">
        <w:rPr>
          <w:lang w:val="en-GB"/>
        </w:rPr>
        <w:t xml:space="preserve"> Human Rights or which are </w:t>
      </w:r>
      <w:r w:rsidR="006E5B2E" w:rsidRPr="000F2E9A">
        <w:rPr>
          <w:lang w:val="en-GB"/>
        </w:rPr>
        <w:t xml:space="preserve">part </w:t>
      </w:r>
      <w:r w:rsidR="005F7E54" w:rsidRPr="000F2E9A">
        <w:rPr>
          <w:lang w:val="en-GB"/>
        </w:rPr>
        <w:t>of customary international law or reflect general principles of international law.</w:t>
      </w:r>
    </w:p>
    <w:p w:rsidR="00AD1B4E" w:rsidRPr="000F2E9A" w:rsidRDefault="005573E4" w:rsidP="005573E4">
      <w:pPr>
        <w:pStyle w:val="SingleTxtG"/>
        <w:rPr>
          <w:lang w:val="en-GB"/>
        </w:rPr>
      </w:pPr>
      <w:r w:rsidRPr="000F2E9A">
        <w:rPr>
          <w:lang w:val="en-GB"/>
        </w:rPr>
        <w:t>23.</w:t>
      </w:r>
      <w:r w:rsidRPr="000F2E9A">
        <w:rPr>
          <w:lang w:val="en-GB"/>
        </w:rPr>
        <w:tab/>
      </w:r>
      <w:r w:rsidR="00AD1B4E" w:rsidRPr="000F2E9A">
        <w:rPr>
          <w:lang w:val="en-GB"/>
        </w:rPr>
        <w:t>It is the view of the Independent Expert that the European Commission remains bound by the full extent of European Union laws, the Charter of Fundamental Rights and has to protect and respect human rights enumerated therein also when it acts on the basis of the treaty establishing the European Stability Mechanism (ESM).</w:t>
      </w:r>
      <w:r w:rsidR="00AD1B4E" w:rsidRPr="000F2E9A">
        <w:rPr>
          <w:vertAlign w:val="superscript"/>
          <w:lang w:val="en-GB"/>
        </w:rPr>
        <w:footnoteReference w:id="17"/>
      </w:r>
      <w:r w:rsidR="00017C92" w:rsidRPr="000F2E9A">
        <w:rPr>
          <w:lang w:val="en-GB"/>
        </w:rPr>
        <w:t xml:space="preserve"> </w:t>
      </w:r>
      <w:r w:rsidR="00AD1B4E" w:rsidRPr="000F2E9A">
        <w:rPr>
          <w:lang w:val="en-GB"/>
        </w:rPr>
        <w:t xml:space="preserve">In addition, the ESM itself has to protect and respect the human rights enumerated in the Charter of Fundamental Rights given that, despite having a legal basis separate from the treaties, it constitutes a vehicle for the exercise of public authority in the framework of the Eurozone as referred to in Art. </w:t>
      </w:r>
      <w:proofErr w:type="gramStart"/>
      <w:r w:rsidR="00AD1B4E" w:rsidRPr="000F2E9A">
        <w:rPr>
          <w:lang w:val="en-GB"/>
        </w:rPr>
        <w:t>136 (3) of the Treaty on the Functioning of EU.</w:t>
      </w:r>
      <w:proofErr w:type="gramEnd"/>
      <w:r w:rsidR="00AD1B4E" w:rsidRPr="000F2E9A">
        <w:rPr>
          <w:vertAlign w:val="superscript"/>
          <w:lang w:val="en-GB"/>
        </w:rPr>
        <w:footnoteReference w:id="18"/>
      </w:r>
    </w:p>
    <w:p w:rsidR="007B5842" w:rsidRPr="000F2E9A" w:rsidRDefault="005573E4" w:rsidP="005573E4">
      <w:pPr>
        <w:pStyle w:val="SingleTxtG"/>
        <w:rPr>
          <w:lang w:val="en-GB"/>
        </w:rPr>
      </w:pPr>
      <w:r w:rsidRPr="000F2E9A">
        <w:rPr>
          <w:lang w:val="en-GB"/>
        </w:rPr>
        <w:lastRenderedPageBreak/>
        <w:t>24.</w:t>
      </w:r>
      <w:r w:rsidRPr="000F2E9A">
        <w:rPr>
          <w:lang w:val="en-GB"/>
        </w:rPr>
        <w:tab/>
      </w:r>
      <w:r w:rsidR="00AF68C5" w:rsidRPr="000F2E9A">
        <w:rPr>
          <w:lang w:val="en-GB"/>
        </w:rPr>
        <w:t xml:space="preserve">The Independent Expert welcomes </w:t>
      </w:r>
      <w:r w:rsidR="008A5CBF" w:rsidRPr="000F2E9A">
        <w:rPr>
          <w:lang w:val="en-GB"/>
        </w:rPr>
        <w:t xml:space="preserve">that EU regulation 472/2013 now provides that “budgetary consolidation efforts set out in the macroeconomic adjustment programme shall take into account the need to ensure sufficient means for fundamental policies, such as education and health care” (Article 7 (7) 2), </w:t>
      </w:r>
      <w:r w:rsidR="009A0643" w:rsidRPr="000F2E9A">
        <w:rPr>
          <w:lang w:val="en-GB"/>
        </w:rPr>
        <w:t xml:space="preserve">however </w:t>
      </w:r>
      <w:r w:rsidR="008A5CBF" w:rsidRPr="000F2E9A">
        <w:rPr>
          <w:lang w:val="en-GB"/>
        </w:rPr>
        <w:t xml:space="preserve">it </w:t>
      </w:r>
      <w:r w:rsidR="009A0643" w:rsidRPr="000F2E9A">
        <w:rPr>
          <w:lang w:val="en-GB"/>
        </w:rPr>
        <w:t xml:space="preserve">should be noted that </w:t>
      </w:r>
      <w:r w:rsidR="006766D0" w:rsidRPr="000F2E9A">
        <w:rPr>
          <w:lang w:val="en-GB"/>
        </w:rPr>
        <w:t xml:space="preserve">no </w:t>
      </w:r>
      <w:r w:rsidR="006E5B2E" w:rsidRPr="000F2E9A">
        <w:rPr>
          <w:lang w:val="en-GB"/>
        </w:rPr>
        <w:t xml:space="preserve">explicit </w:t>
      </w:r>
      <w:r w:rsidR="006766D0" w:rsidRPr="000F2E9A">
        <w:rPr>
          <w:lang w:val="en-GB"/>
        </w:rPr>
        <w:t xml:space="preserve">references to economic, social and cultural rights are made in the regulation </w:t>
      </w:r>
      <w:r w:rsidR="008A5CBF" w:rsidRPr="000F2E9A">
        <w:rPr>
          <w:lang w:val="en-GB"/>
        </w:rPr>
        <w:t xml:space="preserve">except </w:t>
      </w:r>
      <w:r w:rsidR="009A0643" w:rsidRPr="000F2E9A">
        <w:rPr>
          <w:lang w:val="en-GB"/>
        </w:rPr>
        <w:t xml:space="preserve">for the need to respect </w:t>
      </w:r>
      <w:r w:rsidR="008A5CBF" w:rsidRPr="000F2E9A">
        <w:rPr>
          <w:lang w:val="en-GB"/>
        </w:rPr>
        <w:t>the right of collective action and bargaining</w:t>
      </w:r>
      <w:r w:rsidR="009A0643" w:rsidRPr="000F2E9A">
        <w:rPr>
          <w:lang w:val="en-GB"/>
        </w:rPr>
        <w:t xml:space="preserve"> </w:t>
      </w:r>
      <w:r w:rsidR="006766D0" w:rsidRPr="000F2E9A">
        <w:rPr>
          <w:lang w:val="en-GB"/>
        </w:rPr>
        <w:t>in the design of an adjustment programme (Article 7 (1))</w:t>
      </w:r>
      <w:r w:rsidR="00747061">
        <w:rPr>
          <w:lang w:val="en-GB"/>
        </w:rPr>
        <w:t>.</w:t>
      </w:r>
    </w:p>
    <w:p w:rsidR="007B5842" w:rsidRPr="000F2E9A" w:rsidRDefault="005573E4" w:rsidP="005573E4">
      <w:pPr>
        <w:pStyle w:val="SingleTxtG"/>
        <w:rPr>
          <w:lang w:val="en-GB"/>
        </w:rPr>
      </w:pPr>
      <w:r w:rsidRPr="000F2E9A">
        <w:rPr>
          <w:lang w:val="en-GB"/>
        </w:rPr>
        <w:t>25.</w:t>
      </w:r>
      <w:r w:rsidRPr="000F2E9A">
        <w:rPr>
          <w:lang w:val="en-GB"/>
        </w:rPr>
        <w:tab/>
      </w:r>
      <w:r w:rsidR="00B411D2" w:rsidRPr="000F2E9A">
        <w:rPr>
          <w:lang w:val="en-GB"/>
        </w:rPr>
        <w:t>T</w:t>
      </w:r>
      <w:r w:rsidR="008B337F" w:rsidRPr="000F2E9A">
        <w:rPr>
          <w:lang w:val="en-GB"/>
        </w:rPr>
        <w:t>he IMF is bound to act in compliance with general international law, including human rights. As a specialised agency of the UN, the IMF is as well bound to act in accordance with the principles of the Charter of the United Nations, which refers to the realization of human rights and fundamental freedoms as one of the purposes of the Organization, to be achieved in particular through international e</w:t>
      </w:r>
      <w:r w:rsidR="00747061">
        <w:rPr>
          <w:lang w:val="en-GB"/>
        </w:rPr>
        <w:t>conomic and social cooperation.</w:t>
      </w:r>
    </w:p>
    <w:p w:rsidR="003A1101" w:rsidRPr="000F2E9A" w:rsidRDefault="00747061" w:rsidP="00747061">
      <w:pPr>
        <w:pStyle w:val="H1G"/>
        <w:rPr>
          <w:lang w:val="en-GB" w:eastAsia="en-GB"/>
        </w:rPr>
      </w:pPr>
      <w:r>
        <w:rPr>
          <w:lang w:val="en-GB" w:eastAsia="en-GB"/>
        </w:rPr>
        <w:tab/>
        <w:t>C.</w:t>
      </w:r>
      <w:r>
        <w:rPr>
          <w:lang w:val="en-GB" w:eastAsia="en-GB"/>
        </w:rPr>
        <w:tab/>
      </w:r>
      <w:r w:rsidR="009803A2" w:rsidRPr="000F2E9A">
        <w:rPr>
          <w:lang w:val="en-GB" w:eastAsia="en-GB"/>
        </w:rPr>
        <w:t>Procedur</w:t>
      </w:r>
      <w:r w:rsidR="008A2534" w:rsidRPr="000F2E9A">
        <w:rPr>
          <w:lang w:val="en-GB" w:eastAsia="en-GB"/>
        </w:rPr>
        <w:t>al</w:t>
      </w:r>
      <w:r w:rsidR="004649DB" w:rsidRPr="000F2E9A">
        <w:rPr>
          <w:lang w:val="en-GB" w:eastAsia="en-GB"/>
        </w:rPr>
        <w:t xml:space="preserve"> obligations</w:t>
      </w:r>
      <w:r w:rsidR="008A2534" w:rsidRPr="000F2E9A">
        <w:rPr>
          <w:lang w:val="en-GB" w:eastAsia="en-GB"/>
        </w:rPr>
        <w:t xml:space="preserve">: </w:t>
      </w:r>
      <w:r w:rsidR="00223E75" w:rsidRPr="000F2E9A">
        <w:rPr>
          <w:lang w:val="en-GB" w:eastAsia="en-GB"/>
        </w:rPr>
        <w:t>h</w:t>
      </w:r>
      <w:r w:rsidR="008A2534" w:rsidRPr="000F2E9A">
        <w:rPr>
          <w:lang w:val="en-GB" w:eastAsia="en-GB"/>
        </w:rPr>
        <w:t xml:space="preserve">uman </w:t>
      </w:r>
      <w:r w:rsidR="00223E75" w:rsidRPr="000F2E9A">
        <w:rPr>
          <w:lang w:val="en-GB" w:eastAsia="en-GB"/>
        </w:rPr>
        <w:t>r</w:t>
      </w:r>
      <w:r w:rsidR="008A2534" w:rsidRPr="000F2E9A">
        <w:rPr>
          <w:lang w:val="en-GB" w:eastAsia="en-GB"/>
        </w:rPr>
        <w:t xml:space="preserve">ights </w:t>
      </w:r>
      <w:r w:rsidR="00223E75" w:rsidRPr="000F2E9A">
        <w:rPr>
          <w:lang w:val="en-GB" w:eastAsia="en-GB"/>
        </w:rPr>
        <w:t>i</w:t>
      </w:r>
      <w:r w:rsidR="008A2534" w:rsidRPr="000F2E9A">
        <w:rPr>
          <w:lang w:val="en-GB" w:eastAsia="en-GB"/>
        </w:rPr>
        <w:t xml:space="preserve">mpact </w:t>
      </w:r>
      <w:r w:rsidR="00223E75" w:rsidRPr="000F2E9A">
        <w:rPr>
          <w:lang w:val="en-GB" w:eastAsia="en-GB"/>
        </w:rPr>
        <w:t>a</w:t>
      </w:r>
      <w:r w:rsidR="008A2534" w:rsidRPr="000F2E9A">
        <w:rPr>
          <w:lang w:val="en-GB" w:eastAsia="en-GB"/>
        </w:rPr>
        <w:t>ssessments</w:t>
      </w:r>
      <w:r w:rsidR="004649DB" w:rsidRPr="000F2E9A">
        <w:rPr>
          <w:lang w:val="en-GB" w:eastAsia="en-GB"/>
        </w:rPr>
        <w:t xml:space="preserve"> and right to participation.</w:t>
      </w:r>
    </w:p>
    <w:p w:rsidR="00976EDC" w:rsidRPr="000F2E9A" w:rsidRDefault="005573E4" w:rsidP="005573E4">
      <w:pPr>
        <w:pStyle w:val="SingleTxtG"/>
        <w:rPr>
          <w:lang w:val="en-GB"/>
        </w:rPr>
      </w:pPr>
      <w:r w:rsidRPr="000F2E9A">
        <w:rPr>
          <w:lang w:val="en-GB"/>
        </w:rPr>
        <w:t>26.</w:t>
      </w:r>
      <w:r w:rsidRPr="000F2E9A">
        <w:rPr>
          <w:lang w:val="en-GB"/>
        </w:rPr>
        <w:tab/>
      </w:r>
      <w:r w:rsidR="003A1101" w:rsidRPr="000F2E9A">
        <w:rPr>
          <w:lang w:val="en-GB"/>
        </w:rPr>
        <w:t xml:space="preserve">According to the Guiding principles on foreign debt and human rights, </w:t>
      </w:r>
      <w:r w:rsidR="008A2534" w:rsidRPr="000F2E9A">
        <w:rPr>
          <w:lang w:val="en-GB"/>
        </w:rPr>
        <w:t>“Lenders should not finance activities or projects that violate, or would foreseeably violate human rights in the Borrower States. To avoid this eventuality, it is incumbent upon lenders intending to finance specific activities or projects in Borrower States to conduct a credible Human Rights Impact Assessment (HRIA) as a prerequisite to providing a new loan.”</w:t>
      </w:r>
      <w:r w:rsidR="008A2534" w:rsidRPr="000F2E9A">
        <w:rPr>
          <w:vertAlign w:val="superscript"/>
          <w:lang w:val="en-GB"/>
        </w:rPr>
        <w:footnoteReference w:id="19"/>
      </w:r>
      <w:r w:rsidR="008A2534" w:rsidRPr="000F2E9A">
        <w:rPr>
          <w:lang w:val="en-GB"/>
        </w:rPr>
        <w:t xml:space="preserve"> Similarly the Guiding principles on Extreme Poverty and Human Rights require carry</w:t>
      </w:r>
      <w:r w:rsidR="00223E75" w:rsidRPr="000F2E9A">
        <w:rPr>
          <w:lang w:val="en-GB"/>
        </w:rPr>
        <w:t>ing</w:t>
      </w:r>
      <w:r w:rsidR="008A2534" w:rsidRPr="000F2E9A">
        <w:rPr>
          <w:lang w:val="en-GB"/>
        </w:rPr>
        <w:t xml:space="preserve"> out a human rights impact assessment</w:t>
      </w:r>
      <w:r w:rsidR="00484F86" w:rsidRPr="000F2E9A">
        <w:rPr>
          <w:lang w:val="en-GB"/>
        </w:rPr>
        <w:t>s</w:t>
      </w:r>
      <w:r w:rsidR="00F26A27" w:rsidRPr="000F2E9A">
        <w:rPr>
          <w:lang w:val="en-GB"/>
        </w:rPr>
        <w:t xml:space="preserve"> and t</w:t>
      </w:r>
      <w:r w:rsidR="00C6770F" w:rsidRPr="000F2E9A">
        <w:rPr>
          <w:lang w:val="en-GB"/>
        </w:rPr>
        <w:t xml:space="preserve">his obligation pertains as well to States implementing policy measures </w:t>
      </w:r>
      <w:r w:rsidR="00692843" w:rsidRPr="000F2E9A">
        <w:rPr>
          <w:lang w:val="en-GB"/>
        </w:rPr>
        <w:t xml:space="preserve">within their jurisdiction </w:t>
      </w:r>
      <w:r w:rsidR="00C6770F" w:rsidRPr="000F2E9A">
        <w:rPr>
          <w:lang w:val="en-GB"/>
        </w:rPr>
        <w:t>based on international agreements.</w:t>
      </w:r>
      <w:r w:rsidR="00F26A27" w:rsidRPr="000F2E9A">
        <w:rPr>
          <w:vertAlign w:val="superscript"/>
          <w:lang w:val="en-GB"/>
        </w:rPr>
        <w:footnoteReference w:id="20"/>
      </w:r>
    </w:p>
    <w:p w:rsidR="00AC65F2" w:rsidRPr="000F2E9A" w:rsidRDefault="005573E4" w:rsidP="005573E4">
      <w:pPr>
        <w:pStyle w:val="SingleTxtG"/>
        <w:rPr>
          <w:lang w:val="en-GB"/>
        </w:rPr>
      </w:pPr>
      <w:r w:rsidRPr="000F2E9A">
        <w:rPr>
          <w:lang w:val="en-GB"/>
        </w:rPr>
        <w:t>27.</w:t>
      </w:r>
      <w:r w:rsidRPr="000F2E9A">
        <w:rPr>
          <w:lang w:val="en-GB"/>
        </w:rPr>
        <w:tab/>
      </w:r>
      <w:r w:rsidR="004939EF" w:rsidRPr="000F2E9A">
        <w:rPr>
          <w:lang w:val="en-GB"/>
        </w:rPr>
        <w:t>In the context of the adjustment programmes implemented in Greece, t</w:t>
      </w:r>
      <w:r w:rsidR="00976EDC" w:rsidRPr="000F2E9A">
        <w:rPr>
          <w:lang w:val="en-GB"/>
        </w:rPr>
        <w:t xml:space="preserve">he </w:t>
      </w:r>
      <w:r w:rsidR="00484F86" w:rsidRPr="000F2E9A">
        <w:rPr>
          <w:lang w:val="en-GB"/>
        </w:rPr>
        <w:t>Committee on the Elimination of Discrimination Against Women</w:t>
      </w:r>
      <w:r w:rsidR="00976EDC" w:rsidRPr="000F2E9A">
        <w:rPr>
          <w:lang w:val="en-GB"/>
        </w:rPr>
        <w:t>, the Committee on the Rights of the Child</w:t>
      </w:r>
      <w:r w:rsidR="004939EF" w:rsidRPr="000F2E9A">
        <w:rPr>
          <w:lang w:val="en-GB"/>
        </w:rPr>
        <w:t>,</w:t>
      </w:r>
      <w:r w:rsidR="00976EDC" w:rsidRPr="000F2E9A">
        <w:rPr>
          <w:lang w:val="en-GB"/>
        </w:rPr>
        <w:t xml:space="preserve"> </w:t>
      </w:r>
      <w:r w:rsidR="00A24389" w:rsidRPr="000F2E9A">
        <w:rPr>
          <w:lang w:val="en-GB"/>
        </w:rPr>
        <w:t xml:space="preserve">the Committee on Economic, Social and Cultural Rights, </w:t>
      </w:r>
      <w:r w:rsidR="00692843" w:rsidRPr="000F2E9A">
        <w:rPr>
          <w:lang w:val="en-GB"/>
        </w:rPr>
        <w:t xml:space="preserve">the </w:t>
      </w:r>
      <w:r w:rsidR="00217456" w:rsidRPr="000F2E9A">
        <w:rPr>
          <w:lang w:val="en-GB"/>
        </w:rPr>
        <w:t xml:space="preserve">Independent Expert </w:t>
      </w:r>
      <w:r w:rsidR="00AC65F2" w:rsidRPr="000F2E9A">
        <w:rPr>
          <w:lang w:val="en-GB"/>
        </w:rPr>
        <w:t xml:space="preserve">on foreign debt </w:t>
      </w:r>
      <w:r w:rsidR="004939EF" w:rsidRPr="000F2E9A">
        <w:rPr>
          <w:lang w:val="en-GB"/>
        </w:rPr>
        <w:t xml:space="preserve">and the Greek National Commission </w:t>
      </w:r>
      <w:r w:rsidR="00F54B8E" w:rsidRPr="000F2E9A">
        <w:rPr>
          <w:lang w:val="en-GB"/>
        </w:rPr>
        <w:t>for</w:t>
      </w:r>
      <w:r w:rsidR="00017C92" w:rsidRPr="000F2E9A">
        <w:rPr>
          <w:lang w:val="en-GB"/>
        </w:rPr>
        <w:t xml:space="preserve"> </w:t>
      </w:r>
      <w:r w:rsidR="004939EF" w:rsidRPr="000F2E9A">
        <w:rPr>
          <w:lang w:val="en-GB"/>
        </w:rPr>
        <w:t xml:space="preserve">Human Rights </w:t>
      </w:r>
      <w:r w:rsidR="00217456" w:rsidRPr="000F2E9A">
        <w:rPr>
          <w:lang w:val="en-GB"/>
        </w:rPr>
        <w:t>had recommended to the Government of Greece and to the lending institutions to conduct human rights impact assessment</w:t>
      </w:r>
      <w:r w:rsidR="004939EF" w:rsidRPr="000F2E9A">
        <w:rPr>
          <w:lang w:val="en-GB"/>
        </w:rPr>
        <w:t>s</w:t>
      </w:r>
      <w:r w:rsidR="0035269C" w:rsidRPr="000F2E9A">
        <w:rPr>
          <w:lang w:val="en-GB"/>
        </w:rPr>
        <w:t>.</w:t>
      </w:r>
      <w:r w:rsidR="00484F86" w:rsidRPr="000F2E9A">
        <w:rPr>
          <w:vertAlign w:val="superscript"/>
          <w:lang w:val="en-GB"/>
        </w:rPr>
        <w:footnoteReference w:id="21"/>
      </w:r>
    </w:p>
    <w:p w:rsidR="00137647" w:rsidRPr="000F2E9A" w:rsidRDefault="005573E4" w:rsidP="005573E4">
      <w:pPr>
        <w:pStyle w:val="SingleTxtG"/>
        <w:rPr>
          <w:lang w:val="en-GB"/>
        </w:rPr>
      </w:pPr>
      <w:r w:rsidRPr="000F2E9A">
        <w:rPr>
          <w:lang w:val="en-GB"/>
        </w:rPr>
        <w:t>28.</w:t>
      </w:r>
      <w:r w:rsidRPr="000F2E9A">
        <w:rPr>
          <w:lang w:val="en-GB"/>
        </w:rPr>
        <w:tab/>
      </w:r>
      <w:r w:rsidR="0035269C" w:rsidRPr="000F2E9A">
        <w:rPr>
          <w:lang w:val="en-GB"/>
        </w:rPr>
        <w:t>It should be noted that t</w:t>
      </w:r>
      <w:r w:rsidR="00F612CA" w:rsidRPr="000F2E9A">
        <w:rPr>
          <w:lang w:val="en-GB"/>
        </w:rPr>
        <w:t xml:space="preserve">he European Commission has as well set out guidelines to undertake </w:t>
      </w:r>
      <w:r w:rsidR="00A52A78" w:rsidRPr="000F2E9A">
        <w:rPr>
          <w:lang w:val="en-GB"/>
        </w:rPr>
        <w:t>syste</w:t>
      </w:r>
      <w:r w:rsidR="001F2861" w:rsidRPr="000F2E9A">
        <w:rPr>
          <w:lang w:val="en-GB"/>
        </w:rPr>
        <w:t xml:space="preserve">matic </w:t>
      </w:r>
      <w:r w:rsidR="00A52A78" w:rsidRPr="000F2E9A">
        <w:rPr>
          <w:lang w:val="en-GB"/>
        </w:rPr>
        <w:t xml:space="preserve">human rights or social impact </w:t>
      </w:r>
      <w:r w:rsidR="00F612CA" w:rsidRPr="000F2E9A">
        <w:rPr>
          <w:lang w:val="en-GB"/>
        </w:rPr>
        <w:t>assessments of its own legislative proposals</w:t>
      </w:r>
      <w:r w:rsidR="00A52A78" w:rsidRPr="000F2E9A">
        <w:rPr>
          <w:lang w:val="en-GB"/>
        </w:rPr>
        <w:t xml:space="preserve"> </w:t>
      </w:r>
      <w:r w:rsidR="00217456" w:rsidRPr="000F2E9A">
        <w:rPr>
          <w:lang w:val="en-GB"/>
        </w:rPr>
        <w:t xml:space="preserve">and developed methodologies for conducting </w:t>
      </w:r>
      <w:r w:rsidR="0035269C" w:rsidRPr="000F2E9A">
        <w:rPr>
          <w:lang w:val="en-GB"/>
        </w:rPr>
        <w:t xml:space="preserve">human rights impact assessments </w:t>
      </w:r>
      <w:r w:rsidR="00217456" w:rsidRPr="000F2E9A">
        <w:rPr>
          <w:lang w:val="en-GB"/>
        </w:rPr>
        <w:t xml:space="preserve">of </w:t>
      </w:r>
      <w:r w:rsidR="00B96E6F" w:rsidRPr="000F2E9A">
        <w:rPr>
          <w:lang w:val="en-GB"/>
        </w:rPr>
        <w:t>its</w:t>
      </w:r>
      <w:r w:rsidR="001F2861" w:rsidRPr="000F2E9A">
        <w:rPr>
          <w:lang w:val="en-GB"/>
        </w:rPr>
        <w:t xml:space="preserve"> external policies</w:t>
      </w:r>
      <w:r w:rsidR="00885C74" w:rsidRPr="000F2E9A">
        <w:rPr>
          <w:rStyle w:val="FootnoteReference"/>
          <w:lang w:val="en-GB"/>
        </w:rPr>
        <w:footnoteReference w:id="22"/>
      </w:r>
      <w:r w:rsidR="00885C74" w:rsidRPr="000F2E9A">
        <w:rPr>
          <w:lang w:val="en-GB"/>
        </w:rPr>
        <w:t xml:space="preserve">, but failed to undertake </w:t>
      </w:r>
      <w:r w:rsidR="00565507" w:rsidRPr="000F2E9A">
        <w:rPr>
          <w:lang w:val="en-GB"/>
        </w:rPr>
        <w:t xml:space="preserve">so far </w:t>
      </w:r>
      <w:r w:rsidR="00885C74" w:rsidRPr="000F2E9A">
        <w:rPr>
          <w:lang w:val="en-GB"/>
        </w:rPr>
        <w:t>any</w:t>
      </w:r>
      <w:r w:rsidR="00CD0E5E" w:rsidRPr="000F2E9A">
        <w:rPr>
          <w:lang w:val="en-GB"/>
        </w:rPr>
        <w:t xml:space="preserve"> meaningful human rights’</w:t>
      </w:r>
      <w:r w:rsidR="00885C74" w:rsidRPr="000F2E9A">
        <w:rPr>
          <w:lang w:val="en-GB"/>
        </w:rPr>
        <w:t xml:space="preserve"> impact assessments when designing the adjustment programme</w:t>
      </w:r>
      <w:r w:rsidR="00890CB8" w:rsidRPr="000F2E9A">
        <w:rPr>
          <w:lang w:val="en-GB"/>
        </w:rPr>
        <w:t>s</w:t>
      </w:r>
      <w:r w:rsidR="001F2861" w:rsidRPr="000F2E9A">
        <w:rPr>
          <w:lang w:val="en-GB"/>
        </w:rPr>
        <w:t>.</w:t>
      </w:r>
    </w:p>
    <w:p w:rsidR="00511BB7" w:rsidRPr="000F2E9A" w:rsidRDefault="005573E4" w:rsidP="005573E4">
      <w:pPr>
        <w:pStyle w:val="SingleTxtG"/>
        <w:rPr>
          <w:lang w:val="en-GB"/>
        </w:rPr>
      </w:pPr>
      <w:r w:rsidRPr="000F2E9A">
        <w:rPr>
          <w:lang w:val="en-GB"/>
        </w:rPr>
        <w:lastRenderedPageBreak/>
        <w:t>29.</w:t>
      </w:r>
      <w:r w:rsidRPr="000F2E9A">
        <w:rPr>
          <w:lang w:val="en-GB"/>
        </w:rPr>
        <w:tab/>
      </w:r>
      <w:r w:rsidR="009803A2" w:rsidRPr="000F2E9A">
        <w:rPr>
          <w:lang w:val="en-GB"/>
        </w:rPr>
        <w:t>The a</w:t>
      </w:r>
      <w:r w:rsidR="00F342A2" w:rsidRPr="000F2E9A">
        <w:rPr>
          <w:lang w:val="en-GB"/>
        </w:rPr>
        <w:t xml:space="preserve">djustment </w:t>
      </w:r>
      <w:r w:rsidR="002A18B7" w:rsidRPr="000F2E9A">
        <w:rPr>
          <w:lang w:val="en-GB"/>
        </w:rPr>
        <w:t xml:space="preserve">programmes within Greece have </w:t>
      </w:r>
      <w:r w:rsidR="009803A2" w:rsidRPr="000F2E9A">
        <w:rPr>
          <w:lang w:val="en-GB"/>
        </w:rPr>
        <w:t xml:space="preserve">also </w:t>
      </w:r>
      <w:r w:rsidR="00F342A2" w:rsidRPr="000F2E9A">
        <w:rPr>
          <w:lang w:val="en-GB"/>
        </w:rPr>
        <w:t>raise</w:t>
      </w:r>
      <w:r w:rsidR="002A18B7" w:rsidRPr="000F2E9A">
        <w:rPr>
          <w:lang w:val="en-GB"/>
        </w:rPr>
        <w:t>d</w:t>
      </w:r>
      <w:r w:rsidR="00F342A2" w:rsidRPr="000F2E9A">
        <w:rPr>
          <w:lang w:val="en-GB"/>
        </w:rPr>
        <w:t xml:space="preserve"> issues relating to human rights principles of </w:t>
      </w:r>
      <w:r w:rsidR="00907E7F" w:rsidRPr="000F2E9A">
        <w:rPr>
          <w:lang w:val="en-GB"/>
        </w:rPr>
        <w:t>transparency</w:t>
      </w:r>
      <w:r w:rsidR="00B32C84" w:rsidRPr="000F2E9A">
        <w:rPr>
          <w:lang w:val="en-GB"/>
        </w:rPr>
        <w:t>,</w:t>
      </w:r>
      <w:r w:rsidR="00907E7F" w:rsidRPr="000F2E9A">
        <w:rPr>
          <w:lang w:val="en-GB"/>
        </w:rPr>
        <w:t xml:space="preserve"> </w:t>
      </w:r>
      <w:r w:rsidR="00F342A2" w:rsidRPr="000F2E9A">
        <w:rPr>
          <w:lang w:val="en-GB"/>
        </w:rPr>
        <w:t>participation</w:t>
      </w:r>
      <w:r w:rsidR="00907E7F" w:rsidRPr="000F2E9A">
        <w:rPr>
          <w:lang w:val="en-GB"/>
        </w:rPr>
        <w:t xml:space="preserve"> and</w:t>
      </w:r>
      <w:r w:rsidR="00F342A2" w:rsidRPr="000F2E9A">
        <w:rPr>
          <w:lang w:val="en-GB"/>
        </w:rPr>
        <w:t xml:space="preserve"> accountability</w:t>
      </w:r>
      <w:r w:rsidR="002A18B7" w:rsidRPr="000F2E9A">
        <w:rPr>
          <w:lang w:val="en-GB"/>
        </w:rPr>
        <w:t>.</w:t>
      </w:r>
      <w:r w:rsidR="00137647" w:rsidRPr="000F2E9A">
        <w:rPr>
          <w:vertAlign w:val="superscript"/>
          <w:lang w:val="en-GB"/>
        </w:rPr>
        <w:footnoteReference w:id="23"/>
      </w:r>
      <w:r w:rsidR="00137647" w:rsidRPr="000F2E9A">
        <w:rPr>
          <w:lang w:val="en-GB"/>
        </w:rPr>
        <w:t xml:space="preserve"> For example the European Parliament denounced in a resolution the lack of transparency in the </w:t>
      </w:r>
      <w:proofErr w:type="spellStart"/>
      <w:r w:rsidR="00137647" w:rsidRPr="000F2E9A">
        <w:rPr>
          <w:lang w:val="en-GB"/>
        </w:rPr>
        <w:t>MoU</w:t>
      </w:r>
      <w:proofErr w:type="spellEnd"/>
      <w:r w:rsidR="00137647" w:rsidRPr="000F2E9A">
        <w:rPr>
          <w:lang w:val="en-GB"/>
        </w:rPr>
        <w:t xml:space="preserve"> negotiations; noting the need to evaluate whether formal documents were clearly communicated to and considered in due time by the national parliaments and the European Parliament and adequately discussed with the social partners. The Parliament </w:t>
      </w:r>
      <w:r w:rsidR="004649DB" w:rsidRPr="000F2E9A">
        <w:rPr>
          <w:lang w:val="en-GB"/>
        </w:rPr>
        <w:t xml:space="preserve">also regretted the </w:t>
      </w:r>
      <w:r w:rsidR="00355D53" w:rsidRPr="000F2E9A">
        <w:rPr>
          <w:lang w:val="en-GB"/>
        </w:rPr>
        <w:t>general “weak democratic accountability” of the Troika, noting that when consulted, national parliaments were faced with the choice between eventually defaulting on their debt or accepting Memoranda of Understanding negotiated between the Troika and national authorities, leaving th</w:t>
      </w:r>
      <w:r w:rsidR="004649DB" w:rsidRPr="000F2E9A">
        <w:rPr>
          <w:lang w:val="en-GB"/>
        </w:rPr>
        <w:t>u</w:t>
      </w:r>
      <w:r w:rsidR="00355D53" w:rsidRPr="000F2E9A">
        <w:rPr>
          <w:lang w:val="en-GB"/>
        </w:rPr>
        <w:t xml:space="preserve">s only limited scope </w:t>
      </w:r>
      <w:r w:rsidR="004649DB" w:rsidRPr="000F2E9A">
        <w:rPr>
          <w:lang w:val="en-GB"/>
        </w:rPr>
        <w:t>for public scrutiny</w:t>
      </w:r>
      <w:r w:rsidR="004939EF" w:rsidRPr="000F2E9A">
        <w:rPr>
          <w:lang w:val="en-GB"/>
        </w:rPr>
        <w:t>,</w:t>
      </w:r>
      <w:r w:rsidR="004649DB" w:rsidRPr="000F2E9A">
        <w:rPr>
          <w:lang w:val="en-GB"/>
        </w:rPr>
        <w:t xml:space="preserve"> changing or improving adjustment programmes.</w:t>
      </w:r>
      <w:r w:rsidR="00166964" w:rsidRPr="000F2E9A">
        <w:rPr>
          <w:vertAlign w:val="superscript"/>
          <w:lang w:val="en-GB"/>
        </w:rPr>
        <w:footnoteReference w:id="24"/>
      </w:r>
    </w:p>
    <w:p w:rsidR="007B5842" w:rsidRPr="000F2E9A" w:rsidRDefault="005573E4" w:rsidP="005573E4">
      <w:pPr>
        <w:pStyle w:val="SingleTxtG"/>
        <w:rPr>
          <w:lang w:val="en-GB"/>
        </w:rPr>
      </w:pPr>
      <w:r w:rsidRPr="000F2E9A">
        <w:rPr>
          <w:lang w:val="en-GB"/>
        </w:rPr>
        <w:t>30.</w:t>
      </w:r>
      <w:r w:rsidRPr="000F2E9A">
        <w:rPr>
          <w:lang w:val="en-GB"/>
        </w:rPr>
        <w:tab/>
      </w:r>
      <w:r w:rsidR="006766D0" w:rsidRPr="000F2E9A">
        <w:rPr>
          <w:lang w:val="en-GB"/>
        </w:rPr>
        <w:t xml:space="preserve">It should be noted that </w:t>
      </w:r>
      <w:r w:rsidR="004649DB" w:rsidRPr="000F2E9A">
        <w:rPr>
          <w:lang w:val="en-GB"/>
        </w:rPr>
        <w:t xml:space="preserve">EU regulation 472/2013 </w:t>
      </w:r>
      <w:r w:rsidR="006766D0" w:rsidRPr="000F2E9A">
        <w:rPr>
          <w:lang w:val="en-GB"/>
        </w:rPr>
        <w:t>contains now an article requiring Member State</w:t>
      </w:r>
      <w:r w:rsidR="009803A2" w:rsidRPr="000F2E9A">
        <w:rPr>
          <w:lang w:val="en-GB"/>
        </w:rPr>
        <w:t>s</w:t>
      </w:r>
      <w:r w:rsidR="006766D0" w:rsidRPr="000F2E9A">
        <w:rPr>
          <w:lang w:val="en-GB"/>
        </w:rPr>
        <w:t xml:space="preserve"> </w:t>
      </w:r>
      <w:r w:rsidR="009803A2" w:rsidRPr="000F2E9A">
        <w:rPr>
          <w:lang w:val="en-GB"/>
        </w:rPr>
        <w:t xml:space="preserve">undergoing adjustment </w:t>
      </w:r>
      <w:r w:rsidR="006766D0" w:rsidRPr="000F2E9A">
        <w:rPr>
          <w:lang w:val="en-GB"/>
        </w:rPr>
        <w:t xml:space="preserve">to “seek the views of social partners as well of relevant civil society organizations when preparing its draft macroeconomic adjustment programmes, with a view to contributing to building consensus over its content” and recommends that “Member States shall involve </w:t>
      </w:r>
      <w:r w:rsidR="008A5CBF" w:rsidRPr="000F2E9A">
        <w:rPr>
          <w:lang w:val="en-GB"/>
        </w:rPr>
        <w:t>society organisations in the preparation, implementation, monitoring and evaluation of financial assistance programmes, in accordance with national rules and practice</w:t>
      </w:r>
      <w:r w:rsidR="009803A2" w:rsidRPr="000F2E9A">
        <w:rPr>
          <w:lang w:val="en-GB"/>
        </w:rPr>
        <w:t>.</w:t>
      </w:r>
      <w:r w:rsidR="008A5CBF" w:rsidRPr="000F2E9A">
        <w:rPr>
          <w:lang w:val="en-GB"/>
        </w:rPr>
        <w:t>”</w:t>
      </w:r>
      <w:r w:rsidR="001A09DB" w:rsidRPr="000F2E9A">
        <w:rPr>
          <w:lang w:val="en-GB"/>
        </w:rPr>
        <w:t xml:space="preserve"> </w:t>
      </w:r>
      <w:r w:rsidR="00AB7FC3" w:rsidRPr="000F2E9A">
        <w:rPr>
          <w:lang w:val="en-GB"/>
        </w:rPr>
        <w:t xml:space="preserve">While the </w:t>
      </w:r>
      <w:r w:rsidR="0098690A" w:rsidRPr="000F2E9A">
        <w:rPr>
          <w:lang w:val="en-GB"/>
        </w:rPr>
        <w:t>July 2015 referendum and the snap elections of September 2015</w:t>
      </w:r>
      <w:r w:rsidR="001A09DB" w:rsidRPr="000F2E9A">
        <w:rPr>
          <w:lang w:val="en-GB"/>
        </w:rPr>
        <w:t xml:space="preserve"> </w:t>
      </w:r>
      <w:r w:rsidR="00AB7FC3" w:rsidRPr="000F2E9A">
        <w:rPr>
          <w:lang w:val="en-GB"/>
        </w:rPr>
        <w:t xml:space="preserve">have </w:t>
      </w:r>
      <w:r w:rsidR="00F612CA" w:rsidRPr="000F2E9A">
        <w:rPr>
          <w:lang w:val="en-GB"/>
        </w:rPr>
        <w:t xml:space="preserve">to a certain extent </w:t>
      </w:r>
      <w:r w:rsidR="001A09DB" w:rsidRPr="000F2E9A">
        <w:rPr>
          <w:lang w:val="en-GB"/>
        </w:rPr>
        <w:t>allow</w:t>
      </w:r>
      <w:r w:rsidR="00AB7FC3" w:rsidRPr="000F2E9A">
        <w:rPr>
          <w:lang w:val="en-GB"/>
        </w:rPr>
        <w:t>ed</w:t>
      </w:r>
      <w:r w:rsidR="001A09DB" w:rsidRPr="000F2E9A">
        <w:rPr>
          <w:lang w:val="en-GB"/>
        </w:rPr>
        <w:t xml:space="preserve"> the general public </w:t>
      </w:r>
      <w:r w:rsidR="00AB7FC3" w:rsidRPr="000F2E9A">
        <w:rPr>
          <w:lang w:val="en-GB"/>
        </w:rPr>
        <w:t xml:space="preserve">in Greece </w:t>
      </w:r>
      <w:r w:rsidR="001A09DB" w:rsidRPr="000F2E9A">
        <w:rPr>
          <w:lang w:val="en-GB"/>
        </w:rPr>
        <w:t>to express their views</w:t>
      </w:r>
      <w:r w:rsidR="0098690A" w:rsidRPr="000F2E9A">
        <w:rPr>
          <w:lang w:val="en-GB"/>
        </w:rPr>
        <w:t xml:space="preserve">, </w:t>
      </w:r>
      <w:r w:rsidR="00643A61" w:rsidRPr="000F2E9A">
        <w:rPr>
          <w:lang w:val="en-GB"/>
        </w:rPr>
        <w:t xml:space="preserve">concerns </w:t>
      </w:r>
      <w:r w:rsidR="008B6A49" w:rsidRPr="000F2E9A">
        <w:rPr>
          <w:lang w:val="en-GB"/>
        </w:rPr>
        <w:t xml:space="preserve">about </w:t>
      </w:r>
      <w:r w:rsidR="00F612CA" w:rsidRPr="000F2E9A">
        <w:rPr>
          <w:lang w:val="en-GB"/>
        </w:rPr>
        <w:t>t</w:t>
      </w:r>
      <w:r w:rsidR="00AB7FC3" w:rsidRPr="000F2E9A">
        <w:rPr>
          <w:lang w:val="en-GB"/>
        </w:rPr>
        <w:t xml:space="preserve">he </w:t>
      </w:r>
      <w:r w:rsidR="008B6A49" w:rsidRPr="000F2E9A">
        <w:rPr>
          <w:lang w:val="en-GB"/>
        </w:rPr>
        <w:t xml:space="preserve">lack of </w:t>
      </w:r>
      <w:r w:rsidR="00BE0BA1" w:rsidRPr="000F2E9A">
        <w:rPr>
          <w:lang w:val="en-GB"/>
        </w:rPr>
        <w:t xml:space="preserve">adequate consultation </w:t>
      </w:r>
      <w:r w:rsidR="008B6A49" w:rsidRPr="000F2E9A">
        <w:rPr>
          <w:lang w:val="en-GB"/>
        </w:rPr>
        <w:t xml:space="preserve">and participation </w:t>
      </w:r>
      <w:r w:rsidR="00F260CB" w:rsidRPr="000F2E9A">
        <w:rPr>
          <w:lang w:val="en-GB"/>
        </w:rPr>
        <w:t>have remained</w:t>
      </w:r>
      <w:r w:rsidR="008B6A49" w:rsidRPr="000F2E9A">
        <w:rPr>
          <w:lang w:val="en-GB"/>
        </w:rPr>
        <w:t xml:space="preserve">, as negotiations between the institutions and Government continue to take </w:t>
      </w:r>
      <w:r w:rsidR="00CF354A" w:rsidRPr="000F2E9A">
        <w:rPr>
          <w:lang w:val="en-GB"/>
        </w:rPr>
        <w:t xml:space="preserve">largely </w:t>
      </w:r>
      <w:r w:rsidR="008B6A49" w:rsidRPr="000F2E9A">
        <w:rPr>
          <w:lang w:val="en-GB"/>
        </w:rPr>
        <w:t>place behind closed doors</w:t>
      </w:r>
      <w:r w:rsidR="00AB7FC3" w:rsidRPr="000F2E9A">
        <w:rPr>
          <w:lang w:val="en-GB"/>
        </w:rPr>
        <w:t xml:space="preserve">. There is </w:t>
      </w:r>
      <w:r w:rsidR="00BE0BA1" w:rsidRPr="000F2E9A">
        <w:rPr>
          <w:lang w:val="en-GB"/>
        </w:rPr>
        <w:t xml:space="preserve">also </w:t>
      </w:r>
      <w:r w:rsidR="00AB7FC3" w:rsidRPr="000F2E9A">
        <w:rPr>
          <w:lang w:val="en-GB"/>
        </w:rPr>
        <w:t xml:space="preserve">a </w:t>
      </w:r>
      <w:r w:rsidR="0098690A" w:rsidRPr="000F2E9A">
        <w:rPr>
          <w:lang w:val="en-GB"/>
        </w:rPr>
        <w:t xml:space="preserve">widely felt lack of ownership in the economic reforms implemented </w:t>
      </w:r>
      <w:r w:rsidR="00F260CB" w:rsidRPr="000F2E9A">
        <w:rPr>
          <w:lang w:val="en-GB"/>
        </w:rPr>
        <w:t xml:space="preserve">in </w:t>
      </w:r>
      <w:r w:rsidR="0098690A" w:rsidRPr="000F2E9A">
        <w:rPr>
          <w:lang w:val="en-GB"/>
        </w:rPr>
        <w:t>Greece since 2010</w:t>
      </w:r>
      <w:r w:rsidR="00C23794" w:rsidRPr="000F2E9A">
        <w:rPr>
          <w:lang w:val="en-GB"/>
        </w:rPr>
        <w:t xml:space="preserve"> as </w:t>
      </w:r>
      <w:r w:rsidR="008B6A49" w:rsidRPr="000F2E9A">
        <w:rPr>
          <w:lang w:val="en-GB"/>
        </w:rPr>
        <w:t>they are widely regarded as imposed from outside</w:t>
      </w:r>
      <w:r w:rsidR="00CF354A" w:rsidRPr="000F2E9A">
        <w:rPr>
          <w:lang w:val="en-GB"/>
        </w:rPr>
        <w:t>.</w:t>
      </w:r>
    </w:p>
    <w:p w:rsidR="00D87944" w:rsidRPr="000F2E9A" w:rsidRDefault="00CD048E" w:rsidP="007C1ACB">
      <w:pPr>
        <w:pStyle w:val="HChG"/>
        <w:rPr>
          <w:lang w:val="en-GB"/>
        </w:rPr>
      </w:pPr>
      <w:r w:rsidRPr="000F2E9A">
        <w:rPr>
          <w:lang w:val="en-GB"/>
        </w:rPr>
        <w:tab/>
        <w:t>I</w:t>
      </w:r>
      <w:r w:rsidR="00C05EE1" w:rsidRPr="000F2E9A">
        <w:rPr>
          <w:lang w:val="en-GB"/>
        </w:rPr>
        <w:t>V</w:t>
      </w:r>
      <w:r w:rsidRPr="000F2E9A">
        <w:rPr>
          <w:lang w:val="en-GB"/>
        </w:rPr>
        <w:t>.</w:t>
      </w:r>
      <w:r w:rsidRPr="000F2E9A">
        <w:rPr>
          <w:lang w:val="en-GB"/>
        </w:rPr>
        <w:tab/>
      </w:r>
      <w:r w:rsidR="000C2D28" w:rsidRPr="007C1ACB">
        <w:t>S</w:t>
      </w:r>
      <w:r w:rsidR="00FE47EF" w:rsidRPr="007C1ACB">
        <w:t>tructural</w:t>
      </w:r>
      <w:r w:rsidR="00D87944" w:rsidRPr="000F2E9A">
        <w:rPr>
          <w:lang w:val="en-GB"/>
        </w:rPr>
        <w:t xml:space="preserve"> adjustment </w:t>
      </w:r>
      <w:r w:rsidR="000C2D28" w:rsidRPr="000F2E9A">
        <w:rPr>
          <w:lang w:val="en-GB"/>
        </w:rPr>
        <w:t xml:space="preserve">in </w:t>
      </w:r>
      <w:r w:rsidR="00C05EE1" w:rsidRPr="000F2E9A">
        <w:rPr>
          <w:lang w:val="en-GB"/>
        </w:rPr>
        <w:t>motion</w:t>
      </w:r>
    </w:p>
    <w:p w:rsidR="00107C58" w:rsidRPr="000F2E9A" w:rsidRDefault="007C1ACB" w:rsidP="007C1ACB">
      <w:pPr>
        <w:pStyle w:val="H1G"/>
        <w:rPr>
          <w:lang w:val="en-GB"/>
        </w:rPr>
      </w:pPr>
      <w:r w:rsidRPr="00C553BB">
        <w:rPr>
          <w:lang w:val="en-GB"/>
        </w:rPr>
        <w:tab/>
      </w:r>
      <w:r w:rsidRPr="007C1ACB">
        <w:rPr>
          <w:lang w:val="en-GB"/>
        </w:rPr>
        <w:t>A.</w:t>
      </w:r>
      <w:r w:rsidRPr="007C1ACB">
        <w:rPr>
          <w:lang w:val="en-GB"/>
        </w:rPr>
        <w:tab/>
      </w:r>
      <w:r w:rsidR="000C2D28" w:rsidRPr="007C1ACB">
        <w:t>Excessive</w:t>
      </w:r>
      <w:r>
        <w:rPr>
          <w:lang w:val="en-GB" w:eastAsia="en-GB"/>
        </w:rPr>
        <w:t xml:space="preserve"> austerity</w:t>
      </w:r>
    </w:p>
    <w:p w:rsidR="00A65794" w:rsidRPr="000F2E9A" w:rsidRDefault="005573E4" w:rsidP="005573E4">
      <w:pPr>
        <w:pStyle w:val="SingleTxtG"/>
        <w:rPr>
          <w:lang w:val="en-GB"/>
        </w:rPr>
      </w:pPr>
      <w:r w:rsidRPr="000F2E9A">
        <w:rPr>
          <w:lang w:val="en-GB"/>
        </w:rPr>
        <w:t>31.</w:t>
      </w:r>
      <w:r w:rsidRPr="000F2E9A">
        <w:rPr>
          <w:lang w:val="en-GB"/>
        </w:rPr>
        <w:tab/>
      </w:r>
      <w:r w:rsidR="00CA1D66" w:rsidRPr="000F2E9A">
        <w:rPr>
          <w:lang w:val="en-GB"/>
        </w:rPr>
        <w:t>By slashing public expenditure and internal demand, t</w:t>
      </w:r>
      <w:r w:rsidR="00A65794" w:rsidRPr="000F2E9A">
        <w:rPr>
          <w:lang w:val="en-GB"/>
        </w:rPr>
        <w:t>he first and second structural adjustment programmes</w:t>
      </w:r>
      <w:r w:rsidR="003A250B" w:rsidRPr="000F2E9A">
        <w:rPr>
          <w:lang w:val="en-GB"/>
        </w:rPr>
        <w:t xml:space="preserve"> deepened </w:t>
      </w:r>
      <w:r w:rsidR="00842359" w:rsidRPr="000F2E9A">
        <w:rPr>
          <w:lang w:val="en-GB"/>
        </w:rPr>
        <w:t xml:space="preserve">the Greek economic </w:t>
      </w:r>
      <w:r w:rsidR="003A250B" w:rsidRPr="000F2E9A">
        <w:rPr>
          <w:lang w:val="en-GB"/>
        </w:rPr>
        <w:t xml:space="preserve">crisis </w:t>
      </w:r>
      <w:r w:rsidR="00842359" w:rsidRPr="000F2E9A">
        <w:rPr>
          <w:lang w:val="en-GB"/>
        </w:rPr>
        <w:t>significantly</w:t>
      </w:r>
      <w:r w:rsidR="00CA1D66" w:rsidRPr="000F2E9A">
        <w:rPr>
          <w:lang w:val="en-GB"/>
        </w:rPr>
        <w:t xml:space="preserve">. The </w:t>
      </w:r>
      <w:r w:rsidR="00842359" w:rsidRPr="000F2E9A">
        <w:rPr>
          <w:lang w:val="en-GB"/>
        </w:rPr>
        <w:t xml:space="preserve">GDP </w:t>
      </w:r>
      <w:r w:rsidR="00CA1D66" w:rsidRPr="000F2E9A">
        <w:rPr>
          <w:lang w:val="en-GB"/>
        </w:rPr>
        <w:t>dropped by about 25</w:t>
      </w:r>
      <w:r w:rsidR="00396425">
        <w:rPr>
          <w:lang w:val="en-GB"/>
        </w:rPr>
        <w:t>%</w:t>
      </w:r>
      <w:r w:rsidR="00CA1D66" w:rsidRPr="000F2E9A">
        <w:rPr>
          <w:lang w:val="en-GB"/>
        </w:rPr>
        <w:t xml:space="preserve"> during</w:t>
      </w:r>
      <w:r w:rsidR="00DB07C7" w:rsidRPr="000F2E9A">
        <w:rPr>
          <w:lang w:val="en-GB"/>
        </w:rPr>
        <w:t xml:space="preserve"> 2008-2013</w:t>
      </w:r>
      <w:r w:rsidR="00CA1D66" w:rsidRPr="000F2E9A">
        <w:rPr>
          <w:lang w:val="en-GB"/>
        </w:rPr>
        <w:t xml:space="preserve"> and g</w:t>
      </w:r>
      <w:r w:rsidR="00DB07C7" w:rsidRPr="000F2E9A">
        <w:rPr>
          <w:lang w:val="en-GB"/>
        </w:rPr>
        <w:t xml:space="preserve">rowth rates </w:t>
      </w:r>
      <w:r w:rsidR="0017022B" w:rsidRPr="000F2E9A">
        <w:rPr>
          <w:lang w:val="en-GB"/>
        </w:rPr>
        <w:t xml:space="preserve">have </w:t>
      </w:r>
      <w:r w:rsidR="004831CA" w:rsidRPr="000F2E9A">
        <w:rPr>
          <w:lang w:val="en-GB"/>
        </w:rPr>
        <w:t xml:space="preserve">remained </w:t>
      </w:r>
      <w:r w:rsidR="00DB07C7" w:rsidRPr="000F2E9A">
        <w:rPr>
          <w:lang w:val="en-GB"/>
        </w:rPr>
        <w:t xml:space="preserve">around </w:t>
      </w:r>
      <w:r w:rsidR="00396425">
        <w:rPr>
          <w:lang w:val="en-GB"/>
        </w:rPr>
        <w:t>0%</w:t>
      </w:r>
      <w:r w:rsidR="00DB07C7" w:rsidRPr="000F2E9A">
        <w:rPr>
          <w:lang w:val="en-GB"/>
        </w:rPr>
        <w:t xml:space="preserve"> since 2014. According to latest economic forecasts </w:t>
      </w:r>
      <w:r w:rsidR="004F0509" w:rsidRPr="000F2E9A">
        <w:rPr>
          <w:lang w:val="en-GB"/>
        </w:rPr>
        <w:t>a further drop of the GDP of 0.7</w:t>
      </w:r>
      <w:r w:rsidR="00396425">
        <w:rPr>
          <w:lang w:val="en-GB"/>
        </w:rPr>
        <w:t>%</w:t>
      </w:r>
      <w:r w:rsidR="004F0509" w:rsidRPr="000F2E9A">
        <w:rPr>
          <w:lang w:val="en-GB"/>
        </w:rPr>
        <w:t xml:space="preserve"> is expected in 2016 </w:t>
      </w:r>
      <w:r w:rsidR="004831CA" w:rsidRPr="000F2E9A">
        <w:rPr>
          <w:lang w:val="en-GB"/>
        </w:rPr>
        <w:t xml:space="preserve">followed by a </w:t>
      </w:r>
      <w:r w:rsidR="00DB07C7" w:rsidRPr="000F2E9A">
        <w:rPr>
          <w:lang w:val="en-GB"/>
        </w:rPr>
        <w:t xml:space="preserve">modest growth </w:t>
      </w:r>
      <w:r w:rsidR="000C48D3" w:rsidRPr="000F2E9A">
        <w:rPr>
          <w:lang w:val="en-GB"/>
        </w:rPr>
        <w:t>of 2.7</w:t>
      </w:r>
      <w:r w:rsidR="00396425">
        <w:rPr>
          <w:lang w:val="en-GB"/>
        </w:rPr>
        <w:t>%</w:t>
      </w:r>
      <w:r w:rsidR="000C48D3" w:rsidRPr="000F2E9A">
        <w:rPr>
          <w:lang w:val="en-GB"/>
        </w:rPr>
        <w:t xml:space="preserve"> </w:t>
      </w:r>
      <w:r w:rsidR="00DB07C7" w:rsidRPr="000F2E9A">
        <w:rPr>
          <w:lang w:val="en-GB"/>
        </w:rPr>
        <w:t>in 2017</w:t>
      </w:r>
      <w:r w:rsidR="004831CA" w:rsidRPr="000F2E9A">
        <w:rPr>
          <w:lang w:val="en-GB"/>
        </w:rPr>
        <w:t xml:space="preserve">, based on the assumption that adjustment measures finally </w:t>
      </w:r>
      <w:r w:rsidR="0017022B" w:rsidRPr="000F2E9A">
        <w:rPr>
          <w:lang w:val="en-GB"/>
        </w:rPr>
        <w:t xml:space="preserve">result in </w:t>
      </w:r>
      <w:r w:rsidR="00CA1D66" w:rsidRPr="000F2E9A">
        <w:rPr>
          <w:lang w:val="en-GB"/>
        </w:rPr>
        <w:t xml:space="preserve">and </w:t>
      </w:r>
      <w:r w:rsidR="004831CA" w:rsidRPr="000F2E9A">
        <w:rPr>
          <w:lang w:val="en-GB"/>
        </w:rPr>
        <w:t xml:space="preserve">desired </w:t>
      </w:r>
      <w:r w:rsidR="00CA1D66" w:rsidRPr="000F2E9A">
        <w:rPr>
          <w:lang w:val="en-GB"/>
        </w:rPr>
        <w:t xml:space="preserve">positive </w:t>
      </w:r>
      <w:r w:rsidR="004831CA" w:rsidRPr="000F2E9A">
        <w:rPr>
          <w:lang w:val="en-GB"/>
        </w:rPr>
        <w:t>economic impact</w:t>
      </w:r>
      <w:r w:rsidR="00DB07C7" w:rsidRPr="000F2E9A">
        <w:rPr>
          <w:lang w:val="en-GB"/>
        </w:rPr>
        <w:t>.</w:t>
      </w:r>
      <w:r w:rsidR="00017C92" w:rsidRPr="000F2E9A">
        <w:rPr>
          <w:lang w:val="en-GB"/>
        </w:rPr>
        <w:t xml:space="preserve"> </w:t>
      </w:r>
    </w:p>
    <w:p w:rsidR="00791CEB" w:rsidRPr="000F2E9A" w:rsidRDefault="005573E4" w:rsidP="005573E4">
      <w:pPr>
        <w:pStyle w:val="SingleTxtG"/>
        <w:rPr>
          <w:lang w:val="en-GB"/>
        </w:rPr>
      </w:pPr>
      <w:r w:rsidRPr="000F2E9A">
        <w:rPr>
          <w:lang w:val="en-GB"/>
        </w:rPr>
        <w:t>32.</w:t>
      </w:r>
      <w:r w:rsidRPr="000F2E9A">
        <w:rPr>
          <w:lang w:val="en-GB"/>
        </w:rPr>
        <w:tab/>
      </w:r>
      <w:r w:rsidR="00033F43" w:rsidRPr="000F2E9A">
        <w:rPr>
          <w:lang w:val="en-GB"/>
        </w:rPr>
        <w:t>The austerity packages of 2010 and 2012</w:t>
      </w:r>
      <w:r w:rsidR="008307BF" w:rsidRPr="000F2E9A">
        <w:rPr>
          <w:lang w:val="en-GB"/>
        </w:rPr>
        <w:t xml:space="preserve"> </w:t>
      </w:r>
      <w:r w:rsidR="003A244B" w:rsidRPr="000F2E9A">
        <w:rPr>
          <w:lang w:val="en-GB"/>
        </w:rPr>
        <w:t xml:space="preserve">saw </w:t>
      </w:r>
      <w:r w:rsidR="008307BF" w:rsidRPr="000F2E9A">
        <w:rPr>
          <w:lang w:val="en-GB"/>
        </w:rPr>
        <w:t xml:space="preserve">unprecedented cuts in Government expenditure. </w:t>
      </w:r>
      <w:r w:rsidR="008E7A98" w:rsidRPr="000F2E9A">
        <w:rPr>
          <w:lang w:val="en-GB"/>
        </w:rPr>
        <w:t xml:space="preserve">According to latest available Eurostat data, </w:t>
      </w:r>
      <w:r w:rsidR="001576BE" w:rsidRPr="000F2E9A">
        <w:rPr>
          <w:lang w:val="en-GB"/>
        </w:rPr>
        <w:t>G</w:t>
      </w:r>
      <w:r w:rsidR="008307BF" w:rsidRPr="000F2E9A">
        <w:rPr>
          <w:lang w:val="en-GB"/>
        </w:rPr>
        <w:t xml:space="preserve">eneral Government </w:t>
      </w:r>
      <w:r w:rsidR="000D0FA4" w:rsidRPr="000F2E9A">
        <w:rPr>
          <w:lang w:val="en-GB"/>
        </w:rPr>
        <w:t xml:space="preserve">expenditure </w:t>
      </w:r>
      <w:r w:rsidR="008307BF" w:rsidRPr="000F2E9A">
        <w:rPr>
          <w:lang w:val="en-GB"/>
        </w:rPr>
        <w:t xml:space="preserve">was reduced from </w:t>
      </w:r>
      <w:r w:rsidR="008E7A98" w:rsidRPr="000F2E9A">
        <w:rPr>
          <w:lang w:val="en-GB"/>
        </w:rPr>
        <w:t>128 billion EUR to 108 billion EUR during 2009-2013, reflecting cuts of 15.7</w:t>
      </w:r>
      <w:r w:rsidR="00396425">
        <w:rPr>
          <w:lang w:val="en-GB"/>
        </w:rPr>
        <w:t>%</w:t>
      </w:r>
      <w:r w:rsidR="00CF4684" w:rsidRPr="000F2E9A">
        <w:rPr>
          <w:lang w:val="en-GB"/>
        </w:rPr>
        <w:t xml:space="preserve"> </w:t>
      </w:r>
      <w:r w:rsidR="001576BE" w:rsidRPr="000F2E9A">
        <w:rPr>
          <w:lang w:val="en-GB"/>
        </w:rPr>
        <w:t xml:space="preserve">significantly </w:t>
      </w:r>
      <w:r w:rsidR="008E7A98" w:rsidRPr="000F2E9A">
        <w:rPr>
          <w:lang w:val="en-GB"/>
        </w:rPr>
        <w:t>outnumber</w:t>
      </w:r>
      <w:r w:rsidR="00CF4684" w:rsidRPr="000F2E9A">
        <w:rPr>
          <w:lang w:val="en-GB"/>
        </w:rPr>
        <w:t>ing</w:t>
      </w:r>
      <w:r w:rsidR="008E7A98" w:rsidRPr="000F2E9A">
        <w:rPr>
          <w:lang w:val="en-GB"/>
        </w:rPr>
        <w:t xml:space="preserve"> reductions </w:t>
      </w:r>
      <w:r w:rsidR="005F5146" w:rsidRPr="000F2E9A">
        <w:rPr>
          <w:lang w:val="en-GB"/>
        </w:rPr>
        <w:t xml:space="preserve">in </w:t>
      </w:r>
      <w:r w:rsidR="008E7A98" w:rsidRPr="000F2E9A">
        <w:rPr>
          <w:lang w:val="en-GB"/>
        </w:rPr>
        <w:t>other Eurozone countries undergoing adjustment, such as Ireland (-11.3</w:t>
      </w:r>
      <w:r w:rsidR="00396425">
        <w:rPr>
          <w:lang w:val="en-GB"/>
        </w:rPr>
        <w:t>%</w:t>
      </w:r>
      <w:r w:rsidR="008E7A98" w:rsidRPr="000F2E9A">
        <w:rPr>
          <w:lang w:val="en-GB"/>
        </w:rPr>
        <w:t>), Spain (-5.9</w:t>
      </w:r>
      <w:r w:rsidR="00396425">
        <w:rPr>
          <w:lang w:val="en-GB"/>
        </w:rPr>
        <w:t>%</w:t>
      </w:r>
      <w:r w:rsidR="000D0FA4" w:rsidRPr="000F2E9A">
        <w:rPr>
          <w:lang w:val="en-GB"/>
        </w:rPr>
        <w:t>) or P</w:t>
      </w:r>
      <w:r w:rsidR="008E7A98" w:rsidRPr="000F2E9A">
        <w:rPr>
          <w:lang w:val="en-GB"/>
        </w:rPr>
        <w:t>o</w:t>
      </w:r>
      <w:r w:rsidR="000D0FA4" w:rsidRPr="000F2E9A">
        <w:rPr>
          <w:lang w:val="en-GB"/>
        </w:rPr>
        <w:t>r</w:t>
      </w:r>
      <w:r w:rsidR="008E7A98" w:rsidRPr="000F2E9A">
        <w:rPr>
          <w:lang w:val="en-GB"/>
        </w:rPr>
        <w:t>tugal (</w:t>
      </w:r>
      <w:r w:rsidR="000D0FA4" w:rsidRPr="000F2E9A">
        <w:rPr>
          <w:lang w:val="en-GB"/>
        </w:rPr>
        <w:t>-2.7</w:t>
      </w:r>
      <w:r w:rsidR="00396425">
        <w:rPr>
          <w:lang w:val="en-GB"/>
        </w:rPr>
        <w:t>%</w:t>
      </w:r>
      <w:r w:rsidR="000D0FA4" w:rsidRPr="000F2E9A">
        <w:rPr>
          <w:lang w:val="en-GB"/>
        </w:rPr>
        <w:t>)</w:t>
      </w:r>
      <w:r w:rsidR="008E7A98" w:rsidRPr="000F2E9A">
        <w:rPr>
          <w:lang w:val="en-GB"/>
        </w:rPr>
        <w:t>.</w:t>
      </w:r>
    </w:p>
    <w:p w:rsidR="00E27A1B" w:rsidRPr="000F2E9A" w:rsidRDefault="005573E4" w:rsidP="005573E4">
      <w:pPr>
        <w:pStyle w:val="SingleTxtG"/>
        <w:rPr>
          <w:lang w:val="en-GB"/>
        </w:rPr>
      </w:pPr>
      <w:r w:rsidRPr="000F2E9A">
        <w:rPr>
          <w:lang w:val="en-GB"/>
        </w:rPr>
        <w:t>33.</w:t>
      </w:r>
      <w:r w:rsidRPr="000F2E9A">
        <w:rPr>
          <w:lang w:val="en-GB"/>
        </w:rPr>
        <w:tab/>
      </w:r>
      <w:r w:rsidR="00CF4684" w:rsidRPr="000F2E9A">
        <w:rPr>
          <w:lang w:val="en-GB"/>
        </w:rPr>
        <w:t>The Indep</w:t>
      </w:r>
      <w:r w:rsidR="006B2EF7" w:rsidRPr="000F2E9A">
        <w:rPr>
          <w:lang w:val="en-GB"/>
        </w:rPr>
        <w:t>e</w:t>
      </w:r>
      <w:r w:rsidR="00CF4684" w:rsidRPr="000F2E9A">
        <w:rPr>
          <w:lang w:val="en-GB"/>
        </w:rPr>
        <w:t xml:space="preserve">ndent Expert is </w:t>
      </w:r>
      <w:r w:rsidR="003962A6" w:rsidRPr="000F2E9A">
        <w:rPr>
          <w:lang w:val="en-GB"/>
        </w:rPr>
        <w:t xml:space="preserve">in </w:t>
      </w:r>
      <w:r w:rsidR="006B2EF7" w:rsidRPr="000F2E9A">
        <w:rPr>
          <w:lang w:val="en-GB"/>
        </w:rPr>
        <w:t xml:space="preserve">particular </w:t>
      </w:r>
      <w:r w:rsidR="00CF4684" w:rsidRPr="000F2E9A">
        <w:rPr>
          <w:lang w:val="en-GB"/>
        </w:rPr>
        <w:t>concerned that s</w:t>
      </w:r>
      <w:r w:rsidR="008E7A98" w:rsidRPr="000F2E9A">
        <w:rPr>
          <w:lang w:val="en-GB"/>
        </w:rPr>
        <w:t xml:space="preserve">ocial </w:t>
      </w:r>
      <w:r w:rsidR="00FB415E" w:rsidRPr="000F2E9A">
        <w:rPr>
          <w:lang w:val="en-GB"/>
        </w:rPr>
        <w:t xml:space="preserve">protection </w:t>
      </w:r>
      <w:r w:rsidR="000D0FA4" w:rsidRPr="000F2E9A">
        <w:rPr>
          <w:lang w:val="en-GB"/>
        </w:rPr>
        <w:t xml:space="preserve">expenditure was </w:t>
      </w:r>
      <w:r w:rsidR="00367796" w:rsidRPr="000F2E9A">
        <w:rPr>
          <w:lang w:val="en-GB"/>
        </w:rPr>
        <w:t xml:space="preserve">not </w:t>
      </w:r>
      <w:r w:rsidR="008B42FE" w:rsidRPr="000F2E9A">
        <w:rPr>
          <w:lang w:val="en-GB"/>
        </w:rPr>
        <w:t xml:space="preserve">sheltered </w:t>
      </w:r>
      <w:r w:rsidR="004C494A" w:rsidRPr="000F2E9A">
        <w:rPr>
          <w:lang w:val="en-GB"/>
        </w:rPr>
        <w:t xml:space="preserve">in any form </w:t>
      </w:r>
      <w:r w:rsidR="006B2EF7" w:rsidRPr="000F2E9A">
        <w:rPr>
          <w:lang w:val="en-GB"/>
        </w:rPr>
        <w:t xml:space="preserve">when </w:t>
      </w:r>
      <w:r w:rsidR="00E27A1B" w:rsidRPr="000F2E9A">
        <w:rPr>
          <w:lang w:val="en-GB"/>
        </w:rPr>
        <w:t xml:space="preserve">it </w:t>
      </w:r>
      <w:r w:rsidR="00DF3833" w:rsidRPr="000F2E9A">
        <w:rPr>
          <w:lang w:val="en-GB"/>
        </w:rPr>
        <w:t xml:space="preserve">was </w:t>
      </w:r>
      <w:r w:rsidR="008E7A98" w:rsidRPr="000F2E9A">
        <w:rPr>
          <w:lang w:val="en-GB"/>
        </w:rPr>
        <w:t xml:space="preserve">most needed </w:t>
      </w:r>
      <w:r w:rsidR="008B42FE" w:rsidRPr="000F2E9A">
        <w:rPr>
          <w:lang w:val="en-GB"/>
        </w:rPr>
        <w:t>for the</w:t>
      </w:r>
      <w:r w:rsidR="008E7A98" w:rsidRPr="000F2E9A">
        <w:rPr>
          <w:lang w:val="en-GB"/>
        </w:rPr>
        <w:t xml:space="preserve"> protect</w:t>
      </w:r>
      <w:r w:rsidR="008B42FE" w:rsidRPr="000F2E9A">
        <w:rPr>
          <w:lang w:val="en-GB"/>
        </w:rPr>
        <w:t>ion</w:t>
      </w:r>
      <w:r w:rsidR="008E7A98" w:rsidRPr="000F2E9A">
        <w:rPr>
          <w:lang w:val="en-GB"/>
        </w:rPr>
        <w:t xml:space="preserve"> </w:t>
      </w:r>
      <w:r w:rsidR="008B42FE" w:rsidRPr="000F2E9A">
        <w:rPr>
          <w:lang w:val="en-GB"/>
        </w:rPr>
        <w:t xml:space="preserve">of </w:t>
      </w:r>
      <w:r w:rsidR="000D0FA4" w:rsidRPr="000F2E9A">
        <w:rPr>
          <w:lang w:val="en-GB"/>
        </w:rPr>
        <w:t>a</w:t>
      </w:r>
      <w:r w:rsidR="004C494A" w:rsidRPr="000F2E9A">
        <w:rPr>
          <w:lang w:val="en-GB"/>
        </w:rPr>
        <w:t xml:space="preserve">n </w:t>
      </w:r>
      <w:r w:rsidR="000D0FA4" w:rsidRPr="000F2E9A">
        <w:rPr>
          <w:lang w:val="en-GB"/>
        </w:rPr>
        <w:t xml:space="preserve">increasing number of </w:t>
      </w:r>
      <w:r w:rsidR="008E7A98" w:rsidRPr="000F2E9A">
        <w:rPr>
          <w:lang w:val="en-GB"/>
        </w:rPr>
        <w:t>persons in situation of vulnerability. Instead</w:t>
      </w:r>
      <w:r w:rsidR="00CF4684" w:rsidRPr="000F2E9A">
        <w:rPr>
          <w:lang w:val="en-GB"/>
        </w:rPr>
        <w:t>,</w:t>
      </w:r>
      <w:r w:rsidR="008E7A98" w:rsidRPr="000F2E9A">
        <w:rPr>
          <w:lang w:val="en-GB"/>
        </w:rPr>
        <w:t xml:space="preserve"> </w:t>
      </w:r>
      <w:r w:rsidR="000D0FA4" w:rsidRPr="000F2E9A">
        <w:rPr>
          <w:lang w:val="en-GB"/>
        </w:rPr>
        <w:t xml:space="preserve">social </w:t>
      </w:r>
      <w:r w:rsidR="00FB415E" w:rsidRPr="000F2E9A">
        <w:rPr>
          <w:lang w:val="en-GB"/>
        </w:rPr>
        <w:t xml:space="preserve">protection </w:t>
      </w:r>
      <w:r w:rsidR="000D0FA4" w:rsidRPr="000F2E9A">
        <w:rPr>
          <w:lang w:val="en-GB"/>
        </w:rPr>
        <w:t xml:space="preserve">expenditure witnessed </w:t>
      </w:r>
      <w:r w:rsidR="0068161B" w:rsidRPr="000F2E9A">
        <w:rPr>
          <w:lang w:val="en-GB"/>
        </w:rPr>
        <w:t>cut</w:t>
      </w:r>
      <w:r w:rsidR="003A51F0" w:rsidRPr="000F2E9A">
        <w:rPr>
          <w:lang w:val="en-GB"/>
        </w:rPr>
        <w:t>s</w:t>
      </w:r>
      <w:r w:rsidR="0068161B" w:rsidRPr="000F2E9A">
        <w:rPr>
          <w:lang w:val="en-GB"/>
        </w:rPr>
        <w:t xml:space="preserve"> </w:t>
      </w:r>
      <w:r w:rsidR="00CA1D66" w:rsidRPr="000F2E9A">
        <w:rPr>
          <w:lang w:val="en-GB"/>
        </w:rPr>
        <w:t xml:space="preserve">by </w:t>
      </w:r>
      <w:r w:rsidR="000D0FA4" w:rsidRPr="000F2E9A">
        <w:rPr>
          <w:lang w:val="en-GB"/>
        </w:rPr>
        <w:t>21.3</w:t>
      </w:r>
      <w:r w:rsidR="00396425">
        <w:rPr>
          <w:lang w:val="en-GB"/>
        </w:rPr>
        <w:t>%</w:t>
      </w:r>
      <w:r w:rsidR="001576BE" w:rsidRPr="000F2E9A">
        <w:rPr>
          <w:lang w:val="en-GB"/>
        </w:rPr>
        <w:t xml:space="preserve"> </w:t>
      </w:r>
      <w:r w:rsidR="00CA1D66" w:rsidRPr="000F2E9A">
        <w:rPr>
          <w:lang w:val="en-GB"/>
        </w:rPr>
        <w:t xml:space="preserve">during 2009-2013 </w:t>
      </w:r>
      <w:r w:rsidR="001576BE" w:rsidRPr="000F2E9A">
        <w:rPr>
          <w:lang w:val="en-GB"/>
        </w:rPr>
        <w:t>(see Table 1)</w:t>
      </w:r>
      <w:r w:rsidR="00DF3833" w:rsidRPr="000F2E9A">
        <w:rPr>
          <w:lang w:val="en-GB"/>
        </w:rPr>
        <w:t>.</w:t>
      </w:r>
      <w:r w:rsidR="005F5146" w:rsidRPr="000F2E9A">
        <w:rPr>
          <w:lang w:val="en-GB"/>
        </w:rPr>
        <w:t xml:space="preserve"> </w:t>
      </w:r>
      <w:r w:rsidR="00CF4684" w:rsidRPr="000F2E9A">
        <w:rPr>
          <w:lang w:val="en-GB"/>
        </w:rPr>
        <w:t xml:space="preserve">This contrasts </w:t>
      </w:r>
      <w:r w:rsidR="005F5146" w:rsidRPr="000F2E9A">
        <w:rPr>
          <w:lang w:val="en-GB"/>
        </w:rPr>
        <w:t xml:space="preserve">the overall </w:t>
      </w:r>
      <w:r w:rsidR="00CF4684" w:rsidRPr="000F2E9A">
        <w:rPr>
          <w:lang w:val="en-GB"/>
        </w:rPr>
        <w:t xml:space="preserve">trend in </w:t>
      </w:r>
      <w:r w:rsidR="00B32C84" w:rsidRPr="000F2E9A">
        <w:rPr>
          <w:lang w:val="en-GB"/>
        </w:rPr>
        <w:t xml:space="preserve">the </w:t>
      </w:r>
      <w:r w:rsidR="00CF4684" w:rsidRPr="000F2E9A">
        <w:rPr>
          <w:lang w:val="en-GB"/>
        </w:rPr>
        <w:t>Eurozone</w:t>
      </w:r>
      <w:r w:rsidR="003A51F0" w:rsidRPr="000F2E9A">
        <w:rPr>
          <w:lang w:val="en-GB"/>
        </w:rPr>
        <w:t>,</w:t>
      </w:r>
      <w:r w:rsidR="00DF3833" w:rsidRPr="000F2E9A">
        <w:rPr>
          <w:lang w:val="en-GB"/>
        </w:rPr>
        <w:t xml:space="preserve"> </w:t>
      </w:r>
      <w:r w:rsidR="005F5146" w:rsidRPr="000F2E9A">
        <w:rPr>
          <w:lang w:val="en-GB"/>
        </w:rPr>
        <w:t xml:space="preserve">which </w:t>
      </w:r>
      <w:r w:rsidR="00CF4684" w:rsidRPr="000F2E9A">
        <w:rPr>
          <w:lang w:val="en-GB"/>
        </w:rPr>
        <w:t xml:space="preserve">saw </w:t>
      </w:r>
      <w:r w:rsidR="004C494A" w:rsidRPr="000F2E9A">
        <w:rPr>
          <w:lang w:val="en-GB"/>
        </w:rPr>
        <w:t xml:space="preserve">during the same period </w:t>
      </w:r>
      <w:r w:rsidR="00CF4684" w:rsidRPr="000F2E9A">
        <w:rPr>
          <w:lang w:val="en-GB"/>
        </w:rPr>
        <w:t xml:space="preserve">an increase of social protection </w:t>
      </w:r>
      <w:r w:rsidR="0068161B" w:rsidRPr="000F2E9A">
        <w:rPr>
          <w:lang w:val="en-GB"/>
        </w:rPr>
        <w:lastRenderedPageBreak/>
        <w:t xml:space="preserve">expenditure </w:t>
      </w:r>
      <w:r w:rsidR="004C494A" w:rsidRPr="000F2E9A">
        <w:rPr>
          <w:lang w:val="en-GB"/>
        </w:rPr>
        <w:t>by 8.4</w:t>
      </w:r>
      <w:r w:rsidR="00396425">
        <w:rPr>
          <w:lang w:val="en-GB"/>
        </w:rPr>
        <w:t>%</w:t>
      </w:r>
      <w:r w:rsidR="003A51F0" w:rsidRPr="000F2E9A">
        <w:rPr>
          <w:lang w:val="en-GB"/>
        </w:rPr>
        <w:t xml:space="preserve"> (Portugal and Spain increased their social protection spending by 9.1 or 6.8</w:t>
      </w:r>
      <w:r w:rsidR="00396425">
        <w:rPr>
          <w:lang w:val="en-GB"/>
        </w:rPr>
        <w:t>%</w:t>
      </w:r>
      <w:r w:rsidR="003A51F0" w:rsidRPr="000F2E9A">
        <w:rPr>
          <w:lang w:val="en-GB"/>
        </w:rPr>
        <w:t xml:space="preserve"> respectively).</w:t>
      </w:r>
    </w:p>
    <w:p w:rsidR="00BE0BA1" w:rsidRPr="000F2E9A" w:rsidRDefault="00BE0BA1">
      <w:pPr>
        <w:suppressAutoHyphens w:val="0"/>
        <w:spacing w:line="240" w:lineRule="auto"/>
        <w:rPr>
          <w:b/>
        </w:rPr>
      </w:pPr>
    </w:p>
    <w:p w:rsidR="001576BE" w:rsidRPr="000F2E9A" w:rsidRDefault="001576BE" w:rsidP="001576BE">
      <w:pPr>
        <w:pStyle w:val="SingleTxtG"/>
        <w:tabs>
          <w:tab w:val="left" w:pos="1701"/>
        </w:tabs>
        <w:rPr>
          <w:b/>
          <w:lang w:val="en-GB"/>
        </w:rPr>
      </w:pPr>
      <w:r w:rsidRPr="000F2E9A">
        <w:rPr>
          <w:b/>
          <w:lang w:val="en-GB"/>
        </w:rPr>
        <w:t>Table 1: General government expenditure by function, Greece 2009-2013</w:t>
      </w:r>
    </w:p>
    <w:tbl>
      <w:tblPr>
        <w:tblW w:w="7573" w:type="dxa"/>
        <w:tblInd w:w="1242" w:type="dxa"/>
        <w:tblLook w:val="04A0" w:firstRow="1" w:lastRow="0" w:firstColumn="1" w:lastColumn="0" w:noHBand="0" w:noVBand="1"/>
      </w:tblPr>
      <w:tblGrid>
        <w:gridCol w:w="2835"/>
        <w:gridCol w:w="736"/>
        <w:gridCol w:w="833"/>
        <w:gridCol w:w="832"/>
        <w:gridCol w:w="832"/>
        <w:gridCol w:w="832"/>
        <w:gridCol w:w="710"/>
      </w:tblGrid>
      <w:tr w:rsidR="001576BE" w:rsidRPr="000F2E9A" w:rsidTr="001576BE">
        <w:trPr>
          <w:trHeight w:val="285"/>
        </w:trPr>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1576BE" w:rsidRPr="000F2E9A" w:rsidRDefault="001576BE" w:rsidP="001576BE">
            <w:pPr>
              <w:suppressAutoHyphens w:val="0"/>
              <w:spacing w:line="240" w:lineRule="auto"/>
              <w:rPr>
                <w:b/>
                <w:sz w:val="16"/>
                <w:szCs w:val="16"/>
                <w:lang w:eastAsia="en-GB"/>
              </w:rPr>
            </w:pPr>
            <w:r w:rsidRPr="000F2E9A">
              <w:rPr>
                <w:b/>
                <w:sz w:val="16"/>
                <w:szCs w:val="16"/>
                <w:lang w:eastAsia="en-GB"/>
              </w:rPr>
              <w:t xml:space="preserve">General Government expenditure </w:t>
            </w:r>
            <w:r w:rsidRPr="000F2E9A">
              <w:rPr>
                <w:b/>
                <w:sz w:val="16"/>
                <w:szCs w:val="16"/>
                <w:lang w:eastAsia="en-GB"/>
              </w:rPr>
              <w:br/>
              <w:t>in million EUR</w:t>
            </w:r>
          </w:p>
        </w:tc>
        <w:tc>
          <w:tcPr>
            <w:tcW w:w="699"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hideMark/>
          </w:tcPr>
          <w:p w:rsidR="001576BE" w:rsidRPr="000F2E9A" w:rsidRDefault="001576BE" w:rsidP="001576BE">
            <w:pPr>
              <w:suppressAutoHyphens w:val="0"/>
              <w:spacing w:line="240" w:lineRule="auto"/>
              <w:rPr>
                <w:b/>
                <w:sz w:val="16"/>
                <w:szCs w:val="16"/>
                <w:lang w:eastAsia="en-GB"/>
              </w:rPr>
            </w:pPr>
            <w:r w:rsidRPr="000F2E9A">
              <w:rPr>
                <w:b/>
                <w:sz w:val="16"/>
                <w:szCs w:val="16"/>
                <w:lang w:eastAsia="en-GB"/>
              </w:rPr>
              <w:t>2009</w:t>
            </w:r>
          </w:p>
        </w:tc>
        <w:tc>
          <w:tcPr>
            <w:tcW w:w="833"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hideMark/>
          </w:tcPr>
          <w:p w:rsidR="001576BE" w:rsidRPr="000F2E9A" w:rsidRDefault="001576BE" w:rsidP="001576BE">
            <w:pPr>
              <w:suppressAutoHyphens w:val="0"/>
              <w:spacing w:line="240" w:lineRule="auto"/>
              <w:rPr>
                <w:b/>
                <w:sz w:val="16"/>
                <w:szCs w:val="16"/>
                <w:lang w:eastAsia="en-GB"/>
              </w:rPr>
            </w:pPr>
            <w:r w:rsidRPr="000F2E9A">
              <w:rPr>
                <w:b/>
                <w:sz w:val="16"/>
                <w:szCs w:val="16"/>
                <w:lang w:eastAsia="en-GB"/>
              </w:rPr>
              <w:t>2010</w:t>
            </w:r>
          </w:p>
        </w:tc>
        <w:tc>
          <w:tcPr>
            <w:tcW w:w="832"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hideMark/>
          </w:tcPr>
          <w:p w:rsidR="001576BE" w:rsidRPr="000F2E9A" w:rsidRDefault="001576BE" w:rsidP="001576BE">
            <w:pPr>
              <w:suppressAutoHyphens w:val="0"/>
              <w:spacing w:line="240" w:lineRule="auto"/>
              <w:rPr>
                <w:b/>
                <w:sz w:val="16"/>
                <w:szCs w:val="16"/>
                <w:lang w:eastAsia="en-GB"/>
              </w:rPr>
            </w:pPr>
            <w:r w:rsidRPr="000F2E9A">
              <w:rPr>
                <w:b/>
                <w:sz w:val="16"/>
                <w:szCs w:val="16"/>
                <w:lang w:eastAsia="en-GB"/>
              </w:rPr>
              <w:t>2011</w:t>
            </w:r>
          </w:p>
        </w:tc>
        <w:tc>
          <w:tcPr>
            <w:tcW w:w="832"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hideMark/>
          </w:tcPr>
          <w:p w:rsidR="001576BE" w:rsidRPr="000F2E9A" w:rsidRDefault="001576BE" w:rsidP="001576BE">
            <w:pPr>
              <w:suppressAutoHyphens w:val="0"/>
              <w:spacing w:line="240" w:lineRule="auto"/>
              <w:rPr>
                <w:b/>
                <w:sz w:val="16"/>
                <w:szCs w:val="16"/>
                <w:lang w:eastAsia="en-GB"/>
              </w:rPr>
            </w:pPr>
            <w:r w:rsidRPr="000F2E9A">
              <w:rPr>
                <w:b/>
                <w:sz w:val="16"/>
                <w:szCs w:val="16"/>
                <w:lang w:eastAsia="en-GB"/>
              </w:rPr>
              <w:t>2012</w:t>
            </w:r>
          </w:p>
        </w:tc>
        <w:tc>
          <w:tcPr>
            <w:tcW w:w="832" w:type="dxa"/>
            <w:tcBorders>
              <w:top w:val="single" w:sz="4" w:space="0" w:color="000000"/>
              <w:left w:val="nil"/>
              <w:bottom w:val="single" w:sz="4" w:space="0" w:color="000000"/>
              <w:right w:val="single" w:sz="4" w:space="0" w:color="000000"/>
            </w:tcBorders>
            <w:shd w:val="clear" w:color="auto" w:fill="BFBFBF" w:themeFill="background1" w:themeFillShade="BF"/>
            <w:noWrap/>
            <w:vAlign w:val="bottom"/>
            <w:hideMark/>
          </w:tcPr>
          <w:p w:rsidR="001576BE" w:rsidRPr="000F2E9A" w:rsidRDefault="001576BE" w:rsidP="001576BE">
            <w:pPr>
              <w:suppressAutoHyphens w:val="0"/>
              <w:spacing w:line="240" w:lineRule="auto"/>
              <w:rPr>
                <w:b/>
                <w:sz w:val="16"/>
                <w:szCs w:val="16"/>
                <w:lang w:eastAsia="en-GB"/>
              </w:rPr>
            </w:pPr>
            <w:r w:rsidRPr="000F2E9A">
              <w:rPr>
                <w:b/>
                <w:sz w:val="16"/>
                <w:szCs w:val="16"/>
                <w:lang w:eastAsia="en-GB"/>
              </w:rPr>
              <w:t>2013</w:t>
            </w:r>
          </w:p>
        </w:tc>
        <w:tc>
          <w:tcPr>
            <w:tcW w:w="710" w:type="dxa"/>
            <w:tcBorders>
              <w:top w:val="single" w:sz="4" w:space="0" w:color="000000"/>
              <w:left w:val="nil"/>
              <w:bottom w:val="nil"/>
              <w:right w:val="single" w:sz="4" w:space="0" w:color="000000"/>
            </w:tcBorders>
            <w:shd w:val="clear" w:color="auto" w:fill="BFBFBF" w:themeFill="background1" w:themeFillShade="BF"/>
            <w:noWrap/>
            <w:vAlign w:val="bottom"/>
            <w:hideMark/>
          </w:tcPr>
          <w:p w:rsidR="001576BE" w:rsidRPr="000F2E9A" w:rsidRDefault="001576BE" w:rsidP="001576BE">
            <w:pPr>
              <w:suppressAutoHyphens w:val="0"/>
              <w:spacing w:line="240" w:lineRule="auto"/>
              <w:rPr>
                <w:b/>
                <w:sz w:val="16"/>
                <w:szCs w:val="16"/>
                <w:lang w:eastAsia="en-GB"/>
              </w:rPr>
            </w:pPr>
            <w:r w:rsidRPr="000F2E9A">
              <w:rPr>
                <w:b/>
                <w:sz w:val="16"/>
                <w:szCs w:val="16"/>
                <w:lang w:eastAsia="en-GB"/>
              </w:rPr>
              <w:t>change 2009-2013</w:t>
            </w:r>
          </w:p>
        </w:tc>
      </w:tr>
      <w:tr w:rsidR="001576BE" w:rsidRPr="000F2E9A" w:rsidTr="001576BE">
        <w:trPr>
          <w:trHeight w:val="28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Total General Government expenditure</w:t>
            </w:r>
          </w:p>
        </w:tc>
        <w:tc>
          <w:tcPr>
            <w:tcW w:w="699"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128,150</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117,774</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111,633</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104,491</w:t>
            </w:r>
          </w:p>
        </w:tc>
        <w:tc>
          <w:tcPr>
            <w:tcW w:w="832" w:type="dxa"/>
            <w:tcBorders>
              <w:top w:val="nil"/>
              <w:left w:val="nil"/>
              <w:bottom w:val="single" w:sz="4" w:space="0" w:color="000000"/>
              <w:right w:val="nil"/>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108,009</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-15.7%</w:t>
            </w:r>
          </w:p>
        </w:tc>
      </w:tr>
      <w:tr w:rsidR="001576BE" w:rsidRPr="000F2E9A" w:rsidTr="001576BE">
        <w:trPr>
          <w:trHeight w:val="28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General public services</w:t>
            </w:r>
          </w:p>
        </w:tc>
        <w:tc>
          <w:tcPr>
            <w:tcW w:w="699"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28,365</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27,590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26,672</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20,796</w:t>
            </w:r>
          </w:p>
        </w:tc>
        <w:tc>
          <w:tcPr>
            <w:tcW w:w="832" w:type="dxa"/>
            <w:tcBorders>
              <w:top w:val="nil"/>
              <w:left w:val="nil"/>
              <w:bottom w:val="single" w:sz="4" w:space="0" w:color="000000"/>
              <w:right w:val="nil"/>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17,645</w:t>
            </w:r>
          </w:p>
        </w:tc>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-37.8%</w:t>
            </w:r>
          </w:p>
        </w:tc>
      </w:tr>
      <w:tr w:rsidR="001576BE" w:rsidRPr="000F2E9A" w:rsidTr="001576BE">
        <w:trPr>
          <w:trHeight w:val="28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Social Protection</w:t>
            </w:r>
          </w:p>
        </w:tc>
        <w:tc>
          <w:tcPr>
            <w:tcW w:w="699"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44,473</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42,908</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42,422</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39,799</w:t>
            </w:r>
          </w:p>
        </w:tc>
        <w:tc>
          <w:tcPr>
            <w:tcW w:w="832" w:type="dxa"/>
            <w:tcBorders>
              <w:top w:val="nil"/>
              <w:left w:val="nil"/>
              <w:bottom w:val="single" w:sz="4" w:space="0" w:color="000000"/>
              <w:right w:val="nil"/>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34,997</w:t>
            </w:r>
          </w:p>
        </w:tc>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-21.3%</w:t>
            </w:r>
          </w:p>
        </w:tc>
      </w:tr>
      <w:tr w:rsidR="001576BE" w:rsidRPr="000F2E9A" w:rsidTr="001576BE">
        <w:trPr>
          <w:trHeight w:val="285"/>
        </w:trPr>
        <w:tc>
          <w:tcPr>
            <w:tcW w:w="2835" w:type="dxa"/>
            <w:tcBorders>
              <w:top w:val="single" w:sz="4" w:space="0" w:color="auto"/>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Old Age</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30,794</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30,516</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30,218</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29,731</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26,274</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-14.7%</w:t>
            </w:r>
          </w:p>
        </w:tc>
      </w:tr>
      <w:tr w:rsidR="001576BE" w:rsidRPr="000F2E9A" w:rsidTr="001576BE">
        <w:trPr>
          <w:trHeight w:val="285"/>
        </w:trPr>
        <w:tc>
          <w:tcPr>
            <w:tcW w:w="2835" w:type="dxa"/>
            <w:tcBorders>
              <w:top w:val="nil"/>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Sickness and disability</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3,974</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3,919</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3,682</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3,435</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2,680</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-32.6%</w:t>
            </w:r>
          </w:p>
        </w:tc>
      </w:tr>
      <w:tr w:rsidR="001576BE" w:rsidRPr="000F2E9A" w:rsidTr="001576BE">
        <w:trPr>
          <w:trHeight w:val="285"/>
        </w:trPr>
        <w:tc>
          <w:tcPr>
            <w:tcW w:w="2835" w:type="dxa"/>
            <w:tcBorders>
              <w:top w:val="nil"/>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Survivors</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3,645</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3,365</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3,385</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3,395</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2,751</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-24.5%</w:t>
            </w:r>
          </w:p>
        </w:tc>
      </w:tr>
      <w:tr w:rsidR="001576BE" w:rsidRPr="000F2E9A" w:rsidTr="001576BE">
        <w:trPr>
          <w:trHeight w:val="285"/>
        </w:trPr>
        <w:tc>
          <w:tcPr>
            <w:tcW w:w="2835" w:type="dxa"/>
            <w:tcBorders>
              <w:top w:val="nil"/>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Family and Children</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2,342</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2,361</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1,384</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1,178</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1,201</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-48.7%</w:t>
            </w:r>
          </w:p>
        </w:tc>
      </w:tr>
      <w:tr w:rsidR="001576BE" w:rsidRPr="000F2E9A" w:rsidTr="001576BE">
        <w:trPr>
          <w:trHeight w:val="285"/>
        </w:trPr>
        <w:tc>
          <w:tcPr>
            <w:tcW w:w="2835" w:type="dxa"/>
            <w:tcBorders>
              <w:top w:val="nil"/>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Unemployment</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2,377</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2,266</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3,241</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1,840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1,668</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-29.8%</w:t>
            </w:r>
          </w:p>
        </w:tc>
      </w:tr>
      <w:tr w:rsidR="001576BE" w:rsidRPr="000F2E9A" w:rsidTr="001576BE">
        <w:trPr>
          <w:trHeight w:val="285"/>
        </w:trPr>
        <w:tc>
          <w:tcPr>
            <w:tcW w:w="2835" w:type="dxa"/>
            <w:tcBorders>
              <w:top w:val="nil"/>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Housing</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817</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145</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200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45</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209</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-74.4%</w:t>
            </w:r>
          </w:p>
        </w:tc>
      </w:tr>
      <w:tr w:rsidR="001576BE" w:rsidRPr="000F2E9A" w:rsidTr="001576BE">
        <w:trPr>
          <w:trHeight w:val="285"/>
        </w:trPr>
        <w:tc>
          <w:tcPr>
            <w:tcW w:w="2835" w:type="dxa"/>
            <w:tcBorders>
              <w:top w:val="nil"/>
              <w:left w:val="single" w:sz="4" w:space="0" w:color="auto"/>
              <w:bottom w:val="single" w:sz="4" w:space="0" w:color="auto"/>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Social exclusion</w:t>
            </w:r>
          </w:p>
        </w:tc>
        <w:tc>
          <w:tcPr>
            <w:tcW w:w="699" w:type="dxa"/>
            <w:tcBorders>
              <w:top w:val="nil"/>
              <w:left w:val="single" w:sz="4" w:space="0" w:color="000000"/>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189</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81</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160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71</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36</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-81.0%</w:t>
            </w:r>
          </w:p>
        </w:tc>
      </w:tr>
      <w:tr w:rsidR="001576BE" w:rsidRPr="000F2E9A" w:rsidTr="001576BE">
        <w:trPr>
          <w:trHeight w:val="28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Economic Affairs</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12,735</w:t>
            </w:r>
          </w:p>
        </w:tc>
        <w:tc>
          <w:tcPr>
            <w:tcW w:w="833" w:type="dxa"/>
            <w:tcBorders>
              <w:top w:val="nil"/>
              <w:left w:val="single" w:sz="4" w:space="0" w:color="auto"/>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9,805</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8,398</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12,987</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27,535</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116.2%</w:t>
            </w:r>
          </w:p>
        </w:tc>
      </w:tr>
      <w:tr w:rsidR="001576BE" w:rsidRPr="000F2E9A" w:rsidTr="001576BE">
        <w:trPr>
          <w:trHeight w:val="28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Health</w:t>
            </w:r>
          </w:p>
        </w:tc>
        <w:tc>
          <w:tcPr>
            <w:tcW w:w="699" w:type="dxa"/>
            <w:tcBorders>
              <w:top w:val="single" w:sz="4" w:space="0" w:color="auto"/>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16,089</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15,393</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13,314</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11,079</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9,249</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-42.5%</w:t>
            </w:r>
          </w:p>
        </w:tc>
      </w:tr>
      <w:tr w:rsidR="001576BE" w:rsidRPr="000F2E9A" w:rsidTr="001576BE">
        <w:trPr>
          <w:trHeight w:val="285"/>
        </w:trPr>
        <w:tc>
          <w:tcPr>
            <w:tcW w:w="2835" w:type="dxa"/>
            <w:tcBorders>
              <w:top w:val="single" w:sz="4" w:space="0" w:color="auto"/>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Hospital services</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9,696</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9,308</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7,483</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6,722</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5,639</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-41.8%</w:t>
            </w:r>
          </w:p>
        </w:tc>
      </w:tr>
      <w:tr w:rsidR="001576BE" w:rsidRPr="000F2E9A" w:rsidTr="001576BE">
        <w:trPr>
          <w:trHeight w:val="285"/>
        </w:trPr>
        <w:tc>
          <w:tcPr>
            <w:tcW w:w="2835" w:type="dxa"/>
            <w:tcBorders>
              <w:top w:val="nil"/>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 xml:space="preserve">Medical products, appliances and </w:t>
            </w:r>
            <w:r w:rsidR="001576BE" w:rsidRPr="000F2E9A">
              <w:rPr>
                <w:sz w:val="16"/>
                <w:szCs w:val="16"/>
                <w:lang w:eastAsia="en-GB"/>
              </w:rPr>
              <w:br/>
            </w:r>
            <w:r w:rsidRPr="000F2E9A">
              <w:rPr>
                <w:sz w:val="16"/>
                <w:szCs w:val="16"/>
                <w:lang w:eastAsia="en-GB"/>
              </w:rPr>
              <w:t xml:space="preserve"> </w:t>
            </w:r>
            <w:r w:rsidR="001576BE" w:rsidRPr="000F2E9A">
              <w:rPr>
                <w:sz w:val="16"/>
                <w:szCs w:val="16"/>
                <w:lang w:eastAsia="en-GB"/>
              </w:rPr>
              <w:t>equipment</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5,230</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5,063</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4,708</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3,680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2,658</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-49.2%</w:t>
            </w:r>
          </w:p>
        </w:tc>
      </w:tr>
      <w:tr w:rsidR="001576BE" w:rsidRPr="000F2E9A" w:rsidTr="001576BE">
        <w:trPr>
          <w:trHeight w:val="285"/>
        </w:trPr>
        <w:tc>
          <w:tcPr>
            <w:tcW w:w="2835" w:type="dxa"/>
            <w:tcBorders>
              <w:top w:val="nil"/>
              <w:left w:val="single" w:sz="4" w:space="0" w:color="auto"/>
              <w:bottom w:val="single" w:sz="4" w:space="0" w:color="auto"/>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Outpatient services</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770</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745</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800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452</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740</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-3.9%</w:t>
            </w:r>
          </w:p>
        </w:tc>
      </w:tr>
      <w:tr w:rsidR="001576BE" w:rsidRPr="000F2E9A" w:rsidTr="001576BE">
        <w:trPr>
          <w:trHeight w:val="28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Education</w:t>
            </w:r>
          </w:p>
        </w:tc>
        <w:tc>
          <w:tcPr>
            <w:tcW w:w="699"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9,636</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9,007</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9,164</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8,607</w:t>
            </w:r>
          </w:p>
        </w:tc>
        <w:tc>
          <w:tcPr>
            <w:tcW w:w="832" w:type="dxa"/>
            <w:tcBorders>
              <w:top w:val="nil"/>
              <w:left w:val="nil"/>
              <w:bottom w:val="single" w:sz="4" w:space="0" w:color="000000"/>
              <w:right w:val="nil"/>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8,189</w:t>
            </w:r>
          </w:p>
        </w:tc>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-15.0%</w:t>
            </w:r>
          </w:p>
        </w:tc>
      </w:tr>
      <w:tr w:rsidR="001576BE" w:rsidRPr="000F2E9A" w:rsidTr="001576BE">
        <w:trPr>
          <w:trHeight w:val="285"/>
        </w:trPr>
        <w:tc>
          <w:tcPr>
            <w:tcW w:w="2835" w:type="dxa"/>
            <w:tcBorders>
              <w:top w:val="single" w:sz="4" w:space="0" w:color="auto"/>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Pre-primary and primary education</w:t>
            </w:r>
          </w:p>
        </w:tc>
        <w:tc>
          <w:tcPr>
            <w:tcW w:w="699" w:type="dxa"/>
            <w:tcBorders>
              <w:top w:val="nil"/>
              <w:left w:val="single" w:sz="4" w:space="0" w:color="000000"/>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3,027</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2,789</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2,878</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2,667</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2,502</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-17.3%</w:t>
            </w:r>
          </w:p>
        </w:tc>
      </w:tr>
      <w:tr w:rsidR="001576BE" w:rsidRPr="000F2E9A" w:rsidTr="001576BE">
        <w:trPr>
          <w:trHeight w:val="285"/>
        </w:trPr>
        <w:tc>
          <w:tcPr>
            <w:tcW w:w="2835" w:type="dxa"/>
            <w:tcBorders>
              <w:top w:val="nil"/>
              <w:left w:val="single" w:sz="4" w:space="0" w:color="auto"/>
              <w:bottom w:val="nil"/>
              <w:right w:val="nil"/>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Secondary Education</w:t>
            </w:r>
          </w:p>
        </w:tc>
        <w:tc>
          <w:tcPr>
            <w:tcW w:w="699" w:type="dxa"/>
            <w:tcBorders>
              <w:top w:val="nil"/>
              <w:left w:val="single" w:sz="4" w:space="0" w:color="000000"/>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3,653</w:t>
            </w:r>
          </w:p>
        </w:tc>
        <w:tc>
          <w:tcPr>
            <w:tcW w:w="833" w:type="dxa"/>
            <w:tcBorders>
              <w:top w:val="nil"/>
              <w:left w:val="nil"/>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3,348</w:t>
            </w:r>
          </w:p>
        </w:tc>
        <w:tc>
          <w:tcPr>
            <w:tcW w:w="832" w:type="dxa"/>
            <w:tcBorders>
              <w:top w:val="nil"/>
              <w:left w:val="nil"/>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3,280</w:t>
            </w:r>
          </w:p>
        </w:tc>
        <w:tc>
          <w:tcPr>
            <w:tcW w:w="832" w:type="dxa"/>
            <w:tcBorders>
              <w:top w:val="nil"/>
              <w:left w:val="nil"/>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2,940</w:t>
            </w:r>
          </w:p>
        </w:tc>
        <w:tc>
          <w:tcPr>
            <w:tcW w:w="832" w:type="dxa"/>
            <w:tcBorders>
              <w:top w:val="nil"/>
              <w:left w:val="nil"/>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2,610</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-28.6%</w:t>
            </w:r>
          </w:p>
        </w:tc>
      </w:tr>
      <w:tr w:rsidR="001576BE" w:rsidRPr="000F2E9A" w:rsidTr="001576BE">
        <w:trPr>
          <w:trHeight w:val="28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017C92" w:rsidP="001576BE">
            <w:pPr>
              <w:suppressAutoHyphens w:val="0"/>
              <w:spacing w:line="240" w:lineRule="auto"/>
              <w:rPr>
                <w:sz w:val="16"/>
                <w:szCs w:val="16"/>
                <w:lang w:eastAsia="en-GB"/>
              </w:rPr>
            </w:pPr>
            <w:r w:rsidRPr="000F2E9A">
              <w:rPr>
                <w:sz w:val="16"/>
                <w:szCs w:val="16"/>
                <w:lang w:eastAsia="en-GB"/>
              </w:rPr>
              <w:t xml:space="preserve"> </w:t>
            </w:r>
            <w:r w:rsidR="001576BE" w:rsidRPr="000F2E9A">
              <w:rPr>
                <w:sz w:val="16"/>
                <w:szCs w:val="16"/>
                <w:lang w:eastAsia="en-GB"/>
              </w:rPr>
              <w:t>Tertiary Education</w:t>
            </w:r>
          </w:p>
        </w:tc>
        <w:tc>
          <w:tcPr>
            <w:tcW w:w="69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2,128.0</w:t>
            </w:r>
          </w:p>
        </w:tc>
        <w:tc>
          <w:tcPr>
            <w:tcW w:w="833" w:type="dxa"/>
            <w:tcBorders>
              <w:top w:val="single" w:sz="4" w:space="0" w:color="auto"/>
              <w:left w:val="nil"/>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1,937</w:t>
            </w:r>
          </w:p>
        </w:tc>
        <w:tc>
          <w:tcPr>
            <w:tcW w:w="832" w:type="dxa"/>
            <w:tcBorders>
              <w:top w:val="single" w:sz="4" w:space="0" w:color="auto"/>
              <w:left w:val="nil"/>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1,894</w:t>
            </w:r>
          </w:p>
        </w:tc>
        <w:tc>
          <w:tcPr>
            <w:tcW w:w="832" w:type="dxa"/>
            <w:tcBorders>
              <w:top w:val="single" w:sz="4" w:space="0" w:color="auto"/>
              <w:left w:val="nil"/>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1,856</w:t>
            </w:r>
          </w:p>
        </w:tc>
        <w:tc>
          <w:tcPr>
            <w:tcW w:w="832" w:type="dxa"/>
            <w:tcBorders>
              <w:top w:val="single" w:sz="4" w:space="0" w:color="auto"/>
              <w:left w:val="nil"/>
              <w:bottom w:val="single" w:sz="4" w:space="0" w:color="auto"/>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1,632</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-23.3%</w:t>
            </w:r>
          </w:p>
        </w:tc>
      </w:tr>
      <w:tr w:rsidR="001576BE" w:rsidRPr="000F2E9A" w:rsidTr="001576BE">
        <w:trPr>
          <w:trHeight w:val="28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Defence</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8,167.0</w:t>
            </w:r>
          </w:p>
        </w:tc>
        <w:tc>
          <w:tcPr>
            <w:tcW w:w="833" w:type="dxa"/>
            <w:tcBorders>
              <w:top w:val="single" w:sz="4" w:space="0" w:color="auto"/>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5,768</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4,960.0</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4,607</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3,881</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-52.5%</w:t>
            </w:r>
          </w:p>
        </w:tc>
      </w:tr>
      <w:tr w:rsidR="001576BE" w:rsidRPr="000F2E9A" w:rsidTr="001576BE">
        <w:trPr>
          <w:trHeight w:val="28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Public Order and Safety</w:t>
            </w:r>
          </w:p>
        </w:tc>
        <w:tc>
          <w:tcPr>
            <w:tcW w:w="699"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4,237.0</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4,036</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3,587.0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3,539</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3,357</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-20.8%</w:t>
            </w:r>
          </w:p>
        </w:tc>
      </w:tr>
      <w:tr w:rsidR="001576BE" w:rsidRPr="000F2E9A" w:rsidTr="001576BE">
        <w:trPr>
          <w:trHeight w:val="28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Recreation, Culture and Religion</w:t>
            </w:r>
          </w:p>
        </w:tc>
        <w:tc>
          <w:tcPr>
            <w:tcW w:w="699"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1,560.0</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1,257</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1,287.0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1,265</w:t>
            </w:r>
          </w:p>
        </w:tc>
        <w:tc>
          <w:tcPr>
            <w:tcW w:w="832" w:type="dxa"/>
            <w:tcBorders>
              <w:top w:val="nil"/>
              <w:left w:val="nil"/>
              <w:bottom w:val="single" w:sz="4" w:space="0" w:color="000000"/>
              <w:right w:val="nil"/>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1,180</w:t>
            </w:r>
          </w:p>
        </w:tc>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-24.4%</w:t>
            </w:r>
          </w:p>
        </w:tc>
      </w:tr>
      <w:tr w:rsidR="001576BE" w:rsidRPr="000F2E9A" w:rsidTr="001576BE">
        <w:trPr>
          <w:trHeight w:val="28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rPr>
                <w:sz w:val="16"/>
                <w:szCs w:val="16"/>
                <w:lang w:eastAsia="en-GB"/>
              </w:rPr>
            </w:pPr>
            <w:r w:rsidRPr="000F2E9A">
              <w:rPr>
                <w:sz w:val="16"/>
                <w:szCs w:val="16"/>
                <w:lang w:eastAsia="en-GB"/>
              </w:rPr>
              <w:t>Housing and community amenities</w:t>
            </w:r>
          </w:p>
        </w:tc>
        <w:tc>
          <w:tcPr>
            <w:tcW w:w="699"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884.0</w:t>
            </w:r>
          </w:p>
        </w:tc>
        <w:tc>
          <w:tcPr>
            <w:tcW w:w="833"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446</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384.0</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416</w:t>
            </w:r>
          </w:p>
        </w:tc>
        <w:tc>
          <w:tcPr>
            <w:tcW w:w="832" w:type="dxa"/>
            <w:tcBorders>
              <w:top w:val="nil"/>
              <w:left w:val="nil"/>
              <w:bottom w:val="single" w:sz="4" w:space="0" w:color="000000"/>
              <w:right w:val="single" w:sz="4" w:space="0" w:color="000000"/>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514</w:t>
            </w:r>
          </w:p>
        </w:tc>
        <w:tc>
          <w:tcPr>
            <w:tcW w:w="710" w:type="dxa"/>
            <w:tcBorders>
              <w:top w:val="nil"/>
              <w:left w:val="nil"/>
              <w:bottom w:val="single" w:sz="4" w:space="0" w:color="auto"/>
              <w:right w:val="single" w:sz="4" w:space="0" w:color="auto"/>
            </w:tcBorders>
            <w:shd w:val="clear" w:color="auto" w:fill="auto"/>
            <w:noWrap/>
            <w:vAlign w:val="bottom"/>
            <w:hideMark/>
          </w:tcPr>
          <w:p w:rsidR="001576BE" w:rsidRPr="000F2E9A" w:rsidRDefault="001576BE" w:rsidP="001576BE">
            <w:pPr>
              <w:suppressAutoHyphens w:val="0"/>
              <w:spacing w:line="240" w:lineRule="auto"/>
              <w:jc w:val="right"/>
              <w:rPr>
                <w:sz w:val="16"/>
                <w:szCs w:val="16"/>
                <w:lang w:eastAsia="en-GB"/>
              </w:rPr>
            </w:pPr>
            <w:r w:rsidRPr="000F2E9A">
              <w:rPr>
                <w:sz w:val="16"/>
                <w:szCs w:val="16"/>
                <w:lang w:eastAsia="en-GB"/>
              </w:rPr>
              <w:t>-41.9%</w:t>
            </w:r>
          </w:p>
        </w:tc>
      </w:tr>
    </w:tbl>
    <w:p w:rsidR="001576BE" w:rsidRDefault="001576BE" w:rsidP="001576BE">
      <w:pPr>
        <w:pStyle w:val="SingleTxtG"/>
        <w:tabs>
          <w:tab w:val="left" w:pos="1701"/>
        </w:tabs>
        <w:rPr>
          <w:i/>
          <w:lang w:val="en-GB"/>
        </w:rPr>
      </w:pPr>
      <w:r w:rsidRPr="000F2E9A">
        <w:rPr>
          <w:i/>
          <w:lang w:val="en-GB"/>
        </w:rPr>
        <w:t>Source: Eurostat, General Government expenditure by function (COFOG) (gov_10a_exp).</w:t>
      </w:r>
    </w:p>
    <w:p w:rsidR="00C553BB" w:rsidRPr="000F2E9A" w:rsidRDefault="00C553BB" w:rsidP="001576BE">
      <w:pPr>
        <w:pStyle w:val="SingleTxtG"/>
        <w:tabs>
          <w:tab w:val="left" w:pos="1701"/>
        </w:tabs>
        <w:rPr>
          <w:i/>
          <w:lang w:val="en-GB"/>
        </w:rPr>
      </w:pPr>
    </w:p>
    <w:p w:rsidR="002F6331" w:rsidRPr="000F2E9A" w:rsidRDefault="005573E4" w:rsidP="005573E4">
      <w:pPr>
        <w:pStyle w:val="SingleTxtG"/>
        <w:rPr>
          <w:lang w:val="en-GB"/>
        </w:rPr>
      </w:pPr>
      <w:r w:rsidRPr="000F2E9A">
        <w:rPr>
          <w:lang w:val="en-GB"/>
        </w:rPr>
        <w:t>34.</w:t>
      </w:r>
      <w:r w:rsidRPr="000F2E9A">
        <w:rPr>
          <w:lang w:val="en-GB"/>
        </w:rPr>
        <w:tab/>
      </w:r>
      <w:r w:rsidR="002F6331" w:rsidRPr="000F2E9A">
        <w:rPr>
          <w:lang w:val="en-GB"/>
        </w:rPr>
        <w:t>Limited funds that had been available to combat social exclusion, for rental and housing support and family and child benefits were reduced drastically. Spending to support sick persons and persons with disabilities decreased also disproportionately, while pension benefits – the biggest social expenditure and backbone of the social protection system of Greece – saw consecutive cuts in line with the overall reduction of Government expenditure. Unemployed benefits fell nearly by one third while unemployed rose during the same time nearly threefold. Analysing the development of social protection expenditure it can sadly be said that reductions were particularly harsh for the most marginalised who lacked any strong political lobby.</w:t>
      </w:r>
    </w:p>
    <w:p w:rsidR="002F6331" w:rsidRPr="000F2E9A" w:rsidRDefault="005573E4" w:rsidP="005573E4">
      <w:pPr>
        <w:pStyle w:val="SingleTxtG"/>
        <w:rPr>
          <w:lang w:val="en-GB"/>
        </w:rPr>
      </w:pPr>
      <w:r w:rsidRPr="000F2E9A">
        <w:rPr>
          <w:lang w:val="en-GB"/>
        </w:rPr>
        <w:t>35.</w:t>
      </w:r>
      <w:r w:rsidRPr="000F2E9A">
        <w:rPr>
          <w:lang w:val="en-GB"/>
        </w:rPr>
        <w:tab/>
      </w:r>
      <w:r w:rsidR="002F6331" w:rsidRPr="000F2E9A">
        <w:rPr>
          <w:lang w:val="en-GB"/>
        </w:rPr>
        <w:t>Public health expenditures saw an unprecedented fall from EUR 16.1 billion to EUR 9.3 billion during 2009-2013, or by 42.5</w:t>
      </w:r>
      <w:r w:rsidR="00396425">
        <w:rPr>
          <w:lang w:val="en-GB"/>
        </w:rPr>
        <w:t>%</w:t>
      </w:r>
      <w:r w:rsidR="002F6331" w:rsidRPr="000F2E9A">
        <w:rPr>
          <w:lang w:val="en-GB"/>
        </w:rPr>
        <w:t xml:space="preserve"> within five years. At the same time demand for public health care services increased, as more people could not anymore afford private health care. Nobody disputes that a reform of the Greek public health care system was overdue and that cost reduction measures needed to be taken to improve its efficiency or </w:t>
      </w:r>
      <w:r w:rsidR="002F6331" w:rsidRPr="000F2E9A">
        <w:rPr>
          <w:lang w:val="en-GB"/>
        </w:rPr>
        <w:lastRenderedPageBreak/>
        <w:t xml:space="preserve">reducing the cost of medicines. However, the excessive austerity in the public health care sector literally killed first nurse and doctor before treating the patient. Even when trying to minimize impacts on health service delivery to rights-holders through strategic cuts, it is impossible to undertake such drastic cuts in a short period without jeopardizing the right to health in all its dimensions, which include accessibility, affordability, </w:t>
      </w:r>
      <w:r w:rsidR="007C1ACB">
        <w:rPr>
          <w:lang w:val="en-GB"/>
        </w:rPr>
        <w:t>acceptability and quality.</w:t>
      </w:r>
    </w:p>
    <w:p w:rsidR="0060703F" w:rsidRPr="000F2E9A" w:rsidRDefault="005573E4" w:rsidP="005573E4">
      <w:pPr>
        <w:pStyle w:val="SingleTxtG"/>
        <w:rPr>
          <w:lang w:val="en-GB"/>
        </w:rPr>
      </w:pPr>
      <w:r w:rsidRPr="000F2E9A">
        <w:rPr>
          <w:lang w:val="en-GB"/>
        </w:rPr>
        <w:t>36.</w:t>
      </w:r>
      <w:r w:rsidRPr="000F2E9A">
        <w:rPr>
          <w:lang w:val="en-GB"/>
        </w:rPr>
        <w:tab/>
      </w:r>
      <w:r w:rsidR="004C494A" w:rsidRPr="000F2E9A">
        <w:rPr>
          <w:lang w:val="en-GB"/>
        </w:rPr>
        <w:t xml:space="preserve">Education </w:t>
      </w:r>
      <w:r w:rsidR="00F75D93" w:rsidRPr="000F2E9A">
        <w:rPr>
          <w:lang w:val="en-GB"/>
        </w:rPr>
        <w:t xml:space="preserve">expenditure </w:t>
      </w:r>
      <w:r w:rsidR="00630143" w:rsidRPr="000F2E9A">
        <w:rPr>
          <w:lang w:val="en-GB"/>
        </w:rPr>
        <w:t>decreased heavily between 2009 and 2013</w:t>
      </w:r>
      <w:r w:rsidR="004C494A" w:rsidRPr="000F2E9A">
        <w:rPr>
          <w:lang w:val="en-GB"/>
        </w:rPr>
        <w:t xml:space="preserve"> with </w:t>
      </w:r>
      <w:r w:rsidR="004831CA" w:rsidRPr="000F2E9A">
        <w:rPr>
          <w:lang w:val="en-GB"/>
        </w:rPr>
        <w:t xml:space="preserve">spending on </w:t>
      </w:r>
      <w:r w:rsidR="00630143" w:rsidRPr="000F2E9A">
        <w:rPr>
          <w:lang w:val="en-GB"/>
        </w:rPr>
        <w:t xml:space="preserve">secondary schools absorbing a reduction </w:t>
      </w:r>
      <w:r w:rsidR="004C494A" w:rsidRPr="000F2E9A">
        <w:rPr>
          <w:lang w:val="en-GB"/>
        </w:rPr>
        <w:t xml:space="preserve">by </w:t>
      </w:r>
      <w:r w:rsidR="00630143" w:rsidRPr="000F2E9A">
        <w:rPr>
          <w:lang w:val="en-GB"/>
        </w:rPr>
        <w:t>24.4</w:t>
      </w:r>
      <w:r w:rsidR="00396425">
        <w:rPr>
          <w:lang w:val="en-GB"/>
        </w:rPr>
        <w:t>%</w:t>
      </w:r>
      <w:r w:rsidR="00630143" w:rsidRPr="000F2E9A">
        <w:rPr>
          <w:lang w:val="en-GB"/>
        </w:rPr>
        <w:t xml:space="preserve">. It should be noted that heavy cuts were </w:t>
      </w:r>
      <w:r w:rsidR="000D3C31" w:rsidRPr="000F2E9A">
        <w:rPr>
          <w:lang w:val="en-GB"/>
        </w:rPr>
        <w:t xml:space="preserve">also </w:t>
      </w:r>
      <w:r w:rsidR="00630143" w:rsidRPr="000F2E9A">
        <w:rPr>
          <w:lang w:val="en-GB"/>
        </w:rPr>
        <w:t>made in the field of gen</w:t>
      </w:r>
      <w:r w:rsidR="00F75D93" w:rsidRPr="000F2E9A">
        <w:rPr>
          <w:lang w:val="en-GB"/>
        </w:rPr>
        <w:t>e</w:t>
      </w:r>
      <w:r w:rsidR="00630143" w:rsidRPr="000F2E9A">
        <w:rPr>
          <w:lang w:val="en-GB"/>
        </w:rPr>
        <w:t xml:space="preserve">ral public service, reflecting </w:t>
      </w:r>
      <w:r w:rsidR="000D3C31" w:rsidRPr="000F2E9A">
        <w:rPr>
          <w:lang w:val="en-GB"/>
        </w:rPr>
        <w:t xml:space="preserve">salary reductions and </w:t>
      </w:r>
      <w:r w:rsidR="00630143" w:rsidRPr="000F2E9A">
        <w:rPr>
          <w:lang w:val="en-GB"/>
        </w:rPr>
        <w:t>hiring freezes</w:t>
      </w:r>
      <w:r w:rsidR="003A51F0" w:rsidRPr="000F2E9A">
        <w:rPr>
          <w:lang w:val="en-GB"/>
        </w:rPr>
        <w:t xml:space="preserve"> and other cost saving measures</w:t>
      </w:r>
      <w:r w:rsidR="00630143" w:rsidRPr="000F2E9A">
        <w:rPr>
          <w:lang w:val="en-GB"/>
        </w:rPr>
        <w:t xml:space="preserve">. </w:t>
      </w:r>
      <w:r w:rsidR="00F75D93" w:rsidRPr="000F2E9A">
        <w:rPr>
          <w:lang w:val="en-GB"/>
        </w:rPr>
        <w:t>While d</w:t>
      </w:r>
      <w:r w:rsidR="00630143" w:rsidRPr="000F2E9A">
        <w:rPr>
          <w:lang w:val="en-GB"/>
        </w:rPr>
        <w:t xml:space="preserve">efence expenditure per capita </w:t>
      </w:r>
      <w:r w:rsidR="000D3C31" w:rsidRPr="000F2E9A">
        <w:rPr>
          <w:lang w:val="en-GB"/>
        </w:rPr>
        <w:t xml:space="preserve">remained </w:t>
      </w:r>
      <w:r w:rsidR="00630143" w:rsidRPr="000F2E9A">
        <w:rPr>
          <w:lang w:val="en-GB"/>
        </w:rPr>
        <w:t>above Eurozone average</w:t>
      </w:r>
      <w:r w:rsidR="00F75D93" w:rsidRPr="000F2E9A">
        <w:rPr>
          <w:lang w:val="en-GB"/>
        </w:rPr>
        <w:t xml:space="preserve">, significant cost saving measures were also </w:t>
      </w:r>
      <w:r w:rsidR="000D3C31" w:rsidRPr="000F2E9A">
        <w:rPr>
          <w:lang w:val="en-GB"/>
        </w:rPr>
        <w:t xml:space="preserve">undertaken </w:t>
      </w:r>
      <w:r w:rsidR="00F75D93" w:rsidRPr="000F2E9A">
        <w:rPr>
          <w:lang w:val="en-GB"/>
        </w:rPr>
        <w:t>in this field</w:t>
      </w:r>
      <w:r w:rsidR="000D3C31" w:rsidRPr="000F2E9A">
        <w:rPr>
          <w:lang w:val="en-GB"/>
        </w:rPr>
        <w:t xml:space="preserve"> along with </w:t>
      </w:r>
      <w:r w:rsidR="00F75D93" w:rsidRPr="000F2E9A">
        <w:rPr>
          <w:lang w:val="en-GB"/>
        </w:rPr>
        <w:t>expenditure</w:t>
      </w:r>
      <w:r w:rsidR="000D3C31" w:rsidRPr="000F2E9A">
        <w:rPr>
          <w:lang w:val="en-GB"/>
        </w:rPr>
        <w:t xml:space="preserve"> reductions for</w:t>
      </w:r>
      <w:r w:rsidR="00F75D93" w:rsidRPr="000F2E9A">
        <w:rPr>
          <w:lang w:val="en-GB"/>
        </w:rPr>
        <w:t xml:space="preserve"> police, fire brigades, justice, culture, religious affairs, housing and communities amenities. The only category which saw a</w:t>
      </w:r>
      <w:r w:rsidR="003A51F0" w:rsidRPr="000F2E9A">
        <w:rPr>
          <w:lang w:val="en-GB"/>
        </w:rPr>
        <w:t>n</w:t>
      </w:r>
      <w:r w:rsidR="00F75D93" w:rsidRPr="000F2E9A">
        <w:rPr>
          <w:lang w:val="en-GB"/>
        </w:rPr>
        <w:t xml:space="preserve"> upward trend in Government expenditure was economic affairs, </w:t>
      </w:r>
      <w:r w:rsidR="0060703F" w:rsidRPr="000F2E9A">
        <w:rPr>
          <w:lang w:val="en-GB"/>
        </w:rPr>
        <w:t xml:space="preserve">reflecting the </w:t>
      </w:r>
      <w:r w:rsidR="00F932A9" w:rsidRPr="000F2E9A">
        <w:rPr>
          <w:lang w:val="en-GB"/>
        </w:rPr>
        <w:t xml:space="preserve">immense </w:t>
      </w:r>
      <w:r w:rsidR="0060703F" w:rsidRPr="000F2E9A">
        <w:rPr>
          <w:lang w:val="en-GB"/>
        </w:rPr>
        <w:t>cost of recapitalisation of Greek Banks in 2013.</w:t>
      </w:r>
    </w:p>
    <w:p w:rsidR="00C6770F" w:rsidRPr="000F2E9A" w:rsidRDefault="007C1ACB" w:rsidP="007C1ACB">
      <w:pPr>
        <w:pStyle w:val="H1G"/>
        <w:rPr>
          <w:lang w:val="en-GB" w:eastAsia="en-GB"/>
        </w:rPr>
      </w:pPr>
      <w:r>
        <w:rPr>
          <w:lang w:val="en-GB" w:eastAsia="en-GB"/>
        </w:rPr>
        <w:tab/>
        <w:t>B.</w:t>
      </w:r>
      <w:r>
        <w:rPr>
          <w:lang w:val="en-GB" w:eastAsia="en-GB"/>
        </w:rPr>
        <w:tab/>
      </w:r>
      <w:r w:rsidR="00C6770F" w:rsidRPr="000F2E9A">
        <w:rPr>
          <w:lang w:val="en-GB" w:eastAsia="en-GB"/>
        </w:rPr>
        <w:t xml:space="preserve">Measures foreseen </w:t>
      </w:r>
      <w:r w:rsidR="000C2D28" w:rsidRPr="000F2E9A">
        <w:rPr>
          <w:lang w:val="en-GB" w:eastAsia="en-GB"/>
        </w:rPr>
        <w:t>under</w:t>
      </w:r>
      <w:r w:rsidR="00C6770F" w:rsidRPr="000F2E9A">
        <w:rPr>
          <w:lang w:val="en-GB" w:eastAsia="en-GB"/>
        </w:rPr>
        <w:t xml:space="preserve"> the </w:t>
      </w:r>
      <w:r w:rsidR="000C2D28" w:rsidRPr="000F2E9A">
        <w:rPr>
          <w:lang w:val="en-GB" w:eastAsia="en-GB"/>
        </w:rPr>
        <w:t>t</w:t>
      </w:r>
      <w:r w:rsidR="00C6770F" w:rsidRPr="000F2E9A">
        <w:rPr>
          <w:lang w:val="en-GB" w:eastAsia="en-GB"/>
        </w:rPr>
        <w:t xml:space="preserve">hird </w:t>
      </w:r>
      <w:r w:rsidR="000C2D28" w:rsidRPr="000F2E9A">
        <w:rPr>
          <w:lang w:val="en-GB" w:eastAsia="en-GB"/>
        </w:rPr>
        <w:t xml:space="preserve">economic reform </w:t>
      </w:r>
      <w:r w:rsidR="00C6770F" w:rsidRPr="000F2E9A">
        <w:rPr>
          <w:lang w:val="en-GB" w:eastAsia="en-GB"/>
        </w:rPr>
        <w:t>programme</w:t>
      </w:r>
    </w:p>
    <w:p w:rsidR="00D7418E" w:rsidRPr="000F2E9A" w:rsidRDefault="005573E4" w:rsidP="005573E4">
      <w:pPr>
        <w:pStyle w:val="SingleTxtG"/>
        <w:rPr>
          <w:lang w:val="en-GB"/>
        </w:rPr>
      </w:pPr>
      <w:r w:rsidRPr="000F2E9A">
        <w:rPr>
          <w:lang w:val="en-GB"/>
        </w:rPr>
        <w:t>37.</w:t>
      </w:r>
      <w:r w:rsidRPr="000F2E9A">
        <w:rPr>
          <w:lang w:val="en-GB"/>
        </w:rPr>
        <w:tab/>
      </w:r>
      <w:r w:rsidR="000905F3" w:rsidRPr="000F2E9A">
        <w:rPr>
          <w:lang w:val="en-GB"/>
        </w:rPr>
        <w:t xml:space="preserve">From a human rights point of view the most sensitive contents of the </w:t>
      </w:r>
      <w:r w:rsidR="000C2D28" w:rsidRPr="000F2E9A">
        <w:rPr>
          <w:lang w:val="en-GB"/>
        </w:rPr>
        <w:t xml:space="preserve">third economic </w:t>
      </w:r>
      <w:r w:rsidR="000905F3" w:rsidRPr="000F2E9A">
        <w:rPr>
          <w:lang w:val="en-GB"/>
        </w:rPr>
        <w:t>programme include</w:t>
      </w:r>
      <w:r w:rsidR="003A244B" w:rsidRPr="000F2E9A">
        <w:rPr>
          <w:lang w:val="en-GB"/>
        </w:rPr>
        <w:t xml:space="preserve"> the</w:t>
      </w:r>
      <w:r w:rsidR="000905F3" w:rsidRPr="000F2E9A">
        <w:rPr>
          <w:lang w:val="en-GB"/>
        </w:rPr>
        <w:t xml:space="preserve"> pension reform, aiming at further reducing spending on pensions by 1</w:t>
      </w:r>
      <w:r w:rsidR="00396425">
        <w:rPr>
          <w:lang w:val="en-GB"/>
        </w:rPr>
        <w:t>%</w:t>
      </w:r>
      <w:r w:rsidR="000905F3" w:rsidRPr="000F2E9A">
        <w:rPr>
          <w:lang w:val="en-GB"/>
        </w:rPr>
        <w:t xml:space="preserve"> of GDP and a Social Welfare Review that shall generate further reductions by 0.5</w:t>
      </w:r>
      <w:r w:rsidR="00396425">
        <w:rPr>
          <w:lang w:val="en-GB"/>
        </w:rPr>
        <w:t>%</w:t>
      </w:r>
      <w:r w:rsidR="000905F3" w:rsidRPr="000F2E9A">
        <w:rPr>
          <w:lang w:val="en-GB"/>
        </w:rPr>
        <w:t xml:space="preserve"> of GDP in public </w:t>
      </w:r>
      <w:r w:rsidR="008C37C3" w:rsidRPr="000F2E9A">
        <w:rPr>
          <w:lang w:val="en-GB"/>
        </w:rPr>
        <w:t>social spending.</w:t>
      </w:r>
    </w:p>
    <w:p w:rsidR="008D29F6" w:rsidRPr="000F2E9A" w:rsidRDefault="005573E4" w:rsidP="005573E4">
      <w:pPr>
        <w:pStyle w:val="SingleTxtG"/>
        <w:rPr>
          <w:lang w:val="en-GB"/>
        </w:rPr>
      </w:pPr>
      <w:r w:rsidRPr="000F2E9A">
        <w:rPr>
          <w:lang w:val="en-GB"/>
        </w:rPr>
        <w:t>38.</w:t>
      </w:r>
      <w:r w:rsidRPr="000F2E9A">
        <w:rPr>
          <w:lang w:val="en-GB"/>
        </w:rPr>
        <w:tab/>
      </w:r>
      <w:r w:rsidR="005B07E0" w:rsidRPr="000F2E9A">
        <w:rPr>
          <w:lang w:val="en-GB"/>
        </w:rPr>
        <w:t xml:space="preserve">While the Independent Expert fully supports </w:t>
      </w:r>
      <w:r w:rsidR="000C2D28" w:rsidRPr="000F2E9A">
        <w:rPr>
          <w:lang w:val="en-GB"/>
        </w:rPr>
        <w:t xml:space="preserve">efforts </w:t>
      </w:r>
      <w:r w:rsidR="005B07E0" w:rsidRPr="000F2E9A">
        <w:rPr>
          <w:lang w:val="en-GB"/>
        </w:rPr>
        <w:t xml:space="preserve">to redirect social welfare </w:t>
      </w:r>
      <w:r w:rsidR="00D7418E" w:rsidRPr="000F2E9A">
        <w:rPr>
          <w:lang w:val="en-GB"/>
        </w:rPr>
        <w:t xml:space="preserve">benefits </w:t>
      </w:r>
      <w:r w:rsidR="00C967F4" w:rsidRPr="000F2E9A">
        <w:rPr>
          <w:lang w:val="en-GB"/>
        </w:rPr>
        <w:t xml:space="preserve">to </w:t>
      </w:r>
      <w:r w:rsidR="005006D0" w:rsidRPr="000F2E9A">
        <w:rPr>
          <w:lang w:val="en-GB"/>
        </w:rPr>
        <w:t xml:space="preserve">protect the </w:t>
      </w:r>
      <w:r w:rsidR="005B07E0" w:rsidRPr="000F2E9A">
        <w:rPr>
          <w:lang w:val="en-GB"/>
        </w:rPr>
        <w:t>most vulnerable</w:t>
      </w:r>
      <w:r w:rsidR="00D834CF" w:rsidRPr="000F2E9A">
        <w:rPr>
          <w:lang w:val="en-GB"/>
        </w:rPr>
        <w:t xml:space="preserve">, he seriously would like to question further cuts in social welfare spending </w:t>
      </w:r>
      <w:r w:rsidR="00C967F4" w:rsidRPr="000F2E9A">
        <w:rPr>
          <w:lang w:val="en-GB"/>
        </w:rPr>
        <w:t xml:space="preserve">of about </w:t>
      </w:r>
      <w:r w:rsidR="006D248B" w:rsidRPr="000F2E9A">
        <w:rPr>
          <w:lang w:val="en-GB"/>
        </w:rPr>
        <w:t xml:space="preserve">887 </w:t>
      </w:r>
      <w:r w:rsidR="00C967F4" w:rsidRPr="000F2E9A">
        <w:rPr>
          <w:lang w:val="en-GB"/>
        </w:rPr>
        <w:t xml:space="preserve">Million </w:t>
      </w:r>
      <w:r w:rsidR="006D248B" w:rsidRPr="000F2E9A">
        <w:rPr>
          <w:lang w:val="en-GB"/>
        </w:rPr>
        <w:t xml:space="preserve">EUR </w:t>
      </w:r>
      <w:r w:rsidR="00C967F4" w:rsidRPr="000F2E9A">
        <w:rPr>
          <w:lang w:val="en-GB"/>
        </w:rPr>
        <w:t xml:space="preserve">per annum </w:t>
      </w:r>
      <w:r w:rsidR="00D834CF" w:rsidRPr="000F2E9A">
        <w:rPr>
          <w:lang w:val="en-GB"/>
        </w:rPr>
        <w:t xml:space="preserve">in the context of </w:t>
      </w:r>
      <w:r w:rsidR="005006D0" w:rsidRPr="000F2E9A">
        <w:rPr>
          <w:lang w:val="en-GB"/>
        </w:rPr>
        <w:t xml:space="preserve">significant increased poverty and social exclusion </w:t>
      </w:r>
      <w:r w:rsidR="00D834CF" w:rsidRPr="000F2E9A">
        <w:rPr>
          <w:lang w:val="en-GB"/>
        </w:rPr>
        <w:t>in Greece</w:t>
      </w:r>
      <w:r w:rsidR="00D7418E" w:rsidRPr="000F2E9A">
        <w:rPr>
          <w:lang w:val="en-GB"/>
        </w:rPr>
        <w:t>. I</w:t>
      </w:r>
      <w:r w:rsidR="00D834CF" w:rsidRPr="000F2E9A">
        <w:rPr>
          <w:lang w:val="en-GB"/>
        </w:rPr>
        <w:t xml:space="preserve">n his view </w:t>
      </w:r>
      <w:r w:rsidR="00D7418E" w:rsidRPr="000F2E9A">
        <w:rPr>
          <w:lang w:val="en-GB"/>
        </w:rPr>
        <w:t xml:space="preserve">such reductions </w:t>
      </w:r>
      <w:r w:rsidR="005F74B3" w:rsidRPr="000F2E9A">
        <w:rPr>
          <w:lang w:val="en-GB"/>
        </w:rPr>
        <w:t xml:space="preserve">on top of earlier cuts </w:t>
      </w:r>
      <w:r w:rsidR="00D7418E" w:rsidRPr="000F2E9A">
        <w:rPr>
          <w:lang w:val="en-GB"/>
        </w:rPr>
        <w:t xml:space="preserve">are </w:t>
      </w:r>
      <w:r w:rsidR="00D834CF" w:rsidRPr="000F2E9A">
        <w:rPr>
          <w:lang w:val="en-GB"/>
        </w:rPr>
        <w:t>incompatible with the obligation to ensure that all persons in Greece can enjoy at least core minim essential levels of social and economic rights</w:t>
      </w:r>
      <w:r w:rsidR="00D7418E" w:rsidRPr="000F2E9A">
        <w:rPr>
          <w:lang w:val="en-GB"/>
        </w:rPr>
        <w:t xml:space="preserve"> and </w:t>
      </w:r>
      <w:r w:rsidR="008D29F6" w:rsidRPr="000F2E9A">
        <w:rPr>
          <w:lang w:val="en-GB"/>
        </w:rPr>
        <w:t xml:space="preserve">incompatible with obligations contained in </w:t>
      </w:r>
      <w:r w:rsidR="00D7418E" w:rsidRPr="000F2E9A">
        <w:rPr>
          <w:lang w:val="en-GB"/>
        </w:rPr>
        <w:t>article 2(1) of the ICSECR</w:t>
      </w:r>
      <w:r w:rsidR="00D834CF" w:rsidRPr="000F2E9A">
        <w:rPr>
          <w:lang w:val="en-GB"/>
        </w:rPr>
        <w:t>.</w:t>
      </w:r>
    </w:p>
    <w:p w:rsidR="00C967F4" w:rsidRPr="000F2E9A" w:rsidRDefault="005573E4" w:rsidP="005573E4">
      <w:pPr>
        <w:pStyle w:val="SingleTxtG"/>
        <w:rPr>
          <w:lang w:val="en-GB"/>
        </w:rPr>
      </w:pPr>
      <w:r w:rsidRPr="000F2E9A">
        <w:rPr>
          <w:lang w:val="en-GB"/>
        </w:rPr>
        <w:t>39.</w:t>
      </w:r>
      <w:r w:rsidRPr="000F2E9A">
        <w:rPr>
          <w:lang w:val="en-GB"/>
        </w:rPr>
        <w:tab/>
      </w:r>
      <w:r w:rsidR="00C967F4" w:rsidRPr="000F2E9A">
        <w:rPr>
          <w:lang w:val="en-GB"/>
        </w:rPr>
        <w:t>The planned introduction of a Guaranteed-Minimum-Income</w:t>
      </w:r>
      <w:r w:rsidR="002E1430" w:rsidRPr="000F2E9A">
        <w:rPr>
          <w:lang w:val="en-GB"/>
        </w:rPr>
        <w:t xml:space="preserve"> (GMI)</w:t>
      </w:r>
      <w:r w:rsidR="00C967F4" w:rsidRPr="000F2E9A">
        <w:rPr>
          <w:lang w:val="en-GB"/>
        </w:rPr>
        <w:t xml:space="preserve"> Scheme</w:t>
      </w:r>
      <w:r w:rsidR="00D7418E" w:rsidRPr="000F2E9A">
        <w:rPr>
          <w:lang w:val="en-GB"/>
        </w:rPr>
        <w:t>,</w:t>
      </w:r>
      <w:r w:rsidR="00C967F4" w:rsidRPr="000F2E9A">
        <w:rPr>
          <w:lang w:val="en-GB"/>
        </w:rPr>
        <w:t xml:space="preserve"> which essential</w:t>
      </w:r>
      <w:r w:rsidR="001B7BB9" w:rsidRPr="000F2E9A">
        <w:rPr>
          <w:lang w:val="en-GB"/>
        </w:rPr>
        <w:t>ly</w:t>
      </w:r>
      <w:r w:rsidR="00C967F4" w:rsidRPr="000F2E9A">
        <w:rPr>
          <w:lang w:val="en-GB"/>
        </w:rPr>
        <w:t xml:space="preserve"> shall close large gaps in the Greek social welfare net</w:t>
      </w:r>
      <w:r w:rsidR="00D7418E" w:rsidRPr="000F2E9A">
        <w:rPr>
          <w:lang w:val="en-GB"/>
        </w:rPr>
        <w:t xml:space="preserve">, should </w:t>
      </w:r>
      <w:r w:rsidR="000459A4" w:rsidRPr="000F2E9A">
        <w:rPr>
          <w:lang w:val="en-GB"/>
        </w:rPr>
        <w:t xml:space="preserve">already </w:t>
      </w:r>
      <w:r w:rsidR="008D29F6" w:rsidRPr="000F2E9A">
        <w:rPr>
          <w:lang w:val="en-GB"/>
        </w:rPr>
        <w:t xml:space="preserve">have been </w:t>
      </w:r>
      <w:r w:rsidR="00D7418E" w:rsidRPr="000F2E9A">
        <w:rPr>
          <w:lang w:val="en-GB"/>
        </w:rPr>
        <w:t xml:space="preserve">a priority of reform </w:t>
      </w:r>
      <w:r w:rsidR="000459A4" w:rsidRPr="000F2E9A">
        <w:rPr>
          <w:lang w:val="en-GB"/>
        </w:rPr>
        <w:t xml:space="preserve">in 2011 and 2012 </w:t>
      </w:r>
      <w:r w:rsidR="008D29F6" w:rsidRPr="000F2E9A">
        <w:rPr>
          <w:lang w:val="en-GB"/>
        </w:rPr>
        <w:t xml:space="preserve">to counter </w:t>
      </w:r>
      <w:r w:rsidR="002E1430" w:rsidRPr="000F2E9A">
        <w:rPr>
          <w:lang w:val="en-GB"/>
        </w:rPr>
        <w:t xml:space="preserve">the adverse human rights impacts of </w:t>
      </w:r>
      <w:r w:rsidR="008D29F6" w:rsidRPr="000F2E9A">
        <w:rPr>
          <w:lang w:val="en-GB"/>
        </w:rPr>
        <w:t xml:space="preserve">adjustment. </w:t>
      </w:r>
      <w:r w:rsidR="00BE0BA1" w:rsidRPr="000F2E9A">
        <w:rPr>
          <w:lang w:val="en-GB"/>
        </w:rPr>
        <w:t xml:space="preserve">He is however worried that </w:t>
      </w:r>
      <w:r w:rsidR="008D29F6" w:rsidRPr="000F2E9A">
        <w:rPr>
          <w:lang w:val="en-GB"/>
        </w:rPr>
        <w:t xml:space="preserve">this important reform shall be </w:t>
      </w:r>
      <w:r w:rsidR="00C967F4" w:rsidRPr="000F2E9A">
        <w:rPr>
          <w:lang w:val="en-GB"/>
        </w:rPr>
        <w:t xml:space="preserve">implemented in </w:t>
      </w:r>
      <w:r w:rsidR="00D7418E" w:rsidRPr="000F2E9A">
        <w:rPr>
          <w:lang w:val="en-GB"/>
        </w:rPr>
        <w:t>“</w:t>
      </w:r>
      <w:r w:rsidR="00C967F4" w:rsidRPr="000F2E9A">
        <w:rPr>
          <w:lang w:val="en-GB"/>
        </w:rPr>
        <w:t>a fiscally neutral manner</w:t>
      </w:r>
      <w:r w:rsidR="00D7418E" w:rsidRPr="000F2E9A">
        <w:rPr>
          <w:lang w:val="en-GB"/>
        </w:rPr>
        <w:t>”</w:t>
      </w:r>
      <w:r w:rsidR="008D29F6" w:rsidRPr="000F2E9A">
        <w:rPr>
          <w:lang w:val="en-GB"/>
        </w:rPr>
        <w:t xml:space="preserve">. This risks that </w:t>
      </w:r>
      <w:r w:rsidR="00C967F4" w:rsidRPr="000F2E9A">
        <w:rPr>
          <w:lang w:val="en-GB"/>
        </w:rPr>
        <w:t xml:space="preserve">either the </w:t>
      </w:r>
      <w:r w:rsidR="002E1430" w:rsidRPr="000F2E9A">
        <w:rPr>
          <w:lang w:val="en-GB"/>
        </w:rPr>
        <w:t xml:space="preserve">GMI </w:t>
      </w:r>
      <w:r w:rsidR="00D7418E" w:rsidRPr="000F2E9A">
        <w:rPr>
          <w:lang w:val="en-GB"/>
        </w:rPr>
        <w:t>s</w:t>
      </w:r>
      <w:r w:rsidR="00C967F4" w:rsidRPr="000F2E9A">
        <w:rPr>
          <w:lang w:val="en-GB"/>
        </w:rPr>
        <w:t>cheme will not reach all in need</w:t>
      </w:r>
      <w:r w:rsidR="008D29F6" w:rsidRPr="000F2E9A">
        <w:rPr>
          <w:lang w:val="en-GB"/>
        </w:rPr>
        <w:t xml:space="preserve">, </w:t>
      </w:r>
      <w:r w:rsidR="00C967F4" w:rsidRPr="000F2E9A">
        <w:rPr>
          <w:lang w:val="en-GB"/>
        </w:rPr>
        <w:t xml:space="preserve">or </w:t>
      </w:r>
      <w:r w:rsidR="002E1430" w:rsidRPr="000F2E9A">
        <w:rPr>
          <w:lang w:val="en-GB"/>
        </w:rPr>
        <w:t xml:space="preserve">that </w:t>
      </w:r>
      <w:r w:rsidR="008D29F6" w:rsidRPr="000F2E9A">
        <w:rPr>
          <w:lang w:val="en-GB"/>
        </w:rPr>
        <w:t xml:space="preserve">individual </w:t>
      </w:r>
      <w:r w:rsidR="00950430" w:rsidRPr="000F2E9A">
        <w:rPr>
          <w:lang w:val="en-GB"/>
        </w:rPr>
        <w:t xml:space="preserve">levels of </w:t>
      </w:r>
      <w:r w:rsidR="00C967F4" w:rsidRPr="000F2E9A">
        <w:rPr>
          <w:lang w:val="en-GB"/>
        </w:rPr>
        <w:t xml:space="preserve">benefits </w:t>
      </w:r>
      <w:r w:rsidR="00CA1D66" w:rsidRPr="000F2E9A">
        <w:rPr>
          <w:lang w:val="en-GB"/>
        </w:rPr>
        <w:t xml:space="preserve">could </w:t>
      </w:r>
      <w:r w:rsidR="00C967F4" w:rsidRPr="000F2E9A">
        <w:rPr>
          <w:lang w:val="en-GB"/>
        </w:rPr>
        <w:t>los</w:t>
      </w:r>
      <w:r w:rsidR="005F74B3" w:rsidRPr="000F2E9A">
        <w:rPr>
          <w:lang w:val="en-GB"/>
        </w:rPr>
        <w:t>e</w:t>
      </w:r>
      <w:r w:rsidR="00D7418E" w:rsidRPr="000F2E9A">
        <w:rPr>
          <w:lang w:val="en-GB"/>
        </w:rPr>
        <w:t xml:space="preserve"> the intended </w:t>
      </w:r>
      <w:r w:rsidR="00C967F4" w:rsidRPr="000F2E9A">
        <w:rPr>
          <w:lang w:val="en-GB"/>
        </w:rPr>
        <w:t xml:space="preserve">function to </w:t>
      </w:r>
      <w:r w:rsidR="00D7418E" w:rsidRPr="000F2E9A">
        <w:rPr>
          <w:lang w:val="en-GB"/>
        </w:rPr>
        <w:t xml:space="preserve">secure social and economic rights by </w:t>
      </w:r>
      <w:r w:rsidR="00C967F4" w:rsidRPr="000F2E9A">
        <w:rPr>
          <w:lang w:val="en-GB"/>
        </w:rPr>
        <w:t>mov</w:t>
      </w:r>
      <w:r w:rsidR="00D7418E" w:rsidRPr="000F2E9A">
        <w:rPr>
          <w:lang w:val="en-GB"/>
        </w:rPr>
        <w:t>ing</w:t>
      </w:r>
      <w:r w:rsidR="00C967F4" w:rsidRPr="000F2E9A">
        <w:rPr>
          <w:lang w:val="en-GB"/>
        </w:rPr>
        <w:t xml:space="preserve"> recipients out of poverty</w:t>
      </w:r>
      <w:r w:rsidR="008D29F6" w:rsidRPr="000F2E9A">
        <w:rPr>
          <w:lang w:val="en-GB"/>
        </w:rPr>
        <w:t xml:space="preserve"> </w:t>
      </w:r>
      <w:r w:rsidR="00950430" w:rsidRPr="000F2E9A">
        <w:rPr>
          <w:lang w:val="en-GB"/>
        </w:rPr>
        <w:t>and destitution</w:t>
      </w:r>
      <w:r w:rsidR="007C1ACB">
        <w:rPr>
          <w:lang w:val="en-GB"/>
        </w:rPr>
        <w:t>.</w:t>
      </w:r>
    </w:p>
    <w:p w:rsidR="005F74B3" w:rsidRPr="000F2E9A" w:rsidRDefault="005573E4" w:rsidP="005573E4">
      <w:pPr>
        <w:pStyle w:val="SingleTxtG"/>
        <w:rPr>
          <w:lang w:val="en-GB"/>
        </w:rPr>
      </w:pPr>
      <w:r w:rsidRPr="000F2E9A">
        <w:rPr>
          <w:lang w:val="en-GB"/>
        </w:rPr>
        <w:t>40.</w:t>
      </w:r>
      <w:r w:rsidRPr="000F2E9A">
        <w:rPr>
          <w:lang w:val="en-GB"/>
        </w:rPr>
        <w:tab/>
      </w:r>
      <w:r w:rsidR="00950430" w:rsidRPr="000F2E9A">
        <w:rPr>
          <w:lang w:val="en-GB"/>
        </w:rPr>
        <w:t xml:space="preserve">The Independent Expert welcomes that </w:t>
      </w:r>
      <w:r w:rsidR="005F74B3" w:rsidRPr="000F2E9A">
        <w:rPr>
          <w:lang w:val="en-GB"/>
        </w:rPr>
        <w:t>the adjustment programme foresees the expansion of</w:t>
      </w:r>
      <w:r w:rsidR="00017C92" w:rsidRPr="000F2E9A">
        <w:rPr>
          <w:lang w:val="en-GB"/>
        </w:rPr>
        <w:t xml:space="preserve"> </w:t>
      </w:r>
      <w:r w:rsidR="00C75809" w:rsidRPr="000F2E9A">
        <w:rPr>
          <w:lang w:val="en-GB"/>
        </w:rPr>
        <w:t>g</w:t>
      </w:r>
      <w:r w:rsidR="005F74B3" w:rsidRPr="000F2E9A">
        <w:rPr>
          <w:lang w:val="en-GB"/>
        </w:rPr>
        <w:t xml:space="preserve">uaranteed employment support schemes covering currently 50.000 persons to 150.000 persons by March 2016 </w:t>
      </w:r>
      <w:r w:rsidR="00950430" w:rsidRPr="000F2E9A">
        <w:rPr>
          <w:lang w:val="en-GB"/>
        </w:rPr>
        <w:t xml:space="preserve">targeting </w:t>
      </w:r>
      <w:r w:rsidR="005F74B3" w:rsidRPr="000F2E9A">
        <w:rPr>
          <w:lang w:val="en-GB"/>
        </w:rPr>
        <w:t>long term unemployed</w:t>
      </w:r>
      <w:r w:rsidR="00950430" w:rsidRPr="000F2E9A">
        <w:rPr>
          <w:lang w:val="en-GB"/>
        </w:rPr>
        <w:t xml:space="preserve">, </w:t>
      </w:r>
      <w:r w:rsidR="005F74B3" w:rsidRPr="000F2E9A">
        <w:rPr>
          <w:lang w:val="en-GB"/>
        </w:rPr>
        <w:t>young people and disadvantaged groups</w:t>
      </w:r>
      <w:r w:rsidR="004478BE" w:rsidRPr="000F2E9A">
        <w:rPr>
          <w:lang w:val="en-GB"/>
        </w:rPr>
        <w:t>. The programmes will support job creation and include as well training combined with employment</w:t>
      </w:r>
      <w:r w:rsidR="005F74B3" w:rsidRPr="000F2E9A">
        <w:rPr>
          <w:lang w:val="en-GB"/>
        </w:rPr>
        <w:t>.</w:t>
      </w:r>
      <w:r w:rsidR="006D205D" w:rsidRPr="000F2E9A">
        <w:rPr>
          <w:lang w:val="en-GB"/>
        </w:rPr>
        <w:t xml:space="preserve"> </w:t>
      </w:r>
      <w:r w:rsidR="00950430" w:rsidRPr="000F2E9A">
        <w:rPr>
          <w:lang w:val="en-GB"/>
        </w:rPr>
        <w:t xml:space="preserve">He is however concerned that </w:t>
      </w:r>
      <w:r w:rsidR="005006D0" w:rsidRPr="000F2E9A">
        <w:rPr>
          <w:lang w:val="en-GB"/>
        </w:rPr>
        <w:t xml:space="preserve">this alone </w:t>
      </w:r>
      <w:r w:rsidR="006D205D" w:rsidRPr="000F2E9A">
        <w:rPr>
          <w:lang w:val="en-GB"/>
        </w:rPr>
        <w:t xml:space="preserve">will be insufficient to reduce </w:t>
      </w:r>
      <w:r w:rsidR="00CA1D66" w:rsidRPr="000F2E9A">
        <w:rPr>
          <w:lang w:val="en-GB"/>
        </w:rPr>
        <w:t xml:space="preserve">significantly </w:t>
      </w:r>
      <w:r w:rsidR="006D205D" w:rsidRPr="000F2E9A">
        <w:rPr>
          <w:lang w:val="en-GB"/>
        </w:rPr>
        <w:t xml:space="preserve">the </w:t>
      </w:r>
      <w:r w:rsidR="005006D0" w:rsidRPr="000F2E9A">
        <w:rPr>
          <w:lang w:val="en-GB"/>
        </w:rPr>
        <w:t xml:space="preserve">current </w:t>
      </w:r>
      <w:r w:rsidR="006D205D" w:rsidRPr="000F2E9A">
        <w:rPr>
          <w:lang w:val="en-GB"/>
        </w:rPr>
        <w:t>number of more than 1.1 million unemp</w:t>
      </w:r>
      <w:r w:rsidR="007C1ACB">
        <w:rPr>
          <w:lang w:val="en-GB"/>
        </w:rPr>
        <w:t>loyed.</w:t>
      </w:r>
    </w:p>
    <w:p w:rsidR="00C553BB" w:rsidRDefault="005573E4" w:rsidP="005573E4">
      <w:pPr>
        <w:pStyle w:val="SingleTxtG"/>
        <w:rPr>
          <w:lang w:val="en-GB"/>
        </w:rPr>
      </w:pPr>
      <w:r>
        <w:rPr>
          <w:lang w:val="en-GB"/>
        </w:rPr>
        <w:t>41.</w:t>
      </w:r>
      <w:r>
        <w:rPr>
          <w:lang w:val="en-GB"/>
        </w:rPr>
        <w:tab/>
      </w:r>
      <w:r w:rsidR="008E4F90" w:rsidRPr="000F2E9A">
        <w:rPr>
          <w:lang w:val="en-GB"/>
        </w:rPr>
        <w:t xml:space="preserve">The Memorandum of Understanding </w:t>
      </w:r>
      <w:r w:rsidR="00A44191" w:rsidRPr="000F2E9A">
        <w:rPr>
          <w:lang w:val="en-GB"/>
        </w:rPr>
        <w:t xml:space="preserve">foresees </w:t>
      </w:r>
      <w:r w:rsidR="001A73CC" w:rsidRPr="000F2E9A">
        <w:rPr>
          <w:lang w:val="en-GB"/>
        </w:rPr>
        <w:t xml:space="preserve">furthermore </w:t>
      </w:r>
      <w:r w:rsidR="00A44191" w:rsidRPr="000F2E9A">
        <w:rPr>
          <w:lang w:val="en-GB"/>
        </w:rPr>
        <w:t xml:space="preserve">an assessment of the Greek educational system </w:t>
      </w:r>
      <w:r w:rsidR="00CF354A" w:rsidRPr="000F2E9A">
        <w:rPr>
          <w:lang w:val="en-GB"/>
        </w:rPr>
        <w:t xml:space="preserve">to identify the </w:t>
      </w:r>
      <w:r w:rsidR="00A44191" w:rsidRPr="000F2E9A">
        <w:rPr>
          <w:lang w:val="en-GB"/>
        </w:rPr>
        <w:t>scope for further rationalisation of classes</w:t>
      </w:r>
      <w:r w:rsidR="00A51319" w:rsidRPr="000F2E9A">
        <w:rPr>
          <w:lang w:val="en-GB"/>
        </w:rPr>
        <w:t>,</w:t>
      </w:r>
      <w:r w:rsidR="00A44191" w:rsidRPr="000F2E9A">
        <w:rPr>
          <w:lang w:val="en-GB"/>
        </w:rPr>
        <w:t xml:space="preserve"> schools and universities.</w:t>
      </w:r>
      <w:r w:rsidR="00017C92" w:rsidRPr="000F2E9A">
        <w:rPr>
          <w:lang w:val="en-GB"/>
        </w:rPr>
        <w:t xml:space="preserve"> </w:t>
      </w:r>
      <w:r w:rsidR="00CA1D66" w:rsidRPr="000F2E9A">
        <w:rPr>
          <w:lang w:val="en-GB"/>
        </w:rPr>
        <w:t xml:space="preserve">The adjustment programme includes as well various actions to fight tax evasion and corruption, to improve collection of tax debt and outstanding social security contributions. </w:t>
      </w:r>
      <w:r w:rsidR="00EA0A66" w:rsidRPr="000F2E9A">
        <w:rPr>
          <w:lang w:val="en-GB"/>
        </w:rPr>
        <w:t>While these are laudable goals, t</w:t>
      </w:r>
      <w:r w:rsidR="00CA1D66" w:rsidRPr="000F2E9A">
        <w:rPr>
          <w:lang w:val="en-GB"/>
        </w:rPr>
        <w:t xml:space="preserve">his can contain human rights risks, if they result in increasing the vulnerability of over indebted poor individuals and households that are unable to fully repay these debts. </w:t>
      </w:r>
    </w:p>
    <w:p w:rsidR="00A44191" w:rsidRPr="000F2E9A" w:rsidRDefault="005573E4" w:rsidP="005573E4">
      <w:pPr>
        <w:pStyle w:val="SingleTxtG"/>
        <w:rPr>
          <w:lang w:val="en-GB"/>
        </w:rPr>
      </w:pPr>
      <w:r w:rsidRPr="000F2E9A">
        <w:rPr>
          <w:lang w:val="en-GB"/>
        </w:rPr>
        <w:lastRenderedPageBreak/>
        <w:t>42.</w:t>
      </w:r>
      <w:r w:rsidRPr="000F2E9A">
        <w:rPr>
          <w:lang w:val="en-GB"/>
        </w:rPr>
        <w:tab/>
      </w:r>
      <w:r w:rsidR="00A44191" w:rsidRPr="000F2E9A">
        <w:rPr>
          <w:lang w:val="en-GB"/>
        </w:rPr>
        <w:t>In the field of justice selective increase of court fees</w:t>
      </w:r>
      <w:r w:rsidR="00DC3A7D" w:rsidRPr="000F2E9A">
        <w:rPr>
          <w:lang w:val="en-GB"/>
        </w:rPr>
        <w:t xml:space="preserve"> and </w:t>
      </w:r>
      <w:r w:rsidR="00A44191" w:rsidRPr="000F2E9A">
        <w:rPr>
          <w:lang w:val="en-GB"/>
        </w:rPr>
        <w:t>measures to address backlog of cases in administrative and civil courts</w:t>
      </w:r>
      <w:r w:rsidR="00DC3A7D" w:rsidRPr="000F2E9A">
        <w:rPr>
          <w:lang w:val="en-GB"/>
        </w:rPr>
        <w:t xml:space="preserve"> are</w:t>
      </w:r>
      <w:r w:rsidR="00C75809" w:rsidRPr="000F2E9A">
        <w:rPr>
          <w:lang w:val="en-GB"/>
        </w:rPr>
        <w:t xml:space="preserve"> planned</w:t>
      </w:r>
      <w:r w:rsidR="006D205D" w:rsidRPr="000F2E9A">
        <w:rPr>
          <w:lang w:val="en-GB"/>
        </w:rPr>
        <w:t>.</w:t>
      </w:r>
      <w:r w:rsidR="00DC3A7D" w:rsidRPr="000F2E9A">
        <w:rPr>
          <w:lang w:val="en-GB"/>
        </w:rPr>
        <w:t xml:space="preserve"> Main focus appears to be speeding up justice that may </w:t>
      </w:r>
      <w:r w:rsidR="006D248B" w:rsidRPr="000F2E9A">
        <w:rPr>
          <w:lang w:val="en-GB"/>
        </w:rPr>
        <w:t xml:space="preserve">be positive if rights–holders may receive justice more speedily, but can </w:t>
      </w:r>
      <w:r w:rsidR="00DC3A7D" w:rsidRPr="000F2E9A">
        <w:rPr>
          <w:lang w:val="en-GB"/>
        </w:rPr>
        <w:t>result in problematic outcomes</w:t>
      </w:r>
      <w:r w:rsidR="006D248B" w:rsidRPr="000F2E9A">
        <w:rPr>
          <w:lang w:val="en-GB"/>
        </w:rPr>
        <w:t xml:space="preserve">, if it involves reducing due process guarantees or </w:t>
      </w:r>
      <w:r w:rsidR="00565507" w:rsidRPr="000F2E9A">
        <w:rPr>
          <w:lang w:val="en-GB"/>
        </w:rPr>
        <w:t>imposing</w:t>
      </w:r>
      <w:r w:rsidR="00017C92" w:rsidRPr="000F2E9A">
        <w:rPr>
          <w:lang w:val="en-GB"/>
        </w:rPr>
        <w:t xml:space="preserve"> </w:t>
      </w:r>
      <w:r w:rsidR="00C75809" w:rsidRPr="000F2E9A">
        <w:rPr>
          <w:lang w:val="en-GB"/>
        </w:rPr>
        <w:t xml:space="preserve">barriers to </w:t>
      </w:r>
      <w:r w:rsidR="006D248B" w:rsidRPr="000F2E9A">
        <w:rPr>
          <w:lang w:val="en-GB"/>
        </w:rPr>
        <w:t xml:space="preserve">justice </w:t>
      </w:r>
      <w:r w:rsidR="00565507" w:rsidRPr="000F2E9A">
        <w:rPr>
          <w:lang w:val="en-GB"/>
        </w:rPr>
        <w:t xml:space="preserve">through </w:t>
      </w:r>
      <w:r w:rsidR="006D248B" w:rsidRPr="000F2E9A">
        <w:rPr>
          <w:lang w:val="en-GB"/>
        </w:rPr>
        <w:t>prohibitive court fees</w:t>
      </w:r>
      <w:r w:rsidR="00DC3A7D" w:rsidRPr="000F2E9A">
        <w:rPr>
          <w:lang w:val="en-GB"/>
        </w:rPr>
        <w:t xml:space="preserve">. On the positive the adjustment programme requires </w:t>
      </w:r>
      <w:r w:rsidR="00565507" w:rsidRPr="000F2E9A">
        <w:rPr>
          <w:lang w:val="en-GB"/>
        </w:rPr>
        <w:t xml:space="preserve">a </w:t>
      </w:r>
      <w:r w:rsidR="001A73CC" w:rsidRPr="000F2E9A">
        <w:rPr>
          <w:lang w:val="en-GB"/>
        </w:rPr>
        <w:t>proposal from the Greek Government aimed at</w:t>
      </w:r>
      <w:r w:rsidR="00DC3A7D" w:rsidRPr="000F2E9A">
        <w:rPr>
          <w:lang w:val="en-GB"/>
        </w:rPr>
        <w:t xml:space="preserve"> ensur</w:t>
      </w:r>
      <w:r w:rsidR="001A73CC" w:rsidRPr="000F2E9A">
        <w:rPr>
          <w:lang w:val="en-GB"/>
        </w:rPr>
        <w:t>ing</w:t>
      </w:r>
      <w:r w:rsidR="00DC3A7D" w:rsidRPr="000F2E9A">
        <w:rPr>
          <w:lang w:val="en-GB"/>
        </w:rPr>
        <w:t xml:space="preserve"> better access to</w:t>
      </w:r>
      <w:r w:rsidR="007C1ACB">
        <w:rPr>
          <w:lang w:val="en-GB"/>
        </w:rPr>
        <w:t xml:space="preserve"> justice of vulnerable persons.</w:t>
      </w:r>
    </w:p>
    <w:p w:rsidR="00C6770F" w:rsidRPr="000F2E9A" w:rsidRDefault="007C1ACB" w:rsidP="007C1ACB">
      <w:pPr>
        <w:pStyle w:val="H1G"/>
        <w:rPr>
          <w:lang w:val="en-GB" w:eastAsia="en-GB"/>
        </w:rPr>
      </w:pPr>
      <w:r>
        <w:rPr>
          <w:lang w:val="en-GB" w:eastAsia="en-GB"/>
        </w:rPr>
        <w:tab/>
        <w:t>C.</w:t>
      </w:r>
      <w:r>
        <w:rPr>
          <w:lang w:val="en-GB" w:eastAsia="en-GB"/>
        </w:rPr>
        <w:tab/>
      </w:r>
      <w:r w:rsidR="00107C58" w:rsidRPr="000F2E9A">
        <w:rPr>
          <w:lang w:val="en-GB" w:eastAsia="en-GB"/>
        </w:rPr>
        <w:t>Social impact assessment of the European Commission</w:t>
      </w:r>
    </w:p>
    <w:p w:rsidR="00A65794" w:rsidRPr="000F2E9A" w:rsidRDefault="005573E4" w:rsidP="005573E4">
      <w:pPr>
        <w:pStyle w:val="SingleTxtG"/>
        <w:rPr>
          <w:lang w:val="en-GB"/>
        </w:rPr>
      </w:pPr>
      <w:r w:rsidRPr="000F2E9A">
        <w:rPr>
          <w:lang w:val="en-GB"/>
        </w:rPr>
        <w:t>43.</w:t>
      </w:r>
      <w:r w:rsidRPr="000F2E9A">
        <w:rPr>
          <w:lang w:val="en-GB"/>
        </w:rPr>
        <w:tab/>
      </w:r>
      <w:r w:rsidR="00107C58" w:rsidRPr="000F2E9A">
        <w:rPr>
          <w:lang w:val="en-GB"/>
        </w:rPr>
        <w:t xml:space="preserve">The </w:t>
      </w:r>
      <w:r w:rsidR="00A65794" w:rsidRPr="000F2E9A">
        <w:rPr>
          <w:lang w:val="en-GB"/>
        </w:rPr>
        <w:t>I</w:t>
      </w:r>
      <w:r w:rsidR="00107C58" w:rsidRPr="000F2E9A">
        <w:rPr>
          <w:lang w:val="en-GB"/>
        </w:rPr>
        <w:t xml:space="preserve">ndependent </w:t>
      </w:r>
      <w:r w:rsidR="00A65794" w:rsidRPr="000F2E9A">
        <w:rPr>
          <w:lang w:val="en-GB"/>
        </w:rPr>
        <w:t>E</w:t>
      </w:r>
      <w:r w:rsidR="00107C58" w:rsidRPr="000F2E9A">
        <w:rPr>
          <w:lang w:val="en-GB"/>
        </w:rPr>
        <w:t>xpert welcomes the publication of a social impact assessment for the</w:t>
      </w:r>
      <w:r w:rsidR="00F55A8C" w:rsidRPr="000F2E9A">
        <w:rPr>
          <w:lang w:val="en-GB"/>
        </w:rPr>
        <w:t xml:space="preserve"> third adjustment programme </w:t>
      </w:r>
      <w:r w:rsidR="00565507" w:rsidRPr="000F2E9A">
        <w:rPr>
          <w:lang w:val="en-GB"/>
        </w:rPr>
        <w:t xml:space="preserve">by the European Commission </w:t>
      </w:r>
      <w:r w:rsidR="00F55A8C" w:rsidRPr="000F2E9A">
        <w:rPr>
          <w:lang w:val="en-GB"/>
        </w:rPr>
        <w:t>in A</w:t>
      </w:r>
      <w:r w:rsidR="00107C58" w:rsidRPr="000F2E9A">
        <w:rPr>
          <w:lang w:val="en-GB"/>
        </w:rPr>
        <w:t>ugust 2015.</w:t>
      </w:r>
      <w:r w:rsidR="00765433" w:rsidRPr="000F2E9A">
        <w:rPr>
          <w:rStyle w:val="FootnoteReference"/>
          <w:lang w:val="en-GB"/>
        </w:rPr>
        <w:footnoteReference w:id="25"/>
      </w:r>
      <w:r w:rsidR="00107C58" w:rsidRPr="000F2E9A">
        <w:rPr>
          <w:lang w:val="en-GB"/>
        </w:rPr>
        <w:t xml:space="preserve"> However, he regrets that the document fails to evaluate the social impacts caused by the first and the second adjustment programme and thus fails to draw any lessons from what </w:t>
      </w:r>
      <w:r w:rsidR="007C1ACB">
        <w:rPr>
          <w:lang w:val="en-GB"/>
        </w:rPr>
        <w:t>went wrong.</w:t>
      </w:r>
    </w:p>
    <w:p w:rsidR="00C6770F" w:rsidRPr="000F2E9A" w:rsidRDefault="005573E4" w:rsidP="005573E4">
      <w:pPr>
        <w:pStyle w:val="SingleTxtG"/>
        <w:rPr>
          <w:lang w:val="en-GB"/>
        </w:rPr>
      </w:pPr>
      <w:r w:rsidRPr="000F2E9A">
        <w:rPr>
          <w:lang w:val="en-GB"/>
        </w:rPr>
        <w:t>44.</w:t>
      </w:r>
      <w:r w:rsidRPr="000F2E9A">
        <w:rPr>
          <w:lang w:val="en-GB"/>
        </w:rPr>
        <w:tab/>
      </w:r>
      <w:r w:rsidR="00D3784C" w:rsidRPr="000F2E9A">
        <w:rPr>
          <w:lang w:val="en-GB"/>
        </w:rPr>
        <w:t xml:space="preserve"> </w:t>
      </w:r>
      <w:r w:rsidR="0041401A" w:rsidRPr="000F2E9A">
        <w:rPr>
          <w:lang w:val="en-GB"/>
        </w:rPr>
        <w:t xml:space="preserve">The </w:t>
      </w:r>
      <w:r w:rsidR="00D3784C" w:rsidRPr="000F2E9A">
        <w:rPr>
          <w:lang w:val="en-GB"/>
        </w:rPr>
        <w:t xml:space="preserve">social impact assessment </w:t>
      </w:r>
      <w:r w:rsidR="00E27481" w:rsidRPr="000F2E9A">
        <w:rPr>
          <w:lang w:val="en-GB"/>
        </w:rPr>
        <w:t xml:space="preserve">is not a </w:t>
      </w:r>
      <w:r w:rsidR="00D3784C" w:rsidRPr="000F2E9A">
        <w:rPr>
          <w:lang w:val="en-GB"/>
        </w:rPr>
        <w:t xml:space="preserve">human rights assessment. </w:t>
      </w:r>
      <w:r w:rsidR="0041401A" w:rsidRPr="000F2E9A">
        <w:rPr>
          <w:lang w:val="en-GB"/>
        </w:rPr>
        <w:t>I</w:t>
      </w:r>
      <w:r w:rsidR="00D3784C" w:rsidRPr="000F2E9A">
        <w:rPr>
          <w:lang w:val="en-GB"/>
        </w:rPr>
        <w:t xml:space="preserve">t </w:t>
      </w:r>
      <w:r w:rsidR="004249EE" w:rsidRPr="000F2E9A">
        <w:rPr>
          <w:lang w:val="en-GB"/>
        </w:rPr>
        <w:t xml:space="preserve">does </w:t>
      </w:r>
      <w:r w:rsidR="00107C58" w:rsidRPr="000F2E9A">
        <w:rPr>
          <w:lang w:val="en-GB"/>
        </w:rPr>
        <w:t>not make any reference to human rights</w:t>
      </w:r>
      <w:r w:rsidR="008E4F90" w:rsidRPr="000F2E9A">
        <w:rPr>
          <w:lang w:val="en-GB"/>
        </w:rPr>
        <w:t>,</w:t>
      </w:r>
      <w:r w:rsidR="00107C58" w:rsidRPr="000F2E9A">
        <w:rPr>
          <w:lang w:val="en-GB"/>
        </w:rPr>
        <w:t xml:space="preserve"> nor to the rulings by the Greek Council of State, recommendations by the Greek National Commission </w:t>
      </w:r>
      <w:r w:rsidR="00FF637B" w:rsidRPr="000F2E9A">
        <w:rPr>
          <w:lang w:val="en-GB"/>
        </w:rPr>
        <w:t>for</w:t>
      </w:r>
      <w:r w:rsidR="00107C58" w:rsidRPr="000F2E9A">
        <w:rPr>
          <w:lang w:val="en-GB"/>
        </w:rPr>
        <w:t xml:space="preserve"> Human </w:t>
      </w:r>
      <w:proofErr w:type="gramStart"/>
      <w:r w:rsidR="00107C58" w:rsidRPr="000F2E9A">
        <w:rPr>
          <w:lang w:val="en-GB"/>
        </w:rPr>
        <w:t>Rights,</w:t>
      </w:r>
      <w:proofErr w:type="gramEnd"/>
      <w:r w:rsidR="00107C58" w:rsidRPr="000F2E9A">
        <w:rPr>
          <w:lang w:val="en-GB"/>
        </w:rPr>
        <w:t xml:space="preserve"> or to the comprehensive country study carried out on behalf of the European Parliament on the impact of the crisis on fundamental rights in Greece. </w:t>
      </w:r>
      <w:r w:rsidR="008E4F90" w:rsidRPr="000F2E9A">
        <w:rPr>
          <w:lang w:val="en-GB"/>
        </w:rPr>
        <w:t>I</w:t>
      </w:r>
      <w:r w:rsidR="00107C58" w:rsidRPr="000F2E9A">
        <w:rPr>
          <w:lang w:val="en-GB"/>
        </w:rPr>
        <w:t xml:space="preserve">t </w:t>
      </w:r>
      <w:r w:rsidR="008E4F90" w:rsidRPr="000F2E9A">
        <w:rPr>
          <w:lang w:val="en-GB"/>
        </w:rPr>
        <w:t xml:space="preserve">does not </w:t>
      </w:r>
      <w:r w:rsidR="00107C58" w:rsidRPr="000F2E9A">
        <w:rPr>
          <w:lang w:val="en-GB"/>
        </w:rPr>
        <w:t>consider the views of the Council of Europe, the European Social Committee monitoring the implementation of the European Social Charter, or findings and recommendations by human rights mechanism of the United Nations, including those of his predecessor.</w:t>
      </w:r>
    </w:p>
    <w:p w:rsidR="004831CA" w:rsidRPr="000F2E9A" w:rsidRDefault="007C1ACB" w:rsidP="007C1ACB">
      <w:pPr>
        <w:pStyle w:val="H1G"/>
        <w:rPr>
          <w:lang w:val="en-GB" w:eastAsia="en-GB"/>
        </w:rPr>
      </w:pPr>
      <w:r>
        <w:rPr>
          <w:lang w:val="en-GB" w:eastAsia="en-GB"/>
        </w:rPr>
        <w:tab/>
      </w:r>
      <w:r w:rsidR="00B65D48">
        <w:rPr>
          <w:lang w:val="en-GB" w:eastAsia="en-GB"/>
        </w:rPr>
        <w:t>D</w:t>
      </w:r>
      <w:r>
        <w:rPr>
          <w:lang w:val="en-GB" w:eastAsia="en-GB"/>
        </w:rPr>
        <w:t>.</w:t>
      </w:r>
      <w:r>
        <w:rPr>
          <w:lang w:val="en-GB" w:eastAsia="en-GB"/>
        </w:rPr>
        <w:tab/>
      </w:r>
      <w:r w:rsidR="00B65D48">
        <w:rPr>
          <w:lang w:val="en-GB" w:eastAsia="en-GB"/>
        </w:rPr>
        <w:t>Debt sustainability</w:t>
      </w:r>
    </w:p>
    <w:p w:rsidR="004B62CB" w:rsidRPr="000F2E9A" w:rsidRDefault="005573E4" w:rsidP="005573E4">
      <w:pPr>
        <w:pStyle w:val="SingleTxtG"/>
        <w:rPr>
          <w:lang w:val="en-GB"/>
        </w:rPr>
      </w:pPr>
      <w:r w:rsidRPr="000F2E9A">
        <w:rPr>
          <w:lang w:val="en-GB"/>
        </w:rPr>
        <w:t>45.</w:t>
      </w:r>
      <w:r w:rsidRPr="000F2E9A">
        <w:rPr>
          <w:lang w:val="en-GB"/>
        </w:rPr>
        <w:tab/>
      </w:r>
      <w:r w:rsidR="008836AD" w:rsidRPr="000F2E9A">
        <w:rPr>
          <w:lang w:val="en-GB"/>
        </w:rPr>
        <w:t>Analys</w:t>
      </w:r>
      <w:r w:rsidR="00137CDD" w:rsidRPr="000F2E9A">
        <w:rPr>
          <w:lang w:val="en-GB"/>
        </w:rPr>
        <w:t>e</w:t>
      </w:r>
      <w:r w:rsidR="008836AD" w:rsidRPr="000F2E9A">
        <w:rPr>
          <w:lang w:val="en-GB"/>
        </w:rPr>
        <w:t>s of the sustainability of the Greek debt have a history of misdiagnosis</w:t>
      </w:r>
      <w:r w:rsidR="001558B7" w:rsidRPr="000F2E9A">
        <w:rPr>
          <w:lang w:val="en-GB"/>
        </w:rPr>
        <w:t xml:space="preserve"> </w:t>
      </w:r>
      <w:r w:rsidR="008836AD" w:rsidRPr="000F2E9A">
        <w:rPr>
          <w:lang w:val="en-GB"/>
        </w:rPr>
        <w:t xml:space="preserve">projecting </w:t>
      </w:r>
      <w:r w:rsidR="00137CDD" w:rsidRPr="000F2E9A">
        <w:rPr>
          <w:lang w:val="en-GB"/>
        </w:rPr>
        <w:t xml:space="preserve">each </w:t>
      </w:r>
      <w:r w:rsidR="00D3784C" w:rsidRPr="000F2E9A">
        <w:rPr>
          <w:lang w:val="en-GB"/>
        </w:rPr>
        <w:t xml:space="preserve">time </w:t>
      </w:r>
      <w:r w:rsidR="00137CDD" w:rsidRPr="000F2E9A">
        <w:rPr>
          <w:lang w:val="en-GB"/>
        </w:rPr>
        <w:t>hig</w:t>
      </w:r>
      <w:r w:rsidR="00D1283A" w:rsidRPr="000F2E9A">
        <w:rPr>
          <w:lang w:val="en-GB"/>
        </w:rPr>
        <w:t>h</w:t>
      </w:r>
      <w:r w:rsidR="00137CDD" w:rsidRPr="000F2E9A">
        <w:rPr>
          <w:lang w:val="en-GB"/>
        </w:rPr>
        <w:t xml:space="preserve">er </w:t>
      </w:r>
      <w:r w:rsidR="008836AD" w:rsidRPr="000F2E9A">
        <w:rPr>
          <w:lang w:val="en-GB"/>
        </w:rPr>
        <w:t>debt to GDP ratios</w:t>
      </w:r>
      <w:r w:rsidR="00D3784C" w:rsidRPr="000F2E9A">
        <w:rPr>
          <w:lang w:val="en-GB"/>
        </w:rPr>
        <w:t xml:space="preserve"> </w:t>
      </w:r>
      <w:r w:rsidR="00222385" w:rsidRPr="000F2E9A">
        <w:rPr>
          <w:lang w:val="en-GB"/>
        </w:rPr>
        <w:t>the later the assessment</w:t>
      </w:r>
      <w:r w:rsidR="00D3784C" w:rsidRPr="000F2E9A">
        <w:rPr>
          <w:lang w:val="en-GB"/>
        </w:rPr>
        <w:t>s</w:t>
      </w:r>
      <w:r w:rsidR="00222385" w:rsidRPr="000F2E9A">
        <w:rPr>
          <w:lang w:val="en-GB"/>
        </w:rPr>
        <w:t xml:space="preserve"> </w:t>
      </w:r>
      <w:r w:rsidR="00D3784C" w:rsidRPr="000F2E9A">
        <w:rPr>
          <w:lang w:val="en-GB"/>
        </w:rPr>
        <w:t xml:space="preserve">were </w:t>
      </w:r>
      <w:r w:rsidR="00222385" w:rsidRPr="000F2E9A">
        <w:rPr>
          <w:lang w:val="en-GB"/>
        </w:rPr>
        <w:t>published</w:t>
      </w:r>
      <w:r w:rsidR="008836AD" w:rsidRPr="000F2E9A">
        <w:rPr>
          <w:lang w:val="en-GB"/>
        </w:rPr>
        <w:t>. The</w:t>
      </w:r>
      <w:r w:rsidR="00222385" w:rsidRPr="000F2E9A">
        <w:rPr>
          <w:lang w:val="en-GB"/>
        </w:rPr>
        <w:t>re</w:t>
      </w:r>
      <w:r w:rsidR="008836AD" w:rsidRPr="000F2E9A">
        <w:rPr>
          <w:lang w:val="en-GB"/>
        </w:rPr>
        <w:t xml:space="preserve"> have </w:t>
      </w:r>
      <w:r w:rsidR="00D1283A" w:rsidRPr="000F2E9A">
        <w:rPr>
          <w:lang w:val="en-GB"/>
        </w:rPr>
        <w:t xml:space="preserve">also been notable </w:t>
      </w:r>
      <w:r w:rsidR="008836AD" w:rsidRPr="000F2E9A">
        <w:rPr>
          <w:lang w:val="en-GB"/>
        </w:rPr>
        <w:t>differences in the project</w:t>
      </w:r>
      <w:r w:rsidR="00137CDD" w:rsidRPr="000F2E9A">
        <w:rPr>
          <w:lang w:val="en-GB"/>
        </w:rPr>
        <w:t>ion</w:t>
      </w:r>
      <w:r w:rsidR="008836AD" w:rsidRPr="000F2E9A">
        <w:rPr>
          <w:lang w:val="en-GB"/>
        </w:rPr>
        <w:t>s made by the IMF and the European Commission.</w:t>
      </w:r>
      <w:r w:rsidR="00FE716E" w:rsidRPr="000F2E9A">
        <w:rPr>
          <w:vertAlign w:val="superscript"/>
          <w:lang w:val="en-GB"/>
        </w:rPr>
        <w:footnoteReference w:id="26"/>
      </w:r>
      <w:r w:rsidR="008836AD" w:rsidRPr="000F2E9A">
        <w:rPr>
          <w:lang w:val="en-GB"/>
        </w:rPr>
        <w:t xml:space="preserve"> With a debt to GDP ratio estimated to pe</w:t>
      </w:r>
      <w:r w:rsidR="00202E36" w:rsidRPr="000F2E9A">
        <w:rPr>
          <w:lang w:val="en-GB"/>
        </w:rPr>
        <w:t>a</w:t>
      </w:r>
      <w:r w:rsidR="008836AD" w:rsidRPr="000F2E9A">
        <w:rPr>
          <w:lang w:val="en-GB"/>
        </w:rPr>
        <w:t xml:space="preserve">k </w:t>
      </w:r>
      <w:r w:rsidR="00222385" w:rsidRPr="000F2E9A">
        <w:rPr>
          <w:lang w:val="en-GB"/>
        </w:rPr>
        <w:t xml:space="preserve">at </w:t>
      </w:r>
      <w:r w:rsidR="008836AD" w:rsidRPr="000F2E9A">
        <w:rPr>
          <w:lang w:val="en-GB"/>
        </w:rPr>
        <w:t>200</w:t>
      </w:r>
      <w:r w:rsidR="00396425">
        <w:rPr>
          <w:lang w:val="en-GB"/>
        </w:rPr>
        <w:t>%</w:t>
      </w:r>
      <w:r w:rsidR="00137CDD" w:rsidRPr="000F2E9A">
        <w:rPr>
          <w:lang w:val="en-GB"/>
        </w:rPr>
        <w:t>,</w:t>
      </w:r>
      <w:r w:rsidR="008836AD" w:rsidRPr="000F2E9A">
        <w:rPr>
          <w:lang w:val="en-GB"/>
        </w:rPr>
        <w:t xml:space="preserve"> only </w:t>
      </w:r>
      <w:r w:rsidR="00860040" w:rsidRPr="000F2E9A">
        <w:rPr>
          <w:lang w:val="en-GB"/>
        </w:rPr>
        <w:t xml:space="preserve">very </w:t>
      </w:r>
      <w:r w:rsidR="008836AD" w:rsidRPr="000F2E9A">
        <w:rPr>
          <w:lang w:val="en-GB"/>
        </w:rPr>
        <w:t xml:space="preserve">few economists claim that the </w:t>
      </w:r>
      <w:r w:rsidR="006E5B2E" w:rsidRPr="000F2E9A">
        <w:rPr>
          <w:lang w:val="en-GB"/>
        </w:rPr>
        <w:t xml:space="preserve">extreme large </w:t>
      </w:r>
      <w:r w:rsidR="008836AD" w:rsidRPr="000F2E9A">
        <w:rPr>
          <w:lang w:val="en-GB"/>
        </w:rPr>
        <w:t xml:space="preserve">Greek </w:t>
      </w:r>
      <w:r w:rsidR="00222385" w:rsidRPr="000F2E9A">
        <w:rPr>
          <w:lang w:val="en-GB"/>
        </w:rPr>
        <w:t xml:space="preserve">public </w:t>
      </w:r>
      <w:r w:rsidR="008836AD" w:rsidRPr="000F2E9A">
        <w:rPr>
          <w:lang w:val="en-GB"/>
        </w:rPr>
        <w:t xml:space="preserve">debt is sustainable. </w:t>
      </w:r>
      <w:r w:rsidR="00137CDD" w:rsidRPr="000F2E9A">
        <w:rPr>
          <w:lang w:val="en-GB"/>
        </w:rPr>
        <w:t xml:space="preserve">While loans include now extreme </w:t>
      </w:r>
      <w:r w:rsidR="00FE716E" w:rsidRPr="000F2E9A">
        <w:rPr>
          <w:lang w:val="en-GB"/>
        </w:rPr>
        <w:t xml:space="preserve">long </w:t>
      </w:r>
      <w:r w:rsidR="00137CDD" w:rsidRPr="000F2E9A">
        <w:rPr>
          <w:lang w:val="en-GB"/>
        </w:rPr>
        <w:t xml:space="preserve">periods of </w:t>
      </w:r>
      <w:r w:rsidR="00FE716E" w:rsidRPr="000F2E9A">
        <w:rPr>
          <w:lang w:val="en-GB"/>
        </w:rPr>
        <w:t xml:space="preserve">maturity </w:t>
      </w:r>
      <w:r w:rsidR="00222385" w:rsidRPr="000F2E9A">
        <w:rPr>
          <w:lang w:val="en-GB"/>
        </w:rPr>
        <w:t xml:space="preserve">and grace periods on interest, </w:t>
      </w:r>
      <w:r w:rsidR="00FE716E" w:rsidRPr="000F2E9A">
        <w:rPr>
          <w:lang w:val="en-GB"/>
        </w:rPr>
        <w:t xml:space="preserve">the problem of </w:t>
      </w:r>
      <w:r w:rsidR="00245E2D" w:rsidRPr="000F2E9A">
        <w:rPr>
          <w:lang w:val="en-GB"/>
        </w:rPr>
        <w:t xml:space="preserve">servicing the debt </w:t>
      </w:r>
      <w:r w:rsidR="006E5B2E" w:rsidRPr="000F2E9A">
        <w:rPr>
          <w:lang w:val="en-GB"/>
        </w:rPr>
        <w:t>will come up sooner or later.</w:t>
      </w:r>
      <w:r w:rsidR="00FE716E" w:rsidRPr="000F2E9A">
        <w:rPr>
          <w:lang w:val="en-GB"/>
        </w:rPr>
        <w:t xml:space="preserve"> The Independent Expert shares the view articulated </w:t>
      </w:r>
      <w:r w:rsidR="004B62CB" w:rsidRPr="000F2E9A">
        <w:rPr>
          <w:lang w:val="en-GB"/>
        </w:rPr>
        <w:t xml:space="preserve">also </w:t>
      </w:r>
      <w:r w:rsidR="00FE716E" w:rsidRPr="000F2E9A">
        <w:rPr>
          <w:lang w:val="en-GB"/>
        </w:rPr>
        <w:t xml:space="preserve">by the IMF </w:t>
      </w:r>
      <w:r w:rsidR="0066127D" w:rsidRPr="000F2E9A">
        <w:rPr>
          <w:lang w:val="en-GB"/>
        </w:rPr>
        <w:t xml:space="preserve">in July 2015 </w:t>
      </w:r>
      <w:r w:rsidR="00FE716E" w:rsidRPr="000F2E9A">
        <w:rPr>
          <w:lang w:val="en-GB"/>
        </w:rPr>
        <w:t>that due to the</w:t>
      </w:r>
      <w:r w:rsidR="00936DE3" w:rsidRPr="000F2E9A">
        <w:rPr>
          <w:lang w:val="en-GB"/>
        </w:rPr>
        <w:t xml:space="preserve"> severe unsustainability of </w:t>
      </w:r>
      <w:r w:rsidR="00222385" w:rsidRPr="000F2E9A">
        <w:rPr>
          <w:lang w:val="en-GB"/>
        </w:rPr>
        <w:t xml:space="preserve">the </w:t>
      </w:r>
      <w:r w:rsidR="00936DE3" w:rsidRPr="000F2E9A">
        <w:rPr>
          <w:lang w:val="en-GB"/>
        </w:rPr>
        <w:t>Greek public debt further debt relief is needed</w:t>
      </w:r>
      <w:r w:rsidR="00222385" w:rsidRPr="000F2E9A">
        <w:rPr>
          <w:lang w:val="en-GB"/>
        </w:rPr>
        <w:t xml:space="preserve">. According to the IMF </w:t>
      </w:r>
      <w:r w:rsidR="004B62CB" w:rsidRPr="000F2E9A">
        <w:rPr>
          <w:lang w:val="en-GB"/>
        </w:rPr>
        <w:t xml:space="preserve">Greece would </w:t>
      </w:r>
      <w:r w:rsidR="006E5B2E" w:rsidRPr="000F2E9A">
        <w:rPr>
          <w:lang w:val="en-GB"/>
        </w:rPr>
        <w:t xml:space="preserve">likely </w:t>
      </w:r>
      <w:r w:rsidR="004B62CB" w:rsidRPr="000F2E9A">
        <w:rPr>
          <w:lang w:val="en-GB"/>
        </w:rPr>
        <w:t>face debt service payments in excess of 15</w:t>
      </w:r>
      <w:r w:rsidR="003F1B93">
        <w:rPr>
          <w:lang w:val="en-GB"/>
        </w:rPr>
        <w:t>%</w:t>
      </w:r>
      <w:r w:rsidR="004B62CB" w:rsidRPr="000F2E9A">
        <w:rPr>
          <w:lang w:val="en-GB"/>
        </w:rPr>
        <w:t xml:space="preserve"> GDP, which could only be controlled by annual grants to the Greek government budget, dramatic </w:t>
      </w:r>
      <w:r w:rsidR="00775D5F" w:rsidRPr="000F2E9A">
        <w:rPr>
          <w:lang w:val="en-GB"/>
        </w:rPr>
        <w:t>extensions</w:t>
      </w:r>
      <w:r w:rsidR="004B62CB" w:rsidRPr="000F2E9A">
        <w:rPr>
          <w:lang w:val="en-GB"/>
        </w:rPr>
        <w:t xml:space="preserve"> of grace periods to 30 years on all European debt and/or “deep” upfront haircuts.</w:t>
      </w:r>
      <w:r w:rsidR="004B62CB" w:rsidRPr="000F2E9A">
        <w:rPr>
          <w:vertAlign w:val="superscript"/>
          <w:lang w:val="en-GB"/>
        </w:rPr>
        <w:footnoteReference w:id="27"/>
      </w:r>
      <w:r w:rsidR="004B62CB" w:rsidRPr="000F2E9A">
        <w:rPr>
          <w:lang w:val="en-GB"/>
        </w:rPr>
        <w:t xml:space="preserve"> </w:t>
      </w:r>
      <w:r w:rsidR="0066127D" w:rsidRPr="000F2E9A">
        <w:rPr>
          <w:lang w:val="en-GB"/>
        </w:rPr>
        <w:t>A few month</w:t>
      </w:r>
      <w:r w:rsidR="003D72DF" w:rsidRPr="000F2E9A">
        <w:rPr>
          <w:lang w:val="en-GB"/>
        </w:rPr>
        <w:t>s</w:t>
      </w:r>
      <w:r w:rsidR="0066127D" w:rsidRPr="000F2E9A">
        <w:rPr>
          <w:lang w:val="en-GB"/>
        </w:rPr>
        <w:t xml:space="preserve"> later the </w:t>
      </w:r>
      <w:r w:rsidR="007A0CCA" w:rsidRPr="000F2E9A">
        <w:rPr>
          <w:lang w:val="en-GB"/>
        </w:rPr>
        <w:t xml:space="preserve">sustainability </w:t>
      </w:r>
      <w:r w:rsidR="0066127D" w:rsidRPr="000F2E9A">
        <w:rPr>
          <w:lang w:val="en-GB"/>
        </w:rPr>
        <w:t xml:space="preserve">of </w:t>
      </w:r>
      <w:r w:rsidR="007A0CCA" w:rsidRPr="000F2E9A">
        <w:rPr>
          <w:lang w:val="en-GB"/>
        </w:rPr>
        <w:t xml:space="preserve">the </w:t>
      </w:r>
      <w:r w:rsidR="0066127D" w:rsidRPr="000F2E9A">
        <w:rPr>
          <w:lang w:val="en-GB"/>
        </w:rPr>
        <w:t xml:space="preserve">debt was seen by the institutions </w:t>
      </w:r>
      <w:r w:rsidR="0041401A" w:rsidRPr="000F2E9A">
        <w:rPr>
          <w:lang w:val="en-GB"/>
        </w:rPr>
        <w:t xml:space="preserve">of a lesser </w:t>
      </w:r>
      <w:r w:rsidR="0066127D" w:rsidRPr="000F2E9A">
        <w:rPr>
          <w:lang w:val="en-GB"/>
        </w:rPr>
        <w:t>problem, without specifying wh</w:t>
      </w:r>
      <w:r w:rsidR="0041401A" w:rsidRPr="000F2E9A">
        <w:rPr>
          <w:lang w:val="en-GB"/>
        </w:rPr>
        <w:t xml:space="preserve">at </w:t>
      </w:r>
      <w:r w:rsidR="0066127D" w:rsidRPr="000F2E9A">
        <w:rPr>
          <w:lang w:val="en-GB"/>
        </w:rPr>
        <w:t>assumptions had changed</w:t>
      </w:r>
      <w:r w:rsidR="0041401A" w:rsidRPr="000F2E9A">
        <w:rPr>
          <w:lang w:val="en-GB"/>
        </w:rPr>
        <w:t xml:space="preserve"> </w:t>
      </w:r>
      <w:r w:rsidR="007A0CCA" w:rsidRPr="000F2E9A">
        <w:rPr>
          <w:lang w:val="en-GB"/>
        </w:rPr>
        <w:t xml:space="preserve">to </w:t>
      </w:r>
      <w:r w:rsidR="003D72DF" w:rsidRPr="000F2E9A">
        <w:rPr>
          <w:lang w:val="en-GB"/>
        </w:rPr>
        <w:t xml:space="preserve">justify </w:t>
      </w:r>
      <w:r w:rsidR="0041401A" w:rsidRPr="000F2E9A">
        <w:rPr>
          <w:lang w:val="en-GB"/>
        </w:rPr>
        <w:t>such a view</w:t>
      </w:r>
      <w:r w:rsidR="0066127D" w:rsidRPr="000F2E9A">
        <w:rPr>
          <w:lang w:val="en-GB"/>
        </w:rPr>
        <w:t>.</w:t>
      </w:r>
    </w:p>
    <w:p w:rsidR="008836AD" w:rsidRPr="000F2E9A" w:rsidRDefault="005573E4" w:rsidP="005573E4">
      <w:pPr>
        <w:pStyle w:val="SingleTxtG"/>
        <w:rPr>
          <w:lang w:val="en-GB"/>
        </w:rPr>
      </w:pPr>
      <w:r w:rsidRPr="000F2E9A">
        <w:rPr>
          <w:lang w:val="en-GB"/>
        </w:rPr>
        <w:t>46.</w:t>
      </w:r>
      <w:r w:rsidRPr="000F2E9A">
        <w:rPr>
          <w:lang w:val="en-GB"/>
        </w:rPr>
        <w:tab/>
      </w:r>
      <w:r w:rsidR="00936DE3" w:rsidRPr="000F2E9A">
        <w:rPr>
          <w:lang w:val="en-GB"/>
        </w:rPr>
        <w:t>In the view of the Indep</w:t>
      </w:r>
      <w:r w:rsidR="00860040" w:rsidRPr="000F2E9A">
        <w:rPr>
          <w:lang w:val="en-GB"/>
        </w:rPr>
        <w:t>e</w:t>
      </w:r>
      <w:r w:rsidR="00936DE3" w:rsidRPr="000F2E9A">
        <w:rPr>
          <w:lang w:val="en-GB"/>
        </w:rPr>
        <w:t xml:space="preserve">ndent Expert it would </w:t>
      </w:r>
      <w:r w:rsidR="006E5B2E" w:rsidRPr="000F2E9A">
        <w:rPr>
          <w:lang w:val="en-GB"/>
        </w:rPr>
        <w:t xml:space="preserve">be </w:t>
      </w:r>
      <w:r w:rsidR="00936DE3" w:rsidRPr="000F2E9A">
        <w:rPr>
          <w:lang w:val="en-GB"/>
        </w:rPr>
        <w:t>more beneficial to agree on debt relief earlier than postponing it artificially, taken into consideration evidence that economic recovery after debt cris</w:t>
      </w:r>
      <w:r w:rsidR="00D1283A" w:rsidRPr="000F2E9A">
        <w:rPr>
          <w:lang w:val="en-GB"/>
        </w:rPr>
        <w:t>e</w:t>
      </w:r>
      <w:r w:rsidR="00936DE3" w:rsidRPr="000F2E9A">
        <w:rPr>
          <w:lang w:val="en-GB"/>
        </w:rPr>
        <w:t xml:space="preserve">s is more robust if </w:t>
      </w:r>
      <w:r w:rsidR="00860040" w:rsidRPr="000F2E9A">
        <w:rPr>
          <w:lang w:val="en-GB"/>
        </w:rPr>
        <w:t xml:space="preserve">sufficient </w:t>
      </w:r>
      <w:r w:rsidR="00936DE3" w:rsidRPr="000F2E9A">
        <w:rPr>
          <w:lang w:val="en-GB"/>
        </w:rPr>
        <w:t>debt relief is granted in a timely fashion</w:t>
      </w:r>
      <w:r w:rsidR="001558B7" w:rsidRPr="000F2E9A">
        <w:rPr>
          <w:lang w:val="en-GB"/>
        </w:rPr>
        <w:t xml:space="preserve"> in the form of debt write-offs, compared to maturity extensions and interest rate </w:t>
      </w:r>
      <w:r w:rsidR="001558B7" w:rsidRPr="000F2E9A">
        <w:rPr>
          <w:lang w:val="en-GB"/>
        </w:rPr>
        <w:lastRenderedPageBreak/>
        <w:t>reductions</w:t>
      </w:r>
      <w:r w:rsidR="00137CDD" w:rsidRPr="000F2E9A">
        <w:rPr>
          <w:lang w:val="en-GB"/>
        </w:rPr>
        <w:t>.</w:t>
      </w:r>
      <w:r w:rsidR="001558B7" w:rsidRPr="000F2E9A">
        <w:rPr>
          <w:vertAlign w:val="superscript"/>
          <w:lang w:val="en-GB"/>
        </w:rPr>
        <w:footnoteReference w:id="28"/>
      </w:r>
      <w:r w:rsidR="00137CDD" w:rsidRPr="000F2E9A">
        <w:rPr>
          <w:lang w:val="en-GB"/>
        </w:rPr>
        <w:t xml:space="preserve"> In the end this </w:t>
      </w:r>
      <w:r w:rsidR="00D1283A" w:rsidRPr="000F2E9A">
        <w:rPr>
          <w:lang w:val="en-GB"/>
        </w:rPr>
        <w:t xml:space="preserve">should be in the interest of all parties as it </w:t>
      </w:r>
      <w:r w:rsidR="00137CDD" w:rsidRPr="000F2E9A">
        <w:rPr>
          <w:lang w:val="en-GB"/>
        </w:rPr>
        <w:t>increase</w:t>
      </w:r>
      <w:r w:rsidR="00D1283A" w:rsidRPr="000F2E9A">
        <w:rPr>
          <w:lang w:val="en-GB"/>
        </w:rPr>
        <w:t>s</w:t>
      </w:r>
      <w:r w:rsidR="00137CDD" w:rsidRPr="000F2E9A">
        <w:rPr>
          <w:lang w:val="en-GB"/>
        </w:rPr>
        <w:t xml:space="preserve"> </w:t>
      </w:r>
      <w:r w:rsidR="00D1283A" w:rsidRPr="000F2E9A">
        <w:rPr>
          <w:lang w:val="en-GB"/>
        </w:rPr>
        <w:t xml:space="preserve">as well </w:t>
      </w:r>
      <w:r w:rsidR="00137CDD" w:rsidRPr="000F2E9A">
        <w:rPr>
          <w:lang w:val="en-GB"/>
        </w:rPr>
        <w:t>the likelihood that the restructured debt can actually be repaid.</w:t>
      </w:r>
    </w:p>
    <w:p w:rsidR="00222385" w:rsidRPr="000F2E9A" w:rsidRDefault="00B65D48" w:rsidP="00B65D48">
      <w:pPr>
        <w:pStyle w:val="H1G"/>
        <w:rPr>
          <w:lang w:val="en-GB" w:eastAsia="en-GB"/>
        </w:rPr>
      </w:pPr>
      <w:r>
        <w:rPr>
          <w:lang w:val="en-GB" w:eastAsia="en-GB"/>
        </w:rPr>
        <w:tab/>
        <w:t>E.</w:t>
      </w:r>
      <w:r>
        <w:rPr>
          <w:lang w:val="en-GB" w:eastAsia="en-GB"/>
        </w:rPr>
        <w:tab/>
      </w:r>
      <w:r w:rsidR="00222385" w:rsidRPr="000F2E9A">
        <w:rPr>
          <w:lang w:val="en-GB" w:eastAsia="en-GB"/>
        </w:rPr>
        <w:t xml:space="preserve">Truth </w:t>
      </w:r>
      <w:r w:rsidR="00222385" w:rsidRPr="00B65D48">
        <w:t>Committee</w:t>
      </w:r>
      <w:r w:rsidR="00222385" w:rsidRPr="000F2E9A">
        <w:rPr>
          <w:lang w:val="en-GB" w:eastAsia="en-GB"/>
        </w:rPr>
        <w:t xml:space="preserve"> on Public Debt</w:t>
      </w:r>
    </w:p>
    <w:p w:rsidR="00964504" w:rsidRPr="000F2E9A" w:rsidRDefault="005573E4" w:rsidP="005573E4">
      <w:pPr>
        <w:pStyle w:val="SingleTxtG"/>
        <w:rPr>
          <w:lang w:val="en-GB"/>
        </w:rPr>
      </w:pPr>
      <w:r w:rsidRPr="000F2E9A">
        <w:rPr>
          <w:lang w:val="en-GB"/>
        </w:rPr>
        <w:t>47.</w:t>
      </w:r>
      <w:r w:rsidRPr="000F2E9A">
        <w:rPr>
          <w:lang w:val="en-GB"/>
        </w:rPr>
        <w:tab/>
      </w:r>
      <w:r w:rsidR="0058295F" w:rsidRPr="000F2E9A">
        <w:rPr>
          <w:lang w:val="en-GB"/>
        </w:rPr>
        <w:t xml:space="preserve">The previous mandate holder had recommended </w:t>
      </w:r>
      <w:r w:rsidR="00E53EFC" w:rsidRPr="000F2E9A">
        <w:rPr>
          <w:lang w:val="en-GB"/>
        </w:rPr>
        <w:t>undertaking</w:t>
      </w:r>
      <w:r w:rsidR="00222385" w:rsidRPr="000F2E9A">
        <w:rPr>
          <w:lang w:val="en-GB"/>
        </w:rPr>
        <w:t xml:space="preserve"> a debt audit, </w:t>
      </w:r>
      <w:r w:rsidR="0058295F" w:rsidRPr="000F2E9A">
        <w:rPr>
          <w:lang w:val="en-GB"/>
        </w:rPr>
        <w:t xml:space="preserve">which was </w:t>
      </w:r>
      <w:r w:rsidR="00964504" w:rsidRPr="000F2E9A">
        <w:rPr>
          <w:lang w:val="en-GB"/>
        </w:rPr>
        <w:t>i</w:t>
      </w:r>
      <w:r w:rsidR="00222385" w:rsidRPr="000F2E9A">
        <w:rPr>
          <w:lang w:val="en-GB"/>
        </w:rPr>
        <w:t xml:space="preserve">mplemented by a committee established by </w:t>
      </w:r>
      <w:r w:rsidR="00315231" w:rsidRPr="000F2E9A">
        <w:rPr>
          <w:lang w:val="en-GB"/>
        </w:rPr>
        <w:t>a decision of the former President of the Hellenic Parliament</w:t>
      </w:r>
      <w:r w:rsidR="00964504" w:rsidRPr="000F2E9A">
        <w:rPr>
          <w:lang w:val="en-GB"/>
        </w:rPr>
        <w:t>.</w:t>
      </w:r>
      <w:r w:rsidR="00017C92" w:rsidRPr="000F2E9A">
        <w:rPr>
          <w:lang w:val="en-GB"/>
        </w:rPr>
        <w:t xml:space="preserve"> </w:t>
      </w:r>
      <w:r w:rsidR="00315231" w:rsidRPr="000F2E9A">
        <w:rPr>
          <w:lang w:val="en-GB"/>
        </w:rPr>
        <w:t xml:space="preserve">The Truth Committee on Public Debt published </w:t>
      </w:r>
      <w:r w:rsidR="00696C63" w:rsidRPr="000F2E9A">
        <w:rPr>
          <w:lang w:val="en-GB"/>
        </w:rPr>
        <w:t xml:space="preserve">an </w:t>
      </w:r>
      <w:r w:rsidR="00315231" w:rsidRPr="000F2E9A">
        <w:rPr>
          <w:lang w:val="en-GB"/>
        </w:rPr>
        <w:t xml:space="preserve">interim report </w:t>
      </w:r>
      <w:r w:rsidR="009B12A2" w:rsidRPr="000F2E9A">
        <w:rPr>
          <w:lang w:val="en-GB"/>
        </w:rPr>
        <w:t xml:space="preserve">analysing </w:t>
      </w:r>
      <w:r w:rsidR="00315231" w:rsidRPr="000F2E9A">
        <w:rPr>
          <w:lang w:val="en-GB"/>
        </w:rPr>
        <w:t xml:space="preserve">the evolution, composition and </w:t>
      </w:r>
      <w:proofErr w:type="spellStart"/>
      <w:r w:rsidR="00315231" w:rsidRPr="000F2E9A">
        <w:rPr>
          <w:lang w:val="en-GB"/>
        </w:rPr>
        <w:t>conditionalities</w:t>
      </w:r>
      <w:proofErr w:type="spellEnd"/>
      <w:r w:rsidR="00315231" w:rsidRPr="000F2E9A">
        <w:rPr>
          <w:lang w:val="en-GB"/>
        </w:rPr>
        <w:t xml:space="preserve"> imposed</w:t>
      </w:r>
      <w:r w:rsidR="007B68BD" w:rsidRPr="000F2E9A">
        <w:rPr>
          <w:lang w:val="en-GB"/>
        </w:rPr>
        <w:t xml:space="preserve"> on loan agreements</w:t>
      </w:r>
      <w:r w:rsidR="009B12A2" w:rsidRPr="000F2E9A">
        <w:rPr>
          <w:lang w:val="en-GB"/>
        </w:rPr>
        <w:t xml:space="preserve">, </w:t>
      </w:r>
      <w:r w:rsidR="007B68BD" w:rsidRPr="000F2E9A">
        <w:rPr>
          <w:lang w:val="en-GB"/>
        </w:rPr>
        <w:t xml:space="preserve">its human rights impact and provided </w:t>
      </w:r>
      <w:r w:rsidR="00650650" w:rsidRPr="000F2E9A">
        <w:rPr>
          <w:lang w:val="en-GB"/>
        </w:rPr>
        <w:t xml:space="preserve">a </w:t>
      </w:r>
      <w:r w:rsidR="007B68BD" w:rsidRPr="000F2E9A">
        <w:rPr>
          <w:lang w:val="en-GB"/>
        </w:rPr>
        <w:t>legal assessment of the Memoranda and Loan Agreements</w:t>
      </w:r>
      <w:r w:rsidR="00137CDD" w:rsidRPr="000F2E9A">
        <w:rPr>
          <w:lang w:val="en-GB"/>
        </w:rPr>
        <w:t>.</w:t>
      </w:r>
      <w:r w:rsidR="00222385" w:rsidRPr="000F2E9A">
        <w:rPr>
          <w:vertAlign w:val="superscript"/>
          <w:lang w:val="en-GB"/>
        </w:rPr>
        <w:footnoteReference w:id="29"/>
      </w:r>
      <w:r w:rsidR="00222385" w:rsidRPr="000F2E9A">
        <w:rPr>
          <w:lang w:val="en-GB"/>
        </w:rPr>
        <w:t xml:space="preserve"> </w:t>
      </w:r>
      <w:r w:rsidR="00964504" w:rsidRPr="000F2E9A">
        <w:rPr>
          <w:lang w:val="en-GB"/>
        </w:rPr>
        <w:t>In the view of the Truth Committee the current Greek</w:t>
      </w:r>
      <w:r w:rsidR="00222385" w:rsidRPr="000F2E9A">
        <w:rPr>
          <w:lang w:val="en-GB"/>
        </w:rPr>
        <w:t xml:space="preserve"> </w:t>
      </w:r>
      <w:r w:rsidR="00964504" w:rsidRPr="000F2E9A">
        <w:rPr>
          <w:lang w:val="en-GB"/>
        </w:rPr>
        <w:t>debt is not only unsustainable, but as well illegitimate</w:t>
      </w:r>
      <w:r w:rsidR="005E24C8" w:rsidRPr="000F2E9A">
        <w:rPr>
          <w:lang w:val="en-GB"/>
        </w:rPr>
        <w:t xml:space="preserve">, </w:t>
      </w:r>
      <w:r w:rsidR="00964504" w:rsidRPr="000F2E9A">
        <w:rPr>
          <w:lang w:val="en-GB"/>
        </w:rPr>
        <w:t>odious</w:t>
      </w:r>
      <w:r w:rsidR="005E24C8" w:rsidRPr="000F2E9A">
        <w:rPr>
          <w:lang w:val="en-GB"/>
        </w:rPr>
        <w:t xml:space="preserve"> and illegal as loan agreements disrespected proper legal procedures provided for by domestic l</w:t>
      </w:r>
      <w:r w:rsidR="0066127D" w:rsidRPr="000F2E9A">
        <w:rPr>
          <w:lang w:val="en-GB"/>
        </w:rPr>
        <w:t>aw</w:t>
      </w:r>
      <w:r w:rsidR="00964504" w:rsidRPr="000F2E9A">
        <w:rPr>
          <w:lang w:val="en-GB"/>
        </w:rPr>
        <w:t xml:space="preserve">. </w:t>
      </w:r>
      <w:r w:rsidR="007B68BD" w:rsidRPr="000F2E9A">
        <w:rPr>
          <w:lang w:val="en-GB"/>
        </w:rPr>
        <w:t xml:space="preserve">The Committee </w:t>
      </w:r>
      <w:r w:rsidR="00696C63" w:rsidRPr="000F2E9A">
        <w:rPr>
          <w:lang w:val="en-GB"/>
        </w:rPr>
        <w:t xml:space="preserve">issued </w:t>
      </w:r>
      <w:r w:rsidR="007B68BD" w:rsidRPr="000F2E9A">
        <w:rPr>
          <w:lang w:val="en-GB"/>
        </w:rPr>
        <w:t>a second report in July 2015 criticizing the August 2015 Memorandum of Unde</w:t>
      </w:r>
      <w:r w:rsidR="009B12A2" w:rsidRPr="000F2E9A">
        <w:rPr>
          <w:lang w:val="en-GB"/>
        </w:rPr>
        <w:t>r</w:t>
      </w:r>
      <w:r w:rsidR="007B68BD" w:rsidRPr="000F2E9A">
        <w:rPr>
          <w:lang w:val="en-GB"/>
        </w:rPr>
        <w:t>s</w:t>
      </w:r>
      <w:r w:rsidR="009B12A2" w:rsidRPr="000F2E9A">
        <w:rPr>
          <w:lang w:val="en-GB"/>
        </w:rPr>
        <w:t xml:space="preserve">tanding and Loan Agreement, inter alia on the grounds that the </w:t>
      </w:r>
      <w:proofErr w:type="spellStart"/>
      <w:r w:rsidR="00696C63" w:rsidRPr="000F2E9A">
        <w:rPr>
          <w:lang w:val="en-GB"/>
        </w:rPr>
        <w:t>MoU</w:t>
      </w:r>
      <w:proofErr w:type="spellEnd"/>
      <w:r w:rsidR="00696C63" w:rsidRPr="000F2E9A">
        <w:rPr>
          <w:lang w:val="en-GB"/>
        </w:rPr>
        <w:t xml:space="preserve"> contradicts the outcome of the referendum from 5 July 2015</w:t>
      </w:r>
      <w:r w:rsidR="00137CDD" w:rsidRPr="000F2E9A">
        <w:rPr>
          <w:lang w:val="en-GB"/>
        </w:rPr>
        <w:t>.</w:t>
      </w:r>
    </w:p>
    <w:p w:rsidR="00650650" w:rsidRPr="000F2E9A" w:rsidRDefault="005573E4" w:rsidP="005573E4">
      <w:pPr>
        <w:pStyle w:val="SingleTxtG"/>
        <w:rPr>
          <w:lang w:val="en-GB"/>
        </w:rPr>
      </w:pPr>
      <w:r w:rsidRPr="000F2E9A">
        <w:rPr>
          <w:lang w:val="en-GB"/>
        </w:rPr>
        <w:t>48.</w:t>
      </w:r>
      <w:r w:rsidRPr="000F2E9A">
        <w:rPr>
          <w:lang w:val="en-GB"/>
        </w:rPr>
        <w:tab/>
      </w:r>
      <w:r w:rsidR="005E24C8" w:rsidRPr="000F2E9A">
        <w:rPr>
          <w:lang w:val="en-GB"/>
        </w:rPr>
        <w:t xml:space="preserve">In the present report the Independent Expert decided not to analyse questions of alleged </w:t>
      </w:r>
      <w:r w:rsidR="00403EAF" w:rsidRPr="000F2E9A">
        <w:rPr>
          <w:lang w:val="en-GB"/>
        </w:rPr>
        <w:t>il</w:t>
      </w:r>
      <w:r w:rsidR="005E24C8" w:rsidRPr="000F2E9A">
        <w:rPr>
          <w:lang w:val="en-GB"/>
        </w:rPr>
        <w:t>legitimacy or odiousness of the Greek public debt, raising complex legal questions.</w:t>
      </w:r>
      <w:r w:rsidR="00017C92" w:rsidRPr="000F2E9A">
        <w:rPr>
          <w:lang w:val="en-GB"/>
        </w:rPr>
        <w:t xml:space="preserve"> </w:t>
      </w:r>
      <w:r w:rsidR="005E24C8" w:rsidRPr="000F2E9A">
        <w:rPr>
          <w:lang w:val="en-GB"/>
        </w:rPr>
        <w:t xml:space="preserve">In his view sound arguments for debt relief </w:t>
      </w:r>
      <w:r w:rsidR="00403EAF" w:rsidRPr="000F2E9A">
        <w:rPr>
          <w:lang w:val="en-GB"/>
        </w:rPr>
        <w:t xml:space="preserve">can sufficiently </w:t>
      </w:r>
      <w:r w:rsidR="0080180E" w:rsidRPr="000F2E9A">
        <w:rPr>
          <w:lang w:val="en-GB"/>
        </w:rPr>
        <w:t xml:space="preserve">be </w:t>
      </w:r>
      <w:r w:rsidR="00403EAF" w:rsidRPr="000F2E9A">
        <w:rPr>
          <w:lang w:val="en-GB"/>
        </w:rPr>
        <w:t>based on the unsustainability of the Greek public debt</w:t>
      </w:r>
      <w:r w:rsidR="0077005D" w:rsidRPr="000F2E9A">
        <w:rPr>
          <w:rStyle w:val="FootnoteReference"/>
          <w:lang w:val="en-GB"/>
        </w:rPr>
        <w:footnoteReference w:id="30"/>
      </w:r>
      <w:r w:rsidR="00403EAF" w:rsidRPr="000F2E9A">
        <w:rPr>
          <w:lang w:val="en-GB"/>
        </w:rPr>
        <w:t xml:space="preserve"> and on human rights arguments</w:t>
      </w:r>
      <w:r w:rsidR="0080180E" w:rsidRPr="000F2E9A">
        <w:rPr>
          <w:lang w:val="en-GB"/>
        </w:rPr>
        <w:t>, as lenders should not reasonably and legitimately expect to be repaid in full</w:t>
      </w:r>
      <w:r w:rsidR="0066127D" w:rsidRPr="000F2E9A">
        <w:rPr>
          <w:lang w:val="en-GB"/>
        </w:rPr>
        <w:t>, when this results</w:t>
      </w:r>
      <w:r w:rsidR="0080180E" w:rsidRPr="000F2E9A">
        <w:rPr>
          <w:lang w:val="en-GB"/>
        </w:rPr>
        <w:t xml:space="preserve"> </w:t>
      </w:r>
      <w:r w:rsidR="001D4413" w:rsidRPr="000F2E9A">
        <w:rPr>
          <w:lang w:val="en-GB"/>
        </w:rPr>
        <w:t xml:space="preserve">ultimately </w:t>
      </w:r>
      <w:r w:rsidR="0066127D" w:rsidRPr="000F2E9A">
        <w:rPr>
          <w:lang w:val="en-GB"/>
        </w:rPr>
        <w:t xml:space="preserve">in </w:t>
      </w:r>
      <w:r w:rsidR="001D4413" w:rsidRPr="000F2E9A">
        <w:rPr>
          <w:lang w:val="en-GB"/>
        </w:rPr>
        <w:t xml:space="preserve">the denial of human rights. </w:t>
      </w:r>
    </w:p>
    <w:p w:rsidR="00222385" w:rsidRPr="000F2E9A" w:rsidRDefault="005573E4" w:rsidP="005573E4">
      <w:pPr>
        <w:pStyle w:val="SingleTxtG"/>
        <w:rPr>
          <w:lang w:val="en-GB"/>
        </w:rPr>
      </w:pPr>
      <w:r w:rsidRPr="000F2E9A">
        <w:rPr>
          <w:lang w:val="en-GB"/>
        </w:rPr>
        <w:t>49.</w:t>
      </w:r>
      <w:r w:rsidRPr="000F2E9A">
        <w:rPr>
          <w:lang w:val="en-GB"/>
        </w:rPr>
        <w:tab/>
      </w:r>
      <w:r w:rsidR="00222385" w:rsidRPr="000F2E9A">
        <w:rPr>
          <w:lang w:val="en-GB"/>
        </w:rPr>
        <w:t xml:space="preserve">While the Committee has been formally dissolved </w:t>
      </w:r>
      <w:r w:rsidR="00315231" w:rsidRPr="000F2E9A">
        <w:rPr>
          <w:lang w:val="en-GB"/>
        </w:rPr>
        <w:t xml:space="preserve">in November </w:t>
      </w:r>
      <w:r w:rsidR="00964504" w:rsidRPr="000F2E9A">
        <w:rPr>
          <w:lang w:val="en-GB"/>
        </w:rPr>
        <w:t xml:space="preserve">2015 </w:t>
      </w:r>
      <w:r w:rsidR="00222385" w:rsidRPr="000F2E9A">
        <w:rPr>
          <w:lang w:val="en-GB"/>
        </w:rPr>
        <w:t>there is a need to continue to draw lessons from the past, including in the field of establishing better judicial and administrative accountability for Government officials and decision makers in the private sector</w:t>
      </w:r>
      <w:r w:rsidR="00696C63" w:rsidRPr="000F2E9A">
        <w:rPr>
          <w:lang w:val="en-GB"/>
        </w:rPr>
        <w:t xml:space="preserve"> who contributed to the debt crisis</w:t>
      </w:r>
      <w:r w:rsidR="00222385" w:rsidRPr="000F2E9A">
        <w:rPr>
          <w:lang w:val="en-GB"/>
        </w:rPr>
        <w:t>.</w:t>
      </w:r>
      <w:r w:rsidR="00017C92" w:rsidRPr="000F2E9A">
        <w:rPr>
          <w:lang w:val="en-GB"/>
        </w:rPr>
        <w:t xml:space="preserve"> </w:t>
      </w:r>
      <w:r w:rsidR="00222385" w:rsidRPr="000F2E9A">
        <w:rPr>
          <w:lang w:val="en-GB"/>
        </w:rPr>
        <w:t>The work of the Special Investigation Commission of the Parliament in Iceland that was established after the banking collapse in that country could provide inspiration in that respect.</w:t>
      </w:r>
    </w:p>
    <w:p w:rsidR="00696C63" w:rsidRPr="000F2E9A" w:rsidRDefault="00B65D48" w:rsidP="00B65D48">
      <w:pPr>
        <w:pStyle w:val="H1G"/>
        <w:rPr>
          <w:lang w:val="en-GB" w:eastAsia="en-GB"/>
        </w:rPr>
      </w:pPr>
      <w:r>
        <w:rPr>
          <w:lang w:val="en-GB" w:eastAsia="en-GB"/>
        </w:rPr>
        <w:tab/>
        <w:t>F.</w:t>
      </w:r>
      <w:r>
        <w:rPr>
          <w:lang w:val="en-GB" w:eastAsia="en-GB"/>
        </w:rPr>
        <w:tab/>
      </w:r>
      <w:r w:rsidR="000E76F5" w:rsidRPr="000F2E9A">
        <w:rPr>
          <w:lang w:val="en-GB" w:eastAsia="en-GB"/>
        </w:rPr>
        <w:t xml:space="preserve">Response of </w:t>
      </w:r>
      <w:r w:rsidR="000E76F5" w:rsidRPr="00B65D48">
        <w:t>national</w:t>
      </w:r>
      <w:r w:rsidR="000E76F5" w:rsidRPr="000F2E9A">
        <w:rPr>
          <w:lang w:val="en-GB" w:eastAsia="en-GB"/>
        </w:rPr>
        <w:t xml:space="preserve"> j</w:t>
      </w:r>
      <w:r w:rsidR="00696C63" w:rsidRPr="000F2E9A">
        <w:rPr>
          <w:lang w:val="en-GB" w:eastAsia="en-GB"/>
        </w:rPr>
        <w:t>udicial and non-judicial protection mechanisms</w:t>
      </w:r>
    </w:p>
    <w:p w:rsidR="003851C4" w:rsidRPr="000F2E9A" w:rsidRDefault="005573E4" w:rsidP="005573E4">
      <w:pPr>
        <w:pStyle w:val="SingleTxtG"/>
        <w:rPr>
          <w:lang w:val="en-GB"/>
        </w:rPr>
      </w:pPr>
      <w:r w:rsidRPr="000F2E9A">
        <w:rPr>
          <w:lang w:val="en-GB"/>
        </w:rPr>
        <w:t>50.</w:t>
      </w:r>
      <w:r w:rsidRPr="000F2E9A">
        <w:rPr>
          <w:lang w:val="en-GB"/>
        </w:rPr>
        <w:tab/>
      </w:r>
      <w:r w:rsidR="00053A30" w:rsidRPr="000F2E9A">
        <w:rPr>
          <w:lang w:val="en-GB"/>
        </w:rPr>
        <w:t>Several laws implementing austerity measures were challenge</w:t>
      </w:r>
      <w:r w:rsidR="00FB49A0" w:rsidRPr="000F2E9A">
        <w:rPr>
          <w:lang w:val="en-GB"/>
        </w:rPr>
        <w:t>d</w:t>
      </w:r>
      <w:r w:rsidR="00053A30" w:rsidRPr="000F2E9A">
        <w:rPr>
          <w:lang w:val="en-GB"/>
        </w:rPr>
        <w:t xml:space="preserve"> in</w:t>
      </w:r>
      <w:r w:rsidR="00FB49A0" w:rsidRPr="000F2E9A">
        <w:rPr>
          <w:lang w:val="en-GB"/>
        </w:rPr>
        <w:t xml:space="preserve"> court</w:t>
      </w:r>
      <w:r w:rsidR="00053A30" w:rsidRPr="000F2E9A">
        <w:rPr>
          <w:lang w:val="en-GB"/>
        </w:rPr>
        <w:t xml:space="preserve">. While initially </w:t>
      </w:r>
      <w:r w:rsidR="00342347" w:rsidRPr="000F2E9A">
        <w:rPr>
          <w:lang w:val="en-GB"/>
        </w:rPr>
        <w:t>c</w:t>
      </w:r>
      <w:r w:rsidR="00053A30" w:rsidRPr="000F2E9A">
        <w:rPr>
          <w:lang w:val="en-GB"/>
        </w:rPr>
        <w:t xml:space="preserve">ourts followed a more cautious approach, more recent </w:t>
      </w:r>
      <w:r w:rsidR="00D96C47" w:rsidRPr="000F2E9A">
        <w:rPr>
          <w:lang w:val="en-GB"/>
        </w:rPr>
        <w:t>judgements</w:t>
      </w:r>
      <w:r w:rsidR="00053A30" w:rsidRPr="000F2E9A">
        <w:rPr>
          <w:lang w:val="en-GB"/>
        </w:rPr>
        <w:t xml:space="preserve"> mark </w:t>
      </w:r>
      <w:r w:rsidR="00FB49A0" w:rsidRPr="000F2E9A">
        <w:rPr>
          <w:lang w:val="en-GB"/>
        </w:rPr>
        <w:t xml:space="preserve">a stronger </w:t>
      </w:r>
      <w:r w:rsidR="00053A30" w:rsidRPr="000F2E9A">
        <w:rPr>
          <w:lang w:val="en-GB"/>
        </w:rPr>
        <w:t xml:space="preserve">disjuncture. </w:t>
      </w:r>
      <w:r w:rsidR="00D96C47" w:rsidRPr="000F2E9A">
        <w:rPr>
          <w:lang w:val="en-GB"/>
        </w:rPr>
        <w:t xml:space="preserve">In 2012 the </w:t>
      </w:r>
      <w:r w:rsidR="00536C73" w:rsidRPr="000F2E9A">
        <w:rPr>
          <w:lang w:val="en-GB"/>
        </w:rPr>
        <w:t xml:space="preserve">Supreme Administrative </w:t>
      </w:r>
      <w:r w:rsidR="00D96C47" w:rsidRPr="000F2E9A">
        <w:rPr>
          <w:lang w:val="en-GB"/>
        </w:rPr>
        <w:t xml:space="preserve">Court declared the practice of cutting consumers from electricity supply as </w:t>
      </w:r>
      <w:r w:rsidR="00536C73" w:rsidRPr="000F2E9A">
        <w:rPr>
          <w:lang w:val="en-GB"/>
        </w:rPr>
        <w:t xml:space="preserve">impermissible if they failed to pay certain taxes levied through electricity bills. </w:t>
      </w:r>
      <w:r w:rsidR="00053A30" w:rsidRPr="000F2E9A">
        <w:rPr>
          <w:lang w:val="en-GB"/>
        </w:rPr>
        <w:t xml:space="preserve">In 2014 the Court </w:t>
      </w:r>
      <w:r w:rsidR="003851C4" w:rsidRPr="000F2E9A">
        <w:rPr>
          <w:lang w:val="en-GB"/>
        </w:rPr>
        <w:t xml:space="preserve">declared </w:t>
      </w:r>
      <w:r w:rsidR="00053A30" w:rsidRPr="000F2E9A">
        <w:rPr>
          <w:lang w:val="en-GB"/>
        </w:rPr>
        <w:t xml:space="preserve">certain retroactive pension </w:t>
      </w:r>
      <w:r w:rsidR="00D96C47" w:rsidRPr="000F2E9A">
        <w:rPr>
          <w:lang w:val="en-GB"/>
        </w:rPr>
        <w:t xml:space="preserve">cuts and salary reductions </w:t>
      </w:r>
      <w:r w:rsidR="00053A30" w:rsidRPr="000F2E9A">
        <w:rPr>
          <w:lang w:val="en-GB"/>
        </w:rPr>
        <w:t>for the armed forces and police unconstitutional</w:t>
      </w:r>
      <w:r w:rsidR="00D96C47" w:rsidRPr="000F2E9A">
        <w:rPr>
          <w:lang w:val="en-GB"/>
        </w:rPr>
        <w:t xml:space="preserve"> (</w:t>
      </w:r>
      <w:r w:rsidR="0085436A" w:rsidRPr="000F2E9A">
        <w:rPr>
          <w:lang w:val="en-GB"/>
        </w:rPr>
        <w:t>j</w:t>
      </w:r>
      <w:r w:rsidR="00D96C47" w:rsidRPr="000F2E9A">
        <w:rPr>
          <w:lang w:val="en-GB"/>
        </w:rPr>
        <w:t>udgments No. 2192-2196/2014)</w:t>
      </w:r>
      <w:r w:rsidR="00053A30" w:rsidRPr="000F2E9A">
        <w:rPr>
          <w:lang w:val="en-GB"/>
        </w:rPr>
        <w:t>. More recent</w:t>
      </w:r>
      <w:r w:rsidR="00650650" w:rsidRPr="000F2E9A">
        <w:rPr>
          <w:lang w:val="en-GB"/>
        </w:rPr>
        <w:t>ly</w:t>
      </w:r>
      <w:r w:rsidR="00053A30" w:rsidRPr="000F2E9A">
        <w:rPr>
          <w:lang w:val="en-GB"/>
        </w:rPr>
        <w:t xml:space="preserve"> </w:t>
      </w:r>
      <w:r w:rsidR="00D96C47" w:rsidRPr="000F2E9A">
        <w:rPr>
          <w:lang w:val="en-GB"/>
        </w:rPr>
        <w:t xml:space="preserve">it </w:t>
      </w:r>
      <w:r w:rsidR="00053A30" w:rsidRPr="000F2E9A">
        <w:rPr>
          <w:lang w:val="en-GB"/>
        </w:rPr>
        <w:t>decla</w:t>
      </w:r>
      <w:r w:rsidR="00D96C47" w:rsidRPr="000F2E9A">
        <w:rPr>
          <w:lang w:val="en-GB"/>
        </w:rPr>
        <w:t>r</w:t>
      </w:r>
      <w:r w:rsidR="00053A30" w:rsidRPr="000F2E9A">
        <w:rPr>
          <w:lang w:val="en-GB"/>
        </w:rPr>
        <w:t xml:space="preserve">ed </w:t>
      </w:r>
      <w:r w:rsidR="003851C4" w:rsidRPr="000F2E9A">
        <w:rPr>
          <w:lang w:val="en-GB"/>
        </w:rPr>
        <w:t xml:space="preserve">also </w:t>
      </w:r>
      <w:r w:rsidR="00053A30" w:rsidRPr="000F2E9A">
        <w:rPr>
          <w:lang w:val="en-GB"/>
        </w:rPr>
        <w:t>unconstitutional certain cuts to the main and supplementary pensions enacted in 2013 (</w:t>
      </w:r>
      <w:r w:rsidR="0085436A" w:rsidRPr="000F2E9A">
        <w:rPr>
          <w:lang w:val="en-GB"/>
        </w:rPr>
        <w:t>j</w:t>
      </w:r>
      <w:r w:rsidR="00053A30" w:rsidRPr="000F2E9A">
        <w:rPr>
          <w:lang w:val="en-GB"/>
        </w:rPr>
        <w:t>udgeme</w:t>
      </w:r>
      <w:r w:rsidR="00D96C47" w:rsidRPr="000F2E9A">
        <w:rPr>
          <w:lang w:val="en-GB"/>
        </w:rPr>
        <w:t>n</w:t>
      </w:r>
      <w:r w:rsidR="00053A30" w:rsidRPr="000F2E9A">
        <w:rPr>
          <w:lang w:val="en-GB"/>
        </w:rPr>
        <w:t>ts no. 2287-2290/2015).</w:t>
      </w:r>
    </w:p>
    <w:p w:rsidR="00696C63" w:rsidRPr="000F2E9A" w:rsidRDefault="005573E4" w:rsidP="005573E4">
      <w:pPr>
        <w:pStyle w:val="SingleTxtG"/>
        <w:rPr>
          <w:lang w:val="en-GB"/>
        </w:rPr>
      </w:pPr>
      <w:r w:rsidRPr="000F2E9A">
        <w:rPr>
          <w:lang w:val="en-GB"/>
        </w:rPr>
        <w:lastRenderedPageBreak/>
        <w:t>51.</w:t>
      </w:r>
      <w:r w:rsidRPr="000F2E9A">
        <w:rPr>
          <w:lang w:val="en-GB"/>
        </w:rPr>
        <w:tab/>
      </w:r>
      <w:r w:rsidR="00DB13FA" w:rsidRPr="000F2E9A">
        <w:rPr>
          <w:lang w:val="en-GB"/>
        </w:rPr>
        <w:t xml:space="preserve">The Independent Expert would like to encourage the Greek judiciary to </w:t>
      </w:r>
      <w:r w:rsidR="003851C4" w:rsidRPr="000F2E9A">
        <w:rPr>
          <w:lang w:val="en-GB"/>
        </w:rPr>
        <w:t xml:space="preserve">rely </w:t>
      </w:r>
      <w:r w:rsidR="00C35A17" w:rsidRPr="000F2E9A">
        <w:rPr>
          <w:lang w:val="en-GB"/>
        </w:rPr>
        <w:t xml:space="preserve">more frequently </w:t>
      </w:r>
      <w:r w:rsidR="003851C4" w:rsidRPr="000F2E9A">
        <w:rPr>
          <w:lang w:val="en-GB"/>
        </w:rPr>
        <w:t xml:space="preserve">on </w:t>
      </w:r>
      <w:r w:rsidR="00DB13FA" w:rsidRPr="000F2E9A">
        <w:rPr>
          <w:lang w:val="en-GB"/>
        </w:rPr>
        <w:t>international and regional human rights standards in their adjudication</w:t>
      </w:r>
      <w:r w:rsidR="0030164B" w:rsidRPr="000F2E9A">
        <w:rPr>
          <w:lang w:val="en-GB"/>
        </w:rPr>
        <w:t xml:space="preserve">. He recommends </w:t>
      </w:r>
      <w:proofErr w:type="gramStart"/>
      <w:r w:rsidR="0030164B" w:rsidRPr="000F2E9A">
        <w:rPr>
          <w:lang w:val="en-GB"/>
        </w:rPr>
        <w:t xml:space="preserve">to </w:t>
      </w:r>
      <w:r w:rsidR="003851C4" w:rsidRPr="000F2E9A">
        <w:rPr>
          <w:lang w:val="en-GB"/>
        </w:rPr>
        <w:t>improv</w:t>
      </w:r>
      <w:r w:rsidR="0030164B" w:rsidRPr="000F2E9A">
        <w:rPr>
          <w:lang w:val="en-GB"/>
        </w:rPr>
        <w:t>e</w:t>
      </w:r>
      <w:proofErr w:type="gramEnd"/>
      <w:r w:rsidR="003851C4" w:rsidRPr="000F2E9A">
        <w:rPr>
          <w:lang w:val="en-GB"/>
        </w:rPr>
        <w:t xml:space="preserve"> access to justice </w:t>
      </w:r>
      <w:r w:rsidR="0030164B" w:rsidRPr="000F2E9A">
        <w:rPr>
          <w:lang w:val="en-GB"/>
        </w:rPr>
        <w:t>for marginalised groups of society</w:t>
      </w:r>
      <w:r w:rsidR="0095278A" w:rsidRPr="000F2E9A">
        <w:rPr>
          <w:lang w:val="en-GB"/>
        </w:rPr>
        <w:t>.</w:t>
      </w:r>
    </w:p>
    <w:p w:rsidR="007849D8" w:rsidRPr="000F2E9A" w:rsidRDefault="005573E4" w:rsidP="005573E4">
      <w:pPr>
        <w:pStyle w:val="SingleTxtG"/>
        <w:rPr>
          <w:lang w:val="en-GB"/>
        </w:rPr>
      </w:pPr>
      <w:r w:rsidRPr="000F2E9A">
        <w:rPr>
          <w:lang w:val="en-GB"/>
        </w:rPr>
        <w:t>52.</w:t>
      </w:r>
      <w:r w:rsidRPr="000F2E9A">
        <w:rPr>
          <w:lang w:val="en-GB"/>
        </w:rPr>
        <w:tab/>
      </w:r>
      <w:r w:rsidR="00C35A17" w:rsidRPr="000F2E9A">
        <w:rPr>
          <w:lang w:val="en-GB"/>
        </w:rPr>
        <w:t>In this relation it should be noted that t</w:t>
      </w:r>
      <w:r w:rsidR="007D2737" w:rsidRPr="000F2E9A">
        <w:rPr>
          <w:lang w:val="en-GB"/>
        </w:rPr>
        <w:t xml:space="preserve">he Greek Ombudsman plays an important role </w:t>
      </w:r>
      <w:r w:rsidR="006E2F4A" w:rsidRPr="000F2E9A">
        <w:rPr>
          <w:lang w:val="en-GB"/>
        </w:rPr>
        <w:t>as an independent authority to protect the rights of citizens, ensure compliance with rule of law and combat maladministration.</w:t>
      </w:r>
      <w:r w:rsidR="00017C92" w:rsidRPr="000F2E9A">
        <w:rPr>
          <w:lang w:val="en-GB"/>
        </w:rPr>
        <w:t xml:space="preserve"> </w:t>
      </w:r>
      <w:r w:rsidR="007D2737" w:rsidRPr="000F2E9A">
        <w:rPr>
          <w:lang w:val="en-GB"/>
        </w:rPr>
        <w:t>Complaints submitted to the</w:t>
      </w:r>
      <w:r w:rsidR="00F00C0D" w:rsidRPr="000F2E9A">
        <w:rPr>
          <w:lang w:val="en-GB"/>
        </w:rPr>
        <w:t xml:space="preserve"> Greek Ombudsman </w:t>
      </w:r>
      <w:r w:rsidR="007D2737" w:rsidRPr="000F2E9A">
        <w:rPr>
          <w:lang w:val="en-GB"/>
        </w:rPr>
        <w:t xml:space="preserve">have significantly increased during the financial crisis (2012: 11.702 complaints, 2014: 16.339 complaints). </w:t>
      </w:r>
      <w:r w:rsidR="006E2F4A" w:rsidRPr="000F2E9A">
        <w:rPr>
          <w:lang w:val="en-GB"/>
        </w:rPr>
        <w:t>In particular c</w:t>
      </w:r>
      <w:r w:rsidR="007D2737" w:rsidRPr="000F2E9A">
        <w:rPr>
          <w:lang w:val="en-GB"/>
        </w:rPr>
        <w:t xml:space="preserve">omplaints related to social protection, welfare and taxation increased. </w:t>
      </w:r>
      <w:r w:rsidR="006E2F4A" w:rsidRPr="000F2E9A">
        <w:rPr>
          <w:lang w:val="en-GB"/>
        </w:rPr>
        <w:t xml:space="preserve">The Ombudsman intensified </w:t>
      </w:r>
      <w:r w:rsidR="00C35A17" w:rsidRPr="000F2E9A">
        <w:rPr>
          <w:lang w:val="en-GB"/>
        </w:rPr>
        <w:t xml:space="preserve">also </w:t>
      </w:r>
      <w:r w:rsidR="006E2F4A" w:rsidRPr="000F2E9A">
        <w:rPr>
          <w:lang w:val="en-GB"/>
        </w:rPr>
        <w:t xml:space="preserve">its efforts to address systemic problems reflected in complaints </w:t>
      </w:r>
      <w:r w:rsidR="00C35A17" w:rsidRPr="000F2E9A">
        <w:rPr>
          <w:lang w:val="en-GB"/>
        </w:rPr>
        <w:t xml:space="preserve">by </w:t>
      </w:r>
      <w:r w:rsidR="006E2F4A" w:rsidRPr="000F2E9A">
        <w:rPr>
          <w:lang w:val="en-GB"/>
        </w:rPr>
        <w:t>stress</w:t>
      </w:r>
      <w:r w:rsidR="00C35A17" w:rsidRPr="000F2E9A">
        <w:rPr>
          <w:lang w:val="en-GB"/>
        </w:rPr>
        <w:t>ing</w:t>
      </w:r>
      <w:r w:rsidR="006E2F4A" w:rsidRPr="000F2E9A">
        <w:rPr>
          <w:lang w:val="en-GB"/>
        </w:rPr>
        <w:t xml:space="preserve"> in its reports to Parliament the need to ensure that national legislation implementing adjustment measures complies with human rights standards</w:t>
      </w:r>
      <w:r w:rsidR="0089265D" w:rsidRPr="000F2E9A">
        <w:rPr>
          <w:lang w:val="en-GB"/>
        </w:rPr>
        <w:t xml:space="preserve">. In its interventions the Greek Ombudsman continuously </w:t>
      </w:r>
      <w:r w:rsidR="00C35A17" w:rsidRPr="000F2E9A">
        <w:rPr>
          <w:lang w:val="en-GB"/>
        </w:rPr>
        <w:t xml:space="preserve">underlined </w:t>
      </w:r>
      <w:r w:rsidR="0089265D" w:rsidRPr="000F2E9A">
        <w:rPr>
          <w:lang w:val="en-GB"/>
        </w:rPr>
        <w:t xml:space="preserve">the need to strengthen social welfare and services for vulnerable groups, to find effective ways to secure access of all citizens to health services, to relieve poor persons from heavy tax burdens or unbearable personal debt repayment terms or to </w:t>
      </w:r>
      <w:r w:rsidR="00C35A17" w:rsidRPr="000F2E9A">
        <w:rPr>
          <w:lang w:val="en-GB"/>
        </w:rPr>
        <w:t>pr</w:t>
      </w:r>
      <w:r w:rsidR="00964504" w:rsidRPr="000F2E9A">
        <w:rPr>
          <w:lang w:val="en-GB"/>
        </w:rPr>
        <w:t>event interruption of impoverished households from electricity and water supply</w:t>
      </w:r>
      <w:r w:rsidR="0089265D" w:rsidRPr="000F2E9A">
        <w:rPr>
          <w:lang w:val="en-GB"/>
        </w:rPr>
        <w:t>.</w:t>
      </w:r>
    </w:p>
    <w:p w:rsidR="009A75EC" w:rsidRPr="000F2E9A" w:rsidRDefault="005573E4" w:rsidP="005573E4">
      <w:pPr>
        <w:pStyle w:val="SingleTxtG"/>
        <w:rPr>
          <w:lang w:val="en-GB"/>
        </w:rPr>
      </w:pPr>
      <w:r w:rsidRPr="000F2E9A">
        <w:rPr>
          <w:lang w:val="en-GB"/>
        </w:rPr>
        <w:t>53.</w:t>
      </w:r>
      <w:r w:rsidRPr="000F2E9A">
        <w:rPr>
          <w:lang w:val="en-GB"/>
        </w:rPr>
        <w:tab/>
      </w:r>
      <w:r w:rsidR="0089265D" w:rsidRPr="000F2E9A">
        <w:rPr>
          <w:lang w:val="en-GB"/>
        </w:rPr>
        <w:t>Similarly</w:t>
      </w:r>
      <w:r w:rsidR="00D51309" w:rsidRPr="000F2E9A">
        <w:rPr>
          <w:lang w:val="en-GB"/>
        </w:rPr>
        <w:t>,</w:t>
      </w:r>
      <w:r w:rsidR="0089265D" w:rsidRPr="000F2E9A">
        <w:rPr>
          <w:lang w:val="en-GB"/>
        </w:rPr>
        <w:t xml:space="preserve"> the </w:t>
      </w:r>
      <w:r w:rsidR="007849D8" w:rsidRPr="000F2E9A">
        <w:rPr>
          <w:lang w:val="en-GB"/>
        </w:rPr>
        <w:t>Greek National Commission for Human Rights (GNCHR)</w:t>
      </w:r>
      <w:r w:rsidR="003132AD" w:rsidRPr="000F2E9A">
        <w:rPr>
          <w:lang w:val="en-GB"/>
        </w:rPr>
        <w:t xml:space="preserve"> voiced in numerous statements and submissions </w:t>
      </w:r>
      <w:r w:rsidR="004478BE" w:rsidRPr="000F2E9A">
        <w:rPr>
          <w:lang w:val="en-GB"/>
        </w:rPr>
        <w:t xml:space="preserve">to national authorities and international bodies </w:t>
      </w:r>
      <w:r w:rsidR="00EF745E" w:rsidRPr="000F2E9A">
        <w:rPr>
          <w:lang w:val="en-GB"/>
        </w:rPr>
        <w:t xml:space="preserve">its </w:t>
      </w:r>
      <w:r w:rsidR="003132AD" w:rsidRPr="000F2E9A">
        <w:rPr>
          <w:lang w:val="en-GB"/>
        </w:rPr>
        <w:t>concerns about violations of social rights</w:t>
      </w:r>
      <w:r w:rsidR="00650650" w:rsidRPr="000F2E9A">
        <w:rPr>
          <w:lang w:val="en-GB"/>
        </w:rPr>
        <w:t xml:space="preserve">, </w:t>
      </w:r>
      <w:r w:rsidR="003132AD" w:rsidRPr="000F2E9A">
        <w:rPr>
          <w:lang w:val="en-GB"/>
        </w:rPr>
        <w:t xml:space="preserve">mounting barriers to access justice and the lack of adequate consideration of recommendations and decisions of national, European and international human rights monitoring bodies in relation to the implementation of austerity </w:t>
      </w:r>
      <w:r w:rsidR="00EF745E" w:rsidRPr="000F2E9A">
        <w:rPr>
          <w:lang w:val="en-GB"/>
        </w:rPr>
        <w:t xml:space="preserve">measures and economic reform policies </w:t>
      </w:r>
      <w:r w:rsidR="003132AD" w:rsidRPr="000F2E9A">
        <w:rPr>
          <w:lang w:val="en-GB"/>
        </w:rPr>
        <w:t>within Greece</w:t>
      </w:r>
      <w:r w:rsidR="009A75EC" w:rsidRPr="000F2E9A">
        <w:rPr>
          <w:lang w:val="en-GB"/>
        </w:rPr>
        <w:t xml:space="preserve">. The GNCHR </w:t>
      </w:r>
      <w:r w:rsidR="00C510CF" w:rsidRPr="000F2E9A">
        <w:rPr>
          <w:lang w:val="en-GB"/>
        </w:rPr>
        <w:t xml:space="preserve">is </w:t>
      </w:r>
      <w:r w:rsidR="00EF745E" w:rsidRPr="000F2E9A">
        <w:rPr>
          <w:lang w:val="en-GB"/>
        </w:rPr>
        <w:t>worrie</w:t>
      </w:r>
      <w:r w:rsidR="00C510CF" w:rsidRPr="000F2E9A">
        <w:rPr>
          <w:lang w:val="en-GB"/>
        </w:rPr>
        <w:t xml:space="preserve">d that the </w:t>
      </w:r>
      <w:r w:rsidR="00EF745E" w:rsidRPr="000F2E9A">
        <w:rPr>
          <w:lang w:val="en-GB"/>
        </w:rPr>
        <w:t>drastic cuts in social expenditure</w:t>
      </w:r>
      <w:r w:rsidR="00950430" w:rsidRPr="000F2E9A">
        <w:rPr>
          <w:lang w:val="en-GB"/>
        </w:rPr>
        <w:t xml:space="preserve"> undermin</w:t>
      </w:r>
      <w:r w:rsidR="00C510CF" w:rsidRPr="000F2E9A">
        <w:rPr>
          <w:lang w:val="en-GB"/>
        </w:rPr>
        <w:t>e</w:t>
      </w:r>
      <w:r w:rsidR="00950430" w:rsidRPr="000F2E9A">
        <w:rPr>
          <w:lang w:val="en-GB"/>
        </w:rPr>
        <w:t xml:space="preserve"> the ability of the State to guarantee basic economic and social rights</w:t>
      </w:r>
      <w:r w:rsidR="00650650" w:rsidRPr="000F2E9A">
        <w:rPr>
          <w:lang w:val="en-GB"/>
        </w:rPr>
        <w:t>. It</w:t>
      </w:r>
      <w:r w:rsidR="00C510CF" w:rsidRPr="000F2E9A">
        <w:rPr>
          <w:lang w:val="en-GB"/>
        </w:rPr>
        <w:t xml:space="preserve"> expressed concerns </w:t>
      </w:r>
      <w:r w:rsidR="00950430" w:rsidRPr="000F2E9A">
        <w:rPr>
          <w:lang w:val="en-GB"/>
        </w:rPr>
        <w:t xml:space="preserve">about </w:t>
      </w:r>
      <w:r w:rsidR="00EF745E" w:rsidRPr="000F2E9A">
        <w:rPr>
          <w:lang w:val="en-GB"/>
        </w:rPr>
        <w:t xml:space="preserve">the </w:t>
      </w:r>
      <w:r w:rsidR="009A75EC" w:rsidRPr="000F2E9A">
        <w:rPr>
          <w:lang w:val="en-GB"/>
        </w:rPr>
        <w:t xml:space="preserve">dismantling of the </w:t>
      </w:r>
      <w:r w:rsidR="00EF745E" w:rsidRPr="000F2E9A">
        <w:rPr>
          <w:lang w:val="en-GB"/>
        </w:rPr>
        <w:t>w</w:t>
      </w:r>
      <w:r w:rsidR="009A75EC" w:rsidRPr="000F2E9A">
        <w:rPr>
          <w:lang w:val="en-GB"/>
        </w:rPr>
        <w:t xml:space="preserve">elfare </w:t>
      </w:r>
      <w:r w:rsidR="00EF745E" w:rsidRPr="000F2E9A">
        <w:rPr>
          <w:lang w:val="en-GB"/>
        </w:rPr>
        <w:t>s</w:t>
      </w:r>
      <w:r w:rsidR="009A75EC" w:rsidRPr="000F2E9A">
        <w:rPr>
          <w:lang w:val="en-GB"/>
        </w:rPr>
        <w:t>tate</w:t>
      </w:r>
      <w:r w:rsidR="00C510CF" w:rsidRPr="000F2E9A">
        <w:rPr>
          <w:lang w:val="en-GB"/>
        </w:rPr>
        <w:t xml:space="preserve">, an increase </w:t>
      </w:r>
      <w:r w:rsidR="00950430" w:rsidRPr="000F2E9A">
        <w:rPr>
          <w:lang w:val="en-GB"/>
        </w:rPr>
        <w:t xml:space="preserve">of extremist and intolerant elements within society and lack of capacity of the Greek State to fulfil human rights obligations in the context of immigration and </w:t>
      </w:r>
      <w:r w:rsidR="00C510CF" w:rsidRPr="000F2E9A">
        <w:rPr>
          <w:lang w:val="en-GB"/>
        </w:rPr>
        <w:t xml:space="preserve">management of </w:t>
      </w:r>
      <w:r w:rsidR="00950430" w:rsidRPr="000F2E9A">
        <w:rPr>
          <w:lang w:val="en-GB"/>
        </w:rPr>
        <w:t>refugee flows</w:t>
      </w:r>
      <w:r w:rsidR="007849D8" w:rsidRPr="000F2E9A">
        <w:rPr>
          <w:lang w:val="en-GB"/>
        </w:rPr>
        <w:t>.</w:t>
      </w:r>
      <w:r w:rsidR="007849D8" w:rsidRPr="000F2E9A">
        <w:rPr>
          <w:vertAlign w:val="superscript"/>
          <w:lang w:val="en-GB"/>
        </w:rPr>
        <w:footnoteReference w:id="31"/>
      </w:r>
    </w:p>
    <w:p w:rsidR="007849D8" w:rsidRPr="000F2E9A" w:rsidRDefault="005573E4" w:rsidP="005573E4">
      <w:pPr>
        <w:pStyle w:val="SingleTxtG"/>
        <w:rPr>
          <w:lang w:val="en-GB"/>
        </w:rPr>
      </w:pPr>
      <w:r w:rsidRPr="000F2E9A">
        <w:rPr>
          <w:lang w:val="en-GB"/>
        </w:rPr>
        <w:t>54.</w:t>
      </w:r>
      <w:r w:rsidRPr="000F2E9A">
        <w:rPr>
          <w:lang w:val="en-GB"/>
        </w:rPr>
        <w:tab/>
      </w:r>
      <w:r w:rsidR="007849D8" w:rsidRPr="000F2E9A">
        <w:rPr>
          <w:lang w:val="en-GB"/>
        </w:rPr>
        <w:t xml:space="preserve">The Independent Expert regrets that </w:t>
      </w:r>
      <w:r w:rsidR="009A75EC" w:rsidRPr="000F2E9A">
        <w:rPr>
          <w:lang w:val="en-GB"/>
        </w:rPr>
        <w:t xml:space="preserve">concerns and </w:t>
      </w:r>
      <w:r w:rsidR="007849D8" w:rsidRPr="000F2E9A">
        <w:rPr>
          <w:lang w:val="en-GB"/>
        </w:rPr>
        <w:t xml:space="preserve">recommendations </w:t>
      </w:r>
      <w:r w:rsidR="009A75EC" w:rsidRPr="000F2E9A">
        <w:rPr>
          <w:lang w:val="en-GB"/>
        </w:rPr>
        <w:t xml:space="preserve">expressed </w:t>
      </w:r>
      <w:r w:rsidR="007849D8" w:rsidRPr="000F2E9A">
        <w:rPr>
          <w:lang w:val="en-GB"/>
        </w:rPr>
        <w:t xml:space="preserve">by </w:t>
      </w:r>
      <w:r w:rsidR="009A75EC" w:rsidRPr="000F2E9A">
        <w:rPr>
          <w:lang w:val="en-GB"/>
        </w:rPr>
        <w:t xml:space="preserve">the Greek Ombudsman and the GNCHR have not been </w:t>
      </w:r>
      <w:r w:rsidR="007849D8" w:rsidRPr="000F2E9A">
        <w:rPr>
          <w:lang w:val="en-GB"/>
        </w:rPr>
        <w:t>taken into account</w:t>
      </w:r>
      <w:r w:rsidR="009A75EC" w:rsidRPr="000F2E9A">
        <w:rPr>
          <w:lang w:val="en-GB"/>
        </w:rPr>
        <w:t xml:space="preserve"> in the design and implementation of the economic adjustment programmes by European and national stakeholders. In his view both institutions need to be further strengthened to fulfil their mandate. In particular the GNCHR needs </w:t>
      </w:r>
      <w:r w:rsidR="00C510CF" w:rsidRPr="000F2E9A">
        <w:rPr>
          <w:lang w:val="en-GB"/>
        </w:rPr>
        <w:t xml:space="preserve">to be </w:t>
      </w:r>
      <w:r w:rsidR="009A75EC" w:rsidRPr="000F2E9A">
        <w:rPr>
          <w:lang w:val="en-GB"/>
        </w:rPr>
        <w:t xml:space="preserve">adequate staffing to </w:t>
      </w:r>
      <w:r w:rsidR="00B65D48">
        <w:rPr>
          <w:lang w:val="en-GB"/>
        </w:rPr>
        <w:t>fulfil its important functions.</w:t>
      </w:r>
    </w:p>
    <w:p w:rsidR="00880539" w:rsidRPr="000F2E9A" w:rsidRDefault="00880539" w:rsidP="00B65D48">
      <w:pPr>
        <w:pStyle w:val="HChG"/>
        <w:rPr>
          <w:lang w:val="en-GB"/>
        </w:rPr>
      </w:pPr>
      <w:r w:rsidRPr="000F2E9A">
        <w:rPr>
          <w:lang w:val="en-GB"/>
        </w:rPr>
        <w:tab/>
        <w:t>V.</w:t>
      </w:r>
      <w:r w:rsidRPr="000F2E9A">
        <w:rPr>
          <w:lang w:val="en-GB"/>
        </w:rPr>
        <w:tab/>
      </w:r>
      <w:r w:rsidRPr="00B65D48">
        <w:t>Impact</w:t>
      </w:r>
      <w:r w:rsidRPr="000F2E9A">
        <w:rPr>
          <w:lang w:val="en-GB"/>
        </w:rPr>
        <w:t xml:space="preserve"> </w:t>
      </w:r>
      <w:r w:rsidR="005E678F" w:rsidRPr="000F2E9A">
        <w:rPr>
          <w:lang w:val="en-GB"/>
        </w:rPr>
        <w:t xml:space="preserve">of the economic reform programme </w:t>
      </w:r>
      <w:r w:rsidRPr="000F2E9A">
        <w:rPr>
          <w:lang w:val="en-GB"/>
        </w:rPr>
        <w:t>on the enjoyment of human rights</w:t>
      </w:r>
    </w:p>
    <w:p w:rsidR="00806A80" w:rsidRPr="000F2E9A" w:rsidRDefault="005573E4" w:rsidP="005573E4">
      <w:pPr>
        <w:pStyle w:val="SingleTxtG"/>
        <w:rPr>
          <w:lang w:val="en-GB"/>
        </w:rPr>
      </w:pPr>
      <w:r w:rsidRPr="000F2E9A">
        <w:rPr>
          <w:lang w:val="en-GB"/>
        </w:rPr>
        <w:t>55.</w:t>
      </w:r>
      <w:r w:rsidRPr="000F2E9A">
        <w:rPr>
          <w:lang w:val="en-GB"/>
        </w:rPr>
        <w:tab/>
      </w:r>
      <w:r w:rsidR="00D52D02" w:rsidRPr="000F2E9A">
        <w:rPr>
          <w:lang w:val="en-GB"/>
        </w:rPr>
        <w:t>T</w:t>
      </w:r>
      <w:r w:rsidR="003333DA" w:rsidRPr="000F2E9A">
        <w:rPr>
          <w:lang w:val="en-GB"/>
        </w:rPr>
        <w:t xml:space="preserve">he previous mandate-holder </w:t>
      </w:r>
      <w:r w:rsidR="00722601" w:rsidRPr="000F2E9A">
        <w:rPr>
          <w:lang w:val="en-GB"/>
        </w:rPr>
        <w:t xml:space="preserve">has </w:t>
      </w:r>
      <w:r w:rsidR="003333DA" w:rsidRPr="000F2E9A">
        <w:rPr>
          <w:lang w:val="en-GB"/>
        </w:rPr>
        <w:t xml:space="preserve">highlighted the impact of </w:t>
      </w:r>
      <w:r w:rsidR="00D52D02" w:rsidRPr="000F2E9A">
        <w:rPr>
          <w:lang w:val="en-GB"/>
        </w:rPr>
        <w:t>austerity measures on the enjoym</w:t>
      </w:r>
      <w:r w:rsidR="003333DA" w:rsidRPr="000F2E9A">
        <w:rPr>
          <w:lang w:val="en-GB"/>
        </w:rPr>
        <w:t xml:space="preserve">ent of human rights, in particular, the right to work, to social security, to health, to adequate housing as well as the rights of persons living </w:t>
      </w:r>
      <w:r w:rsidR="00D52D02" w:rsidRPr="000F2E9A">
        <w:rPr>
          <w:lang w:val="en-GB"/>
        </w:rPr>
        <w:t xml:space="preserve">in poverty and social exclusion in his previous report. </w:t>
      </w:r>
      <w:r w:rsidR="00650650" w:rsidRPr="000F2E9A">
        <w:rPr>
          <w:lang w:val="en-GB"/>
        </w:rPr>
        <w:t xml:space="preserve">These </w:t>
      </w:r>
      <w:r w:rsidR="00B03FCD" w:rsidRPr="000F2E9A">
        <w:rPr>
          <w:lang w:val="en-GB"/>
        </w:rPr>
        <w:t xml:space="preserve">concerns raised persist </w:t>
      </w:r>
      <w:r w:rsidR="00B65D48">
        <w:rPr>
          <w:lang w:val="en-GB"/>
        </w:rPr>
        <w:t>today.</w:t>
      </w:r>
    </w:p>
    <w:p w:rsidR="00AE7803" w:rsidRPr="000F2E9A" w:rsidRDefault="00B65D48" w:rsidP="00B65D48">
      <w:pPr>
        <w:pStyle w:val="H1G"/>
        <w:rPr>
          <w:lang w:val="en-GB" w:eastAsia="en-GB"/>
        </w:rPr>
      </w:pPr>
      <w:r>
        <w:rPr>
          <w:lang w:val="en-GB" w:eastAsia="en-GB"/>
        </w:rPr>
        <w:lastRenderedPageBreak/>
        <w:tab/>
        <w:t>A.</w:t>
      </w:r>
      <w:r>
        <w:rPr>
          <w:lang w:val="en-GB" w:eastAsia="en-GB"/>
        </w:rPr>
        <w:tab/>
      </w:r>
      <w:r w:rsidR="00AE7803" w:rsidRPr="000F2E9A">
        <w:rPr>
          <w:lang w:val="en-GB" w:eastAsia="en-GB"/>
        </w:rPr>
        <w:t xml:space="preserve">Right </w:t>
      </w:r>
      <w:r w:rsidR="00AE7803" w:rsidRPr="00B65D48">
        <w:t>to</w:t>
      </w:r>
      <w:r w:rsidR="00AE7803" w:rsidRPr="000F2E9A">
        <w:rPr>
          <w:lang w:val="en-GB" w:eastAsia="en-GB"/>
        </w:rPr>
        <w:t xml:space="preserve"> work </w:t>
      </w:r>
      <w:r w:rsidR="000F0A88" w:rsidRPr="000F2E9A">
        <w:rPr>
          <w:lang w:val="en-GB" w:eastAsia="en-GB"/>
        </w:rPr>
        <w:t>and to favourable condition of work</w:t>
      </w:r>
    </w:p>
    <w:p w:rsidR="0081077A" w:rsidRPr="000F2E9A" w:rsidRDefault="005573E4" w:rsidP="005573E4">
      <w:pPr>
        <w:pStyle w:val="SingleTxtG"/>
        <w:rPr>
          <w:lang w:val="en-GB"/>
        </w:rPr>
      </w:pPr>
      <w:r w:rsidRPr="000F2E9A">
        <w:rPr>
          <w:lang w:val="en-GB"/>
        </w:rPr>
        <w:t>56.</w:t>
      </w:r>
      <w:r w:rsidRPr="000F2E9A">
        <w:rPr>
          <w:lang w:val="en-GB"/>
        </w:rPr>
        <w:tab/>
      </w:r>
      <w:r w:rsidR="0081077A" w:rsidRPr="000F2E9A">
        <w:rPr>
          <w:lang w:val="en-GB"/>
        </w:rPr>
        <w:t>Since the beginning of the crisis an estimated 230,000 small and medium sized enterprises shut down, contributing to more than 600.000 job losses</w:t>
      </w:r>
      <w:r w:rsidR="00057738" w:rsidRPr="000F2E9A">
        <w:rPr>
          <w:lang w:val="en-GB"/>
        </w:rPr>
        <w:t xml:space="preserve"> alone</w:t>
      </w:r>
      <w:r w:rsidR="0081077A" w:rsidRPr="000F2E9A">
        <w:rPr>
          <w:lang w:val="en-GB"/>
        </w:rPr>
        <w:t>.</w:t>
      </w:r>
      <w:r w:rsidR="0081077A" w:rsidRPr="000F2E9A">
        <w:rPr>
          <w:vertAlign w:val="superscript"/>
          <w:lang w:val="en-GB"/>
        </w:rPr>
        <w:footnoteReference w:id="32"/>
      </w:r>
      <w:r w:rsidR="0081077A" w:rsidRPr="000F2E9A">
        <w:rPr>
          <w:lang w:val="en-GB"/>
        </w:rPr>
        <w:t xml:space="preserve"> </w:t>
      </w:r>
      <w:r w:rsidR="00B021B4" w:rsidRPr="000F2E9A">
        <w:rPr>
          <w:lang w:val="en-GB"/>
        </w:rPr>
        <w:t>T</w:t>
      </w:r>
      <w:r w:rsidR="00057738" w:rsidRPr="000F2E9A">
        <w:rPr>
          <w:lang w:val="en-GB"/>
        </w:rPr>
        <w:t xml:space="preserve">he </w:t>
      </w:r>
      <w:r w:rsidR="00B021B4" w:rsidRPr="000F2E9A">
        <w:rPr>
          <w:lang w:val="en-GB"/>
        </w:rPr>
        <w:t xml:space="preserve">economic </w:t>
      </w:r>
      <w:r w:rsidR="00057738" w:rsidRPr="000F2E9A">
        <w:rPr>
          <w:lang w:val="en-GB"/>
        </w:rPr>
        <w:t xml:space="preserve">adjustment programmes </w:t>
      </w:r>
      <w:r w:rsidR="00B021B4" w:rsidRPr="000F2E9A">
        <w:rPr>
          <w:lang w:val="en-GB"/>
        </w:rPr>
        <w:t>direct</w:t>
      </w:r>
      <w:r w:rsidR="006A4181" w:rsidRPr="000F2E9A">
        <w:rPr>
          <w:lang w:val="en-GB"/>
        </w:rPr>
        <w:t xml:space="preserve">ly </w:t>
      </w:r>
      <w:r w:rsidR="005E678F" w:rsidRPr="000F2E9A">
        <w:rPr>
          <w:lang w:val="en-GB"/>
        </w:rPr>
        <w:t>contributed to rising unemployment</w:t>
      </w:r>
      <w:r w:rsidR="006A4181" w:rsidRPr="000F2E9A">
        <w:rPr>
          <w:lang w:val="en-GB"/>
        </w:rPr>
        <w:t xml:space="preserve">, </w:t>
      </w:r>
      <w:r w:rsidR="001D4413" w:rsidRPr="000F2E9A">
        <w:rPr>
          <w:lang w:val="en-GB"/>
        </w:rPr>
        <w:t xml:space="preserve">by shrinking </w:t>
      </w:r>
      <w:r w:rsidR="00495610" w:rsidRPr="000F2E9A">
        <w:rPr>
          <w:lang w:val="en-GB"/>
        </w:rPr>
        <w:t xml:space="preserve">the size of the </w:t>
      </w:r>
      <w:r w:rsidR="00B021B4" w:rsidRPr="000F2E9A">
        <w:rPr>
          <w:lang w:val="en-GB"/>
        </w:rPr>
        <w:t xml:space="preserve">public sector by </w:t>
      </w:r>
      <w:r w:rsidR="00495610" w:rsidRPr="000F2E9A">
        <w:rPr>
          <w:lang w:val="en-GB"/>
        </w:rPr>
        <w:t>234</w:t>
      </w:r>
      <w:r w:rsidR="00B021B4" w:rsidRPr="000F2E9A">
        <w:rPr>
          <w:lang w:val="en-GB"/>
        </w:rPr>
        <w:t>.</w:t>
      </w:r>
      <w:r w:rsidR="00495610" w:rsidRPr="000F2E9A">
        <w:rPr>
          <w:lang w:val="en-GB"/>
        </w:rPr>
        <w:t>847</w:t>
      </w:r>
      <w:r w:rsidR="00B021B4" w:rsidRPr="000F2E9A">
        <w:rPr>
          <w:lang w:val="en-GB"/>
        </w:rPr>
        <w:t xml:space="preserve"> employees</w:t>
      </w:r>
      <w:r w:rsidR="001D4413" w:rsidRPr="000F2E9A">
        <w:rPr>
          <w:lang w:val="en-GB"/>
        </w:rPr>
        <w:t xml:space="preserve"> between 2009 and end of November 2015</w:t>
      </w:r>
      <w:r w:rsidR="00495610" w:rsidRPr="000F2E9A">
        <w:rPr>
          <w:lang w:val="en-GB"/>
        </w:rPr>
        <w:t xml:space="preserve">, a reduction </w:t>
      </w:r>
      <w:r w:rsidR="00017710" w:rsidRPr="000F2E9A">
        <w:rPr>
          <w:lang w:val="en-GB"/>
        </w:rPr>
        <w:t>of</w:t>
      </w:r>
      <w:r w:rsidR="00495610" w:rsidRPr="000F2E9A">
        <w:rPr>
          <w:lang w:val="en-GB"/>
        </w:rPr>
        <w:t xml:space="preserve"> 26</w:t>
      </w:r>
      <w:r w:rsidR="00396425">
        <w:rPr>
          <w:lang w:val="en-GB"/>
        </w:rPr>
        <w:t>%</w:t>
      </w:r>
      <w:r w:rsidR="00B021B4" w:rsidRPr="000F2E9A">
        <w:rPr>
          <w:lang w:val="en-GB"/>
        </w:rPr>
        <w:t>.</w:t>
      </w:r>
      <w:r w:rsidR="00B021B4" w:rsidRPr="000F2E9A">
        <w:rPr>
          <w:vertAlign w:val="superscript"/>
          <w:lang w:val="en-GB"/>
        </w:rPr>
        <w:footnoteReference w:id="33"/>
      </w:r>
      <w:r w:rsidR="00057738" w:rsidRPr="000F2E9A">
        <w:rPr>
          <w:lang w:val="en-GB"/>
        </w:rPr>
        <w:t xml:space="preserve"> </w:t>
      </w:r>
    </w:p>
    <w:p w:rsidR="000F0A88" w:rsidRPr="000F2E9A" w:rsidRDefault="005573E4" w:rsidP="005573E4">
      <w:pPr>
        <w:pStyle w:val="SingleTxtG"/>
        <w:rPr>
          <w:lang w:val="en-GB"/>
        </w:rPr>
      </w:pPr>
      <w:r w:rsidRPr="000F2E9A">
        <w:rPr>
          <w:lang w:val="en-GB"/>
        </w:rPr>
        <w:t>57.</w:t>
      </w:r>
      <w:r w:rsidRPr="000F2E9A">
        <w:rPr>
          <w:lang w:val="en-GB"/>
        </w:rPr>
        <w:tab/>
      </w:r>
      <w:r w:rsidR="00495610" w:rsidRPr="000F2E9A">
        <w:rPr>
          <w:lang w:val="en-GB"/>
        </w:rPr>
        <w:t>O</w:t>
      </w:r>
      <w:r w:rsidR="00B021B4" w:rsidRPr="000F2E9A">
        <w:rPr>
          <w:lang w:val="en-GB"/>
        </w:rPr>
        <w:t xml:space="preserve">verall </w:t>
      </w:r>
      <w:r w:rsidR="004F0509" w:rsidRPr="000F2E9A">
        <w:rPr>
          <w:lang w:val="en-GB"/>
        </w:rPr>
        <w:t xml:space="preserve">about one million jobs </w:t>
      </w:r>
      <w:r w:rsidR="00495610" w:rsidRPr="000F2E9A">
        <w:rPr>
          <w:lang w:val="en-GB"/>
        </w:rPr>
        <w:t xml:space="preserve">have been </w:t>
      </w:r>
      <w:r w:rsidR="004F0509" w:rsidRPr="000F2E9A">
        <w:rPr>
          <w:lang w:val="en-GB"/>
        </w:rPr>
        <w:t>lost</w:t>
      </w:r>
      <w:r w:rsidR="00495610" w:rsidRPr="000F2E9A">
        <w:rPr>
          <w:lang w:val="en-GB"/>
        </w:rPr>
        <w:t xml:space="preserve"> sin</w:t>
      </w:r>
      <w:r w:rsidR="00017710" w:rsidRPr="000F2E9A">
        <w:rPr>
          <w:lang w:val="en-GB"/>
        </w:rPr>
        <w:t>c</w:t>
      </w:r>
      <w:r w:rsidR="00495610" w:rsidRPr="000F2E9A">
        <w:rPr>
          <w:lang w:val="en-GB"/>
        </w:rPr>
        <w:t>e the beginning of the cr</w:t>
      </w:r>
      <w:r w:rsidR="00017710" w:rsidRPr="000F2E9A">
        <w:rPr>
          <w:lang w:val="en-GB"/>
        </w:rPr>
        <w:t>i</w:t>
      </w:r>
      <w:r w:rsidR="00495610" w:rsidRPr="000F2E9A">
        <w:rPr>
          <w:lang w:val="en-GB"/>
        </w:rPr>
        <w:t>sis</w:t>
      </w:r>
      <w:r w:rsidR="004F0509" w:rsidRPr="000F2E9A">
        <w:rPr>
          <w:lang w:val="en-GB"/>
        </w:rPr>
        <w:t xml:space="preserve">, resulting in an </w:t>
      </w:r>
      <w:r w:rsidR="001825B0" w:rsidRPr="000F2E9A">
        <w:rPr>
          <w:lang w:val="en-GB"/>
        </w:rPr>
        <w:t xml:space="preserve">unprecedented </w:t>
      </w:r>
      <w:r w:rsidR="004F0509" w:rsidRPr="000F2E9A">
        <w:rPr>
          <w:lang w:val="en-GB"/>
        </w:rPr>
        <w:t>unemployment rate of</w:t>
      </w:r>
      <w:r w:rsidR="005E678F" w:rsidRPr="000F2E9A">
        <w:rPr>
          <w:lang w:val="en-GB"/>
        </w:rPr>
        <w:t xml:space="preserve"> 27.5</w:t>
      </w:r>
      <w:r w:rsidR="00396425">
        <w:rPr>
          <w:lang w:val="en-GB"/>
        </w:rPr>
        <w:t>%</w:t>
      </w:r>
      <w:r w:rsidR="005E678F" w:rsidRPr="000F2E9A">
        <w:rPr>
          <w:lang w:val="en-GB"/>
        </w:rPr>
        <w:t xml:space="preserve"> in 2013 which</w:t>
      </w:r>
      <w:r w:rsidR="004F0509" w:rsidRPr="000F2E9A">
        <w:rPr>
          <w:lang w:val="en-GB"/>
        </w:rPr>
        <w:t xml:space="preserve"> </w:t>
      </w:r>
      <w:r w:rsidR="00507CCD" w:rsidRPr="000F2E9A">
        <w:rPr>
          <w:lang w:val="en-GB"/>
        </w:rPr>
        <w:t xml:space="preserve">has only </w:t>
      </w:r>
      <w:r w:rsidR="004F0509" w:rsidRPr="000F2E9A">
        <w:rPr>
          <w:lang w:val="en-GB"/>
        </w:rPr>
        <w:t>dropp</w:t>
      </w:r>
      <w:r w:rsidR="005E678F" w:rsidRPr="000F2E9A">
        <w:rPr>
          <w:lang w:val="en-GB"/>
        </w:rPr>
        <w:t>ed</w:t>
      </w:r>
      <w:r w:rsidR="00495610" w:rsidRPr="000F2E9A">
        <w:rPr>
          <w:lang w:val="en-GB"/>
        </w:rPr>
        <w:t xml:space="preserve"> </w:t>
      </w:r>
      <w:r w:rsidR="00507CCD" w:rsidRPr="000F2E9A">
        <w:rPr>
          <w:lang w:val="en-GB"/>
        </w:rPr>
        <w:t xml:space="preserve">slightly </w:t>
      </w:r>
      <w:r w:rsidR="00495610" w:rsidRPr="000F2E9A">
        <w:rPr>
          <w:lang w:val="en-GB"/>
        </w:rPr>
        <w:t>to 2</w:t>
      </w:r>
      <w:r w:rsidR="008F06C3" w:rsidRPr="000F2E9A">
        <w:rPr>
          <w:lang w:val="en-GB"/>
        </w:rPr>
        <w:t>4.0</w:t>
      </w:r>
      <w:r w:rsidR="00396425">
        <w:rPr>
          <w:lang w:val="en-GB"/>
        </w:rPr>
        <w:t>%</w:t>
      </w:r>
      <w:r w:rsidR="00495610" w:rsidRPr="000F2E9A">
        <w:rPr>
          <w:lang w:val="en-GB"/>
        </w:rPr>
        <w:t xml:space="preserve"> </w:t>
      </w:r>
      <w:r w:rsidR="00017710" w:rsidRPr="000F2E9A">
        <w:rPr>
          <w:lang w:val="en-GB"/>
        </w:rPr>
        <w:t>during the 3rd quarter of 2015</w:t>
      </w:r>
      <w:r w:rsidR="004F0509" w:rsidRPr="000F2E9A">
        <w:rPr>
          <w:lang w:val="en-GB"/>
        </w:rPr>
        <w:t>.</w:t>
      </w:r>
      <w:r w:rsidR="00017710" w:rsidRPr="000F2E9A">
        <w:rPr>
          <w:vertAlign w:val="superscript"/>
          <w:lang w:val="en-GB"/>
        </w:rPr>
        <w:footnoteReference w:id="34"/>
      </w:r>
      <w:r w:rsidR="004F0509" w:rsidRPr="000F2E9A">
        <w:rPr>
          <w:lang w:val="en-GB"/>
        </w:rPr>
        <w:t xml:space="preserve"> Unemployment of women has remained 6.5</w:t>
      </w:r>
      <w:r w:rsidR="00396425">
        <w:rPr>
          <w:lang w:val="en-GB"/>
        </w:rPr>
        <w:t>%</w:t>
      </w:r>
      <w:r w:rsidR="004F0509" w:rsidRPr="000F2E9A">
        <w:rPr>
          <w:lang w:val="en-GB"/>
        </w:rPr>
        <w:t xml:space="preserve"> higher than men</w:t>
      </w:r>
      <w:r w:rsidR="0086785A" w:rsidRPr="000F2E9A">
        <w:rPr>
          <w:lang w:val="en-GB"/>
        </w:rPr>
        <w:t>, and youth un</w:t>
      </w:r>
      <w:r w:rsidR="001825B0" w:rsidRPr="000F2E9A">
        <w:rPr>
          <w:lang w:val="en-GB"/>
        </w:rPr>
        <w:t xml:space="preserve">employment (age 15-24) </w:t>
      </w:r>
      <w:r w:rsidR="00650650" w:rsidRPr="000F2E9A">
        <w:rPr>
          <w:lang w:val="en-GB"/>
        </w:rPr>
        <w:t xml:space="preserve">remains </w:t>
      </w:r>
      <w:r w:rsidR="001825B0" w:rsidRPr="000F2E9A">
        <w:rPr>
          <w:lang w:val="en-GB"/>
        </w:rPr>
        <w:t xml:space="preserve">with </w:t>
      </w:r>
      <w:r w:rsidR="0086785A" w:rsidRPr="000F2E9A">
        <w:rPr>
          <w:lang w:val="en-GB"/>
        </w:rPr>
        <w:t>48.8</w:t>
      </w:r>
      <w:r w:rsidR="00396425">
        <w:rPr>
          <w:lang w:val="en-GB"/>
        </w:rPr>
        <w:t>%</w:t>
      </w:r>
      <w:r w:rsidR="0086785A" w:rsidRPr="000F2E9A">
        <w:rPr>
          <w:lang w:val="en-GB"/>
        </w:rPr>
        <w:t xml:space="preserve"> </w:t>
      </w:r>
      <w:r w:rsidR="00017710" w:rsidRPr="000F2E9A">
        <w:rPr>
          <w:lang w:val="en-GB"/>
        </w:rPr>
        <w:t>at inacceptable proportions undermining the prospect</w:t>
      </w:r>
      <w:r w:rsidR="00F020B5" w:rsidRPr="000F2E9A">
        <w:rPr>
          <w:lang w:val="en-GB"/>
        </w:rPr>
        <w:t>s</w:t>
      </w:r>
      <w:r w:rsidR="00017710" w:rsidRPr="000F2E9A">
        <w:rPr>
          <w:lang w:val="en-GB"/>
        </w:rPr>
        <w:t xml:space="preserve"> of an entire generation</w:t>
      </w:r>
      <w:r w:rsidR="0086785A" w:rsidRPr="000F2E9A">
        <w:rPr>
          <w:lang w:val="en-GB"/>
        </w:rPr>
        <w:t xml:space="preserve">. </w:t>
      </w:r>
      <w:r w:rsidR="00B861E8" w:rsidRPr="000F2E9A">
        <w:rPr>
          <w:lang w:val="en-GB"/>
        </w:rPr>
        <w:t>Job seekers ha</w:t>
      </w:r>
      <w:r w:rsidR="00507CCD" w:rsidRPr="000F2E9A">
        <w:rPr>
          <w:lang w:val="en-GB"/>
        </w:rPr>
        <w:t>ve</w:t>
      </w:r>
      <w:r w:rsidR="00B861E8" w:rsidRPr="000F2E9A">
        <w:rPr>
          <w:lang w:val="en-GB"/>
        </w:rPr>
        <w:t xml:space="preserve"> to accept increasingly part-time or unstable work. </w:t>
      </w:r>
      <w:r w:rsidR="00017710" w:rsidRPr="000F2E9A">
        <w:rPr>
          <w:lang w:val="en-GB"/>
        </w:rPr>
        <w:t>T</w:t>
      </w:r>
      <w:r w:rsidR="0086785A" w:rsidRPr="000F2E9A">
        <w:rPr>
          <w:lang w:val="en-GB"/>
        </w:rPr>
        <w:t>he number of persons who have never worked reached 23.6</w:t>
      </w:r>
      <w:r w:rsidR="00396425">
        <w:rPr>
          <w:lang w:val="en-GB"/>
        </w:rPr>
        <w:t>%</w:t>
      </w:r>
      <w:r w:rsidR="0086785A" w:rsidRPr="000F2E9A">
        <w:rPr>
          <w:lang w:val="en-GB"/>
        </w:rPr>
        <w:t xml:space="preserve"> of all unemployed and </w:t>
      </w:r>
      <w:r w:rsidR="00507CCD" w:rsidRPr="000F2E9A">
        <w:rPr>
          <w:lang w:val="en-GB"/>
        </w:rPr>
        <w:t>73.7</w:t>
      </w:r>
      <w:r w:rsidR="00396425">
        <w:rPr>
          <w:lang w:val="en-GB"/>
        </w:rPr>
        <w:t>%</w:t>
      </w:r>
      <w:r w:rsidR="00507CCD" w:rsidRPr="000F2E9A">
        <w:rPr>
          <w:lang w:val="en-GB"/>
        </w:rPr>
        <w:t xml:space="preserve"> of all unemployed are in the meantime </w:t>
      </w:r>
      <w:r w:rsidR="0086785A" w:rsidRPr="000F2E9A">
        <w:rPr>
          <w:lang w:val="en-GB"/>
        </w:rPr>
        <w:t>long-term unemploy</w:t>
      </w:r>
      <w:r w:rsidR="00507CCD" w:rsidRPr="000F2E9A">
        <w:rPr>
          <w:lang w:val="en-GB"/>
        </w:rPr>
        <w:t>ed. N</w:t>
      </w:r>
      <w:r w:rsidR="0086785A" w:rsidRPr="000F2E9A">
        <w:rPr>
          <w:lang w:val="en-GB"/>
        </w:rPr>
        <w:t xml:space="preserve">o significant reduction of unemployment </w:t>
      </w:r>
      <w:r w:rsidR="005E678F" w:rsidRPr="000F2E9A">
        <w:rPr>
          <w:lang w:val="en-GB"/>
        </w:rPr>
        <w:t>is</w:t>
      </w:r>
      <w:r w:rsidR="00F37A54" w:rsidRPr="000F2E9A">
        <w:rPr>
          <w:lang w:val="en-GB"/>
        </w:rPr>
        <w:t xml:space="preserve"> forecast for</w:t>
      </w:r>
      <w:r w:rsidR="00B65D48">
        <w:rPr>
          <w:lang w:val="en-GB"/>
        </w:rPr>
        <w:t xml:space="preserve"> 2016-2017.</w:t>
      </w:r>
    </w:p>
    <w:p w:rsidR="004F0509" w:rsidRPr="000F2E9A" w:rsidRDefault="005573E4" w:rsidP="005573E4">
      <w:pPr>
        <w:pStyle w:val="SingleTxtG"/>
        <w:rPr>
          <w:lang w:val="en-GB"/>
        </w:rPr>
      </w:pPr>
      <w:r w:rsidRPr="000F2E9A">
        <w:rPr>
          <w:lang w:val="en-GB"/>
        </w:rPr>
        <w:t>58.</w:t>
      </w:r>
      <w:r w:rsidRPr="000F2E9A">
        <w:rPr>
          <w:lang w:val="en-GB"/>
        </w:rPr>
        <w:tab/>
      </w:r>
      <w:r w:rsidR="00613190" w:rsidRPr="000F2E9A">
        <w:rPr>
          <w:lang w:val="en-GB"/>
        </w:rPr>
        <w:t xml:space="preserve">The Independent Expert </w:t>
      </w:r>
      <w:r w:rsidR="007C2BB9" w:rsidRPr="000F2E9A">
        <w:rPr>
          <w:lang w:val="en-GB"/>
        </w:rPr>
        <w:t xml:space="preserve">remains </w:t>
      </w:r>
      <w:r w:rsidR="00ED107D" w:rsidRPr="000F2E9A">
        <w:rPr>
          <w:lang w:val="en-GB"/>
        </w:rPr>
        <w:t>concern</w:t>
      </w:r>
      <w:r w:rsidR="007C2BB9" w:rsidRPr="000F2E9A">
        <w:rPr>
          <w:lang w:val="en-GB"/>
        </w:rPr>
        <w:t xml:space="preserve">ed </w:t>
      </w:r>
      <w:r w:rsidR="00ED107D" w:rsidRPr="000F2E9A">
        <w:rPr>
          <w:lang w:val="en-GB"/>
        </w:rPr>
        <w:t xml:space="preserve">that the </w:t>
      </w:r>
      <w:r w:rsidR="000F0A88" w:rsidRPr="000F2E9A">
        <w:rPr>
          <w:lang w:val="en-GB"/>
        </w:rPr>
        <w:t xml:space="preserve">reduced </w:t>
      </w:r>
      <w:r w:rsidR="00ED107D" w:rsidRPr="000F2E9A">
        <w:rPr>
          <w:lang w:val="en-GB"/>
        </w:rPr>
        <w:t xml:space="preserve">level of the minimum wage, </w:t>
      </w:r>
      <w:r w:rsidR="000F0A88" w:rsidRPr="000F2E9A">
        <w:rPr>
          <w:lang w:val="en-GB"/>
        </w:rPr>
        <w:t xml:space="preserve">as required by the Second Economic Adjustment Programme, </w:t>
      </w:r>
      <w:r w:rsidR="00ED107D" w:rsidRPr="000F2E9A">
        <w:rPr>
          <w:lang w:val="en-GB"/>
        </w:rPr>
        <w:t xml:space="preserve">in particular </w:t>
      </w:r>
      <w:r w:rsidR="000F0A88" w:rsidRPr="000F2E9A">
        <w:rPr>
          <w:lang w:val="en-GB"/>
        </w:rPr>
        <w:t>its reduction of 32</w:t>
      </w:r>
      <w:r w:rsidR="00396425">
        <w:rPr>
          <w:lang w:val="en-GB"/>
        </w:rPr>
        <w:t>%</w:t>
      </w:r>
      <w:r w:rsidR="000F0A88" w:rsidRPr="000F2E9A">
        <w:rPr>
          <w:lang w:val="en-GB"/>
        </w:rPr>
        <w:t xml:space="preserve"> </w:t>
      </w:r>
      <w:r w:rsidR="00ED107D" w:rsidRPr="000F2E9A">
        <w:rPr>
          <w:lang w:val="en-GB"/>
        </w:rPr>
        <w:t>for young workers, is not sufficient to provide workers and their families with decent living</w:t>
      </w:r>
      <w:r w:rsidR="000F0A88" w:rsidRPr="000F2E9A">
        <w:rPr>
          <w:lang w:val="en-GB"/>
        </w:rPr>
        <w:t xml:space="preserve"> and violates article 7 </w:t>
      </w:r>
      <w:proofErr w:type="gramStart"/>
      <w:r w:rsidR="000F0A88" w:rsidRPr="000F2E9A">
        <w:rPr>
          <w:lang w:val="en-GB"/>
        </w:rPr>
        <w:t>a</w:t>
      </w:r>
      <w:proofErr w:type="gramEnd"/>
      <w:r w:rsidR="000F0A88" w:rsidRPr="000F2E9A">
        <w:rPr>
          <w:lang w:val="en-GB"/>
        </w:rPr>
        <w:t xml:space="preserve"> ii</w:t>
      </w:r>
      <w:r w:rsidR="00ED107D" w:rsidRPr="000F2E9A">
        <w:rPr>
          <w:lang w:val="en-GB"/>
        </w:rPr>
        <w:t xml:space="preserve"> </w:t>
      </w:r>
      <w:r w:rsidR="000F0A88" w:rsidRPr="000F2E9A">
        <w:rPr>
          <w:lang w:val="en-GB"/>
        </w:rPr>
        <w:t>of the International Covenant on Economic and Social and Cultural Rights.</w:t>
      </w:r>
      <w:r w:rsidR="00ED107D" w:rsidRPr="000F2E9A">
        <w:rPr>
          <w:lang w:val="en-GB"/>
        </w:rPr>
        <w:t xml:space="preserve"> </w:t>
      </w:r>
      <w:r w:rsidR="008F12D9" w:rsidRPr="000F2E9A">
        <w:rPr>
          <w:lang w:val="en-GB"/>
        </w:rPr>
        <w:t xml:space="preserve">Similarly he is concerned that </w:t>
      </w:r>
      <w:r w:rsidR="001825B0" w:rsidRPr="000F2E9A">
        <w:rPr>
          <w:lang w:val="en-GB"/>
        </w:rPr>
        <w:t xml:space="preserve">the </w:t>
      </w:r>
      <w:r w:rsidR="00AE7803" w:rsidRPr="000F2E9A">
        <w:rPr>
          <w:lang w:val="en-GB"/>
        </w:rPr>
        <w:t xml:space="preserve">new legal framework on collective bargaining, introduced as part of the economic reform programme, </w:t>
      </w:r>
      <w:r w:rsidR="001825B0" w:rsidRPr="000F2E9A">
        <w:rPr>
          <w:lang w:val="en-GB"/>
        </w:rPr>
        <w:t xml:space="preserve">may </w:t>
      </w:r>
      <w:r w:rsidR="00AE7803" w:rsidRPr="000F2E9A">
        <w:rPr>
          <w:lang w:val="en-GB"/>
        </w:rPr>
        <w:t>put employees in a disadvantage</w:t>
      </w:r>
      <w:r w:rsidR="006557CF" w:rsidRPr="000F2E9A">
        <w:rPr>
          <w:lang w:val="en-GB"/>
        </w:rPr>
        <w:t>d</w:t>
      </w:r>
      <w:r w:rsidR="00AE7803" w:rsidRPr="000F2E9A">
        <w:rPr>
          <w:lang w:val="en-GB"/>
        </w:rPr>
        <w:t xml:space="preserve"> position in the determination of wages and working conditions by direct negotiation</w:t>
      </w:r>
      <w:r w:rsidR="006557CF" w:rsidRPr="000F2E9A">
        <w:rPr>
          <w:lang w:val="en-GB"/>
        </w:rPr>
        <w:t>.</w:t>
      </w:r>
    </w:p>
    <w:p w:rsidR="008F12D9" w:rsidRPr="000F2E9A" w:rsidRDefault="005573E4" w:rsidP="005573E4">
      <w:pPr>
        <w:pStyle w:val="SingleTxtG"/>
        <w:rPr>
          <w:lang w:val="en-GB"/>
        </w:rPr>
      </w:pPr>
      <w:r w:rsidRPr="000F2E9A">
        <w:rPr>
          <w:lang w:val="en-GB"/>
        </w:rPr>
        <w:t>59.</w:t>
      </w:r>
      <w:r w:rsidRPr="000F2E9A">
        <w:rPr>
          <w:lang w:val="en-GB"/>
        </w:rPr>
        <w:tab/>
      </w:r>
      <w:r w:rsidR="0023474C" w:rsidRPr="000F2E9A">
        <w:rPr>
          <w:lang w:val="en-GB"/>
        </w:rPr>
        <w:t>The Ind</w:t>
      </w:r>
      <w:r w:rsidR="00751587" w:rsidRPr="000F2E9A">
        <w:rPr>
          <w:lang w:val="en-GB"/>
        </w:rPr>
        <w:t>e</w:t>
      </w:r>
      <w:r w:rsidR="0023474C" w:rsidRPr="000F2E9A">
        <w:rPr>
          <w:lang w:val="en-GB"/>
        </w:rPr>
        <w:t xml:space="preserve">pendent Expert </w:t>
      </w:r>
      <w:r w:rsidR="0063072E" w:rsidRPr="000F2E9A">
        <w:rPr>
          <w:lang w:val="en-GB"/>
        </w:rPr>
        <w:t xml:space="preserve">welcomes </w:t>
      </w:r>
      <w:r w:rsidR="0023474C" w:rsidRPr="000F2E9A">
        <w:rPr>
          <w:lang w:val="en-GB"/>
        </w:rPr>
        <w:t xml:space="preserve">efforts by the </w:t>
      </w:r>
      <w:r w:rsidR="0063072E" w:rsidRPr="000F2E9A">
        <w:rPr>
          <w:lang w:val="en-GB"/>
        </w:rPr>
        <w:t xml:space="preserve">Government </w:t>
      </w:r>
      <w:r w:rsidR="00751587" w:rsidRPr="000F2E9A">
        <w:rPr>
          <w:lang w:val="en-GB"/>
        </w:rPr>
        <w:t xml:space="preserve">targeting young unemployed persons and assisting businesses in dynamic sectors of the economy to provide guaranteed employment implemented with funding by the European Union. Given the number of unemployed </w:t>
      </w:r>
      <w:r w:rsidR="008F12D9" w:rsidRPr="000F2E9A">
        <w:rPr>
          <w:lang w:val="en-GB"/>
        </w:rPr>
        <w:t xml:space="preserve">in the view of the Independent Expert a more comprehensive </w:t>
      </w:r>
      <w:r w:rsidR="00751587" w:rsidRPr="000F2E9A">
        <w:rPr>
          <w:lang w:val="en-GB"/>
        </w:rPr>
        <w:t xml:space="preserve">job creation </w:t>
      </w:r>
      <w:r w:rsidR="008F12D9" w:rsidRPr="000F2E9A">
        <w:rPr>
          <w:lang w:val="en-GB"/>
        </w:rPr>
        <w:t>programme reaching more beneficiaries is urgently needed.</w:t>
      </w:r>
    </w:p>
    <w:p w:rsidR="004F0509" w:rsidRPr="000F2E9A" w:rsidRDefault="00B65D48" w:rsidP="00B65D48">
      <w:pPr>
        <w:pStyle w:val="H1G"/>
        <w:rPr>
          <w:lang w:val="en-GB" w:eastAsia="en-GB"/>
        </w:rPr>
      </w:pPr>
      <w:r>
        <w:rPr>
          <w:lang w:val="en-GB" w:eastAsia="en-GB"/>
        </w:rPr>
        <w:tab/>
        <w:t>B.</w:t>
      </w:r>
      <w:r>
        <w:rPr>
          <w:lang w:val="en-GB" w:eastAsia="en-GB"/>
        </w:rPr>
        <w:tab/>
      </w:r>
      <w:r w:rsidR="008F12D9" w:rsidRPr="000F2E9A">
        <w:rPr>
          <w:lang w:val="en-GB" w:eastAsia="en-GB"/>
        </w:rPr>
        <w:t>Right to social security</w:t>
      </w:r>
      <w:r w:rsidR="00187663" w:rsidRPr="000F2E9A">
        <w:rPr>
          <w:lang w:val="en-GB" w:eastAsia="en-GB"/>
        </w:rPr>
        <w:t xml:space="preserve"> </w:t>
      </w:r>
      <w:r w:rsidR="00B15D68" w:rsidRPr="000F2E9A">
        <w:rPr>
          <w:lang w:val="en-GB" w:eastAsia="en-GB"/>
        </w:rPr>
        <w:t>and poverty</w:t>
      </w:r>
    </w:p>
    <w:p w:rsidR="00887C51" w:rsidRPr="000F2E9A" w:rsidRDefault="005573E4" w:rsidP="005573E4">
      <w:pPr>
        <w:pStyle w:val="SingleTxtG"/>
        <w:rPr>
          <w:lang w:val="en-GB"/>
        </w:rPr>
      </w:pPr>
      <w:r w:rsidRPr="000F2E9A">
        <w:rPr>
          <w:lang w:val="en-GB"/>
        </w:rPr>
        <w:t>60.</w:t>
      </w:r>
      <w:r w:rsidRPr="000F2E9A">
        <w:rPr>
          <w:lang w:val="en-GB"/>
        </w:rPr>
        <w:tab/>
      </w:r>
      <w:r w:rsidR="008F06C3" w:rsidRPr="000F2E9A">
        <w:rPr>
          <w:lang w:val="en-GB"/>
        </w:rPr>
        <w:t xml:space="preserve">Of particular concern </w:t>
      </w:r>
      <w:r w:rsidR="00887C51" w:rsidRPr="000F2E9A">
        <w:rPr>
          <w:lang w:val="en-GB"/>
        </w:rPr>
        <w:t xml:space="preserve">to the Independent Expert are the drastic cuts in social security benefits </w:t>
      </w:r>
      <w:r w:rsidR="00F020B5" w:rsidRPr="000F2E9A">
        <w:rPr>
          <w:lang w:val="en-GB"/>
        </w:rPr>
        <w:t xml:space="preserve">including </w:t>
      </w:r>
      <w:r w:rsidR="00887C51" w:rsidRPr="000F2E9A">
        <w:rPr>
          <w:lang w:val="en-GB"/>
        </w:rPr>
        <w:t xml:space="preserve">restrictive entitlements </w:t>
      </w:r>
      <w:r w:rsidR="00F020B5" w:rsidRPr="000F2E9A">
        <w:rPr>
          <w:lang w:val="en-GB"/>
        </w:rPr>
        <w:t>implemented</w:t>
      </w:r>
      <w:r w:rsidR="00F020B5" w:rsidRPr="000F2E9A">
        <w:rPr>
          <w:color w:val="FF0000"/>
          <w:lang w:val="en-GB"/>
        </w:rPr>
        <w:t xml:space="preserve"> </w:t>
      </w:r>
      <w:r w:rsidR="00F020B5" w:rsidRPr="000F2E9A">
        <w:rPr>
          <w:lang w:val="en-GB"/>
        </w:rPr>
        <w:t xml:space="preserve">as part of </w:t>
      </w:r>
      <w:r w:rsidR="008F06C3" w:rsidRPr="000F2E9A">
        <w:rPr>
          <w:lang w:val="en-GB"/>
        </w:rPr>
        <w:t xml:space="preserve">the austerity measures. </w:t>
      </w:r>
      <w:r w:rsidR="005E678F" w:rsidRPr="000F2E9A">
        <w:rPr>
          <w:lang w:val="en-GB"/>
        </w:rPr>
        <w:t>C</w:t>
      </w:r>
      <w:r w:rsidR="008F06C3" w:rsidRPr="000F2E9A">
        <w:rPr>
          <w:lang w:val="en-GB"/>
        </w:rPr>
        <w:t xml:space="preserve">urrent coverage </w:t>
      </w:r>
      <w:r w:rsidR="001B26C4" w:rsidRPr="000F2E9A">
        <w:rPr>
          <w:lang w:val="en-GB"/>
        </w:rPr>
        <w:t xml:space="preserve">and level </w:t>
      </w:r>
      <w:r w:rsidR="005E678F" w:rsidRPr="000F2E9A">
        <w:rPr>
          <w:lang w:val="en-GB"/>
        </w:rPr>
        <w:t xml:space="preserve">of social security and social welfare </w:t>
      </w:r>
      <w:r w:rsidR="008F06C3" w:rsidRPr="000F2E9A">
        <w:rPr>
          <w:lang w:val="en-GB"/>
        </w:rPr>
        <w:t xml:space="preserve">benefits </w:t>
      </w:r>
      <w:r w:rsidR="002909BA" w:rsidRPr="000F2E9A">
        <w:rPr>
          <w:lang w:val="en-GB"/>
        </w:rPr>
        <w:t xml:space="preserve">is </w:t>
      </w:r>
      <w:r w:rsidR="008F06C3" w:rsidRPr="000F2E9A">
        <w:rPr>
          <w:lang w:val="en-GB"/>
        </w:rPr>
        <w:t xml:space="preserve">inadequate to ensure a decent living for </w:t>
      </w:r>
      <w:r w:rsidR="001B26C4" w:rsidRPr="000F2E9A">
        <w:rPr>
          <w:lang w:val="en-GB"/>
        </w:rPr>
        <w:t>many rights holders</w:t>
      </w:r>
      <w:r w:rsidR="00833DB9" w:rsidRPr="000F2E9A">
        <w:rPr>
          <w:lang w:val="en-GB"/>
        </w:rPr>
        <w:t xml:space="preserve"> and not in line with the right to social security.</w:t>
      </w:r>
      <w:r w:rsidR="00887C51" w:rsidRPr="000F2E9A">
        <w:rPr>
          <w:lang w:val="en-GB"/>
        </w:rPr>
        <w:t xml:space="preserve"> </w:t>
      </w:r>
      <w:r w:rsidR="008A61C5" w:rsidRPr="000F2E9A">
        <w:rPr>
          <w:lang w:val="en-GB"/>
        </w:rPr>
        <w:t>F</w:t>
      </w:r>
      <w:r w:rsidR="002909BA" w:rsidRPr="000F2E9A">
        <w:rPr>
          <w:lang w:val="en-GB"/>
        </w:rPr>
        <w:t>or example</w:t>
      </w:r>
      <w:r w:rsidR="00507CCD" w:rsidRPr="000F2E9A">
        <w:rPr>
          <w:lang w:val="en-GB"/>
        </w:rPr>
        <w:t>,</w:t>
      </w:r>
      <w:r w:rsidR="002909BA" w:rsidRPr="000F2E9A">
        <w:rPr>
          <w:lang w:val="en-GB"/>
        </w:rPr>
        <w:t xml:space="preserve"> </w:t>
      </w:r>
      <w:r w:rsidR="005E678F" w:rsidRPr="000F2E9A">
        <w:rPr>
          <w:lang w:val="en-GB"/>
        </w:rPr>
        <w:t xml:space="preserve">only </w:t>
      </w:r>
      <w:r w:rsidR="002909BA" w:rsidRPr="000F2E9A">
        <w:rPr>
          <w:lang w:val="en-GB"/>
        </w:rPr>
        <w:t xml:space="preserve">about </w:t>
      </w:r>
      <w:r w:rsidR="005E678F" w:rsidRPr="000F2E9A">
        <w:rPr>
          <w:lang w:val="en-GB"/>
        </w:rPr>
        <w:t>10</w:t>
      </w:r>
      <w:r w:rsidR="00396425">
        <w:rPr>
          <w:lang w:val="en-GB"/>
        </w:rPr>
        <w:t>%</w:t>
      </w:r>
      <w:r w:rsidR="005E678F" w:rsidRPr="000F2E9A">
        <w:rPr>
          <w:lang w:val="en-GB"/>
        </w:rPr>
        <w:t xml:space="preserve"> of all registered unemployed </w:t>
      </w:r>
      <w:r w:rsidR="00B15D68" w:rsidRPr="000F2E9A">
        <w:rPr>
          <w:lang w:val="en-GB"/>
        </w:rPr>
        <w:t xml:space="preserve">are actually </w:t>
      </w:r>
      <w:r w:rsidR="005E678F" w:rsidRPr="000F2E9A">
        <w:rPr>
          <w:lang w:val="en-GB"/>
        </w:rPr>
        <w:t>receiv</w:t>
      </w:r>
      <w:r w:rsidR="00F020B5" w:rsidRPr="000F2E9A">
        <w:rPr>
          <w:lang w:val="en-GB"/>
        </w:rPr>
        <w:t>ing</w:t>
      </w:r>
      <w:r w:rsidR="005E678F" w:rsidRPr="000F2E9A">
        <w:rPr>
          <w:lang w:val="en-GB"/>
        </w:rPr>
        <w:t xml:space="preserve"> unemployment benefits.</w:t>
      </w:r>
    </w:p>
    <w:p w:rsidR="00887C51" w:rsidRPr="000F2E9A" w:rsidRDefault="005573E4" w:rsidP="005573E4">
      <w:pPr>
        <w:pStyle w:val="SingleTxtG"/>
        <w:rPr>
          <w:lang w:val="en-GB"/>
        </w:rPr>
      </w:pPr>
      <w:r w:rsidRPr="000F2E9A">
        <w:rPr>
          <w:lang w:val="en-GB"/>
        </w:rPr>
        <w:t>61.</w:t>
      </w:r>
      <w:r w:rsidRPr="000F2E9A">
        <w:rPr>
          <w:lang w:val="en-GB"/>
        </w:rPr>
        <w:tab/>
      </w:r>
      <w:r w:rsidR="00887C51" w:rsidRPr="000F2E9A">
        <w:rPr>
          <w:lang w:val="en-GB"/>
        </w:rPr>
        <w:t xml:space="preserve">The </w:t>
      </w:r>
      <w:r w:rsidR="00833DB9" w:rsidRPr="000F2E9A">
        <w:rPr>
          <w:lang w:val="en-GB"/>
        </w:rPr>
        <w:t>I</w:t>
      </w:r>
      <w:r w:rsidR="00887C51" w:rsidRPr="000F2E9A">
        <w:rPr>
          <w:lang w:val="en-GB"/>
        </w:rPr>
        <w:t xml:space="preserve">ndependent Expert is concerned that 3.88 million people in Greece </w:t>
      </w:r>
      <w:r w:rsidR="00F020B5" w:rsidRPr="000F2E9A">
        <w:rPr>
          <w:lang w:val="en-GB"/>
        </w:rPr>
        <w:t>(</w:t>
      </w:r>
      <w:r w:rsidR="00887C51" w:rsidRPr="000F2E9A">
        <w:rPr>
          <w:lang w:val="en-GB"/>
        </w:rPr>
        <w:t>36.0</w:t>
      </w:r>
      <w:r w:rsidR="00396425">
        <w:rPr>
          <w:lang w:val="en-GB"/>
        </w:rPr>
        <w:t>%</w:t>
      </w:r>
      <w:r w:rsidR="00887C51" w:rsidRPr="000F2E9A">
        <w:rPr>
          <w:lang w:val="en-GB"/>
        </w:rPr>
        <w:t xml:space="preserve"> of the population</w:t>
      </w:r>
      <w:r w:rsidR="00F020B5" w:rsidRPr="000F2E9A">
        <w:rPr>
          <w:lang w:val="en-GB"/>
        </w:rPr>
        <w:t>)</w:t>
      </w:r>
      <w:r w:rsidR="00887C51" w:rsidRPr="000F2E9A">
        <w:rPr>
          <w:lang w:val="en-GB"/>
        </w:rPr>
        <w:t xml:space="preserve"> are at risk of poverty or social exclusion as indicated by the 2014 </w:t>
      </w:r>
      <w:r w:rsidR="00B15D68" w:rsidRPr="000F2E9A">
        <w:rPr>
          <w:lang w:val="en-GB"/>
        </w:rPr>
        <w:t>S</w:t>
      </w:r>
      <w:r w:rsidR="00887C51" w:rsidRPr="000F2E9A">
        <w:rPr>
          <w:lang w:val="en-GB"/>
        </w:rPr>
        <w:t xml:space="preserve">urvey on </w:t>
      </w:r>
      <w:r w:rsidR="00887C51" w:rsidRPr="000F2E9A">
        <w:rPr>
          <w:lang w:val="en-GB"/>
        </w:rPr>
        <w:lastRenderedPageBreak/>
        <w:t>Income and Living Conditions</w:t>
      </w:r>
      <w:r w:rsidR="00B15D68" w:rsidRPr="000F2E9A">
        <w:rPr>
          <w:lang w:val="en-GB"/>
        </w:rPr>
        <w:t>.</w:t>
      </w:r>
      <w:r w:rsidR="00887C51" w:rsidRPr="000F2E9A">
        <w:rPr>
          <w:vertAlign w:val="superscript"/>
          <w:lang w:val="en-GB"/>
        </w:rPr>
        <w:footnoteReference w:id="35"/>
      </w:r>
      <w:r w:rsidR="00833DB9" w:rsidRPr="000F2E9A">
        <w:rPr>
          <w:lang w:val="en-GB"/>
        </w:rPr>
        <w:t xml:space="preserve"> This is the highest rate in the Eurozone</w:t>
      </w:r>
      <w:r w:rsidR="00887C51" w:rsidRPr="000F2E9A">
        <w:rPr>
          <w:lang w:val="en-GB"/>
        </w:rPr>
        <w:t xml:space="preserve">. </w:t>
      </w:r>
      <w:r w:rsidR="009964A7" w:rsidRPr="000F2E9A">
        <w:rPr>
          <w:lang w:val="en-GB"/>
        </w:rPr>
        <w:t xml:space="preserve">Even more worrying is that </w:t>
      </w:r>
      <w:r w:rsidR="00833DB9" w:rsidRPr="000F2E9A">
        <w:rPr>
          <w:lang w:val="en-GB"/>
        </w:rPr>
        <w:t>71.5</w:t>
      </w:r>
      <w:r w:rsidR="00396425">
        <w:rPr>
          <w:lang w:val="en-GB"/>
        </w:rPr>
        <w:t>%</w:t>
      </w:r>
      <w:r w:rsidR="00833DB9" w:rsidRPr="000F2E9A">
        <w:rPr>
          <w:lang w:val="en-GB"/>
        </w:rPr>
        <w:t xml:space="preserve"> of f</w:t>
      </w:r>
      <w:r w:rsidR="00887C51" w:rsidRPr="000F2E9A">
        <w:rPr>
          <w:lang w:val="en-GB"/>
        </w:rPr>
        <w:t xml:space="preserve">oreign nationals from non-EU </w:t>
      </w:r>
      <w:proofErr w:type="gramStart"/>
      <w:r w:rsidR="00887C51" w:rsidRPr="000F2E9A">
        <w:rPr>
          <w:lang w:val="en-GB"/>
        </w:rPr>
        <w:t>countries</w:t>
      </w:r>
      <w:r w:rsidR="00833DB9" w:rsidRPr="000F2E9A">
        <w:rPr>
          <w:lang w:val="en-GB"/>
        </w:rPr>
        <w:t>,</w:t>
      </w:r>
      <w:proofErr w:type="gramEnd"/>
      <w:r w:rsidR="00887C51" w:rsidRPr="000F2E9A">
        <w:rPr>
          <w:lang w:val="en-GB"/>
        </w:rPr>
        <w:t xml:space="preserve"> aged 18-64</w:t>
      </w:r>
      <w:r w:rsidR="009964A7" w:rsidRPr="000F2E9A">
        <w:rPr>
          <w:lang w:val="en-GB"/>
        </w:rPr>
        <w:t xml:space="preserve"> and living in Greece</w:t>
      </w:r>
      <w:r w:rsidR="00833DB9" w:rsidRPr="000F2E9A">
        <w:rPr>
          <w:lang w:val="en-GB"/>
        </w:rPr>
        <w:t>,</w:t>
      </w:r>
      <w:r w:rsidR="00887C51" w:rsidRPr="000F2E9A">
        <w:rPr>
          <w:lang w:val="en-GB"/>
        </w:rPr>
        <w:t xml:space="preserve"> are at risk of poverty or social exclusion</w:t>
      </w:r>
      <w:r w:rsidR="00DE0BA2" w:rsidRPr="000F2E9A">
        <w:rPr>
          <w:lang w:val="en-GB"/>
        </w:rPr>
        <w:t>.</w:t>
      </w:r>
    </w:p>
    <w:p w:rsidR="008A61C5" w:rsidRPr="000F2E9A" w:rsidRDefault="005573E4" w:rsidP="005573E4">
      <w:pPr>
        <w:pStyle w:val="SingleTxtG"/>
        <w:rPr>
          <w:lang w:val="en-GB"/>
        </w:rPr>
      </w:pPr>
      <w:r w:rsidRPr="000F2E9A">
        <w:rPr>
          <w:lang w:val="en-GB"/>
        </w:rPr>
        <w:t>62.</w:t>
      </w:r>
      <w:r w:rsidRPr="000F2E9A">
        <w:rPr>
          <w:lang w:val="en-GB"/>
        </w:rPr>
        <w:tab/>
      </w:r>
      <w:r w:rsidR="008A61C5" w:rsidRPr="000F2E9A">
        <w:rPr>
          <w:lang w:val="en-GB"/>
        </w:rPr>
        <w:t>In 2014 an estimated number of 2.38 million individuals were at risk of income poverty – that means that they have to live from less than 12.63 EUR per day (if living alone) or survive on less than 6.62 EUR per day and person (for a household composed of 2 adults and 2 children below 14 years of age). Persons with foreign nationality residing in Greece (48.0%), the unemployed (45.9%), persons living in households with three or more children (32.4%)</w:t>
      </w:r>
      <w:r w:rsidR="00F020B5" w:rsidRPr="000F2E9A">
        <w:rPr>
          <w:lang w:val="en-GB"/>
        </w:rPr>
        <w:t>,</w:t>
      </w:r>
      <w:r w:rsidR="008A61C5" w:rsidRPr="000F2E9A">
        <w:rPr>
          <w:lang w:val="en-GB"/>
        </w:rPr>
        <w:t xml:space="preserve"> and single parent households with dependent children (27.8%) are at particular risk.</w:t>
      </w:r>
      <w:r w:rsidR="005C10B6" w:rsidRPr="000F2E9A">
        <w:rPr>
          <w:lang w:val="en-GB"/>
        </w:rPr>
        <w:t xml:space="preserve"> According to gender segregated data, risk of poverty for women is significant higher for all above mentioned categories</w:t>
      </w:r>
      <w:r w:rsidR="002A0E95" w:rsidRPr="000F2E9A">
        <w:rPr>
          <w:lang w:val="en-GB"/>
        </w:rPr>
        <w:t xml:space="preserve">, including </w:t>
      </w:r>
      <w:r w:rsidR="00245E2D" w:rsidRPr="000F2E9A">
        <w:rPr>
          <w:lang w:val="en-GB"/>
        </w:rPr>
        <w:t xml:space="preserve">at </w:t>
      </w:r>
      <w:r w:rsidR="005C10B6" w:rsidRPr="000F2E9A">
        <w:rPr>
          <w:lang w:val="en-GB"/>
        </w:rPr>
        <w:t>general population</w:t>
      </w:r>
      <w:r w:rsidR="00245E2D" w:rsidRPr="000F2E9A">
        <w:rPr>
          <w:lang w:val="en-GB"/>
        </w:rPr>
        <w:t xml:space="preserve"> level</w:t>
      </w:r>
      <w:r w:rsidR="005C10B6" w:rsidRPr="000F2E9A">
        <w:rPr>
          <w:lang w:val="en-GB"/>
        </w:rPr>
        <w:t>.</w:t>
      </w:r>
    </w:p>
    <w:p w:rsidR="008A61C5" w:rsidRPr="000F2E9A" w:rsidRDefault="005573E4" w:rsidP="005573E4">
      <w:pPr>
        <w:pStyle w:val="SingleTxtG"/>
        <w:rPr>
          <w:lang w:val="en-GB"/>
        </w:rPr>
      </w:pPr>
      <w:r w:rsidRPr="000F2E9A">
        <w:rPr>
          <w:lang w:val="en-GB"/>
        </w:rPr>
        <w:t>63.</w:t>
      </w:r>
      <w:r w:rsidRPr="000F2E9A">
        <w:rPr>
          <w:lang w:val="en-GB"/>
        </w:rPr>
        <w:tab/>
      </w:r>
      <w:r w:rsidR="008A61C5" w:rsidRPr="000F2E9A">
        <w:rPr>
          <w:lang w:val="en-GB"/>
        </w:rPr>
        <w:t>1.13 million people in Greece can be considered as extreme poor, meaning that they have less than 40% of the median average income at their disposal. Put bluntly</w:t>
      </w:r>
      <w:r w:rsidR="00F020B5" w:rsidRPr="000F2E9A">
        <w:rPr>
          <w:lang w:val="en-GB"/>
        </w:rPr>
        <w:t>,</w:t>
      </w:r>
      <w:r w:rsidR="008A61C5" w:rsidRPr="000F2E9A">
        <w:rPr>
          <w:lang w:val="en-GB"/>
        </w:rPr>
        <w:t xml:space="preserve"> they have to survive on less than 8.42 EUR per day (for a single household) or on less than 4.42 EUR per day and person for a family househol</w:t>
      </w:r>
      <w:r w:rsidR="00B65D48">
        <w:rPr>
          <w:lang w:val="en-GB"/>
        </w:rPr>
        <w:t>d with 2 adults and 2 children.</w:t>
      </w:r>
    </w:p>
    <w:p w:rsidR="00887C51" w:rsidRPr="000F2E9A" w:rsidRDefault="005573E4" w:rsidP="005573E4">
      <w:pPr>
        <w:pStyle w:val="SingleTxtG"/>
        <w:rPr>
          <w:lang w:val="en-GB"/>
        </w:rPr>
      </w:pPr>
      <w:r w:rsidRPr="000F2E9A">
        <w:rPr>
          <w:lang w:val="en-GB"/>
        </w:rPr>
        <w:t>64.</w:t>
      </w:r>
      <w:r w:rsidRPr="000F2E9A">
        <w:rPr>
          <w:lang w:val="en-GB"/>
        </w:rPr>
        <w:tab/>
      </w:r>
      <w:r w:rsidR="00887C51" w:rsidRPr="000F2E9A">
        <w:rPr>
          <w:lang w:val="en-GB"/>
        </w:rPr>
        <w:t xml:space="preserve">It should be further noted that EU wide surveys on Income and </w:t>
      </w:r>
      <w:r w:rsidR="00833DB9" w:rsidRPr="000F2E9A">
        <w:rPr>
          <w:lang w:val="en-GB"/>
        </w:rPr>
        <w:t>L</w:t>
      </w:r>
      <w:r w:rsidR="00887C51" w:rsidRPr="000F2E9A">
        <w:rPr>
          <w:lang w:val="en-GB"/>
        </w:rPr>
        <w:t xml:space="preserve">iving </w:t>
      </w:r>
      <w:r w:rsidR="00833DB9" w:rsidRPr="000F2E9A">
        <w:rPr>
          <w:lang w:val="en-GB"/>
        </w:rPr>
        <w:t>C</w:t>
      </w:r>
      <w:r w:rsidR="00887C51" w:rsidRPr="000F2E9A">
        <w:rPr>
          <w:lang w:val="en-GB"/>
        </w:rPr>
        <w:t xml:space="preserve">onditions are based on household interviews and therefore tend to under-sample social groups at particular risk of poverty </w:t>
      </w:r>
      <w:r w:rsidR="00DE0BA2" w:rsidRPr="000F2E9A">
        <w:rPr>
          <w:lang w:val="en-GB"/>
        </w:rPr>
        <w:t>or</w:t>
      </w:r>
      <w:r w:rsidR="00887C51" w:rsidRPr="000F2E9A">
        <w:rPr>
          <w:lang w:val="en-GB"/>
        </w:rPr>
        <w:t xml:space="preserve"> social exclusion, such as homeless people, Roma, and exclude persons living in camps or institutions, among them many refugees and asylum-seekers. They rather underestimate the current humanitarian and human rights crisis in Greece.</w:t>
      </w:r>
      <w:r w:rsidR="00017C92" w:rsidRPr="000F2E9A">
        <w:rPr>
          <w:lang w:val="en-GB"/>
        </w:rPr>
        <w:t xml:space="preserve"> </w:t>
      </w:r>
      <w:r w:rsidR="002909BA" w:rsidRPr="000F2E9A">
        <w:rPr>
          <w:lang w:val="en-GB"/>
        </w:rPr>
        <w:t>D</w:t>
      </w:r>
      <w:r w:rsidR="00887C51" w:rsidRPr="000F2E9A">
        <w:rPr>
          <w:lang w:val="en-GB"/>
        </w:rPr>
        <w:t>isaggregated data on the social situation of particular groups at risk of vulnerability</w:t>
      </w:r>
      <w:r w:rsidR="00DE0BA2" w:rsidRPr="000F2E9A">
        <w:rPr>
          <w:lang w:val="en-GB"/>
        </w:rPr>
        <w:t>,</w:t>
      </w:r>
      <w:r w:rsidR="00887C51" w:rsidRPr="000F2E9A">
        <w:rPr>
          <w:lang w:val="en-GB"/>
        </w:rPr>
        <w:t xml:space="preserve"> such as homeless</w:t>
      </w:r>
      <w:r w:rsidR="00DE0BA2" w:rsidRPr="000F2E9A">
        <w:rPr>
          <w:lang w:val="en-GB"/>
        </w:rPr>
        <w:t>,</w:t>
      </w:r>
      <w:r w:rsidR="00887C51" w:rsidRPr="000F2E9A">
        <w:rPr>
          <w:lang w:val="en-GB"/>
        </w:rPr>
        <w:t xml:space="preserve"> Roma, irregular migrants or persons with disabilities </w:t>
      </w:r>
      <w:r w:rsidR="009964A7" w:rsidRPr="000F2E9A">
        <w:rPr>
          <w:lang w:val="en-GB"/>
        </w:rPr>
        <w:t xml:space="preserve">is </w:t>
      </w:r>
      <w:r w:rsidR="00887C51" w:rsidRPr="000F2E9A">
        <w:rPr>
          <w:lang w:val="en-GB"/>
        </w:rPr>
        <w:t>missing or not collected</w:t>
      </w:r>
      <w:r w:rsidR="002909BA" w:rsidRPr="000F2E9A">
        <w:rPr>
          <w:lang w:val="en-GB"/>
        </w:rPr>
        <w:t xml:space="preserve"> regularly</w:t>
      </w:r>
      <w:r w:rsidR="00887C51" w:rsidRPr="000F2E9A">
        <w:rPr>
          <w:lang w:val="en-GB"/>
        </w:rPr>
        <w:t xml:space="preserve">, despite repeated requests of UN human rights treaty bodies to </w:t>
      </w:r>
      <w:r w:rsidR="00DE0BA2" w:rsidRPr="000F2E9A">
        <w:rPr>
          <w:lang w:val="en-GB"/>
        </w:rPr>
        <w:t xml:space="preserve">provide </w:t>
      </w:r>
      <w:r w:rsidR="00887C51" w:rsidRPr="000F2E9A">
        <w:rPr>
          <w:lang w:val="en-GB"/>
        </w:rPr>
        <w:t>such data.</w:t>
      </w:r>
    </w:p>
    <w:p w:rsidR="00E93085" w:rsidRPr="000F2E9A" w:rsidRDefault="005573E4" w:rsidP="005573E4">
      <w:pPr>
        <w:pStyle w:val="SingleTxtG"/>
        <w:rPr>
          <w:lang w:val="en-GB"/>
        </w:rPr>
      </w:pPr>
      <w:r w:rsidRPr="000F2E9A">
        <w:rPr>
          <w:lang w:val="en-GB"/>
        </w:rPr>
        <w:t>65.</w:t>
      </w:r>
      <w:r w:rsidRPr="000F2E9A">
        <w:rPr>
          <w:lang w:val="en-GB"/>
        </w:rPr>
        <w:tab/>
      </w:r>
      <w:r w:rsidR="00E93085" w:rsidRPr="000F2E9A">
        <w:rPr>
          <w:lang w:val="en-GB"/>
        </w:rPr>
        <w:t>The number of persons that are considered severely materially deprived, meaning that they cannot afford four or more items on a 9 point scale measuring deprivation has nearly doubled, from 11.6</w:t>
      </w:r>
      <w:r w:rsidR="00396425">
        <w:rPr>
          <w:lang w:val="en-GB"/>
        </w:rPr>
        <w:t>%</w:t>
      </w:r>
      <w:r w:rsidR="00E93085" w:rsidRPr="000F2E9A">
        <w:rPr>
          <w:lang w:val="en-GB"/>
        </w:rPr>
        <w:t xml:space="preserve"> in 2010 reaching 21.5</w:t>
      </w:r>
      <w:r w:rsidR="00396425">
        <w:rPr>
          <w:lang w:val="en-GB"/>
        </w:rPr>
        <w:t>%</w:t>
      </w:r>
      <w:r w:rsidR="00E93085" w:rsidRPr="000F2E9A">
        <w:rPr>
          <w:lang w:val="en-GB"/>
        </w:rPr>
        <w:t xml:space="preserve"> in 2014. This rate is significant above the Eurozone average of 7.3</w:t>
      </w:r>
      <w:r w:rsidR="00396425">
        <w:rPr>
          <w:lang w:val="en-GB"/>
        </w:rPr>
        <w:t>%</w:t>
      </w:r>
      <w:r w:rsidR="00E93085" w:rsidRPr="000F2E9A">
        <w:rPr>
          <w:lang w:val="en-GB"/>
        </w:rPr>
        <w:t xml:space="preserve"> and </w:t>
      </w:r>
      <w:r w:rsidR="00AE0C5D" w:rsidRPr="000F2E9A">
        <w:rPr>
          <w:lang w:val="en-GB"/>
        </w:rPr>
        <w:t xml:space="preserve">currently </w:t>
      </w:r>
      <w:r w:rsidR="00E93085" w:rsidRPr="000F2E9A">
        <w:rPr>
          <w:lang w:val="en-GB"/>
        </w:rPr>
        <w:t>far above other Southern European countries that underwent adjustment policies, like Portugal (10.5</w:t>
      </w:r>
      <w:r w:rsidR="00396425">
        <w:rPr>
          <w:lang w:val="en-GB"/>
        </w:rPr>
        <w:t>%</w:t>
      </w:r>
      <w:r w:rsidR="00B65D48">
        <w:rPr>
          <w:lang w:val="en-GB"/>
        </w:rPr>
        <w:t>) or Spain (7.1</w:t>
      </w:r>
      <w:r w:rsidR="00396425">
        <w:rPr>
          <w:lang w:val="en-GB"/>
        </w:rPr>
        <w:t>%</w:t>
      </w:r>
      <w:r w:rsidR="00B65D48">
        <w:rPr>
          <w:lang w:val="en-GB"/>
        </w:rPr>
        <w:t>).</w:t>
      </w:r>
    </w:p>
    <w:p w:rsidR="00187663" w:rsidRPr="000F2E9A" w:rsidRDefault="005573E4" w:rsidP="005573E4">
      <w:pPr>
        <w:pStyle w:val="SingleTxtG"/>
        <w:rPr>
          <w:lang w:val="en-GB"/>
        </w:rPr>
      </w:pPr>
      <w:r w:rsidRPr="000F2E9A">
        <w:rPr>
          <w:lang w:val="en-GB"/>
        </w:rPr>
        <w:t>66.</w:t>
      </w:r>
      <w:r w:rsidRPr="000F2E9A">
        <w:rPr>
          <w:lang w:val="en-GB"/>
        </w:rPr>
        <w:tab/>
      </w:r>
      <w:r w:rsidR="005A4DBB" w:rsidRPr="000F2E9A">
        <w:rPr>
          <w:lang w:val="en-GB"/>
        </w:rPr>
        <w:t>In the view of the Independent Expert t</w:t>
      </w:r>
      <w:r w:rsidR="00DE0BA2" w:rsidRPr="000F2E9A">
        <w:rPr>
          <w:lang w:val="en-GB"/>
        </w:rPr>
        <w:t>he country needs a reform of the existing system into a modern social welfare system that is just, efficient, sufficiently funded, targeted to those in need, and protecting core social, economic and cultural rights in a comprehensive and non-discriminatory manner. It is essential to roll-out the guaranteed-minimum income scheme that will provide a means-tested support for the poor as quickly as reasonably possible. Greece needs a social welfare system which assists and encourages taking up employment as soon as it becomes available. However, under current economic conditions, coverage of benefits for the unemployed needs to be expanded, to ensure that the unemployed receive benefits for up to 24 months. Furthermore, the extremely limited tax funded unemployment schemes need to be enlarged, in order to support more unemployed workers in low-income households. In this context it would also be essential to increase support to affected individuals through the European Social Fund (ESF). The aim should be a reliable and responsive social welfare net that ensures that persons who are either unable to find jobs or physically unable to wo</w:t>
      </w:r>
      <w:r w:rsidR="00B65D48">
        <w:rPr>
          <w:lang w:val="en-GB"/>
        </w:rPr>
        <w:t>rk can enjoy a life in dignity.</w:t>
      </w:r>
    </w:p>
    <w:p w:rsidR="00187663" w:rsidRPr="000F2E9A" w:rsidRDefault="005573E4" w:rsidP="005573E4">
      <w:pPr>
        <w:pStyle w:val="SingleTxtG"/>
        <w:rPr>
          <w:lang w:val="en-GB"/>
        </w:rPr>
      </w:pPr>
      <w:r w:rsidRPr="000F2E9A">
        <w:rPr>
          <w:lang w:val="en-GB"/>
        </w:rPr>
        <w:t>67.</w:t>
      </w:r>
      <w:r w:rsidRPr="000F2E9A">
        <w:rPr>
          <w:lang w:val="en-GB"/>
        </w:rPr>
        <w:tab/>
      </w:r>
      <w:r w:rsidR="00187663" w:rsidRPr="000F2E9A">
        <w:rPr>
          <w:lang w:val="en-GB"/>
        </w:rPr>
        <w:t xml:space="preserve">There has been intense pressure on the Government to make further cut backs in pensions. In </w:t>
      </w:r>
      <w:r w:rsidR="00397EC3" w:rsidRPr="000F2E9A">
        <w:rPr>
          <w:lang w:val="en-GB"/>
        </w:rPr>
        <w:t xml:space="preserve">the </w:t>
      </w:r>
      <w:r w:rsidR="00187663" w:rsidRPr="000F2E9A">
        <w:rPr>
          <w:lang w:val="en-GB"/>
        </w:rPr>
        <w:t xml:space="preserve">view </w:t>
      </w:r>
      <w:r w:rsidR="00397EC3" w:rsidRPr="000F2E9A">
        <w:rPr>
          <w:lang w:val="en-GB"/>
        </w:rPr>
        <w:t xml:space="preserve">of the Independent Expert </w:t>
      </w:r>
      <w:r w:rsidR="00187663" w:rsidRPr="000F2E9A">
        <w:rPr>
          <w:lang w:val="en-GB"/>
        </w:rPr>
        <w:t>there is the need to reform the pension system based on the principle of inter-generational solidarity</w:t>
      </w:r>
      <w:r w:rsidR="00CC57F1" w:rsidRPr="000F2E9A">
        <w:rPr>
          <w:lang w:val="en-GB"/>
        </w:rPr>
        <w:t xml:space="preserve"> </w:t>
      </w:r>
      <w:r w:rsidR="00187663" w:rsidRPr="000F2E9A">
        <w:rPr>
          <w:lang w:val="en-GB"/>
        </w:rPr>
        <w:t xml:space="preserve">to make it financially </w:t>
      </w:r>
      <w:r w:rsidR="00187663" w:rsidRPr="000F2E9A">
        <w:rPr>
          <w:lang w:val="en-GB"/>
        </w:rPr>
        <w:lastRenderedPageBreak/>
        <w:t xml:space="preserve">sustainable and </w:t>
      </w:r>
      <w:r w:rsidR="00202E36" w:rsidRPr="000F2E9A">
        <w:rPr>
          <w:lang w:val="en-GB"/>
        </w:rPr>
        <w:t xml:space="preserve">to </w:t>
      </w:r>
      <w:r w:rsidR="00187663" w:rsidRPr="000F2E9A">
        <w:rPr>
          <w:lang w:val="en-GB"/>
        </w:rPr>
        <w:t xml:space="preserve">prevent old age poverty. </w:t>
      </w:r>
      <w:r w:rsidR="00397EC3" w:rsidRPr="000F2E9A">
        <w:rPr>
          <w:lang w:val="en-GB"/>
        </w:rPr>
        <w:t>In this context the Independent Expert would like to point out that the current official poverty threshold of 12.63 EUR per day or 384 EUR per month for a single person is in his view already at the margins of what can be considered as a minimal threshold ensuring a life in dignity. It should be considered as a red line that should not be further reduced, if there is no evidence that actual cost of living have fallen significantly.</w:t>
      </w:r>
    </w:p>
    <w:p w:rsidR="00187663" w:rsidRPr="000F2E9A" w:rsidRDefault="00B65D48" w:rsidP="00B65D48">
      <w:pPr>
        <w:pStyle w:val="H1G"/>
        <w:rPr>
          <w:lang w:val="en-GB" w:eastAsia="en-GB"/>
        </w:rPr>
      </w:pPr>
      <w:r>
        <w:rPr>
          <w:lang w:val="en-GB" w:eastAsia="en-GB"/>
        </w:rPr>
        <w:tab/>
        <w:t>C.</w:t>
      </w:r>
      <w:r>
        <w:rPr>
          <w:lang w:val="en-GB" w:eastAsia="en-GB"/>
        </w:rPr>
        <w:tab/>
      </w:r>
      <w:r w:rsidR="00187663" w:rsidRPr="000F2E9A">
        <w:rPr>
          <w:lang w:val="en-GB" w:eastAsia="en-GB"/>
        </w:rPr>
        <w:t>Right to food</w:t>
      </w:r>
      <w:r w:rsidR="00E93085" w:rsidRPr="000F2E9A">
        <w:rPr>
          <w:lang w:val="en-GB" w:eastAsia="en-GB"/>
        </w:rPr>
        <w:t xml:space="preserve">, </w:t>
      </w:r>
      <w:r w:rsidR="00187663" w:rsidRPr="000F2E9A">
        <w:rPr>
          <w:lang w:val="en-GB" w:eastAsia="en-GB"/>
        </w:rPr>
        <w:t xml:space="preserve">housing </w:t>
      </w:r>
      <w:r w:rsidR="00E93085" w:rsidRPr="000F2E9A">
        <w:rPr>
          <w:lang w:val="en-GB" w:eastAsia="en-GB"/>
        </w:rPr>
        <w:t>and health</w:t>
      </w:r>
      <w:r w:rsidR="00B15D68" w:rsidRPr="000F2E9A">
        <w:rPr>
          <w:lang w:val="en-GB" w:eastAsia="en-GB"/>
        </w:rPr>
        <w:t xml:space="preserve"> care</w:t>
      </w:r>
    </w:p>
    <w:p w:rsidR="00187663" w:rsidRPr="000F2E9A" w:rsidRDefault="005573E4" w:rsidP="005573E4">
      <w:pPr>
        <w:pStyle w:val="SingleTxtG"/>
        <w:rPr>
          <w:lang w:val="en-GB"/>
        </w:rPr>
      </w:pPr>
      <w:r w:rsidRPr="000F2E9A">
        <w:rPr>
          <w:lang w:val="en-GB"/>
        </w:rPr>
        <w:t>68.</w:t>
      </w:r>
      <w:r w:rsidRPr="000F2E9A">
        <w:rPr>
          <w:lang w:val="en-GB"/>
        </w:rPr>
        <w:tab/>
      </w:r>
      <w:r w:rsidR="00187663" w:rsidRPr="000F2E9A">
        <w:rPr>
          <w:lang w:val="en-GB"/>
        </w:rPr>
        <w:t xml:space="preserve">There is a close link between </w:t>
      </w:r>
      <w:r w:rsidR="005A4DBB" w:rsidRPr="000F2E9A">
        <w:rPr>
          <w:lang w:val="en-GB"/>
        </w:rPr>
        <w:t xml:space="preserve">income </w:t>
      </w:r>
      <w:r w:rsidR="00187663" w:rsidRPr="000F2E9A">
        <w:rPr>
          <w:lang w:val="en-GB"/>
        </w:rPr>
        <w:t xml:space="preserve">poverty and </w:t>
      </w:r>
      <w:r w:rsidR="003604EA" w:rsidRPr="000F2E9A">
        <w:rPr>
          <w:lang w:val="en-GB"/>
        </w:rPr>
        <w:t xml:space="preserve">denial </w:t>
      </w:r>
      <w:r w:rsidR="00187663" w:rsidRPr="000F2E9A">
        <w:rPr>
          <w:lang w:val="en-GB"/>
        </w:rPr>
        <w:t xml:space="preserve">of social and economic rights. </w:t>
      </w:r>
      <w:r w:rsidR="003604EA" w:rsidRPr="000F2E9A">
        <w:rPr>
          <w:lang w:val="en-GB"/>
        </w:rPr>
        <w:t>For example, o</w:t>
      </w:r>
      <w:r w:rsidR="00187663" w:rsidRPr="000F2E9A">
        <w:rPr>
          <w:lang w:val="en-GB"/>
        </w:rPr>
        <w:t xml:space="preserve">nly few Greek people (3.1%) above the official poverty threshold claim that </w:t>
      </w:r>
      <w:r w:rsidR="009964A7" w:rsidRPr="000F2E9A">
        <w:rPr>
          <w:lang w:val="en-GB"/>
        </w:rPr>
        <w:t xml:space="preserve">they </w:t>
      </w:r>
      <w:r w:rsidR="00187663" w:rsidRPr="000F2E9A">
        <w:rPr>
          <w:lang w:val="en-GB"/>
        </w:rPr>
        <w:t xml:space="preserve">cannot </w:t>
      </w:r>
      <w:r w:rsidR="009964A7" w:rsidRPr="000F2E9A">
        <w:rPr>
          <w:lang w:val="en-GB"/>
        </w:rPr>
        <w:t xml:space="preserve">afford </w:t>
      </w:r>
      <w:r w:rsidR="00187663" w:rsidRPr="000F2E9A">
        <w:rPr>
          <w:lang w:val="en-GB"/>
        </w:rPr>
        <w:t>a meal with meat, chicken, fish (or equivalent vegetarian food)</w:t>
      </w:r>
      <w:r w:rsidR="009964A7" w:rsidRPr="000F2E9A">
        <w:rPr>
          <w:lang w:val="en-GB"/>
        </w:rPr>
        <w:t xml:space="preserve"> every second day. But nearly half of those </w:t>
      </w:r>
      <w:r w:rsidR="00187663" w:rsidRPr="000F2E9A">
        <w:rPr>
          <w:lang w:val="en-GB"/>
        </w:rPr>
        <w:t>below the official poverty threshold (47.5%)</w:t>
      </w:r>
      <w:r w:rsidR="003604EA" w:rsidRPr="000F2E9A">
        <w:rPr>
          <w:lang w:val="en-GB"/>
        </w:rPr>
        <w:t xml:space="preserve"> say so</w:t>
      </w:r>
      <w:r w:rsidR="00187663" w:rsidRPr="000F2E9A">
        <w:rPr>
          <w:lang w:val="en-GB"/>
        </w:rPr>
        <w:t>.</w:t>
      </w:r>
    </w:p>
    <w:p w:rsidR="003654F5" w:rsidRPr="000F2E9A" w:rsidRDefault="005573E4" w:rsidP="005573E4">
      <w:pPr>
        <w:pStyle w:val="SingleTxtG"/>
        <w:rPr>
          <w:lang w:val="en-GB"/>
        </w:rPr>
      </w:pPr>
      <w:r w:rsidRPr="000F2E9A">
        <w:rPr>
          <w:lang w:val="en-GB"/>
        </w:rPr>
        <w:t>69.</w:t>
      </w:r>
      <w:r w:rsidRPr="000F2E9A">
        <w:rPr>
          <w:lang w:val="en-GB"/>
        </w:rPr>
        <w:tab/>
      </w:r>
      <w:r w:rsidR="005D3337" w:rsidRPr="000F2E9A">
        <w:rPr>
          <w:lang w:val="en-GB"/>
        </w:rPr>
        <w:t>T</w:t>
      </w:r>
      <w:r w:rsidR="003654F5" w:rsidRPr="000F2E9A">
        <w:rPr>
          <w:lang w:val="en-GB"/>
        </w:rPr>
        <w:t>he number of people who live in households that cannot keep their home adequately warm doubled since 2010 from 15.4% to 32.9% in 2014.</w:t>
      </w:r>
      <w:r w:rsidR="00017C92" w:rsidRPr="000F2E9A">
        <w:rPr>
          <w:lang w:val="en-GB"/>
        </w:rPr>
        <w:t xml:space="preserve"> </w:t>
      </w:r>
      <w:r w:rsidR="003654F5" w:rsidRPr="000F2E9A">
        <w:rPr>
          <w:lang w:val="en-GB"/>
        </w:rPr>
        <w:t>In addition, 43.1 of all poor households repor</w:t>
      </w:r>
      <w:r w:rsidR="00B65D48">
        <w:rPr>
          <w:lang w:val="en-GB"/>
        </w:rPr>
        <w:t>t to live in overcrowded homes.</w:t>
      </w:r>
    </w:p>
    <w:p w:rsidR="00187663" w:rsidRPr="000F2E9A" w:rsidRDefault="005573E4" w:rsidP="005573E4">
      <w:pPr>
        <w:pStyle w:val="SingleTxtG"/>
        <w:rPr>
          <w:lang w:val="en-GB"/>
        </w:rPr>
      </w:pPr>
      <w:r w:rsidRPr="000F2E9A">
        <w:rPr>
          <w:lang w:val="en-GB"/>
        </w:rPr>
        <w:t>70.</w:t>
      </w:r>
      <w:r w:rsidRPr="000F2E9A">
        <w:rPr>
          <w:lang w:val="en-GB"/>
        </w:rPr>
        <w:tab/>
      </w:r>
      <w:r w:rsidR="00421A34" w:rsidRPr="000F2E9A">
        <w:rPr>
          <w:lang w:val="en-GB"/>
        </w:rPr>
        <w:t>The Independent E</w:t>
      </w:r>
      <w:r w:rsidR="00187663" w:rsidRPr="000F2E9A">
        <w:rPr>
          <w:lang w:val="en-GB"/>
        </w:rPr>
        <w:t>xpert welcomes that during the negotiations with the institutions</w:t>
      </w:r>
      <w:r w:rsidR="003654F5" w:rsidRPr="000F2E9A">
        <w:rPr>
          <w:lang w:val="en-GB"/>
        </w:rPr>
        <w:t xml:space="preserve"> in November 2015</w:t>
      </w:r>
      <w:r w:rsidR="00187663" w:rsidRPr="000F2E9A">
        <w:rPr>
          <w:lang w:val="en-GB"/>
        </w:rPr>
        <w:t>, the Greek Government stressed the need to provide better protection for the first residence home owners with low incomes from foreclosure.</w:t>
      </w:r>
      <w:r w:rsidR="00017C92" w:rsidRPr="000F2E9A">
        <w:rPr>
          <w:lang w:val="en-GB"/>
        </w:rPr>
        <w:t xml:space="preserve"> </w:t>
      </w:r>
      <w:r w:rsidR="00187663" w:rsidRPr="000F2E9A">
        <w:rPr>
          <w:lang w:val="en-GB"/>
        </w:rPr>
        <w:t>However, the state of the housing market needs to be monitored closely, not only in terms of affordability of housing, but also in terms of availability of housing units</w:t>
      </w:r>
      <w:r w:rsidR="00B55C63" w:rsidRPr="000F2E9A">
        <w:rPr>
          <w:lang w:val="en-GB"/>
        </w:rPr>
        <w:t xml:space="preserve"> for low income hous</w:t>
      </w:r>
      <w:r w:rsidR="00765433" w:rsidRPr="000F2E9A">
        <w:rPr>
          <w:lang w:val="en-GB"/>
        </w:rPr>
        <w:t>e</w:t>
      </w:r>
      <w:r w:rsidR="00B55C63" w:rsidRPr="000F2E9A">
        <w:rPr>
          <w:lang w:val="en-GB"/>
        </w:rPr>
        <w:t>holds</w:t>
      </w:r>
      <w:r w:rsidR="00187663" w:rsidRPr="000F2E9A">
        <w:rPr>
          <w:lang w:val="en-GB"/>
        </w:rPr>
        <w:t>. Greece has currently the highest rate of housing cost overburden in the European Union</w:t>
      </w:r>
      <w:r w:rsidR="0007703B" w:rsidRPr="000F2E9A">
        <w:rPr>
          <w:lang w:val="en-GB"/>
        </w:rPr>
        <w:t xml:space="preserve"> with increased steeply from 18.1% (2010) to 40.7</w:t>
      </w:r>
      <w:r w:rsidR="00396425">
        <w:rPr>
          <w:lang w:val="en-GB"/>
        </w:rPr>
        <w:t>%</w:t>
      </w:r>
      <w:r w:rsidR="0007703B" w:rsidRPr="000F2E9A">
        <w:rPr>
          <w:lang w:val="en-GB"/>
        </w:rPr>
        <w:t xml:space="preserve"> (2014)</w:t>
      </w:r>
      <w:r w:rsidR="00187663" w:rsidRPr="000F2E9A">
        <w:rPr>
          <w:lang w:val="en-GB"/>
        </w:rPr>
        <w:t>. This means that Greek people spent more of their disposable income to cover housing costs, including electricity, heating and water than in any other European country</w:t>
      </w:r>
      <w:r w:rsidR="003654F5" w:rsidRPr="000F2E9A">
        <w:rPr>
          <w:lang w:val="en-GB"/>
        </w:rPr>
        <w:t>.</w:t>
      </w:r>
      <w:r w:rsidR="00187663" w:rsidRPr="000F2E9A">
        <w:rPr>
          <w:lang w:val="en-GB"/>
        </w:rPr>
        <w:t xml:space="preserve"> </w:t>
      </w:r>
      <w:r w:rsidR="0007703B" w:rsidRPr="000F2E9A">
        <w:rPr>
          <w:lang w:val="en-GB"/>
        </w:rPr>
        <w:t xml:space="preserve">Of particular concern is that </w:t>
      </w:r>
      <w:r w:rsidR="00C5435E" w:rsidRPr="000F2E9A">
        <w:rPr>
          <w:lang w:val="en-GB"/>
        </w:rPr>
        <w:t>95</w:t>
      </w:r>
      <w:r w:rsidR="00396425">
        <w:rPr>
          <w:lang w:val="en-GB"/>
        </w:rPr>
        <w:t>%</w:t>
      </w:r>
      <w:r w:rsidR="00C5435E" w:rsidRPr="000F2E9A">
        <w:rPr>
          <w:lang w:val="en-GB"/>
        </w:rPr>
        <w:t xml:space="preserve"> of all individuals below the poverty threshold </w:t>
      </w:r>
      <w:r w:rsidR="00187663" w:rsidRPr="000F2E9A">
        <w:rPr>
          <w:lang w:val="en-GB"/>
        </w:rPr>
        <w:t>spen</w:t>
      </w:r>
      <w:r w:rsidR="003654F5" w:rsidRPr="000F2E9A">
        <w:rPr>
          <w:lang w:val="en-GB"/>
        </w:rPr>
        <w:t>d</w:t>
      </w:r>
      <w:r w:rsidR="00187663" w:rsidRPr="000F2E9A">
        <w:rPr>
          <w:lang w:val="en-GB"/>
        </w:rPr>
        <w:t xml:space="preserve"> </w:t>
      </w:r>
      <w:r w:rsidR="00C5435E" w:rsidRPr="000F2E9A">
        <w:rPr>
          <w:lang w:val="en-GB"/>
        </w:rPr>
        <w:t xml:space="preserve">currently </w:t>
      </w:r>
      <w:r w:rsidR="00187663" w:rsidRPr="000F2E9A">
        <w:rPr>
          <w:lang w:val="en-GB"/>
        </w:rPr>
        <w:t>more than 40</w:t>
      </w:r>
      <w:r w:rsidR="00396425">
        <w:rPr>
          <w:lang w:val="en-GB"/>
        </w:rPr>
        <w:t>%</w:t>
      </w:r>
      <w:r w:rsidR="00187663" w:rsidRPr="000F2E9A">
        <w:rPr>
          <w:lang w:val="en-GB"/>
        </w:rPr>
        <w:t xml:space="preserve"> of their total disposable income on housing</w:t>
      </w:r>
      <w:r w:rsidR="00C5435E" w:rsidRPr="000F2E9A">
        <w:rPr>
          <w:lang w:val="en-GB"/>
        </w:rPr>
        <w:t>,</w:t>
      </w:r>
      <w:r w:rsidR="00187663" w:rsidRPr="000F2E9A">
        <w:rPr>
          <w:lang w:val="en-GB"/>
        </w:rPr>
        <w:t xml:space="preserve"> leaving limited </w:t>
      </w:r>
      <w:r w:rsidR="003654F5" w:rsidRPr="000F2E9A">
        <w:rPr>
          <w:lang w:val="en-GB"/>
        </w:rPr>
        <w:t xml:space="preserve">funds </w:t>
      </w:r>
      <w:r w:rsidR="00AE0C5D" w:rsidRPr="000F2E9A">
        <w:rPr>
          <w:lang w:val="en-GB"/>
        </w:rPr>
        <w:t xml:space="preserve">to them </w:t>
      </w:r>
      <w:r w:rsidR="003654F5" w:rsidRPr="000F2E9A">
        <w:rPr>
          <w:lang w:val="en-GB"/>
        </w:rPr>
        <w:t xml:space="preserve">for the </w:t>
      </w:r>
      <w:r w:rsidR="00187663" w:rsidRPr="000F2E9A">
        <w:rPr>
          <w:lang w:val="en-GB"/>
        </w:rPr>
        <w:t>purchase other essential goods</w:t>
      </w:r>
      <w:r w:rsidR="00AE0C5D" w:rsidRPr="000F2E9A">
        <w:rPr>
          <w:lang w:val="en-GB"/>
        </w:rPr>
        <w:t xml:space="preserve"> and services</w:t>
      </w:r>
      <w:r w:rsidR="00187663" w:rsidRPr="000F2E9A">
        <w:rPr>
          <w:lang w:val="en-GB"/>
        </w:rPr>
        <w:t>.</w:t>
      </w:r>
      <w:r w:rsidR="00017C92" w:rsidRPr="000F2E9A">
        <w:rPr>
          <w:lang w:val="en-GB"/>
        </w:rPr>
        <w:t xml:space="preserve"> </w:t>
      </w:r>
      <w:r w:rsidR="00187663" w:rsidRPr="000F2E9A">
        <w:rPr>
          <w:lang w:val="en-GB"/>
        </w:rPr>
        <w:t>Greek society cannot afford to be pushed into a situation where the right to adequate and affordable housing becomes a luxur</w:t>
      </w:r>
      <w:r w:rsidR="00B65D48">
        <w:rPr>
          <w:lang w:val="en-GB"/>
        </w:rPr>
        <w:t>y for the few.</w:t>
      </w:r>
    </w:p>
    <w:p w:rsidR="00187663" w:rsidRPr="000F2E9A" w:rsidRDefault="005573E4" w:rsidP="005573E4">
      <w:pPr>
        <w:pStyle w:val="SingleTxtG"/>
        <w:rPr>
          <w:lang w:val="en-GB"/>
        </w:rPr>
      </w:pPr>
      <w:r w:rsidRPr="000F2E9A">
        <w:rPr>
          <w:lang w:val="en-GB"/>
        </w:rPr>
        <w:t>71.</w:t>
      </w:r>
      <w:r w:rsidRPr="000F2E9A">
        <w:rPr>
          <w:lang w:val="en-GB"/>
        </w:rPr>
        <w:tab/>
      </w:r>
      <w:r w:rsidR="00187663" w:rsidRPr="000F2E9A">
        <w:rPr>
          <w:lang w:val="en-GB"/>
        </w:rPr>
        <w:t>The</w:t>
      </w:r>
      <w:r w:rsidR="00E93085" w:rsidRPr="000F2E9A">
        <w:rPr>
          <w:lang w:val="en-GB"/>
        </w:rPr>
        <w:t>re is a high</w:t>
      </w:r>
      <w:r w:rsidR="00187663" w:rsidRPr="000F2E9A">
        <w:rPr>
          <w:lang w:val="en-GB"/>
        </w:rPr>
        <w:t xml:space="preserve"> </w:t>
      </w:r>
      <w:r w:rsidR="003654F5" w:rsidRPr="000F2E9A">
        <w:rPr>
          <w:lang w:val="en-GB"/>
        </w:rPr>
        <w:t xml:space="preserve">risk </w:t>
      </w:r>
      <w:r w:rsidR="00421A34" w:rsidRPr="000F2E9A">
        <w:rPr>
          <w:lang w:val="en-GB"/>
        </w:rPr>
        <w:t>of</w:t>
      </w:r>
      <w:r w:rsidR="003654F5" w:rsidRPr="000F2E9A">
        <w:rPr>
          <w:lang w:val="en-GB"/>
        </w:rPr>
        <w:t xml:space="preserve"> foreclosures </w:t>
      </w:r>
      <w:r w:rsidR="005A4DBB" w:rsidRPr="000F2E9A">
        <w:rPr>
          <w:lang w:val="en-GB"/>
        </w:rPr>
        <w:t xml:space="preserve">and </w:t>
      </w:r>
      <w:r w:rsidR="00AE0C5D" w:rsidRPr="000F2E9A">
        <w:rPr>
          <w:lang w:val="en-GB"/>
        </w:rPr>
        <w:t xml:space="preserve">further </w:t>
      </w:r>
      <w:r w:rsidR="005A4DBB" w:rsidRPr="000F2E9A">
        <w:rPr>
          <w:lang w:val="en-GB"/>
        </w:rPr>
        <w:t xml:space="preserve">increase of homelessness </w:t>
      </w:r>
      <w:r w:rsidR="003654F5" w:rsidRPr="000F2E9A">
        <w:rPr>
          <w:lang w:val="en-GB"/>
        </w:rPr>
        <w:t xml:space="preserve">as the </w:t>
      </w:r>
      <w:r w:rsidR="00187663" w:rsidRPr="000F2E9A">
        <w:rPr>
          <w:lang w:val="en-GB"/>
        </w:rPr>
        <w:t xml:space="preserve">number of households that have areas in mortgages, paying rent or utility bills increased </w:t>
      </w:r>
      <w:r w:rsidR="00421A34" w:rsidRPr="000F2E9A">
        <w:rPr>
          <w:lang w:val="en-GB"/>
        </w:rPr>
        <w:t xml:space="preserve">during the crisis </w:t>
      </w:r>
      <w:r w:rsidR="00187663" w:rsidRPr="000F2E9A">
        <w:rPr>
          <w:lang w:val="en-GB"/>
        </w:rPr>
        <w:t>further from 30.9</w:t>
      </w:r>
      <w:r w:rsidR="00396425">
        <w:rPr>
          <w:lang w:val="en-GB"/>
        </w:rPr>
        <w:t>%</w:t>
      </w:r>
      <w:r w:rsidR="00187663" w:rsidRPr="000F2E9A">
        <w:rPr>
          <w:lang w:val="en-GB"/>
        </w:rPr>
        <w:t xml:space="preserve"> (2010) to 46.4% (2014). </w:t>
      </w:r>
      <w:r w:rsidR="005A4DBB" w:rsidRPr="000F2E9A">
        <w:rPr>
          <w:lang w:val="en-GB"/>
        </w:rPr>
        <w:t xml:space="preserve">In particular </w:t>
      </w:r>
      <w:r w:rsidR="00187663" w:rsidRPr="000F2E9A">
        <w:rPr>
          <w:lang w:val="en-GB"/>
        </w:rPr>
        <w:t>poor households have areas</w:t>
      </w:r>
      <w:r w:rsidR="005A4DBB" w:rsidRPr="000F2E9A">
        <w:rPr>
          <w:lang w:val="en-GB"/>
        </w:rPr>
        <w:t xml:space="preserve"> (73.6</w:t>
      </w:r>
      <w:r w:rsidR="00396425">
        <w:rPr>
          <w:lang w:val="en-GB"/>
        </w:rPr>
        <w:t>%</w:t>
      </w:r>
      <w:r w:rsidR="005A4DBB" w:rsidRPr="000F2E9A">
        <w:rPr>
          <w:lang w:val="en-GB"/>
        </w:rPr>
        <w:t>)</w:t>
      </w:r>
      <w:r w:rsidR="00187663" w:rsidRPr="000F2E9A">
        <w:rPr>
          <w:lang w:val="en-GB"/>
        </w:rPr>
        <w:t xml:space="preserve">, underlining the need for </w:t>
      </w:r>
      <w:r w:rsidR="00421A34" w:rsidRPr="000F2E9A">
        <w:rPr>
          <w:lang w:val="en-GB"/>
        </w:rPr>
        <w:t xml:space="preserve">targeted </w:t>
      </w:r>
      <w:r w:rsidR="00187663" w:rsidRPr="000F2E9A">
        <w:rPr>
          <w:lang w:val="en-GB"/>
        </w:rPr>
        <w:t xml:space="preserve">debt relief for over-indebted poor households who will not be able to serve their mortgages or loans, or are unable to cover unpaid social contributions and their tax debts. Of particular concern to the Independent Expert are </w:t>
      </w:r>
      <w:r w:rsidR="005A4DBB" w:rsidRPr="000F2E9A">
        <w:rPr>
          <w:lang w:val="en-GB"/>
        </w:rPr>
        <w:t xml:space="preserve">also </w:t>
      </w:r>
      <w:r w:rsidR="00187663" w:rsidRPr="000F2E9A">
        <w:rPr>
          <w:lang w:val="en-GB"/>
        </w:rPr>
        <w:t xml:space="preserve">impoverished individuals who cannot access social welfare or security benefits </w:t>
      </w:r>
      <w:r w:rsidR="003604EA" w:rsidRPr="000F2E9A">
        <w:rPr>
          <w:lang w:val="en-GB"/>
        </w:rPr>
        <w:t xml:space="preserve">because </w:t>
      </w:r>
      <w:r w:rsidR="00187663" w:rsidRPr="000F2E9A">
        <w:rPr>
          <w:lang w:val="en-GB"/>
        </w:rPr>
        <w:t>they are in areas with tax authorities or public social security funds.</w:t>
      </w:r>
    </w:p>
    <w:p w:rsidR="0018419A" w:rsidRPr="000F2E9A" w:rsidRDefault="005573E4" w:rsidP="005573E4">
      <w:pPr>
        <w:pStyle w:val="SingleTxtG"/>
        <w:rPr>
          <w:lang w:val="en-GB"/>
        </w:rPr>
      </w:pPr>
      <w:r w:rsidRPr="000F2E9A">
        <w:rPr>
          <w:lang w:val="en-GB"/>
        </w:rPr>
        <w:t>72.</w:t>
      </w:r>
      <w:r w:rsidRPr="000F2E9A">
        <w:rPr>
          <w:lang w:val="en-GB"/>
        </w:rPr>
        <w:tab/>
      </w:r>
      <w:r w:rsidR="0018419A" w:rsidRPr="000F2E9A">
        <w:rPr>
          <w:lang w:val="en-GB"/>
        </w:rPr>
        <w:t xml:space="preserve">The Independent Expert is also concerned about the lack of </w:t>
      </w:r>
      <w:r w:rsidR="006578D9" w:rsidRPr="000F2E9A">
        <w:rPr>
          <w:lang w:val="en-GB"/>
        </w:rPr>
        <w:t xml:space="preserve">official </w:t>
      </w:r>
      <w:r w:rsidR="0018419A" w:rsidRPr="000F2E9A">
        <w:rPr>
          <w:lang w:val="en-GB"/>
        </w:rPr>
        <w:t xml:space="preserve">information in the number of persons who are homeless. He recommends to increase the supply of social housing units and </w:t>
      </w:r>
      <w:r w:rsidR="00421A34" w:rsidRPr="000F2E9A">
        <w:rPr>
          <w:lang w:val="en-GB"/>
        </w:rPr>
        <w:t xml:space="preserve">to </w:t>
      </w:r>
      <w:r w:rsidR="0018419A" w:rsidRPr="000F2E9A">
        <w:rPr>
          <w:lang w:val="en-GB"/>
        </w:rPr>
        <w:t>provid</w:t>
      </w:r>
      <w:r w:rsidR="00421A34" w:rsidRPr="000F2E9A">
        <w:rPr>
          <w:lang w:val="en-GB"/>
        </w:rPr>
        <w:t>e</w:t>
      </w:r>
      <w:r w:rsidR="0018419A" w:rsidRPr="000F2E9A">
        <w:rPr>
          <w:lang w:val="en-GB"/>
        </w:rPr>
        <w:t xml:space="preserve"> appropriate forms of financial support, such as rental subsidies for </w:t>
      </w:r>
      <w:r w:rsidR="00421A34" w:rsidRPr="000F2E9A">
        <w:rPr>
          <w:lang w:val="en-GB"/>
        </w:rPr>
        <w:t xml:space="preserve">low-income households, </w:t>
      </w:r>
      <w:r w:rsidR="0018419A" w:rsidRPr="000F2E9A">
        <w:rPr>
          <w:lang w:val="en-GB"/>
        </w:rPr>
        <w:t>homeless persons</w:t>
      </w:r>
      <w:r w:rsidR="00421A34" w:rsidRPr="000F2E9A">
        <w:rPr>
          <w:lang w:val="en-GB"/>
        </w:rPr>
        <w:t xml:space="preserve"> and</w:t>
      </w:r>
      <w:r w:rsidR="0018419A" w:rsidRPr="000F2E9A">
        <w:rPr>
          <w:lang w:val="en-GB"/>
        </w:rPr>
        <w:t xml:space="preserve"> Roma.</w:t>
      </w:r>
    </w:p>
    <w:p w:rsidR="00E93085" w:rsidRPr="000F2E9A" w:rsidRDefault="005573E4" w:rsidP="005573E4">
      <w:pPr>
        <w:pStyle w:val="SingleTxtG"/>
        <w:rPr>
          <w:lang w:val="en-GB"/>
        </w:rPr>
      </w:pPr>
      <w:r w:rsidRPr="000F2E9A">
        <w:rPr>
          <w:lang w:val="en-GB"/>
        </w:rPr>
        <w:t>73.</w:t>
      </w:r>
      <w:r w:rsidRPr="000F2E9A">
        <w:rPr>
          <w:lang w:val="en-GB"/>
        </w:rPr>
        <w:tab/>
      </w:r>
      <w:r w:rsidR="00E93085" w:rsidRPr="000F2E9A">
        <w:rPr>
          <w:lang w:val="en-GB"/>
        </w:rPr>
        <w:t xml:space="preserve">Unprecedented cuts to the public health system </w:t>
      </w:r>
      <w:r w:rsidR="00B55C63" w:rsidRPr="000F2E9A">
        <w:rPr>
          <w:lang w:val="en-GB"/>
        </w:rPr>
        <w:t xml:space="preserve">have </w:t>
      </w:r>
      <w:r w:rsidR="00E93085" w:rsidRPr="000F2E9A">
        <w:rPr>
          <w:lang w:val="en-GB"/>
        </w:rPr>
        <w:t>result</w:t>
      </w:r>
      <w:r w:rsidR="00B55C63" w:rsidRPr="000F2E9A">
        <w:rPr>
          <w:lang w:val="en-GB"/>
        </w:rPr>
        <w:t>ed</w:t>
      </w:r>
      <w:r w:rsidR="00E93085" w:rsidRPr="000F2E9A">
        <w:rPr>
          <w:lang w:val="en-GB"/>
        </w:rPr>
        <w:t xml:space="preserve"> in a critical understaffing </w:t>
      </w:r>
      <w:r w:rsidR="00B55C63" w:rsidRPr="000F2E9A">
        <w:rPr>
          <w:lang w:val="en-GB"/>
        </w:rPr>
        <w:t xml:space="preserve">in parts </w:t>
      </w:r>
      <w:r w:rsidR="00E93085" w:rsidRPr="000F2E9A">
        <w:rPr>
          <w:lang w:val="en-GB"/>
        </w:rPr>
        <w:t>of the public health system</w:t>
      </w:r>
      <w:r w:rsidR="00B55C63" w:rsidRPr="000F2E9A">
        <w:rPr>
          <w:lang w:val="en-GB"/>
        </w:rPr>
        <w:t xml:space="preserve">, </w:t>
      </w:r>
      <w:r w:rsidR="006F178C" w:rsidRPr="000F2E9A">
        <w:rPr>
          <w:lang w:val="en-GB"/>
        </w:rPr>
        <w:t xml:space="preserve">increase in co-payments, </w:t>
      </w:r>
      <w:r w:rsidR="00E93085" w:rsidRPr="000F2E9A">
        <w:rPr>
          <w:lang w:val="en-GB"/>
        </w:rPr>
        <w:t>waiting lists</w:t>
      </w:r>
      <w:r w:rsidR="00C5435E" w:rsidRPr="000F2E9A">
        <w:rPr>
          <w:lang w:val="en-GB"/>
        </w:rPr>
        <w:t xml:space="preserve"> </w:t>
      </w:r>
      <w:r w:rsidR="00B55C63" w:rsidRPr="000F2E9A">
        <w:rPr>
          <w:lang w:val="en-GB"/>
        </w:rPr>
        <w:t xml:space="preserve">and difficulties to provide </w:t>
      </w:r>
      <w:r w:rsidR="00C5435E" w:rsidRPr="000F2E9A">
        <w:rPr>
          <w:lang w:val="en-GB"/>
        </w:rPr>
        <w:t xml:space="preserve">effective </w:t>
      </w:r>
      <w:r w:rsidR="00B55C63" w:rsidRPr="000F2E9A">
        <w:rPr>
          <w:lang w:val="en-GB"/>
        </w:rPr>
        <w:t xml:space="preserve">and affordable </w:t>
      </w:r>
      <w:r w:rsidR="00C5435E" w:rsidRPr="000F2E9A">
        <w:rPr>
          <w:lang w:val="en-GB"/>
        </w:rPr>
        <w:t>access to the right to adequate health care</w:t>
      </w:r>
      <w:r w:rsidR="00B55C63" w:rsidRPr="000F2E9A">
        <w:rPr>
          <w:lang w:val="en-GB"/>
        </w:rPr>
        <w:t xml:space="preserve"> for all.</w:t>
      </w:r>
      <w:r w:rsidR="00E93085" w:rsidRPr="000F2E9A">
        <w:rPr>
          <w:lang w:val="en-GB"/>
        </w:rPr>
        <w:t xml:space="preserve"> An estimated number of up to 2.5 million people have no health insurance, as public </w:t>
      </w:r>
      <w:r w:rsidR="00E93085" w:rsidRPr="000F2E9A">
        <w:rPr>
          <w:lang w:val="en-GB"/>
        </w:rPr>
        <w:lastRenderedPageBreak/>
        <w:t xml:space="preserve">health insurance </w:t>
      </w:r>
      <w:r w:rsidR="006F178C" w:rsidRPr="000F2E9A">
        <w:rPr>
          <w:lang w:val="en-GB"/>
        </w:rPr>
        <w:t xml:space="preserve">is </w:t>
      </w:r>
      <w:r w:rsidR="00E93085" w:rsidRPr="000F2E9A">
        <w:rPr>
          <w:lang w:val="en-GB"/>
        </w:rPr>
        <w:t>largely</w:t>
      </w:r>
      <w:r w:rsidR="00C5435E" w:rsidRPr="000F2E9A">
        <w:rPr>
          <w:lang w:val="en-GB"/>
        </w:rPr>
        <w:t xml:space="preserve"> linked to employment status</w:t>
      </w:r>
      <w:r w:rsidR="00E93085" w:rsidRPr="000F2E9A">
        <w:rPr>
          <w:lang w:val="en-GB"/>
        </w:rPr>
        <w:t>.</w:t>
      </w:r>
      <w:r w:rsidR="00C5435E" w:rsidRPr="000F2E9A">
        <w:rPr>
          <w:vertAlign w:val="superscript"/>
          <w:lang w:val="en-GB"/>
        </w:rPr>
        <w:footnoteReference w:id="36"/>
      </w:r>
      <w:r w:rsidR="00C5435E" w:rsidRPr="000F2E9A">
        <w:rPr>
          <w:lang w:val="en-GB"/>
        </w:rPr>
        <w:t xml:space="preserve"> </w:t>
      </w:r>
      <w:r w:rsidR="00E93085" w:rsidRPr="000F2E9A">
        <w:rPr>
          <w:lang w:val="en-GB"/>
        </w:rPr>
        <w:t>The number of persons reporting that they have postponed a medical examination as health care was “too expensive” increased overall between 2010 and 2013 by 85</w:t>
      </w:r>
      <w:r w:rsidR="00396425">
        <w:rPr>
          <w:lang w:val="en-GB"/>
        </w:rPr>
        <w:t>%</w:t>
      </w:r>
      <w:r w:rsidR="00E93085" w:rsidRPr="000F2E9A">
        <w:rPr>
          <w:lang w:val="en-GB"/>
        </w:rPr>
        <w:t>. In 2013</w:t>
      </w:r>
      <w:r w:rsidR="00C5435E" w:rsidRPr="000F2E9A">
        <w:rPr>
          <w:lang w:val="en-GB"/>
        </w:rPr>
        <w:t>,</w:t>
      </w:r>
      <w:r w:rsidR="00E93085" w:rsidRPr="000F2E9A">
        <w:rPr>
          <w:lang w:val="en-GB"/>
        </w:rPr>
        <w:t xml:space="preserve"> 13.9</w:t>
      </w:r>
      <w:r w:rsidR="00396425">
        <w:rPr>
          <w:lang w:val="en-GB"/>
        </w:rPr>
        <w:t>%</w:t>
      </w:r>
      <w:r w:rsidR="00E93085" w:rsidRPr="000F2E9A">
        <w:rPr>
          <w:lang w:val="en-GB"/>
        </w:rPr>
        <w:t xml:space="preserve"> of persons belonging to the lowest income quintile reported that that they postponed a necessary medical examination as it would have been “too expensive” (up from 7.8</w:t>
      </w:r>
      <w:r w:rsidR="00396425">
        <w:rPr>
          <w:lang w:val="en-GB"/>
        </w:rPr>
        <w:t>%</w:t>
      </w:r>
      <w:r w:rsidR="00E93085" w:rsidRPr="000F2E9A">
        <w:rPr>
          <w:lang w:val="en-GB"/>
        </w:rPr>
        <w:t xml:space="preserve"> in 2010).</w:t>
      </w:r>
      <w:r w:rsidR="00E93085" w:rsidRPr="000F2E9A">
        <w:rPr>
          <w:vertAlign w:val="superscript"/>
          <w:lang w:val="en-GB"/>
        </w:rPr>
        <w:footnoteReference w:id="37"/>
      </w:r>
      <w:r w:rsidR="00017C92" w:rsidRPr="000F2E9A">
        <w:rPr>
          <w:lang w:val="en-GB"/>
        </w:rPr>
        <w:t xml:space="preserve"> </w:t>
      </w:r>
      <w:r w:rsidR="006F178C" w:rsidRPr="000F2E9A">
        <w:rPr>
          <w:lang w:val="en-GB"/>
        </w:rPr>
        <w:t>Suicide rates in Greece and mental disorders have significantly increased as a consequence of the financial crises while mental health care has been affected by severe cuts.</w:t>
      </w:r>
    </w:p>
    <w:p w:rsidR="00E93085" w:rsidRPr="000F2E9A" w:rsidRDefault="005573E4" w:rsidP="005573E4">
      <w:pPr>
        <w:pStyle w:val="SingleTxtG"/>
        <w:rPr>
          <w:lang w:val="en-GB"/>
        </w:rPr>
      </w:pPr>
      <w:r w:rsidRPr="000F2E9A">
        <w:rPr>
          <w:lang w:val="en-GB"/>
        </w:rPr>
        <w:t>74.</w:t>
      </w:r>
      <w:r w:rsidRPr="000F2E9A">
        <w:rPr>
          <w:lang w:val="en-GB"/>
        </w:rPr>
        <w:tab/>
      </w:r>
      <w:r w:rsidR="006F178C" w:rsidRPr="000F2E9A">
        <w:rPr>
          <w:lang w:val="en-GB"/>
        </w:rPr>
        <w:t>Refugees, a</w:t>
      </w:r>
      <w:r w:rsidR="00E93085" w:rsidRPr="000F2E9A">
        <w:rPr>
          <w:lang w:val="en-GB"/>
        </w:rPr>
        <w:t xml:space="preserve">sylum seekers and undocumented migrants continue to encounter difficulties in gaining access to health care facilities, goods services and information. </w:t>
      </w:r>
      <w:r w:rsidR="006F178C" w:rsidRPr="000F2E9A">
        <w:rPr>
          <w:lang w:val="en-GB"/>
        </w:rPr>
        <w:t xml:space="preserve">The ability of the Greek health system to provide adequate health care to refugees upon entry is severely stretched. </w:t>
      </w:r>
      <w:r w:rsidR="00E93085" w:rsidRPr="000F2E9A">
        <w:rPr>
          <w:lang w:val="en-GB"/>
        </w:rPr>
        <w:t xml:space="preserve">Civil society initiatives are </w:t>
      </w:r>
      <w:r w:rsidR="003562E5" w:rsidRPr="000F2E9A">
        <w:rPr>
          <w:lang w:val="en-GB"/>
        </w:rPr>
        <w:t xml:space="preserve">trying to </w:t>
      </w:r>
      <w:r w:rsidR="00E93085" w:rsidRPr="000F2E9A">
        <w:rPr>
          <w:lang w:val="en-GB"/>
        </w:rPr>
        <w:t>fill</w:t>
      </w:r>
      <w:r w:rsidR="003562E5" w:rsidRPr="000F2E9A">
        <w:rPr>
          <w:lang w:val="en-GB"/>
        </w:rPr>
        <w:t xml:space="preserve"> </w:t>
      </w:r>
      <w:r w:rsidR="00E93085" w:rsidRPr="000F2E9A">
        <w:rPr>
          <w:lang w:val="en-GB"/>
        </w:rPr>
        <w:t xml:space="preserve">the gaps in public services by looking after a growing number of people within Greece that cannot afford medical services or medication. The Independent Expert welcomes </w:t>
      </w:r>
      <w:r w:rsidR="003562E5" w:rsidRPr="000F2E9A">
        <w:rPr>
          <w:lang w:val="en-GB"/>
        </w:rPr>
        <w:t xml:space="preserve">in </w:t>
      </w:r>
      <w:r w:rsidR="00E93085" w:rsidRPr="000F2E9A">
        <w:rPr>
          <w:lang w:val="en-GB"/>
        </w:rPr>
        <w:t>th</w:t>
      </w:r>
      <w:r w:rsidR="00C5435E" w:rsidRPr="000F2E9A">
        <w:rPr>
          <w:lang w:val="en-GB"/>
        </w:rPr>
        <w:t>is context th</w:t>
      </w:r>
      <w:r w:rsidR="00E93085" w:rsidRPr="000F2E9A">
        <w:rPr>
          <w:lang w:val="en-GB"/>
        </w:rPr>
        <w:t>e decision to allocate additional funds for public health care in the 2016 budget</w:t>
      </w:r>
      <w:r w:rsidR="00C510CF" w:rsidRPr="000F2E9A">
        <w:rPr>
          <w:lang w:val="en-GB"/>
        </w:rPr>
        <w:t>, but doubts that the limited increase of funds is sufficient to restore respect for the right to health within Greece</w:t>
      </w:r>
      <w:r w:rsidR="00E93085" w:rsidRPr="000F2E9A">
        <w:rPr>
          <w:lang w:val="en-GB"/>
        </w:rPr>
        <w:t xml:space="preserve">. </w:t>
      </w:r>
      <w:r w:rsidR="005D3337" w:rsidRPr="000F2E9A">
        <w:rPr>
          <w:lang w:val="en-GB"/>
        </w:rPr>
        <w:t xml:space="preserve">He </w:t>
      </w:r>
      <w:r w:rsidR="008D4D78" w:rsidRPr="000F2E9A">
        <w:rPr>
          <w:lang w:val="en-GB"/>
        </w:rPr>
        <w:t xml:space="preserve">welcomes </w:t>
      </w:r>
      <w:r w:rsidR="005D3337" w:rsidRPr="000F2E9A">
        <w:rPr>
          <w:lang w:val="en-GB"/>
        </w:rPr>
        <w:t>that a new Law (4368/2016) was enacted</w:t>
      </w:r>
      <w:r w:rsidR="001B26C4" w:rsidRPr="000F2E9A">
        <w:rPr>
          <w:lang w:val="en-GB"/>
        </w:rPr>
        <w:t xml:space="preserve"> on 20 February 2016</w:t>
      </w:r>
      <w:r w:rsidR="005D3337" w:rsidRPr="000F2E9A">
        <w:rPr>
          <w:lang w:val="en-GB"/>
        </w:rPr>
        <w:t xml:space="preserve"> aimed at providing universal health coverage, free access to </w:t>
      </w:r>
      <w:r w:rsidR="001B26C4" w:rsidRPr="000F2E9A">
        <w:rPr>
          <w:lang w:val="en-GB"/>
        </w:rPr>
        <w:t xml:space="preserve">the </w:t>
      </w:r>
      <w:r w:rsidR="005D3337" w:rsidRPr="000F2E9A">
        <w:rPr>
          <w:lang w:val="en-GB"/>
        </w:rPr>
        <w:t xml:space="preserve">Public Health System and easier access to medical care, treatment and hospitalization. The law </w:t>
      </w:r>
      <w:r w:rsidR="008D4D78" w:rsidRPr="000F2E9A">
        <w:rPr>
          <w:lang w:val="en-GB"/>
        </w:rPr>
        <w:t xml:space="preserve">shall </w:t>
      </w:r>
      <w:r w:rsidR="00D637FF" w:rsidRPr="000F2E9A">
        <w:rPr>
          <w:lang w:val="en-GB"/>
        </w:rPr>
        <w:t xml:space="preserve">improve access to health care for </w:t>
      </w:r>
      <w:r w:rsidR="005D3337" w:rsidRPr="000F2E9A">
        <w:rPr>
          <w:lang w:val="en-GB"/>
        </w:rPr>
        <w:t>uninsured individuals and their family members</w:t>
      </w:r>
      <w:r w:rsidR="00D637FF" w:rsidRPr="000F2E9A">
        <w:rPr>
          <w:lang w:val="en-GB"/>
        </w:rPr>
        <w:t>, pregnant women, chronically ill, disabled, minors</w:t>
      </w:r>
      <w:r w:rsidR="005D3337" w:rsidRPr="000F2E9A">
        <w:rPr>
          <w:lang w:val="en-GB"/>
        </w:rPr>
        <w:t xml:space="preserve"> and other vulnerable groups.</w:t>
      </w:r>
    </w:p>
    <w:p w:rsidR="00CD048E" w:rsidRPr="000F2E9A" w:rsidRDefault="00CD048E" w:rsidP="009C59C5">
      <w:pPr>
        <w:pStyle w:val="HChG"/>
        <w:rPr>
          <w:lang w:val="en-GB" w:eastAsia="en-GB"/>
        </w:rPr>
      </w:pPr>
      <w:r w:rsidRPr="000F2E9A">
        <w:rPr>
          <w:lang w:val="en-GB"/>
        </w:rPr>
        <w:tab/>
        <w:t>V.</w:t>
      </w:r>
      <w:r w:rsidRPr="000F2E9A">
        <w:rPr>
          <w:lang w:val="en-GB"/>
        </w:rPr>
        <w:tab/>
      </w:r>
      <w:r w:rsidRPr="009C59C5">
        <w:t>Conclusions</w:t>
      </w:r>
      <w:r w:rsidRPr="000F2E9A">
        <w:rPr>
          <w:lang w:val="en-GB"/>
        </w:rPr>
        <w:t xml:space="preserve"> and recommendations</w:t>
      </w:r>
    </w:p>
    <w:p w:rsidR="00397EC3" w:rsidRPr="000F2E9A" w:rsidRDefault="005573E4" w:rsidP="005573E4">
      <w:pPr>
        <w:pStyle w:val="SingleTxtG"/>
        <w:rPr>
          <w:b/>
          <w:lang w:val="en-GB"/>
        </w:rPr>
      </w:pPr>
      <w:r w:rsidRPr="005573E4">
        <w:rPr>
          <w:bCs/>
          <w:lang w:val="en-GB"/>
        </w:rPr>
        <w:t>75.</w:t>
      </w:r>
      <w:r w:rsidRPr="005573E4">
        <w:rPr>
          <w:bCs/>
          <w:lang w:val="en-GB"/>
        </w:rPr>
        <w:tab/>
      </w:r>
      <w:r w:rsidR="00004338" w:rsidRPr="000F2E9A">
        <w:rPr>
          <w:b/>
          <w:lang w:val="en-GB"/>
        </w:rPr>
        <w:t xml:space="preserve">The Independent Expert acknowledges </w:t>
      </w:r>
      <w:r w:rsidR="00326293" w:rsidRPr="000F2E9A">
        <w:rPr>
          <w:b/>
          <w:lang w:val="en-GB"/>
        </w:rPr>
        <w:t>efforts</w:t>
      </w:r>
      <w:r w:rsidR="00004338" w:rsidRPr="000F2E9A">
        <w:rPr>
          <w:b/>
          <w:lang w:val="en-GB"/>
        </w:rPr>
        <w:t xml:space="preserve"> undertaken by the Government </w:t>
      </w:r>
      <w:r w:rsidR="000D1FE6" w:rsidRPr="000F2E9A">
        <w:rPr>
          <w:b/>
          <w:lang w:val="en-GB"/>
        </w:rPr>
        <w:t>and international lenders in attempting to redress the country’s economic standing and bring it out of insolvency</w:t>
      </w:r>
      <w:r w:rsidR="000F2A2A" w:rsidRPr="000F2E9A">
        <w:rPr>
          <w:b/>
          <w:lang w:val="en-GB"/>
        </w:rPr>
        <w:t>.</w:t>
      </w:r>
      <w:r w:rsidR="000D1FE6" w:rsidRPr="000F2E9A">
        <w:rPr>
          <w:b/>
          <w:lang w:val="en-GB"/>
        </w:rPr>
        <w:t xml:space="preserve"> </w:t>
      </w:r>
      <w:r w:rsidR="00017710" w:rsidRPr="000F2E9A">
        <w:rPr>
          <w:b/>
          <w:lang w:val="en-GB"/>
        </w:rPr>
        <w:t xml:space="preserve">However, the Independent Expert notes with concern that the obligations of the Greek Government and international lenders towards rights-holders within the country continue to be side-lined, both in the design and implementation of the structural reform programmes. He regrets that to date, </w:t>
      </w:r>
      <w:r w:rsidR="00E46C12" w:rsidRPr="000F2E9A">
        <w:rPr>
          <w:b/>
          <w:lang w:val="en-GB"/>
        </w:rPr>
        <w:t xml:space="preserve">no </w:t>
      </w:r>
      <w:r w:rsidR="00017710" w:rsidRPr="000F2E9A">
        <w:rPr>
          <w:b/>
          <w:lang w:val="en-GB"/>
        </w:rPr>
        <w:t xml:space="preserve">comprehensive </w:t>
      </w:r>
      <w:r w:rsidR="00E46C12" w:rsidRPr="000F2E9A">
        <w:rPr>
          <w:b/>
          <w:lang w:val="en-GB"/>
        </w:rPr>
        <w:t xml:space="preserve">ex-ante </w:t>
      </w:r>
      <w:r w:rsidR="00017710" w:rsidRPr="000F2E9A">
        <w:rPr>
          <w:b/>
          <w:lang w:val="en-GB"/>
        </w:rPr>
        <w:t>human rights impact assessmen</w:t>
      </w:r>
      <w:r w:rsidR="00E46C12" w:rsidRPr="000F2E9A">
        <w:rPr>
          <w:b/>
          <w:lang w:val="en-GB"/>
        </w:rPr>
        <w:t xml:space="preserve">ts </w:t>
      </w:r>
      <w:r w:rsidR="00017710" w:rsidRPr="000F2E9A">
        <w:rPr>
          <w:b/>
          <w:lang w:val="en-GB"/>
        </w:rPr>
        <w:t xml:space="preserve">of the </w:t>
      </w:r>
      <w:r w:rsidR="00284609" w:rsidRPr="000F2E9A">
        <w:rPr>
          <w:b/>
          <w:lang w:val="en-GB"/>
        </w:rPr>
        <w:t xml:space="preserve">three </w:t>
      </w:r>
      <w:r w:rsidR="00017710" w:rsidRPr="000F2E9A">
        <w:rPr>
          <w:b/>
          <w:lang w:val="en-GB"/>
        </w:rPr>
        <w:t>economic reform programmes</w:t>
      </w:r>
      <w:r w:rsidR="00E46C12" w:rsidRPr="000F2E9A">
        <w:rPr>
          <w:b/>
          <w:lang w:val="en-GB"/>
        </w:rPr>
        <w:t xml:space="preserve"> have been carried out</w:t>
      </w:r>
      <w:r w:rsidR="009C59C5">
        <w:rPr>
          <w:b/>
          <w:lang w:val="en-GB"/>
        </w:rPr>
        <w:t>.</w:t>
      </w:r>
    </w:p>
    <w:p w:rsidR="007951D6" w:rsidRPr="000F2E9A" w:rsidRDefault="005573E4" w:rsidP="005573E4">
      <w:pPr>
        <w:pStyle w:val="SingleTxtG"/>
        <w:rPr>
          <w:b/>
          <w:lang w:val="en-GB"/>
        </w:rPr>
      </w:pPr>
      <w:r w:rsidRPr="005573E4">
        <w:rPr>
          <w:bCs/>
          <w:lang w:val="en-GB"/>
        </w:rPr>
        <w:t>76.</w:t>
      </w:r>
      <w:r w:rsidRPr="005573E4">
        <w:rPr>
          <w:bCs/>
          <w:lang w:val="en-GB"/>
        </w:rPr>
        <w:tab/>
      </w:r>
      <w:r w:rsidR="00AE0C5D" w:rsidRPr="000F2E9A">
        <w:rPr>
          <w:b/>
          <w:lang w:val="en-GB"/>
        </w:rPr>
        <w:t>S</w:t>
      </w:r>
      <w:r w:rsidR="00397EC3" w:rsidRPr="000F2E9A">
        <w:rPr>
          <w:b/>
          <w:lang w:val="en-GB"/>
        </w:rPr>
        <w:t xml:space="preserve">ocial and economic rights have been </w:t>
      </w:r>
      <w:r w:rsidR="00842A1D" w:rsidRPr="000F2E9A">
        <w:rPr>
          <w:b/>
          <w:lang w:val="en-GB"/>
        </w:rPr>
        <w:t xml:space="preserve">denied </w:t>
      </w:r>
      <w:r w:rsidR="00AE46D5" w:rsidRPr="000F2E9A">
        <w:rPr>
          <w:b/>
          <w:lang w:val="en-GB"/>
        </w:rPr>
        <w:t>in a widespread manner. M</w:t>
      </w:r>
      <w:r w:rsidR="00397EC3" w:rsidRPr="000F2E9A">
        <w:rPr>
          <w:b/>
          <w:lang w:val="en-GB"/>
        </w:rPr>
        <w:t xml:space="preserve">ore than one million persons </w:t>
      </w:r>
      <w:r w:rsidR="007849D8" w:rsidRPr="000F2E9A">
        <w:rPr>
          <w:b/>
          <w:lang w:val="en-GB"/>
        </w:rPr>
        <w:t xml:space="preserve">in Greece </w:t>
      </w:r>
      <w:r w:rsidR="00397EC3" w:rsidRPr="000F2E9A">
        <w:rPr>
          <w:b/>
          <w:lang w:val="en-GB"/>
        </w:rPr>
        <w:t>have fallen below income levels indicat</w:t>
      </w:r>
      <w:r w:rsidR="001702DF" w:rsidRPr="000F2E9A">
        <w:rPr>
          <w:b/>
          <w:lang w:val="en-GB"/>
        </w:rPr>
        <w:t>ing</w:t>
      </w:r>
      <w:r w:rsidR="00397EC3" w:rsidRPr="000F2E9A">
        <w:rPr>
          <w:b/>
          <w:lang w:val="en-GB"/>
        </w:rPr>
        <w:t xml:space="preserve"> extreme poverty</w:t>
      </w:r>
      <w:r w:rsidR="001702DF" w:rsidRPr="000F2E9A">
        <w:rPr>
          <w:b/>
          <w:lang w:val="en-GB"/>
        </w:rPr>
        <w:t>.</w:t>
      </w:r>
      <w:r w:rsidR="00397EC3" w:rsidRPr="000F2E9A">
        <w:rPr>
          <w:b/>
          <w:vertAlign w:val="superscript"/>
          <w:lang w:val="en-GB"/>
        </w:rPr>
        <w:footnoteReference w:id="38"/>
      </w:r>
      <w:r w:rsidR="00017C92" w:rsidRPr="000F2E9A">
        <w:rPr>
          <w:b/>
          <w:lang w:val="en-GB"/>
        </w:rPr>
        <w:t xml:space="preserve"> </w:t>
      </w:r>
      <w:r w:rsidR="007951D6" w:rsidRPr="000F2E9A">
        <w:rPr>
          <w:b/>
          <w:lang w:val="en-GB"/>
        </w:rPr>
        <w:t>In his view</w:t>
      </w:r>
      <w:r w:rsidR="0098685A" w:rsidRPr="000F2E9A">
        <w:rPr>
          <w:b/>
          <w:lang w:val="en-GB"/>
        </w:rPr>
        <w:t>,</w:t>
      </w:r>
      <w:r w:rsidR="007951D6" w:rsidRPr="000F2E9A">
        <w:rPr>
          <w:b/>
          <w:lang w:val="en-GB"/>
        </w:rPr>
        <w:t xml:space="preserve"> </w:t>
      </w:r>
      <w:r w:rsidR="00B55C63" w:rsidRPr="000F2E9A">
        <w:rPr>
          <w:b/>
          <w:lang w:val="en-GB"/>
        </w:rPr>
        <w:t xml:space="preserve">these individuals </w:t>
      </w:r>
      <w:r w:rsidR="00397EC3" w:rsidRPr="000F2E9A">
        <w:rPr>
          <w:b/>
          <w:lang w:val="en-GB"/>
        </w:rPr>
        <w:t xml:space="preserve">are </w:t>
      </w:r>
      <w:r w:rsidR="0098685A" w:rsidRPr="000F2E9A">
        <w:rPr>
          <w:b/>
          <w:lang w:val="en-GB"/>
        </w:rPr>
        <w:t xml:space="preserve">ultimately </w:t>
      </w:r>
      <w:r w:rsidR="00397EC3" w:rsidRPr="000F2E9A">
        <w:rPr>
          <w:b/>
          <w:lang w:val="en-GB"/>
        </w:rPr>
        <w:t xml:space="preserve">denied </w:t>
      </w:r>
      <w:r w:rsidR="0098685A" w:rsidRPr="000F2E9A">
        <w:rPr>
          <w:b/>
          <w:lang w:val="en-GB"/>
        </w:rPr>
        <w:t xml:space="preserve">in one or the other form </w:t>
      </w:r>
      <w:r w:rsidR="00397EC3" w:rsidRPr="000F2E9A">
        <w:rPr>
          <w:b/>
          <w:lang w:val="en-GB"/>
        </w:rPr>
        <w:t xml:space="preserve">the enjoyment of core essential </w:t>
      </w:r>
      <w:r w:rsidR="00D84A42" w:rsidRPr="000F2E9A">
        <w:rPr>
          <w:b/>
          <w:lang w:val="en-GB"/>
        </w:rPr>
        <w:t xml:space="preserve">minim </w:t>
      </w:r>
      <w:r w:rsidR="00397EC3" w:rsidRPr="000F2E9A">
        <w:rPr>
          <w:b/>
          <w:lang w:val="en-GB"/>
        </w:rPr>
        <w:t>levels of social, economic and cultural rights</w:t>
      </w:r>
      <w:r w:rsidR="007951D6" w:rsidRPr="000F2E9A">
        <w:rPr>
          <w:b/>
          <w:lang w:val="en-GB"/>
        </w:rPr>
        <w:t xml:space="preserve"> </w:t>
      </w:r>
      <w:r w:rsidR="00CF11C3" w:rsidRPr="000F2E9A">
        <w:rPr>
          <w:b/>
          <w:lang w:val="en-GB"/>
        </w:rPr>
        <w:t xml:space="preserve">that States have </w:t>
      </w:r>
      <w:r w:rsidR="007951D6" w:rsidRPr="000F2E9A">
        <w:rPr>
          <w:b/>
          <w:lang w:val="en-GB"/>
        </w:rPr>
        <w:t>to protect in all circumstances. The pervasiveness of extreme poverty in Greece is far from isolated</w:t>
      </w:r>
      <w:r w:rsidR="00D84A42" w:rsidRPr="000F2E9A">
        <w:rPr>
          <w:b/>
          <w:lang w:val="en-GB"/>
        </w:rPr>
        <w:t xml:space="preserve">, </w:t>
      </w:r>
      <w:r w:rsidR="007951D6" w:rsidRPr="000F2E9A">
        <w:rPr>
          <w:b/>
          <w:lang w:val="en-GB"/>
        </w:rPr>
        <w:t xml:space="preserve">taken into consideration that </w:t>
      </w:r>
      <w:r w:rsidR="00AE46D5" w:rsidRPr="000F2E9A">
        <w:rPr>
          <w:b/>
          <w:lang w:val="en-GB"/>
        </w:rPr>
        <w:t xml:space="preserve">currently one out of ten persons (or </w:t>
      </w:r>
      <w:r w:rsidR="00956FEB" w:rsidRPr="000F2E9A">
        <w:rPr>
          <w:b/>
          <w:lang w:val="en-GB"/>
        </w:rPr>
        <w:t>10</w:t>
      </w:r>
      <w:r w:rsidR="007951D6" w:rsidRPr="000F2E9A">
        <w:rPr>
          <w:b/>
          <w:lang w:val="en-GB"/>
        </w:rPr>
        <w:t>.</w:t>
      </w:r>
      <w:r w:rsidR="00956FEB" w:rsidRPr="000F2E9A">
        <w:rPr>
          <w:b/>
          <w:lang w:val="en-GB"/>
        </w:rPr>
        <w:t>4</w:t>
      </w:r>
      <w:r w:rsidR="00396425">
        <w:rPr>
          <w:b/>
          <w:lang w:val="en-GB"/>
        </w:rPr>
        <w:t>%</w:t>
      </w:r>
      <w:r w:rsidR="0098685A" w:rsidRPr="000F2E9A">
        <w:rPr>
          <w:b/>
          <w:lang w:val="en-GB"/>
        </w:rPr>
        <w:t xml:space="preserve"> </w:t>
      </w:r>
      <w:r w:rsidR="007951D6" w:rsidRPr="000F2E9A">
        <w:rPr>
          <w:b/>
          <w:lang w:val="en-GB"/>
        </w:rPr>
        <w:t>of the population</w:t>
      </w:r>
      <w:r w:rsidR="00AE46D5" w:rsidRPr="000F2E9A">
        <w:rPr>
          <w:b/>
          <w:lang w:val="en-GB"/>
        </w:rPr>
        <w:t>)</w:t>
      </w:r>
      <w:r w:rsidR="00956FEB" w:rsidRPr="000F2E9A">
        <w:rPr>
          <w:b/>
          <w:lang w:val="en-GB"/>
        </w:rPr>
        <w:t xml:space="preserve">, </w:t>
      </w:r>
      <w:r w:rsidR="00261249" w:rsidRPr="000F2E9A">
        <w:rPr>
          <w:b/>
          <w:lang w:val="en-GB"/>
        </w:rPr>
        <w:t xml:space="preserve">is </w:t>
      </w:r>
      <w:r w:rsidR="00D84A42" w:rsidRPr="000F2E9A">
        <w:rPr>
          <w:b/>
          <w:lang w:val="en-GB"/>
        </w:rPr>
        <w:t>living under such conditions</w:t>
      </w:r>
      <w:r w:rsidR="0098685A" w:rsidRPr="000F2E9A">
        <w:rPr>
          <w:b/>
          <w:lang w:val="en-GB"/>
        </w:rPr>
        <w:t>.</w:t>
      </w:r>
    </w:p>
    <w:p w:rsidR="00397EC3" w:rsidRPr="000F2E9A" w:rsidRDefault="005573E4" w:rsidP="005573E4">
      <w:pPr>
        <w:pStyle w:val="SingleTxtG"/>
        <w:rPr>
          <w:b/>
          <w:lang w:val="en-GB"/>
        </w:rPr>
      </w:pPr>
      <w:r w:rsidRPr="005573E4">
        <w:rPr>
          <w:bCs/>
          <w:lang w:val="en-GB"/>
        </w:rPr>
        <w:t>77.</w:t>
      </w:r>
      <w:r w:rsidRPr="005573E4">
        <w:rPr>
          <w:bCs/>
          <w:lang w:val="en-GB"/>
        </w:rPr>
        <w:tab/>
      </w:r>
      <w:r w:rsidR="00397EC3" w:rsidRPr="000F2E9A">
        <w:rPr>
          <w:b/>
          <w:lang w:val="en-GB"/>
        </w:rPr>
        <w:t xml:space="preserve">The austerity measures implemented since 2010 contributed significantly to this outcome. The </w:t>
      </w:r>
      <w:r w:rsidR="00C504A5" w:rsidRPr="000F2E9A">
        <w:rPr>
          <w:b/>
          <w:lang w:val="en-GB"/>
        </w:rPr>
        <w:t xml:space="preserve">adverse human rights impacts are </w:t>
      </w:r>
      <w:r w:rsidR="00397EC3" w:rsidRPr="000F2E9A">
        <w:rPr>
          <w:b/>
          <w:lang w:val="en-GB"/>
        </w:rPr>
        <w:t xml:space="preserve">not the product of an </w:t>
      </w:r>
      <w:r w:rsidR="00AE46D5" w:rsidRPr="000F2E9A">
        <w:rPr>
          <w:b/>
          <w:lang w:val="en-GB"/>
        </w:rPr>
        <w:t>“</w:t>
      </w:r>
      <w:r w:rsidR="00397EC3" w:rsidRPr="000F2E9A">
        <w:rPr>
          <w:b/>
          <w:lang w:val="en-GB"/>
        </w:rPr>
        <w:t>invisible hand</w:t>
      </w:r>
      <w:r w:rsidR="00AE46D5" w:rsidRPr="000F2E9A">
        <w:rPr>
          <w:b/>
          <w:lang w:val="en-GB"/>
        </w:rPr>
        <w:t>”</w:t>
      </w:r>
      <w:r w:rsidR="00397EC3" w:rsidRPr="000F2E9A">
        <w:rPr>
          <w:b/>
          <w:lang w:val="en-GB"/>
        </w:rPr>
        <w:t xml:space="preserve"> for which </w:t>
      </w:r>
      <w:r w:rsidR="007849D8" w:rsidRPr="000F2E9A">
        <w:rPr>
          <w:b/>
          <w:lang w:val="en-GB"/>
        </w:rPr>
        <w:t xml:space="preserve">neither </w:t>
      </w:r>
      <w:r w:rsidR="00D84A42" w:rsidRPr="000F2E9A">
        <w:rPr>
          <w:b/>
          <w:lang w:val="en-GB"/>
        </w:rPr>
        <w:t>States</w:t>
      </w:r>
      <w:r w:rsidR="00C504A5" w:rsidRPr="000F2E9A">
        <w:rPr>
          <w:b/>
          <w:lang w:val="en-GB"/>
        </w:rPr>
        <w:t xml:space="preserve">, </w:t>
      </w:r>
      <w:r w:rsidR="007849D8" w:rsidRPr="000F2E9A">
        <w:rPr>
          <w:b/>
          <w:lang w:val="en-GB"/>
        </w:rPr>
        <w:t xml:space="preserve">nor </w:t>
      </w:r>
      <w:r w:rsidR="00D84A42" w:rsidRPr="000F2E9A">
        <w:rPr>
          <w:b/>
          <w:lang w:val="en-GB"/>
        </w:rPr>
        <w:t>international</w:t>
      </w:r>
      <w:r w:rsidR="007849D8" w:rsidRPr="000F2E9A">
        <w:rPr>
          <w:b/>
          <w:lang w:val="en-GB"/>
        </w:rPr>
        <w:t>,</w:t>
      </w:r>
      <w:r w:rsidR="00D84A42" w:rsidRPr="000F2E9A">
        <w:rPr>
          <w:b/>
          <w:lang w:val="en-GB"/>
        </w:rPr>
        <w:t xml:space="preserve"> </w:t>
      </w:r>
      <w:r w:rsidR="00AE46D5" w:rsidRPr="000F2E9A">
        <w:rPr>
          <w:b/>
          <w:lang w:val="en-GB"/>
        </w:rPr>
        <w:t xml:space="preserve">public </w:t>
      </w:r>
      <w:r w:rsidR="007849D8" w:rsidRPr="000F2E9A">
        <w:rPr>
          <w:b/>
          <w:lang w:val="en-GB"/>
        </w:rPr>
        <w:t>an</w:t>
      </w:r>
      <w:r w:rsidR="00E46C12" w:rsidRPr="000F2E9A">
        <w:rPr>
          <w:b/>
          <w:lang w:val="en-GB"/>
        </w:rPr>
        <w:t>d</w:t>
      </w:r>
      <w:r w:rsidR="007849D8" w:rsidRPr="000F2E9A">
        <w:rPr>
          <w:b/>
          <w:lang w:val="en-GB"/>
        </w:rPr>
        <w:t xml:space="preserve"> private </w:t>
      </w:r>
      <w:r w:rsidR="00E46C12" w:rsidRPr="000F2E9A">
        <w:rPr>
          <w:b/>
          <w:lang w:val="en-GB"/>
        </w:rPr>
        <w:t xml:space="preserve">financial </w:t>
      </w:r>
      <w:r w:rsidR="00D84A42" w:rsidRPr="000F2E9A">
        <w:rPr>
          <w:b/>
          <w:lang w:val="en-GB"/>
        </w:rPr>
        <w:lastRenderedPageBreak/>
        <w:t>institutions</w:t>
      </w:r>
      <w:r w:rsidR="00AE46D5" w:rsidRPr="000F2E9A">
        <w:rPr>
          <w:b/>
          <w:lang w:val="en-GB"/>
        </w:rPr>
        <w:t xml:space="preserve"> </w:t>
      </w:r>
      <w:r w:rsidR="00284609" w:rsidRPr="000F2E9A">
        <w:rPr>
          <w:b/>
          <w:lang w:val="en-GB"/>
        </w:rPr>
        <w:t xml:space="preserve">within and outside of Greece </w:t>
      </w:r>
      <w:r w:rsidR="00397EC3" w:rsidRPr="000F2E9A">
        <w:rPr>
          <w:b/>
          <w:lang w:val="en-GB"/>
        </w:rPr>
        <w:t xml:space="preserve">bear </w:t>
      </w:r>
      <w:proofErr w:type="gramStart"/>
      <w:r w:rsidR="00D84A42" w:rsidRPr="000F2E9A">
        <w:rPr>
          <w:b/>
          <w:lang w:val="en-GB"/>
        </w:rPr>
        <w:t>no</w:t>
      </w:r>
      <w:proofErr w:type="gramEnd"/>
      <w:r w:rsidR="00D84A42" w:rsidRPr="000F2E9A">
        <w:rPr>
          <w:b/>
          <w:lang w:val="en-GB"/>
        </w:rPr>
        <w:t xml:space="preserve"> </w:t>
      </w:r>
      <w:r w:rsidR="00397EC3" w:rsidRPr="000F2E9A">
        <w:rPr>
          <w:b/>
          <w:lang w:val="en-GB"/>
        </w:rPr>
        <w:t xml:space="preserve">responsibility. </w:t>
      </w:r>
      <w:r w:rsidR="00C504A5" w:rsidRPr="000F2E9A">
        <w:rPr>
          <w:b/>
          <w:lang w:val="en-GB"/>
        </w:rPr>
        <w:t>First, it should be noted that i</w:t>
      </w:r>
      <w:r w:rsidR="00397EC3" w:rsidRPr="000F2E9A">
        <w:rPr>
          <w:b/>
          <w:lang w:val="en-GB"/>
        </w:rPr>
        <w:t xml:space="preserve">rresponsible borrowing and lending contributed significantly to the financial crisis in </w:t>
      </w:r>
      <w:r w:rsidR="00C504A5" w:rsidRPr="000F2E9A">
        <w:rPr>
          <w:b/>
          <w:lang w:val="en-GB"/>
        </w:rPr>
        <w:t>Greece</w:t>
      </w:r>
      <w:r w:rsidR="00397EC3" w:rsidRPr="000F2E9A">
        <w:rPr>
          <w:b/>
          <w:lang w:val="en-GB"/>
        </w:rPr>
        <w:t xml:space="preserve">. </w:t>
      </w:r>
      <w:r w:rsidR="001702DF" w:rsidRPr="000F2E9A">
        <w:rPr>
          <w:b/>
          <w:lang w:val="en-GB"/>
        </w:rPr>
        <w:t xml:space="preserve">Second, </w:t>
      </w:r>
      <w:r w:rsidR="00397EC3" w:rsidRPr="000F2E9A">
        <w:rPr>
          <w:b/>
          <w:lang w:val="en-GB"/>
        </w:rPr>
        <w:t xml:space="preserve">excessive austerity </w:t>
      </w:r>
      <w:r w:rsidR="0098685A" w:rsidRPr="000F2E9A">
        <w:rPr>
          <w:b/>
          <w:lang w:val="en-GB"/>
        </w:rPr>
        <w:t xml:space="preserve">measures did </w:t>
      </w:r>
      <w:r w:rsidR="001702DF" w:rsidRPr="000F2E9A">
        <w:rPr>
          <w:b/>
          <w:lang w:val="en-GB"/>
        </w:rPr>
        <w:t xml:space="preserve">not only significantly </w:t>
      </w:r>
      <w:r w:rsidR="00397EC3" w:rsidRPr="000F2E9A">
        <w:rPr>
          <w:b/>
          <w:lang w:val="en-GB"/>
        </w:rPr>
        <w:t xml:space="preserve">deepened the economic crisis, but prescribed </w:t>
      </w:r>
      <w:r w:rsidR="001702DF" w:rsidRPr="000F2E9A">
        <w:rPr>
          <w:b/>
          <w:lang w:val="en-GB"/>
        </w:rPr>
        <w:t xml:space="preserve">as well </w:t>
      </w:r>
      <w:r w:rsidR="00397EC3" w:rsidRPr="000F2E9A">
        <w:rPr>
          <w:b/>
          <w:lang w:val="en-GB"/>
        </w:rPr>
        <w:t xml:space="preserve">cutting down social protection and public health expenditures </w:t>
      </w:r>
      <w:r w:rsidR="00C504A5" w:rsidRPr="000F2E9A">
        <w:rPr>
          <w:b/>
          <w:lang w:val="en-GB"/>
        </w:rPr>
        <w:t xml:space="preserve">undermining </w:t>
      </w:r>
      <w:r w:rsidR="00AE46D5" w:rsidRPr="000F2E9A">
        <w:rPr>
          <w:b/>
          <w:lang w:val="en-GB"/>
        </w:rPr>
        <w:t xml:space="preserve">the rights to </w:t>
      </w:r>
      <w:r w:rsidR="00397EC3" w:rsidRPr="000F2E9A">
        <w:rPr>
          <w:b/>
          <w:lang w:val="en-GB"/>
        </w:rPr>
        <w:t>social security</w:t>
      </w:r>
      <w:r w:rsidR="00AE46D5" w:rsidRPr="000F2E9A">
        <w:rPr>
          <w:b/>
          <w:lang w:val="en-GB"/>
        </w:rPr>
        <w:t xml:space="preserve"> and </w:t>
      </w:r>
      <w:r w:rsidR="00397EC3" w:rsidRPr="000F2E9A">
        <w:rPr>
          <w:b/>
          <w:lang w:val="en-GB"/>
        </w:rPr>
        <w:t xml:space="preserve">health. </w:t>
      </w:r>
      <w:r w:rsidR="00D84A42" w:rsidRPr="000F2E9A">
        <w:rPr>
          <w:b/>
          <w:lang w:val="en-GB"/>
        </w:rPr>
        <w:t xml:space="preserve">Finally, </w:t>
      </w:r>
      <w:r w:rsidR="00397EC3" w:rsidRPr="000F2E9A">
        <w:rPr>
          <w:b/>
          <w:lang w:val="en-GB"/>
        </w:rPr>
        <w:t xml:space="preserve">insufficient priority </w:t>
      </w:r>
      <w:r w:rsidR="00D84A42" w:rsidRPr="000F2E9A">
        <w:rPr>
          <w:b/>
          <w:lang w:val="en-GB"/>
        </w:rPr>
        <w:t xml:space="preserve">was given </w:t>
      </w:r>
      <w:r w:rsidR="00397EC3" w:rsidRPr="000F2E9A">
        <w:rPr>
          <w:b/>
          <w:lang w:val="en-GB"/>
        </w:rPr>
        <w:t xml:space="preserve">to address well-known gaps in the social security system of Greece. Instead of addressing these gaps first, drastic economic reforms </w:t>
      </w:r>
      <w:r w:rsidR="00261249" w:rsidRPr="000F2E9A">
        <w:rPr>
          <w:b/>
          <w:lang w:val="en-GB"/>
        </w:rPr>
        <w:t>with</w:t>
      </w:r>
      <w:r w:rsidR="00F16E46" w:rsidRPr="000F2E9A">
        <w:rPr>
          <w:b/>
          <w:lang w:val="en-GB"/>
        </w:rPr>
        <w:t xml:space="preserve"> </w:t>
      </w:r>
      <w:r w:rsidR="00261249" w:rsidRPr="000F2E9A">
        <w:rPr>
          <w:b/>
          <w:lang w:val="en-GB"/>
        </w:rPr>
        <w:t xml:space="preserve">dubious prospects </w:t>
      </w:r>
      <w:r w:rsidR="00F16E46" w:rsidRPr="000F2E9A">
        <w:rPr>
          <w:b/>
          <w:lang w:val="en-GB"/>
        </w:rPr>
        <w:t xml:space="preserve">in terms of growth </w:t>
      </w:r>
      <w:r w:rsidR="00397EC3" w:rsidRPr="000F2E9A">
        <w:rPr>
          <w:b/>
          <w:lang w:val="en-GB"/>
        </w:rPr>
        <w:t>were implemented at the expense of human rights.</w:t>
      </w:r>
    </w:p>
    <w:p w:rsidR="00397EC3" w:rsidRPr="000F2E9A" w:rsidRDefault="005573E4" w:rsidP="005573E4">
      <w:pPr>
        <w:pStyle w:val="SingleTxtG"/>
        <w:rPr>
          <w:b/>
          <w:lang w:val="en-GB"/>
        </w:rPr>
      </w:pPr>
      <w:r w:rsidRPr="005573E4">
        <w:rPr>
          <w:bCs/>
          <w:lang w:val="en-GB"/>
        </w:rPr>
        <w:t>78.</w:t>
      </w:r>
      <w:r w:rsidRPr="005573E4">
        <w:rPr>
          <w:bCs/>
          <w:lang w:val="en-GB"/>
        </w:rPr>
        <w:tab/>
      </w:r>
      <w:r w:rsidR="00397EC3" w:rsidRPr="000F2E9A">
        <w:rPr>
          <w:b/>
          <w:lang w:val="en-GB"/>
        </w:rPr>
        <w:t xml:space="preserve">The </w:t>
      </w:r>
      <w:r w:rsidR="005F0A26" w:rsidRPr="000F2E9A">
        <w:rPr>
          <w:b/>
          <w:lang w:val="en-GB"/>
        </w:rPr>
        <w:t xml:space="preserve">current </w:t>
      </w:r>
      <w:r w:rsidR="00397EC3" w:rsidRPr="000F2E9A">
        <w:rPr>
          <w:b/>
          <w:lang w:val="en-GB"/>
        </w:rPr>
        <w:t>financial assistance programme acknowledges the immense sacrifices the Greek society ha</w:t>
      </w:r>
      <w:r w:rsidR="00261249" w:rsidRPr="000F2E9A">
        <w:rPr>
          <w:b/>
          <w:lang w:val="en-GB"/>
        </w:rPr>
        <w:t>ve</w:t>
      </w:r>
      <w:r w:rsidR="00397EC3" w:rsidRPr="000F2E9A">
        <w:rPr>
          <w:b/>
          <w:lang w:val="en-GB"/>
        </w:rPr>
        <w:t xml:space="preserve"> made, but ignores that the Government of Greece is currently partially unable to secure to a large number of individuals within its territory the enjoyment of </w:t>
      </w:r>
      <w:r w:rsidR="00D84A42" w:rsidRPr="000F2E9A">
        <w:rPr>
          <w:b/>
          <w:lang w:val="en-GB"/>
        </w:rPr>
        <w:t xml:space="preserve">essential </w:t>
      </w:r>
      <w:r w:rsidR="00397EC3" w:rsidRPr="000F2E9A">
        <w:rPr>
          <w:b/>
          <w:lang w:val="en-GB"/>
        </w:rPr>
        <w:t xml:space="preserve">economic and social rights. This intolerable situation is not primarily caused by a lack of political will of the current Government to curb violations of economic and social rights within Greece, but compounded by the limited fiscal space at disposal to bring the situation in conformity with international human rights obligations. In particular the imposition of further cuts on social welfare of 0.5 GDP as part of the conditionality of the </w:t>
      </w:r>
      <w:r w:rsidR="00AE46D5" w:rsidRPr="000F2E9A">
        <w:rPr>
          <w:b/>
          <w:lang w:val="en-GB"/>
        </w:rPr>
        <w:t xml:space="preserve">current adjustment </w:t>
      </w:r>
      <w:r w:rsidR="00397EC3" w:rsidRPr="000F2E9A">
        <w:rPr>
          <w:b/>
          <w:lang w:val="en-GB"/>
        </w:rPr>
        <w:t xml:space="preserve">programme is highly questionable </w:t>
      </w:r>
      <w:r w:rsidR="00AE46D5" w:rsidRPr="000F2E9A">
        <w:rPr>
          <w:b/>
          <w:lang w:val="en-GB"/>
        </w:rPr>
        <w:t xml:space="preserve">and should be reconsidered </w:t>
      </w:r>
      <w:r w:rsidR="00397EC3" w:rsidRPr="000F2E9A">
        <w:rPr>
          <w:b/>
          <w:lang w:val="en-GB"/>
        </w:rPr>
        <w:t>in a context where extreme poverty is rampant</w:t>
      </w:r>
      <w:r w:rsidR="005F0A26" w:rsidRPr="000F2E9A">
        <w:rPr>
          <w:b/>
          <w:lang w:val="en-GB"/>
        </w:rPr>
        <w:t xml:space="preserve"> </w:t>
      </w:r>
      <w:r w:rsidR="00397EC3" w:rsidRPr="000F2E9A">
        <w:rPr>
          <w:b/>
          <w:lang w:val="en-GB"/>
        </w:rPr>
        <w:t xml:space="preserve">and </w:t>
      </w:r>
      <w:r w:rsidR="00E46C12" w:rsidRPr="000F2E9A">
        <w:rPr>
          <w:b/>
          <w:lang w:val="en-GB"/>
        </w:rPr>
        <w:t xml:space="preserve">where </w:t>
      </w:r>
      <w:r w:rsidR="00D84A42" w:rsidRPr="000F2E9A">
        <w:rPr>
          <w:b/>
          <w:lang w:val="en-GB"/>
        </w:rPr>
        <w:t>insufficient size</w:t>
      </w:r>
      <w:r w:rsidR="005F0A26" w:rsidRPr="000F2E9A">
        <w:rPr>
          <w:b/>
          <w:lang w:val="en-GB"/>
        </w:rPr>
        <w:t>d</w:t>
      </w:r>
      <w:r w:rsidR="00D84A42" w:rsidRPr="000F2E9A">
        <w:rPr>
          <w:b/>
          <w:lang w:val="en-GB"/>
        </w:rPr>
        <w:t xml:space="preserve"> and inadequately targeted </w:t>
      </w:r>
      <w:r w:rsidR="005F0A26" w:rsidRPr="000F2E9A">
        <w:rPr>
          <w:b/>
          <w:lang w:val="en-GB"/>
        </w:rPr>
        <w:t xml:space="preserve">social welfare </w:t>
      </w:r>
      <w:r w:rsidR="00D84A42" w:rsidRPr="000F2E9A">
        <w:rPr>
          <w:b/>
          <w:lang w:val="en-GB"/>
        </w:rPr>
        <w:t xml:space="preserve">benefits </w:t>
      </w:r>
      <w:r w:rsidR="00397EC3" w:rsidRPr="000F2E9A">
        <w:rPr>
          <w:b/>
          <w:lang w:val="en-GB"/>
        </w:rPr>
        <w:t>contribute only marginal to a reduction of poverty</w:t>
      </w:r>
      <w:r w:rsidR="00D84A42" w:rsidRPr="000F2E9A">
        <w:rPr>
          <w:b/>
          <w:lang w:val="en-GB"/>
        </w:rPr>
        <w:t xml:space="preserve">, leaving </w:t>
      </w:r>
      <w:r w:rsidR="00E46C12" w:rsidRPr="000F2E9A">
        <w:rPr>
          <w:b/>
          <w:lang w:val="en-GB"/>
        </w:rPr>
        <w:t xml:space="preserve">in particular </w:t>
      </w:r>
      <w:r w:rsidR="00D84A42" w:rsidRPr="000F2E9A">
        <w:rPr>
          <w:b/>
          <w:lang w:val="en-GB"/>
        </w:rPr>
        <w:t xml:space="preserve">long time-unemployed </w:t>
      </w:r>
      <w:r w:rsidR="00E46C12" w:rsidRPr="000F2E9A">
        <w:rPr>
          <w:b/>
          <w:lang w:val="en-GB"/>
        </w:rPr>
        <w:t xml:space="preserve">and </w:t>
      </w:r>
      <w:r w:rsidR="00D84A42" w:rsidRPr="000F2E9A">
        <w:rPr>
          <w:b/>
          <w:lang w:val="en-GB"/>
        </w:rPr>
        <w:t xml:space="preserve">foreign nationals </w:t>
      </w:r>
      <w:r w:rsidR="00E46C12" w:rsidRPr="000F2E9A">
        <w:rPr>
          <w:b/>
          <w:lang w:val="en-GB"/>
        </w:rPr>
        <w:t xml:space="preserve">from non EU-countries living in Greece </w:t>
      </w:r>
      <w:r w:rsidR="00D84A42" w:rsidRPr="000F2E9A">
        <w:rPr>
          <w:b/>
          <w:lang w:val="en-GB"/>
        </w:rPr>
        <w:t>in a state of destitution</w:t>
      </w:r>
      <w:r w:rsidR="009C59C5">
        <w:rPr>
          <w:b/>
          <w:lang w:val="en-GB"/>
        </w:rPr>
        <w:t>.</w:t>
      </w:r>
    </w:p>
    <w:p w:rsidR="00284609" w:rsidRPr="000F2E9A" w:rsidRDefault="005573E4" w:rsidP="005573E4">
      <w:pPr>
        <w:pStyle w:val="SingleTxtG"/>
        <w:rPr>
          <w:b/>
          <w:lang w:val="en-GB"/>
        </w:rPr>
      </w:pPr>
      <w:r w:rsidRPr="005573E4">
        <w:rPr>
          <w:bCs/>
          <w:lang w:val="en-GB"/>
        </w:rPr>
        <w:t>79.</w:t>
      </w:r>
      <w:r w:rsidRPr="005573E4">
        <w:rPr>
          <w:bCs/>
          <w:lang w:val="en-GB"/>
        </w:rPr>
        <w:tab/>
      </w:r>
      <w:r w:rsidR="00AE46D5" w:rsidRPr="000F2E9A">
        <w:rPr>
          <w:b/>
          <w:lang w:val="en-GB"/>
        </w:rPr>
        <w:t>U</w:t>
      </w:r>
      <w:r w:rsidR="005F0A26" w:rsidRPr="000F2E9A">
        <w:rPr>
          <w:b/>
          <w:lang w:val="en-GB"/>
        </w:rPr>
        <w:t xml:space="preserve">nemployment and poverty </w:t>
      </w:r>
      <w:r w:rsidR="00AE46D5" w:rsidRPr="000F2E9A">
        <w:rPr>
          <w:b/>
          <w:lang w:val="en-GB"/>
        </w:rPr>
        <w:t xml:space="preserve">should not only be addressed </w:t>
      </w:r>
      <w:r w:rsidR="005F0A26" w:rsidRPr="000F2E9A">
        <w:rPr>
          <w:b/>
          <w:lang w:val="en-GB"/>
        </w:rPr>
        <w:t>through social policy measures.</w:t>
      </w:r>
      <w:r w:rsidR="00017C92" w:rsidRPr="000F2E9A">
        <w:rPr>
          <w:b/>
          <w:lang w:val="en-GB"/>
        </w:rPr>
        <w:t xml:space="preserve"> </w:t>
      </w:r>
      <w:r w:rsidR="00284609" w:rsidRPr="000F2E9A">
        <w:rPr>
          <w:b/>
          <w:lang w:val="en-GB"/>
        </w:rPr>
        <w:t>Very small and middle sized businesses make up the largest majority of the Greek economy. Their lack of access to credit and a huge stock of non-performing loans have resulted in a situation inhibiting investment, creation of employment and economic growth. Yet, in Greece, the chances of overcoming the recession through a revival of private investment seem to be minimal. The widespread hope that private investment could be the primary engine to growth and development might prove to be illusive, given that capacity utilization is at historical low levels; the income expectations of the majority of the citizens are extremely depressed and there still is uncertainty about whether the recession will be overcome. The only way to give a positive impulse to an economy stuck in deflation and depression is by enabling the government to launch a</w:t>
      </w:r>
      <w:r w:rsidR="00E71F13" w:rsidRPr="000F2E9A">
        <w:rPr>
          <w:b/>
          <w:lang w:val="en-GB"/>
        </w:rPr>
        <w:t xml:space="preserve"> robust </w:t>
      </w:r>
      <w:r w:rsidR="00284609" w:rsidRPr="000F2E9A">
        <w:rPr>
          <w:b/>
          <w:lang w:val="en-GB"/>
        </w:rPr>
        <w:t>investment initiative. To finance this initiative public debt should be restructured in a way that would create the policy space for the Government to launch projects to improve the situation of the poor and the unemployed.</w:t>
      </w:r>
    </w:p>
    <w:p w:rsidR="00C35A17" w:rsidRPr="000F2E9A" w:rsidRDefault="005573E4" w:rsidP="005573E4">
      <w:pPr>
        <w:pStyle w:val="SingleTxtG"/>
        <w:rPr>
          <w:b/>
          <w:lang w:val="en-GB"/>
        </w:rPr>
      </w:pPr>
      <w:r w:rsidRPr="005573E4">
        <w:rPr>
          <w:bCs/>
          <w:lang w:val="en-GB"/>
        </w:rPr>
        <w:t>80.</w:t>
      </w:r>
      <w:r w:rsidRPr="005573E4">
        <w:rPr>
          <w:bCs/>
          <w:lang w:val="en-GB"/>
        </w:rPr>
        <w:tab/>
      </w:r>
      <w:r w:rsidR="00C35A17" w:rsidRPr="000F2E9A">
        <w:rPr>
          <w:b/>
          <w:lang w:val="en-GB"/>
        </w:rPr>
        <w:t xml:space="preserve">Greece has a challenging structural reform agenda: improving the social security system; ensuring access to health care for all; professionalizing the public administration; introducing a more progressive tax system - in particular by reducing tax evasion and unjustifiable tax exemptions for certain privileged groups; boosting the economy; reducing inequality; </w:t>
      </w:r>
      <w:r w:rsidR="003604EA" w:rsidRPr="000F2E9A">
        <w:rPr>
          <w:b/>
          <w:lang w:val="en-GB"/>
        </w:rPr>
        <w:t xml:space="preserve">and </w:t>
      </w:r>
      <w:r w:rsidR="00C35A17" w:rsidRPr="000F2E9A">
        <w:rPr>
          <w:b/>
          <w:lang w:val="en-GB"/>
        </w:rPr>
        <w:t>repaying a considerable amount of debt.</w:t>
      </w:r>
      <w:r w:rsidR="00017C92" w:rsidRPr="000F2E9A">
        <w:rPr>
          <w:b/>
          <w:lang w:val="en-GB"/>
        </w:rPr>
        <w:t xml:space="preserve"> </w:t>
      </w:r>
      <w:r w:rsidR="00C35A17" w:rsidRPr="000F2E9A">
        <w:rPr>
          <w:b/>
          <w:lang w:val="en-GB"/>
        </w:rPr>
        <w:t xml:space="preserve">It is hard to believe that such far-reaching reforms can be implemented effectively if the Greek peoples’ views are not seriously taken into consideration when defining the objectives, scope, sequence and pace of these reforms and if they appear to be imposed by lenders with the sole goal of repayment. National ownership of these reforms can only be ensured through public consultation, social dialogue and if the structural reforms are implemented with full respect to democratic </w:t>
      </w:r>
      <w:r w:rsidR="009C59C5">
        <w:rPr>
          <w:b/>
          <w:lang w:val="en-GB"/>
        </w:rPr>
        <w:t>participation and human rights.</w:t>
      </w:r>
    </w:p>
    <w:p w:rsidR="006853BC" w:rsidRPr="000F2E9A" w:rsidRDefault="006853BC" w:rsidP="009C59C5">
      <w:pPr>
        <w:pStyle w:val="H1G"/>
        <w:rPr>
          <w:lang w:val="en-GB" w:eastAsia="en-GB"/>
        </w:rPr>
      </w:pPr>
      <w:r w:rsidRPr="000F2E9A">
        <w:rPr>
          <w:lang w:val="en-GB" w:eastAsia="en-GB"/>
        </w:rPr>
        <w:lastRenderedPageBreak/>
        <w:tab/>
      </w:r>
      <w:r w:rsidR="00823DAA" w:rsidRPr="000F2E9A">
        <w:rPr>
          <w:lang w:val="en-GB" w:eastAsia="en-GB"/>
        </w:rPr>
        <w:t>A</w:t>
      </w:r>
      <w:r w:rsidRPr="000F2E9A">
        <w:rPr>
          <w:lang w:val="en-GB" w:eastAsia="en-GB"/>
        </w:rPr>
        <w:t>.</w:t>
      </w:r>
      <w:r w:rsidRPr="000F2E9A">
        <w:rPr>
          <w:lang w:val="en-GB" w:eastAsia="en-GB"/>
        </w:rPr>
        <w:tab/>
      </w:r>
      <w:r w:rsidRPr="009C59C5">
        <w:t>Recommendations</w:t>
      </w:r>
      <w:r w:rsidRPr="000F2E9A">
        <w:rPr>
          <w:lang w:val="en-GB" w:eastAsia="en-GB"/>
        </w:rPr>
        <w:t xml:space="preserve"> </w:t>
      </w:r>
      <w:r w:rsidR="000E76F5" w:rsidRPr="000F2E9A">
        <w:rPr>
          <w:lang w:val="en-GB" w:eastAsia="en-GB"/>
        </w:rPr>
        <w:t xml:space="preserve">to the Government of Greece and </w:t>
      </w:r>
      <w:r w:rsidR="005A1367" w:rsidRPr="000F2E9A">
        <w:rPr>
          <w:lang w:val="en-GB" w:eastAsia="en-GB"/>
        </w:rPr>
        <w:t xml:space="preserve">its international </w:t>
      </w:r>
      <w:r w:rsidR="000E76F5" w:rsidRPr="000F2E9A">
        <w:rPr>
          <w:lang w:val="en-GB" w:eastAsia="en-GB"/>
        </w:rPr>
        <w:t>lend</w:t>
      </w:r>
      <w:r w:rsidR="009C59C5">
        <w:rPr>
          <w:lang w:val="en-GB" w:eastAsia="en-GB"/>
        </w:rPr>
        <w:t>ers</w:t>
      </w:r>
    </w:p>
    <w:p w:rsidR="0020749C" w:rsidRPr="000F2E9A" w:rsidRDefault="005573E4" w:rsidP="005573E4">
      <w:pPr>
        <w:pStyle w:val="SingleTxtG"/>
        <w:rPr>
          <w:b/>
          <w:lang w:val="en-GB"/>
        </w:rPr>
      </w:pPr>
      <w:r w:rsidRPr="005573E4">
        <w:rPr>
          <w:bCs/>
          <w:lang w:val="en-GB"/>
        </w:rPr>
        <w:t>81.</w:t>
      </w:r>
      <w:r w:rsidRPr="005573E4">
        <w:rPr>
          <w:bCs/>
          <w:lang w:val="en-GB"/>
        </w:rPr>
        <w:tab/>
      </w:r>
      <w:r w:rsidR="00507CCD" w:rsidRPr="000F2E9A">
        <w:rPr>
          <w:b/>
          <w:lang w:val="en-GB"/>
        </w:rPr>
        <w:t xml:space="preserve">The Independent Expert wishes to draw attention to </w:t>
      </w:r>
      <w:r w:rsidR="005259B9" w:rsidRPr="000F2E9A">
        <w:rPr>
          <w:b/>
          <w:lang w:val="en-GB"/>
        </w:rPr>
        <w:t xml:space="preserve">the </w:t>
      </w:r>
      <w:r w:rsidR="00507CCD" w:rsidRPr="000F2E9A">
        <w:rPr>
          <w:b/>
          <w:lang w:val="en-GB"/>
        </w:rPr>
        <w:t>recommendations made by the previous mandate holder</w:t>
      </w:r>
      <w:r w:rsidR="0041401A" w:rsidRPr="000F2E9A">
        <w:rPr>
          <w:b/>
          <w:lang w:val="en-GB"/>
        </w:rPr>
        <w:t>,</w:t>
      </w:r>
      <w:r w:rsidR="00507CCD" w:rsidRPr="000F2E9A">
        <w:rPr>
          <w:b/>
          <w:lang w:val="en-GB"/>
        </w:rPr>
        <w:t xml:space="preserve"> </w:t>
      </w:r>
      <w:r w:rsidR="0041401A" w:rsidRPr="000F2E9A">
        <w:rPr>
          <w:b/>
          <w:lang w:val="en-GB"/>
        </w:rPr>
        <w:t xml:space="preserve">that are still relevant and have mostly not been implemented (A/HRC/25/50/Add.1, para 93-93), </w:t>
      </w:r>
      <w:r w:rsidR="00507CCD" w:rsidRPr="000F2E9A">
        <w:rPr>
          <w:b/>
          <w:lang w:val="en-GB"/>
        </w:rPr>
        <w:t>and recent recommendations of the Committee on Social, Economic and Cultural Rights</w:t>
      </w:r>
      <w:r w:rsidR="001A1FC8" w:rsidRPr="000F2E9A">
        <w:rPr>
          <w:b/>
          <w:lang w:val="en-GB"/>
        </w:rPr>
        <w:t xml:space="preserve"> (E/C.12/GRC/CO/2)</w:t>
      </w:r>
      <w:r w:rsidR="00507CCD" w:rsidRPr="000F2E9A">
        <w:rPr>
          <w:b/>
          <w:lang w:val="en-GB"/>
        </w:rPr>
        <w:t>.</w:t>
      </w:r>
      <w:r w:rsidR="00017C92" w:rsidRPr="000F2E9A">
        <w:rPr>
          <w:b/>
          <w:lang w:val="en-GB"/>
        </w:rPr>
        <w:t xml:space="preserve"> </w:t>
      </w:r>
      <w:r w:rsidR="0041401A" w:rsidRPr="000F2E9A">
        <w:rPr>
          <w:b/>
          <w:lang w:val="en-GB"/>
        </w:rPr>
        <w:t>In addition, h</w:t>
      </w:r>
      <w:r w:rsidR="008C6A4D" w:rsidRPr="000F2E9A">
        <w:rPr>
          <w:b/>
          <w:lang w:val="en-GB"/>
        </w:rPr>
        <w:t xml:space="preserve">e </w:t>
      </w:r>
      <w:r w:rsidR="0020749C" w:rsidRPr="000F2E9A">
        <w:rPr>
          <w:b/>
          <w:lang w:val="en-GB"/>
        </w:rPr>
        <w:t>recommend</w:t>
      </w:r>
      <w:r w:rsidR="0041401A" w:rsidRPr="000F2E9A">
        <w:rPr>
          <w:b/>
          <w:lang w:val="en-GB"/>
        </w:rPr>
        <w:t>s</w:t>
      </w:r>
      <w:r w:rsidR="008C6A4D" w:rsidRPr="000F2E9A">
        <w:rPr>
          <w:b/>
          <w:lang w:val="en-GB"/>
        </w:rPr>
        <w:t xml:space="preserve"> to</w:t>
      </w:r>
      <w:r w:rsidR="0020749C" w:rsidRPr="000F2E9A">
        <w:rPr>
          <w:b/>
          <w:lang w:val="en-GB"/>
        </w:rPr>
        <w:t>:</w:t>
      </w:r>
    </w:p>
    <w:p w:rsidR="000E76F5" w:rsidRPr="000F2E9A" w:rsidRDefault="005573E4" w:rsidP="005573E4">
      <w:pPr>
        <w:pStyle w:val="SingleTxtG"/>
        <w:rPr>
          <w:b/>
          <w:lang w:val="en-GB"/>
        </w:rPr>
      </w:pPr>
      <w:r w:rsidRPr="005573E4">
        <w:rPr>
          <w:bCs/>
          <w:lang w:val="en-GB"/>
        </w:rPr>
        <w:t>82.</w:t>
      </w:r>
      <w:r w:rsidRPr="005573E4">
        <w:rPr>
          <w:bCs/>
          <w:lang w:val="en-GB"/>
        </w:rPr>
        <w:tab/>
      </w:r>
      <w:r w:rsidR="000E76F5" w:rsidRPr="000F2E9A">
        <w:rPr>
          <w:b/>
          <w:bCs/>
          <w:lang w:val="en-GB"/>
        </w:rPr>
        <w:t xml:space="preserve">Carry out a comprehensive Human Rights Impact Assessment of the structural adjustment programme in cooperation with all relevant stakeholders, including the institutions, the Greek National </w:t>
      </w:r>
      <w:r w:rsidR="0092684F" w:rsidRPr="000F2E9A">
        <w:rPr>
          <w:b/>
          <w:bCs/>
          <w:lang w:val="en-GB"/>
        </w:rPr>
        <w:t xml:space="preserve">Commission for </w:t>
      </w:r>
      <w:r w:rsidR="000E76F5" w:rsidRPr="000F2E9A">
        <w:rPr>
          <w:b/>
          <w:bCs/>
          <w:lang w:val="en-GB"/>
        </w:rPr>
        <w:t xml:space="preserve">Human Rights, the Ombudsman, and civil society. The Human Rights Impact Assessment should include at a minimum an evaluation of past failures to protect </w:t>
      </w:r>
      <w:r w:rsidR="0092684F" w:rsidRPr="000F2E9A">
        <w:rPr>
          <w:b/>
          <w:bCs/>
          <w:lang w:val="en-GB"/>
        </w:rPr>
        <w:t xml:space="preserve">economic, social and cultural rights of </w:t>
      </w:r>
      <w:r w:rsidR="000E76F5" w:rsidRPr="000F2E9A">
        <w:rPr>
          <w:b/>
          <w:bCs/>
          <w:lang w:val="en-GB"/>
        </w:rPr>
        <w:t xml:space="preserve">the Greek population and </w:t>
      </w:r>
      <w:r w:rsidR="000E76F5" w:rsidRPr="000F2E9A">
        <w:rPr>
          <w:b/>
          <w:bCs/>
          <w:i/>
          <w:iCs/>
          <w:lang w:val="en-GB"/>
        </w:rPr>
        <w:t>ex-ante</w:t>
      </w:r>
      <w:r w:rsidR="000E76F5" w:rsidRPr="000F2E9A">
        <w:rPr>
          <w:b/>
          <w:bCs/>
          <w:lang w:val="en-GB"/>
        </w:rPr>
        <w:t xml:space="preserve"> forecasts of the social and human rights impacts </w:t>
      </w:r>
      <w:r w:rsidR="0020749C" w:rsidRPr="000F2E9A">
        <w:rPr>
          <w:b/>
          <w:bCs/>
          <w:lang w:val="en-GB"/>
        </w:rPr>
        <w:t xml:space="preserve">or </w:t>
      </w:r>
      <w:r w:rsidR="000E76F5" w:rsidRPr="000F2E9A">
        <w:rPr>
          <w:b/>
          <w:bCs/>
          <w:lang w:val="en-GB"/>
        </w:rPr>
        <w:t>particular adjustment measures;</w:t>
      </w:r>
    </w:p>
    <w:p w:rsidR="003770EE" w:rsidRPr="000F2E9A" w:rsidRDefault="005573E4" w:rsidP="005573E4">
      <w:pPr>
        <w:pStyle w:val="SingleTxtG"/>
        <w:rPr>
          <w:b/>
          <w:lang w:val="en-GB"/>
        </w:rPr>
      </w:pPr>
      <w:r w:rsidRPr="005573E4">
        <w:rPr>
          <w:bCs/>
          <w:lang w:val="en-GB"/>
        </w:rPr>
        <w:t>83.</w:t>
      </w:r>
      <w:r w:rsidRPr="005573E4">
        <w:rPr>
          <w:bCs/>
          <w:lang w:val="en-GB"/>
        </w:rPr>
        <w:tab/>
      </w:r>
      <w:r w:rsidR="00634F4C" w:rsidRPr="000F2E9A">
        <w:rPr>
          <w:b/>
          <w:bCs/>
          <w:lang w:val="en-GB"/>
        </w:rPr>
        <w:t xml:space="preserve">Review </w:t>
      </w:r>
      <w:r w:rsidR="00ED0E57" w:rsidRPr="000F2E9A">
        <w:rPr>
          <w:b/>
          <w:bCs/>
          <w:lang w:val="en-GB"/>
        </w:rPr>
        <w:t xml:space="preserve">economic reform </w:t>
      </w:r>
      <w:r w:rsidR="00634F4C" w:rsidRPr="000F2E9A">
        <w:rPr>
          <w:b/>
          <w:bCs/>
          <w:lang w:val="en-GB"/>
        </w:rPr>
        <w:t xml:space="preserve">policies and adjustment measures agreed between Greece and </w:t>
      </w:r>
      <w:r w:rsidR="00DD1D36" w:rsidRPr="000F2E9A">
        <w:rPr>
          <w:b/>
          <w:bCs/>
          <w:lang w:val="en-GB"/>
        </w:rPr>
        <w:t xml:space="preserve">the institutions </w:t>
      </w:r>
      <w:r w:rsidR="00634F4C" w:rsidRPr="000F2E9A">
        <w:rPr>
          <w:b/>
          <w:bCs/>
          <w:lang w:val="en-GB"/>
        </w:rPr>
        <w:t xml:space="preserve">to ensure that </w:t>
      </w:r>
      <w:r w:rsidR="00ED0E57" w:rsidRPr="000F2E9A">
        <w:rPr>
          <w:b/>
          <w:bCs/>
          <w:lang w:val="en-GB"/>
        </w:rPr>
        <w:t xml:space="preserve">they </w:t>
      </w:r>
      <w:r w:rsidR="00634F4C" w:rsidRPr="000F2E9A">
        <w:rPr>
          <w:b/>
          <w:bCs/>
          <w:lang w:val="en-GB"/>
        </w:rPr>
        <w:t xml:space="preserve">do </w:t>
      </w:r>
      <w:r w:rsidR="00010AF4" w:rsidRPr="000F2E9A">
        <w:rPr>
          <w:b/>
          <w:bCs/>
          <w:lang w:val="en-GB"/>
        </w:rPr>
        <w:t xml:space="preserve">not undermine the </w:t>
      </w:r>
      <w:r w:rsidR="00634F4C" w:rsidRPr="000F2E9A">
        <w:rPr>
          <w:b/>
          <w:bCs/>
          <w:lang w:val="en-GB"/>
        </w:rPr>
        <w:t xml:space="preserve">progressive </w:t>
      </w:r>
      <w:r w:rsidR="00010AF4" w:rsidRPr="000F2E9A">
        <w:rPr>
          <w:b/>
          <w:bCs/>
          <w:lang w:val="en-GB"/>
        </w:rPr>
        <w:t>realization of economic, social and cultural rights</w:t>
      </w:r>
      <w:r w:rsidR="005A1367" w:rsidRPr="000F2E9A">
        <w:rPr>
          <w:b/>
          <w:bCs/>
          <w:lang w:val="en-GB"/>
        </w:rPr>
        <w:t xml:space="preserve">, giving </w:t>
      </w:r>
      <w:r w:rsidR="00634F4C" w:rsidRPr="000F2E9A">
        <w:rPr>
          <w:b/>
          <w:bCs/>
          <w:lang w:val="en-GB"/>
        </w:rPr>
        <w:t>priority to</w:t>
      </w:r>
      <w:r w:rsidR="00010AF4" w:rsidRPr="000F2E9A">
        <w:rPr>
          <w:b/>
          <w:bCs/>
          <w:lang w:val="en-GB"/>
        </w:rPr>
        <w:t xml:space="preserve"> </w:t>
      </w:r>
      <w:r w:rsidR="00634F4C" w:rsidRPr="000F2E9A">
        <w:rPr>
          <w:b/>
          <w:bCs/>
          <w:lang w:val="en-GB"/>
        </w:rPr>
        <w:t xml:space="preserve">safeguard </w:t>
      </w:r>
      <w:r w:rsidR="00ED0E57" w:rsidRPr="000F2E9A">
        <w:rPr>
          <w:b/>
          <w:bCs/>
          <w:lang w:val="en-GB"/>
        </w:rPr>
        <w:t xml:space="preserve">the enjoyment of </w:t>
      </w:r>
      <w:r w:rsidR="00010AF4" w:rsidRPr="000F2E9A">
        <w:rPr>
          <w:b/>
          <w:bCs/>
          <w:lang w:val="en-GB"/>
        </w:rPr>
        <w:t>minimum essential levels of economic and social rights</w:t>
      </w:r>
      <w:r w:rsidR="00634F4C" w:rsidRPr="000F2E9A">
        <w:rPr>
          <w:b/>
          <w:bCs/>
          <w:lang w:val="en-GB"/>
        </w:rPr>
        <w:t xml:space="preserve"> </w:t>
      </w:r>
      <w:r w:rsidR="00ED0E57" w:rsidRPr="000F2E9A">
        <w:rPr>
          <w:b/>
          <w:bCs/>
          <w:lang w:val="en-GB"/>
        </w:rPr>
        <w:t>by</w:t>
      </w:r>
      <w:r w:rsidR="00634F4C" w:rsidRPr="000F2E9A">
        <w:rPr>
          <w:b/>
          <w:bCs/>
          <w:lang w:val="en-GB"/>
        </w:rPr>
        <w:t xml:space="preserve"> </w:t>
      </w:r>
      <w:r w:rsidR="005A1367" w:rsidRPr="000F2E9A">
        <w:rPr>
          <w:b/>
          <w:bCs/>
          <w:lang w:val="en-GB"/>
        </w:rPr>
        <w:t xml:space="preserve">all </w:t>
      </w:r>
      <w:r w:rsidR="00634F4C" w:rsidRPr="000F2E9A">
        <w:rPr>
          <w:b/>
          <w:bCs/>
          <w:lang w:val="en-GB"/>
        </w:rPr>
        <w:t>individuals in situation of vulnerability</w:t>
      </w:r>
      <w:r w:rsidR="005A1367" w:rsidRPr="000F2E9A">
        <w:rPr>
          <w:b/>
          <w:bCs/>
          <w:lang w:val="en-GB"/>
        </w:rPr>
        <w:t xml:space="preserve"> within Greece</w:t>
      </w:r>
      <w:r w:rsidR="005259B9" w:rsidRPr="000F2E9A">
        <w:rPr>
          <w:b/>
          <w:bCs/>
          <w:lang w:val="en-GB"/>
        </w:rPr>
        <w:t>;</w:t>
      </w:r>
    </w:p>
    <w:p w:rsidR="003300BE" w:rsidRPr="000F2E9A" w:rsidRDefault="005573E4" w:rsidP="005573E4">
      <w:pPr>
        <w:pStyle w:val="SingleTxtG"/>
        <w:rPr>
          <w:b/>
          <w:lang w:val="en-GB"/>
        </w:rPr>
      </w:pPr>
      <w:r w:rsidRPr="005573E4">
        <w:rPr>
          <w:bCs/>
          <w:lang w:val="en-GB"/>
        </w:rPr>
        <w:t>84.</w:t>
      </w:r>
      <w:r w:rsidRPr="005573E4">
        <w:rPr>
          <w:bCs/>
          <w:lang w:val="en-GB"/>
        </w:rPr>
        <w:tab/>
      </w:r>
      <w:r w:rsidR="00010AF4" w:rsidRPr="000F2E9A">
        <w:rPr>
          <w:b/>
          <w:bCs/>
          <w:lang w:val="en-GB"/>
        </w:rPr>
        <w:t>P</w:t>
      </w:r>
      <w:r w:rsidR="009271C6" w:rsidRPr="000F2E9A">
        <w:rPr>
          <w:b/>
          <w:bCs/>
          <w:lang w:val="en-GB"/>
        </w:rPr>
        <w:t>ostpon</w:t>
      </w:r>
      <w:r w:rsidR="00010AF4" w:rsidRPr="000F2E9A">
        <w:rPr>
          <w:b/>
          <w:bCs/>
          <w:lang w:val="en-GB"/>
        </w:rPr>
        <w:t>e</w:t>
      </w:r>
      <w:r w:rsidR="009271C6" w:rsidRPr="000F2E9A">
        <w:rPr>
          <w:b/>
          <w:bCs/>
          <w:lang w:val="en-GB"/>
        </w:rPr>
        <w:t xml:space="preserve"> reductions </w:t>
      </w:r>
      <w:r w:rsidR="00FB4F23" w:rsidRPr="000F2E9A">
        <w:rPr>
          <w:b/>
          <w:bCs/>
          <w:lang w:val="en-GB"/>
        </w:rPr>
        <w:t xml:space="preserve">of </w:t>
      </w:r>
      <w:r w:rsidR="009271C6" w:rsidRPr="000F2E9A">
        <w:rPr>
          <w:b/>
          <w:bCs/>
          <w:lang w:val="en-GB"/>
        </w:rPr>
        <w:t xml:space="preserve">social welfare </w:t>
      </w:r>
      <w:r w:rsidR="00FB4F23" w:rsidRPr="000F2E9A">
        <w:rPr>
          <w:b/>
          <w:bCs/>
          <w:lang w:val="en-GB"/>
        </w:rPr>
        <w:t xml:space="preserve">expenditure </w:t>
      </w:r>
      <w:r w:rsidR="001859E5" w:rsidRPr="000F2E9A">
        <w:rPr>
          <w:b/>
          <w:bCs/>
          <w:lang w:val="en-GB"/>
        </w:rPr>
        <w:t xml:space="preserve">foreseen </w:t>
      </w:r>
      <w:r w:rsidR="00FB4F23" w:rsidRPr="000F2E9A">
        <w:rPr>
          <w:b/>
          <w:bCs/>
          <w:lang w:val="en-GB"/>
        </w:rPr>
        <w:t xml:space="preserve">in the </w:t>
      </w:r>
      <w:r w:rsidR="003300BE" w:rsidRPr="000F2E9A">
        <w:rPr>
          <w:b/>
          <w:bCs/>
          <w:lang w:val="en-GB"/>
        </w:rPr>
        <w:t xml:space="preserve">latest </w:t>
      </w:r>
      <w:r w:rsidR="00FB4F23" w:rsidRPr="000F2E9A">
        <w:rPr>
          <w:b/>
          <w:bCs/>
          <w:lang w:val="en-GB"/>
        </w:rPr>
        <w:t xml:space="preserve">Memorandum of Understanding </w:t>
      </w:r>
      <w:r w:rsidR="009271C6" w:rsidRPr="000F2E9A">
        <w:rPr>
          <w:b/>
          <w:bCs/>
          <w:lang w:val="en-GB"/>
        </w:rPr>
        <w:t>until</w:t>
      </w:r>
      <w:r w:rsidR="00017C92" w:rsidRPr="000F2E9A">
        <w:rPr>
          <w:b/>
          <w:bCs/>
          <w:lang w:val="en-GB"/>
        </w:rPr>
        <w:t xml:space="preserve"> </w:t>
      </w:r>
      <w:r w:rsidR="005A1367" w:rsidRPr="000F2E9A">
        <w:rPr>
          <w:b/>
          <w:bCs/>
          <w:lang w:val="en-GB"/>
        </w:rPr>
        <w:t xml:space="preserve">post-crisis economic recovery and </w:t>
      </w:r>
      <w:r w:rsidR="003770EE" w:rsidRPr="000F2E9A">
        <w:rPr>
          <w:b/>
          <w:bCs/>
          <w:lang w:val="en-GB"/>
        </w:rPr>
        <w:t xml:space="preserve">a </w:t>
      </w:r>
      <w:r w:rsidR="00010AF4" w:rsidRPr="000F2E9A">
        <w:rPr>
          <w:b/>
          <w:bCs/>
          <w:lang w:val="en-GB"/>
        </w:rPr>
        <w:t xml:space="preserve">reduction of </w:t>
      </w:r>
      <w:r w:rsidR="009271C6" w:rsidRPr="000F2E9A">
        <w:rPr>
          <w:b/>
          <w:bCs/>
          <w:lang w:val="en-GB"/>
        </w:rPr>
        <w:t xml:space="preserve">unemployment, poverty </w:t>
      </w:r>
      <w:r w:rsidR="003300BE" w:rsidRPr="000F2E9A">
        <w:rPr>
          <w:b/>
          <w:bCs/>
          <w:lang w:val="en-GB"/>
        </w:rPr>
        <w:t>and</w:t>
      </w:r>
      <w:r w:rsidR="00010AF4" w:rsidRPr="000F2E9A">
        <w:rPr>
          <w:b/>
          <w:bCs/>
          <w:lang w:val="en-GB"/>
        </w:rPr>
        <w:t xml:space="preserve"> </w:t>
      </w:r>
      <w:r w:rsidR="003300BE" w:rsidRPr="000F2E9A">
        <w:rPr>
          <w:b/>
          <w:bCs/>
          <w:lang w:val="en-GB"/>
        </w:rPr>
        <w:t xml:space="preserve">severe </w:t>
      </w:r>
      <w:r w:rsidR="009271C6" w:rsidRPr="000F2E9A">
        <w:rPr>
          <w:b/>
          <w:bCs/>
          <w:lang w:val="en-GB"/>
        </w:rPr>
        <w:t xml:space="preserve">material deprivation </w:t>
      </w:r>
      <w:r w:rsidR="00FB4F23" w:rsidRPr="000F2E9A">
        <w:rPr>
          <w:b/>
          <w:bCs/>
          <w:lang w:val="en-GB"/>
        </w:rPr>
        <w:t xml:space="preserve">would </w:t>
      </w:r>
      <w:r w:rsidR="003770EE" w:rsidRPr="000F2E9A">
        <w:rPr>
          <w:b/>
          <w:bCs/>
          <w:lang w:val="en-GB"/>
        </w:rPr>
        <w:t>likely</w:t>
      </w:r>
      <w:r w:rsidR="00DD1D36" w:rsidRPr="000F2E9A">
        <w:rPr>
          <w:b/>
          <w:bCs/>
          <w:lang w:val="en-GB"/>
        </w:rPr>
        <w:t xml:space="preserve"> </w:t>
      </w:r>
      <w:r w:rsidR="00634F4C" w:rsidRPr="000F2E9A">
        <w:rPr>
          <w:b/>
          <w:bCs/>
          <w:lang w:val="en-GB"/>
        </w:rPr>
        <w:t xml:space="preserve">enable </w:t>
      </w:r>
      <w:r w:rsidR="003300BE" w:rsidRPr="000F2E9A">
        <w:rPr>
          <w:b/>
          <w:bCs/>
          <w:lang w:val="en-GB"/>
        </w:rPr>
        <w:t xml:space="preserve">implementation </w:t>
      </w:r>
      <w:r w:rsidR="00ED0E57" w:rsidRPr="000F2E9A">
        <w:rPr>
          <w:b/>
          <w:bCs/>
          <w:lang w:val="en-GB"/>
        </w:rPr>
        <w:t xml:space="preserve">of </w:t>
      </w:r>
      <w:r w:rsidR="00DD1D36" w:rsidRPr="000F2E9A">
        <w:rPr>
          <w:b/>
          <w:bCs/>
          <w:lang w:val="en-GB"/>
        </w:rPr>
        <w:t xml:space="preserve">such </w:t>
      </w:r>
      <w:r w:rsidR="003300BE" w:rsidRPr="000F2E9A">
        <w:rPr>
          <w:b/>
          <w:bCs/>
          <w:lang w:val="en-GB"/>
        </w:rPr>
        <w:t>cost saving measures without undermining the enjoyment of core</w:t>
      </w:r>
      <w:r w:rsidR="005A1367" w:rsidRPr="000F2E9A">
        <w:rPr>
          <w:b/>
          <w:bCs/>
          <w:lang w:val="en-GB"/>
        </w:rPr>
        <w:t xml:space="preserve"> social, economic and cultural rights;</w:t>
      </w:r>
    </w:p>
    <w:p w:rsidR="003770EE" w:rsidRPr="000F2E9A" w:rsidRDefault="005573E4" w:rsidP="005573E4">
      <w:pPr>
        <w:pStyle w:val="SingleTxtG"/>
        <w:rPr>
          <w:b/>
          <w:lang w:val="en-GB"/>
        </w:rPr>
      </w:pPr>
      <w:r w:rsidRPr="005573E4">
        <w:rPr>
          <w:bCs/>
          <w:lang w:val="en-GB"/>
        </w:rPr>
        <w:t>85.</w:t>
      </w:r>
      <w:r w:rsidRPr="005573E4">
        <w:rPr>
          <w:bCs/>
          <w:lang w:val="en-GB"/>
        </w:rPr>
        <w:tab/>
      </w:r>
      <w:r w:rsidR="003770EE" w:rsidRPr="000F2E9A">
        <w:rPr>
          <w:b/>
          <w:lang w:val="en-GB"/>
        </w:rPr>
        <w:t>Enlarge extremely limited tax funded schemes to support more unemployed workers in low-income households, including by increased support to affected individuals through the European Social Fund (ESF);</w:t>
      </w:r>
    </w:p>
    <w:p w:rsidR="002C6F67" w:rsidRPr="000F2E9A" w:rsidRDefault="002C6F67" w:rsidP="009C59C5">
      <w:pPr>
        <w:pStyle w:val="H1G"/>
        <w:rPr>
          <w:lang w:val="en-GB" w:eastAsia="en-GB"/>
        </w:rPr>
      </w:pPr>
      <w:r w:rsidRPr="000F2E9A">
        <w:rPr>
          <w:lang w:val="en-GB" w:eastAsia="en-GB"/>
        </w:rPr>
        <w:tab/>
        <w:t>B</w:t>
      </w:r>
      <w:r w:rsidRPr="000F2E9A">
        <w:rPr>
          <w:lang w:val="en-GB" w:eastAsia="en-GB"/>
        </w:rPr>
        <w:tab/>
        <w:t xml:space="preserve">Recommendations </w:t>
      </w:r>
      <w:r w:rsidR="009C59C5">
        <w:rPr>
          <w:lang w:val="en-GB" w:eastAsia="en-GB"/>
        </w:rPr>
        <w:t>to the Government of Greece</w:t>
      </w:r>
    </w:p>
    <w:p w:rsidR="003770EE" w:rsidRPr="000F2E9A" w:rsidRDefault="005573E4" w:rsidP="005573E4">
      <w:pPr>
        <w:pStyle w:val="SingleTxtG"/>
        <w:rPr>
          <w:b/>
          <w:bCs/>
          <w:lang w:val="en-GB"/>
        </w:rPr>
      </w:pPr>
      <w:r w:rsidRPr="005573E4">
        <w:rPr>
          <w:lang w:val="en-GB"/>
        </w:rPr>
        <w:t>86.</w:t>
      </w:r>
      <w:r w:rsidRPr="005573E4">
        <w:rPr>
          <w:lang w:val="en-GB"/>
        </w:rPr>
        <w:tab/>
      </w:r>
      <w:r w:rsidR="003770EE" w:rsidRPr="000F2E9A">
        <w:rPr>
          <w:b/>
          <w:bCs/>
          <w:lang w:val="en-GB"/>
        </w:rPr>
        <w:t>Implement the structural adjustment programme outlined in the Memorandum of Understanding with due respect for human rights, taking fully into account judgements and decisions by national and international courts and human rights bodies and recommendations by the Greek National Commission for Human Rights as well by European and international human rights bodies;</w:t>
      </w:r>
    </w:p>
    <w:p w:rsidR="00C9659F" w:rsidRPr="000F2E9A" w:rsidRDefault="005573E4" w:rsidP="005573E4">
      <w:pPr>
        <w:pStyle w:val="SingleTxtG"/>
        <w:rPr>
          <w:b/>
          <w:bCs/>
          <w:lang w:val="en-GB"/>
        </w:rPr>
      </w:pPr>
      <w:r w:rsidRPr="005573E4">
        <w:rPr>
          <w:lang w:val="en-GB"/>
        </w:rPr>
        <w:t>87.</w:t>
      </w:r>
      <w:r w:rsidRPr="005573E4">
        <w:rPr>
          <w:lang w:val="en-GB"/>
        </w:rPr>
        <w:tab/>
      </w:r>
      <w:r w:rsidR="00C9659F" w:rsidRPr="000F2E9A">
        <w:rPr>
          <w:b/>
          <w:bCs/>
          <w:lang w:val="en-GB"/>
        </w:rPr>
        <w:t xml:space="preserve">Ensure national ownership of reform measures through public consultation, social dialogue and by implementing structural reforms with full respect to </w:t>
      </w:r>
      <w:r w:rsidR="008C6A4D" w:rsidRPr="000F2E9A">
        <w:rPr>
          <w:b/>
          <w:bCs/>
          <w:lang w:val="en-GB"/>
        </w:rPr>
        <w:t xml:space="preserve">the right to </w:t>
      </w:r>
      <w:r w:rsidR="0079397B">
        <w:rPr>
          <w:b/>
          <w:bCs/>
          <w:lang w:val="en-GB"/>
        </w:rPr>
        <w:t>participation;</w:t>
      </w:r>
    </w:p>
    <w:p w:rsidR="00104F4C" w:rsidRPr="000F2E9A" w:rsidRDefault="005573E4" w:rsidP="005573E4">
      <w:pPr>
        <w:pStyle w:val="SingleTxtG"/>
        <w:rPr>
          <w:b/>
          <w:bCs/>
          <w:lang w:val="en-GB"/>
        </w:rPr>
      </w:pPr>
      <w:r w:rsidRPr="005573E4">
        <w:rPr>
          <w:lang w:val="en-GB"/>
        </w:rPr>
        <w:t>88.</w:t>
      </w:r>
      <w:r w:rsidRPr="005573E4">
        <w:rPr>
          <w:lang w:val="en-GB"/>
        </w:rPr>
        <w:tab/>
      </w:r>
      <w:r w:rsidR="005A72AF" w:rsidRPr="000F2E9A">
        <w:rPr>
          <w:b/>
          <w:bCs/>
          <w:lang w:val="en-GB"/>
        </w:rPr>
        <w:t>R</w:t>
      </w:r>
      <w:r w:rsidR="00104F4C" w:rsidRPr="000F2E9A">
        <w:rPr>
          <w:b/>
          <w:bCs/>
          <w:lang w:val="en-GB"/>
        </w:rPr>
        <w:t xml:space="preserve">eform the existing system of social security into a modern social welfare system that is just, efficient, sufficiently funded, targeted to those in need, and protecting core social, economic and cultural rights in a comprehensive and non-discriminatory manner </w:t>
      </w:r>
      <w:r w:rsidR="008C6A4D" w:rsidRPr="000F2E9A">
        <w:rPr>
          <w:b/>
          <w:bCs/>
          <w:lang w:val="en-GB"/>
        </w:rPr>
        <w:t xml:space="preserve">as set out in </w:t>
      </w:r>
      <w:r w:rsidR="005A72AF" w:rsidRPr="000F2E9A">
        <w:rPr>
          <w:b/>
          <w:bCs/>
          <w:lang w:val="en-GB"/>
        </w:rPr>
        <w:t xml:space="preserve">the </w:t>
      </w:r>
      <w:r w:rsidR="00104F4C" w:rsidRPr="000F2E9A">
        <w:rPr>
          <w:b/>
          <w:bCs/>
          <w:lang w:val="en-GB"/>
        </w:rPr>
        <w:t>ILO Social Protection Floors Recommendation 2012 (No. 202)</w:t>
      </w:r>
      <w:r w:rsidR="005A72AF" w:rsidRPr="000F2E9A">
        <w:rPr>
          <w:b/>
          <w:bCs/>
          <w:lang w:val="en-GB"/>
        </w:rPr>
        <w:t>;</w:t>
      </w:r>
    </w:p>
    <w:p w:rsidR="003770EE" w:rsidRPr="000F2E9A" w:rsidRDefault="005573E4" w:rsidP="005573E4">
      <w:pPr>
        <w:pStyle w:val="SingleTxtG"/>
        <w:rPr>
          <w:b/>
          <w:lang w:val="en-GB"/>
        </w:rPr>
      </w:pPr>
      <w:r w:rsidRPr="005573E4">
        <w:rPr>
          <w:bCs/>
          <w:lang w:val="en-GB"/>
        </w:rPr>
        <w:t>89.</w:t>
      </w:r>
      <w:r w:rsidRPr="005573E4">
        <w:rPr>
          <w:bCs/>
          <w:lang w:val="en-GB"/>
        </w:rPr>
        <w:tab/>
      </w:r>
      <w:r w:rsidR="00FB4F23" w:rsidRPr="000F2E9A">
        <w:rPr>
          <w:b/>
          <w:bCs/>
          <w:lang w:val="en-GB"/>
        </w:rPr>
        <w:t xml:space="preserve">Reform the pension system on the principle of inter-generational solidarity with a view to make it financially sustainable and </w:t>
      </w:r>
      <w:r w:rsidR="00104F4C" w:rsidRPr="000F2E9A">
        <w:rPr>
          <w:b/>
          <w:bCs/>
          <w:lang w:val="en-GB"/>
        </w:rPr>
        <w:t xml:space="preserve">to </w:t>
      </w:r>
      <w:r w:rsidR="007D5D5B" w:rsidRPr="000F2E9A">
        <w:rPr>
          <w:b/>
          <w:bCs/>
          <w:lang w:val="en-GB"/>
        </w:rPr>
        <w:t xml:space="preserve">ensure </w:t>
      </w:r>
      <w:r w:rsidR="00FB4F23" w:rsidRPr="000F2E9A">
        <w:rPr>
          <w:b/>
          <w:bCs/>
          <w:lang w:val="en-GB"/>
        </w:rPr>
        <w:t>protect</w:t>
      </w:r>
      <w:r w:rsidR="007D5D5B" w:rsidRPr="000F2E9A">
        <w:rPr>
          <w:b/>
          <w:bCs/>
          <w:lang w:val="en-GB"/>
        </w:rPr>
        <w:t xml:space="preserve">ion of </w:t>
      </w:r>
      <w:r w:rsidR="00FB4F23" w:rsidRPr="000F2E9A">
        <w:rPr>
          <w:b/>
          <w:bCs/>
          <w:lang w:val="en-GB"/>
        </w:rPr>
        <w:t>older persons from poverty. In this regard, the Government should consider introducing a tax funded</w:t>
      </w:r>
      <w:r w:rsidR="00FB4F23" w:rsidRPr="000F2E9A">
        <w:rPr>
          <w:b/>
          <w:lang w:val="en-GB"/>
        </w:rPr>
        <w:t xml:space="preserve"> basic pension ensuring for all older persons above minimum income levels that will be topped by a contributi</w:t>
      </w:r>
      <w:r w:rsidR="005A72AF" w:rsidRPr="000F2E9A">
        <w:rPr>
          <w:b/>
          <w:lang w:val="en-GB"/>
        </w:rPr>
        <w:t>on related proportional pension;</w:t>
      </w:r>
    </w:p>
    <w:p w:rsidR="006F69FB" w:rsidRPr="000F2E9A" w:rsidRDefault="005573E4" w:rsidP="005573E4">
      <w:pPr>
        <w:pStyle w:val="SingleTxtG"/>
        <w:rPr>
          <w:b/>
          <w:bCs/>
          <w:lang w:val="en-GB"/>
        </w:rPr>
      </w:pPr>
      <w:r w:rsidRPr="005573E4">
        <w:rPr>
          <w:lang w:val="en-GB"/>
        </w:rPr>
        <w:lastRenderedPageBreak/>
        <w:t>90.</w:t>
      </w:r>
      <w:r w:rsidRPr="005573E4">
        <w:rPr>
          <w:lang w:val="en-GB"/>
        </w:rPr>
        <w:tab/>
      </w:r>
      <w:r w:rsidR="003770EE" w:rsidRPr="000F2E9A">
        <w:rPr>
          <w:b/>
          <w:bCs/>
          <w:lang w:val="en-GB"/>
        </w:rPr>
        <w:t xml:space="preserve">Urgently close gaps in the social welfare net by redirecting benefits to individuals belonging to most disadvantaged and marginalised groups who are currently inadequately covered. If </w:t>
      </w:r>
      <w:r w:rsidR="005A72AF" w:rsidRPr="000F2E9A">
        <w:rPr>
          <w:b/>
          <w:bCs/>
          <w:lang w:val="en-GB"/>
        </w:rPr>
        <w:t>necessary,</w:t>
      </w:r>
      <w:r w:rsidR="003770EE" w:rsidRPr="000F2E9A">
        <w:rPr>
          <w:b/>
          <w:bCs/>
          <w:lang w:val="en-GB"/>
        </w:rPr>
        <w:t xml:space="preserve"> temporary increase of social welfare expenditure to ensure sufficient levels and reach of benefits</w:t>
      </w:r>
      <w:r w:rsidR="006F69FB" w:rsidRPr="000F2E9A">
        <w:rPr>
          <w:b/>
          <w:bCs/>
          <w:lang w:val="en-GB"/>
        </w:rPr>
        <w:t xml:space="preserve"> to guarantee income security for all individuals</w:t>
      </w:r>
      <w:r w:rsidR="00C9659F" w:rsidRPr="000F2E9A">
        <w:rPr>
          <w:b/>
          <w:bCs/>
          <w:lang w:val="en-GB"/>
        </w:rPr>
        <w:t>,</w:t>
      </w:r>
      <w:r w:rsidR="006F69FB" w:rsidRPr="000F2E9A">
        <w:rPr>
          <w:b/>
          <w:bCs/>
          <w:lang w:val="en-GB"/>
        </w:rPr>
        <w:t xml:space="preserve"> including access to essential goods and services meeting the criteria of availability, accessibility, acceptability and qualit</w:t>
      </w:r>
      <w:r w:rsidR="005A72AF" w:rsidRPr="000F2E9A">
        <w:rPr>
          <w:b/>
          <w:bCs/>
          <w:lang w:val="en-GB"/>
        </w:rPr>
        <w:t>y. In this context the Government should roll-out as quickly as reasonable possible a nationwide means-tested Guaranteed-Minimum-Income scheme</w:t>
      </w:r>
      <w:r w:rsidR="00C9659F" w:rsidRPr="000F2E9A">
        <w:rPr>
          <w:b/>
          <w:bCs/>
          <w:lang w:val="en-GB"/>
        </w:rPr>
        <w:t>;</w:t>
      </w:r>
    </w:p>
    <w:p w:rsidR="006F69FB" w:rsidRPr="000F2E9A" w:rsidRDefault="005573E4" w:rsidP="005573E4">
      <w:pPr>
        <w:pStyle w:val="SingleTxtG"/>
        <w:rPr>
          <w:b/>
          <w:bCs/>
          <w:lang w:val="en-GB"/>
        </w:rPr>
      </w:pPr>
      <w:r w:rsidRPr="005573E4">
        <w:rPr>
          <w:lang w:val="en-GB"/>
        </w:rPr>
        <w:t>91.</w:t>
      </w:r>
      <w:r w:rsidRPr="005573E4">
        <w:rPr>
          <w:lang w:val="en-GB"/>
        </w:rPr>
        <w:tab/>
      </w:r>
      <w:r w:rsidR="005A72AF" w:rsidRPr="000F2E9A">
        <w:rPr>
          <w:b/>
          <w:bCs/>
          <w:lang w:val="en-GB"/>
        </w:rPr>
        <w:t>E</w:t>
      </w:r>
      <w:r w:rsidR="006F69FB" w:rsidRPr="000F2E9A">
        <w:rPr>
          <w:b/>
          <w:bCs/>
          <w:lang w:val="en-GB"/>
        </w:rPr>
        <w:t>xpand the coverage of unemployment benefits by ensuring that the unemployed receive benefits for up to 24 months;</w:t>
      </w:r>
    </w:p>
    <w:p w:rsidR="007D5D5B" w:rsidRPr="000F2E9A" w:rsidRDefault="005573E4" w:rsidP="005573E4">
      <w:pPr>
        <w:pStyle w:val="SingleTxtG"/>
        <w:rPr>
          <w:b/>
          <w:bCs/>
          <w:lang w:val="en-GB"/>
        </w:rPr>
      </w:pPr>
      <w:r w:rsidRPr="005573E4">
        <w:rPr>
          <w:lang w:val="en-GB"/>
        </w:rPr>
        <w:t>92.</w:t>
      </w:r>
      <w:r w:rsidRPr="005573E4">
        <w:rPr>
          <w:lang w:val="en-GB"/>
        </w:rPr>
        <w:tab/>
      </w:r>
      <w:r w:rsidR="007D5D5B" w:rsidRPr="000F2E9A">
        <w:rPr>
          <w:b/>
          <w:bCs/>
          <w:lang w:val="en-GB"/>
        </w:rPr>
        <w:t>Introduce a means-tested housing benefit, for all low-income households s</w:t>
      </w:r>
      <w:r w:rsidR="005A72AF" w:rsidRPr="000F2E9A">
        <w:rPr>
          <w:b/>
          <w:bCs/>
          <w:lang w:val="en-GB"/>
        </w:rPr>
        <w:t>truggling to meet housing costs;</w:t>
      </w:r>
    </w:p>
    <w:p w:rsidR="00C9659F" w:rsidRPr="000F2E9A" w:rsidRDefault="005573E4" w:rsidP="005573E4">
      <w:pPr>
        <w:pStyle w:val="SingleTxtG"/>
        <w:rPr>
          <w:b/>
          <w:bCs/>
          <w:lang w:val="en-GB"/>
        </w:rPr>
      </w:pPr>
      <w:r w:rsidRPr="005573E4">
        <w:rPr>
          <w:lang w:val="en-GB"/>
        </w:rPr>
        <w:t>93.</w:t>
      </w:r>
      <w:r w:rsidRPr="005573E4">
        <w:rPr>
          <w:lang w:val="en-GB"/>
        </w:rPr>
        <w:tab/>
      </w:r>
      <w:r w:rsidR="00C9659F" w:rsidRPr="000F2E9A">
        <w:rPr>
          <w:b/>
          <w:bCs/>
          <w:lang w:val="en-GB"/>
        </w:rPr>
        <w:t>Protect low-income households unable to serve their mortgages from foreclosures and expand programmes combatting homelessness;</w:t>
      </w:r>
    </w:p>
    <w:p w:rsidR="003770EE" w:rsidRPr="000F2E9A" w:rsidRDefault="005573E4" w:rsidP="005573E4">
      <w:pPr>
        <w:pStyle w:val="SingleTxtG"/>
        <w:rPr>
          <w:b/>
          <w:bCs/>
          <w:lang w:val="en-GB"/>
        </w:rPr>
      </w:pPr>
      <w:r w:rsidRPr="005573E4">
        <w:rPr>
          <w:lang w:val="en-GB"/>
        </w:rPr>
        <w:t>94.</w:t>
      </w:r>
      <w:r w:rsidRPr="005573E4">
        <w:rPr>
          <w:lang w:val="en-GB"/>
        </w:rPr>
        <w:tab/>
      </w:r>
      <w:r w:rsidR="008C6A4D" w:rsidRPr="000F2E9A">
        <w:rPr>
          <w:b/>
          <w:bCs/>
          <w:lang w:val="en-GB"/>
        </w:rPr>
        <w:t>M</w:t>
      </w:r>
      <w:r w:rsidR="003770EE" w:rsidRPr="000F2E9A">
        <w:rPr>
          <w:b/>
          <w:bCs/>
          <w:lang w:val="en-GB"/>
        </w:rPr>
        <w:t>ake a basic package of health care services, including out-patient services, hospitalization and medicines available to all, irrespective of social insurance affiliati</w:t>
      </w:r>
      <w:r w:rsidR="005A72AF" w:rsidRPr="000F2E9A">
        <w:rPr>
          <w:b/>
          <w:bCs/>
          <w:lang w:val="en-GB"/>
        </w:rPr>
        <w:t>on, at zero or near-zero cost</w:t>
      </w:r>
      <w:r w:rsidR="002A0E95" w:rsidRPr="000F2E9A">
        <w:rPr>
          <w:b/>
          <w:bCs/>
          <w:lang w:val="en-GB"/>
        </w:rPr>
        <w:t xml:space="preserve"> as envisaged by most recent legislation (Law 4368/2016)</w:t>
      </w:r>
      <w:r w:rsidR="005A72AF" w:rsidRPr="000F2E9A">
        <w:rPr>
          <w:b/>
          <w:bCs/>
          <w:lang w:val="en-GB"/>
        </w:rPr>
        <w:t>;</w:t>
      </w:r>
    </w:p>
    <w:p w:rsidR="005A72AF" w:rsidRPr="000F2E9A" w:rsidRDefault="005573E4" w:rsidP="005573E4">
      <w:pPr>
        <w:pStyle w:val="SingleTxtG"/>
        <w:rPr>
          <w:b/>
          <w:bCs/>
          <w:lang w:val="en-GB"/>
        </w:rPr>
      </w:pPr>
      <w:r w:rsidRPr="005573E4">
        <w:rPr>
          <w:lang w:val="en-GB"/>
        </w:rPr>
        <w:t>95.</w:t>
      </w:r>
      <w:r w:rsidRPr="005573E4">
        <w:rPr>
          <w:lang w:val="en-GB"/>
        </w:rPr>
        <w:tab/>
      </w:r>
      <w:r w:rsidR="005A72AF" w:rsidRPr="000F2E9A">
        <w:rPr>
          <w:b/>
          <w:bCs/>
          <w:lang w:val="en-GB"/>
        </w:rPr>
        <w:t xml:space="preserve">Ensure that over-indebted persons, including persons with debt to tax authorities or social security funds are not excluded from receiving essential social </w:t>
      </w:r>
      <w:r w:rsidR="00C9659F" w:rsidRPr="000F2E9A">
        <w:rPr>
          <w:b/>
          <w:bCs/>
          <w:lang w:val="en-GB"/>
        </w:rPr>
        <w:t xml:space="preserve">security </w:t>
      </w:r>
      <w:r w:rsidR="005A72AF" w:rsidRPr="000F2E9A">
        <w:rPr>
          <w:b/>
          <w:bCs/>
          <w:lang w:val="en-GB"/>
        </w:rPr>
        <w:t>benefits;</w:t>
      </w:r>
    </w:p>
    <w:p w:rsidR="005A72AF" w:rsidRPr="000F2E9A" w:rsidRDefault="005573E4" w:rsidP="005573E4">
      <w:pPr>
        <w:pStyle w:val="SingleTxtG"/>
        <w:rPr>
          <w:b/>
          <w:bCs/>
          <w:lang w:val="en-GB"/>
        </w:rPr>
      </w:pPr>
      <w:r w:rsidRPr="005573E4">
        <w:rPr>
          <w:lang w:val="en-GB"/>
        </w:rPr>
        <w:t>96.</w:t>
      </w:r>
      <w:r w:rsidRPr="005573E4">
        <w:rPr>
          <w:lang w:val="en-GB"/>
        </w:rPr>
        <w:tab/>
      </w:r>
      <w:r w:rsidR="00C9659F" w:rsidRPr="000F2E9A">
        <w:rPr>
          <w:b/>
          <w:bCs/>
          <w:lang w:val="en-GB"/>
        </w:rPr>
        <w:t>S</w:t>
      </w:r>
      <w:r w:rsidR="005A72AF" w:rsidRPr="000F2E9A">
        <w:rPr>
          <w:b/>
          <w:bCs/>
          <w:lang w:val="en-GB"/>
        </w:rPr>
        <w:t>trengthen access to justice of persons in situation of vulnerability including through making legal aid more broadly accessible for persons that do not have sufficient means;</w:t>
      </w:r>
    </w:p>
    <w:p w:rsidR="005A72AF" w:rsidRPr="000F2E9A" w:rsidRDefault="005573E4" w:rsidP="005573E4">
      <w:pPr>
        <w:pStyle w:val="SingleTxtG"/>
        <w:rPr>
          <w:b/>
          <w:bCs/>
          <w:lang w:val="en-GB"/>
        </w:rPr>
      </w:pPr>
      <w:r w:rsidRPr="005573E4">
        <w:rPr>
          <w:lang w:val="en-GB"/>
        </w:rPr>
        <w:t>97.</w:t>
      </w:r>
      <w:r w:rsidRPr="005573E4">
        <w:rPr>
          <w:lang w:val="en-GB"/>
        </w:rPr>
        <w:tab/>
      </w:r>
      <w:r w:rsidR="00C9659F" w:rsidRPr="000F2E9A">
        <w:rPr>
          <w:b/>
          <w:bCs/>
          <w:lang w:val="en-GB"/>
        </w:rPr>
        <w:t>E</w:t>
      </w:r>
      <w:r w:rsidR="005A72AF" w:rsidRPr="000F2E9A">
        <w:rPr>
          <w:b/>
          <w:bCs/>
          <w:lang w:val="en-GB"/>
        </w:rPr>
        <w:t xml:space="preserve">nsure that the Greek Ombudsman continues to receive sufficient funds </w:t>
      </w:r>
      <w:r w:rsidR="00C9659F" w:rsidRPr="000F2E9A">
        <w:rPr>
          <w:b/>
          <w:bCs/>
          <w:lang w:val="en-GB"/>
        </w:rPr>
        <w:t xml:space="preserve">and </w:t>
      </w:r>
      <w:r w:rsidR="005A72AF" w:rsidRPr="000F2E9A">
        <w:rPr>
          <w:b/>
          <w:bCs/>
          <w:lang w:val="en-GB"/>
        </w:rPr>
        <w:t>increase resources and staffing of the Greek National Commission on Human Rights</w:t>
      </w:r>
      <w:r w:rsidR="0079397B">
        <w:rPr>
          <w:b/>
          <w:bCs/>
          <w:lang w:val="en-GB"/>
        </w:rPr>
        <w:t>;</w:t>
      </w:r>
    </w:p>
    <w:p w:rsidR="003770EE" w:rsidRPr="000F2E9A" w:rsidRDefault="005573E4" w:rsidP="005573E4">
      <w:pPr>
        <w:pStyle w:val="SingleTxtG"/>
        <w:rPr>
          <w:b/>
          <w:bCs/>
          <w:lang w:val="en-GB"/>
        </w:rPr>
      </w:pPr>
      <w:r w:rsidRPr="005573E4">
        <w:rPr>
          <w:lang w:val="en-GB"/>
        </w:rPr>
        <w:t>98.</w:t>
      </w:r>
      <w:r w:rsidRPr="005573E4">
        <w:rPr>
          <w:lang w:val="en-GB"/>
        </w:rPr>
        <w:tab/>
      </w:r>
      <w:r w:rsidR="003770EE" w:rsidRPr="000F2E9A">
        <w:rPr>
          <w:b/>
          <w:bCs/>
          <w:lang w:val="en-GB"/>
        </w:rPr>
        <w:t>Continue the inquiry into the origins of the debt crisis, drawing on the work initiated by the former Truth Committee on Public Deb</w:t>
      </w:r>
      <w:r w:rsidR="005A72AF" w:rsidRPr="000F2E9A">
        <w:rPr>
          <w:b/>
          <w:bCs/>
          <w:lang w:val="en-GB"/>
        </w:rPr>
        <w:t>t</w:t>
      </w:r>
      <w:r w:rsidR="003770EE" w:rsidRPr="000F2E9A">
        <w:rPr>
          <w:b/>
          <w:bCs/>
          <w:lang w:val="en-GB"/>
        </w:rPr>
        <w:t xml:space="preserve"> </w:t>
      </w:r>
      <w:r w:rsidR="005A72AF" w:rsidRPr="000F2E9A">
        <w:rPr>
          <w:b/>
          <w:bCs/>
          <w:lang w:val="en-GB"/>
        </w:rPr>
        <w:t xml:space="preserve">with the aim to establish </w:t>
      </w:r>
      <w:r w:rsidR="003770EE" w:rsidRPr="000F2E9A">
        <w:rPr>
          <w:b/>
          <w:bCs/>
          <w:lang w:val="en-GB"/>
        </w:rPr>
        <w:t>better judicial an</w:t>
      </w:r>
      <w:r w:rsidR="005A72AF" w:rsidRPr="000F2E9A">
        <w:rPr>
          <w:b/>
          <w:bCs/>
          <w:lang w:val="en-GB"/>
        </w:rPr>
        <w:t>d administrative accountability of</w:t>
      </w:r>
      <w:r w:rsidR="003770EE" w:rsidRPr="000F2E9A">
        <w:rPr>
          <w:b/>
          <w:bCs/>
          <w:lang w:val="en-GB"/>
        </w:rPr>
        <w:t xml:space="preserve"> Government officials and decision makers in the private sector.</w:t>
      </w:r>
    </w:p>
    <w:p w:rsidR="00104F4C" w:rsidRPr="000F2E9A" w:rsidRDefault="005573E4" w:rsidP="005573E4">
      <w:pPr>
        <w:pStyle w:val="SingleTxtG"/>
        <w:rPr>
          <w:b/>
          <w:bCs/>
          <w:lang w:val="en-GB"/>
        </w:rPr>
      </w:pPr>
      <w:r w:rsidRPr="005573E4">
        <w:rPr>
          <w:lang w:val="en-GB"/>
        </w:rPr>
        <w:t>99.</w:t>
      </w:r>
      <w:r w:rsidRPr="005573E4">
        <w:rPr>
          <w:lang w:val="en-GB"/>
        </w:rPr>
        <w:tab/>
      </w:r>
      <w:r w:rsidR="00104F4C" w:rsidRPr="000F2E9A">
        <w:rPr>
          <w:b/>
          <w:bCs/>
          <w:lang w:val="en-GB"/>
        </w:rPr>
        <w:t>Consider endorsing the United Nations “Basic Principles on Sovereign Debt Restructuring Processes” and the UNCTAD “Principles on Sovereign Lending and Borrowing;</w:t>
      </w:r>
    </w:p>
    <w:p w:rsidR="000B3A6B" w:rsidRPr="000F2E9A" w:rsidRDefault="005573E4" w:rsidP="005573E4">
      <w:pPr>
        <w:pStyle w:val="SingleTxtG"/>
        <w:rPr>
          <w:b/>
          <w:bCs/>
          <w:lang w:val="en-GB"/>
        </w:rPr>
      </w:pPr>
      <w:r w:rsidRPr="005573E4">
        <w:rPr>
          <w:lang w:val="en-GB"/>
        </w:rPr>
        <w:t>100.</w:t>
      </w:r>
      <w:r w:rsidRPr="005573E4">
        <w:rPr>
          <w:lang w:val="en-GB"/>
        </w:rPr>
        <w:tab/>
      </w:r>
      <w:r w:rsidR="00104F4C" w:rsidRPr="000F2E9A">
        <w:rPr>
          <w:b/>
          <w:bCs/>
          <w:lang w:val="en-GB"/>
        </w:rPr>
        <w:t>Consider r</w:t>
      </w:r>
      <w:r w:rsidR="000B3A6B" w:rsidRPr="000F2E9A">
        <w:rPr>
          <w:b/>
          <w:bCs/>
          <w:lang w:val="en-GB"/>
        </w:rPr>
        <w:t>atify</w:t>
      </w:r>
      <w:r w:rsidR="00104F4C" w:rsidRPr="000F2E9A">
        <w:rPr>
          <w:b/>
          <w:bCs/>
          <w:lang w:val="en-GB"/>
        </w:rPr>
        <w:t>ing</w:t>
      </w:r>
      <w:r w:rsidR="000B3A6B" w:rsidRPr="000F2E9A">
        <w:rPr>
          <w:b/>
          <w:bCs/>
          <w:lang w:val="en-GB"/>
        </w:rPr>
        <w:t xml:space="preserve"> the Optional Protocol to the Covenant on Economic, </w:t>
      </w:r>
      <w:r w:rsidR="0020749C" w:rsidRPr="000F2E9A">
        <w:rPr>
          <w:b/>
          <w:bCs/>
          <w:lang w:val="en-GB"/>
        </w:rPr>
        <w:t>S</w:t>
      </w:r>
      <w:r w:rsidR="000B3A6B" w:rsidRPr="000F2E9A">
        <w:rPr>
          <w:b/>
          <w:bCs/>
          <w:lang w:val="en-GB"/>
        </w:rPr>
        <w:t xml:space="preserve">ocial and Cultural </w:t>
      </w:r>
      <w:r w:rsidR="0020749C" w:rsidRPr="000F2E9A">
        <w:rPr>
          <w:b/>
          <w:bCs/>
          <w:lang w:val="en-GB"/>
        </w:rPr>
        <w:t>R</w:t>
      </w:r>
      <w:r w:rsidR="0079397B">
        <w:rPr>
          <w:b/>
          <w:bCs/>
          <w:lang w:val="en-GB"/>
        </w:rPr>
        <w:t>ights.</w:t>
      </w:r>
    </w:p>
    <w:p w:rsidR="005643F7" w:rsidRPr="000F2E9A" w:rsidRDefault="004772C7" w:rsidP="0079397B">
      <w:pPr>
        <w:pStyle w:val="H1G"/>
        <w:rPr>
          <w:lang w:val="en-GB" w:eastAsia="en-GB"/>
        </w:rPr>
      </w:pPr>
      <w:r w:rsidRPr="000F2E9A">
        <w:rPr>
          <w:lang w:val="en-GB" w:eastAsia="en-GB"/>
        </w:rPr>
        <w:tab/>
      </w:r>
      <w:r w:rsidR="008510AF" w:rsidRPr="000F2E9A">
        <w:rPr>
          <w:lang w:val="en-GB" w:eastAsia="en-GB"/>
        </w:rPr>
        <w:t>C</w:t>
      </w:r>
      <w:r w:rsidR="00AE2667" w:rsidRPr="000F2E9A">
        <w:rPr>
          <w:lang w:val="en-GB" w:eastAsia="en-GB"/>
        </w:rPr>
        <w:t>.</w:t>
      </w:r>
      <w:r w:rsidR="009B43E5" w:rsidRPr="000F2E9A">
        <w:rPr>
          <w:lang w:val="en-GB" w:eastAsia="en-GB"/>
        </w:rPr>
        <w:tab/>
      </w:r>
      <w:r w:rsidR="005643F7" w:rsidRPr="0079397B">
        <w:t>Recommendations</w:t>
      </w:r>
      <w:r w:rsidR="005643F7" w:rsidRPr="000F2E9A">
        <w:rPr>
          <w:lang w:val="en-GB" w:eastAsia="en-GB"/>
        </w:rPr>
        <w:t xml:space="preserve"> </w:t>
      </w:r>
      <w:r w:rsidR="00A770F2" w:rsidRPr="000F2E9A">
        <w:rPr>
          <w:lang w:val="en-GB" w:eastAsia="en-GB"/>
        </w:rPr>
        <w:t>to</w:t>
      </w:r>
      <w:r w:rsidR="005643F7" w:rsidRPr="000F2E9A">
        <w:rPr>
          <w:lang w:val="en-GB" w:eastAsia="en-GB"/>
        </w:rPr>
        <w:t xml:space="preserve"> </w:t>
      </w:r>
      <w:r w:rsidR="00880539" w:rsidRPr="000F2E9A">
        <w:rPr>
          <w:lang w:val="en-GB" w:eastAsia="en-GB"/>
        </w:rPr>
        <w:t>international lenders</w:t>
      </w:r>
    </w:p>
    <w:p w:rsidR="00922CF2" w:rsidRPr="000F2E9A" w:rsidRDefault="005573E4" w:rsidP="005573E4">
      <w:pPr>
        <w:pStyle w:val="SingleTxtG"/>
        <w:rPr>
          <w:b/>
          <w:bCs/>
          <w:lang w:val="en-GB"/>
        </w:rPr>
      </w:pPr>
      <w:r w:rsidRPr="005573E4">
        <w:rPr>
          <w:lang w:val="en-GB"/>
        </w:rPr>
        <w:t>101.</w:t>
      </w:r>
      <w:r w:rsidRPr="005573E4">
        <w:rPr>
          <w:lang w:val="en-GB"/>
        </w:rPr>
        <w:tab/>
      </w:r>
      <w:r w:rsidR="00C9659F" w:rsidRPr="000F2E9A">
        <w:rPr>
          <w:b/>
          <w:bCs/>
          <w:lang w:val="en-GB"/>
        </w:rPr>
        <w:t>P</w:t>
      </w:r>
      <w:r w:rsidR="00922CF2" w:rsidRPr="000F2E9A">
        <w:rPr>
          <w:b/>
          <w:bCs/>
          <w:lang w:val="en-GB"/>
        </w:rPr>
        <w:t xml:space="preserve">rovide debt relief to Greece </w:t>
      </w:r>
      <w:r w:rsidR="00C556BA" w:rsidRPr="000F2E9A">
        <w:rPr>
          <w:b/>
          <w:bCs/>
          <w:lang w:val="en-GB"/>
        </w:rPr>
        <w:t xml:space="preserve">with the view </w:t>
      </w:r>
      <w:r w:rsidR="00922CF2" w:rsidRPr="000F2E9A">
        <w:rPr>
          <w:b/>
          <w:bCs/>
          <w:lang w:val="en-GB"/>
        </w:rPr>
        <w:t xml:space="preserve">to boost social inclusive growth through an investment package and </w:t>
      </w:r>
      <w:r w:rsidR="00C556BA" w:rsidRPr="000F2E9A">
        <w:rPr>
          <w:b/>
          <w:bCs/>
          <w:lang w:val="en-GB"/>
        </w:rPr>
        <w:t xml:space="preserve">by </w:t>
      </w:r>
      <w:r w:rsidR="00C9659F" w:rsidRPr="000F2E9A">
        <w:rPr>
          <w:b/>
          <w:bCs/>
          <w:lang w:val="en-GB"/>
        </w:rPr>
        <w:t>assist</w:t>
      </w:r>
      <w:r w:rsidR="00C556BA" w:rsidRPr="000F2E9A">
        <w:rPr>
          <w:b/>
          <w:bCs/>
          <w:lang w:val="en-GB"/>
        </w:rPr>
        <w:t>ing</w:t>
      </w:r>
      <w:r w:rsidR="00C9659F" w:rsidRPr="000F2E9A">
        <w:rPr>
          <w:b/>
          <w:bCs/>
          <w:lang w:val="en-GB"/>
        </w:rPr>
        <w:t xml:space="preserve"> Greece </w:t>
      </w:r>
      <w:r w:rsidR="00922CF2" w:rsidRPr="000F2E9A">
        <w:rPr>
          <w:b/>
          <w:bCs/>
          <w:lang w:val="en-GB"/>
        </w:rPr>
        <w:t xml:space="preserve">closing gaps in </w:t>
      </w:r>
      <w:r w:rsidR="00C9659F" w:rsidRPr="000F2E9A">
        <w:rPr>
          <w:b/>
          <w:bCs/>
          <w:lang w:val="en-GB"/>
        </w:rPr>
        <w:t xml:space="preserve">its </w:t>
      </w:r>
      <w:r w:rsidR="00922CF2" w:rsidRPr="000F2E9A">
        <w:rPr>
          <w:b/>
          <w:bCs/>
          <w:lang w:val="en-GB"/>
        </w:rPr>
        <w:t xml:space="preserve">social </w:t>
      </w:r>
      <w:r w:rsidR="00C556BA" w:rsidRPr="000F2E9A">
        <w:rPr>
          <w:b/>
          <w:bCs/>
          <w:lang w:val="en-GB"/>
        </w:rPr>
        <w:t xml:space="preserve">security </w:t>
      </w:r>
      <w:r w:rsidR="00922CF2" w:rsidRPr="000F2E9A">
        <w:rPr>
          <w:b/>
          <w:bCs/>
          <w:lang w:val="en-GB"/>
        </w:rPr>
        <w:t>net;</w:t>
      </w:r>
    </w:p>
    <w:p w:rsidR="0020749C" w:rsidRPr="000F2E9A" w:rsidRDefault="005573E4" w:rsidP="005573E4">
      <w:pPr>
        <w:pStyle w:val="SingleTxtG"/>
        <w:rPr>
          <w:b/>
          <w:bCs/>
          <w:lang w:val="en-GB"/>
        </w:rPr>
      </w:pPr>
      <w:r w:rsidRPr="005573E4">
        <w:rPr>
          <w:lang w:val="en-GB"/>
        </w:rPr>
        <w:t>102.</w:t>
      </w:r>
      <w:r w:rsidRPr="005573E4">
        <w:rPr>
          <w:lang w:val="en-GB"/>
        </w:rPr>
        <w:tab/>
      </w:r>
      <w:r w:rsidR="0020749C" w:rsidRPr="000F2E9A">
        <w:rPr>
          <w:b/>
          <w:bCs/>
          <w:lang w:val="en-GB"/>
        </w:rPr>
        <w:t xml:space="preserve">Develop guidelines for </w:t>
      </w:r>
      <w:r w:rsidR="00C556BA" w:rsidRPr="000F2E9A">
        <w:rPr>
          <w:b/>
          <w:bCs/>
          <w:lang w:val="en-GB"/>
        </w:rPr>
        <w:t xml:space="preserve">comprehensive </w:t>
      </w:r>
      <w:r w:rsidR="0020749C" w:rsidRPr="000F2E9A">
        <w:rPr>
          <w:b/>
          <w:bCs/>
          <w:lang w:val="en-GB"/>
        </w:rPr>
        <w:t>human rights and social impact assessments of adjustment programmes funded or co-funded by the European Commission, ESM, ECB or IMF</w:t>
      </w:r>
      <w:r w:rsidR="00394450" w:rsidRPr="000F2E9A">
        <w:rPr>
          <w:b/>
          <w:bCs/>
          <w:lang w:val="en-GB"/>
        </w:rPr>
        <w:t xml:space="preserve"> and include estimates of required resources for social protection and investment </w:t>
      </w:r>
      <w:r w:rsidR="00672DB8" w:rsidRPr="000F2E9A">
        <w:rPr>
          <w:b/>
          <w:bCs/>
          <w:lang w:val="en-GB"/>
        </w:rPr>
        <w:t>in debt sustainability assessments</w:t>
      </w:r>
      <w:r w:rsidR="00C556BA" w:rsidRPr="000F2E9A">
        <w:rPr>
          <w:b/>
          <w:bCs/>
          <w:lang w:val="en-GB"/>
        </w:rPr>
        <w:t>;</w:t>
      </w:r>
    </w:p>
    <w:p w:rsidR="005643F7" w:rsidRPr="000F2E9A" w:rsidRDefault="005573E4" w:rsidP="005573E4">
      <w:pPr>
        <w:pStyle w:val="SingleTxtG"/>
        <w:rPr>
          <w:b/>
          <w:bCs/>
          <w:lang w:val="en-GB"/>
        </w:rPr>
      </w:pPr>
      <w:r w:rsidRPr="005573E4">
        <w:rPr>
          <w:lang w:val="en-GB"/>
        </w:rPr>
        <w:t>103.</w:t>
      </w:r>
      <w:r w:rsidRPr="005573E4">
        <w:rPr>
          <w:lang w:val="en-GB"/>
        </w:rPr>
        <w:tab/>
      </w:r>
      <w:r w:rsidR="009D51CE" w:rsidRPr="000F2E9A">
        <w:rPr>
          <w:b/>
          <w:bCs/>
          <w:lang w:val="en-GB"/>
        </w:rPr>
        <w:t>E</w:t>
      </w:r>
      <w:r w:rsidR="00922CF2" w:rsidRPr="000F2E9A">
        <w:rPr>
          <w:b/>
          <w:bCs/>
          <w:lang w:val="en-GB"/>
        </w:rPr>
        <w:t xml:space="preserve">nsure policy coherence among financial, social and human rights policies </w:t>
      </w:r>
      <w:r w:rsidR="008C6A4D" w:rsidRPr="000F2E9A">
        <w:rPr>
          <w:b/>
          <w:bCs/>
          <w:lang w:val="en-GB"/>
        </w:rPr>
        <w:t xml:space="preserve">of the European Union </w:t>
      </w:r>
      <w:r w:rsidR="00922CF2" w:rsidRPr="000F2E9A">
        <w:rPr>
          <w:b/>
          <w:bCs/>
          <w:lang w:val="en-GB"/>
        </w:rPr>
        <w:t>in r</w:t>
      </w:r>
      <w:r w:rsidR="009D51CE" w:rsidRPr="000F2E9A">
        <w:rPr>
          <w:b/>
          <w:bCs/>
          <w:lang w:val="en-GB"/>
        </w:rPr>
        <w:t>esponse to the financial crisis</w:t>
      </w:r>
      <w:r w:rsidR="008C6A4D" w:rsidRPr="000F2E9A">
        <w:rPr>
          <w:b/>
          <w:bCs/>
          <w:lang w:val="en-GB"/>
        </w:rPr>
        <w:t>.</w:t>
      </w:r>
      <w:r w:rsidR="00017C92" w:rsidRPr="000F2E9A">
        <w:rPr>
          <w:b/>
          <w:bCs/>
          <w:lang w:val="en-GB"/>
        </w:rPr>
        <w:t xml:space="preserve"> </w:t>
      </w:r>
      <w:r w:rsidR="00394450" w:rsidRPr="000F2E9A">
        <w:rPr>
          <w:b/>
          <w:bCs/>
          <w:lang w:val="en-GB"/>
        </w:rPr>
        <w:t xml:space="preserve">Include the reduction of </w:t>
      </w:r>
      <w:r w:rsidR="00394450" w:rsidRPr="000F2E9A">
        <w:rPr>
          <w:b/>
          <w:bCs/>
          <w:lang w:val="en-GB"/>
        </w:rPr>
        <w:lastRenderedPageBreak/>
        <w:t>unemployment, poverty and affordability and accessibility of public health care services as measurable targets in the ongoing adjustment programme and monitor progress received regularly</w:t>
      </w:r>
      <w:r w:rsidR="0079397B">
        <w:rPr>
          <w:b/>
          <w:bCs/>
          <w:lang w:val="en-GB"/>
        </w:rPr>
        <w:t>;</w:t>
      </w:r>
    </w:p>
    <w:p w:rsidR="00B47B02" w:rsidRPr="000F2E9A" w:rsidRDefault="005573E4" w:rsidP="005573E4">
      <w:pPr>
        <w:pStyle w:val="SingleTxtG"/>
        <w:rPr>
          <w:b/>
          <w:bCs/>
          <w:lang w:val="en-GB"/>
        </w:rPr>
      </w:pPr>
      <w:r w:rsidRPr="005573E4">
        <w:rPr>
          <w:lang w:val="en-GB"/>
        </w:rPr>
        <w:t>104.</w:t>
      </w:r>
      <w:r w:rsidRPr="005573E4">
        <w:rPr>
          <w:lang w:val="en-GB"/>
        </w:rPr>
        <w:tab/>
      </w:r>
      <w:r w:rsidR="00B47B02" w:rsidRPr="000F2E9A">
        <w:rPr>
          <w:b/>
          <w:bCs/>
          <w:lang w:val="en-GB"/>
        </w:rPr>
        <w:t xml:space="preserve">Further increase support </w:t>
      </w:r>
      <w:r w:rsidR="00B34E7D" w:rsidRPr="000F2E9A">
        <w:rPr>
          <w:b/>
          <w:bCs/>
          <w:lang w:val="en-GB"/>
        </w:rPr>
        <w:t xml:space="preserve">under European Union programmes </w:t>
      </w:r>
      <w:r w:rsidR="00B47B02" w:rsidRPr="000F2E9A">
        <w:rPr>
          <w:b/>
          <w:bCs/>
          <w:lang w:val="en-GB"/>
        </w:rPr>
        <w:t>to Greece</w:t>
      </w:r>
      <w:r w:rsidR="00B34E7D" w:rsidRPr="000F2E9A">
        <w:rPr>
          <w:b/>
          <w:bCs/>
          <w:lang w:val="en-GB"/>
        </w:rPr>
        <w:t xml:space="preserve">, including </w:t>
      </w:r>
      <w:r w:rsidR="004349E5" w:rsidRPr="000F2E9A">
        <w:rPr>
          <w:b/>
          <w:bCs/>
          <w:lang w:val="en-GB"/>
        </w:rPr>
        <w:t xml:space="preserve">in particular </w:t>
      </w:r>
      <w:r w:rsidR="00B34E7D" w:rsidRPr="000F2E9A">
        <w:rPr>
          <w:b/>
          <w:bCs/>
          <w:lang w:val="en-GB"/>
        </w:rPr>
        <w:t xml:space="preserve">funds </w:t>
      </w:r>
      <w:r w:rsidR="004349E5" w:rsidRPr="000F2E9A">
        <w:rPr>
          <w:b/>
          <w:bCs/>
          <w:lang w:val="en-GB"/>
        </w:rPr>
        <w:t xml:space="preserve">for </w:t>
      </w:r>
      <w:r w:rsidR="00B34E7D" w:rsidRPr="000F2E9A">
        <w:rPr>
          <w:b/>
          <w:bCs/>
          <w:lang w:val="en-GB"/>
        </w:rPr>
        <w:t xml:space="preserve">combatting </w:t>
      </w:r>
      <w:r w:rsidR="004349E5" w:rsidRPr="000F2E9A">
        <w:rPr>
          <w:b/>
          <w:bCs/>
          <w:lang w:val="en-GB"/>
        </w:rPr>
        <w:t xml:space="preserve">poverty and </w:t>
      </w:r>
      <w:r w:rsidR="00B34E7D" w:rsidRPr="000F2E9A">
        <w:rPr>
          <w:b/>
          <w:bCs/>
          <w:lang w:val="en-GB"/>
        </w:rPr>
        <w:t xml:space="preserve">social exclusion and </w:t>
      </w:r>
      <w:r w:rsidR="004349E5" w:rsidRPr="000F2E9A">
        <w:rPr>
          <w:b/>
          <w:bCs/>
          <w:lang w:val="en-GB"/>
        </w:rPr>
        <w:t xml:space="preserve">for </w:t>
      </w:r>
      <w:r w:rsidR="00B34E7D" w:rsidRPr="000F2E9A">
        <w:rPr>
          <w:b/>
          <w:bCs/>
          <w:lang w:val="en-GB"/>
        </w:rPr>
        <w:t>social and labour market measures within Greece;</w:t>
      </w:r>
    </w:p>
    <w:p w:rsidR="00B446EE" w:rsidRPr="000F2E9A" w:rsidRDefault="005573E4" w:rsidP="005573E4">
      <w:pPr>
        <w:pStyle w:val="SingleTxtG"/>
        <w:rPr>
          <w:b/>
          <w:bCs/>
          <w:lang w:val="en-GB"/>
        </w:rPr>
      </w:pPr>
      <w:r w:rsidRPr="005573E4">
        <w:rPr>
          <w:lang w:val="en-GB"/>
        </w:rPr>
        <w:t>105.</w:t>
      </w:r>
      <w:r w:rsidRPr="005573E4">
        <w:rPr>
          <w:lang w:val="en-GB"/>
        </w:rPr>
        <w:tab/>
      </w:r>
      <w:r w:rsidR="009D51CE" w:rsidRPr="000F2E9A">
        <w:rPr>
          <w:b/>
          <w:bCs/>
          <w:lang w:val="en-GB"/>
        </w:rPr>
        <w:t>R</w:t>
      </w:r>
      <w:r w:rsidR="00B446EE" w:rsidRPr="000F2E9A">
        <w:rPr>
          <w:b/>
          <w:bCs/>
          <w:lang w:val="en-GB"/>
        </w:rPr>
        <w:t>elax budgetary restrictions for Greece to enable the country to strengthen its response to the refugee crisis in a manner reflecting best practices and standards in the field of human rights and refugee law;</w:t>
      </w:r>
    </w:p>
    <w:p w:rsidR="00B446EE" w:rsidRPr="000F2E9A" w:rsidRDefault="005573E4" w:rsidP="005573E4">
      <w:pPr>
        <w:pStyle w:val="SingleTxtG"/>
        <w:rPr>
          <w:b/>
          <w:lang w:val="en-GB"/>
        </w:rPr>
      </w:pPr>
      <w:r w:rsidRPr="005573E4">
        <w:rPr>
          <w:bCs/>
          <w:lang w:val="en-GB"/>
        </w:rPr>
        <w:t>106.</w:t>
      </w:r>
      <w:r w:rsidRPr="005573E4">
        <w:rPr>
          <w:bCs/>
          <w:lang w:val="en-GB"/>
        </w:rPr>
        <w:tab/>
      </w:r>
      <w:r w:rsidR="009D51CE" w:rsidRPr="000F2E9A">
        <w:rPr>
          <w:b/>
          <w:bCs/>
          <w:lang w:val="en-GB"/>
        </w:rPr>
        <w:t>Support Greece by p</w:t>
      </w:r>
      <w:r w:rsidR="00B446EE" w:rsidRPr="000F2E9A">
        <w:rPr>
          <w:b/>
          <w:bCs/>
          <w:lang w:val="en-GB"/>
        </w:rPr>
        <w:t>rovid</w:t>
      </w:r>
      <w:r w:rsidR="009D51CE" w:rsidRPr="000F2E9A">
        <w:rPr>
          <w:b/>
          <w:bCs/>
          <w:lang w:val="en-GB"/>
        </w:rPr>
        <w:t>ing</w:t>
      </w:r>
      <w:r w:rsidR="00B446EE" w:rsidRPr="000F2E9A">
        <w:rPr>
          <w:b/>
          <w:bCs/>
          <w:lang w:val="en-GB"/>
        </w:rPr>
        <w:t xml:space="preserve"> </w:t>
      </w:r>
      <w:r w:rsidR="0069151F" w:rsidRPr="000F2E9A">
        <w:rPr>
          <w:b/>
          <w:bCs/>
          <w:lang w:val="en-GB"/>
        </w:rPr>
        <w:t xml:space="preserve">human, technical and financial resources </w:t>
      </w:r>
      <w:r w:rsidR="00B446EE" w:rsidRPr="000F2E9A">
        <w:rPr>
          <w:b/>
          <w:bCs/>
          <w:lang w:val="en-GB"/>
        </w:rPr>
        <w:t>to ensure appropriate health care, food and housing for refugees</w:t>
      </w:r>
      <w:r w:rsidR="00394450" w:rsidRPr="000F2E9A">
        <w:rPr>
          <w:b/>
          <w:bCs/>
          <w:lang w:val="en-GB"/>
        </w:rPr>
        <w:t>.</w:t>
      </w:r>
    </w:p>
    <w:p w:rsidR="00D52D02" w:rsidRPr="000F2E9A" w:rsidRDefault="00F16A7F" w:rsidP="0079397B">
      <w:pPr>
        <w:pStyle w:val="SingleTxtG"/>
        <w:spacing w:before="240" w:after="0"/>
        <w:jc w:val="center"/>
        <w:rPr>
          <w:lang w:val="en-GB"/>
        </w:rPr>
      </w:pPr>
      <w:r w:rsidRPr="000F2E9A">
        <w:rPr>
          <w:u w:val="single"/>
          <w:lang w:val="en-GB"/>
        </w:rPr>
        <w:tab/>
      </w:r>
      <w:r w:rsidRPr="000F2E9A">
        <w:rPr>
          <w:u w:val="single"/>
          <w:lang w:val="en-GB"/>
        </w:rPr>
        <w:tab/>
      </w:r>
      <w:r w:rsidRPr="000F2E9A">
        <w:rPr>
          <w:u w:val="single"/>
          <w:lang w:val="en-GB"/>
        </w:rPr>
        <w:tab/>
      </w:r>
    </w:p>
    <w:sectPr w:rsidR="00D52D02" w:rsidRPr="000F2E9A" w:rsidSect="000C4468">
      <w:headerReference w:type="even" r:id="rId12"/>
      <w:headerReference w:type="default" r:id="rId13"/>
      <w:footerReference w:type="even" r:id="rId14"/>
      <w:footerReference w:type="default" r:id="rId15"/>
      <w:headerReference w:type="first" r:id="rId16"/>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CB2" w:rsidRDefault="00395CB2"/>
  </w:endnote>
  <w:endnote w:type="continuationSeparator" w:id="0">
    <w:p w:rsidR="00395CB2" w:rsidRDefault="00395CB2"/>
  </w:endnote>
  <w:endnote w:type="continuationNotice" w:id="1">
    <w:p w:rsidR="00395CB2" w:rsidRDefault="00395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ala-Regular">
    <w:altName w:val="Scala-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abon MT">
    <w:altName w:val="Sabon 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92" w:rsidRDefault="00017C92">
    <w:pPr>
      <w:pStyle w:val="Footer"/>
      <w:tabs>
        <w:tab w:val="right" w:pos="9638"/>
      </w:tabs>
    </w:pPr>
    <w:r>
      <w:rPr>
        <w:b/>
        <w:sz w:val="18"/>
      </w:rPr>
      <w:fldChar w:fldCharType="begin"/>
    </w:r>
    <w:r>
      <w:rPr>
        <w:b/>
        <w:sz w:val="18"/>
      </w:rPr>
      <w:instrText xml:space="preserve"> PAGE  \* MERGEFORMAT </w:instrText>
    </w:r>
    <w:r>
      <w:rPr>
        <w:b/>
        <w:sz w:val="18"/>
      </w:rPr>
      <w:fldChar w:fldCharType="separate"/>
    </w:r>
    <w:r w:rsidR="00D56EB7">
      <w:rPr>
        <w:b/>
        <w:noProof/>
        <w:sz w:val="18"/>
      </w:rPr>
      <w:t>2</w:t>
    </w:r>
    <w:r>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92" w:rsidRDefault="00017C92">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D56EB7">
      <w:rPr>
        <w:b/>
        <w:noProof/>
        <w:sz w:val="18"/>
      </w:rPr>
      <w:t>3</w:t>
    </w:r>
    <w:r>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CB2" w:rsidRDefault="00395CB2">
      <w:pPr>
        <w:tabs>
          <w:tab w:val="right" w:pos="2155"/>
        </w:tabs>
        <w:spacing w:after="80"/>
        <w:ind w:left="680"/>
        <w:rPr>
          <w:u w:val="single"/>
        </w:rPr>
      </w:pPr>
      <w:r>
        <w:rPr>
          <w:u w:val="single"/>
        </w:rPr>
        <w:tab/>
      </w:r>
    </w:p>
  </w:footnote>
  <w:footnote w:type="continuationSeparator" w:id="0">
    <w:p w:rsidR="00395CB2" w:rsidRDefault="00395CB2">
      <w:pPr>
        <w:tabs>
          <w:tab w:val="left" w:pos="2155"/>
        </w:tabs>
        <w:spacing w:after="80"/>
        <w:ind w:left="680"/>
        <w:rPr>
          <w:u w:val="single"/>
        </w:rPr>
      </w:pPr>
      <w:r>
        <w:rPr>
          <w:u w:val="single"/>
        </w:rPr>
        <w:tab/>
      </w:r>
    </w:p>
  </w:footnote>
  <w:footnote w:type="continuationNotice" w:id="1">
    <w:p w:rsidR="00395CB2" w:rsidRDefault="00395CB2"/>
  </w:footnote>
  <w:footnote w:id="2">
    <w:p w:rsidR="00C1752D" w:rsidRPr="00C1752D" w:rsidRDefault="00C1752D">
      <w:pPr>
        <w:pStyle w:val="FootnoteText"/>
        <w:rPr>
          <w:lang w:val="en-US"/>
        </w:rPr>
      </w:pPr>
      <w:r>
        <w:tab/>
      </w:r>
      <w:r>
        <w:rPr>
          <w:rStyle w:val="FootnoteReference"/>
        </w:rPr>
        <w:t>*</w:t>
      </w:r>
      <w:r>
        <w:tab/>
      </w:r>
      <w:r w:rsidRPr="00540481">
        <w:rPr>
          <w:color w:val="000000"/>
          <w:szCs w:val="18"/>
          <w:lang w:eastAsia="en-GB"/>
        </w:rPr>
        <w:t>The present report was submitted after the deadline in order to reflect the most recent developments</w:t>
      </w:r>
      <w:r>
        <w:rPr>
          <w:color w:val="000000"/>
          <w:szCs w:val="18"/>
          <w:lang w:eastAsia="en-GB"/>
        </w:rPr>
        <w:t>.</w:t>
      </w:r>
    </w:p>
  </w:footnote>
  <w:footnote w:id="3">
    <w:p w:rsidR="00C1752D" w:rsidRPr="00C1752D" w:rsidRDefault="00C1752D">
      <w:pPr>
        <w:pStyle w:val="FootnoteText"/>
        <w:rPr>
          <w:lang w:val="en-US"/>
        </w:rPr>
      </w:pPr>
      <w:r>
        <w:tab/>
      </w:r>
      <w:r>
        <w:rPr>
          <w:rStyle w:val="FootnoteReference"/>
        </w:rPr>
        <w:t>**</w:t>
      </w:r>
      <w:r>
        <w:tab/>
      </w:r>
      <w:proofErr w:type="gramStart"/>
      <w:r w:rsidRPr="001F14A4">
        <w:t xml:space="preserve">Circulated in </w:t>
      </w:r>
      <w:r>
        <w:t>the language of submission only.</w:t>
      </w:r>
      <w:proofErr w:type="gramEnd"/>
    </w:p>
  </w:footnote>
  <w:footnote w:id="4">
    <w:p w:rsidR="00017C92" w:rsidRPr="00510AFD" w:rsidRDefault="00017C92" w:rsidP="00017C92">
      <w:pPr>
        <w:pStyle w:val="FootnoteText"/>
      </w:pPr>
      <w:r>
        <w:tab/>
      </w:r>
      <w:r>
        <w:rPr>
          <w:rStyle w:val="FootnoteReference"/>
        </w:rPr>
        <w:footnoteRef/>
      </w:r>
      <w:r>
        <w:tab/>
      </w:r>
      <w:r w:rsidRPr="007532C3">
        <w:t>See, report of the I</w:t>
      </w:r>
      <w:r>
        <w:t>ndependent Expert on foreign debt and human rights, Cephas Lumina, A/HRC/25/50/Add.1</w:t>
      </w:r>
    </w:p>
  </w:footnote>
  <w:footnote w:id="5">
    <w:p w:rsidR="00017C92" w:rsidRPr="007532C3" w:rsidRDefault="00017C92" w:rsidP="00017C92">
      <w:pPr>
        <w:pStyle w:val="FootnoteText"/>
        <w:rPr>
          <w:rFonts w:eastAsia="Times New Roman"/>
          <w:szCs w:val="18"/>
          <w:lang w:val="en-US"/>
        </w:rPr>
      </w:pPr>
      <w:r>
        <w:rPr>
          <w:szCs w:val="18"/>
        </w:rPr>
        <w:tab/>
      </w:r>
      <w:r w:rsidRPr="00F03547">
        <w:rPr>
          <w:rStyle w:val="FootnoteReference"/>
          <w:szCs w:val="18"/>
        </w:rPr>
        <w:footnoteRef/>
      </w:r>
      <w:r>
        <w:rPr>
          <w:szCs w:val="18"/>
        </w:rPr>
        <w:tab/>
      </w:r>
      <w:proofErr w:type="gramStart"/>
      <w:r w:rsidRPr="00CF04B5">
        <w:rPr>
          <w:szCs w:val="18"/>
        </w:rPr>
        <w:t>Officially dissolved in November 2015.</w:t>
      </w:r>
      <w:proofErr w:type="gramEnd"/>
    </w:p>
  </w:footnote>
  <w:footnote w:id="6">
    <w:p w:rsidR="00017C92" w:rsidRPr="00930347" w:rsidRDefault="00017C92" w:rsidP="00017C92">
      <w:pPr>
        <w:pStyle w:val="FootnoteText"/>
      </w:pPr>
      <w:r>
        <w:tab/>
      </w:r>
      <w:r>
        <w:rPr>
          <w:rStyle w:val="FootnoteReference"/>
        </w:rPr>
        <w:footnoteRef/>
      </w:r>
      <w:r>
        <w:tab/>
        <w:t xml:space="preserve">See A/HRC/25/50/Add.1 and E/C.12/GRC/CO/2; See as well Concluding observations by other Treaty bodies CCPR/C/GRC/CO/2, para 7-10; CRCR/GRC/CO/2-3, para 6, 18, 21, 28-29; </w:t>
      </w:r>
      <w:r w:rsidRPr="004A7B19">
        <w:t>CEDAW/C/GRC/CO/7</w:t>
      </w:r>
      <w:r>
        <w:t>, para 6, 28, 40,</w:t>
      </w:r>
      <w:r w:rsidRPr="004A7B19">
        <w:t xml:space="preserve"> </w:t>
      </w:r>
      <w:r>
        <w:t xml:space="preserve"> and European Parliament: The Impact of the crisis on fundamental rights across Member States of the EU, Country Report on Greece, 2015, PE 510.014 International Federation for Human Rights (FIDH), Downgrading rights: the cost of austerity in Greece (2014).</w:t>
      </w:r>
    </w:p>
  </w:footnote>
  <w:footnote w:id="7">
    <w:p w:rsidR="00017C92" w:rsidRPr="00C03537" w:rsidRDefault="00017C92" w:rsidP="006F285A">
      <w:pPr>
        <w:pStyle w:val="FootnoteText"/>
      </w:pPr>
      <w:r>
        <w:tab/>
      </w:r>
      <w:r>
        <w:rPr>
          <w:rStyle w:val="FootnoteReference"/>
        </w:rPr>
        <w:footnoteRef/>
      </w:r>
      <w:r>
        <w:tab/>
        <w:t xml:space="preserve">European Parliament, Employment and social developments in Greece, Study, September 2015, </w:t>
      </w:r>
      <w:r w:rsidRPr="00C03537">
        <w:t>PE 563.468</w:t>
      </w:r>
      <w:r>
        <w:t>, p.35</w:t>
      </w:r>
    </w:p>
  </w:footnote>
  <w:footnote w:id="8">
    <w:p w:rsidR="00017C92" w:rsidRPr="007D1594" w:rsidRDefault="00017C92" w:rsidP="00017C92">
      <w:pPr>
        <w:pStyle w:val="FootnoteText"/>
      </w:pPr>
      <w:r>
        <w:tab/>
      </w:r>
      <w:r>
        <w:rPr>
          <w:rStyle w:val="FootnoteReference"/>
        </w:rPr>
        <w:footnoteRef/>
      </w:r>
      <w:r>
        <w:tab/>
      </w:r>
      <w:r w:rsidRPr="007532C3">
        <w:rPr>
          <w:bCs/>
        </w:rPr>
        <w:t>Greek crisis: Human rights should not stop at doors of international institutions, says UN expert</w:t>
      </w:r>
      <w:r>
        <w:rPr>
          <w:bCs/>
        </w:rPr>
        <w:t xml:space="preserve">, </w:t>
      </w:r>
      <w:r>
        <w:rPr>
          <w:bCs/>
        </w:rPr>
        <w:br/>
        <w:t xml:space="preserve">2 June 2015, </w:t>
      </w:r>
      <w:r w:rsidRPr="007D1594">
        <w:t xml:space="preserve"> </w:t>
      </w:r>
      <w:r>
        <w:t xml:space="preserve">available from: </w:t>
      </w:r>
      <w:r w:rsidRPr="007D1594">
        <w:t>http://www.ohchr.org/EN/NewsEvents/Pages/DisplayNews.aspx?NewsID=16032&amp;LangID=E</w:t>
      </w:r>
    </w:p>
  </w:footnote>
  <w:footnote w:id="9">
    <w:p w:rsidR="00017C92" w:rsidRPr="001D1894" w:rsidRDefault="00017C92">
      <w:pPr>
        <w:pStyle w:val="FootnoteText"/>
      </w:pPr>
      <w:r>
        <w:tab/>
      </w:r>
      <w:r>
        <w:rPr>
          <w:rStyle w:val="FootnoteReference"/>
        </w:rPr>
        <w:footnoteRef/>
      </w:r>
      <w:r>
        <w:t xml:space="preserve"> </w:t>
      </w:r>
      <w:r>
        <w:tab/>
        <w:t xml:space="preserve">Media Statement, 15 July 2015, available at: </w:t>
      </w:r>
      <w:r w:rsidRPr="001D1894">
        <w:t>http://www.ohchr.org/en/NewsEvents/Pages/DisplayNews.aspx?NewsID=16238&amp;LangID=E</w:t>
      </w:r>
    </w:p>
  </w:footnote>
  <w:footnote w:id="10">
    <w:p w:rsidR="00017C92" w:rsidRPr="00C71571" w:rsidRDefault="00017C92" w:rsidP="0088542D">
      <w:pPr>
        <w:pStyle w:val="FootnoteText"/>
      </w:pPr>
      <w:r>
        <w:tab/>
      </w:r>
      <w:r>
        <w:rPr>
          <w:rStyle w:val="FootnoteReference"/>
        </w:rPr>
        <w:footnoteRef/>
      </w:r>
      <w:r w:rsidRPr="00C71571">
        <w:tab/>
        <w:t xml:space="preserve">Available </w:t>
      </w:r>
      <w:r>
        <w:t>from</w:t>
      </w:r>
      <w:r w:rsidRPr="00C71571">
        <w:t>: http://ec.europa.eu/economy_finance/assistance_eu_ms/greek_loan_facility/pdf/01_mou_20150811_en.pdf</w:t>
      </w:r>
    </w:p>
  </w:footnote>
  <w:footnote w:id="11">
    <w:p w:rsidR="00017C92" w:rsidRPr="00F7409E" w:rsidRDefault="00017C92" w:rsidP="004F34EF">
      <w:pPr>
        <w:pStyle w:val="FootnoteText"/>
      </w:pPr>
      <w:r w:rsidRPr="00C71571">
        <w:tab/>
      </w:r>
      <w:r>
        <w:rPr>
          <w:rStyle w:val="FootnoteReference"/>
        </w:rPr>
        <w:footnoteRef/>
      </w:r>
      <w:r>
        <w:t xml:space="preserve"> </w:t>
      </w:r>
      <w:r>
        <w:tab/>
        <w:t xml:space="preserve">UNHCHR, information available from </w:t>
      </w:r>
      <w:r w:rsidRPr="00F7409E">
        <w:t>http://data.unhcr.org/mediterranean/country.php?id=83</w:t>
      </w:r>
    </w:p>
  </w:footnote>
  <w:footnote w:id="12">
    <w:p w:rsidR="00017C92" w:rsidRPr="00F03547" w:rsidRDefault="00017C92" w:rsidP="00105654">
      <w:pPr>
        <w:pStyle w:val="FootnoteText"/>
        <w:rPr>
          <w:szCs w:val="18"/>
        </w:rPr>
      </w:pPr>
      <w:r>
        <w:rPr>
          <w:szCs w:val="18"/>
        </w:rPr>
        <w:tab/>
      </w:r>
      <w:r w:rsidRPr="00F03547">
        <w:rPr>
          <w:rStyle w:val="FootnoteReference"/>
          <w:szCs w:val="18"/>
        </w:rPr>
        <w:footnoteRef/>
      </w:r>
      <w:r w:rsidRPr="00F03547">
        <w:rPr>
          <w:szCs w:val="18"/>
        </w:rPr>
        <w:t xml:space="preserve"> </w:t>
      </w:r>
      <w:r>
        <w:rPr>
          <w:szCs w:val="18"/>
        </w:rPr>
        <w:tab/>
      </w:r>
      <w:r w:rsidRPr="00F03547">
        <w:rPr>
          <w:szCs w:val="18"/>
        </w:rPr>
        <w:t>Letter from the Chairperson of the Committee on Economic, Social and Cultural Rights dated 16 May 2012</w:t>
      </w:r>
      <w:r>
        <w:rPr>
          <w:szCs w:val="18"/>
        </w:rPr>
        <w:t>.</w:t>
      </w:r>
    </w:p>
  </w:footnote>
  <w:footnote w:id="13">
    <w:p w:rsidR="00017C92" w:rsidRPr="00105654" w:rsidRDefault="00017C92">
      <w:pPr>
        <w:pStyle w:val="FootnoteText"/>
      </w:pPr>
      <w:r>
        <w:tab/>
      </w:r>
      <w:r>
        <w:rPr>
          <w:rStyle w:val="FootnoteReference"/>
        </w:rPr>
        <w:footnoteRef/>
      </w:r>
      <w:r>
        <w:t xml:space="preserve"> </w:t>
      </w:r>
      <w:r>
        <w:tab/>
      </w:r>
      <w:proofErr w:type="gramStart"/>
      <w:r>
        <w:rPr>
          <w:szCs w:val="18"/>
          <w:lang w:eastAsia="en-GB"/>
        </w:rPr>
        <w:t>E/2013/82, para.</w:t>
      </w:r>
      <w:proofErr w:type="gramEnd"/>
      <w:r>
        <w:rPr>
          <w:szCs w:val="18"/>
          <w:lang w:eastAsia="en-GB"/>
        </w:rPr>
        <w:t xml:space="preserve"> 18.</w:t>
      </w:r>
    </w:p>
  </w:footnote>
  <w:footnote w:id="14">
    <w:p w:rsidR="00017C92" w:rsidRPr="007532C3" w:rsidRDefault="00017C92" w:rsidP="0070410D">
      <w:pPr>
        <w:pStyle w:val="FootnoteText"/>
        <w:rPr>
          <w:szCs w:val="18"/>
          <w:lang w:val="pt-PT"/>
        </w:rPr>
      </w:pPr>
      <w:r>
        <w:rPr>
          <w:szCs w:val="18"/>
          <w:lang w:val="pt-PT"/>
        </w:rPr>
        <w:tab/>
      </w:r>
      <w:r w:rsidRPr="00F03547">
        <w:rPr>
          <w:rStyle w:val="FootnoteReference"/>
          <w:szCs w:val="18"/>
        </w:rPr>
        <w:footnoteRef/>
      </w:r>
      <w:r w:rsidRPr="007532C3">
        <w:rPr>
          <w:szCs w:val="18"/>
          <w:lang w:val="pt-PT"/>
        </w:rPr>
        <w:t xml:space="preserve"> </w:t>
      </w:r>
      <w:r>
        <w:rPr>
          <w:szCs w:val="18"/>
          <w:lang w:val="pt-PT"/>
        </w:rPr>
        <w:tab/>
      </w:r>
      <w:r w:rsidRPr="007532C3">
        <w:rPr>
          <w:szCs w:val="18"/>
          <w:lang w:val="pt-PT"/>
        </w:rPr>
        <w:t>A/HRC/20/23</w:t>
      </w:r>
    </w:p>
  </w:footnote>
  <w:footnote w:id="15">
    <w:p w:rsidR="00017C92" w:rsidRDefault="00017C92" w:rsidP="00747061">
      <w:pPr>
        <w:pStyle w:val="FootnoteText"/>
        <w:rPr>
          <w:lang w:eastAsia="zh-CN"/>
        </w:rPr>
      </w:pPr>
      <w:r>
        <w:tab/>
      </w:r>
      <w:r>
        <w:rPr>
          <w:vertAlign w:val="superscript"/>
        </w:rPr>
        <w:footnoteRef/>
      </w:r>
      <w:r>
        <w:tab/>
      </w:r>
      <w:proofErr w:type="gramStart"/>
      <w:r>
        <w:t>Committee on Economic, Social and Cultural Rights, General comments No. 12, para 36-39, No. 15, para.</w:t>
      </w:r>
      <w:proofErr w:type="gramEnd"/>
      <w:r>
        <w:t xml:space="preserve"> </w:t>
      </w:r>
      <w:proofErr w:type="gramStart"/>
      <w:r>
        <w:t>30-36 and No. 19, para.</w:t>
      </w:r>
      <w:proofErr w:type="gramEnd"/>
      <w:r>
        <w:t xml:space="preserve"> 52-58; Concluding Observations relating to </w:t>
      </w:r>
      <w:proofErr w:type="gramStart"/>
      <w:r>
        <w:t>Austria  E</w:t>
      </w:r>
      <w:proofErr w:type="gramEnd"/>
      <w:r>
        <w:t>/C.12/AUT/CO/4, para 11-12; Belgium C.12/BEL/CO/4, para 22; China, E/C.12/CHN/CO/2, para 12-13; Germany E/C.12/DEU/CO/5, para 9-11; Switzerland, E/C.12/CHE/CO/2-3, para. 24. Similar General Comments and Concluding Observations relating to the extraterritorial application of international human rights treaties have be</w:t>
      </w:r>
      <w:r w:rsidR="00747061">
        <w:t>en made by other treaty bodies.</w:t>
      </w:r>
    </w:p>
  </w:footnote>
  <w:footnote w:id="16">
    <w:p w:rsidR="00017C92" w:rsidRPr="00E06628" w:rsidRDefault="00017C92">
      <w:pPr>
        <w:pStyle w:val="FootnoteText"/>
      </w:pPr>
      <w:r>
        <w:tab/>
      </w:r>
      <w:r>
        <w:rPr>
          <w:rStyle w:val="FootnoteReference"/>
        </w:rPr>
        <w:footnoteRef/>
      </w:r>
      <w:r>
        <w:tab/>
        <w:t xml:space="preserve">Article 6 (1) TEU, Charter </w:t>
      </w:r>
      <w:r>
        <w:rPr>
          <w:lang w:val="en"/>
        </w:rPr>
        <w:t>of Fundamental Rights of the European Union, Articles 26, 27, 31, 34, 35.</w:t>
      </w:r>
    </w:p>
  </w:footnote>
  <w:footnote w:id="17">
    <w:p w:rsidR="00017C92" w:rsidRPr="009B179D" w:rsidRDefault="00017C92" w:rsidP="00AD1B4E">
      <w:pPr>
        <w:pStyle w:val="FootnoteText"/>
      </w:pPr>
      <w:r>
        <w:tab/>
      </w:r>
      <w:r>
        <w:rPr>
          <w:rStyle w:val="FootnoteReference"/>
        </w:rPr>
        <w:footnoteRef/>
      </w:r>
      <w:r>
        <w:tab/>
        <w:t xml:space="preserve">See as well the position of Advocate General J. </w:t>
      </w:r>
      <w:proofErr w:type="spellStart"/>
      <w:r>
        <w:t>Kokott</w:t>
      </w:r>
      <w:proofErr w:type="spellEnd"/>
      <w:r>
        <w:t xml:space="preserve"> in the </w:t>
      </w:r>
      <w:r w:rsidRPr="00CF45D1">
        <w:rPr>
          <w:i/>
        </w:rPr>
        <w:t xml:space="preserve">Pringle </w:t>
      </w:r>
      <w:r>
        <w:t xml:space="preserve">case, Case C-370/12 of 27 November 2012, para 178; Salomon, M, Of Austerity, human rights and international institutions, European Law Journal No. 4 (2015) and De </w:t>
      </w:r>
      <w:proofErr w:type="spellStart"/>
      <w:r>
        <w:t>Schutter</w:t>
      </w:r>
      <w:proofErr w:type="spellEnd"/>
      <w:r>
        <w:t xml:space="preserve">, O. and M. Salomon, Economic political conditionality, social-economic rights and International legal Responsibility. The Case of Greece 2010-2015, available at: </w:t>
      </w:r>
      <w:r w:rsidRPr="00CF45D1">
        <w:t>http://www.lse.ac.uk/humanRights/documents/2015/SalomonDeSchutterGreekDebtTruth.pdf</w:t>
      </w:r>
    </w:p>
  </w:footnote>
  <w:footnote w:id="18">
    <w:p w:rsidR="00017C92" w:rsidRPr="005A7837" w:rsidRDefault="00017C92" w:rsidP="00AD1B4E">
      <w:pPr>
        <w:pStyle w:val="FootnoteText"/>
        <w:rPr>
          <w:szCs w:val="18"/>
          <w:lang w:val="en-US"/>
        </w:rPr>
      </w:pPr>
      <w:r>
        <w:rPr>
          <w:szCs w:val="18"/>
        </w:rPr>
        <w:tab/>
      </w:r>
      <w:r w:rsidRPr="005A7837">
        <w:rPr>
          <w:rStyle w:val="FootnoteReference"/>
          <w:szCs w:val="18"/>
        </w:rPr>
        <w:footnoteRef/>
      </w:r>
      <w:r>
        <w:rPr>
          <w:szCs w:val="18"/>
        </w:rPr>
        <w:tab/>
      </w:r>
      <w:r>
        <w:rPr>
          <w:rFonts w:cs="Sabon MT"/>
          <w:color w:val="000000"/>
          <w:szCs w:val="18"/>
        </w:rPr>
        <w:t xml:space="preserve">A </w:t>
      </w:r>
      <w:proofErr w:type="spellStart"/>
      <w:r>
        <w:rPr>
          <w:rFonts w:cs="Sabon MT"/>
          <w:color w:val="000000"/>
          <w:szCs w:val="18"/>
        </w:rPr>
        <w:t>Bogdandy</w:t>
      </w:r>
      <w:proofErr w:type="spellEnd"/>
      <w:r>
        <w:rPr>
          <w:rFonts w:cs="Sabon MT"/>
          <w:color w:val="000000"/>
          <w:szCs w:val="18"/>
        </w:rPr>
        <w:t xml:space="preserve"> and M </w:t>
      </w:r>
      <w:proofErr w:type="spellStart"/>
      <w:r>
        <w:rPr>
          <w:rFonts w:cs="Sabon MT"/>
          <w:color w:val="000000"/>
          <w:szCs w:val="18"/>
        </w:rPr>
        <w:t>Goldmann</w:t>
      </w:r>
      <w:proofErr w:type="spellEnd"/>
      <w:r>
        <w:rPr>
          <w:rFonts w:cs="Sabon MT"/>
          <w:color w:val="000000"/>
          <w:szCs w:val="18"/>
        </w:rPr>
        <w:t xml:space="preserve">, </w:t>
      </w:r>
      <w:r w:rsidRPr="005A7837">
        <w:rPr>
          <w:rFonts w:cs="Sabon MT"/>
          <w:color w:val="000000"/>
          <w:szCs w:val="18"/>
        </w:rPr>
        <w:t>Sovereign Debt Restructurings as Exercises of International Public Authority: Towards a Decentralized Sovereign Insolvency Law in Esposito et al (</w:t>
      </w:r>
      <w:proofErr w:type="spellStart"/>
      <w:r w:rsidRPr="005A7837">
        <w:rPr>
          <w:rFonts w:cs="Sabon MT"/>
          <w:color w:val="000000"/>
          <w:szCs w:val="18"/>
        </w:rPr>
        <w:t>eds</w:t>
      </w:r>
      <w:proofErr w:type="spellEnd"/>
      <w:r w:rsidRPr="005A7837">
        <w:rPr>
          <w:rFonts w:cs="Sabon MT"/>
          <w:color w:val="000000"/>
          <w:szCs w:val="18"/>
        </w:rPr>
        <w:t xml:space="preserve">), </w:t>
      </w:r>
      <w:r w:rsidRPr="005A7837">
        <w:rPr>
          <w:rFonts w:cs="Sabon MT"/>
          <w:i/>
          <w:iCs/>
          <w:color w:val="000000"/>
          <w:szCs w:val="18"/>
        </w:rPr>
        <w:t xml:space="preserve">Sovereign Financing and International Law: The UNCTAD Principles on Responsible Sovereign Lending and Borrowing </w:t>
      </w:r>
      <w:r w:rsidRPr="005A7837">
        <w:rPr>
          <w:rFonts w:cs="Sabon MT"/>
          <w:color w:val="000000"/>
          <w:szCs w:val="18"/>
        </w:rPr>
        <w:t>(New York, Oxford University Press, 2013) 39.</w:t>
      </w:r>
    </w:p>
  </w:footnote>
  <w:footnote w:id="19">
    <w:p w:rsidR="00017C92" w:rsidRPr="00A24389" w:rsidRDefault="00017C92">
      <w:pPr>
        <w:pStyle w:val="FootnoteText"/>
        <w:rPr>
          <w:lang w:val="es-ES"/>
        </w:rPr>
      </w:pPr>
      <w:r>
        <w:tab/>
      </w:r>
      <w:r>
        <w:rPr>
          <w:rStyle w:val="FootnoteReference"/>
        </w:rPr>
        <w:footnoteRef/>
      </w:r>
      <w:r w:rsidRPr="00A24389">
        <w:rPr>
          <w:lang w:val="es-ES"/>
        </w:rPr>
        <w:tab/>
        <w:t>A/HRC/20/23. para. 40.</w:t>
      </w:r>
    </w:p>
  </w:footnote>
  <w:footnote w:id="20">
    <w:p w:rsidR="00017C92" w:rsidRPr="00A24389" w:rsidRDefault="00017C92" w:rsidP="00F26A27">
      <w:pPr>
        <w:pStyle w:val="FootnoteText"/>
        <w:rPr>
          <w:lang w:val="es-ES"/>
        </w:rPr>
      </w:pPr>
      <w:r w:rsidRPr="00A24389">
        <w:rPr>
          <w:lang w:val="es-ES"/>
        </w:rPr>
        <w:tab/>
      </w:r>
      <w:r>
        <w:rPr>
          <w:rStyle w:val="FootnoteReference"/>
        </w:rPr>
        <w:footnoteRef/>
      </w:r>
      <w:r w:rsidRPr="00A24389">
        <w:rPr>
          <w:lang w:val="es-ES"/>
        </w:rPr>
        <w:tab/>
        <w:t>A/HRC/21/39, para 61 and 92.</w:t>
      </w:r>
    </w:p>
  </w:footnote>
  <w:footnote w:id="21">
    <w:p w:rsidR="00017C92" w:rsidRPr="00223E75" w:rsidRDefault="00017C92">
      <w:pPr>
        <w:pStyle w:val="FootnoteText"/>
      </w:pPr>
      <w:r w:rsidRPr="00A24389">
        <w:rPr>
          <w:lang w:val="es-ES"/>
        </w:rPr>
        <w:tab/>
      </w:r>
      <w:r>
        <w:rPr>
          <w:rStyle w:val="FootnoteReference"/>
        </w:rPr>
        <w:footnoteRef/>
      </w:r>
      <w:r w:rsidRPr="00CC57F1">
        <w:rPr>
          <w:lang w:val="es-ES"/>
        </w:rPr>
        <w:tab/>
        <w:t xml:space="preserve">CRC/C/GRC/CO/2-3, para. 29; CEDAW/C/GRC/CO/7, para 40, </w:t>
      </w:r>
      <w:r w:rsidRPr="00CC57F1">
        <w:rPr>
          <w:sz w:val="20"/>
          <w:lang w:val="es-ES"/>
        </w:rPr>
        <w:t xml:space="preserve">E/C.12/GRC/CO/2, paras. </w:t>
      </w:r>
      <w:r w:rsidRPr="00A24389">
        <w:rPr>
          <w:sz w:val="20"/>
          <w:lang w:val="en-US"/>
        </w:rPr>
        <w:t>14, 24, 32</w:t>
      </w:r>
      <w:r>
        <w:t xml:space="preserve">; </w:t>
      </w:r>
      <w:r w:rsidRPr="00223E75">
        <w:t>A/HRC/25/50/Add.1, para 91</w:t>
      </w:r>
      <w:r>
        <w:t xml:space="preserve">; GNCHR, Impact Assessment on Human Rights as an instrument for the protection of human rights in times of Crisis (in Greek), available at: </w:t>
      </w:r>
      <w:r w:rsidRPr="00344728">
        <w:t>http://www.nchr.gr/images/pdf/apofaseis/oikonomikh_krish/Dilwsi_EEDA_%20metra_litotitas_2015.pdf</w:t>
      </w:r>
      <w:r w:rsidRPr="00223E75">
        <w:t>.</w:t>
      </w:r>
    </w:p>
  </w:footnote>
  <w:footnote w:id="22">
    <w:p w:rsidR="00017C92" w:rsidRPr="00A52A78" w:rsidRDefault="00017C92" w:rsidP="00885C74">
      <w:pPr>
        <w:pStyle w:val="FootnoteText"/>
      </w:pPr>
      <w:r w:rsidRPr="007829E9">
        <w:tab/>
      </w:r>
      <w:r>
        <w:rPr>
          <w:rStyle w:val="FootnoteReference"/>
        </w:rPr>
        <w:footnoteRef/>
      </w:r>
      <w:r>
        <w:tab/>
        <w:t xml:space="preserve">European Commission, Operational Guidance on taking account of Fundamental Rights in Commission Impact Assessments, from 6 May 2011, </w:t>
      </w:r>
      <w:r w:rsidRPr="00A52A78">
        <w:t>SEC(2011) 567 final, Guidance for Assessing Social Impacts in the Commission Impact Assessment system, Ref. Ares(2009)326974, European Commission, Action Plan on Human Rights and Democracy (2</w:t>
      </w:r>
      <w:r w:rsidR="007C1ACB">
        <w:t>015-2019), JOIN(2015) 16 final.</w:t>
      </w:r>
    </w:p>
  </w:footnote>
  <w:footnote w:id="23">
    <w:p w:rsidR="00017C92" w:rsidRPr="002A18B7" w:rsidRDefault="00017C92" w:rsidP="00137647">
      <w:pPr>
        <w:pStyle w:val="FootnoteText"/>
      </w:pPr>
      <w:r>
        <w:tab/>
      </w:r>
      <w:r>
        <w:rPr>
          <w:rStyle w:val="FootnoteReference"/>
        </w:rPr>
        <w:footnoteRef/>
      </w:r>
      <w:r>
        <w:tab/>
      </w:r>
      <w:proofErr w:type="gramStart"/>
      <w:r>
        <w:t>Guiding Principles on foreign debt and human rights, para 28-32.</w:t>
      </w:r>
      <w:proofErr w:type="gramEnd"/>
    </w:p>
  </w:footnote>
  <w:footnote w:id="24">
    <w:p w:rsidR="00017C92" w:rsidRPr="00166964" w:rsidRDefault="00017C92" w:rsidP="00166964">
      <w:pPr>
        <w:pStyle w:val="FootnoteText"/>
      </w:pPr>
      <w:r>
        <w:tab/>
      </w:r>
      <w:r w:rsidRPr="00620BC9">
        <w:rPr>
          <w:vertAlign w:val="superscript"/>
        </w:rPr>
        <w:footnoteRef/>
      </w:r>
      <w:r>
        <w:tab/>
      </w:r>
      <w:proofErr w:type="gramStart"/>
      <w:r>
        <w:t xml:space="preserve">European Parliament Resolution </w:t>
      </w:r>
      <w:r w:rsidRPr="00166964">
        <w:t>(2013/2277(INI))</w:t>
      </w:r>
      <w:r>
        <w:t>, of 13 March 2014 para.</w:t>
      </w:r>
      <w:proofErr w:type="gramEnd"/>
      <w:r>
        <w:t xml:space="preserve"> </w:t>
      </w:r>
      <w:proofErr w:type="gramStart"/>
      <w:r>
        <w:t>30 and 56.</w:t>
      </w:r>
      <w:proofErr w:type="gramEnd"/>
    </w:p>
  </w:footnote>
  <w:footnote w:id="25">
    <w:p w:rsidR="00017C92" w:rsidRPr="00765433" w:rsidRDefault="00017C92">
      <w:pPr>
        <w:pStyle w:val="FootnoteText"/>
      </w:pPr>
      <w:r>
        <w:tab/>
      </w:r>
      <w:r>
        <w:rPr>
          <w:rStyle w:val="FootnoteReference"/>
        </w:rPr>
        <w:footnoteRef/>
      </w:r>
      <w:r>
        <w:tab/>
        <w:t xml:space="preserve"> </w:t>
      </w:r>
      <w:r w:rsidRPr="007532C3">
        <w:rPr>
          <w:szCs w:val="18"/>
        </w:rPr>
        <w:t xml:space="preserve">European Commission, </w:t>
      </w:r>
      <w:r w:rsidRPr="007532C3">
        <w:rPr>
          <w:i/>
          <w:szCs w:val="18"/>
        </w:rPr>
        <w:t>Assessment of the Social Impact of the new Stability Support Programme for Greece</w:t>
      </w:r>
      <w:r w:rsidRPr="007532C3">
        <w:rPr>
          <w:szCs w:val="18"/>
        </w:rPr>
        <w:t>, Commission Staff Working Document, 19 A</w:t>
      </w:r>
      <w:r w:rsidR="00B65D48">
        <w:rPr>
          <w:szCs w:val="18"/>
        </w:rPr>
        <w:t>ugust 2015, SWD(2015) 162 final</w:t>
      </w:r>
    </w:p>
  </w:footnote>
  <w:footnote w:id="26">
    <w:p w:rsidR="00017C92" w:rsidRPr="00FE716E" w:rsidRDefault="00017C92">
      <w:pPr>
        <w:pStyle w:val="FootnoteText"/>
      </w:pPr>
      <w:r>
        <w:tab/>
      </w:r>
      <w:r>
        <w:rPr>
          <w:rStyle w:val="FootnoteReference"/>
        </w:rPr>
        <w:footnoteRef/>
      </w:r>
      <w:r w:rsidRPr="00FE716E">
        <w:tab/>
        <w:t>J</w:t>
      </w:r>
      <w:r>
        <w:t>.</w:t>
      </w:r>
      <w:r w:rsidRPr="00FE716E">
        <w:t xml:space="preserve"> Schumacher and B. </w:t>
      </w:r>
      <w:proofErr w:type="spellStart"/>
      <w:r w:rsidRPr="00FE716E">
        <w:t>Weder</w:t>
      </w:r>
      <w:proofErr w:type="spellEnd"/>
      <w:r w:rsidRPr="00FE716E">
        <w:t xml:space="preserve"> di </w:t>
      </w:r>
      <w:proofErr w:type="spellStart"/>
      <w:r w:rsidRPr="00FE716E">
        <w:t>Maruo</w:t>
      </w:r>
      <w:proofErr w:type="spellEnd"/>
      <w:r>
        <w:t>, Diagnosing Greek debt sustainability: Why is it so hard? Brookings Paper on Economic Activity, September 2015.</w:t>
      </w:r>
    </w:p>
  </w:footnote>
  <w:footnote w:id="27">
    <w:p w:rsidR="00017C92" w:rsidRPr="00775D5F" w:rsidRDefault="00017C92">
      <w:pPr>
        <w:pStyle w:val="FootnoteText"/>
      </w:pPr>
      <w:r>
        <w:tab/>
      </w:r>
      <w:r>
        <w:rPr>
          <w:rStyle w:val="FootnoteReference"/>
        </w:rPr>
        <w:footnoteRef/>
      </w:r>
      <w:r>
        <w:tab/>
        <w:t>See IMF country report No. 15/186.</w:t>
      </w:r>
    </w:p>
  </w:footnote>
  <w:footnote w:id="28">
    <w:p w:rsidR="00017C92" w:rsidRPr="001558B7" w:rsidRDefault="00017C92">
      <w:pPr>
        <w:pStyle w:val="FootnoteText"/>
      </w:pPr>
      <w:r>
        <w:tab/>
      </w:r>
      <w:r>
        <w:rPr>
          <w:rStyle w:val="FootnoteReference"/>
        </w:rPr>
        <w:footnoteRef/>
      </w:r>
      <w:r>
        <w:tab/>
        <w:t xml:space="preserve">Reinhart, Carmen M. and </w:t>
      </w:r>
      <w:proofErr w:type="spellStart"/>
      <w:r>
        <w:t>Christoph</w:t>
      </w:r>
      <w:proofErr w:type="spellEnd"/>
      <w:r>
        <w:t xml:space="preserve"> </w:t>
      </w:r>
      <w:proofErr w:type="spellStart"/>
      <w:r>
        <w:t>Trebesch</w:t>
      </w:r>
      <w:proofErr w:type="spellEnd"/>
      <w:r>
        <w:t>, Sovereign Debt relief and its Aftermaths, HKS Faculty Research Working Pape</w:t>
      </w:r>
      <w:r w:rsidR="00B65D48">
        <w:t>r Series, RWP15-028, June 2015.</w:t>
      </w:r>
    </w:p>
  </w:footnote>
  <w:footnote w:id="29">
    <w:p w:rsidR="00017C92" w:rsidRPr="007532C3" w:rsidRDefault="00017C92" w:rsidP="00222385">
      <w:pPr>
        <w:pStyle w:val="FootnoteText"/>
        <w:spacing w:after="60"/>
        <w:rPr>
          <w:szCs w:val="18"/>
        </w:rPr>
      </w:pPr>
      <w:r>
        <w:rPr>
          <w:szCs w:val="18"/>
        </w:rPr>
        <w:tab/>
      </w:r>
      <w:r w:rsidRPr="007532C3">
        <w:rPr>
          <w:rStyle w:val="FootnoteReference"/>
          <w:szCs w:val="18"/>
        </w:rPr>
        <w:footnoteRef/>
      </w:r>
      <w:r>
        <w:rPr>
          <w:szCs w:val="18"/>
        </w:rPr>
        <w:tab/>
      </w:r>
      <w:r w:rsidRPr="007532C3">
        <w:rPr>
          <w:szCs w:val="18"/>
        </w:rPr>
        <w:t xml:space="preserve">See for example Hellenic Parliament, </w:t>
      </w:r>
      <w:r w:rsidRPr="007532C3">
        <w:rPr>
          <w:i/>
          <w:szCs w:val="18"/>
        </w:rPr>
        <w:t>Truth Committee on Public Debt: Preliminary report</w:t>
      </w:r>
      <w:r w:rsidRPr="007532C3">
        <w:rPr>
          <w:szCs w:val="18"/>
        </w:rPr>
        <w:t xml:space="preserve">, (18 June 2015), available at: </w:t>
      </w:r>
      <w:hyperlink r:id="rId1" w:history="1">
        <w:r w:rsidRPr="0038714E">
          <w:rPr>
            <w:rStyle w:val="Hyperlink"/>
            <w:szCs w:val="18"/>
          </w:rPr>
          <w:t>http://www.hellenicparliament.gr/en/Enimerosi/Grafeio-Typou/Deltia-Typou/?press=f660f87e-9410-414c-9476-a4bb016e6c48</w:t>
        </w:r>
      </w:hyperlink>
      <w:r w:rsidR="00B65D48">
        <w:rPr>
          <w:szCs w:val="18"/>
        </w:rPr>
        <w:t>.</w:t>
      </w:r>
    </w:p>
  </w:footnote>
  <w:footnote w:id="30">
    <w:p w:rsidR="00017C92" w:rsidRPr="0077005D" w:rsidRDefault="00017C92" w:rsidP="002F6331">
      <w:pPr>
        <w:pStyle w:val="FootnoteText"/>
        <w:spacing w:after="60"/>
        <w:rPr>
          <w:lang w:val="en-US"/>
        </w:rPr>
      </w:pPr>
      <w:r>
        <w:tab/>
      </w:r>
      <w:r w:rsidRPr="002F6331">
        <w:rPr>
          <w:rStyle w:val="FootnoteReference"/>
        </w:rPr>
        <w:footnoteRef/>
      </w:r>
      <w:r>
        <w:tab/>
      </w:r>
      <w:r w:rsidRPr="002F6331">
        <w:rPr>
          <w:rStyle w:val="FootnoteReference"/>
          <w:vertAlign w:val="baseline"/>
        </w:rPr>
        <w:t xml:space="preserve">See J.P. </w:t>
      </w:r>
      <w:proofErr w:type="spellStart"/>
      <w:r w:rsidRPr="002F6331">
        <w:rPr>
          <w:rStyle w:val="FootnoteReference"/>
          <w:vertAlign w:val="baseline"/>
        </w:rPr>
        <w:t>Bohoslavsky</w:t>
      </w:r>
      <w:proofErr w:type="spellEnd"/>
      <w:r w:rsidRPr="002F6331">
        <w:rPr>
          <w:rStyle w:val="FootnoteReference"/>
          <w:vertAlign w:val="baseline"/>
        </w:rPr>
        <w:t xml:space="preserve"> and M. </w:t>
      </w:r>
      <w:proofErr w:type="spellStart"/>
      <w:r w:rsidRPr="002F6331">
        <w:rPr>
          <w:rStyle w:val="FootnoteReference"/>
          <w:vertAlign w:val="baseline"/>
        </w:rPr>
        <w:t>Goldmann</w:t>
      </w:r>
      <w:proofErr w:type="spellEnd"/>
      <w:r w:rsidRPr="002F6331">
        <w:rPr>
          <w:rStyle w:val="FootnoteReference"/>
          <w:vertAlign w:val="baseline"/>
        </w:rPr>
        <w:t xml:space="preserve">, An Incremental Approach to Sovereign Debt Restructuring: Sovereign Debt Sustainability as a Principle of Public International Law; M. Michael </w:t>
      </w:r>
      <w:proofErr w:type="spellStart"/>
      <w:r w:rsidRPr="002F6331">
        <w:rPr>
          <w:rStyle w:val="FootnoteReference"/>
          <w:vertAlign w:val="baseline"/>
        </w:rPr>
        <w:t>Riegner</w:t>
      </w:r>
      <w:proofErr w:type="spellEnd"/>
      <w:r w:rsidRPr="002F6331">
        <w:rPr>
          <w:rStyle w:val="FootnoteReference"/>
          <w:vertAlign w:val="baseline"/>
        </w:rPr>
        <w:t xml:space="preserve">, Legal Content and Consequences of Sustainability as a Principle in Sovereign Debt Restructuring, both in Yale Journal of International </w:t>
      </w:r>
      <w:r w:rsidR="00B65D48">
        <w:rPr>
          <w:rStyle w:val="FootnoteReference"/>
          <w:vertAlign w:val="baseline"/>
        </w:rPr>
        <w:t>Law Online, 2016 (forthcoming).</w:t>
      </w:r>
    </w:p>
  </w:footnote>
  <w:footnote w:id="31">
    <w:p w:rsidR="00017C92" w:rsidRPr="00F03547" w:rsidRDefault="00017C92" w:rsidP="007849D8">
      <w:pPr>
        <w:pStyle w:val="FootnoteText"/>
        <w:rPr>
          <w:szCs w:val="18"/>
        </w:rPr>
      </w:pPr>
      <w:r w:rsidRPr="00CC12EC">
        <w:rPr>
          <w:szCs w:val="18"/>
        </w:rPr>
        <w:tab/>
      </w:r>
      <w:r w:rsidRPr="00CC12EC">
        <w:rPr>
          <w:rStyle w:val="FootnoteReference"/>
          <w:szCs w:val="18"/>
        </w:rPr>
        <w:footnoteRef/>
      </w:r>
      <w:r w:rsidR="00B65D48">
        <w:rPr>
          <w:szCs w:val="18"/>
        </w:rPr>
        <w:tab/>
      </w:r>
      <w:r w:rsidRPr="00202E36">
        <w:rPr>
          <w:szCs w:val="18"/>
        </w:rPr>
        <w:t>Statement of the Greek National Commission for Human Rights (GNCHR)on the impact of the continuing au</w:t>
      </w:r>
      <w:r>
        <w:rPr>
          <w:szCs w:val="18"/>
        </w:rPr>
        <w:t>s</w:t>
      </w:r>
      <w:r w:rsidRPr="00202E36">
        <w:rPr>
          <w:szCs w:val="18"/>
        </w:rPr>
        <w:t>terity measures on human rights, 15 July 2015</w:t>
      </w:r>
    </w:p>
  </w:footnote>
  <w:footnote w:id="32">
    <w:p w:rsidR="00017C92" w:rsidRPr="00576257" w:rsidRDefault="00017C92">
      <w:pPr>
        <w:pStyle w:val="FootnoteText"/>
      </w:pPr>
      <w:r>
        <w:tab/>
      </w:r>
      <w:r>
        <w:rPr>
          <w:rStyle w:val="FootnoteReference"/>
        </w:rPr>
        <w:footnoteRef/>
      </w:r>
      <w:r>
        <w:tab/>
      </w:r>
      <w:r w:rsidRPr="00576257">
        <w:t>GSEVEE Assessment on macroeconomic performance of Greece and Impact on SMEs, submitted to the Indep</w:t>
      </w:r>
      <w:r>
        <w:t>e</w:t>
      </w:r>
      <w:r w:rsidRPr="00576257">
        <w:t>ndent Expert.</w:t>
      </w:r>
    </w:p>
  </w:footnote>
  <w:footnote w:id="33">
    <w:p w:rsidR="00017C92" w:rsidRPr="00B021B4" w:rsidRDefault="00017C92" w:rsidP="00B65D48">
      <w:pPr>
        <w:pStyle w:val="FootnoteText"/>
      </w:pPr>
      <w:r>
        <w:tab/>
      </w:r>
      <w:r>
        <w:rPr>
          <w:rStyle w:val="FootnoteReference"/>
        </w:rPr>
        <w:footnoteRef/>
      </w:r>
      <w:r>
        <w:tab/>
        <w:t xml:space="preserve">See </w:t>
      </w:r>
      <w:r w:rsidRPr="00B021B4">
        <w:t>European Parliament, Country study Greece</w:t>
      </w:r>
      <w:r>
        <w:t xml:space="preserve">, page 83 and </w:t>
      </w:r>
      <w:r w:rsidRPr="00495610">
        <w:t>http://greece.greekreporter.com/2015/12/31/234857-employees-leave-the-public-sector-due-to-economic-crisis/</w:t>
      </w:r>
    </w:p>
  </w:footnote>
  <w:footnote w:id="34">
    <w:p w:rsidR="00017C92" w:rsidRPr="00017710" w:rsidRDefault="00017C92">
      <w:pPr>
        <w:pStyle w:val="FootnoteText"/>
      </w:pPr>
      <w:r>
        <w:tab/>
      </w:r>
      <w:r>
        <w:rPr>
          <w:rStyle w:val="FootnoteReference"/>
        </w:rPr>
        <w:footnoteRef/>
      </w:r>
      <w:r>
        <w:tab/>
        <w:t>The Independent Expert would like to thank the Ministry of Labour, Social Security and Social Solidarity for a detailed submission of most recent information on the Labour Market based on Eurostat and Hellenic Statistical authority data on which the following information is based.</w:t>
      </w:r>
    </w:p>
  </w:footnote>
  <w:footnote w:id="35">
    <w:p w:rsidR="00017C92" w:rsidRPr="00833DB9" w:rsidRDefault="00017C92">
      <w:pPr>
        <w:pStyle w:val="FootnoteText"/>
      </w:pPr>
      <w:r w:rsidRPr="0041401A">
        <w:rPr>
          <w:lang w:val="en-US"/>
        </w:rPr>
        <w:tab/>
      </w:r>
      <w:r>
        <w:rPr>
          <w:rStyle w:val="FootnoteReference"/>
        </w:rPr>
        <w:footnoteRef/>
      </w:r>
      <w:r>
        <w:tab/>
      </w:r>
      <w:r w:rsidRPr="00833DB9">
        <w:t>Hellenic Statistical Authority, Risk of Poverty, 2014 Survey on Income and Living Conditions</w:t>
      </w:r>
      <w:r>
        <w:t>,</w:t>
      </w:r>
      <w:r w:rsidRPr="00833DB9">
        <w:t xml:space="preserve"> 8 July 2015.</w:t>
      </w:r>
    </w:p>
  </w:footnote>
  <w:footnote w:id="36">
    <w:p w:rsidR="00017C92" w:rsidRPr="00462B85" w:rsidRDefault="00017C92" w:rsidP="00C5435E">
      <w:pPr>
        <w:pStyle w:val="FootnoteText"/>
        <w:spacing w:after="60"/>
        <w:rPr>
          <w:szCs w:val="18"/>
        </w:rPr>
      </w:pPr>
      <w:r>
        <w:rPr>
          <w:szCs w:val="18"/>
        </w:rPr>
        <w:tab/>
      </w:r>
      <w:r w:rsidRPr="00C178C4">
        <w:rPr>
          <w:rStyle w:val="FootnoteReference"/>
          <w:szCs w:val="18"/>
        </w:rPr>
        <w:footnoteRef/>
      </w:r>
      <w:r>
        <w:rPr>
          <w:szCs w:val="18"/>
        </w:rPr>
        <w:tab/>
      </w:r>
      <w:r w:rsidRPr="001D2E9D">
        <w:rPr>
          <w:szCs w:val="18"/>
        </w:rPr>
        <w:t xml:space="preserve">World Health Organization, </w:t>
      </w:r>
      <w:r w:rsidRPr="00930347">
        <w:rPr>
          <w:i/>
          <w:szCs w:val="18"/>
        </w:rPr>
        <w:t>Barriers and facilitating factors in access to health care services in Greece</w:t>
      </w:r>
      <w:r w:rsidRPr="00D87384">
        <w:rPr>
          <w:szCs w:val="18"/>
        </w:rPr>
        <w:t>, Copenhagen, WHO Regional Office for Europe, 2015</w:t>
      </w:r>
      <w:r w:rsidR="009C59C5">
        <w:rPr>
          <w:szCs w:val="18"/>
        </w:rPr>
        <w:t>.</w:t>
      </w:r>
    </w:p>
  </w:footnote>
  <w:footnote w:id="37">
    <w:p w:rsidR="00017C92" w:rsidRPr="00807109" w:rsidRDefault="00017C92" w:rsidP="00E93085">
      <w:pPr>
        <w:pStyle w:val="FootnoteText"/>
      </w:pPr>
      <w:r>
        <w:tab/>
      </w:r>
      <w:r>
        <w:rPr>
          <w:rStyle w:val="FootnoteReference"/>
        </w:rPr>
        <w:footnoteRef/>
      </w:r>
      <w:r>
        <w:tab/>
        <w:t>Eurostat, self-reported unmet needs for medical examination. EU average for the lowest income quintile is 4.9</w:t>
      </w:r>
      <w:r w:rsidR="00396425">
        <w:t>%</w:t>
      </w:r>
      <w:r>
        <w:t>.</w:t>
      </w:r>
    </w:p>
  </w:footnote>
  <w:footnote w:id="38">
    <w:p w:rsidR="00017C92" w:rsidRDefault="00017C92" w:rsidP="009C59C5">
      <w:pPr>
        <w:pStyle w:val="FootnoteText"/>
      </w:pPr>
      <w:r>
        <w:tab/>
      </w:r>
      <w:r>
        <w:rPr>
          <w:rStyle w:val="FootnoteReference"/>
        </w:rPr>
        <w:footnoteRef/>
      </w:r>
      <w:r>
        <w:tab/>
        <w:t>The indicator of having less than 40% of the Median equalised disposable income available may at current consumer prices within Greece mark extreme poverty. It means that an adult living alone has after all social transfers less than 8.41 EUR at her or his disposal per day for housing, food, clothing, hygien</w:t>
      </w:r>
      <w:r w:rsidR="009C59C5">
        <w:t>e, transport, health care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92" w:rsidRPr="00251255" w:rsidRDefault="00017C92">
    <w:pPr>
      <w:pStyle w:val="Header"/>
      <w:rPr>
        <w:lang w:val="fr-CH"/>
      </w:rPr>
    </w:pPr>
    <w:r>
      <w:t>A/HRC/</w:t>
    </w:r>
    <w:r>
      <w:rPr>
        <w:lang w:val="fr-CH"/>
      </w:rPr>
      <w:t>31</w:t>
    </w:r>
    <w:r>
      <w:t>/</w:t>
    </w:r>
    <w:r>
      <w:rPr>
        <w:lang w:val="fr-CH"/>
      </w:rPr>
      <w:t>60</w:t>
    </w:r>
    <w:r>
      <w:t>/Add.</w:t>
    </w:r>
    <w:r>
      <w:rPr>
        <w:lang w:val="fr-CH"/>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92" w:rsidRDefault="00017C92">
    <w:pPr>
      <w:pStyle w:val="Header"/>
      <w:jc w:val="right"/>
      <w:rPr>
        <w:lang w:val="en-GB"/>
      </w:rPr>
    </w:pPr>
    <w:r>
      <w:t>A/HRC/</w:t>
    </w:r>
    <w:r>
      <w:rPr>
        <w:lang w:val="fr-CH"/>
      </w:rPr>
      <w:t>31</w:t>
    </w:r>
    <w:r>
      <w:t>/</w:t>
    </w:r>
    <w:r>
      <w:rPr>
        <w:lang w:val="fr-CH"/>
      </w:rPr>
      <w:t>60</w:t>
    </w:r>
    <w:r>
      <w:t>/Add.</w:t>
    </w:r>
    <w:r>
      <w:rPr>
        <w:lang w:val="fr-CH"/>
      </w:rPr>
      <w:t>2</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C92" w:rsidRPr="00A02D87" w:rsidRDefault="00017C92" w:rsidP="00A02D87">
    <w:pPr>
      <w:pStyle w:val="Header"/>
      <w:jc w:val="cent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227578"/>
    <w:lvl w:ilvl="0">
      <w:numFmt w:val="bullet"/>
      <w:lvlText w:val="*"/>
      <w:lvlJc w:val="left"/>
    </w:lvl>
  </w:abstractNum>
  <w:abstractNum w:abstractNumId="1">
    <w:nsid w:val="007F3AB8"/>
    <w:multiLevelType w:val="hybridMultilevel"/>
    <w:tmpl w:val="57246FAC"/>
    <w:lvl w:ilvl="0" w:tplc="AAA29C2C">
      <w:start w:val="1"/>
      <w:numFmt w:val="upperLetter"/>
      <w:lvlText w:val="%1."/>
      <w:lvlJc w:val="left"/>
      <w:pPr>
        <w:ind w:left="1560" w:hanging="420"/>
      </w:pPr>
      <w:rPr>
        <w:rFonts w:hint="default"/>
        <w:b w:val="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nsid w:val="018C0A18"/>
    <w:multiLevelType w:val="hybridMultilevel"/>
    <w:tmpl w:val="140E9E30"/>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1E626AF"/>
    <w:multiLevelType w:val="hybridMultilevel"/>
    <w:tmpl w:val="9142FA48"/>
    <w:lvl w:ilvl="0" w:tplc="D6BA3166">
      <w:start w:val="1"/>
      <w:numFmt w:val="decimal"/>
      <w:lvlText w:val="%1."/>
      <w:lvlJc w:val="left"/>
      <w:pPr>
        <w:ind w:left="1548"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32E66F64"/>
    <w:multiLevelType w:val="hybridMultilevel"/>
    <w:tmpl w:val="9142FA48"/>
    <w:lvl w:ilvl="0" w:tplc="D6BA3166">
      <w:start w:val="1"/>
      <w:numFmt w:val="decimal"/>
      <w:lvlText w:val="%1."/>
      <w:lvlJc w:val="left"/>
      <w:pPr>
        <w:ind w:left="1690"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nsid w:val="34317EDD"/>
    <w:multiLevelType w:val="hybridMultilevel"/>
    <w:tmpl w:val="9142FA48"/>
    <w:lvl w:ilvl="0" w:tplc="D6BA3166">
      <w:start w:val="1"/>
      <w:numFmt w:val="decimal"/>
      <w:lvlText w:val="%1."/>
      <w:lvlJc w:val="left"/>
      <w:pPr>
        <w:ind w:left="1690"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4B497857"/>
    <w:multiLevelType w:val="hybridMultilevel"/>
    <w:tmpl w:val="23E2117C"/>
    <w:lvl w:ilvl="0" w:tplc="DE16B1B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8">
    <w:nsid w:val="50970944"/>
    <w:multiLevelType w:val="hybridMultilevel"/>
    <w:tmpl w:val="23E2117C"/>
    <w:lvl w:ilvl="0" w:tplc="DE16B1B6">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9">
    <w:nsid w:val="53802488"/>
    <w:multiLevelType w:val="hybridMultilevel"/>
    <w:tmpl w:val="9142FA48"/>
    <w:lvl w:ilvl="0" w:tplc="D6BA3166">
      <w:start w:val="1"/>
      <w:numFmt w:val="decimal"/>
      <w:lvlText w:val="%1."/>
      <w:lvlJc w:val="left"/>
      <w:pPr>
        <w:ind w:left="1690"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5EA76C67"/>
    <w:multiLevelType w:val="hybridMultilevel"/>
    <w:tmpl w:val="9142FA48"/>
    <w:lvl w:ilvl="0" w:tplc="D6BA3166">
      <w:start w:val="1"/>
      <w:numFmt w:val="decimal"/>
      <w:lvlText w:val="%1."/>
      <w:lvlJc w:val="left"/>
      <w:pPr>
        <w:ind w:left="1690"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6120455D"/>
    <w:multiLevelType w:val="hybridMultilevel"/>
    <w:tmpl w:val="9142FA48"/>
    <w:lvl w:ilvl="0" w:tplc="D6BA3166">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nsid w:val="62615D1C"/>
    <w:multiLevelType w:val="hybridMultilevel"/>
    <w:tmpl w:val="4AE21CCE"/>
    <w:lvl w:ilvl="0" w:tplc="A7304BDA">
      <w:start w:val="1"/>
      <w:numFmt w:val="upp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2951E39"/>
    <w:multiLevelType w:val="hybridMultilevel"/>
    <w:tmpl w:val="AB263BBC"/>
    <w:lvl w:ilvl="0" w:tplc="C06C6D26">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nsid w:val="75FF1865"/>
    <w:multiLevelType w:val="hybridMultilevel"/>
    <w:tmpl w:val="5E7E87EE"/>
    <w:lvl w:ilvl="0" w:tplc="2798402C">
      <w:start w:val="1"/>
      <w:numFmt w:val="upp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nsid w:val="7E04396A"/>
    <w:multiLevelType w:val="hybridMultilevel"/>
    <w:tmpl w:val="9142FA48"/>
    <w:lvl w:ilvl="0" w:tplc="D6BA3166">
      <w:start w:val="1"/>
      <w:numFmt w:val="decimal"/>
      <w:lvlText w:val="%1."/>
      <w:lvlJc w:val="left"/>
      <w:pPr>
        <w:ind w:left="1690"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3"/>
  </w:num>
  <w:num w:numId="2">
    <w:abstractNumId w:val="13"/>
  </w:num>
  <w:num w:numId="3">
    <w:abstractNumId w:val="16"/>
  </w:num>
  <w:num w:numId="4">
    <w:abstractNumId w:val="14"/>
  </w:num>
  <w:num w:numId="5">
    <w:abstractNumId w:val="12"/>
  </w:num>
  <w:num w:numId="6">
    <w:abstractNumId w:val="7"/>
  </w:num>
  <w:num w:numId="7">
    <w:abstractNumId w:val="1"/>
  </w:num>
  <w:num w:numId="8">
    <w:abstractNumId w:val="15"/>
  </w:num>
  <w:num w:numId="9">
    <w:abstractNumId w:val="2"/>
  </w:num>
  <w:num w:numId="10">
    <w:abstractNumId w:val="11"/>
  </w:num>
  <w:num w:numId="11">
    <w:abstractNumId w:val="4"/>
  </w:num>
  <w:num w:numId="12">
    <w:abstractNumId w:val="8"/>
  </w:num>
  <w:num w:numId="13">
    <w:abstractNumId w:val="5"/>
  </w:num>
  <w:num w:numId="14">
    <w:abstractNumId w:val="6"/>
  </w:num>
  <w:num w:numId="15">
    <w:abstractNumId w:val="9"/>
  </w:num>
  <w:num w:numId="16">
    <w:abstractNumId w:val="0"/>
    <w:lvlOverride w:ilvl="0">
      <w:lvl w:ilvl="0">
        <w:numFmt w:val="bullet"/>
        <w:lvlText w:val=""/>
        <w:legacy w:legacy="1" w:legacySpace="0" w:legacyIndent="0"/>
        <w:lvlJc w:val="left"/>
        <w:rPr>
          <w:rFonts w:ascii="Symbol" w:hAnsi="Symbol" w:hint="default"/>
          <w:sz w:val="22"/>
        </w:rPr>
      </w:lvl>
    </w:lvlOverride>
  </w:num>
  <w:num w:numId="1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US" w:vendorID="64" w:dllVersion="131077" w:nlCheck="1" w:checkStyle="1"/>
  <w:activeWritingStyle w:appName="MSWord" w:lang="en-CA" w:vendorID="64" w:dllVersion="131077" w:nlCheck="1" w:checkStyle="1"/>
  <w:activeWritingStyle w:appName="MSWord" w:lang="de-DE" w:vendorID="64" w:dllVersion="131078" w:nlCheck="1" w:checkStyle="1"/>
  <w:activeWritingStyle w:appName="MSWord" w:lang="es-ES_tradnl" w:vendorID="64" w:dllVersion="131078" w:nlCheck="1" w:checkStyle="1"/>
  <w:activeWritingStyle w:appName="MSWord" w:lang="en-AU" w:vendorID="64" w:dllVersion="131078" w:nlCheck="1" w:checkStyle="1"/>
  <w:activeWritingStyle w:appName="MSWord" w:lang="en-ZA" w:vendorID="64" w:dllVersion="131078" w:nlCheck="1" w:checkStyle="1"/>
  <w:activeWritingStyle w:appName="MSWord" w:lang="es-AR" w:vendorID="64" w:dllVersion="131078" w:nlCheck="1" w:checkStyle="1"/>
  <w:proofState w:spelling="clean" w:grammar="clean"/>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8E"/>
    <w:rsid w:val="00000DFD"/>
    <w:rsid w:val="00001766"/>
    <w:rsid w:val="00001D46"/>
    <w:rsid w:val="000031E6"/>
    <w:rsid w:val="00004338"/>
    <w:rsid w:val="00005AE5"/>
    <w:rsid w:val="00010AF4"/>
    <w:rsid w:val="00012B93"/>
    <w:rsid w:val="00012E25"/>
    <w:rsid w:val="00013F05"/>
    <w:rsid w:val="00015D8D"/>
    <w:rsid w:val="00016BA0"/>
    <w:rsid w:val="00017710"/>
    <w:rsid w:val="00017C92"/>
    <w:rsid w:val="00021260"/>
    <w:rsid w:val="00021C54"/>
    <w:rsid w:val="00022198"/>
    <w:rsid w:val="00023507"/>
    <w:rsid w:val="0002467C"/>
    <w:rsid w:val="000247AE"/>
    <w:rsid w:val="0002606C"/>
    <w:rsid w:val="0003388B"/>
    <w:rsid w:val="00033F43"/>
    <w:rsid w:val="00034494"/>
    <w:rsid w:val="0003542C"/>
    <w:rsid w:val="00035710"/>
    <w:rsid w:val="00035891"/>
    <w:rsid w:val="000359E3"/>
    <w:rsid w:val="00036CF0"/>
    <w:rsid w:val="00042C11"/>
    <w:rsid w:val="00042ECE"/>
    <w:rsid w:val="00044AE1"/>
    <w:rsid w:val="000459A4"/>
    <w:rsid w:val="00045B4A"/>
    <w:rsid w:val="00050C4A"/>
    <w:rsid w:val="00051C2E"/>
    <w:rsid w:val="00053A30"/>
    <w:rsid w:val="00057738"/>
    <w:rsid w:val="00057911"/>
    <w:rsid w:val="00057B2F"/>
    <w:rsid w:val="00057B36"/>
    <w:rsid w:val="000620F4"/>
    <w:rsid w:val="00062306"/>
    <w:rsid w:val="000626AF"/>
    <w:rsid w:val="00064F58"/>
    <w:rsid w:val="000653DD"/>
    <w:rsid w:val="000655A4"/>
    <w:rsid w:val="00066F3A"/>
    <w:rsid w:val="00072C91"/>
    <w:rsid w:val="000734D1"/>
    <w:rsid w:val="0007703B"/>
    <w:rsid w:val="000778F9"/>
    <w:rsid w:val="00080412"/>
    <w:rsid w:val="0008136F"/>
    <w:rsid w:val="00082A63"/>
    <w:rsid w:val="00083DA7"/>
    <w:rsid w:val="000862DB"/>
    <w:rsid w:val="00086B78"/>
    <w:rsid w:val="000905F3"/>
    <w:rsid w:val="00092613"/>
    <w:rsid w:val="0009379B"/>
    <w:rsid w:val="00094B64"/>
    <w:rsid w:val="00094F13"/>
    <w:rsid w:val="00096CF8"/>
    <w:rsid w:val="000A3C0A"/>
    <w:rsid w:val="000B1898"/>
    <w:rsid w:val="000B1D69"/>
    <w:rsid w:val="000B2393"/>
    <w:rsid w:val="000B3A6B"/>
    <w:rsid w:val="000B4A10"/>
    <w:rsid w:val="000B5AAD"/>
    <w:rsid w:val="000B700F"/>
    <w:rsid w:val="000C02AA"/>
    <w:rsid w:val="000C0701"/>
    <w:rsid w:val="000C12EC"/>
    <w:rsid w:val="000C28F7"/>
    <w:rsid w:val="000C2D28"/>
    <w:rsid w:val="000C363E"/>
    <w:rsid w:val="000C4468"/>
    <w:rsid w:val="000C48D3"/>
    <w:rsid w:val="000C6CDC"/>
    <w:rsid w:val="000C6E2D"/>
    <w:rsid w:val="000C73D3"/>
    <w:rsid w:val="000D0FA4"/>
    <w:rsid w:val="000D1FE6"/>
    <w:rsid w:val="000D3C31"/>
    <w:rsid w:val="000D5658"/>
    <w:rsid w:val="000D69ED"/>
    <w:rsid w:val="000D7F3B"/>
    <w:rsid w:val="000E69F8"/>
    <w:rsid w:val="000E7460"/>
    <w:rsid w:val="000E76F5"/>
    <w:rsid w:val="000F0A88"/>
    <w:rsid w:val="000F22EB"/>
    <w:rsid w:val="000F2A2A"/>
    <w:rsid w:val="000F2E9A"/>
    <w:rsid w:val="000F3CC5"/>
    <w:rsid w:val="000F3EFB"/>
    <w:rsid w:val="000F50EE"/>
    <w:rsid w:val="000F67D3"/>
    <w:rsid w:val="000F6A31"/>
    <w:rsid w:val="000F7F81"/>
    <w:rsid w:val="00100F62"/>
    <w:rsid w:val="00102AED"/>
    <w:rsid w:val="00103D47"/>
    <w:rsid w:val="00103EE8"/>
    <w:rsid w:val="00104F4C"/>
    <w:rsid w:val="00104F69"/>
    <w:rsid w:val="00105487"/>
    <w:rsid w:val="00105654"/>
    <w:rsid w:val="001078BF"/>
    <w:rsid w:val="00107C58"/>
    <w:rsid w:val="00111A99"/>
    <w:rsid w:val="0011227E"/>
    <w:rsid w:val="00113A6B"/>
    <w:rsid w:val="0011442C"/>
    <w:rsid w:val="00114673"/>
    <w:rsid w:val="00120681"/>
    <w:rsid w:val="00120F6C"/>
    <w:rsid w:val="00121868"/>
    <w:rsid w:val="00123A14"/>
    <w:rsid w:val="00123C4C"/>
    <w:rsid w:val="001242D7"/>
    <w:rsid w:val="00124E70"/>
    <w:rsid w:val="00132D39"/>
    <w:rsid w:val="00133DEC"/>
    <w:rsid w:val="00136BA5"/>
    <w:rsid w:val="00137647"/>
    <w:rsid w:val="00137B19"/>
    <w:rsid w:val="00137CDD"/>
    <w:rsid w:val="00137EA7"/>
    <w:rsid w:val="001413CE"/>
    <w:rsid w:val="001443E3"/>
    <w:rsid w:val="00145467"/>
    <w:rsid w:val="0014706F"/>
    <w:rsid w:val="00150CAD"/>
    <w:rsid w:val="001521D8"/>
    <w:rsid w:val="00152F2F"/>
    <w:rsid w:val="00155208"/>
    <w:rsid w:val="00155552"/>
    <w:rsid w:val="001558B7"/>
    <w:rsid w:val="001567CF"/>
    <w:rsid w:val="001576BE"/>
    <w:rsid w:val="001576FC"/>
    <w:rsid w:val="00160422"/>
    <w:rsid w:val="001636E5"/>
    <w:rsid w:val="00164CB9"/>
    <w:rsid w:val="00166964"/>
    <w:rsid w:val="001673BB"/>
    <w:rsid w:val="0017022B"/>
    <w:rsid w:val="001702DF"/>
    <w:rsid w:val="0017086D"/>
    <w:rsid w:val="00171462"/>
    <w:rsid w:val="00172AE7"/>
    <w:rsid w:val="00173E60"/>
    <w:rsid w:val="00175A0B"/>
    <w:rsid w:val="00175F2F"/>
    <w:rsid w:val="00180E76"/>
    <w:rsid w:val="00181786"/>
    <w:rsid w:val="001825B0"/>
    <w:rsid w:val="0018419A"/>
    <w:rsid w:val="001847EA"/>
    <w:rsid w:val="0018492C"/>
    <w:rsid w:val="00184E47"/>
    <w:rsid w:val="001851DA"/>
    <w:rsid w:val="001859E5"/>
    <w:rsid w:val="00187663"/>
    <w:rsid w:val="00192E7B"/>
    <w:rsid w:val="0019640C"/>
    <w:rsid w:val="00196A61"/>
    <w:rsid w:val="00196D77"/>
    <w:rsid w:val="001A09DB"/>
    <w:rsid w:val="001A0D46"/>
    <w:rsid w:val="001A1FC8"/>
    <w:rsid w:val="001A218F"/>
    <w:rsid w:val="001A351F"/>
    <w:rsid w:val="001A3702"/>
    <w:rsid w:val="001A38DC"/>
    <w:rsid w:val="001A3BCD"/>
    <w:rsid w:val="001A73CC"/>
    <w:rsid w:val="001B1365"/>
    <w:rsid w:val="001B139D"/>
    <w:rsid w:val="001B1ECA"/>
    <w:rsid w:val="001B26C4"/>
    <w:rsid w:val="001B2817"/>
    <w:rsid w:val="001B2D42"/>
    <w:rsid w:val="001B2D80"/>
    <w:rsid w:val="001B6806"/>
    <w:rsid w:val="001B7B54"/>
    <w:rsid w:val="001B7BB9"/>
    <w:rsid w:val="001C087B"/>
    <w:rsid w:val="001C0AD3"/>
    <w:rsid w:val="001C1CAD"/>
    <w:rsid w:val="001C2DBA"/>
    <w:rsid w:val="001C5012"/>
    <w:rsid w:val="001C5F6C"/>
    <w:rsid w:val="001C6159"/>
    <w:rsid w:val="001C6E7E"/>
    <w:rsid w:val="001D1894"/>
    <w:rsid w:val="001D2E9D"/>
    <w:rsid w:val="001D4413"/>
    <w:rsid w:val="001D45B8"/>
    <w:rsid w:val="001D752F"/>
    <w:rsid w:val="001E0C83"/>
    <w:rsid w:val="001E3FFC"/>
    <w:rsid w:val="001E6A38"/>
    <w:rsid w:val="001F098C"/>
    <w:rsid w:val="001F0B07"/>
    <w:rsid w:val="001F0D33"/>
    <w:rsid w:val="001F2861"/>
    <w:rsid w:val="001F2C3D"/>
    <w:rsid w:val="001F3ED1"/>
    <w:rsid w:val="001F6706"/>
    <w:rsid w:val="001F7B23"/>
    <w:rsid w:val="00202E36"/>
    <w:rsid w:val="002059C0"/>
    <w:rsid w:val="002073F6"/>
    <w:rsid w:val="0020749C"/>
    <w:rsid w:val="00210E3B"/>
    <w:rsid w:val="00210FF9"/>
    <w:rsid w:val="0021114E"/>
    <w:rsid w:val="00211E92"/>
    <w:rsid w:val="00213831"/>
    <w:rsid w:val="002142FE"/>
    <w:rsid w:val="002157A9"/>
    <w:rsid w:val="00215EC7"/>
    <w:rsid w:val="00217456"/>
    <w:rsid w:val="00222385"/>
    <w:rsid w:val="00223E75"/>
    <w:rsid w:val="002242D7"/>
    <w:rsid w:val="002256E9"/>
    <w:rsid w:val="00225B4A"/>
    <w:rsid w:val="00225D45"/>
    <w:rsid w:val="002275CC"/>
    <w:rsid w:val="00230713"/>
    <w:rsid w:val="00230F24"/>
    <w:rsid w:val="0023474C"/>
    <w:rsid w:val="002360A1"/>
    <w:rsid w:val="00236BB5"/>
    <w:rsid w:val="00236F5A"/>
    <w:rsid w:val="00240427"/>
    <w:rsid w:val="00241004"/>
    <w:rsid w:val="00245E2D"/>
    <w:rsid w:val="0024748E"/>
    <w:rsid w:val="00250018"/>
    <w:rsid w:val="00251255"/>
    <w:rsid w:val="002531C2"/>
    <w:rsid w:val="00254DFA"/>
    <w:rsid w:val="00255F80"/>
    <w:rsid w:val="00257240"/>
    <w:rsid w:val="00261249"/>
    <w:rsid w:val="00266EFA"/>
    <w:rsid w:val="00272442"/>
    <w:rsid w:val="002728D3"/>
    <w:rsid w:val="002734F0"/>
    <w:rsid w:val="00275154"/>
    <w:rsid w:val="00277C62"/>
    <w:rsid w:val="002811B2"/>
    <w:rsid w:val="00281E4A"/>
    <w:rsid w:val="002820B8"/>
    <w:rsid w:val="0028257F"/>
    <w:rsid w:val="00282729"/>
    <w:rsid w:val="002828ED"/>
    <w:rsid w:val="00284106"/>
    <w:rsid w:val="00284609"/>
    <w:rsid w:val="002853B3"/>
    <w:rsid w:val="00285936"/>
    <w:rsid w:val="00287A89"/>
    <w:rsid w:val="002909BA"/>
    <w:rsid w:val="00290CD3"/>
    <w:rsid w:val="0029390C"/>
    <w:rsid w:val="002A0BC8"/>
    <w:rsid w:val="002A0E95"/>
    <w:rsid w:val="002A18B7"/>
    <w:rsid w:val="002A7557"/>
    <w:rsid w:val="002B22E4"/>
    <w:rsid w:val="002B3C5E"/>
    <w:rsid w:val="002B46AB"/>
    <w:rsid w:val="002B4A0E"/>
    <w:rsid w:val="002B7F78"/>
    <w:rsid w:val="002C21C8"/>
    <w:rsid w:val="002C31BF"/>
    <w:rsid w:val="002C598F"/>
    <w:rsid w:val="002C6F67"/>
    <w:rsid w:val="002C7D1F"/>
    <w:rsid w:val="002D312A"/>
    <w:rsid w:val="002D5350"/>
    <w:rsid w:val="002D6074"/>
    <w:rsid w:val="002E0FCA"/>
    <w:rsid w:val="002E1430"/>
    <w:rsid w:val="002E4DB4"/>
    <w:rsid w:val="002E7EDE"/>
    <w:rsid w:val="002F11B9"/>
    <w:rsid w:val="002F1515"/>
    <w:rsid w:val="002F340D"/>
    <w:rsid w:val="002F6331"/>
    <w:rsid w:val="002F6966"/>
    <w:rsid w:val="002F7833"/>
    <w:rsid w:val="002F7C80"/>
    <w:rsid w:val="00300B8D"/>
    <w:rsid w:val="0030164B"/>
    <w:rsid w:val="0030198B"/>
    <w:rsid w:val="003020E4"/>
    <w:rsid w:val="00302D10"/>
    <w:rsid w:val="00303A54"/>
    <w:rsid w:val="00303D52"/>
    <w:rsid w:val="003057FC"/>
    <w:rsid w:val="00305C97"/>
    <w:rsid w:val="0030774F"/>
    <w:rsid w:val="00307E55"/>
    <w:rsid w:val="00310064"/>
    <w:rsid w:val="003132AD"/>
    <w:rsid w:val="00315231"/>
    <w:rsid w:val="0031583F"/>
    <w:rsid w:val="00315E35"/>
    <w:rsid w:val="00316B38"/>
    <w:rsid w:val="003240AE"/>
    <w:rsid w:val="003242F6"/>
    <w:rsid w:val="003247B1"/>
    <w:rsid w:val="00326293"/>
    <w:rsid w:val="003276C3"/>
    <w:rsid w:val="00327BF8"/>
    <w:rsid w:val="003300BE"/>
    <w:rsid w:val="00332307"/>
    <w:rsid w:val="003333DA"/>
    <w:rsid w:val="003351BC"/>
    <w:rsid w:val="003370F0"/>
    <w:rsid w:val="00340A85"/>
    <w:rsid w:val="0034129A"/>
    <w:rsid w:val="00342347"/>
    <w:rsid w:val="00344728"/>
    <w:rsid w:val="0034552A"/>
    <w:rsid w:val="0035050C"/>
    <w:rsid w:val="0035269C"/>
    <w:rsid w:val="00352F8F"/>
    <w:rsid w:val="00355A12"/>
    <w:rsid w:val="00355D53"/>
    <w:rsid w:val="003562E5"/>
    <w:rsid w:val="003604EA"/>
    <w:rsid w:val="00360C14"/>
    <w:rsid w:val="00361086"/>
    <w:rsid w:val="00362A72"/>
    <w:rsid w:val="003654F5"/>
    <w:rsid w:val="00366591"/>
    <w:rsid w:val="003673A6"/>
    <w:rsid w:val="00367796"/>
    <w:rsid w:val="00371B78"/>
    <w:rsid w:val="003751D9"/>
    <w:rsid w:val="00376C2E"/>
    <w:rsid w:val="003770EE"/>
    <w:rsid w:val="003802F0"/>
    <w:rsid w:val="00380880"/>
    <w:rsid w:val="00381A87"/>
    <w:rsid w:val="003846E2"/>
    <w:rsid w:val="003851C4"/>
    <w:rsid w:val="00385FD5"/>
    <w:rsid w:val="00386794"/>
    <w:rsid w:val="00390123"/>
    <w:rsid w:val="00391610"/>
    <w:rsid w:val="00391E04"/>
    <w:rsid w:val="00394450"/>
    <w:rsid w:val="0039563E"/>
    <w:rsid w:val="00395CB2"/>
    <w:rsid w:val="003962A6"/>
    <w:rsid w:val="00396425"/>
    <w:rsid w:val="00397EC3"/>
    <w:rsid w:val="003A1101"/>
    <w:rsid w:val="003A244B"/>
    <w:rsid w:val="003A250B"/>
    <w:rsid w:val="003A4C68"/>
    <w:rsid w:val="003A51F0"/>
    <w:rsid w:val="003A52B9"/>
    <w:rsid w:val="003A6507"/>
    <w:rsid w:val="003A6E3C"/>
    <w:rsid w:val="003A7003"/>
    <w:rsid w:val="003B084E"/>
    <w:rsid w:val="003B08C6"/>
    <w:rsid w:val="003B37BD"/>
    <w:rsid w:val="003B4490"/>
    <w:rsid w:val="003B661C"/>
    <w:rsid w:val="003C2283"/>
    <w:rsid w:val="003C23DB"/>
    <w:rsid w:val="003C5523"/>
    <w:rsid w:val="003C675C"/>
    <w:rsid w:val="003C6BBE"/>
    <w:rsid w:val="003D1F3D"/>
    <w:rsid w:val="003D704E"/>
    <w:rsid w:val="003D72DF"/>
    <w:rsid w:val="003D75F8"/>
    <w:rsid w:val="003E080A"/>
    <w:rsid w:val="003E0D04"/>
    <w:rsid w:val="003E277B"/>
    <w:rsid w:val="003E4AC9"/>
    <w:rsid w:val="003E4C33"/>
    <w:rsid w:val="003E5FA4"/>
    <w:rsid w:val="003E72B4"/>
    <w:rsid w:val="003F1B93"/>
    <w:rsid w:val="00400F00"/>
    <w:rsid w:val="004016C4"/>
    <w:rsid w:val="00403EAF"/>
    <w:rsid w:val="004050EB"/>
    <w:rsid w:val="004051A0"/>
    <w:rsid w:val="00406D99"/>
    <w:rsid w:val="00407E44"/>
    <w:rsid w:val="0041401A"/>
    <w:rsid w:val="004140A2"/>
    <w:rsid w:val="00414C60"/>
    <w:rsid w:val="00415944"/>
    <w:rsid w:val="00415C9D"/>
    <w:rsid w:val="00421A34"/>
    <w:rsid w:val="00422783"/>
    <w:rsid w:val="00422EE2"/>
    <w:rsid w:val="004233CD"/>
    <w:rsid w:val="004249EE"/>
    <w:rsid w:val="00424F0B"/>
    <w:rsid w:val="00426696"/>
    <w:rsid w:val="00427E8F"/>
    <w:rsid w:val="00432610"/>
    <w:rsid w:val="004349E5"/>
    <w:rsid w:val="00435CBD"/>
    <w:rsid w:val="00437997"/>
    <w:rsid w:val="00443CF0"/>
    <w:rsid w:val="00446696"/>
    <w:rsid w:val="004478BE"/>
    <w:rsid w:val="0045163B"/>
    <w:rsid w:val="00451F8F"/>
    <w:rsid w:val="0045446C"/>
    <w:rsid w:val="00454B77"/>
    <w:rsid w:val="0045502D"/>
    <w:rsid w:val="00455CFF"/>
    <w:rsid w:val="004568E9"/>
    <w:rsid w:val="00457863"/>
    <w:rsid w:val="004610F8"/>
    <w:rsid w:val="004626EE"/>
    <w:rsid w:val="00462B85"/>
    <w:rsid w:val="00464293"/>
    <w:rsid w:val="004649DB"/>
    <w:rsid w:val="0046579C"/>
    <w:rsid w:val="00472415"/>
    <w:rsid w:val="00474CDA"/>
    <w:rsid w:val="004772C7"/>
    <w:rsid w:val="00481903"/>
    <w:rsid w:val="0048253D"/>
    <w:rsid w:val="004831CA"/>
    <w:rsid w:val="00483546"/>
    <w:rsid w:val="00484F86"/>
    <w:rsid w:val="0048781D"/>
    <w:rsid w:val="00487FC0"/>
    <w:rsid w:val="0049062C"/>
    <w:rsid w:val="00491153"/>
    <w:rsid w:val="004928EC"/>
    <w:rsid w:val="004937CC"/>
    <w:rsid w:val="004939EF"/>
    <w:rsid w:val="00495131"/>
    <w:rsid w:val="00495610"/>
    <w:rsid w:val="004A0E20"/>
    <w:rsid w:val="004A4D3E"/>
    <w:rsid w:val="004A561E"/>
    <w:rsid w:val="004A7B19"/>
    <w:rsid w:val="004B536F"/>
    <w:rsid w:val="004B62CB"/>
    <w:rsid w:val="004B6360"/>
    <w:rsid w:val="004B741F"/>
    <w:rsid w:val="004C0BDF"/>
    <w:rsid w:val="004C0C04"/>
    <w:rsid w:val="004C2D66"/>
    <w:rsid w:val="004C32A3"/>
    <w:rsid w:val="004C494A"/>
    <w:rsid w:val="004D00E4"/>
    <w:rsid w:val="004D44CF"/>
    <w:rsid w:val="004D461C"/>
    <w:rsid w:val="004D4F8E"/>
    <w:rsid w:val="004E0D9F"/>
    <w:rsid w:val="004E1798"/>
    <w:rsid w:val="004E24AF"/>
    <w:rsid w:val="004E5E8D"/>
    <w:rsid w:val="004F0006"/>
    <w:rsid w:val="004F0509"/>
    <w:rsid w:val="004F07A6"/>
    <w:rsid w:val="004F12F1"/>
    <w:rsid w:val="004F13E0"/>
    <w:rsid w:val="004F1CBE"/>
    <w:rsid w:val="004F311C"/>
    <w:rsid w:val="004F34EF"/>
    <w:rsid w:val="004F3E2C"/>
    <w:rsid w:val="004F57E2"/>
    <w:rsid w:val="005006D0"/>
    <w:rsid w:val="00500CE8"/>
    <w:rsid w:val="00500D40"/>
    <w:rsid w:val="00500E5E"/>
    <w:rsid w:val="00502AA1"/>
    <w:rsid w:val="00505A88"/>
    <w:rsid w:val="00507CCD"/>
    <w:rsid w:val="00510AFD"/>
    <w:rsid w:val="0051144F"/>
    <w:rsid w:val="00511BB7"/>
    <w:rsid w:val="0051202A"/>
    <w:rsid w:val="0051288C"/>
    <w:rsid w:val="005204B0"/>
    <w:rsid w:val="00524309"/>
    <w:rsid w:val="0052532E"/>
    <w:rsid w:val="005259B9"/>
    <w:rsid w:val="00526673"/>
    <w:rsid w:val="0052761B"/>
    <w:rsid w:val="00533BB9"/>
    <w:rsid w:val="00536C73"/>
    <w:rsid w:val="0053791B"/>
    <w:rsid w:val="00540857"/>
    <w:rsid w:val="00542168"/>
    <w:rsid w:val="00542685"/>
    <w:rsid w:val="00543654"/>
    <w:rsid w:val="005458C4"/>
    <w:rsid w:val="00546595"/>
    <w:rsid w:val="00547240"/>
    <w:rsid w:val="0054776C"/>
    <w:rsid w:val="00550FC3"/>
    <w:rsid w:val="005529FD"/>
    <w:rsid w:val="00552DD6"/>
    <w:rsid w:val="00552E6B"/>
    <w:rsid w:val="0055322C"/>
    <w:rsid w:val="00553465"/>
    <w:rsid w:val="005558EB"/>
    <w:rsid w:val="005573E4"/>
    <w:rsid w:val="0056250F"/>
    <w:rsid w:val="005643F7"/>
    <w:rsid w:val="00565507"/>
    <w:rsid w:val="005662ED"/>
    <w:rsid w:val="0057261B"/>
    <w:rsid w:val="00572CBA"/>
    <w:rsid w:val="005730D6"/>
    <w:rsid w:val="00573286"/>
    <w:rsid w:val="00576257"/>
    <w:rsid w:val="00576974"/>
    <w:rsid w:val="00576F0F"/>
    <w:rsid w:val="005812B7"/>
    <w:rsid w:val="005817AD"/>
    <w:rsid w:val="00581D93"/>
    <w:rsid w:val="0058295F"/>
    <w:rsid w:val="00585477"/>
    <w:rsid w:val="00585872"/>
    <w:rsid w:val="00585FD7"/>
    <w:rsid w:val="00586085"/>
    <w:rsid w:val="005869EF"/>
    <w:rsid w:val="00590825"/>
    <w:rsid w:val="00591A77"/>
    <w:rsid w:val="00591FB1"/>
    <w:rsid w:val="00592C87"/>
    <w:rsid w:val="00593D81"/>
    <w:rsid w:val="00594B92"/>
    <w:rsid w:val="00595E00"/>
    <w:rsid w:val="0059691A"/>
    <w:rsid w:val="005A034A"/>
    <w:rsid w:val="005A0C0F"/>
    <w:rsid w:val="005A1367"/>
    <w:rsid w:val="005A184D"/>
    <w:rsid w:val="005A4134"/>
    <w:rsid w:val="005A4DBB"/>
    <w:rsid w:val="005A62B1"/>
    <w:rsid w:val="005A72AF"/>
    <w:rsid w:val="005A7837"/>
    <w:rsid w:val="005B07E0"/>
    <w:rsid w:val="005B29FE"/>
    <w:rsid w:val="005B2DF2"/>
    <w:rsid w:val="005B37F3"/>
    <w:rsid w:val="005B48AA"/>
    <w:rsid w:val="005B735B"/>
    <w:rsid w:val="005B7699"/>
    <w:rsid w:val="005C0747"/>
    <w:rsid w:val="005C10B6"/>
    <w:rsid w:val="005C18EA"/>
    <w:rsid w:val="005C6F1C"/>
    <w:rsid w:val="005D3337"/>
    <w:rsid w:val="005D5563"/>
    <w:rsid w:val="005D584B"/>
    <w:rsid w:val="005D68A7"/>
    <w:rsid w:val="005E026B"/>
    <w:rsid w:val="005E24C8"/>
    <w:rsid w:val="005E440D"/>
    <w:rsid w:val="005E656E"/>
    <w:rsid w:val="005E678F"/>
    <w:rsid w:val="005F0A26"/>
    <w:rsid w:val="005F2C9C"/>
    <w:rsid w:val="005F30DF"/>
    <w:rsid w:val="005F4A36"/>
    <w:rsid w:val="005F5146"/>
    <w:rsid w:val="005F5719"/>
    <w:rsid w:val="005F5A33"/>
    <w:rsid w:val="005F5C49"/>
    <w:rsid w:val="005F6944"/>
    <w:rsid w:val="005F74B3"/>
    <w:rsid w:val="005F7E54"/>
    <w:rsid w:val="00600087"/>
    <w:rsid w:val="006023F1"/>
    <w:rsid w:val="0060481D"/>
    <w:rsid w:val="00604821"/>
    <w:rsid w:val="00604C5A"/>
    <w:rsid w:val="0060703F"/>
    <w:rsid w:val="00607E7D"/>
    <w:rsid w:val="00611372"/>
    <w:rsid w:val="00612E31"/>
    <w:rsid w:val="00613190"/>
    <w:rsid w:val="0061441B"/>
    <w:rsid w:val="00614EC7"/>
    <w:rsid w:val="00616859"/>
    <w:rsid w:val="00620BC9"/>
    <w:rsid w:val="00621AC0"/>
    <w:rsid w:val="006258E6"/>
    <w:rsid w:val="00625A09"/>
    <w:rsid w:val="0062666C"/>
    <w:rsid w:val="006273B4"/>
    <w:rsid w:val="00630143"/>
    <w:rsid w:val="0063072E"/>
    <w:rsid w:val="00631E4E"/>
    <w:rsid w:val="00633164"/>
    <w:rsid w:val="00634F4C"/>
    <w:rsid w:val="00635C1E"/>
    <w:rsid w:val="00642E6C"/>
    <w:rsid w:val="00643A61"/>
    <w:rsid w:val="00645D9C"/>
    <w:rsid w:val="0064608F"/>
    <w:rsid w:val="00650650"/>
    <w:rsid w:val="006506AF"/>
    <w:rsid w:val="00653643"/>
    <w:rsid w:val="00653718"/>
    <w:rsid w:val="0065504C"/>
    <w:rsid w:val="006557CF"/>
    <w:rsid w:val="00655B79"/>
    <w:rsid w:val="006578D9"/>
    <w:rsid w:val="0066082B"/>
    <w:rsid w:val="00660946"/>
    <w:rsid w:val="0066127D"/>
    <w:rsid w:val="00662B18"/>
    <w:rsid w:val="00666A4D"/>
    <w:rsid w:val="00670B2A"/>
    <w:rsid w:val="00671DC7"/>
    <w:rsid w:val="00672DB8"/>
    <w:rsid w:val="0067341B"/>
    <w:rsid w:val="00673954"/>
    <w:rsid w:val="006766D0"/>
    <w:rsid w:val="00676D50"/>
    <w:rsid w:val="00677428"/>
    <w:rsid w:val="0068161B"/>
    <w:rsid w:val="006844FD"/>
    <w:rsid w:val="006853BC"/>
    <w:rsid w:val="00685CFC"/>
    <w:rsid w:val="006863BE"/>
    <w:rsid w:val="00686856"/>
    <w:rsid w:val="0069090B"/>
    <w:rsid w:val="0069151F"/>
    <w:rsid w:val="00692843"/>
    <w:rsid w:val="00694893"/>
    <w:rsid w:val="00694E93"/>
    <w:rsid w:val="00695760"/>
    <w:rsid w:val="00696132"/>
    <w:rsid w:val="00696C63"/>
    <w:rsid w:val="00697A06"/>
    <w:rsid w:val="006A0F40"/>
    <w:rsid w:val="006A4181"/>
    <w:rsid w:val="006A5A0C"/>
    <w:rsid w:val="006B0852"/>
    <w:rsid w:val="006B21AD"/>
    <w:rsid w:val="006B2208"/>
    <w:rsid w:val="006B2EF7"/>
    <w:rsid w:val="006B3220"/>
    <w:rsid w:val="006B6BB3"/>
    <w:rsid w:val="006B7B3F"/>
    <w:rsid w:val="006C0034"/>
    <w:rsid w:val="006C029B"/>
    <w:rsid w:val="006C23DD"/>
    <w:rsid w:val="006C47E0"/>
    <w:rsid w:val="006C6A44"/>
    <w:rsid w:val="006C6A4C"/>
    <w:rsid w:val="006D205D"/>
    <w:rsid w:val="006D210F"/>
    <w:rsid w:val="006D23F4"/>
    <w:rsid w:val="006D248B"/>
    <w:rsid w:val="006D732C"/>
    <w:rsid w:val="006E0170"/>
    <w:rsid w:val="006E2F4A"/>
    <w:rsid w:val="006E40FC"/>
    <w:rsid w:val="006E44B1"/>
    <w:rsid w:val="006E5B2E"/>
    <w:rsid w:val="006E6CE0"/>
    <w:rsid w:val="006E7B5C"/>
    <w:rsid w:val="006F178C"/>
    <w:rsid w:val="006F17C4"/>
    <w:rsid w:val="006F285A"/>
    <w:rsid w:val="006F2CAB"/>
    <w:rsid w:val="006F3D2E"/>
    <w:rsid w:val="006F56D0"/>
    <w:rsid w:val="006F69FB"/>
    <w:rsid w:val="00700A26"/>
    <w:rsid w:val="007034A1"/>
    <w:rsid w:val="0070410D"/>
    <w:rsid w:val="00705CF8"/>
    <w:rsid w:val="007067CF"/>
    <w:rsid w:val="007076E8"/>
    <w:rsid w:val="0071218D"/>
    <w:rsid w:val="00714C59"/>
    <w:rsid w:val="00715684"/>
    <w:rsid w:val="00722601"/>
    <w:rsid w:val="00722B8E"/>
    <w:rsid w:val="00723102"/>
    <w:rsid w:val="00723C89"/>
    <w:rsid w:val="007257D3"/>
    <w:rsid w:val="007278E1"/>
    <w:rsid w:val="007309F1"/>
    <w:rsid w:val="007323E1"/>
    <w:rsid w:val="00734B8E"/>
    <w:rsid w:val="00735B4A"/>
    <w:rsid w:val="007369CF"/>
    <w:rsid w:val="00737B70"/>
    <w:rsid w:val="00741EE3"/>
    <w:rsid w:val="00741FCC"/>
    <w:rsid w:val="00747061"/>
    <w:rsid w:val="0074777F"/>
    <w:rsid w:val="00751587"/>
    <w:rsid w:val="007532C3"/>
    <w:rsid w:val="0075474A"/>
    <w:rsid w:val="00756174"/>
    <w:rsid w:val="007618BE"/>
    <w:rsid w:val="00762BC6"/>
    <w:rsid w:val="00764DED"/>
    <w:rsid w:val="00765433"/>
    <w:rsid w:val="00765DBF"/>
    <w:rsid w:val="007664CF"/>
    <w:rsid w:val="00767E25"/>
    <w:rsid w:val="0077005D"/>
    <w:rsid w:val="00775AFC"/>
    <w:rsid w:val="00775D5F"/>
    <w:rsid w:val="007829E9"/>
    <w:rsid w:val="007847B2"/>
    <w:rsid w:val="007849D8"/>
    <w:rsid w:val="00785D91"/>
    <w:rsid w:val="007903C8"/>
    <w:rsid w:val="00791CEB"/>
    <w:rsid w:val="0079239A"/>
    <w:rsid w:val="0079397B"/>
    <w:rsid w:val="007940AF"/>
    <w:rsid w:val="007951D6"/>
    <w:rsid w:val="00796619"/>
    <w:rsid w:val="007A0CCA"/>
    <w:rsid w:val="007A61C7"/>
    <w:rsid w:val="007B0881"/>
    <w:rsid w:val="007B492B"/>
    <w:rsid w:val="007B52EA"/>
    <w:rsid w:val="007B5842"/>
    <w:rsid w:val="007B68BD"/>
    <w:rsid w:val="007C0B4D"/>
    <w:rsid w:val="007C1ACB"/>
    <w:rsid w:val="007C1FE5"/>
    <w:rsid w:val="007C2BB9"/>
    <w:rsid w:val="007C3BA0"/>
    <w:rsid w:val="007C49F5"/>
    <w:rsid w:val="007C6D1E"/>
    <w:rsid w:val="007C6DB0"/>
    <w:rsid w:val="007D13D4"/>
    <w:rsid w:val="007D1594"/>
    <w:rsid w:val="007D2737"/>
    <w:rsid w:val="007D2A8D"/>
    <w:rsid w:val="007D33D9"/>
    <w:rsid w:val="007D5343"/>
    <w:rsid w:val="007D57B4"/>
    <w:rsid w:val="007D5D5B"/>
    <w:rsid w:val="007E1389"/>
    <w:rsid w:val="007E4C61"/>
    <w:rsid w:val="007E4D4D"/>
    <w:rsid w:val="007E4E8C"/>
    <w:rsid w:val="007E5D57"/>
    <w:rsid w:val="007F0652"/>
    <w:rsid w:val="007F0BAD"/>
    <w:rsid w:val="007F15F8"/>
    <w:rsid w:val="007F23BF"/>
    <w:rsid w:val="007F2C9E"/>
    <w:rsid w:val="007F50CD"/>
    <w:rsid w:val="007F57F6"/>
    <w:rsid w:val="007F7223"/>
    <w:rsid w:val="007F7A71"/>
    <w:rsid w:val="0080115E"/>
    <w:rsid w:val="0080180E"/>
    <w:rsid w:val="00801C7A"/>
    <w:rsid w:val="008039C9"/>
    <w:rsid w:val="00804A86"/>
    <w:rsid w:val="00806A80"/>
    <w:rsid w:val="00807109"/>
    <w:rsid w:val="008074C5"/>
    <w:rsid w:val="0081077A"/>
    <w:rsid w:val="008140A3"/>
    <w:rsid w:val="008151E3"/>
    <w:rsid w:val="00820CAD"/>
    <w:rsid w:val="00823DAA"/>
    <w:rsid w:val="008307BF"/>
    <w:rsid w:val="0083152E"/>
    <w:rsid w:val="008321F5"/>
    <w:rsid w:val="0083227D"/>
    <w:rsid w:val="00833DB9"/>
    <w:rsid w:val="00836365"/>
    <w:rsid w:val="00842359"/>
    <w:rsid w:val="00842A1D"/>
    <w:rsid w:val="00843B05"/>
    <w:rsid w:val="00844750"/>
    <w:rsid w:val="00846D22"/>
    <w:rsid w:val="008510AF"/>
    <w:rsid w:val="0085218B"/>
    <w:rsid w:val="0085370C"/>
    <w:rsid w:val="0085436A"/>
    <w:rsid w:val="008579DB"/>
    <w:rsid w:val="00860040"/>
    <w:rsid w:val="008601E5"/>
    <w:rsid w:val="00861479"/>
    <w:rsid w:val="0086785A"/>
    <w:rsid w:val="00871028"/>
    <w:rsid w:val="00873F6B"/>
    <w:rsid w:val="00875548"/>
    <w:rsid w:val="00877D54"/>
    <w:rsid w:val="00880539"/>
    <w:rsid w:val="00880FE7"/>
    <w:rsid w:val="008836AD"/>
    <w:rsid w:val="0088458F"/>
    <w:rsid w:val="0088542D"/>
    <w:rsid w:val="00885C74"/>
    <w:rsid w:val="00886FDC"/>
    <w:rsid w:val="00887C51"/>
    <w:rsid w:val="008907B0"/>
    <w:rsid w:val="00890CB8"/>
    <w:rsid w:val="00891759"/>
    <w:rsid w:val="0089265D"/>
    <w:rsid w:val="00892837"/>
    <w:rsid w:val="008929D8"/>
    <w:rsid w:val="008930FF"/>
    <w:rsid w:val="00896C54"/>
    <w:rsid w:val="00897811"/>
    <w:rsid w:val="008A043E"/>
    <w:rsid w:val="008A0A43"/>
    <w:rsid w:val="008A1417"/>
    <w:rsid w:val="008A1EE2"/>
    <w:rsid w:val="008A2534"/>
    <w:rsid w:val="008A5CBF"/>
    <w:rsid w:val="008A5D17"/>
    <w:rsid w:val="008A61C5"/>
    <w:rsid w:val="008A72B8"/>
    <w:rsid w:val="008B337F"/>
    <w:rsid w:val="008B42FE"/>
    <w:rsid w:val="008B486B"/>
    <w:rsid w:val="008B5EBD"/>
    <w:rsid w:val="008B6A49"/>
    <w:rsid w:val="008C112E"/>
    <w:rsid w:val="008C116F"/>
    <w:rsid w:val="008C1BCC"/>
    <w:rsid w:val="008C1C3C"/>
    <w:rsid w:val="008C37C3"/>
    <w:rsid w:val="008C4896"/>
    <w:rsid w:val="008C6A4D"/>
    <w:rsid w:val="008C6BC0"/>
    <w:rsid w:val="008C7C43"/>
    <w:rsid w:val="008D1E63"/>
    <w:rsid w:val="008D29F6"/>
    <w:rsid w:val="008D2EA8"/>
    <w:rsid w:val="008D4A81"/>
    <w:rsid w:val="008D4D78"/>
    <w:rsid w:val="008D6FAF"/>
    <w:rsid w:val="008D7E1A"/>
    <w:rsid w:val="008D7E99"/>
    <w:rsid w:val="008E0531"/>
    <w:rsid w:val="008E1ECC"/>
    <w:rsid w:val="008E3951"/>
    <w:rsid w:val="008E4F90"/>
    <w:rsid w:val="008E5BDC"/>
    <w:rsid w:val="008E7A98"/>
    <w:rsid w:val="008E7DCC"/>
    <w:rsid w:val="008F06C3"/>
    <w:rsid w:val="008F094B"/>
    <w:rsid w:val="008F12AB"/>
    <w:rsid w:val="008F12D9"/>
    <w:rsid w:val="008F4367"/>
    <w:rsid w:val="008F5481"/>
    <w:rsid w:val="008F68D6"/>
    <w:rsid w:val="008F6F97"/>
    <w:rsid w:val="008F7107"/>
    <w:rsid w:val="008F7D85"/>
    <w:rsid w:val="0090168A"/>
    <w:rsid w:val="00902BBD"/>
    <w:rsid w:val="00907E7F"/>
    <w:rsid w:val="00914561"/>
    <w:rsid w:val="009174BD"/>
    <w:rsid w:val="009178DD"/>
    <w:rsid w:val="00920346"/>
    <w:rsid w:val="00920F1A"/>
    <w:rsid w:val="009213A2"/>
    <w:rsid w:val="009213DD"/>
    <w:rsid w:val="00922CF2"/>
    <w:rsid w:val="00925481"/>
    <w:rsid w:val="009266F5"/>
    <w:rsid w:val="00926769"/>
    <w:rsid w:val="0092684F"/>
    <w:rsid w:val="009271C6"/>
    <w:rsid w:val="00927BD7"/>
    <w:rsid w:val="00930347"/>
    <w:rsid w:val="00930996"/>
    <w:rsid w:val="00930AED"/>
    <w:rsid w:val="00932290"/>
    <w:rsid w:val="00936DE3"/>
    <w:rsid w:val="00936FE6"/>
    <w:rsid w:val="0093732E"/>
    <w:rsid w:val="00937BF1"/>
    <w:rsid w:val="00941646"/>
    <w:rsid w:val="00942F77"/>
    <w:rsid w:val="00944E43"/>
    <w:rsid w:val="0094614B"/>
    <w:rsid w:val="00946FCC"/>
    <w:rsid w:val="00950430"/>
    <w:rsid w:val="00951128"/>
    <w:rsid w:val="0095278A"/>
    <w:rsid w:val="00952BCB"/>
    <w:rsid w:val="009535FD"/>
    <w:rsid w:val="009542EE"/>
    <w:rsid w:val="00954A1D"/>
    <w:rsid w:val="00954FA4"/>
    <w:rsid w:val="009552CD"/>
    <w:rsid w:val="00956FEB"/>
    <w:rsid w:val="009577EB"/>
    <w:rsid w:val="00957E9C"/>
    <w:rsid w:val="009602D5"/>
    <w:rsid w:val="009613A7"/>
    <w:rsid w:val="009630A7"/>
    <w:rsid w:val="0096431B"/>
    <w:rsid w:val="00964504"/>
    <w:rsid w:val="0097025F"/>
    <w:rsid w:val="009736FB"/>
    <w:rsid w:val="00975058"/>
    <w:rsid w:val="00976EDC"/>
    <w:rsid w:val="009774E0"/>
    <w:rsid w:val="009803A2"/>
    <w:rsid w:val="00985370"/>
    <w:rsid w:val="0098685A"/>
    <w:rsid w:val="0098690A"/>
    <w:rsid w:val="0099250D"/>
    <w:rsid w:val="009964A7"/>
    <w:rsid w:val="009978BA"/>
    <w:rsid w:val="009A0214"/>
    <w:rsid w:val="009A03DB"/>
    <w:rsid w:val="009A0643"/>
    <w:rsid w:val="009A1DAC"/>
    <w:rsid w:val="009A5EAC"/>
    <w:rsid w:val="009A75EC"/>
    <w:rsid w:val="009B098C"/>
    <w:rsid w:val="009B0ABB"/>
    <w:rsid w:val="009B12A2"/>
    <w:rsid w:val="009B179D"/>
    <w:rsid w:val="009B1FF8"/>
    <w:rsid w:val="009B43E5"/>
    <w:rsid w:val="009B6A50"/>
    <w:rsid w:val="009B762E"/>
    <w:rsid w:val="009B7AE8"/>
    <w:rsid w:val="009C20CB"/>
    <w:rsid w:val="009C2FD1"/>
    <w:rsid w:val="009C33F7"/>
    <w:rsid w:val="009C59C5"/>
    <w:rsid w:val="009C615D"/>
    <w:rsid w:val="009C64BA"/>
    <w:rsid w:val="009C67B8"/>
    <w:rsid w:val="009D050A"/>
    <w:rsid w:val="009D0DD6"/>
    <w:rsid w:val="009D1129"/>
    <w:rsid w:val="009D3625"/>
    <w:rsid w:val="009D51CE"/>
    <w:rsid w:val="009D61BF"/>
    <w:rsid w:val="009D626D"/>
    <w:rsid w:val="009E23B3"/>
    <w:rsid w:val="009E2EFA"/>
    <w:rsid w:val="009E3887"/>
    <w:rsid w:val="009E3D0B"/>
    <w:rsid w:val="009E55DF"/>
    <w:rsid w:val="009E66CF"/>
    <w:rsid w:val="009E678E"/>
    <w:rsid w:val="009F1E9C"/>
    <w:rsid w:val="009F4157"/>
    <w:rsid w:val="009F6526"/>
    <w:rsid w:val="009F6C9C"/>
    <w:rsid w:val="009F783C"/>
    <w:rsid w:val="00A02034"/>
    <w:rsid w:val="00A02D16"/>
    <w:rsid w:val="00A02D87"/>
    <w:rsid w:val="00A04C1C"/>
    <w:rsid w:val="00A04E84"/>
    <w:rsid w:val="00A059A9"/>
    <w:rsid w:val="00A108BA"/>
    <w:rsid w:val="00A10C04"/>
    <w:rsid w:val="00A15102"/>
    <w:rsid w:val="00A15EE6"/>
    <w:rsid w:val="00A2048C"/>
    <w:rsid w:val="00A2066C"/>
    <w:rsid w:val="00A22AA9"/>
    <w:rsid w:val="00A24389"/>
    <w:rsid w:val="00A25CA4"/>
    <w:rsid w:val="00A26928"/>
    <w:rsid w:val="00A322B8"/>
    <w:rsid w:val="00A32435"/>
    <w:rsid w:val="00A32A38"/>
    <w:rsid w:val="00A331C6"/>
    <w:rsid w:val="00A34658"/>
    <w:rsid w:val="00A34EDE"/>
    <w:rsid w:val="00A35185"/>
    <w:rsid w:val="00A36AFC"/>
    <w:rsid w:val="00A401FF"/>
    <w:rsid w:val="00A41B7F"/>
    <w:rsid w:val="00A41EB2"/>
    <w:rsid w:val="00A42132"/>
    <w:rsid w:val="00A44191"/>
    <w:rsid w:val="00A450E2"/>
    <w:rsid w:val="00A45B60"/>
    <w:rsid w:val="00A46A4C"/>
    <w:rsid w:val="00A46B57"/>
    <w:rsid w:val="00A505F0"/>
    <w:rsid w:val="00A51319"/>
    <w:rsid w:val="00A51888"/>
    <w:rsid w:val="00A526A9"/>
    <w:rsid w:val="00A52A78"/>
    <w:rsid w:val="00A536A5"/>
    <w:rsid w:val="00A542B2"/>
    <w:rsid w:val="00A5507F"/>
    <w:rsid w:val="00A5653E"/>
    <w:rsid w:val="00A606F9"/>
    <w:rsid w:val="00A61443"/>
    <w:rsid w:val="00A6182D"/>
    <w:rsid w:val="00A62D61"/>
    <w:rsid w:val="00A65794"/>
    <w:rsid w:val="00A70911"/>
    <w:rsid w:val="00A7128A"/>
    <w:rsid w:val="00A71491"/>
    <w:rsid w:val="00A716ED"/>
    <w:rsid w:val="00A721AB"/>
    <w:rsid w:val="00A73EB9"/>
    <w:rsid w:val="00A741EB"/>
    <w:rsid w:val="00A75544"/>
    <w:rsid w:val="00A770F2"/>
    <w:rsid w:val="00A77C5A"/>
    <w:rsid w:val="00A77FF4"/>
    <w:rsid w:val="00A81120"/>
    <w:rsid w:val="00A85F00"/>
    <w:rsid w:val="00A87868"/>
    <w:rsid w:val="00A87F76"/>
    <w:rsid w:val="00A9096B"/>
    <w:rsid w:val="00A90E62"/>
    <w:rsid w:val="00A9122D"/>
    <w:rsid w:val="00A92019"/>
    <w:rsid w:val="00AA4240"/>
    <w:rsid w:val="00AA5B70"/>
    <w:rsid w:val="00AB55F1"/>
    <w:rsid w:val="00AB5AAF"/>
    <w:rsid w:val="00AB7252"/>
    <w:rsid w:val="00AB7FC3"/>
    <w:rsid w:val="00AC1DC9"/>
    <w:rsid w:val="00AC1F01"/>
    <w:rsid w:val="00AC2F97"/>
    <w:rsid w:val="00AC393D"/>
    <w:rsid w:val="00AC4D21"/>
    <w:rsid w:val="00AC5DC7"/>
    <w:rsid w:val="00AC65F2"/>
    <w:rsid w:val="00AC674A"/>
    <w:rsid w:val="00AC7343"/>
    <w:rsid w:val="00AD0163"/>
    <w:rsid w:val="00AD1A4E"/>
    <w:rsid w:val="00AD1A81"/>
    <w:rsid w:val="00AD1B4E"/>
    <w:rsid w:val="00AD4A47"/>
    <w:rsid w:val="00AD57C3"/>
    <w:rsid w:val="00AD6149"/>
    <w:rsid w:val="00AE0C5D"/>
    <w:rsid w:val="00AE2667"/>
    <w:rsid w:val="00AE46D5"/>
    <w:rsid w:val="00AE570E"/>
    <w:rsid w:val="00AE5B9A"/>
    <w:rsid w:val="00AE6B0B"/>
    <w:rsid w:val="00AE7803"/>
    <w:rsid w:val="00AF2DC5"/>
    <w:rsid w:val="00AF48A3"/>
    <w:rsid w:val="00AF490B"/>
    <w:rsid w:val="00AF5935"/>
    <w:rsid w:val="00AF5DA7"/>
    <w:rsid w:val="00AF68C5"/>
    <w:rsid w:val="00AF77DC"/>
    <w:rsid w:val="00B003DF"/>
    <w:rsid w:val="00B021B4"/>
    <w:rsid w:val="00B0224C"/>
    <w:rsid w:val="00B03FCD"/>
    <w:rsid w:val="00B0475C"/>
    <w:rsid w:val="00B04C33"/>
    <w:rsid w:val="00B04E0B"/>
    <w:rsid w:val="00B05594"/>
    <w:rsid w:val="00B05CB3"/>
    <w:rsid w:val="00B06794"/>
    <w:rsid w:val="00B1105D"/>
    <w:rsid w:val="00B11EE5"/>
    <w:rsid w:val="00B15D68"/>
    <w:rsid w:val="00B228F2"/>
    <w:rsid w:val="00B23A5B"/>
    <w:rsid w:val="00B26141"/>
    <w:rsid w:val="00B30674"/>
    <w:rsid w:val="00B324AB"/>
    <w:rsid w:val="00B32C84"/>
    <w:rsid w:val="00B34E7D"/>
    <w:rsid w:val="00B36EB3"/>
    <w:rsid w:val="00B411D2"/>
    <w:rsid w:val="00B42236"/>
    <w:rsid w:val="00B43F70"/>
    <w:rsid w:val="00B446EE"/>
    <w:rsid w:val="00B47B02"/>
    <w:rsid w:val="00B5567F"/>
    <w:rsid w:val="00B55C63"/>
    <w:rsid w:val="00B5790B"/>
    <w:rsid w:val="00B6087E"/>
    <w:rsid w:val="00B62B42"/>
    <w:rsid w:val="00B637D9"/>
    <w:rsid w:val="00B64ED4"/>
    <w:rsid w:val="00B65D48"/>
    <w:rsid w:val="00B71223"/>
    <w:rsid w:val="00B721FF"/>
    <w:rsid w:val="00B76E9B"/>
    <w:rsid w:val="00B80CC8"/>
    <w:rsid w:val="00B82416"/>
    <w:rsid w:val="00B8336D"/>
    <w:rsid w:val="00B83904"/>
    <w:rsid w:val="00B83B0D"/>
    <w:rsid w:val="00B84A49"/>
    <w:rsid w:val="00B861E8"/>
    <w:rsid w:val="00B87123"/>
    <w:rsid w:val="00B9143F"/>
    <w:rsid w:val="00B91FA1"/>
    <w:rsid w:val="00B93768"/>
    <w:rsid w:val="00B9409B"/>
    <w:rsid w:val="00B95490"/>
    <w:rsid w:val="00B96BE3"/>
    <w:rsid w:val="00B96E42"/>
    <w:rsid w:val="00B96E6F"/>
    <w:rsid w:val="00B970FA"/>
    <w:rsid w:val="00BA4D27"/>
    <w:rsid w:val="00BA7D19"/>
    <w:rsid w:val="00BB4897"/>
    <w:rsid w:val="00BB489B"/>
    <w:rsid w:val="00BB673B"/>
    <w:rsid w:val="00BB680C"/>
    <w:rsid w:val="00BB6CCE"/>
    <w:rsid w:val="00BC1A92"/>
    <w:rsid w:val="00BC1EEE"/>
    <w:rsid w:val="00BC33CE"/>
    <w:rsid w:val="00BC35E0"/>
    <w:rsid w:val="00BC3BF7"/>
    <w:rsid w:val="00BC61FE"/>
    <w:rsid w:val="00BC6538"/>
    <w:rsid w:val="00BD03A9"/>
    <w:rsid w:val="00BD1CD9"/>
    <w:rsid w:val="00BD3C06"/>
    <w:rsid w:val="00BD49F6"/>
    <w:rsid w:val="00BD5357"/>
    <w:rsid w:val="00BD59F9"/>
    <w:rsid w:val="00BD6EFD"/>
    <w:rsid w:val="00BD7732"/>
    <w:rsid w:val="00BD7EC0"/>
    <w:rsid w:val="00BE0BA1"/>
    <w:rsid w:val="00BE13C5"/>
    <w:rsid w:val="00BE36AB"/>
    <w:rsid w:val="00BE3AE3"/>
    <w:rsid w:val="00BE3DDF"/>
    <w:rsid w:val="00BE42AB"/>
    <w:rsid w:val="00BF012B"/>
    <w:rsid w:val="00BF0E95"/>
    <w:rsid w:val="00BF13C1"/>
    <w:rsid w:val="00BF7E94"/>
    <w:rsid w:val="00C015C3"/>
    <w:rsid w:val="00C01EB7"/>
    <w:rsid w:val="00C03537"/>
    <w:rsid w:val="00C058D1"/>
    <w:rsid w:val="00C05EE1"/>
    <w:rsid w:val="00C06314"/>
    <w:rsid w:val="00C06C27"/>
    <w:rsid w:val="00C07B7C"/>
    <w:rsid w:val="00C10A8E"/>
    <w:rsid w:val="00C10C4A"/>
    <w:rsid w:val="00C13388"/>
    <w:rsid w:val="00C136F9"/>
    <w:rsid w:val="00C15B92"/>
    <w:rsid w:val="00C1752D"/>
    <w:rsid w:val="00C177F2"/>
    <w:rsid w:val="00C178C4"/>
    <w:rsid w:val="00C21545"/>
    <w:rsid w:val="00C21B83"/>
    <w:rsid w:val="00C23794"/>
    <w:rsid w:val="00C23D3F"/>
    <w:rsid w:val="00C24514"/>
    <w:rsid w:val="00C273FF"/>
    <w:rsid w:val="00C305C4"/>
    <w:rsid w:val="00C3060B"/>
    <w:rsid w:val="00C313C4"/>
    <w:rsid w:val="00C3142C"/>
    <w:rsid w:val="00C34981"/>
    <w:rsid w:val="00C35A17"/>
    <w:rsid w:val="00C36087"/>
    <w:rsid w:val="00C37D66"/>
    <w:rsid w:val="00C424FD"/>
    <w:rsid w:val="00C45220"/>
    <w:rsid w:val="00C46677"/>
    <w:rsid w:val="00C504A5"/>
    <w:rsid w:val="00C510CF"/>
    <w:rsid w:val="00C5307D"/>
    <w:rsid w:val="00C536E4"/>
    <w:rsid w:val="00C5435E"/>
    <w:rsid w:val="00C5529B"/>
    <w:rsid w:val="00C553BB"/>
    <w:rsid w:val="00C556BA"/>
    <w:rsid w:val="00C55E08"/>
    <w:rsid w:val="00C61096"/>
    <w:rsid w:val="00C62288"/>
    <w:rsid w:val="00C62A6C"/>
    <w:rsid w:val="00C63ED3"/>
    <w:rsid w:val="00C6770F"/>
    <w:rsid w:val="00C702BC"/>
    <w:rsid w:val="00C70420"/>
    <w:rsid w:val="00C71571"/>
    <w:rsid w:val="00C72071"/>
    <w:rsid w:val="00C72F39"/>
    <w:rsid w:val="00C75185"/>
    <w:rsid w:val="00C75809"/>
    <w:rsid w:val="00C80216"/>
    <w:rsid w:val="00C82543"/>
    <w:rsid w:val="00C830D3"/>
    <w:rsid w:val="00C837E6"/>
    <w:rsid w:val="00C8396F"/>
    <w:rsid w:val="00C85A51"/>
    <w:rsid w:val="00C90932"/>
    <w:rsid w:val="00C91C38"/>
    <w:rsid w:val="00C93717"/>
    <w:rsid w:val="00C9388F"/>
    <w:rsid w:val="00C953D6"/>
    <w:rsid w:val="00C95AFF"/>
    <w:rsid w:val="00C9659F"/>
    <w:rsid w:val="00C967F4"/>
    <w:rsid w:val="00C975C1"/>
    <w:rsid w:val="00CA09A6"/>
    <w:rsid w:val="00CA1D66"/>
    <w:rsid w:val="00CA1E46"/>
    <w:rsid w:val="00CA3D5C"/>
    <w:rsid w:val="00CA7C45"/>
    <w:rsid w:val="00CB2A7A"/>
    <w:rsid w:val="00CB2CFD"/>
    <w:rsid w:val="00CB5731"/>
    <w:rsid w:val="00CB700E"/>
    <w:rsid w:val="00CC12EC"/>
    <w:rsid w:val="00CC3E40"/>
    <w:rsid w:val="00CC466C"/>
    <w:rsid w:val="00CC4AF6"/>
    <w:rsid w:val="00CC4DFA"/>
    <w:rsid w:val="00CC57F1"/>
    <w:rsid w:val="00CD048E"/>
    <w:rsid w:val="00CD0E5E"/>
    <w:rsid w:val="00CD742D"/>
    <w:rsid w:val="00CE42A4"/>
    <w:rsid w:val="00CE6669"/>
    <w:rsid w:val="00CE6890"/>
    <w:rsid w:val="00CE6B01"/>
    <w:rsid w:val="00CF04B5"/>
    <w:rsid w:val="00CF11C3"/>
    <w:rsid w:val="00CF1759"/>
    <w:rsid w:val="00CF354A"/>
    <w:rsid w:val="00CF45D1"/>
    <w:rsid w:val="00CF4684"/>
    <w:rsid w:val="00CF5E26"/>
    <w:rsid w:val="00D00E9F"/>
    <w:rsid w:val="00D02D92"/>
    <w:rsid w:val="00D03034"/>
    <w:rsid w:val="00D04650"/>
    <w:rsid w:val="00D07C2C"/>
    <w:rsid w:val="00D1242B"/>
    <w:rsid w:val="00D1283A"/>
    <w:rsid w:val="00D13FAA"/>
    <w:rsid w:val="00D1780A"/>
    <w:rsid w:val="00D21717"/>
    <w:rsid w:val="00D22CEC"/>
    <w:rsid w:val="00D25019"/>
    <w:rsid w:val="00D257B5"/>
    <w:rsid w:val="00D30917"/>
    <w:rsid w:val="00D32700"/>
    <w:rsid w:val="00D3438C"/>
    <w:rsid w:val="00D35052"/>
    <w:rsid w:val="00D35761"/>
    <w:rsid w:val="00D3784C"/>
    <w:rsid w:val="00D42ACC"/>
    <w:rsid w:val="00D4456A"/>
    <w:rsid w:val="00D466BB"/>
    <w:rsid w:val="00D506E9"/>
    <w:rsid w:val="00D51309"/>
    <w:rsid w:val="00D514A9"/>
    <w:rsid w:val="00D519A8"/>
    <w:rsid w:val="00D52722"/>
    <w:rsid w:val="00D52D02"/>
    <w:rsid w:val="00D52DE4"/>
    <w:rsid w:val="00D533D1"/>
    <w:rsid w:val="00D545C3"/>
    <w:rsid w:val="00D55023"/>
    <w:rsid w:val="00D553F9"/>
    <w:rsid w:val="00D56EB7"/>
    <w:rsid w:val="00D609DB"/>
    <w:rsid w:val="00D60D66"/>
    <w:rsid w:val="00D6265B"/>
    <w:rsid w:val="00D628EA"/>
    <w:rsid w:val="00D630B8"/>
    <w:rsid w:val="00D637FF"/>
    <w:rsid w:val="00D642FF"/>
    <w:rsid w:val="00D70FB2"/>
    <w:rsid w:val="00D7292F"/>
    <w:rsid w:val="00D7418E"/>
    <w:rsid w:val="00D76E27"/>
    <w:rsid w:val="00D813F4"/>
    <w:rsid w:val="00D834CF"/>
    <w:rsid w:val="00D83E67"/>
    <w:rsid w:val="00D841B0"/>
    <w:rsid w:val="00D84A42"/>
    <w:rsid w:val="00D87384"/>
    <w:rsid w:val="00D8740B"/>
    <w:rsid w:val="00D87944"/>
    <w:rsid w:val="00D87E02"/>
    <w:rsid w:val="00D90F8E"/>
    <w:rsid w:val="00D93332"/>
    <w:rsid w:val="00D946F6"/>
    <w:rsid w:val="00D9589A"/>
    <w:rsid w:val="00D959BF"/>
    <w:rsid w:val="00D96C47"/>
    <w:rsid w:val="00DA203A"/>
    <w:rsid w:val="00DA253E"/>
    <w:rsid w:val="00DA7792"/>
    <w:rsid w:val="00DB07C7"/>
    <w:rsid w:val="00DB13FA"/>
    <w:rsid w:val="00DB19E9"/>
    <w:rsid w:val="00DB2378"/>
    <w:rsid w:val="00DB4218"/>
    <w:rsid w:val="00DB4652"/>
    <w:rsid w:val="00DB7296"/>
    <w:rsid w:val="00DC1602"/>
    <w:rsid w:val="00DC2078"/>
    <w:rsid w:val="00DC2A82"/>
    <w:rsid w:val="00DC3A7D"/>
    <w:rsid w:val="00DC537A"/>
    <w:rsid w:val="00DD1828"/>
    <w:rsid w:val="00DD1D36"/>
    <w:rsid w:val="00DD20E5"/>
    <w:rsid w:val="00DD3102"/>
    <w:rsid w:val="00DD39A2"/>
    <w:rsid w:val="00DD455D"/>
    <w:rsid w:val="00DD7332"/>
    <w:rsid w:val="00DD76E8"/>
    <w:rsid w:val="00DE0BA2"/>
    <w:rsid w:val="00DE1CE0"/>
    <w:rsid w:val="00DE2195"/>
    <w:rsid w:val="00DE2717"/>
    <w:rsid w:val="00DE64E9"/>
    <w:rsid w:val="00DE6B16"/>
    <w:rsid w:val="00DF2676"/>
    <w:rsid w:val="00DF3833"/>
    <w:rsid w:val="00DF74F4"/>
    <w:rsid w:val="00DF7513"/>
    <w:rsid w:val="00E0194B"/>
    <w:rsid w:val="00E03FBD"/>
    <w:rsid w:val="00E0439F"/>
    <w:rsid w:val="00E054D5"/>
    <w:rsid w:val="00E05D35"/>
    <w:rsid w:val="00E06628"/>
    <w:rsid w:val="00E076A7"/>
    <w:rsid w:val="00E07A2F"/>
    <w:rsid w:val="00E10601"/>
    <w:rsid w:val="00E1216F"/>
    <w:rsid w:val="00E144AA"/>
    <w:rsid w:val="00E15877"/>
    <w:rsid w:val="00E16EF3"/>
    <w:rsid w:val="00E17A80"/>
    <w:rsid w:val="00E218A3"/>
    <w:rsid w:val="00E23BEC"/>
    <w:rsid w:val="00E26662"/>
    <w:rsid w:val="00E27481"/>
    <w:rsid w:val="00E27A1B"/>
    <w:rsid w:val="00E30C48"/>
    <w:rsid w:val="00E315D1"/>
    <w:rsid w:val="00E32CA3"/>
    <w:rsid w:val="00E332E8"/>
    <w:rsid w:val="00E33CC1"/>
    <w:rsid w:val="00E340B9"/>
    <w:rsid w:val="00E355CD"/>
    <w:rsid w:val="00E357E6"/>
    <w:rsid w:val="00E37475"/>
    <w:rsid w:val="00E37E3A"/>
    <w:rsid w:val="00E413F5"/>
    <w:rsid w:val="00E41EBF"/>
    <w:rsid w:val="00E422E3"/>
    <w:rsid w:val="00E423A5"/>
    <w:rsid w:val="00E45F47"/>
    <w:rsid w:val="00E46C12"/>
    <w:rsid w:val="00E47AE0"/>
    <w:rsid w:val="00E5192D"/>
    <w:rsid w:val="00E539E8"/>
    <w:rsid w:val="00E53EFC"/>
    <w:rsid w:val="00E57125"/>
    <w:rsid w:val="00E5795C"/>
    <w:rsid w:val="00E60494"/>
    <w:rsid w:val="00E6640F"/>
    <w:rsid w:val="00E6676D"/>
    <w:rsid w:val="00E67738"/>
    <w:rsid w:val="00E70861"/>
    <w:rsid w:val="00E7152B"/>
    <w:rsid w:val="00E7171F"/>
    <w:rsid w:val="00E71F13"/>
    <w:rsid w:val="00E73910"/>
    <w:rsid w:val="00E75537"/>
    <w:rsid w:val="00E8264E"/>
    <w:rsid w:val="00E82705"/>
    <w:rsid w:val="00E83A14"/>
    <w:rsid w:val="00E8657D"/>
    <w:rsid w:val="00E87DD5"/>
    <w:rsid w:val="00E93085"/>
    <w:rsid w:val="00E934A2"/>
    <w:rsid w:val="00E957AC"/>
    <w:rsid w:val="00E95F03"/>
    <w:rsid w:val="00E96ADB"/>
    <w:rsid w:val="00EA0A66"/>
    <w:rsid w:val="00EA1383"/>
    <w:rsid w:val="00EA1456"/>
    <w:rsid w:val="00EA5817"/>
    <w:rsid w:val="00EA5C3F"/>
    <w:rsid w:val="00EA5FDF"/>
    <w:rsid w:val="00EB0F68"/>
    <w:rsid w:val="00EB10D5"/>
    <w:rsid w:val="00EB1A96"/>
    <w:rsid w:val="00EC3915"/>
    <w:rsid w:val="00EC5165"/>
    <w:rsid w:val="00EC55F7"/>
    <w:rsid w:val="00EC6920"/>
    <w:rsid w:val="00ED0E57"/>
    <w:rsid w:val="00ED107D"/>
    <w:rsid w:val="00ED13D6"/>
    <w:rsid w:val="00ED7395"/>
    <w:rsid w:val="00ED78C0"/>
    <w:rsid w:val="00ED7FF5"/>
    <w:rsid w:val="00EE0642"/>
    <w:rsid w:val="00EE0AAA"/>
    <w:rsid w:val="00EE0DB3"/>
    <w:rsid w:val="00EE1A2E"/>
    <w:rsid w:val="00EE57C1"/>
    <w:rsid w:val="00EE5AEF"/>
    <w:rsid w:val="00EE6913"/>
    <w:rsid w:val="00EF20D5"/>
    <w:rsid w:val="00EF5F0E"/>
    <w:rsid w:val="00EF745E"/>
    <w:rsid w:val="00F00645"/>
    <w:rsid w:val="00F00C0D"/>
    <w:rsid w:val="00F01042"/>
    <w:rsid w:val="00F020B5"/>
    <w:rsid w:val="00F02709"/>
    <w:rsid w:val="00F03547"/>
    <w:rsid w:val="00F03CFD"/>
    <w:rsid w:val="00F04235"/>
    <w:rsid w:val="00F068EF"/>
    <w:rsid w:val="00F0693E"/>
    <w:rsid w:val="00F12CE0"/>
    <w:rsid w:val="00F13180"/>
    <w:rsid w:val="00F13338"/>
    <w:rsid w:val="00F14BD4"/>
    <w:rsid w:val="00F15AAD"/>
    <w:rsid w:val="00F16A7F"/>
    <w:rsid w:val="00F16E46"/>
    <w:rsid w:val="00F16F2F"/>
    <w:rsid w:val="00F178D9"/>
    <w:rsid w:val="00F21B20"/>
    <w:rsid w:val="00F233F6"/>
    <w:rsid w:val="00F260CB"/>
    <w:rsid w:val="00F26A27"/>
    <w:rsid w:val="00F27815"/>
    <w:rsid w:val="00F304E9"/>
    <w:rsid w:val="00F326AB"/>
    <w:rsid w:val="00F333F4"/>
    <w:rsid w:val="00F342A2"/>
    <w:rsid w:val="00F36961"/>
    <w:rsid w:val="00F36DE7"/>
    <w:rsid w:val="00F37A54"/>
    <w:rsid w:val="00F41E23"/>
    <w:rsid w:val="00F430D0"/>
    <w:rsid w:val="00F54B8E"/>
    <w:rsid w:val="00F55A8C"/>
    <w:rsid w:val="00F56AD3"/>
    <w:rsid w:val="00F56DD6"/>
    <w:rsid w:val="00F612CA"/>
    <w:rsid w:val="00F66026"/>
    <w:rsid w:val="00F66C88"/>
    <w:rsid w:val="00F7041F"/>
    <w:rsid w:val="00F72719"/>
    <w:rsid w:val="00F7409E"/>
    <w:rsid w:val="00F7414A"/>
    <w:rsid w:val="00F746A4"/>
    <w:rsid w:val="00F7572C"/>
    <w:rsid w:val="00F75841"/>
    <w:rsid w:val="00F75D93"/>
    <w:rsid w:val="00F77AF5"/>
    <w:rsid w:val="00F80D62"/>
    <w:rsid w:val="00F87D51"/>
    <w:rsid w:val="00F90500"/>
    <w:rsid w:val="00F906B8"/>
    <w:rsid w:val="00F91C4C"/>
    <w:rsid w:val="00F92E47"/>
    <w:rsid w:val="00F932A9"/>
    <w:rsid w:val="00F97171"/>
    <w:rsid w:val="00FA2503"/>
    <w:rsid w:val="00FA2D05"/>
    <w:rsid w:val="00FA5046"/>
    <w:rsid w:val="00FB0942"/>
    <w:rsid w:val="00FB1589"/>
    <w:rsid w:val="00FB1911"/>
    <w:rsid w:val="00FB1AE2"/>
    <w:rsid w:val="00FB2C95"/>
    <w:rsid w:val="00FB415E"/>
    <w:rsid w:val="00FB49A0"/>
    <w:rsid w:val="00FB4F23"/>
    <w:rsid w:val="00FB7C62"/>
    <w:rsid w:val="00FC5626"/>
    <w:rsid w:val="00FC5EFB"/>
    <w:rsid w:val="00FC73A7"/>
    <w:rsid w:val="00FC796A"/>
    <w:rsid w:val="00FD049F"/>
    <w:rsid w:val="00FD0606"/>
    <w:rsid w:val="00FD28CD"/>
    <w:rsid w:val="00FD2E6B"/>
    <w:rsid w:val="00FD47F8"/>
    <w:rsid w:val="00FD5A19"/>
    <w:rsid w:val="00FD6800"/>
    <w:rsid w:val="00FD7F9D"/>
    <w:rsid w:val="00FE2ABD"/>
    <w:rsid w:val="00FE2D47"/>
    <w:rsid w:val="00FE3F93"/>
    <w:rsid w:val="00FE47EF"/>
    <w:rsid w:val="00FE716E"/>
    <w:rsid w:val="00FF0B72"/>
    <w:rsid w:val="00FF18E7"/>
    <w:rsid w:val="00FF255C"/>
    <w:rsid w:val="00FF3CF5"/>
    <w:rsid w:val="00FF4160"/>
    <w:rsid w:val="00FF4C46"/>
    <w:rsid w:val="00FF63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A9"/>
    <w:pPr>
      <w:suppressAutoHyphens/>
      <w:spacing w:line="240" w:lineRule="atLeast"/>
    </w:pPr>
    <w:rPr>
      <w:lang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rPr>
      <w:lang w:val="x-none"/>
    </w:rPr>
  </w:style>
  <w:style w:type="paragraph" w:styleId="Heading3">
    <w:name w:val="heading 3"/>
    <w:basedOn w:val="Normal"/>
    <w:next w:val="Normal"/>
    <w:qFormat/>
    <w:pPr>
      <w:spacing w:line="240" w:lineRule="auto"/>
      <w:outlineLvl w:val="2"/>
    </w:pPr>
    <w:rPr>
      <w:lang w:val="x-none"/>
    </w:rPr>
  </w:style>
  <w:style w:type="paragraph" w:styleId="Heading4">
    <w:name w:val="heading 4"/>
    <w:basedOn w:val="Normal"/>
    <w:next w:val="Normal"/>
    <w:qFormat/>
    <w:pPr>
      <w:spacing w:line="240" w:lineRule="auto"/>
      <w:outlineLvl w:val="3"/>
    </w:pPr>
    <w:rPr>
      <w:lang w:val="x-none"/>
    </w:rPr>
  </w:style>
  <w:style w:type="paragraph" w:styleId="Heading5">
    <w:name w:val="heading 5"/>
    <w:basedOn w:val="Normal"/>
    <w:next w:val="Normal"/>
    <w:qFormat/>
    <w:pPr>
      <w:spacing w:line="240" w:lineRule="auto"/>
      <w:outlineLvl w:val="4"/>
    </w:pPr>
    <w:rPr>
      <w:lang w:val="x-none"/>
    </w:rPr>
  </w:style>
  <w:style w:type="paragraph" w:styleId="Heading6">
    <w:name w:val="heading 6"/>
    <w:basedOn w:val="Normal"/>
    <w:next w:val="Normal"/>
    <w:qFormat/>
    <w:pPr>
      <w:spacing w:line="240" w:lineRule="auto"/>
      <w:outlineLvl w:val="5"/>
    </w:pPr>
    <w:rPr>
      <w:lang w:val="x-none"/>
    </w:rPr>
  </w:style>
  <w:style w:type="paragraph" w:styleId="Heading7">
    <w:name w:val="heading 7"/>
    <w:basedOn w:val="Normal"/>
    <w:next w:val="Normal"/>
    <w:qFormat/>
    <w:pPr>
      <w:spacing w:line="240" w:lineRule="auto"/>
      <w:outlineLvl w:val="6"/>
    </w:pPr>
    <w:rPr>
      <w:lang w:val="x-none"/>
    </w:rPr>
  </w:style>
  <w:style w:type="paragraph" w:styleId="Heading8">
    <w:name w:val="heading 8"/>
    <w:basedOn w:val="Normal"/>
    <w:next w:val="Normal"/>
    <w:qFormat/>
    <w:pPr>
      <w:spacing w:line="240" w:lineRule="auto"/>
      <w:outlineLvl w:val="7"/>
    </w:pPr>
    <w:rPr>
      <w:lang w:val="x-none"/>
    </w:rPr>
  </w:style>
  <w:style w:type="paragraph" w:styleId="Heading9">
    <w:name w:val="heading 9"/>
    <w:basedOn w:val="Normal"/>
    <w:next w:val="Normal"/>
    <w:qFormat/>
    <w:pPr>
      <w:spacing w:line="240" w:lineRule="auto"/>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rPr>
      <w:lang w:val="x-none"/>
    </w:rPr>
  </w:style>
  <w:style w:type="character" w:customStyle="1" w:styleId="SingleTxtGChar">
    <w:name w:val="_ Single Txt_G Char"/>
    <w:locked/>
    <w:rPr>
      <w:lang w:eastAsia="en-US"/>
    </w:rPr>
  </w:style>
  <w:style w:type="character" w:customStyle="1" w:styleId="Heading1Char">
    <w:name w:val="Heading 1 Char"/>
    <w:aliases w:val="Table_G Char"/>
    <w:rPr>
      <w:lang w:eastAsia="en-US"/>
    </w:rPr>
  </w:style>
  <w:style w:type="character" w:customStyle="1" w:styleId="Heading2Char">
    <w:name w:val="Heading 2 Char"/>
    <w:rPr>
      <w:lang w:eastAsia="en-US"/>
    </w:rPr>
  </w:style>
  <w:style w:type="character" w:customStyle="1" w:styleId="Heading3Char">
    <w:name w:val="Heading 3 Char"/>
    <w:rPr>
      <w:lang w:eastAsia="en-US"/>
    </w:rPr>
  </w:style>
  <w:style w:type="character" w:customStyle="1" w:styleId="Heading4Char">
    <w:name w:val="Heading 4 Char"/>
    <w:rPr>
      <w:lang w:eastAsia="en-US"/>
    </w:rPr>
  </w:style>
  <w:style w:type="character" w:customStyle="1" w:styleId="Heading5Char">
    <w:name w:val="Heading 5 Char"/>
    <w:rPr>
      <w:lang w:eastAsia="en-US"/>
    </w:rPr>
  </w:style>
  <w:style w:type="character" w:customStyle="1" w:styleId="Heading6Char">
    <w:name w:val="Heading 6 Char"/>
    <w:rPr>
      <w:lang w:eastAsia="en-US"/>
    </w:rPr>
  </w:style>
  <w:style w:type="character" w:customStyle="1" w:styleId="Heading7Char">
    <w:name w:val="Heading 7 Char"/>
    <w:rPr>
      <w:lang w:eastAsia="en-US"/>
    </w:rPr>
  </w:style>
  <w:style w:type="character" w:customStyle="1" w:styleId="Heading8Char">
    <w:name w:val="Heading 8 Char"/>
    <w:rPr>
      <w:lang w:eastAsia="en-US"/>
    </w:rPr>
  </w:style>
  <w:style w:type="character" w:customStyle="1" w:styleId="Heading9Char">
    <w:name w:val="Heading 9 Char"/>
    <w:rPr>
      <w:lang w:eastAsia="en-US"/>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lang w:val="x-none"/>
    </w:rPr>
  </w:style>
  <w:style w:type="character" w:customStyle="1" w:styleId="HChGChar">
    <w:name w:val="_ H _Ch_G Char"/>
    <w:locked/>
    <w:rPr>
      <w:b/>
      <w:sz w:val="28"/>
      <w:lang w:eastAsia="en-US"/>
    </w:rPr>
  </w:style>
  <w:style w:type="character" w:styleId="FootnoteReference">
    <w:name w:val="footnote reference"/>
    <w:aliases w:val="4_G"/>
    <w:uiPriority w:val="99"/>
    <w:qFormat/>
    <w:rsid w:val="009B43E5"/>
    <w:rPr>
      <w:rFonts w:ascii="Times New Roman" w:hAnsi="Times New Roman"/>
      <w:sz w:val="18"/>
      <w:vertAlign w:val="superscript"/>
    </w:rPr>
  </w:style>
  <w:style w:type="character" w:styleId="EndnoteReference">
    <w:name w:val="endnote reference"/>
    <w:aliases w:val="1_G"/>
    <w:semiHidden/>
    <w:rPr>
      <w:rFonts w:ascii="Times New Roman" w:hAnsi="Times New Roman"/>
      <w:sz w:val="18"/>
      <w:vertAlign w:val="superscript"/>
    </w:rPr>
  </w:style>
  <w:style w:type="paragraph" w:styleId="Header">
    <w:name w:val="header"/>
    <w:aliases w:val="6_G"/>
    <w:basedOn w:val="Normal"/>
    <w:semiHidden/>
    <w:pPr>
      <w:pBdr>
        <w:bottom w:val="single" w:sz="4" w:space="4" w:color="auto"/>
      </w:pBdr>
      <w:spacing w:line="240" w:lineRule="auto"/>
    </w:pPr>
    <w:rPr>
      <w:b/>
      <w:sz w:val="18"/>
      <w:lang w:val="x-none"/>
    </w:rPr>
  </w:style>
  <w:style w:type="character" w:customStyle="1" w:styleId="HeaderChar">
    <w:name w:val="Header Char"/>
    <w:aliases w:val="6_G Char"/>
    <w:rPr>
      <w:b/>
      <w:sz w:val="18"/>
      <w:lang w:eastAsia="en-US"/>
    </w:rPr>
  </w:style>
  <w:style w:type="character" w:customStyle="1" w:styleId="A2">
    <w:name w:val="A2"/>
    <w:uiPriority w:val="99"/>
    <w:rsid w:val="00B11EE5"/>
    <w:rPr>
      <w:rFonts w:cs="Scala-Regular"/>
      <w:color w:val="000000"/>
      <w:sz w:val="20"/>
      <w:szCs w:val="20"/>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9B43E5"/>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Normal"/>
    <w:semiHidden/>
    <w:rPr>
      <w:lang w:val="x-none"/>
    </w:rPr>
  </w:style>
  <w:style w:type="character" w:customStyle="1" w:styleId="EndnoteTextChar">
    <w:name w:val="Endnote Text Char"/>
    <w:aliases w:val="2_G Char"/>
    <w:rPr>
      <w:sz w:val="18"/>
      <w:lang w:eastAsia="en-US"/>
    </w:rPr>
  </w:style>
  <w:style w:type="character" w:styleId="PageNumber">
    <w:name w:val="page number"/>
    <w:aliases w:val="7_G"/>
    <w:semiHidden/>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paragraph" w:styleId="Footer">
    <w:name w:val="footer"/>
    <w:aliases w:val="3_G"/>
    <w:basedOn w:val="Normal"/>
    <w:semiHidden/>
    <w:pPr>
      <w:spacing w:line="240" w:lineRule="auto"/>
    </w:pPr>
    <w:rPr>
      <w:sz w:val="16"/>
      <w:lang w:val="x-none"/>
    </w:rPr>
  </w:style>
  <w:style w:type="character" w:customStyle="1" w:styleId="FooterChar">
    <w:name w:val="Footer Char"/>
    <w:aliases w:val="3_G Char"/>
    <w:rPr>
      <w:sz w:val="16"/>
      <w:lang w:eastAsia="en-US"/>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lang w:val="x-none"/>
    </w:rPr>
  </w:style>
  <w:style w:type="character" w:customStyle="1" w:styleId="H1GChar">
    <w:name w:val="_ H_1_G Char"/>
    <w:locked/>
    <w:rPr>
      <w:b/>
      <w:sz w:val="24"/>
      <w:lang w:eastAsia="en-US"/>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lang w:val="x-none"/>
    </w:rPr>
  </w:style>
  <w:style w:type="character" w:customStyle="1" w:styleId="H23GChar">
    <w:name w:val="_ H_2/3_G Char"/>
    <w:locked/>
    <w:rPr>
      <w:b/>
      <w:lang w:eastAsia="en-US"/>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lang w:val="x-none"/>
    </w:rPr>
  </w:style>
  <w:style w:type="character" w:customStyle="1" w:styleId="H4GChar">
    <w:name w:val="_ H_4_G Char"/>
    <w:rPr>
      <w:i/>
      <w:lang w:eastAsia="en-US"/>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customStyle="1" w:styleId="MediumGrid1-Accent21">
    <w:name w:val="Medium Grid 1 - Accent 21"/>
    <w:basedOn w:val="Normal"/>
    <w:qFormat/>
    <w:pPr>
      <w:ind w:left="567"/>
    </w:pPr>
  </w:style>
  <w:style w:type="paragraph" w:styleId="BalloonText">
    <w:name w:val="Balloon Text"/>
    <w:basedOn w:val="Normal"/>
    <w:pPr>
      <w:spacing w:line="240" w:lineRule="auto"/>
    </w:pPr>
    <w:rPr>
      <w:rFonts w:ascii="Tahoma" w:hAnsi="Tahoma"/>
      <w:sz w:val="16"/>
      <w:szCs w:val="16"/>
      <w:lang w:val="x-none"/>
    </w:rPr>
  </w:style>
  <w:style w:type="character" w:customStyle="1" w:styleId="BalloonTextChar">
    <w:name w:val="Balloon Text Char"/>
    <w:rPr>
      <w:rFonts w:ascii="Tahoma" w:hAnsi="Tahoma"/>
      <w:sz w:val="16"/>
      <w:szCs w:val="16"/>
      <w:lang w:val="x-none" w:eastAsia="en-US"/>
    </w:rPr>
  </w:style>
  <w:style w:type="character" w:styleId="CommentReference">
    <w:name w:val="annotation reference"/>
    <w:semiHidden/>
    <w:rPr>
      <w:sz w:val="16"/>
      <w:szCs w:val="16"/>
    </w:rPr>
  </w:style>
  <w:style w:type="paragraph" w:styleId="CommentText">
    <w:name w:val="annotation text"/>
    <w:basedOn w:val="Normal"/>
    <w:semiHidden/>
    <w:rPr>
      <w:lang w:val="x-none"/>
    </w:rPr>
  </w:style>
  <w:style w:type="character" w:customStyle="1" w:styleId="CommentTextChar">
    <w:name w:val="Comment Text Char"/>
    <w:rPr>
      <w:lang w:val="x-none"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val="x-none" w:eastAsia="en-US"/>
    </w:rPr>
  </w:style>
  <w:style w:type="character" w:customStyle="1" w:styleId="apple-converted-space">
    <w:name w:val="apple-converted-space"/>
  </w:style>
  <w:style w:type="paragraph" w:styleId="NormalWeb">
    <w:name w:val="Normal (Web)"/>
    <w:basedOn w:val="Normal"/>
    <w:uiPriority w:val="99"/>
    <w:pPr>
      <w:suppressAutoHyphens w:val="0"/>
      <w:spacing w:before="100" w:beforeAutospacing="1" w:after="100" w:afterAutospacing="1" w:line="240" w:lineRule="auto"/>
    </w:pPr>
    <w:rPr>
      <w:sz w:val="24"/>
      <w:szCs w:val="24"/>
      <w:lang w:eastAsia="en-GB"/>
    </w:rPr>
  </w:style>
  <w:style w:type="character" w:styleId="Emphasis">
    <w:name w:val="Emphasis"/>
    <w:uiPriority w:val="20"/>
    <w:qFormat/>
    <w:rPr>
      <w:i/>
      <w:iCs/>
    </w:rPr>
  </w:style>
  <w:style w:type="character" w:customStyle="1" w:styleId="lblnewsfulltext">
    <w:name w:val="lblnewsfulltext"/>
  </w:style>
  <w:style w:type="character" w:styleId="Strong">
    <w:name w:val="Strong"/>
    <w:qFormat/>
    <w:rPr>
      <w:b/>
      <w:bCs/>
    </w:rPr>
  </w:style>
  <w:style w:type="paragraph" w:customStyle="1" w:styleId="FreeForm">
    <w:name w:val="Free Form"/>
    <w:rPr>
      <w:rFonts w:ascii="Lucida Grande" w:eastAsia="ヒラギノ角ゴ Pro W3" w:hAnsi="Lucida Grande"/>
      <w:color w:val="000000"/>
    </w:rPr>
  </w:style>
  <w:style w:type="paragraph" w:customStyle="1" w:styleId="MediumShading1-Accent11">
    <w:name w:val="Medium Shading 1 - Accent 11"/>
    <w:qFormat/>
    <w:rPr>
      <w:rFonts w:ascii="Lucida Grande" w:eastAsia="ヒラギノ角ゴ Pro W3" w:hAnsi="Lucida Grande"/>
      <w:color w:val="000000"/>
      <w:sz w:val="22"/>
    </w:rPr>
  </w:style>
  <w:style w:type="paragraph" w:customStyle="1" w:styleId="Body">
    <w:name w:val="Body"/>
    <w:rPr>
      <w:rFonts w:ascii="Helvetica" w:eastAsia="ヒラギノ角ゴ Pro W3" w:hAnsi="Helvetica"/>
      <w:color w:val="000000"/>
      <w:sz w:val="24"/>
      <w:lang w:val="en-US"/>
    </w:rPr>
  </w:style>
  <w:style w:type="paragraph" w:customStyle="1" w:styleId="FootnoteText1">
    <w:name w:val="Footnote Text1"/>
    <w:rPr>
      <w:rFonts w:ascii="Helvetica" w:eastAsia="ヒラギノ角ゴ Pro W3" w:hAnsi="Helvetica"/>
      <w:color w:val="000000"/>
      <w:lang w:val="en-US"/>
    </w:rPr>
  </w:style>
  <w:style w:type="paragraph" w:customStyle="1" w:styleId="NormalWeb1">
    <w:name w:val="Normal (Web)1"/>
    <w:pPr>
      <w:spacing w:before="100" w:after="100"/>
    </w:pPr>
    <w:rPr>
      <w:rFonts w:ascii="Lucida Grande" w:eastAsia="ヒラギノ角ゴ Pro W3" w:hAnsi="Lucida Grande"/>
      <w:color w:val="000000"/>
      <w:sz w:val="24"/>
      <w:lang w:val="en-US"/>
    </w:rPr>
  </w:style>
  <w:style w:type="paragraph" w:customStyle="1" w:styleId="Default">
    <w:name w:val="Default"/>
    <w:pPr>
      <w:autoSpaceDE w:val="0"/>
      <w:autoSpaceDN w:val="0"/>
      <w:adjustRightInd w:val="0"/>
    </w:pPr>
    <w:rPr>
      <w:noProof/>
      <w:color w:val="000000"/>
      <w:sz w:val="24"/>
      <w:szCs w:val="24"/>
      <w:lang w:val="en-US" w:eastAsia="en-US"/>
    </w:rPr>
  </w:style>
  <w:style w:type="paragraph" w:customStyle="1" w:styleId="MediumList2-Accent21">
    <w:name w:val="Medium List 2 - Accent 21"/>
    <w:hidden/>
    <w:semiHidden/>
    <w:rPr>
      <w:lang w:eastAsia="en-US"/>
    </w:rPr>
  </w:style>
  <w:style w:type="paragraph" w:customStyle="1" w:styleId="ColorfulShading-Accent11">
    <w:name w:val="Colorful Shading - Accent 11"/>
    <w:hidden/>
    <w:semiHidden/>
    <w:rPr>
      <w:lang w:eastAsia="en-US"/>
    </w:rPr>
  </w:style>
  <w:style w:type="paragraph" w:customStyle="1" w:styleId="ColorfulShading-Accent12">
    <w:name w:val="Colorful Shading - Accent 12"/>
    <w:hidden/>
    <w:semiHidden/>
    <w:rPr>
      <w:lang w:eastAsia="en-US"/>
    </w:rPr>
  </w:style>
  <w:style w:type="character" w:customStyle="1" w:styleId="canliicitation">
    <w:name w:val="canliicitation"/>
  </w:style>
  <w:style w:type="character" w:customStyle="1" w:styleId="name">
    <w:name w:val="name"/>
  </w:style>
  <w:style w:type="character" w:customStyle="1" w:styleId="WW8Num1z3">
    <w:name w:val="WW8Num1z3"/>
    <w:rPr>
      <w:rFonts w:ascii="Wingdings" w:hAnsi="Wingdings" w:cs="Wingdings"/>
    </w:rPr>
  </w:style>
  <w:style w:type="paragraph" w:customStyle="1" w:styleId="ColorfulList-Accent11">
    <w:name w:val="Colorful List - Accent 11"/>
    <w:basedOn w:val="Normal"/>
    <w:pPr>
      <w:suppressAutoHyphens w:val="0"/>
      <w:spacing w:line="240" w:lineRule="auto"/>
      <w:ind w:left="720"/>
    </w:pPr>
    <w:rPr>
      <w:sz w:val="24"/>
      <w:szCs w:val="24"/>
      <w:lang w:val="en-US"/>
    </w:rPr>
  </w:style>
  <w:style w:type="paragraph" w:customStyle="1" w:styleId="ColorfulList-Accent12">
    <w:name w:val="Colorful List - Accent 12"/>
    <w:basedOn w:val="Normal"/>
    <w:uiPriority w:val="34"/>
    <w:qFormat/>
    <w:rsid w:val="001F098C"/>
    <w:pPr>
      <w:ind w:left="720"/>
    </w:pPr>
  </w:style>
  <w:style w:type="character" w:customStyle="1" w:styleId="FootnoteTextChar">
    <w:name w:val="Footnote Text Char"/>
    <w:aliases w:val="5_G Char"/>
    <w:link w:val="FootnoteText"/>
    <w:uiPriority w:val="99"/>
    <w:rsid w:val="001A0D46"/>
    <w:rPr>
      <w:rFonts w:eastAsiaTheme="minorHAnsi"/>
      <w:sz w:val="18"/>
      <w:lang w:eastAsia="en-US"/>
    </w:rPr>
  </w:style>
  <w:style w:type="paragraph" w:styleId="Revision">
    <w:name w:val="Revision"/>
    <w:hidden/>
    <w:uiPriority w:val="99"/>
    <w:semiHidden/>
    <w:rsid w:val="00E47AE0"/>
    <w:rPr>
      <w:lang w:eastAsia="en-US"/>
    </w:rPr>
  </w:style>
  <w:style w:type="table" w:styleId="TableGrid">
    <w:name w:val="Table Grid"/>
    <w:basedOn w:val="TableNormal"/>
    <w:uiPriority w:val="59"/>
    <w:rsid w:val="000C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newstitle">
    <w:name w:val="lblnewstitle"/>
    <w:basedOn w:val="DefaultParagraphFont"/>
    <w:rsid w:val="00F326AB"/>
  </w:style>
  <w:style w:type="character" w:customStyle="1" w:styleId="lblnewstitle1">
    <w:name w:val="lblnewstitle1"/>
    <w:basedOn w:val="DefaultParagraphFont"/>
    <w:rsid w:val="007D1594"/>
    <w:rPr>
      <w:b/>
      <w:bCs/>
      <w:sz w:val="29"/>
      <w:szCs w:val="29"/>
    </w:rPr>
  </w:style>
  <w:style w:type="paragraph" w:styleId="ListParagraph">
    <w:name w:val="List Paragraph"/>
    <w:basedOn w:val="Normal"/>
    <w:uiPriority w:val="34"/>
    <w:qFormat/>
    <w:rsid w:val="00A90E62"/>
    <w:pPr>
      <w:ind w:left="720"/>
      <w:contextualSpacing/>
    </w:pPr>
  </w:style>
  <w:style w:type="paragraph" w:customStyle="1" w:styleId="CM1">
    <w:name w:val="CM1"/>
    <w:basedOn w:val="Default"/>
    <w:next w:val="Default"/>
    <w:uiPriority w:val="99"/>
    <w:rsid w:val="00CC4DFA"/>
    <w:rPr>
      <w:rFonts w:ascii="EUAlbertina" w:hAnsi="EUAlbertina"/>
      <w:noProof w:val="0"/>
      <w:color w:val="auto"/>
      <w:lang w:val="en-GB" w:eastAsia="en-GB"/>
    </w:rPr>
  </w:style>
  <w:style w:type="paragraph" w:customStyle="1" w:styleId="CM3">
    <w:name w:val="CM3"/>
    <w:basedOn w:val="Default"/>
    <w:next w:val="Default"/>
    <w:uiPriority w:val="99"/>
    <w:rsid w:val="00CC4DFA"/>
    <w:rPr>
      <w:rFonts w:ascii="EUAlbertina" w:hAnsi="EUAlbertina"/>
      <w:noProof w:val="0"/>
      <w:color w:val="auto"/>
      <w:lang w:val="en-GB" w:eastAsia="en-GB"/>
    </w:rPr>
  </w:style>
  <w:style w:type="paragraph" w:customStyle="1" w:styleId="CM4">
    <w:name w:val="CM4"/>
    <w:basedOn w:val="Default"/>
    <w:next w:val="Default"/>
    <w:uiPriority w:val="99"/>
    <w:rsid w:val="00CC4DFA"/>
    <w:rPr>
      <w:rFonts w:ascii="EUAlbertina" w:hAnsi="EUAlbertina"/>
      <w:noProof w:val="0"/>
      <w:color w:val="auto"/>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A9"/>
    <w:pPr>
      <w:suppressAutoHyphens/>
      <w:spacing w:line="240" w:lineRule="atLeast"/>
    </w:pPr>
    <w:rPr>
      <w:lang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rPr>
      <w:lang w:val="x-none"/>
    </w:rPr>
  </w:style>
  <w:style w:type="paragraph" w:styleId="Heading3">
    <w:name w:val="heading 3"/>
    <w:basedOn w:val="Normal"/>
    <w:next w:val="Normal"/>
    <w:qFormat/>
    <w:pPr>
      <w:spacing w:line="240" w:lineRule="auto"/>
      <w:outlineLvl w:val="2"/>
    </w:pPr>
    <w:rPr>
      <w:lang w:val="x-none"/>
    </w:rPr>
  </w:style>
  <w:style w:type="paragraph" w:styleId="Heading4">
    <w:name w:val="heading 4"/>
    <w:basedOn w:val="Normal"/>
    <w:next w:val="Normal"/>
    <w:qFormat/>
    <w:pPr>
      <w:spacing w:line="240" w:lineRule="auto"/>
      <w:outlineLvl w:val="3"/>
    </w:pPr>
    <w:rPr>
      <w:lang w:val="x-none"/>
    </w:rPr>
  </w:style>
  <w:style w:type="paragraph" w:styleId="Heading5">
    <w:name w:val="heading 5"/>
    <w:basedOn w:val="Normal"/>
    <w:next w:val="Normal"/>
    <w:qFormat/>
    <w:pPr>
      <w:spacing w:line="240" w:lineRule="auto"/>
      <w:outlineLvl w:val="4"/>
    </w:pPr>
    <w:rPr>
      <w:lang w:val="x-none"/>
    </w:rPr>
  </w:style>
  <w:style w:type="paragraph" w:styleId="Heading6">
    <w:name w:val="heading 6"/>
    <w:basedOn w:val="Normal"/>
    <w:next w:val="Normal"/>
    <w:qFormat/>
    <w:pPr>
      <w:spacing w:line="240" w:lineRule="auto"/>
      <w:outlineLvl w:val="5"/>
    </w:pPr>
    <w:rPr>
      <w:lang w:val="x-none"/>
    </w:rPr>
  </w:style>
  <w:style w:type="paragraph" w:styleId="Heading7">
    <w:name w:val="heading 7"/>
    <w:basedOn w:val="Normal"/>
    <w:next w:val="Normal"/>
    <w:qFormat/>
    <w:pPr>
      <w:spacing w:line="240" w:lineRule="auto"/>
      <w:outlineLvl w:val="6"/>
    </w:pPr>
    <w:rPr>
      <w:lang w:val="x-none"/>
    </w:rPr>
  </w:style>
  <w:style w:type="paragraph" w:styleId="Heading8">
    <w:name w:val="heading 8"/>
    <w:basedOn w:val="Normal"/>
    <w:next w:val="Normal"/>
    <w:qFormat/>
    <w:pPr>
      <w:spacing w:line="240" w:lineRule="auto"/>
      <w:outlineLvl w:val="7"/>
    </w:pPr>
    <w:rPr>
      <w:lang w:val="x-none"/>
    </w:rPr>
  </w:style>
  <w:style w:type="paragraph" w:styleId="Heading9">
    <w:name w:val="heading 9"/>
    <w:basedOn w:val="Normal"/>
    <w:next w:val="Normal"/>
    <w:qFormat/>
    <w:pPr>
      <w:spacing w:line="240" w:lineRule="auto"/>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rPr>
      <w:lang w:val="x-none"/>
    </w:rPr>
  </w:style>
  <w:style w:type="character" w:customStyle="1" w:styleId="SingleTxtGChar">
    <w:name w:val="_ Single Txt_G Char"/>
    <w:locked/>
    <w:rPr>
      <w:lang w:eastAsia="en-US"/>
    </w:rPr>
  </w:style>
  <w:style w:type="character" w:customStyle="1" w:styleId="Heading1Char">
    <w:name w:val="Heading 1 Char"/>
    <w:aliases w:val="Table_G Char"/>
    <w:rPr>
      <w:lang w:eastAsia="en-US"/>
    </w:rPr>
  </w:style>
  <w:style w:type="character" w:customStyle="1" w:styleId="Heading2Char">
    <w:name w:val="Heading 2 Char"/>
    <w:rPr>
      <w:lang w:eastAsia="en-US"/>
    </w:rPr>
  </w:style>
  <w:style w:type="character" w:customStyle="1" w:styleId="Heading3Char">
    <w:name w:val="Heading 3 Char"/>
    <w:rPr>
      <w:lang w:eastAsia="en-US"/>
    </w:rPr>
  </w:style>
  <w:style w:type="character" w:customStyle="1" w:styleId="Heading4Char">
    <w:name w:val="Heading 4 Char"/>
    <w:rPr>
      <w:lang w:eastAsia="en-US"/>
    </w:rPr>
  </w:style>
  <w:style w:type="character" w:customStyle="1" w:styleId="Heading5Char">
    <w:name w:val="Heading 5 Char"/>
    <w:rPr>
      <w:lang w:eastAsia="en-US"/>
    </w:rPr>
  </w:style>
  <w:style w:type="character" w:customStyle="1" w:styleId="Heading6Char">
    <w:name w:val="Heading 6 Char"/>
    <w:rPr>
      <w:lang w:eastAsia="en-US"/>
    </w:rPr>
  </w:style>
  <w:style w:type="character" w:customStyle="1" w:styleId="Heading7Char">
    <w:name w:val="Heading 7 Char"/>
    <w:rPr>
      <w:lang w:eastAsia="en-US"/>
    </w:rPr>
  </w:style>
  <w:style w:type="character" w:customStyle="1" w:styleId="Heading8Char">
    <w:name w:val="Heading 8 Char"/>
    <w:rPr>
      <w:lang w:eastAsia="en-US"/>
    </w:rPr>
  </w:style>
  <w:style w:type="character" w:customStyle="1" w:styleId="Heading9Char">
    <w:name w:val="Heading 9 Char"/>
    <w:rPr>
      <w:lang w:eastAsia="en-US"/>
    </w:r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lang w:val="x-none"/>
    </w:rPr>
  </w:style>
  <w:style w:type="character" w:customStyle="1" w:styleId="HChGChar">
    <w:name w:val="_ H _Ch_G Char"/>
    <w:locked/>
    <w:rPr>
      <w:b/>
      <w:sz w:val="28"/>
      <w:lang w:eastAsia="en-US"/>
    </w:rPr>
  </w:style>
  <w:style w:type="character" w:styleId="FootnoteReference">
    <w:name w:val="footnote reference"/>
    <w:aliases w:val="4_G"/>
    <w:uiPriority w:val="99"/>
    <w:qFormat/>
    <w:rsid w:val="009B43E5"/>
    <w:rPr>
      <w:rFonts w:ascii="Times New Roman" w:hAnsi="Times New Roman"/>
      <w:sz w:val="18"/>
      <w:vertAlign w:val="superscript"/>
    </w:rPr>
  </w:style>
  <w:style w:type="character" w:styleId="EndnoteReference">
    <w:name w:val="endnote reference"/>
    <w:aliases w:val="1_G"/>
    <w:semiHidden/>
    <w:rPr>
      <w:rFonts w:ascii="Times New Roman" w:hAnsi="Times New Roman"/>
      <w:sz w:val="18"/>
      <w:vertAlign w:val="superscript"/>
    </w:rPr>
  </w:style>
  <w:style w:type="paragraph" w:styleId="Header">
    <w:name w:val="header"/>
    <w:aliases w:val="6_G"/>
    <w:basedOn w:val="Normal"/>
    <w:semiHidden/>
    <w:pPr>
      <w:pBdr>
        <w:bottom w:val="single" w:sz="4" w:space="4" w:color="auto"/>
      </w:pBdr>
      <w:spacing w:line="240" w:lineRule="auto"/>
    </w:pPr>
    <w:rPr>
      <w:b/>
      <w:sz w:val="18"/>
      <w:lang w:val="x-none"/>
    </w:rPr>
  </w:style>
  <w:style w:type="character" w:customStyle="1" w:styleId="HeaderChar">
    <w:name w:val="Header Char"/>
    <w:aliases w:val="6_G Char"/>
    <w:rPr>
      <w:b/>
      <w:sz w:val="18"/>
      <w:lang w:eastAsia="en-US"/>
    </w:rPr>
  </w:style>
  <w:style w:type="character" w:customStyle="1" w:styleId="A2">
    <w:name w:val="A2"/>
    <w:uiPriority w:val="99"/>
    <w:rsid w:val="00B11EE5"/>
    <w:rPr>
      <w:rFonts w:cs="Scala-Regular"/>
      <w:color w:val="000000"/>
      <w:sz w:val="20"/>
      <w:szCs w:val="20"/>
    </w:r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9B43E5"/>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Normal"/>
    <w:semiHidden/>
    <w:rPr>
      <w:lang w:val="x-none"/>
    </w:rPr>
  </w:style>
  <w:style w:type="character" w:customStyle="1" w:styleId="EndnoteTextChar">
    <w:name w:val="Endnote Text Char"/>
    <w:aliases w:val="2_G Char"/>
    <w:rPr>
      <w:sz w:val="18"/>
      <w:lang w:eastAsia="en-US"/>
    </w:rPr>
  </w:style>
  <w:style w:type="character" w:styleId="PageNumber">
    <w:name w:val="page number"/>
    <w:aliases w:val="7_G"/>
    <w:semiHidden/>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paragraph" w:styleId="Footer">
    <w:name w:val="footer"/>
    <w:aliases w:val="3_G"/>
    <w:basedOn w:val="Normal"/>
    <w:semiHidden/>
    <w:pPr>
      <w:spacing w:line="240" w:lineRule="auto"/>
    </w:pPr>
    <w:rPr>
      <w:sz w:val="16"/>
      <w:lang w:val="x-none"/>
    </w:rPr>
  </w:style>
  <w:style w:type="character" w:customStyle="1" w:styleId="FooterChar">
    <w:name w:val="Footer Char"/>
    <w:aliases w:val="3_G Char"/>
    <w:rPr>
      <w:sz w:val="16"/>
      <w:lang w:eastAsia="en-US"/>
    </w:r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lang w:val="x-none"/>
    </w:rPr>
  </w:style>
  <w:style w:type="character" w:customStyle="1" w:styleId="H1GChar">
    <w:name w:val="_ H_1_G Char"/>
    <w:locked/>
    <w:rPr>
      <w:b/>
      <w:sz w:val="24"/>
      <w:lang w:eastAsia="en-US"/>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lang w:val="x-none"/>
    </w:rPr>
  </w:style>
  <w:style w:type="character" w:customStyle="1" w:styleId="H23GChar">
    <w:name w:val="_ H_2/3_G Char"/>
    <w:locked/>
    <w:rPr>
      <w:b/>
      <w:lang w:eastAsia="en-US"/>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lang w:val="x-none"/>
    </w:rPr>
  </w:style>
  <w:style w:type="character" w:customStyle="1" w:styleId="H4GChar">
    <w:name w:val="_ H_4_G Char"/>
    <w:rPr>
      <w:i/>
      <w:lang w:eastAsia="en-US"/>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customStyle="1" w:styleId="MediumGrid1-Accent21">
    <w:name w:val="Medium Grid 1 - Accent 21"/>
    <w:basedOn w:val="Normal"/>
    <w:qFormat/>
    <w:pPr>
      <w:ind w:left="567"/>
    </w:pPr>
  </w:style>
  <w:style w:type="paragraph" w:styleId="BalloonText">
    <w:name w:val="Balloon Text"/>
    <w:basedOn w:val="Normal"/>
    <w:pPr>
      <w:spacing w:line="240" w:lineRule="auto"/>
    </w:pPr>
    <w:rPr>
      <w:rFonts w:ascii="Tahoma" w:hAnsi="Tahoma"/>
      <w:sz w:val="16"/>
      <w:szCs w:val="16"/>
      <w:lang w:val="x-none"/>
    </w:rPr>
  </w:style>
  <w:style w:type="character" w:customStyle="1" w:styleId="BalloonTextChar">
    <w:name w:val="Balloon Text Char"/>
    <w:rPr>
      <w:rFonts w:ascii="Tahoma" w:hAnsi="Tahoma"/>
      <w:sz w:val="16"/>
      <w:szCs w:val="16"/>
      <w:lang w:val="x-none" w:eastAsia="en-US"/>
    </w:rPr>
  </w:style>
  <w:style w:type="character" w:styleId="CommentReference">
    <w:name w:val="annotation reference"/>
    <w:semiHidden/>
    <w:rPr>
      <w:sz w:val="16"/>
      <w:szCs w:val="16"/>
    </w:rPr>
  </w:style>
  <w:style w:type="paragraph" w:styleId="CommentText">
    <w:name w:val="annotation text"/>
    <w:basedOn w:val="Normal"/>
    <w:semiHidden/>
    <w:rPr>
      <w:lang w:val="x-none"/>
    </w:rPr>
  </w:style>
  <w:style w:type="character" w:customStyle="1" w:styleId="CommentTextChar">
    <w:name w:val="Comment Text Char"/>
    <w:rPr>
      <w:lang w:val="x-none" w:eastAsia="en-US"/>
    </w:rPr>
  </w:style>
  <w:style w:type="paragraph" w:styleId="CommentSubject">
    <w:name w:val="annotation subject"/>
    <w:basedOn w:val="CommentText"/>
    <w:next w:val="CommentText"/>
    <w:rPr>
      <w:b/>
      <w:bCs/>
    </w:rPr>
  </w:style>
  <w:style w:type="character" w:customStyle="1" w:styleId="CommentSubjectChar">
    <w:name w:val="Comment Subject Char"/>
    <w:rPr>
      <w:b/>
      <w:bCs/>
      <w:lang w:val="x-none" w:eastAsia="en-US"/>
    </w:rPr>
  </w:style>
  <w:style w:type="character" w:customStyle="1" w:styleId="apple-converted-space">
    <w:name w:val="apple-converted-space"/>
  </w:style>
  <w:style w:type="paragraph" w:styleId="NormalWeb">
    <w:name w:val="Normal (Web)"/>
    <w:basedOn w:val="Normal"/>
    <w:uiPriority w:val="99"/>
    <w:pPr>
      <w:suppressAutoHyphens w:val="0"/>
      <w:spacing w:before="100" w:beforeAutospacing="1" w:after="100" w:afterAutospacing="1" w:line="240" w:lineRule="auto"/>
    </w:pPr>
    <w:rPr>
      <w:sz w:val="24"/>
      <w:szCs w:val="24"/>
      <w:lang w:eastAsia="en-GB"/>
    </w:rPr>
  </w:style>
  <w:style w:type="character" w:styleId="Emphasis">
    <w:name w:val="Emphasis"/>
    <w:uiPriority w:val="20"/>
    <w:qFormat/>
    <w:rPr>
      <w:i/>
      <w:iCs/>
    </w:rPr>
  </w:style>
  <w:style w:type="character" w:customStyle="1" w:styleId="lblnewsfulltext">
    <w:name w:val="lblnewsfulltext"/>
  </w:style>
  <w:style w:type="character" w:styleId="Strong">
    <w:name w:val="Strong"/>
    <w:qFormat/>
    <w:rPr>
      <w:b/>
      <w:bCs/>
    </w:rPr>
  </w:style>
  <w:style w:type="paragraph" w:customStyle="1" w:styleId="FreeForm">
    <w:name w:val="Free Form"/>
    <w:rPr>
      <w:rFonts w:ascii="Lucida Grande" w:eastAsia="ヒラギノ角ゴ Pro W3" w:hAnsi="Lucida Grande"/>
      <w:color w:val="000000"/>
    </w:rPr>
  </w:style>
  <w:style w:type="paragraph" w:customStyle="1" w:styleId="MediumShading1-Accent11">
    <w:name w:val="Medium Shading 1 - Accent 11"/>
    <w:qFormat/>
    <w:rPr>
      <w:rFonts w:ascii="Lucida Grande" w:eastAsia="ヒラギノ角ゴ Pro W3" w:hAnsi="Lucida Grande"/>
      <w:color w:val="000000"/>
      <w:sz w:val="22"/>
    </w:rPr>
  </w:style>
  <w:style w:type="paragraph" w:customStyle="1" w:styleId="Body">
    <w:name w:val="Body"/>
    <w:rPr>
      <w:rFonts w:ascii="Helvetica" w:eastAsia="ヒラギノ角ゴ Pro W3" w:hAnsi="Helvetica"/>
      <w:color w:val="000000"/>
      <w:sz w:val="24"/>
      <w:lang w:val="en-US"/>
    </w:rPr>
  </w:style>
  <w:style w:type="paragraph" w:customStyle="1" w:styleId="FootnoteText1">
    <w:name w:val="Footnote Text1"/>
    <w:rPr>
      <w:rFonts w:ascii="Helvetica" w:eastAsia="ヒラギノ角ゴ Pro W3" w:hAnsi="Helvetica"/>
      <w:color w:val="000000"/>
      <w:lang w:val="en-US"/>
    </w:rPr>
  </w:style>
  <w:style w:type="paragraph" w:customStyle="1" w:styleId="NormalWeb1">
    <w:name w:val="Normal (Web)1"/>
    <w:pPr>
      <w:spacing w:before="100" w:after="100"/>
    </w:pPr>
    <w:rPr>
      <w:rFonts w:ascii="Lucida Grande" w:eastAsia="ヒラギノ角ゴ Pro W3" w:hAnsi="Lucida Grande"/>
      <w:color w:val="000000"/>
      <w:sz w:val="24"/>
      <w:lang w:val="en-US"/>
    </w:rPr>
  </w:style>
  <w:style w:type="paragraph" w:customStyle="1" w:styleId="Default">
    <w:name w:val="Default"/>
    <w:pPr>
      <w:autoSpaceDE w:val="0"/>
      <w:autoSpaceDN w:val="0"/>
      <w:adjustRightInd w:val="0"/>
    </w:pPr>
    <w:rPr>
      <w:noProof/>
      <w:color w:val="000000"/>
      <w:sz w:val="24"/>
      <w:szCs w:val="24"/>
      <w:lang w:val="en-US" w:eastAsia="en-US"/>
    </w:rPr>
  </w:style>
  <w:style w:type="paragraph" w:customStyle="1" w:styleId="MediumList2-Accent21">
    <w:name w:val="Medium List 2 - Accent 21"/>
    <w:hidden/>
    <w:semiHidden/>
    <w:rPr>
      <w:lang w:eastAsia="en-US"/>
    </w:rPr>
  </w:style>
  <w:style w:type="paragraph" w:customStyle="1" w:styleId="ColorfulShading-Accent11">
    <w:name w:val="Colorful Shading - Accent 11"/>
    <w:hidden/>
    <w:semiHidden/>
    <w:rPr>
      <w:lang w:eastAsia="en-US"/>
    </w:rPr>
  </w:style>
  <w:style w:type="paragraph" w:customStyle="1" w:styleId="ColorfulShading-Accent12">
    <w:name w:val="Colorful Shading - Accent 12"/>
    <w:hidden/>
    <w:semiHidden/>
    <w:rPr>
      <w:lang w:eastAsia="en-US"/>
    </w:rPr>
  </w:style>
  <w:style w:type="character" w:customStyle="1" w:styleId="canliicitation">
    <w:name w:val="canliicitation"/>
  </w:style>
  <w:style w:type="character" w:customStyle="1" w:styleId="name">
    <w:name w:val="name"/>
  </w:style>
  <w:style w:type="character" w:customStyle="1" w:styleId="WW8Num1z3">
    <w:name w:val="WW8Num1z3"/>
    <w:rPr>
      <w:rFonts w:ascii="Wingdings" w:hAnsi="Wingdings" w:cs="Wingdings"/>
    </w:rPr>
  </w:style>
  <w:style w:type="paragraph" w:customStyle="1" w:styleId="ColorfulList-Accent11">
    <w:name w:val="Colorful List - Accent 11"/>
    <w:basedOn w:val="Normal"/>
    <w:pPr>
      <w:suppressAutoHyphens w:val="0"/>
      <w:spacing w:line="240" w:lineRule="auto"/>
      <w:ind w:left="720"/>
    </w:pPr>
    <w:rPr>
      <w:sz w:val="24"/>
      <w:szCs w:val="24"/>
      <w:lang w:val="en-US"/>
    </w:rPr>
  </w:style>
  <w:style w:type="paragraph" w:customStyle="1" w:styleId="ColorfulList-Accent12">
    <w:name w:val="Colorful List - Accent 12"/>
    <w:basedOn w:val="Normal"/>
    <w:uiPriority w:val="34"/>
    <w:qFormat/>
    <w:rsid w:val="001F098C"/>
    <w:pPr>
      <w:ind w:left="720"/>
    </w:pPr>
  </w:style>
  <w:style w:type="character" w:customStyle="1" w:styleId="FootnoteTextChar">
    <w:name w:val="Footnote Text Char"/>
    <w:aliases w:val="5_G Char"/>
    <w:link w:val="FootnoteText"/>
    <w:uiPriority w:val="99"/>
    <w:rsid w:val="001A0D46"/>
    <w:rPr>
      <w:rFonts w:eastAsiaTheme="minorHAnsi"/>
      <w:sz w:val="18"/>
      <w:lang w:eastAsia="en-US"/>
    </w:rPr>
  </w:style>
  <w:style w:type="paragraph" w:styleId="Revision">
    <w:name w:val="Revision"/>
    <w:hidden/>
    <w:uiPriority w:val="99"/>
    <w:semiHidden/>
    <w:rsid w:val="00E47AE0"/>
    <w:rPr>
      <w:lang w:eastAsia="en-US"/>
    </w:rPr>
  </w:style>
  <w:style w:type="table" w:styleId="TableGrid">
    <w:name w:val="Table Grid"/>
    <w:basedOn w:val="TableNormal"/>
    <w:uiPriority w:val="59"/>
    <w:rsid w:val="000C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newstitle">
    <w:name w:val="lblnewstitle"/>
    <w:basedOn w:val="DefaultParagraphFont"/>
    <w:rsid w:val="00F326AB"/>
  </w:style>
  <w:style w:type="character" w:customStyle="1" w:styleId="lblnewstitle1">
    <w:name w:val="lblnewstitle1"/>
    <w:basedOn w:val="DefaultParagraphFont"/>
    <w:rsid w:val="007D1594"/>
    <w:rPr>
      <w:b/>
      <w:bCs/>
      <w:sz w:val="29"/>
      <w:szCs w:val="29"/>
    </w:rPr>
  </w:style>
  <w:style w:type="paragraph" w:styleId="ListParagraph">
    <w:name w:val="List Paragraph"/>
    <w:basedOn w:val="Normal"/>
    <w:uiPriority w:val="34"/>
    <w:qFormat/>
    <w:rsid w:val="00A90E62"/>
    <w:pPr>
      <w:ind w:left="720"/>
      <w:contextualSpacing/>
    </w:pPr>
  </w:style>
  <w:style w:type="paragraph" w:customStyle="1" w:styleId="CM1">
    <w:name w:val="CM1"/>
    <w:basedOn w:val="Default"/>
    <w:next w:val="Default"/>
    <w:uiPriority w:val="99"/>
    <w:rsid w:val="00CC4DFA"/>
    <w:rPr>
      <w:rFonts w:ascii="EUAlbertina" w:hAnsi="EUAlbertina"/>
      <w:noProof w:val="0"/>
      <w:color w:val="auto"/>
      <w:lang w:val="en-GB" w:eastAsia="en-GB"/>
    </w:rPr>
  </w:style>
  <w:style w:type="paragraph" w:customStyle="1" w:styleId="CM3">
    <w:name w:val="CM3"/>
    <w:basedOn w:val="Default"/>
    <w:next w:val="Default"/>
    <w:uiPriority w:val="99"/>
    <w:rsid w:val="00CC4DFA"/>
    <w:rPr>
      <w:rFonts w:ascii="EUAlbertina" w:hAnsi="EUAlbertina"/>
      <w:noProof w:val="0"/>
      <w:color w:val="auto"/>
      <w:lang w:val="en-GB" w:eastAsia="en-GB"/>
    </w:rPr>
  </w:style>
  <w:style w:type="paragraph" w:customStyle="1" w:styleId="CM4">
    <w:name w:val="CM4"/>
    <w:basedOn w:val="Default"/>
    <w:next w:val="Default"/>
    <w:uiPriority w:val="99"/>
    <w:rsid w:val="00CC4DFA"/>
    <w:rPr>
      <w:rFonts w:ascii="EUAlbertina" w:hAnsi="EUAlbertina"/>
      <w:noProof w:val="0"/>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615">
      <w:bodyDiv w:val="1"/>
      <w:marLeft w:val="0"/>
      <w:marRight w:val="0"/>
      <w:marTop w:val="0"/>
      <w:marBottom w:val="0"/>
      <w:divBdr>
        <w:top w:val="none" w:sz="0" w:space="0" w:color="auto"/>
        <w:left w:val="none" w:sz="0" w:space="0" w:color="auto"/>
        <w:bottom w:val="none" w:sz="0" w:space="0" w:color="auto"/>
        <w:right w:val="none" w:sz="0" w:space="0" w:color="auto"/>
      </w:divBdr>
    </w:div>
    <w:div w:id="77094768">
      <w:bodyDiv w:val="1"/>
      <w:marLeft w:val="0"/>
      <w:marRight w:val="0"/>
      <w:marTop w:val="0"/>
      <w:marBottom w:val="0"/>
      <w:divBdr>
        <w:top w:val="none" w:sz="0" w:space="0" w:color="auto"/>
        <w:left w:val="none" w:sz="0" w:space="0" w:color="auto"/>
        <w:bottom w:val="none" w:sz="0" w:space="0" w:color="auto"/>
        <w:right w:val="none" w:sz="0" w:space="0" w:color="auto"/>
      </w:divBdr>
    </w:div>
    <w:div w:id="184635036">
      <w:bodyDiv w:val="1"/>
      <w:marLeft w:val="0"/>
      <w:marRight w:val="0"/>
      <w:marTop w:val="0"/>
      <w:marBottom w:val="0"/>
      <w:divBdr>
        <w:top w:val="none" w:sz="0" w:space="0" w:color="auto"/>
        <w:left w:val="none" w:sz="0" w:space="0" w:color="auto"/>
        <w:bottom w:val="none" w:sz="0" w:space="0" w:color="auto"/>
        <w:right w:val="none" w:sz="0" w:space="0" w:color="auto"/>
      </w:divBdr>
    </w:div>
    <w:div w:id="384254138">
      <w:bodyDiv w:val="1"/>
      <w:marLeft w:val="0"/>
      <w:marRight w:val="0"/>
      <w:marTop w:val="0"/>
      <w:marBottom w:val="0"/>
      <w:divBdr>
        <w:top w:val="none" w:sz="0" w:space="0" w:color="auto"/>
        <w:left w:val="none" w:sz="0" w:space="0" w:color="auto"/>
        <w:bottom w:val="none" w:sz="0" w:space="0" w:color="auto"/>
        <w:right w:val="none" w:sz="0" w:space="0" w:color="auto"/>
      </w:divBdr>
    </w:div>
    <w:div w:id="389572194">
      <w:bodyDiv w:val="1"/>
      <w:marLeft w:val="0"/>
      <w:marRight w:val="0"/>
      <w:marTop w:val="0"/>
      <w:marBottom w:val="0"/>
      <w:divBdr>
        <w:top w:val="none" w:sz="0" w:space="0" w:color="auto"/>
        <w:left w:val="none" w:sz="0" w:space="0" w:color="auto"/>
        <w:bottom w:val="none" w:sz="0" w:space="0" w:color="auto"/>
        <w:right w:val="none" w:sz="0" w:space="0" w:color="auto"/>
      </w:divBdr>
      <w:divsChild>
        <w:div w:id="1730693476">
          <w:marLeft w:val="0"/>
          <w:marRight w:val="0"/>
          <w:marTop w:val="0"/>
          <w:marBottom w:val="0"/>
          <w:divBdr>
            <w:top w:val="none" w:sz="0" w:space="0" w:color="auto"/>
            <w:left w:val="none" w:sz="0" w:space="0" w:color="auto"/>
            <w:bottom w:val="none" w:sz="0" w:space="0" w:color="auto"/>
            <w:right w:val="none" w:sz="0" w:space="0" w:color="auto"/>
          </w:divBdr>
          <w:divsChild>
            <w:div w:id="2004966549">
              <w:marLeft w:val="0"/>
              <w:marRight w:val="0"/>
              <w:marTop w:val="0"/>
              <w:marBottom w:val="0"/>
              <w:divBdr>
                <w:top w:val="none" w:sz="0" w:space="0" w:color="auto"/>
                <w:left w:val="none" w:sz="0" w:space="0" w:color="auto"/>
                <w:bottom w:val="none" w:sz="0" w:space="0" w:color="auto"/>
                <w:right w:val="none" w:sz="0" w:space="0" w:color="auto"/>
              </w:divBdr>
              <w:divsChild>
                <w:div w:id="317080137">
                  <w:marLeft w:val="0"/>
                  <w:marRight w:val="0"/>
                  <w:marTop w:val="0"/>
                  <w:marBottom w:val="0"/>
                  <w:divBdr>
                    <w:top w:val="none" w:sz="0" w:space="0" w:color="auto"/>
                    <w:left w:val="none" w:sz="0" w:space="0" w:color="auto"/>
                    <w:bottom w:val="none" w:sz="0" w:space="0" w:color="auto"/>
                    <w:right w:val="none" w:sz="0" w:space="0" w:color="auto"/>
                  </w:divBdr>
                  <w:divsChild>
                    <w:div w:id="348409485">
                      <w:marLeft w:val="0"/>
                      <w:marRight w:val="0"/>
                      <w:marTop w:val="0"/>
                      <w:marBottom w:val="0"/>
                      <w:divBdr>
                        <w:top w:val="none" w:sz="0" w:space="0" w:color="auto"/>
                        <w:left w:val="none" w:sz="0" w:space="0" w:color="auto"/>
                        <w:bottom w:val="none" w:sz="0" w:space="0" w:color="auto"/>
                        <w:right w:val="none" w:sz="0" w:space="0" w:color="auto"/>
                      </w:divBdr>
                      <w:divsChild>
                        <w:div w:id="630131700">
                          <w:marLeft w:val="-225"/>
                          <w:marRight w:val="-225"/>
                          <w:marTop w:val="0"/>
                          <w:marBottom w:val="0"/>
                          <w:divBdr>
                            <w:top w:val="none" w:sz="0" w:space="0" w:color="auto"/>
                            <w:left w:val="none" w:sz="0" w:space="0" w:color="auto"/>
                            <w:bottom w:val="none" w:sz="0" w:space="0" w:color="auto"/>
                            <w:right w:val="none" w:sz="0" w:space="0" w:color="auto"/>
                          </w:divBdr>
                          <w:divsChild>
                            <w:div w:id="1259215972">
                              <w:marLeft w:val="0"/>
                              <w:marRight w:val="0"/>
                              <w:marTop w:val="0"/>
                              <w:marBottom w:val="0"/>
                              <w:divBdr>
                                <w:top w:val="none" w:sz="0" w:space="0" w:color="auto"/>
                                <w:left w:val="none" w:sz="0" w:space="0" w:color="auto"/>
                                <w:bottom w:val="none" w:sz="0" w:space="0" w:color="auto"/>
                                <w:right w:val="none" w:sz="0" w:space="0" w:color="auto"/>
                              </w:divBdr>
                              <w:divsChild>
                                <w:div w:id="1710764201">
                                  <w:marLeft w:val="0"/>
                                  <w:marRight w:val="0"/>
                                  <w:marTop w:val="0"/>
                                  <w:marBottom w:val="0"/>
                                  <w:divBdr>
                                    <w:top w:val="none" w:sz="0" w:space="0" w:color="auto"/>
                                    <w:left w:val="none" w:sz="0" w:space="0" w:color="auto"/>
                                    <w:bottom w:val="none" w:sz="0" w:space="0" w:color="auto"/>
                                    <w:right w:val="none" w:sz="0" w:space="0" w:color="auto"/>
                                  </w:divBdr>
                                  <w:divsChild>
                                    <w:div w:id="1275166014">
                                      <w:marLeft w:val="-150"/>
                                      <w:marRight w:val="-150"/>
                                      <w:marTop w:val="0"/>
                                      <w:marBottom w:val="0"/>
                                      <w:divBdr>
                                        <w:top w:val="none" w:sz="0" w:space="0" w:color="auto"/>
                                        <w:left w:val="none" w:sz="0" w:space="0" w:color="auto"/>
                                        <w:bottom w:val="none" w:sz="0" w:space="0" w:color="auto"/>
                                        <w:right w:val="none" w:sz="0" w:space="0" w:color="auto"/>
                                      </w:divBdr>
                                      <w:divsChild>
                                        <w:div w:id="1674599346">
                                          <w:marLeft w:val="0"/>
                                          <w:marRight w:val="0"/>
                                          <w:marTop w:val="0"/>
                                          <w:marBottom w:val="0"/>
                                          <w:divBdr>
                                            <w:top w:val="none" w:sz="0" w:space="0" w:color="auto"/>
                                            <w:left w:val="none" w:sz="0" w:space="0" w:color="auto"/>
                                            <w:bottom w:val="none" w:sz="0" w:space="0" w:color="auto"/>
                                            <w:right w:val="none" w:sz="0" w:space="0" w:color="auto"/>
                                          </w:divBdr>
                                          <w:divsChild>
                                            <w:div w:id="2008944550">
                                              <w:marLeft w:val="0"/>
                                              <w:marRight w:val="0"/>
                                              <w:marTop w:val="0"/>
                                              <w:marBottom w:val="0"/>
                                              <w:divBdr>
                                                <w:top w:val="none" w:sz="0" w:space="0" w:color="auto"/>
                                                <w:left w:val="none" w:sz="0" w:space="0" w:color="auto"/>
                                                <w:bottom w:val="none" w:sz="0" w:space="0" w:color="auto"/>
                                                <w:right w:val="none" w:sz="0" w:space="0" w:color="auto"/>
                                              </w:divBdr>
                                              <w:divsChild>
                                                <w:div w:id="2015910925">
                                                  <w:marLeft w:val="0"/>
                                                  <w:marRight w:val="0"/>
                                                  <w:marTop w:val="0"/>
                                                  <w:marBottom w:val="0"/>
                                                  <w:divBdr>
                                                    <w:top w:val="none" w:sz="0" w:space="0" w:color="auto"/>
                                                    <w:left w:val="none" w:sz="0" w:space="0" w:color="auto"/>
                                                    <w:bottom w:val="none" w:sz="0" w:space="0" w:color="auto"/>
                                                    <w:right w:val="none" w:sz="0" w:space="0" w:color="auto"/>
                                                  </w:divBdr>
                                                  <w:divsChild>
                                                    <w:div w:id="1073048403">
                                                      <w:marLeft w:val="0"/>
                                                      <w:marRight w:val="0"/>
                                                      <w:marTop w:val="0"/>
                                                      <w:marBottom w:val="0"/>
                                                      <w:divBdr>
                                                        <w:top w:val="none" w:sz="0" w:space="0" w:color="auto"/>
                                                        <w:left w:val="none" w:sz="0" w:space="0" w:color="auto"/>
                                                        <w:bottom w:val="none" w:sz="0" w:space="0" w:color="auto"/>
                                                        <w:right w:val="none" w:sz="0" w:space="0" w:color="auto"/>
                                                      </w:divBdr>
                                                      <w:divsChild>
                                                        <w:div w:id="2060393786">
                                                          <w:marLeft w:val="150"/>
                                                          <w:marRight w:val="150"/>
                                                          <w:marTop w:val="150"/>
                                                          <w:marBottom w:val="300"/>
                                                          <w:divBdr>
                                                            <w:top w:val="none" w:sz="0" w:space="0" w:color="auto"/>
                                                            <w:left w:val="none" w:sz="0" w:space="0" w:color="auto"/>
                                                            <w:bottom w:val="none" w:sz="0" w:space="0" w:color="auto"/>
                                                            <w:right w:val="none" w:sz="0" w:space="0" w:color="auto"/>
                                                          </w:divBdr>
                                                          <w:divsChild>
                                                            <w:div w:id="966274484">
                                                              <w:marLeft w:val="0"/>
                                                              <w:marRight w:val="0"/>
                                                              <w:marTop w:val="0"/>
                                                              <w:marBottom w:val="0"/>
                                                              <w:divBdr>
                                                                <w:top w:val="none" w:sz="0" w:space="0" w:color="auto"/>
                                                                <w:left w:val="none" w:sz="0" w:space="0" w:color="auto"/>
                                                                <w:bottom w:val="none" w:sz="0" w:space="0" w:color="auto"/>
                                                                <w:right w:val="none" w:sz="0" w:space="0" w:color="auto"/>
                                                              </w:divBdr>
                                                              <w:divsChild>
                                                                <w:div w:id="1104036570">
                                                                  <w:marLeft w:val="0"/>
                                                                  <w:marRight w:val="0"/>
                                                                  <w:marTop w:val="0"/>
                                                                  <w:marBottom w:val="0"/>
                                                                  <w:divBdr>
                                                                    <w:top w:val="none" w:sz="0" w:space="0" w:color="auto"/>
                                                                    <w:left w:val="none" w:sz="0" w:space="0" w:color="auto"/>
                                                                    <w:bottom w:val="none" w:sz="0" w:space="0" w:color="auto"/>
                                                                    <w:right w:val="none" w:sz="0" w:space="0" w:color="auto"/>
                                                                  </w:divBdr>
                                                                  <w:divsChild>
                                                                    <w:div w:id="68426579">
                                                                      <w:marLeft w:val="0"/>
                                                                      <w:marRight w:val="0"/>
                                                                      <w:marTop w:val="0"/>
                                                                      <w:marBottom w:val="0"/>
                                                                      <w:divBdr>
                                                                        <w:top w:val="none" w:sz="0" w:space="0" w:color="auto"/>
                                                                        <w:left w:val="none" w:sz="0" w:space="0" w:color="auto"/>
                                                                        <w:bottom w:val="none" w:sz="0" w:space="0" w:color="auto"/>
                                                                        <w:right w:val="none" w:sz="0" w:space="0" w:color="auto"/>
                                                                      </w:divBdr>
                                                                      <w:divsChild>
                                                                        <w:div w:id="1039166285">
                                                                          <w:marLeft w:val="0"/>
                                                                          <w:marRight w:val="0"/>
                                                                          <w:marTop w:val="0"/>
                                                                          <w:marBottom w:val="0"/>
                                                                          <w:divBdr>
                                                                            <w:top w:val="none" w:sz="0" w:space="0" w:color="auto"/>
                                                                            <w:left w:val="none" w:sz="0" w:space="0" w:color="auto"/>
                                                                            <w:bottom w:val="none" w:sz="0" w:space="0" w:color="auto"/>
                                                                            <w:right w:val="none" w:sz="0" w:space="0" w:color="auto"/>
                                                                          </w:divBdr>
                                                                          <w:divsChild>
                                                                            <w:div w:id="71316327">
                                                                              <w:marLeft w:val="0"/>
                                                                              <w:marRight w:val="0"/>
                                                                              <w:marTop w:val="0"/>
                                                                              <w:marBottom w:val="0"/>
                                                                              <w:divBdr>
                                                                                <w:top w:val="none" w:sz="0" w:space="0" w:color="auto"/>
                                                                                <w:left w:val="none" w:sz="0" w:space="0" w:color="auto"/>
                                                                                <w:bottom w:val="none" w:sz="0" w:space="0" w:color="auto"/>
                                                                                <w:right w:val="none" w:sz="0" w:space="0" w:color="auto"/>
                                                                              </w:divBdr>
                                                                            </w:div>
                                                                            <w:div w:id="99768067">
                                                                              <w:marLeft w:val="0"/>
                                                                              <w:marRight w:val="0"/>
                                                                              <w:marTop w:val="0"/>
                                                                              <w:marBottom w:val="0"/>
                                                                              <w:divBdr>
                                                                                <w:top w:val="none" w:sz="0" w:space="0" w:color="auto"/>
                                                                                <w:left w:val="none" w:sz="0" w:space="0" w:color="auto"/>
                                                                                <w:bottom w:val="none" w:sz="0" w:space="0" w:color="auto"/>
                                                                                <w:right w:val="none" w:sz="0" w:space="0" w:color="auto"/>
                                                                              </w:divBdr>
                                                                            </w:div>
                                                                            <w:div w:id="542401903">
                                                                              <w:marLeft w:val="0"/>
                                                                              <w:marRight w:val="0"/>
                                                                              <w:marTop w:val="0"/>
                                                                              <w:marBottom w:val="0"/>
                                                                              <w:divBdr>
                                                                                <w:top w:val="none" w:sz="0" w:space="0" w:color="auto"/>
                                                                                <w:left w:val="none" w:sz="0" w:space="0" w:color="auto"/>
                                                                                <w:bottom w:val="none" w:sz="0" w:space="0" w:color="auto"/>
                                                                                <w:right w:val="none" w:sz="0" w:space="0" w:color="auto"/>
                                                                              </w:divBdr>
                                                                            </w:div>
                                                                            <w:div w:id="1004431812">
                                                                              <w:marLeft w:val="0"/>
                                                                              <w:marRight w:val="0"/>
                                                                              <w:marTop w:val="0"/>
                                                                              <w:marBottom w:val="0"/>
                                                                              <w:divBdr>
                                                                                <w:top w:val="none" w:sz="0" w:space="0" w:color="auto"/>
                                                                                <w:left w:val="none" w:sz="0" w:space="0" w:color="auto"/>
                                                                                <w:bottom w:val="none" w:sz="0" w:space="0" w:color="auto"/>
                                                                                <w:right w:val="none" w:sz="0" w:space="0" w:color="auto"/>
                                                                              </w:divBdr>
                                                                            </w:div>
                                                                            <w:div w:id="20953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817092">
      <w:bodyDiv w:val="1"/>
      <w:marLeft w:val="0"/>
      <w:marRight w:val="0"/>
      <w:marTop w:val="0"/>
      <w:marBottom w:val="0"/>
      <w:divBdr>
        <w:top w:val="none" w:sz="0" w:space="0" w:color="auto"/>
        <w:left w:val="none" w:sz="0" w:space="0" w:color="auto"/>
        <w:bottom w:val="none" w:sz="0" w:space="0" w:color="auto"/>
        <w:right w:val="none" w:sz="0" w:space="0" w:color="auto"/>
      </w:divBdr>
      <w:divsChild>
        <w:div w:id="1561986036">
          <w:marLeft w:val="0"/>
          <w:marRight w:val="0"/>
          <w:marTop w:val="0"/>
          <w:marBottom w:val="0"/>
          <w:divBdr>
            <w:top w:val="none" w:sz="0" w:space="0" w:color="auto"/>
            <w:left w:val="none" w:sz="0" w:space="0" w:color="auto"/>
            <w:bottom w:val="none" w:sz="0" w:space="0" w:color="auto"/>
            <w:right w:val="none" w:sz="0" w:space="0" w:color="auto"/>
          </w:divBdr>
          <w:divsChild>
            <w:div w:id="123426681">
              <w:marLeft w:val="0"/>
              <w:marRight w:val="0"/>
              <w:marTop w:val="0"/>
              <w:marBottom w:val="0"/>
              <w:divBdr>
                <w:top w:val="none" w:sz="0" w:space="0" w:color="auto"/>
                <w:left w:val="none" w:sz="0" w:space="0" w:color="auto"/>
                <w:bottom w:val="none" w:sz="0" w:space="0" w:color="auto"/>
                <w:right w:val="none" w:sz="0" w:space="0" w:color="auto"/>
              </w:divBdr>
              <w:divsChild>
                <w:div w:id="1238586671">
                  <w:marLeft w:val="0"/>
                  <w:marRight w:val="0"/>
                  <w:marTop w:val="0"/>
                  <w:marBottom w:val="0"/>
                  <w:divBdr>
                    <w:top w:val="none" w:sz="0" w:space="0" w:color="auto"/>
                    <w:left w:val="none" w:sz="0" w:space="0" w:color="auto"/>
                    <w:bottom w:val="none" w:sz="0" w:space="0" w:color="auto"/>
                    <w:right w:val="none" w:sz="0" w:space="0" w:color="auto"/>
                  </w:divBdr>
                  <w:divsChild>
                    <w:div w:id="1246303899">
                      <w:marLeft w:val="0"/>
                      <w:marRight w:val="0"/>
                      <w:marTop w:val="0"/>
                      <w:marBottom w:val="0"/>
                      <w:divBdr>
                        <w:top w:val="none" w:sz="0" w:space="0" w:color="auto"/>
                        <w:left w:val="none" w:sz="0" w:space="0" w:color="auto"/>
                        <w:bottom w:val="none" w:sz="0" w:space="0" w:color="auto"/>
                        <w:right w:val="none" w:sz="0" w:space="0" w:color="auto"/>
                      </w:divBdr>
                      <w:divsChild>
                        <w:div w:id="1068187668">
                          <w:marLeft w:val="-225"/>
                          <w:marRight w:val="-225"/>
                          <w:marTop w:val="0"/>
                          <w:marBottom w:val="0"/>
                          <w:divBdr>
                            <w:top w:val="none" w:sz="0" w:space="0" w:color="auto"/>
                            <w:left w:val="none" w:sz="0" w:space="0" w:color="auto"/>
                            <w:bottom w:val="none" w:sz="0" w:space="0" w:color="auto"/>
                            <w:right w:val="none" w:sz="0" w:space="0" w:color="auto"/>
                          </w:divBdr>
                          <w:divsChild>
                            <w:div w:id="1161429861">
                              <w:marLeft w:val="0"/>
                              <w:marRight w:val="0"/>
                              <w:marTop w:val="0"/>
                              <w:marBottom w:val="0"/>
                              <w:divBdr>
                                <w:top w:val="none" w:sz="0" w:space="0" w:color="auto"/>
                                <w:left w:val="none" w:sz="0" w:space="0" w:color="auto"/>
                                <w:bottom w:val="none" w:sz="0" w:space="0" w:color="auto"/>
                                <w:right w:val="none" w:sz="0" w:space="0" w:color="auto"/>
                              </w:divBdr>
                              <w:divsChild>
                                <w:div w:id="2120634816">
                                  <w:marLeft w:val="0"/>
                                  <w:marRight w:val="0"/>
                                  <w:marTop w:val="0"/>
                                  <w:marBottom w:val="0"/>
                                  <w:divBdr>
                                    <w:top w:val="none" w:sz="0" w:space="0" w:color="auto"/>
                                    <w:left w:val="none" w:sz="0" w:space="0" w:color="auto"/>
                                    <w:bottom w:val="none" w:sz="0" w:space="0" w:color="auto"/>
                                    <w:right w:val="none" w:sz="0" w:space="0" w:color="auto"/>
                                  </w:divBdr>
                                  <w:divsChild>
                                    <w:div w:id="2018652080">
                                      <w:marLeft w:val="-150"/>
                                      <w:marRight w:val="-150"/>
                                      <w:marTop w:val="0"/>
                                      <w:marBottom w:val="0"/>
                                      <w:divBdr>
                                        <w:top w:val="none" w:sz="0" w:space="0" w:color="auto"/>
                                        <w:left w:val="none" w:sz="0" w:space="0" w:color="auto"/>
                                        <w:bottom w:val="none" w:sz="0" w:space="0" w:color="auto"/>
                                        <w:right w:val="none" w:sz="0" w:space="0" w:color="auto"/>
                                      </w:divBdr>
                                      <w:divsChild>
                                        <w:div w:id="396444596">
                                          <w:marLeft w:val="0"/>
                                          <w:marRight w:val="0"/>
                                          <w:marTop w:val="0"/>
                                          <w:marBottom w:val="0"/>
                                          <w:divBdr>
                                            <w:top w:val="none" w:sz="0" w:space="0" w:color="auto"/>
                                            <w:left w:val="none" w:sz="0" w:space="0" w:color="auto"/>
                                            <w:bottom w:val="none" w:sz="0" w:space="0" w:color="auto"/>
                                            <w:right w:val="none" w:sz="0" w:space="0" w:color="auto"/>
                                          </w:divBdr>
                                          <w:divsChild>
                                            <w:div w:id="826894767">
                                              <w:marLeft w:val="0"/>
                                              <w:marRight w:val="0"/>
                                              <w:marTop w:val="0"/>
                                              <w:marBottom w:val="0"/>
                                              <w:divBdr>
                                                <w:top w:val="none" w:sz="0" w:space="0" w:color="auto"/>
                                                <w:left w:val="none" w:sz="0" w:space="0" w:color="auto"/>
                                                <w:bottom w:val="none" w:sz="0" w:space="0" w:color="auto"/>
                                                <w:right w:val="none" w:sz="0" w:space="0" w:color="auto"/>
                                              </w:divBdr>
                                              <w:divsChild>
                                                <w:div w:id="995375813">
                                                  <w:marLeft w:val="0"/>
                                                  <w:marRight w:val="0"/>
                                                  <w:marTop w:val="0"/>
                                                  <w:marBottom w:val="0"/>
                                                  <w:divBdr>
                                                    <w:top w:val="none" w:sz="0" w:space="0" w:color="auto"/>
                                                    <w:left w:val="none" w:sz="0" w:space="0" w:color="auto"/>
                                                    <w:bottom w:val="none" w:sz="0" w:space="0" w:color="auto"/>
                                                    <w:right w:val="none" w:sz="0" w:space="0" w:color="auto"/>
                                                  </w:divBdr>
                                                  <w:divsChild>
                                                    <w:div w:id="242104966">
                                                      <w:marLeft w:val="0"/>
                                                      <w:marRight w:val="0"/>
                                                      <w:marTop w:val="0"/>
                                                      <w:marBottom w:val="0"/>
                                                      <w:divBdr>
                                                        <w:top w:val="none" w:sz="0" w:space="0" w:color="auto"/>
                                                        <w:left w:val="none" w:sz="0" w:space="0" w:color="auto"/>
                                                        <w:bottom w:val="none" w:sz="0" w:space="0" w:color="auto"/>
                                                        <w:right w:val="none" w:sz="0" w:space="0" w:color="auto"/>
                                                      </w:divBdr>
                                                      <w:divsChild>
                                                        <w:div w:id="1684436727">
                                                          <w:marLeft w:val="150"/>
                                                          <w:marRight w:val="150"/>
                                                          <w:marTop w:val="150"/>
                                                          <w:marBottom w:val="300"/>
                                                          <w:divBdr>
                                                            <w:top w:val="none" w:sz="0" w:space="0" w:color="auto"/>
                                                            <w:left w:val="none" w:sz="0" w:space="0" w:color="auto"/>
                                                            <w:bottom w:val="none" w:sz="0" w:space="0" w:color="auto"/>
                                                            <w:right w:val="none" w:sz="0" w:space="0" w:color="auto"/>
                                                          </w:divBdr>
                                                          <w:divsChild>
                                                            <w:div w:id="1799713662">
                                                              <w:marLeft w:val="0"/>
                                                              <w:marRight w:val="0"/>
                                                              <w:marTop w:val="0"/>
                                                              <w:marBottom w:val="0"/>
                                                              <w:divBdr>
                                                                <w:top w:val="none" w:sz="0" w:space="0" w:color="auto"/>
                                                                <w:left w:val="none" w:sz="0" w:space="0" w:color="auto"/>
                                                                <w:bottom w:val="none" w:sz="0" w:space="0" w:color="auto"/>
                                                                <w:right w:val="none" w:sz="0" w:space="0" w:color="auto"/>
                                                              </w:divBdr>
                                                              <w:divsChild>
                                                                <w:div w:id="1359694352">
                                                                  <w:marLeft w:val="0"/>
                                                                  <w:marRight w:val="0"/>
                                                                  <w:marTop w:val="0"/>
                                                                  <w:marBottom w:val="0"/>
                                                                  <w:divBdr>
                                                                    <w:top w:val="none" w:sz="0" w:space="0" w:color="auto"/>
                                                                    <w:left w:val="none" w:sz="0" w:space="0" w:color="auto"/>
                                                                    <w:bottom w:val="none" w:sz="0" w:space="0" w:color="auto"/>
                                                                    <w:right w:val="none" w:sz="0" w:space="0" w:color="auto"/>
                                                                  </w:divBdr>
                                                                  <w:divsChild>
                                                                    <w:div w:id="1050836913">
                                                                      <w:marLeft w:val="0"/>
                                                                      <w:marRight w:val="0"/>
                                                                      <w:marTop w:val="0"/>
                                                                      <w:marBottom w:val="0"/>
                                                                      <w:divBdr>
                                                                        <w:top w:val="none" w:sz="0" w:space="0" w:color="auto"/>
                                                                        <w:left w:val="none" w:sz="0" w:space="0" w:color="auto"/>
                                                                        <w:bottom w:val="none" w:sz="0" w:space="0" w:color="auto"/>
                                                                        <w:right w:val="none" w:sz="0" w:space="0" w:color="auto"/>
                                                                      </w:divBdr>
                                                                      <w:divsChild>
                                                                        <w:div w:id="1368292089">
                                                                          <w:marLeft w:val="0"/>
                                                                          <w:marRight w:val="0"/>
                                                                          <w:marTop w:val="0"/>
                                                                          <w:marBottom w:val="0"/>
                                                                          <w:divBdr>
                                                                            <w:top w:val="none" w:sz="0" w:space="0" w:color="auto"/>
                                                                            <w:left w:val="none" w:sz="0" w:space="0" w:color="auto"/>
                                                                            <w:bottom w:val="none" w:sz="0" w:space="0" w:color="auto"/>
                                                                            <w:right w:val="none" w:sz="0" w:space="0" w:color="auto"/>
                                                                          </w:divBdr>
                                                                          <w:divsChild>
                                                                            <w:div w:id="208423863">
                                                                              <w:marLeft w:val="0"/>
                                                                              <w:marRight w:val="0"/>
                                                                              <w:marTop w:val="0"/>
                                                                              <w:marBottom w:val="0"/>
                                                                              <w:divBdr>
                                                                                <w:top w:val="none" w:sz="0" w:space="0" w:color="auto"/>
                                                                                <w:left w:val="none" w:sz="0" w:space="0" w:color="auto"/>
                                                                                <w:bottom w:val="none" w:sz="0" w:space="0" w:color="auto"/>
                                                                                <w:right w:val="none" w:sz="0" w:space="0" w:color="auto"/>
                                                                              </w:divBdr>
                                                                            </w:div>
                                                                            <w:div w:id="473520696">
                                                                              <w:marLeft w:val="0"/>
                                                                              <w:marRight w:val="0"/>
                                                                              <w:marTop w:val="0"/>
                                                                              <w:marBottom w:val="0"/>
                                                                              <w:divBdr>
                                                                                <w:top w:val="none" w:sz="0" w:space="0" w:color="auto"/>
                                                                                <w:left w:val="none" w:sz="0" w:space="0" w:color="auto"/>
                                                                                <w:bottom w:val="none" w:sz="0" w:space="0" w:color="auto"/>
                                                                                <w:right w:val="none" w:sz="0" w:space="0" w:color="auto"/>
                                                                              </w:divBdr>
                                                                            </w:div>
                                                                            <w:div w:id="690684885">
                                                                              <w:marLeft w:val="0"/>
                                                                              <w:marRight w:val="0"/>
                                                                              <w:marTop w:val="0"/>
                                                                              <w:marBottom w:val="0"/>
                                                                              <w:divBdr>
                                                                                <w:top w:val="none" w:sz="0" w:space="0" w:color="auto"/>
                                                                                <w:left w:val="none" w:sz="0" w:space="0" w:color="auto"/>
                                                                                <w:bottom w:val="none" w:sz="0" w:space="0" w:color="auto"/>
                                                                                <w:right w:val="none" w:sz="0" w:space="0" w:color="auto"/>
                                                                              </w:divBdr>
                                                                            </w:div>
                                                                            <w:div w:id="1223911597">
                                                                              <w:marLeft w:val="0"/>
                                                                              <w:marRight w:val="0"/>
                                                                              <w:marTop w:val="0"/>
                                                                              <w:marBottom w:val="0"/>
                                                                              <w:divBdr>
                                                                                <w:top w:val="none" w:sz="0" w:space="0" w:color="auto"/>
                                                                                <w:left w:val="none" w:sz="0" w:space="0" w:color="auto"/>
                                                                                <w:bottom w:val="none" w:sz="0" w:space="0" w:color="auto"/>
                                                                                <w:right w:val="none" w:sz="0" w:space="0" w:color="auto"/>
                                                                              </w:divBdr>
                                                                            </w:div>
                                                                            <w:div w:id="15437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299096">
      <w:bodyDiv w:val="1"/>
      <w:marLeft w:val="0"/>
      <w:marRight w:val="0"/>
      <w:marTop w:val="0"/>
      <w:marBottom w:val="0"/>
      <w:divBdr>
        <w:top w:val="none" w:sz="0" w:space="0" w:color="auto"/>
        <w:left w:val="none" w:sz="0" w:space="0" w:color="auto"/>
        <w:bottom w:val="none" w:sz="0" w:space="0" w:color="auto"/>
        <w:right w:val="none" w:sz="0" w:space="0" w:color="auto"/>
      </w:divBdr>
      <w:divsChild>
        <w:div w:id="1317685418">
          <w:marLeft w:val="0"/>
          <w:marRight w:val="0"/>
          <w:marTop w:val="0"/>
          <w:marBottom w:val="0"/>
          <w:divBdr>
            <w:top w:val="none" w:sz="0" w:space="0" w:color="auto"/>
            <w:left w:val="none" w:sz="0" w:space="0" w:color="auto"/>
            <w:bottom w:val="none" w:sz="0" w:space="0" w:color="auto"/>
            <w:right w:val="none" w:sz="0" w:space="0" w:color="auto"/>
          </w:divBdr>
          <w:divsChild>
            <w:div w:id="1248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0922">
      <w:bodyDiv w:val="1"/>
      <w:marLeft w:val="0"/>
      <w:marRight w:val="0"/>
      <w:marTop w:val="0"/>
      <w:marBottom w:val="0"/>
      <w:divBdr>
        <w:top w:val="none" w:sz="0" w:space="0" w:color="auto"/>
        <w:left w:val="none" w:sz="0" w:space="0" w:color="auto"/>
        <w:bottom w:val="none" w:sz="0" w:space="0" w:color="auto"/>
        <w:right w:val="none" w:sz="0" w:space="0" w:color="auto"/>
      </w:divBdr>
    </w:div>
    <w:div w:id="1181122222">
      <w:bodyDiv w:val="1"/>
      <w:marLeft w:val="0"/>
      <w:marRight w:val="0"/>
      <w:marTop w:val="0"/>
      <w:marBottom w:val="0"/>
      <w:divBdr>
        <w:top w:val="none" w:sz="0" w:space="0" w:color="auto"/>
        <w:left w:val="none" w:sz="0" w:space="0" w:color="auto"/>
        <w:bottom w:val="none" w:sz="0" w:space="0" w:color="auto"/>
        <w:right w:val="none" w:sz="0" w:space="0" w:color="auto"/>
      </w:divBdr>
    </w:div>
    <w:div w:id="1215391787">
      <w:bodyDiv w:val="1"/>
      <w:marLeft w:val="0"/>
      <w:marRight w:val="0"/>
      <w:marTop w:val="0"/>
      <w:marBottom w:val="0"/>
      <w:divBdr>
        <w:top w:val="none" w:sz="0" w:space="0" w:color="auto"/>
        <w:left w:val="none" w:sz="0" w:space="0" w:color="auto"/>
        <w:bottom w:val="none" w:sz="0" w:space="0" w:color="auto"/>
        <w:right w:val="none" w:sz="0" w:space="0" w:color="auto"/>
      </w:divBdr>
      <w:divsChild>
        <w:div w:id="1917745613">
          <w:marLeft w:val="0"/>
          <w:marRight w:val="0"/>
          <w:marTop w:val="0"/>
          <w:marBottom w:val="0"/>
          <w:divBdr>
            <w:top w:val="none" w:sz="0" w:space="0" w:color="auto"/>
            <w:left w:val="none" w:sz="0" w:space="0" w:color="auto"/>
            <w:bottom w:val="none" w:sz="0" w:space="0" w:color="auto"/>
            <w:right w:val="none" w:sz="0" w:space="0" w:color="auto"/>
          </w:divBdr>
          <w:divsChild>
            <w:div w:id="1731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9666">
      <w:bodyDiv w:val="1"/>
      <w:marLeft w:val="0"/>
      <w:marRight w:val="0"/>
      <w:marTop w:val="0"/>
      <w:marBottom w:val="0"/>
      <w:divBdr>
        <w:top w:val="none" w:sz="0" w:space="0" w:color="auto"/>
        <w:left w:val="none" w:sz="0" w:space="0" w:color="auto"/>
        <w:bottom w:val="none" w:sz="0" w:space="0" w:color="auto"/>
        <w:right w:val="none" w:sz="0" w:space="0" w:color="auto"/>
      </w:divBdr>
      <w:divsChild>
        <w:div w:id="674573080">
          <w:marLeft w:val="0"/>
          <w:marRight w:val="0"/>
          <w:marTop w:val="0"/>
          <w:marBottom w:val="0"/>
          <w:divBdr>
            <w:top w:val="none" w:sz="0" w:space="0" w:color="auto"/>
            <w:left w:val="none" w:sz="0" w:space="0" w:color="auto"/>
            <w:bottom w:val="none" w:sz="0" w:space="0" w:color="auto"/>
            <w:right w:val="none" w:sz="0" w:space="0" w:color="auto"/>
          </w:divBdr>
          <w:divsChild>
            <w:div w:id="1513394">
              <w:marLeft w:val="0"/>
              <w:marRight w:val="0"/>
              <w:marTop w:val="0"/>
              <w:marBottom w:val="0"/>
              <w:divBdr>
                <w:top w:val="none" w:sz="0" w:space="0" w:color="auto"/>
                <w:left w:val="none" w:sz="0" w:space="0" w:color="auto"/>
                <w:bottom w:val="none" w:sz="0" w:space="0" w:color="auto"/>
                <w:right w:val="none" w:sz="0" w:space="0" w:color="auto"/>
              </w:divBdr>
              <w:divsChild>
                <w:div w:id="903642044">
                  <w:marLeft w:val="0"/>
                  <w:marRight w:val="0"/>
                  <w:marTop w:val="0"/>
                  <w:marBottom w:val="0"/>
                  <w:divBdr>
                    <w:top w:val="none" w:sz="0" w:space="0" w:color="auto"/>
                    <w:left w:val="none" w:sz="0" w:space="0" w:color="auto"/>
                    <w:bottom w:val="none" w:sz="0" w:space="0" w:color="auto"/>
                    <w:right w:val="none" w:sz="0" w:space="0" w:color="auto"/>
                  </w:divBdr>
                  <w:divsChild>
                    <w:div w:id="1604921431">
                      <w:marLeft w:val="0"/>
                      <w:marRight w:val="0"/>
                      <w:marTop w:val="0"/>
                      <w:marBottom w:val="0"/>
                      <w:divBdr>
                        <w:top w:val="none" w:sz="0" w:space="0" w:color="auto"/>
                        <w:left w:val="none" w:sz="0" w:space="0" w:color="auto"/>
                        <w:bottom w:val="none" w:sz="0" w:space="0" w:color="auto"/>
                        <w:right w:val="none" w:sz="0" w:space="0" w:color="auto"/>
                      </w:divBdr>
                      <w:divsChild>
                        <w:div w:id="598292036">
                          <w:marLeft w:val="-225"/>
                          <w:marRight w:val="-225"/>
                          <w:marTop w:val="0"/>
                          <w:marBottom w:val="0"/>
                          <w:divBdr>
                            <w:top w:val="none" w:sz="0" w:space="0" w:color="auto"/>
                            <w:left w:val="none" w:sz="0" w:space="0" w:color="auto"/>
                            <w:bottom w:val="none" w:sz="0" w:space="0" w:color="auto"/>
                            <w:right w:val="none" w:sz="0" w:space="0" w:color="auto"/>
                          </w:divBdr>
                          <w:divsChild>
                            <w:div w:id="2138140454">
                              <w:marLeft w:val="0"/>
                              <w:marRight w:val="0"/>
                              <w:marTop w:val="0"/>
                              <w:marBottom w:val="0"/>
                              <w:divBdr>
                                <w:top w:val="none" w:sz="0" w:space="0" w:color="auto"/>
                                <w:left w:val="none" w:sz="0" w:space="0" w:color="auto"/>
                                <w:bottom w:val="none" w:sz="0" w:space="0" w:color="auto"/>
                                <w:right w:val="none" w:sz="0" w:space="0" w:color="auto"/>
                              </w:divBdr>
                              <w:divsChild>
                                <w:div w:id="342510754">
                                  <w:marLeft w:val="0"/>
                                  <w:marRight w:val="0"/>
                                  <w:marTop w:val="0"/>
                                  <w:marBottom w:val="0"/>
                                  <w:divBdr>
                                    <w:top w:val="none" w:sz="0" w:space="0" w:color="auto"/>
                                    <w:left w:val="none" w:sz="0" w:space="0" w:color="auto"/>
                                    <w:bottom w:val="none" w:sz="0" w:space="0" w:color="auto"/>
                                    <w:right w:val="none" w:sz="0" w:space="0" w:color="auto"/>
                                  </w:divBdr>
                                  <w:divsChild>
                                    <w:div w:id="1164399549">
                                      <w:marLeft w:val="-150"/>
                                      <w:marRight w:val="-150"/>
                                      <w:marTop w:val="0"/>
                                      <w:marBottom w:val="0"/>
                                      <w:divBdr>
                                        <w:top w:val="none" w:sz="0" w:space="0" w:color="auto"/>
                                        <w:left w:val="none" w:sz="0" w:space="0" w:color="auto"/>
                                        <w:bottom w:val="none" w:sz="0" w:space="0" w:color="auto"/>
                                        <w:right w:val="none" w:sz="0" w:space="0" w:color="auto"/>
                                      </w:divBdr>
                                      <w:divsChild>
                                        <w:div w:id="1912956833">
                                          <w:marLeft w:val="0"/>
                                          <w:marRight w:val="0"/>
                                          <w:marTop w:val="0"/>
                                          <w:marBottom w:val="0"/>
                                          <w:divBdr>
                                            <w:top w:val="none" w:sz="0" w:space="0" w:color="auto"/>
                                            <w:left w:val="none" w:sz="0" w:space="0" w:color="auto"/>
                                            <w:bottom w:val="none" w:sz="0" w:space="0" w:color="auto"/>
                                            <w:right w:val="none" w:sz="0" w:space="0" w:color="auto"/>
                                          </w:divBdr>
                                          <w:divsChild>
                                            <w:div w:id="498351908">
                                              <w:marLeft w:val="0"/>
                                              <w:marRight w:val="0"/>
                                              <w:marTop w:val="0"/>
                                              <w:marBottom w:val="0"/>
                                              <w:divBdr>
                                                <w:top w:val="none" w:sz="0" w:space="0" w:color="auto"/>
                                                <w:left w:val="none" w:sz="0" w:space="0" w:color="auto"/>
                                                <w:bottom w:val="none" w:sz="0" w:space="0" w:color="auto"/>
                                                <w:right w:val="none" w:sz="0" w:space="0" w:color="auto"/>
                                              </w:divBdr>
                                              <w:divsChild>
                                                <w:div w:id="1835148645">
                                                  <w:marLeft w:val="0"/>
                                                  <w:marRight w:val="0"/>
                                                  <w:marTop w:val="0"/>
                                                  <w:marBottom w:val="0"/>
                                                  <w:divBdr>
                                                    <w:top w:val="none" w:sz="0" w:space="0" w:color="auto"/>
                                                    <w:left w:val="none" w:sz="0" w:space="0" w:color="auto"/>
                                                    <w:bottom w:val="none" w:sz="0" w:space="0" w:color="auto"/>
                                                    <w:right w:val="none" w:sz="0" w:space="0" w:color="auto"/>
                                                  </w:divBdr>
                                                  <w:divsChild>
                                                    <w:div w:id="733427618">
                                                      <w:marLeft w:val="0"/>
                                                      <w:marRight w:val="0"/>
                                                      <w:marTop w:val="0"/>
                                                      <w:marBottom w:val="0"/>
                                                      <w:divBdr>
                                                        <w:top w:val="none" w:sz="0" w:space="0" w:color="auto"/>
                                                        <w:left w:val="none" w:sz="0" w:space="0" w:color="auto"/>
                                                        <w:bottom w:val="none" w:sz="0" w:space="0" w:color="auto"/>
                                                        <w:right w:val="none" w:sz="0" w:space="0" w:color="auto"/>
                                                      </w:divBdr>
                                                      <w:divsChild>
                                                        <w:div w:id="1260260737">
                                                          <w:marLeft w:val="150"/>
                                                          <w:marRight w:val="150"/>
                                                          <w:marTop w:val="150"/>
                                                          <w:marBottom w:val="300"/>
                                                          <w:divBdr>
                                                            <w:top w:val="none" w:sz="0" w:space="0" w:color="auto"/>
                                                            <w:left w:val="none" w:sz="0" w:space="0" w:color="auto"/>
                                                            <w:bottom w:val="none" w:sz="0" w:space="0" w:color="auto"/>
                                                            <w:right w:val="none" w:sz="0" w:space="0" w:color="auto"/>
                                                          </w:divBdr>
                                                          <w:divsChild>
                                                            <w:div w:id="1917089038">
                                                              <w:marLeft w:val="0"/>
                                                              <w:marRight w:val="0"/>
                                                              <w:marTop w:val="0"/>
                                                              <w:marBottom w:val="0"/>
                                                              <w:divBdr>
                                                                <w:top w:val="none" w:sz="0" w:space="0" w:color="auto"/>
                                                                <w:left w:val="none" w:sz="0" w:space="0" w:color="auto"/>
                                                                <w:bottom w:val="none" w:sz="0" w:space="0" w:color="auto"/>
                                                                <w:right w:val="none" w:sz="0" w:space="0" w:color="auto"/>
                                                              </w:divBdr>
                                                              <w:divsChild>
                                                                <w:div w:id="990670642">
                                                                  <w:marLeft w:val="0"/>
                                                                  <w:marRight w:val="0"/>
                                                                  <w:marTop w:val="0"/>
                                                                  <w:marBottom w:val="0"/>
                                                                  <w:divBdr>
                                                                    <w:top w:val="none" w:sz="0" w:space="0" w:color="auto"/>
                                                                    <w:left w:val="none" w:sz="0" w:space="0" w:color="auto"/>
                                                                    <w:bottom w:val="none" w:sz="0" w:space="0" w:color="auto"/>
                                                                    <w:right w:val="none" w:sz="0" w:space="0" w:color="auto"/>
                                                                  </w:divBdr>
                                                                  <w:divsChild>
                                                                    <w:div w:id="344937463">
                                                                      <w:marLeft w:val="0"/>
                                                                      <w:marRight w:val="0"/>
                                                                      <w:marTop w:val="0"/>
                                                                      <w:marBottom w:val="0"/>
                                                                      <w:divBdr>
                                                                        <w:top w:val="none" w:sz="0" w:space="0" w:color="auto"/>
                                                                        <w:left w:val="none" w:sz="0" w:space="0" w:color="auto"/>
                                                                        <w:bottom w:val="none" w:sz="0" w:space="0" w:color="auto"/>
                                                                        <w:right w:val="none" w:sz="0" w:space="0" w:color="auto"/>
                                                                      </w:divBdr>
                                                                      <w:divsChild>
                                                                        <w:div w:id="842548339">
                                                                          <w:marLeft w:val="0"/>
                                                                          <w:marRight w:val="0"/>
                                                                          <w:marTop w:val="0"/>
                                                                          <w:marBottom w:val="0"/>
                                                                          <w:divBdr>
                                                                            <w:top w:val="none" w:sz="0" w:space="0" w:color="auto"/>
                                                                            <w:left w:val="none" w:sz="0" w:space="0" w:color="auto"/>
                                                                            <w:bottom w:val="none" w:sz="0" w:space="0" w:color="auto"/>
                                                                            <w:right w:val="none" w:sz="0" w:space="0" w:color="auto"/>
                                                                          </w:divBdr>
                                                                          <w:divsChild>
                                                                            <w:div w:id="1056899851">
                                                                              <w:marLeft w:val="0"/>
                                                                              <w:marRight w:val="0"/>
                                                                              <w:marTop w:val="0"/>
                                                                              <w:marBottom w:val="0"/>
                                                                              <w:divBdr>
                                                                                <w:top w:val="none" w:sz="0" w:space="0" w:color="auto"/>
                                                                                <w:left w:val="none" w:sz="0" w:space="0" w:color="auto"/>
                                                                                <w:bottom w:val="none" w:sz="0" w:space="0" w:color="auto"/>
                                                                                <w:right w:val="none" w:sz="0" w:space="0" w:color="auto"/>
                                                                              </w:divBdr>
                                                                            </w:div>
                                                                            <w:div w:id="1113475365">
                                                                              <w:marLeft w:val="0"/>
                                                                              <w:marRight w:val="0"/>
                                                                              <w:marTop w:val="0"/>
                                                                              <w:marBottom w:val="0"/>
                                                                              <w:divBdr>
                                                                                <w:top w:val="none" w:sz="0" w:space="0" w:color="auto"/>
                                                                                <w:left w:val="none" w:sz="0" w:space="0" w:color="auto"/>
                                                                                <w:bottom w:val="none" w:sz="0" w:space="0" w:color="auto"/>
                                                                                <w:right w:val="none" w:sz="0" w:space="0" w:color="auto"/>
                                                                              </w:divBdr>
                                                                            </w:div>
                                                                            <w:div w:id="1327629757">
                                                                              <w:marLeft w:val="0"/>
                                                                              <w:marRight w:val="0"/>
                                                                              <w:marTop w:val="0"/>
                                                                              <w:marBottom w:val="0"/>
                                                                              <w:divBdr>
                                                                                <w:top w:val="none" w:sz="0" w:space="0" w:color="auto"/>
                                                                                <w:left w:val="none" w:sz="0" w:space="0" w:color="auto"/>
                                                                                <w:bottom w:val="none" w:sz="0" w:space="0" w:color="auto"/>
                                                                                <w:right w:val="none" w:sz="0" w:space="0" w:color="auto"/>
                                                                              </w:divBdr>
                                                                            </w:div>
                                                                            <w:div w:id="1465075495">
                                                                              <w:marLeft w:val="0"/>
                                                                              <w:marRight w:val="0"/>
                                                                              <w:marTop w:val="0"/>
                                                                              <w:marBottom w:val="0"/>
                                                                              <w:divBdr>
                                                                                <w:top w:val="none" w:sz="0" w:space="0" w:color="auto"/>
                                                                                <w:left w:val="none" w:sz="0" w:space="0" w:color="auto"/>
                                                                                <w:bottom w:val="none" w:sz="0" w:space="0" w:color="auto"/>
                                                                                <w:right w:val="none" w:sz="0" w:space="0" w:color="auto"/>
                                                                              </w:divBdr>
                                                                            </w:div>
                                                                            <w:div w:id="19143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778425">
      <w:bodyDiv w:val="1"/>
      <w:marLeft w:val="0"/>
      <w:marRight w:val="0"/>
      <w:marTop w:val="0"/>
      <w:marBottom w:val="0"/>
      <w:divBdr>
        <w:top w:val="none" w:sz="0" w:space="0" w:color="auto"/>
        <w:left w:val="none" w:sz="0" w:space="0" w:color="auto"/>
        <w:bottom w:val="none" w:sz="0" w:space="0" w:color="auto"/>
        <w:right w:val="none" w:sz="0" w:space="0" w:color="auto"/>
      </w:divBdr>
    </w:div>
    <w:div w:id="1759984474">
      <w:bodyDiv w:val="1"/>
      <w:marLeft w:val="0"/>
      <w:marRight w:val="0"/>
      <w:marTop w:val="0"/>
      <w:marBottom w:val="0"/>
      <w:divBdr>
        <w:top w:val="none" w:sz="0" w:space="0" w:color="auto"/>
        <w:left w:val="none" w:sz="0" w:space="0" w:color="auto"/>
        <w:bottom w:val="none" w:sz="0" w:space="0" w:color="auto"/>
        <w:right w:val="none" w:sz="0" w:space="0" w:color="auto"/>
      </w:divBdr>
    </w:div>
    <w:div w:id="1864511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hellenicparliament.gr/en/Enimerosi/Grafeio-Typou/Deltia-Typou/?press=f660f87e-9410-414c-9476-a4bb016e6c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EFABE-4736-4532-8D32-01DCC6E2CBE9}"/>
</file>

<file path=customXml/itemProps2.xml><?xml version="1.0" encoding="utf-8"?>
<ds:datastoreItem xmlns:ds="http://schemas.openxmlformats.org/officeDocument/2006/customXml" ds:itemID="{145C5904-E48A-4853-914A-45C3A392C77B}"/>
</file>

<file path=customXml/itemProps3.xml><?xml version="1.0" encoding="utf-8"?>
<ds:datastoreItem xmlns:ds="http://schemas.openxmlformats.org/officeDocument/2006/customXml" ds:itemID="{AA75EB69-0212-403D-82E6-85E9E855A4A4}"/>
</file>

<file path=customXml/itemProps4.xml><?xml version="1.0" encoding="utf-8"?>
<ds:datastoreItem xmlns:ds="http://schemas.openxmlformats.org/officeDocument/2006/customXml" ds:itemID="{A8EA8F30-3842-48FA-967C-C17EEE2FDA65}"/>
</file>

<file path=docProps/app.xml><?xml version="1.0" encoding="utf-8"?>
<Properties xmlns="http://schemas.openxmlformats.org/officeDocument/2006/extended-properties" xmlns:vt="http://schemas.openxmlformats.org/officeDocument/2006/docPropsVTypes">
  <Template>A621B8E9.dotm</Template>
  <TotalTime>1</TotalTime>
  <Pages>22</Pages>
  <Words>9593</Words>
  <Characters>54682</Characters>
  <Application>Microsoft Office Word</Application>
  <DocSecurity>0</DocSecurity>
  <Lines>455</Lines>
  <Paragraphs>128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United Nations</vt:lpstr>
      <vt:lpstr>United Nations</vt:lpstr>
      <vt:lpstr>United Nations</vt:lpstr>
    </vt:vector>
  </TitlesOfParts>
  <Company>CSD</Company>
  <LinksUpToDate>false</LinksUpToDate>
  <CharactersWithSpaces>64147</CharactersWithSpaces>
  <SharedDoc>false</SharedDoc>
  <HLinks>
    <vt:vector size="54" baseType="variant">
      <vt:variant>
        <vt:i4>1966156</vt:i4>
      </vt:variant>
      <vt:variant>
        <vt:i4>24</vt:i4>
      </vt:variant>
      <vt:variant>
        <vt:i4>0</vt:i4>
      </vt:variant>
      <vt:variant>
        <vt:i4>5</vt:i4>
      </vt:variant>
      <vt:variant>
        <vt:lpwstr>http://socialsecurity.govmu.org/English/Documents/Health.pdf</vt:lpwstr>
      </vt:variant>
      <vt:variant>
        <vt:lpwstr/>
      </vt:variant>
      <vt:variant>
        <vt:i4>4456457</vt:i4>
      </vt:variant>
      <vt:variant>
        <vt:i4>21</vt:i4>
      </vt:variant>
      <vt:variant>
        <vt:i4>0</vt:i4>
      </vt:variant>
      <vt:variant>
        <vt:i4>5</vt:i4>
      </vt:variant>
      <vt:variant>
        <vt:lpwstr>http://www.imf.org/external/pubs/ft/scr/2014/cr14107.pdf</vt:lpwstr>
      </vt:variant>
      <vt:variant>
        <vt:lpwstr/>
      </vt:variant>
      <vt:variant>
        <vt:i4>5308440</vt:i4>
      </vt:variant>
      <vt:variant>
        <vt:i4>18</vt:i4>
      </vt:variant>
      <vt:variant>
        <vt:i4>0</vt:i4>
      </vt:variant>
      <vt:variant>
        <vt:i4>5</vt:i4>
      </vt:variant>
      <vt:variant>
        <vt:lpwstr>http://socialsecurity.govmu.org/English/Documents/Housing.pdf</vt:lpwstr>
      </vt:variant>
      <vt:variant>
        <vt:lpwstr/>
      </vt:variant>
      <vt:variant>
        <vt:i4>1572965</vt:i4>
      </vt:variant>
      <vt:variant>
        <vt:i4>15</vt:i4>
      </vt:variant>
      <vt:variant>
        <vt:i4>0</vt:i4>
      </vt:variant>
      <vt:variant>
        <vt:i4>5</vt:i4>
      </vt:variant>
      <vt:variant>
        <vt:lpwstr>http://statsmauritius.govmu.org/English/StatsbySubj/Documents/Poverty/Poverty _x000b_Analysis report 200607.pdf</vt:lpwstr>
      </vt:variant>
      <vt:variant>
        <vt:lpwstr/>
      </vt:variant>
      <vt:variant>
        <vt:i4>8192000</vt:i4>
      </vt:variant>
      <vt:variant>
        <vt:i4>12</vt:i4>
      </vt:variant>
      <vt:variant>
        <vt:i4>0</vt:i4>
      </vt:variant>
      <vt:variant>
        <vt:i4>5</vt:i4>
      </vt:variant>
      <vt:variant>
        <vt:lpwstr>http://www.uom.ac.mu/sites/mid/files/resources/20042011_1.pdf</vt:lpwstr>
      </vt:variant>
      <vt:variant>
        <vt:lpwstr/>
      </vt:variant>
      <vt:variant>
        <vt:i4>6160467</vt:i4>
      </vt:variant>
      <vt:variant>
        <vt:i4>9</vt:i4>
      </vt:variant>
      <vt:variant>
        <vt:i4>0</vt:i4>
      </vt:variant>
      <vt:variant>
        <vt:i4>5</vt:i4>
      </vt:variant>
      <vt:variant>
        <vt:lpwstr>http://humanrights.govmu.org/English/Documents/HR Action Plan 2012-2020 small.pdf</vt:lpwstr>
      </vt:variant>
      <vt:variant>
        <vt:lpwstr/>
      </vt:variant>
      <vt:variant>
        <vt:i4>1572865</vt:i4>
      </vt:variant>
      <vt:variant>
        <vt:i4>6</vt:i4>
      </vt:variant>
      <vt:variant>
        <vt:i4>0</vt:i4>
      </vt:variant>
      <vt:variant>
        <vt:i4>5</vt:i4>
      </vt:variant>
      <vt:variant>
        <vt:lpwstr>http://www.helpage.org/global-agewatch/population-ageing-data/global-rankings-table/</vt:lpwstr>
      </vt:variant>
      <vt:variant>
        <vt:lpwstr/>
      </vt:variant>
      <vt:variant>
        <vt:i4>8257555</vt:i4>
      </vt:variant>
      <vt:variant>
        <vt:i4>3</vt:i4>
      </vt:variant>
      <vt:variant>
        <vt:i4>0</vt:i4>
      </vt:variant>
      <vt:variant>
        <vt:i4>5</vt:i4>
      </vt:variant>
      <vt:variant>
        <vt:lpwstr>http://www.ifa-fiv.org/wp-content/uploads/2012/11/060_21-Mauritius-2001-Ageing-With-Dignity-National-Policy-on-th.pdf</vt:lpwstr>
      </vt:variant>
      <vt:variant>
        <vt:lpwstr/>
      </vt:variant>
      <vt:variant>
        <vt:i4>3604524</vt:i4>
      </vt:variant>
      <vt:variant>
        <vt:i4>0</vt:i4>
      </vt:variant>
      <vt:variant>
        <vt:i4>0</vt:i4>
      </vt:variant>
      <vt:variant>
        <vt:i4>5</vt:i4>
      </vt:variant>
      <vt:variant>
        <vt:lpwstr>http://www.dismoi.org/tribune/journee-internationale-des-personnes-agees-rodrigues/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effects of foreign debt and other related international financial obligations</dc:title>
  <dc:creator>Mariannick Koffi</dc:creator>
  <cp:lastModifiedBy>Iuliia Somova</cp:lastModifiedBy>
  <cp:revision>2</cp:revision>
  <cp:lastPrinted>2016-02-29T10:24:00Z</cp:lastPrinted>
  <dcterms:created xsi:type="dcterms:W3CDTF">2016-02-29T16:05:00Z</dcterms:created>
  <dcterms:modified xsi:type="dcterms:W3CDTF">2016-02-29T16:05:00Z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