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9B3048"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B3048"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9B3048" w:rsidRDefault="00FE4423" w:rsidP="001D6EBF">
            <w:pPr>
              <w:jc w:val="right"/>
            </w:pPr>
            <w:r w:rsidRPr="009B3048">
              <w:rPr>
                <w:sz w:val="40"/>
              </w:rPr>
              <w:t>A</w:t>
            </w:r>
            <w:r w:rsidRPr="009B3048">
              <w:t>/HRC/31/</w:t>
            </w:r>
            <w:r w:rsidR="001D6EBF" w:rsidRPr="009B3048">
              <w:t>65</w:t>
            </w:r>
          </w:p>
        </w:tc>
      </w:tr>
      <w:tr w:rsidR="003107FA" w:rsidRPr="009B3048" w:rsidTr="00E806EE">
        <w:trPr>
          <w:trHeight w:val="2835"/>
        </w:trPr>
        <w:tc>
          <w:tcPr>
            <w:tcW w:w="1259" w:type="dxa"/>
            <w:tcBorders>
              <w:top w:val="single" w:sz="4" w:space="0" w:color="auto"/>
              <w:left w:val="nil"/>
              <w:bottom w:val="single" w:sz="12" w:space="0" w:color="auto"/>
              <w:right w:val="nil"/>
            </w:tcBorders>
          </w:tcPr>
          <w:p w:rsidR="003107FA" w:rsidRPr="009B3048"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9B3048" w:rsidRDefault="00D32ED9" w:rsidP="00EF5BDB">
            <w:pPr>
              <w:spacing w:before="120" w:line="420" w:lineRule="exact"/>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rsidR="003107FA" w:rsidRPr="009B3048" w:rsidRDefault="00FE4423" w:rsidP="00FE4423">
            <w:pPr>
              <w:spacing w:before="240" w:line="240" w:lineRule="exact"/>
            </w:pPr>
            <w:r w:rsidRPr="009B3048">
              <w:t>Distr.: General</w:t>
            </w:r>
          </w:p>
          <w:p w:rsidR="00FE4423" w:rsidRPr="009B3048" w:rsidRDefault="00182CF8" w:rsidP="00FE4423">
            <w:pPr>
              <w:spacing w:line="240" w:lineRule="exact"/>
            </w:pPr>
            <w:r>
              <w:t>22</w:t>
            </w:r>
            <w:r w:rsidR="001D6EBF" w:rsidRPr="009B3048">
              <w:t xml:space="preserve"> February </w:t>
            </w:r>
            <w:r w:rsidR="00FE4423" w:rsidRPr="009B3048">
              <w:t>201</w:t>
            </w:r>
            <w:r w:rsidR="001D6EBF" w:rsidRPr="009B3048">
              <w:t>6</w:t>
            </w:r>
          </w:p>
          <w:p w:rsidR="00FE4423" w:rsidRPr="009B3048" w:rsidRDefault="00FE4423" w:rsidP="00FE4423">
            <w:pPr>
              <w:spacing w:line="240" w:lineRule="exact"/>
            </w:pPr>
          </w:p>
          <w:p w:rsidR="003D2B01" w:rsidRPr="009B3048" w:rsidRDefault="008000EA" w:rsidP="00E90D5C">
            <w:pPr>
              <w:spacing w:line="240" w:lineRule="exact"/>
            </w:pPr>
            <w:r w:rsidRPr="009B3048">
              <w:t>Original: English</w:t>
            </w:r>
          </w:p>
        </w:tc>
      </w:tr>
    </w:tbl>
    <w:p w:rsidR="00FE4423" w:rsidRPr="009B3048" w:rsidRDefault="00FE4423" w:rsidP="00FE4423">
      <w:pPr>
        <w:pStyle w:val="Body1"/>
        <w:spacing w:before="120"/>
        <w:rPr>
          <w:b/>
          <w:sz w:val="24"/>
        </w:rPr>
      </w:pPr>
      <w:r w:rsidRPr="009B3048">
        <w:rPr>
          <w:rFonts w:hAnsi="Arial Unicode MS"/>
          <w:b/>
          <w:sz w:val="24"/>
        </w:rPr>
        <w:t>Human Rights Council</w:t>
      </w:r>
    </w:p>
    <w:p w:rsidR="00FE4423" w:rsidRPr="009B3048" w:rsidRDefault="00FE4423" w:rsidP="00FE4423">
      <w:pPr>
        <w:pStyle w:val="Body1"/>
        <w:rPr>
          <w:b/>
        </w:rPr>
      </w:pPr>
      <w:r w:rsidRPr="009B3048">
        <w:rPr>
          <w:rFonts w:hAnsi="Arial Unicode MS"/>
          <w:b/>
        </w:rPr>
        <w:t xml:space="preserve">Thirty-first </w:t>
      </w:r>
      <w:proofErr w:type="gramStart"/>
      <w:r w:rsidRPr="009B3048">
        <w:rPr>
          <w:rFonts w:hAnsi="Arial Unicode MS"/>
          <w:b/>
        </w:rPr>
        <w:t>session</w:t>
      </w:r>
      <w:proofErr w:type="gramEnd"/>
    </w:p>
    <w:p w:rsidR="00FE4423" w:rsidRPr="009B3048" w:rsidRDefault="00FE4423" w:rsidP="00FE4423">
      <w:pPr>
        <w:pStyle w:val="Body1"/>
      </w:pPr>
      <w:r w:rsidRPr="009B3048">
        <w:rPr>
          <w:rFonts w:hAnsi="Arial Unicode MS"/>
        </w:rPr>
        <w:t>Agenda item 3</w:t>
      </w:r>
    </w:p>
    <w:p w:rsidR="00FE4423" w:rsidRPr="009B3048" w:rsidRDefault="00FE4423" w:rsidP="00FE4423">
      <w:pPr>
        <w:pStyle w:val="Body1"/>
        <w:rPr>
          <w:b/>
        </w:rPr>
      </w:pPr>
      <w:r w:rsidRPr="009B3048">
        <w:rPr>
          <w:rFonts w:hAnsi="Arial Unicode MS"/>
          <w:b/>
        </w:rPr>
        <w:t>Promotion and protection of all human rights, civil,</w:t>
      </w:r>
    </w:p>
    <w:p w:rsidR="00FE4423" w:rsidRPr="009B3048" w:rsidRDefault="00FE4423" w:rsidP="00FE4423">
      <w:pPr>
        <w:pStyle w:val="Body1"/>
        <w:rPr>
          <w:b/>
        </w:rPr>
      </w:pPr>
      <w:proofErr w:type="gramStart"/>
      <w:r w:rsidRPr="009B3048">
        <w:rPr>
          <w:rFonts w:hAnsi="Arial Unicode MS"/>
          <w:b/>
        </w:rPr>
        <w:t>political</w:t>
      </w:r>
      <w:proofErr w:type="gramEnd"/>
      <w:r w:rsidRPr="009B3048">
        <w:rPr>
          <w:rFonts w:hAnsi="Arial Unicode MS"/>
          <w:b/>
        </w:rPr>
        <w:t>, economic, social and cultural rights,</w:t>
      </w:r>
    </w:p>
    <w:p w:rsidR="00FE4423" w:rsidRPr="009B3048" w:rsidRDefault="00FE4423" w:rsidP="00FE4423">
      <w:pPr>
        <w:pStyle w:val="Body1"/>
        <w:rPr>
          <w:rFonts w:hAnsi="Arial Unicode MS"/>
          <w:b/>
        </w:rPr>
      </w:pPr>
      <w:proofErr w:type="gramStart"/>
      <w:r w:rsidRPr="009B3048">
        <w:rPr>
          <w:rFonts w:hAnsi="Arial Unicode MS"/>
          <w:b/>
        </w:rPr>
        <w:t>including</w:t>
      </w:r>
      <w:proofErr w:type="gramEnd"/>
      <w:r w:rsidRPr="009B3048">
        <w:rPr>
          <w:rFonts w:hAnsi="Arial Unicode MS"/>
          <w:b/>
        </w:rPr>
        <w:t xml:space="preserve"> the right to development</w:t>
      </w:r>
    </w:p>
    <w:p w:rsidR="00FE4423" w:rsidRPr="009B3048" w:rsidRDefault="00FE4423" w:rsidP="00FE4423">
      <w:pPr>
        <w:pStyle w:val="HChG"/>
        <w:rPr>
          <w:rFonts w:eastAsia="Arial Unicode MS"/>
          <w:u w:color="000000"/>
        </w:rPr>
      </w:pPr>
      <w:r w:rsidRPr="009B3048">
        <w:rPr>
          <w:rFonts w:eastAsia="Arial Unicode MS"/>
          <w:u w:color="000000"/>
        </w:rPr>
        <w:tab/>
      </w:r>
      <w:r w:rsidRPr="009B3048">
        <w:rPr>
          <w:rFonts w:eastAsia="Arial Unicode MS"/>
          <w:u w:color="000000"/>
        </w:rPr>
        <w:tab/>
        <w:t xml:space="preserve">Report of the Special Rapporteur </w:t>
      </w:r>
      <w:r w:rsidR="001D6EBF" w:rsidRPr="009B3048">
        <w:rPr>
          <w:rFonts w:eastAsia="Arial Unicode MS"/>
          <w:u w:color="000000"/>
        </w:rPr>
        <w:t xml:space="preserve">on the promotion and protection of human rights and fundamental freedoms while </w:t>
      </w:r>
      <w:r w:rsidR="00D44F11" w:rsidRPr="009B3048">
        <w:rPr>
          <w:rFonts w:eastAsia="Arial Unicode MS"/>
          <w:u w:color="000000"/>
        </w:rPr>
        <w:t>countering terrorism</w:t>
      </w:r>
      <w:r w:rsidR="001D6EBF" w:rsidRPr="009B3048">
        <w:rPr>
          <w:rStyle w:val="FootnoteReference"/>
          <w:rFonts w:eastAsia="Arial Unicode MS"/>
          <w:u w:color="000000"/>
        </w:rPr>
        <w:footnoteReference w:customMarkFollows="1" w:id="2"/>
        <w:sym w:font="Symbol" w:char="F02A"/>
      </w:r>
    </w:p>
    <w:p w:rsidR="00FE4423" w:rsidRPr="009B3048" w:rsidRDefault="00FE4423" w:rsidP="00FE4423">
      <w:pPr>
        <w:pStyle w:val="H1G"/>
      </w:pPr>
      <w:r w:rsidRPr="009B3048">
        <w:rPr>
          <w:lang w:val="en-US"/>
        </w:rPr>
        <w:tab/>
      </w:r>
      <w:r w:rsidRPr="009B3048">
        <w:rPr>
          <w:lang w:val="en-US"/>
        </w:rPr>
        <w:tab/>
      </w:r>
      <w:r w:rsidRPr="009B3048">
        <w:t>Note by the Secretariat</w:t>
      </w:r>
    </w:p>
    <w:p w:rsidR="001D6EBF" w:rsidRPr="009B3048" w:rsidRDefault="001D6EBF" w:rsidP="001D6EBF">
      <w:pPr>
        <w:pStyle w:val="SingleTxtG"/>
      </w:pPr>
      <w:r w:rsidRPr="009B3048">
        <w:tab/>
      </w:r>
      <w:r w:rsidR="00FE4423" w:rsidRPr="009B3048">
        <w:t xml:space="preserve">The Secretariat has the honour to transmit to the Human Rights Council the thematic report of the Special Rapporteur on </w:t>
      </w:r>
      <w:r w:rsidRPr="009B3048">
        <w:t xml:space="preserve">the promotion and protection of human rights and fundamental freedoms while countering terrorism, Ben Emmerson, pursuant to its resolutions 22/8 </w:t>
      </w:r>
      <w:proofErr w:type="spellStart"/>
      <w:r w:rsidRPr="009B3048">
        <w:t>amd</w:t>
      </w:r>
      <w:proofErr w:type="spellEnd"/>
      <w:r w:rsidRPr="009B3048">
        <w:t xml:space="preserve"> 29/9.  The present report is the fifth annual report submitted to the Council by the </w:t>
      </w:r>
      <w:r w:rsidR="00BD16E9">
        <w:t>current mandate holder</w:t>
      </w:r>
      <w:r w:rsidRPr="009B3048">
        <w:t>.</w:t>
      </w:r>
    </w:p>
    <w:p w:rsidR="001D6EBF" w:rsidRPr="009B3048" w:rsidRDefault="001D6EBF" w:rsidP="001D6EBF">
      <w:pPr>
        <w:pStyle w:val="SingleTxtG"/>
      </w:pPr>
      <w:r w:rsidRPr="009B3048">
        <w:tab/>
        <w:t xml:space="preserve">In section III, the Special Rapporteur addresses human rights in the context of preventing and countering violent extremism. </w:t>
      </w:r>
    </w:p>
    <w:p w:rsidR="00D44F11" w:rsidRPr="009B3048" w:rsidRDefault="00FE4423" w:rsidP="008000EA">
      <w:pPr>
        <w:pStyle w:val="HChG"/>
        <w:rPr>
          <w:color w:val="FF0000"/>
        </w:rPr>
      </w:pPr>
      <w:r w:rsidRPr="009B3048">
        <w:rPr>
          <w:color w:val="FF0000"/>
        </w:rPr>
        <w:br w:type="page"/>
      </w:r>
    </w:p>
    <w:p w:rsidR="00D44F11" w:rsidRPr="009B3048" w:rsidRDefault="00451079" w:rsidP="008000EA">
      <w:pPr>
        <w:pStyle w:val="HChG"/>
        <w:rPr>
          <w:b w:val="0"/>
        </w:rPr>
      </w:pPr>
      <w:r w:rsidRPr="009B3048">
        <w:rPr>
          <w:rFonts w:eastAsia="Arial Unicode MS"/>
          <w:u w:color="000000"/>
        </w:rPr>
        <w:lastRenderedPageBreak/>
        <w:tab/>
      </w:r>
      <w:r w:rsidRPr="009B3048">
        <w:rPr>
          <w:rFonts w:eastAsia="Arial Unicode MS"/>
          <w:u w:color="000000"/>
        </w:rPr>
        <w:tab/>
      </w:r>
      <w:r w:rsidR="00D44F11" w:rsidRPr="009B3048">
        <w:rPr>
          <w:rFonts w:eastAsia="Arial Unicode MS"/>
          <w:u w:color="000000"/>
        </w:rPr>
        <w:t>Report of the Special Rapporteur on the promotion and protection of human rights and fundamental freedoms while countering terrorism</w:t>
      </w:r>
    </w:p>
    <w:p w:rsidR="00FE4423" w:rsidRPr="009B3048" w:rsidRDefault="00FE4423" w:rsidP="008000EA">
      <w:pPr>
        <w:pStyle w:val="HChG"/>
        <w:rPr>
          <w:b w:val="0"/>
          <w:i/>
          <w:sz w:val="18"/>
        </w:rPr>
      </w:pPr>
      <w:r w:rsidRPr="009B3048">
        <w:rPr>
          <w:b w:val="0"/>
        </w:rPr>
        <w:t>Contents</w:t>
      </w:r>
    </w:p>
    <w:p w:rsidR="00FE4423" w:rsidRPr="009B3048" w:rsidRDefault="00FE4423" w:rsidP="00FE4423">
      <w:pPr>
        <w:tabs>
          <w:tab w:val="right" w:pos="8929"/>
          <w:tab w:val="right" w:pos="9638"/>
        </w:tabs>
        <w:spacing w:after="120" w:line="360" w:lineRule="auto"/>
        <w:ind w:left="283"/>
      </w:pPr>
      <w:r w:rsidRPr="009B3048">
        <w:rPr>
          <w:i/>
          <w:sz w:val="18"/>
        </w:rPr>
        <w:tab/>
      </w:r>
      <w:r w:rsidRPr="009B3048">
        <w:rPr>
          <w:i/>
          <w:sz w:val="18"/>
        </w:rPr>
        <w:tab/>
        <w:t>Page</w:t>
      </w:r>
    </w:p>
    <w:p w:rsidR="00FE4423" w:rsidRPr="009B3048" w:rsidRDefault="00FE4423" w:rsidP="008000EA">
      <w:pPr>
        <w:tabs>
          <w:tab w:val="right" w:pos="850"/>
          <w:tab w:val="left" w:pos="1134"/>
          <w:tab w:val="left" w:pos="1559"/>
          <w:tab w:val="left" w:pos="1984"/>
          <w:tab w:val="left" w:leader="dot" w:pos="8929"/>
          <w:tab w:val="right" w:pos="9638"/>
        </w:tabs>
        <w:spacing w:after="120"/>
        <w:rPr>
          <w:lang w:val="en-US"/>
        </w:rPr>
      </w:pPr>
      <w:r w:rsidRPr="009B3048">
        <w:rPr>
          <w:lang w:val="en-US"/>
        </w:rPr>
        <w:tab/>
        <w:t>I.</w:t>
      </w:r>
      <w:r w:rsidRPr="009B3048">
        <w:rPr>
          <w:lang w:val="en-US"/>
        </w:rPr>
        <w:tab/>
        <w:t>Introduction</w:t>
      </w:r>
      <w:r w:rsidRPr="009B3048">
        <w:rPr>
          <w:lang w:val="en-US"/>
        </w:rPr>
        <w:tab/>
      </w:r>
      <w:r w:rsidRPr="009B3048">
        <w:rPr>
          <w:lang w:val="en-US"/>
        </w:rPr>
        <w:tab/>
        <w:t>3</w:t>
      </w:r>
    </w:p>
    <w:p w:rsidR="00FE4423" w:rsidRPr="009B3048" w:rsidRDefault="00FE4423" w:rsidP="008000EA">
      <w:pPr>
        <w:tabs>
          <w:tab w:val="right" w:pos="850"/>
          <w:tab w:val="left" w:pos="1134"/>
          <w:tab w:val="left" w:pos="1559"/>
          <w:tab w:val="left" w:pos="1984"/>
          <w:tab w:val="left" w:leader="dot" w:pos="8929"/>
          <w:tab w:val="right" w:pos="9638"/>
        </w:tabs>
        <w:spacing w:after="120"/>
        <w:rPr>
          <w:lang w:val="en-US"/>
        </w:rPr>
      </w:pPr>
      <w:r w:rsidRPr="009B3048">
        <w:rPr>
          <w:lang w:val="en-US"/>
        </w:rPr>
        <w:tab/>
        <w:t>II.</w:t>
      </w:r>
      <w:r w:rsidRPr="009B3048">
        <w:rPr>
          <w:lang w:val="en-US"/>
        </w:rPr>
        <w:tab/>
      </w:r>
      <w:r w:rsidR="00B13FAA" w:rsidRPr="009B3048">
        <w:rPr>
          <w:lang w:val="en-US"/>
        </w:rPr>
        <w:t>Activit</w:t>
      </w:r>
      <w:r w:rsidR="00AD23B7" w:rsidRPr="009B3048">
        <w:rPr>
          <w:lang w:val="en-US"/>
        </w:rPr>
        <w:t>i</w:t>
      </w:r>
      <w:r w:rsidR="00B13FAA" w:rsidRPr="009B3048">
        <w:rPr>
          <w:lang w:val="en-US"/>
        </w:rPr>
        <w:t>es of the Special Rapporteur</w:t>
      </w:r>
      <w:r w:rsidRPr="009B3048">
        <w:rPr>
          <w:lang w:val="en-US"/>
        </w:rPr>
        <w:tab/>
      </w:r>
      <w:r w:rsidRPr="009B3048">
        <w:rPr>
          <w:lang w:val="en-US"/>
        </w:rPr>
        <w:tab/>
      </w:r>
      <w:r w:rsidR="00AD23B7" w:rsidRPr="009B3048">
        <w:rPr>
          <w:lang w:val="en-US"/>
        </w:rPr>
        <w:t>3</w:t>
      </w:r>
    </w:p>
    <w:p w:rsidR="00FE4423" w:rsidRPr="009B3048" w:rsidRDefault="00FE4423" w:rsidP="008000EA">
      <w:pPr>
        <w:tabs>
          <w:tab w:val="right" w:pos="850"/>
          <w:tab w:val="left" w:pos="1134"/>
          <w:tab w:val="left" w:pos="1559"/>
          <w:tab w:val="left" w:pos="1984"/>
          <w:tab w:val="left" w:leader="dot" w:pos="8929"/>
          <w:tab w:val="right" w:pos="9638"/>
        </w:tabs>
        <w:spacing w:after="120"/>
      </w:pPr>
      <w:r w:rsidRPr="009B3048">
        <w:rPr>
          <w:color w:val="FF0000"/>
          <w:lang w:val="en-US"/>
        </w:rPr>
        <w:tab/>
      </w:r>
      <w:r w:rsidRPr="009B3048">
        <w:t>III.</w:t>
      </w:r>
      <w:r w:rsidRPr="009B3048">
        <w:tab/>
      </w:r>
      <w:r w:rsidR="00B13FAA" w:rsidRPr="009B3048">
        <w:t>Preventing and Countering Violent Extremism: A Human Rights Assessment</w:t>
      </w:r>
      <w:r w:rsidR="002C58C4" w:rsidRPr="009B3048">
        <w:tab/>
      </w:r>
      <w:r w:rsidR="002C58C4" w:rsidRPr="009B3048">
        <w:tab/>
      </w:r>
      <w:r w:rsidR="00C30508">
        <w:t>3</w:t>
      </w:r>
    </w:p>
    <w:p w:rsidR="002C58C4" w:rsidRPr="009B3048" w:rsidRDefault="002C58C4" w:rsidP="008000EA">
      <w:pPr>
        <w:tabs>
          <w:tab w:val="right" w:pos="850"/>
          <w:tab w:val="left" w:pos="1134"/>
          <w:tab w:val="left" w:pos="1559"/>
          <w:tab w:val="left" w:pos="1984"/>
          <w:tab w:val="left" w:leader="dot" w:pos="8929"/>
          <w:tab w:val="right" w:pos="9638"/>
        </w:tabs>
        <w:spacing w:after="120"/>
        <w:rPr>
          <w:lang w:val="en-US"/>
        </w:rPr>
      </w:pPr>
      <w:r w:rsidRPr="009B3048">
        <w:tab/>
      </w:r>
      <w:r w:rsidRPr="009B3048">
        <w:tab/>
      </w:r>
      <w:r w:rsidRPr="009B3048">
        <w:rPr>
          <w:lang w:val="en-US"/>
        </w:rPr>
        <w:t>A.</w:t>
      </w:r>
      <w:r w:rsidRPr="009B3048">
        <w:rPr>
          <w:lang w:val="en-US"/>
        </w:rPr>
        <w:tab/>
        <w:t>S</w:t>
      </w:r>
      <w:r w:rsidR="00B13FAA" w:rsidRPr="009B3048">
        <w:rPr>
          <w:lang w:val="en-US"/>
        </w:rPr>
        <w:t>emantic and Conceptual</w:t>
      </w:r>
      <w:r w:rsidR="00C30508">
        <w:rPr>
          <w:lang w:val="en-US"/>
        </w:rPr>
        <w:tab/>
      </w:r>
      <w:r w:rsidR="00C30508">
        <w:rPr>
          <w:lang w:val="en-US"/>
        </w:rPr>
        <w:tab/>
        <w:t>5</w:t>
      </w:r>
    </w:p>
    <w:p w:rsidR="002C58C4" w:rsidRPr="009B3048" w:rsidRDefault="002C58C4" w:rsidP="008000EA">
      <w:pPr>
        <w:tabs>
          <w:tab w:val="right" w:pos="850"/>
          <w:tab w:val="left" w:pos="1134"/>
          <w:tab w:val="left" w:pos="1559"/>
          <w:tab w:val="left" w:pos="1984"/>
          <w:tab w:val="left" w:leader="dot" w:pos="8929"/>
          <w:tab w:val="right" w:pos="9638"/>
        </w:tabs>
        <w:spacing w:after="120"/>
        <w:rPr>
          <w:lang w:val="en-US"/>
        </w:rPr>
      </w:pPr>
      <w:r w:rsidRPr="009B3048">
        <w:rPr>
          <w:lang w:val="en-US"/>
        </w:rPr>
        <w:tab/>
      </w:r>
      <w:r w:rsidRPr="009B3048">
        <w:rPr>
          <w:lang w:val="en-US"/>
        </w:rPr>
        <w:tab/>
        <w:t>B.</w:t>
      </w:r>
      <w:r w:rsidRPr="009B3048">
        <w:rPr>
          <w:lang w:val="en-US"/>
        </w:rPr>
        <w:tab/>
      </w:r>
      <w:r w:rsidR="00B13FAA" w:rsidRPr="009B3048">
        <w:rPr>
          <w:lang w:val="en-US"/>
        </w:rPr>
        <w:t xml:space="preserve">Human Rights impact of the </w:t>
      </w:r>
      <w:proofErr w:type="gramStart"/>
      <w:r w:rsidR="00B13FAA" w:rsidRPr="009B3048">
        <w:rPr>
          <w:lang w:val="en-US"/>
        </w:rPr>
        <w:t>international  policy</w:t>
      </w:r>
      <w:proofErr w:type="gramEnd"/>
      <w:r w:rsidR="00B13FAA" w:rsidRPr="009B3048">
        <w:rPr>
          <w:lang w:val="en-US"/>
        </w:rPr>
        <w:t xml:space="preserve"> framework to counter </w:t>
      </w:r>
      <w:r w:rsidR="00B13FAA" w:rsidRPr="009B3048">
        <w:rPr>
          <w:lang w:val="en-US"/>
        </w:rPr>
        <w:br/>
      </w:r>
      <w:r w:rsidR="00B13FAA" w:rsidRPr="009B3048">
        <w:rPr>
          <w:lang w:val="en-US"/>
        </w:rPr>
        <w:tab/>
      </w:r>
      <w:r w:rsidR="00B13FAA" w:rsidRPr="009B3048">
        <w:rPr>
          <w:lang w:val="en-US"/>
        </w:rPr>
        <w:tab/>
        <w:t xml:space="preserve">and prevent  violent extremism </w:t>
      </w:r>
      <w:r w:rsidR="00803F76" w:rsidRPr="009B3048">
        <w:rPr>
          <w:lang w:val="en-US"/>
        </w:rPr>
        <w:tab/>
      </w:r>
      <w:r w:rsidR="00803F76" w:rsidRPr="009B3048">
        <w:rPr>
          <w:lang w:val="en-US"/>
        </w:rPr>
        <w:tab/>
      </w:r>
      <w:r w:rsidR="00C30508">
        <w:rPr>
          <w:lang w:val="en-US"/>
        </w:rPr>
        <w:t>8</w:t>
      </w:r>
    </w:p>
    <w:p w:rsidR="002C58C4" w:rsidRPr="009B3048" w:rsidRDefault="002C58C4" w:rsidP="008000EA">
      <w:pPr>
        <w:tabs>
          <w:tab w:val="right" w:pos="850"/>
          <w:tab w:val="left" w:pos="1134"/>
          <w:tab w:val="left" w:pos="1559"/>
          <w:tab w:val="left" w:pos="1984"/>
          <w:tab w:val="left" w:leader="dot" w:pos="8929"/>
          <w:tab w:val="right" w:pos="9638"/>
        </w:tabs>
        <w:spacing w:after="120"/>
        <w:rPr>
          <w:lang w:val="en-US"/>
        </w:rPr>
      </w:pPr>
      <w:r w:rsidRPr="009B3048">
        <w:rPr>
          <w:lang w:val="en-US"/>
        </w:rPr>
        <w:tab/>
      </w:r>
      <w:r w:rsidRPr="009B3048">
        <w:rPr>
          <w:lang w:val="en-US"/>
        </w:rPr>
        <w:tab/>
        <w:t>C.</w:t>
      </w:r>
      <w:r w:rsidRPr="009B3048">
        <w:rPr>
          <w:lang w:val="en-US"/>
        </w:rPr>
        <w:tab/>
      </w:r>
      <w:r w:rsidR="00B13FAA" w:rsidRPr="009B3048">
        <w:rPr>
          <w:lang w:val="en-US"/>
        </w:rPr>
        <w:t>Impact on human rights of measures to counter and prevent violent extremism</w:t>
      </w:r>
      <w:r w:rsidR="00803F76" w:rsidRPr="009B3048">
        <w:rPr>
          <w:lang w:val="en-US"/>
        </w:rPr>
        <w:tab/>
      </w:r>
      <w:r w:rsidR="00803F76" w:rsidRPr="009B3048">
        <w:rPr>
          <w:lang w:val="en-US"/>
        </w:rPr>
        <w:tab/>
      </w:r>
      <w:r w:rsidR="00C30508">
        <w:rPr>
          <w:lang w:val="en-US"/>
        </w:rPr>
        <w:t>13</w:t>
      </w:r>
    </w:p>
    <w:p w:rsidR="00B13FAA" w:rsidRPr="009B3048" w:rsidRDefault="00B13FAA" w:rsidP="00B13FAA">
      <w:pPr>
        <w:tabs>
          <w:tab w:val="right" w:pos="850"/>
          <w:tab w:val="left" w:pos="1134"/>
          <w:tab w:val="left" w:pos="1559"/>
          <w:tab w:val="left" w:pos="1984"/>
          <w:tab w:val="left" w:leader="dot" w:pos="8929"/>
          <w:tab w:val="right" w:pos="9638"/>
        </w:tabs>
        <w:spacing w:after="120"/>
        <w:rPr>
          <w:lang w:val="en-US"/>
        </w:rPr>
      </w:pPr>
      <w:r w:rsidRPr="009B3048">
        <w:rPr>
          <w:lang w:val="en-US"/>
        </w:rPr>
        <w:tab/>
      </w:r>
      <w:r w:rsidRPr="009B3048">
        <w:rPr>
          <w:lang w:val="en-US"/>
        </w:rPr>
        <w:tab/>
        <w:t>D.</w:t>
      </w:r>
      <w:r w:rsidRPr="009B3048">
        <w:rPr>
          <w:lang w:val="en-US"/>
        </w:rPr>
        <w:tab/>
        <w:t>Conditions Conducive to Violent Extremism</w:t>
      </w:r>
      <w:r w:rsidRPr="009B3048">
        <w:rPr>
          <w:lang w:val="en-US"/>
        </w:rPr>
        <w:tab/>
      </w:r>
      <w:r w:rsidRPr="009B3048">
        <w:rPr>
          <w:lang w:val="en-US"/>
        </w:rPr>
        <w:tab/>
      </w:r>
      <w:r w:rsidR="00C30508">
        <w:rPr>
          <w:lang w:val="en-US"/>
        </w:rPr>
        <w:t>19</w:t>
      </w:r>
    </w:p>
    <w:p w:rsidR="00AD23B7" w:rsidRPr="009B3048" w:rsidRDefault="00AD23B7" w:rsidP="00AD23B7">
      <w:pPr>
        <w:tabs>
          <w:tab w:val="right" w:pos="850"/>
          <w:tab w:val="left" w:pos="1134"/>
          <w:tab w:val="left" w:pos="1559"/>
          <w:tab w:val="left" w:pos="1984"/>
          <w:tab w:val="left" w:leader="dot" w:pos="8929"/>
          <w:tab w:val="right" w:pos="9638"/>
        </w:tabs>
        <w:spacing w:after="120"/>
        <w:rPr>
          <w:lang w:val="en-US"/>
        </w:rPr>
      </w:pPr>
      <w:r w:rsidRPr="009B3048">
        <w:rPr>
          <w:lang w:val="en-US"/>
        </w:rPr>
        <w:tab/>
      </w:r>
      <w:r w:rsidRPr="009B3048">
        <w:rPr>
          <w:lang w:val="en-US"/>
        </w:rPr>
        <w:tab/>
        <w:t>E.</w:t>
      </w:r>
      <w:r w:rsidRPr="009B3048">
        <w:rPr>
          <w:lang w:val="en-US"/>
        </w:rPr>
        <w:tab/>
      </w:r>
      <w:r w:rsidR="00C30508">
        <w:rPr>
          <w:lang w:val="en-US"/>
        </w:rPr>
        <w:t>Violent Extremism and Gender</w:t>
      </w:r>
      <w:r w:rsidR="00C30508">
        <w:rPr>
          <w:lang w:val="en-US"/>
        </w:rPr>
        <w:tab/>
      </w:r>
      <w:r w:rsidR="00C30508">
        <w:rPr>
          <w:lang w:val="en-US"/>
        </w:rPr>
        <w:tab/>
        <w:t>20</w:t>
      </w:r>
    </w:p>
    <w:p w:rsidR="00CC7A89" w:rsidRPr="009B3048" w:rsidRDefault="0023118B" w:rsidP="008000EA">
      <w:pPr>
        <w:tabs>
          <w:tab w:val="right" w:pos="850"/>
          <w:tab w:val="left" w:pos="1134"/>
          <w:tab w:val="left" w:pos="1559"/>
          <w:tab w:val="left" w:pos="1984"/>
          <w:tab w:val="left" w:leader="dot" w:pos="8929"/>
          <w:tab w:val="right" w:pos="9638"/>
        </w:tabs>
        <w:spacing w:after="120"/>
        <w:rPr>
          <w:lang w:val="en-US"/>
        </w:rPr>
      </w:pPr>
      <w:r w:rsidRPr="009B3048">
        <w:rPr>
          <w:lang w:val="en-US"/>
        </w:rPr>
        <w:tab/>
        <w:t>I</w:t>
      </w:r>
      <w:r w:rsidR="00AD23B7" w:rsidRPr="009B3048">
        <w:rPr>
          <w:lang w:val="en-US"/>
        </w:rPr>
        <w:t>V</w:t>
      </w:r>
      <w:r w:rsidR="00227CE4" w:rsidRPr="009B3048">
        <w:rPr>
          <w:lang w:val="en-US"/>
        </w:rPr>
        <w:t>.</w:t>
      </w:r>
      <w:r w:rsidR="00227CE4" w:rsidRPr="009B3048">
        <w:rPr>
          <w:lang w:val="en-US"/>
        </w:rPr>
        <w:tab/>
        <w:t>Con</w:t>
      </w:r>
      <w:r w:rsidR="00803F76" w:rsidRPr="009B3048">
        <w:rPr>
          <w:lang w:val="en-US"/>
        </w:rPr>
        <w:t>clusions and recommendations</w:t>
      </w:r>
      <w:r w:rsidR="00803F76" w:rsidRPr="009B3048">
        <w:rPr>
          <w:lang w:val="en-US"/>
        </w:rPr>
        <w:tab/>
      </w:r>
      <w:r w:rsidR="00803F76" w:rsidRPr="009B3048">
        <w:rPr>
          <w:lang w:val="en-US"/>
        </w:rPr>
        <w:tab/>
        <w:t>2</w:t>
      </w:r>
      <w:r w:rsidR="00C30508">
        <w:rPr>
          <w:lang w:val="en-US"/>
        </w:rPr>
        <w:t>1</w:t>
      </w:r>
    </w:p>
    <w:p w:rsidR="00FE4423" w:rsidRPr="009B3048" w:rsidRDefault="00FE4423" w:rsidP="00FE4423">
      <w:pPr>
        <w:pStyle w:val="HChG"/>
        <w:rPr>
          <w:rFonts w:eastAsia="Cambria"/>
          <w:lang w:val="en-CA"/>
        </w:rPr>
      </w:pPr>
      <w:bookmarkStart w:id="1" w:name="_Toc433579662"/>
      <w:bookmarkStart w:id="2" w:name="_Toc437186750"/>
      <w:bookmarkStart w:id="3" w:name="_Toc437187392"/>
      <w:bookmarkStart w:id="4" w:name="_Toc437599728"/>
      <w:r w:rsidRPr="009B3048">
        <w:rPr>
          <w:color w:val="FF0000"/>
        </w:rPr>
        <w:br w:type="page"/>
      </w:r>
      <w:r w:rsidRPr="009B3048">
        <w:rPr>
          <w:rFonts w:eastAsia="Cambria"/>
          <w:color w:val="FF0000"/>
          <w:lang w:val="en-CA"/>
        </w:rPr>
        <w:lastRenderedPageBreak/>
        <w:tab/>
      </w:r>
      <w:r w:rsidRPr="009B3048">
        <w:rPr>
          <w:rFonts w:eastAsia="Cambria"/>
          <w:lang w:val="en-CA"/>
        </w:rPr>
        <w:t>I.</w:t>
      </w:r>
      <w:r w:rsidRPr="009B3048">
        <w:rPr>
          <w:rFonts w:eastAsia="Cambria"/>
          <w:lang w:val="en-CA"/>
        </w:rPr>
        <w:tab/>
        <w:t>Introduction</w:t>
      </w:r>
      <w:bookmarkEnd w:id="1"/>
      <w:bookmarkEnd w:id="2"/>
      <w:bookmarkEnd w:id="3"/>
      <w:bookmarkEnd w:id="4"/>
    </w:p>
    <w:p w:rsidR="001D6EBF" w:rsidRPr="009B3048" w:rsidRDefault="009B3048" w:rsidP="009B3048">
      <w:pPr>
        <w:pStyle w:val="SingleTxtG"/>
        <w:rPr>
          <w:rFonts w:eastAsia="Cambria"/>
        </w:rPr>
      </w:pPr>
      <w:r w:rsidRPr="009B3048">
        <w:rPr>
          <w:rFonts w:eastAsia="Cambria"/>
          <w:lang w:val="en-US"/>
        </w:rPr>
        <w:t>1.</w:t>
      </w:r>
      <w:r w:rsidRPr="009B3048">
        <w:rPr>
          <w:rFonts w:eastAsia="Cambria"/>
          <w:lang w:val="en-US"/>
        </w:rPr>
        <w:tab/>
      </w:r>
      <w:r w:rsidR="001D6EBF" w:rsidRPr="009B3048">
        <w:rPr>
          <w:rFonts w:eastAsia="Cambria"/>
          <w:lang w:val="en-CA"/>
        </w:rPr>
        <w:t>The present report</w:t>
      </w:r>
      <w:r w:rsidR="008F219A" w:rsidRPr="009B3048">
        <w:rPr>
          <w:rStyle w:val="FootnoteReference"/>
          <w:rFonts w:eastAsia="Cambria"/>
          <w:lang w:val="en-CA"/>
        </w:rPr>
        <w:footnoteReference w:id="3"/>
      </w:r>
      <w:r w:rsidR="001D6EBF" w:rsidRPr="009B3048">
        <w:rPr>
          <w:rFonts w:eastAsia="Cambria"/>
          <w:lang w:val="en-CA"/>
        </w:rPr>
        <w:t xml:space="preserve"> is submitted to the Human Rights Council pursuant to its resolutions 22/8 and 29/9. In Section II, the Special Rapporteur lists key activities </w:t>
      </w:r>
      <w:r w:rsidR="0069683C" w:rsidRPr="009B3048">
        <w:rPr>
          <w:rFonts w:eastAsia="Cambria"/>
          <w:lang w:val="en-CA"/>
        </w:rPr>
        <w:t>u</w:t>
      </w:r>
      <w:r w:rsidR="001D6EBF" w:rsidRPr="009B3048">
        <w:rPr>
          <w:rFonts w:eastAsia="Cambria"/>
          <w:lang w:val="en-CA"/>
        </w:rPr>
        <w:t>ndert</w:t>
      </w:r>
      <w:r w:rsidR="0069683C" w:rsidRPr="009B3048">
        <w:rPr>
          <w:rFonts w:eastAsia="Cambria"/>
          <w:lang w:val="en-CA"/>
        </w:rPr>
        <w:t xml:space="preserve">aken </w:t>
      </w:r>
      <w:r w:rsidR="001D6EBF" w:rsidRPr="009B3048">
        <w:rPr>
          <w:rFonts w:eastAsia="Cambria"/>
          <w:lang w:val="en-CA"/>
        </w:rPr>
        <w:t>from June to December 2015. Section III focuses on human rights in the context of preventing and countering violent extremism, following the Secretary-General’s Plan of Action to Prevent Violent Extremism.</w:t>
      </w:r>
    </w:p>
    <w:p w:rsidR="00FE4423" w:rsidRPr="009B3048" w:rsidRDefault="00FE4423" w:rsidP="008000EA">
      <w:pPr>
        <w:pStyle w:val="HChG"/>
        <w:rPr>
          <w:rFonts w:eastAsia="Cambria"/>
        </w:rPr>
      </w:pPr>
      <w:bookmarkStart w:id="5" w:name="_Toc433579663"/>
      <w:bookmarkStart w:id="6" w:name="_Toc437186751"/>
      <w:bookmarkStart w:id="7" w:name="_Toc437187393"/>
      <w:bookmarkStart w:id="8" w:name="_Toc437599729"/>
      <w:r w:rsidRPr="009B3048">
        <w:rPr>
          <w:rFonts w:eastAsia="Cambria"/>
          <w:color w:val="FF0000"/>
        </w:rPr>
        <w:tab/>
      </w:r>
      <w:r w:rsidRPr="009B3048">
        <w:rPr>
          <w:rFonts w:eastAsia="Cambria"/>
        </w:rPr>
        <w:t>II.</w:t>
      </w:r>
      <w:r w:rsidRPr="009B3048">
        <w:rPr>
          <w:rFonts w:eastAsia="Cambria"/>
        </w:rPr>
        <w:tab/>
      </w:r>
      <w:r w:rsidR="001D6EBF" w:rsidRPr="009B3048">
        <w:rPr>
          <w:rFonts w:eastAsia="Cambria"/>
        </w:rPr>
        <w:t xml:space="preserve">Activities of the Special Rapporteur </w:t>
      </w:r>
      <w:bookmarkEnd w:id="5"/>
      <w:bookmarkEnd w:id="6"/>
      <w:bookmarkEnd w:id="7"/>
      <w:bookmarkEnd w:id="8"/>
    </w:p>
    <w:p w:rsidR="001D6EBF" w:rsidRPr="009B3048" w:rsidRDefault="009B3048" w:rsidP="009B3048">
      <w:pPr>
        <w:pStyle w:val="SingleTxtG"/>
        <w:rPr>
          <w:rFonts w:eastAsia="Cambria"/>
          <w:lang w:val="en-CA"/>
        </w:rPr>
      </w:pPr>
      <w:r w:rsidRPr="009B3048">
        <w:rPr>
          <w:rFonts w:eastAsia="Cambria"/>
          <w:lang w:val="en-US"/>
        </w:rPr>
        <w:t>2.</w:t>
      </w:r>
      <w:r w:rsidRPr="009B3048">
        <w:rPr>
          <w:rFonts w:eastAsia="Cambria"/>
          <w:lang w:val="en-US"/>
        </w:rPr>
        <w:tab/>
      </w:r>
      <w:r w:rsidR="001D6EBF" w:rsidRPr="009B3048">
        <w:rPr>
          <w:rFonts w:eastAsia="Cambria"/>
          <w:lang w:val="en-CA"/>
        </w:rPr>
        <w:t xml:space="preserve">Since the issuance of his previous report to the Human Rights Council (A/HRC/29/51), the Special Rapporteur took part in the activities set out below. </w:t>
      </w:r>
    </w:p>
    <w:p w:rsidR="001D6EBF" w:rsidRPr="009B3048" w:rsidRDefault="009B3048" w:rsidP="009B3048">
      <w:pPr>
        <w:pStyle w:val="SingleTxtG"/>
        <w:rPr>
          <w:rFonts w:eastAsia="Cambria"/>
          <w:lang w:val="en-CA"/>
        </w:rPr>
      </w:pPr>
      <w:r w:rsidRPr="009B3048">
        <w:rPr>
          <w:rFonts w:eastAsia="Cambria"/>
          <w:lang w:val="en-US"/>
        </w:rPr>
        <w:t>3.</w:t>
      </w:r>
      <w:r w:rsidRPr="009B3048">
        <w:rPr>
          <w:rFonts w:eastAsia="Cambria"/>
          <w:lang w:val="en-US"/>
        </w:rPr>
        <w:tab/>
      </w:r>
      <w:r w:rsidR="001D6EBF" w:rsidRPr="009B3048">
        <w:rPr>
          <w:rFonts w:eastAsia="Cambria"/>
          <w:lang w:val="en-CA"/>
        </w:rPr>
        <w:t xml:space="preserve">On 22 September 2015, the Special Rapporteur participated in a side-event on the protection of journalistic sources, held within the margins of the 2015 Human Dimension Implementation Meeting of the Organization for Security and Co-operation in Europe (OSCE), in Warsaw. </w:t>
      </w:r>
    </w:p>
    <w:p w:rsidR="001D6EBF" w:rsidRPr="009B3048" w:rsidRDefault="009B3048" w:rsidP="009B3048">
      <w:pPr>
        <w:pStyle w:val="SingleTxtG"/>
        <w:rPr>
          <w:rFonts w:eastAsia="Cambria"/>
          <w:lang w:val="en-CA"/>
        </w:rPr>
      </w:pPr>
      <w:r w:rsidRPr="009B3048">
        <w:rPr>
          <w:rFonts w:eastAsia="Cambria"/>
          <w:lang w:val="en-US"/>
        </w:rPr>
        <w:t>4.</w:t>
      </w:r>
      <w:r w:rsidRPr="009B3048">
        <w:rPr>
          <w:rFonts w:eastAsia="Cambria"/>
          <w:lang w:val="en-US"/>
        </w:rPr>
        <w:tab/>
      </w:r>
      <w:r w:rsidR="001D6EBF" w:rsidRPr="009B3048">
        <w:rPr>
          <w:rFonts w:eastAsia="Cambria"/>
          <w:lang w:val="en-CA"/>
        </w:rPr>
        <w:t xml:space="preserve">On 26 October 2015, the Special Rapporteur presented to the General Assembly his report on the negative impact of counter-terrorism legislation and other measures on civil society (A/70/371). The Special Rapporteur also held an interactive dialogue with the General Assembly on the report. </w:t>
      </w:r>
    </w:p>
    <w:p w:rsidR="001D6EBF" w:rsidRPr="009B3048" w:rsidRDefault="009B3048" w:rsidP="009B3048">
      <w:pPr>
        <w:pStyle w:val="SingleTxtG"/>
        <w:rPr>
          <w:rFonts w:eastAsia="Cambria"/>
          <w:lang w:val="en-CA"/>
        </w:rPr>
      </w:pPr>
      <w:r w:rsidRPr="009B3048">
        <w:rPr>
          <w:rFonts w:eastAsia="Cambria"/>
          <w:lang w:val="en-US"/>
        </w:rPr>
        <w:t>5.</w:t>
      </w:r>
      <w:r w:rsidRPr="009B3048">
        <w:rPr>
          <w:rFonts w:eastAsia="Cambria"/>
          <w:lang w:val="en-US"/>
        </w:rPr>
        <w:tab/>
      </w:r>
      <w:r w:rsidR="001D6EBF" w:rsidRPr="009B3048">
        <w:rPr>
          <w:rFonts w:eastAsia="Cambria"/>
          <w:lang w:val="en-CA"/>
        </w:rPr>
        <w:t xml:space="preserve">On 8 February 2016, the Special Rapporteur participated in the “Counterterrorism and human rights symposium: Assessing the consequences of counterterrorism laws and procedures on the French society and civil liberties”, organized by Human Rights Watch, the International Federation for Human Rights, Amnesty International and the Human Rights League in Paris. </w:t>
      </w:r>
    </w:p>
    <w:p w:rsidR="001D6EBF" w:rsidRPr="009B3048" w:rsidRDefault="009B3048" w:rsidP="009B3048">
      <w:pPr>
        <w:pStyle w:val="SingleTxtG"/>
        <w:rPr>
          <w:rFonts w:eastAsia="Cambria"/>
          <w:lang w:val="en-CA"/>
        </w:rPr>
      </w:pPr>
      <w:r w:rsidRPr="009B3048">
        <w:rPr>
          <w:rFonts w:eastAsia="Cambria"/>
          <w:lang w:val="en-US"/>
        </w:rPr>
        <w:t>6.</w:t>
      </w:r>
      <w:r w:rsidRPr="009B3048">
        <w:rPr>
          <w:rFonts w:eastAsia="Cambria"/>
          <w:lang w:val="en-US"/>
        </w:rPr>
        <w:tab/>
      </w:r>
      <w:r w:rsidR="001D6EBF" w:rsidRPr="009B3048">
        <w:rPr>
          <w:rFonts w:eastAsia="Cambria"/>
          <w:lang w:val="en-CA"/>
        </w:rPr>
        <w:t>On 11 February 2016, the Special Rapporteur participated by videoconference in the “Conference on the Promotion and Protection of Human Rights of Victims of Terrorism”, organized by the United Nations Counter-Terrorism Centre’s (UNCCT) under the auspices of the Counter-Terrorism Implementation Task Force (CTITF) Working Group on Supporting and Highlighting Victims of Terrorism, held in New York, United States of America.</w:t>
      </w:r>
    </w:p>
    <w:p w:rsidR="001D6EBF" w:rsidRPr="009B3048" w:rsidRDefault="009B3048" w:rsidP="009B3048">
      <w:pPr>
        <w:pStyle w:val="SingleTxtG"/>
        <w:rPr>
          <w:rFonts w:eastAsia="Cambria"/>
          <w:lang w:val="en-CA"/>
        </w:rPr>
      </w:pPr>
      <w:r w:rsidRPr="009B3048">
        <w:rPr>
          <w:rFonts w:eastAsia="Cambria"/>
          <w:lang w:val="en-US"/>
        </w:rPr>
        <w:t>7.</w:t>
      </w:r>
      <w:r w:rsidRPr="009B3048">
        <w:rPr>
          <w:rFonts w:eastAsia="Cambria"/>
          <w:lang w:val="en-US"/>
        </w:rPr>
        <w:tab/>
      </w:r>
      <w:r w:rsidR="001D6EBF" w:rsidRPr="009B3048">
        <w:rPr>
          <w:rFonts w:eastAsia="Cambria"/>
          <w:lang w:val="en-CA"/>
        </w:rPr>
        <w:t>The Special Rapporteur continued to take action</w:t>
      </w:r>
      <w:r w:rsidR="008F219A" w:rsidRPr="009B3048">
        <w:rPr>
          <w:rFonts w:eastAsia="Cambria"/>
          <w:lang w:val="en-CA"/>
        </w:rPr>
        <w:t xml:space="preserve"> </w:t>
      </w:r>
      <w:r w:rsidR="001D6EBF" w:rsidRPr="009B3048">
        <w:rPr>
          <w:rFonts w:eastAsia="Cambria"/>
          <w:lang w:val="en-CA"/>
        </w:rPr>
        <w:t xml:space="preserve">in response to communications, concerns and allegations received from individuals and organizations. He continued to pursue dialogue with Governments, including by sending requests for official visits. He regrets that despite long-standing requests, invitations were not received during the period under consideration. </w:t>
      </w:r>
    </w:p>
    <w:p w:rsidR="00464BAD" w:rsidRPr="009B3048" w:rsidRDefault="002C58C4" w:rsidP="00464BAD">
      <w:pPr>
        <w:pStyle w:val="HChG"/>
      </w:pPr>
      <w:bookmarkStart w:id="9" w:name="_Toc433579666"/>
      <w:bookmarkStart w:id="10" w:name="_Toc437186754"/>
      <w:bookmarkStart w:id="11" w:name="_Toc437187396"/>
      <w:bookmarkStart w:id="12" w:name="_Toc437599732"/>
      <w:r w:rsidRPr="009B3048">
        <w:rPr>
          <w:rFonts w:eastAsia="Cambria"/>
          <w:color w:val="FF0000"/>
          <w:lang w:val="en-CA"/>
        </w:rPr>
        <w:tab/>
      </w:r>
      <w:r w:rsidRPr="009B3048">
        <w:rPr>
          <w:rFonts w:eastAsia="Cambria"/>
          <w:lang w:val="en-CA"/>
        </w:rPr>
        <w:t>III.</w:t>
      </w:r>
      <w:r w:rsidRPr="009B3048">
        <w:rPr>
          <w:rFonts w:eastAsia="Cambria"/>
          <w:lang w:val="en-CA"/>
        </w:rPr>
        <w:tab/>
      </w:r>
      <w:r w:rsidR="00464BAD" w:rsidRPr="009B3048">
        <w:t>Preventing and Countering Violent Extremism: A Human Rights Assessment</w:t>
      </w:r>
    </w:p>
    <w:p w:rsidR="00464BAD" w:rsidRPr="009B3048" w:rsidRDefault="009B3048" w:rsidP="009B3048">
      <w:pPr>
        <w:pStyle w:val="SingleTxtG"/>
        <w:rPr>
          <w:b/>
        </w:rPr>
      </w:pPr>
      <w:bookmarkStart w:id="13" w:name="_Toc433579667"/>
      <w:bookmarkStart w:id="14" w:name="_Toc437186755"/>
      <w:bookmarkStart w:id="15" w:name="_Toc437187397"/>
      <w:bookmarkStart w:id="16" w:name="_Toc437599733"/>
      <w:bookmarkEnd w:id="9"/>
      <w:bookmarkEnd w:id="10"/>
      <w:bookmarkEnd w:id="11"/>
      <w:bookmarkEnd w:id="12"/>
      <w:r w:rsidRPr="009B3048">
        <w:rPr>
          <w:lang w:val="en-US"/>
        </w:rPr>
        <w:t>8.</w:t>
      </w:r>
      <w:r w:rsidRPr="009B3048">
        <w:rPr>
          <w:lang w:val="en-US"/>
        </w:rPr>
        <w:tab/>
      </w:r>
      <w:r w:rsidR="00464BAD" w:rsidRPr="009B3048">
        <w:t>On 7 January 2016, the United Nations Secretary-General issued his Plan of Action to Prevent Violent Extremism.</w:t>
      </w:r>
      <w:r w:rsidR="00464BAD" w:rsidRPr="009B3048">
        <w:rPr>
          <w:rStyle w:val="EndnoteReference"/>
          <w:sz w:val="20"/>
        </w:rPr>
        <w:footnoteReference w:id="4"/>
      </w:r>
      <w:r w:rsidR="00464BAD" w:rsidRPr="009B3048">
        <w:rPr>
          <w:rStyle w:val="EndnoteReference"/>
          <w:sz w:val="20"/>
        </w:rPr>
        <w:t xml:space="preserve"> </w:t>
      </w:r>
      <w:r w:rsidR="00464BAD" w:rsidRPr="009B3048">
        <w:t>This key document, which comes almost ten years after the unanimous adoption by the General Assembly of the United Nations Global Counter-</w:t>
      </w:r>
      <w:r w:rsidR="00464BAD" w:rsidRPr="009B3048">
        <w:lastRenderedPageBreak/>
        <w:t>Terrorism Strategy</w:t>
      </w:r>
      <w:proofErr w:type="gramStart"/>
      <w:r w:rsidR="00464BAD" w:rsidRPr="009B3048">
        <w:t>,</w:t>
      </w:r>
      <w:proofErr w:type="gramEnd"/>
      <w:r w:rsidR="00464BAD" w:rsidRPr="009B3048">
        <w:rPr>
          <w:rStyle w:val="EndnoteReference"/>
          <w:sz w:val="20"/>
        </w:rPr>
        <w:footnoteReference w:id="5"/>
      </w:r>
      <w:r w:rsidR="00464BAD" w:rsidRPr="009B3048">
        <w:rPr>
          <w:rStyle w:val="EndnoteReference"/>
          <w:sz w:val="20"/>
        </w:rPr>
        <w:t xml:space="preserve"> </w:t>
      </w:r>
      <w:r w:rsidR="00464BAD" w:rsidRPr="009B3048">
        <w:t>contains more than 70 comprehensive recommendations for national, regional and international action. It recognises that attempts to address violent extremism through security-based counter-terrorism measures have been insufficient to prevent the emergence of new, more virulent, violent extremist groups. The Secretary-General’s focus now on preventive measures builds on comments he made in September 2014, which noted the “dramatic evolution in the nature of the terrorist threat” involving “violent extremists who thrive in conditions of insecurity and injustice, fragility and failed leadership”.  He stressed that an effective response must focus on “the underlying conditions that provide violent extremist groups the opportunity to take root” by providing opportunities for education, employment and inclusion, while engendering respect for human rights, the rule of law and good governance.</w:t>
      </w:r>
      <w:r w:rsidR="00464BAD" w:rsidRPr="009B3048">
        <w:rPr>
          <w:rStyle w:val="EndnoteReference"/>
          <w:sz w:val="20"/>
        </w:rPr>
        <w:footnoteReference w:id="6"/>
      </w:r>
      <w:r w:rsidR="00464BAD" w:rsidRPr="009B3048">
        <w:rPr>
          <w:rStyle w:val="EndnoteReference"/>
          <w:sz w:val="20"/>
        </w:rPr>
        <w:t xml:space="preserve"> </w:t>
      </w:r>
      <w:r w:rsidR="00464BAD" w:rsidRPr="009B3048">
        <w:t>In January 2016, the UN High Commissioner for Human Rights noted that the central challenge for human rights in 2016 was ensuring that governments continue to support a human rights agenda despite the rise of violent extremism and extremist thinking. Importantly, he noted that any more repressive approach would have the reverse effect of reinforcing the narrative of extremist ideologies</w:t>
      </w:r>
      <w:r w:rsidR="00464BAD" w:rsidRPr="009B3048">
        <w:rPr>
          <w:rStyle w:val="EndnoteReference"/>
          <w:sz w:val="20"/>
        </w:rPr>
        <w:t>.</w:t>
      </w:r>
      <w:r w:rsidR="00464BAD" w:rsidRPr="009B3048">
        <w:rPr>
          <w:rStyle w:val="EndnoteReference"/>
          <w:sz w:val="20"/>
        </w:rPr>
        <w:footnoteReference w:id="7"/>
      </w:r>
      <w:r w:rsidR="00464BAD" w:rsidRPr="009B3048">
        <w:rPr>
          <w:rStyle w:val="EndnoteReference"/>
          <w:sz w:val="20"/>
        </w:rPr>
        <w:t xml:space="preserve"> </w:t>
      </w:r>
      <w:r w:rsidR="00464BAD" w:rsidRPr="009B3048">
        <w:t xml:space="preserve">Both the Secretary-General’s approach to violent extremism and the High Commissioner’s remarks encapsulate some of the complex issues which are central to this report. </w:t>
      </w:r>
    </w:p>
    <w:p w:rsidR="00464BAD" w:rsidRPr="009B3048" w:rsidRDefault="009B3048" w:rsidP="009B3048">
      <w:pPr>
        <w:pStyle w:val="SingleTxtG"/>
        <w:rPr>
          <w:b/>
        </w:rPr>
      </w:pPr>
      <w:r w:rsidRPr="009B3048">
        <w:rPr>
          <w:lang w:val="en-US"/>
        </w:rPr>
        <w:t>9.</w:t>
      </w:r>
      <w:r w:rsidRPr="009B3048">
        <w:rPr>
          <w:lang w:val="en-US"/>
        </w:rPr>
        <w:tab/>
      </w:r>
      <w:r w:rsidR="00464BAD" w:rsidRPr="009B3048">
        <w:t>The demonstrable inadequacy of a strict security approach to countering terrorism</w:t>
      </w:r>
      <w:r w:rsidR="00464BAD" w:rsidRPr="009B3048">
        <w:rPr>
          <w:rStyle w:val="EndnoteReference"/>
          <w:sz w:val="20"/>
        </w:rPr>
        <w:footnoteReference w:id="8"/>
      </w:r>
      <w:r w:rsidR="00464BAD" w:rsidRPr="009B3048">
        <w:rPr>
          <w:rStyle w:val="EndnoteReference"/>
          <w:sz w:val="20"/>
        </w:rPr>
        <w:t xml:space="preserve"> </w:t>
      </w:r>
      <w:r w:rsidR="00464BAD" w:rsidRPr="009B3048">
        <w:t>has precipitated a shift in the international community’s focus, towards measures targeted at addressing the underlying grievances that foster violent extremism. Though not an entirely novel approach</w:t>
      </w:r>
      <w:r w:rsidR="00464BAD" w:rsidRPr="009B3048">
        <w:rPr>
          <w:rStyle w:val="EndnoteReference"/>
          <w:sz w:val="20"/>
        </w:rPr>
        <w:footnoteReference w:id="9"/>
      </w:r>
      <w:r w:rsidR="00464BAD" w:rsidRPr="009B3048">
        <w:t>, the recent proliferation of initiatives at the international, regional and national levels demonstrate the issue’s increasing significance on the global agenda.  In addition to UN-led policy work, a few important examples include the February 2015 White House Summit on Countering Violent Extremism</w:t>
      </w:r>
      <w:r w:rsidR="00464BAD" w:rsidRPr="009B3048">
        <w:rPr>
          <w:rStyle w:val="EndnoteReference"/>
          <w:sz w:val="20"/>
        </w:rPr>
        <w:footnoteReference w:id="10"/>
      </w:r>
      <w:r w:rsidR="00464BAD" w:rsidRPr="009B3048">
        <w:rPr>
          <w:rStyle w:val="EndnoteReference"/>
          <w:sz w:val="20"/>
        </w:rPr>
        <w:t xml:space="preserve">, </w:t>
      </w:r>
      <w:r w:rsidR="00464BAD" w:rsidRPr="009B3048">
        <w:t>the September 2015 Leaders’ Summit to Counter ISIL and Violent Extremism,</w:t>
      </w:r>
      <w:r w:rsidR="00464BAD" w:rsidRPr="009B3048">
        <w:rPr>
          <w:rStyle w:val="EndnoteReference"/>
          <w:sz w:val="20"/>
        </w:rPr>
        <w:footnoteReference w:id="11"/>
      </w:r>
      <w:r w:rsidR="00464BAD" w:rsidRPr="009B3048">
        <w:t xml:space="preserve"> and the establishment of The International Counterterrorism/Countering Violent Extremism Clearing-House Mechanism</w:t>
      </w:r>
      <w:r w:rsidR="00464BAD" w:rsidRPr="009B3048">
        <w:rPr>
          <w:rStyle w:val="EndnoteReference"/>
          <w:sz w:val="20"/>
        </w:rPr>
        <w:t>,</w:t>
      </w:r>
      <w:r w:rsidR="00464BAD" w:rsidRPr="009B3048">
        <w:rPr>
          <w:rStyle w:val="EndnoteReference"/>
          <w:sz w:val="20"/>
        </w:rPr>
        <w:footnoteReference w:id="12"/>
      </w:r>
      <w:r w:rsidR="00464BAD" w:rsidRPr="009B3048">
        <w:rPr>
          <w:rStyle w:val="EndnoteReference"/>
          <w:sz w:val="20"/>
        </w:rPr>
        <w:t xml:space="preserve"> </w:t>
      </w:r>
      <w:r w:rsidR="00464BAD" w:rsidRPr="009B3048">
        <w:t>along with various UNDP counter-extremism projects</w:t>
      </w:r>
      <w:r w:rsidR="00464BAD" w:rsidRPr="009B3048">
        <w:rPr>
          <w:rStyle w:val="EndnoteReference"/>
          <w:sz w:val="20"/>
        </w:rPr>
        <w:footnoteReference w:id="13"/>
      </w:r>
      <w:r w:rsidR="00464BAD" w:rsidRPr="009B3048">
        <w:rPr>
          <w:rStyle w:val="EndnoteReference"/>
          <w:sz w:val="20"/>
        </w:rPr>
        <w:t>.</w:t>
      </w:r>
      <w:r w:rsidR="00464BAD" w:rsidRPr="009B3048">
        <w:t xml:space="preserve"> At regional level, in </w:t>
      </w:r>
      <w:r w:rsidR="00464BAD" w:rsidRPr="009B3048">
        <w:lastRenderedPageBreak/>
        <w:t>December 2015 the OSCE adopted a Ministerial level Declaration on Preventing and Countering Violent Extremism and Radicalization that Lead to Terrorism</w:t>
      </w:r>
      <w:r w:rsidR="00464BAD" w:rsidRPr="009B3048">
        <w:rPr>
          <w:rStyle w:val="EndnoteReference"/>
          <w:sz w:val="20"/>
        </w:rPr>
        <w:footnoteReference w:id="14"/>
      </w:r>
      <w:r w:rsidR="00464BAD" w:rsidRPr="009B3048">
        <w:t xml:space="preserve"> and has started a campaign on the issue.</w:t>
      </w:r>
      <w:r w:rsidR="00464BAD" w:rsidRPr="009B3048">
        <w:rPr>
          <w:rStyle w:val="EndnoteReference"/>
          <w:sz w:val="20"/>
        </w:rPr>
        <w:footnoteReference w:id="15"/>
      </w:r>
      <w:r w:rsidR="00464BAD" w:rsidRPr="009B3048">
        <w:rPr>
          <w:rStyle w:val="EndnoteReference"/>
          <w:sz w:val="20"/>
        </w:rPr>
        <w:t xml:space="preserve"> </w:t>
      </w:r>
      <w:r w:rsidR="00464BAD" w:rsidRPr="009B3048">
        <w:t>A regularly updated EU Strategy on Prevention of Radicalization and Recruitment was first promulgated in 2005</w:t>
      </w:r>
      <w:proofErr w:type="gramStart"/>
      <w:r w:rsidR="00464BAD" w:rsidRPr="009B3048">
        <w:t>,</w:t>
      </w:r>
      <w:proofErr w:type="gramEnd"/>
      <w:r w:rsidR="00464BAD" w:rsidRPr="009B3048">
        <w:rPr>
          <w:rStyle w:val="EndnoteReference"/>
          <w:sz w:val="20"/>
        </w:rPr>
        <w:footnoteReference w:id="16"/>
      </w:r>
      <w:r w:rsidR="00464BAD" w:rsidRPr="009B3048">
        <w:rPr>
          <w:rStyle w:val="EndnoteReference"/>
          <w:sz w:val="20"/>
        </w:rPr>
        <w:t xml:space="preserve"> </w:t>
      </w:r>
      <w:r w:rsidR="00464BAD" w:rsidRPr="009B3048">
        <w:t>and in 2011, the Radicalization Awareness Network was set up as an EU-wide umbrella network of stakeholders.</w:t>
      </w:r>
      <w:r w:rsidR="00464BAD" w:rsidRPr="009B3048">
        <w:rPr>
          <w:rStyle w:val="EndnoteReference"/>
          <w:sz w:val="20"/>
        </w:rPr>
        <w:footnoteReference w:id="17"/>
      </w:r>
      <w:r w:rsidR="00464BAD" w:rsidRPr="009B3048">
        <w:rPr>
          <w:rStyle w:val="EndnoteReference"/>
          <w:sz w:val="20"/>
        </w:rPr>
        <w:t xml:space="preserve"> </w:t>
      </w:r>
      <w:r w:rsidR="00464BAD" w:rsidRPr="009B3048">
        <w:t>National initiatives include the United States’ 2011 Strategic Implementation Plan for Empowering Local Partners to Prevent Violent Extremism,</w:t>
      </w:r>
      <w:r w:rsidR="00464BAD" w:rsidRPr="009B3048">
        <w:rPr>
          <w:rStyle w:val="EndnoteReference"/>
          <w:sz w:val="20"/>
        </w:rPr>
        <w:footnoteReference w:id="18"/>
      </w:r>
      <w:r w:rsidR="00464BAD" w:rsidRPr="009B3048">
        <w:t xml:space="preserve"> the UK’s Prevent Strategy (2011), Nigeria’s Countering Violent Extremism Program (2014), and Norway’s </w:t>
      </w:r>
      <w:r w:rsidR="00464BAD" w:rsidRPr="009B3048">
        <w:rPr>
          <w:lang w:val="en-US"/>
        </w:rPr>
        <w:t xml:space="preserve">Action Plan </w:t>
      </w:r>
      <w:proofErr w:type="gramStart"/>
      <w:r w:rsidR="00464BAD" w:rsidRPr="009B3048">
        <w:rPr>
          <w:lang w:val="en-US"/>
        </w:rPr>
        <w:t>Against</w:t>
      </w:r>
      <w:proofErr w:type="gramEnd"/>
      <w:r w:rsidR="00464BAD" w:rsidRPr="009B3048">
        <w:rPr>
          <w:lang w:val="en-US"/>
        </w:rPr>
        <w:t xml:space="preserve"> </w:t>
      </w:r>
      <w:proofErr w:type="spellStart"/>
      <w:r w:rsidR="00464BAD" w:rsidRPr="009B3048">
        <w:rPr>
          <w:lang w:val="en-US"/>
        </w:rPr>
        <w:t>Radicalisation</w:t>
      </w:r>
      <w:proofErr w:type="spellEnd"/>
      <w:r w:rsidR="00464BAD" w:rsidRPr="009B3048">
        <w:rPr>
          <w:lang w:val="en-US"/>
        </w:rPr>
        <w:t xml:space="preserve"> and Violent Extremism (2014).</w:t>
      </w:r>
      <w:r w:rsidR="00464BAD" w:rsidRPr="009B3048">
        <w:t xml:space="preserve"> There are also a number of independent centres that address this topic, such as the Global Counter-Terrorism Forum (GCTF)</w:t>
      </w:r>
      <w:r w:rsidR="00464BAD" w:rsidRPr="009B3048">
        <w:rPr>
          <w:rStyle w:val="EndnoteReference"/>
          <w:sz w:val="20"/>
        </w:rPr>
        <w:footnoteReference w:id="19"/>
      </w:r>
      <w:r w:rsidR="00464BAD" w:rsidRPr="009B3048">
        <w:rPr>
          <w:rStyle w:val="EndnoteReference"/>
          <w:sz w:val="20"/>
        </w:rPr>
        <w:t>,</w:t>
      </w:r>
      <w:r w:rsidR="00464BAD" w:rsidRPr="009B3048">
        <w:t xml:space="preserve"> and </w:t>
      </w:r>
      <w:proofErr w:type="spellStart"/>
      <w:r w:rsidR="00464BAD" w:rsidRPr="009B3048">
        <w:t>Hedaya</w:t>
      </w:r>
      <w:proofErr w:type="spellEnd"/>
      <w:r w:rsidR="00464BAD" w:rsidRPr="009B3048">
        <w:t xml:space="preserve">, an independent, multilateral centre devoted to training, dialogue, collaboration, and research to counter violent extremism in all its forms. </w:t>
      </w:r>
    </w:p>
    <w:p w:rsidR="00464BAD" w:rsidRPr="009B3048" w:rsidRDefault="009B3048" w:rsidP="009B3048">
      <w:pPr>
        <w:pStyle w:val="SingleTxtG"/>
        <w:rPr>
          <w:b/>
          <w:sz w:val="22"/>
          <w:szCs w:val="22"/>
        </w:rPr>
      </w:pPr>
      <w:r w:rsidRPr="009B3048">
        <w:rPr>
          <w:lang w:val="en-US"/>
        </w:rPr>
        <w:t>10.</w:t>
      </w:r>
      <w:r w:rsidRPr="009B3048">
        <w:rPr>
          <w:sz w:val="22"/>
          <w:szCs w:val="22"/>
          <w:lang w:val="en-US"/>
        </w:rPr>
        <w:tab/>
      </w:r>
      <w:r w:rsidR="00464BAD" w:rsidRPr="009B3048">
        <w:t xml:space="preserve"> This report will focus on the human rights impact of measures adopted to prevent or counter violent extremism. Following a brief examination of key semantic and conceptual challenges, the report will examine the United Nations’ policy framework on preventing and countering violent extremism and its impact on human rights. It will then focus on the human rights impact of measures adopted at the national level to counter </w:t>
      </w:r>
      <w:r w:rsidR="00BD16E9">
        <w:t>or prevent violent extremism</w:t>
      </w:r>
      <w:r w:rsidR="00464BAD" w:rsidRPr="009B3048">
        <w:t>, followed by an examination of the relationship between countering or preventing violent extremism and addressing the conditions conducive to terrorism or violent extremism, and gender. The report then draws conclusion</w:t>
      </w:r>
      <w:r w:rsidR="00BD16E9">
        <w:t>s and makes recommendations</w:t>
      </w:r>
      <w:r w:rsidR="00464BAD" w:rsidRPr="009B3048">
        <w:rPr>
          <w:sz w:val="22"/>
          <w:szCs w:val="22"/>
        </w:rPr>
        <w:t xml:space="preserve">. </w:t>
      </w:r>
    </w:p>
    <w:p w:rsidR="00FE4423" w:rsidRPr="009B3048" w:rsidRDefault="002C58C4" w:rsidP="002C58C4">
      <w:pPr>
        <w:pStyle w:val="H1G"/>
        <w:rPr>
          <w:rFonts w:eastAsia="Cambria"/>
          <w:lang w:val="en-CA"/>
        </w:rPr>
      </w:pPr>
      <w:bookmarkStart w:id="17" w:name="_Toc433579668"/>
      <w:bookmarkStart w:id="18" w:name="_Toc437186756"/>
      <w:bookmarkStart w:id="19" w:name="_Toc437187398"/>
      <w:bookmarkStart w:id="20" w:name="_Toc437599734"/>
      <w:bookmarkEnd w:id="13"/>
      <w:bookmarkEnd w:id="14"/>
      <w:bookmarkEnd w:id="15"/>
      <w:bookmarkEnd w:id="16"/>
      <w:r w:rsidRPr="009B3048">
        <w:rPr>
          <w:rFonts w:eastAsia="Cambria"/>
          <w:color w:val="FF0000"/>
          <w:lang w:val="en-CA"/>
        </w:rPr>
        <w:tab/>
      </w:r>
      <w:r w:rsidR="00464BAD" w:rsidRPr="009B3048">
        <w:rPr>
          <w:rFonts w:eastAsia="Cambria"/>
          <w:lang w:val="en-CA"/>
        </w:rPr>
        <w:t>A</w:t>
      </w:r>
      <w:r w:rsidRPr="009B3048">
        <w:rPr>
          <w:rFonts w:eastAsia="Cambria"/>
          <w:lang w:val="en-CA"/>
        </w:rPr>
        <w:t>.</w:t>
      </w:r>
      <w:r w:rsidRPr="009B3048">
        <w:rPr>
          <w:rFonts w:eastAsia="Cambria"/>
          <w:lang w:val="en-CA"/>
        </w:rPr>
        <w:tab/>
      </w:r>
      <w:r w:rsidR="00464BAD" w:rsidRPr="009B3048">
        <w:rPr>
          <w:rFonts w:eastAsia="Cambria"/>
          <w:lang w:val="en-CA"/>
        </w:rPr>
        <w:t xml:space="preserve">Semantic and Conceptual </w:t>
      </w:r>
      <w:bookmarkEnd w:id="17"/>
      <w:bookmarkEnd w:id="18"/>
      <w:bookmarkEnd w:id="19"/>
      <w:bookmarkEnd w:id="20"/>
    </w:p>
    <w:p w:rsidR="00615566" w:rsidRPr="009B3048" w:rsidRDefault="009B3048" w:rsidP="009B3048">
      <w:pPr>
        <w:pStyle w:val="SingleTxtG"/>
        <w:rPr>
          <w:b/>
        </w:rPr>
      </w:pPr>
      <w:r w:rsidRPr="009B3048">
        <w:rPr>
          <w:lang w:val="en-US"/>
        </w:rPr>
        <w:t>11.</w:t>
      </w:r>
      <w:r w:rsidRPr="009B3048">
        <w:rPr>
          <w:lang w:val="en-US"/>
        </w:rPr>
        <w:tab/>
      </w:r>
      <w:proofErr w:type="gramStart"/>
      <w:r w:rsidR="00615566" w:rsidRPr="009B3048">
        <w:t>Despite</w:t>
      </w:r>
      <w:proofErr w:type="gramEnd"/>
      <w:r w:rsidR="00615566" w:rsidRPr="009B3048">
        <w:t xml:space="preserve"> the numerous initiatives to prevent or counter violent extremism</w:t>
      </w:r>
      <w:r w:rsidR="00615566" w:rsidRPr="009B3048">
        <w:rPr>
          <w:rStyle w:val="EndnoteReference"/>
          <w:sz w:val="20"/>
        </w:rPr>
        <w:footnoteReference w:id="20"/>
      </w:r>
      <w:r w:rsidR="00615566" w:rsidRPr="009B3048">
        <w:rPr>
          <w:rStyle w:val="EndnoteReference"/>
          <w:sz w:val="20"/>
        </w:rPr>
        <w:t>,</w:t>
      </w:r>
      <w:r w:rsidR="00615566" w:rsidRPr="009B3048">
        <w:t xml:space="preserve"> there is no generally accepted definition of violent extremism, which remains an ‘elusive concept’</w:t>
      </w:r>
      <w:r w:rsidR="00615566" w:rsidRPr="009B3048">
        <w:rPr>
          <w:rStyle w:val="EndnoteReference"/>
          <w:sz w:val="20"/>
        </w:rPr>
        <w:footnoteReference w:id="21"/>
      </w:r>
      <w:r w:rsidR="00615566" w:rsidRPr="009B3048">
        <w:t xml:space="preserve">. At national level, a number of definitions are proposed: the Australian </w:t>
      </w:r>
      <w:r w:rsidR="00615566" w:rsidRPr="009B3048">
        <w:lastRenderedPageBreak/>
        <w:t xml:space="preserve">Government </w:t>
      </w:r>
      <w:r w:rsidR="00615566" w:rsidRPr="009B3048">
        <w:rPr>
          <w:lang w:val="en-US"/>
        </w:rPr>
        <w:t>deems violent extremism to be “the use or support of violence to achieve ideological, religious or political goals”</w:t>
      </w:r>
      <w:r w:rsidR="00615566" w:rsidRPr="009B3048">
        <w:rPr>
          <w:rStyle w:val="EndnoteReference"/>
          <w:sz w:val="20"/>
        </w:rPr>
        <w:footnoteReference w:id="22"/>
      </w:r>
      <w:r w:rsidR="00615566" w:rsidRPr="009B3048">
        <w:rPr>
          <w:rStyle w:val="EndnoteReference"/>
          <w:sz w:val="20"/>
        </w:rPr>
        <w:t>;</w:t>
      </w:r>
      <w:r w:rsidR="00615566" w:rsidRPr="009B3048">
        <w:rPr>
          <w:lang w:val="en-US"/>
        </w:rPr>
        <w:t xml:space="preserve"> Norway defines it as activities of persons and groups that are willing to use violence in order to achieve political, ideological or religious goals;</w:t>
      </w:r>
      <w:r w:rsidR="00615566" w:rsidRPr="009B3048">
        <w:rPr>
          <w:rStyle w:val="EndnoteReference"/>
          <w:sz w:val="20"/>
        </w:rPr>
        <w:footnoteReference w:id="23"/>
      </w:r>
      <w:r w:rsidR="00615566" w:rsidRPr="009B3048">
        <w:rPr>
          <w:rStyle w:val="EndnoteReference"/>
          <w:sz w:val="20"/>
        </w:rPr>
        <w:t xml:space="preserve"> </w:t>
      </w:r>
      <w:r w:rsidR="00615566" w:rsidRPr="009B3048">
        <w:rPr>
          <w:lang w:val="en-US"/>
        </w:rPr>
        <w:t>and Sweden defines a</w:t>
      </w:r>
      <w:r w:rsidR="00615566" w:rsidRPr="009B3048">
        <w:t xml:space="preserve"> violent extremist as someone “deemed repeatedly to have displayed behaviour that does not just accept the use of violence but also supports or exercises ideologically motivated violence to promote something”.</w:t>
      </w:r>
      <w:r w:rsidR="00615566" w:rsidRPr="009B3048">
        <w:rPr>
          <w:rStyle w:val="EndnoteReference"/>
          <w:sz w:val="20"/>
        </w:rPr>
        <w:footnoteReference w:id="24"/>
      </w:r>
      <w:r w:rsidR="00615566" w:rsidRPr="009B3048">
        <w:rPr>
          <w:rStyle w:val="EndnoteReference"/>
          <w:sz w:val="20"/>
        </w:rPr>
        <w:t xml:space="preserve"> </w:t>
      </w:r>
    </w:p>
    <w:p w:rsidR="00615566" w:rsidRPr="009B3048" w:rsidRDefault="009B3048" w:rsidP="009B3048">
      <w:pPr>
        <w:pStyle w:val="SingleTxtG"/>
        <w:rPr>
          <w:b/>
        </w:rPr>
      </w:pPr>
      <w:r w:rsidRPr="009B3048">
        <w:rPr>
          <w:lang w:val="en-US"/>
        </w:rPr>
        <w:t>12.</w:t>
      </w:r>
      <w:r w:rsidRPr="009B3048">
        <w:rPr>
          <w:lang w:val="en-US"/>
        </w:rPr>
        <w:tab/>
      </w:r>
      <w:r w:rsidR="00615566" w:rsidRPr="009B3048">
        <w:t>In the United Kingdom extremism is defined as</w:t>
      </w:r>
      <w:r w:rsidR="00615566" w:rsidRPr="009B3048">
        <w:rPr>
          <w:lang w:val="en-US"/>
        </w:rPr>
        <w:t xml:space="preserve"> the vocal or active opposition to fundamental values, including democracy, the rule of law, individual liberty and the mutual respect and tolerance of different faiths and beliefs, as well as calls for the death of UK armed forces at home or abroad.</w:t>
      </w:r>
      <w:r w:rsidR="00615566" w:rsidRPr="009B3048">
        <w:rPr>
          <w:rStyle w:val="EndnoteReference"/>
          <w:sz w:val="20"/>
        </w:rPr>
        <w:footnoteReference w:id="25"/>
      </w:r>
      <w:r w:rsidR="00615566" w:rsidRPr="009B3048">
        <w:rPr>
          <w:lang w:val="en-US"/>
        </w:rPr>
        <w:t xml:space="preserve"> </w:t>
      </w:r>
      <w:r w:rsidR="00615566" w:rsidRPr="009B3048">
        <w:t xml:space="preserve">In Denmark, extremism is used to describe </w:t>
      </w:r>
      <w:r w:rsidR="00615566" w:rsidRPr="009B3048">
        <w:rPr>
          <w:lang w:val="en-US"/>
        </w:rPr>
        <w:t>groups</w:t>
      </w:r>
      <w:r w:rsidR="00615566" w:rsidRPr="009B3048">
        <w:t xml:space="preserve"> that can be characterised by their simplistic views of the world and of “the enemy</w:t>
      </w:r>
      <w:proofErr w:type="gramStart"/>
      <w:r w:rsidR="00615566" w:rsidRPr="009B3048">
        <w:t>”, that</w:t>
      </w:r>
      <w:proofErr w:type="gramEnd"/>
      <w:r w:rsidR="00615566" w:rsidRPr="009B3048">
        <w:t xml:space="preserve"> reject fundamental democratic values and norms, and use illegal and possibly violent methods to achieve political/religious ideological goals.</w:t>
      </w:r>
      <w:r w:rsidR="00615566" w:rsidRPr="009B3048">
        <w:rPr>
          <w:rStyle w:val="EndnoteReference"/>
          <w:sz w:val="20"/>
        </w:rPr>
        <w:footnoteReference w:id="26"/>
      </w:r>
      <w:r w:rsidR="00615566" w:rsidRPr="009B3048">
        <w:t xml:space="preserve"> </w:t>
      </w:r>
      <w:r w:rsidR="00615566" w:rsidRPr="009B3048">
        <w:rPr>
          <w:lang w:val="en-US"/>
        </w:rPr>
        <w:t xml:space="preserve"> These extensive definitions demonstrate the breadth of States’ approach to extremism.</w:t>
      </w:r>
    </w:p>
    <w:p w:rsidR="00615566" w:rsidRPr="009B3048" w:rsidRDefault="009B3048" w:rsidP="009B3048">
      <w:pPr>
        <w:pStyle w:val="SingleTxtG"/>
        <w:rPr>
          <w:b/>
        </w:rPr>
      </w:pPr>
      <w:r w:rsidRPr="009B3048">
        <w:rPr>
          <w:lang w:val="en-US"/>
        </w:rPr>
        <w:t>13.</w:t>
      </w:r>
      <w:r w:rsidRPr="009B3048">
        <w:rPr>
          <w:lang w:val="en-US"/>
        </w:rPr>
        <w:tab/>
      </w:r>
      <w:r w:rsidR="00615566" w:rsidRPr="009B3048">
        <w:t>Conceptually, it has been challenging to differentiate between violent extremism and terrorism, with the two terms often used interchangeably and without a clear delineation of the boundaries between them</w:t>
      </w:r>
      <w:r w:rsidR="00615566" w:rsidRPr="009B3048">
        <w:rPr>
          <w:lang w:val="en-US"/>
        </w:rPr>
        <w:t>.</w:t>
      </w:r>
      <w:r w:rsidR="00615566" w:rsidRPr="009B3048">
        <w:rPr>
          <w:rStyle w:val="EndnoteReference"/>
          <w:sz w:val="20"/>
        </w:rPr>
        <w:footnoteReference w:id="27"/>
      </w:r>
      <w:r w:rsidR="00615566" w:rsidRPr="009B3048">
        <w:rPr>
          <w:lang w:val="en-US"/>
        </w:rPr>
        <w:t xml:space="preserve"> </w:t>
      </w:r>
      <w:r w:rsidR="00615566" w:rsidRPr="009B3048">
        <w:t>The position of the UN Secretary-General is that “violent extremism encompasses a wider category of manifestations [than terrorism]”</w:t>
      </w:r>
      <w:r w:rsidR="00615566" w:rsidRPr="009B3048">
        <w:rPr>
          <w:rStyle w:val="EndnoteReference"/>
          <w:sz w:val="20"/>
        </w:rPr>
        <w:footnoteReference w:id="28"/>
      </w:r>
      <w:r w:rsidR="00615566" w:rsidRPr="009B3048">
        <w:rPr>
          <w:rStyle w:val="EndnoteReference"/>
          <w:sz w:val="20"/>
        </w:rPr>
        <w:t>,</w:t>
      </w:r>
      <w:r w:rsidR="00615566" w:rsidRPr="009B3048">
        <w:t xml:space="preserve"> since it includes other forms of ideologically-motivated violence.</w:t>
      </w:r>
      <w:r w:rsidR="00615566" w:rsidRPr="009B3048">
        <w:rPr>
          <w:rStyle w:val="EndnoteReference"/>
          <w:sz w:val="20"/>
        </w:rPr>
        <w:footnoteReference w:id="29"/>
      </w:r>
      <w:r w:rsidR="00615566" w:rsidRPr="009B3048">
        <w:rPr>
          <w:rStyle w:val="EndnoteReference"/>
          <w:sz w:val="20"/>
        </w:rPr>
        <w:t xml:space="preserve"> </w:t>
      </w:r>
      <w:r w:rsidR="00615566" w:rsidRPr="009B3048">
        <w:t>At the same time, the conditions conducive to violent extremism identified in the Secretary-General’s Plan of Action, and the conditions conducive to terrorism identified in Pillar I of the Global Counter-Terrorism Strategy are almost identical. It is noteworthy that – at the international level at least – countering violent extremism is mainly addressed in the context of combating terrorism.</w:t>
      </w:r>
      <w:r w:rsidR="00615566" w:rsidRPr="009B3048">
        <w:rPr>
          <w:rStyle w:val="EndnoteReference"/>
          <w:sz w:val="20"/>
        </w:rPr>
        <w:footnoteReference w:id="30"/>
      </w:r>
    </w:p>
    <w:p w:rsidR="00615566" w:rsidRPr="009B3048" w:rsidRDefault="009B3048" w:rsidP="009B3048">
      <w:pPr>
        <w:pStyle w:val="SingleTxtG"/>
        <w:rPr>
          <w:b/>
        </w:rPr>
      </w:pPr>
      <w:r w:rsidRPr="009B3048">
        <w:rPr>
          <w:lang w:val="en-US"/>
        </w:rPr>
        <w:t>14.</w:t>
      </w:r>
      <w:r w:rsidRPr="009B3048">
        <w:rPr>
          <w:lang w:val="en-US"/>
        </w:rPr>
        <w:tab/>
      </w:r>
      <w:r w:rsidR="00615566" w:rsidRPr="009B3048">
        <w:t xml:space="preserve">A further conceptual challenge relates to our understanding of the “radicalisation process” through which individuals adopt violent extremist ideologies that may lead them </w:t>
      </w:r>
      <w:r w:rsidR="00615566" w:rsidRPr="009B3048">
        <w:lastRenderedPageBreak/>
        <w:t>to commit acts of terrorism, or that makes them vulnerable to recruitment by terrorist organisations.</w:t>
      </w:r>
      <w:r w:rsidR="00615566" w:rsidRPr="009B3048">
        <w:rPr>
          <w:rStyle w:val="EndnoteReference"/>
          <w:sz w:val="20"/>
        </w:rPr>
        <w:footnoteReference w:id="31"/>
      </w:r>
    </w:p>
    <w:p w:rsidR="00615566" w:rsidRPr="009B3048" w:rsidRDefault="009B3048" w:rsidP="009B3048">
      <w:pPr>
        <w:pStyle w:val="SingleTxtG"/>
        <w:rPr>
          <w:b/>
        </w:rPr>
      </w:pPr>
      <w:r w:rsidRPr="009B3048">
        <w:rPr>
          <w:lang w:val="en-US"/>
        </w:rPr>
        <w:t>15.</w:t>
      </w:r>
      <w:r w:rsidRPr="009B3048">
        <w:rPr>
          <w:lang w:val="en-US"/>
        </w:rPr>
        <w:tab/>
      </w:r>
      <w:r w:rsidR="00615566" w:rsidRPr="009B3048">
        <w:t>Many programmes directed at radicalisation are based on a simplistic understanding of the process as a fixed trajectory to violent extremism with identifiable markers along the way.</w:t>
      </w:r>
      <w:r w:rsidR="00615566" w:rsidRPr="009B3048">
        <w:rPr>
          <w:rStyle w:val="EndnoteReference"/>
          <w:sz w:val="20"/>
        </w:rPr>
        <w:footnoteReference w:id="32"/>
      </w:r>
      <w:r w:rsidR="00615566" w:rsidRPr="009B3048">
        <w:rPr>
          <w:rStyle w:val="EndnoteReference"/>
          <w:sz w:val="20"/>
        </w:rPr>
        <w:t xml:space="preserve"> </w:t>
      </w:r>
      <w:r w:rsidR="00615566" w:rsidRPr="009B3048">
        <w:t>That has sometimes elided factors that are recognised in hindsight as having contributed to an individual’s radicalisation with predictive markers of general application. A more accurate understanding is that the path to radicalisation is individualised</w:t>
      </w:r>
      <w:r w:rsidR="00615566" w:rsidRPr="009B3048">
        <w:rPr>
          <w:rStyle w:val="EndnoteReference"/>
          <w:sz w:val="20"/>
        </w:rPr>
        <w:footnoteReference w:id="33"/>
      </w:r>
      <w:r w:rsidR="00615566" w:rsidRPr="009B3048">
        <w:t xml:space="preserve"> and non-linear, with a number of common ‘push’ and ‘pull’ factors but no single determining feature.</w:t>
      </w:r>
      <w:r w:rsidR="00615566" w:rsidRPr="009B3048">
        <w:rPr>
          <w:rStyle w:val="EndnoteReference"/>
          <w:sz w:val="20"/>
        </w:rPr>
        <w:footnoteReference w:id="34"/>
      </w:r>
      <w:r w:rsidR="00615566" w:rsidRPr="009B3048">
        <w:rPr>
          <w:rStyle w:val="EndnoteReference"/>
          <w:sz w:val="20"/>
        </w:rPr>
        <w:t xml:space="preserve"> </w:t>
      </w:r>
      <w:r w:rsidR="00615566" w:rsidRPr="009B3048">
        <w:t>A confluence of issues at local, national and supranational level may all play a part in promoting or avoiding radicalisation and, when considering influencing factors, States have tended to focus on those that are most appealing to them, shying away from the more complex issues, including political issues such as foreign policy and transnational conflicts.</w:t>
      </w:r>
      <w:r w:rsidR="00615566" w:rsidRPr="009B3048">
        <w:rPr>
          <w:rStyle w:val="EndnoteReference"/>
          <w:sz w:val="20"/>
        </w:rPr>
        <w:footnoteReference w:id="35"/>
      </w:r>
      <w:r w:rsidR="00615566" w:rsidRPr="009B3048">
        <w:rPr>
          <w:rStyle w:val="EndnoteReference"/>
          <w:sz w:val="20"/>
        </w:rPr>
        <w:t xml:space="preserve"> </w:t>
      </w:r>
      <w:r w:rsidR="00615566" w:rsidRPr="009B3048">
        <w:t>Commentators have noted that there can be too much focus on religious ideology as the driver of terrorism and extremism</w:t>
      </w:r>
      <w:r w:rsidR="00615566" w:rsidRPr="009B3048">
        <w:rPr>
          <w:rStyle w:val="EndnoteReference"/>
          <w:sz w:val="20"/>
        </w:rPr>
        <w:footnoteReference w:id="36"/>
      </w:r>
      <w:r w:rsidR="00615566" w:rsidRPr="009B3048">
        <w:rPr>
          <w:rStyle w:val="EndnoteReference"/>
          <w:sz w:val="20"/>
        </w:rPr>
        <w:t>,</w:t>
      </w:r>
      <w:r w:rsidR="00615566" w:rsidRPr="009B3048">
        <w:t xml:space="preserve"> while factors related to identity,</w:t>
      </w:r>
      <w:r w:rsidR="00615566" w:rsidRPr="009B3048">
        <w:rPr>
          <w:rStyle w:val="EndnoteReference"/>
          <w:sz w:val="20"/>
        </w:rPr>
        <w:footnoteReference w:id="37"/>
      </w:r>
      <w:r w:rsidR="00615566" w:rsidRPr="009B3048">
        <w:t xml:space="preserve"> or misguided altruism, are overlooked.</w:t>
      </w:r>
      <w:r w:rsidR="00615566" w:rsidRPr="009B3048">
        <w:rPr>
          <w:rStyle w:val="EndnoteReference"/>
          <w:sz w:val="20"/>
        </w:rPr>
        <w:footnoteReference w:id="38"/>
      </w:r>
      <w:r w:rsidR="00615566" w:rsidRPr="009B3048">
        <w:rPr>
          <w:rStyle w:val="EndnoteReference"/>
          <w:sz w:val="20"/>
        </w:rPr>
        <w:t xml:space="preserve"> </w:t>
      </w:r>
    </w:p>
    <w:p w:rsidR="00615566" w:rsidRPr="009B3048" w:rsidRDefault="009B3048" w:rsidP="009B3048">
      <w:pPr>
        <w:pStyle w:val="SingleTxtG"/>
        <w:rPr>
          <w:b/>
        </w:rPr>
      </w:pPr>
      <w:r w:rsidRPr="009B3048">
        <w:rPr>
          <w:lang w:val="en-US"/>
        </w:rPr>
        <w:lastRenderedPageBreak/>
        <w:t>16.</w:t>
      </w:r>
      <w:r w:rsidRPr="009B3048">
        <w:rPr>
          <w:lang w:val="en-US"/>
        </w:rPr>
        <w:tab/>
      </w:r>
      <w:r w:rsidR="00615566" w:rsidRPr="009B3048">
        <w:t>The Secretary-General’s Plan of Action notes that there are no authoritative statistical data on the pathways towards individual radicalisation.</w:t>
      </w:r>
      <w:r w:rsidR="00615566" w:rsidRPr="009B3048">
        <w:rPr>
          <w:rStyle w:val="EndnoteReference"/>
          <w:sz w:val="20"/>
        </w:rPr>
        <w:footnoteReference w:id="39"/>
      </w:r>
      <w:r w:rsidR="00615566" w:rsidRPr="009B3048">
        <w:rPr>
          <w:rStyle w:val="EndnoteReference"/>
          <w:sz w:val="20"/>
        </w:rPr>
        <w:t xml:space="preserve"> </w:t>
      </w:r>
      <w:r w:rsidR="00615566" w:rsidRPr="009B3048">
        <w:t>Yet the Plan rightly acknowledges that violent extremism, while unjustifiable, does not occur in a vacuum.</w:t>
      </w:r>
      <w:r w:rsidR="00615566" w:rsidRPr="009B3048">
        <w:rPr>
          <w:rStyle w:val="EndnoteReference"/>
          <w:sz w:val="20"/>
        </w:rPr>
        <w:footnoteReference w:id="40"/>
      </w:r>
      <w:r w:rsidR="00615566" w:rsidRPr="009B3048">
        <w:t xml:space="preserve"> It notes that the creation of open, equitable, inclusive and pluralist societies, based on full respect for human rights and with economic opportunities for all, represents the most tangible and meaningful alternative to violent extremism and the most promising strategy for rendering it unattractive.</w:t>
      </w:r>
      <w:r w:rsidR="00615566" w:rsidRPr="009B3048">
        <w:rPr>
          <w:rStyle w:val="EndnoteReference"/>
          <w:sz w:val="20"/>
        </w:rPr>
        <w:footnoteReference w:id="41"/>
      </w:r>
      <w:r w:rsidR="00615566" w:rsidRPr="009B3048">
        <w:rPr>
          <w:rStyle w:val="EndnoteReference"/>
          <w:sz w:val="20"/>
        </w:rPr>
        <w:t xml:space="preserve"> </w:t>
      </w:r>
      <w:r w:rsidR="00615566" w:rsidRPr="009B3048">
        <w:t>In this respect, the Special Rapporteur notes with interest the GCTF’s Ankara Memorandum.</w:t>
      </w:r>
      <w:r w:rsidR="00615566" w:rsidRPr="009B3048">
        <w:rPr>
          <w:rStyle w:val="EndnoteReference"/>
          <w:sz w:val="20"/>
        </w:rPr>
        <w:footnoteReference w:id="42"/>
      </w:r>
    </w:p>
    <w:p w:rsidR="00615566" w:rsidRPr="009B3048" w:rsidRDefault="009B3048" w:rsidP="009B3048">
      <w:pPr>
        <w:pStyle w:val="SingleTxtG"/>
        <w:rPr>
          <w:b/>
          <w:sz w:val="22"/>
          <w:szCs w:val="22"/>
        </w:rPr>
      </w:pPr>
      <w:r w:rsidRPr="009B3048">
        <w:rPr>
          <w:sz w:val="22"/>
          <w:szCs w:val="22"/>
          <w:lang w:val="en-US"/>
        </w:rPr>
        <w:t>17.</w:t>
      </w:r>
      <w:r w:rsidRPr="009B3048">
        <w:rPr>
          <w:sz w:val="22"/>
          <w:szCs w:val="22"/>
          <w:lang w:val="en-US"/>
        </w:rPr>
        <w:tab/>
      </w:r>
      <w:r w:rsidR="00615566" w:rsidRPr="009B3048">
        <w:t>Countering violent extremism involves “the use of non-coercive means to dissuade individuals or groups from mobilizing towards violence and to mitigate recruitment, support, facilitation or engagement in ideologically motivated terrorism by non-state actors in furtherance of political objectives”.</w:t>
      </w:r>
      <w:r w:rsidR="00615566" w:rsidRPr="009B3048">
        <w:rPr>
          <w:rStyle w:val="EndnoteReference"/>
          <w:sz w:val="20"/>
        </w:rPr>
        <w:footnoteReference w:id="43"/>
      </w:r>
      <w:r w:rsidR="00615566" w:rsidRPr="009B3048">
        <w:rPr>
          <w:rStyle w:val="EndnoteReference"/>
          <w:sz w:val="20"/>
        </w:rPr>
        <w:t xml:space="preserve"> </w:t>
      </w:r>
      <w:r w:rsidR="00615566" w:rsidRPr="009B3048">
        <w:t>Though often characterised as the ‘soft’ cousin of counter-terrorism initiatives, strategies to counter violent extremism contain their own tangible risks for human rights</w:t>
      </w:r>
      <w:r w:rsidR="00615566" w:rsidRPr="009B3048">
        <w:rPr>
          <w:sz w:val="22"/>
          <w:szCs w:val="22"/>
        </w:rPr>
        <w:t>.</w:t>
      </w:r>
    </w:p>
    <w:p w:rsidR="00FE4423" w:rsidRPr="009B3048" w:rsidRDefault="002C58C4" w:rsidP="002C58C4">
      <w:pPr>
        <w:pStyle w:val="H1G"/>
        <w:rPr>
          <w:rFonts w:eastAsia="Cambria"/>
          <w:lang w:val="en-CA"/>
        </w:rPr>
      </w:pPr>
      <w:bookmarkStart w:id="21" w:name="_Toc437187399"/>
      <w:bookmarkStart w:id="22" w:name="_Toc437599735"/>
      <w:r w:rsidRPr="009B3048">
        <w:rPr>
          <w:rFonts w:eastAsia="Cambria"/>
          <w:color w:val="FF0000"/>
          <w:lang w:val="en-CA"/>
        </w:rPr>
        <w:tab/>
      </w:r>
      <w:r w:rsidR="00004930" w:rsidRPr="009B3048">
        <w:rPr>
          <w:rFonts w:eastAsia="Cambria"/>
          <w:lang w:val="en-CA"/>
        </w:rPr>
        <w:t>B</w:t>
      </w:r>
      <w:r w:rsidRPr="009B3048">
        <w:rPr>
          <w:rFonts w:eastAsia="Cambria"/>
          <w:lang w:val="en-CA"/>
        </w:rPr>
        <w:t>.</w:t>
      </w:r>
      <w:r w:rsidRPr="009B3048">
        <w:rPr>
          <w:rFonts w:eastAsia="Cambria"/>
          <w:lang w:val="en-CA"/>
        </w:rPr>
        <w:tab/>
      </w:r>
      <w:r w:rsidR="00004930" w:rsidRPr="009B3048">
        <w:rPr>
          <w:lang w:eastAsia="hi-IN" w:bidi="hi-IN"/>
        </w:rPr>
        <w:t>Human rights impact of the international policy framework to counter and prevent violent extremism</w:t>
      </w:r>
      <w:bookmarkEnd w:id="21"/>
      <w:bookmarkEnd w:id="22"/>
    </w:p>
    <w:p w:rsidR="000D76ED" w:rsidRPr="009B3048" w:rsidRDefault="000D76ED" w:rsidP="009B3048">
      <w:pPr>
        <w:pStyle w:val="H23G"/>
        <w:rPr>
          <w:sz w:val="22"/>
          <w:szCs w:val="22"/>
        </w:rPr>
      </w:pPr>
      <w:r w:rsidRPr="009B3048">
        <w:tab/>
        <w:t>1.</w:t>
      </w:r>
      <w:r w:rsidRPr="009B3048">
        <w:tab/>
        <w:t xml:space="preserve"> Security Council</w:t>
      </w:r>
    </w:p>
    <w:p w:rsidR="000D76ED" w:rsidRPr="009B3048" w:rsidRDefault="000D76ED" w:rsidP="000D76ED">
      <w:pPr>
        <w:pStyle w:val="H4G"/>
      </w:pPr>
      <w:r w:rsidRPr="009B3048">
        <w:tab/>
      </w:r>
      <w:r w:rsidRPr="009B3048">
        <w:tab/>
        <w:t>Countering violent extremism: Resolution 2178 (2014)</w:t>
      </w:r>
    </w:p>
    <w:p w:rsidR="000D76ED" w:rsidRPr="009B3048" w:rsidRDefault="009B3048" w:rsidP="009B3048">
      <w:pPr>
        <w:pStyle w:val="SingleTxtG"/>
        <w:rPr>
          <w:b/>
        </w:rPr>
      </w:pPr>
      <w:r w:rsidRPr="009B3048">
        <w:rPr>
          <w:lang w:val="en-US"/>
        </w:rPr>
        <w:t>18.</w:t>
      </w:r>
      <w:r w:rsidRPr="009B3048">
        <w:rPr>
          <w:lang w:val="en-US"/>
        </w:rPr>
        <w:tab/>
      </w:r>
      <w:r w:rsidR="000D76ED" w:rsidRPr="009B3048">
        <w:t xml:space="preserve">On 24 September 2014, at a high-level meeting of the Security Council, resolution 2178 was unanimously adopted. This resolution, which addresses, </w:t>
      </w:r>
      <w:r w:rsidR="000D76ED" w:rsidRPr="009B3048">
        <w:rPr>
          <w:i/>
        </w:rPr>
        <w:t>inter alia</w:t>
      </w:r>
      <w:r w:rsidR="000D76ED" w:rsidRPr="009B3048">
        <w:t>, the threat posed by foreign terrorist fighters, includes a section on countering violent extremism in order to prevent terrorism, as an integral part of addressing the threat to international peace and security posed by foreign terrorist fighters. The Council recommends that States engage relevant local communities and non-governmental actors to counter the violent extremist narrative that can incite terrorist acts, and address the conditions conducive to the spread of violent extremism by empowering youths, families, women, and religious, cultural and education leaders. States are encouraged to promote social cohesion and inclusion, and to adopt tailored approaches to countering recruitment to violent extremism.</w:t>
      </w:r>
    </w:p>
    <w:p w:rsidR="000D76ED" w:rsidRPr="009B3048" w:rsidRDefault="009B3048" w:rsidP="009B3048">
      <w:pPr>
        <w:pStyle w:val="SingleTxtG"/>
        <w:rPr>
          <w:b/>
        </w:rPr>
      </w:pPr>
      <w:r w:rsidRPr="009B3048">
        <w:rPr>
          <w:lang w:val="en-US"/>
        </w:rPr>
        <w:t>19.</w:t>
      </w:r>
      <w:r w:rsidRPr="009B3048">
        <w:rPr>
          <w:lang w:val="en-US"/>
        </w:rPr>
        <w:tab/>
      </w:r>
      <w:r w:rsidR="000D76ED" w:rsidRPr="009B3048">
        <w:t>This resolution, adopted under Chapter VII of the UN Charter, is indicative of the shift in the approach taken by the United Nations and the recognition that a counter-terrorism response confined to security measures is insufficient.</w:t>
      </w:r>
      <w:r w:rsidR="000D76ED" w:rsidRPr="009B3048">
        <w:rPr>
          <w:rStyle w:val="EndnoteReference"/>
          <w:sz w:val="20"/>
        </w:rPr>
        <w:footnoteReference w:id="44"/>
      </w:r>
      <w:r w:rsidR="000D76ED" w:rsidRPr="009B3048">
        <w:t xml:space="preserve"> </w:t>
      </w:r>
    </w:p>
    <w:p w:rsidR="000D76ED" w:rsidRPr="009B3048" w:rsidRDefault="009B3048" w:rsidP="009B3048">
      <w:pPr>
        <w:pStyle w:val="SingleTxtG"/>
        <w:rPr>
          <w:b/>
        </w:rPr>
      </w:pPr>
      <w:r w:rsidRPr="009B3048">
        <w:rPr>
          <w:lang w:val="en-US"/>
        </w:rPr>
        <w:t>20.</w:t>
      </w:r>
      <w:r w:rsidRPr="009B3048">
        <w:rPr>
          <w:lang w:val="en-US"/>
        </w:rPr>
        <w:tab/>
      </w:r>
      <w:r w:rsidR="000D76ED" w:rsidRPr="009B3048">
        <w:t>The resolution contains a strong human rights clause which notes the link between a lack of respect for human rights and increased radicalization.</w:t>
      </w:r>
      <w:r w:rsidR="000D76ED" w:rsidRPr="009B3048">
        <w:rPr>
          <w:rStyle w:val="EndnoteReference"/>
          <w:sz w:val="20"/>
        </w:rPr>
        <w:footnoteReference w:id="45"/>
      </w:r>
      <w:r w:rsidR="000D76ED" w:rsidRPr="009B3048">
        <w:t xml:space="preserve"> That has not, however, </w:t>
      </w:r>
      <w:r w:rsidR="000D76ED" w:rsidRPr="009B3048">
        <w:lastRenderedPageBreak/>
        <w:t>assuaged concerns that the lack of clarity in the definition of violent extremism, together with the latitude provided by the resolution, may lead some States to implement highly intrusive, disproportionate or discriminatory measures against individuals.</w:t>
      </w:r>
    </w:p>
    <w:p w:rsidR="000D76ED" w:rsidRPr="009B3048" w:rsidRDefault="009B3048" w:rsidP="009B3048">
      <w:pPr>
        <w:pStyle w:val="SingleTxtG"/>
        <w:rPr>
          <w:b/>
        </w:rPr>
      </w:pPr>
      <w:r w:rsidRPr="009B3048">
        <w:rPr>
          <w:lang w:val="en-US"/>
        </w:rPr>
        <w:t>21.</w:t>
      </w:r>
      <w:r w:rsidRPr="009B3048">
        <w:rPr>
          <w:lang w:val="en-US"/>
        </w:rPr>
        <w:tab/>
      </w:r>
      <w:r w:rsidR="000D76ED" w:rsidRPr="009B3048">
        <w:t>Indeed, the resolution calls on Member States to address the phenomena of violent extremism and radicalisation while failing to provide any comprehensive definition of the terms. The Special Rapporteur is particularly concerned about the term ‘extremism’, which has been used by several States prior to resolution 2178, not as part of a strategy to counter violent extremism, but as an offence in itself.</w:t>
      </w:r>
      <w:r w:rsidR="000D76ED" w:rsidRPr="009B3048">
        <w:rPr>
          <w:rStyle w:val="EndnoteReference"/>
          <w:sz w:val="20"/>
        </w:rPr>
        <w:footnoteReference w:id="46"/>
      </w:r>
      <w:r w:rsidR="000D76ED" w:rsidRPr="009B3048">
        <w:rPr>
          <w:rStyle w:val="EndnoteReference"/>
          <w:sz w:val="20"/>
        </w:rPr>
        <w:t xml:space="preserve"> </w:t>
      </w:r>
      <w:r w:rsidR="000D76ED" w:rsidRPr="009B3048">
        <w:t>In that context, it has attracted well-founded concern that the vagueness of the concept could lead to its use against members of religious minorities, civil society, human rights defenders, peaceful separatist and indigenous groups and members of political opposition parties.</w:t>
      </w:r>
      <w:r w:rsidR="000D76ED" w:rsidRPr="009B3048">
        <w:rPr>
          <w:rStyle w:val="FootnoteReference"/>
          <w:sz w:val="20"/>
        </w:rPr>
        <w:t xml:space="preserve"> </w:t>
      </w:r>
      <w:r w:rsidR="000D76ED" w:rsidRPr="009B3048">
        <w:rPr>
          <w:rStyle w:val="EndnoteReference"/>
          <w:sz w:val="20"/>
        </w:rPr>
        <w:footnoteReference w:id="47"/>
      </w:r>
      <w:r w:rsidR="000D76ED" w:rsidRPr="009B3048">
        <w:t xml:space="preserve">  The Human Rights Committee has stressed the need to ensure that offences such as “extremist activity” are clearly defined to ensure that they do not lead to disproportionate interference with freedom of expression</w:t>
      </w:r>
      <w:r w:rsidR="000D76ED" w:rsidRPr="009B3048">
        <w:rPr>
          <w:rStyle w:val="EndnoteReference"/>
          <w:sz w:val="20"/>
        </w:rPr>
        <w:footnoteReference w:id="48"/>
      </w:r>
      <w:r w:rsidR="000D76ED" w:rsidRPr="009B3048">
        <w:rPr>
          <w:rStyle w:val="EndnoteReference"/>
          <w:sz w:val="20"/>
        </w:rPr>
        <w:t>.</w:t>
      </w:r>
      <w:r w:rsidR="000D76ED" w:rsidRPr="009B3048">
        <w:t xml:space="preserve"> This concern has been reiterated in the current context, with NGOs noting that “extremism” and “radicalization” are “poorly defined concepts which open the door to human rights abuses. Several Governments already routinely label political opponents and journalists as terrorists. Identifying “extremism” as the problem only provides more grounds to crush dissent”.</w:t>
      </w:r>
      <w:r w:rsidR="000D76ED" w:rsidRPr="009B3048">
        <w:rPr>
          <w:rStyle w:val="EndnoteReference"/>
          <w:sz w:val="20"/>
        </w:rPr>
        <w:footnoteReference w:id="49"/>
      </w:r>
      <w:r w:rsidR="000D76ED" w:rsidRPr="009B3048">
        <w:rPr>
          <w:rStyle w:val="EndnoteReference"/>
          <w:sz w:val="20"/>
        </w:rPr>
        <w:t xml:space="preserve"> </w:t>
      </w:r>
      <w:r w:rsidR="000D76ED" w:rsidRPr="009B3048">
        <w:t>The inherent risks of relying on poorly defined concepts are well illustrated by a number of recent cases, where legislation relating to extremism was used against the activities</w:t>
      </w:r>
      <w:r w:rsidR="000D76ED" w:rsidRPr="009B3048">
        <w:rPr>
          <w:rStyle w:val="EndnoteReference"/>
          <w:sz w:val="20"/>
        </w:rPr>
        <w:footnoteReference w:id="50"/>
      </w:r>
      <w:r w:rsidR="000D76ED" w:rsidRPr="009B3048">
        <w:rPr>
          <w:rStyle w:val="EndnoteReference"/>
          <w:sz w:val="20"/>
        </w:rPr>
        <w:t xml:space="preserve"> </w:t>
      </w:r>
      <w:r w:rsidR="00772653">
        <w:t xml:space="preserve">of non-violent groups, </w:t>
      </w:r>
      <w:r w:rsidR="000D76ED" w:rsidRPr="009B3048">
        <w:t>or</w:t>
      </w:r>
      <w:r w:rsidR="00772653">
        <w:t xml:space="preserve"> the</w:t>
      </w:r>
      <w:r w:rsidR="000D76ED" w:rsidRPr="009B3048">
        <w:t xml:space="preserve"> religious texts</w:t>
      </w:r>
      <w:r w:rsidR="000D76ED" w:rsidRPr="009B3048">
        <w:rPr>
          <w:rStyle w:val="EndnoteReference"/>
          <w:sz w:val="20"/>
        </w:rPr>
        <w:footnoteReference w:id="51"/>
      </w:r>
      <w:r w:rsidR="000D76ED" w:rsidRPr="009B3048">
        <w:rPr>
          <w:rStyle w:val="EndnoteReference"/>
          <w:sz w:val="20"/>
        </w:rPr>
        <w:t xml:space="preserve"> </w:t>
      </w:r>
      <w:r w:rsidR="000D76ED" w:rsidRPr="009B3048">
        <w:t>of non-violent groups, and against journalists and political activists critical of State policy</w:t>
      </w:r>
      <w:r w:rsidR="000D76ED" w:rsidRPr="009B3048">
        <w:rPr>
          <w:rStyle w:val="EndnoteReference"/>
          <w:sz w:val="20"/>
        </w:rPr>
        <w:footnoteReference w:id="52"/>
      </w:r>
      <w:r w:rsidR="000D76ED" w:rsidRPr="009B3048">
        <w:rPr>
          <w:rStyle w:val="EndnoteReference"/>
          <w:sz w:val="20"/>
        </w:rPr>
        <w:t>.</w:t>
      </w:r>
      <w:r w:rsidR="000D76ED" w:rsidRPr="009B3048">
        <w:t xml:space="preserve"> The Special Rapporteur recalls that States must ensure that any legislation fully complies with the principle of legality as enshrined in article 15 of the ICCPR such that criminal liability is narrowly and clearly defined. </w:t>
      </w:r>
    </w:p>
    <w:p w:rsidR="000D76ED" w:rsidRPr="009B3048" w:rsidRDefault="009B3048" w:rsidP="009B3048">
      <w:pPr>
        <w:pStyle w:val="SingleTxtG"/>
        <w:rPr>
          <w:lang w:val="en-US"/>
        </w:rPr>
      </w:pPr>
      <w:r w:rsidRPr="009B3048">
        <w:rPr>
          <w:lang w:val="en-US"/>
        </w:rPr>
        <w:lastRenderedPageBreak/>
        <w:t>22.</w:t>
      </w:r>
      <w:r w:rsidRPr="009B3048">
        <w:rPr>
          <w:lang w:val="en-US"/>
        </w:rPr>
        <w:tab/>
      </w:r>
      <w:r w:rsidR="000D76ED" w:rsidRPr="009B3048">
        <w:t>The UN High Commissioner for human rights has observed that one of the greatest human rights challenges for 2016 is the immense pressure on civil society caused by the rise of violent extremism and the often repressive governmental response to it.</w:t>
      </w:r>
      <w:r w:rsidR="000D76ED" w:rsidRPr="009B3048">
        <w:rPr>
          <w:rStyle w:val="EndnoteReference"/>
          <w:sz w:val="20"/>
        </w:rPr>
        <w:footnoteReference w:id="53"/>
      </w:r>
      <w:r w:rsidR="000D76ED" w:rsidRPr="009B3048">
        <w:t xml:space="preserve"> There is serious concern that resolution 2178 will exacerbate this, notwithstanding the Security Council’s recognition of the key role civil society plays in countering violent extremism.</w:t>
      </w:r>
      <w:r w:rsidR="000D76ED" w:rsidRPr="009B3048">
        <w:rPr>
          <w:rStyle w:val="EndnoteReference"/>
          <w:sz w:val="20"/>
        </w:rPr>
        <w:footnoteReference w:id="54"/>
      </w:r>
      <w:r w:rsidR="000D76ED" w:rsidRPr="009B3048">
        <w:rPr>
          <w:rStyle w:val="EndnoteReference"/>
          <w:sz w:val="20"/>
        </w:rPr>
        <w:t xml:space="preserve"> </w:t>
      </w:r>
      <w:r w:rsidR="000D76ED" w:rsidRPr="009B3048">
        <w:t xml:space="preserve">The Special Rapporteur recalls that </w:t>
      </w:r>
      <w:r w:rsidR="000D76ED" w:rsidRPr="009B3048">
        <w:rPr>
          <w:lang w:val="en-US"/>
        </w:rPr>
        <w:t>States have a duty to protect civil society. Any measure that could impact on civil society’s existence, its ability to develop and be effective or independent, would be counter-productive to States’ counter-extremism efforts.</w:t>
      </w:r>
      <w:r w:rsidR="000D76ED" w:rsidRPr="009B3048">
        <w:rPr>
          <w:rFonts w:eastAsiaTheme="minorHAnsi"/>
          <w:lang w:val="en-US"/>
        </w:rPr>
        <w:t xml:space="preserve"> </w:t>
      </w:r>
      <w:r w:rsidR="000D76ED" w:rsidRPr="009B3048">
        <w:rPr>
          <w:lang w:val="en-US"/>
        </w:rPr>
        <w:t>States should ensure that their counter-extremism measures do not negatively impact on civil society’s rights to freedom of association, expression, assembly, and privacy, and that the principles of necessity, proportionality and non-discrimination are respected.</w:t>
      </w:r>
    </w:p>
    <w:p w:rsidR="00924A6A" w:rsidRPr="009B3048" w:rsidRDefault="00924A6A" w:rsidP="00924A6A">
      <w:pPr>
        <w:pStyle w:val="H4G"/>
        <w:rPr>
          <w:lang w:val="en-US"/>
        </w:rPr>
      </w:pPr>
      <w:r w:rsidRPr="009B3048">
        <w:rPr>
          <w:lang w:val="en-US"/>
        </w:rPr>
        <w:tab/>
      </w:r>
      <w:r w:rsidRPr="009B3048">
        <w:rPr>
          <w:lang w:val="en-US"/>
        </w:rPr>
        <w:tab/>
        <w:t>Incitement to terrorism: Resolution 2178(2014) and 1624(2005)</w:t>
      </w:r>
    </w:p>
    <w:p w:rsidR="000D76ED" w:rsidRPr="009B3048" w:rsidRDefault="009B3048" w:rsidP="009B3048">
      <w:pPr>
        <w:pStyle w:val="SingleTxtG"/>
        <w:rPr>
          <w:rStyle w:val="EndnoteReference"/>
          <w:sz w:val="20"/>
          <w:vertAlign w:val="baseline"/>
          <w:lang w:val="en-US"/>
        </w:rPr>
      </w:pPr>
      <w:r w:rsidRPr="009B3048">
        <w:rPr>
          <w:rStyle w:val="EndnoteReference"/>
          <w:sz w:val="20"/>
          <w:vertAlign w:val="baseline"/>
          <w:lang w:val="en-US"/>
        </w:rPr>
        <w:t>23.</w:t>
      </w:r>
      <w:r w:rsidRPr="009B3048">
        <w:rPr>
          <w:rStyle w:val="EndnoteReference"/>
          <w:sz w:val="20"/>
          <w:vertAlign w:val="baseline"/>
          <w:lang w:val="en-US"/>
        </w:rPr>
        <w:tab/>
      </w:r>
      <w:r w:rsidR="000D76ED" w:rsidRPr="009B3048">
        <w:t>Resolution 2178 refers to the need for “strategies to counter the violent extremist narrative that can incite terrorist acts”.</w:t>
      </w:r>
      <w:r w:rsidR="000D76ED" w:rsidRPr="009B3048">
        <w:rPr>
          <w:rStyle w:val="EndnoteReference"/>
          <w:sz w:val="20"/>
        </w:rPr>
        <w:footnoteReference w:id="55"/>
      </w:r>
      <w:r w:rsidR="000D76ED" w:rsidRPr="009B3048">
        <w:t xml:space="preserve"> Resolution 1624 already contained the clear obligation to prohibit by law incitement to commit terrorist acts.</w:t>
      </w:r>
      <w:r w:rsidR="000D76ED" w:rsidRPr="009B3048">
        <w:rPr>
          <w:rStyle w:val="EndnoteReference"/>
          <w:sz w:val="20"/>
        </w:rPr>
        <w:footnoteReference w:id="56"/>
      </w:r>
      <w:r w:rsidR="000D76ED" w:rsidRPr="009B3048">
        <w:rPr>
          <w:rStyle w:val="EndnoteReference"/>
          <w:sz w:val="20"/>
        </w:rPr>
        <w:t xml:space="preserve"> </w:t>
      </w:r>
      <w:r w:rsidR="000D76ED" w:rsidRPr="009B3048">
        <w:t>Consequently, while States are largely free to adopt the measures they see fit to counter violent extremism, they are required through a combination of resolution 2178(2014) and 1624(2005) to adopt legislative measures to address incitement to acts of terrorism</w:t>
      </w:r>
      <w:r w:rsidR="000D76ED" w:rsidRPr="009B3048">
        <w:rPr>
          <w:rStyle w:val="EndnoteReference"/>
          <w:sz w:val="20"/>
        </w:rPr>
        <w:t>.</w:t>
      </w:r>
      <w:r w:rsidR="000D76ED" w:rsidRPr="009B3048">
        <w:rPr>
          <w:rStyle w:val="EndnoteReference"/>
          <w:sz w:val="20"/>
        </w:rPr>
        <w:footnoteReference w:id="57"/>
      </w:r>
      <w:r w:rsidR="000D76ED" w:rsidRPr="009B3048">
        <w:rPr>
          <w:rStyle w:val="EndnoteReference"/>
          <w:sz w:val="20"/>
        </w:rPr>
        <w:t xml:space="preserve"> </w:t>
      </w:r>
    </w:p>
    <w:p w:rsidR="000D76ED" w:rsidRPr="009B3048" w:rsidRDefault="009B3048" w:rsidP="009B3048">
      <w:pPr>
        <w:pStyle w:val="SingleTxtG"/>
        <w:rPr>
          <w:b/>
          <w:sz w:val="22"/>
          <w:szCs w:val="22"/>
        </w:rPr>
      </w:pPr>
      <w:r w:rsidRPr="009B3048">
        <w:rPr>
          <w:sz w:val="22"/>
          <w:szCs w:val="22"/>
          <w:lang w:val="en-US"/>
        </w:rPr>
        <w:t>24.</w:t>
      </w:r>
      <w:r w:rsidRPr="009B3048">
        <w:rPr>
          <w:sz w:val="22"/>
          <w:szCs w:val="22"/>
          <w:lang w:val="en-US"/>
        </w:rPr>
        <w:tab/>
      </w:r>
      <w:r w:rsidR="000D76ED" w:rsidRPr="009B3048">
        <w:t>Resolution 1624(2005) contains a strong human rights clause which specifically refers to Article 19 of the ICCPR on freedom of expression.</w:t>
      </w:r>
      <w:r w:rsidR="000D76ED" w:rsidRPr="009B3048">
        <w:rPr>
          <w:rStyle w:val="EndnoteReference"/>
          <w:sz w:val="20"/>
        </w:rPr>
        <w:footnoteReference w:id="58"/>
      </w:r>
      <w:r w:rsidR="000D76ED" w:rsidRPr="009B3048">
        <w:rPr>
          <w:rStyle w:val="EndnoteReference"/>
          <w:sz w:val="20"/>
        </w:rPr>
        <w:t xml:space="preserve"> </w:t>
      </w:r>
      <w:r w:rsidR="000D76ED" w:rsidRPr="009B3048">
        <w:t>There remain, however, serious human rights concerns linked to the criminalisation of incitement, in particular around freedom of expression and the right to privacy. The UN Secretary-General has said that “laws should only allow for the criminal prosecution of direct incitement to terrorism, that is, speech that directly encourages the commission of a crime, is intended to result in criminal action and is likely to result in criminal action”.</w:t>
      </w:r>
      <w:r w:rsidR="000D76ED" w:rsidRPr="009B3048">
        <w:rPr>
          <w:rStyle w:val="EndnoteReference"/>
          <w:sz w:val="20"/>
        </w:rPr>
        <w:footnoteReference w:id="59"/>
      </w:r>
      <w:r w:rsidR="000D76ED" w:rsidRPr="009B3048">
        <w:rPr>
          <w:rStyle w:val="EndnoteReference"/>
          <w:sz w:val="20"/>
        </w:rPr>
        <w:t xml:space="preserve"> </w:t>
      </w:r>
      <w:r w:rsidR="000D76ED" w:rsidRPr="009B3048">
        <w:t>The former Special Rapporteur on human rights and counter terrorism noted that for the offence of incitement to terrorism to comply with international human rights law, it (1) must be limited to the incitement to conduct that is truly terrorist in nature; (b) must restrict freedom of expression no more than is necessary for the protection of national security, public order and safety or public health or morals; (c) must be prescribed by law in precise language, and avoid vague terms such as “glorifying” or “promoting” terrorism; (d) must include an actual (objective) risk that the act incited will be committed; (e) should expressly refer to intent to communicate a message and intent that this message incite the commission of a terrorist act; and (f) should preserve the application of legal defences or principles leading to the exclusion of criminal liability by referring to “unlawful” incitement to terrorism</w:t>
      </w:r>
      <w:r w:rsidR="000D76ED" w:rsidRPr="009B3048">
        <w:rPr>
          <w:sz w:val="22"/>
          <w:szCs w:val="22"/>
        </w:rPr>
        <w:t>.</w:t>
      </w:r>
      <w:r w:rsidR="000D76ED" w:rsidRPr="009B3048">
        <w:rPr>
          <w:rStyle w:val="FootnoteReference"/>
          <w:sz w:val="22"/>
          <w:szCs w:val="22"/>
        </w:rPr>
        <w:t xml:space="preserve"> </w:t>
      </w:r>
      <w:r w:rsidR="000D76ED" w:rsidRPr="009B3048">
        <w:rPr>
          <w:rStyle w:val="EndnoteReference"/>
        </w:rPr>
        <w:footnoteReference w:id="60"/>
      </w:r>
      <w:r w:rsidR="000D76ED" w:rsidRPr="009B3048">
        <w:rPr>
          <w:rStyle w:val="EndnoteReference"/>
        </w:rPr>
        <w:t xml:space="preserve"> </w:t>
      </w:r>
    </w:p>
    <w:p w:rsidR="001366EB" w:rsidRPr="009B3048" w:rsidRDefault="000F0081" w:rsidP="000F0081">
      <w:pPr>
        <w:pStyle w:val="H23G"/>
      </w:pPr>
      <w:r w:rsidRPr="009B3048">
        <w:lastRenderedPageBreak/>
        <w:tab/>
      </w:r>
      <w:r w:rsidR="001366EB" w:rsidRPr="009B3048">
        <w:t>2</w:t>
      </w:r>
      <w:r w:rsidRPr="009B3048">
        <w:t>.</w:t>
      </w:r>
      <w:r w:rsidRPr="009B3048">
        <w:tab/>
      </w:r>
      <w:r w:rsidR="001366EB" w:rsidRPr="009B3048">
        <w:t xml:space="preserve"> General Assembly </w:t>
      </w:r>
    </w:p>
    <w:p w:rsidR="001366EB" w:rsidRPr="009B3048" w:rsidRDefault="009B3048" w:rsidP="009B3048">
      <w:pPr>
        <w:pStyle w:val="SingleTxtG"/>
        <w:rPr>
          <w:b/>
          <w:sz w:val="22"/>
          <w:szCs w:val="22"/>
        </w:rPr>
      </w:pPr>
      <w:r w:rsidRPr="009B3048">
        <w:rPr>
          <w:sz w:val="22"/>
          <w:szCs w:val="22"/>
          <w:lang w:val="en-US"/>
        </w:rPr>
        <w:t>25.</w:t>
      </w:r>
      <w:r w:rsidRPr="009B3048">
        <w:rPr>
          <w:sz w:val="22"/>
          <w:szCs w:val="22"/>
          <w:lang w:val="en-US"/>
        </w:rPr>
        <w:tab/>
      </w:r>
      <w:r w:rsidR="001366EB" w:rsidRPr="009B3048">
        <w:t>In its latest review of the Global Counter Terrorism Strategy</w:t>
      </w:r>
      <w:r w:rsidR="001366EB" w:rsidRPr="009B3048">
        <w:rPr>
          <w:rStyle w:val="EndnoteReference"/>
          <w:sz w:val="20"/>
        </w:rPr>
        <w:footnoteReference w:id="61"/>
      </w:r>
      <w:r w:rsidR="001366EB" w:rsidRPr="009B3048">
        <w:rPr>
          <w:rStyle w:val="EndnoteReference"/>
          <w:sz w:val="20"/>
        </w:rPr>
        <w:t>,</w:t>
      </w:r>
      <w:r w:rsidR="001366EB" w:rsidRPr="009B3048">
        <w:t xml:space="preserve"> the Assembly expressed its alarm at violent extremism which claims innocent lives, causes destruction and displaces people, and referred to “acts of violent extremism and incitement to commit terrorist acts that spread hate and threaten lives”. In resolution 68/127, entitled “A world against violence and violent extremism”, the General Assembly called upon all States in the fight against violent extremism to protect human rights, fundamental freedoms and the rule of law and support all actions to foster understanding, tolerance and non-violence</w:t>
      </w:r>
      <w:r w:rsidR="001366EB" w:rsidRPr="009B3048">
        <w:rPr>
          <w:sz w:val="22"/>
          <w:szCs w:val="22"/>
        </w:rPr>
        <w:t xml:space="preserve">. </w:t>
      </w:r>
      <w:r w:rsidR="001366EB" w:rsidRPr="009B3048">
        <w:rPr>
          <w:sz w:val="25"/>
          <w:szCs w:val="25"/>
        </w:rPr>
        <w:t xml:space="preserve"> </w:t>
      </w:r>
    </w:p>
    <w:p w:rsidR="001366EB" w:rsidRPr="009B3048" w:rsidRDefault="000F0081" w:rsidP="000F0081">
      <w:pPr>
        <w:pStyle w:val="H23G"/>
      </w:pPr>
      <w:r w:rsidRPr="009B3048">
        <w:tab/>
      </w:r>
      <w:r w:rsidR="001366EB" w:rsidRPr="009B3048">
        <w:t>3</w:t>
      </w:r>
      <w:r w:rsidRPr="009B3048">
        <w:t>.</w:t>
      </w:r>
      <w:r w:rsidRPr="009B3048">
        <w:tab/>
      </w:r>
      <w:r w:rsidR="001366EB" w:rsidRPr="009B3048">
        <w:t xml:space="preserve"> Human Rights Council</w:t>
      </w:r>
    </w:p>
    <w:p w:rsidR="001366EB" w:rsidRPr="009B3048" w:rsidRDefault="009B3048" w:rsidP="009B3048">
      <w:pPr>
        <w:pStyle w:val="SingleTxtG"/>
        <w:rPr>
          <w:b/>
        </w:rPr>
      </w:pPr>
      <w:r w:rsidRPr="009B3048">
        <w:rPr>
          <w:lang w:val="en-US"/>
        </w:rPr>
        <w:t>26.</w:t>
      </w:r>
      <w:r w:rsidRPr="009B3048">
        <w:rPr>
          <w:lang w:val="en-US"/>
        </w:rPr>
        <w:tab/>
      </w:r>
      <w:proofErr w:type="gramStart"/>
      <w:r w:rsidR="001366EB" w:rsidRPr="009B3048">
        <w:t>On</w:t>
      </w:r>
      <w:proofErr w:type="gramEnd"/>
      <w:r w:rsidR="001366EB" w:rsidRPr="009B3048">
        <w:t xml:space="preserve"> 2 October 2015, following an intense debate, the Council adopted its first resolution on human rights and countering violent extremism.</w:t>
      </w:r>
      <w:r w:rsidR="001366EB" w:rsidRPr="009B3048">
        <w:rPr>
          <w:rStyle w:val="EndnoteReference"/>
          <w:sz w:val="20"/>
        </w:rPr>
        <w:footnoteReference w:id="62"/>
      </w:r>
      <w:r w:rsidR="001366EB" w:rsidRPr="009B3048">
        <w:rPr>
          <w:rStyle w:val="EndnoteReference"/>
          <w:sz w:val="20"/>
        </w:rPr>
        <w:t xml:space="preserve"> </w:t>
      </w:r>
      <w:r w:rsidR="001366EB" w:rsidRPr="009B3048">
        <w:t>The Council noted the interrelatedness of promoting human rights and preventing violent extremism. In particular, the Council noted that abuses and violations of human rights may create an environment in which people are vulnerable to radicalisation and recruitment by violent extremist groups.</w:t>
      </w:r>
    </w:p>
    <w:p w:rsidR="001366EB" w:rsidRPr="009B3048" w:rsidRDefault="009B3048" w:rsidP="009B3048">
      <w:pPr>
        <w:pStyle w:val="SingleTxtG"/>
        <w:rPr>
          <w:b/>
        </w:rPr>
      </w:pPr>
      <w:r w:rsidRPr="009B3048">
        <w:rPr>
          <w:lang w:val="en-US"/>
        </w:rPr>
        <w:t>27.</w:t>
      </w:r>
      <w:r w:rsidRPr="009B3048">
        <w:rPr>
          <w:lang w:val="en-US"/>
        </w:rPr>
        <w:tab/>
      </w:r>
      <w:r w:rsidR="001366EB" w:rsidRPr="009B3048">
        <w:t>The resolution describes “acts, methods and practices of violent extremism, in all their forms and manifestations” as “activities that aim to threaten the enjoyment of human rights and fundamental freedoms, and democracy, and threaten territorial integrity and the security of States, and destabilize legitimately constituted governments”. The Special Rapporteur notes the extensive nature of that description of the impact of violent extremism, and the lack of any requirement that the activities themselves involve the use of violence. That may allow some governments to qualify non-violent actions that are critical of the government as violent extremism. This concern is compounded by the resolution’s reference to ‘extremist ideologies or intolerance’ without any reference to violence, and the use of the vague expression ‘supporters’ of violent extremists.</w:t>
      </w:r>
      <w:r w:rsidR="001366EB" w:rsidRPr="009B3048">
        <w:rPr>
          <w:rStyle w:val="EndnoteReference"/>
          <w:sz w:val="20"/>
        </w:rPr>
        <w:footnoteReference w:id="63"/>
      </w:r>
    </w:p>
    <w:p w:rsidR="001366EB" w:rsidRPr="009B3048" w:rsidRDefault="009B3048" w:rsidP="009B3048">
      <w:pPr>
        <w:pStyle w:val="SingleTxtG"/>
        <w:rPr>
          <w:b/>
          <w:sz w:val="22"/>
          <w:szCs w:val="22"/>
        </w:rPr>
      </w:pPr>
      <w:r w:rsidRPr="009B3048">
        <w:rPr>
          <w:sz w:val="22"/>
          <w:szCs w:val="22"/>
          <w:lang w:val="en-US"/>
        </w:rPr>
        <w:t>28.</w:t>
      </w:r>
      <w:r w:rsidRPr="009B3048">
        <w:rPr>
          <w:sz w:val="22"/>
          <w:szCs w:val="22"/>
          <w:lang w:val="en-US"/>
        </w:rPr>
        <w:tab/>
      </w:r>
      <w:r w:rsidR="001366EB" w:rsidRPr="009B3048">
        <w:t>The Special Rapporteur is concerned that the resolution may contribute to further limitations on the space in which civil society operates. The Special Rapporteur recalls that Human Rights Council resolution 27/31 not only urged States to create and maintain, in law and practice, a safe and enabling environment in which civil society can operate free from hindrance and insecurity,</w:t>
      </w:r>
      <w:r w:rsidR="001366EB" w:rsidRPr="009B3048">
        <w:rPr>
          <w:rStyle w:val="EndnoteReference"/>
          <w:sz w:val="20"/>
        </w:rPr>
        <w:footnoteReference w:id="64"/>
      </w:r>
      <w:r w:rsidR="001366EB" w:rsidRPr="009B3048">
        <w:t xml:space="preserve"> but crucially emphasized the importance of civil society space for empowering persons belonging to minorities and vulnerable groups, and persons espousing minority or dissenting views or beliefs.</w:t>
      </w:r>
      <w:r w:rsidR="001366EB" w:rsidRPr="009B3048">
        <w:rPr>
          <w:rStyle w:val="EndnoteReference"/>
          <w:sz w:val="20"/>
        </w:rPr>
        <w:footnoteReference w:id="65"/>
      </w:r>
      <w:r w:rsidR="001366EB" w:rsidRPr="009B3048">
        <w:t xml:space="preserve"> The Special Rapporteur is concerned that Resolution 30/15 not only fails to acknowledge the abuse suffered by civil society in recent years, but may contribute to further restrictions on its activities across the world.</w:t>
      </w:r>
      <w:r w:rsidR="001366EB" w:rsidRPr="009B3048">
        <w:rPr>
          <w:rStyle w:val="EndnoteReference"/>
          <w:sz w:val="20"/>
        </w:rPr>
        <w:footnoteReference w:id="66"/>
      </w:r>
      <w:r w:rsidR="001366EB" w:rsidRPr="009B3048">
        <w:rPr>
          <w:rStyle w:val="EndnoteReference"/>
          <w:sz w:val="20"/>
        </w:rPr>
        <w:t xml:space="preserve"> </w:t>
      </w:r>
      <w:r w:rsidR="001366EB" w:rsidRPr="009B3048">
        <w:t>Rather, the engagement of civil society organisations in the fight against extremism, as has been a feature of the UK’s Counter Extremism Strategy, should be encouraged</w:t>
      </w:r>
      <w:r w:rsidR="001366EB" w:rsidRPr="009B3048">
        <w:rPr>
          <w:sz w:val="22"/>
          <w:szCs w:val="22"/>
        </w:rPr>
        <w:t>.</w:t>
      </w:r>
    </w:p>
    <w:p w:rsidR="001366EB" w:rsidRPr="009B3048" w:rsidRDefault="000F0081" w:rsidP="000F0081">
      <w:pPr>
        <w:pStyle w:val="H23G"/>
      </w:pPr>
      <w:r w:rsidRPr="009B3048">
        <w:lastRenderedPageBreak/>
        <w:tab/>
      </w:r>
      <w:r w:rsidR="001366EB" w:rsidRPr="009B3048">
        <w:t>4</w:t>
      </w:r>
      <w:r w:rsidRPr="009B3048">
        <w:t>.</w:t>
      </w:r>
      <w:r w:rsidRPr="009B3048">
        <w:tab/>
      </w:r>
      <w:r w:rsidR="001366EB" w:rsidRPr="009B3048">
        <w:t xml:space="preserve"> Secretary-General </w:t>
      </w:r>
    </w:p>
    <w:p w:rsidR="001366EB" w:rsidRPr="009B3048" w:rsidRDefault="009B3048" w:rsidP="009B3048">
      <w:pPr>
        <w:pStyle w:val="SingleTxtG"/>
        <w:rPr>
          <w:b/>
        </w:rPr>
      </w:pPr>
      <w:r w:rsidRPr="009B3048">
        <w:rPr>
          <w:lang w:val="en-US"/>
        </w:rPr>
        <w:t>29.</w:t>
      </w:r>
      <w:r w:rsidRPr="009B3048">
        <w:rPr>
          <w:lang w:val="en-US"/>
        </w:rPr>
        <w:tab/>
      </w:r>
      <w:r w:rsidR="001366EB" w:rsidRPr="009B3048">
        <w:t xml:space="preserve">The long-awaited Secretary-General’s Plan of Action on Preventing Violent Extremism, presented to the General Assembly, is an enormously significant development in the global fight against violent extremism. The Plan examines various aspects of violent extremism, including its impact, context and drivers, highlighting the importance of conditions conducive to violent extremism (Pillar I of the Global Counter Terrorism Strategy) in any radicalisation process. It sets out an Agenda for Action to prevent violent extremism, which includes a recommendation that each Member State adopts a national strategy to prevent the further spread of violent extremism. Most importantly, the Secretary-General acknowledges the centrality of human rights to the question of violent extremism. He recalls the critical role of respect for all human rights in preventing violent extremism, and places human rights as a red thread throughout his Plan. </w:t>
      </w:r>
    </w:p>
    <w:p w:rsidR="001366EB" w:rsidRPr="009B3048" w:rsidRDefault="009B3048" w:rsidP="009B3048">
      <w:pPr>
        <w:pStyle w:val="SingleTxtG"/>
        <w:rPr>
          <w:b/>
        </w:rPr>
      </w:pPr>
      <w:r w:rsidRPr="009B3048">
        <w:rPr>
          <w:lang w:val="en-US"/>
        </w:rPr>
        <w:t>30.</w:t>
      </w:r>
      <w:r w:rsidRPr="009B3048">
        <w:rPr>
          <w:lang w:val="en-US"/>
        </w:rPr>
        <w:tab/>
      </w:r>
      <w:r w:rsidR="001366EB" w:rsidRPr="009B3048">
        <w:t>This is done, first, by highlighting the negative impact that violent extremism has on human rights. The Secretary-General notes that violent extremism is an affront to human rights</w:t>
      </w:r>
      <w:r w:rsidR="001366EB" w:rsidRPr="009B3048">
        <w:rPr>
          <w:rStyle w:val="EndnoteReference"/>
          <w:sz w:val="20"/>
        </w:rPr>
        <w:footnoteReference w:id="67"/>
      </w:r>
      <w:r w:rsidR="001366EB" w:rsidRPr="009B3048">
        <w:rPr>
          <w:rStyle w:val="EndnoteReference"/>
          <w:sz w:val="20"/>
        </w:rPr>
        <w:t xml:space="preserve"> </w:t>
      </w:r>
      <w:r w:rsidR="001366EB" w:rsidRPr="009B3048">
        <w:t>and poses a direct threat to the enjoyment of fundamental rights.</w:t>
      </w:r>
    </w:p>
    <w:p w:rsidR="001366EB" w:rsidRPr="009B3048" w:rsidRDefault="009B3048" w:rsidP="009B3048">
      <w:pPr>
        <w:pStyle w:val="SingleTxtG"/>
        <w:rPr>
          <w:rStyle w:val="EndnoteReference"/>
          <w:b/>
          <w:sz w:val="20"/>
          <w:vertAlign w:val="baseline"/>
        </w:rPr>
      </w:pPr>
      <w:r w:rsidRPr="009B3048">
        <w:rPr>
          <w:rStyle w:val="EndnoteReference"/>
          <w:sz w:val="20"/>
          <w:vertAlign w:val="baseline"/>
          <w:lang w:val="en-US"/>
        </w:rPr>
        <w:t>31.</w:t>
      </w:r>
      <w:r w:rsidRPr="009B3048">
        <w:rPr>
          <w:rStyle w:val="EndnoteReference"/>
          <w:sz w:val="20"/>
          <w:vertAlign w:val="baseline"/>
          <w:lang w:val="en-US"/>
        </w:rPr>
        <w:tab/>
      </w:r>
      <w:r w:rsidR="001366EB" w:rsidRPr="009B3048">
        <w:t>Second, the Secretary-General notes the role that human rights violations might play in leading to violent extremism. He highlights that “narratives of grievances, actual or perceived injustice, promised empowerment and sweeping change become attractive where human rights are being violated”.</w:t>
      </w:r>
      <w:r w:rsidR="001366EB" w:rsidRPr="009B3048">
        <w:rPr>
          <w:rStyle w:val="EndnoteReference"/>
          <w:sz w:val="20"/>
        </w:rPr>
        <w:footnoteReference w:id="68"/>
      </w:r>
      <w:r w:rsidR="001366EB" w:rsidRPr="009B3048">
        <w:rPr>
          <w:rStyle w:val="EndnoteReference"/>
          <w:sz w:val="20"/>
        </w:rPr>
        <w:t xml:space="preserve"> </w:t>
      </w:r>
      <w:r w:rsidR="001366EB" w:rsidRPr="009B3048">
        <w:t>Repressive policies and practices that violate human rights and the rule of law can heighten the lure of violent extremism, while other grievances - particularly a lack of economic, social and cultural rights - also provide opportunities for violent extremists</w:t>
      </w:r>
      <w:r w:rsidR="001366EB" w:rsidRPr="009B3048">
        <w:rPr>
          <w:rStyle w:val="EndnoteReference"/>
          <w:sz w:val="20"/>
        </w:rPr>
        <w:t>.</w:t>
      </w:r>
      <w:r w:rsidR="001366EB" w:rsidRPr="009B3048">
        <w:rPr>
          <w:rStyle w:val="EndnoteReference"/>
          <w:sz w:val="20"/>
        </w:rPr>
        <w:footnoteReference w:id="69"/>
      </w:r>
    </w:p>
    <w:p w:rsidR="001366EB" w:rsidRPr="009B3048" w:rsidRDefault="009B3048" w:rsidP="009B3048">
      <w:pPr>
        <w:pStyle w:val="SingleTxtG"/>
        <w:rPr>
          <w:b/>
        </w:rPr>
      </w:pPr>
      <w:r w:rsidRPr="009B3048">
        <w:rPr>
          <w:lang w:val="en-US"/>
        </w:rPr>
        <w:t>32.</w:t>
      </w:r>
      <w:r w:rsidRPr="009B3048">
        <w:rPr>
          <w:lang w:val="en-US"/>
        </w:rPr>
        <w:tab/>
      </w:r>
      <w:r w:rsidR="001366EB" w:rsidRPr="009B3048">
        <w:t>Concomitantly, the Secretary-General notes that individual experiences of human rights violations, such as torture or violations of due process rights</w:t>
      </w:r>
      <w:proofErr w:type="gramStart"/>
      <w:r w:rsidR="001366EB" w:rsidRPr="009B3048">
        <w:t>,</w:t>
      </w:r>
      <w:proofErr w:type="gramEnd"/>
      <w:r w:rsidR="001366EB" w:rsidRPr="009B3048">
        <w:rPr>
          <w:rStyle w:val="EndnoteReference"/>
          <w:sz w:val="20"/>
        </w:rPr>
        <w:footnoteReference w:id="70"/>
      </w:r>
      <w:r w:rsidR="001366EB" w:rsidRPr="009B3048">
        <w:rPr>
          <w:rStyle w:val="EndnoteReference"/>
          <w:sz w:val="20"/>
        </w:rPr>
        <w:t xml:space="preserve"> </w:t>
      </w:r>
      <w:r w:rsidR="001366EB" w:rsidRPr="009B3048">
        <w:t>can play a role in an individual’s path to radicalisation. Violations of the right to education may also play a role in this process.</w:t>
      </w:r>
      <w:r w:rsidR="001366EB" w:rsidRPr="009B3048">
        <w:rPr>
          <w:rStyle w:val="EndnoteReference"/>
          <w:sz w:val="20"/>
        </w:rPr>
        <w:footnoteReference w:id="71"/>
      </w:r>
      <w:r w:rsidR="001366EB" w:rsidRPr="009B3048">
        <w:rPr>
          <w:rStyle w:val="EndnoteReference"/>
          <w:sz w:val="20"/>
        </w:rPr>
        <w:t xml:space="preserve"> </w:t>
      </w:r>
    </w:p>
    <w:p w:rsidR="001366EB" w:rsidRPr="009B3048" w:rsidRDefault="009B3048" w:rsidP="009B3048">
      <w:pPr>
        <w:pStyle w:val="SingleTxtG"/>
        <w:rPr>
          <w:b/>
        </w:rPr>
      </w:pPr>
      <w:r w:rsidRPr="009B3048">
        <w:rPr>
          <w:lang w:val="en-US"/>
        </w:rPr>
        <w:t>33.</w:t>
      </w:r>
      <w:r w:rsidRPr="009B3048">
        <w:rPr>
          <w:lang w:val="en-US"/>
        </w:rPr>
        <w:tab/>
      </w:r>
      <w:r w:rsidR="001366EB" w:rsidRPr="009B3048">
        <w:t>Finally, the Secretary-General insists on the importance of respecting human rights when adopting measures to prevent violent extremism. Echoing the Global Counter Terrorism Strategy, the Plan notes that preventing violent extremism is a commitment and an obligation of States under the UN Charter and international human rights law.</w:t>
      </w:r>
      <w:r w:rsidR="001366EB" w:rsidRPr="009B3048">
        <w:rPr>
          <w:rStyle w:val="EndnoteReference"/>
          <w:sz w:val="20"/>
        </w:rPr>
        <w:footnoteReference w:id="72"/>
      </w:r>
      <w:r w:rsidR="001366EB" w:rsidRPr="009B3048">
        <w:t xml:space="preserve"> It stresses that where States embrace international human rights norms and standards and uphold the rule of </w:t>
      </w:r>
      <w:proofErr w:type="gramStart"/>
      <w:r w:rsidR="001366EB" w:rsidRPr="009B3048">
        <w:t>law,</w:t>
      </w:r>
      <w:proofErr w:type="gramEnd"/>
      <w:r w:rsidR="001366EB" w:rsidRPr="009B3048">
        <w:t xml:space="preserve"> they create an enabling environment for civil society and reduce the appeal of violent extremism. To be effective and sustainable, all Member States’ </w:t>
      </w:r>
      <w:r w:rsidR="001366EB" w:rsidRPr="009B3048">
        <w:rPr>
          <w:lang w:val="en-US"/>
        </w:rPr>
        <w:t>efforts to address violent extremism must be firmly grounded in the rule of law and international human rights law, as well as international humanitarian law if applicable.</w:t>
      </w:r>
      <w:r w:rsidR="001366EB" w:rsidRPr="009B3048">
        <w:rPr>
          <w:rStyle w:val="EndnoteReference"/>
          <w:sz w:val="20"/>
        </w:rPr>
        <w:footnoteReference w:id="73"/>
      </w:r>
      <w:r w:rsidR="001366EB" w:rsidRPr="009B3048">
        <w:rPr>
          <w:lang w:val="en-US"/>
        </w:rPr>
        <w:t xml:space="preserve"> </w:t>
      </w:r>
    </w:p>
    <w:p w:rsidR="001366EB" w:rsidRPr="009B3048" w:rsidRDefault="009B3048" w:rsidP="009B3048">
      <w:pPr>
        <w:pStyle w:val="SingleTxtG"/>
        <w:rPr>
          <w:b/>
        </w:rPr>
      </w:pPr>
      <w:r w:rsidRPr="009B3048">
        <w:rPr>
          <w:lang w:val="en-US"/>
        </w:rPr>
        <w:t>34.</w:t>
      </w:r>
      <w:r w:rsidRPr="009B3048">
        <w:rPr>
          <w:lang w:val="en-US"/>
        </w:rPr>
        <w:tab/>
      </w:r>
      <w:r w:rsidR="001366EB" w:rsidRPr="009B3048">
        <w:rPr>
          <w:lang w:val="en-US"/>
        </w:rPr>
        <w:t xml:space="preserve">In practical terms, the Plan recommends that States take a number of steps, including a </w:t>
      </w:r>
      <w:r w:rsidR="001366EB" w:rsidRPr="009B3048">
        <w:t xml:space="preserve">review of all national legislation, policies, strategies and practices aimed at countering violent extremism to ensure they respect human rights and the rule of law. The Plan also notes a number of specific measures for States to attend to: access to justice for all; fair, effective, accountable and inclusive institutions; non-discriminatory basic service provision and accountability for service delivery; professionalism of security forces, law enforcement </w:t>
      </w:r>
      <w:r w:rsidR="001366EB" w:rsidRPr="009B3048">
        <w:lastRenderedPageBreak/>
        <w:t>agencies and justice institutions subject to effective oversight and accountability; accountability for gross violations of international human rights law and international humanitarian law; reform of national legal frameworks and penitentiary systems; age and gender-sensitive disengagement, rehabilitation and counselling programmes for persons engaged in violent extremism; promotion of economic, social and cultural rights; addressing incitement to violent extremism and the prohibition of advocacy of national, racial or religious hatred that constitutes incitement to discrimination, hostility or violence; appropriate measures against all forms of intolerance and discrimination based on religion or belief in the educational system; and restrictions to freedom of expression that comply with international law</w:t>
      </w:r>
      <w:r w:rsidR="001366EB" w:rsidRPr="009B3048">
        <w:rPr>
          <w:rStyle w:val="EndnoteReference"/>
          <w:sz w:val="20"/>
        </w:rPr>
        <w:footnoteReference w:id="74"/>
      </w:r>
      <w:r w:rsidR="001366EB" w:rsidRPr="009B3048">
        <w:t xml:space="preserve">. </w:t>
      </w:r>
    </w:p>
    <w:p w:rsidR="00787783" w:rsidRPr="009B3048" w:rsidRDefault="009B3048" w:rsidP="009B3048">
      <w:pPr>
        <w:pStyle w:val="SingleTxtG"/>
        <w:rPr>
          <w:b/>
          <w:sz w:val="22"/>
          <w:szCs w:val="22"/>
        </w:rPr>
      </w:pPr>
      <w:r w:rsidRPr="009B3048">
        <w:rPr>
          <w:sz w:val="22"/>
          <w:szCs w:val="22"/>
          <w:lang w:val="en-US"/>
        </w:rPr>
        <w:t>35.</w:t>
      </w:r>
      <w:r w:rsidRPr="009B3048">
        <w:rPr>
          <w:sz w:val="22"/>
          <w:szCs w:val="22"/>
          <w:lang w:val="en-US"/>
        </w:rPr>
        <w:tab/>
      </w:r>
      <w:r w:rsidR="001366EB" w:rsidRPr="009B3048">
        <w:t>As discussed above, a key criticism of the Plan is the absence of any definition of violent extremism, despite a detailed framework for addressing it. The Secretary-General justifies the use of the term as necessary to avoid “a conflation of [terrorism and violent extremism which] may lead to the justification of an overly broad application of counter-terrorism measures, including against forms of conduct that should not qualify as terrorist acts”.</w:t>
      </w:r>
      <w:r w:rsidR="001366EB" w:rsidRPr="009B3048">
        <w:rPr>
          <w:rStyle w:val="EndnoteReference"/>
          <w:sz w:val="20"/>
        </w:rPr>
        <w:footnoteReference w:id="75"/>
      </w:r>
      <w:r w:rsidR="001366EB" w:rsidRPr="009B3048">
        <w:rPr>
          <w:rStyle w:val="EndnoteReference"/>
          <w:sz w:val="20"/>
        </w:rPr>
        <w:t xml:space="preserve"> </w:t>
      </w:r>
      <w:r w:rsidR="001366EB" w:rsidRPr="009B3048">
        <w:rPr>
          <w:lang w:val="en-US"/>
        </w:rPr>
        <w:t>While</w:t>
      </w:r>
      <w:r w:rsidR="001366EB" w:rsidRPr="009B3048">
        <w:t xml:space="preserve"> agreeing with the assessment that counter-terrorism measures are often too liberally applied to conduct that is not terrorism, the Special Rapporteur warns against the use of new terminology that, conceptually, has the same shortcomings as the term terrorism.</w:t>
      </w:r>
      <w:r w:rsidR="001366EB" w:rsidRPr="009B3048">
        <w:rPr>
          <w:rStyle w:val="EndnoteReference"/>
          <w:sz w:val="20"/>
        </w:rPr>
        <w:footnoteReference w:id="76"/>
      </w:r>
      <w:r w:rsidR="001366EB" w:rsidRPr="009B3048">
        <w:rPr>
          <w:rStyle w:val="EndnoteReference"/>
          <w:sz w:val="20"/>
        </w:rPr>
        <w:t xml:space="preserve"> </w:t>
      </w:r>
      <w:r w:rsidR="001366EB" w:rsidRPr="009B3048">
        <w:t>Indeed, in the absence of a clear definition of violent extremism, and considering that measures to prevent violent extremism may also have a serious impact on human rights, the introduction of new terminology does not provide any protection against abusive application. Given the absence of any attempt at a definition at the international level</w:t>
      </w:r>
      <w:r w:rsidR="001366EB" w:rsidRPr="009B3048">
        <w:rPr>
          <w:rStyle w:val="EndnoteReference"/>
          <w:sz w:val="20"/>
        </w:rPr>
        <w:footnoteReference w:id="77"/>
      </w:r>
      <w:r w:rsidR="001366EB" w:rsidRPr="009B3048">
        <w:rPr>
          <w:rStyle w:val="EndnoteReference"/>
          <w:sz w:val="20"/>
        </w:rPr>
        <w:t xml:space="preserve"> </w:t>
      </w:r>
      <w:r w:rsidR="001366EB" w:rsidRPr="009B3048">
        <w:t>and the broad national definitions, the use of the term as a basis for the adoption of new strategies, measures and legislation may prove even more dangerous for human rights than the term terrorism</w:t>
      </w:r>
      <w:r w:rsidR="001366EB" w:rsidRPr="009B3048">
        <w:rPr>
          <w:sz w:val="22"/>
          <w:szCs w:val="22"/>
        </w:rPr>
        <w:t xml:space="preserve">. </w:t>
      </w:r>
    </w:p>
    <w:p w:rsidR="00787783" w:rsidRPr="009B3048" w:rsidRDefault="00787783" w:rsidP="00787783">
      <w:pPr>
        <w:pStyle w:val="H1G"/>
        <w:rPr>
          <w:lang w:eastAsia="hi-IN" w:bidi="hi-IN"/>
        </w:rPr>
      </w:pPr>
      <w:r w:rsidRPr="009B3048">
        <w:rPr>
          <w:rFonts w:eastAsia="Cambria"/>
          <w:color w:val="FF0000"/>
          <w:lang w:val="en-CA"/>
        </w:rPr>
        <w:tab/>
      </w:r>
      <w:r w:rsidRPr="009B3048">
        <w:rPr>
          <w:rFonts w:eastAsia="Cambria"/>
          <w:lang w:val="en-CA"/>
        </w:rPr>
        <w:t>C</w:t>
      </w:r>
      <w:r w:rsidR="0045561B" w:rsidRPr="009B3048">
        <w:rPr>
          <w:rFonts w:eastAsia="Cambria"/>
          <w:lang w:val="en-CA"/>
        </w:rPr>
        <w:t>.</w:t>
      </w:r>
      <w:r w:rsidRPr="009B3048">
        <w:rPr>
          <w:rFonts w:eastAsia="Cambria"/>
          <w:lang w:val="en-CA"/>
        </w:rPr>
        <w:tab/>
      </w:r>
      <w:r w:rsidRPr="009B3048">
        <w:rPr>
          <w:lang w:eastAsia="hi-IN" w:bidi="hi-IN"/>
        </w:rPr>
        <w:t>Impact on human rights of measures to counter and prevent violent extremism</w:t>
      </w:r>
    </w:p>
    <w:p w:rsidR="00787783" w:rsidRPr="009B3048" w:rsidRDefault="009B3048" w:rsidP="009B3048">
      <w:pPr>
        <w:pStyle w:val="SingleTxtG"/>
        <w:rPr>
          <w:b/>
        </w:rPr>
      </w:pPr>
      <w:r w:rsidRPr="009B3048">
        <w:rPr>
          <w:lang w:val="en-US"/>
        </w:rPr>
        <w:t>36.</w:t>
      </w:r>
      <w:r w:rsidRPr="009B3048">
        <w:rPr>
          <w:lang w:val="en-US"/>
        </w:rPr>
        <w:tab/>
      </w:r>
      <w:r w:rsidR="00787783" w:rsidRPr="009B3048">
        <w:t>Measures taken by States to counter or prevent violent extremism, whether to operationalize Security Council Resolution 2178(2014) or otherwise, include a wide array of legislative, administrative and policy measures which target a range of activities, individuals and communities. States have included in this category measures that criminalise preparatory offences to terrorism and measures that focus on countering the appeal of, or preventing individuals from being drawn into, terrorism. Some measures target ‘extremist’ speech</w:t>
      </w:r>
      <w:r w:rsidR="00787783" w:rsidRPr="009B3048">
        <w:rPr>
          <w:rStyle w:val="EndnoteReference"/>
          <w:sz w:val="20"/>
        </w:rPr>
        <w:footnoteReference w:id="78"/>
      </w:r>
      <w:r w:rsidR="00787783" w:rsidRPr="009B3048">
        <w:rPr>
          <w:rStyle w:val="EndnoteReference"/>
          <w:sz w:val="20"/>
        </w:rPr>
        <w:t>,</w:t>
      </w:r>
      <w:r w:rsidR="00787783" w:rsidRPr="009B3048">
        <w:t xml:space="preserve"> or highlight the plight of victims of terrorism. Some States include programmes involving individual interventions and counselling, or building the capacity of certain communities; others have adopted measures that focus on the underlying conditions that are conducive to terrorism. </w:t>
      </w:r>
    </w:p>
    <w:p w:rsidR="00787783" w:rsidRPr="009B3048" w:rsidRDefault="009B3048" w:rsidP="009B3048">
      <w:pPr>
        <w:pStyle w:val="SingleTxtG"/>
        <w:rPr>
          <w:b/>
          <w:sz w:val="22"/>
          <w:szCs w:val="22"/>
        </w:rPr>
      </w:pPr>
      <w:r w:rsidRPr="009B3048">
        <w:rPr>
          <w:sz w:val="22"/>
          <w:szCs w:val="22"/>
          <w:lang w:val="en-US"/>
        </w:rPr>
        <w:lastRenderedPageBreak/>
        <w:t>37.</w:t>
      </w:r>
      <w:r w:rsidRPr="009B3048">
        <w:rPr>
          <w:sz w:val="22"/>
          <w:szCs w:val="22"/>
          <w:lang w:val="en-US"/>
        </w:rPr>
        <w:tab/>
      </w:r>
      <w:r w:rsidR="00787783" w:rsidRPr="009B3048">
        <w:t xml:space="preserve">All of the above measures carry some risk of violating basic human rights and freedoms. Particularly concerning from a human rights perspective are measures that target specific individuals or groups based on a determination that they are particularly ‘at risk’ of violent extremism. Such an approach can be discriminatory and stigmatize various </w:t>
      </w:r>
      <w:proofErr w:type="gramStart"/>
      <w:r w:rsidR="00787783" w:rsidRPr="009B3048">
        <w:t>minority</w:t>
      </w:r>
      <w:proofErr w:type="gramEnd"/>
      <w:r w:rsidR="00787783" w:rsidRPr="009B3048">
        <w:t>, ethnic, religious or indigenous groups. The creation of inchoate offences that are far removed from the commission of acts of violence can violate freedom of expression, thought, conscience, religion or belief, while freedom of assembly and association can be impacted by measures to curb ‘extremist’ NGOs. Measures that involve educational institutions can impact on the right to education and academic freedom. Administrative measures taken on the basis of suspicion, or secret intelligence, raise very serious concerns about the right to the presumption of innocence, due process and a fair trial. It is critical that States strictly monitor the human rights compliance of measures adopted to counter violent extremism, and ensure transparency in the operation of their initiatives</w:t>
      </w:r>
      <w:r w:rsidR="00787783" w:rsidRPr="009B3048">
        <w:rPr>
          <w:sz w:val="22"/>
          <w:szCs w:val="22"/>
        </w:rPr>
        <w:t xml:space="preserve">. </w:t>
      </w:r>
    </w:p>
    <w:p w:rsidR="00787783" w:rsidRPr="009B3048" w:rsidRDefault="00787783" w:rsidP="00787783">
      <w:pPr>
        <w:pStyle w:val="H23G"/>
      </w:pPr>
      <w:r w:rsidRPr="009B3048">
        <w:rPr>
          <w:b w:val="0"/>
        </w:rPr>
        <w:tab/>
      </w:r>
      <w:r w:rsidRPr="009B3048">
        <w:t>1.</w:t>
      </w:r>
      <w:r w:rsidRPr="009B3048">
        <w:tab/>
        <w:t>Impact of measures that limit expression and ban online content</w:t>
      </w:r>
    </w:p>
    <w:p w:rsidR="00787783" w:rsidRPr="009B3048" w:rsidRDefault="009B3048" w:rsidP="009B3048">
      <w:pPr>
        <w:pStyle w:val="SingleTxtG"/>
        <w:rPr>
          <w:b/>
        </w:rPr>
      </w:pPr>
      <w:r w:rsidRPr="009B3048">
        <w:rPr>
          <w:lang w:val="en-US"/>
        </w:rPr>
        <w:t>38.</w:t>
      </w:r>
      <w:r w:rsidRPr="009B3048">
        <w:rPr>
          <w:lang w:val="en-US"/>
        </w:rPr>
        <w:tab/>
      </w:r>
      <w:r w:rsidR="00787783" w:rsidRPr="009B3048">
        <w:t>At the outset, the Special Rapporteur would like to recall that freedom of expression applies to all forms of ideas, information and opinions, including those that offend, shock or disturb the State or any part of the population.</w:t>
      </w:r>
      <w:r w:rsidR="00787783" w:rsidRPr="009B3048">
        <w:rPr>
          <w:rStyle w:val="EndnoteReference"/>
          <w:sz w:val="20"/>
        </w:rPr>
        <w:footnoteReference w:id="79"/>
      </w:r>
      <w:r w:rsidR="00787783" w:rsidRPr="009B3048">
        <w:rPr>
          <w:rStyle w:val="EndnoteReference"/>
          <w:sz w:val="20"/>
        </w:rPr>
        <w:t xml:space="preserve"> </w:t>
      </w:r>
      <w:r w:rsidR="00787783" w:rsidRPr="009B3048">
        <w:t>While the right to freedom of expression is a qualified right that can, and sometimes must, be limited</w:t>
      </w:r>
      <w:r w:rsidR="00787783" w:rsidRPr="009B3048">
        <w:rPr>
          <w:rStyle w:val="EndnoteReference"/>
          <w:sz w:val="20"/>
        </w:rPr>
        <w:footnoteReference w:id="80"/>
      </w:r>
      <w:r w:rsidR="00787783" w:rsidRPr="009B3048">
        <w:rPr>
          <w:rStyle w:val="EndnoteReference"/>
          <w:sz w:val="20"/>
        </w:rPr>
        <w:t>,</w:t>
      </w:r>
      <w:r w:rsidR="00787783" w:rsidRPr="009B3048">
        <w:t xml:space="preserve"> these restrictions must not jeopardise the essence of the right. Thus, it must remain clear that simply holding or peacefully expressing views that are considered ‘extreme’ under any definition should never be criminalised, unless they are associated with violence or criminal activity. The peaceful pursuance of a political, or any other, agenda – even where that agenda is different from the objectives of the government and considered to be ‘extreme’– must be protected. Governments should counter ideas they disagree with, but should not seek to prevent non-violent ideas and opinions from being discussed. </w:t>
      </w:r>
    </w:p>
    <w:p w:rsidR="00787783" w:rsidRPr="009B3048" w:rsidRDefault="009B3048" w:rsidP="009B3048">
      <w:pPr>
        <w:pStyle w:val="SingleTxtG"/>
        <w:rPr>
          <w:b/>
        </w:rPr>
      </w:pPr>
      <w:r w:rsidRPr="009B3048">
        <w:rPr>
          <w:lang w:val="en-US"/>
        </w:rPr>
        <w:t>39.</w:t>
      </w:r>
      <w:r w:rsidRPr="009B3048">
        <w:rPr>
          <w:lang w:val="en-US"/>
        </w:rPr>
        <w:tab/>
      </w:r>
      <w:r w:rsidR="00787783" w:rsidRPr="009B3048">
        <w:t>The Special Rapporteur is cognizant of the difficulties inherent to that proposition, particularly in light of a dangerous grey zone of expression that lies somewhere between peaceful expression and incitement, and that needs to be addressed. Governments have observed that certain groups and individuals exploit freedom of expression by spreading offensive messages that do not meet the threshold of incitement or discrimination, but that do merit condemnation</w:t>
      </w:r>
      <w:r w:rsidR="00787783" w:rsidRPr="009B3048">
        <w:rPr>
          <w:rStyle w:val="EndnoteReference"/>
          <w:sz w:val="20"/>
        </w:rPr>
        <w:footnoteReference w:id="81"/>
      </w:r>
      <w:r w:rsidR="00787783" w:rsidRPr="009B3048">
        <w:rPr>
          <w:rStyle w:val="EndnoteReference"/>
          <w:sz w:val="20"/>
        </w:rPr>
        <w:t>.</w:t>
      </w:r>
      <w:r w:rsidR="00787783" w:rsidRPr="009B3048">
        <w:t xml:space="preserve"> </w:t>
      </w:r>
      <w:proofErr w:type="gramStart"/>
      <w:r w:rsidR="00787783" w:rsidRPr="009B3048">
        <w:t>This</w:t>
      </w:r>
      <w:proofErr w:type="gramEnd"/>
      <w:r w:rsidR="00787783" w:rsidRPr="009B3048">
        <w:t xml:space="preserve"> includes speech that is not a direct call for action</w:t>
      </w:r>
      <w:r w:rsidR="00787783" w:rsidRPr="009B3048">
        <w:rPr>
          <w:rStyle w:val="EndnoteReference"/>
          <w:sz w:val="20"/>
        </w:rPr>
        <w:footnoteReference w:id="82"/>
      </w:r>
      <w:r w:rsidR="00787783" w:rsidRPr="009B3048">
        <w:rPr>
          <w:rStyle w:val="EndnoteReference"/>
          <w:sz w:val="20"/>
        </w:rPr>
        <w:t xml:space="preserve">, </w:t>
      </w:r>
      <w:r w:rsidR="00787783" w:rsidRPr="009B3048">
        <w:t>but that prepares the ideological ground for violent action</w:t>
      </w:r>
      <w:r w:rsidR="00787783" w:rsidRPr="009B3048">
        <w:rPr>
          <w:rStyle w:val="EndnoteReference"/>
          <w:sz w:val="20"/>
        </w:rPr>
        <w:footnoteReference w:id="83"/>
      </w:r>
      <w:r w:rsidR="00787783" w:rsidRPr="009B3048">
        <w:t>. To respond to this, many States have sought to adopt new legislation to criminalise “extremist” speech that does not amount to incitement</w:t>
      </w:r>
      <w:r w:rsidR="00787783" w:rsidRPr="009B3048">
        <w:rPr>
          <w:rStyle w:val="EndnoteReference"/>
          <w:sz w:val="20"/>
        </w:rPr>
        <w:footnoteReference w:id="84"/>
      </w:r>
      <w:r w:rsidR="00787783" w:rsidRPr="009B3048">
        <w:t>, by creating offenses such as ‘advocating’ terrorism</w:t>
      </w:r>
      <w:r w:rsidR="00787783" w:rsidRPr="009B3048">
        <w:rPr>
          <w:rStyle w:val="EndnoteReference"/>
          <w:sz w:val="20"/>
        </w:rPr>
        <w:footnoteReference w:id="85"/>
      </w:r>
      <w:r w:rsidR="00787783" w:rsidRPr="009B3048">
        <w:rPr>
          <w:rStyle w:val="EndnoteReference"/>
          <w:sz w:val="20"/>
        </w:rPr>
        <w:t>,</w:t>
      </w:r>
      <w:r w:rsidR="00787783" w:rsidRPr="009B3048">
        <w:t xml:space="preserve"> the direct or indirect ‘inducement’, ‘encouragement’</w:t>
      </w:r>
      <w:r w:rsidR="00787783" w:rsidRPr="009B3048">
        <w:rPr>
          <w:rStyle w:val="EndnoteReference"/>
          <w:sz w:val="20"/>
        </w:rPr>
        <w:footnoteReference w:id="86"/>
      </w:r>
      <w:r w:rsidR="00787783" w:rsidRPr="009B3048">
        <w:t xml:space="preserve"> or ‘glorification’ of terrorism</w:t>
      </w:r>
      <w:r w:rsidR="00787783" w:rsidRPr="009B3048">
        <w:rPr>
          <w:rStyle w:val="EndnoteReference"/>
          <w:sz w:val="20"/>
        </w:rPr>
        <w:footnoteReference w:id="87"/>
      </w:r>
      <w:r w:rsidR="00787783" w:rsidRPr="009B3048">
        <w:rPr>
          <w:rStyle w:val="EndnoteReference"/>
          <w:sz w:val="20"/>
        </w:rPr>
        <w:t>,</w:t>
      </w:r>
      <w:r w:rsidR="00787783" w:rsidRPr="009B3048">
        <w:t xml:space="preserve"> or lending material </w:t>
      </w:r>
      <w:r w:rsidR="00787783" w:rsidRPr="009B3048">
        <w:lastRenderedPageBreak/>
        <w:t>support to terrorism</w:t>
      </w:r>
      <w:r w:rsidR="00787783" w:rsidRPr="009B3048">
        <w:rPr>
          <w:rStyle w:val="EndnoteReference"/>
          <w:sz w:val="20"/>
        </w:rPr>
        <w:footnoteReference w:id="88"/>
      </w:r>
      <w:r w:rsidR="00787783" w:rsidRPr="009B3048">
        <w:rPr>
          <w:rStyle w:val="EndnoteReference"/>
          <w:sz w:val="20"/>
        </w:rPr>
        <w:t>.</w:t>
      </w:r>
      <w:r w:rsidR="00787783" w:rsidRPr="009B3048">
        <w:t xml:space="preserve"> Others have converted previously civil offences into criminal offences.</w:t>
      </w:r>
      <w:r w:rsidR="00787783" w:rsidRPr="009B3048">
        <w:rPr>
          <w:rStyle w:val="EndnoteReference"/>
          <w:sz w:val="20"/>
        </w:rPr>
        <w:footnoteReference w:id="89"/>
      </w:r>
      <w:r w:rsidR="00787783" w:rsidRPr="009B3048">
        <w:rPr>
          <w:rStyle w:val="EndnoteReference"/>
          <w:sz w:val="20"/>
        </w:rPr>
        <w:t xml:space="preserve"> </w:t>
      </w:r>
      <w:r w:rsidR="00787783" w:rsidRPr="009B3048">
        <w:t>These new offences have in common that liability is based on the content of the speech, rather than the speaker’s intention or the actual impact of the speech. The Human Rights Committee has highlighted that offences of “praising”, “glorifying”, or “justifying” terrorism must be clearly defined to ensure that they do not lead to unnecessary or disproportionate interferences with freedom of expression.</w:t>
      </w:r>
      <w:r w:rsidR="00787783" w:rsidRPr="009B3048">
        <w:rPr>
          <w:rStyle w:val="EndnoteReference"/>
          <w:sz w:val="20"/>
        </w:rPr>
        <w:footnoteReference w:id="90"/>
      </w:r>
      <w:r w:rsidR="00787783" w:rsidRPr="009B3048">
        <w:t xml:space="preserve"> The Secretary-General has deprecated the “troubling trend” of criminalising the glorification of terrorism, considering it to be an inappropriate restriction on expression.</w:t>
      </w:r>
      <w:r w:rsidR="00787783" w:rsidRPr="009B3048">
        <w:rPr>
          <w:rStyle w:val="EndnoteReference"/>
          <w:sz w:val="20"/>
        </w:rPr>
        <w:footnoteReference w:id="91"/>
      </w:r>
      <w:r w:rsidR="00787783" w:rsidRPr="009B3048">
        <w:rPr>
          <w:rStyle w:val="EndnoteReference"/>
          <w:sz w:val="20"/>
        </w:rPr>
        <w:t xml:space="preserve"> </w:t>
      </w:r>
      <w:r w:rsidR="00787783" w:rsidRPr="009B3048">
        <w:t>Following one case in which an individual was convicted of providing material support for Al-Qaeda by translating and posting on the Internet recruitment videos and other documents, critics decried that “ordinary people--including writers and journalists, academic researchers, translators, and even ordinary web surfers—[can] be prosecuted for researching or translating controversial and unpopular ideas.”</w:t>
      </w:r>
      <w:r w:rsidR="00787783" w:rsidRPr="009B3048">
        <w:rPr>
          <w:rStyle w:val="EndnoteReference"/>
          <w:sz w:val="20"/>
        </w:rPr>
        <w:footnoteReference w:id="92"/>
      </w:r>
      <w:r w:rsidR="00787783" w:rsidRPr="009B3048">
        <w:rPr>
          <w:rStyle w:val="EndnoteReference"/>
          <w:sz w:val="20"/>
        </w:rPr>
        <w:t xml:space="preserve"> </w:t>
      </w:r>
    </w:p>
    <w:p w:rsidR="00787783" w:rsidRPr="009B3048" w:rsidRDefault="009B3048" w:rsidP="009B3048">
      <w:pPr>
        <w:pStyle w:val="SingleTxtG"/>
        <w:rPr>
          <w:b/>
          <w:sz w:val="22"/>
          <w:szCs w:val="22"/>
        </w:rPr>
      </w:pPr>
      <w:r w:rsidRPr="009B3048">
        <w:rPr>
          <w:sz w:val="22"/>
          <w:szCs w:val="22"/>
          <w:lang w:val="en-US"/>
        </w:rPr>
        <w:t>40.</w:t>
      </w:r>
      <w:r w:rsidRPr="009B3048">
        <w:rPr>
          <w:sz w:val="22"/>
          <w:szCs w:val="22"/>
          <w:lang w:val="en-US"/>
        </w:rPr>
        <w:tab/>
      </w:r>
      <w:r w:rsidR="00787783" w:rsidRPr="009B3048">
        <w:t>The role that the Internet has played in the recruitment or radicalisation of individuals has led many States to adopt a combination of repressive legislative measures to block, filter and ban specific content or entire websites. In some cases, mechanisms have been set up to identify and refer content to Internet and social media companies for removal.</w:t>
      </w:r>
      <w:r w:rsidR="00787783" w:rsidRPr="009B3048">
        <w:rPr>
          <w:rStyle w:val="EndnoteReference"/>
          <w:sz w:val="20"/>
        </w:rPr>
        <w:footnoteReference w:id="93"/>
      </w:r>
      <w:r w:rsidR="00787783" w:rsidRPr="009B3048">
        <w:t xml:space="preserve"> The volume of unlawful content removed by Internet companies has increased significantly, to 46,000 pieces in 2014.</w:t>
      </w:r>
      <w:r w:rsidR="00787783" w:rsidRPr="009B3048">
        <w:rPr>
          <w:rStyle w:val="EndnoteReference"/>
          <w:sz w:val="20"/>
        </w:rPr>
        <w:footnoteReference w:id="94"/>
      </w:r>
      <w:r w:rsidR="00787783" w:rsidRPr="009B3048">
        <w:rPr>
          <w:rStyle w:val="EndnoteReference"/>
          <w:sz w:val="20"/>
        </w:rPr>
        <w:t xml:space="preserve"> </w:t>
      </w:r>
      <w:r w:rsidR="00787783" w:rsidRPr="009B3048">
        <w:t>The Special Rapporteur recalls that any measure taken to prevent or remove messages communicated through the Internet or other forms of technology constitute an interference with the right to freedom of expression and must be justified. The Human Rights Committee notes that bans on the operation of certain sites should not be generic but content-specific; and no site or information dissemination system should be prohibited from publishing material solely on the basis that it may be critical of the government or the social system espoused by the government.</w:t>
      </w:r>
      <w:r w:rsidR="00787783" w:rsidRPr="009B3048">
        <w:rPr>
          <w:rStyle w:val="EndnoteReference"/>
          <w:sz w:val="20"/>
        </w:rPr>
        <w:footnoteReference w:id="95"/>
      </w:r>
      <w:r w:rsidR="00787783" w:rsidRPr="009B3048">
        <w:t xml:space="preserve"> Independent judicial recourse must be available. Laws that allow executive authorities to block websites, in the absence of any initial judicial control or ex-post facto judicial recourse may not comply with this requirement</w:t>
      </w:r>
      <w:r w:rsidR="00787783" w:rsidRPr="009B3048">
        <w:rPr>
          <w:rStyle w:val="EndnoteReference"/>
          <w:sz w:val="20"/>
        </w:rPr>
        <w:footnoteReference w:id="96"/>
      </w:r>
      <w:r w:rsidR="00787783" w:rsidRPr="009B3048">
        <w:rPr>
          <w:rStyle w:val="EndnoteReference"/>
          <w:sz w:val="20"/>
        </w:rPr>
        <w:t>.</w:t>
      </w:r>
      <w:r w:rsidR="00787783" w:rsidRPr="009B3048">
        <w:t xml:space="preserve"> In </w:t>
      </w:r>
      <w:proofErr w:type="gramStart"/>
      <w:r w:rsidR="00787783" w:rsidRPr="009B3048">
        <w:t>addition,</w:t>
      </w:r>
      <w:proofErr w:type="gramEnd"/>
      <w:r w:rsidR="00787783" w:rsidRPr="009B3048">
        <w:t xml:space="preserve"> the Special Rapporteur recalls his conclusions that </w:t>
      </w:r>
      <w:r w:rsidR="00787783" w:rsidRPr="009B3048">
        <w:lastRenderedPageBreak/>
        <w:t>States’ obligations under article 17 of the ICCPR include the obligation to respect the privacy and security of digital communications. This implies in principle that individuals have the right to share information and ideas with one another without interference by the State, secure in the knowledge that their communication will reach and be read by the intended recipients alone. Measures that interfere with this right must by authorized by domestic law that is accessible and precise, must pursue a legitimate aim and meet the tests of necessity and proportionality.</w:t>
      </w:r>
      <w:r w:rsidR="00787783" w:rsidRPr="009B3048">
        <w:rPr>
          <w:rStyle w:val="EndnoteReference"/>
          <w:sz w:val="20"/>
        </w:rPr>
        <w:footnoteReference w:id="97"/>
      </w:r>
      <w:r w:rsidR="00787783" w:rsidRPr="009B3048">
        <w:rPr>
          <w:rStyle w:val="EndnoteReference"/>
          <w:sz w:val="20"/>
        </w:rPr>
        <w:t xml:space="preserve"> </w:t>
      </w:r>
      <w:r w:rsidR="00787783" w:rsidRPr="009B3048">
        <w:t>The Special Rapporteur on the right to freedom of expression has noted that many of the efforts to combat hate speech (including requests to block websites) are misguided and, as with violent extremism, strategies addressing the root causes of such viewpoints are to be prioritised.</w:t>
      </w:r>
      <w:r w:rsidR="00787783" w:rsidRPr="009B3048">
        <w:rPr>
          <w:rStyle w:val="EndnoteReference"/>
          <w:sz w:val="20"/>
        </w:rPr>
        <w:footnoteReference w:id="98"/>
      </w:r>
      <w:r w:rsidR="00787783" w:rsidRPr="009B3048">
        <w:rPr>
          <w:rStyle w:val="EndnoteReference"/>
          <w:sz w:val="20"/>
        </w:rPr>
        <w:t xml:space="preserve"> </w:t>
      </w:r>
      <w:r w:rsidR="00787783" w:rsidRPr="009B3048">
        <w:t>The Special Rapporteur recognises the importance of not letting hate speech go unchecked, but agrees that the underlying causes should also be addressed</w:t>
      </w:r>
      <w:r w:rsidR="00787783" w:rsidRPr="009B3048">
        <w:rPr>
          <w:sz w:val="22"/>
          <w:szCs w:val="22"/>
        </w:rPr>
        <w:t>.</w:t>
      </w:r>
    </w:p>
    <w:p w:rsidR="00787783" w:rsidRPr="009B3048" w:rsidRDefault="00787783" w:rsidP="00787783">
      <w:pPr>
        <w:pStyle w:val="H23G"/>
      </w:pPr>
      <w:r w:rsidRPr="009B3048">
        <w:tab/>
        <w:t>2.</w:t>
      </w:r>
      <w:r w:rsidRPr="009B3048">
        <w:tab/>
        <w:t>Impact of measures that limit the movement of individuals</w:t>
      </w:r>
    </w:p>
    <w:p w:rsidR="00787783" w:rsidRPr="009B3048" w:rsidRDefault="009B3048" w:rsidP="009B3048">
      <w:pPr>
        <w:pStyle w:val="SingleTxtG"/>
        <w:rPr>
          <w:b/>
        </w:rPr>
      </w:pPr>
      <w:r w:rsidRPr="009B3048">
        <w:rPr>
          <w:lang w:val="en-US"/>
        </w:rPr>
        <w:t>41.</w:t>
      </w:r>
      <w:r w:rsidRPr="009B3048">
        <w:rPr>
          <w:lang w:val="en-US"/>
        </w:rPr>
        <w:tab/>
      </w:r>
      <w:r w:rsidR="00787783" w:rsidRPr="009B3048">
        <w:t>Some States are considering modifying various aspects of their legislation to prevent the internal movement or entry of individuals considered to be ‘extremists’. These might include measures that exclude individuals from returning to a country where they have the right of abode, that relocate individuals within their country of residence or nationality, that amend citizenship rules, or review the rules applicable to asylum-seekers</w:t>
      </w:r>
      <w:r w:rsidR="00787783" w:rsidRPr="009B3048">
        <w:rPr>
          <w:rStyle w:val="EndnoteReference"/>
          <w:sz w:val="20"/>
        </w:rPr>
        <w:footnoteReference w:id="99"/>
      </w:r>
      <w:r w:rsidR="00787783" w:rsidRPr="009B3048">
        <w:t xml:space="preserve">. Such measures can obviously have a serious impact on freedom of movement, the presumption of innocence and the right to due process, the right to protection for the home, family life, and privacy, the right to be protected against the arbitrary deprivation of nationality, the right to liberty and security, and the rights to freedom of religion, belief, opinion, expression or association. They may also have a serious impact on the right of refugees for protection under the 1951 Convention. Such measures are particularly problematic where the proscribed conduct is very broadly defined, where the involvement of the judiciary is limited, or where the burden of proof is very low. </w:t>
      </w:r>
    </w:p>
    <w:p w:rsidR="00787783" w:rsidRPr="009B3048" w:rsidRDefault="009B3048" w:rsidP="009B3048">
      <w:pPr>
        <w:pStyle w:val="SingleTxtG"/>
        <w:rPr>
          <w:b/>
          <w:sz w:val="22"/>
          <w:szCs w:val="22"/>
        </w:rPr>
      </w:pPr>
      <w:r w:rsidRPr="009B3048">
        <w:rPr>
          <w:sz w:val="22"/>
          <w:szCs w:val="22"/>
          <w:lang w:val="en-US"/>
        </w:rPr>
        <w:t>42.</w:t>
      </w:r>
      <w:r w:rsidRPr="009B3048">
        <w:rPr>
          <w:sz w:val="22"/>
          <w:szCs w:val="22"/>
          <w:lang w:val="en-US"/>
        </w:rPr>
        <w:tab/>
      </w:r>
      <w:r w:rsidR="00787783" w:rsidRPr="009B3048">
        <w:t>States have a right to determine who is entitled to enter and stay in their territory. Yet where an individual has crossed an international border, a number of rights apply, particularly if the individual applies for refugee status.</w:t>
      </w:r>
      <w:r w:rsidR="00787783" w:rsidRPr="009B3048">
        <w:rPr>
          <w:rStyle w:val="EndnoteReference"/>
          <w:sz w:val="20"/>
        </w:rPr>
        <w:footnoteReference w:id="100"/>
      </w:r>
      <w:r w:rsidR="00787783" w:rsidRPr="009B3048">
        <w:rPr>
          <w:rStyle w:val="EndnoteReference"/>
          <w:sz w:val="20"/>
        </w:rPr>
        <w:t xml:space="preserve"> </w:t>
      </w:r>
      <w:r w:rsidR="00787783" w:rsidRPr="009B3048">
        <w:t>While States have the right to detain foreigners prior to deportation, it is important that there are appropriate safeguards before any deportation takes place, particularly to avoid the return of an individual to a country where there is a risk of ill-treatment (</w:t>
      </w:r>
      <w:r w:rsidR="00787783" w:rsidRPr="009B3048">
        <w:rPr>
          <w:i/>
        </w:rPr>
        <w:t>refoulement</w:t>
      </w:r>
      <w:r w:rsidR="00787783" w:rsidRPr="009B3048">
        <w:t>). The Special Rapporteur recalls that international human rights law forbids statelessness and includes the right to a nationality. Given the risk of statelessness that exists whenever nationality is withdrawn, States that have adopted or are considering adopting measures that aim to remove nationality must ensure that these comply with international human rights law. States must ensure that all persons enjoy the right to nationality without discrimination of any kind, and that no one is deprived of their nationality on the basis of discriminatory grounds. Any violation of the right to a nationality must be open to an effective remedy</w:t>
      </w:r>
      <w:r w:rsidR="00787783" w:rsidRPr="009B3048">
        <w:rPr>
          <w:rStyle w:val="EndnoteReference"/>
        </w:rPr>
        <w:t>.</w:t>
      </w:r>
      <w:r w:rsidR="00787783" w:rsidRPr="009B3048">
        <w:rPr>
          <w:rStyle w:val="EndnoteReference"/>
        </w:rPr>
        <w:footnoteReference w:id="101"/>
      </w:r>
    </w:p>
    <w:p w:rsidR="00682DA4" w:rsidRPr="009B3048" w:rsidRDefault="00682DA4" w:rsidP="00682DA4">
      <w:pPr>
        <w:pStyle w:val="H23G"/>
      </w:pPr>
      <w:r w:rsidRPr="009B3048">
        <w:lastRenderedPageBreak/>
        <w:tab/>
        <w:t>3.</w:t>
      </w:r>
      <w:r w:rsidRPr="009B3048">
        <w:tab/>
        <w:t>Impact of measures that target specific groups or individuals</w:t>
      </w:r>
    </w:p>
    <w:p w:rsidR="00787783" w:rsidRPr="009B3048" w:rsidRDefault="009B3048" w:rsidP="009B3048">
      <w:pPr>
        <w:pStyle w:val="SingleTxtG"/>
        <w:rPr>
          <w:rStyle w:val="EndnoteReference"/>
          <w:b/>
          <w:sz w:val="20"/>
          <w:vertAlign w:val="baseline"/>
        </w:rPr>
      </w:pPr>
      <w:r w:rsidRPr="009B3048">
        <w:rPr>
          <w:rStyle w:val="EndnoteReference"/>
          <w:sz w:val="20"/>
          <w:vertAlign w:val="baseline"/>
          <w:lang w:val="en-US"/>
        </w:rPr>
        <w:t>43.</w:t>
      </w:r>
      <w:r w:rsidRPr="009B3048">
        <w:rPr>
          <w:rStyle w:val="EndnoteReference"/>
          <w:sz w:val="20"/>
          <w:vertAlign w:val="baseline"/>
          <w:lang w:val="en-US"/>
        </w:rPr>
        <w:tab/>
      </w:r>
      <w:r w:rsidR="00682DA4" w:rsidRPr="009B3048">
        <w:t>O</w:t>
      </w:r>
      <w:r w:rsidR="00787783" w:rsidRPr="009B3048">
        <w:t>n paper, most strategies to counter violent extremism are generic. In practice, however, they tend to target specific groups determined to be most ‘at risk’ of being drawn to violent extremism</w:t>
      </w:r>
      <w:r w:rsidR="00787783" w:rsidRPr="009B3048">
        <w:rPr>
          <w:rStyle w:val="EndnoteReference"/>
          <w:sz w:val="20"/>
        </w:rPr>
        <w:t>.</w:t>
      </w:r>
      <w:r w:rsidR="00787783" w:rsidRPr="009B3048">
        <w:rPr>
          <w:rStyle w:val="EndnoteReference"/>
          <w:sz w:val="20"/>
        </w:rPr>
        <w:footnoteReference w:id="102"/>
      </w:r>
      <w:r w:rsidR="00787783" w:rsidRPr="009B3048">
        <w:rPr>
          <w:rStyle w:val="EndnoteReference"/>
          <w:sz w:val="20"/>
        </w:rPr>
        <w:t xml:space="preserve"> T</w:t>
      </w:r>
      <w:r w:rsidR="00787783" w:rsidRPr="009B3048">
        <w:t>he Special Rapporteur recalls the work of his predecessor on the risks linked to ‘terrorist profiling’,</w:t>
      </w:r>
      <w:r w:rsidR="00787783" w:rsidRPr="009B3048">
        <w:rPr>
          <w:rStyle w:val="EndnoteReference"/>
          <w:sz w:val="20"/>
        </w:rPr>
        <w:footnoteReference w:id="103"/>
      </w:r>
      <w:r w:rsidR="00787783" w:rsidRPr="009B3048">
        <w:t xml:space="preserve"> and notes that the GCTF’s Hague-Marrakech Memorandum on Good Practices for a More Effective Response to the FTF Phenomenon notes as good practice that States should “avoid and seek to prevent the identification of […] violent extremism with any religion, culture ethnic group nationality, or race”. The Special Rapporteur is of the opinion that effective strategies should not be based on pre- or </w:t>
      </w:r>
      <w:proofErr w:type="spellStart"/>
      <w:r w:rsidR="00787783" w:rsidRPr="009B3048">
        <w:t>mis</w:t>
      </w:r>
      <w:proofErr w:type="spellEnd"/>
      <w:r w:rsidR="00787783" w:rsidRPr="009B3048">
        <w:t>-conceptions about the groups that are most susceptible to radicalisation or violent extremism, but should be developed in reliance on evidence to ensure a proper understanding of the national and local issues that impact the radicalisation process. This will not only ensure that all at-risk communities are adequately engaged with, but also that entire communities, ethnic or religious groups are not stigmatized.</w:t>
      </w:r>
      <w:r w:rsidR="00787783" w:rsidRPr="009B3048">
        <w:rPr>
          <w:rStyle w:val="EndnoteReference"/>
          <w:sz w:val="20"/>
        </w:rPr>
        <w:footnoteReference w:id="104"/>
      </w:r>
      <w:r w:rsidR="00787783" w:rsidRPr="009B3048">
        <w:t xml:space="preserve"> Article 26 of the ICCPR not only guarantees to all persons equal and effective protection against discrimination on any ground, but entitles all persons to equality before the law and equal protection of the law</w:t>
      </w:r>
      <w:r w:rsidR="00787783" w:rsidRPr="009B3048">
        <w:rPr>
          <w:rStyle w:val="EndnoteReference"/>
          <w:sz w:val="20"/>
        </w:rPr>
        <w:footnoteReference w:id="105"/>
      </w:r>
      <w:r w:rsidR="00787783" w:rsidRPr="009B3048">
        <w:rPr>
          <w:rStyle w:val="EndnoteReference"/>
          <w:sz w:val="20"/>
        </w:rPr>
        <w:t>.</w:t>
      </w:r>
      <w:r w:rsidR="00787783" w:rsidRPr="009B3048">
        <w:t xml:space="preserve"> In addition, it is important that those involved in the delivery of programmes consider whether to use the countering or preventing violent extremism label, as this may make recipients feel that they are seen as supporting or condoning extremism. While these programmes may bring needed resources to communities, they also run the risk of isolating communities whose support is critical to the programmes’ effectiveness</w:t>
      </w:r>
      <w:r w:rsidR="00C552C7" w:rsidRPr="009B3048">
        <w:t>.</w:t>
      </w:r>
    </w:p>
    <w:p w:rsidR="00787783" w:rsidRPr="009B3048" w:rsidRDefault="009B3048" w:rsidP="009B3048">
      <w:pPr>
        <w:pStyle w:val="SingleTxtG"/>
        <w:rPr>
          <w:b/>
        </w:rPr>
      </w:pPr>
      <w:r w:rsidRPr="009B3048">
        <w:rPr>
          <w:lang w:val="en-US"/>
        </w:rPr>
        <w:t>44.</w:t>
      </w:r>
      <w:r w:rsidRPr="009B3048">
        <w:rPr>
          <w:lang w:val="en-US"/>
        </w:rPr>
        <w:tab/>
      </w:r>
      <w:r w:rsidR="00787783" w:rsidRPr="009B3048">
        <w:t>Several States have set up programmes to counsel, support and mentor individuals who are considered ‘at risk’ of or ‘vulnerable’ to violent extremism.</w:t>
      </w:r>
      <w:r w:rsidR="00787783" w:rsidRPr="009B3048">
        <w:rPr>
          <w:rStyle w:val="FootnoteReference"/>
          <w:sz w:val="20"/>
        </w:rPr>
        <w:footnoteReference w:id="106"/>
      </w:r>
      <w:r w:rsidR="00787783" w:rsidRPr="009B3048">
        <w:t xml:space="preserve"> A primary concern is how those individuals are identified, what indicators are taken into consideration, and who is qualified to refer.</w:t>
      </w:r>
      <w:r w:rsidR="00787783" w:rsidRPr="009B3048">
        <w:rPr>
          <w:rStyle w:val="EndnoteReference"/>
          <w:sz w:val="20"/>
        </w:rPr>
        <w:footnoteReference w:id="107"/>
      </w:r>
      <w:r w:rsidR="00787783" w:rsidRPr="009B3048">
        <w:rPr>
          <w:rStyle w:val="EndnoteReference"/>
          <w:sz w:val="20"/>
        </w:rPr>
        <w:t xml:space="preserve"> </w:t>
      </w:r>
      <w:proofErr w:type="gramStart"/>
      <w:r w:rsidR="00787783" w:rsidRPr="009B3048">
        <w:t>Independent evaluations of the programmes’ effectiveness is</w:t>
      </w:r>
      <w:proofErr w:type="gramEnd"/>
      <w:r w:rsidR="00787783" w:rsidRPr="009B3048">
        <w:t xml:space="preserve"> scarce, largely due to a lack of transparency in their implementation. Yet their impact on a </w:t>
      </w:r>
      <w:r w:rsidR="00787783" w:rsidRPr="009B3048">
        <w:lastRenderedPageBreak/>
        <w:t>number of rights, including the right to freedom of thought, religion, privacy and non-discrimination can be important. It should be borne in mind that the effectiveness of any programme that requires the contribution and assistance of family members or friends, including by referrals to the police</w:t>
      </w:r>
      <w:r w:rsidR="00787783" w:rsidRPr="009B3048">
        <w:rPr>
          <w:rStyle w:val="EndnoteReference"/>
          <w:sz w:val="20"/>
        </w:rPr>
        <w:footnoteReference w:id="108"/>
      </w:r>
      <w:r w:rsidR="00787783" w:rsidRPr="009B3048">
        <w:rPr>
          <w:rStyle w:val="EndnoteReference"/>
          <w:sz w:val="20"/>
        </w:rPr>
        <w:t>,</w:t>
      </w:r>
      <w:r w:rsidR="00787783" w:rsidRPr="009B3048">
        <w:t xml:space="preserve"> relies on trust that the authorities will respect the rights of the individuals referred. </w:t>
      </w:r>
    </w:p>
    <w:p w:rsidR="00787783" w:rsidRPr="009B3048" w:rsidRDefault="009B3048" w:rsidP="009B3048">
      <w:pPr>
        <w:pStyle w:val="SingleTxtG"/>
        <w:rPr>
          <w:b/>
        </w:rPr>
      </w:pPr>
      <w:r w:rsidRPr="009B3048">
        <w:rPr>
          <w:lang w:val="en-US"/>
        </w:rPr>
        <w:t>45.</w:t>
      </w:r>
      <w:r w:rsidRPr="009B3048">
        <w:rPr>
          <w:lang w:val="en-US"/>
        </w:rPr>
        <w:tab/>
      </w:r>
      <w:r w:rsidR="00787783" w:rsidRPr="009B3048">
        <w:t>In addition, some states have adopted or are considering adopting a legal duty for public-sector bodies to assist in identifying individuals who may be vulnerable or at risk of being drawn into terrorism, to ensure that they are given appropriate advice and support. Concerns have focussed on the incompatibility of this obligation with some public bodies’ functions, particularly those involved in healthcare, where duties of confidentiality might be compromised, and education</w:t>
      </w:r>
      <w:r w:rsidR="00787783" w:rsidRPr="009B3048">
        <w:rPr>
          <w:rStyle w:val="EndnoteReference"/>
          <w:sz w:val="20"/>
        </w:rPr>
        <w:footnoteReference w:id="109"/>
      </w:r>
      <w:r w:rsidR="00787783" w:rsidRPr="009B3048">
        <w:rPr>
          <w:rStyle w:val="EndnoteReference"/>
          <w:sz w:val="20"/>
        </w:rPr>
        <w:t xml:space="preserve"> </w:t>
      </w:r>
      <w:r w:rsidR="00787783" w:rsidRPr="009B3048">
        <w:t>where the free-flow of ideas is crucial. Educators should not be required to act as watchdogs or intelligence officers, nor should they be obliged to act in ways that might impinge the right to education, academic freedom or freedom of expression, thought, religion or belief.</w:t>
      </w:r>
      <w:r w:rsidR="00787783" w:rsidRPr="009B3048">
        <w:rPr>
          <w:rStyle w:val="EndnoteReference"/>
          <w:sz w:val="20"/>
        </w:rPr>
        <w:footnoteReference w:id="110"/>
      </w:r>
      <w:r w:rsidR="00787783" w:rsidRPr="009B3048">
        <w:t xml:space="preserve"> Such measures may lead pupils and students to self-censor to avoid being branded ‘extremist’, cause teachers and other staff to view pupils and students as potential threats</w:t>
      </w:r>
      <w:proofErr w:type="gramStart"/>
      <w:r w:rsidR="00787783" w:rsidRPr="009B3048">
        <w:t>,</w:t>
      </w:r>
      <w:proofErr w:type="gramEnd"/>
      <w:r w:rsidR="00787783" w:rsidRPr="009B3048">
        <w:rPr>
          <w:rStyle w:val="EndnoteReference"/>
          <w:sz w:val="20"/>
        </w:rPr>
        <w:footnoteReference w:id="111"/>
      </w:r>
      <w:r w:rsidR="00787783" w:rsidRPr="009B3048">
        <w:rPr>
          <w:rStyle w:val="EndnoteReference"/>
          <w:sz w:val="20"/>
        </w:rPr>
        <w:t xml:space="preserve"> </w:t>
      </w:r>
      <w:r w:rsidR="00787783" w:rsidRPr="009B3048">
        <w:t>or avoid discussing certain issues or inviting guest speakers whose views may be controversial.</w:t>
      </w:r>
      <w:r w:rsidR="00787783" w:rsidRPr="009B3048">
        <w:rPr>
          <w:rStyle w:val="EndnoteReference"/>
          <w:sz w:val="20"/>
        </w:rPr>
        <w:footnoteReference w:id="112"/>
      </w:r>
      <w:r w:rsidR="00787783" w:rsidRPr="009B3048">
        <w:rPr>
          <w:rStyle w:val="EndnoteReference"/>
          <w:sz w:val="20"/>
        </w:rPr>
        <w:t xml:space="preserve"> </w:t>
      </w:r>
      <w:r w:rsidR="00787783" w:rsidRPr="009B3048">
        <w:t>The lack of certainty about what elements to take into consideration may also lead educators to be overly cautious and needlessly report through fear of sanctions.</w:t>
      </w:r>
      <w:r w:rsidR="00787783" w:rsidRPr="009B3048">
        <w:rPr>
          <w:rStyle w:val="EndnoteReference"/>
          <w:sz w:val="20"/>
        </w:rPr>
        <w:footnoteReference w:id="113"/>
      </w:r>
      <w:r w:rsidR="00787783" w:rsidRPr="009B3048">
        <w:rPr>
          <w:rStyle w:val="EndnoteReference"/>
          <w:sz w:val="20"/>
        </w:rPr>
        <w:t xml:space="preserve"> </w:t>
      </w:r>
      <w:r w:rsidR="00787783" w:rsidRPr="009B3048">
        <w:t xml:space="preserve">In this respect, the Special Rapporteur recalls the overriding principle of the Convention on the Rights of the Child: that in all actions concerning children, the best interests of the child shall be a primary consideration (article 3). In addition, the Convention states that measures should be taken to ensure the child is protected against all forms of discrimination or punishment on the basis of the opinions or beliefs of the child’s parents, legal guardians or family members (article 1). </w:t>
      </w:r>
    </w:p>
    <w:p w:rsidR="00787783" w:rsidRPr="009B3048" w:rsidRDefault="009B3048" w:rsidP="009B3048">
      <w:pPr>
        <w:pStyle w:val="SingleTxtG"/>
        <w:rPr>
          <w:b/>
        </w:rPr>
      </w:pPr>
      <w:r w:rsidRPr="009B3048">
        <w:rPr>
          <w:lang w:val="en-US"/>
        </w:rPr>
        <w:t>46.</w:t>
      </w:r>
      <w:r w:rsidRPr="009B3048">
        <w:rPr>
          <w:lang w:val="en-US"/>
        </w:rPr>
        <w:tab/>
      </w:r>
      <w:r w:rsidR="00787783" w:rsidRPr="009B3048">
        <w:t xml:space="preserve">The Special Rapporteur concurs with the Special Rapporteur on freedom of expression and opinion that freedom of expression is essential to creating an environment conducive to critical discussions of religious and racial issues and to promoting understanding and tolerance by deconstructing negative stereotypes. For the right to freedom of thought, conscience and religion to be fully realized, robust examination and </w:t>
      </w:r>
      <w:r w:rsidR="00787783" w:rsidRPr="009B3048">
        <w:lastRenderedPageBreak/>
        <w:t>criticism of religious doctrines and practices must be allowed.</w:t>
      </w:r>
      <w:r w:rsidR="00787783" w:rsidRPr="009B3048">
        <w:rPr>
          <w:rStyle w:val="EndnoteReference"/>
          <w:sz w:val="20"/>
        </w:rPr>
        <w:footnoteReference w:id="114"/>
      </w:r>
      <w:r w:rsidR="00787783" w:rsidRPr="009B3048">
        <w:rPr>
          <w:rStyle w:val="EndnoteReference"/>
          <w:sz w:val="20"/>
        </w:rPr>
        <w:t xml:space="preserve"> </w:t>
      </w:r>
      <w:r w:rsidR="00787783" w:rsidRPr="009B3048">
        <w:t>The Special Rapporteur warns against the possible counter-productive impact of reporting measures if they lead individuals to avoid open discussions for fear of being branded ‘extremist’.</w:t>
      </w:r>
    </w:p>
    <w:p w:rsidR="0045561B" w:rsidRPr="009B3048" w:rsidRDefault="009B3048" w:rsidP="009B3048">
      <w:pPr>
        <w:pStyle w:val="SingleTxtG"/>
        <w:rPr>
          <w:b/>
          <w:sz w:val="22"/>
          <w:szCs w:val="22"/>
        </w:rPr>
      </w:pPr>
      <w:r w:rsidRPr="009B3048">
        <w:rPr>
          <w:sz w:val="22"/>
          <w:szCs w:val="22"/>
          <w:lang w:val="en-US"/>
        </w:rPr>
        <w:t>47.</w:t>
      </w:r>
      <w:r w:rsidRPr="009B3048">
        <w:rPr>
          <w:sz w:val="22"/>
          <w:szCs w:val="22"/>
          <w:lang w:val="en-US"/>
        </w:rPr>
        <w:tab/>
      </w:r>
      <w:r w:rsidR="00787783" w:rsidRPr="009B3048">
        <w:t>Finally, there can be a perception among communities that counter-extremism initiatives are simply another vehicle for the State to implement the security aspects of its counter-terrorism strategy. Individuals or communities targeted by measures to counter violent extremism have perceived, rightly or wrongly, that some of the measures, such as individualised counselling or mentoring</w:t>
      </w:r>
      <w:r w:rsidR="00787783" w:rsidRPr="009B3048">
        <w:rPr>
          <w:rStyle w:val="EndnoteReference"/>
          <w:sz w:val="20"/>
        </w:rPr>
        <w:footnoteReference w:id="115"/>
      </w:r>
      <w:r w:rsidR="00787783" w:rsidRPr="009B3048">
        <w:t xml:space="preserve"> and community outreach</w:t>
      </w:r>
      <w:r w:rsidR="00787783" w:rsidRPr="009B3048">
        <w:rPr>
          <w:rStyle w:val="EndnoteReference"/>
          <w:sz w:val="20"/>
        </w:rPr>
        <w:footnoteReference w:id="116"/>
      </w:r>
      <w:r w:rsidR="00787783" w:rsidRPr="009B3048">
        <w:t xml:space="preserve"> (particularly where it involves the police) are intended to gather information and intelligence on individuals, groups and communities</w:t>
      </w:r>
      <w:r w:rsidR="00787783" w:rsidRPr="009B3048">
        <w:rPr>
          <w:rStyle w:val="EndnoteReference"/>
          <w:sz w:val="20"/>
        </w:rPr>
        <w:footnoteReference w:id="117"/>
      </w:r>
      <w:r w:rsidR="00787783" w:rsidRPr="009B3048">
        <w:rPr>
          <w:rStyle w:val="EndnoteReference"/>
          <w:sz w:val="20"/>
        </w:rPr>
        <w:t xml:space="preserve"> </w:t>
      </w:r>
      <w:r w:rsidR="00787783" w:rsidRPr="009B3048">
        <w:t>rather than assist them in building resilience against the threat of violent extremism. If substantiated, such approaches might violate the right to privacy and, by further stigmatizing certain groups and undermining community trust in law enforcement, would be counter-productive.</w:t>
      </w:r>
      <w:r w:rsidR="00787783" w:rsidRPr="009B3048">
        <w:rPr>
          <w:rStyle w:val="EndnoteReference"/>
          <w:sz w:val="20"/>
        </w:rPr>
        <w:footnoteReference w:id="118"/>
      </w:r>
      <w:r w:rsidR="00787783" w:rsidRPr="009B3048">
        <w:rPr>
          <w:rStyle w:val="EndnoteReference"/>
          <w:sz w:val="20"/>
        </w:rPr>
        <w:t xml:space="preserve"> </w:t>
      </w:r>
      <w:r w:rsidR="00787783" w:rsidRPr="009B3048">
        <w:t>The Special Rapporteur notes that to be effective, a clear distinction needs to be made between measures to counter violent extremism and the security aspect of countering terrorism</w:t>
      </w:r>
      <w:r w:rsidR="00787783" w:rsidRPr="009B3048">
        <w:rPr>
          <w:sz w:val="22"/>
          <w:szCs w:val="22"/>
        </w:rPr>
        <w:t>.</w:t>
      </w:r>
      <w:r w:rsidR="0045561B" w:rsidRPr="009B3048">
        <w:rPr>
          <w:b/>
          <w:sz w:val="22"/>
          <w:szCs w:val="22"/>
        </w:rPr>
        <w:t xml:space="preserve"> </w:t>
      </w:r>
    </w:p>
    <w:p w:rsidR="00787783" w:rsidRPr="009B3048" w:rsidRDefault="0045561B" w:rsidP="0045561B">
      <w:pPr>
        <w:pStyle w:val="H1G"/>
        <w:rPr>
          <w:rFonts w:eastAsia="Cambria"/>
          <w:lang w:val="en-CA"/>
        </w:rPr>
      </w:pPr>
      <w:r w:rsidRPr="009B3048">
        <w:rPr>
          <w:rFonts w:eastAsia="Cambria"/>
          <w:color w:val="FF0000"/>
          <w:lang w:val="en-CA"/>
        </w:rPr>
        <w:tab/>
      </w:r>
      <w:r w:rsidRPr="009B3048">
        <w:rPr>
          <w:rFonts w:eastAsia="Cambria"/>
          <w:lang w:val="en-CA"/>
        </w:rPr>
        <w:t>D.</w:t>
      </w:r>
      <w:r w:rsidRPr="009B3048">
        <w:rPr>
          <w:rFonts w:eastAsia="Cambria"/>
          <w:lang w:val="en-CA"/>
        </w:rPr>
        <w:tab/>
        <w:t xml:space="preserve">Conditions Conducive to Violent Extremism </w:t>
      </w:r>
    </w:p>
    <w:p w:rsidR="007B10A5" w:rsidRPr="009B3048" w:rsidRDefault="009B3048" w:rsidP="009B3048">
      <w:pPr>
        <w:pStyle w:val="SingleTxtG"/>
        <w:rPr>
          <w:b/>
        </w:rPr>
      </w:pPr>
      <w:r w:rsidRPr="009B3048">
        <w:rPr>
          <w:lang w:val="en-US"/>
        </w:rPr>
        <w:t>48.</w:t>
      </w:r>
      <w:r w:rsidRPr="009B3048">
        <w:rPr>
          <w:lang w:val="en-US"/>
        </w:rPr>
        <w:tab/>
      </w:r>
      <w:r w:rsidR="007B10A5" w:rsidRPr="009B3048">
        <w:t xml:space="preserve">The comprehensive agenda that the General Assembly set out in its 2006 Global Counter Terrorism Strategy contained two pillars that addressed some of the key elements of countering or preventing violent extremism. These are Pillar I, on measures to tackle the conditions that may be conducive to terrorism, and Pillar IV, on measures to ensure respect for human rights for all and the rule of law as the fundamental basis of the fight against terrorism. Unsurprisingly, these two pillars have attracted the least attention and remain relatively unimplemented compared to the more operational and security focussed Pillars II and III. </w:t>
      </w:r>
    </w:p>
    <w:p w:rsidR="007B10A5" w:rsidRPr="009B3048" w:rsidRDefault="009B3048" w:rsidP="009B3048">
      <w:pPr>
        <w:pStyle w:val="SingleTxtG"/>
        <w:rPr>
          <w:b/>
        </w:rPr>
      </w:pPr>
      <w:r w:rsidRPr="009B3048">
        <w:rPr>
          <w:lang w:val="en-US"/>
        </w:rPr>
        <w:t>49.</w:t>
      </w:r>
      <w:r w:rsidRPr="009B3048">
        <w:rPr>
          <w:lang w:val="en-US"/>
        </w:rPr>
        <w:tab/>
      </w:r>
      <w:r w:rsidR="007B10A5" w:rsidRPr="009B3048">
        <w:t>As consensually agreed by the General Assembly, the Pillar I “conditions conducive” include but are not limited to prolonged unresolved conflicts, dehumanization of victims of terrorism, lack of rule of law and violations of human rights, ethnic, national and religious discrimination, political exclusion, socio-economic marginalization and lack of good governance.</w:t>
      </w:r>
      <w:r w:rsidR="007B10A5" w:rsidRPr="009B3048">
        <w:rPr>
          <w:rStyle w:val="EndnoteReference"/>
          <w:sz w:val="20"/>
        </w:rPr>
        <w:footnoteReference w:id="119"/>
      </w:r>
      <w:r w:rsidR="007B10A5" w:rsidRPr="009B3048">
        <w:t xml:space="preserve"> The Special Rapporteur welcomes the Secretary-General’s emphasis now on the implementation of this Pillar as part of the identified need to focus on prevention. Indeed, while nothing can justify acts of terrorism, the Special Rapporteur fully agrees that individuals are not drawn to terrorist violence in a vacuum. Just as measures that solely focussed on the security aspects of countering terrorism were insufficient to address </w:t>
      </w:r>
      <w:r w:rsidR="007B10A5" w:rsidRPr="009B3048">
        <w:lastRenderedPageBreak/>
        <w:t xml:space="preserve">the spread of terrorism, measures that solely focus on suppressing the final manifestations of violent extremism are unlikely to contain the spread of the phenomenon itself. </w:t>
      </w:r>
    </w:p>
    <w:p w:rsidR="007B10A5" w:rsidRPr="009B3048" w:rsidRDefault="009B3048" w:rsidP="009B3048">
      <w:pPr>
        <w:pStyle w:val="SingleTxtG"/>
        <w:rPr>
          <w:b/>
        </w:rPr>
      </w:pPr>
      <w:r w:rsidRPr="009B3048">
        <w:rPr>
          <w:lang w:val="en-US"/>
        </w:rPr>
        <w:t>50.</w:t>
      </w:r>
      <w:r w:rsidRPr="009B3048">
        <w:rPr>
          <w:lang w:val="en-US"/>
        </w:rPr>
        <w:tab/>
      </w:r>
      <w:r w:rsidR="007B10A5" w:rsidRPr="009B3048">
        <w:t xml:space="preserve">Yet the Special Rapporteur would like to issue a word of caution. Many of the issues contained in Pillar I are already pursued by States in the field of development, education, good governance, democracy, or the promotion of human rights, without being labelled as preventing or countering violent extremism. It is important that in addressing them, they are not </w:t>
      </w:r>
      <w:proofErr w:type="spellStart"/>
      <w:r w:rsidR="007B10A5" w:rsidRPr="009B3048">
        <w:t>instrumentalised</w:t>
      </w:r>
      <w:proofErr w:type="spellEnd"/>
      <w:r w:rsidR="007B10A5" w:rsidRPr="009B3048">
        <w:t xml:space="preserve"> by being linked to the broader agenda to counter violent extremism. For example, while human rights violations may be a factor conducive to violent extremism, the State must </w:t>
      </w:r>
      <w:r w:rsidR="007B10A5" w:rsidRPr="009B3048">
        <w:rPr>
          <w:lang w:val="en-US"/>
        </w:rPr>
        <w:t>respect, protect and promote the rights of all individuals regardless of any broader agenda. Human rights are and must be viewed as fundamental ends in themselves, even if their promotion is also a means in a wider agenda.</w:t>
      </w:r>
    </w:p>
    <w:p w:rsidR="006021A5" w:rsidRPr="009B3048" w:rsidRDefault="009B3048" w:rsidP="009B3048">
      <w:pPr>
        <w:pStyle w:val="SingleTxtG"/>
        <w:rPr>
          <w:b/>
          <w:sz w:val="22"/>
          <w:szCs w:val="22"/>
        </w:rPr>
      </w:pPr>
      <w:r w:rsidRPr="009B3048">
        <w:rPr>
          <w:sz w:val="22"/>
          <w:szCs w:val="22"/>
          <w:lang w:val="en-US"/>
        </w:rPr>
        <w:t>51.</w:t>
      </w:r>
      <w:r w:rsidRPr="009B3048">
        <w:rPr>
          <w:sz w:val="22"/>
          <w:szCs w:val="22"/>
          <w:lang w:val="en-US"/>
        </w:rPr>
        <w:tab/>
      </w:r>
      <w:r w:rsidR="007B10A5" w:rsidRPr="009B3048">
        <w:rPr>
          <w:lang w:val="en-US"/>
        </w:rPr>
        <w:t>In addition, as is the case for association with counter-terrorism measures or policies,</w:t>
      </w:r>
      <w:r w:rsidR="007B10A5" w:rsidRPr="009B3048">
        <w:rPr>
          <w:rStyle w:val="EndnoteReference"/>
          <w:sz w:val="20"/>
        </w:rPr>
        <w:footnoteReference w:id="120"/>
      </w:r>
      <w:r w:rsidR="007B10A5" w:rsidRPr="009B3048">
        <w:rPr>
          <w:rStyle w:val="EndnoteReference"/>
          <w:sz w:val="20"/>
        </w:rPr>
        <w:t xml:space="preserve"> </w:t>
      </w:r>
      <w:r w:rsidR="007B10A5" w:rsidRPr="009B3048">
        <w:rPr>
          <w:lang w:val="en-US"/>
        </w:rPr>
        <w:t xml:space="preserve">humanitarian actors may be reluctant to be co-opted into any agenda to prevent or counter violent extremism, through concerns that their personnel will be at greater risk of attack, or that it will compromise the relationships they have with stakeholders. Any involvement in </w:t>
      </w:r>
      <w:proofErr w:type="spellStart"/>
      <w:r w:rsidR="007B10A5" w:rsidRPr="009B3048">
        <w:rPr>
          <w:lang w:val="en-US"/>
        </w:rPr>
        <w:t>programmes</w:t>
      </w:r>
      <w:proofErr w:type="spellEnd"/>
      <w:r w:rsidR="007B10A5" w:rsidRPr="009B3048">
        <w:rPr>
          <w:lang w:val="en-US"/>
        </w:rPr>
        <w:t xml:space="preserve"> that have the ‘violent extremism’ label should be safe and voluntary. </w:t>
      </w:r>
      <w:r w:rsidR="007B10A5" w:rsidRPr="009B3048">
        <w:t xml:space="preserve">Where humanitarian aid or development assistance programmes include a preventing violent extremism component, it is important to bear in </w:t>
      </w:r>
      <w:proofErr w:type="spellStart"/>
      <w:r w:rsidR="007B10A5" w:rsidRPr="009B3048">
        <w:t>mid</w:t>
      </w:r>
      <w:proofErr w:type="spellEnd"/>
      <w:r w:rsidR="007B10A5" w:rsidRPr="009B3048">
        <w:t xml:space="preserve"> that </w:t>
      </w:r>
      <w:r w:rsidR="007B10A5" w:rsidRPr="009B3048">
        <w:rPr>
          <w:lang w:val="en-US"/>
        </w:rPr>
        <w:t>that the provision of humanitarian aid should be based on an identified need and not because a group has been determined to be ‘at risk’ of radicalization</w:t>
      </w:r>
      <w:r w:rsidR="007B10A5" w:rsidRPr="009B3048">
        <w:rPr>
          <w:sz w:val="22"/>
          <w:szCs w:val="22"/>
          <w:lang w:val="en-US"/>
        </w:rPr>
        <w:t xml:space="preserve">. </w:t>
      </w:r>
    </w:p>
    <w:p w:rsidR="006021A5" w:rsidRPr="009B3048" w:rsidRDefault="006021A5" w:rsidP="006021A5">
      <w:pPr>
        <w:pStyle w:val="H1G"/>
        <w:rPr>
          <w:rFonts w:eastAsia="Cambria"/>
          <w:lang w:val="en-CA"/>
        </w:rPr>
      </w:pPr>
      <w:r w:rsidRPr="009B3048">
        <w:rPr>
          <w:rFonts w:eastAsia="Cambria"/>
          <w:color w:val="FF0000"/>
          <w:lang w:val="en-CA"/>
        </w:rPr>
        <w:tab/>
      </w:r>
      <w:r w:rsidRPr="009B3048">
        <w:rPr>
          <w:rFonts w:eastAsia="Cambria"/>
          <w:lang w:val="en-CA"/>
        </w:rPr>
        <w:t>E.</w:t>
      </w:r>
      <w:r w:rsidRPr="009B3048">
        <w:rPr>
          <w:rFonts w:eastAsia="Cambria"/>
          <w:lang w:val="en-CA"/>
        </w:rPr>
        <w:tab/>
        <w:t xml:space="preserve">Violent Extremism and Gender </w:t>
      </w:r>
    </w:p>
    <w:p w:rsidR="00650CF3" w:rsidRPr="009B3048" w:rsidRDefault="009B3048" w:rsidP="009B3048">
      <w:pPr>
        <w:pStyle w:val="SingleTxtG"/>
        <w:rPr>
          <w:b/>
        </w:rPr>
      </w:pPr>
      <w:r w:rsidRPr="009B3048">
        <w:rPr>
          <w:lang w:val="en-US"/>
        </w:rPr>
        <w:t>52.</w:t>
      </w:r>
      <w:r w:rsidRPr="009B3048">
        <w:rPr>
          <w:lang w:val="en-US"/>
        </w:rPr>
        <w:tab/>
      </w:r>
      <w:r w:rsidR="00650CF3" w:rsidRPr="009B3048">
        <w:t xml:space="preserve">It is often highlighted that while </w:t>
      </w:r>
      <w:r w:rsidR="00650CF3" w:rsidRPr="009B3048">
        <w:rPr>
          <w:lang w:val="en-US"/>
        </w:rPr>
        <w:t>women have long been involved in violent extremism and terrorism,</w:t>
      </w:r>
      <w:r w:rsidR="00650CF3" w:rsidRPr="009B3048">
        <w:t xml:space="preserve"> the gender dimension of terrorism and violent extremism has largely been overlooked.</w:t>
      </w:r>
      <w:r w:rsidR="00650CF3" w:rsidRPr="009B3048">
        <w:rPr>
          <w:rStyle w:val="EndnoteReference"/>
          <w:sz w:val="20"/>
        </w:rPr>
        <w:footnoteReference w:id="121"/>
      </w:r>
      <w:r w:rsidR="00650CF3" w:rsidRPr="009B3048">
        <w:rPr>
          <w:rStyle w:val="EndnoteReference"/>
          <w:sz w:val="20"/>
        </w:rPr>
        <w:t xml:space="preserve"> </w:t>
      </w:r>
      <w:r w:rsidR="00650CF3" w:rsidRPr="009B3048">
        <w:t xml:space="preserve">The Special Rapporteur notes </w:t>
      </w:r>
      <w:r w:rsidR="00650CF3" w:rsidRPr="009B3048">
        <w:rPr>
          <w:lang w:val="en-US"/>
        </w:rPr>
        <w:t>that</w:t>
      </w:r>
      <w:r w:rsidR="00650CF3" w:rsidRPr="009B3048">
        <w:t xml:space="preserve"> recent international and national efforts to address violent extremism do include a gender dimension. In his Plan of Action, the Secretary-General places a significant emphasis on gender, making several recommendations for better consideration of this issue and noting in particular that ‘societies for which gender indicators are higher are less vulnerable to violent extremism’</w:t>
      </w:r>
      <w:r w:rsidR="00650CF3" w:rsidRPr="009B3048">
        <w:rPr>
          <w:rStyle w:val="EndnoteReference"/>
          <w:sz w:val="20"/>
        </w:rPr>
        <w:footnoteReference w:id="122"/>
      </w:r>
      <w:r w:rsidR="00650CF3" w:rsidRPr="009B3048">
        <w:rPr>
          <w:rStyle w:val="EndnoteReference"/>
          <w:sz w:val="20"/>
        </w:rPr>
        <w:t xml:space="preserve">. </w:t>
      </w:r>
      <w:r w:rsidR="00650CF3" w:rsidRPr="009B3048">
        <w:t>This follows a report addressing conflict-related sexual violence perpetrated in the context of rising violent extremism,</w:t>
      </w:r>
      <w:r w:rsidR="00650CF3" w:rsidRPr="009B3048">
        <w:rPr>
          <w:rStyle w:val="EndnoteReference"/>
          <w:sz w:val="20"/>
        </w:rPr>
        <w:footnoteReference w:id="123"/>
      </w:r>
      <w:r w:rsidR="00650CF3" w:rsidRPr="009B3048">
        <w:t xml:space="preserve"> in which the Secretary-General concluded that efforts to counter extremism must include efforts to empower women and address the spectrum of crimes of sexual violence that extremist groups perpetrate. More recently, the Security Council has introduced the question of violent extremism to its women, peace and security agenda (resolution 2242(2015)). The Security Council recognised the differential impact of terrorism and violent extremism on women and girls, including in the context of their health, education, and participation in public life, and made recommendations to address this issue better at national and international levels.</w:t>
      </w:r>
      <w:r w:rsidR="00650CF3" w:rsidRPr="009B3048">
        <w:rPr>
          <w:rStyle w:val="EndnoteReference"/>
          <w:sz w:val="20"/>
        </w:rPr>
        <w:footnoteReference w:id="124"/>
      </w:r>
      <w:r w:rsidR="00650CF3" w:rsidRPr="009B3048">
        <w:rPr>
          <w:rStyle w:val="EndnoteReference"/>
          <w:sz w:val="20"/>
        </w:rPr>
        <w:t xml:space="preserve"> </w:t>
      </w:r>
      <w:r w:rsidR="00650CF3" w:rsidRPr="009B3048">
        <w:t xml:space="preserve">As a first step, in September 2015, the Counter Terrorism Committee held its first </w:t>
      </w:r>
      <w:r w:rsidR="00650CF3" w:rsidRPr="009B3048">
        <w:rPr>
          <w:color w:val="1C1C1C"/>
        </w:rPr>
        <w:t xml:space="preserve">open session on the role of women in countering terrorism and violent extremism. Civil society-led initiatives have engaged women in preventive counter-extremism programmes (for example, in the work of NGO </w:t>
      </w:r>
      <w:r w:rsidR="00650CF3" w:rsidRPr="009B3048">
        <w:rPr>
          <w:color w:val="1C1C1C"/>
        </w:rPr>
        <w:lastRenderedPageBreak/>
        <w:t xml:space="preserve">Women </w:t>
      </w:r>
      <w:proofErr w:type="gramStart"/>
      <w:r w:rsidR="00650CF3" w:rsidRPr="009B3048">
        <w:rPr>
          <w:color w:val="1C1C1C"/>
        </w:rPr>
        <w:t>Without</w:t>
      </w:r>
      <w:proofErr w:type="gramEnd"/>
      <w:r w:rsidR="00650CF3" w:rsidRPr="009B3048">
        <w:rPr>
          <w:color w:val="1C1C1C"/>
        </w:rPr>
        <w:t xml:space="preserve"> Borders). </w:t>
      </w:r>
      <w:r w:rsidR="00650CF3" w:rsidRPr="009B3048">
        <w:t xml:space="preserve">The inclusion of women leads to a more comprehensive understanding of the causes of violent extremism, and more localized, credible, inclusive, and resonant strategies to build resilience to extremism. </w:t>
      </w:r>
    </w:p>
    <w:p w:rsidR="00650CF3" w:rsidRPr="009B3048" w:rsidRDefault="009B3048" w:rsidP="009B3048">
      <w:pPr>
        <w:pStyle w:val="SingleTxtG"/>
        <w:rPr>
          <w:b/>
          <w:sz w:val="22"/>
          <w:szCs w:val="22"/>
        </w:rPr>
      </w:pPr>
      <w:r w:rsidRPr="009B3048">
        <w:rPr>
          <w:sz w:val="22"/>
          <w:szCs w:val="22"/>
          <w:lang w:val="en-US"/>
        </w:rPr>
        <w:t>53.</w:t>
      </w:r>
      <w:r w:rsidRPr="009B3048">
        <w:rPr>
          <w:sz w:val="22"/>
          <w:szCs w:val="22"/>
          <w:lang w:val="en-US"/>
        </w:rPr>
        <w:tab/>
      </w:r>
      <w:r w:rsidR="00650CF3" w:rsidRPr="009B3048">
        <w:t xml:space="preserve">Critics have observed that efforts to include women have tended to emphasize their engagement only at the informal or local level and often in ways that use and reinforce gender stereotypes (women as victims of terrorism; women as mothers). They also run the risk of </w:t>
      </w:r>
      <w:proofErr w:type="spellStart"/>
      <w:r w:rsidR="00650CF3" w:rsidRPr="009B3048">
        <w:t>instrumentalising</w:t>
      </w:r>
      <w:proofErr w:type="spellEnd"/>
      <w:r w:rsidR="00650CF3" w:rsidRPr="009B3048">
        <w:t xml:space="preserve"> women’s engagement, where women are empowered, educated or encouraged to participate only in furtherance of an agenda to counter or prevent violent extremism. If women’s rights become secondary to and identified with a broader agenda, the risks of backlash against gender equality, women’s rights defenders and girls’ education increases, as does the possibility of the bartering of women’s rights and gender equality when it is seen to further national security interests. Further, more attention needs to be paid to identifying if, and when, categorizing or documenting certain activities by women as countering or preventing violent extremism will be unsafe, unprincipled, or counter-productive</w:t>
      </w:r>
      <w:r w:rsidR="00650CF3" w:rsidRPr="009B3048">
        <w:rPr>
          <w:sz w:val="22"/>
          <w:szCs w:val="22"/>
        </w:rPr>
        <w:t xml:space="preserve">. </w:t>
      </w:r>
    </w:p>
    <w:p w:rsidR="00AB156B" w:rsidRPr="009B3048" w:rsidRDefault="00787783" w:rsidP="00C30508">
      <w:pPr>
        <w:pStyle w:val="HChG"/>
        <w:rPr>
          <w:rFonts w:eastAsia="Cambria"/>
        </w:rPr>
      </w:pPr>
      <w:r w:rsidRPr="009B3048">
        <w:rPr>
          <w:lang w:eastAsia="hi-IN" w:bidi="hi-IN"/>
        </w:rPr>
        <w:t xml:space="preserve"> </w:t>
      </w:r>
      <w:bookmarkStart w:id="23" w:name="_Toc437599738"/>
      <w:r w:rsidR="00AB156B" w:rsidRPr="009B3048">
        <w:rPr>
          <w:rFonts w:eastAsia="Cambria"/>
          <w:color w:val="FF0000"/>
          <w:lang w:val="en-CA"/>
        </w:rPr>
        <w:tab/>
      </w:r>
      <w:r w:rsidR="00445CA5" w:rsidRPr="009B3048">
        <w:rPr>
          <w:rFonts w:eastAsia="Cambria"/>
          <w:lang w:val="en-CA"/>
        </w:rPr>
        <w:t>I</w:t>
      </w:r>
      <w:r w:rsidR="00AB156B" w:rsidRPr="009B3048">
        <w:rPr>
          <w:rFonts w:eastAsia="Cambria"/>
          <w:lang w:val="en-CA"/>
        </w:rPr>
        <w:t>V.</w:t>
      </w:r>
      <w:r w:rsidR="00AB156B" w:rsidRPr="009B3048">
        <w:rPr>
          <w:rFonts w:eastAsia="Cambria"/>
          <w:lang w:val="en-CA"/>
        </w:rPr>
        <w:tab/>
      </w:r>
      <w:bookmarkEnd w:id="23"/>
      <w:r w:rsidR="00AF0EEB" w:rsidRPr="009B3048">
        <w:rPr>
          <w:rFonts w:eastAsia="Cambria"/>
          <w:lang w:val="en-CA"/>
        </w:rPr>
        <w:t>Conclusions and recommendations</w:t>
      </w:r>
    </w:p>
    <w:p w:rsidR="00AF0EEB" w:rsidRPr="009B3048" w:rsidRDefault="009B3048" w:rsidP="009B3048">
      <w:pPr>
        <w:pStyle w:val="SingleTxtG"/>
        <w:rPr>
          <w:b/>
        </w:rPr>
      </w:pPr>
      <w:r w:rsidRPr="009B3048">
        <w:rPr>
          <w:lang w:val="en-US"/>
        </w:rPr>
        <w:t>54.</w:t>
      </w:r>
      <w:r w:rsidRPr="009B3048">
        <w:rPr>
          <w:lang w:val="en-US"/>
        </w:rPr>
        <w:tab/>
      </w:r>
      <w:r w:rsidR="00AF0EEB" w:rsidRPr="009B3048">
        <w:rPr>
          <w:b/>
        </w:rPr>
        <w:t xml:space="preserve">The recognition that a strict security approach to countering terrorism has failed to prevent the spread of terrorism, coupled with (and evidenced by) the proliferation of terrorist groups, has placed the prevention of violent extremism firmly on the international, regional and national agendas. Preventing or countering violent extremism is often presented as a softer approach to countering terrorism. Yet the elasticity of the term ‘violent extremism’, and the lack of clarity on what leads individuals to embrace violent extremism, means that a wide array of legislative, administrative and policy measures are pursued, which can have a serious negative impact on manifold human rights. In addition, targeted measures to counter violent extremism can stigmatise groups and communities, undermining the support that governments need to successfully implement their programmes, and having a counter-productive effect. They can also be used to limit the space in which civil society operates, and may have a discriminatory impact on women and children. </w:t>
      </w:r>
    </w:p>
    <w:p w:rsidR="00AF0EEB" w:rsidRPr="009B3048" w:rsidRDefault="009B3048" w:rsidP="009B3048">
      <w:pPr>
        <w:pStyle w:val="SingleTxtG"/>
        <w:rPr>
          <w:b/>
        </w:rPr>
      </w:pPr>
      <w:r w:rsidRPr="009B3048">
        <w:rPr>
          <w:lang w:val="en-US"/>
        </w:rPr>
        <w:t>55.</w:t>
      </w:r>
      <w:r w:rsidRPr="009B3048">
        <w:rPr>
          <w:lang w:val="en-US"/>
        </w:rPr>
        <w:tab/>
      </w:r>
      <w:r w:rsidR="00AF0EEB" w:rsidRPr="009B3048">
        <w:rPr>
          <w:b/>
        </w:rPr>
        <w:t xml:space="preserve">The Secretary-General’s Plan of Action, with its strong focus on human rights and on implementation of measures to address the conditions conducive, is a promising framework for the United Nations and Member States. Yet the lack of semantic and conceptual clarity that surrounds violent extremism remains an obstacle to any in-depth examination of the impact of strategies and policies to counter violent extremism on human rights, as well as on their effectiveness in reducing the threat of terrorism. In turn, this renders any evaluation of the proportionality and necessity of the rights-limiting measures that are adopted very challenging. This is compounded by the lack of transparency of some governments with respect to some of their programmes.  </w:t>
      </w:r>
    </w:p>
    <w:p w:rsidR="00AF0EEB" w:rsidRPr="00176B03" w:rsidRDefault="009B3048" w:rsidP="009B3048">
      <w:pPr>
        <w:pStyle w:val="SingleTxtG"/>
        <w:rPr>
          <w:b/>
        </w:rPr>
      </w:pPr>
      <w:r w:rsidRPr="009B3048">
        <w:rPr>
          <w:lang w:val="en-US"/>
        </w:rPr>
        <w:t>56.</w:t>
      </w:r>
      <w:r w:rsidRPr="009B3048">
        <w:rPr>
          <w:lang w:val="en-US"/>
        </w:rPr>
        <w:tab/>
      </w:r>
      <w:r w:rsidR="00AF0EEB" w:rsidRPr="009B3048">
        <w:rPr>
          <w:b/>
        </w:rPr>
        <w:t>The Special</w:t>
      </w:r>
      <w:r w:rsidR="00AF0EEB" w:rsidRPr="00176B03">
        <w:rPr>
          <w:b/>
        </w:rPr>
        <w:t xml:space="preserve"> Rapporteur makes the following recommendations:</w:t>
      </w:r>
    </w:p>
    <w:p w:rsidR="00AF0EEB" w:rsidRPr="009B3048" w:rsidRDefault="005D34BB" w:rsidP="009B3048">
      <w:pPr>
        <w:pStyle w:val="SingleTxtG"/>
        <w:ind w:firstLine="567"/>
        <w:rPr>
          <w:b/>
        </w:rPr>
      </w:pPr>
      <w:r w:rsidRPr="009B3048">
        <w:t>(a)</w:t>
      </w:r>
      <w:r w:rsidRPr="009B3048">
        <w:tab/>
      </w:r>
      <w:r w:rsidR="00AF0EEB" w:rsidRPr="009B3048">
        <w:rPr>
          <w:b/>
        </w:rPr>
        <w:t>Increased research should be undertaken to gain a better understanding of the phenomenon of violent extremism. This must include an examination of the factors contributing to radicalisation the impact of the various programmes on human rights. Transparency in States’ counter-extremism strategies is crucial to this research, and it remains critical that States deepen their understanding of the link between neglect of human rights and grievances — actual or perceived — that cause individuals to make the wrong choices</w:t>
      </w:r>
      <w:r w:rsidR="00AF6FDF" w:rsidRPr="009B3048">
        <w:rPr>
          <w:b/>
        </w:rPr>
        <w:t>;</w:t>
      </w:r>
    </w:p>
    <w:p w:rsidR="00AF0EEB" w:rsidRPr="009B3048" w:rsidRDefault="00AF6FDF" w:rsidP="009B3048">
      <w:pPr>
        <w:pStyle w:val="SingleTxtG"/>
        <w:ind w:firstLine="567"/>
        <w:rPr>
          <w:b/>
        </w:rPr>
      </w:pPr>
      <w:r w:rsidRPr="009B3048">
        <w:lastRenderedPageBreak/>
        <w:t>(b)</w:t>
      </w:r>
      <w:r w:rsidRPr="009B3048">
        <w:tab/>
      </w:r>
      <w:r w:rsidR="00AF0EEB" w:rsidRPr="009B3048">
        <w:rPr>
          <w:b/>
        </w:rPr>
        <w:t>States should focus their efforts on the implementation of the first and fourth Pillars of the Global Counter Terrorism Strategy, as recommended by the Secretary-General’s Plan of Action to Prevent Violent Extremism, as the only holistic, effective and sustainable approach to this issue. Any other approach is likely to be ineffective, detrimental to human rights, and even counterproductive</w:t>
      </w:r>
      <w:r w:rsidRPr="009B3048">
        <w:rPr>
          <w:b/>
        </w:rPr>
        <w:t>;</w:t>
      </w:r>
      <w:r w:rsidR="00AF0EEB" w:rsidRPr="009B3048">
        <w:rPr>
          <w:b/>
        </w:rPr>
        <w:t xml:space="preserve"> </w:t>
      </w:r>
    </w:p>
    <w:p w:rsidR="00AF0EEB" w:rsidRPr="009B3048" w:rsidRDefault="00AF6FDF" w:rsidP="009B3048">
      <w:pPr>
        <w:pStyle w:val="SingleTxtG"/>
        <w:ind w:firstLine="567"/>
        <w:rPr>
          <w:b/>
        </w:rPr>
      </w:pPr>
      <w:r w:rsidRPr="009B3048">
        <w:t>(c)</w:t>
      </w:r>
      <w:r w:rsidRPr="009B3048">
        <w:tab/>
      </w:r>
      <w:r w:rsidR="00AF0EEB" w:rsidRPr="009B3048">
        <w:rPr>
          <w:b/>
        </w:rPr>
        <w:t>All strategies and policies adopted by States to counter violent extremism must be firmly grounded in and comply with international human rights law. Whenever rights-limiting measures are considered, their potential impact on women, children, ethnic and religious communities or any other specific group must be considered. All measures must be subject to the same level of parliamentary and judicial scrutiny as other measures taken to counter terrorism. Particular attention should be paid to any impact on freedom of expression, and freedom of thought, conscience and religion. Measures that specifically target individuals or groups, whether in law or practice, should not be discriminatory</w:t>
      </w:r>
      <w:r w:rsidRPr="009B3048">
        <w:rPr>
          <w:b/>
        </w:rPr>
        <w:t>;</w:t>
      </w:r>
      <w:r w:rsidR="00AF0EEB" w:rsidRPr="009B3048">
        <w:rPr>
          <w:b/>
        </w:rPr>
        <w:t xml:space="preserve"> </w:t>
      </w:r>
    </w:p>
    <w:p w:rsidR="00AF0EEB" w:rsidRPr="009B3048" w:rsidRDefault="00AF6FDF" w:rsidP="009B3048">
      <w:pPr>
        <w:pStyle w:val="SingleTxtG"/>
        <w:rPr>
          <w:b/>
        </w:rPr>
      </w:pPr>
      <w:r w:rsidRPr="009B3048">
        <w:tab/>
        <w:t>(d)</w:t>
      </w:r>
      <w:r w:rsidRPr="009B3048">
        <w:tab/>
      </w:r>
      <w:r w:rsidR="00AF0EEB" w:rsidRPr="009B3048">
        <w:rPr>
          <w:b/>
        </w:rPr>
        <w:t>The broad-brush ‘securitization’ of human rights, international development, humanitarian assistance, education, community integration, gender or any other agenda by the State or the international community must be avoided. The State must respect, protect and promote the human rights of all individuals, of all ages, genders, ethnic or religious affiliation without discrimination, without framing this obligation as part of any broader agenda, including the prevention and countering of violent extremism.  Whenever a new area of engagement for preventing or countering violent extremism is envisaged, a proper analysis of the impact on all those involved as providers or recipients must be undertaken. Any engagement in government initiatives must be safe and voluntary</w:t>
      </w:r>
      <w:r w:rsidR="00D00963" w:rsidRPr="009B3048">
        <w:rPr>
          <w:b/>
        </w:rPr>
        <w:t>.</w:t>
      </w:r>
    </w:p>
    <w:p w:rsidR="00FE4423" w:rsidRPr="00D00963" w:rsidRDefault="00DD590B" w:rsidP="00DD590B">
      <w:pPr>
        <w:pStyle w:val="SingleTxtG"/>
        <w:spacing w:before="240" w:after="0"/>
        <w:jc w:val="center"/>
        <w:rPr>
          <w:u w:val="single"/>
        </w:rPr>
      </w:pPr>
      <w:r w:rsidRPr="00D00963">
        <w:rPr>
          <w:u w:val="single"/>
        </w:rPr>
        <w:tab/>
      </w:r>
      <w:r w:rsidRPr="00D00963">
        <w:rPr>
          <w:u w:val="single"/>
        </w:rPr>
        <w:tab/>
      </w:r>
      <w:r w:rsidRPr="00D00963">
        <w:rPr>
          <w:u w:val="single"/>
        </w:rPr>
        <w:tab/>
      </w:r>
    </w:p>
    <w:sectPr w:rsidR="00FE4423" w:rsidRPr="00D00963" w:rsidSect="00FE4423">
      <w:headerReference w:type="even" r:id="rId9"/>
      <w:headerReference w:type="default" r:id="rId10"/>
      <w:footerReference w:type="even" r:id="rId11"/>
      <w:footerReference w:type="default" r:id="rId12"/>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0A5" w:rsidRDefault="007B10A5"/>
  </w:endnote>
  <w:endnote w:type="continuationSeparator" w:id="0">
    <w:p w:rsidR="007B10A5" w:rsidRDefault="007B10A5"/>
  </w:endnote>
  <w:endnote w:type="continuationNotice" w:id="1">
    <w:p w:rsidR="007B10A5" w:rsidRDefault="007B1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0A5" w:rsidRPr="00FE4423" w:rsidRDefault="007B10A5" w:rsidP="00FE4423">
    <w:pPr>
      <w:pStyle w:val="Footer"/>
      <w:tabs>
        <w:tab w:val="right" w:pos="9638"/>
      </w:tabs>
    </w:pPr>
    <w:r w:rsidRPr="00FE4423">
      <w:rPr>
        <w:b/>
        <w:sz w:val="18"/>
      </w:rPr>
      <w:fldChar w:fldCharType="begin"/>
    </w:r>
    <w:r w:rsidRPr="00FE4423">
      <w:rPr>
        <w:b/>
        <w:sz w:val="18"/>
      </w:rPr>
      <w:instrText xml:space="preserve"> PAGE  \* MERGEFORMAT </w:instrText>
    </w:r>
    <w:r w:rsidRPr="00FE4423">
      <w:rPr>
        <w:b/>
        <w:sz w:val="18"/>
      </w:rPr>
      <w:fldChar w:fldCharType="separate"/>
    </w:r>
    <w:r w:rsidR="00D32ED9">
      <w:rPr>
        <w:b/>
        <w:noProof/>
        <w:sz w:val="18"/>
      </w:rPr>
      <w:t>2</w:t>
    </w:r>
    <w:r w:rsidRPr="00FE4423">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0A5" w:rsidRPr="00FE4423" w:rsidRDefault="007B10A5" w:rsidP="00FE4423">
    <w:pPr>
      <w:pStyle w:val="Footer"/>
      <w:tabs>
        <w:tab w:val="right" w:pos="9638"/>
      </w:tabs>
      <w:rPr>
        <w:b/>
        <w:sz w:val="18"/>
      </w:rPr>
    </w:pPr>
    <w:r>
      <w:tab/>
    </w:r>
    <w:r w:rsidRPr="00FE4423">
      <w:rPr>
        <w:b/>
        <w:sz w:val="18"/>
      </w:rPr>
      <w:fldChar w:fldCharType="begin"/>
    </w:r>
    <w:r w:rsidRPr="00FE4423">
      <w:rPr>
        <w:b/>
        <w:sz w:val="18"/>
      </w:rPr>
      <w:instrText xml:space="preserve"> PAGE  \* MERGEFORMAT </w:instrText>
    </w:r>
    <w:r w:rsidRPr="00FE4423">
      <w:rPr>
        <w:b/>
        <w:sz w:val="18"/>
      </w:rPr>
      <w:fldChar w:fldCharType="separate"/>
    </w:r>
    <w:r w:rsidR="00D32ED9">
      <w:rPr>
        <w:b/>
        <w:noProof/>
        <w:sz w:val="18"/>
      </w:rPr>
      <w:t>3</w:t>
    </w:r>
    <w:r w:rsidRPr="00FE4423">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0A5" w:rsidRPr="000B175B" w:rsidRDefault="007B10A5" w:rsidP="000B175B">
      <w:pPr>
        <w:tabs>
          <w:tab w:val="right" w:pos="2155"/>
        </w:tabs>
        <w:spacing w:after="80"/>
        <w:ind w:left="680"/>
        <w:rPr>
          <w:u w:val="single"/>
        </w:rPr>
      </w:pPr>
      <w:r>
        <w:rPr>
          <w:u w:val="single"/>
        </w:rPr>
        <w:tab/>
      </w:r>
    </w:p>
  </w:footnote>
  <w:footnote w:type="continuationSeparator" w:id="0">
    <w:p w:rsidR="007B10A5" w:rsidRPr="00FC68B7" w:rsidRDefault="007B10A5" w:rsidP="00FC68B7">
      <w:pPr>
        <w:tabs>
          <w:tab w:val="left" w:pos="2155"/>
        </w:tabs>
        <w:spacing w:after="80"/>
        <w:ind w:left="680"/>
        <w:rPr>
          <w:u w:val="single"/>
        </w:rPr>
      </w:pPr>
      <w:r>
        <w:rPr>
          <w:u w:val="single"/>
        </w:rPr>
        <w:tab/>
      </w:r>
    </w:p>
  </w:footnote>
  <w:footnote w:type="continuationNotice" w:id="1">
    <w:p w:rsidR="007B10A5" w:rsidRDefault="007B10A5"/>
  </w:footnote>
  <w:footnote w:id="2">
    <w:p w:rsidR="007B10A5" w:rsidRPr="00464BAD" w:rsidRDefault="00D44F11" w:rsidP="00D44F11">
      <w:pPr>
        <w:pStyle w:val="FootnoteText"/>
        <w:ind w:rightChars="567"/>
      </w:pPr>
      <w:r>
        <w:tab/>
      </w:r>
      <w:r w:rsidR="007B10A5" w:rsidRPr="001D6EBF">
        <w:rPr>
          <w:rStyle w:val="FootnoteReference"/>
        </w:rPr>
        <w:sym w:font="Symbol" w:char="F02A"/>
      </w:r>
      <w:r>
        <w:tab/>
      </w:r>
      <w:r w:rsidRPr="00540481">
        <w:rPr>
          <w:color w:val="000000"/>
          <w:szCs w:val="18"/>
          <w:lang w:eastAsia="en-GB"/>
        </w:rPr>
        <w:t xml:space="preserve">The present report was submitted after the deadline in order to </w:t>
      </w:r>
      <w:r>
        <w:rPr>
          <w:color w:val="000000"/>
          <w:szCs w:val="18"/>
          <w:lang w:eastAsia="en-GB"/>
        </w:rPr>
        <w:t xml:space="preserve">reflect the most recent </w:t>
      </w:r>
      <w:r w:rsidRPr="00540481">
        <w:rPr>
          <w:color w:val="000000"/>
          <w:szCs w:val="18"/>
          <w:lang w:eastAsia="en-GB"/>
        </w:rPr>
        <w:t>developments.</w:t>
      </w:r>
    </w:p>
  </w:footnote>
  <w:footnote w:id="3">
    <w:p w:rsidR="008F219A" w:rsidRPr="009B3048" w:rsidRDefault="009B3048" w:rsidP="009B3048">
      <w:pPr>
        <w:pStyle w:val="FootnoteText"/>
        <w:jc w:val="both"/>
        <w:rPr>
          <w:szCs w:val="18"/>
        </w:rPr>
      </w:pPr>
      <w:r>
        <w:rPr>
          <w:szCs w:val="18"/>
          <w:vertAlign w:val="superscript"/>
        </w:rPr>
        <w:tab/>
      </w:r>
      <w:r w:rsidR="008F219A" w:rsidRPr="009B3048">
        <w:rPr>
          <w:szCs w:val="18"/>
          <w:vertAlign w:val="superscript"/>
        </w:rPr>
        <w:footnoteRef/>
      </w:r>
      <w:r>
        <w:rPr>
          <w:szCs w:val="18"/>
          <w:vertAlign w:val="superscript"/>
        </w:rPr>
        <w:tab/>
      </w:r>
      <w:r w:rsidR="008F219A" w:rsidRPr="009B3048">
        <w:rPr>
          <w:szCs w:val="18"/>
        </w:rPr>
        <w:t xml:space="preserve">The Special Rapporteur would like to thank his Senior Legal Adviser Anne </w:t>
      </w:r>
      <w:proofErr w:type="spellStart"/>
      <w:r w:rsidR="008F219A" w:rsidRPr="009B3048">
        <w:rPr>
          <w:szCs w:val="18"/>
        </w:rPr>
        <w:t>Charbord</w:t>
      </w:r>
      <w:proofErr w:type="spellEnd"/>
      <w:r w:rsidR="008F219A" w:rsidRPr="009B3048">
        <w:rPr>
          <w:szCs w:val="18"/>
        </w:rPr>
        <w:t>, and his Legal Adviser Jessica Jones for their assistance with the preparation of this report.</w:t>
      </w:r>
    </w:p>
  </w:footnote>
  <w:footnote w:id="4">
    <w:p w:rsidR="007B10A5" w:rsidRPr="00257118" w:rsidRDefault="00C637FB" w:rsidP="00800EC5">
      <w:pPr>
        <w:pStyle w:val="FootnoteText"/>
        <w:jc w:val="both"/>
        <w:rPr>
          <w:szCs w:val="18"/>
        </w:rPr>
      </w:pPr>
      <w:r>
        <w:rPr>
          <w:szCs w:val="18"/>
          <w:vertAlign w:val="superscript"/>
        </w:rPr>
        <w:tab/>
      </w:r>
      <w:r w:rsidR="007B10A5" w:rsidRPr="007D49C2">
        <w:rPr>
          <w:rStyle w:val="EndnoteReference"/>
        </w:rPr>
        <w:footnoteRef/>
      </w:r>
      <w:r w:rsidR="007B10A5" w:rsidRPr="00F27E8B">
        <w:rPr>
          <w:szCs w:val="18"/>
          <w:vertAlign w:val="superscript"/>
        </w:rPr>
        <w:t xml:space="preserve"> </w:t>
      </w:r>
      <w:r>
        <w:rPr>
          <w:szCs w:val="18"/>
          <w:vertAlign w:val="superscript"/>
        </w:rPr>
        <w:tab/>
      </w:r>
      <w:r w:rsidR="007B10A5" w:rsidRPr="00257118">
        <w:rPr>
          <w:szCs w:val="18"/>
        </w:rPr>
        <w:t>A/70/674; Considered by the General Assembly on 15 January 2016.</w:t>
      </w:r>
    </w:p>
  </w:footnote>
  <w:footnote w:id="5">
    <w:p w:rsidR="007B10A5" w:rsidRPr="00257118" w:rsidRDefault="00C637FB" w:rsidP="00800EC5">
      <w:pPr>
        <w:pStyle w:val="FootnoteText"/>
        <w:jc w:val="both"/>
        <w:rPr>
          <w:szCs w:val="18"/>
        </w:rPr>
      </w:pPr>
      <w:r>
        <w:tab/>
      </w:r>
      <w:r w:rsidR="007B10A5" w:rsidRPr="007D49C2">
        <w:rPr>
          <w:rStyle w:val="EndnoteReference"/>
        </w:rPr>
        <w:footnoteRef/>
      </w:r>
      <w:r w:rsidR="007B10A5" w:rsidRPr="007D49C2">
        <w:rPr>
          <w:rStyle w:val="EndnoteReference"/>
        </w:rPr>
        <w:t xml:space="preserve"> </w:t>
      </w:r>
      <w:r>
        <w:tab/>
      </w:r>
      <w:proofErr w:type="gramStart"/>
      <w:r w:rsidR="007B10A5" w:rsidRPr="00257118">
        <w:rPr>
          <w:szCs w:val="18"/>
        </w:rPr>
        <w:t>A/60/288.</w:t>
      </w:r>
      <w:proofErr w:type="gramEnd"/>
    </w:p>
  </w:footnote>
  <w:footnote w:id="6">
    <w:p w:rsidR="007B10A5" w:rsidRPr="00257118" w:rsidRDefault="00C637FB" w:rsidP="00800EC5">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Secretary-General's remarks to Security Council High-Level Summit on Foreign Terrorist Fighters, New York, 24 September 2014.  </w:t>
      </w:r>
    </w:p>
  </w:footnote>
  <w:footnote w:id="7">
    <w:p w:rsidR="007B10A5" w:rsidRPr="00257118" w:rsidRDefault="007B10A5" w:rsidP="00800EC5">
      <w:pPr>
        <w:pStyle w:val="FootnoteText"/>
        <w:rPr>
          <w:szCs w:val="18"/>
        </w:rPr>
      </w:pPr>
      <w:r w:rsidRPr="00257118">
        <w:rPr>
          <w:szCs w:val="18"/>
        </w:rPr>
        <w:tab/>
      </w:r>
      <w:r w:rsidRPr="00F27E8B">
        <w:rPr>
          <w:szCs w:val="18"/>
          <w:vertAlign w:val="superscript"/>
        </w:rPr>
        <w:footnoteRef/>
      </w:r>
      <w:r w:rsidRPr="00F27E8B">
        <w:rPr>
          <w:szCs w:val="18"/>
          <w:vertAlign w:val="superscript"/>
        </w:rPr>
        <w:t xml:space="preserve"> </w:t>
      </w:r>
      <w:r w:rsidR="00C637FB">
        <w:rPr>
          <w:szCs w:val="18"/>
          <w:vertAlign w:val="superscript"/>
        </w:rPr>
        <w:tab/>
      </w:r>
      <w:proofErr w:type="gramStart"/>
      <w:r w:rsidRPr="00257118">
        <w:rPr>
          <w:szCs w:val="18"/>
        </w:rPr>
        <w:t xml:space="preserve">UN News Centre, Interview, 18 January 2016, </w:t>
      </w:r>
      <w:hyperlink r:id="rId1" w:anchor=".VqW5plJRmfQ" w:history="1">
        <w:r w:rsidRPr="00257118">
          <w:rPr>
            <w:szCs w:val="18"/>
          </w:rPr>
          <w:t>http://www.un.org/apps/news/story.asp?NewsID=53035#.VqW5plJRmfQ</w:t>
        </w:r>
      </w:hyperlink>
      <w:r w:rsidRPr="00257118">
        <w:rPr>
          <w:szCs w:val="18"/>
        </w:rPr>
        <w:t>.</w:t>
      </w:r>
      <w:proofErr w:type="gramEnd"/>
      <w:r w:rsidRPr="00257118">
        <w:rPr>
          <w:szCs w:val="18"/>
        </w:rPr>
        <w:t xml:space="preserve"> </w:t>
      </w:r>
    </w:p>
  </w:footnote>
  <w:footnote w:id="8">
    <w:p w:rsidR="007B10A5" w:rsidRPr="00257118" w:rsidRDefault="007B10A5" w:rsidP="00800EC5">
      <w:pPr>
        <w:pStyle w:val="FootnoteText"/>
        <w:jc w:val="both"/>
        <w:rPr>
          <w:szCs w:val="18"/>
        </w:rPr>
      </w:pPr>
      <w:r w:rsidRPr="00257118">
        <w:rPr>
          <w:szCs w:val="18"/>
        </w:rPr>
        <w:tab/>
      </w:r>
      <w:r w:rsidRPr="00F27E8B">
        <w:rPr>
          <w:szCs w:val="18"/>
          <w:vertAlign w:val="superscript"/>
        </w:rPr>
        <w:footnoteRef/>
      </w:r>
      <w:r w:rsidRPr="00F27E8B">
        <w:rPr>
          <w:szCs w:val="18"/>
          <w:vertAlign w:val="superscript"/>
        </w:rPr>
        <w:t xml:space="preserve"> </w:t>
      </w:r>
      <w:r w:rsidR="00C637FB">
        <w:rPr>
          <w:szCs w:val="18"/>
          <w:vertAlign w:val="superscript"/>
        </w:rPr>
        <w:tab/>
      </w:r>
      <w:hyperlink r:id="rId2" w:history="1">
        <w:proofErr w:type="spellStart"/>
        <w:r w:rsidRPr="00257118">
          <w:rPr>
            <w:szCs w:val="18"/>
          </w:rPr>
          <w:t>Naureen</w:t>
        </w:r>
        <w:proofErr w:type="spellEnd"/>
        <w:r w:rsidRPr="00257118">
          <w:rPr>
            <w:szCs w:val="18"/>
          </w:rPr>
          <w:t xml:space="preserve"> </w:t>
        </w:r>
        <w:proofErr w:type="spellStart"/>
        <w:r w:rsidRPr="00257118">
          <w:rPr>
            <w:szCs w:val="18"/>
          </w:rPr>
          <w:t>Chowdhury</w:t>
        </w:r>
        <w:proofErr w:type="spellEnd"/>
        <w:r w:rsidRPr="00257118">
          <w:rPr>
            <w:szCs w:val="18"/>
          </w:rPr>
          <w:t xml:space="preserve"> Fink</w:t>
        </w:r>
      </w:hyperlink>
      <w:r w:rsidRPr="00257118">
        <w:rPr>
          <w:szCs w:val="18"/>
        </w:rPr>
        <w:t xml:space="preserve">, Countering Violent Extremism: What Are the Key Challenges for UN? </w:t>
      </w:r>
      <w:hyperlink r:id="rId3" w:tooltip="Permalink to Countering Violent Extremism: What Are the Key Challenges for UN?" w:history="1">
        <w:proofErr w:type="gramStart"/>
        <w:r w:rsidRPr="00257118">
          <w:rPr>
            <w:szCs w:val="18"/>
          </w:rPr>
          <w:t>November 3, 2015</w:t>
        </w:r>
      </w:hyperlink>
      <w:r w:rsidRPr="00257118">
        <w:rPr>
          <w:szCs w:val="18"/>
        </w:rPr>
        <w:t>, IPI Global Observatory.</w:t>
      </w:r>
      <w:proofErr w:type="gramEnd"/>
    </w:p>
  </w:footnote>
  <w:footnote w:id="9">
    <w:p w:rsidR="007B10A5" w:rsidRPr="00AF6BA6" w:rsidRDefault="00C637FB" w:rsidP="00800EC5">
      <w:pPr>
        <w:pStyle w:val="FootnoteText"/>
        <w:jc w:val="both"/>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OSCE 2001 Bucharest Plan of Action for Combating Terrorism, </w:t>
      </w:r>
      <w:proofErr w:type="gramStart"/>
      <w:r w:rsidR="007B10A5" w:rsidRPr="00257118">
        <w:rPr>
          <w:szCs w:val="18"/>
        </w:rPr>
        <w:t>MC(</w:t>
      </w:r>
      <w:proofErr w:type="gramEnd"/>
      <w:r w:rsidR="007B10A5" w:rsidRPr="00257118">
        <w:rPr>
          <w:szCs w:val="18"/>
        </w:rPr>
        <w:t xml:space="preserve">9).DEC/1, 4 December 2001, para. 9 </w:t>
      </w:r>
      <w:proofErr w:type="gramStart"/>
      <w:r w:rsidR="007B10A5" w:rsidRPr="00257118">
        <w:rPr>
          <w:szCs w:val="18"/>
        </w:rPr>
        <w:t>et</w:t>
      </w:r>
      <w:proofErr w:type="gramEnd"/>
      <w:r w:rsidR="007B10A5" w:rsidRPr="00257118">
        <w:rPr>
          <w:szCs w:val="18"/>
        </w:rPr>
        <w:t xml:space="preserve"> ss. on Preventive Action Against Terrorism in the OSCE Area.  </w:t>
      </w:r>
      <w:proofErr w:type="gramStart"/>
      <w:r w:rsidR="007B10A5" w:rsidRPr="00257118">
        <w:rPr>
          <w:szCs w:val="18"/>
        </w:rPr>
        <w:t>The Sunday Times, “Britain’s secret plans to win Muslim hearts and minds”, 30 May 2004.</w:t>
      </w:r>
      <w:proofErr w:type="gramEnd"/>
      <w:r w:rsidR="007B10A5" w:rsidRPr="00257118">
        <w:rPr>
          <w:szCs w:val="18"/>
        </w:rPr>
        <w:t xml:space="preserve"> See also UK Foreign Commonwealth Office and Home Office, “Draft Report on Young Muslims and Extremism”, 2004; Paul Thomas, “Failed and Friendless: The UK’s ‘Preventing Violent Extremism’ Programme”, The British Journal of Politics and International relations, 12 (3), pp. 442-458; Peter </w:t>
      </w:r>
      <w:proofErr w:type="spellStart"/>
      <w:r w:rsidR="007B10A5" w:rsidRPr="00257118">
        <w:rPr>
          <w:szCs w:val="18"/>
        </w:rPr>
        <w:t>Romaniuk</w:t>
      </w:r>
      <w:proofErr w:type="spellEnd"/>
      <w:r w:rsidR="007B10A5" w:rsidRPr="00257118">
        <w:rPr>
          <w:szCs w:val="18"/>
        </w:rPr>
        <w:t xml:space="preserve">, “Does CVE Work? Lessons Learned from the Global Effort to Counter Violent Extremism”, Global </w:t>
      </w:r>
      <w:proofErr w:type="spellStart"/>
      <w:r w:rsidR="007B10A5" w:rsidRPr="00257118">
        <w:rPr>
          <w:szCs w:val="18"/>
        </w:rPr>
        <w:t>Center</w:t>
      </w:r>
      <w:proofErr w:type="spellEnd"/>
      <w:r w:rsidR="007B10A5" w:rsidRPr="00257118">
        <w:rPr>
          <w:szCs w:val="18"/>
        </w:rPr>
        <w:t xml:space="preserve"> on Cooperative Security, September 2015. See also US National Strategy for Combating Terrorism’s reference to “winning the war of ideas” (2003).</w:t>
      </w:r>
    </w:p>
  </w:footnote>
  <w:footnote w:id="10">
    <w:p w:rsidR="007B10A5" w:rsidRPr="00257118" w:rsidRDefault="007B10A5" w:rsidP="00800EC5">
      <w:pPr>
        <w:pStyle w:val="FootnoteText"/>
        <w:jc w:val="both"/>
        <w:rPr>
          <w:szCs w:val="18"/>
        </w:rPr>
      </w:pPr>
      <w:r>
        <w:rPr>
          <w:sz w:val="20"/>
        </w:rPr>
        <w:tab/>
      </w:r>
      <w:r w:rsidRPr="00F27E8B">
        <w:rPr>
          <w:szCs w:val="18"/>
          <w:vertAlign w:val="superscript"/>
        </w:rPr>
        <w:footnoteRef/>
      </w:r>
      <w:r w:rsidR="00800EC5">
        <w:rPr>
          <w:sz w:val="20"/>
        </w:rPr>
        <w:tab/>
      </w:r>
      <w:r w:rsidRPr="00257118">
        <w:rPr>
          <w:szCs w:val="18"/>
        </w:rPr>
        <w:t xml:space="preserve"> See White House Fact Sheet: The White House Summit on Countering V</w:t>
      </w:r>
      <w:r w:rsidR="009B3048">
        <w:rPr>
          <w:szCs w:val="18"/>
        </w:rPr>
        <w:t>iolent Extremism, available at</w:t>
      </w:r>
      <w:proofErr w:type="gramStart"/>
      <w:r w:rsidR="009B3048">
        <w:rPr>
          <w:szCs w:val="18"/>
        </w:rPr>
        <w:t>:</w:t>
      </w:r>
      <w:proofErr w:type="gramEnd"/>
      <w:r w:rsidR="009B3048">
        <w:rPr>
          <w:szCs w:val="18"/>
        </w:rPr>
        <w:fldChar w:fldCharType="begin"/>
      </w:r>
      <w:r w:rsidR="009B3048">
        <w:rPr>
          <w:szCs w:val="18"/>
        </w:rPr>
        <w:instrText xml:space="preserve"> HYPERLINK "</w:instrText>
      </w:r>
      <w:r w:rsidR="009B3048" w:rsidRPr="00257118">
        <w:rPr>
          <w:szCs w:val="18"/>
        </w:rPr>
        <w:instrText>https://www.whitehouse.gov/the-press-office/2015/02/18/fact-sheet-white-house-summit-countering-violent-extremism</w:instrText>
      </w:r>
      <w:r w:rsidR="009B3048">
        <w:rPr>
          <w:szCs w:val="18"/>
        </w:rPr>
        <w:instrText xml:space="preserve">" </w:instrText>
      </w:r>
      <w:r w:rsidR="009B3048">
        <w:rPr>
          <w:szCs w:val="18"/>
        </w:rPr>
        <w:fldChar w:fldCharType="separate"/>
      </w:r>
      <w:r w:rsidR="009B3048" w:rsidRPr="00E95F96">
        <w:rPr>
          <w:rStyle w:val="Hyperlink"/>
          <w:szCs w:val="18"/>
        </w:rPr>
        <w:t>https://www.whitehouse.gov/the-press-office/2015/02/18/fact-sheet-white-house-summit-countering-violent-extremism</w:t>
      </w:r>
      <w:r w:rsidR="009B3048">
        <w:rPr>
          <w:szCs w:val="18"/>
        </w:rPr>
        <w:fldChar w:fldCharType="end"/>
      </w:r>
      <w:r w:rsidRPr="00257118">
        <w:rPr>
          <w:szCs w:val="18"/>
        </w:rPr>
        <w:t xml:space="preserve">, Followed by regional meetings in Albania, Singapore, Norway, Turkey, Kazakhstan, Australia, Algeria, Kenya, and Mauritania.  </w:t>
      </w:r>
    </w:p>
  </w:footnote>
  <w:footnote w:id="11">
    <w:p w:rsidR="007B10A5" w:rsidRPr="00257118" w:rsidRDefault="00800EC5" w:rsidP="00800EC5">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See White House: Leaders’ Summit to Counter ISIL and Violent Extremism, available at: </w:t>
      </w:r>
      <w:hyperlink r:id="rId4" w:history="1">
        <w:r w:rsidR="007B10A5" w:rsidRPr="00257118">
          <w:rPr>
            <w:szCs w:val="18"/>
          </w:rPr>
          <w:t>https://www.whitehouse.gov/the-press-office/2015/09/29/leaders-summit-countering-isil-and-violent-extremism</w:t>
        </w:r>
      </w:hyperlink>
      <w:r w:rsidR="007B10A5" w:rsidRPr="00257118">
        <w:rPr>
          <w:szCs w:val="18"/>
        </w:rPr>
        <w:t>.</w:t>
      </w:r>
    </w:p>
  </w:footnote>
  <w:footnote w:id="12">
    <w:p w:rsidR="007B10A5" w:rsidRPr="00257118" w:rsidRDefault="007B10A5" w:rsidP="00800EC5">
      <w:pPr>
        <w:pStyle w:val="FootnoteText"/>
        <w:jc w:val="both"/>
        <w:rPr>
          <w:szCs w:val="18"/>
        </w:rPr>
      </w:pPr>
      <w:r>
        <w:rPr>
          <w:szCs w:val="18"/>
        </w:rPr>
        <w:tab/>
      </w:r>
      <w:r w:rsidRPr="00F27E8B">
        <w:rPr>
          <w:szCs w:val="18"/>
          <w:vertAlign w:val="superscript"/>
        </w:rPr>
        <w:footnoteRef/>
      </w:r>
      <w:r w:rsidR="00800EC5">
        <w:rPr>
          <w:szCs w:val="18"/>
        </w:rPr>
        <w:tab/>
      </w:r>
      <w:r w:rsidRPr="00F27E8B">
        <w:rPr>
          <w:szCs w:val="18"/>
          <w:vertAlign w:val="superscript"/>
        </w:rPr>
        <w:t xml:space="preserve"> </w:t>
      </w:r>
      <w:hyperlink r:id="rId5" w:history="1">
        <w:r w:rsidRPr="00257118">
          <w:rPr>
            <w:szCs w:val="18"/>
          </w:rPr>
          <w:t>http://www.state.gov/r/pa/prs/ps/2015/09/247368.htm</w:t>
        </w:r>
      </w:hyperlink>
      <w:r w:rsidRPr="00257118">
        <w:rPr>
          <w:szCs w:val="18"/>
        </w:rPr>
        <w:t xml:space="preserve">. </w:t>
      </w:r>
    </w:p>
  </w:footnote>
  <w:footnote w:id="13">
    <w:p w:rsidR="007B10A5" w:rsidRPr="00257118" w:rsidRDefault="00800EC5" w:rsidP="00800EC5">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UNDP, “Preventing and responding to violent extremism in Africa: A development approach” (2016-2019)</w:t>
      </w:r>
    </w:p>
  </w:footnote>
  <w:footnote w:id="14">
    <w:p w:rsidR="007B10A5" w:rsidRPr="00257118" w:rsidRDefault="007B10A5" w:rsidP="00800EC5">
      <w:pPr>
        <w:pStyle w:val="FootnoteText"/>
        <w:jc w:val="both"/>
        <w:rPr>
          <w:szCs w:val="18"/>
        </w:rPr>
      </w:pPr>
      <w:r w:rsidRPr="00257118">
        <w:rPr>
          <w:szCs w:val="18"/>
        </w:rPr>
        <w:tab/>
      </w:r>
      <w:r w:rsidRPr="00F27E8B">
        <w:rPr>
          <w:szCs w:val="18"/>
          <w:vertAlign w:val="superscript"/>
        </w:rPr>
        <w:footnoteRef/>
      </w:r>
      <w:r w:rsidR="00800EC5">
        <w:rPr>
          <w:szCs w:val="18"/>
        </w:rPr>
        <w:tab/>
      </w:r>
      <w:r w:rsidRPr="00257118">
        <w:rPr>
          <w:szCs w:val="18"/>
        </w:rPr>
        <w:t>OSCE Ministerial Council, 4 December 2015, MC</w:t>
      </w:r>
      <w:proofErr w:type="gramStart"/>
      <w:r w:rsidRPr="00257118">
        <w:rPr>
          <w:szCs w:val="18"/>
        </w:rPr>
        <w:t>,DOC</w:t>
      </w:r>
      <w:proofErr w:type="gramEnd"/>
      <w:r w:rsidRPr="00257118">
        <w:rPr>
          <w:szCs w:val="18"/>
        </w:rPr>
        <w:t>/4/15.</w:t>
      </w:r>
    </w:p>
  </w:footnote>
  <w:footnote w:id="15">
    <w:p w:rsidR="007B10A5" w:rsidRPr="00E872DA" w:rsidRDefault="007B10A5" w:rsidP="00800EC5">
      <w:pPr>
        <w:pStyle w:val="FootnoteText"/>
        <w:jc w:val="both"/>
        <w:rPr>
          <w:szCs w:val="18"/>
        </w:rPr>
      </w:pPr>
      <w:r w:rsidRPr="00257118">
        <w:rPr>
          <w:szCs w:val="18"/>
        </w:rPr>
        <w:tab/>
      </w:r>
      <w:r w:rsidRPr="00F27E8B">
        <w:rPr>
          <w:szCs w:val="18"/>
          <w:vertAlign w:val="superscript"/>
        </w:rPr>
        <w:footnoteRef/>
      </w:r>
      <w:r w:rsidR="00800EC5">
        <w:rPr>
          <w:szCs w:val="18"/>
        </w:rPr>
        <w:tab/>
      </w:r>
      <w:r w:rsidRPr="00F27E8B">
        <w:rPr>
          <w:szCs w:val="18"/>
          <w:vertAlign w:val="superscript"/>
        </w:rPr>
        <w:t xml:space="preserve"> </w:t>
      </w:r>
      <w:r w:rsidRPr="00E872DA">
        <w:rPr>
          <w:bCs/>
          <w:szCs w:val="18"/>
        </w:rPr>
        <w:t>#</w:t>
      </w:r>
      <w:proofErr w:type="spellStart"/>
      <w:r w:rsidRPr="00E872DA">
        <w:rPr>
          <w:bCs/>
          <w:szCs w:val="18"/>
        </w:rPr>
        <w:t>UnitedCVE</w:t>
      </w:r>
      <w:proofErr w:type="spellEnd"/>
    </w:p>
  </w:footnote>
  <w:footnote w:id="16">
    <w:p w:rsidR="007B10A5" w:rsidRPr="00257118" w:rsidRDefault="007B10A5" w:rsidP="00800EC5">
      <w:pPr>
        <w:pStyle w:val="FootnoteText"/>
        <w:jc w:val="both"/>
        <w:rPr>
          <w:szCs w:val="18"/>
        </w:rPr>
      </w:pPr>
      <w:r w:rsidRPr="00257118">
        <w:rPr>
          <w:szCs w:val="18"/>
        </w:rPr>
        <w:tab/>
      </w:r>
      <w:r w:rsidRPr="00F27E8B">
        <w:rPr>
          <w:szCs w:val="18"/>
          <w:vertAlign w:val="superscript"/>
        </w:rPr>
        <w:footnoteRef/>
      </w:r>
      <w:r w:rsidRPr="00F27E8B">
        <w:rPr>
          <w:szCs w:val="18"/>
          <w:vertAlign w:val="superscript"/>
        </w:rPr>
        <w:t xml:space="preserve"> </w:t>
      </w:r>
      <w:r w:rsidR="00800EC5">
        <w:rPr>
          <w:szCs w:val="18"/>
          <w:vertAlign w:val="superscript"/>
        </w:rPr>
        <w:tab/>
      </w:r>
      <w:r w:rsidRPr="00257118">
        <w:rPr>
          <w:szCs w:val="18"/>
        </w:rPr>
        <w:t xml:space="preserve">Council of the European Union, 24 November 2005, 14781/1/05, Rev1,  </w:t>
      </w:r>
      <w:hyperlink r:id="rId6" w:history="1">
        <w:r w:rsidRPr="00257118">
          <w:rPr>
            <w:szCs w:val="18"/>
          </w:rPr>
          <w:t>http://register.consilium.europa.eu/doc/srv?l=EN&amp;f=ST%2014781%202005%20REV%201</w:t>
        </w:r>
      </w:hyperlink>
      <w:r w:rsidRPr="00257118">
        <w:rPr>
          <w:szCs w:val="18"/>
        </w:rPr>
        <w:t xml:space="preserve"> </w:t>
      </w:r>
    </w:p>
  </w:footnote>
  <w:footnote w:id="17">
    <w:p w:rsidR="007B10A5" w:rsidRPr="00257118" w:rsidRDefault="00800EC5" w:rsidP="00800EC5">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See European Commission Communication to the European Parliament and the Council, Objective 2 of the EU Internal Security Strategy in Action: Five steps towards a more secure Europe, COM [2010]673. </w:t>
      </w:r>
    </w:p>
  </w:footnote>
  <w:footnote w:id="18">
    <w:p w:rsidR="007B10A5" w:rsidRPr="00257118" w:rsidRDefault="00800EC5" w:rsidP="00800EC5">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Office of the President, Strategic Implementation Plan for Empowering Local Partners to Prevent Violent Extremism in the United States, Dec. 2011, </w:t>
      </w:r>
      <w:hyperlink r:id="rId7" w:history="1">
        <w:r w:rsidR="007B10A5" w:rsidRPr="00257118">
          <w:rPr>
            <w:szCs w:val="18"/>
          </w:rPr>
          <w:t>http://www.whitehouse.gov/sites/default/files/sip-final.pdf</w:t>
        </w:r>
      </w:hyperlink>
      <w:r w:rsidR="007B10A5" w:rsidRPr="00257118">
        <w:rPr>
          <w:szCs w:val="18"/>
        </w:rPr>
        <w:t>.</w:t>
      </w:r>
    </w:p>
  </w:footnote>
  <w:footnote w:id="19">
    <w:p w:rsidR="007B10A5" w:rsidRPr="00257118" w:rsidRDefault="007B10A5" w:rsidP="00800EC5">
      <w:pPr>
        <w:pStyle w:val="FootnoteText"/>
        <w:jc w:val="both"/>
        <w:rPr>
          <w:szCs w:val="18"/>
        </w:rPr>
      </w:pPr>
      <w:r w:rsidRPr="00257118">
        <w:rPr>
          <w:szCs w:val="18"/>
        </w:rPr>
        <w:tab/>
      </w:r>
      <w:r w:rsidRPr="00F27E8B">
        <w:rPr>
          <w:szCs w:val="18"/>
          <w:vertAlign w:val="superscript"/>
        </w:rPr>
        <w:footnoteRef/>
      </w:r>
      <w:r w:rsidR="00800EC5">
        <w:rPr>
          <w:szCs w:val="18"/>
        </w:rPr>
        <w:tab/>
      </w:r>
      <w:r w:rsidRPr="00257118">
        <w:rPr>
          <w:szCs w:val="18"/>
        </w:rPr>
        <w:t xml:space="preserve"> It provides a venue for national counterterrorism officials and practitioners to meet with their counterparts; and supports the implementation of the UN Global Counter-Terrorism Strategy.</w:t>
      </w:r>
    </w:p>
  </w:footnote>
  <w:footnote w:id="20">
    <w:p w:rsidR="007B10A5" w:rsidRPr="00257118" w:rsidRDefault="00E872DA" w:rsidP="00E872DA">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While the Security Council ‘counters’ violent extremism, the Secretary-General has developed a plan to ‘prevent’ violent extremism, and the OSCE does both. States do either, or ‘respond’ to violent extremism. This report uses the word ‘counter’</w:t>
      </w:r>
      <w:r w:rsidR="00E54928">
        <w:rPr>
          <w:szCs w:val="18"/>
        </w:rPr>
        <w:t>.</w:t>
      </w:r>
      <w:r w:rsidR="007B10A5" w:rsidRPr="00257118">
        <w:rPr>
          <w:szCs w:val="18"/>
        </w:rPr>
        <w:t xml:space="preserve">  </w:t>
      </w:r>
    </w:p>
  </w:footnote>
  <w:footnote w:id="21">
    <w:p w:rsidR="007B10A5" w:rsidRPr="00147E21" w:rsidRDefault="00E872DA" w:rsidP="00E872DA">
      <w:pPr>
        <w:pStyle w:val="FootnoteText"/>
        <w:jc w:val="both"/>
        <w:rPr>
          <w:sz w:val="20"/>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OSCE/ODIHR, “Preventing Terrorism and Countering Violent Extremism and Radicalization that Lead to terrorism: A Community Policing Approach”, 2014, p. 35. See also </w:t>
      </w:r>
      <w:proofErr w:type="spellStart"/>
      <w:r w:rsidR="007B10A5" w:rsidRPr="00257118">
        <w:rPr>
          <w:szCs w:val="18"/>
        </w:rPr>
        <w:t>Maleika</w:t>
      </w:r>
      <w:proofErr w:type="spellEnd"/>
      <w:r w:rsidR="007B10A5" w:rsidRPr="00257118">
        <w:rPr>
          <w:szCs w:val="18"/>
        </w:rPr>
        <w:t xml:space="preserve"> Malik, “Extreme Speech and Liberalism”, in Ivan Hare and James Weinstein (eds.), Extreme Speech and Democracy, Oxford University Press, Oxford 2007, quoted in Agnes </w:t>
      </w:r>
      <w:proofErr w:type="spellStart"/>
      <w:r w:rsidR="007B10A5" w:rsidRPr="00257118">
        <w:rPr>
          <w:szCs w:val="18"/>
        </w:rPr>
        <w:t>Callamard</w:t>
      </w:r>
      <w:proofErr w:type="spellEnd"/>
      <w:r w:rsidR="007B10A5" w:rsidRPr="00257118">
        <w:rPr>
          <w:szCs w:val="18"/>
        </w:rPr>
        <w:t xml:space="preserve">, “Religion, Terrorism and Speech in a ‘Post-Charlie </w:t>
      </w:r>
      <w:proofErr w:type="spellStart"/>
      <w:r w:rsidR="007B10A5" w:rsidRPr="00257118">
        <w:rPr>
          <w:szCs w:val="18"/>
        </w:rPr>
        <w:t>Hebdo</w:t>
      </w:r>
      <w:proofErr w:type="spellEnd"/>
      <w:r w:rsidR="007B10A5" w:rsidRPr="00257118">
        <w:rPr>
          <w:szCs w:val="18"/>
        </w:rPr>
        <w:t xml:space="preserve">’ World”, Religion and Human Rights, Volume 10, Issue 3, 2015, </w:t>
      </w:r>
      <w:proofErr w:type="spellStart"/>
      <w:r w:rsidR="007B10A5" w:rsidRPr="00257118">
        <w:rPr>
          <w:szCs w:val="18"/>
        </w:rPr>
        <w:t>pp</w:t>
      </w:r>
      <w:proofErr w:type="spellEnd"/>
      <w:r w:rsidR="007B10A5" w:rsidRPr="00257118">
        <w:rPr>
          <w:szCs w:val="18"/>
        </w:rPr>
        <w:t xml:space="preserve"> 207-228</w:t>
      </w:r>
      <w:r w:rsidR="00147E21">
        <w:rPr>
          <w:szCs w:val="18"/>
        </w:rPr>
        <w:br/>
      </w:r>
      <w:hyperlink r:id="rId8" w:history="1">
        <w:r w:rsidR="00147E21" w:rsidRPr="000D2C70">
          <w:rPr>
            <w:rStyle w:val="Hyperlink"/>
            <w:szCs w:val="18"/>
          </w:rPr>
          <w:t xml:space="preserve">http://booksandjournals.brillonline.com/content/journals/10.1163/18710328-12341288; </w:t>
        </w:r>
        <w:proofErr w:type="spellStart"/>
        <w:r w:rsidR="00147E21" w:rsidRPr="000D2C70">
          <w:rPr>
            <w:rStyle w:val="Hyperlink"/>
            <w:szCs w:val="18"/>
          </w:rPr>
          <w:t>sessionid</w:t>
        </w:r>
        <w:proofErr w:type="spellEnd"/>
        <w:r w:rsidR="00147E21" w:rsidRPr="000D2C70">
          <w:rPr>
            <w:rStyle w:val="Hyperlink"/>
            <w:szCs w:val="18"/>
          </w:rPr>
          <w:t>=ehj72stfnccd7.x-brill-live-03</w:t>
        </w:r>
      </w:hyperlink>
      <w:r w:rsidR="007B10A5" w:rsidRPr="00147E21">
        <w:rPr>
          <w:szCs w:val="18"/>
        </w:rPr>
        <w:t xml:space="preserve">. For its part, USAID provides a definition </w:t>
      </w:r>
      <w:proofErr w:type="spellStart"/>
      <w:r w:rsidR="007B10A5" w:rsidRPr="00147E21">
        <w:rPr>
          <w:szCs w:val="18"/>
        </w:rPr>
        <w:t>in“The</w:t>
      </w:r>
      <w:proofErr w:type="spellEnd"/>
      <w:r w:rsidR="007B10A5" w:rsidRPr="00147E21">
        <w:rPr>
          <w:szCs w:val="18"/>
        </w:rPr>
        <w:t xml:space="preserve"> Development Response to Violent extremism and </w:t>
      </w:r>
      <w:proofErr w:type="spellStart"/>
      <w:r w:rsidR="007B10A5" w:rsidRPr="00147E21">
        <w:rPr>
          <w:szCs w:val="18"/>
        </w:rPr>
        <w:t>Insurgency:Putting</w:t>
      </w:r>
      <w:proofErr w:type="spellEnd"/>
      <w:r w:rsidR="007B10A5" w:rsidRPr="00147E21">
        <w:rPr>
          <w:szCs w:val="18"/>
        </w:rPr>
        <w:t xml:space="preserve"> Principles into </w:t>
      </w:r>
      <w:proofErr w:type="spellStart"/>
      <w:r w:rsidR="007B10A5" w:rsidRPr="00147E21">
        <w:rPr>
          <w:szCs w:val="18"/>
        </w:rPr>
        <w:t>Practice”USAID</w:t>
      </w:r>
      <w:proofErr w:type="spellEnd"/>
      <w:r w:rsidR="007B10A5" w:rsidRPr="00147E21">
        <w:rPr>
          <w:szCs w:val="18"/>
        </w:rPr>
        <w:t xml:space="preserve"> Policy, September 2011.See also A/HRC/31/NGO/X Joint Written Statement of NGOs, page</w:t>
      </w:r>
      <w:r w:rsidR="00147E21">
        <w:rPr>
          <w:szCs w:val="18"/>
        </w:rPr>
        <w:t xml:space="preserve"> </w:t>
      </w:r>
      <w:r w:rsidR="007B10A5" w:rsidRPr="00147E21">
        <w:rPr>
          <w:szCs w:val="18"/>
        </w:rPr>
        <w:t>3</w:t>
      </w:r>
    </w:p>
  </w:footnote>
  <w:footnote w:id="22">
    <w:p w:rsidR="007B10A5" w:rsidRPr="00257118" w:rsidRDefault="00E872DA" w:rsidP="00E872DA">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Australian Government, Attorney-General’s Department, Countering Violent Extremism, available at: </w:t>
      </w:r>
      <w:hyperlink r:id="rId9" w:history="1">
        <w:r w:rsidR="007B10A5" w:rsidRPr="00257118">
          <w:rPr>
            <w:szCs w:val="18"/>
          </w:rPr>
          <w:t xml:space="preserve">https://www.ag.gov.au/NationalSecurity/Counteringviolentextremism/Pages/default.aspx </w:t>
        </w:r>
      </w:hyperlink>
    </w:p>
  </w:footnote>
  <w:footnote w:id="23">
    <w:p w:rsidR="007B10A5" w:rsidRPr="00257118" w:rsidRDefault="00E872DA" w:rsidP="00E872DA">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Norway Action Plan </w:t>
      </w:r>
      <w:proofErr w:type="gramStart"/>
      <w:r w:rsidR="007B10A5" w:rsidRPr="00257118">
        <w:rPr>
          <w:szCs w:val="18"/>
        </w:rPr>
        <w:t>Against</w:t>
      </w:r>
      <w:proofErr w:type="gramEnd"/>
      <w:r w:rsidR="007B10A5" w:rsidRPr="00257118">
        <w:rPr>
          <w:szCs w:val="18"/>
        </w:rPr>
        <w:t xml:space="preserve"> Radicalisation and Violent Extremism, 2014, p.7, </w:t>
      </w:r>
      <w:hyperlink r:id="rId10" w:history="1">
        <w:r w:rsidR="007B10A5" w:rsidRPr="00257118">
          <w:rPr>
            <w:szCs w:val="18"/>
          </w:rPr>
          <w:t>https://www.counterextremism.org/resources/details/id/679/action-plan-against-radicalisation-and-violent-extremism</w:t>
        </w:r>
      </w:hyperlink>
      <w:r w:rsidR="007B10A5" w:rsidRPr="00257118">
        <w:rPr>
          <w:szCs w:val="18"/>
        </w:rPr>
        <w:t xml:space="preserve">. </w:t>
      </w:r>
    </w:p>
  </w:footnote>
  <w:footnote w:id="24">
    <w:p w:rsidR="007B10A5" w:rsidRPr="00257118" w:rsidRDefault="00E872DA" w:rsidP="00E872DA">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Sweden Action Plan to Safeguard Democracy Against Violence Promoting Extremism, Government Communication 2011/12:44, Point 3.2. </w:t>
      </w:r>
      <w:hyperlink r:id="rId11" w:history="1">
        <w:r w:rsidR="007B10A5" w:rsidRPr="00257118">
          <w:rPr>
            <w:szCs w:val="18"/>
          </w:rPr>
          <w:t>http://www.government.se/contentassets/b94f163a3c5941aebaeb78174ea27a29/action-plan-to-safeguard-democracy-against-violence-promoting-extremism-skr.-20111244</w:t>
        </w:r>
      </w:hyperlink>
      <w:r w:rsidR="007B10A5" w:rsidRPr="00257118">
        <w:rPr>
          <w:szCs w:val="18"/>
        </w:rPr>
        <w:t>.</w:t>
      </w:r>
    </w:p>
  </w:footnote>
  <w:footnote w:id="25">
    <w:p w:rsidR="007B10A5" w:rsidRPr="00257118" w:rsidRDefault="00E872DA" w:rsidP="00E872DA">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UK Counter-Extremism Strategy, October 2015, para. 1 and UK Prevent Strategy, 2011, Annex A. Note that the 2013 UK Task Force on Tackling Radicalisation and Extremism defined “Islamist extremism” para. 1.4.</w:t>
      </w:r>
    </w:p>
  </w:footnote>
  <w:footnote w:id="26">
    <w:p w:rsidR="007B10A5" w:rsidRPr="00257118" w:rsidRDefault="00E872DA" w:rsidP="00E872DA">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Government of Denmark, Prevention of Radicalisation and Extremism, Action Plan, September 2014. </w:t>
      </w:r>
    </w:p>
  </w:footnote>
  <w:footnote w:id="27">
    <w:p w:rsidR="007B10A5" w:rsidRPr="00257118" w:rsidRDefault="0031115F" w:rsidP="0031115F">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Minerva Nasser-</w:t>
      </w:r>
      <w:proofErr w:type="spellStart"/>
      <w:r w:rsidR="007B10A5" w:rsidRPr="00257118">
        <w:rPr>
          <w:szCs w:val="18"/>
        </w:rPr>
        <w:t>Eddine</w:t>
      </w:r>
      <w:proofErr w:type="spellEnd"/>
      <w:r w:rsidR="007B10A5" w:rsidRPr="00257118">
        <w:rPr>
          <w:szCs w:val="18"/>
        </w:rPr>
        <w:t xml:space="preserve">, Bridget </w:t>
      </w:r>
      <w:proofErr w:type="spellStart"/>
      <w:r w:rsidR="007B10A5" w:rsidRPr="00257118">
        <w:rPr>
          <w:szCs w:val="18"/>
        </w:rPr>
        <w:t>Garnham</w:t>
      </w:r>
      <w:proofErr w:type="spellEnd"/>
      <w:r w:rsidR="007B10A5" w:rsidRPr="00257118">
        <w:rPr>
          <w:szCs w:val="18"/>
        </w:rPr>
        <w:t xml:space="preserve">, </w:t>
      </w:r>
      <w:proofErr w:type="spellStart"/>
      <w:r w:rsidR="007B10A5" w:rsidRPr="00257118">
        <w:rPr>
          <w:szCs w:val="18"/>
        </w:rPr>
        <w:t>Katerina</w:t>
      </w:r>
      <w:proofErr w:type="spellEnd"/>
      <w:r w:rsidR="007B10A5" w:rsidRPr="00257118">
        <w:rPr>
          <w:szCs w:val="18"/>
        </w:rPr>
        <w:t xml:space="preserve"> </w:t>
      </w:r>
      <w:proofErr w:type="spellStart"/>
      <w:r w:rsidR="007B10A5" w:rsidRPr="00257118">
        <w:rPr>
          <w:szCs w:val="18"/>
        </w:rPr>
        <w:t>Agostino</w:t>
      </w:r>
      <w:proofErr w:type="spellEnd"/>
      <w:r w:rsidR="007B10A5" w:rsidRPr="00257118">
        <w:rPr>
          <w:szCs w:val="18"/>
        </w:rPr>
        <w:t xml:space="preserve"> and Gilbert </w:t>
      </w:r>
      <w:proofErr w:type="spellStart"/>
      <w:r w:rsidR="007B10A5" w:rsidRPr="00257118">
        <w:rPr>
          <w:szCs w:val="18"/>
        </w:rPr>
        <w:t>Caluya</w:t>
      </w:r>
      <w:proofErr w:type="spellEnd"/>
      <w:r w:rsidR="007B10A5" w:rsidRPr="00257118">
        <w:rPr>
          <w:szCs w:val="18"/>
        </w:rPr>
        <w:t>, Countering Violent Extremism (CVE) Literature Review, Australian Government, Department of Defense, Counter Terrorism and Security Technology Centre, Defence Science and Technology Organisation DSTO-TR-2522, March 2011.</w:t>
      </w:r>
    </w:p>
  </w:footnote>
  <w:footnote w:id="28">
    <w:p w:rsidR="007B10A5" w:rsidRPr="00257118" w:rsidRDefault="0031115F" w:rsidP="0031115F">
      <w:pPr>
        <w:pStyle w:val="FootnoteText"/>
        <w:ind w:rightChars="1134" w:right="2268"/>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A/70/674, para.</w:t>
      </w:r>
      <w:proofErr w:type="gramEnd"/>
      <w:r w:rsidR="007B10A5" w:rsidRPr="00257118">
        <w:rPr>
          <w:szCs w:val="18"/>
        </w:rPr>
        <w:t xml:space="preserve"> 4.</w:t>
      </w:r>
    </w:p>
  </w:footnote>
  <w:footnote w:id="29">
    <w:p w:rsidR="007B10A5" w:rsidRPr="00257118" w:rsidRDefault="0031115F" w:rsidP="0031115F">
      <w:pPr>
        <w:pStyle w:val="FootnoteText"/>
        <w:ind w:rightChars="1134" w:right="2268"/>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Peter </w:t>
      </w:r>
      <w:proofErr w:type="spellStart"/>
      <w:r w:rsidR="007B10A5" w:rsidRPr="00257118">
        <w:rPr>
          <w:szCs w:val="18"/>
        </w:rPr>
        <w:t>Romaniuk</w:t>
      </w:r>
      <w:proofErr w:type="spellEnd"/>
      <w:r w:rsidR="007B10A5" w:rsidRPr="00257118">
        <w:rPr>
          <w:szCs w:val="18"/>
        </w:rPr>
        <w:t xml:space="preserve">, Does CVE work? </w:t>
      </w:r>
      <w:proofErr w:type="gramStart"/>
      <w:r w:rsidR="007B10A5" w:rsidRPr="00257118">
        <w:rPr>
          <w:szCs w:val="18"/>
        </w:rPr>
        <w:t>GCCS September 2015.</w:t>
      </w:r>
      <w:proofErr w:type="gramEnd"/>
    </w:p>
  </w:footnote>
  <w:footnote w:id="30">
    <w:p w:rsidR="007B10A5" w:rsidRPr="00257118" w:rsidRDefault="0031115F" w:rsidP="0031115F">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Secretary-General Plan of Action, para.</w:t>
      </w:r>
      <w:proofErr w:type="gramEnd"/>
      <w:r w:rsidR="007B10A5" w:rsidRPr="00257118">
        <w:rPr>
          <w:szCs w:val="18"/>
        </w:rPr>
        <w:t xml:space="preserve"> </w:t>
      </w:r>
      <w:proofErr w:type="gramStart"/>
      <w:r w:rsidR="007B10A5" w:rsidRPr="00257118">
        <w:rPr>
          <w:szCs w:val="18"/>
        </w:rPr>
        <w:t xml:space="preserve">2; OSCE Ministerial Declaration (2015, </w:t>
      </w:r>
      <w:proofErr w:type="spellStart"/>
      <w:r w:rsidR="007B10A5" w:rsidRPr="00257118">
        <w:rPr>
          <w:szCs w:val="18"/>
        </w:rPr>
        <w:t>op.cit</w:t>
      </w:r>
      <w:proofErr w:type="spellEnd"/>
      <w:r w:rsidR="007B10A5" w:rsidRPr="00257118">
        <w:rPr>
          <w:szCs w:val="18"/>
        </w:rPr>
        <w:t xml:space="preserve">) and OSCE/ODIHR (2014, </w:t>
      </w:r>
      <w:proofErr w:type="spellStart"/>
      <w:r w:rsidR="007B10A5" w:rsidRPr="00257118">
        <w:rPr>
          <w:szCs w:val="18"/>
        </w:rPr>
        <w:t>op.cit</w:t>
      </w:r>
      <w:proofErr w:type="spellEnd"/>
      <w:r w:rsidR="007B10A5" w:rsidRPr="00257118">
        <w:rPr>
          <w:szCs w:val="18"/>
        </w:rPr>
        <w:t>), Security Council resolution 2178 (2014).</w:t>
      </w:r>
      <w:proofErr w:type="gramEnd"/>
      <w:r w:rsidR="007B10A5" w:rsidRPr="00257118">
        <w:rPr>
          <w:szCs w:val="18"/>
        </w:rPr>
        <w:t xml:space="preserve"> </w:t>
      </w:r>
    </w:p>
  </w:footnote>
  <w:footnote w:id="31">
    <w:p w:rsidR="007B10A5" w:rsidRPr="005D7080" w:rsidRDefault="0031115F" w:rsidP="00E001AC">
      <w:pPr>
        <w:pStyle w:val="FootnoteText"/>
        <w:rPr>
          <w:szCs w:val="18"/>
          <w:lang w:val="fr-CH"/>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First Report of </w:t>
      </w:r>
      <w:proofErr w:type="gramStart"/>
      <w:r w:rsidR="007B10A5" w:rsidRPr="00257118">
        <w:rPr>
          <w:szCs w:val="18"/>
        </w:rPr>
        <w:t>The</w:t>
      </w:r>
      <w:proofErr w:type="gramEnd"/>
      <w:r w:rsidR="007B10A5" w:rsidRPr="00257118">
        <w:rPr>
          <w:szCs w:val="18"/>
        </w:rPr>
        <w:t xml:space="preserve"> UN Counter-Terrorism Implementation Task Force Working Group on Radicalisation and Extremism that Lead to Terrorism: Inventory of State Programmes, para. 4. It makes a distinction between counter-radicalisation (</w:t>
      </w:r>
      <w:proofErr w:type="gramStart"/>
      <w:r w:rsidR="007B10A5" w:rsidRPr="00257118">
        <w:rPr>
          <w:szCs w:val="18"/>
        </w:rPr>
        <w:t>or</w:t>
      </w:r>
      <w:proofErr w:type="gramEnd"/>
      <w:r w:rsidR="007B10A5" w:rsidRPr="00257118">
        <w:rPr>
          <w:szCs w:val="18"/>
        </w:rPr>
        <w:t xml:space="preserve"> ‘upstream’) and de-radicalisation (or ‘downstream’) programmes. States focus on one or the other or a combination of both. Examples of the ‘upstream’ or combination programmes: Denmark’s 2009 “</w:t>
      </w:r>
      <w:proofErr w:type="spellStart"/>
      <w:r w:rsidR="007B10A5" w:rsidRPr="00257118">
        <w:rPr>
          <w:szCs w:val="18"/>
        </w:rPr>
        <w:t>Deradicalisation</w:t>
      </w:r>
      <w:proofErr w:type="spellEnd"/>
      <w:r w:rsidR="007B10A5" w:rsidRPr="00257118">
        <w:rPr>
          <w:szCs w:val="18"/>
        </w:rPr>
        <w:t xml:space="preserve"> – targeted intervention” programme, </w:t>
      </w:r>
      <w:proofErr w:type="spellStart"/>
      <w:r w:rsidR="007B10A5" w:rsidRPr="00257118">
        <w:rPr>
          <w:szCs w:val="18"/>
        </w:rPr>
        <w:t>Ministeriet</w:t>
      </w:r>
      <w:proofErr w:type="spellEnd"/>
      <w:r w:rsidR="007B10A5" w:rsidRPr="00257118">
        <w:rPr>
          <w:szCs w:val="18"/>
        </w:rPr>
        <w:t xml:space="preserve"> fur </w:t>
      </w:r>
      <w:proofErr w:type="spellStart"/>
      <w:r w:rsidR="007B10A5" w:rsidRPr="00257118">
        <w:rPr>
          <w:szCs w:val="18"/>
        </w:rPr>
        <w:t>Flygninge</w:t>
      </w:r>
      <w:proofErr w:type="spellEnd"/>
      <w:r w:rsidR="007B10A5" w:rsidRPr="00257118">
        <w:rPr>
          <w:szCs w:val="18"/>
        </w:rPr>
        <w:t xml:space="preserve"> </w:t>
      </w:r>
      <w:proofErr w:type="spellStart"/>
      <w:r w:rsidR="007B10A5" w:rsidRPr="00257118">
        <w:rPr>
          <w:szCs w:val="18"/>
        </w:rPr>
        <w:t>Indvandrere</w:t>
      </w:r>
      <w:proofErr w:type="spellEnd"/>
      <w:r w:rsidR="007B10A5" w:rsidRPr="00257118">
        <w:rPr>
          <w:szCs w:val="18"/>
        </w:rPr>
        <w:t xml:space="preserve"> </w:t>
      </w:r>
      <w:proofErr w:type="spellStart"/>
      <w:r w:rsidR="007B10A5" w:rsidRPr="00257118">
        <w:rPr>
          <w:szCs w:val="18"/>
        </w:rPr>
        <w:t>og</w:t>
      </w:r>
      <w:proofErr w:type="spellEnd"/>
      <w:r w:rsidR="007B10A5" w:rsidRPr="00257118">
        <w:rPr>
          <w:szCs w:val="18"/>
        </w:rPr>
        <w:t xml:space="preserve"> Integration, Denmark’s de-radicalisation efforts; Fact Sheet, </w:t>
      </w:r>
      <w:hyperlink r:id="rId12" w:history="1">
        <w:r w:rsidR="007B10A5" w:rsidRPr="00257118">
          <w:rPr>
            <w:szCs w:val="18"/>
          </w:rPr>
          <w:t>https://www.nyidanmark.dk/NR/rdonlyres/8A7278CB-EFAD-43CC-B6E4-EE81B8E13C6D/0/factsheetderadicalisation.pdf</w:t>
        </w:r>
      </w:hyperlink>
      <w:r w:rsidR="007B10A5" w:rsidRPr="00257118">
        <w:rPr>
          <w:szCs w:val="18"/>
        </w:rPr>
        <w:t xml:space="preserve">; Singapore’s Religious Rehabilitation Group, </w:t>
      </w:r>
      <w:hyperlink r:id="rId13" w:history="1">
        <w:r w:rsidR="007B10A5" w:rsidRPr="00257118">
          <w:rPr>
            <w:szCs w:val="18"/>
          </w:rPr>
          <w:t>http://rrg.sg/about-us</w:t>
        </w:r>
      </w:hyperlink>
      <w:r w:rsidR="007B10A5" w:rsidRPr="00257118">
        <w:rPr>
          <w:szCs w:val="18"/>
        </w:rPr>
        <w:t xml:space="preserve">; UK’s Channel Programme “Supporting Individuals Vulnerable to Recruitment by Violent Extremists”, </w:t>
      </w:r>
      <w:hyperlink r:id="rId14" w:history="1">
        <w:r w:rsidR="007B10A5" w:rsidRPr="00257118">
          <w:rPr>
            <w:szCs w:val="18"/>
          </w:rPr>
          <w:t>https://www.gov.uk/government/uploads/system/uploads/attachment_data/file/425189/Channel_Duty_Guidance_April_2015.pdf</w:t>
        </w:r>
      </w:hyperlink>
      <w:r w:rsidR="007B10A5" w:rsidRPr="00257118">
        <w:rPr>
          <w:szCs w:val="18"/>
        </w:rPr>
        <w:t xml:space="preserve">. </w:t>
      </w:r>
      <w:r w:rsidR="007B10A5" w:rsidRPr="005D7080">
        <w:rPr>
          <w:szCs w:val="18"/>
          <w:lang w:val="fr-CH"/>
        </w:rPr>
        <w:t xml:space="preserve">For an insight </w:t>
      </w:r>
      <w:proofErr w:type="spellStart"/>
      <w:r w:rsidR="007B10A5" w:rsidRPr="005D7080">
        <w:rPr>
          <w:szCs w:val="18"/>
          <w:lang w:val="fr-CH"/>
        </w:rPr>
        <w:t>into</w:t>
      </w:r>
      <w:proofErr w:type="spellEnd"/>
      <w:r w:rsidR="007B10A5" w:rsidRPr="005D7080">
        <w:rPr>
          <w:szCs w:val="18"/>
          <w:lang w:val="fr-CH"/>
        </w:rPr>
        <w:t xml:space="preserve"> </w:t>
      </w:r>
      <w:proofErr w:type="gramStart"/>
      <w:r w:rsidR="007B10A5" w:rsidRPr="005D7080">
        <w:rPr>
          <w:szCs w:val="18"/>
          <w:lang w:val="fr-CH"/>
        </w:rPr>
        <w:t>a</w:t>
      </w:r>
      <w:proofErr w:type="gramEnd"/>
      <w:r w:rsidR="007B10A5" w:rsidRPr="005D7080">
        <w:rPr>
          <w:szCs w:val="18"/>
          <w:lang w:val="fr-CH"/>
        </w:rPr>
        <w:t xml:space="preserve"> de-radicalisation programme, </w:t>
      </w:r>
      <w:proofErr w:type="spellStart"/>
      <w:r w:rsidR="007B10A5" w:rsidRPr="005D7080">
        <w:rPr>
          <w:szCs w:val="18"/>
          <w:lang w:val="fr-CH"/>
        </w:rPr>
        <w:t>see</w:t>
      </w:r>
      <w:proofErr w:type="spellEnd"/>
      <w:r w:rsidR="007B10A5" w:rsidRPr="005D7080">
        <w:rPr>
          <w:szCs w:val="18"/>
          <w:lang w:val="fr-CH"/>
        </w:rPr>
        <w:t xml:space="preserve"> Dounia </w:t>
      </w:r>
      <w:proofErr w:type="spellStart"/>
      <w:r w:rsidR="007B10A5" w:rsidRPr="005D7080">
        <w:rPr>
          <w:szCs w:val="18"/>
          <w:lang w:val="fr-CH"/>
        </w:rPr>
        <w:t>Bouzar</w:t>
      </w:r>
      <w:proofErr w:type="spellEnd"/>
      <w:r w:rsidR="007B10A5" w:rsidRPr="005D7080">
        <w:rPr>
          <w:szCs w:val="18"/>
          <w:lang w:val="fr-CH"/>
        </w:rPr>
        <w:t xml:space="preserve">, “La vie après </w:t>
      </w:r>
      <w:proofErr w:type="spellStart"/>
      <w:r w:rsidR="007B10A5" w:rsidRPr="005D7080">
        <w:rPr>
          <w:szCs w:val="18"/>
          <w:lang w:val="fr-CH"/>
        </w:rPr>
        <w:t>Daesh</w:t>
      </w:r>
      <w:proofErr w:type="spellEnd"/>
      <w:r w:rsidR="007B10A5" w:rsidRPr="005D7080">
        <w:rPr>
          <w:szCs w:val="18"/>
          <w:lang w:val="fr-CH"/>
        </w:rPr>
        <w:t xml:space="preserve">”, Les Editions de l’Atelier, Octobre 2015. </w:t>
      </w:r>
    </w:p>
    <w:p w:rsidR="007B10A5" w:rsidRPr="00257118" w:rsidRDefault="0031115F" w:rsidP="0031115F">
      <w:pPr>
        <w:pStyle w:val="FootnoteText"/>
        <w:jc w:val="both"/>
        <w:rPr>
          <w:szCs w:val="18"/>
        </w:rPr>
      </w:pPr>
      <w:r w:rsidRPr="0069683C">
        <w:rPr>
          <w:szCs w:val="18"/>
          <w:lang w:val="fr-CH"/>
        </w:rPr>
        <w:tab/>
      </w:r>
      <w:r w:rsidRPr="0069683C">
        <w:rPr>
          <w:szCs w:val="18"/>
          <w:lang w:val="fr-CH"/>
        </w:rPr>
        <w:tab/>
      </w:r>
      <w:r w:rsidR="007B10A5" w:rsidRPr="00257118">
        <w:rPr>
          <w:szCs w:val="18"/>
        </w:rPr>
        <w:t xml:space="preserve">See also OSCE/ODIHR, “Preventing Terrorism and Countering Violent Extremism and Radicalization that Lead to terrorism: A Community Policing Approach”, 2014, p. 35; and Belgium’s 2013 Programme de prevention de la radicalization </w:t>
      </w:r>
      <w:proofErr w:type="spellStart"/>
      <w:r w:rsidR="007B10A5" w:rsidRPr="00257118">
        <w:rPr>
          <w:szCs w:val="18"/>
        </w:rPr>
        <w:t>violente</w:t>
      </w:r>
      <w:proofErr w:type="spellEnd"/>
      <w:r w:rsidR="007B10A5" w:rsidRPr="00257118">
        <w:rPr>
          <w:szCs w:val="18"/>
        </w:rPr>
        <w:t>, which states that radical ideas are not problematic in themselves; they can in fact be beneficial for society, as they can push societies forward, p. 4.</w:t>
      </w:r>
    </w:p>
  </w:footnote>
  <w:footnote w:id="32">
    <w:p w:rsidR="007B10A5" w:rsidRPr="00257118" w:rsidRDefault="0031115F" w:rsidP="0031115F">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Marc </w:t>
      </w:r>
      <w:proofErr w:type="spellStart"/>
      <w:r w:rsidR="007B10A5" w:rsidRPr="00257118">
        <w:rPr>
          <w:szCs w:val="18"/>
        </w:rPr>
        <w:t>Sageman</w:t>
      </w:r>
      <w:proofErr w:type="spellEnd"/>
      <w:r w:rsidR="007B10A5" w:rsidRPr="00257118">
        <w:rPr>
          <w:szCs w:val="18"/>
        </w:rPr>
        <w:t xml:space="preserve"> (2014) “The Stagnation in Terrorism Research, Terrorism and Political Violence”, 26:4, DOI: 10.1080/09546553.2014.895649, p. 568-569.</w:t>
      </w:r>
    </w:p>
  </w:footnote>
  <w:footnote w:id="33">
    <w:p w:rsidR="007B10A5" w:rsidRPr="00FF06B3" w:rsidRDefault="0031115F" w:rsidP="0031115F">
      <w:pPr>
        <w:tabs>
          <w:tab w:val="right" w:pos="1021"/>
        </w:tabs>
        <w:suppressAutoHyphens w:val="0"/>
        <w:spacing w:line="220" w:lineRule="exact"/>
        <w:ind w:left="1134" w:right="1134" w:hanging="1134"/>
        <w:jc w:val="both"/>
        <w:rPr>
          <w:sz w:val="24"/>
          <w:szCs w:val="24"/>
          <w:lang w:val="en-US"/>
        </w:rPr>
      </w:pPr>
      <w:r>
        <w:tab/>
      </w:r>
      <w:r w:rsidR="007B10A5">
        <w:rPr>
          <w:rStyle w:val="FootnoteReference"/>
        </w:rPr>
        <w:footnoteRef/>
      </w:r>
      <w:r w:rsidR="007B10A5">
        <w:t xml:space="preserve"> </w:t>
      </w:r>
      <w:r>
        <w:tab/>
      </w:r>
      <w:r w:rsidR="007B10A5" w:rsidRPr="00FF06B3">
        <w:rPr>
          <w:sz w:val="18"/>
          <w:szCs w:val="18"/>
        </w:rPr>
        <w:t xml:space="preserve">See European Parliament </w:t>
      </w:r>
      <w:r w:rsidR="007B10A5">
        <w:rPr>
          <w:sz w:val="18"/>
          <w:szCs w:val="18"/>
        </w:rPr>
        <w:t xml:space="preserve">Report </w:t>
      </w:r>
      <w:r w:rsidR="007B10A5" w:rsidRPr="00FF06B3">
        <w:rPr>
          <w:sz w:val="18"/>
          <w:szCs w:val="18"/>
          <w:lang w:val="en-US"/>
        </w:rPr>
        <w:t>A8-0316/2015</w:t>
      </w:r>
    </w:p>
  </w:footnote>
  <w:footnote w:id="34">
    <w:p w:rsidR="007B10A5" w:rsidRPr="00257118" w:rsidRDefault="0031115F" w:rsidP="0033755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spellStart"/>
      <w:r w:rsidR="007B10A5" w:rsidRPr="00257118">
        <w:rPr>
          <w:szCs w:val="18"/>
        </w:rPr>
        <w:t>Faiza</w:t>
      </w:r>
      <w:proofErr w:type="spellEnd"/>
      <w:r w:rsidR="007B10A5" w:rsidRPr="00257118">
        <w:rPr>
          <w:szCs w:val="18"/>
        </w:rPr>
        <w:t xml:space="preserve"> Patel, “Rethinking Radicalization”, Brennan </w:t>
      </w:r>
      <w:proofErr w:type="spellStart"/>
      <w:r w:rsidR="007B10A5" w:rsidRPr="00257118">
        <w:rPr>
          <w:szCs w:val="18"/>
        </w:rPr>
        <w:t>Center</w:t>
      </w:r>
      <w:proofErr w:type="spellEnd"/>
      <w:r w:rsidR="007B10A5" w:rsidRPr="00257118">
        <w:rPr>
          <w:szCs w:val="18"/>
        </w:rPr>
        <w:t xml:space="preserve"> for Justice, 2011; Peter </w:t>
      </w:r>
      <w:proofErr w:type="spellStart"/>
      <w:r w:rsidR="007B10A5" w:rsidRPr="00257118">
        <w:rPr>
          <w:szCs w:val="18"/>
        </w:rPr>
        <w:t>Romaniuk</w:t>
      </w:r>
      <w:proofErr w:type="spellEnd"/>
      <w:r w:rsidR="007B10A5" w:rsidRPr="00257118">
        <w:rPr>
          <w:szCs w:val="18"/>
        </w:rPr>
        <w:t xml:space="preserve">, “Does CVE Work?”, </w:t>
      </w:r>
      <w:proofErr w:type="spellStart"/>
      <w:r w:rsidR="007B10A5" w:rsidRPr="00257118">
        <w:rPr>
          <w:szCs w:val="18"/>
        </w:rPr>
        <w:t>op.cit</w:t>
      </w:r>
      <w:proofErr w:type="spellEnd"/>
      <w:r w:rsidR="007B10A5" w:rsidRPr="00257118">
        <w:rPr>
          <w:szCs w:val="18"/>
        </w:rPr>
        <w:t xml:space="preserve">.; and Lynn Davies, </w:t>
      </w:r>
      <w:proofErr w:type="spellStart"/>
      <w:r w:rsidR="007B10A5" w:rsidRPr="00257118">
        <w:rPr>
          <w:szCs w:val="18"/>
        </w:rPr>
        <w:t>Zubeda</w:t>
      </w:r>
      <w:proofErr w:type="spellEnd"/>
      <w:r w:rsidR="007B10A5" w:rsidRPr="00257118">
        <w:rPr>
          <w:szCs w:val="18"/>
        </w:rPr>
        <w:t xml:space="preserve"> </w:t>
      </w:r>
      <w:proofErr w:type="spellStart"/>
      <w:r w:rsidR="007B10A5" w:rsidRPr="00257118">
        <w:rPr>
          <w:szCs w:val="18"/>
        </w:rPr>
        <w:t>Limbada</w:t>
      </w:r>
      <w:proofErr w:type="spellEnd"/>
      <w:r w:rsidR="007B10A5" w:rsidRPr="00257118">
        <w:rPr>
          <w:szCs w:val="18"/>
        </w:rPr>
        <w:t xml:space="preserve">, Laura Zahra McDonald, </w:t>
      </w:r>
      <w:proofErr w:type="spellStart"/>
      <w:r w:rsidR="007B10A5" w:rsidRPr="00257118">
        <w:rPr>
          <w:szCs w:val="18"/>
        </w:rPr>
        <w:t>Basia</w:t>
      </w:r>
      <w:proofErr w:type="spellEnd"/>
      <w:r w:rsidR="007B10A5" w:rsidRPr="00257118">
        <w:rPr>
          <w:szCs w:val="18"/>
        </w:rPr>
        <w:t xml:space="preserve"> </w:t>
      </w:r>
      <w:proofErr w:type="spellStart"/>
      <w:r w:rsidR="007B10A5" w:rsidRPr="00257118">
        <w:rPr>
          <w:szCs w:val="18"/>
        </w:rPr>
        <w:t>Spalek</w:t>
      </w:r>
      <w:proofErr w:type="spellEnd"/>
      <w:r w:rsidR="007B10A5" w:rsidRPr="00257118">
        <w:rPr>
          <w:szCs w:val="18"/>
        </w:rPr>
        <w:t xml:space="preserve"> and Doug Weeks, “Formers and Families: Transitional Journeys in and out of violent extremism in the UK”, Connect Justice, 2015. Louise Richardson, “What terrorists want”, John Murray (publishers), 2006, p. 60 </w:t>
      </w:r>
      <w:proofErr w:type="gramStart"/>
      <w:r w:rsidR="007B10A5" w:rsidRPr="00257118">
        <w:rPr>
          <w:szCs w:val="18"/>
        </w:rPr>
        <w:t>et</w:t>
      </w:r>
      <w:proofErr w:type="gramEnd"/>
      <w:r w:rsidR="007B10A5" w:rsidRPr="00257118">
        <w:rPr>
          <w:szCs w:val="18"/>
        </w:rPr>
        <w:t xml:space="preserve"> s. For a pre-2001 account: Martha Crenshaw, “The Causes of Terrorism,” Comparative Politics, Vol. 13, No. 4. </w:t>
      </w:r>
      <w:proofErr w:type="gramStart"/>
      <w:r w:rsidR="007B10A5" w:rsidRPr="00257118">
        <w:rPr>
          <w:szCs w:val="18"/>
        </w:rPr>
        <w:t>(Jul., 1981), pp. 379-399.</w:t>
      </w:r>
      <w:proofErr w:type="gramEnd"/>
    </w:p>
  </w:footnote>
  <w:footnote w:id="35">
    <w:p w:rsidR="007B10A5" w:rsidRPr="00257118" w:rsidRDefault="0033755D" w:rsidP="0033755D">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proofErr w:type="spellStart"/>
      <w:r w:rsidR="007B10A5" w:rsidRPr="00257118">
        <w:rPr>
          <w:szCs w:val="18"/>
        </w:rPr>
        <w:t>Faiza</w:t>
      </w:r>
      <w:proofErr w:type="spellEnd"/>
      <w:r w:rsidR="007B10A5" w:rsidRPr="00257118">
        <w:rPr>
          <w:szCs w:val="18"/>
        </w:rPr>
        <w:t xml:space="preserve"> Patel and Richard Barrett, “Video and Highlights From a Conversation on Countering Violent Extremism”, Just Security and Project for the Study of the 21st Century (PS 21), 1 July 2015, </w:t>
      </w:r>
      <w:hyperlink r:id="rId15" w:history="1">
        <w:r w:rsidR="007B10A5" w:rsidRPr="00257118">
          <w:rPr>
            <w:szCs w:val="18"/>
          </w:rPr>
          <w:t>https://www.justsecurity.org/24335/video-highlights-conversation-cve/</w:t>
        </w:r>
      </w:hyperlink>
      <w:r w:rsidR="007B10A5" w:rsidRPr="00257118">
        <w:rPr>
          <w:szCs w:val="18"/>
        </w:rPr>
        <w:t xml:space="preserve">; Lynn Davies, </w:t>
      </w:r>
      <w:proofErr w:type="spellStart"/>
      <w:r w:rsidR="007B10A5" w:rsidRPr="00257118">
        <w:rPr>
          <w:szCs w:val="18"/>
        </w:rPr>
        <w:t>Zubeda</w:t>
      </w:r>
      <w:proofErr w:type="spellEnd"/>
      <w:r w:rsidR="007B10A5" w:rsidRPr="00257118">
        <w:rPr>
          <w:szCs w:val="18"/>
        </w:rPr>
        <w:t xml:space="preserve"> </w:t>
      </w:r>
      <w:proofErr w:type="spellStart"/>
      <w:r w:rsidR="007B10A5" w:rsidRPr="00257118">
        <w:rPr>
          <w:szCs w:val="18"/>
        </w:rPr>
        <w:t>Limbada</w:t>
      </w:r>
      <w:proofErr w:type="spellEnd"/>
      <w:r w:rsidR="007B10A5" w:rsidRPr="00257118">
        <w:rPr>
          <w:szCs w:val="18"/>
        </w:rPr>
        <w:t xml:space="preserve">, Laura Zahra McDonald, </w:t>
      </w:r>
      <w:proofErr w:type="spellStart"/>
      <w:r w:rsidR="007B10A5" w:rsidRPr="00257118">
        <w:rPr>
          <w:szCs w:val="18"/>
        </w:rPr>
        <w:t>Basia</w:t>
      </w:r>
      <w:proofErr w:type="spellEnd"/>
      <w:r w:rsidR="007B10A5" w:rsidRPr="00257118">
        <w:rPr>
          <w:szCs w:val="18"/>
        </w:rPr>
        <w:t xml:space="preserve"> </w:t>
      </w:r>
      <w:proofErr w:type="spellStart"/>
      <w:r w:rsidR="007B10A5" w:rsidRPr="00257118">
        <w:rPr>
          <w:szCs w:val="18"/>
        </w:rPr>
        <w:t>Spalek</w:t>
      </w:r>
      <w:proofErr w:type="spellEnd"/>
      <w:r w:rsidR="007B10A5" w:rsidRPr="00257118">
        <w:rPr>
          <w:szCs w:val="18"/>
        </w:rPr>
        <w:t>, Doug Weeks, “Formers and Families: Transitional Journeys in and out of violent extremism in the UK”, Connect Justice, 2015. See also the 2003 US National strategy for Combating Terrorism, p. 25; and Waterhouse Consulting Group, “Preventing violent extremism: An Independent Evaluation of the Birmingham Pathfinder”, 2008, p.12.</w:t>
      </w:r>
    </w:p>
  </w:footnote>
  <w:footnote w:id="36">
    <w:p w:rsidR="007B10A5" w:rsidRPr="00257118" w:rsidRDefault="0033755D" w:rsidP="0033755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 xml:space="preserve">Interview with Marc </w:t>
      </w:r>
      <w:proofErr w:type="spellStart"/>
      <w:r w:rsidR="007B10A5" w:rsidRPr="00257118">
        <w:rPr>
          <w:szCs w:val="18"/>
        </w:rPr>
        <w:t>Sageman</w:t>
      </w:r>
      <w:proofErr w:type="spellEnd"/>
      <w:r w:rsidR="007B10A5" w:rsidRPr="00257118">
        <w:rPr>
          <w:szCs w:val="18"/>
        </w:rPr>
        <w:t xml:space="preserve">, </w:t>
      </w:r>
      <w:hyperlink r:id="rId16" w:history="1">
        <w:r w:rsidR="007B10A5" w:rsidRPr="00257118">
          <w:rPr>
            <w:szCs w:val="18"/>
          </w:rPr>
          <w:t>E-International Relations</w:t>
        </w:r>
      </w:hyperlink>
      <w:r w:rsidR="007B10A5" w:rsidRPr="00257118">
        <w:rPr>
          <w:szCs w:val="18"/>
        </w:rPr>
        <w:t xml:space="preserve">, Nov 20 2014, </w:t>
      </w:r>
      <w:hyperlink r:id="rId17" w:history="1">
        <w:r w:rsidR="007B10A5" w:rsidRPr="00257118">
          <w:rPr>
            <w:szCs w:val="18"/>
          </w:rPr>
          <w:t>http://www.eir.info/2014/11/20/interview-marc-sageman/</w:t>
        </w:r>
      </w:hyperlink>
      <w:r w:rsidR="007B10A5" w:rsidRPr="00257118">
        <w:rPr>
          <w:szCs w:val="18"/>
        </w:rPr>
        <w:t>.</w:t>
      </w:r>
      <w:proofErr w:type="gramEnd"/>
      <w:r w:rsidR="007B10A5" w:rsidRPr="00257118">
        <w:rPr>
          <w:szCs w:val="18"/>
        </w:rPr>
        <w:t xml:space="preserve"> </w:t>
      </w:r>
      <w:proofErr w:type="spellStart"/>
      <w:r w:rsidR="007B10A5" w:rsidRPr="00257118">
        <w:rPr>
          <w:szCs w:val="18"/>
        </w:rPr>
        <w:t>Arun</w:t>
      </w:r>
      <w:proofErr w:type="spellEnd"/>
      <w:r w:rsidR="007B10A5" w:rsidRPr="00257118">
        <w:rPr>
          <w:szCs w:val="18"/>
        </w:rPr>
        <w:t xml:space="preserve"> </w:t>
      </w:r>
      <w:proofErr w:type="spellStart"/>
      <w:r w:rsidR="007B10A5" w:rsidRPr="00257118">
        <w:rPr>
          <w:szCs w:val="18"/>
        </w:rPr>
        <w:t>Kundnani</w:t>
      </w:r>
      <w:proofErr w:type="spellEnd"/>
      <w:r w:rsidR="007B10A5" w:rsidRPr="00257118">
        <w:rPr>
          <w:szCs w:val="18"/>
        </w:rPr>
        <w:t xml:space="preserve">, “A Decade Lost: Rethinking Extremism and Radicalisation, p.10-11, </w:t>
      </w:r>
      <w:proofErr w:type="spellStart"/>
      <w:r w:rsidR="007B10A5" w:rsidRPr="00257118">
        <w:rPr>
          <w:szCs w:val="18"/>
        </w:rPr>
        <w:t>Claystone</w:t>
      </w:r>
      <w:proofErr w:type="spellEnd"/>
      <w:r w:rsidR="007B10A5" w:rsidRPr="00257118">
        <w:rPr>
          <w:szCs w:val="18"/>
        </w:rPr>
        <w:t xml:space="preserve">, January, 2015. </w:t>
      </w:r>
    </w:p>
  </w:footnote>
  <w:footnote w:id="37">
    <w:p w:rsidR="007B10A5" w:rsidRPr="00257118" w:rsidRDefault="0033755D" w:rsidP="0033755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Scott </w:t>
      </w:r>
      <w:proofErr w:type="spellStart"/>
      <w:r w:rsidR="007B10A5" w:rsidRPr="00257118">
        <w:rPr>
          <w:szCs w:val="18"/>
        </w:rPr>
        <w:t>Atran</w:t>
      </w:r>
      <w:proofErr w:type="spellEnd"/>
      <w:r w:rsidR="007B10A5" w:rsidRPr="00257118">
        <w:rPr>
          <w:szCs w:val="18"/>
        </w:rPr>
        <w:t xml:space="preserve">, Address to the Security Council, 23 April 2015, </w:t>
      </w:r>
      <w:hyperlink r:id="rId18" w:history="1">
        <w:r w:rsidR="007B10A5" w:rsidRPr="00257118">
          <w:rPr>
            <w:szCs w:val="18"/>
          </w:rPr>
          <w:t>http://blogs.plos.org/neuroanthropology/2015/04/25/scott-atran-on-youth-violent-extremism-and-promoting-peace/</w:t>
        </w:r>
      </w:hyperlink>
      <w:r w:rsidR="007B10A5" w:rsidRPr="00257118">
        <w:rPr>
          <w:szCs w:val="18"/>
        </w:rPr>
        <w:t xml:space="preserve">. </w:t>
      </w:r>
    </w:p>
  </w:footnote>
  <w:footnote w:id="38">
    <w:p w:rsidR="007B10A5" w:rsidRPr="00257118" w:rsidRDefault="0033755D" w:rsidP="0033755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Andrew </w:t>
      </w:r>
      <w:proofErr w:type="spellStart"/>
      <w:r w:rsidR="007B10A5" w:rsidRPr="00257118">
        <w:rPr>
          <w:szCs w:val="18"/>
        </w:rPr>
        <w:t>Silke</w:t>
      </w:r>
      <w:proofErr w:type="spellEnd"/>
      <w:r w:rsidR="007B10A5" w:rsidRPr="00257118">
        <w:rPr>
          <w:szCs w:val="18"/>
        </w:rPr>
        <w:t xml:space="preserve">, “Cameron's anti-terror strategy is 'barking up wrong tree', says expert”, The Guardian, 20 July 2015, </w:t>
      </w:r>
      <w:hyperlink r:id="rId19" w:history="1">
        <w:r w:rsidR="007B10A5" w:rsidRPr="00257118">
          <w:rPr>
            <w:szCs w:val="18"/>
          </w:rPr>
          <w:t>http://www.theguardian.com/uk-news/2015/jul/20/david-cameron-anti-terror-strategy-wrong-expert-says</w:t>
        </w:r>
      </w:hyperlink>
      <w:r w:rsidR="007B10A5" w:rsidRPr="00257118">
        <w:rPr>
          <w:szCs w:val="18"/>
        </w:rPr>
        <w:t xml:space="preserve">. See also the report of the Special Rapporteur on freedom of religion or belief, A/HRC/28/66, paras. 19, 22-38, and </w:t>
      </w:r>
      <w:proofErr w:type="spellStart"/>
      <w:r w:rsidR="007B10A5" w:rsidRPr="00257118">
        <w:rPr>
          <w:szCs w:val="18"/>
        </w:rPr>
        <w:t>Arun</w:t>
      </w:r>
      <w:proofErr w:type="spellEnd"/>
      <w:r w:rsidR="007B10A5" w:rsidRPr="00257118">
        <w:rPr>
          <w:szCs w:val="18"/>
        </w:rPr>
        <w:t xml:space="preserve"> </w:t>
      </w:r>
      <w:proofErr w:type="spellStart"/>
      <w:r w:rsidR="007B10A5" w:rsidRPr="00257118">
        <w:rPr>
          <w:szCs w:val="18"/>
        </w:rPr>
        <w:t>Kundnani</w:t>
      </w:r>
      <w:proofErr w:type="spellEnd"/>
      <w:r w:rsidR="007B10A5" w:rsidRPr="00257118">
        <w:rPr>
          <w:szCs w:val="18"/>
        </w:rPr>
        <w:t xml:space="preserve">, A Decade Lost, 2015, </w:t>
      </w:r>
      <w:proofErr w:type="spellStart"/>
      <w:r w:rsidR="007B10A5" w:rsidRPr="00257118">
        <w:rPr>
          <w:szCs w:val="18"/>
        </w:rPr>
        <w:t>op.cit</w:t>
      </w:r>
      <w:proofErr w:type="spellEnd"/>
      <w:r w:rsidR="007B10A5" w:rsidRPr="00257118">
        <w:rPr>
          <w:szCs w:val="18"/>
        </w:rPr>
        <w:t>, pp. 22-25</w:t>
      </w:r>
    </w:p>
  </w:footnote>
  <w:footnote w:id="39">
    <w:p w:rsidR="007B10A5" w:rsidRPr="00D44F11" w:rsidRDefault="0033755D" w:rsidP="0033755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A/70/674, para.</w:t>
      </w:r>
      <w:proofErr w:type="gramEnd"/>
      <w:r w:rsidR="007B10A5" w:rsidRPr="00257118">
        <w:rPr>
          <w:szCs w:val="18"/>
        </w:rPr>
        <w:t xml:space="preserve"> </w:t>
      </w:r>
      <w:r w:rsidR="007B10A5" w:rsidRPr="00D44F11">
        <w:rPr>
          <w:szCs w:val="18"/>
        </w:rPr>
        <w:t>23.</w:t>
      </w:r>
    </w:p>
  </w:footnote>
  <w:footnote w:id="40">
    <w:p w:rsidR="007B10A5" w:rsidRPr="00792799" w:rsidRDefault="0033755D" w:rsidP="0033755D">
      <w:pPr>
        <w:pStyle w:val="FootnoteText"/>
        <w:jc w:val="both"/>
        <w:rPr>
          <w:szCs w:val="18"/>
          <w:lang w:val="es-ES"/>
        </w:rPr>
      </w:pPr>
      <w:r w:rsidRPr="00D44F11">
        <w:rPr>
          <w:szCs w:val="18"/>
        </w:rPr>
        <w:tab/>
      </w:r>
      <w:r w:rsidR="007B10A5" w:rsidRPr="00F27E8B">
        <w:rPr>
          <w:szCs w:val="18"/>
          <w:vertAlign w:val="superscript"/>
        </w:rPr>
        <w:footnoteRef/>
      </w:r>
      <w:r w:rsidR="007B10A5" w:rsidRPr="00792799">
        <w:rPr>
          <w:szCs w:val="18"/>
          <w:lang w:val="es-ES"/>
        </w:rPr>
        <w:t xml:space="preserve"> </w:t>
      </w:r>
      <w:r>
        <w:rPr>
          <w:szCs w:val="18"/>
          <w:lang w:val="es-ES"/>
        </w:rPr>
        <w:tab/>
      </w:r>
      <w:r w:rsidR="007B10A5" w:rsidRPr="00792799">
        <w:rPr>
          <w:szCs w:val="18"/>
          <w:lang w:val="es-ES"/>
        </w:rPr>
        <w:t>A/70/674, para. 3.</w:t>
      </w:r>
    </w:p>
  </w:footnote>
  <w:footnote w:id="41">
    <w:p w:rsidR="007B10A5" w:rsidRPr="00792799" w:rsidRDefault="0033755D" w:rsidP="0033755D">
      <w:pPr>
        <w:pStyle w:val="FootnoteText"/>
        <w:jc w:val="both"/>
        <w:rPr>
          <w:szCs w:val="18"/>
          <w:lang w:val="es-ES"/>
        </w:rPr>
      </w:pPr>
      <w:r>
        <w:rPr>
          <w:szCs w:val="18"/>
          <w:vertAlign w:val="superscript"/>
          <w:lang w:val="es-ES"/>
        </w:rPr>
        <w:tab/>
      </w:r>
      <w:r w:rsidR="007B10A5" w:rsidRPr="00F27E8B">
        <w:rPr>
          <w:szCs w:val="18"/>
          <w:vertAlign w:val="superscript"/>
        </w:rPr>
        <w:footnoteRef/>
      </w:r>
      <w:r w:rsidR="007B10A5" w:rsidRPr="00792799">
        <w:rPr>
          <w:szCs w:val="18"/>
          <w:vertAlign w:val="superscript"/>
          <w:lang w:val="es-ES"/>
        </w:rPr>
        <w:t xml:space="preserve"> </w:t>
      </w:r>
      <w:r>
        <w:rPr>
          <w:szCs w:val="18"/>
          <w:vertAlign w:val="superscript"/>
          <w:lang w:val="es-ES"/>
        </w:rPr>
        <w:tab/>
      </w:r>
      <w:r w:rsidR="007B10A5" w:rsidRPr="00792799">
        <w:rPr>
          <w:szCs w:val="18"/>
          <w:lang w:val="es-ES"/>
        </w:rPr>
        <w:t>A/70/674, para. 7.</w:t>
      </w:r>
    </w:p>
  </w:footnote>
  <w:footnote w:id="42">
    <w:p w:rsidR="007B10A5" w:rsidRPr="00D44F11" w:rsidRDefault="0033755D" w:rsidP="0033755D">
      <w:pPr>
        <w:pStyle w:val="FootnoteText"/>
        <w:jc w:val="both"/>
        <w:rPr>
          <w:sz w:val="16"/>
          <w:szCs w:val="18"/>
          <w:lang w:val="es-ES"/>
        </w:rPr>
      </w:pPr>
      <w:r>
        <w:rPr>
          <w:szCs w:val="18"/>
          <w:lang w:val="es-ES"/>
        </w:rPr>
        <w:tab/>
      </w:r>
      <w:r w:rsidR="007B10A5" w:rsidRPr="00F27E8B">
        <w:rPr>
          <w:szCs w:val="18"/>
          <w:vertAlign w:val="superscript"/>
        </w:rPr>
        <w:footnoteRef/>
      </w:r>
      <w:r w:rsidR="007B10A5" w:rsidRPr="00D44F11">
        <w:rPr>
          <w:szCs w:val="18"/>
          <w:lang w:val="es-ES"/>
        </w:rPr>
        <w:t xml:space="preserve"> </w:t>
      </w:r>
      <w:r w:rsidRPr="00D44F11">
        <w:rPr>
          <w:szCs w:val="18"/>
          <w:lang w:val="es-ES"/>
        </w:rPr>
        <w:tab/>
      </w:r>
      <w:r w:rsidR="00D32ED9">
        <w:fldChar w:fldCharType="begin"/>
      </w:r>
      <w:r w:rsidR="00D32ED9" w:rsidRPr="00D32ED9">
        <w:rPr>
          <w:lang w:val="es-ES"/>
        </w:rPr>
        <w:instrText xml:space="preserve"> HYPERLINK "https://www.thegctf.org/documents/10162/72352/13Sep19_Ankara+Memorandum.pdf" </w:instrText>
      </w:r>
      <w:r w:rsidR="00D32ED9">
        <w:fldChar w:fldCharType="separate"/>
      </w:r>
      <w:r w:rsidR="007B10A5" w:rsidRPr="00D44F11">
        <w:rPr>
          <w:sz w:val="16"/>
          <w:szCs w:val="18"/>
          <w:lang w:val="es-ES"/>
        </w:rPr>
        <w:t>https://www.thegctf.org/documents/10162/72352/13Sep19_Ankara+Memorandum.pdf</w:t>
      </w:r>
      <w:r w:rsidR="00D32ED9">
        <w:rPr>
          <w:sz w:val="16"/>
          <w:szCs w:val="18"/>
          <w:lang w:val="es-ES"/>
        </w:rPr>
        <w:fldChar w:fldCharType="end"/>
      </w:r>
      <w:r w:rsidR="007B10A5" w:rsidRPr="00D44F11">
        <w:rPr>
          <w:sz w:val="16"/>
          <w:szCs w:val="18"/>
          <w:lang w:val="es-ES"/>
        </w:rPr>
        <w:t xml:space="preserve">. </w:t>
      </w:r>
    </w:p>
  </w:footnote>
  <w:footnote w:id="43">
    <w:p w:rsidR="007B10A5" w:rsidRPr="0033755D" w:rsidRDefault="0033755D" w:rsidP="0033755D">
      <w:pPr>
        <w:pStyle w:val="FootnoteText"/>
        <w:jc w:val="both"/>
        <w:rPr>
          <w:sz w:val="16"/>
          <w:szCs w:val="18"/>
        </w:rPr>
      </w:pPr>
      <w:r w:rsidRPr="00D44F11">
        <w:rPr>
          <w:szCs w:val="18"/>
          <w:vertAlign w:val="superscript"/>
          <w:lang w:val="es-ES"/>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proofErr w:type="spellStart"/>
      <w:r w:rsidR="007B10A5" w:rsidRPr="0033755D">
        <w:rPr>
          <w:sz w:val="16"/>
          <w:szCs w:val="18"/>
        </w:rPr>
        <w:t>Humera</w:t>
      </w:r>
      <w:proofErr w:type="spellEnd"/>
      <w:r w:rsidR="007B10A5" w:rsidRPr="0033755D">
        <w:rPr>
          <w:sz w:val="16"/>
          <w:szCs w:val="18"/>
        </w:rPr>
        <w:t xml:space="preserve"> Khan, “Why countering extremism fails”, Foreign Affairs, 18 February 2015</w:t>
      </w:r>
    </w:p>
  </w:footnote>
  <w:footnote w:id="44">
    <w:p w:rsidR="007B10A5" w:rsidRPr="00257118" w:rsidRDefault="00550996" w:rsidP="00471EAA">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See A/70/371, para. 14. See also Security Council resolution 2129 (2013), para. 19. </w:t>
      </w:r>
    </w:p>
  </w:footnote>
  <w:footnote w:id="45">
    <w:p w:rsidR="007B10A5" w:rsidRPr="00257118" w:rsidRDefault="00550996" w:rsidP="00471EAA">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S/RES/2178 (2014), PP 8.</w:t>
      </w:r>
      <w:proofErr w:type="gramEnd"/>
    </w:p>
  </w:footnote>
  <w:footnote w:id="46">
    <w:p w:rsidR="007B10A5" w:rsidRPr="00257118" w:rsidRDefault="00550996" w:rsidP="00471EAA">
      <w:pPr>
        <w:pStyle w:val="FootnoteText"/>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proofErr w:type="gramStart"/>
      <w:r w:rsidR="007B10A5" w:rsidRPr="00257118">
        <w:rPr>
          <w:szCs w:val="18"/>
        </w:rPr>
        <w:t xml:space="preserve">SOVA </w:t>
      </w:r>
      <w:proofErr w:type="spellStart"/>
      <w:r w:rsidR="007B10A5" w:rsidRPr="00257118">
        <w:rPr>
          <w:szCs w:val="18"/>
        </w:rPr>
        <w:t>Center</w:t>
      </w:r>
      <w:proofErr w:type="spellEnd"/>
      <w:r w:rsidR="007B10A5" w:rsidRPr="00257118">
        <w:rPr>
          <w:szCs w:val="18"/>
        </w:rPr>
        <w:t xml:space="preserve"> for Information and Analysis, “The Structure of Russian Anti-Extremist Legislation, November,</w:t>
      </w:r>
      <w:r w:rsidR="00471EAA">
        <w:rPr>
          <w:szCs w:val="18"/>
        </w:rPr>
        <w:t xml:space="preserve"> </w:t>
      </w:r>
      <w:r w:rsidR="007B10A5" w:rsidRPr="00257118">
        <w:rPr>
          <w:szCs w:val="18"/>
        </w:rPr>
        <w:t xml:space="preserve">2010, </w:t>
      </w:r>
      <w:hyperlink r:id="rId20" w:history="1">
        <w:r w:rsidR="007B10A5" w:rsidRPr="00257118">
          <w:rPr>
            <w:szCs w:val="18"/>
          </w:rPr>
          <w:t>http://www.europarl.europa.eu/meetdocs/2009_2014/documents/droi/dv/201/201011/20101129_3_10sova_en.pdf</w:t>
        </w:r>
      </w:hyperlink>
      <w:r w:rsidR="007B10A5" w:rsidRPr="00257118">
        <w:rPr>
          <w:szCs w:val="18"/>
        </w:rPr>
        <w:t>.</w:t>
      </w:r>
      <w:proofErr w:type="gramEnd"/>
      <w:r w:rsidR="007B10A5" w:rsidRPr="00257118">
        <w:rPr>
          <w:szCs w:val="18"/>
        </w:rPr>
        <w:t xml:space="preserve"> See also Inter-parliamentary Assembly of Member Nations of the Commonwealth of Independent States, Model law on Countering Extremism, available at: </w:t>
      </w:r>
      <w:hyperlink r:id="rId21" w:history="1">
        <w:r w:rsidR="007B10A5" w:rsidRPr="00257118">
          <w:rPr>
            <w:szCs w:val="18"/>
          </w:rPr>
          <w:t>http://cis-legislation.com/document.fwx?rgn=30827</w:t>
        </w:r>
      </w:hyperlink>
      <w:r w:rsidR="007B10A5" w:rsidRPr="00257118">
        <w:rPr>
          <w:szCs w:val="18"/>
        </w:rPr>
        <w:t>.</w:t>
      </w:r>
    </w:p>
  </w:footnote>
  <w:footnote w:id="47">
    <w:p w:rsidR="007B10A5" w:rsidRPr="00257118" w:rsidRDefault="00634D89" w:rsidP="00551827">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See Special Rapporteur on freedom of religion and Working Group on arbitrary detention, A/HRC/16/53/Add.1 para. </w:t>
      </w:r>
      <w:proofErr w:type="gramStart"/>
      <w:r w:rsidR="007B10A5" w:rsidRPr="00257118">
        <w:rPr>
          <w:szCs w:val="18"/>
        </w:rPr>
        <w:t>99-106 and Special Rapporteur on human rights and counter Terrorism, A/HRC/10/3, para.</w:t>
      </w:r>
      <w:proofErr w:type="gramEnd"/>
      <w:r w:rsidR="007B10A5" w:rsidRPr="00257118">
        <w:rPr>
          <w:szCs w:val="18"/>
        </w:rPr>
        <w:t xml:space="preserve"> 35. See also Federation </w:t>
      </w:r>
      <w:proofErr w:type="spellStart"/>
      <w:r w:rsidR="007B10A5" w:rsidRPr="00257118">
        <w:rPr>
          <w:szCs w:val="18"/>
        </w:rPr>
        <w:t>Internationale</w:t>
      </w:r>
      <w:proofErr w:type="spellEnd"/>
      <w:r w:rsidR="007B10A5" w:rsidRPr="00257118">
        <w:rPr>
          <w:szCs w:val="18"/>
        </w:rPr>
        <w:t xml:space="preserve"> des </w:t>
      </w:r>
      <w:proofErr w:type="spellStart"/>
      <w:r w:rsidR="007B10A5" w:rsidRPr="00257118">
        <w:rPr>
          <w:szCs w:val="18"/>
        </w:rPr>
        <w:t>Droits</w:t>
      </w:r>
      <w:proofErr w:type="spellEnd"/>
      <w:r w:rsidR="007B10A5" w:rsidRPr="00257118">
        <w:rPr>
          <w:szCs w:val="18"/>
        </w:rPr>
        <w:t xml:space="preserve"> de </w:t>
      </w:r>
      <w:proofErr w:type="spellStart"/>
      <w:r w:rsidR="007B10A5" w:rsidRPr="00257118">
        <w:rPr>
          <w:szCs w:val="18"/>
        </w:rPr>
        <w:t>l’Homme</w:t>
      </w:r>
      <w:proofErr w:type="spellEnd"/>
      <w:r w:rsidR="007B10A5" w:rsidRPr="00257118">
        <w:rPr>
          <w:szCs w:val="18"/>
        </w:rPr>
        <w:t xml:space="preserve"> (FIDH), “Shanghai Cooperation Organisation: A Vehicle for Human Rights Violations”, September 2012. See also Article 19, “Amendments to Extremist legislation further restricts freedom of expression”, 19 July 2007, on Russia’s law on “Counteracting Extremist Activity”, adopted in 2002. </w:t>
      </w:r>
    </w:p>
  </w:footnote>
  <w:footnote w:id="48">
    <w:p w:rsidR="007B10A5" w:rsidRPr="00257118" w:rsidRDefault="00471EAA" w:rsidP="00551827">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proofErr w:type="gramStart"/>
      <w:r w:rsidR="007B10A5" w:rsidRPr="00257118">
        <w:rPr>
          <w:szCs w:val="18"/>
        </w:rPr>
        <w:t>Human Rights Committee, General Comment 34, CCPR/C/GC/34, para.</w:t>
      </w:r>
      <w:proofErr w:type="gramEnd"/>
      <w:r w:rsidR="007B10A5" w:rsidRPr="00257118">
        <w:rPr>
          <w:szCs w:val="18"/>
        </w:rPr>
        <w:t xml:space="preserve"> 46.</w:t>
      </w:r>
    </w:p>
  </w:footnote>
  <w:footnote w:id="49">
    <w:p w:rsidR="007B10A5" w:rsidRPr="00257118" w:rsidRDefault="00471EAA" w:rsidP="00551827">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See ACLU, Article 19 and Brennan Centre for Justice at the NYU Law School, letter to Ben Emmerson, 24 December 2015, on file with the Special Rapporteur. See also Article 19, “UN HRC: Resolution on Violent Extremism undermines clarity”, 8 October 2015.</w:t>
      </w:r>
    </w:p>
  </w:footnote>
  <w:footnote w:id="50">
    <w:p w:rsidR="007B10A5" w:rsidRPr="00257118" w:rsidRDefault="00471EAA" w:rsidP="00551827">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SOVA, Misuse of anti-extremism legislation November 2015, </w:t>
      </w:r>
      <w:hyperlink r:id="rId22" w:history="1">
        <w:r w:rsidR="007B10A5" w:rsidRPr="00257118">
          <w:rPr>
            <w:szCs w:val="18"/>
          </w:rPr>
          <w:t>http://www.sova-center.ru/en/misuse/news-releases/2015/12/d33482/</w:t>
        </w:r>
      </w:hyperlink>
      <w:r w:rsidR="007B10A5" w:rsidRPr="00257118">
        <w:rPr>
          <w:szCs w:val="18"/>
        </w:rPr>
        <w:t xml:space="preserve">.  </w:t>
      </w:r>
    </w:p>
  </w:footnote>
  <w:footnote w:id="51">
    <w:p w:rsidR="007B10A5" w:rsidRPr="00257118" w:rsidRDefault="00471EAA" w:rsidP="00551827">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SOVA, Misuse of anti-extremism legislation November 2015, </w:t>
      </w:r>
      <w:hyperlink r:id="rId23" w:history="1">
        <w:r w:rsidR="007B10A5" w:rsidRPr="00257118">
          <w:rPr>
            <w:szCs w:val="18"/>
          </w:rPr>
          <w:t>http://www.sova-center.ru/en/misuse/news-releases/2015/12/d33482/</w:t>
        </w:r>
      </w:hyperlink>
      <w:r w:rsidR="007B10A5" w:rsidRPr="00257118">
        <w:rPr>
          <w:szCs w:val="18"/>
        </w:rPr>
        <w:t xml:space="preserve">; See also Global Freedom of Expression, The case of “Prayers to God: its purpose and place in Islam” book being extremist, </w:t>
      </w:r>
      <w:hyperlink r:id="rId24" w:history="1">
        <w:r w:rsidR="007B10A5" w:rsidRPr="00257118">
          <w:rPr>
            <w:szCs w:val="18"/>
          </w:rPr>
          <w:t>https://globalfreedomofexpression.columbia.edu/cases/the-case-of-prayers-to-god-its-purpose-and-place-in-islam-book-being-extremist/</w:t>
        </w:r>
      </w:hyperlink>
      <w:r w:rsidR="007B10A5" w:rsidRPr="00257118">
        <w:rPr>
          <w:szCs w:val="18"/>
        </w:rPr>
        <w:t xml:space="preserve">. </w:t>
      </w:r>
    </w:p>
  </w:footnote>
  <w:footnote w:id="52">
    <w:p w:rsidR="007B10A5" w:rsidRPr="00257118" w:rsidRDefault="00471EAA" w:rsidP="00551827">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Boris </w:t>
      </w:r>
      <w:proofErr w:type="spellStart"/>
      <w:r w:rsidR="007B10A5" w:rsidRPr="00257118">
        <w:rPr>
          <w:szCs w:val="18"/>
        </w:rPr>
        <w:t>Stomakhin</w:t>
      </w:r>
      <w:proofErr w:type="spellEnd"/>
      <w:r w:rsidR="007B10A5" w:rsidRPr="00257118">
        <w:rPr>
          <w:szCs w:val="18"/>
        </w:rPr>
        <w:t xml:space="preserve">, </w:t>
      </w:r>
      <w:hyperlink r:id="rId25" w:history="1">
        <w:r w:rsidR="007B10A5" w:rsidRPr="00257118">
          <w:rPr>
            <w:szCs w:val="18"/>
          </w:rPr>
          <w:t>https://en.wikipedia.org/wiki/Boris_Stomakhin</w:t>
        </w:r>
      </w:hyperlink>
      <w:r w:rsidR="007B10A5" w:rsidRPr="00257118">
        <w:rPr>
          <w:szCs w:val="18"/>
        </w:rPr>
        <w:t xml:space="preserve">. See also RAPSI, Russia's Supreme Court upholds 7-year sentence for journalist for inciting terrorism, </w:t>
      </w:r>
      <w:hyperlink r:id="rId26" w:history="1">
        <w:r w:rsidR="007B10A5" w:rsidRPr="00257118">
          <w:rPr>
            <w:szCs w:val="18"/>
          </w:rPr>
          <w:t>http://rapsinews.com/judicial_news/20150723/274250392.html</w:t>
        </w:r>
      </w:hyperlink>
      <w:r w:rsidR="007B10A5" w:rsidRPr="00257118">
        <w:rPr>
          <w:szCs w:val="18"/>
        </w:rPr>
        <w:t xml:space="preserve">. </w:t>
      </w:r>
    </w:p>
  </w:footnote>
  <w:footnote w:id="53">
    <w:p w:rsidR="007B10A5" w:rsidRPr="00257118" w:rsidRDefault="00471EAA" w:rsidP="00551827">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 xml:space="preserve">UN News Centre, Interview, 18 January 2016, </w:t>
      </w:r>
      <w:proofErr w:type="spellStart"/>
      <w:r w:rsidR="007B10A5" w:rsidRPr="00257118">
        <w:rPr>
          <w:szCs w:val="18"/>
        </w:rPr>
        <w:t>op.cit</w:t>
      </w:r>
      <w:proofErr w:type="spellEnd"/>
      <w:r w:rsidR="007B10A5" w:rsidRPr="00257118">
        <w:rPr>
          <w:szCs w:val="18"/>
        </w:rPr>
        <w:t>.</w:t>
      </w:r>
      <w:proofErr w:type="gramEnd"/>
    </w:p>
  </w:footnote>
  <w:footnote w:id="54">
    <w:p w:rsidR="007B10A5" w:rsidRPr="00D44F11" w:rsidRDefault="00471EAA" w:rsidP="00551827">
      <w:pPr>
        <w:pStyle w:val="FootnoteText"/>
        <w:jc w:val="both"/>
        <w:rPr>
          <w:szCs w:val="18"/>
          <w:lang w:val="es-ES"/>
        </w:rPr>
      </w:pPr>
      <w:r>
        <w:rPr>
          <w:szCs w:val="18"/>
        </w:rPr>
        <w:tab/>
      </w:r>
      <w:r w:rsidR="007B10A5" w:rsidRPr="00F27E8B">
        <w:rPr>
          <w:szCs w:val="18"/>
          <w:vertAlign w:val="superscript"/>
        </w:rPr>
        <w:footnoteRef/>
      </w:r>
      <w:r w:rsidR="007B10A5" w:rsidRPr="00D44F11">
        <w:rPr>
          <w:szCs w:val="18"/>
          <w:lang w:val="es-ES"/>
        </w:rPr>
        <w:t xml:space="preserve"> </w:t>
      </w:r>
      <w:r w:rsidRPr="00D44F11">
        <w:rPr>
          <w:szCs w:val="18"/>
          <w:lang w:val="es-ES"/>
        </w:rPr>
        <w:tab/>
      </w:r>
      <w:r w:rsidR="007B10A5" w:rsidRPr="00D44F11">
        <w:rPr>
          <w:szCs w:val="18"/>
          <w:lang w:val="es-ES"/>
        </w:rPr>
        <w:t>S/RES/2178 (2014), para. 16.</w:t>
      </w:r>
    </w:p>
  </w:footnote>
  <w:footnote w:id="55">
    <w:p w:rsidR="007B10A5" w:rsidRPr="00C30508" w:rsidRDefault="00471EAA" w:rsidP="00551827">
      <w:pPr>
        <w:pStyle w:val="FootnoteText"/>
        <w:jc w:val="both"/>
        <w:rPr>
          <w:szCs w:val="18"/>
        </w:rPr>
      </w:pPr>
      <w:r w:rsidRPr="00D44F11">
        <w:rPr>
          <w:szCs w:val="18"/>
          <w:lang w:val="es-ES"/>
        </w:rPr>
        <w:tab/>
      </w:r>
      <w:r w:rsidR="007B10A5" w:rsidRPr="00F27E8B">
        <w:rPr>
          <w:vertAlign w:val="superscript"/>
        </w:rPr>
        <w:footnoteRef/>
      </w:r>
      <w:r w:rsidR="007B10A5" w:rsidRPr="00D44F11">
        <w:rPr>
          <w:szCs w:val="18"/>
          <w:lang w:val="es-ES"/>
        </w:rPr>
        <w:t xml:space="preserve"> </w:t>
      </w:r>
      <w:r w:rsidRPr="00D44F11">
        <w:rPr>
          <w:szCs w:val="18"/>
          <w:lang w:val="es-ES"/>
        </w:rPr>
        <w:tab/>
      </w:r>
      <w:r w:rsidR="007B10A5" w:rsidRPr="00D44F11">
        <w:rPr>
          <w:szCs w:val="18"/>
          <w:lang w:val="es-ES"/>
        </w:rPr>
        <w:t xml:space="preserve">S/RES/2178 (2014), para. </w:t>
      </w:r>
      <w:r w:rsidR="007B10A5" w:rsidRPr="00C30508">
        <w:rPr>
          <w:szCs w:val="18"/>
        </w:rPr>
        <w:t xml:space="preserve">16. </w:t>
      </w:r>
    </w:p>
  </w:footnote>
  <w:footnote w:id="56">
    <w:p w:rsidR="007B10A5" w:rsidRPr="00257118" w:rsidRDefault="00382D10" w:rsidP="00382D10">
      <w:pPr>
        <w:pStyle w:val="FootnoteText"/>
        <w:rPr>
          <w:szCs w:val="18"/>
        </w:rPr>
      </w:pPr>
      <w:r w:rsidRPr="00C30508">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S/RES/1624 (2005), para.</w:t>
      </w:r>
      <w:proofErr w:type="gramEnd"/>
      <w:r w:rsidR="007B10A5" w:rsidRPr="00257118">
        <w:rPr>
          <w:szCs w:val="18"/>
        </w:rPr>
        <w:t xml:space="preserve"> 1.</w:t>
      </w:r>
    </w:p>
  </w:footnote>
  <w:footnote w:id="57">
    <w:p w:rsidR="007B10A5" w:rsidRPr="00257118" w:rsidRDefault="00382D10" w:rsidP="00382D10">
      <w:pPr>
        <w:pStyle w:val="FootnoteText"/>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See also European Council Framework Decision 2002/475/JHA, which also aims at criminalizing incitement without defining it. </w:t>
      </w:r>
    </w:p>
  </w:footnote>
  <w:footnote w:id="58">
    <w:p w:rsidR="007B10A5" w:rsidRPr="00D44F11" w:rsidRDefault="00382D10" w:rsidP="00382D10">
      <w:pPr>
        <w:pStyle w:val="FootnoteText"/>
        <w:rPr>
          <w:szCs w:val="18"/>
          <w:lang w:val="es-ES"/>
        </w:rPr>
      </w:pPr>
      <w:r w:rsidRPr="00D44F11">
        <w:rPr>
          <w:szCs w:val="18"/>
        </w:rPr>
        <w:tab/>
      </w:r>
      <w:r w:rsidR="007B10A5" w:rsidRPr="00F27E8B">
        <w:rPr>
          <w:szCs w:val="18"/>
          <w:vertAlign w:val="superscript"/>
        </w:rPr>
        <w:footnoteRef/>
      </w:r>
      <w:r w:rsidR="007B10A5" w:rsidRPr="00D44F11">
        <w:rPr>
          <w:szCs w:val="18"/>
          <w:lang w:val="es-ES"/>
        </w:rPr>
        <w:t xml:space="preserve"> </w:t>
      </w:r>
      <w:r w:rsidRPr="00D44F11">
        <w:rPr>
          <w:szCs w:val="18"/>
          <w:lang w:val="es-ES"/>
        </w:rPr>
        <w:tab/>
      </w:r>
      <w:r w:rsidR="007B10A5" w:rsidRPr="00D44F11">
        <w:rPr>
          <w:szCs w:val="18"/>
          <w:lang w:val="es-ES"/>
        </w:rPr>
        <w:t xml:space="preserve">PP 6 and Para. 4. </w:t>
      </w:r>
    </w:p>
  </w:footnote>
  <w:footnote w:id="59">
    <w:p w:rsidR="007B10A5" w:rsidRPr="00257118" w:rsidRDefault="00382D10" w:rsidP="00382D10">
      <w:pPr>
        <w:pStyle w:val="FootnoteText"/>
        <w:rPr>
          <w:szCs w:val="18"/>
        </w:rPr>
      </w:pPr>
      <w:r w:rsidRPr="00D44F11">
        <w:rPr>
          <w:szCs w:val="18"/>
          <w:lang w:val="es-ES"/>
        </w:rPr>
        <w:tab/>
      </w:r>
      <w:r w:rsidR="007B10A5" w:rsidRPr="00F27E8B">
        <w:rPr>
          <w:szCs w:val="18"/>
          <w:vertAlign w:val="superscript"/>
        </w:rPr>
        <w:footnoteRef/>
      </w:r>
      <w:r w:rsidR="007B10A5" w:rsidRPr="00D44F11">
        <w:rPr>
          <w:szCs w:val="18"/>
          <w:lang w:val="es-ES"/>
        </w:rPr>
        <w:t xml:space="preserve"> </w:t>
      </w:r>
      <w:r w:rsidRPr="00D44F11">
        <w:rPr>
          <w:szCs w:val="18"/>
          <w:lang w:val="es-ES"/>
        </w:rPr>
        <w:tab/>
      </w:r>
      <w:r w:rsidR="007B10A5" w:rsidRPr="00D44F11">
        <w:rPr>
          <w:szCs w:val="18"/>
          <w:lang w:val="es-ES"/>
        </w:rPr>
        <w:t xml:space="preserve">A/63/337, para. </w:t>
      </w:r>
      <w:r w:rsidR="007B10A5" w:rsidRPr="00257118">
        <w:rPr>
          <w:szCs w:val="18"/>
        </w:rPr>
        <w:t xml:space="preserve">62. </w:t>
      </w:r>
    </w:p>
  </w:footnote>
  <w:footnote w:id="60">
    <w:p w:rsidR="007B10A5" w:rsidRPr="00257118" w:rsidRDefault="00382D10" w:rsidP="00382D10">
      <w:pPr>
        <w:pStyle w:val="FootnoteText"/>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A model offence of incitement to terrorism was also provided in A/HRC/16/51, paras 29-32. See also Article 5 of the </w:t>
      </w:r>
      <w:proofErr w:type="spellStart"/>
      <w:r w:rsidR="007B10A5" w:rsidRPr="00257118">
        <w:rPr>
          <w:szCs w:val="18"/>
        </w:rPr>
        <w:t>CoE’s</w:t>
      </w:r>
      <w:proofErr w:type="spellEnd"/>
      <w:r w:rsidR="007B10A5" w:rsidRPr="00257118">
        <w:rPr>
          <w:szCs w:val="18"/>
        </w:rPr>
        <w:t xml:space="preserve"> Convention on the Prevention of Terrorism on the “public provocation to commit acts of terrorism”, and OSCE, “Preventing Terrorism and Countering Violent Extremism and Radicalization that lead to terrorism”, op. </w:t>
      </w:r>
      <w:proofErr w:type="spellStart"/>
      <w:r w:rsidR="007B10A5" w:rsidRPr="00257118">
        <w:rPr>
          <w:szCs w:val="18"/>
        </w:rPr>
        <w:t>cit</w:t>
      </w:r>
      <w:proofErr w:type="spellEnd"/>
      <w:r w:rsidR="007B10A5" w:rsidRPr="00257118">
        <w:rPr>
          <w:szCs w:val="18"/>
        </w:rPr>
        <w:t xml:space="preserve"> p. 42.</w:t>
      </w:r>
    </w:p>
  </w:footnote>
  <w:footnote w:id="61">
    <w:p w:rsidR="007B10A5" w:rsidRPr="00BA07AC" w:rsidRDefault="00382D10" w:rsidP="00382D10">
      <w:pPr>
        <w:pStyle w:val="FootnoteText"/>
        <w:rPr>
          <w:sz w:val="20"/>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proofErr w:type="gramStart"/>
      <w:r w:rsidR="007B10A5" w:rsidRPr="00257118">
        <w:rPr>
          <w:szCs w:val="18"/>
        </w:rPr>
        <w:t>Preamble to Resolution 68/276.</w:t>
      </w:r>
      <w:proofErr w:type="gramEnd"/>
    </w:p>
  </w:footnote>
  <w:footnote w:id="62">
    <w:p w:rsidR="007B10A5" w:rsidRPr="00257118" w:rsidRDefault="008179C7" w:rsidP="008179C7">
      <w:pPr>
        <w:pStyle w:val="FootnoteText"/>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Resolution A/HRC/30/15, submitted by Albania, Bangladesh, Cameroon, Colombia, France, Iraq, Mali, Morocco, Peru, Turkey, Tunisia and the United States, adopted by vote (37 yes, 3 no, 7 abstentions). The debate, amendments, oral revisions and lack of consensus reveal important disagreements within the Council, mainly about whether to include causes of violent extremism, and whether violent extremism should refer to ideologies or acts. </w:t>
      </w:r>
    </w:p>
  </w:footnote>
  <w:footnote w:id="63">
    <w:p w:rsidR="007B10A5" w:rsidRPr="00792799" w:rsidRDefault="008179C7" w:rsidP="008179C7">
      <w:pPr>
        <w:pStyle w:val="FootnoteText"/>
        <w:rPr>
          <w:szCs w:val="18"/>
          <w:lang w:val="es-ES"/>
        </w:rPr>
      </w:pPr>
      <w:r w:rsidRPr="00D44F11">
        <w:rPr>
          <w:szCs w:val="18"/>
        </w:rPr>
        <w:tab/>
      </w:r>
      <w:r w:rsidR="007B10A5" w:rsidRPr="00F27E8B">
        <w:rPr>
          <w:szCs w:val="18"/>
          <w:vertAlign w:val="superscript"/>
        </w:rPr>
        <w:footnoteRef/>
      </w:r>
      <w:r w:rsidR="007B10A5" w:rsidRPr="00792799">
        <w:rPr>
          <w:szCs w:val="18"/>
          <w:lang w:val="es-ES"/>
        </w:rPr>
        <w:t xml:space="preserve"> </w:t>
      </w:r>
      <w:r>
        <w:rPr>
          <w:szCs w:val="18"/>
          <w:lang w:val="es-ES"/>
        </w:rPr>
        <w:tab/>
      </w:r>
      <w:r w:rsidR="007B10A5" w:rsidRPr="00792799">
        <w:rPr>
          <w:szCs w:val="18"/>
          <w:lang w:val="es-ES"/>
        </w:rPr>
        <w:t>A/HRC/30/15, para. 9.</w:t>
      </w:r>
    </w:p>
  </w:footnote>
  <w:footnote w:id="64">
    <w:p w:rsidR="007B10A5" w:rsidRPr="00792799" w:rsidRDefault="008179C7" w:rsidP="008179C7">
      <w:pPr>
        <w:pStyle w:val="FootnoteText"/>
        <w:rPr>
          <w:szCs w:val="18"/>
          <w:lang w:val="es-ES"/>
        </w:rPr>
      </w:pPr>
      <w:r>
        <w:rPr>
          <w:szCs w:val="18"/>
          <w:vertAlign w:val="superscript"/>
          <w:lang w:val="es-ES"/>
        </w:rPr>
        <w:tab/>
      </w:r>
      <w:r w:rsidR="007B10A5" w:rsidRPr="00F27E8B">
        <w:rPr>
          <w:szCs w:val="18"/>
          <w:vertAlign w:val="superscript"/>
        </w:rPr>
        <w:footnoteRef/>
      </w:r>
      <w:r w:rsidR="007B10A5" w:rsidRPr="00792799">
        <w:rPr>
          <w:szCs w:val="18"/>
          <w:vertAlign w:val="superscript"/>
          <w:lang w:val="es-ES"/>
        </w:rPr>
        <w:t xml:space="preserve"> </w:t>
      </w:r>
      <w:r>
        <w:rPr>
          <w:szCs w:val="18"/>
          <w:vertAlign w:val="superscript"/>
          <w:lang w:val="es-ES"/>
        </w:rPr>
        <w:tab/>
      </w:r>
      <w:r w:rsidR="007B10A5" w:rsidRPr="00792799">
        <w:rPr>
          <w:szCs w:val="18"/>
          <w:lang w:val="es-ES"/>
        </w:rPr>
        <w:t>A/HRC/27/31, para. 3.</w:t>
      </w:r>
    </w:p>
  </w:footnote>
  <w:footnote w:id="65">
    <w:p w:rsidR="007B10A5" w:rsidRPr="00792799" w:rsidRDefault="008179C7" w:rsidP="008179C7">
      <w:pPr>
        <w:pStyle w:val="FootnoteText"/>
        <w:rPr>
          <w:szCs w:val="18"/>
          <w:lang w:val="es-ES"/>
        </w:rPr>
      </w:pPr>
      <w:r>
        <w:rPr>
          <w:szCs w:val="18"/>
          <w:lang w:val="es-ES"/>
        </w:rPr>
        <w:tab/>
      </w:r>
      <w:r w:rsidR="007B10A5" w:rsidRPr="00F27E8B">
        <w:rPr>
          <w:szCs w:val="18"/>
          <w:vertAlign w:val="superscript"/>
        </w:rPr>
        <w:footnoteRef/>
      </w:r>
      <w:r w:rsidR="007B10A5" w:rsidRPr="00792799">
        <w:rPr>
          <w:szCs w:val="18"/>
          <w:lang w:val="es-ES"/>
        </w:rPr>
        <w:t xml:space="preserve"> </w:t>
      </w:r>
      <w:r>
        <w:rPr>
          <w:szCs w:val="18"/>
          <w:lang w:val="es-ES"/>
        </w:rPr>
        <w:tab/>
      </w:r>
      <w:r w:rsidR="007B10A5" w:rsidRPr="00792799">
        <w:rPr>
          <w:szCs w:val="18"/>
          <w:lang w:val="es-ES"/>
        </w:rPr>
        <w:t>A/HRC/27/31, para. 4.</w:t>
      </w:r>
    </w:p>
  </w:footnote>
  <w:footnote w:id="66">
    <w:p w:rsidR="007B10A5" w:rsidRPr="00792799" w:rsidRDefault="008179C7" w:rsidP="008179C7">
      <w:pPr>
        <w:pStyle w:val="FootnoteText"/>
        <w:rPr>
          <w:szCs w:val="18"/>
          <w:lang w:val="es-ES"/>
        </w:rPr>
      </w:pPr>
      <w:r>
        <w:rPr>
          <w:szCs w:val="18"/>
          <w:vertAlign w:val="superscript"/>
          <w:lang w:val="es-ES"/>
        </w:rPr>
        <w:tab/>
      </w:r>
      <w:r w:rsidR="007B10A5" w:rsidRPr="00F27E8B">
        <w:rPr>
          <w:szCs w:val="18"/>
          <w:vertAlign w:val="superscript"/>
        </w:rPr>
        <w:footnoteRef/>
      </w:r>
      <w:r w:rsidR="007B10A5" w:rsidRPr="00792799">
        <w:rPr>
          <w:szCs w:val="18"/>
          <w:vertAlign w:val="superscript"/>
          <w:lang w:val="es-ES"/>
        </w:rPr>
        <w:t xml:space="preserve"> </w:t>
      </w:r>
      <w:r>
        <w:rPr>
          <w:szCs w:val="18"/>
          <w:vertAlign w:val="superscript"/>
          <w:lang w:val="es-ES"/>
        </w:rPr>
        <w:tab/>
      </w:r>
      <w:proofErr w:type="spellStart"/>
      <w:r w:rsidR="007B10A5" w:rsidRPr="00792799">
        <w:rPr>
          <w:szCs w:val="18"/>
          <w:lang w:val="es-ES"/>
        </w:rPr>
        <w:t>Article</w:t>
      </w:r>
      <w:proofErr w:type="spellEnd"/>
      <w:r w:rsidR="007B10A5" w:rsidRPr="00792799">
        <w:rPr>
          <w:szCs w:val="18"/>
          <w:lang w:val="es-ES"/>
        </w:rPr>
        <w:t xml:space="preserve"> 19, “UN HRC: </w:t>
      </w:r>
      <w:proofErr w:type="spellStart"/>
      <w:r w:rsidR="007B10A5" w:rsidRPr="00792799">
        <w:rPr>
          <w:szCs w:val="18"/>
          <w:lang w:val="es-ES"/>
        </w:rPr>
        <w:t>Resolution</w:t>
      </w:r>
      <w:proofErr w:type="spellEnd"/>
      <w:r w:rsidR="007B10A5" w:rsidRPr="00792799">
        <w:rPr>
          <w:szCs w:val="18"/>
          <w:lang w:val="es-ES"/>
        </w:rPr>
        <w:t xml:space="preserve"> </w:t>
      </w:r>
      <w:proofErr w:type="spellStart"/>
      <w:r w:rsidR="007B10A5" w:rsidRPr="00792799">
        <w:rPr>
          <w:szCs w:val="18"/>
          <w:lang w:val="es-ES"/>
        </w:rPr>
        <w:t>on</w:t>
      </w:r>
      <w:proofErr w:type="spellEnd"/>
      <w:r w:rsidR="007B10A5" w:rsidRPr="00792799">
        <w:rPr>
          <w:szCs w:val="18"/>
          <w:lang w:val="es-ES"/>
        </w:rPr>
        <w:t xml:space="preserve"> </w:t>
      </w:r>
      <w:proofErr w:type="spellStart"/>
      <w:r w:rsidR="007B10A5" w:rsidRPr="00792799">
        <w:rPr>
          <w:szCs w:val="18"/>
          <w:lang w:val="es-ES"/>
        </w:rPr>
        <w:t>Violent</w:t>
      </w:r>
      <w:proofErr w:type="spellEnd"/>
      <w:r w:rsidR="007B10A5" w:rsidRPr="00792799">
        <w:rPr>
          <w:szCs w:val="18"/>
          <w:lang w:val="es-ES"/>
        </w:rPr>
        <w:t xml:space="preserve"> </w:t>
      </w:r>
      <w:proofErr w:type="spellStart"/>
      <w:r w:rsidR="007B10A5" w:rsidRPr="00792799">
        <w:rPr>
          <w:szCs w:val="18"/>
          <w:lang w:val="es-ES"/>
        </w:rPr>
        <w:t>Extremism</w:t>
      </w:r>
      <w:proofErr w:type="spellEnd"/>
      <w:r w:rsidR="007B10A5" w:rsidRPr="00792799">
        <w:rPr>
          <w:szCs w:val="18"/>
          <w:lang w:val="es-ES"/>
        </w:rPr>
        <w:t xml:space="preserve"> </w:t>
      </w:r>
      <w:proofErr w:type="spellStart"/>
      <w:r w:rsidR="007B10A5" w:rsidRPr="00792799">
        <w:rPr>
          <w:szCs w:val="18"/>
          <w:lang w:val="es-ES"/>
        </w:rPr>
        <w:t>undermines</w:t>
      </w:r>
      <w:proofErr w:type="spellEnd"/>
      <w:r w:rsidR="007B10A5" w:rsidRPr="00792799">
        <w:rPr>
          <w:szCs w:val="18"/>
          <w:lang w:val="es-ES"/>
        </w:rPr>
        <w:t xml:space="preserve"> </w:t>
      </w:r>
      <w:proofErr w:type="spellStart"/>
      <w:r w:rsidR="007B10A5" w:rsidRPr="00792799">
        <w:rPr>
          <w:szCs w:val="18"/>
          <w:lang w:val="es-ES"/>
        </w:rPr>
        <w:t>clarity</w:t>
      </w:r>
      <w:proofErr w:type="spellEnd"/>
      <w:r w:rsidR="007B10A5" w:rsidRPr="00792799">
        <w:rPr>
          <w:szCs w:val="18"/>
          <w:lang w:val="es-ES"/>
        </w:rPr>
        <w:t xml:space="preserve">”, 8 </w:t>
      </w:r>
      <w:proofErr w:type="spellStart"/>
      <w:r w:rsidR="007B10A5" w:rsidRPr="00792799">
        <w:rPr>
          <w:szCs w:val="18"/>
          <w:lang w:val="es-ES"/>
        </w:rPr>
        <w:t>October</w:t>
      </w:r>
      <w:proofErr w:type="spellEnd"/>
      <w:r w:rsidR="007B10A5" w:rsidRPr="00792799">
        <w:rPr>
          <w:szCs w:val="18"/>
          <w:lang w:val="es-ES"/>
        </w:rPr>
        <w:t xml:space="preserve"> 2015.</w:t>
      </w:r>
    </w:p>
  </w:footnote>
  <w:footnote w:id="67">
    <w:p w:rsidR="007B10A5" w:rsidRPr="00792799" w:rsidRDefault="00776501" w:rsidP="00776501">
      <w:pPr>
        <w:pStyle w:val="FootnoteText"/>
        <w:jc w:val="both"/>
        <w:rPr>
          <w:sz w:val="20"/>
          <w:lang w:val="es-ES"/>
        </w:rPr>
      </w:pPr>
      <w:r>
        <w:rPr>
          <w:szCs w:val="18"/>
          <w:lang w:val="es-ES"/>
        </w:rPr>
        <w:tab/>
      </w:r>
      <w:r w:rsidR="007B10A5" w:rsidRPr="00F27E8B">
        <w:rPr>
          <w:szCs w:val="18"/>
          <w:vertAlign w:val="superscript"/>
        </w:rPr>
        <w:footnoteRef/>
      </w:r>
      <w:r w:rsidR="007B10A5" w:rsidRPr="00792799">
        <w:rPr>
          <w:szCs w:val="18"/>
          <w:lang w:val="es-ES"/>
        </w:rPr>
        <w:t xml:space="preserve"> </w:t>
      </w:r>
      <w:r>
        <w:rPr>
          <w:szCs w:val="18"/>
          <w:lang w:val="es-ES"/>
        </w:rPr>
        <w:tab/>
      </w:r>
      <w:r w:rsidR="007B10A5" w:rsidRPr="00792799">
        <w:rPr>
          <w:szCs w:val="18"/>
          <w:lang w:val="es-ES"/>
        </w:rPr>
        <w:t>A/70/674, para.1.</w:t>
      </w:r>
    </w:p>
  </w:footnote>
  <w:footnote w:id="68">
    <w:p w:rsidR="007B10A5" w:rsidRPr="00792799" w:rsidRDefault="00776501" w:rsidP="00776501">
      <w:pPr>
        <w:pStyle w:val="FootnoteText"/>
        <w:jc w:val="both"/>
        <w:rPr>
          <w:szCs w:val="18"/>
          <w:lang w:val="es-ES"/>
        </w:rPr>
      </w:pPr>
      <w:r>
        <w:rPr>
          <w:szCs w:val="18"/>
          <w:vertAlign w:val="superscript"/>
          <w:lang w:val="es-ES"/>
        </w:rPr>
        <w:tab/>
      </w:r>
      <w:r w:rsidR="007B10A5" w:rsidRPr="00F27E8B">
        <w:rPr>
          <w:szCs w:val="18"/>
          <w:vertAlign w:val="superscript"/>
        </w:rPr>
        <w:footnoteRef/>
      </w:r>
      <w:r w:rsidR="007B10A5" w:rsidRPr="00792799">
        <w:rPr>
          <w:szCs w:val="18"/>
          <w:vertAlign w:val="superscript"/>
          <w:lang w:val="es-ES"/>
        </w:rPr>
        <w:t xml:space="preserve"> </w:t>
      </w:r>
      <w:r>
        <w:rPr>
          <w:szCs w:val="18"/>
          <w:vertAlign w:val="superscript"/>
          <w:lang w:val="es-ES"/>
        </w:rPr>
        <w:tab/>
      </w:r>
      <w:r w:rsidR="007B10A5" w:rsidRPr="00792799">
        <w:rPr>
          <w:szCs w:val="18"/>
          <w:lang w:val="es-ES"/>
        </w:rPr>
        <w:t>A/70/674, para. 3</w:t>
      </w:r>
    </w:p>
  </w:footnote>
  <w:footnote w:id="69">
    <w:p w:rsidR="007B10A5" w:rsidRPr="00792799" w:rsidRDefault="00776501" w:rsidP="00776501">
      <w:pPr>
        <w:pStyle w:val="FootnoteText"/>
        <w:jc w:val="both"/>
        <w:rPr>
          <w:szCs w:val="18"/>
          <w:lang w:val="es-ES"/>
        </w:rPr>
      </w:pPr>
      <w:r>
        <w:rPr>
          <w:szCs w:val="18"/>
          <w:vertAlign w:val="superscript"/>
          <w:lang w:val="es-ES"/>
        </w:rPr>
        <w:tab/>
      </w:r>
      <w:r w:rsidR="007B10A5" w:rsidRPr="00F27E8B">
        <w:rPr>
          <w:szCs w:val="18"/>
          <w:vertAlign w:val="superscript"/>
        </w:rPr>
        <w:footnoteRef/>
      </w:r>
      <w:r w:rsidR="007B10A5" w:rsidRPr="00792799">
        <w:rPr>
          <w:szCs w:val="18"/>
          <w:vertAlign w:val="superscript"/>
          <w:lang w:val="es-ES"/>
        </w:rPr>
        <w:t xml:space="preserve"> </w:t>
      </w:r>
      <w:r>
        <w:rPr>
          <w:szCs w:val="18"/>
          <w:vertAlign w:val="superscript"/>
          <w:lang w:val="es-ES"/>
        </w:rPr>
        <w:tab/>
      </w:r>
      <w:r w:rsidR="007B10A5" w:rsidRPr="00792799">
        <w:rPr>
          <w:szCs w:val="18"/>
          <w:lang w:val="es-ES"/>
        </w:rPr>
        <w:t>A/70/674, paras.27-29.</w:t>
      </w:r>
    </w:p>
  </w:footnote>
  <w:footnote w:id="70">
    <w:p w:rsidR="007B10A5" w:rsidRPr="008F219A" w:rsidRDefault="00776501" w:rsidP="00776501">
      <w:pPr>
        <w:pStyle w:val="FootnoteText"/>
        <w:jc w:val="both"/>
        <w:rPr>
          <w:szCs w:val="18"/>
        </w:rPr>
      </w:pPr>
      <w:r>
        <w:rPr>
          <w:szCs w:val="18"/>
          <w:lang w:val="es-ES"/>
        </w:rPr>
        <w:tab/>
      </w:r>
      <w:r w:rsidR="007B10A5" w:rsidRPr="00F27E8B">
        <w:rPr>
          <w:szCs w:val="18"/>
          <w:vertAlign w:val="superscript"/>
        </w:rPr>
        <w:footnoteRef/>
      </w:r>
      <w:r w:rsidR="007B10A5" w:rsidRPr="00D44F11">
        <w:rPr>
          <w:szCs w:val="18"/>
          <w:lang w:val="es-ES"/>
        </w:rPr>
        <w:t xml:space="preserve"> </w:t>
      </w:r>
      <w:r w:rsidRPr="00D44F11">
        <w:rPr>
          <w:szCs w:val="18"/>
          <w:lang w:val="es-ES"/>
        </w:rPr>
        <w:tab/>
      </w:r>
      <w:r w:rsidR="007B10A5" w:rsidRPr="00D44F11">
        <w:rPr>
          <w:szCs w:val="18"/>
          <w:lang w:val="es-ES"/>
        </w:rPr>
        <w:t xml:space="preserve">A/70/674, para. </w:t>
      </w:r>
      <w:r w:rsidR="007B10A5" w:rsidRPr="008F219A">
        <w:rPr>
          <w:szCs w:val="18"/>
        </w:rPr>
        <w:t>33.</w:t>
      </w:r>
    </w:p>
  </w:footnote>
  <w:footnote w:id="71">
    <w:p w:rsidR="007B10A5" w:rsidRPr="00776501" w:rsidRDefault="00776501" w:rsidP="00776501">
      <w:pPr>
        <w:pStyle w:val="FootnoteText"/>
        <w:jc w:val="both"/>
        <w:rPr>
          <w:szCs w:val="18"/>
        </w:rPr>
      </w:pPr>
      <w:r w:rsidRPr="008F219A">
        <w:rPr>
          <w:szCs w:val="18"/>
        </w:rPr>
        <w:tab/>
      </w:r>
      <w:r w:rsidR="007B10A5" w:rsidRPr="00F27E8B">
        <w:rPr>
          <w:szCs w:val="18"/>
          <w:vertAlign w:val="superscript"/>
        </w:rPr>
        <w:footnoteRef/>
      </w:r>
      <w:r w:rsidR="007B10A5" w:rsidRPr="00776501">
        <w:rPr>
          <w:szCs w:val="18"/>
        </w:rPr>
        <w:t xml:space="preserve"> </w:t>
      </w:r>
      <w:r>
        <w:rPr>
          <w:szCs w:val="18"/>
        </w:rPr>
        <w:tab/>
      </w:r>
      <w:proofErr w:type="gramStart"/>
      <w:r w:rsidR="007B10A5" w:rsidRPr="00776501">
        <w:rPr>
          <w:szCs w:val="18"/>
        </w:rPr>
        <w:t>A/70/674, para.</w:t>
      </w:r>
      <w:proofErr w:type="gramEnd"/>
      <w:r w:rsidR="007B10A5" w:rsidRPr="00776501">
        <w:rPr>
          <w:szCs w:val="18"/>
        </w:rPr>
        <w:t xml:space="preserve"> 34.</w:t>
      </w:r>
    </w:p>
  </w:footnote>
  <w:footnote w:id="72">
    <w:p w:rsidR="007B10A5" w:rsidRPr="00776501" w:rsidRDefault="00776501" w:rsidP="00776501">
      <w:pPr>
        <w:pStyle w:val="FootnoteText"/>
        <w:jc w:val="both"/>
        <w:rPr>
          <w:szCs w:val="18"/>
        </w:rPr>
      </w:pPr>
      <w:r>
        <w:rPr>
          <w:szCs w:val="18"/>
          <w:vertAlign w:val="superscript"/>
        </w:rPr>
        <w:tab/>
      </w:r>
      <w:r w:rsidR="007B10A5" w:rsidRPr="00F27E8B">
        <w:rPr>
          <w:szCs w:val="18"/>
          <w:vertAlign w:val="superscript"/>
        </w:rPr>
        <w:footnoteRef/>
      </w:r>
      <w:r w:rsidR="007B10A5" w:rsidRPr="00776501">
        <w:rPr>
          <w:szCs w:val="18"/>
          <w:vertAlign w:val="superscript"/>
        </w:rPr>
        <w:t xml:space="preserve"> </w:t>
      </w:r>
      <w:r>
        <w:rPr>
          <w:szCs w:val="18"/>
          <w:vertAlign w:val="superscript"/>
        </w:rPr>
        <w:tab/>
      </w:r>
      <w:proofErr w:type="gramStart"/>
      <w:r w:rsidR="007B10A5" w:rsidRPr="00776501">
        <w:rPr>
          <w:szCs w:val="18"/>
        </w:rPr>
        <w:t>A/70/674, para.</w:t>
      </w:r>
      <w:proofErr w:type="gramEnd"/>
      <w:r w:rsidR="007B10A5" w:rsidRPr="00776501">
        <w:rPr>
          <w:szCs w:val="18"/>
        </w:rPr>
        <w:t xml:space="preserve"> 50.</w:t>
      </w:r>
    </w:p>
  </w:footnote>
  <w:footnote w:id="73">
    <w:p w:rsidR="007B10A5" w:rsidRPr="00D6408B" w:rsidRDefault="00776501" w:rsidP="00776501">
      <w:pPr>
        <w:pStyle w:val="FootnoteText"/>
        <w:jc w:val="both"/>
        <w:rPr>
          <w:sz w:val="22"/>
          <w:szCs w:val="22"/>
        </w:rPr>
      </w:pPr>
      <w:r>
        <w:rPr>
          <w:szCs w:val="18"/>
        </w:rPr>
        <w:tab/>
      </w:r>
      <w:r w:rsidR="007B10A5" w:rsidRPr="00F27E8B">
        <w:rPr>
          <w:szCs w:val="18"/>
          <w:vertAlign w:val="superscript"/>
        </w:rPr>
        <w:footnoteRef/>
      </w:r>
      <w:r w:rsidR="007B10A5" w:rsidRPr="00776501">
        <w:rPr>
          <w:szCs w:val="18"/>
        </w:rPr>
        <w:t xml:space="preserve"> </w:t>
      </w:r>
      <w:r>
        <w:rPr>
          <w:szCs w:val="18"/>
        </w:rPr>
        <w:tab/>
      </w:r>
      <w:proofErr w:type="gramStart"/>
      <w:r w:rsidR="007B10A5" w:rsidRPr="00776501">
        <w:rPr>
          <w:szCs w:val="18"/>
        </w:rPr>
        <w:t>A/70/674, paras.</w:t>
      </w:r>
      <w:proofErr w:type="gramEnd"/>
      <w:r w:rsidR="007B10A5" w:rsidRPr="00776501">
        <w:rPr>
          <w:szCs w:val="18"/>
        </w:rPr>
        <w:t xml:space="preserve"> </w:t>
      </w:r>
      <w:proofErr w:type="gramStart"/>
      <w:r w:rsidR="007B10A5" w:rsidRPr="00257118">
        <w:rPr>
          <w:szCs w:val="18"/>
        </w:rPr>
        <w:t>20 and 50.</w:t>
      </w:r>
      <w:proofErr w:type="gramEnd"/>
      <w:r w:rsidR="007B10A5" w:rsidRPr="00D6408B">
        <w:rPr>
          <w:sz w:val="22"/>
          <w:szCs w:val="22"/>
        </w:rPr>
        <w:t xml:space="preserve"> </w:t>
      </w:r>
    </w:p>
  </w:footnote>
  <w:footnote w:id="74">
    <w:p w:rsidR="007B10A5" w:rsidRPr="00257118" w:rsidRDefault="00652210" w:rsidP="00652210">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For a critique of the Plan of Action, see </w:t>
      </w:r>
      <w:proofErr w:type="spellStart"/>
      <w:r w:rsidR="007B10A5" w:rsidRPr="00257118">
        <w:rPr>
          <w:szCs w:val="18"/>
        </w:rPr>
        <w:t>Naz</w:t>
      </w:r>
      <w:proofErr w:type="spellEnd"/>
      <w:r w:rsidR="007B10A5" w:rsidRPr="00257118">
        <w:rPr>
          <w:szCs w:val="18"/>
        </w:rPr>
        <w:t xml:space="preserve"> </w:t>
      </w:r>
      <w:proofErr w:type="spellStart"/>
      <w:r w:rsidR="007B10A5" w:rsidRPr="00257118">
        <w:rPr>
          <w:szCs w:val="18"/>
        </w:rPr>
        <w:t>Modirzadeh</w:t>
      </w:r>
      <w:proofErr w:type="spellEnd"/>
      <w:r w:rsidR="007B10A5" w:rsidRPr="00257118">
        <w:rPr>
          <w:szCs w:val="18"/>
        </w:rPr>
        <w:t xml:space="preserve">, “If it’s broke, don’t make it worse: A critique of the UN Secretary-General’s plan of action to Prevent Violent extremism”, 23 January, </w:t>
      </w:r>
      <w:proofErr w:type="spellStart"/>
      <w:r w:rsidR="007B10A5" w:rsidRPr="00257118">
        <w:rPr>
          <w:szCs w:val="18"/>
        </w:rPr>
        <w:t>Lawfare</w:t>
      </w:r>
      <w:proofErr w:type="spellEnd"/>
      <w:r w:rsidR="007B10A5" w:rsidRPr="00257118">
        <w:rPr>
          <w:szCs w:val="18"/>
        </w:rPr>
        <w:t xml:space="preserve">. </w:t>
      </w:r>
    </w:p>
  </w:footnote>
  <w:footnote w:id="75">
    <w:p w:rsidR="007B10A5" w:rsidRPr="00792799" w:rsidRDefault="00652210" w:rsidP="00652210">
      <w:pPr>
        <w:pStyle w:val="FootnoteText"/>
        <w:jc w:val="both"/>
        <w:rPr>
          <w:szCs w:val="18"/>
          <w:lang w:val="es-ES"/>
        </w:rPr>
      </w:pPr>
      <w:r w:rsidRPr="00D44F11">
        <w:rPr>
          <w:szCs w:val="18"/>
        </w:rPr>
        <w:tab/>
      </w:r>
      <w:r w:rsidR="007B10A5" w:rsidRPr="00F27E8B">
        <w:rPr>
          <w:szCs w:val="18"/>
          <w:vertAlign w:val="superscript"/>
        </w:rPr>
        <w:footnoteRef/>
      </w:r>
      <w:r w:rsidR="007B10A5" w:rsidRPr="00792799">
        <w:rPr>
          <w:szCs w:val="18"/>
          <w:lang w:val="es-ES"/>
        </w:rPr>
        <w:t xml:space="preserve"> </w:t>
      </w:r>
      <w:r>
        <w:rPr>
          <w:szCs w:val="18"/>
          <w:lang w:val="es-ES"/>
        </w:rPr>
        <w:tab/>
      </w:r>
      <w:r w:rsidR="007B10A5" w:rsidRPr="00792799">
        <w:rPr>
          <w:szCs w:val="18"/>
          <w:lang w:val="es-ES"/>
        </w:rPr>
        <w:t>A/70/674, para. 4.</w:t>
      </w:r>
    </w:p>
  </w:footnote>
  <w:footnote w:id="76">
    <w:p w:rsidR="007B10A5" w:rsidRPr="00257118" w:rsidRDefault="00652210" w:rsidP="00652210">
      <w:pPr>
        <w:pStyle w:val="FootnoteText"/>
        <w:jc w:val="both"/>
        <w:rPr>
          <w:szCs w:val="18"/>
        </w:rPr>
      </w:pPr>
      <w:r>
        <w:rPr>
          <w:szCs w:val="18"/>
          <w:vertAlign w:val="superscript"/>
          <w:lang w:val="es-ES"/>
        </w:rPr>
        <w:tab/>
      </w:r>
      <w:r w:rsidR="007B10A5" w:rsidRPr="00F27E8B">
        <w:rPr>
          <w:szCs w:val="18"/>
          <w:vertAlign w:val="superscript"/>
        </w:rPr>
        <w:footnoteRef/>
      </w:r>
      <w:r w:rsidR="007B10A5" w:rsidRPr="00792799">
        <w:rPr>
          <w:szCs w:val="18"/>
          <w:vertAlign w:val="superscript"/>
          <w:lang w:val="es-ES"/>
        </w:rPr>
        <w:t xml:space="preserve"> </w:t>
      </w:r>
      <w:r>
        <w:rPr>
          <w:szCs w:val="18"/>
          <w:vertAlign w:val="superscript"/>
          <w:lang w:val="es-ES"/>
        </w:rPr>
        <w:tab/>
      </w:r>
      <w:proofErr w:type="spellStart"/>
      <w:r w:rsidR="007B10A5" w:rsidRPr="00792799">
        <w:rPr>
          <w:szCs w:val="18"/>
          <w:lang w:val="es-ES"/>
        </w:rPr>
        <w:t>E.g</w:t>
      </w:r>
      <w:proofErr w:type="spellEnd"/>
      <w:r w:rsidR="007B10A5" w:rsidRPr="00792799">
        <w:rPr>
          <w:szCs w:val="18"/>
          <w:lang w:val="es-ES"/>
        </w:rPr>
        <w:t xml:space="preserve">. E/CN.4/2005/103, para. </w:t>
      </w:r>
      <w:r w:rsidR="007B10A5" w:rsidRPr="00C30508">
        <w:rPr>
          <w:szCs w:val="18"/>
        </w:rPr>
        <w:t xml:space="preserve">32 and E/CN.4/2006/98, para. </w:t>
      </w:r>
      <w:r w:rsidR="007B10A5" w:rsidRPr="00257118">
        <w:rPr>
          <w:szCs w:val="18"/>
        </w:rPr>
        <w:t>26.</w:t>
      </w:r>
    </w:p>
  </w:footnote>
  <w:footnote w:id="77">
    <w:p w:rsidR="007B10A5" w:rsidRPr="00257118" w:rsidRDefault="00652210" w:rsidP="00652210">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Whereas for terrorism at the international level, there are 12 ‘Sectoral’ conventions, a draft definition in the draft Comprehensive Convention on International Terrorism, as well as Security Council resolution 1566 (2005). </w:t>
      </w:r>
    </w:p>
  </w:footnote>
  <w:footnote w:id="78">
    <w:p w:rsidR="007B10A5" w:rsidRPr="00B6179C" w:rsidRDefault="00652210" w:rsidP="00652210">
      <w:pPr>
        <w:pStyle w:val="FootnoteText"/>
        <w:jc w:val="both"/>
        <w:rPr>
          <w:sz w:val="20"/>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For detailed information on all of this section, see Agnes </w:t>
      </w:r>
      <w:proofErr w:type="spellStart"/>
      <w:r w:rsidR="007B10A5" w:rsidRPr="00257118">
        <w:rPr>
          <w:szCs w:val="18"/>
        </w:rPr>
        <w:t>Callamard</w:t>
      </w:r>
      <w:proofErr w:type="spellEnd"/>
      <w:r w:rsidR="007B10A5" w:rsidRPr="00257118">
        <w:rPr>
          <w:szCs w:val="18"/>
        </w:rPr>
        <w:t xml:space="preserve">, “Religion, Terrorism and Speech in a ‘Post-Charlie </w:t>
      </w:r>
      <w:proofErr w:type="spellStart"/>
      <w:r w:rsidR="007B10A5" w:rsidRPr="00257118">
        <w:rPr>
          <w:szCs w:val="18"/>
        </w:rPr>
        <w:t>Hebdo</w:t>
      </w:r>
      <w:proofErr w:type="spellEnd"/>
      <w:r w:rsidR="007B10A5" w:rsidRPr="00257118">
        <w:rPr>
          <w:szCs w:val="18"/>
        </w:rPr>
        <w:t xml:space="preserve">’ World”, </w:t>
      </w:r>
      <w:proofErr w:type="spellStart"/>
      <w:r w:rsidR="007B10A5" w:rsidRPr="00257118">
        <w:rPr>
          <w:szCs w:val="18"/>
        </w:rPr>
        <w:t>op.cit</w:t>
      </w:r>
      <w:proofErr w:type="spellEnd"/>
      <w:r w:rsidR="007B10A5" w:rsidRPr="00257118">
        <w:rPr>
          <w:szCs w:val="18"/>
        </w:rPr>
        <w:t>.</w:t>
      </w:r>
    </w:p>
  </w:footnote>
  <w:footnote w:id="79">
    <w:p w:rsidR="007B10A5" w:rsidRPr="00257118" w:rsidRDefault="004F2266" w:rsidP="004F2266">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spellStart"/>
      <w:r w:rsidR="007B10A5" w:rsidRPr="00257118">
        <w:rPr>
          <w:szCs w:val="18"/>
        </w:rPr>
        <w:t>ECtHR</w:t>
      </w:r>
      <w:proofErr w:type="spellEnd"/>
      <w:r w:rsidR="007B10A5" w:rsidRPr="00257118">
        <w:rPr>
          <w:szCs w:val="18"/>
        </w:rPr>
        <w:t xml:space="preserve">, </w:t>
      </w:r>
      <w:proofErr w:type="spellStart"/>
      <w:r w:rsidR="007B10A5" w:rsidRPr="00257118">
        <w:rPr>
          <w:szCs w:val="18"/>
        </w:rPr>
        <w:t>Handyside</w:t>
      </w:r>
      <w:proofErr w:type="spellEnd"/>
      <w:r w:rsidR="007B10A5" w:rsidRPr="00257118">
        <w:rPr>
          <w:szCs w:val="18"/>
        </w:rPr>
        <w:t xml:space="preserve"> v. UK, Application 5493/72, 7 December 1976.</w:t>
      </w:r>
    </w:p>
  </w:footnote>
  <w:footnote w:id="80">
    <w:p w:rsidR="007B10A5" w:rsidRPr="00257118" w:rsidRDefault="004F2266" w:rsidP="004F2266">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Article 20 ICCPR, article 4 CERD, Article 3(c) Convention on the Prevention and Punishment of the Crime of Genocide, Security Council resolution 1624(2005)</w:t>
      </w:r>
    </w:p>
  </w:footnote>
  <w:footnote w:id="81">
    <w:p w:rsidR="007B10A5" w:rsidRPr="00257118" w:rsidRDefault="004F2266" w:rsidP="004F2266">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See Special Rapporteur on the Promotion and protection of the right to freedom of opinion and expression, A/67/357, para. 32.</w:t>
      </w:r>
    </w:p>
  </w:footnote>
  <w:footnote w:id="82">
    <w:p w:rsidR="007B10A5" w:rsidRPr="00257118" w:rsidRDefault="004F2266" w:rsidP="004F2266">
      <w:pPr>
        <w:pStyle w:val="FootnoteText"/>
        <w:jc w:val="both"/>
        <w:rPr>
          <w:szCs w:val="18"/>
        </w:rPr>
      </w:pPr>
      <w:r>
        <w:rPr>
          <w:szCs w:val="18"/>
        </w:rPr>
        <w:tab/>
      </w:r>
      <w:r w:rsidR="007B10A5" w:rsidRPr="00F27E8B">
        <w:rPr>
          <w:szCs w:val="18"/>
          <w:vertAlign w:val="superscript"/>
        </w:rPr>
        <w:footnoteRef/>
      </w:r>
      <w:r>
        <w:rPr>
          <w:szCs w:val="18"/>
        </w:rPr>
        <w:tab/>
      </w:r>
      <w:r w:rsidR="007B10A5" w:rsidRPr="00257118">
        <w:rPr>
          <w:szCs w:val="18"/>
        </w:rPr>
        <w:t xml:space="preserve"> See ICTR, Prosecutor v. </w:t>
      </w:r>
      <w:proofErr w:type="spellStart"/>
      <w:r w:rsidR="007B10A5" w:rsidRPr="00257118">
        <w:rPr>
          <w:szCs w:val="18"/>
        </w:rPr>
        <w:t>Akayesu</w:t>
      </w:r>
      <w:proofErr w:type="spellEnd"/>
      <w:r w:rsidR="007B10A5" w:rsidRPr="00257118">
        <w:rPr>
          <w:szCs w:val="18"/>
        </w:rPr>
        <w:t xml:space="preserve">, case No. </w:t>
      </w:r>
      <w:r w:rsidR="007B10A5" w:rsidRPr="00182CF8">
        <w:rPr>
          <w:szCs w:val="18"/>
        </w:rPr>
        <w:t xml:space="preserve">ICTR-96-4-T, Judgement 2 September 1998, paras. </w:t>
      </w:r>
      <w:r w:rsidR="007B10A5" w:rsidRPr="00257118">
        <w:rPr>
          <w:szCs w:val="18"/>
        </w:rPr>
        <w:t>555-557.</w:t>
      </w:r>
    </w:p>
  </w:footnote>
  <w:footnote w:id="83">
    <w:p w:rsidR="007B10A5" w:rsidRPr="00257118" w:rsidRDefault="004F2266" w:rsidP="004F2266">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UK Counter Extremism Strategy, para. 10.</w:t>
      </w:r>
    </w:p>
  </w:footnote>
  <w:footnote w:id="84">
    <w:p w:rsidR="007B10A5" w:rsidRPr="00E8127B" w:rsidRDefault="001002AD" w:rsidP="001002AD">
      <w:pPr>
        <w:pStyle w:val="FootnoteText"/>
        <w:jc w:val="both"/>
        <w:rPr>
          <w:sz w:val="20"/>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See Agnes </w:t>
      </w:r>
      <w:proofErr w:type="spellStart"/>
      <w:r w:rsidR="007B10A5" w:rsidRPr="00257118">
        <w:rPr>
          <w:szCs w:val="18"/>
        </w:rPr>
        <w:t>Callamard</w:t>
      </w:r>
      <w:proofErr w:type="spellEnd"/>
      <w:r w:rsidR="007B10A5" w:rsidRPr="00257118">
        <w:rPr>
          <w:szCs w:val="18"/>
        </w:rPr>
        <w:t xml:space="preserve">, </w:t>
      </w:r>
      <w:proofErr w:type="spellStart"/>
      <w:r w:rsidR="007B10A5" w:rsidRPr="00257118">
        <w:rPr>
          <w:szCs w:val="18"/>
        </w:rPr>
        <w:t>op.cit</w:t>
      </w:r>
      <w:proofErr w:type="spellEnd"/>
      <w:r w:rsidR="007B10A5" w:rsidRPr="00257118">
        <w:rPr>
          <w:szCs w:val="18"/>
        </w:rPr>
        <w:t>.</w:t>
      </w:r>
    </w:p>
  </w:footnote>
  <w:footnote w:id="85">
    <w:p w:rsidR="007B10A5" w:rsidRPr="000800B7" w:rsidRDefault="001002AD" w:rsidP="001002AD">
      <w:pPr>
        <w:pStyle w:val="FootnoteText"/>
        <w:jc w:val="both"/>
        <w:rPr>
          <w:rFonts w:ascii="Helvetica" w:hAnsi="Helvetica"/>
          <w:sz w:val="30"/>
          <w:szCs w:val="30"/>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2013-2014, The Parliament of the Commonwealth of Australia, Senate, Counter-Terrorism Legislation amendment (Foreign Fighters) Bill 2014, Explanatory Memorandum circulated by the Attorney-General.</w:t>
      </w:r>
      <w:r w:rsidR="007B10A5">
        <w:t xml:space="preserve"> </w:t>
      </w:r>
    </w:p>
  </w:footnote>
  <w:footnote w:id="86">
    <w:p w:rsidR="007B10A5" w:rsidRPr="00257118" w:rsidRDefault="001002AD" w:rsidP="001002A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See Independent Reviewer of Counter-Terrorism Legislation, David Anderson, QC, para. 9.8, Terrorism Acts Report 2014.   </w:t>
      </w:r>
    </w:p>
  </w:footnote>
  <w:footnote w:id="87">
    <w:p w:rsidR="007B10A5" w:rsidRPr="00257118" w:rsidRDefault="001002AD" w:rsidP="001002A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UK Terrorism Act 2006.</w:t>
      </w:r>
      <w:proofErr w:type="gramEnd"/>
      <w:r w:rsidR="007B10A5" w:rsidRPr="00257118">
        <w:rPr>
          <w:szCs w:val="18"/>
        </w:rPr>
        <w:t xml:space="preserve"> </w:t>
      </w:r>
    </w:p>
  </w:footnote>
  <w:footnote w:id="88">
    <w:p w:rsidR="007B10A5" w:rsidRPr="00257118" w:rsidRDefault="001002AD" w:rsidP="001002A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See Holder v Humanitarian Law Project, and A/70/371</w:t>
      </w:r>
    </w:p>
  </w:footnote>
  <w:footnote w:id="89">
    <w:p w:rsidR="007B10A5" w:rsidRPr="00257118" w:rsidRDefault="001002AD" w:rsidP="001002AD">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France 14 November 2014 legislation on countering terrorism </w:t>
      </w:r>
    </w:p>
  </w:footnote>
  <w:footnote w:id="90">
    <w:p w:rsidR="007B10A5" w:rsidRPr="00D44F11" w:rsidRDefault="001002AD" w:rsidP="001002AD">
      <w:pPr>
        <w:pStyle w:val="FootnoteText"/>
        <w:jc w:val="both"/>
        <w:rPr>
          <w:szCs w:val="18"/>
          <w:lang w:val="es-ES"/>
        </w:rPr>
      </w:pPr>
      <w:r>
        <w:rPr>
          <w:szCs w:val="18"/>
        </w:rPr>
        <w:tab/>
      </w:r>
      <w:r w:rsidR="007B10A5" w:rsidRPr="00F27E8B">
        <w:rPr>
          <w:szCs w:val="18"/>
          <w:vertAlign w:val="superscript"/>
        </w:rPr>
        <w:footnoteRef/>
      </w:r>
      <w:r w:rsidR="007B10A5" w:rsidRPr="00D44F11">
        <w:rPr>
          <w:szCs w:val="18"/>
          <w:lang w:val="es-ES"/>
        </w:rPr>
        <w:t xml:space="preserve"> </w:t>
      </w:r>
      <w:r w:rsidRPr="00D44F11">
        <w:rPr>
          <w:szCs w:val="18"/>
          <w:lang w:val="es-ES"/>
        </w:rPr>
        <w:tab/>
      </w:r>
      <w:r w:rsidR="007B10A5" w:rsidRPr="00D44F11">
        <w:rPr>
          <w:szCs w:val="18"/>
          <w:lang w:val="es-ES"/>
        </w:rPr>
        <w:t xml:space="preserve">HRC, General </w:t>
      </w:r>
      <w:proofErr w:type="spellStart"/>
      <w:r w:rsidR="007B10A5" w:rsidRPr="00D44F11">
        <w:rPr>
          <w:szCs w:val="18"/>
          <w:lang w:val="es-ES"/>
        </w:rPr>
        <w:t>Comment</w:t>
      </w:r>
      <w:proofErr w:type="spellEnd"/>
      <w:r w:rsidR="007B10A5" w:rsidRPr="00D44F11">
        <w:rPr>
          <w:szCs w:val="18"/>
          <w:lang w:val="es-ES"/>
        </w:rPr>
        <w:t xml:space="preserve"> 34, CCPR/C/GC/34, para. 46.</w:t>
      </w:r>
    </w:p>
  </w:footnote>
  <w:footnote w:id="91">
    <w:p w:rsidR="007B10A5" w:rsidRPr="00C30508" w:rsidRDefault="001002AD" w:rsidP="001002AD">
      <w:pPr>
        <w:pStyle w:val="FootnoteText"/>
        <w:jc w:val="both"/>
        <w:rPr>
          <w:szCs w:val="18"/>
        </w:rPr>
      </w:pPr>
      <w:r w:rsidRPr="00D44F11">
        <w:rPr>
          <w:szCs w:val="18"/>
          <w:lang w:val="es-ES"/>
        </w:rPr>
        <w:tab/>
      </w:r>
      <w:r w:rsidR="007B10A5" w:rsidRPr="00F27E8B">
        <w:rPr>
          <w:szCs w:val="18"/>
          <w:vertAlign w:val="superscript"/>
        </w:rPr>
        <w:footnoteRef/>
      </w:r>
      <w:r w:rsidR="007B10A5" w:rsidRPr="00D44F11">
        <w:rPr>
          <w:szCs w:val="18"/>
          <w:lang w:val="es-ES"/>
        </w:rPr>
        <w:t xml:space="preserve"> </w:t>
      </w:r>
      <w:r w:rsidRPr="00D44F11">
        <w:rPr>
          <w:szCs w:val="18"/>
          <w:lang w:val="es-ES"/>
        </w:rPr>
        <w:tab/>
      </w:r>
      <w:r w:rsidR="007B10A5" w:rsidRPr="00D44F11">
        <w:rPr>
          <w:szCs w:val="18"/>
          <w:lang w:val="es-ES"/>
        </w:rPr>
        <w:t xml:space="preserve">A/63/337, para. </w:t>
      </w:r>
      <w:r w:rsidR="007B10A5" w:rsidRPr="00C30508">
        <w:rPr>
          <w:szCs w:val="18"/>
        </w:rPr>
        <w:t>61.</w:t>
      </w:r>
    </w:p>
  </w:footnote>
  <w:footnote w:id="92">
    <w:p w:rsidR="007B10A5" w:rsidRPr="00257118" w:rsidRDefault="001002AD" w:rsidP="001002AD">
      <w:pPr>
        <w:pStyle w:val="FootnoteText"/>
        <w:jc w:val="both"/>
        <w:rPr>
          <w:szCs w:val="18"/>
        </w:rPr>
      </w:pPr>
      <w:r w:rsidRPr="00C30508">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ACLU, “</w:t>
      </w:r>
      <w:proofErr w:type="spellStart"/>
      <w:r w:rsidR="007B10A5" w:rsidRPr="00257118">
        <w:rPr>
          <w:szCs w:val="18"/>
        </w:rPr>
        <w:t>Mehanna</w:t>
      </w:r>
      <w:proofErr w:type="spellEnd"/>
      <w:r w:rsidR="007B10A5" w:rsidRPr="00257118">
        <w:rPr>
          <w:szCs w:val="18"/>
        </w:rPr>
        <w:t xml:space="preserve"> verdict compromises first amendment, undermines national security”, 20 December 2011, </w:t>
      </w:r>
      <w:hyperlink r:id="rId27" w:history="1">
        <w:r w:rsidR="007B10A5" w:rsidRPr="00257118">
          <w:rPr>
            <w:szCs w:val="18"/>
          </w:rPr>
          <w:t>https://www.aclu.org/news/mehanna-verdict-compromises-first-amendment-undermines-national-security?redirect=free-speech/mehanna-verdict-compromises-first-amendment-undermines-national-security</w:t>
        </w:r>
      </w:hyperlink>
      <w:r w:rsidR="007B10A5" w:rsidRPr="00257118">
        <w:rPr>
          <w:szCs w:val="18"/>
        </w:rPr>
        <w:t xml:space="preserve">. See also The Investigative Project, </w:t>
      </w:r>
      <w:hyperlink r:id="rId28" w:history="1">
        <w:r w:rsidR="007B10A5" w:rsidRPr="00257118">
          <w:rPr>
            <w:szCs w:val="18"/>
          </w:rPr>
          <w:t>http://www.investigativeproject.org/case/716/us-v-saleh</w:t>
        </w:r>
      </w:hyperlink>
      <w:r w:rsidR="007B10A5" w:rsidRPr="00257118">
        <w:rPr>
          <w:szCs w:val="18"/>
        </w:rPr>
        <w:t xml:space="preserve">, and the New York Times, College Student in Queens Is Charged With Conspiring to Support ISIS, 16 June 2015, </w:t>
      </w:r>
    </w:p>
    <w:p w:rsidR="007B10A5" w:rsidRPr="00257118" w:rsidRDefault="001002AD" w:rsidP="001002AD">
      <w:pPr>
        <w:pStyle w:val="FootnoteText"/>
        <w:jc w:val="both"/>
        <w:rPr>
          <w:szCs w:val="18"/>
        </w:rPr>
      </w:pPr>
      <w:r>
        <w:rPr>
          <w:szCs w:val="18"/>
        </w:rPr>
        <w:tab/>
      </w:r>
      <w:r>
        <w:rPr>
          <w:szCs w:val="18"/>
        </w:rPr>
        <w:tab/>
      </w:r>
      <w:r w:rsidR="007B10A5" w:rsidRPr="00257118">
        <w:rPr>
          <w:szCs w:val="18"/>
        </w:rPr>
        <w:t xml:space="preserve"> </w:t>
      </w:r>
      <w:hyperlink r:id="rId29" w:history="1">
        <w:r w:rsidR="007B10A5" w:rsidRPr="00257118">
          <w:rPr>
            <w:szCs w:val="18"/>
          </w:rPr>
          <w:t>http://www.nytimes.com/2015/06/17/nyregion/college-student-in-queens-is-charged-with-conspiring-to-support-isis.html?_r=0</w:t>
        </w:r>
      </w:hyperlink>
      <w:r w:rsidR="007B10A5" w:rsidRPr="00257118">
        <w:rPr>
          <w:szCs w:val="18"/>
        </w:rPr>
        <w:t xml:space="preserve">. </w:t>
      </w:r>
    </w:p>
  </w:footnote>
  <w:footnote w:id="93">
    <w:p w:rsidR="007B10A5" w:rsidRPr="00257118" w:rsidRDefault="001002AD" w:rsidP="001002A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Europol Internet Referral Unit to combat terrorist and violent extremist propaganda, </w:t>
      </w:r>
      <w:hyperlink r:id="rId30" w:history="1">
        <w:r w:rsidR="007B10A5" w:rsidRPr="00257118">
          <w:rPr>
            <w:szCs w:val="18"/>
          </w:rPr>
          <w:t>https://www.europol.europa.eu/content/europol%E2%80%99s-internet-referral-unit-combat-terrorist-and-violent-extremist-propaganda</w:t>
        </w:r>
      </w:hyperlink>
      <w:r w:rsidR="007B10A5" w:rsidRPr="00257118">
        <w:rPr>
          <w:szCs w:val="18"/>
        </w:rPr>
        <w:t xml:space="preserve">. UK Counter Terrorism Internet Referral Unit, </w:t>
      </w:r>
      <w:hyperlink r:id="rId31" w:history="1">
        <w:r w:rsidR="007B10A5" w:rsidRPr="00257118">
          <w:rPr>
            <w:szCs w:val="18"/>
          </w:rPr>
          <w:t>http://www.npcc.police.uk/NPCCBusinessAreas/PREVENT/TheCounterTerrorismInternetReferralUnit.aspx</w:t>
        </w:r>
      </w:hyperlink>
      <w:r w:rsidR="007B10A5" w:rsidRPr="00257118">
        <w:rPr>
          <w:szCs w:val="18"/>
        </w:rPr>
        <w:t xml:space="preserve">. </w:t>
      </w:r>
    </w:p>
  </w:footnote>
  <w:footnote w:id="94">
    <w:p w:rsidR="007B10A5" w:rsidRPr="00257118" w:rsidRDefault="001002AD" w:rsidP="001002AD">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proofErr w:type="gramStart"/>
      <w:r w:rsidR="007B10A5" w:rsidRPr="00257118">
        <w:rPr>
          <w:szCs w:val="18"/>
        </w:rPr>
        <w:t>S/2015/683, para.</w:t>
      </w:r>
      <w:proofErr w:type="gramEnd"/>
      <w:r w:rsidR="007B10A5" w:rsidRPr="00257118">
        <w:rPr>
          <w:szCs w:val="18"/>
        </w:rPr>
        <w:t xml:space="preserve"> 17.</w:t>
      </w:r>
    </w:p>
  </w:footnote>
  <w:footnote w:id="95">
    <w:p w:rsidR="007B10A5" w:rsidRPr="00257118" w:rsidRDefault="002B092B" w:rsidP="002B092B">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proofErr w:type="gramStart"/>
      <w:r w:rsidR="007B10A5">
        <w:rPr>
          <w:szCs w:val="18"/>
        </w:rPr>
        <w:t>HRC</w:t>
      </w:r>
      <w:r w:rsidR="007B10A5" w:rsidRPr="00257118">
        <w:rPr>
          <w:szCs w:val="18"/>
        </w:rPr>
        <w:t>, General Comment 34, CCPR/C/GC/34, para.</w:t>
      </w:r>
      <w:proofErr w:type="gramEnd"/>
      <w:r w:rsidR="007B10A5" w:rsidRPr="00257118">
        <w:rPr>
          <w:szCs w:val="18"/>
        </w:rPr>
        <w:t xml:space="preserve"> 43.</w:t>
      </w:r>
    </w:p>
  </w:footnote>
  <w:footnote w:id="96">
    <w:p w:rsidR="007B10A5" w:rsidRPr="00257118" w:rsidRDefault="002B092B" w:rsidP="002B092B">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Amnesty International France, “</w:t>
      </w:r>
      <w:proofErr w:type="spellStart"/>
      <w:r w:rsidR="007B10A5" w:rsidRPr="00257118">
        <w:rPr>
          <w:szCs w:val="18"/>
        </w:rPr>
        <w:t>Bloquage</w:t>
      </w:r>
      <w:proofErr w:type="spellEnd"/>
      <w:r w:rsidR="007B10A5" w:rsidRPr="00257118">
        <w:rPr>
          <w:szCs w:val="18"/>
        </w:rPr>
        <w:t xml:space="preserve"> des sites Internets en France: Le </w:t>
      </w:r>
      <w:proofErr w:type="spellStart"/>
      <w:r w:rsidR="007B10A5" w:rsidRPr="00257118">
        <w:rPr>
          <w:szCs w:val="18"/>
        </w:rPr>
        <w:t>controle</w:t>
      </w:r>
      <w:proofErr w:type="spellEnd"/>
      <w:r w:rsidR="007B10A5" w:rsidRPr="00257118">
        <w:rPr>
          <w:szCs w:val="18"/>
        </w:rPr>
        <w:t xml:space="preserve"> d’un </w:t>
      </w:r>
      <w:proofErr w:type="spellStart"/>
      <w:r w:rsidR="007B10A5" w:rsidRPr="00257118">
        <w:rPr>
          <w:szCs w:val="18"/>
        </w:rPr>
        <w:t>juge</w:t>
      </w:r>
      <w:proofErr w:type="spellEnd"/>
      <w:r w:rsidR="007B10A5" w:rsidRPr="00257118">
        <w:rPr>
          <w:szCs w:val="18"/>
        </w:rPr>
        <w:t xml:space="preserve"> </w:t>
      </w:r>
      <w:proofErr w:type="spellStart"/>
      <w:r w:rsidR="007B10A5" w:rsidRPr="00257118">
        <w:rPr>
          <w:szCs w:val="18"/>
        </w:rPr>
        <w:t>est</w:t>
      </w:r>
      <w:proofErr w:type="spellEnd"/>
      <w:r w:rsidR="007B10A5" w:rsidRPr="00257118">
        <w:rPr>
          <w:szCs w:val="18"/>
        </w:rPr>
        <w:t xml:space="preserve"> indispensable”, 18 March 2015, </w:t>
      </w:r>
      <w:hyperlink r:id="rId32" w:history="1">
        <w:r w:rsidR="007B10A5" w:rsidRPr="00257118">
          <w:rPr>
            <w:szCs w:val="18"/>
          </w:rPr>
          <w:t>http://www.amnesty.fr/Nos-campagnes/Liberte-expression/Actualites/Blocages-de-sites-Internet-en-France-autorisation-un-juge-est-indispensable-14588?prehome=0</w:t>
        </w:r>
      </w:hyperlink>
      <w:r w:rsidR="007B10A5" w:rsidRPr="00257118">
        <w:rPr>
          <w:szCs w:val="18"/>
        </w:rPr>
        <w:t>; Human Rights Watch, “Russia: Halt orders to block online media”, 23 March 2014. Note that the law as since entered into force.</w:t>
      </w:r>
    </w:p>
  </w:footnote>
  <w:footnote w:id="97">
    <w:p w:rsidR="007B10A5" w:rsidRPr="00257118" w:rsidRDefault="002B092B" w:rsidP="002B092B">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A/69/397, para.</w:t>
      </w:r>
      <w:proofErr w:type="gramEnd"/>
      <w:r w:rsidR="007B10A5" w:rsidRPr="00257118">
        <w:rPr>
          <w:szCs w:val="18"/>
        </w:rPr>
        <w:t xml:space="preserve"> 58.</w:t>
      </w:r>
    </w:p>
  </w:footnote>
  <w:footnote w:id="98">
    <w:p w:rsidR="007B10A5" w:rsidRPr="00257118" w:rsidRDefault="002B092B" w:rsidP="002B092B">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A/67/357, paras.</w:t>
      </w:r>
      <w:proofErr w:type="gramEnd"/>
      <w:r w:rsidR="007B10A5" w:rsidRPr="00257118">
        <w:rPr>
          <w:szCs w:val="18"/>
        </w:rPr>
        <w:t xml:space="preserve"> </w:t>
      </w:r>
      <w:proofErr w:type="gramStart"/>
      <w:r w:rsidR="007B10A5" w:rsidRPr="00257118">
        <w:rPr>
          <w:szCs w:val="18"/>
        </w:rPr>
        <w:t>32, 33, 56.</w:t>
      </w:r>
      <w:proofErr w:type="gramEnd"/>
      <w:r w:rsidR="007B10A5" w:rsidRPr="00257118">
        <w:rPr>
          <w:szCs w:val="18"/>
        </w:rPr>
        <w:t xml:space="preserve"> </w:t>
      </w:r>
    </w:p>
  </w:footnote>
  <w:footnote w:id="99">
    <w:p w:rsidR="007B10A5" w:rsidRPr="00257118" w:rsidRDefault="002B092B" w:rsidP="002B092B">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UK Counter Extremism Strategy, paras. 100 </w:t>
      </w:r>
      <w:proofErr w:type="gramStart"/>
      <w:r w:rsidR="007B10A5" w:rsidRPr="00257118">
        <w:rPr>
          <w:szCs w:val="18"/>
        </w:rPr>
        <w:t>et</w:t>
      </w:r>
      <w:proofErr w:type="gramEnd"/>
      <w:r w:rsidR="007B10A5" w:rsidRPr="00257118">
        <w:rPr>
          <w:szCs w:val="18"/>
        </w:rPr>
        <w:t xml:space="preserve"> s. </w:t>
      </w:r>
    </w:p>
  </w:footnote>
  <w:footnote w:id="100">
    <w:p w:rsidR="007B10A5" w:rsidRPr="0056583F" w:rsidRDefault="00C769DD" w:rsidP="00C769DD">
      <w:pPr>
        <w:pStyle w:val="FootnoteText"/>
        <w:jc w:val="both"/>
        <w:rPr>
          <w:sz w:val="20"/>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A/62/263</w:t>
      </w:r>
    </w:p>
  </w:footnote>
  <w:footnote w:id="101">
    <w:p w:rsidR="007B10A5" w:rsidRPr="00257118" w:rsidRDefault="00C769DD" w:rsidP="00C769D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A/HRC/13/34.</w:t>
      </w:r>
      <w:proofErr w:type="gramEnd"/>
      <w:r w:rsidR="007B10A5" w:rsidRPr="00257118">
        <w:rPr>
          <w:szCs w:val="18"/>
        </w:rPr>
        <w:t xml:space="preserve"> See also Human Rights Council resolutions 7/10 and 10/13, and Craig </w:t>
      </w:r>
      <w:proofErr w:type="spellStart"/>
      <w:r w:rsidR="007B10A5" w:rsidRPr="00257118">
        <w:rPr>
          <w:szCs w:val="18"/>
        </w:rPr>
        <w:t>Forcese</w:t>
      </w:r>
      <w:proofErr w:type="spellEnd"/>
      <w:r w:rsidR="007B10A5" w:rsidRPr="00257118">
        <w:rPr>
          <w:szCs w:val="18"/>
        </w:rPr>
        <w:t xml:space="preserve">, A Tale of Two Citizenships: Citizenship Revocation for “Traitors and Terrorists”, (2014) 39(2) </w:t>
      </w:r>
      <w:r w:rsidR="007B10A5" w:rsidRPr="00257118">
        <w:rPr>
          <w:i/>
          <w:iCs/>
          <w:szCs w:val="18"/>
        </w:rPr>
        <w:t>Queen's Law Journal</w:t>
      </w:r>
      <w:r w:rsidR="007B10A5" w:rsidRPr="00257118">
        <w:rPr>
          <w:szCs w:val="18"/>
        </w:rPr>
        <w:t xml:space="preserve"> 551.</w:t>
      </w:r>
    </w:p>
  </w:footnote>
  <w:footnote w:id="102">
    <w:p w:rsidR="007B10A5" w:rsidRPr="00257118" w:rsidRDefault="00C769DD" w:rsidP="00C769D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See letter from ACLU et al. to the Special Rapporteur, 24 December 2015, on file, and from ACLU to Lisa O. Monaco, Assistant to the President for Homeland Security and National Deputy Security Advisor, 18 December 2014, </w:t>
      </w:r>
      <w:hyperlink r:id="rId33" w:history="1">
        <w:r w:rsidR="007B10A5" w:rsidRPr="00257118">
          <w:rPr>
            <w:szCs w:val="18"/>
          </w:rPr>
          <w:t>https://www.aclu.org/files/assets/141218_cve_coalition_letter_2.pdf</w:t>
        </w:r>
      </w:hyperlink>
      <w:r w:rsidR="007B10A5" w:rsidRPr="00257118">
        <w:rPr>
          <w:szCs w:val="18"/>
        </w:rPr>
        <w:t xml:space="preserve">. See also programmes aimed JI members and their families, </w:t>
      </w:r>
      <w:hyperlink r:id="rId34" w:history="1">
        <w:r w:rsidR="007B10A5" w:rsidRPr="00257118">
          <w:rPr>
            <w:szCs w:val="18"/>
          </w:rPr>
          <w:t>http://rrg.sg/about-us</w:t>
        </w:r>
      </w:hyperlink>
      <w:r w:rsidR="007B10A5" w:rsidRPr="00257118">
        <w:rPr>
          <w:szCs w:val="18"/>
        </w:rPr>
        <w:t xml:space="preserve">; </w:t>
      </w:r>
      <w:proofErr w:type="spellStart"/>
      <w:r w:rsidR="007B10A5" w:rsidRPr="00257118">
        <w:rPr>
          <w:szCs w:val="18"/>
        </w:rPr>
        <w:t>Arun</w:t>
      </w:r>
      <w:proofErr w:type="spellEnd"/>
      <w:r w:rsidR="007B10A5" w:rsidRPr="00257118">
        <w:rPr>
          <w:szCs w:val="18"/>
        </w:rPr>
        <w:t xml:space="preserve"> </w:t>
      </w:r>
      <w:proofErr w:type="spellStart"/>
      <w:r w:rsidR="007B10A5" w:rsidRPr="00257118">
        <w:rPr>
          <w:szCs w:val="18"/>
        </w:rPr>
        <w:t>Kundnani</w:t>
      </w:r>
      <w:proofErr w:type="spellEnd"/>
      <w:r w:rsidR="007B10A5" w:rsidRPr="00257118">
        <w:rPr>
          <w:szCs w:val="18"/>
        </w:rPr>
        <w:t>, “Spooked!</w:t>
      </w:r>
      <w:proofErr w:type="gramStart"/>
      <w:r w:rsidR="007B10A5" w:rsidRPr="00257118">
        <w:rPr>
          <w:szCs w:val="18"/>
        </w:rPr>
        <w:t>”,</w:t>
      </w:r>
      <w:proofErr w:type="gramEnd"/>
      <w:r w:rsidR="007B10A5" w:rsidRPr="00257118">
        <w:rPr>
          <w:szCs w:val="18"/>
        </w:rPr>
        <w:t xml:space="preserve"> </w:t>
      </w:r>
      <w:proofErr w:type="spellStart"/>
      <w:r w:rsidR="007B10A5" w:rsidRPr="00257118">
        <w:rPr>
          <w:szCs w:val="18"/>
        </w:rPr>
        <w:t>op.cit</w:t>
      </w:r>
      <w:proofErr w:type="spellEnd"/>
      <w:r w:rsidR="007B10A5" w:rsidRPr="00257118">
        <w:rPr>
          <w:szCs w:val="18"/>
        </w:rPr>
        <w:t xml:space="preserve">. </w:t>
      </w:r>
    </w:p>
  </w:footnote>
  <w:footnote w:id="103">
    <w:p w:rsidR="007B10A5" w:rsidRPr="00257118" w:rsidRDefault="00C769DD" w:rsidP="00C769D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A/HRC/4/26.</w:t>
      </w:r>
      <w:proofErr w:type="gramEnd"/>
      <w:r w:rsidR="007B10A5" w:rsidRPr="00257118">
        <w:rPr>
          <w:szCs w:val="18"/>
        </w:rPr>
        <w:t xml:space="preserve"> </w:t>
      </w:r>
    </w:p>
  </w:footnote>
  <w:footnote w:id="104">
    <w:p w:rsidR="007B10A5" w:rsidRPr="00257118" w:rsidRDefault="00C769DD" w:rsidP="00C769D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spellStart"/>
      <w:r w:rsidR="007B10A5" w:rsidRPr="00257118">
        <w:rPr>
          <w:szCs w:val="18"/>
        </w:rPr>
        <w:t>Arun</w:t>
      </w:r>
      <w:proofErr w:type="spellEnd"/>
      <w:r w:rsidR="007B10A5" w:rsidRPr="00257118">
        <w:rPr>
          <w:szCs w:val="18"/>
        </w:rPr>
        <w:t xml:space="preserve"> </w:t>
      </w:r>
      <w:proofErr w:type="spellStart"/>
      <w:proofErr w:type="gramStart"/>
      <w:r w:rsidR="007B10A5" w:rsidRPr="00257118">
        <w:rPr>
          <w:szCs w:val="18"/>
        </w:rPr>
        <w:t>Kundnani</w:t>
      </w:r>
      <w:proofErr w:type="spellEnd"/>
      <w:r w:rsidR="007B10A5" w:rsidRPr="00257118">
        <w:rPr>
          <w:szCs w:val="18"/>
        </w:rPr>
        <w:t>,</w:t>
      </w:r>
      <w:proofErr w:type="gramEnd"/>
      <w:r w:rsidR="007B10A5" w:rsidRPr="00257118">
        <w:rPr>
          <w:szCs w:val="18"/>
        </w:rPr>
        <w:t xml:space="preserve"> “Spooked! How not to prevent violent extremism”, Institute of Race relations, October 2009; Peter </w:t>
      </w:r>
      <w:proofErr w:type="spellStart"/>
      <w:r w:rsidR="007B10A5" w:rsidRPr="00257118">
        <w:rPr>
          <w:szCs w:val="18"/>
        </w:rPr>
        <w:t>Romaniuk</w:t>
      </w:r>
      <w:proofErr w:type="spellEnd"/>
      <w:r w:rsidR="007B10A5" w:rsidRPr="00257118">
        <w:rPr>
          <w:szCs w:val="18"/>
        </w:rPr>
        <w:t>, “Does CVE work</w:t>
      </w:r>
      <w:proofErr w:type="gramStart"/>
      <w:r w:rsidR="007B10A5" w:rsidRPr="00257118">
        <w:rPr>
          <w:szCs w:val="18"/>
        </w:rPr>
        <w:t>?,</w:t>
      </w:r>
      <w:proofErr w:type="gramEnd"/>
      <w:r w:rsidR="007B10A5" w:rsidRPr="00257118">
        <w:rPr>
          <w:szCs w:val="18"/>
        </w:rPr>
        <w:t xml:space="preserve"> </w:t>
      </w:r>
      <w:proofErr w:type="spellStart"/>
      <w:r w:rsidR="007B10A5" w:rsidRPr="00257118">
        <w:rPr>
          <w:szCs w:val="18"/>
        </w:rPr>
        <w:t>op.cit</w:t>
      </w:r>
      <w:proofErr w:type="spellEnd"/>
      <w:r w:rsidR="007B10A5" w:rsidRPr="00257118">
        <w:rPr>
          <w:szCs w:val="18"/>
        </w:rPr>
        <w:t xml:space="preserve">. </w:t>
      </w:r>
      <w:proofErr w:type="gramStart"/>
      <w:r w:rsidR="007B10A5" w:rsidRPr="00257118">
        <w:rPr>
          <w:szCs w:val="18"/>
        </w:rPr>
        <w:t xml:space="preserve">p. 16-18; Paul Thomas, “Failed and Friendless – the UK’s ‘Preventing Violent Extremism’ Programme”, </w:t>
      </w:r>
      <w:proofErr w:type="spellStart"/>
      <w:r w:rsidR="007B10A5" w:rsidRPr="00257118">
        <w:rPr>
          <w:szCs w:val="18"/>
        </w:rPr>
        <w:t>op.cit</w:t>
      </w:r>
      <w:proofErr w:type="spellEnd"/>
      <w:r w:rsidR="007B10A5" w:rsidRPr="00257118">
        <w:rPr>
          <w:szCs w:val="18"/>
        </w:rPr>
        <w:t>.</w:t>
      </w:r>
      <w:proofErr w:type="gramEnd"/>
      <w:r w:rsidR="007B10A5" w:rsidRPr="00257118">
        <w:rPr>
          <w:szCs w:val="18"/>
        </w:rPr>
        <w:t xml:space="preserve"> </w:t>
      </w:r>
      <w:proofErr w:type="gramStart"/>
      <w:r w:rsidR="007B10A5" w:rsidRPr="00257118">
        <w:rPr>
          <w:szCs w:val="18"/>
        </w:rPr>
        <w:t>p.8; UK Prevent Strategy, para.</w:t>
      </w:r>
      <w:proofErr w:type="gramEnd"/>
      <w:r w:rsidR="007B10A5" w:rsidRPr="00257118">
        <w:rPr>
          <w:szCs w:val="18"/>
        </w:rPr>
        <w:t xml:space="preserve"> 3.25.</w:t>
      </w:r>
    </w:p>
  </w:footnote>
  <w:footnote w:id="105">
    <w:p w:rsidR="007B10A5" w:rsidRPr="00257118" w:rsidRDefault="00C769DD" w:rsidP="00C769DD">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Pr>
          <w:szCs w:val="18"/>
        </w:rPr>
        <w:t>HRC</w:t>
      </w:r>
      <w:r w:rsidR="007B10A5" w:rsidRPr="00257118">
        <w:rPr>
          <w:szCs w:val="18"/>
        </w:rPr>
        <w:t xml:space="preserve">, CCPR General Comment No. 18: Non-discrimination, 10 November 1989.  </w:t>
      </w:r>
    </w:p>
  </w:footnote>
  <w:footnote w:id="106">
    <w:p w:rsidR="007B10A5" w:rsidRPr="0072223B" w:rsidRDefault="00346543" w:rsidP="00346543">
      <w:pPr>
        <w:pStyle w:val="FootnoteText"/>
        <w:jc w:val="both"/>
        <w:rPr>
          <w:bCs/>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 xml:space="preserve">See Didier </w:t>
      </w:r>
      <w:proofErr w:type="spellStart"/>
      <w:r w:rsidR="007B10A5" w:rsidRPr="00257118">
        <w:rPr>
          <w:szCs w:val="18"/>
        </w:rPr>
        <w:t>Bigo</w:t>
      </w:r>
      <w:proofErr w:type="spellEnd"/>
      <w:r w:rsidR="007B10A5" w:rsidRPr="00257118">
        <w:rPr>
          <w:szCs w:val="18"/>
        </w:rPr>
        <w:t xml:space="preserve">, Laurent </w:t>
      </w:r>
      <w:proofErr w:type="spellStart"/>
      <w:r w:rsidR="007B10A5" w:rsidRPr="00257118">
        <w:rPr>
          <w:szCs w:val="18"/>
        </w:rPr>
        <w:t>Bonelli</w:t>
      </w:r>
      <w:proofErr w:type="spellEnd"/>
      <w:r w:rsidR="007B10A5" w:rsidRPr="00257118">
        <w:rPr>
          <w:szCs w:val="18"/>
        </w:rPr>
        <w:t xml:space="preserve">, Emmanuel-Pierre </w:t>
      </w:r>
      <w:proofErr w:type="spellStart"/>
      <w:r w:rsidR="007B10A5" w:rsidRPr="00257118">
        <w:rPr>
          <w:szCs w:val="18"/>
        </w:rPr>
        <w:t>Guittet</w:t>
      </w:r>
      <w:proofErr w:type="spellEnd"/>
      <w:r w:rsidR="007B10A5" w:rsidRPr="00257118">
        <w:rPr>
          <w:szCs w:val="18"/>
        </w:rPr>
        <w:t xml:space="preserve"> and Francesco </w:t>
      </w:r>
      <w:proofErr w:type="spellStart"/>
      <w:r w:rsidR="007B10A5" w:rsidRPr="00257118">
        <w:rPr>
          <w:szCs w:val="18"/>
        </w:rPr>
        <w:t>Ragazzi</w:t>
      </w:r>
      <w:proofErr w:type="spellEnd"/>
      <w:r w:rsidR="007B10A5" w:rsidRPr="00257118">
        <w:rPr>
          <w:szCs w:val="18"/>
        </w:rPr>
        <w:t>, “Preventing and countering youth radicalisation in the EU”, European Parliament, 2014, p. 27.</w:t>
      </w:r>
      <w:proofErr w:type="gramEnd"/>
      <w:r w:rsidR="007B10A5" w:rsidRPr="00257118">
        <w:rPr>
          <w:szCs w:val="18"/>
        </w:rPr>
        <w:t xml:space="preserve"> </w:t>
      </w:r>
      <w:proofErr w:type="gramStart"/>
      <w:r w:rsidR="007B10A5" w:rsidRPr="00257118">
        <w:rPr>
          <w:szCs w:val="18"/>
        </w:rPr>
        <w:t>See also “Muslim activists alarmed by the FBI’s new game-like counterterrorism program for kids”, Washington Post, 2 November 2015.</w:t>
      </w:r>
      <w:proofErr w:type="gramEnd"/>
    </w:p>
  </w:footnote>
  <w:footnote w:id="107">
    <w:p w:rsidR="007B10A5" w:rsidRPr="00257118" w:rsidRDefault="00346543" w:rsidP="00346543">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See the Channel Duty Guidance, Annex C, The Vulnerability Assessment Framework, </w:t>
      </w:r>
      <w:proofErr w:type="gramStart"/>
      <w:r w:rsidR="007B10A5" w:rsidRPr="00257118">
        <w:rPr>
          <w:szCs w:val="18"/>
        </w:rPr>
        <w:t>April</w:t>
      </w:r>
      <w:proofErr w:type="gramEnd"/>
      <w:r w:rsidR="007B10A5" w:rsidRPr="00257118">
        <w:rPr>
          <w:szCs w:val="18"/>
        </w:rPr>
        <w:t xml:space="preserve"> 2015. See also UK BBC Radio 4, “The Report: Changing Jihadi Minds”, aired on 3 December 2015, which – referring to the UK’s Channel Programme – notes that in the absence of official numbers, it is known that 7,000 individuals have been referred for possible mentoring, but that 80% were not ultimately deemed by panels to need mentoring. See: </w:t>
      </w:r>
      <w:hyperlink r:id="rId35" w:history="1">
        <w:r w:rsidR="007B10A5" w:rsidRPr="00257118">
          <w:rPr>
            <w:szCs w:val="18"/>
          </w:rPr>
          <w:t>http://www.bbc.co.uk/programmes/b06qmpr0</w:t>
        </w:r>
      </w:hyperlink>
      <w:r w:rsidR="007B10A5" w:rsidRPr="00257118">
        <w:rPr>
          <w:szCs w:val="18"/>
        </w:rPr>
        <w:t xml:space="preserve">, at 12:40. See also the figures provided by the NPCC to BBC Radio 4: 415 children under 10 and 1400 between 11 and 15, from April 2012 to December 2015 were referred to the Channel programme. See Today Programme, 21 January 2015, </w:t>
      </w:r>
      <w:hyperlink r:id="rId36" w:history="1">
        <w:r w:rsidR="007B10A5" w:rsidRPr="00257118">
          <w:rPr>
            <w:szCs w:val="18"/>
          </w:rPr>
          <w:t>http://www.bbc.co.uk/programmes/b06wg9dt</w:t>
        </w:r>
      </w:hyperlink>
      <w:r w:rsidR="007B10A5" w:rsidRPr="00257118">
        <w:rPr>
          <w:szCs w:val="18"/>
        </w:rPr>
        <w:t xml:space="preserve">, at 38:00. See also letter from ACLU to the Special Rapporteur, 24 December 2015, which notes that between 2007 and 2013, 2,653 people were referred to Channel; of these, roughly 57-67% of referrals each year were recorded as Muslim. </w:t>
      </w:r>
      <w:proofErr w:type="gramStart"/>
      <w:r w:rsidR="007B10A5" w:rsidRPr="00257118">
        <w:rPr>
          <w:szCs w:val="18"/>
        </w:rPr>
        <w:t>On file.</w:t>
      </w:r>
      <w:proofErr w:type="gramEnd"/>
      <w:r w:rsidR="007B10A5" w:rsidRPr="00257118">
        <w:rPr>
          <w:szCs w:val="18"/>
        </w:rPr>
        <w:t xml:space="preserve">  </w:t>
      </w:r>
    </w:p>
  </w:footnote>
  <w:footnote w:id="108">
    <w:p w:rsidR="007B10A5" w:rsidRPr="00257118" w:rsidRDefault="00346543" w:rsidP="00346543">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See France’s toll free number, </w:t>
      </w:r>
      <w:hyperlink r:id="rId37" w:history="1">
        <w:r w:rsidR="007B10A5" w:rsidRPr="00257118">
          <w:rPr>
            <w:szCs w:val="18"/>
          </w:rPr>
          <w:t>http://www.stopdjihadisme.gouv.fr/decrypter.html</w:t>
        </w:r>
      </w:hyperlink>
      <w:r w:rsidR="007B10A5" w:rsidRPr="00257118">
        <w:rPr>
          <w:szCs w:val="18"/>
        </w:rPr>
        <w:t xml:space="preserve">. </w:t>
      </w:r>
    </w:p>
  </w:footnote>
  <w:footnote w:id="109">
    <w:p w:rsidR="007B10A5" w:rsidRPr="00257118" w:rsidRDefault="00346543" w:rsidP="00346543">
      <w:pPr>
        <w:pStyle w:val="FootnoteText"/>
        <w:jc w:val="both"/>
        <w:rPr>
          <w:szCs w:val="18"/>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r w:rsidR="007B10A5" w:rsidRPr="00257118">
        <w:rPr>
          <w:szCs w:val="18"/>
        </w:rPr>
        <w:t xml:space="preserve">See e.g. The Guardian, Texas schoolboy handcuffed for bringing homemade clock to school, 15 September 2015, </w:t>
      </w:r>
      <w:hyperlink r:id="rId38" w:history="1">
        <w:r w:rsidR="007B10A5" w:rsidRPr="00257118">
          <w:rPr>
            <w:szCs w:val="18"/>
          </w:rPr>
          <w:t>http://www.theguardian.com/technology/2015/sep/16/sudanse-american-boy-handcuffed-homemade-clock-school</w:t>
        </w:r>
      </w:hyperlink>
      <w:r w:rsidR="007B10A5" w:rsidRPr="00257118">
        <w:rPr>
          <w:szCs w:val="18"/>
        </w:rPr>
        <w:t xml:space="preserve">. See also The Guardian, “School questioned Muslim pupil about Isis after discussion on eco-activism”, 21 September 2015, </w:t>
      </w:r>
      <w:hyperlink r:id="rId39" w:history="1">
        <w:r w:rsidR="007B10A5" w:rsidRPr="00257118">
          <w:rPr>
            <w:szCs w:val="18"/>
          </w:rPr>
          <w:t>http://www.theguardian.com/education/2015/sep/22/school-questioned-muslim-pupil-about-isis-after-discussion-on-eco-activism</w:t>
        </w:r>
      </w:hyperlink>
      <w:r w:rsidR="007B10A5" w:rsidRPr="00257118">
        <w:rPr>
          <w:szCs w:val="18"/>
        </w:rPr>
        <w:t>.  See also Institute for Race Relations, “Prevent and the Children’s Rights Convention”, January 2016.</w:t>
      </w:r>
    </w:p>
  </w:footnote>
  <w:footnote w:id="110">
    <w:p w:rsidR="007B10A5" w:rsidRPr="00257118" w:rsidRDefault="00346543" w:rsidP="00346543">
      <w:pPr>
        <w:pStyle w:val="FootnoteText"/>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See the letter signed by more than 40 academics: “PREVENT will have a chilling effect on open debate, free speech and political dissent”, available at: </w:t>
      </w:r>
      <w:hyperlink r:id="rId40" w:history="1">
        <w:r w:rsidR="007B10A5" w:rsidRPr="00257118">
          <w:rPr>
            <w:szCs w:val="18"/>
          </w:rPr>
          <w:t>http://www.independent.co.uk/voices/letters/prevent-will-have-a-chilling-effect-on-open-debate-free-speech-and-political-dissent-10381491.html</w:t>
        </w:r>
      </w:hyperlink>
      <w:r w:rsidR="007B10A5" w:rsidRPr="00257118">
        <w:rPr>
          <w:szCs w:val="18"/>
        </w:rPr>
        <w:t xml:space="preserve">. </w:t>
      </w:r>
    </w:p>
  </w:footnote>
  <w:footnote w:id="111">
    <w:p w:rsidR="007B10A5" w:rsidRPr="00257118" w:rsidRDefault="004B7529" w:rsidP="004B7529">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See The Guardian, “Schools monitoring pupils’ web use with ‘anti radicalization software’; 10 June 2015, </w:t>
      </w:r>
      <w:hyperlink r:id="rId41" w:history="1">
        <w:r w:rsidR="007B10A5" w:rsidRPr="00257118">
          <w:rPr>
            <w:szCs w:val="18"/>
          </w:rPr>
          <w:t>http://www.theguardian.com/uk-news/2015/jun/10/schools-trial-anti-radicalisation-software-pupils-internet</w:t>
        </w:r>
      </w:hyperlink>
      <w:r w:rsidR="007B10A5" w:rsidRPr="00257118">
        <w:rPr>
          <w:szCs w:val="18"/>
        </w:rPr>
        <w:t xml:space="preserve">; See also Ben Ferguson, “Is Your Child a Terrorist? UK Primary School Children Asked to Complete Radicalization Survey”, Vice News 29 May 2015); Alex </w:t>
      </w:r>
      <w:proofErr w:type="spellStart"/>
      <w:r w:rsidR="007B10A5" w:rsidRPr="00257118">
        <w:rPr>
          <w:szCs w:val="18"/>
        </w:rPr>
        <w:t>Bushill</w:t>
      </w:r>
      <w:proofErr w:type="spellEnd"/>
      <w:proofErr w:type="gramStart"/>
      <w:r w:rsidR="007B10A5" w:rsidRPr="00257118">
        <w:rPr>
          <w:szCs w:val="18"/>
        </w:rPr>
        <w:t>,‘Radicalisation</w:t>
      </w:r>
      <w:proofErr w:type="gramEnd"/>
      <w:r w:rsidR="007B10A5" w:rsidRPr="00257118">
        <w:rPr>
          <w:szCs w:val="18"/>
        </w:rPr>
        <w:t xml:space="preserve"> Risk’ Pupils in Waltham Forest Named, BBC News, 30 Nov. 2015. And ACLU letter, 23 Dec. 2015, on file. </w:t>
      </w:r>
    </w:p>
  </w:footnote>
  <w:footnote w:id="112">
    <w:p w:rsidR="007B10A5" w:rsidRPr="00257118" w:rsidRDefault="004B7529" w:rsidP="004B7529">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For a related issue, see e.g. </w:t>
      </w:r>
      <w:proofErr w:type="spellStart"/>
      <w:r w:rsidR="007B10A5" w:rsidRPr="00257118">
        <w:rPr>
          <w:szCs w:val="18"/>
        </w:rPr>
        <w:t>Shaheed</w:t>
      </w:r>
      <w:proofErr w:type="spellEnd"/>
      <w:r w:rsidR="007B10A5" w:rsidRPr="00257118">
        <w:rPr>
          <w:szCs w:val="18"/>
        </w:rPr>
        <w:t xml:space="preserve"> Fatima, </w:t>
      </w:r>
      <w:proofErr w:type="spellStart"/>
      <w:r w:rsidR="007B10A5" w:rsidRPr="00257118">
        <w:rPr>
          <w:szCs w:val="18"/>
        </w:rPr>
        <w:t>Deradicalization</w:t>
      </w:r>
      <w:proofErr w:type="spellEnd"/>
      <w:r w:rsidR="007B10A5" w:rsidRPr="00257118">
        <w:rPr>
          <w:szCs w:val="18"/>
        </w:rPr>
        <w:t xml:space="preserve">, Free Speech, and Academic Freedom, Just Security, 16 March 2015. See also The Times Higher Education, “Stop, Look Listen: the university’s role in counterterrorism”, 14 January 2014. </w:t>
      </w:r>
    </w:p>
  </w:footnote>
  <w:footnote w:id="113">
    <w:p w:rsidR="007B10A5" w:rsidRPr="00F6209D" w:rsidRDefault="004B7529" w:rsidP="004B7529">
      <w:pPr>
        <w:pStyle w:val="FootnoteText"/>
        <w:jc w:val="both"/>
        <w:rPr>
          <w:sz w:val="20"/>
        </w:rPr>
      </w:pPr>
      <w:r>
        <w:rPr>
          <w:szCs w:val="18"/>
          <w:vertAlign w:val="superscript"/>
        </w:rPr>
        <w:tab/>
      </w:r>
      <w:r w:rsidR="007B10A5" w:rsidRPr="004B7529">
        <w:rPr>
          <w:szCs w:val="18"/>
          <w:vertAlign w:val="superscript"/>
        </w:rPr>
        <w:footnoteRef/>
      </w:r>
      <w:r w:rsidR="007B10A5" w:rsidRPr="004B7529">
        <w:rPr>
          <w:szCs w:val="18"/>
          <w:vertAlign w:val="superscript"/>
        </w:rPr>
        <w:t xml:space="preserve"> </w:t>
      </w:r>
      <w:r>
        <w:rPr>
          <w:szCs w:val="18"/>
          <w:vertAlign w:val="superscript"/>
        </w:rPr>
        <w:tab/>
      </w:r>
      <w:proofErr w:type="gramStart"/>
      <w:r w:rsidR="007B10A5" w:rsidRPr="00257118">
        <w:rPr>
          <w:szCs w:val="18"/>
        </w:rPr>
        <w:t>Ibid.</w:t>
      </w:r>
      <w:proofErr w:type="gramEnd"/>
      <w:r w:rsidR="007B10A5" w:rsidRPr="00257118">
        <w:rPr>
          <w:szCs w:val="18"/>
        </w:rPr>
        <w:t xml:space="preserve"> See also The Guardian, “Rules to fight extremism ‘creating fear among teachers and pupils”, 12 January 2016.</w:t>
      </w:r>
      <w:r w:rsidR="007B10A5" w:rsidRPr="00F6209D">
        <w:rPr>
          <w:sz w:val="20"/>
        </w:rPr>
        <w:t xml:space="preserve"> </w:t>
      </w:r>
    </w:p>
  </w:footnote>
  <w:footnote w:id="114">
    <w:p w:rsidR="007B10A5" w:rsidRPr="00257118" w:rsidRDefault="004B7529" w:rsidP="004B7529">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A/67/357, para.</w:t>
      </w:r>
      <w:proofErr w:type="gramEnd"/>
      <w:r w:rsidR="007B10A5" w:rsidRPr="00257118">
        <w:rPr>
          <w:szCs w:val="18"/>
        </w:rPr>
        <w:t xml:space="preserve"> 36.</w:t>
      </w:r>
    </w:p>
  </w:footnote>
  <w:footnote w:id="115">
    <w:p w:rsidR="007B10A5" w:rsidRPr="00257118" w:rsidRDefault="004B7529" w:rsidP="004B7529">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UK BBC Radio 4, “The Report: Changing Jihadi Minds”, aired on 3 December 2015, at 13:59.</w:t>
      </w:r>
    </w:p>
  </w:footnote>
  <w:footnote w:id="116">
    <w:p w:rsidR="007B10A5" w:rsidRPr="00257118" w:rsidRDefault="004B7529" w:rsidP="004B7529">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See letter from the Brennan </w:t>
      </w:r>
      <w:proofErr w:type="spellStart"/>
      <w:r w:rsidR="007B10A5" w:rsidRPr="00257118">
        <w:rPr>
          <w:szCs w:val="18"/>
        </w:rPr>
        <w:t>Center</w:t>
      </w:r>
      <w:proofErr w:type="spellEnd"/>
      <w:r w:rsidR="007B10A5" w:rsidRPr="00257118">
        <w:rPr>
          <w:szCs w:val="18"/>
        </w:rPr>
        <w:t xml:space="preserve">, the ACLU and other civil society organisations on H.R. 2899, Countering Violent Extremism Act of 2015, dated 10 July 2015, </w:t>
      </w:r>
      <w:hyperlink r:id="rId42" w:history="1">
        <w:r w:rsidR="007B10A5" w:rsidRPr="00257118">
          <w:rPr>
            <w:szCs w:val="18"/>
          </w:rPr>
          <w:t>https://www.brennancenter.org/sites/default/files/analysis/071015%20Letter%20to%20H.%20Comm%20on%20Homeland%20Sec.%20Re.%20HR%202899%20%20.pdf</w:t>
        </w:r>
      </w:hyperlink>
      <w:r w:rsidR="007B10A5" w:rsidRPr="00257118">
        <w:rPr>
          <w:szCs w:val="18"/>
        </w:rPr>
        <w:t xml:space="preserve">. </w:t>
      </w:r>
    </w:p>
  </w:footnote>
  <w:footnote w:id="117">
    <w:p w:rsidR="007B10A5" w:rsidRPr="00257118" w:rsidRDefault="004B7529" w:rsidP="004B7529">
      <w:pPr>
        <w:pStyle w:val="FootnoteText"/>
        <w:jc w:val="both"/>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 xml:space="preserve">See ACLU et al, letter to Lisa Monaco, </w:t>
      </w:r>
      <w:proofErr w:type="spellStart"/>
      <w:r w:rsidR="007B10A5" w:rsidRPr="00257118">
        <w:rPr>
          <w:szCs w:val="18"/>
        </w:rPr>
        <w:t>op.cit</w:t>
      </w:r>
      <w:proofErr w:type="spellEnd"/>
      <w:r w:rsidR="007B10A5" w:rsidRPr="00257118">
        <w:rPr>
          <w:szCs w:val="18"/>
        </w:rPr>
        <w:t>, and ACLU, “Eye o</w:t>
      </w:r>
      <w:r w:rsidR="007B10A5">
        <w:rPr>
          <w:szCs w:val="18"/>
        </w:rPr>
        <w:t>n the FBI: San Francisco”, 2012</w:t>
      </w:r>
    </w:p>
  </w:footnote>
  <w:footnote w:id="118">
    <w:p w:rsidR="007B10A5" w:rsidRPr="009F7BE1" w:rsidRDefault="004B7529" w:rsidP="005B4236">
      <w:pPr>
        <w:pStyle w:val="FootnoteText"/>
        <w:rPr>
          <w:sz w:val="20"/>
        </w:rPr>
      </w:pPr>
      <w:r>
        <w:rPr>
          <w:szCs w:val="18"/>
        </w:rPr>
        <w:tab/>
      </w:r>
      <w:r w:rsidR="007B10A5" w:rsidRPr="00F27E8B">
        <w:rPr>
          <w:szCs w:val="18"/>
          <w:vertAlign w:val="superscript"/>
        </w:rPr>
        <w:footnoteRef/>
      </w:r>
      <w:r w:rsidR="007B10A5" w:rsidRPr="00257118">
        <w:rPr>
          <w:szCs w:val="18"/>
        </w:rPr>
        <w:t xml:space="preserve"> </w:t>
      </w:r>
      <w:r>
        <w:rPr>
          <w:szCs w:val="18"/>
        </w:rPr>
        <w:tab/>
      </w:r>
      <w:proofErr w:type="gramStart"/>
      <w:r w:rsidR="007B10A5" w:rsidRPr="00257118">
        <w:rPr>
          <w:szCs w:val="18"/>
        </w:rPr>
        <w:t>Michael Price, “Community Outreach or Intelligence Gathering?</w:t>
      </w:r>
      <w:proofErr w:type="gramEnd"/>
      <w:r w:rsidR="007B10A5" w:rsidRPr="00257118">
        <w:rPr>
          <w:szCs w:val="18"/>
        </w:rPr>
        <w:t xml:space="preserve"> A Closer Look at “Countering Violent Extremism” Programs”, Brennan </w:t>
      </w:r>
      <w:proofErr w:type="spellStart"/>
      <w:r w:rsidR="007B10A5" w:rsidRPr="00257118">
        <w:rPr>
          <w:szCs w:val="18"/>
        </w:rPr>
        <w:t>Center</w:t>
      </w:r>
      <w:proofErr w:type="spellEnd"/>
      <w:r w:rsidR="007B10A5" w:rsidRPr="00257118">
        <w:rPr>
          <w:szCs w:val="18"/>
        </w:rPr>
        <w:t xml:space="preserve"> for Justice at New York School of Law, Paul Thomas, </w:t>
      </w:r>
      <w:proofErr w:type="spellStart"/>
      <w:r w:rsidR="007B10A5" w:rsidRPr="00257118">
        <w:rPr>
          <w:szCs w:val="18"/>
        </w:rPr>
        <w:t>op.cit</w:t>
      </w:r>
      <w:proofErr w:type="spellEnd"/>
      <w:r w:rsidR="007B10A5" w:rsidRPr="00257118">
        <w:rPr>
          <w:szCs w:val="18"/>
        </w:rPr>
        <w:t xml:space="preserve"> and </w:t>
      </w:r>
      <w:proofErr w:type="spellStart"/>
      <w:r w:rsidR="007B10A5" w:rsidRPr="00257118">
        <w:rPr>
          <w:szCs w:val="18"/>
        </w:rPr>
        <w:t>Arun</w:t>
      </w:r>
      <w:proofErr w:type="spellEnd"/>
      <w:r w:rsidR="007B10A5" w:rsidRPr="00257118">
        <w:rPr>
          <w:szCs w:val="18"/>
        </w:rPr>
        <w:t xml:space="preserve"> </w:t>
      </w:r>
      <w:proofErr w:type="spellStart"/>
      <w:r w:rsidR="007B10A5" w:rsidRPr="00257118">
        <w:rPr>
          <w:szCs w:val="18"/>
        </w:rPr>
        <w:t>Kundnani</w:t>
      </w:r>
      <w:proofErr w:type="spellEnd"/>
      <w:r w:rsidR="007B10A5" w:rsidRPr="00257118">
        <w:rPr>
          <w:szCs w:val="18"/>
        </w:rPr>
        <w:t xml:space="preserve">, “Spooked!”, Chapter 6, </w:t>
      </w:r>
      <w:proofErr w:type="spellStart"/>
      <w:r w:rsidR="007B10A5" w:rsidRPr="00257118">
        <w:rPr>
          <w:szCs w:val="18"/>
        </w:rPr>
        <w:t>op.cit</w:t>
      </w:r>
      <w:proofErr w:type="spellEnd"/>
      <w:r w:rsidR="007B10A5" w:rsidRPr="00257118">
        <w:rPr>
          <w:szCs w:val="18"/>
        </w:rPr>
        <w:t xml:space="preserve">. See also UK BBC Radio 4, “The Report: Changing Jihadi Minds”, aired on 3 December 2015, see: </w:t>
      </w:r>
      <w:hyperlink r:id="rId43" w:history="1">
        <w:r w:rsidR="007B10A5" w:rsidRPr="00257118">
          <w:rPr>
            <w:szCs w:val="18"/>
          </w:rPr>
          <w:t>http://www.bbc.co.uk/programmes/b06qmpr0</w:t>
        </w:r>
      </w:hyperlink>
    </w:p>
  </w:footnote>
  <w:footnote w:id="119">
    <w:p w:rsidR="007B10A5" w:rsidRPr="00257118" w:rsidRDefault="005B4236" w:rsidP="005B4236">
      <w:pPr>
        <w:pStyle w:val="FootnoteText"/>
        <w:rPr>
          <w:szCs w:val="18"/>
        </w:rPr>
      </w:pPr>
      <w:r>
        <w:rPr>
          <w:szCs w:val="18"/>
        </w:rPr>
        <w:tab/>
      </w:r>
      <w:r w:rsidR="007B10A5" w:rsidRPr="00F27E8B">
        <w:rPr>
          <w:szCs w:val="18"/>
          <w:vertAlign w:val="superscript"/>
        </w:rPr>
        <w:footnoteRef/>
      </w:r>
      <w:r w:rsidR="007B10A5" w:rsidRPr="00257118">
        <w:rPr>
          <w:szCs w:val="18"/>
        </w:rPr>
        <w:t xml:space="preserve"> </w:t>
      </w:r>
      <w:r>
        <w:rPr>
          <w:szCs w:val="18"/>
        </w:rPr>
        <w:tab/>
      </w:r>
      <w:r w:rsidR="007B10A5" w:rsidRPr="00257118">
        <w:rPr>
          <w:szCs w:val="18"/>
        </w:rPr>
        <w:t>See UN General Assembly, Pillar I of the UN Global Counter-Terrorism Strategy and Plan of Action, A/60/288.</w:t>
      </w:r>
    </w:p>
  </w:footnote>
  <w:footnote w:id="120">
    <w:p w:rsidR="007B10A5" w:rsidRPr="00452258" w:rsidRDefault="005B4236" w:rsidP="005B4236">
      <w:pPr>
        <w:pStyle w:val="FootnoteText"/>
        <w:rPr>
          <w:sz w:val="20"/>
        </w:rPr>
      </w:pPr>
      <w:r>
        <w:rPr>
          <w:szCs w:val="18"/>
          <w:vertAlign w:val="superscript"/>
        </w:rPr>
        <w:tab/>
      </w:r>
      <w:r w:rsidR="007B10A5" w:rsidRPr="00F27E8B">
        <w:rPr>
          <w:szCs w:val="18"/>
          <w:vertAlign w:val="superscript"/>
        </w:rPr>
        <w:footnoteRef/>
      </w:r>
      <w:r w:rsidR="007B10A5" w:rsidRPr="00F27E8B">
        <w:rPr>
          <w:szCs w:val="18"/>
          <w:vertAlign w:val="superscript"/>
        </w:rPr>
        <w:t xml:space="preserve"> </w:t>
      </w:r>
      <w:r>
        <w:rPr>
          <w:szCs w:val="18"/>
          <w:vertAlign w:val="superscript"/>
        </w:rPr>
        <w:tab/>
      </w:r>
      <w:proofErr w:type="gramStart"/>
      <w:r w:rsidR="007B10A5" w:rsidRPr="00257118">
        <w:rPr>
          <w:szCs w:val="18"/>
        </w:rPr>
        <w:t>A/70/371.</w:t>
      </w:r>
      <w:proofErr w:type="gramEnd"/>
    </w:p>
  </w:footnote>
  <w:footnote w:id="121">
    <w:p w:rsidR="00650CF3" w:rsidRPr="00257118" w:rsidRDefault="005B4236" w:rsidP="005B4236">
      <w:pPr>
        <w:pStyle w:val="FootnoteText"/>
        <w:jc w:val="both"/>
        <w:rPr>
          <w:szCs w:val="18"/>
        </w:rPr>
      </w:pPr>
      <w:r>
        <w:rPr>
          <w:szCs w:val="18"/>
          <w:vertAlign w:val="superscript"/>
        </w:rPr>
        <w:tab/>
      </w:r>
      <w:r w:rsidR="00650CF3" w:rsidRPr="00F27E8B">
        <w:rPr>
          <w:szCs w:val="18"/>
          <w:vertAlign w:val="superscript"/>
        </w:rPr>
        <w:footnoteRef/>
      </w:r>
      <w:r w:rsidR="00650CF3" w:rsidRPr="00F27E8B">
        <w:rPr>
          <w:szCs w:val="18"/>
          <w:vertAlign w:val="superscript"/>
        </w:rPr>
        <w:t xml:space="preserve"> </w:t>
      </w:r>
      <w:r>
        <w:rPr>
          <w:szCs w:val="18"/>
          <w:vertAlign w:val="superscript"/>
        </w:rPr>
        <w:tab/>
      </w:r>
      <w:r w:rsidR="00650CF3" w:rsidRPr="00257118">
        <w:rPr>
          <w:szCs w:val="18"/>
        </w:rPr>
        <w:t xml:space="preserve">Most of this information is found in a letter from Jayne </w:t>
      </w:r>
      <w:proofErr w:type="spellStart"/>
      <w:r w:rsidR="00650CF3" w:rsidRPr="00257118">
        <w:rPr>
          <w:szCs w:val="18"/>
        </w:rPr>
        <w:t>Huckerby</w:t>
      </w:r>
      <w:proofErr w:type="spellEnd"/>
      <w:r w:rsidR="00650CF3" w:rsidRPr="00257118">
        <w:rPr>
          <w:szCs w:val="18"/>
        </w:rPr>
        <w:t xml:space="preserve"> to the Special Rapporteur, Ja</w:t>
      </w:r>
      <w:r w:rsidR="00650CF3">
        <w:rPr>
          <w:szCs w:val="18"/>
        </w:rPr>
        <w:t xml:space="preserve">nuary 2016, on file, as well as </w:t>
      </w:r>
      <w:r w:rsidR="00650CF3" w:rsidRPr="00257118">
        <w:rPr>
          <w:szCs w:val="18"/>
        </w:rPr>
        <w:t xml:space="preserve">various articles, including Jane </w:t>
      </w:r>
      <w:proofErr w:type="spellStart"/>
      <w:r w:rsidR="00650CF3" w:rsidRPr="00257118">
        <w:rPr>
          <w:szCs w:val="18"/>
        </w:rPr>
        <w:t>Huckerby</w:t>
      </w:r>
      <w:proofErr w:type="spellEnd"/>
      <w:r w:rsidR="00650CF3" w:rsidRPr="00257118">
        <w:rPr>
          <w:szCs w:val="18"/>
        </w:rPr>
        <w:t xml:space="preserve">, “Women and Preventing Violent Extremism: The U.S. and U.K. Experiences” (2012), and several publications on Just Security, available at: </w:t>
      </w:r>
      <w:hyperlink r:id="rId44" w:tgtFrame="_blank" w:history="1">
        <w:r w:rsidR="00650CF3" w:rsidRPr="00257118">
          <w:rPr>
            <w:szCs w:val="18"/>
          </w:rPr>
          <w:t>https://www.justsecurity.org/author/huckerbyjayne/</w:t>
        </w:r>
      </w:hyperlink>
    </w:p>
  </w:footnote>
  <w:footnote w:id="122">
    <w:p w:rsidR="00650CF3" w:rsidRPr="00792799" w:rsidRDefault="005B4236" w:rsidP="005B4236">
      <w:pPr>
        <w:pStyle w:val="FootnoteText"/>
        <w:jc w:val="both"/>
        <w:rPr>
          <w:szCs w:val="18"/>
          <w:lang w:val="es-ES"/>
        </w:rPr>
      </w:pPr>
      <w:r w:rsidRPr="00D44F11">
        <w:rPr>
          <w:szCs w:val="18"/>
        </w:rPr>
        <w:tab/>
      </w:r>
      <w:r w:rsidR="00650CF3" w:rsidRPr="00F27E8B">
        <w:rPr>
          <w:szCs w:val="18"/>
          <w:vertAlign w:val="superscript"/>
        </w:rPr>
        <w:footnoteRef/>
      </w:r>
      <w:r w:rsidR="00650CF3" w:rsidRPr="00792799">
        <w:rPr>
          <w:szCs w:val="18"/>
          <w:lang w:val="es-ES"/>
        </w:rPr>
        <w:t xml:space="preserve"> </w:t>
      </w:r>
      <w:r>
        <w:rPr>
          <w:szCs w:val="18"/>
          <w:lang w:val="es-ES"/>
        </w:rPr>
        <w:tab/>
      </w:r>
      <w:r w:rsidR="00650CF3" w:rsidRPr="00792799">
        <w:rPr>
          <w:szCs w:val="18"/>
          <w:lang w:val="es-ES"/>
        </w:rPr>
        <w:t>Para. 53.</w:t>
      </w:r>
    </w:p>
  </w:footnote>
  <w:footnote w:id="123">
    <w:p w:rsidR="00650CF3" w:rsidRPr="00792799" w:rsidRDefault="005B4236" w:rsidP="005B4236">
      <w:pPr>
        <w:pStyle w:val="FootnoteText"/>
        <w:jc w:val="both"/>
        <w:rPr>
          <w:szCs w:val="18"/>
          <w:lang w:val="es-ES"/>
        </w:rPr>
      </w:pPr>
      <w:r>
        <w:rPr>
          <w:szCs w:val="18"/>
          <w:vertAlign w:val="superscript"/>
          <w:lang w:val="es-ES"/>
        </w:rPr>
        <w:tab/>
      </w:r>
      <w:r w:rsidR="00650CF3" w:rsidRPr="00F27E8B">
        <w:rPr>
          <w:szCs w:val="18"/>
          <w:vertAlign w:val="superscript"/>
        </w:rPr>
        <w:footnoteRef/>
      </w:r>
      <w:r w:rsidR="00650CF3" w:rsidRPr="00792799">
        <w:rPr>
          <w:szCs w:val="18"/>
          <w:vertAlign w:val="superscript"/>
          <w:lang w:val="es-ES"/>
        </w:rPr>
        <w:t xml:space="preserve"> </w:t>
      </w:r>
      <w:r>
        <w:rPr>
          <w:szCs w:val="18"/>
          <w:vertAlign w:val="superscript"/>
          <w:lang w:val="es-ES"/>
        </w:rPr>
        <w:tab/>
      </w:r>
      <w:r w:rsidR="00650CF3" w:rsidRPr="00792799">
        <w:rPr>
          <w:szCs w:val="18"/>
          <w:lang w:val="es-ES"/>
        </w:rPr>
        <w:t xml:space="preserve">S/2015/203, paras. 82-85. </w:t>
      </w:r>
    </w:p>
  </w:footnote>
  <w:footnote w:id="124">
    <w:p w:rsidR="00650CF3" w:rsidRPr="005B4236" w:rsidRDefault="005B4236" w:rsidP="005B4236">
      <w:pPr>
        <w:pStyle w:val="FootnoteText"/>
        <w:jc w:val="both"/>
        <w:rPr>
          <w:sz w:val="20"/>
          <w:lang w:val="es-ES"/>
        </w:rPr>
      </w:pPr>
      <w:r>
        <w:rPr>
          <w:szCs w:val="18"/>
          <w:lang w:val="es-ES"/>
        </w:rPr>
        <w:tab/>
      </w:r>
      <w:r w:rsidR="00650CF3" w:rsidRPr="00897756">
        <w:rPr>
          <w:szCs w:val="18"/>
          <w:vertAlign w:val="superscript"/>
        </w:rPr>
        <w:footnoteRef/>
      </w:r>
      <w:r w:rsidR="00650CF3" w:rsidRPr="00792799">
        <w:rPr>
          <w:szCs w:val="18"/>
          <w:lang w:val="es-ES"/>
        </w:rPr>
        <w:t xml:space="preserve"> </w:t>
      </w:r>
      <w:r>
        <w:rPr>
          <w:szCs w:val="18"/>
          <w:lang w:val="es-ES"/>
        </w:rPr>
        <w:tab/>
      </w:r>
      <w:proofErr w:type="spellStart"/>
      <w:r w:rsidR="00650CF3" w:rsidRPr="00792799">
        <w:rPr>
          <w:szCs w:val="18"/>
          <w:lang w:val="es-ES"/>
        </w:rPr>
        <w:t>Resolution</w:t>
      </w:r>
      <w:proofErr w:type="spellEnd"/>
      <w:r w:rsidR="00650CF3" w:rsidRPr="00792799">
        <w:rPr>
          <w:szCs w:val="18"/>
          <w:lang w:val="es-ES"/>
        </w:rPr>
        <w:t xml:space="preserve"> 2242 (2015), paras. </w:t>
      </w:r>
      <w:r w:rsidR="00650CF3" w:rsidRPr="005B4236">
        <w:rPr>
          <w:szCs w:val="18"/>
          <w:lang w:val="es-ES"/>
        </w:rPr>
        <w:t>11-13.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0A5" w:rsidRPr="00FE4423" w:rsidRDefault="007B10A5">
    <w:pPr>
      <w:pStyle w:val="Header"/>
    </w:pPr>
    <w:r>
      <w:t>A/HRC/31/65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0A5" w:rsidRPr="00FE4423" w:rsidRDefault="007B10A5" w:rsidP="00FE4423">
    <w:pPr>
      <w:pStyle w:val="Header"/>
      <w:jc w:val="right"/>
    </w:pPr>
    <w:r>
      <w:t>A/HRC/31/65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864B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9C5621"/>
    <w:multiLevelType w:val="hybridMultilevel"/>
    <w:tmpl w:val="55B20B48"/>
    <w:lvl w:ilvl="0" w:tplc="2718265C">
      <w:start w:val="1"/>
      <w:numFmt w:val="decimal"/>
      <w:lvlText w:val="%1."/>
      <w:lvlJc w:val="left"/>
      <w:pPr>
        <w:ind w:left="2912" w:hanging="360"/>
      </w:pPr>
      <w:rPr>
        <w:b w:val="0"/>
        <w:lang w:val="en-U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4C072BF"/>
    <w:multiLevelType w:val="multilevel"/>
    <w:tmpl w:val="C9B0F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B125D25"/>
    <w:multiLevelType w:val="hybridMultilevel"/>
    <w:tmpl w:val="7C16C4BA"/>
    <w:lvl w:ilvl="0" w:tplc="29D679F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nsid w:val="0C5A7A02"/>
    <w:multiLevelType w:val="hybridMultilevel"/>
    <w:tmpl w:val="49A2568E"/>
    <w:lvl w:ilvl="0" w:tplc="2128507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0FF44825"/>
    <w:multiLevelType w:val="hybridMultilevel"/>
    <w:tmpl w:val="DECE10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0967AF7"/>
    <w:multiLevelType w:val="hybridMultilevel"/>
    <w:tmpl w:val="85383148"/>
    <w:lvl w:ilvl="0" w:tplc="1009000F">
      <w:start w:val="1"/>
      <w:numFmt w:val="decimal"/>
      <w:lvlText w:val="%1."/>
      <w:lvlJc w:val="left"/>
      <w:pPr>
        <w:ind w:left="644" w:hanging="360"/>
      </w:pPr>
      <w:rPr>
        <w:rFonts w:hint="default"/>
      </w:rPr>
    </w:lvl>
    <w:lvl w:ilvl="1" w:tplc="10090019">
      <w:start w:val="1"/>
      <w:numFmt w:val="lowerLetter"/>
      <w:lvlText w:val="%2."/>
      <w:lvlJc w:val="left"/>
      <w:pPr>
        <w:ind w:left="1156" w:hanging="360"/>
      </w:pPr>
    </w:lvl>
    <w:lvl w:ilvl="2" w:tplc="1009001B" w:tentative="1">
      <w:start w:val="1"/>
      <w:numFmt w:val="lowerRoman"/>
      <w:lvlText w:val="%3."/>
      <w:lvlJc w:val="right"/>
      <w:pPr>
        <w:ind w:left="1876" w:hanging="180"/>
      </w:pPr>
    </w:lvl>
    <w:lvl w:ilvl="3" w:tplc="1009000F" w:tentative="1">
      <w:start w:val="1"/>
      <w:numFmt w:val="decimal"/>
      <w:lvlText w:val="%4."/>
      <w:lvlJc w:val="left"/>
      <w:pPr>
        <w:ind w:left="2596" w:hanging="360"/>
      </w:pPr>
    </w:lvl>
    <w:lvl w:ilvl="4" w:tplc="10090019" w:tentative="1">
      <w:start w:val="1"/>
      <w:numFmt w:val="lowerLetter"/>
      <w:lvlText w:val="%5."/>
      <w:lvlJc w:val="left"/>
      <w:pPr>
        <w:ind w:left="3316" w:hanging="360"/>
      </w:pPr>
    </w:lvl>
    <w:lvl w:ilvl="5" w:tplc="1009001B" w:tentative="1">
      <w:start w:val="1"/>
      <w:numFmt w:val="lowerRoman"/>
      <w:lvlText w:val="%6."/>
      <w:lvlJc w:val="right"/>
      <w:pPr>
        <w:ind w:left="4036" w:hanging="180"/>
      </w:pPr>
    </w:lvl>
    <w:lvl w:ilvl="6" w:tplc="1009000F" w:tentative="1">
      <w:start w:val="1"/>
      <w:numFmt w:val="decimal"/>
      <w:lvlText w:val="%7."/>
      <w:lvlJc w:val="left"/>
      <w:pPr>
        <w:ind w:left="4756" w:hanging="360"/>
      </w:pPr>
    </w:lvl>
    <w:lvl w:ilvl="7" w:tplc="10090019" w:tentative="1">
      <w:start w:val="1"/>
      <w:numFmt w:val="lowerLetter"/>
      <w:lvlText w:val="%8."/>
      <w:lvlJc w:val="left"/>
      <w:pPr>
        <w:ind w:left="5476" w:hanging="360"/>
      </w:pPr>
    </w:lvl>
    <w:lvl w:ilvl="8" w:tplc="1009001B" w:tentative="1">
      <w:start w:val="1"/>
      <w:numFmt w:val="lowerRoman"/>
      <w:lvlText w:val="%9."/>
      <w:lvlJc w:val="right"/>
      <w:pPr>
        <w:ind w:left="6196" w:hanging="180"/>
      </w:pPr>
    </w:lvl>
  </w:abstractNum>
  <w:abstractNum w:abstractNumId="10">
    <w:nsid w:val="110B05F5"/>
    <w:multiLevelType w:val="hybridMultilevel"/>
    <w:tmpl w:val="37925798"/>
    <w:lvl w:ilvl="0" w:tplc="1009000F">
      <w:start w:val="1"/>
      <w:numFmt w:val="decimal"/>
      <w:lvlText w:val="%1."/>
      <w:lvlJc w:val="left"/>
      <w:pPr>
        <w:ind w:left="786" w:hanging="360"/>
      </w:pPr>
      <w:rPr>
        <w:rFonts w:hint="default"/>
      </w:rPr>
    </w:lvl>
    <w:lvl w:ilvl="1" w:tplc="10090019">
      <w:start w:val="1"/>
      <w:numFmt w:val="lowerLetter"/>
      <w:lvlText w:val="%2."/>
      <w:lvlJc w:val="left"/>
      <w:pPr>
        <w:ind w:left="2028" w:hanging="360"/>
      </w:pPr>
    </w:lvl>
    <w:lvl w:ilvl="2" w:tplc="1009001B" w:tentative="1">
      <w:start w:val="1"/>
      <w:numFmt w:val="lowerRoman"/>
      <w:lvlText w:val="%3."/>
      <w:lvlJc w:val="right"/>
      <w:pPr>
        <w:ind w:left="2748" w:hanging="180"/>
      </w:pPr>
    </w:lvl>
    <w:lvl w:ilvl="3" w:tplc="1009000F" w:tentative="1">
      <w:start w:val="1"/>
      <w:numFmt w:val="decimal"/>
      <w:lvlText w:val="%4."/>
      <w:lvlJc w:val="left"/>
      <w:pPr>
        <w:ind w:left="3468" w:hanging="360"/>
      </w:pPr>
    </w:lvl>
    <w:lvl w:ilvl="4" w:tplc="10090019" w:tentative="1">
      <w:start w:val="1"/>
      <w:numFmt w:val="lowerLetter"/>
      <w:lvlText w:val="%5."/>
      <w:lvlJc w:val="left"/>
      <w:pPr>
        <w:ind w:left="4188" w:hanging="360"/>
      </w:pPr>
    </w:lvl>
    <w:lvl w:ilvl="5" w:tplc="1009001B" w:tentative="1">
      <w:start w:val="1"/>
      <w:numFmt w:val="lowerRoman"/>
      <w:lvlText w:val="%6."/>
      <w:lvlJc w:val="right"/>
      <w:pPr>
        <w:ind w:left="4908" w:hanging="180"/>
      </w:pPr>
    </w:lvl>
    <w:lvl w:ilvl="6" w:tplc="1009000F" w:tentative="1">
      <w:start w:val="1"/>
      <w:numFmt w:val="decimal"/>
      <w:lvlText w:val="%7."/>
      <w:lvlJc w:val="left"/>
      <w:pPr>
        <w:ind w:left="5628" w:hanging="360"/>
      </w:pPr>
    </w:lvl>
    <w:lvl w:ilvl="7" w:tplc="10090019" w:tentative="1">
      <w:start w:val="1"/>
      <w:numFmt w:val="lowerLetter"/>
      <w:lvlText w:val="%8."/>
      <w:lvlJc w:val="left"/>
      <w:pPr>
        <w:ind w:left="6348" w:hanging="360"/>
      </w:pPr>
    </w:lvl>
    <w:lvl w:ilvl="8" w:tplc="1009001B" w:tentative="1">
      <w:start w:val="1"/>
      <w:numFmt w:val="lowerRoman"/>
      <w:lvlText w:val="%9."/>
      <w:lvlJc w:val="right"/>
      <w:pPr>
        <w:ind w:left="7068" w:hanging="180"/>
      </w:pPr>
    </w:lvl>
  </w:abstractNum>
  <w:abstractNum w:abstractNumId="11">
    <w:nsid w:val="1BA245FF"/>
    <w:multiLevelType w:val="hybridMultilevel"/>
    <w:tmpl w:val="85383148"/>
    <w:lvl w:ilvl="0" w:tplc="1009000F">
      <w:start w:val="1"/>
      <w:numFmt w:val="decimal"/>
      <w:lvlText w:val="%1."/>
      <w:lvlJc w:val="left"/>
      <w:pPr>
        <w:ind w:left="928"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AF32AA"/>
    <w:multiLevelType w:val="hybridMultilevel"/>
    <w:tmpl w:val="71F09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D558A0"/>
    <w:multiLevelType w:val="hybridMultilevel"/>
    <w:tmpl w:val="55CAA13E"/>
    <w:lvl w:ilvl="0" w:tplc="10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51D0329"/>
    <w:multiLevelType w:val="hybridMultilevel"/>
    <w:tmpl w:val="2468EAE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nsid w:val="263443B8"/>
    <w:multiLevelType w:val="hybridMultilevel"/>
    <w:tmpl w:val="66F0954C"/>
    <w:lvl w:ilvl="0" w:tplc="73CCC4FA">
      <w:start w:val="1"/>
      <w:numFmt w:val="decimal"/>
      <w:lvlText w:val="%1."/>
      <w:lvlJc w:val="left"/>
      <w:pPr>
        <w:ind w:left="1710" w:hanging="576"/>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nsid w:val="299C1301"/>
    <w:multiLevelType w:val="hybridMultilevel"/>
    <w:tmpl w:val="85383148"/>
    <w:lvl w:ilvl="0" w:tplc="1009000F">
      <w:start w:val="1"/>
      <w:numFmt w:val="decimal"/>
      <w:lvlText w:val="%1."/>
      <w:lvlJc w:val="left"/>
      <w:pPr>
        <w:ind w:left="928"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2B547747"/>
    <w:multiLevelType w:val="hybridMultilevel"/>
    <w:tmpl w:val="85383148"/>
    <w:lvl w:ilvl="0" w:tplc="1009000F">
      <w:start w:val="1"/>
      <w:numFmt w:val="decimal"/>
      <w:lvlText w:val="%1."/>
      <w:lvlJc w:val="left"/>
      <w:pPr>
        <w:ind w:left="1516" w:hanging="360"/>
      </w:pPr>
      <w:rPr>
        <w:rFonts w:hint="default"/>
      </w:rPr>
    </w:lvl>
    <w:lvl w:ilvl="1" w:tplc="10090019">
      <w:start w:val="1"/>
      <w:numFmt w:val="lowerLetter"/>
      <w:lvlText w:val="%2."/>
      <w:lvlJc w:val="left"/>
      <w:pPr>
        <w:ind w:left="2028" w:hanging="360"/>
      </w:pPr>
    </w:lvl>
    <w:lvl w:ilvl="2" w:tplc="1009001B" w:tentative="1">
      <w:start w:val="1"/>
      <w:numFmt w:val="lowerRoman"/>
      <w:lvlText w:val="%3."/>
      <w:lvlJc w:val="right"/>
      <w:pPr>
        <w:ind w:left="2748" w:hanging="180"/>
      </w:pPr>
    </w:lvl>
    <w:lvl w:ilvl="3" w:tplc="1009000F" w:tentative="1">
      <w:start w:val="1"/>
      <w:numFmt w:val="decimal"/>
      <w:lvlText w:val="%4."/>
      <w:lvlJc w:val="left"/>
      <w:pPr>
        <w:ind w:left="3468" w:hanging="360"/>
      </w:pPr>
    </w:lvl>
    <w:lvl w:ilvl="4" w:tplc="10090019" w:tentative="1">
      <w:start w:val="1"/>
      <w:numFmt w:val="lowerLetter"/>
      <w:lvlText w:val="%5."/>
      <w:lvlJc w:val="left"/>
      <w:pPr>
        <w:ind w:left="4188" w:hanging="360"/>
      </w:pPr>
    </w:lvl>
    <w:lvl w:ilvl="5" w:tplc="1009001B" w:tentative="1">
      <w:start w:val="1"/>
      <w:numFmt w:val="lowerRoman"/>
      <w:lvlText w:val="%6."/>
      <w:lvlJc w:val="right"/>
      <w:pPr>
        <w:ind w:left="4908" w:hanging="180"/>
      </w:pPr>
    </w:lvl>
    <w:lvl w:ilvl="6" w:tplc="1009000F" w:tentative="1">
      <w:start w:val="1"/>
      <w:numFmt w:val="decimal"/>
      <w:lvlText w:val="%7."/>
      <w:lvlJc w:val="left"/>
      <w:pPr>
        <w:ind w:left="5628" w:hanging="360"/>
      </w:pPr>
    </w:lvl>
    <w:lvl w:ilvl="7" w:tplc="10090019" w:tentative="1">
      <w:start w:val="1"/>
      <w:numFmt w:val="lowerLetter"/>
      <w:lvlText w:val="%8."/>
      <w:lvlJc w:val="left"/>
      <w:pPr>
        <w:ind w:left="6348" w:hanging="360"/>
      </w:pPr>
    </w:lvl>
    <w:lvl w:ilvl="8" w:tplc="1009001B" w:tentative="1">
      <w:start w:val="1"/>
      <w:numFmt w:val="lowerRoman"/>
      <w:lvlText w:val="%9."/>
      <w:lvlJc w:val="right"/>
      <w:pPr>
        <w:ind w:left="7068" w:hanging="180"/>
      </w:pPr>
    </w:lvl>
  </w:abstractNum>
  <w:abstractNum w:abstractNumId="19">
    <w:nsid w:val="2FEB1081"/>
    <w:multiLevelType w:val="hybridMultilevel"/>
    <w:tmpl w:val="C64860E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C45679"/>
    <w:multiLevelType w:val="hybridMultilevel"/>
    <w:tmpl w:val="98906B0E"/>
    <w:lvl w:ilvl="0" w:tplc="0809000F">
      <w:start w:val="1"/>
      <w:numFmt w:val="decimal"/>
      <w:lvlText w:val="%1."/>
      <w:lvlJc w:val="left"/>
      <w:pPr>
        <w:ind w:left="928" w:hanging="360"/>
      </w:pPr>
    </w:lvl>
    <w:lvl w:ilvl="1" w:tplc="560ED8BA">
      <w:start w:val="1"/>
      <w:numFmt w:val="lowerRoman"/>
      <w:lvlText w:val="%2)"/>
      <w:lvlJc w:val="left"/>
      <w:pPr>
        <w:ind w:left="2008" w:hanging="720"/>
      </w:pPr>
      <w:rPr>
        <w:rFont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nsid w:val="43931F13"/>
    <w:multiLevelType w:val="hybridMultilevel"/>
    <w:tmpl w:val="7972AF36"/>
    <w:lvl w:ilvl="0" w:tplc="0809000F">
      <w:start w:val="1"/>
      <w:numFmt w:val="decimal"/>
      <w:lvlText w:val="%1."/>
      <w:lvlJc w:val="left"/>
      <w:pPr>
        <w:ind w:left="360" w:hanging="360"/>
      </w:pPr>
      <w:rPr>
        <w:rFonts w:hint="default"/>
      </w:rPr>
    </w:lvl>
    <w:lvl w:ilvl="1" w:tplc="54243A9E">
      <w:start w:val="1"/>
      <w:numFmt w:val="decimal"/>
      <w:lvlText w:val="%2."/>
      <w:lvlJc w:val="left"/>
      <w:pPr>
        <w:ind w:left="1440" w:hanging="72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43DC1B3E"/>
    <w:multiLevelType w:val="hybridMultilevel"/>
    <w:tmpl w:val="ABFC5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9410CC"/>
    <w:multiLevelType w:val="hybridMultilevel"/>
    <w:tmpl w:val="025A99AC"/>
    <w:lvl w:ilvl="0" w:tplc="7A6E3FC0">
      <w:start w:val="1"/>
      <w:numFmt w:val="lowerRoman"/>
      <w:lvlText w:val="%1)"/>
      <w:lvlJc w:val="left"/>
      <w:pPr>
        <w:ind w:left="1266" w:hanging="720"/>
      </w:pPr>
      <w:rPr>
        <w:rFonts w:hint="default"/>
      </w:rPr>
    </w:lvl>
    <w:lvl w:ilvl="1" w:tplc="10090019" w:tentative="1">
      <w:start w:val="1"/>
      <w:numFmt w:val="lowerLetter"/>
      <w:lvlText w:val="%2."/>
      <w:lvlJc w:val="left"/>
      <w:pPr>
        <w:ind w:left="1626" w:hanging="360"/>
      </w:pPr>
    </w:lvl>
    <w:lvl w:ilvl="2" w:tplc="1009001B" w:tentative="1">
      <w:start w:val="1"/>
      <w:numFmt w:val="lowerRoman"/>
      <w:lvlText w:val="%3."/>
      <w:lvlJc w:val="right"/>
      <w:pPr>
        <w:ind w:left="2346" w:hanging="180"/>
      </w:pPr>
    </w:lvl>
    <w:lvl w:ilvl="3" w:tplc="1009000F" w:tentative="1">
      <w:start w:val="1"/>
      <w:numFmt w:val="decimal"/>
      <w:lvlText w:val="%4."/>
      <w:lvlJc w:val="left"/>
      <w:pPr>
        <w:ind w:left="3066" w:hanging="360"/>
      </w:pPr>
    </w:lvl>
    <w:lvl w:ilvl="4" w:tplc="10090019" w:tentative="1">
      <w:start w:val="1"/>
      <w:numFmt w:val="lowerLetter"/>
      <w:lvlText w:val="%5."/>
      <w:lvlJc w:val="left"/>
      <w:pPr>
        <w:ind w:left="3786" w:hanging="360"/>
      </w:pPr>
    </w:lvl>
    <w:lvl w:ilvl="5" w:tplc="1009001B" w:tentative="1">
      <w:start w:val="1"/>
      <w:numFmt w:val="lowerRoman"/>
      <w:lvlText w:val="%6."/>
      <w:lvlJc w:val="right"/>
      <w:pPr>
        <w:ind w:left="4506" w:hanging="180"/>
      </w:pPr>
    </w:lvl>
    <w:lvl w:ilvl="6" w:tplc="1009000F" w:tentative="1">
      <w:start w:val="1"/>
      <w:numFmt w:val="decimal"/>
      <w:lvlText w:val="%7."/>
      <w:lvlJc w:val="left"/>
      <w:pPr>
        <w:ind w:left="5226" w:hanging="360"/>
      </w:pPr>
    </w:lvl>
    <w:lvl w:ilvl="7" w:tplc="10090019" w:tentative="1">
      <w:start w:val="1"/>
      <w:numFmt w:val="lowerLetter"/>
      <w:lvlText w:val="%8."/>
      <w:lvlJc w:val="left"/>
      <w:pPr>
        <w:ind w:left="5946" w:hanging="360"/>
      </w:pPr>
    </w:lvl>
    <w:lvl w:ilvl="8" w:tplc="1009001B" w:tentative="1">
      <w:start w:val="1"/>
      <w:numFmt w:val="lowerRoman"/>
      <w:lvlText w:val="%9."/>
      <w:lvlJc w:val="right"/>
      <w:pPr>
        <w:ind w:left="6666" w:hanging="180"/>
      </w:pPr>
    </w:lvl>
  </w:abstractNum>
  <w:abstractNum w:abstractNumId="25">
    <w:nsid w:val="5F4070C7"/>
    <w:multiLevelType w:val="hybridMultilevel"/>
    <w:tmpl w:val="AD24F32C"/>
    <w:lvl w:ilvl="0" w:tplc="C148594A">
      <w:start w:val="1"/>
      <w:numFmt w:val="lowerLetter"/>
      <w:lvlText w:val="%1)"/>
      <w:lvlJc w:val="left"/>
      <w:pPr>
        <w:ind w:left="1437" w:hanging="360"/>
      </w:pPr>
      <w:rPr>
        <w:rFonts w:hint="default"/>
      </w:rPr>
    </w:lvl>
    <w:lvl w:ilvl="1" w:tplc="54243A9E">
      <w:start w:val="1"/>
      <w:numFmt w:val="decimal"/>
      <w:lvlText w:val="%2."/>
      <w:lvlJc w:val="left"/>
      <w:pPr>
        <w:ind w:left="2517" w:hanging="720"/>
      </w:pPr>
      <w:rPr>
        <w:rFonts w:hint="default"/>
      </w:rPr>
    </w:lvl>
    <w:lvl w:ilvl="2" w:tplc="1009001B" w:tentative="1">
      <w:start w:val="1"/>
      <w:numFmt w:val="lowerRoman"/>
      <w:lvlText w:val="%3."/>
      <w:lvlJc w:val="right"/>
      <w:pPr>
        <w:ind w:left="2877" w:hanging="180"/>
      </w:pPr>
    </w:lvl>
    <w:lvl w:ilvl="3" w:tplc="1009000F" w:tentative="1">
      <w:start w:val="1"/>
      <w:numFmt w:val="decimal"/>
      <w:lvlText w:val="%4."/>
      <w:lvlJc w:val="left"/>
      <w:pPr>
        <w:ind w:left="3597" w:hanging="360"/>
      </w:pPr>
    </w:lvl>
    <w:lvl w:ilvl="4" w:tplc="10090019" w:tentative="1">
      <w:start w:val="1"/>
      <w:numFmt w:val="lowerLetter"/>
      <w:lvlText w:val="%5."/>
      <w:lvlJc w:val="left"/>
      <w:pPr>
        <w:ind w:left="4317" w:hanging="360"/>
      </w:pPr>
    </w:lvl>
    <w:lvl w:ilvl="5" w:tplc="1009001B" w:tentative="1">
      <w:start w:val="1"/>
      <w:numFmt w:val="lowerRoman"/>
      <w:lvlText w:val="%6."/>
      <w:lvlJc w:val="right"/>
      <w:pPr>
        <w:ind w:left="5037" w:hanging="180"/>
      </w:pPr>
    </w:lvl>
    <w:lvl w:ilvl="6" w:tplc="1009000F" w:tentative="1">
      <w:start w:val="1"/>
      <w:numFmt w:val="decimal"/>
      <w:lvlText w:val="%7."/>
      <w:lvlJc w:val="left"/>
      <w:pPr>
        <w:ind w:left="5757" w:hanging="360"/>
      </w:pPr>
    </w:lvl>
    <w:lvl w:ilvl="7" w:tplc="10090019" w:tentative="1">
      <w:start w:val="1"/>
      <w:numFmt w:val="lowerLetter"/>
      <w:lvlText w:val="%8."/>
      <w:lvlJc w:val="left"/>
      <w:pPr>
        <w:ind w:left="6477" w:hanging="360"/>
      </w:pPr>
    </w:lvl>
    <w:lvl w:ilvl="8" w:tplc="1009001B" w:tentative="1">
      <w:start w:val="1"/>
      <w:numFmt w:val="lowerRoman"/>
      <w:lvlText w:val="%9."/>
      <w:lvlJc w:val="right"/>
      <w:pPr>
        <w:ind w:left="7197" w:hanging="180"/>
      </w:pPr>
    </w:lvl>
  </w:abstractNum>
  <w:abstractNum w:abstractNumId="26">
    <w:nsid w:val="675E4FE4"/>
    <w:multiLevelType w:val="hybridMultilevel"/>
    <w:tmpl w:val="184EB420"/>
    <w:lvl w:ilvl="0" w:tplc="5E88FB58">
      <w:start w:val="3"/>
      <w:numFmt w:val="bullet"/>
      <w:lvlText w:val="-"/>
      <w:lvlJc w:val="left"/>
      <w:pPr>
        <w:ind w:left="720" w:hanging="360"/>
      </w:pPr>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B821DFD"/>
    <w:multiLevelType w:val="hybridMultilevel"/>
    <w:tmpl w:val="2868AC0C"/>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749E1423"/>
    <w:multiLevelType w:val="hybridMultilevel"/>
    <w:tmpl w:val="11CC3578"/>
    <w:lvl w:ilvl="0" w:tplc="946691D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EB539AB"/>
    <w:multiLevelType w:val="hybridMultilevel"/>
    <w:tmpl w:val="7FAED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2"/>
  </w:num>
  <w:num w:numId="3">
    <w:abstractNumId w:val="29"/>
  </w:num>
  <w:num w:numId="4">
    <w:abstractNumId w:val="8"/>
  </w:num>
  <w:num w:numId="5">
    <w:abstractNumId w:val="1"/>
  </w:num>
  <w:num w:numId="6">
    <w:abstractNumId w:val="3"/>
  </w:num>
  <w:num w:numId="7">
    <w:abstractNumId w:val="27"/>
  </w:num>
  <w:num w:numId="8">
    <w:abstractNumId w:val="6"/>
  </w:num>
  <w:num w:numId="9">
    <w:abstractNumId w:val="10"/>
  </w:num>
  <w:num w:numId="10">
    <w:abstractNumId w:val="2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num>
  <w:num w:numId="14">
    <w:abstractNumId w:val="7"/>
  </w:num>
  <w:num w:numId="15">
    <w:abstractNumId w:val="30"/>
  </w:num>
  <w:num w:numId="16">
    <w:abstractNumId w:val="17"/>
  </w:num>
  <w:num w:numId="17">
    <w:abstractNumId w:val="18"/>
  </w:num>
  <w:num w:numId="18">
    <w:abstractNumId w:val="19"/>
  </w:num>
  <w:num w:numId="19">
    <w:abstractNumId w:val="26"/>
  </w:num>
  <w:num w:numId="20">
    <w:abstractNumId w:val="11"/>
  </w:num>
  <w:num w:numId="21">
    <w:abstractNumId w:val="25"/>
    <w:lvlOverride w:ilvl="0">
      <w:startOverride w:val="1"/>
    </w:lvlOverride>
  </w:num>
  <w:num w:numId="22">
    <w:abstractNumId w:val="9"/>
  </w:num>
  <w:num w:numId="23">
    <w:abstractNumId w:val="24"/>
  </w:num>
  <w:num w:numId="24">
    <w:abstractNumId w:val="14"/>
  </w:num>
  <w:num w:numId="25">
    <w:abstractNumId w:val="22"/>
  </w:num>
  <w:num w:numId="26">
    <w:abstractNumId w:val="31"/>
  </w:num>
  <w:num w:numId="27">
    <w:abstractNumId w:val="23"/>
  </w:num>
  <w:num w:numId="28">
    <w:abstractNumId w:val="21"/>
  </w:num>
  <w:num w:numId="29">
    <w:abstractNumId w:val="6"/>
    <w:lvlOverride w:ilvl="0">
      <w:startOverride w:val="1"/>
    </w:lvlOverride>
  </w:num>
  <w:num w:numId="30">
    <w:abstractNumId w:val="0"/>
  </w:num>
  <w:num w:numId="31">
    <w:abstractNumId w:val="2"/>
  </w:num>
  <w:num w:numId="32">
    <w:abstractNumId w:val="16"/>
  </w:num>
  <w:num w:numId="33">
    <w:abstractNumId w:val="15"/>
  </w:num>
  <w:num w:numId="34">
    <w:abstractNumId w:val="28"/>
  </w:num>
  <w:num w:numId="35">
    <w:abstractNumId w:val="13"/>
  </w:num>
  <w:num w:numId="3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23"/>
    <w:rsid w:val="00004930"/>
    <w:rsid w:val="00007F7F"/>
    <w:rsid w:val="000102A9"/>
    <w:rsid w:val="00022DB5"/>
    <w:rsid w:val="0002495D"/>
    <w:rsid w:val="000403D1"/>
    <w:rsid w:val="000449AA"/>
    <w:rsid w:val="00050F6B"/>
    <w:rsid w:val="00061660"/>
    <w:rsid w:val="000726AB"/>
    <w:rsid w:val="00072C8C"/>
    <w:rsid w:val="00073E70"/>
    <w:rsid w:val="0008627A"/>
    <w:rsid w:val="000876EB"/>
    <w:rsid w:val="00091120"/>
    <w:rsid w:val="00091419"/>
    <w:rsid w:val="0009214D"/>
    <w:rsid w:val="0009257B"/>
    <w:rsid w:val="000927DE"/>
    <w:rsid w:val="000931C0"/>
    <w:rsid w:val="000A63A1"/>
    <w:rsid w:val="000B175B"/>
    <w:rsid w:val="000B2D2A"/>
    <w:rsid w:val="000B3A0F"/>
    <w:rsid w:val="000B3A6F"/>
    <w:rsid w:val="000B4A3B"/>
    <w:rsid w:val="000C17CF"/>
    <w:rsid w:val="000C6015"/>
    <w:rsid w:val="000D1851"/>
    <w:rsid w:val="000D76ED"/>
    <w:rsid w:val="000E0415"/>
    <w:rsid w:val="000E3A8C"/>
    <w:rsid w:val="000E4B1E"/>
    <w:rsid w:val="000F0081"/>
    <w:rsid w:val="001002AD"/>
    <w:rsid w:val="00101D44"/>
    <w:rsid w:val="00104C7B"/>
    <w:rsid w:val="00110D6C"/>
    <w:rsid w:val="00114223"/>
    <w:rsid w:val="00123AF7"/>
    <w:rsid w:val="001366EB"/>
    <w:rsid w:val="001373C3"/>
    <w:rsid w:val="00140650"/>
    <w:rsid w:val="0014330E"/>
    <w:rsid w:val="00146D32"/>
    <w:rsid w:val="00147E21"/>
    <w:rsid w:val="001509BA"/>
    <w:rsid w:val="00152043"/>
    <w:rsid w:val="00156586"/>
    <w:rsid w:val="00157759"/>
    <w:rsid w:val="001623E9"/>
    <w:rsid w:val="00165BEC"/>
    <w:rsid w:val="0016711D"/>
    <w:rsid w:val="00176B03"/>
    <w:rsid w:val="00182CF8"/>
    <w:rsid w:val="001B08BD"/>
    <w:rsid w:val="001B3986"/>
    <w:rsid w:val="001B4B04"/>
    <w:rsid w:val="001B555C"/>
    <w:rsid w:val="001C6286"/>
    <w:rsid w:val="001C6663"/>
    <w:rsid w:val="001C7371"/>
    <w:rsid w:val="001C7895"/>
    <w:rsid w:val="001D1999"/>
    <w:rsid w:val="001D26DF"/>
    <w:rsid w:val="001D6EBF"/>
    <w:rsid w:val="001E2790"/>
    <w:rsid w:val="00210E8E"/>
    <w:rsid w:val="00211E0B"/>
    <w:rsid w:val="00211E72"/>
    <w:rsid w:val="00214047"/>
    <w:rsid w:val="00214386"/>
    <w:rsid w:val="0022130F"/>
    <w:rsid w:val="00227CE4"/>
    <w:rsid w:val="0023118B"/>
    <w:rsid w:val="00237785"/>
    <w:rsid w:val="002410DD"/>
    <w:rsid w:val="00241466"/>
    <w:rsid w:val="002436CF"/>
    <w:rsid w:val="0024376B"/>
    <w:rsid w:val="002510C9"/>
    <w:rsid w:val="00253D58"/>
    <w:rsid w:val="00262084"/>
    <w:rsid w:val="00266520"/>
    <w:rsid w:val="00274ADF"/>
    <w:rsid w:val="0027725F"/>
    <w:rsid w:val="00281A94"/>
    <w:rsid w:val="00295142"/>
    <w:rsid w:val="002B092B"/>
    <w:rsid w:val="002B1E14"/>
    <w:rsid w:val="002C21F0"/>
    <w:rsid w:val="002C58C4"/>
    <w:rsid w:val="002D33E7"/>
    <w:rsid w:val="002E0DA7"/>
    <w:rsid w:val="00306AF9"/>
    <w:rsid w:val="003107FA"/>
    <w:rsid w:val="00310863"/>
    <w:rsid w:val="0031115F"/>
    <w:rsid w:val="003132BD"/>
    <w:rsid w:val="00317884"/>
    <w:rsid w:val="00317977"/>
    <w:rsid w:val="003229D8"/>
    <w:rsid w:val="003314D1"/>
    <w:rsid w:val="00335A2F"/>
    <w:rsid w:val="0033755D"/>
    <w:rsid w:val="00341937"/>
    <w:rsid w:val="00344A34"/>
    <w:rsid w:val="00346543"/>
    <w:rsid w:val="003566C4"/>
    <w:rsid w:val="0035760B"/>
    <w:rsid w:val="00364DC0"/>
    <w:rsid w:val="0037067D"/>
    <w:rsid w:val="00382D10"/>
    <w:rsid w:val="00385794"/>
    <w:rsid w:val="0039277A"/>
    <w:rsid w:val="003972E0"/>
    <w:rsid w:val="003975ED"/>
    <w:rsid w:val="003B1F7C"/>
    <w:rsid w:val="003B26D6"/>
    <w:rsid w:val="003C2CC4"/>
    <w:rsid w:val="003D2B01"/>
    <w:rsid w:val="003D4B23"/>
    <w:rsid w:val="003D570B"/>
    <w:rsid w:val="003D5F5F"/>
    <w:rsid w:val="00404A25"/>
    <w:rsid w:val="0041713B"/>
    <w:rsid w:val="00424C80"/>
    <w:rsid w:val="0042704C"/>
    <w:rsid w:val="004306DD"/>
    <w:rsid w:val="004325CB"/>
    <w:rsid w:val="00433E90"/>
    <w:rsid w:val="00434B40"/>
    <w:rsid w:val="004433C8"/>
    <w:rsid w:val="0044503A"/>
    <w:rsid w:val="00445CA5"/>
    <w:rsid w:val="00446DE4"/>
    <w:rsid w:val="00447761"/>
    <w:rsid w:val="00451079"/>
    <w:rsid w:val="00451EC3"/>
    <w:rsid w:val="0045561B"/>
    <w:rsid w:val="00464BAD"/>
    <w:rsid w:val="00467B5F"/>
    <w:rsid w:val="004714BA"/>
    <w:rsid w:val="00471EAA"/>
    <w:rsid w:val="004721B1"/>
    <w:rsid w:val="00473439"/>
    <w:rsid w:val="004859EC"/>
    <w:rsid w:val="00496A15"/>
    <w:rsid w:val="004B30E5"/>
    <w:rsid w:val="004B7529"/>
    <w:rsid w:val="004B75D2"/>
    <w:rsid w:val="004D1140"/>
    <w:rsid w:val="004D1585"/>
    <w:rsid w:val="004D6AC4"/>
    <w:rsid w:val="004D6CB2"/>
    <w:rsid w:val="004E5700"/>
    <w:rsid w:val="004F2266"/>
    <w:rsid w:val="004F55ED"/>
    <w:rsid w:val="0050100F"/>
    <w:rsid w:val="0052176C"/>
    <w:rsid w:val="005261E5"/>
    <w:rsid w:val="00532283"/>
    <w:rsid w:val="005420F2"/>
    <w:rsid w:val="00542574"/>
    <w:rsid w:val="005436AB"/>
    <w:rsid w:val="00546DBF"/>
    <w:rsid w:val="00550996"/>
    <w:rsid w:val="00550FF2"/>
    <w:rsid w:val="00551199"/>
    <w:rsid w:val="00551827"/>
    <w:rsid w:val="00553D76"/>
    <w:rsid w:val="005552B5"/>
    <w:rsid w:val="0056117B"/>
    <w:rsid w:val="00571365"/>
    <w:rsid w:val="00590182"/>
    <w:rsid w:val="005906CE"/>
    <w:rsid w:val="005A1603"/>
    <w:rsid w:val="005A4761"/>
    <w:rsid w:val="005A5268"/>
    <w:rsid w:val="005B0F38"/>
    <w:rsid w:val="005B2760"/>
    <w:rsid w:val="005B3DB3"/>
    <w:rsid w:val="005B3EE0"/>
    <w:rsid w:val="005B4236"/>
    <w:rsid w:val="005B6E48"/>
    <w:rsid w:val="005D34BB"/>
    <w:rsid w:val="005E1712"/>
    <w:rsid w:val="005F5F87"/>
    <w:rsid w:val="006021A5"/>
    <w:rsid w:val="00611E71"/>
    <w:rsid w:val="00611FC4"/>
    <w:rsid w:val="00612F1C"/>
    <w:rsid w:val="00615566"/>
    <w:rsid w:val="006176FB"/>
    <w:rsid w:val="00620376"/>
    <w:rsid w:val="00627E61"/>
    <w:rsid w:val="00630538"/>
    <w:rsid w:val="00634D89"/>
    <w:rsid w:val="00640B26"/>
    <w:rsid w:val="00642A1B"/>
    <w:rsid w:val="00643AB0"/>
    <w:rsid w:val="00646425"/>
    <w:rsid w:val="00650CF3"/>
    <w:rsid w:val="00652210"/>
    <w:rsid w:val="00670741"/>
    <w:rsid w:val="006727A9"/>
    <w:rsid w:val="006738CA"/>
    <w:rsid w:val="00682DA4"/>
    <w:rsid w:val="00684CB6"/>
    <w:rsid w:val="00693791"/>
    <w:rsid w:val="0069683C"/>
    <w:rsid w:val="00696BD6"/>
    <w:rsid w:val="00696FAD"/>
    <w:rsid w:val="006A6B9D"/>
    <w:rsid w:val="006A7392"/>
    <w:rsid w:val="006B3189"/>
    <w:rsid w:val="006B45CF"/>
    <w:rsid w:val="006B68C8"/>
    <w:rsid w:val="006B7D65"/>
    <w:rsid w:val="006D5632"/>
    <w:rsid w:val="006D567A"/>
    <w:rsid w:val="006D6DA6"/>
    <w:rsid w:val="006E564B"/>
    <w:rsid w:val="006F13F0"/>
    <w:rsid w:val="006F5035"/>
    <w:rsid w:val="00702C87"/>
    <w:rsid w:val="007065EB"/>
    <w:rsid w:val="00707FAF"/>
    <w:rsid w:val="007170E3"/>
    <w:rsid w:val="00720183"/>
    <w:rsid w:val="00722F6A"/>
    <w:rsid w:val="00726074"/>
    <w:rsid w:val="0072620B"/>
    <w:rsid w:val="0072632A"/>
    <w:rsid w:val="00734811"/>
    <w:rsid w:val="0074200B"/>
    <w:rsid w:val="00752F7A"/>
    <w:rsid w:val="0075702E"/>
    <w:rsid w:val="007576DD"/>
    <w:rsid w:val="00766A3E"/>
    <w:rsid w:val="00767DA6"/>
    <w:rsid w:val="00772653"/>
    <w:rsid w:val="00776501"/>
    <w:rsid w:val="00785307"/>
    <w:rsid w:val="00787783"/>
    <w:rsid w:val="007A0053"/>
    <w:rsid w:val="007A6296"/>
    <w:rsid w:val="007B10A5"/>
    <w:rsid w:val="007B6BA5"/>
    <w:rsid w:val="007C1B62"/>
    <w:rsid w:val="007C3390"/>
    <w:rsid w:val="007C4F4B"/>
    <w:rsid w:val="007C6F83"/>
    <w:rsid w:val="007D295D"/>
    <w:rsid w:val="007D2CDC"/>
    <w:rsid w:val="007D49C2"/>
    <w:rsid w:val="007D5327"/>
    <w:rsid w:val="007F132D"/>
    <w:rsid w:val="007F6611"/>
    <w:rsid w:val="008000EA"/>
    <w:rsid w:val="00800EC5"/>
    <w:rsid w:val="00803F76"/>
    <w:rsid w:val="0081191D"/>
    <w:rsid w:val="008155C3"/>
    <w:rsid w:val="008175E9"/>
    <w:rsid w:val="008179C7"/>
    <w:rsid w:val="0082243E"/>
    <w:rsid w:val="008242D7"/>
    <w:rsid w:val="0083050A"/>
    <w:rsid w:val="00842CAD"/>
    <w:rsid w:val="00853002"/>
    <w:rsid w:val="00855077"/>
    <w:rsid w:val="00856CD2"/>
    <w:rsid w:val="00861BC6"/>
    <w:rsid w:val="00865A77"/>
    <w:rsid w:val="00871FD5"/>
    <w:rsid w:val="0087769D"/>
    <w:rsid w:val="00882F9C"/>
    <w:rsid w:val="0088422A"/>
    <w:rsid w:val="00890BDA"/>
    <w:rsid w:val="008979B1"/>
    <w:rsid w:val="008A08A3"/>
    <w:rsid w:val="008A396C"/>
    <w:rsid w:val="008A6B25"/>
    <w:rsid w:val="008A6C4F"/>
    <w:rsid w:val="008A7105"/>
    <w:rsid w:val="008B4160"/>
    <w:rsid w:val="008C1E4D"/>
    <w:rsid w:val="008E0367"/>
    <w:rsid w:val="008E0E46"/>
    <w:rsid w:val="008F1DD4"/>
    <w:rsid w:val="008F219A"/>
    <w:rsid w:val="008F288A"/>
    <w:rsid w:val="0090233A"/>
    <w:rsid w:val="0090452C"/>
    <w:rsid w:val="00905539"/>
    <w:rsid w:val="00907C3F"/>
    <w:rsid w:val="00910E90"/>
    <w:rsid w:val="009177EB"/>
    <w:rsid w:val="0092237C"/>
    <w:rsid w:val="00924A6A"/>
    <w:rsid w:val="0093707B"/>
    <w:rsid w:val="009400EB"/>
    <w:rsid w:val="009427E3"/>
    <w:rsid w:val="00952D9B"/>
    <w:rsid w:val="009540A9"/>
    <w:rsid w:val="00956D9B"/>
    <w:rsid w:val="00963CBA"/>
    <w:rsid w:val="009654B7"/>
    <w:rsid w:val="00991261"/>
    <w:rsid w:val="00992D44"/>
    <w:rsid w:val="00996AE6"/>
    <w:rsid w:val="009A0B83"/>
    <w:rsid w:val="009A0C1B"/>
    <w:rsid w:val="009B3048"/>
    <w:rsid w:val="009B3800"/>
    <w:rsid w:val="009B4B0E"/>
    <w:rsid w:val="009B6A9B"/>
    <w:rsid w:val="009C4DBC"/>
    <w:rsid w:val="009D22AC"/>
    <w:rsid w:val="009D50DB"/>
    <w:rsid w:val="009D700D"/>
    <w:rsid w:val="009E1C4E"/>
    <w:rsid w:val="009F299D"/>
    <w:rsid w:val="00A003B4"/>
    <w:rsid w:val="00A05E0B"/>
    <w:rsid w:val="00A11478"/>
    <w:rsid w:val="00A1427D"/>
    <w:rsid w:val="00A17286"/>
    <w:rsid w:val="00A20236"/>
    <w:rsid w:val="00A24456"/>
    <w:rsid w:val="00A3015C"/>
    <w:rsid w:val="00A36BC9"/>
    <w:rsid w:val="00A4634F"/>
    <w:rsid w:val="00A51CF3"/>
    <w:rsid w:val="00A52A19"/>
    <w:rsid w:val="00A5721D"/>
    <w:rsid w:val="00A62711"/>
    <w:rsid w:val="00A72DE1"/>
    <w:rsid w:val="00A72F22"/>
    <w:rsid w:val="00A748A6"/>
    <w:rsid w:val="00A8183E"/>
    <w:rsid w:val="00A82587"/>
    <w:rsid w:val="00A8769C"/>
    <w:rsid w:val="00A879A4"/>
    <w:rsid w:val="00A87E95"/>
    <w:rsid w:val="00A92E29"/>
    <w:rsid w:val="00AB156B"/>
    <w:rsid w:val="00AB2282"/>
    <w:rsid w:val="00AB2860"/>
    <w:rsid w:val="00AB3E2D"/>
    <w:rsid w:val="00AB5A74"/>
    <w:rsid w:val="00AB74E2"/>
    <w:rsid w:val="00AC44D3"/>
    <w:rsid w:val="00AC5065"/>
    <w:rsid w:val="00AC5E13"/>
    <w:rsid w:val="00AC7972"/>
    <w:rsid w:val="00AD09E9"/>
    <w:rsid w:val="00AD2393"/>
    <w:rsid w:val="00AD23B7"/>
    <w:rsid w:val="00AD6775"/>
    <w:rsid w:val="00AF0576"/>
    <w:rsid w:val="00AF0EEB"/>
    <w:rsid w:val="00AF3829"/>
    <w:rsid w:val="00AF3BBF"/>
    <w:rsid w:val="00AF6FDF"/>
    <w:rsid w:val="00B01219"/>
    <w:rsid w:val="00B037F0"/>
    <w:rsid w:val="00B13FAA"/>
    <w:rsid w:val="00B20264"/>
    <w:rsid w:val="00B2327D"/>
    <w:rsid w:val="00B2718F"/>
    <w:rsid w:val="00B30179"/>
    <w:rsid w:val="00B3317B"/>
    <w:rsid w:val="00B334DC"/>
    <w:rsid w:val="00B3458F"/>
    <w:rsid w:val="00B35C36"/>
    <w:rsid w:val="00B3631A"/>
    <w:rsid w:val="00B53013"/>
    <w:rsid w:val="00B67F5E"/>
    <w:rsid w:val="00B73E65"/>
    <w:rsid w:val="00B74F8E"/>
    <w:rsid w:val="00B77861"/>
    <w:rsid w:val="00B81E12"/>
    <w:rsid w:val="00B87110"/>
    <w:rsid w:val="00B97FA8"/>
    <w:rsid w:val="00BA1014"/>
    <w:rsid w:val="00BB0C2C"/>
    <w:rsid w:val="00BB3D11"/>
    <w:rsid w:val="00BB5179"/>
    <w:rsid w:val="00BB5B1A"/>
    <w:rsid w:val="00BB6BC6"/>
    <w:rsid w:val="00BC1385"/>
    <w:rsid w:val="00BC17E1"/>
    <w:rsid w:val="00BC74E9"/>
    <w:rsid w:val="00BD16E9"/>
    <w:rsid w:val="00BD3784"/>
    <w:rsid w:val="00BD4DEA"/>
    <w:rsid w:val="00BD5B71"/>
    <w:rsid w:val="00BE425E"/>
    <w:rsid w:val="00BE618E"/>
    <w:rsid w:val="00BF1BF0"/>
    <w:rsid w:val="00BF70D4"/>
    <w:rsid w:val="00C06518"/>
    <w:rsid w:val="00C14819"/>
    <w:rsid w:val="00C23547"/>
    <w:rsid w:val="00C24693"/>
    <w:rsid w:val="00C25045"/>
    <w:rsid w:val="00C30508"/>
    <w:rsid w:val="00C3159C"/>
    <w:rsid w:val="00C35F0B"/>
    <w:rsid w:val="00C401CC"/>
    <w:rsid w:val="00C4521D"/>
    <w:rsid w:val="00C463DD"/>
    <w:rsid w:val="00C552C7"/>
    <w:rsid w:val="00C637FB"/>
    <w:rsid w:val="00C6422E"/>
    <w:rsid w:val="00C64458"/>
    <w:rsid w:val="00C7257A"/>
    <w:rsid w:val="00C745C3"/>
    <w:rsid w:val="00C74E4E"/>
    <w:rsid w:val="00C76369"/>
    <w:rsid w:val="00C769DD"/>
    <w:rsid w:val="00C77C66"/>
    <w:rsid w:val="00C91207"/>
    <w:rsid w:val="00C96919"/>
    <w:rsid w:val="00CA130E"/>
    <w:rsid w:val="00CA2A58"/>
    <w:rsid w:val="00CB0F28"/>
    <w:rsid w:val="00CC0B55"/>
    <w:rsid w:val="00CC7A89"/>
    <w:rsid w:val="00CD6995"/>
    <w:rsid w:val="00CE4A8F"/>
    <w:rsid w:val="00CF009D"/>
    <w:rsid w:val="00CF0214"/>
    <w:rsid w:val="00CF586F"/>
    <w:rsid w:val="00CF60D0"/>
    <w:rsid w:val="00CF7D43"/>
    <w:rsid w:val="00D00963"/>
    <w:rsid w:val="00D0628C"/>
    <w:rsid w:val="00D11129"/>
    <w:rsid w:val="00D2031B"/>
    <w:rsid w:val="00D22332"/>
    <w:rsid w:val="00D226FD"/>
    <w:rsid w:val="00D25F14"/>
    <w:rsid w:val="00D25FE2"/>
    <w:rsid w:val="00D32ED9"/>
    <w:rsid w:val="00D34D0A"/>
    <w:rsid w:val="00D35B50"/>
    <w:rsid w:val="00D43252"/>
    <w:rsid w:val="00D44F11"/>
    <w:rsid w:val="00D45204"/>
    <w:rsid w:val="00D50390"/>
    <w:rsid w:val="00D521D9"/>
    <w:rsid w:val="00D550F9"/>
    <w:rsid w:val="00D572B0"/>
    <w:rsid w:val="00D62E90"/>
    <w:rsid w:val="00D7294B"/>
    <w:rsid w:val="00D76BE5"/>
    <w:rsid w:val="00D80365"/>
    <w:rsid w:val="00D93EED"/>
    <w:rsid w:val="00D978C6"/>
    <w:rsid w:val="00DA0D2A"/>
    <w:rsid w:val="00DA67AD"/>
    <w:rsid w:val="00DB0F16"/>
    <w:rsid w:val="00DB18CE"/>
    <w:rsid w:val="00DC5406"/>
    <w:rsid w:val="00DC7427"/>
    <w:rsid w:val="00DD1962"/>
    <w:rsid w:val="00DD302E"/>
    <w:rsid w:val="00DD4A8C"/>
    <w:rsid w:val="00DD590B"/>
    <w:rsid w:val="00DE1E23"/>
    <w:rsid w:val="00DE3EC0"/>
    <w:rsid w:val="00DE47CD"/>
    <w:rsid w:val="00DF02AB"/>
    <w:rsid w:val="00DF0C12"/>
    <w:rsid w:val="00DF6872"/>
    <w:rsid w:val="00E001AC"/>
    <w:rsid w:val="00E10EA3"/>
    <w:rsid w:val="00E11593"/>
    <w:rsid w:val="00E12B6B"/>
    <w:rsid w:val="00E130AB"/>
    <w:rsid w:val="00E13168"/>
    <w:rsid w:val="00E3792E"/>
    <w:rsid w:val="00E4000E"/>
    <w:rsid w:val="00E438D9"/>
    <w:rsid w:val="00E54928"/>
    <w:rsid w:val="00E5644E"/>
    <w:rsid w:val="00E7260F"/>
    <w:rsid w:val="00E806EE"/>
    <w:rsid w:val="00E839F6"/>
    <w:rsid w:val="00E872DA"/>
    <w:rsid w:val="00E90D5C"/>
    <w:rsid w:val="00E96630"/>
    <w:rsid w:val="00E96E1B"/>
    <w:rsid w:val="00EB0FB9"/>
    <w:rsid w:val="00EB4E6E"/>
    <w:rsid w:val="00ED0CA9"/>
    <w:rsid w:val="00ED19C3"/>
    <w:rsid w:val="00ED7A2A"/>
    <w:rsid w:val="00EF1D7F"/>
    <w:rsid w:val="00EF2003"/>
    <w:rsid w:val="00EF3D2F"/>
    <w:rsid w:val="00EF5BDB"/>
    <w:rsid w:val="00EF7ED6"/>
    <w:rsid w:val="00F0065C"/>
    <w:rsid w:val="00F0289C"/>
    <w:rsid w:val="00F02F56"/>
    <w:rsid w:val="00F07FD9"/>
    <w:rsid w:val="00F15B1E"/>
    <w:rsid w:val="00F1691B"/>
    <w:rsid w:val="00F20388"/>
    <w:rsid w:val="00F23933"/>
    <w:rsid w:val="00F24119"/>
    <w:rsid w:val="00F40E75"/>
    <w:rsid w:val="00F42CD9"/>
    <w:rsid w:val="00F433C4"/>
    <w:rsid w:val="00F4394C"/>
    <w:rsid w:val="00F52936"/>
    <w:rsid w:val="00F54410"/>
    <w:rsid w:val="00F62FDC"/>
    <w:rsid w:val="00F677CB"/>
    <w:rsid w:val="00F7082A"/>
    <w:rsid w:val="00F7156E"/>
    <w:rsid w:val="00F7621D"/>
    <w:rsid w:val="00F76455"/>
    <w:rsid w:val="00F778C3"/>
    <w:rsid w:val="00FA0B74"/>
    <w:rsid w:val="00FA5F94"/>
    <w:rsid w:val="00FA7DF3"/>
    <w:rsid w:val="00FB7E98"/>
    <w:rsid w:val="00FC5903"/>
    <w:rsid w:val="00FC634B"/>
    <w:rsid w:val="00FC68B7"/>
    <w:rsid w:val="00FD06BE"/>
    <w:rsid w:val="00FD1F38"/>
    <w:rsid w:val="00FD2614"/>
    <w:rsid w:val="00FD7C12"/>
    <w:rsid w:val="00FE4423"/>
    <w:rsid w:val="00FF1665"/>
    <w:rsid w:val="00FF4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link w:val="BVIfnr"/>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stile 1"/>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FE4423"/>
    <w:pPr>
      <w:suppressAutoHyphens/>
      <w:spacing w:line="240" w:lineRule="atLeast"/>
      <w:outlineLvl w:val="0"/>
    </w:pPr>
    <w:rPr>
      <w:rFonts w:eastAsia="Arial Unicode MS"/>
      <w:color w:val="000000"/>
      <w:u w:color="000000"/>
    </w:rPr>
  </w:style>
  <w:style w:type="numbering" w:customStyle="1" w:styleId="NoList1">
    <w:name w:val="No List1"/>
    <w:next w:val="NoList"/>
    <w:uiPriority w:val="99"/>
    <w:semiHidden/>
    <w:unhideWhenUsed/>
    <w:rsid w:val="00FE4423"/>
  </w:style>
  <w:style w:type="character" w:customStyle="1" w:styleId="Heading1Char">
    <w:name w:val="Heading 1 Char"/>
    <w:aliases w:val="Table_G Char"/>
    <w:link w:val="Heading1"/>
    <w:uiPriority w:val="9"/>
    <w:rsid w:val="00FE4423"/>
    <w:rPr>
      <w:lang w:eastAsia="en-US"/>
    </w:rPr>
  </w:style>
  <w:style w:type="character" w:customStyle="1" w:styleId="Heading2Char">
    <w:name w:val="Heading 2 Char"/>
    <w:link w:val="Heading2"/>
    <w:uiPriority w:val="9"/>
    <w:rsid w:val="00FE4423"/>
    <w:rPr>
      <w:lang w:eastAsia="en-US"/>
    </w:rPr>
  </w:style>
  <w:style w:type="paragraph" w:customStyle="1" w:styleId="MediumList2-Accent41">
    <w:name w:val="Medium List 2 - Accent 41"/>
    <w:basedOn w:val="Normal"/>
    <w:uiPriority w:val="34"/>
    <w:qFormat/>
    <w:rsid w:val="00FE4423"/>
    <w:pPr>
      <w:suppressAutoHyphens w:val="0"/>
      <w:spacing w:after="200" w:line="276" w:lineRule="auto"/>
      <w:ind w:left="720"/>
      <w:contextualSpacing/>
    </w:pPr>
    <w:rPr>
      <w:rFonts w:ascii="Cambria" w:eastAsia="Cambria" w:hAnsi="Cambria"/>
      <w:sz w:val="22"/>
      <w:szCs w:val="22"/>
      <w:lang w:val="en-CA"/>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link w:val="FootnoteText"/>
    <w:uiPriority w:val="99"/>
    <w:rsid w:val="00FE4423"/>
    <w:rPr>
      <w:sz w:val="18"/>
      <w:lang w:eastAsia="en-US"/>
    </w:rPr>
  </w:style>
  <w:style w:type="character" w:styleId="CommentReference">
    <w:name w:val="annotation reference"/>
    <w:uiPriority w:val="99"/>
    <w:unhideWhenUsed/>
    <w:rsid w:val="00FE4423"/>
    <w:rPr>
      <w:sz w:val="16"/>
      <w:szCs w:val="16"/>
    </w:rPr>
  </w:style>
  <w:style w:type="paragraph" w:styleId="CommentText">
    <w:name w:val="annotation text"/>
    <w:basedOn w:val="Normal"/>
    <w:link w:val="CommentTextChar"/>
    <w:uiPriority w:val="99"/>
    <w:unhideWhenUsed/>
    <w:rsid w:val="00FE4423"/>
    <w:pPr>
      <w:suppressAutoHyphens w:val="0"/>
      <w:spacing w:after="200" w:line="240" w:lineRule="auto"/>
    </w:pPr>
    <w:rPr>
      <w:rFonts w:ascii="Cambria" w:eastAsia="Cambria" w:hAnsi="Cambria"/>
      <w:lang w:val="en-CA"/>
    </w:rPr>
  </w:style>
  <w:style w:type="character" w:customStyle="1" w:styleId="CommentTextChar">
    <w:name w:val="Comment Text Char"/>
    <w:link w:val="CommentText"/>
    <w:uiPriority w:val="99"/>
    <w:rsid w:val="00FE4423"/>
    <w:rPr>
      <w:rFonts w:ascii="Cambria" w:eastAsia="Cambria" w:hAnsi="Cambria"/>
      <w:lang w:val="en-CA" w:eastAsia="en-US"/>
    </w:rPr>
  </w:style>
  <w:style w:type="paragraph" w:customStyle="1" w:styleId="TOC11">
    <w:name w:val="TOC 11"/>
    <w:basedOn w:val="Normal"/>
    <w:next w:val="Normal"/>
    <w:autoRedefine/>
    <w:uiPriority w:val="39"/>
    <w:unhideWhenUsed/>
    <w:rsid w:val="00FE4423"/>
    <w:pPr>
      <w:suppressAutoHyphens w:val="0"/>
      <w:spacing w:before="360" w:line="276" w:lineRule="auto"/>
    </w:pPr>
    <w:rPr>
      <w:rFonts w:ascii="Calibri" w:eastAsia="Cambria" w:hAnsi="Calibri"/>
      <w:b/>
      <w:bCs/>
      <w:caps/>
      <w:sz w:val="24"/>
      <w:szCs w:val="24"/>
      <w:lang w:val="en-CA"/>
    </w:rPr>
  </w:style>
  <w:style w:type="paragraph" w:styleId="TOC2">
    <w:name w:val="toc 2"/>
    <w:basedOn w:val="Normal"/>
    <w:next w:val="Normal"/>
    <w:autoRedefine/>
    <w:uiPriority w:val="39"/>
    <w:unhideWhenUsed/>
    <w:rsid w:val="00FE4423"/>
    <w:pPr>
      <w:suppressAutoHyphens w:val="0"/>
      <w:spacing w:before="240" w:line="276" w:lineRule="auto"/>
    </w:pPr>
    <w:rPr>
      <w:rFonts w:ascii="Cambria" w:eastAsia="Cambria" w:hAnsi="Cambria"/>
      <w:b/>
      <w:bCs/>
      <w:lang w:val="en-CA"/>
    </w:rPr>
  </w:style>
  <w:style w:type="paragraph" w:styleId="BalloonText">
    <w:name w:val="Balloon Text"/>
    <w:basedOn w:val="Normal"/>
    <w:link w:val="BalloonTextChar"/>
    <w:uiPriority w:val="99"/>
    <w:unhideWhenUsed/>
    <w:rsid w:val="00FE4423"/>
    <w:pPr>
      <w:suppressAutoHyphens w:val="0"/>
      <w:spacing w:line="240" w:lineRule="auto"/>
    </w:pPr>
    <w:rPr>
      <w:rFonts w:ascii="Tahoma" w:eastAsia="Cambria" w:hAnsi="Tahoma" w:cs="Tahoma"/>
      <w:sz w:val="16"/>
      <w:szCs w:val="16"/>
      <w:lang w:val="en-CA"/>
    </w:rPr>
  </w:style>
  <w:style w:type="character" w:customStyle="1" w:styleId="BalloonTextChar">
    <w:name w:val="Balloon Text Char"/>
    <w:link w:val="BalloonText"/>
    <w:uiPriority w:val="99"/>
    <w:rsid w:val="00FE4423"/>
    <w:rPr>
      <w:rFonts w:ascii="Tahoma" w:eastAsia="Cambria" w:hAnsi="Tahoma" w:cs="Tahoma"/>
      <w:sz w:val="16"/>
      <w:szCs w:val="16"/>
      <w:lang w:val="en-CA" w:eastAsia="en-US"/>
    </w:rPr>
  </w:style>
  <w:style w:type="paragraph" w:customStyle="1" w:styleId="Revision1">
    <w:name w:val="Revision1"/>
    <w:next w:val="MediumList1-Accent41"/>
    <w:hidden/>
    <w:uiPriority w:val="99"/>
    <w:semiHidden/>
    <w:rsid w:val="00FE4423"/>
    <w:rPr>
      <w:rFonts w:ascii="Cambria" w:eastAsia="Cambria" w:hAnsi="Cambria"/>
      <w:sz w:val="22"/>
      <w:szCs w:val="22"/>
      <w:lang w:val="en-CA" w:eastAsia="en-US"/>
    </w:rPr>
  </w:style>
  <w:style w:type="paragraph" w:styleId="CommentSubject">
    <w:name w:val="annotation subject"/>
    <w:basedOn w:val="CommentText"/>
    <w:next w:val="CommentText"/>
    <w:link w:val="CommentSubjectChar"/>
    <w:uiPriority w:val="99"/>
    <w:unhideWhenUsed/>
    <w:rsid w:val="00FE4423"/>
    <w:rPr>
      <w:b/>
      <w:bCs/>
    </w:rPr>
  </w:style>
  <w:style w:type="character" w:customStyle="1" w:styleId="CommentSubjectChar">
    <w:name w:val="Comment Subject Char"/>
    <w:link w:val="CommentSubject"/>
    <w:uiPriority w:val="99"/>
    <w:rsid w:val="00FE4423"/>
    <w:rPr>
      <w:rFonts w:ascii="Cambria" w:eastAsia="Cambria" w:hAnsi="Cambria"/>
      <w:b/>
      <w:bCs/>
      <w:lang w:val="en-CA" w:eastAsia="en-US"/>
    </w:rPr>
  </w:style>
  <w:style w:type="paragraph" w:customStyle="1" w:styleId="NoSpacing1">
    <w:name w:val="No Spacing1"/>
    <w:next w:val="ColorfulList-Accent21"/>
    <w:uiPriority w:val="1"/>
    <w:qFormat/>
    <w:rsid w:val="00FE4423"/>
    <w:rPr>
      <w:rFonts w:ascii="Cambria" w:eastAsia="Cambria" w:hAnsi="Cambria"/>
      <w:sz w:val="22"/>
      <w:szCs w:val="22"/>
      <w:lang w:val="en-CA" w:eastAsia="en-US"/>
    </w:rPr>
  </w:style>
  <w:style w:type="character" w:styleId="Emphasis">
    <w:name w:val="Emphasis"/>
    <w:uiPriority w:val="20"/>
    <w:qFormat/>
    <w:rsid w:val="00FE4423"/>
    <w:rPr>
      <w:i/>
      <w:iCs/>
    </w:rPr>
  </w:style>
  <w:style w:type="character" w:customStyle="1" w:styleId="apple-converted-space">
    <w:name w:val="apple-converted-space"/>
    <w:rsid w:val="00FE4423"/>
  </w:style>
  <w:style w:type="paragraph" w:customStyle="1" w:styleId="TOCHeading1">
    <w:name w:val="TOC Heading1"/>
    <w:basedOn w:val="Heading1"/>
    <w:next w:val="Normal"/>
    <w:uiPriority w:val="39"/>
    <w:unhideWhenUsed/>
    <w:qFormat/>
    <w:rsid w:val="00FE4423"/>
    <w:pPr>
      <w:keepNext/>
      <w:keepLines/>
      <w:suppressAutoHyphens w:val="0"/>
      <w:spacing w:before="480" w:line="276" w:lineRule="auto"/>
      <w:ind w:left="0"/>
      <w:outlineLvl w:val="9"/>
    </w:pPr>
    <w:rPr>
      <w:rFonts w:ascii="Calibri" w:eastAsia="MS Gothic" w:hAnsi="Calibri"/>
      <w:b/>
      <w:bCs/>
      <w:color w:val="365F91"/>
      <w:sz w:val="24"/>
      <w:szCs w:val="28"/>
      <w:lang w:val="en-US"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FE4423"/>
    <w:pPr>
      <w:suppressAutoHyphens w:val="0"/>
      <w:spacing w:after="160" w:line="240" w:lineRule="exact"/>
      <w:jc w:val="both"/>
    </w:pPr>
    <w:rPr>
      <w:sz w:val="18"/>
      <w:vertAlign w:val="superscript"/>
      <w:lang w:eastAsia="en-GB"/>
    </w:rPr>
  </w:style>
  <w:style w:type="character" w:customStyle="1" w:styleId="HeaderChar">
    <w:name w:val="Header Char"/>
    <w:aliases w:val="6_G Char"/>
    <w:link w:val="Header"/>
    <w:uiPriority w:val="99"/>
    <w:rsid w:val="00FE4423"/>
    <w:rPr>
      <w:b/>
      <w:sz w:val="18"/>
      <w:lang w:eastAsia="en-US"/>
    </w:rPr>
  </w:style>
  <w:style w:type="character" w:customStyle="1" w:styleId="FooterChar">
    <w:name w:val="Footer Char"/>
    <w:aliases w:val="3_G Char"/>
    <w:link w:val="Footer"/>
    <w:uiPriority w:val="99"/>
    <w:rsid w:val="00FE4423"/>
    <w:rPr>
      <w:sz w:val="16"/>
      <w:lang w:eastAsia="en-US"/>
    </w:rPr>
  </w:style>
  <w:style w:type="paragraph" w:customStyle="1" w:styleId="MediumList1-Accent41">
    <w:name w:val="Medium List 1 - Accent 41"/>
    <w:hidden/>
    <w:uiPriority w:val="99"/>
    <w:semiHidden/>
    <w:rsid w:val="00FE4423"/>
    <w:rPr>
      <w:lang w:eastAsia="en-US"/>
    </w:rPr>
  </w:style>
  <w:style w:type="paragraph" w:customStyle="1" w:styleId="ColorfulList-Accent21">
    <w:name w:val="Colorful List - Accent 21"/>
    <w:uiPriority w:val="1"/>
    <w:qFormat/>
    <w:rsid w:val="00FE4423"/>
    <w:pPr>
      <w:suppressAutoHyphens/>
    </w:pPr>
    <w:rPr>
      <w:lang w:eastAsia="en-US"/>
    </w:rPr>
  </w:style>
  <w:style w:type="paragraph" w:customStyle="1" w:styleId="DarkList-Accent31">
    <w:name w:val="Dark List - Accent 31"/>
    <w:hidden/>
    <w:uiPriority w:val="71"/>
    <w:rsid w:val="0050100F"/>
    <w:rPr>
      <w:lang w:eastAsia="en-US"/>
    </w:rPr>
  </w:style>
  <w:style w:type="paragraph" w:customStyle="1" w:styleId="LightList-Accent31">
    <w:name w:val="Light List - Accent 31"/>
    <w:hidden/>
    <w:uiPriority w:val="71"/>
    <w:rsid w:val="009F299D"/>
    <w:rPr>
      <w:lang w:eastAsia="en-US"/>
    </w:rPr>
  </w:style>
  <w:style w:type="paragraph" w:customStyle="1" w:styleId="MediumList2-Accent21">
    <w:name w:val="Medium List 2 - Accent 21"/>
    <w:hidden/>
    <w:uiPriority w:val="71"/>
    <w:rsid w:val="00D521D9"/>
    <w:rPr>
      <w:lang w:eastAsia="en-US"/>
    </w:rPr>
  </w:style>
  <w:style w:type="paragraph" w:customStyle="1" w:styleId="ColorfulShading-Accent11">
    <w:name w:val="Colorful Shading - Accent 11"/>
    <w:hidden/>
    <w:uiPriority w:val="71"/>
    <w:rsid w:val="00306AF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link w:val="BVIfnr"/>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stile 1"/>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FE4423"/>
    <w:pPr>
      <w:suppressAutoHyphens/>
      <w:spacing w:line="240" w:lineRule="atLeast"/>
      <w:outlineLvl w:val="0"/>
    </w:pPr>
    <w:rPr>
      <w:rFonts w:eastAsia="Arial Unicode MS"/>
      <w:color w:val="000000"/>
      <w:u w:color="000000"/>
    </w:rPr>
  </w:style>
  <w:style w:type="numbering" w:customStyle="1" w:styleId="NoList1">
    <w:name w:val="No List1"/>
    <w:next w:val="NoList"/>
    <w:uiPriority w:val="99"/>
    <w:semiHidden/>
    <w:unhideWhenUsed/>
    <w:rsid w:val="00FE4423"/>
  </w:style>
  <w:style w:type="character" w:customStyle="1" w:styleId="Heading1Char">
    <w:name w:val="Heading 1 Char"/>
    <w:aliases w:val="Table_G Char"/>
    <w:link w:val="Heading1"/>
    <w:uiPriority w:val="9"/>
    <w:rsid w:val="00FE4423"/>
    <w:rPr>
      <w:lang w:eastAsia="en-US"/>
    </w:rPr>
  </w:style>
  <w:style w:type="character" w:customStyle="1" w:styleId="Heading2Char">
    <w:name w:val="Heading 2 Char"/>
    <w:link w:val="Heading2"/>
    <w:uiPriority w:val="9"/>
    <w:rsid w:val="00FE4423"/>
    <w:rPr>
      <w:lang w:eastAsia="en-US"/>
    </w:rPr>
  </w:style>
  <w:style w:type="paragraph" w:customStyle="1" w:styleId="MediumList2-Accent41">
    <w:name w:val="Medium List 2 - Accent 41"/>
    <w:basedOn w:val="Normal"/>
    <w:uiPriority w:val="34"/>
    <w:qFormat/>
    <w:rsid w:val="00FE4423"/>
    <w:pPr>
      <w:suppressAutoHyphens w:val="0"/>
      <w:spacing w:after="200" w:line="276" w:lineRule="auto"/>
      <w:ind w:left="720"/>
      <w:contextualSpacing/>
    </w:pPr>
    <w:rPr>
      <w:rFonts w:ascii="Cambria" w:eastAsia="Cambria" w:hAnsi="Cambria"/>
      <w:sz w:val="22"/>
      <w:szCs w:val="22"/>
      <w:lang w:val="en-CA"/>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link w:val="FootnoteText"/>
    <w:uiPriority w:val="99"/>
    <w:rsid w:val="00FE4423"/>
    <w:rPr>
      <w:sz w:val="18"/>
      <w:lang w:eastAsia="en-US"/>
    </w:rPr>
  </w:style>
  <w:style w:type="character" w:styleId="CommentReference">
    <w:name w:val="annotation reference"/>
    <w:uiPriority w:val="99"/>
    <w:unhideWhenUsed/>
    <w:rsid w:val="00FE4423"/>
    <w:rPr>
      <w:sz w:val="16"/>
      <w:szCs w:val="16"/>
    </w:rPr>
  </w:style>
  <w:style w:type="paragraph" w:styleId="CommentText">
    <w:name w:val="annotation text"/>
    <w:basedOn w:val="Normal"/>
    <w:link w:val="CommentTextChar"/>
    <w:uiPriority w:val="99"/>
    <w:unhideWhenUsed/>
    <w:rsid w:val="00FE4423"/>
    <w:pPr>
      <w:suppressAutoHyphens w:val="0"/>
      <w:spacing w:after="200" w:line="240" w:lineRule="auto"/>
    </w:pPr>
    <w:rPr>
      <w:rFonts w:ascii="Cambria" w:eastAsia="Cambria" w:hAnsi="Cambria"/>
      <w:lang w:val="en-CA"/>
    </w:rPr>
  </w:style>
  <w:style w:type="character" w:customStyle="1" w:styleId="CommentTextChar">
    <w:name w:val="Comment Text Char"/>
    <w:link w:val="CommentText"/>
    <w:uiPriority w:val="99"/>
    <w:rsid w:val="00FE4423"/>
    <w:rPr>
      <w:rFonts w:ascii="Cambria" w:eastAsia="Cambria" w:hAnsi="Cambria"/>
      <w:lang w:val="en-CA" w:eastAsia="en-US"/>
    </w:rPr>
  </w:style>
  <w:style w:type="paragraph" w:customStyle="1" w:styleId="TOC11">
    <w:name w:val="TOC 11"/>
    <w:basedOn w:val="Normal"/>
    <w:next w:val="Normal"/>
    <w:autoRedefine/>
    <w:uiPriority w:val="39"/>
    <w:unhideWhenUsed/>
    <w:rsid w:val="00FE4423"/>
    <w:pPr>
      <w:suppressAutoHyphens w:val="0"/>
      <w:spacing w:before="360" w:line="276" w:lineRule="auto"/>
    </w:pPr>
    <w:rPr>
      <w:rFonts w:ascii="Calibri" w:eastAsia="Cambria" w:hAnsi="Calibri"/>
      <w:b/>
      <w:bCs/>
      <w:caps/>
      <w:sz w:val="24"/>
      <w:szCs w:val="24"/>
      <w:lang w:val="en-CA"/>
    </w:rPr>
  </w:style>
  <w:style w:type="paragraph" w:styleId="TOC2">
    <w:name w:val="toc 2"/>
    <w:basedOn w:val="Normal"/>
    <w:next w:val="Normal"/>
    <w:autoRedefine/>
    <w:uiPriority w:val="39"/>
    <w:unhideWhenUsed/>
    <w:rsid w:val="00FE4423"/>
    <w:pPr>
      <w:suppressAutoHyphens w:val="0"/>
      <w:spacing w:before="240" w:line="276" w:lineRule="auto"/>
    </w:pPr>
    <w:rPr>
      <w:rFonts w:ascii="Cambria" w:eastAsia="Cambria" w:hAnsi="Cambria"/>
      <w:b/>
      <w:bCs/>
      <w:lang w:val="en-CA"/>
    </w:rPr>
  </w:style>
  <w:style w:type="paragraph" w:styleId="BalloonText">
    <w:name w:val="Balloon Text"/>
    <w:basedOn w:val="Normal"/>
    <w:link w:val="BalloonTextChar"/>
    <w:uiPriority w:val="99"/>
    <w:unhideWhenUsed/>
    <w:rsid w:val="00FE4423"/>
    <w:pPr>
      <w:suppressAutoHyphens w:val="0"/>
      <w:spacing w:line="240" w:lineRule="auto"/>
    </w:pPr>
    <w:rPr>
      <w:rFonts w:ascii="Tahoma" w:eastAsia="Cambria" w:hAnsi="Tahoma" w:cs="Tahoma"/>
      <w:sz w:val="16"/>
      <w:szCs w:val="16"/>
      <w:lang w:val="en-CA"/>
    </w:rPr>
  </w:style>
  <w:style w:type="character" w:customStyle="1" w:styleId="BalloonTextChar">
    <w:name w:val="Balloon Text Char"/>
    <w:link w:val="BalloonText"/>
    <w:uiPriority w:val="99"/>
    <w:rsid w:val="00FE4423"/>
    <w:rPr>
      <w:rFonts w:ascii="Tahoma" w:eastAsia="Cambria" w:hAnsi="Tahoma" w:cs="Tahoma"/>
      <w:sz w:val="16"/>
      <w:szCs w:val="16"/>
      <w:lang w:val="en-CA" w:eastAsia="en-US"/>
    </w:rPr>
  </w:style>
  <w:style w:type="paragraph" w:customStyle="1" w:styleId="Revision1">
    <w:name w:val="Revision1"/>
    <w:next w:val="MediumList1-Accent41"/>
    <w:hidden/>
    <w:uiPriority w:val="99"/>
    <w:semiHidden/>
    <w:rsid w:val="00FE4423"/>
    <w:rPr>
      <w:rFonts w:ascii="Cambria" w:eastAsia="Cambria" w:hAnsi="Cambria"/>
      <w:sz w:val="22"/>
      <w:szCs w:val="22"/>
      <w:lang w:val="en-CA" w:eastAsia="en-US"/>
    </w:rPr>
  </w:style>
  <w:style w:type="paragraph" w:styleId="CommentSubject">
    <w:name w:val="annotation subject"/>
    <w:basedOn w:val="CommentText"/>
    <w:next w:val="CommentText"/>
    <w:link w:val="CommentSubjectChar"/>
    <w:uiPriority w:val="99"/>
    <w:unhideWhenUsed/>
    <w:rsid w:val="00FE4423"/>
    <w:rPr>
      <w:b/>
      <w:bCs/>
    </w:rPr>
  </w:style>
  <w:style w:type="character" w:customStyle="1" w:styleId="CommentSubjectChar">
    <w:name w:val="Comment Subject Char"/>
    <w:link w:val="CommentSubject"/>
    <w:uiPriority w:val="99"/>
    <w:rsid w:val="00FE4423"/>
    <w:rPr>
      <w:rFonts w:ascii="Cambria" w:eastAsia="Cambria" w:hAnsi="Cambria"/>
      <w:b/>
      <w:bCs/>
      <w:lang w:val="en-CA" w:eastAsia="en-US"/>
    </w:rPr>
  </w:style>
  <w:style w:type="paragraph" w:customStyle="1" w:styleId="NoSpacing1">
    <w:name w:val="No Spacing1"/>
    <w:next w:val="ColorfulList-Accent21"/>
    <w:uiPriority w:val="1"/>
    <w:qFormat/>
    <w:rsid w:val="00FE4423"/>
    <w:rPr>
      <w:rFonts w:ascii="Cambria" w:eastAsia="Cambria" w:hAnsi="Cambria"/>
      <w:sz w:val="22"/>
      <w:szCs w:val="22"/>
      <w:lang w:val="en-CA" w:eastAsia="en-US"/>
    </w:rPr>
  </w:style>
  <w:style w:type="character" w:styleId="Emphasis">
    <w:name w:val="Emphasis"/>
    <w:uiPriority w:val="20"/>
    <w:qFormat/>
    <w:rsid w:val="00FE4423"/>
    <w:rPr>
      <w:i/>
      <w:iCs/>
    </w:rPr>
  </w:style>
  <w:style w:type="character" w:customStyle="1" w:styleId="apple-converted-space">
    <w:name w:val="apple-converted-space"/>
    <w:rsid w:val="00FE4423"/>
  </w:style>
  <w:style w:type="paragraph" w:customStyle="1" w:styleId="TOCHeading1">
    <w:name w:val="TOC Heading1"/>
    <w:basedOn w:val="Heading1"/>
    <w:next w:val="Normal"/>
    <w:uiPriority w:val="39"/>
    <w:unhideWhenUsed/>
    <w:qFormat/>
    <w:rsid w:val="00FE4423"/>
    <w:pPr>
      <w:keepNext/>
      <w:keepLines/>
      <w:suppressAutoHyphens w:val="0"/>
      <w:spacing w:before="480" w:line="276" w:lineRule="auto"/>
      <w:ind w:left="0"/>
      <w:outlineLvl w:val="9"/>
    </w:pPr>
    <w:rPr>
      <w:rFonts w:ascii="Calibri" w:eastAsia="MS Gothic" w:hAnsi="Calibri"/>
      <w:b/>
      <w:bCs/>
      <w:color w:val="365F91"/>
      <w:sz w:val="24"/>
      <w:szCs w:val="28"/>
      <w:lang w:val="en-US"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FE4423"/>
    <w:pPr>
      <w:suppressAutoHyphens w:val="0"/>
      <w:spacing w:after="160" w:line="240" w:lineRule="exact"/>
      <w:jc w:val="both"/>
    </w:pPr>
    <w:rPr>
      <w:sz w:val="18"/>
      <w:vertAlign w:val="superscript"/>
      <w:lang w:eastAsia="en-GB"/>
    </w:rPr>
  </w:style>
  <w:style w:type="character" w:customStyle="1" w:styleId="HeaderChar">
    <w:name w:val="Header Char"/>
    <w:aliases w:val="6_G Char"/>
    <w:link w:val="Header"/>
    <w:uiPriority w:val="99"/>
    <w:rsid w:val="00FE4423"/>
    <w:rPr>
      <w:b/>
      <w:sz w:val="18"/>
      <w:lang w:eastAsia="en-US"/>
    </w:rPr>
  </w:style>
  <w:style w:type="character" w:customStyle="1" w:styleId="FooterChar">
    <w:name w:val="Footer Char"/>
    <w:aliases w:val="3_G Char"/>
    <w:link w:val="Footer"/>
    <w:uiPriority w:val="99"/>
    <w:rsid w:val="00FE4423"/>
    <w:rPr>
      <w:sz w:val="16"/>
      <w:lang w:eastAsia="en-US"/>
    </w:rPr>
  </w:style>
  <w:style w:type="paragraph" w:customStyle="1" w:styleId="MediumList1-Accent41">
    <w:name w:val="Medium List 1 - Accent 41"/>
    <w:hidden/>
    <w:uiPriority w:val="99"/>
    <w:semiHidden/>
    <w:rsid w:val="00FE4423"/>
    <w:rPr>
      <w:lang w:eastAsia="en-US"/>
    </w:rPr>
  </w:style>
  <w:style w:type="paragraph" w:customStyle="1" w:styleId="ColorfulList-Accent21">
    <w:name w:val="Colorful List - Accent 21"/>
    <w:uiPriority w:val="1"/>
    <w:qFormat/>
    <w:rsid w:val="00FE4423"/>
    <w:pPr>
      <w:suppressAutoHyphens/>
    </w:pPr>
    <w:rPr>
      <w:lang w:eastAsia="en-US"/>
    </w:rPr>
  </w:style>
  <w:style w:type="paragraph" w:customStyle="1" w:styleId="DarkList-Accent31">
    <w:name w:val="Dark List - Accent 31"/>
    <w:hidden/>
    <w:uiPriority w:val="71"/>
    <w:rsid w:val="0050100F"/>
    <w:rPr>
      <w:lang w:eastAsia="en-US"/>
    </w:rPr>
  </w:style>
  <w:style w:type="paragraph" w:customStyle="1" w:styleId="LightList-Accent31">
    <w:name w:val="Light List - Accent 31"/>
    <w:hidden/>
    <w:uiPriority w:val="71"/>
    <w:rsid w:val="009F299D"/>
    <w:rPr>
      <w:lang w:eastAsia="en-US"/>
    </w:rPr>
  </w:style>
  <w:style w:type="paragraph" w:customStyle="1" w:styleId="MediumList2-Accent21">
    <w:name w:val="Medium List 2 - Accent 21"/>
    <w:hidden/>
    <w:uiPriority w:val="71"/>
    <w:rsid w:val="00D521D9"/>
    <w:rPr>
      <w:lang w:eastAsia="en-US"/>
    </w:rPr>
  </w:style>
  <w:style w:type="paragraph" w:customStyle="1" w:styleId="ColorfulShading-Accent11">
    <w:name w:val="Colorful Shading - Accent 11"/>
    <w:hidden/>
    <w:uiPriority w:val="71"/>
    <w:rsid w:val="00306AF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booksandjournals.brillonline.com/content/journals/10.1163/18710328-12341288;%20sessionid=ehj72stfnccd7.x-brill-live-03" TargetMode="External"/><Relationship Id="rId13" Type="http://schemas.openxmlformats.org/officeDocument/2006/relationships/hyperlink" Target="http://rrg.sg/about-us" TargetMode="External"/><Relationship Id="rId18" Type="http://schemas.openxmlformats.org/officeDocument/2006/relationships/hyperlink" Target="http://blogs.plos.org/neuroanthropology/2015/04/25/scott-atran-on-youth-violent-extremism-and-promoting-peace/" TargetMode="External"/><Relationship Id="rId26" Type="http://schemas.openxmlformats.org/officeDocument/2006/relationships/hyperlink" Target="http://rapsinews.com/judicial_news/20150723/274250392.html" TargetMode="External"/><Relationship Id="rId39" Type="http://schemas.openxmlformats.org/officeDocument/2006/relationships/hyperlink" Target="http://www.theguardian.com/education/2015/sep/22/school-questioned-muslim-pupil-about-isis-after-discussion-on-eco-activism" TargetMode="External"/><Relationship Id="rId3" Type="http://schemas.openxmlformats.org/officeDocument/2006/relationships/hyperlink" Target="http://theglobalobservatory.org/2015/11/countering-violent-extremism-united-nations-ban-ki-moon/" TargetMode="External"/><Relationship Id="rId21" Type="http://schemas.openxmlformats.org/officeDocument/2006/relationships/hyperlink" Target="http://cis-legislation.com/document.fwx?rgn=30827" TargetMode="External"/><Relationship Id="rId34" Type="http://schemas.openxmlformats.org/officeDocument/2006/relationships/hyperlink" Target="http://rrg.sg/about-us" TargetMode="External"/><Relationship Id="rId42" Type="http://schemas.openxmlformats.org/officeDocument/2006/relationships/hyperlink" Target="https://www.brennancenter.org/sites/default/files/analysis/071015%20Letter%20to%20H.%20Comm%20on%20Homeland%20Sec.%20Re.%20HR%202899%20%20.pdf" TargetMode="External"/><Relationship Id="rId7" Type="http://schemas.openxmlformats.org/officeDocument/2006/relationships/hyperlink" Target="http://www.whitehouse.gov/sites/default/files/sip-final.pdf" TargetMode="External"/><Relationship Id="rId12" Type="http://schemas.openxmlformats.org/officeDocument/2006/relationships/hyperlink" Target="https://www.nyidanmark.dk/NR/rdonlyres/8A7278CB-EFAD-43CC-B6E4-EE81B8E13C6D/0/factsheetderadicalisation.pdf" TargetMode="External"/><Relationship Id="rId17" Type="http://schemas.openxmlformats.org/officeDocument/2006/relationships/hyperlink" Target="http://www.eir.info/2014/11/20/interview-marc-sageman/" TargetMode="External"/><Relationship Id="rId25" Type="http://schemas.openxmlformats.org/officeDocument/2006/relationships/hyperlink" Target="https://en.wikipedia.org/wiki/Boris_Stomakhin" TargetMode="External"/><Relationship Id="rId33" Type="http://schemas.openxmlformats.org/officeDocument/2006/relationships/hyperlink" Target="https://www.aclu.org/files/assets/141218_cve_coalition_letter_2.pdf" TargetMode="External"/><Relationship Id="rId38" Type="http://schemas.openxmlformats.org/officeDocument/2006/relationships/hyperlink" Target="http://www.theguardian.com/technology/2015/sep/16/sudanse-american-boy-handcuffed-homemade-clock-school" TargetMode="External"/><Relationship Id="rId2" Type="http://schemas.openxmlformats.org/officeDocument/2006/relationships/hyperlink" Target="http://theglobalobservatory.org/by/naureen-chowdhury-fink" TargetMode="External"/><Relationship Id="rId16" Type="http://schemas.openxmlformats.org/officeDocument/2006/relationships/hyperlink" Target="http://www.e-ir.info/author/e-international-relations/" TargetMode="External"/><Relationship Id="rId20" Type="http://schemas.openxmlformats.org/officeDocument/2006/relationships/hyperlink" Target="http://www.europarl.europa.eu/meetdocs/2009_2014/documents/droi/dv/201/201011/20101129_3_10sova_en.pdf" TargetMode="External"/><Relationship Id="rId29" Type="http://schemas.openxmlformats.org/officeDocument/2006/relationships/hyperlink" Target="http://www.nytimes.com/2015/06/17/nyregion/college-student-in-queens-is-charged-with-conspiring-to-support-isis.html?_r=0" TargetMode="External"/><Relationship Id="rId41" Type="http://schemas.openxmlformats.org/officeDocument/2006/relationships/hyperlink" Target="http://www.theguardian.com/uk-news/2015/jun/10/schools-trial-anti-radicalisation-software-pupils-internet" TargetMode="External"/><Relationship Id="rId1" Type="http://schemas.openxmlformats.org/officeDocument/2006/relationships/hyperlink" Target="http://www.un.org/apps/news/story.asp?NewsID=53035" TargetMode="External"/><Relationship Id="rId6" Type="http://schemas.openxmlformats.org/officeDocument/2006/relationships/hyperlink" Target="http://register.consilium.europa.eu/doc/srv?l=EN&amp;f=ST%2014781%202005%20REV%201" TargetMode="External"/><Relationship Id="rId11" Type="http://schemas.openxmlformats.org/officeDocument/2006/relationships/hyperlink" Target="http://www.government.se/contentassets/b94f163a3c5941aebaeb78174ea27a29/action-plan-to-safeguard-democracy-against-violence-promoting-extremism-skr.-20111244" TargetMode="External"/><Relationship Id="rId24" Type="http://schemas.openxmlformats.org/officeDocument/2006/relationships/hyperlink" Target="https://globalfreedomofexpression.columbia.edu/cases/the-case-of-prayers-to-god-its-purpose-and-place-in-islam-book-being-extremist/" TargetMode="External"/><Relationship Id="rId32" Type="http://schemas.openxmlformats.org/officeDocument/2006/relationships/hyperlink" Target="http://www.amnesty.fr/Nos-campagnes/Liberte-expression/Actualites/Blocages-de-sites-Internet-en-France-autorisation-un-juge-est-indispensable-14588?prehome=0" TargetMode="External"/><Relationship Id="rId37" Type="http://schemas.openxmlformats.org/officeDocument/2006/relationships/hyperlink" Target="http://www.stopdjihadisme.gouv.fr/decrypter.html" TargetMode="External"/><Relationship Id="rId40" Type="http://schemas.openxmlformats.org/officeDocument/2006/relationships/hyperlink" Target="http://www.independent.co.uk/voices/letters/prevent-will-have-a-chilling-effect-on-open-debate-free-speech-and-political-dissent-10381491.html" TargetMode="External"/><Relationship Id="rId5" Type="http://schemas.openxmlformats.org/officeDocument/2006/relationships/hyperlink" Target="http://www.state.gov/r/pa/prs/ps/2015/09/247368.htm" TargetMode="External"/><Relationship Id="rId15" Type="http://schemas.openxmlformats.org/officeDocument/2006/relationships/hyperlink" Target="https://www.justsecurity.org/24335/video-highlights-conversation-cve/" TargetMode="External"/><Relationship Id="rId23" Type="http://schemas.openxmlformats.org/officeDocument/2006/relationships/hyperlink" Target="http://www.sova-center.ru/en/misuse/news-releases/2015/12/d33482/" TargetMode="External"/><Relationship Id="rId28" Type="http://schemas.openxmlformats.org/officeDocument/2006/relationships/hyperlink" Target="http://www.investigativeproject.org/case/716/us-v-saleh" TargetMode="External"/><Relationship Id="rId36" Type="http://schemas.openxmlformats.org/officeDocument/2006/relationships/hyperlink" Target="http://www.bbc.co.uk/programmes/b06wg9dt" TargetMode="External"/><Relationship Id="rId10" Type="http://schemas.openxmlformats.org/officeDocument/2006/relationships/hyperlink" Target="https://www.counterextremism.org/resources/details/id/679/action-plan-against-radicalisation-and-violent-extremism" TargetMode="External"/><Relationship Id="rId19" Type="http://schemas.openxmlformats.org/officeDocument/2006/relationships/hyperlink" Target="http://www.theguardian.com/uk-news/2015/jul/20/david-cameron-anti-terror-strategy-wrong-expert-says" TargetMode="External"/><Relationship Id="rId31" Type="http://schemas.openxmlformats.org/officeDocument/2006/relationships/hyperlink" Target="http://www.npcc.police.uk/NPCCBusinessAreas/PREVENT/TheCounterTerrorismInternetReferralUnit.aspx" TargetMode="External"/><Relationship Id="rId44" Type="http://schemas.openxmlformats.org/officeDocument/2006/relationships/hyperlink" Target="https://www.justsecurity.org/author/huckerbyjayne/" TargetMode="External"/><Relationship Id="rId4" Type="http://schemas.openxmlformats.org/officeDocument/2006/relationships/hyperlink" Target="https://www.whitehouse.gov/the-press-office/2015/09/29/leaders-summit-countering-isil-and-violent-extremism" TargetMode="External"/><Relationship Id="rId9" Type="http://schemas.openxmlformats.org/officeDocument/2006/relationships/hyperlink" Target="https://www.ag.gov.au/NationalSecurity/Counteringviolentextremism/Pages/default.aspx%20" TargetMode="External"/><Relationship Id="rId14" Type="http://schemas.openxmlformats.org/officeDocument/2006/relationships/hyperlink" Target="https://www.gov.uk/government/uploads/system/uploads/attachment_data/file/425189/Channel_Duty_Guidance_April_2015.pdf" TargetMode="External"/><Relationship Id="rId22" Type="http://schemas.openxmlformats.org/officeDocument/2006/relationships/hyperlink" Target="http://www.sova-center.ru/en/misuse/news-releases/2015/12/d33482/" TargetMode="External"/><Relationship Id="rId27" Type="http://schemas.openxmlformats.org/officeDocument/2006/relationships/hyperlink" Target="https://www.aclu.org/news/mehanna-verdict-compromises-first-amendment-undermines-national-security?redirect=free-speech/mehanna-verdict-compromises-first-amendment-undermines-national-security" TargetMode="External"/><Relationship Id="rId30" Type="http://schemas.openxmlformats.org/officeDocument/2006/relationships/hyperlink" Target="https://www.europol.europa.eu/content/europol%E2%80%99s-internet-referral-unit-combat-terrorist-and-violent-extremist-propaganda" TargetMode="External"/><Relationship Id="rId35" Type="http://schemas.openxmlformats.org/officeDocument/2006/relationships/hyperlink" Target="http://www.bbc.co.uk/programmes/b06qmpr0" TargetMode="External"/><Relationship Id="rId43" Type="http://schemas.openxmlformats.org/officeDocument/2006/relationships/hyperlink" Target="http://www.bbc.co.uk/programmes/b06qmp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45E3AD-4BED-4384-9CCF-531BA16EDA65}"/>
</file>

<file path=customXml/itemProps2.xml><?xml version="1.0" encoding="utf-8"?>
<ds:datastoreItem xmlns:ds="http://schemas.openxmlformats.org/officeDocument/2006/customXml" ds:itemID="{080743F0-E102-4D0A-A0DC-FEAEBCB61A92}"/>
</file>

<file path=customXml/itemProps3.xml><?xml version="1.0" encoding="utf-8"?>
<ds:datastoreItem xmlns:ds="http://schemas.openxmlformats.org/officeDocument/2006/customXml" ds:itemID="{72681861-F524-4775-B9E9-51F4B04FE225}"/>
</file>

<file path=customXml/itemProps4.xml><?xml version="1.0" encoding="utf-8"?>
<ds:datastoreItem xmlns:ds="http://schemas.openxmlformats.org/officeDocument/2006/customXml" ds:itemID="{9935F85A-D069-4BCD-BA9F-2F55EE8834FF}"/>
</file>

<file path=docProps/app.xml><?xml version="1.0" encoding="utf-8"?>
<Properties xmlns="http://schemas.openxmlformats.org/officeDocument/2006/extended-properties" xmlns:vt="http://schemas.openxmlformats.org/officeDocument/2006/docPropsVTypes">
  <Template>877DDB6E.dotm</Template>
  <TotalTime>0</TotalTime>
  <Pages>22</Pages>
  <Words>8122</Words>
  <Characters>46297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54311</CharactersWithSpaces>
  <SharedDoc>false</SharedDoc>
  <HLinks>
    <vt:vector size="12" baseType="variant">
      <vt:variant>
        <vt:i4>196610</vt:i4>
      </vt:variant>
      <vt:variant>
        <vt:i4>6</vt:i4>
      </vt:variant>
      <vt:variant>
        <vt:i4>0</vt:i4>
      </vt:variant>
      <vt:variant>
        <vt:i4>5</vt:i4>
      </vt:variant>
      <vt:variant>
        <vt:lpwstr>http://unstats.un.org/unsd/demographic/products/dyb/techreport/hhchar.pdf</vt:lpwstr>
      </vt:variant>
      <vt:variant>
        <vt:lpwstr/>
      </vt:variant>
      <vt:variant>
        <vt:i4>7077947</vt:i4>
      </vt:variant>
      <vt:variant>
        <vt:i4>3</vt:i4>
      </vt:variant>
      <vt:variant>
        <vt:i4>0</vt:i4>
      </vt:variant>
      <vt:variant>
        <vt:i4>5</vt:i4>
      </vt:variant>
      <vt:variant>
        <vt:lpwstr>http://www.gob.gba.gov.ar/legislacion/legislacion/l-14449.html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promotion and protection of human rights and fundamental freedoms while countering terrorism in English</dc:title>
  <dc:creator>Milijana Zaric</dc:creator>
  <cp:lastModifiedBy>Iuliia Somova</cp:lastModifiedBy>
  <cp:revision>2</cp:revision>
  <cp:lastPrinted>2016-02-15T15:03:00Z</cp:lastPrinted>
  <dcterms:created xsi:type="dcterms:W3CDTF">2016-03-02T10:36:00Z</dcterms:created>
  <dcterms:modified xsi:type="dcterms:W3CDTF">2016-03-02T10:36:00Z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15200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