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8B4" w:rsidRPr="000A33AF" w:rsidRDefault="00C438B4" w:rsidP="00C438B4">
      <w:pPr>
        <w:spacing w:line="60" w:lineRule="exact"/>
        <w:rPr>
          <w:color w:val="010000"/>
          <w:sz w:val="6"/>
        </w:rPr>
        <w:sectPr w:rsidR="00C438B4" w:rsidRPr="000A33AF" w:rsidSect="00C438B4">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C438B4" w:rsidRPr="000A33AF" w:rsidRDefault="00C438B4" w:rsidP="00C438B4">
      <w:pPr>
        <w:pStyle w:val="H1"/>
      </w:pPr>
      <w:r w:rsidRPr="000A33AF">
        <w:lastRenderedPageBreak/>
        <w:t>Совет по правам человека</w:t>
      </w:r>
    </w:p>
    <w:p w:rsidR="00C438B4" w:rsidRPr="000A33AF" w:rsidRDefault="000A33AF" w:rsidP="00C438B4">
      <w:pPr>
        <w:pStyle w:val="H23"/>
      </w:pPr>
      <w:r>
        <w:t>Тридцать первая</w:t>
      </w:r>
      <w:r w:rsidR="00C438B4" w:rsidRPr="000A33AF">
        <w:t xml:space="preserve"> сессия</w:t>
      </w:r>
    </w:p>
    <w:p w:rsidR="00C438B4" w:rsidRPr="000A33AF" w:rsidRDefault="00C438B4" w:rsidP="00C438B4">
      <w:r w:rsidRPr="000A33AF">
        <w:t xml:space="preserve">Пункт </w:t>
      </w:r>
      <w:r w:rsidR="000A33AF">
        <w:t xml:space="preserve">5 </w:t>
      </w:r>
      <w:r w:rsidRPr="000A33AF">
        <w:t>повестки дня</w:t>
      </w:r>
    </w:p>
    <w:p w:rsidR="000A33AF" w:rsidRPr="000A33AF" w:rsidRDefault="000A33AF" w:rsidP="000A33AF">
      <w:pPr>
        <w:rPr>
          <w:b/>
          <w:bCs/>
        </w:rPr>
      </w:pPr>
      <w:r w:rsidRPr="000A33AF">
        <w:rPr>
          <w:b/>
          <w:bCs/>
        </w:rPr>
        <w:t>Правозащитные органы и механизмы</w:t>
      </w:r>
    </w:p>
    <w:p w:rsidR="000A33AF" w:rsidRPr="000A33AF" w:rsidRDefault="000A33AF" w:rsidP="000A33AF">
      <w:pPr>
        <w:spacing w:line="120" w:lineRule="exact"/>
        <w:rPr>
          <w:b/>
          <w:sz w:val="10"/>
        </w:rPr>
      </w:pPr>
      <w:r w:rsidRPr="000A33AF">
        <w:rPr>
          <w:b/>
        </w:rPr>
        <w:tab/>
      </w:r>
      <w:r w:rsidRPr="000A33AF">
        <w:rPr>
          <w:b/>
        </w:rPr>
        <w:tab/>
      </w:r>
    </w:p>
    <w:p w:rsidR="000A33AF" w:rsidRPr="000A33AF" w:rsidRDefault="000A33AF" w:rsidP="000A33AF">
      <w:pPr>
        <w:spacing w:line="120" w:lineRule="exact"/>
        <w:rPr>
          <w:b/>
          <w:sz w:val="10"/>
        </w:rPr>
      </w:pPr>
    </w:p>
    <w:p w:rsidR="000A33AF" w:rsidRPr="000A33AF" w:rsidRDefault="000A33AF" w:rsidP="000A33AF">
      <w:pPr>
        <w:spacing w:line="120" w:lineRule="exact"/>
        <w:rPr>
          <w:b/>
          <w:sz w:val="10"/>
        </w:rPr>
      </w:pPr>
    </w:p>
    <w:p w:rsidR="000A33AF" w:rsidRDefault="000A33AF" w:rsidP="000A33AF">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r>
      <w:r>
        <w:tab/>
      </w:r>
      <w:r w:rsidRPr="000A33AF">
        <w:t>Рекомендации восьмой сессии Форума по вопросам</w:t>
      </w:r>
      <w:r>
        <w:br/>
      </w:r>
      <w:r>
        <w:tab/>
      </w:r>
      <w:r>
        <w:tab/>
      </w:r>
      <w:r w:rsidRPr="000A33AF">
        <w:t xml:space="preserve">меньшинств: меньшинства и система уголовного </w:t>
      </w:r>
      <w:r>
        <w:br/>
      </w:r>
      <w:r>
        <w:tab/>
      </w:r>
      <w:r>
        <w:tab/>
      </w:r>
      <w:r w:rsidRPr="000A33AF">
        <w:t>правосудия (24 и 25 ноября 2015 года)</w:t>
      </w:r>
    </w:p>
    <w:p w:rsidR="000A33AF" w:rsidRDefault="000A33AF" w:rsidP="000A33AF">
      <w:r w:rsidRPr="000A33AF">
        <w:br w:type="page"/>
      </w:r>
    </w:p>
    <w:p w:rsidR="000A33AF" w:rsidRPr="00C81641" w:rsidRDefault="000A33AF" w:rsidP="000A33AF">
      <w:pPr>
        <w:pStyle w:val="HCh"/>
        <w:spacing w:after="120"/>
        <w:rPr>
          <w:b w:val="0"/>
        </w:rPr>
      </w:pPr>
      <w:r>
        <w:rPr>
          <w:b w:val="0"/>
        </w:rPr>
        <w:t>Содержание</w:t>
      </w:r>
    </w:p>
    <w:tbl>
      <w:tblPr>
        <w:tblW w:w="9720" w:type="dxa"/>
        <w:tblLayout w:type="fixed"/>
        <w:tblCellMar>
          <w:left w:w="0" w:type="dxa"/>
          <w:right w:w="0" w:type="dxa"/>
        </w:tblCellMar>
        <w:tblLook w:val="0000" w:firstRow="0" w:lastRow="0" w:firstColumn="0" w:lastColumn="0" w:noHBand="0" w:noVBand="0"/>
      </w:tblPr>
      <w:tblGrid>
        <w:gridCol w:w="1060"/>
        <w:gridCol w:w="7850"/>
        <w:gridCol w:w="810"/>
      </w:tblGrid>
      <w:tr w:rsidR="00DA7F63" w:rsidRPr="00C10BC6" w:rsidTr="00DA7F63">
        <w:tc>
          <w:tcPr>
            <w:tcW w:w="1060" w:type="dxa"/>
            <w:shd w:val="clear" w:color="auto" w:fill="auto"/>
          </w:tcPr>
          <w:p w:rsidR="00DA7F63" w:rsidRPr="00C10BC6" w:rsidRDefault="00DA7F63" w:rsidP="000A33AF">
            <w:pPr>
              <w:spacing w:after="120" w:line="240" w:lineRule="auto"/>
              <w:jc w:val="right"/>
              <w:rPr>
                <w:i/>
                <w:sz w:val="14"/>
              </w:rPr>
            </w:pPr>
          </w:p>
        </w:tc>
        <w:tc>
          <w:tcPr>
            <w:tcW w:w="7850" w:type="dxa"/>
            <w:shd w:val="clear" w:color="auto" w:fill="auto"/>
          </w:tcPr>
          <w:p w:rsidR="00DA7F63" w:rsidRPr="00C10BC6" w:rsidRDefault="00DA7F63" w:rsidP="000A33AF">
            <w:pPr>
              <w:spacing w:after="120" w:line="240" w:lineRule="auto"/>
              <w:rPr>
                <w:i/>
                <w:sz w:val="14"/>
              </w:rPr>
            </w:pPr>
          </w:p>
        </w:tc>
        <w:tc>
          <w:tcPr>
            <w:tcW w:w="810" w:type="dxa"/>
            <w:shd w:val="clear" w:color="auto" w:fill="auto"/>
          </w:tcPr>
          <w:p w:rsidR="00DA7F63" w:rsidRPr="00C10BC6" w:rsidRDefault="00DA7F63" w:rsidP="00DA7F63">
            <w:pPr>
              <w:spacing w:after="120" w:line="240" w:lineRule="auto"/>
              <w:ind w:right="40"/>
              <w:jc w:val="right"/>
              <w:rPr>
                <w:i/>
                <w:sz w:val="14"/>
              </w:rPr>
            </w:pPr>
            <w:r>
              <w:rPr>
                <w:i/>
                <w:sz w:val="14"/>
              </w:rPr>
              <w:t>Стр.</w:t>
            </w:r>
          </w:p>
        </w:tc>
      </w:tr>
      <w:tr w:rsidR="00DA7F63" w:rsidRPr="00C10BC6" w:rsidTr="00DA7F63">
        <w:tc>
          <w:tcPr>
            <w:tcW w:w="8910" w:type="dxa"/>
            <w:gridSpan w:val="2"/>
            <w:shd w:val="clear" w:color="auto" w:fill="auto"/>
          </w:tcPr>
          <w:p w:rsidR="00DA7F63" w:rsidRPr="00C10BC6" w:rsidRDefault="00DA7F63" w:rsidP="00DA7F63">
            <w:pPr>
              <w:numPr>
                <w:ilvl w:val="0"/>
                <w:numId w:val="11"/>
              </w:numPr>
              <w:tabs>
                <w:tab w:val="right" w:pos="1080"/>
                <w:tab w:val="left" w:pos="1296"/>
                <w:tab w:val="left" w:pos="1728"/>
                <w:tab w:val="right" w:leader="dot" w:pos="8820"/>
              </w:tabs>
              <w:suppressAutoHyphens/>
              <w:spacing w:after="120"/>
            </w:pPr>
            <w:r>
              <w:tab/>
            </w:r>
            <w:r w:rsidRPr="000A33AF">
              <w:t>Введение</w:t>
            </w:r>
            <w:r>
              <w:rPr>
                <w:spacing w:val="60"/>
                <w:sz w:val="17"/>
              </w:rPr>
              <w:tab/>
            </w:r>
          </w:p>
        </w:tc>
        <w:tc>
          <w:tcPr>
            <w:tcW w:w="810" w:type="dxa"/>
            <w:shd w:val="clear" w:color="auto" w:fill="auto"/>
            <w:vAlign w:val="bottom"/>
          </w:tcPr>
          <w:p w:rsidR="00DA7F63" w:rsidRPr="007153E8" w:rsidRDefault="007153E8" w:rsidP="000A33AF">
            <w:pPr>
              <w:spacing w:after="120"/>
              <w:ind w:right="40"/>
              <w:jc w:val="right"/>
            </w:pPr>
            <w:r>
              <w:t>3</w:t>
            </w:r>
          </w:p>
        </w:tc>
      </w:tr>
      <w:tr w:rsidR="00DA7F63" w:rsidRPr="00C10BC6" w:rsidTr="00DA7F63">
        <w:tc>
          <w:tcPr>
            <w:tcW w:w="8910" w:type="dxa"/>
            <w:gridSpan w:val="2"/>
            <w:shd w:val="clear" w:color="auto" w:fill="auto"/>
          </w:tcPr>
          <w:p w:rsidR="00DA7F63" w:rsidRPr="00C10BC6" w:rsidRDefault="00DA7F63" w:rsidP="00DA7F63">
            <w:pPr>
              <w:numPr>
                <w:ilvl w:val="0"/>
                <w:numId w:val="11"/>
              </w:numPr>
              <w:tabs>
                <w:tab w:val="right" w:pos="1080"/>
                <w:tab w:val="left" w:pos="1296"/>
                <w:tab w:val="left" w:pos="1728"/>
                <w:tab w:val="left" w:pos="2160"/>
                <w:tab w:val="left" w:pos="2592"/>
                <w:tab w:val="left" w:pos="3024"/>
                <w:tab w:val="right" w:leader="dot" w:pos="8820"/>
              </w:tabs>
              <w:suppressAutoHyphens/>
              <w:spacing w:after="120"/>
            </w:pPr>
            <w:r>
              <w:tab/>
            </w:r>
            <w:r w:rsidRPr="000A33AF">
              <w:t>Общие соображения</w:t>
            </w:r>
            <w:r>
              <w:rPr>
                <w:spacing w:val="60"/>
                <w:sz w:val="17"/>
              </w:rPr>
              <w:tab/>
            </w:r>
          </w:p>
        </w:tc>
        <w:tc>
          <w:tcPr>
            <w:tcW w:w="810" w:type="dxa"/>
            <w:shd w:val="clear" w:color="auto" w:fill="auto"/>
            <w:vAlign w:val="bottom"/>
          </w:tcPr>
          <w:p w:rsidR="00DA7F63" w:rsidRPr="007153E8" w:rsidRDefault="007153E8" w:rsidP="000A33AF">
            <w:pPr>
              <w:spacing w:after="120"/>
              <w:ind w:right="40"/>
              <w:jc w:val="right"/>
            </w:pPr>
            <w:r>
              <w:t>3</w:t>
            </w:r>
          </w:p>
        </w:tc>
      </w:tr>
      <w:tr w:rsidR="00DA7F63" w:rsidRPr="00C10BC6" w:rsidTr="00DA7F63">
        <w:tc>
          <w:tcPr>
            <w:tcW w:w="8910" w:type="dxa"/>
            <w:gridSpan w:val="2"/>
            <w:shd w:val="clear" w:color="auto" w:fill="auto"/>
          </w:tcPr>
          <w:p w:rsidR="00DA7F63" w:rsidRPr="00C10BC6" w:rsidRDefault="00DA7F63" w:rsidP="00DA7F63">
            <w:pPr>
              <w:numPr>
                <w:ilvl w:val="0"/>
                <w:numId w:val="11"/>
              </w:numPr>
              <w:tabs>
                <w:tab w:val="right" w:pos="1080"/>
                <w:tab w:val="left" w:pos="1296"/>
                <w:tab w:val="left" w:pos="1728"/>
                <w:tab w:val="left" w:pos="2160"/>
                <w:tab w:val="left" w:pos="2592"/>
                <w:tab w:val="left" w:pos="3024"/>
                <w:tab w:val="left" w:pos="3456"/>
                <w:tab w:val="left" w:pos="3888"/>
                <w:tab w:val="left" w:pos="4320"/>
                <w:tab w:val="right" w:leader="dot" w:pos="8820"/>
              </w:tabs>
              <w:suppressAutoHyphens/>
              <w:spacing w:after="120"/>
            </w:pPr>
            <w:r>
              <w:tab/>
            </w:r>
            <w:r w:rsidRPr="000A33AF">
              <w:t>Общие рекомендации государствам</w:t>
            </w:r>
            <w:r>
              <w:rPr>
                <w:spacing w:val="60"/>
                <w:sz w:val="17"/>
              </w:rPr>
              <w:tab/>
            </w:r>
          </w:p>
        </w:tc>
        <w:tc>
          <w:tcPr>
            <w:tcW w:w="810" w:type="dxa"/>
            <w:shd w:val="clear" w:color="auto" w:fill="auto"/>
            <w:vAlign w:val="bottom"/>
          </w:tcPr>
          <w:p w:rsidR="00DA7F63" w:rsidRPr="007153E8" w:rsidRDefault="007153E8" w:rsidP="000A33AF">
            <w:pPr>
              <w:spacing w:after="120"/>
              <w:ind w:right="40"/>
              <w:jc w:val="right"/>
            </w:pPr>
            <w:r>
              <w:t>4</w:t>
            </w:r>
          </w:p>
        </w:tc>
      </w:tr>
      <w:tr w:rsidR="00DA7F63" w:rsidRPr="00C10BC6" w:rsidTr="00DA7F63">
        <w:tc>
          <w:tcPr>
            <w:tcW w:w="8910" w:type="dxa"/>
            <w:gridSpan w:val="2"/>
            <w:shd w:val="clear" w:color="auto" w:fill="auto"/>
          </w:tcPr>
          <w:p w:rsidR="00DA7F63" w:rsidRPr="00C10BC6" w:rsidRDefault="00DA7F63" w:rsidP="00DA7F63">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8820"/>
              </w:tabs>
              <w:suppressAutoHyphens/>
              <w:spacing w:after="120"/>
            </w:pPr>
            <w:r>
              <w:tab/>
            </w:r>
            <w:r w:rsidRPr="000A33AF">
              <w:t>Тематические рекомендации государствам</w:t>
            </w:r>
            <w:r>
              <w:rPr>
                <w:spacing w:val="60"/>
                <w:sz w:val="17"/>
              </w:rPr>
              <w:tab/>
            </w:r>
          </w:p>
        </w:tc>
        <w:tc>
          <w:tcPr>
            <w:tcW w:w="810" w:type="dxa"/>
            <w:shd w:val="clear" w:color="auto" w:fill="auto"/>
            <w:vAlign w:val="bottom"/>
          </w:tcPr>
          <w:p w:rsidR="00DA7F63" w:rsidRPr="007153E8" w:rsidRDefault="007153E8" w:rsidP="000A33AF">
            <w:pPr>
              <w:spacing w:after="120"/>
              <w:ind w:right="40"/>
              <w:jc w:val="right"/>
            </w:pPr>
            <w:r>
              <w:t>5</w:t>
            </w:r>
          </w:p>
        </w:tc>
      </w:tr>
      <w:tr w:rsidR="00DA7F63" w:rsidRPr="00C10BC6" w:rsidTr="00DA7F63">
        <w:tc>
          <w:tcPr>
            <w:tcW w:w="8910" w:type="dxa"/>
            <w:gridSpan w:val="2"/>
            <w:shd w:val="clear" w:color="auto" w:fill="auto"/>
          </w:tcPr>
          <w:p w:rsidR="00DA7F63" w:rsidRPr="00C10BC6" w:rsidRDefault="00DA7F63" w:rsidP="00DA7F63">
            <w:pPr>
              <w:numPr>
                <w:ilvl w:val="1"/>
                <w:numId w:val="11"/>
              </w:numPr>
              <w:tabs>
                <w:tab w:val="right" w:pos="1080"/>
                <w:tab w:val="left" w:pos="1296"/>
                <w:tab w:val="left" w:pos="1728"/>
                <w:tab w:val="left" w:pos="2160"/>
                <w:tab w:val="left" w:pos="2592"/>
                <w:tab w:val="left" w:pos="3024"/>
                <w:tab w:val="left" w:pos="3456"/>
                <w:tab w:val="left" w:pos="3888"/>
                <w:tab w:val="right" w:leader="dot" w:pos="8820"/>
              </w:tabs>
              <w:suppressAutoHyphens/>
              <w:spacing w:after="120"/>
            </w:pPr>
            <w:r w:rsidRPr="000A33AF">
              <w:t>Сбор и изучение данных</w:t>
            </w:r>
            <w:r>
              <w:rPr>
                <w:spacing w:val="60"/>
                <w:sz w:val="17"/>
              </w:rPr>
              <w:tab/>
            </w:r>
          </w:p>
        </w:tc>
        <w:tc>
          <w:tcPr>
            <w:tcW w:w="810" w:type="dxa"/>
            <w:shd w:val="clear" w:color="auto" w:fill="auto"/>
            <w:vAlign w:val="bottom"/>
          </w:tcPr>
          <w:p w:rsidR="00DA7F63" w:rsidRPr="007153E8" w:rsidRDefault="007153E8" w:rsidP="000A33AF">
            <w:pPr>
              <w:spacing w:after="120"/>
              <w:ind w:right="40"/>
              <w:jc w:val="right"/>
            </w:pPr>
            <w:r>
              <w:t>5</w:t>
            </w:r>
          </w:p>
        </w:tc>
      </w:tr>
      <w:tr w:rsidR="00DA7F63" w:rsidRPr="00C10BC6" w:rsidTr="00DA7F63">
        <w:tc>
          <w:tcPr>
            <w:tcW w:w="8910" w:type="dxa"/>
            <w:gridSpan w:val="2"/>
            <w:shd w:val="clear" w:color="auto" w:fill="auto"/>
          </w:tcPr>
          <w:p w:rsidR="00DA7F63" w:rsidRPr="00C10BC6" w:rsidRDefault="00DA7F63" w:rsidP="00DA7F63">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8820"/>
              </w:tabs>
              <w:suppressAutoHyphens/>
              <w:spacing w:after="120"/>
            </w:pPr>
            <w:r w:rsidRPr="000A33AF">
              <w:t>Доступ меньшинств к правосудию</w:t>
            </w:r>
            <w:r>
              <w:rPr>
                <w:spacing w:val="60"/>
                <w:sz w:val="17"/>
              </w:rPr>
              <w:tab/>
            </w:r>
          </w:p>
        </w:tc>
        <w:tc>
          <w:tcPr>
            <w:tcW w:w="810" w:type="dxa"/>
            <w:shd w:val="clear" w:color="auto" w:fill="auto"/>
            <w:vAlign w:val="bottom"/>
          </w:tcPr>
          <w:p w:rsidR="00DA7F63" w:rsidRPr="007153E8" w:rsidRDefault="007153E8" w:rsidP="000A33AF">
            <w:pPr>
              <w:spacing w:after="120"/>
              <w:ind w:right="40"/>
              <w:jc w:val="right"/>
            </w:pPr>
            <w:r>
              <w:t>8</w:t>
            </w:r>
          </w:p>
        </w:tc>
      </w:tr>
      <w:tr w:rsidR="00DA7F63" w:rsidRPr="00C10BC6" w:rsidTr="00DA7F63">
        <w:tc>
          <w:tcPr>
            <w:tcW w:w="8910" w:type="dxa"/>
            <w:gridSpan w:val="2"/>
            <w:shd w:val="clear" w:color="auto" w:fill="auto"/>
          </w:tcPr>
          <w:p w:rsidR="00DA7F63" w:rsidRPr="000A33AF" w:rsidRDefault="00DA7F63" w:rsidP="00DA7F63">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8820"/>
              </w:tabs>
              <w:suppressAutoHyphens/>
              <w:spacing w:after="120"/>
            </w:pPr>
            <w:r w:rsidRPr="000A33AF">
              <w:t>Меньшинства в местах лишения свободы</w:t>
            </w:r>
            <w:r>
              <w:rPr>
                <w:spacing w:val="60"/>
                <w:sz w:val="17"/>
              </w:rPr>
              <w:tab/>
            </w:r>
          </w:p>
        </w:tc>
        <w:tc>
          <w:tcPr>
            <w:tcW w:w="810" w:type="dxa"/>
            <w:shd w:val="clear" w:color="auto" w:fill="auto"/>
            <w:vAlign w:val="bottom"/>
          </w:tcPr>
          <w:p w:rsidR="00DA7F63" w:rsidRPr="000A33AF" w:rsidRDefault="007153E8" w:rsidP="000A33AF">
            <w:pPr>
              <w:spacing w:after="120"/>
              <w:ind w:right="40"/>
              <w:jc w:val="right"/>
            </w:pPr>
            <w:r>
              <w:t>12</w:t>
            </w:r>
          </w:p>
        </w:tc>
      </w:tr>
      <w:tr w:rsidR="00DA7F63" w:rsidRPr="00C10BC6" w:rsidTr="00DA7F63">
        <w:tc>
          <w:tcPr>
            <w:tcW w:w="8910" w:type="dxa"/>
            <w:gridSpan w:val="2"/>
            <w:shd w:val="clear" w:color="auto" w:fill="auto"/>
          </w:tcPr>
          <w:p w:rsidR="00DA7F63" w:rsidRPr="000A33AF" w:rsidRDefault="00DA7F63" w:rsidP="00DA7F63">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8820"/>
              </w:tabs>
              <w:suppressAutoHyphens/>
              <w:spacing w:after="120"/>
            </w:pPr>
            <w:r w:rsidRPr="000A33AF">
              <w:t>Судопроизводство и приговоры</w:t>
            </w:r>
            <w:r>
              <w:rPr>
                <w:spacing w:val="60"/>
                <w:sz w:val="17"/>
              </w:rPr>
              <w:tab/>
            </w:r>
          </w:p>
        </w:tc>
        <w:tc>
          <w:tcPr>
            <w:tcW w:w="810" w:type="dxa"/>
            <w:shd w:val="clear" w:color="auto" w:fill="auto"/>
            <w:vAlign w:val="bottom"/>
          </w:tcPr>
          <w:p w:rsidR="00DA7F63" w:rsidRPr="000A33AF" w:rsidRDefault="007153E8" w:rsidP="000A33AF">
            <w:pPr>
              <w:spacing w:after="120"/>
              <w:ind w:right="40"/>
              <w:jc w:val="right"/>
            </w:pPr>
            <w:r>
              <w:t>15</w:t>
            </w:r>
          </w:p>
        </w:tc>
      </w:tr>
      <w:tr w:rsidR="00DA7F63" w:rsidRPr="00C10BC6" w:rsidTr="00DA7F63">
        <w:tc>
          <w:tcPr>
            <w:tcW w:w="8910" w:type="dxa"/>
            <w:gridSpan w:val="2"/>
            <w:shd w:val="clear" w:color="auto" w:fill="auto"/>
          </w:tcPr>
          <w:p w:rsidR="00DA7F63" w:rsidRPr="00C10BC6" w:rsidRDefault="00DA7F63" w:rsidP="00473B37">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8820"/>
              </w:tabs>
              <w:suppressAutoHyphens/>
              <w:spacing w:after="120"/>
            </w:pPr>
            <w:r w:rsidRPr="000A33AF">
              <w:t>Основные меры по предупреждению дискриминации в отношении меньшинств при отправлении правосудия</w:t>
            </w:r>
            <w:r w:rsidR="001D3C41">
              <w:rPr>
                <w:spacing w:val="60"/>
                <w:sz w:val="17"/>
              </w:rPr>
              <w:tab/>
            </w:r>
          </w:p>
        </w:tc>
        <w:tc>
          <w:tcPr>
            <w:tcW w:w="810" w:type="dxa"/>
            <w:shd w:val="clear" w:color="auto" w:fill="auto"/>
            <w:vAlign w:val="bottom"/>
          </w:tcPr>
          <w:p w:rsidR="00DA7F63" w:rsidRPr="000A33AF" w:rsidRDefault="007153E8" w:rsidP="000A33AF">
            <w:pPr>
              <w:spacing w:after="120"/>
              <w:ind w:right="40"/>
              <w:jc w:val="right"/>
            </w:pPr>
            <w:r>
              <w:t>17</w:t>
            </w:r>
          </w:p>
        </w:tc>
      </w:tr>
      <w:tr w:rsidR="00DA7F63" w:rsidRPr="00C10BC6" w:rsidTr="00DA7F63">
        <w:tc>
          <w:tcPr>
            <w:tcW w:w="8910" w:type="dxa"/>
            <w:gridSpan w:val="2"/>
            <w:shd w:val="clear" w:color="auto" w:fill="auto"/>
          </w:tcPr>
          <w:p w:rsidR="00DA7F63" w:rsidRPr="00C10BC6" w:rsidRDefault="00DA7F63" w:rsidP="00DA7F63">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8820"/>
              </w:tabs>
              <w:suppressAutoHyphens/>
              <w:spacing w:after="120"/>
            </w:pPr>
            <w:r w:rsidRPr="000A33AF">
              <w:t>Образование, подготовка и создание потенциала</w:t>
            </w:r>
            <w:r>
              <w:rPr>
                <w:spacing w:val="60"/>
                <w:sz w:val="17"/>
              </w:rPr>
              <w:tab/>
            </w:r>
          </w:p>
        </w:tc>
        <w:tc>
          <w:tcPr>
            <w:tcW w:w="810" w:type="dxa"/>
            <w:shd w:val="clear" w:color="auto" w:fill="auto"/>
            <w:vAlign w:val="bottom"/>
          </w:tcPr>
          <w:p w:rsidR="00DA7F63" w:rsidRPr="000807C3" w:rsidRDefault="007153E8" w:rsidP="000A33AF">
            <w:pPr>
              <w:spacing w:after="120"/>
              <w:ind w:right="40"/>
              <w:jc w:val="right"/>
            </w:pPr>
            <w:r>
              <w:t>17</w:t>
            </w:r>
          </w:p>
        </w:tc>
      </w:tr>
      <w:tr w:rsidR="00DA7F63" w:rsidRPr="00C10BC6" w:rsidTr="00DA7F63">
        <w:tc>
          <w:tcPr>
            <w:tcW w:w="8910" w:type="dxa"/>
            <w:gridSpan w:val="2"/>
            <w:shd w:val="clear" w:color="auto" w:fill="auto"/>
          </w:tcPr>
          <w:p w:rsidR="00DA7F63" w:rsidRPr="00C10BC6" w:rsidRDefault="00DA7F63" w:rsidP="00DA7F63">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8820"/>
              </w:tabs>
              <w:suppressAutoHyphens/>
              <w:spacing w:after="120"/>
            </w:pPr>
            <w:r w:rsidRPr="000A33AF">
              <w:t>Взаимодействие с общинами</w:t>
            </w:r>
            <w:r>
              <w:rPr>
                <w:spacing w:val="60"/>
                <w:sz w:val="17"/>
              </w:rPr>
              <w:tab/>
            </w:r>
          </w:p>
        </w:tc>
        <w:tc>
          <w:tcPr>
            <w:tcW w:w="810" w:type="dxa"/>
            <w:shd w:val="clear" w:color="auto" w:fill="auto"/>
            <w:vAlign w:val="bottom"/>
          </w:tcPr>
          <w:p w:rsidR="00DA7F63" w:rsidRPr="000807C3" w:rsidRDefault="007153E8" w:rsidP="000A33AF">
            <w:pPr>
              <w:spacing w:after="120"/>
              <w:ind w:right="40"/>
              <w:jc w:val="right"/>
            </w:pPr>
            <w:r>
              <w:t>18</w:t>
            </w:r>
          </w:p>
        </w:tc>
      </w:tr>
      <w:tr w:rsidR="00DA7F63" w:rsidRPr="00C10BC6" w:rsidTr="00DA7F63">
        <w:tc>
          <w:tcPr>
            <w:tcW w:w="8910" w:type="dxa"/>
            <w:gridSpan w:val="2"/>
            <w:shd w:val="clear" w:color="auto" w:fill="auto"/>
          </w:tcPr>
          <w:p w:rsidR="00DA7F63" w:rsidRPr="000A33AF" w:rsidRDefault="00DA7F63" w:rsidP="00DA7F63">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8820"/>
              </w:tabs>
              <w:suppressAutoHyphens/>
              <w:spacing w:after="120"/>
            </w:pPr>
            <w:r w:rsidRPr="000A33AF">
              <w:t>Расширение разнообразия в рамках системы</w:t>
            </w:r>
            <w:r>
              <w:rPr>
                <w:spacing w:val="60"/>
                <w:sz w:val="17"/>
              </w:rPr>
              <w:tab/>
            </w:r>
          </w:p>
        </w:tc>
        <w:tc>
          <w:tcPr>
            <w:tcW w:w="810" w:type="dxa"/>
            <w:shd w:val="clear" w:color="auto" w:fill="auto"/>
            <w:vAlign w:val="bottom"/>
          </w:tcPr>
          <w:p w:rsidR="00DA7F63" w:rsidRPr="000807C3" w:rsidRDefault="007153E8" w:rsidP="000A33AF">
            <w:pPr>
              <w:spacing w:after="120"/>
              <w:ind w:right="40"/>
              <w:jc w:val="right"/>
            </w:pPr>
            <w:r>
              <w:t>18</w:t>
            </w:r>
          </w:p>
        </w:tc>
      </w:tr>
      <w:tr w:rsidR="00DA7F63" w:rsidRPr="00C10BC6" w:rsidTr="00DA7F63">
        <w:tc>
          <w:tcPr>
            <w:tcW w:w="8910" w:type="dxa"/>
            <w:gridSpan w:val="2"/>
            <w:shd w:val="clear" w:color="auto" w:fill="auto"/>
          </w:tcPr>
          <w:p w:rsidR="00DA7F63" w:rsidRPr="000A33AF" w:rsidRDefault="00DA7F63" w:rsidP="00DA7F63">
            <w:pPr>
              <w:numPr>
                <w:ilvl w:val="1"/>
                <w:numId w:val="11"/>
              </w:numPr>
              <w:tabs>
                <w:tab w:val="right" w:pos="1080"/>
                <w:tab w:val="left" w:pos="1296"/>
                <w:tab w:val="left" w:pos="1728"/>
                <w:tab w:val="left" w:pos="2160"/>
                <w:tab w:val="left" w:pos="2592"/>
                <w:tab w:val="left" w:pos="3024"/>
                <w:tab w:val="left" w:pos="3456"/>
                <w:tab w:val="right" w:leader="dot" w:pos="8820"/>
              </w:tabs>
              <w:suppressAutoHyphens/>
              <w:spacing w:after="120"/>
            </w:pPr>
            <w:r w:rsidRPr="000A33AF">
              <w:t xml:space="preserve">Независимые механизмы обеспечения надзора, подотчетности </w:t>
            </w:r>
            <w:r>
              <w:br/>
            </w:r>
            <w:r w:rsidRPr="000A33AF">
              <w:t>и добросовестности</w:t>
            </w:r>
            <w:r>
              <w:rPr>
                <w:spacing w:val="60"/>
                <w:sz w:val="17"/>
              </w:rPr>
              <w:tab/>
            </w:r>
          </w:p>
        </w:tc>
        <w:tc>
          <w:tcPr>
            <w:tcW w:w="810" w:type="dxa"/>
            <w:shd w:val="clear" w:color="auto" w:fill="auto"/>
            <w:vAlign w:val="bottom"/>
          </w:tcPr>
          <w:p w:rsidR="00DA7F63" w:rsidRPr="000807C3" w:rsidRDefault="007153E8" w:rsidP="000A33AF">
            <w:pPr>
              <w:spacing w:after="120"/>
              <w:ind w:right="40"/>
              <w:jc w:val="right"/>
            </w:pPr>
            <w:r>
              <w:t>19</w:t>
            </w:r>
          </w:p>
        </w:tc>
      </w:tr>
      <w:tr w:rsidR="00DA7F63" w:rsidRPr="00C10BC6" w:rsidTr="00DA7F63">
        <w:tc>
          <w:tcPr>
            <w:tcW w:w="8910" w:type="dxa"/>
            <w:gridSpan w:val="2"/>
            <w:shd w:val="clear" w:color="auto" w:fill="auto"/>
          </w:tcPr>
          <w:p w:rsidR="00DA7F63" w:rsidRPr="00C10BC6" w:rsidRDefault="00DA7F63" w:rsidP="00DA7F63">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8820"/>
              </w:tabs>
              <w:suppressAutoHyphens/>
              <w:spacing w:after="120"/>
            </w:pPr>
            <w:r>
              <w:tab/>
            </w:r>
            <w:r w:rsidRPr="000A33AF">
              <w:t>Рекомендации негосударственным субъектам</w:t>
            </w:r>
            <w:r>
              <w:rPr>
                <w:spacing w:val="60"/>
                <w:sz w:val="17"/>
              </w:rPr>
              <w:tab/>
            </w:r>
          </w:p>
        </w:tc>
        <w:tc>
          <w:tcPr>
            <w:tcW w:w="810" w:type="dxa"/>
            <w:shd w:val="clear" w:color="auto" w:fill="auto"/>
            <w:vAlign w:val="bottom"/>
          </w:tcPr>
          <w:p w:rsidR="00DA7F63" w:rsidRPr="000A33AF" w:rsidRDefault="007153E8" w:rsidP="000A33AF">
            <w:pPr>
              <w:spacing w:after="120"/>
              <w:ind w:right="40"/>
              <w:jc w:val="right"/>
            </w:pPr>
            <w:r>
              <w:t>21</w:t>
            </w:r>
          </w:p>
        </w:tc>
      </w:tr>
      <w:tr w:rsidR="00DA7F63" w:rsidRPr="00C10BC6" w:rsidTr="00DA7F63">
        <w:tc>
          <w:tcPr>
            <w:tcW w:w="8910" w:type="dxa"/>
            <w:gridSpan w:val="2"/>
            <w:shd w:val="clear" w:color="auto" w:fill="auto"/>
          </w:tcPr>
          <w:p w:rsidR="00DA7F63" w:rsidRPr="00C10BC6" w:rsidRDefault="00DA7F63" w:rsidP="00DA7F63">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8820"/>
              </w:tabs>
              <w:suppressAutoHyphens/>
              <w:spacing w:after="120"/>
            </w:pPr>
            <w:r>
              <w:tab/>
            </w:r>
            <w:r w:rsidRPr="000A33AF">
              <w:t>Рекомендации международным и региональным организациям</w:t>
            </w:r>
            <w:r>
              <w:rPr>
                <w:spacing w:val="60"/>
                <w:sz w:val="17"/>
              </w:rPr>
              <w:tab/>
            </w:r>
          </w:p>
        </w:tc>
        <w:tc>
          <w:tcPr>
            <w:tcW w:w="810" w:type="dxa"/>
            <w:shd w:val="clear" w:color="auto" w:fill="auto"/>
            <w:vAlign w:val="bottom"/>
          </w:tcPr>
          <w:p w:rsidR="00DA7F63" w:rsidRPr="000A33AF" w:rsidRDefault="007153E8" w:rsidP="000A33AF">
            <w:pPr>
              <w:spacing w:after="120"/>
              <w:ind w:right="40"/>
              <w:jc w:val="right"/>
            </w:pPr>
            <w:r>
              <w:t>23</w:t>
            </w:r>
          </w:p>
        </w:tc>
      </w:tr>
    </w:tbl>
    <w:p w:rsidR="000A33AF" w:rsidRPr="000A33AF" w:rsidRDefault="000A33AF" w:rsidP="000A33AF"/>
    <w:p w:rsidR="000A33AF" w:rsidRPr="000A33AF" w:rsidRDefault="000A33AF" w:rsidP="00EB728C">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A33AF">
        <w:tab/>
      </w:r>
      <w:r w:rsidRPr="000A33AF">
        <w:br w:type="page"/>
      </w:r>
      <w:r w:rsidR="00EB728C">
        <w:lastRenderedPageBreak/>
        <w:tab/>
      </w:r>
      <w:r w:rsidRPr="000A33AF">
        <w:t>I.</w:t>
      </w:r>
      <w:r w:rsidRPr="000A33AF">
        <w:tab/>
        <w:t>Введение</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47025">
      <w:pPr>
        <w:pStyle w:val="SingleTxt"/>
      </w:pPr>
      <w:r w:rsidRPr="000A33AF">
        <w:t>1.</w:t>
      </w:r>
      <w:r w:rsidRPr="000A33AF">
        <w:tab/>
        <w:t xml:space="preserve">В соответствии с резолюциями 6/15 и 19/23 Совета по правам человека в настоящем докладе приводятся рекомендации Форума по вопросам меньшинств. Восьмая сессия Форума проходила 24 и 25 ноября 2015 года и была посвящена теме «Меньшинства в системе уголовного правосудия». Работой Форума руководила Специальный докладчик по вопросам меньшинств г-жа Рита Ижак. Председателем сессии являлся Джошуа Кастеллино из Индии. На сессии присутствовало свыше 500 участников, включая представителей государств-членов и общин меньшинств, неправительственных организаций, специализированных учреждений Организации Объединенных Наций, региональных и межправительственных органов и национальных правозащитных учреждений. </w:t>
      </w:r>
    </w:p>
    <w:p w:rsidR="000A33AF" w:rsidRPr="000A33AF" w:rsidRDefault="000A33AF" w:rsidP="00E47025">
      <w:pPr>
        <w:pStyle w:val="SingleTxt"/>
      </w:pPr>
      <w:r w:rsidRPr="000A33AF">
        <w:t>2.</w:t>
      </w:r>
      <w:r w:rsidRPr="000A33AF">
        <w:tab/>
        <w:t xml:space="preserve">Содержащиеся в настоящем документе рекомендации подготовлены главным образом на основе положений Декларации о правах лиц, принадлежащих к национальным или этническим, религиозным и языковым меньшинствам. </w:t>
      </w:r>
      <w:r w:rsidRPr="000A33AF">
        <w:br/>
        <w:t xml:space="preserve">В Декларации признается, что всеобъемлющее осуществление прав меньшинств и существование надлежащих институциональных и политических структур может эффективно способствовать ликвидации всех форм дискриминации в отношении членов общин меньшинств, а также содействовать достижению ими полного равенства перед законом без какой-либо дискриминации. </w:t>
      </w:r>
    </w:p>
    <w:p w:rsidR="000A33AF" w:rsidRPr="000A33AF" w:rsidRDefault="000A33AF" w:rsidP="00E47025">
      <w:pPr>
        <w:pStyle w:val="SingleTxt"/>
      </w:pPr>
      <w:r w:rsidRPr="000A33AF">
        <w:t>3.</w:t>
      </w:r>
      <w:r w:rsidRPr="000A33AF">
        <w:tab/>
        <w:t>Помимо этого</w:t>
      </w:r>
      <w:r w:rsidR="002F1222">
        <w:t>,</w:t>
      </w:r>
      <w:r w:rsidRPr="000A33AF">
        <w:t xml:space="preserve"> рекомендации основываются на действующих нормах в области прав человека, международных и региональных договорных документах, принципах и руководящих указаниях в отношении справедливого и эффективного обеспечения прав меньшинств на всех этапах процесса отправления уголовного правосудия, в том числе на решениях и замечаниях общего порядка договорных органов Организации Объединенных Наций, а также на соответствующих докладах и рекомендациях различных мандатариев специальных процедур. </w:t>
      </w:r>
    </w:p>
    <w:p w:rsidR="000A33AF" w:rsidRPr="000A33AF" w:rsidRDefault="000A33AF" w:rsidP="00E47025">
      <w:pPr>
        <w:pStyle w:val="SingleTxt"/>
      </w:pPr>
      <w:r w:rsidRPr="000A33AF">
        <w:t>4.</w:t>
      </w:r>
      <w:r w:rsidRPr="000A33AF">
        <w:tab/>
        <w:t>Рекомендации составлены с учетом широкого разнообразия правовых систем и условий существования меньшинств в различных районах мира, и в них признается, что разным системам свойственны присущие им особенности нарушений прав меньшинств и что вследствие этого могут потребоваться самые разные меры для защиты прав меньшинств в контексте отправления уголовного правосудия в том или ином конкретном государстве. Настоящий документ не претендует на рассмотрение всего разнообразия национальных систем уголовного правосудия и выяснение вопроса о том, каким образом те или иные системы могут способствовать возникновению или обострению конкретных форм дискриминации в отношении меньшинств.</w:t>
      </w:r>
    </w:p>
    <w:p w:rsidR="000A33AF" w:rsidRPr="000A33AF" w:rsidRDefault="000A33AF" w:rsidP="00E47025">
      <w:pPr>
        <w:pStyle w:val="SingleTxt"/>
      </w:pPr>
      <w:r w:rsidRPr="000A33AF">
        <w:t>5.</w:t>
      </w:r>
      <w:r w:rsidRPr="000A33AF">
        <w:tab/>
        <w:t>Рекомендации призваны служить основой для ознакомления государственных органов, руководящих работников, государственных служащих, групп меньшинств, неправительственных организаций, академических кругов и прочих заинтересованных сторон с рядом серьезных проблем, с которыми сталкиваются меньшинства на различных этапах процесса отправления уголовного правосудия, и содержат предложения по решению некоторых из них.</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B728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r>
      <w:r w:rsidRPr="000A33AF">
        <w:rPr>
          <w:lang w:val="en-US"/>
        </w:rPr>
        <w:t>II</w:t>
      </w:r>
      <w:r w:rsidRPr="000A33AF">
        <w:t>.</w:t>
      </w:r>
      <w:r w:rsidRPr="000A33AF">
        <w:tab/>
        <w:t xml:space="preserve">Общие соображения </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47025">
      <w:pPr>
        <w:pStyle w:val="SingleTxt"/>
      </w:pPr>
      <w:r w:rsidRPr="000A33AF">
        <w:t>6.</w:t>
      </w:r>
      <w:r w:rsidRPr="000A33AF">
        <w:tab/>
        <w:t>Предлагаемые в настоящем документе рекомендации следует рассматривать совместно с субстантивными и практическими рекомендациями, выработанными на семи предыдущих сессиях Форума по вопросам меньшинств, поскольку они равным образом применимы к ситуациям, требующим предупреждения и ликвидации дискриминации в системе уголовного правосудия.</w:t>
      </w:r>
    </w:p>
    <w:p w:rsidR="000A33AF" w:rsidRPr="000A33AF" w:rsidRDefault="000A33AF" w:rsidP="00E47025">
      <w:pPr>
        <w:pStyle w:val="SingleTxt"/>
      </w:pPr>
      <w:r w:rsidRPr="000A33AF">
        <w:t>7.</w:t>
      </w:r>
      <w:r w:rsidRPr="000A33AF">
        <w:tab/>
        <w:t xml:space="preserve">В частности, участники предыдущих сессий Форума рассмотрели некоторые из наиболее принципиальных, застарелых проблем и трудностей, препятствующих доступу меньшинств к основным экономическим, социальным, культурным, гражданским и политическим правам и лишающих их возможности в полном объеме и на основе равноправия участвовать в социально-экономической и политической жизни государства. В настоящих рекомендациях признается важность решения проблемы системного характера социального и экономического неравенства и политической маргинализации, в том числе фактически узаконенной дискриминации меньшинств как одного из неотъемлемых элементов сложных взаимосвязей между неравенством и противоправным поведением. Соответственно в рекомендациях признается обязанность государств поддерживать инициативы, включая программы упреждающих действий, направленные на борьбу с социальным, экономическим и политическим неравенством меньшинств. В этой связи государствам следует также рассмотреть возможность принятия специальных мер в отношении групп меньшинств. </w:t>
      </w:r>
    </w:p>
    <w:p w:rsidR="000A33AF" w:rsidRPr="000A33AF" w:rsidRDefault="000A33AF" w:rsidP="00E47025">
      <w:pPr>
        <w:pStyle w:val="SingleTxt"/>
      </w:pPr>
      <w:r w:rsidRPr="000A33AF">
        <w:t>8.</w:t>
      </w:r>
      <w:r w:rsidRPr="000A33AF">
        <w:tab/>
        <w:t>Важно напомнить, что гендерный подход к реализации законов, программ и мер, касающихся женщин из групп меньшинств, крайне важен в условиях, когда на различных этапах процесса отправления уголовного правосудия, в том числе в тюрьмах практически всех стран, принадлежащие к меньшинствам женщины и девушки могут подвергаться многофакторным и перекрестным формам дискриминации независимо от того, находятся они в положении жертв, виновных или свидетелей.</w:t>
      </w:r>
    </w:p>
    <w:p w:rsidR="000A33AF" w:rsidRPr="000A33AF" w:rsidRDefault="000A33AF" w:rsidP="00E47025">
      <w:pPr>
        <w:pStyle w:val="SingleTxt"/>
      </w:pPr>
      <w:r w:rsidRPr="000A33AF">
        <w:t>9.</w:t>
      </w:r>
      <w:r w:rsidRPr="000A33AF">
        <w:tab/>
        <w:t>Следует также принимать меры по удовлетворению потребностей и обеспечению прав принадлежащих к меньшинствам детей в соответствии с международными стандартами отправления правосудия в отношении несовершеннолетних и защиты прав детей.</w:t>
      </w:r>
    </w:p>
    <w:p w:rsidR="000A33AF" w:rsidRPr="000A33AF" w:rsidRDefault="000A33AF" w:rsidP="00E47025">
      <w:pPr>
        <w:pStyle w:val="SingleTxt"/>
      </w:pPr>
      <w:r w:rsidRPr="000A33AF">
        <w:t>10.</w:t>
      </w:r>
      <w:r w:rsidRPr="000A33AF">
        <w:tab/>
        <w:t>Все принимаемые для выполнения рекомендаций меры должны насколько это возможно разрабатываться, планироваться, осуществляться, контролироваться и оцениваться в консультации с меньшинствами, включая женщин, и при их действенном участии.</w:t>
      </w:r>
    </w:p>
    <w:p w:rsidR="000A33AF" w:rsidRPr="000A33AF" w:rsidRDefault="000A33AF" w:rsidP="00E47025">
      <w:pPr>
        <w:pStyle w:val="SingleTxt"/>
      </w:pPr>
      <w:r w:rsidRPr="000A33AF">
        <w:t>11.</w:t>
      </w:r>
      <w:r w:rsidRPr="000A33AF">
        <w:tab/>
        <w:t>Признание статуса меньшинства не следует оставлять исключительно на усмотрение государства. Как указывает Комитет по правам человека в своем авторитетном толковании в рамках принятого им замечания общего порядка № 23 (1994) о правах меньшинств (пункт 5.2), существование меньшинств должно устанавливаться на основе объективных критериев. Следует делать все возможное для соблюдения принципа самоидентификации.</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B728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r>
      <w:r w:rsidRPr="000A33AF">
        <w:rPr>
          <w:lang w:val="en-US"/>
        </w:rPr>
        <w:t>III</w:t>
      </w:r>
      <w:r w:rsidRPr="000A33AF">
        <w:t>.</w:t>
      </w:r>
      <w:r w:rsidRPr="000A33AF">
        <w:tab/>
        <w:t>Общие рекомендации государствам</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47025">
      <w:pPr>
        <w:pStyle w:val="SingleTxt"/>
      </w:pPr>
      <w:r w:rsidRPr="000A33AF">
        <w:t>12.</w:t>
      </w:r>
      <w:r w:rsidRPr="000A33AF">
        <w:tab/>
        <w:t>Независимо от уголовного законодательства конкретного государства или применяемых в нем процедур (состязательных, следственных и смешанных) международное право обязывает государства обеспечивать осуществление всеми находящимися под его юрисдикцией лицами своих основных прав в рамках системы уголовного правосудия, к которым относятся: право на справедливое разбирательство дела компетентным, независимым и беспристрастным судом, созданным на основании закона, и право на юридическую помощь; презумпция невиновности; принципы законности и отсутствия обратной силы более строгих уголовных законов; принцип недопустимости двойной ответственности; запрет пыток и жестокого, бесчеловечного и унижающего достоинство обращения и недопустимость получения признаний с помощью пыток либо жестокого, бесчеловечного или унижающего достоинство обращения; а также право на свободу и личную неприкосновенность, запрет применения наказания в виде тюремного заключения за невыполнение гражданско-правового обязательства и надлежащие процессуальные гарантии защиты упомянутых прав.</w:t>
      </w:r>
    </w:p>
    <w:p w:rsidR="000A33AF" w:rsidRPr="000A33AF" w:rsidRDefault="000A33AF" w:rsidP="00E47025">
      <w:pPr>
        <w:pStyle w:val="SingleTxt"/>
      </w:pPr>
      <w:r w:rsidRPr="000A33AF">
        <w:t>13.</w:t>
      </w:r>
      <w:r w:rsidRPr="000A33AF">
        <w:tab/>
        <w:t xml:space="preserve">Государства должны принимать целенаправленные меры по поощрению равного обращения с меньшинствами в системе уголовного правосудия. Жизнеспособность системы уголовного правосудия зависит от уверенности общества в том, что на любом этапе судопроизводства, от предварительного расследования преступления полицией до возбуждения дела и вынесения приговора, обеспечивается одинаковое обращение с находящимися в сходных обстоятельствах лицами в соответствии с предусмотренными законодательством основополагающими гарантиями равного обращения. </w:t>
      </w:r>
    </w:p>
    <w:p w:rsidR="000A33AF" w:rsidRPr="000A33AF" w:rsidRDefault="000A33AF" w:rsidP="00E47025">
      <w:pPr>
        <w:pStyle w:val="SingleTxt"/>
      </w:pPr>
      <w:r w:rsidRPr="000A33AF">
        <w:t>14.</w:t>
      </w:r>
      <w:r w:rsidRPr="000A33AF">
        <w:tab/>
        <w:t>Государства в сотрудничестве с представителями меньшинств должны стремиться к демонтажу дискриминационных механизмов в системе уголовного правосудия, в том числе путем выявления и ликвидации дискриминации в законодательных актах по вопросам существа и/или процессуальных действий и косвенной дискриминации, возникающей в результате осуществления законов, политики или практики, которые презюмируются как нейтральные, но в реальности имеют дискриминационные последствия. Следует поощрять дальнейшие исследования с целью определения характера и масштабов данной проблемы, а также осуществления национальных стратегий или планов действий по ликвидации дискриминации, в том числе институциональной дискриминации в отношении меньшинств.</w:t>
      </w:r>
    </w:p>
    <w:p w:rsidR="000A33AF" w:rsidRPr="000A33AF" w:rsidRDefault="000A33AF" w:rsidP="00E47025">
      <w:pPr>
        <w:pStyle w:val="SingleTxt"/>
      </w:pPr>
      <w:r w:rsidRPr="000A33AF">
        <w:t>15.</w:t>
      </w:r>
      <w:r w:rsidRPr="000A33AF">
        <w:tab/>
        <w:t>Основой любых действий или инициатив по предупреждению и ликвидации дискриминации в отношении групп меньшинств на всех этапах отправления правосудия является всеобъемлющее выполнение международных стандартов защиты прав меньшинств, равенства и недискриминации. В большинстве государств по этому вопросу имеются общие законодательные положения, однако меньшинства зачастую оказываются в ситуациях, когда, будучи формально равны перед законом и судами, они сталкиваются со структурной дискриминацией в форме различий, исключений, ограничений или предпочтений, которые влекут за собой неравное обращение и усиление неравенства.</w:t>
      </w:r>
    </w:p>
    <w:p w:rsidR="000A33AF" w:rsidRPr="000A33AF" w:rsidRDefault="000A33AF" w:rsidP="00E47025">
      <w:pPr>
        <w:pStyle w:val="SingleTxt"/>
      </w:pPr>
      <w:r w:rsidRPr="000A33AF">
        <w:t>16.</w:t>
      </w:r>
      <w:r w:rsidRPr="000A33AF">
        <w:tab/>
        <w:t xml:space="preserve">Эффективные меры по борьбе с терроризмом и защите прав человека, включая права меньшинств, преследуют смежные и взаимодополняющие цели, которых следует добиваться совместными усилиями в контексте обязанности государств защищать находящихся под их юрисдикцией лиц. В этой связи государства должны обеспечивать соответствие международным стандартам в области прав человека всех контртеррористических мероприятий, включая законодательство о борьбе с терроризмом и расширенные полицейские, военные и разведывательные операции, и не допускать их необоснованной нацеленности на членов общин или групп меньшинств исключительно по признаку их принадлежности к меньшинствам или их участия либо предполагаемого участия в той или иной группе меньшинств. </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B728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r>
      <w:r w:rsidRPr="000A33AF">
        <w:rPr>
          <w:lang w:val="en-US"/>
        </w:rPr>
        <w:t>IV</w:t>
      </w:r>
      <w:r w:rsidRPr="000A33AF">
        <w:t>.</w:t>
      </w:r>
      <w:r w:rsidRPr="000A33AF">
        <w:tab/>
        <w:t>Тематические рекомендации государствам</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B728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А.</w:t>
      </w:r>
      <w:r w:rsidRPr="000A33AF">
        <w:tab/>
        <w:t>Сбор и изучение данных</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47025">
      <w:pPr>
        <w:pStyle w:val="SingleTxt"/>
      </w:pPr>
      <w:r w:rsidRPr="000A33AF">
        <w:t>17.</w:t>
      </w:r>
      <w:r w:rsidRPr="000A33AF">
        <w:tab/>
        <w:t>Одним из основных препятствий на пути прогресса в области борьбы с дискриминацией в отношении меньшинств в системе уголовного правосудия остается неспособность многих государств наладить сбор и анализ должным образом дезагрегированных данных. Этот пробел затрудняет проведение качественного и надежного анализа, позволяющего получить объективную информацию об участии лиц, принадлежащих к группам меньшинств, во всех аспектах отправления правосудия. Собираемые данные могут указывать на имеющиеся у государств проблемы в конкретных областях отправления уголовного правосудия и при этом могут также служить важным показателем достигнутого государствами прогресса.</w:t>
      </w:r>
    </w:p>
    <w:p w:rsidR="000A33AF" w:rsidRPr="000A33AF" w:rsidRDefault="000A33AF" w:rsidP="00E47025">
      <w:pPr>
        <w:pStyle w:val="SingleTxt"/>
      </w:pPr>
      <w:r w:rsidRPr="000A33AF">
        <w:t>18.</w:t>
      </w:r>
      <w:r w:rsidRPr="000A33AF">
        <w:tab/>
        <w:t>Сбор и использование данных следует осуществлять с надлежащим учетом принципов самоидентификации и согласия. В этой связи важно признать, что мнение того или иного лица о своей личной идентификации может сильно отличаться от мнения по этому вопросу должностных лиц или исследователей. В соответствии с международной передовой практикой респондентам всегда следует предоставлять возможность указывать несколько вариантов этнической принадлежности или вообще не указывать ее. Это особенно важно при правоохранительных операциях, сопряженных с реальной опасностью неправомерного использования данных об этнической принадлежности в целях расового или этнического профилирования. К тому же зачастую выяснялось, что причиной расового профилирования служили представления сотрудников правоохранительных органов, которые в основном принадлежат к большинству населения, и поэтому о таких представлениях также следует собирать данные.</w:t>
      </w:r>
    </w:p>
    <w:p w:rsidR="000A33AF" w:rsidRPr="000A33AF" w:rsidRDefault="000A33AF" w:rsidP="00E47025">
      <w:pPr>
        <w:pStyle w:val="SingleTxt"/>
      </w:pPr>
      <w:r w:rsidRPr="000A33AF">
        <w:t xml:space="preserve">19. </w:t>
      </w:r>
      <w:r w:rsidRPr="000A33AF">
        <w:tab/>
        <w:t>Государствам следует обеспечивать применение надежных гарантий защиты данных и мер по контролю за их разглашением. Характер намеченных к сбору данных должен определяться участием общественности и пониманием последствий их возможного использования. В этой связи государствам надлежит рассмотреть вопрос о создании соответствующих механизмов защиты данных или органов, обладающих контрольными полномочиями, в целях обеспечения соответствия процессов сбора, регистрации, хранения, извлечения, пересылки, блокирования или стирания данных строгим правилам защиты личной информации, которые применяются в отношении такой деятельности.</w:t>
      </w:r>
    </w:p>
    <w:p w:rsidR="000A33AF" w:rsidRPr="000A33AF" w:rsidRDefault="000A33AF" w:rsidP="00E47025">
      <w:pPr>
        <w:pStyle w:val="SingleTxt"/>
      </w:pPr>
      <w:r w:rsidRPr="000A33AF">
        <w:t>20.</w:t>
      </w:r>
      <w:r w:rsidRPr="000A33AF">
        <w:tab/>
        <w:t>Государства должны обеспечивать доступность таких данных и исследований для общественности и представлять их в таком формате, который был бы удобен для толкования и оценки всеми потенциальными пользователями, включая отдельных представителей меньшинств и группы меньшинств.</w:t>
      </w:r>
    </w:p>
    <w:p w:rsidR="000A33AF" w:rsidRPr="000A33AF" w:rsidRDefault="000A33AF" w:rsidP="00E47025">
      <w:pPr>
        <w:pStyle w:val="SingleTxt"/>
      </w:pPr>
      <w:r w:rsidRPr="000A33AF">
        <w:t>21.</w:t>
      </w:r>
      <w:r w:rsidRPr="000A33AF">
        <w:tab/>
        <w:t>Государствам следует устанавливать надлежащие правила обращения с данными, свидетельствующими о повышенной представленности определенных групп меньшинств среди лиц, арестованных или заключенных в тюрьму за уголовные преступления, с тем чтобы эти данные не использовались для распространения негативных стереотипов, увязывающих принадлежность к меньшинствам с преступностью. Сказанное весьма важно, поскольку повышенная представленность меньшинств в системах уголовного правосудия зачастую объясняется скорее структурной дискриминацией и такими факторами, как чрезмерный полицейский надзор над общинами меньшинств.</w:t>
      </w:r>
    </w:p>
    <w:p w:rsidR="000A33AF" w:rsidRPr="000A33AF" w:rsidRDefault="000A33AF" w:rsidP="00E47025">
      <w:pPr>
        <w:pStyle w:val="SingleTxt"/>
      </w:pPr>
      <w:r w:rsidRPr="000A33AF">
        <w:t>22.</w:t>
      </w:r>
      <w:r w:rsidRPr="000A33AF">
        <w:tab/>
        <w:t xml:space="preserve">Государствам следует разработать всеобъемлющий комплекс стандартизированных инструментов, включая автоматизированные системы, которые бы помогали им оценивать эффективность действий учреждений системы уголовного правосудия на основе набора объективных стандартных критериев. Такие критерии должны включать: тип прав, нарушаемых на всех этапах процессов отправления уголовного правосудия; значимые характерные особенности или статус жертв, включая гендерную принадлежность, и правонарушителей, т.е. государственные служащие, частные компании или отдельные лица; место и время совершения нарушений; результаты судебного разбирательства, например, признание подсудимого виновным, вынесение приговора и выплата компенсации. Государствам надлежит уделять должное внимание возможности того, что в результате прохождения подготовки или под влиянием собственного предвзятого отношения у государственных служащих могут сложиться представления о том, что меньшинства будто бы более склонны к противоправной деятельности нежели не принадлежащее к меньшинствам население, и в этой связи государства должны осуществлять сбор данных для изучения таких представлений. </w:t>
      </w:r>
    </w:p>
    <w:p w:rsidR="000A33AF" w:rsidRPr="000A33AF" w:rsidRDefault="000A33AF" w:rsidP="00E47025">
      <w:pPr>
        <w:pStyle w:val="SingleTxt"/>
      </w:pPr>
      <w:r w:rsidRPr="000A33AF">
        <w:t>23.</w:t>
      </w:r>
      <w:r w:rsidRPr="000A33AF">
        <w:tab/>
        <w:t xml:space="preserve">Государствам следует осуществлять систематическую классификацию жалоб и сообщений о случаях предполагаемых нарушений в отношении меньшинств в интересах принятия последующих мер и проведения сравнительных  исследований в динамике по времени и в рамках системы уголовного правосудия. С этой целью государствам следует рассмотреть возможность создания координационных комитетов или целевых групп в составе представителей основных структур системы уголовного правосудия для обеспечения конфиденциального, своевременного и эффективного общесистемного обмена информацией по каждому делу, а также для компьютеризации и обеспечения доступности для анализа всей имеющейся по делам информации. </w:t>
      </w:r>
    </w:p>
    <w:p w:rsidR="000A33AF" w:rsidRPr="000A33AF" w:rsidRDefault="000A33AF" w:rsidP="00E47025">
      <w:pPr>
        <w:pStyle w:val="SingleTxt"/>
      </w:pPr>
      <w:r w:rsidRPr="000A33AF">
        <w:t>24.</w:t>
      </w:r>
      <w:r w:rsidRPr="000A33AF">
        <w:tab/>
        <w:t>Государствам предлагается проводить виктимологические исследования (или обследования жертв), позволяющие охватывать более широкий диапазон  преступлений, включая не выявленные преступления, и выяснять характерные черты жертв и их опыт общения с системой уголовного правосудия, правонарушителей, а также другие особенности преступных деяний. Это даст возможность добиться более глубокого понимания преступности, включая ее последствия для меньшинств. «Руководство по проведению виктимологических исследований», подготовленное Управлением по наркотикам и преступности Организации Объединенных Наций (ЮНОДК) и Европейской экономической комиссией Организации Объединенных Наций, служит практическим пособием по осуществлению таких исследований, в котором рассматриваются вопросы полицейской отчетности, методики анализа данных и порядка представления выводов с учетом положения меньшинств.</w:t>
      </w:r>
    </w:p>
    <w:p w:rsidR="000A33AF" w:rsidRPr="000A33AF" w:rsidRDefault="000A33AF" w:rsidP="00E47025">
      <w:pPr>
        <w:pStyle w:val="SingleTxt"/>
      </w:pPr>
      <w:r w:rsidRPr="000A33AF">
        <w:t>25.</w:t>
      </w:r>
      <w:r w:rsidRPr="000A33AF">
        <w:tab/>
        <w:t>Государствам следует рассмотреть возможность проведения обзоров обращающихся в суды лиц в интересах более глубокого понимания их опыта. Такие инструменты доказали свою эффективность для определения влияния накопившихся нерассмотренных дел, задержек в отправлении правосудия, попыток внешнего давления, коррупции, отсутствия достаточных ресурсов и других аспектов, которые особо негативно сказываются на меньшинствах. Подобные обзоры могут стать поводом для вмешательства полиции и укрепления потенциала структур системы отправления правосудия в части планирования и составления бюджетов, мониторинга, информационно-пропагандистской деятельности на высоком уровне и межведомственного диалога, а также в плане удовлетворения ожиданий всех слоев общества, в том числе меньшинств, выявления препятствий для реализации таких ожиданий и создания возможностей для повышения доступности системы уголовного правосудия.</w:t>
      </w:r>
    </w:p>
    <w:p w:rsidR="000A33AF" w:rsidRPr="000A33AF" w:rsidRDefault="000A33AF" w:rsidP="00E47025">
      <w:pPr>
        <w:pStyle w:val="SingleTxt"/>
      </w:pPr>
      <w:r w:rsidRPr="000A33AF">
        <w:t>26.</w:t>
      </w:r>
      <w:r w:rsidRPr="000A33AF">
        <w:tab/>
        <w:t>Государствам следует собирать и обнародовать данные о составе кадров правоохранительных и судебных органов в разбивке по полу, этнической принадлежности, профессии и численности сотрудников каждого профиля в целях предоставления политическим кругам и специалистам системы правосудия практического и детально разработанного инструмента, позволяющего лучше понять составные элементы системы уголовного правосудия. Это будет способствовать повышению транспарентности, может укрепить доверие общественности к системам уголовного правосудия и повысить уровень объективности и равенства возможностей, что в конечном итоге приведет к росту эффективности и качества системы уголовного правосудия.</w:t>
      </w:r>
    </w:p>
    <w:p w:rsidR="000A33AF" w:rsidRPr="000A33AF" w:rsidRDefault="000A33AF" w:rsidP="00E47025">
      <w:pPr>
        <w:pStyle w:val="SingleTxt"/>
      </w:pPr>
      <w:r w:rsidRPr="000A33AF">
        <w:t xml:space="preserve">27. </w:t>
      </w:r>
      <w:r w:rsidRPr="000A33AF">
        <w:tab/>
        <w:t>Государства должны поощрять и поддерживать неправительственные организации, академические институты и исследователей в деле независимого изучения положения меньшинств в системе уголовного правосудия. Государства должны устранять законодательные или бюрократические препятствия, которые мешают проведению исследований, их подготовке и публикации их материалов.</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B728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В.</w:t>
      </w:r>
      <w:r w:rsidRPr="000A33AF">
        <w:tab/>
        <w:t>Доступ меньшинств к правосудию</w:t>
      </w:r>
    </w:p>
    <w:p w:rsidR="00EB728C" w:rsidRPr="00EB728C" w:rsidRDefault="00EB728C" w:rsidP="00EB728C">
      <w:pPr>
        <w:pStyle w:val="SingleTxt"/>
        <w:spacing w:after="0" w:line="120" w:lineRule="exact"/>
        <w:rPr>
          <w:sz w:val="10"/>
        </w:rPr>
      </w:pPr>
    </w:p>
    <w:p w:rsidR="00EB728C" w:rsidRPr="00EB728C" w:rsidRDefault="00EB728C" w:rsidP="00EB728C">
      <w:pPr>
        <w:pStyle w:val="SingleTxt"/>
        <w:spacing w:after="0" w:line="120" w:lineRule="exact"/>
        <w:rPr>
          <w:sz w:val="10"/>
        </w:rPr>
      </w:pPr>
    </w:p>
    <w:p w:rsidR="000A33AF" w:rsidRPr="000A33AF" w:rsidRDefault="000A33AF" w:rsidP="00EB728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1.</w:t>
      </w:r>
      <w:r w:rsidRPr="000A33AF">
        <w:tab/>
        <w:t>Меньшинства в контексте операций правоохранительных и полицейских органов</w:t>
      </w:r>
    </w:p>
    <w:p w:rsidR="00EB728C" w:rsidRPr="00EB728C" w:rsidRDefault="00EB728C" w:rsidP="00EB728C">
      <w:pPr>
        <w:pStyle w:val="SingleTxt"/>
        <w:spacing w:after="0" w:line="120" w:lineRule="exact"/>
        <w:rPr>
          <w:sz w:val="10"/>
        </w:rPr>
      </w:pPr>
    </w:p>
    <w:p w:rsidR="000A33AF" w:rsidRPr="000A33AF" w:rsidRDefault="000A33AF" w:rsidP="00E47025">
      <w:pPr>
        <w:pStyle w:val="SingleTxt"/>
      </w:pPr>
      <w:r w:rsidRPr="000A33AF">
        <w:t>28.</w:t>
      </w:r>
      <w:r w:rsidRPr="000A33AF">
        <w:tab/>
        <w:t>Дискриминация в отношении меньшинств в контексте деятельности правоохранительных органов может принимать форму чрезмерного полицейского надзора или его недостаточного уровня. Чрезмерный полицейский надзор часто проявляется в виде расового профилирования, что приводит к увеличению числа арестов, задержаний и приговоров</w:t>
      </w:r>
      <w:r w:rsidRPr="00EB728C">
        <w:rPr>
          <w:vertAlign w:val="superscript"/>
        </w:rPr>
        <w:footnoteReference w:id="1"/>
      </w:r>
      <w:r w:rsidRPr="000A33AF">
        <w:t>. Он зачастую сопровождается криминализацией социальных протестов со стороны групп меньшинств с соответствующим ростом показателей предварительного задержания и освобождения, а это далеко не всегда находит свое отражение в официальной статистике об уголовной преступности, даже когда осуществляется сбор таких данных</w:t>
      </w:r>
      <w:r w:rsidRPr="00EB728C">
        <w:rPr>
          <w:vertAlign w:val="superscript"/>
        </w:rPr>
        <w:footnoteReference w:id="2"/>
      </w:r>
      <w:r w:rsidRPr="000A33AF">
        <w:t>.</w:t>
      </w:r>
    </w:p>
    <w:p w:rsidR="000A33AF" w:rsidRPr="000A33AF" w:rsidRDefault="000A33AF" w:rsidP="00E47025">
      <w:pPr>
        <w:pStyle w:val="SingleTxt"/>
      </w:pPr>
      <w:r w:rsidRPr="000A33AF">
        <w:t>29.</w:t>
      </w:r>
      <w:r w:rsidRPr="000A33AF">
        <w:tab/>
        <w:t>Недостаточный уровень полицейского надзора часто отмечается в тех случаях, когда правоохранительные органы не предпринимают надлежащих действий по расследованию преступлений в отношении меньшинств и привлечению к ответственности виновных (см. раздел С ниже), а также не принимают должных мер в отношении ненавистнических заявлений или преступлений в отношении меньшинств, совершаемых на почве ненависти. Как чрезмерный полицейский надзор, так и его недостаточный уровень создают серьезные проблемы, поскольку способствуют повышенной представленности меньшинств в системе уголовного правосудия, одновременно подрывая доверие меньшинств к процессам отправления уголовного правосудия.</w:t>
      </w:r>
    </w:p>
    <w:p w:rsidR="000A33AF" w:rsidRPr="000A33AF" w:rsidRDefault="000A33AF" w:rsidP="00E47025">
      <w:pPr>
        <w:pStyle w:val="SingleTxt"/>
      </w:pPr>
      <w:r w:rsidRPr="000A33AF">
        <w:t>30.</w:t>
      </w:r>
      <w:r w:rsidRPr="000A33AF">
        <w:tab/>
        <w:t xml:space="preserve">Государствам следует принять законодательство, предусматривающее прямой запрет и санкции в отношении допросов, обысков и арестов лиц исключительно или преимущественно на основании их внешнего вида или их предполагаемой принадлежности к какой-либо группе меньшинств в условиях применения правоохранительными органами методов расового и/или этнического профилирования. </w:t>
      </w:r>
    </w:p>
    <w:p w:rsidR="000A33AF" w:rsidRPr="000A33AF" w:rsidRDefault="000A33AF" w:rsidP="00E47025">
      <w:pPr>
        <w:pStyle w:val="SingleTxt"/>
      </w:pPr>
      <w:r w:rsidRPr="000A33AF">
        <w:t>31.</w:t>
      </w:r>
      <w:r w:rsidRPr="000A33AF">
        <w:tab/>
        <w:t xml:space="preserve">Государства должны доводить до всех сотрудников правоохранительных органов подробные практические инструкции, в том числе в контексте оперативных правил, кодексов поведения, распоряжений и учебных мероприятий, указания о методах обеспечения беспристрастного и недискриминационного применения законодательства, а также недопущения в рамках операций полицейских органов и служб безопасности целенаправленного соотнесения какой-либо конкретной группы меньшинств с любыми типами преступлений. </w:t>
      </w:r>
    </w:p>
    <w:p w:rsidR="000A33AF" w:rsidRPr="000A33AF" w:rsidRDefault="000A33AF" w:rsidP="00E47025">
      <w:pPr>
        <w:pStyle w:val="SingleTxt"/>
      </w:pPr>
      <w:r w:rsidRPr="000A33AF">
        <w:t>32.</w:t>
      </w:r>
      <w:r w:rsidRPr="000A33AF">
        <w:tab/>
        <w:t>Государствам следует рассмотреть возможность введения в областях и районах, в которых правоохранительные органы широко применяют расовое профилирование, должностей сотрудников по связям с общинами, в том числе с назначением на них женщин, или создавать другие механизмы для поддержания связей с общественностью с опорой на соответствующие общины меньшинств или во взаимодействии с ними. Общины следует информировать о существовании таких механизмов, об их праве на подачу жалоб, а также о порядке обращения с жалобами с указанием инстанций, в которые такие жалобы следует направлять.</w:t>
      </w:r>
    </w:p>
    <w:p w:rsidR="000A33AF" w:rsidRPr="000A33AF" w:rsidRDefault="000A33AF" w:rsidP="00E47025">
      <w:pPr>
        <w:pStyle w:val="SingleTxt"/>
      </w:pPr>
      <w:r w:rsidRPr="000A33AF">
        <w:t>33.</w:t>
      </w:r>
      <w:r w:rsidRPr="000A33AF">
        <w:tab/>
        <w:t>Государства должны разрабатывать правила и кодексы поведения правоохранительных органов по вопросам расследования преступлений на почве ненависти, включая ненавистнические заявления, происшествий и насильственных преступлений. Такие инструменты могут способствовать раннему выявлению преступлений, помогая тем самым не допустить обострение обстановки.</w:t>
      </w:r>
    </w:p>
    <w:p w:rsidR="000A33AF" w:rsidRPr="000A33AF" w:rsidRDefault="000A33AF" w:rsidP="00E47025">
      <w:pPr>
        <w:pStyle w:val="SingleTxt"/>
      </w:pPr>
      <w:r w:rsidRPr="000A33AF">
        <w:t>34.</w:t>
      </w:r>
      <w:r w:rsidRPr="000A33AF">
        <w:tab/>
        <w:t>Группы меньшинств, в частности находящиеся в неблагоприятном положении и подвергающиеся стигматизации, могут больше других страдать от нарушений прав человека сотрудниками правоохранительных органов, начиная от словесных оскорблений и силовых действий во время общественных собраний, чрезмерного полицейского контроля за акциями социального протеста со стороны меньшинств до применения несоразмерной силы, пыток, а также бесчеловечного или унижающего достоинство обращения при арестах и допросах, внесудебных казней и гибели задержанных при содержании под стражей. Государствам следует обеспечивать соответствие правил применения силы полицией общим принципам пропорциональности и необходимости согласно Основным принципам применения силы и огнестрельного оружия должностными лицами по поддержанию правопорядка и ограничивать преднамеренное применение оружия ситуациями, когда таковое является неизбежным и имеет своей целью спасение жизни. Сотрудники правоохранительных органов должны руководствоваться этими Принципами при регулировании собраний и ограничивать применение силы ситуациями абсолютной необходимости, обеспечивая при этом неприменение к кому-либо чрезмерной или неизбирательной силы. В соответствии с Факультативным протоколом к Конвенции против пыток и других жестоких, бесчеловечных или унижающих достоинство видах обращения и наказания все подведомственные правоохранительным органам изоляторы временного содержания подлежат надзору и мониторингу.</w:t>
      </w:r>
    </w:p>
    <w:p w:rsidR="000A33AF" w:rsidRPr="000A33AF" w:rsidRDefault="000A33AF" w:rsidP="00E47025">
      <w:pPr>
        <w:pStyle w:val="SingleTxt"/>
      </w:pPr>
      <w:r w:rsidRPr="000A33AF">
        <w:t>35.</w:t>
      </w:r>
      <w:r w:rsidRPr="000A33AF">
        <w:tab/>
        <w:t>Государства должны выделять достаточные ресурсы для оперативного и тщательного независимого документирования, расследования и наказания виновных в связи со всеми утверждениями о проявлениях дискриминации или применении оружия либо чрезмерной или иной противоправной силы сотрудниками правоохранительных органов по отношению к меньшинствам. Такие военные структуры, как подразделения военной полиции, которые зачастую действуют в рамках отдельных правовых режимов, не должны обладать иммунитетом от таких расследований. Одинаковые стандарты должны действовать и применительно к частным охранным компаниям, которых на контрактных условиях привлекают к выполнению правоохранительных функций, и, в случае предполагаемого дискриминационного или противоправного поведения по отношению к меньшинствам, их действия подлежат расследованию</w:t>
      </w:r>
      <w:r w:rsidRPr="00EB728C">
        <w:rPr>
          <w:vertAlign w:val="superscript"/>
        </w:rPr>
        <w:footnoteReference w:id="3"/>
      </w:r>
      <w:r w:rsidRPr="000A33AF">
        <w:t>.</w:t>
      </w:r>
    </w:p>
    <w:p w:rsidR="000A33AF" w:rsidRDefault="000A33AF" w:rsidP="00E47025">
      <w:pPr>
        <w:pStyle w:val="SingleTxt"/>
      </w:pPr>
      <w:r w:rsidRPr="000A33AF">
        <w:t>36.</w:t>
      </w:r>
      <w:r w:rsidRPr="000A33AF">
        <w:tab/>
        <w:t>Такие новые технологии, как видеоаппаратура, ручные устройства и системы скрытого видеонаблюдения, открывают новые возможности для общественного контроля за поведением правоохранительных органов и могут с успехом использоваться общинами меньшинств в качестве правозащитных инструментов в целях публичного изобличения нарушений при контактах с правоохранительными органами. Следует уделять внимание методам использования таких средств для обеспечения подотчетности и справедливости в отношении меньшинств.</w:t>
      </w:r>
    </w:p>
    <w:p w:rsidR="00E062FB" w:rsidRPr="00E062FB" w:rsidRDefault="00E062FB" w:rsidP="00E062FB">
      <w:pPr>
        <w:pStyle w:val="SingleTxt"/>
        <w:spacing w:after="0" w:line="120" w:lineRule="exact"/>
        <w:rPr>
          <w:sz w:val="10"/>
        </w:rPr>
      </w:pPr>
    </w:p>
    <w:p w:rsidR="000A33AF" w:rsidRPr="000A33AF" w:rsidRDefault="000A33AF" w:rsidP="00E062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2.</w:t>
      </w:r>
      <w:r w:rsidRPr="000A33AF">
        <w:tab/>
        <w:t>Доступ к правосудию правонарушителей, принадлежащих к меньшинствам</w:t>
      </w: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37.</w:t>
      </w:r>
      <w:r w:rsidRPr="000A33AF">
        <w:tab/>
        <w:t>Государства должны предоставлять правонарушителям, которые принадлежат к меньшинствам, равный и эффективный доступ к правосудию и мерам по укреплению подотчетности. Государствам следует обеспечивать полное осведомление принадлежащих к меньшинствам лиц на их языке и с помощью соответствующих их положению средств об их правах</w:t>
      </w:r>
      <w:r w:rsidR="00EB728C">
        <w:t xml:space="preserve"> в качестве правонарушителей, а </w:t>
      </w:r>
      <w:r w:rsidRPr="000A33AF">
        <w:t>также предоставлять им доступ к поддержке, в том числе к услугам компетентных адвокатов и устных переводчиков.</w:t>
      </w:r>
    </w:p>
    <w:p w:rsidR="000A33AF" w:rsidRPr="000A33AF" w:rsidRDefault="000A33AF" w:rsidP="00E47025">
      <w:pPr>
        <w:pStyle w:val="SingleTxt"/>
      </w:pPr>
      <w:r w:rsidRPr="000A33AF">
        <w:t>38.</w:t>
      </w:r>
      <w:r w:rsidRPr="000A33AF">
        <w:tab/>
        <w:t>В соответствии с Принципами и руководящими положениями Организации Объединенных Наций, касающимися доступа к юридической помощи в системах уголовного правосудия (пункт 8) государства должны обеспечивать доступ к юридической помощи в качестве одного из основных элементов справедливой, гуманной и эффективной системы уголовного правосудия, основанной на верховенстве закона. Юридическая помощь должна включать в себя консультирование по юридическим вопросам, помощь и представительство, правовое просвещение и доступ к юридической информации, и должна предоставляться бесплатно принадлежащим к меньшинствам правонарушителям без какой-либо дискриминации, когда они не имеют достаточных средств или когда этого требуют интересы правосудия. Сказанное особенно важно на ранних этапах процесса отправления уголовного правосудия, поскольку принятые меры или отсутствие таковых будет определять способность правонарушителя пользоваться другими правами человека, в частности правами на справедливое судебное разбирательство, равенство перед законом и правом на свободу и личную неприкосновенность, а также на эффективные средства правовой защиты.</w:t>
      </w:r>
    </w:p>
    <w:p w:rsidR="000A33AF" w:rsidRPr="000A33AF" w:rsidRDefault="000A33AF" w:rsidP="00E47025">
      <w:pPr>
        <w:pStyle w:val="SingleTxt"/>
      </w:pPr>
      <w:r w:rsidRPr="000A33AF">
        <w:t>39.</w:t>
      </w:r>
      <w:r w:rsidRPr="000A33AF">
        <w:tab/>
        <w:t>Государства должны разрабатывать в консультации с основными заинтересованными кругами, в частности с адвокатурой, правоохранительными органами, прокуратурой, судебной системой, неправительственными организациями и организациями гражданского общества национальную стратегию оказания юридической помощи, в которой бы определялась потребность в такой помощи с должным учетом интересов общин меньшинств и отдельных принадлежащих к меньшинствам лиц, особенно находящихся в наиболее маргинализованном и уязвимом положении по отношению к злоупотреблениям. Подобная стратегия должна также предусматривать оптимальные методы надлежащего оказания юридической помощи в соответствии с такими потребностями.</w:t>
      </w:r>
    </w:p>
    <w:p w:rsidR="000A33AF" w:rsidRPr="000A33AF" w:rsidRDefault="000A33AF" w:rsidP="00E47025">
      <w:pPr>
        <w:pStyle w:val="SingleTxt"/>
      </w:pPr>
      <w:r w:rsidRPr="000A33AF">
        <w:t>40.</w:t>
      </w:r>
      <w:r w:rsidRPr="000A33AF">
        <w:tab/>
        <w:t>Государствам следует разрабатывать и вводить в действие профессиональные кодексы поведения специалистов по оказанию юридической помощи, включая адвокатов, вспомогательный юридический персонал и структуры, предоставляющие услуги по юридической помощи, которые бы содержали международные правозащитные нормы по защите интересов клиентов, включая обязательство действовать добросовестно и самостоятельно, а также обязательство проявлять беспристрастность независимо от биографии, происхождения или убеждений клиентов.</w:t>
      </w:r>
    </w:p>
    <w:p w:rsidR="00E062FB" w:rsidRPr="00E062FB" w:rsidRDefault="00E062FB" w:rsidP="00E062FB">
      <w:pPr>
        <w:pStyle w:val="SingleTxt"/>
        <w:spacing w:after="0" w:line="120" w:lineRule="exact"/>
        <w:rPr>
          <w:sz w:val="10"/>
        </w:rPr>
      </w:pPr>
    </w:p>
    <w:p w:rsidR="000A33AF" w:rsidRPr="000A33AF" w:rsidRDefault="000A33AF" w:rsidP="00E062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3.</w:t>
      </w:r>
      <w:r w:rsidRPr="000A33AF">
        <w:tab/>
        <w:t xml:space="preserve">Расследование преступлений в отношении меньшинств – меньшинства </w:t>
      </w:r>
      <w:r w:rsidRPr="000A33AF">
        <w:br/>
        <w:t>как жертвы</w:t>
      </w: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41.</w:t>
      </w:r>
      <w:r w:rsidRPr="000A33AF">
        <w:tab/>
        <w:t>Государства должны устранять все препятствия, которые мешают жертвам, принадлежащим к меньшинствам, сообщать о нарушениях их прав и их доступу к официальному правосудию, включая наиболее уязвимых представителей общин, в частности, женщин, детей, инвалидов, престарелых, живущих в условиях крайней нищеты лиц, а также меньшинства, пострадавшие от конфликтов или перемещения.</w:t>
      </w:r>
    </w:p>
    <w:p w:rsidR="000A33AF" w:rsidRPr="000A33AF" w:rsidRDefault="000A33AF" w:rsidP="00E47025">
      <w:pPr>
        <w:pStyle w:val="SingleTxt"/>
      </w:pPr>
      <w:r w:rsidRPr="000A33AF">
        <w:t>42.</w:t>
      </w:r>
      <w:r w:rsidRPr="000A33AF">
        <w:tab/>
        <w:t>Правоохранительные органы, прокуратура и судебные власти должны обеспечивать столь же активное и тщательное рассмотрение жалоб представителей меньшинств на противоправные действия, как и жалоб, поступающих от других заявителей. Государства должны гарантировать, чтобы система уголовного правосудия способствовала формированию атмосферы доверия между меньшинствами и органами государственной власти, и не мириться с распространением культуры безнаказанности, которая может благоприятствовать совершению новых преступлений, включая насилие, в отношении меньшинств.</w:t>
      </w:r>
    </w:p>
    <w:p w:rsidR="000A33AF" w:rsidRPr="000A33AF" w:rsidRDefault="000A33AF" w:rsidP="00E47025">
      <w:pPr>
        <w:pStyle w:val="SingleTxt"/>
      </w:pPr>
      <w:r w:rsidRPr="000A33AF">
        <w:t>43.</w:t>
      </w:r>
      <w:r w:rsidRPr="000A33AF">
        <w:tab/>
        <w:t>Государствам следует рассмотреть возможность создания в структуре существующих органов прокуратуры целевых специализированных подразделений для борьбы с особо сложными для раскрытия и пресечения преступлениями, которые имеют особенно серьезные последствия для жертв, принадлежащих к меньшинствам, и для всего общества в целом, включая преступления на почве ненависти и убийства женщин по гендерным мотивам, в том числе женщин, принадлежащих к меньшинствам.</w:t>
      </w:r>
    </w:p>
    <w:p w:rsidR="000A33AF" w:rsidRPr="000A33AF" w:rsidRDefault="000A33AF" w:rsidP="00E47025">
      <w:pPr>
        <w:pStyle w:val="SingleTxt"/>
      </w:pPr>
      <w:r w:rsidRPr="000A33AF">
        <w:t>44.</w:t>
      </w:r>
      <w:r w:rsidRPr="000A33AF">
        <w:tab/>
        <w:t>Полиции надлежит предпринимать шаги для поощрения представления сведений о преступлениях в отношении меньшинств, в том числе о насильственных актах, совершаемых негосударственными субъектами по расовым и этническим мотивам, и обеспечивать при этом их полный учет и тщательное расследование. В случаях выявленных проявлений этнической напряженности и/или насилия в отношении меньшинств, государства должны обеспечивать эффективное и оперативное расследование компетентными органами преступлений в отношении отдельных лиц и общин, принадлежащих к меньшинствам, в том числе путем изучения любого предполагаемого дискриминационного мотива преступлений.</w:t>
      </w:r>
    </w:p>
    <w:p w:rsidR="000A33AF" w:rsidRPr="000A33AF" w:rsidRDefault="000A33AF" w:rsidP="00E47025">
      <w:pPr>
        <w:pStyle w:val="SingleTxt"/>
      </w:pPr>
      <w:r w:rsidRPr="000A33AF">
        <w:t>45.</w:t>
      </w:r>
      <w:r w:rsidRPr="000A33AF">
        <w:tab/>
        <w:t>Государствам следует обеспечивать создание благоприятных условий для доступа принадлежащих к меньшинствам жертв к официальному правосудию посредством обеспечения их личной неприкосновенности и безопасности, а также путем выявления и устранения законодательных, административных, социальных или культурных барьеров, с которыми сталкиваться меньшинства, особенно женщины, при доступе к правосудию. Такие барьеры могут включать обременительные и дискриминационные правила представления доказательств и процессуальные требования, страх возмездия со стороны злоумышленников при отсутствии уверенности в том, что власти защитят принадлежащих к меньшинствам жертв, а также боязнь стигматизации в собственной общине и/или в других общинах.</w:t>
      </w:r>
    </w:p>
    <w:p w:rsidR="000A33AF" w:rsidRPr="000A33AF" w:rsidRDefault="000A33AF" w:rsidP="00E47025">
      <w:pPr>
        <w:pStyle w:val="SingleTxt"/>
      </w:pPr>
      <w:r w:rsidRPr="000A33AF">
        <w:t>46.</w:t>
      </w:r>
      <w:r w:rsidRPr="000A33AF">
        <w:tab/>
        <w:t>Государства должны гарантировать применение действенных мер для обеспечения эффективности системы уголовного правосудия на основе информирования принадлежащих к меньшинствам жертв, свидетелей или правонарушителей об их правах и о ходе разбирательства по их делам, обмена мнениями с такими лицами на надлежащих этапах судопроизводства, оказания им помощи в рамках судебного процесса и проведения эффективных защитных мероприятий, не допуская при этом необоснованных задержек. Государства должны расследовать действия должностных лиц, пренебр</w:t>
      </w:r>
      <w:r w:rsidR="00E062FB">
        <w:t>егающих своими обязанностями, и </w:t>
      </w:r>
      <w:r w:rsidRPr="000A33AF">
        <w:t>наказывать их, а также искоренять лежащую в основе такого поведения предвзятость, в том числе структурную дискриминацию, которая омрачает опыт общения меньшинств с системой правосудия.</w:t>
      </w:r>
    </w:p>
    <w:p w:rsidR="000A33AF" w:rsidRPr="000A33AF" w:rsidRDefault="000A33AF" w:rsidP="00E47025">
      <w:pPr>
        <w:pStyle w:val="SingleTxt"/>
      </w:pPr>
      <w:r w:rsidRPr="000A33AF">
        <w:t>47.</w:t>
      </w:r>
      <w:r w:rsidRPr="000A33AF">
        <w:tab/>
        <w:t>Система уголовного правосудия должна внимательно отслеживать методы целенаправленного преследования отдельных лиц по признаку их национальной, этнической, религиозной или лингвистической принадлежности. Целенаправленные преследования, которые часто связаны с проявлениями насилия, имеют долговременные негативные последствия. В противоположность этому процессы отправления уголовного правосудия должны быть направлены на укрепление прав принадлежащих к меньшинствам жертв на доступ к правосудию, на поддержку их реабилитации и выплату им возмещения, восстановление их достоинства и формирование взаимного доверия.</w:t>
      </w:r>
    </w:p>
    <w:p w:rsidR="000A33AF" w:rsidRPr="000A33AF" w:rsidRDefault="000A33AF" w:rsidP="00E47025">
      <w:pPr>
        <w:pStyle w:val="SingleTxt"/>
      </w:pPr>
      <w:r w:rsidRPr="000A33AF">
        <w:t>48.</w:t>
      </w:r>
      <w:r w:rsidRPr="000A33AF">
        <w:tab/>
        <w:t>Государства должны, в частности, обеспечивать доступность средств правовой защиты для принадлежащих к меньшинствам женщин, которые пострадали от гендерного насилия и могут сталкиваться с множественными формами стигматизации и взаимосвязанными проявлениями дискриминации вследствие их принадлежности к меньшинствам (в том числе к кастам), гендерной идентичности и характера совершенного против них преступления. Разъяснительная работа по гендерной тематике является важнейшей предпосылкой для понимания сотрудниками правительственных и правоохранительных органов проблем, с которыми сталкиваются принадлежащие к меньшинствам женщины в своих общинах, в том числе со злоупотреблениями, которые зачастую принимаются за культурную практику, включая принудительные и ранние браки или калечение женских половых органов; благодаря такой работе они смогут помочь в создании надлежащих платформ для информирования о таких нарушениях и их предотвращения.</w:t>
      </w:r>
    </w:p>
    <w:p w:rsidR="000A33AF" w:rsidRPr="000A33AF" w:rsidRDefault="000A33AF" w:rsidP="00E47025">
      <w:pPr>
        <w:pStyle w:val="SingleTxt"/>
      </w:pPr>
      <w:r w:rsidRPr="000A33AF">
        <w:t>49.</w:t>
      </w:r>
      <w:r w:rsidRPr="000A33AF">
        <w:tab/>
        <w:t>Государства должны обеспечивать для принадлежащих к меньшинствам лиц равную доступность, эффективность и, при необходимости, культурную адаптацию механизмов оказания консультативной помощи, поддержки и реабилитации жертв преступлений.</w:t>
      </w:r>
    </w:p>
    <w:p w:rsidR="000A33AF" w:rsidRPr="000A33AF" w:rsidRDefault="000A33AF" w:rsidP="00E47025">
      <w:pPr>
        <w:pStyle w:val="SingleTxt"/>
      </w:pPr>
      <w:r w:rsidRPr="000A33AF">
        <w:t>50.</w:t>
      </w:r>
      <w:r w:rsidRPr="000A33AF">
        <w:tab/>
        <w:t xml:space="preserve">Государства должны признавать, что принадлежащие к меньшинствам жертвы преступных деяний могут подвергаться вторичной виктимизации, если ответные действия органов правосудия не обеспечат их признания в качестве жертв. Общий процесс следствия и судопроизводства по уголовным делам может приводить к повторной виктимизации пострадавших в зависимости от решений о возбуждении судебного преследования или об отказе в таковом, тщательности расследования, характера ведения судебного процесса, вынесенного приговора и последующего освобождения осужденного. Государственные структуры, санкционирующие возбуждение процессов отправления уголовного правосудия, должны принимать во внимание позицию жертвы в том контексте, в котором было совершено преступление против отдельных лиц или общин, которые принадлежат к меньшинствам. </w:t>
      </w:r>
    </w:p>
    <w:p w:rsidR="00E062FB" w:rsidRPr="00E062FB" w:rsidRDefault="00E062FB" w:rsidP="00E062FB">
      <w:pPr>
        <w:pStyle w:val="SingleTxt"/>
        <w:spacing w:after="0" w:line="120" w:lineRule="exact"/>
        <w:rPr>
          <w:sz w:val="10"/>
        </w:rPr>
      </w:pPr>
    </w:p>
    <w:p w:rsidR="000A33AF" w:rsidRPr="000A33AF" w:rsidRDefault="000A33AF" w:rsidP="00E062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4.</w:t>
      </w:r>
      <w:r w:rsidRPr="000A33AF">
        <w:tab/>
        <w:t>Принадлежащие к меньшинствам свидетели</w:t>
      </w: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51.</w:t>
      </w:r>
      <w:r w:rsidRPr="000A33AF">
        <w:tab/>
        <w:t xml:space="preserve">Не допускается дискриминационное обращение со стороны любого сотрудника системы уголовного правосудия, мотивированное негативными стереотипами, недопониманием высказываний и поведения либо предвзятым отношением к принадлежащим к меньшинствам свидетелям, как к лицам, которые не заслуживают полного доверия. </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062F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С.</w:t>
      </w:r>
      <w:r w:rsidRPr="000A33AF">
        <w:tab/>
        <w:t>Меньшинства в местах лишения свободы</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 xml:space="preserve">52. </w:t>
      </w:r>
      <w:r w:rsidRPr="000A33AF">
        <w:tab/>
        <w:t>Существование в обществе системной, институционализированной и структурной дискриминации может способствовать узакониванию и воспроизводству проявлений дискриминации, насилия, пыток и другого жестокого, бесчеловечного или унижающего достоинство обращения и наказания в отношении меньшинств, включая женщин и детей, в контексте содержания их под стражей или других форм лишения свободы. Государства должны предупреждать, расследовать и пресекать акты насилия, притеснений и надругательств со стороны сотрудников тюремной администрации или других находящихся под стражей лиц в отношении принадлежащих к меньшинствам задержанных и обеспечивать соблюдение их физической и психической неприкосновенности и достоинства в любое время с момента ареста до окончательного освобождения. Государства должны обеспечивать в местах лишения свободы нетерпимость к дискриминации, запугиваниям и виктимизации меньшинств. Этой цели можно достичь посредством формирования культуры недискриминации и равноправия, создания механизмов совместного противодействия сотрудников администрации и заключенных проявлениям дискриминации, а также путем поощрения конструктивных отношений между сотрудниками администрации и задержанными.</w:t>
      </w:r>
    </w:p>
    <w:p w:rsidR="000A33AF" w:rsidRPr="000A33AF" w:rsidRDefault="000A33AF" w:rsidP="00E47025">
      <w:pPr>
        <w:pStyle w:val="SingleTxt"/>
      </w:pPr>
      <w:r w:rsidRPr="000A33AF">
        <w:t>53.</w:t>
      </w:r>
      <w:r w:rsidRPr="000A33AF">
        <w:tab/>
        <w:t>Государствам, которые еще не сделали этого, настоятельно предлагается привести свое национальное законодательство и практику в соответствие с Минимальными стандартными правилами Организации Объединенных Наций в отношении обращения с заключенными (Правила Нельсона Манделы). Особое внимание при этом следует уделять принципу недискриминации (правило 2) и обязательству принимать меры по защите и поощрению прав заключенных, имеющих особые потребности. Государствам также надлежит обеспечивать соблюдение Правил Организации Объединенных Наций, касающихся обращения с женщинами-заключенными и мер наказания для женщин-правонарушителей, не связанных с лишением свободы (Бангкокские правила). Эти документы являются исходным стандартом, к выполнению которого должны стремится все государства в своих усилиях по обеспечению базового уровня защиты задержанных, которые принадлежат к меньшинствам.</w:t>
      </w:r>
    </w:p>
    <w:p w:rsidR="000A33AF" w:rsidRPr="000A33AF" w:rsidRDefault="000A33AF" w:rsidP="00E47025">
      <w:pPr>
        <w:pStyle w:val="SingleTxt"/>
      </w:pPr>
      <w:r w:rsidRPr="000A33AF">
        <w:t>54.</w:t>
      </w:r>
      <w:r w:rsidRPr="000A33AF">
        <w:tab/>
        <w:t xml:space="preserve">Независимые органы, создаваемые в соответствии с положениями и требованиями соответствующих международных норм о правах человека, включая Факультативный протокол к Конвенции против пыток и других жестоких, бесчеловечных или унижающих достоинство видов обращения, и обеспечивающие в своем составе надлежащую представленность меньшинств, должны без предварительного уведомления посещать все места лишения свободы. Поскольку задача органов по наблюдению за местами лишения свободы носит превентивный характер, такие структуры должны уделять внимание положению содержащихся под стражей представителей меньшинств. Им должен предоставляться беспрепятственный доступ ко всем принадлежащим к меньшинствам задержанным лицам и ко всем досье по делам в условиях конфиденциального общения. Государства должны обеспечивать проведение оперативного, беспристрастного и эффективного расследования всех предполагаемых актов возмездия и запугивания накануне, во время и после посещения независимым органом с целью привлечения к ответственности виновных и предоставления жертвам эффективных средств правовой защиты. Все сообщения независимых  органов об обращении с задержанными и об условиях их содержания должны доводиться до сведения общественности. </w:t>
      </w:r>
    </w:p>
    <w:p w:rsidR="000A33AF" w:rsidRPr="000A33AF" w:rsidRDefault="000A33AF" w:rsidP="00E47025">
      <w:pPr>
        <w:pStyle w:val="SingleTxt"/>
      </w:pPr>
      <w:r w:rsidRPr="000A33AF">
        <w:t>55.</w:t>
      </w:r>
      <w:r w:rsidRPr="000A33AF">
        <w:tab/>
        <w:t>Государствам настоятельно предлагается соблюдать Правила Нельсона Манделы, уделяя при этом повышенное внимание обеспечению удовлетворительных условий содержания под стражей или тюремного заключения, а также улучшению осведомленности тюремной администрации о необходимости разумного учета культурных, пищевых, религиозных и лингвистических особенностей принадлежащих к меньшинствам заключенных.</w:t>
      </w:r>
    </w:p>
    <w:p w:rsidR="000A33AF" w:rsidRPr="000A33AF" w:rsidRDefault="000A33AF" w:rsidP="00E47025">
      <w:pPr>
        <w:pStyle w:val="SingleTxt"/>
      </w:pPr>
      <w:r w:rsidRPr="000A33AF">
        <w:t xml:space="preserve">56. </w:t>
      </w:r>
      <w:r w:rsidRPr="000A33AF">
        <w:tab/>
        <w:t xml:space="preserve">Тюремные власти должны вводить в действие подробные практические инструкции посредством правил, кодексов поведения, регламентов и подготовки персонала по вопросам текущего мониторинга и анализа проявлений дискриминации в отношении меньшинств с точки зрения доступа к услугам и программам реабилитации. В частности, повышенное внимание следует уделять вопросам размещения, трудовой деятельности, охраны здоровья, профессиональной подготовки, образования, дисциплинарных мер и использования спортивных залов, библиотек и мест отправления религиозных культов в условиях содержания под стражей, а также возможностям предоставления краткосрочного отпуска или условно досрочного освобождении. Жалобы на прямую или косвенную дискриминацию при доступе к таким услугам или программам подлежат регистрации и расследованию, а виновные – наказанию. </w:t>
      </w:r>
      <w:r w:rsidRPr="000A33AF">
        <w:tab/>
      </w:r>
    </w:p>
    <w:p w:rsidR="000A33AF" w:rsidRPr="000A33AF" w:rsidRDefault="000A33AF" w:rsidP="00E47025">
      <w:pPr>
        <w:pStyle w:val="SingleTxt"/>
      </w:pPr>
      <w:r w:rsidRPr="000A33AF">
        <w:t>57.</w:t>
      </w:r>
      <w:r w:rsidRPr="000A33AF">
        <w:tab/>
        <w:t>Государства должны обеспечивать информирование о праве каждого на юридическую помощь и другие процессуальные гарантии, а также о потенциальных последствиях добровольного отказа от таких прав до проведения допроса или в момент лишения свободы. Такая информация должна предоставляться общественности.</w:t>
      </w:r>
    </w:p>
    <w:p w:rsidR="000A33AF" w:rsidRPr="000A33AF" w:rsidRDefault="000A33AF" w:rsidP="00E47025">
      <w:pPr>
        <w:pStyle w:val="SingleTxt"/>
      </w:pPr>
      <w:r w:rsidRPr="000A33AF">
        <w:t>58.</w:t>
      </w:r>
      <w:r w:rsidRPr="000A33AF">
        <w:tab/>
        <w:t>Государствам следует обращать повышенное внимание вопросам содержания принадлежащих к меньшинствам лиц в учреждениях строго режима и сокращения численности таких лиц в этих учреждениях. Применение дисциплинарных и ограничительных мер, а также специальных мер по обеспечению безопасности, в частности, административной сегрегации, должно определяться четкими процедурами, а также подлежать регулярному контролю и оценке в целях недопущения их несоразмерного использования в отношении представителей групп меньшинств.</w:t>
      </w:r>
    </w:p>
    <w:p w:rsidR="000A33AF" w:rsidRPr="000A33AF" w:rsidRDefault="000A33AF" w:rsidP="00E47025">
      <w:pPr>
        <w:pStyle w:val="SingleTxt"/>
      </w:pPr>
      <w:r w:rsidRPr="000A33AF">
        <w:t>59.</w:t>
      </w:r>
      <w:r w:rsidRPr="000A33AF">
        <w:tab/>
        <w:t>Как подтверждается Правилами Нельсона Манделы, в обращении с заключенными следует подчеркивать не их исключение из общества, а то обстоятельство, что они продолжают оставаться его членами (правило 88). Такие права могут приобретать дополнительную значимость для представителей меньшинств, для которых доступ к внешним религиозным представителям или культурным группам может быть не менее важен, чем доступ к семье или адвокатам. Соответственно государства должны гарантировать лишенным свободы представителям меньшинств возможность поддержания контактов со своими семьями и общинами, в том числе с их религиозными и культурными лидерами, посредством их помещения в места лишения свободы поблизости от дома, обеспечивая при этом недопущение дискриминации в отношении посетителей со стороны сотрудников тюремной администрации, неуважительных высказываний или дискриминационных проявлений, включая преднамеренный личный досмотр, сексуальные надругательства либо причинение тяжких физических повреждений, и угрозы.</w:t>
      </w:r>
    </w:p>
    <w:p w:rsidR="00E062FB" w:rsidRPr="00E062FB" w:rsidRDefault="00E062FB" w:rsidP="00E062FB">
      <w:pPr>
        <w:pStyle w:val="SingleTxt"/>
        <w:spacing w:after="0" w:line="120" w:lineRule="exact"/>
        <w:rPr>
          <w:sz w:val="10"/>
        </w:rPr>
      </w:pPr>
    </w:p>
    <w:p w:rsidR="000A33AF" w:rsidRPr="000A33AF" w:rsidRDefault="000A33AF" w:rsidP="00E062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1.</w:t>
      </w:r>
      <w:r w:rsidRPr="000A33AF">
        <w:tab/>
        <w:t>Содержание в следственных изоляторах</w:t>
      </w: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60.</w:t>
      </w:r>
      <w:r w:rsidRPr="000A33AF">
        <w:tab/>
        <w:t xml:space="preserve">Государства должны обеспечивать, чтобы принадлежность к какой-либо группе меньшинств не являлась достаточным де-юре или де-факто основанием для помещения лица в следственный изолятор. Предварительное заключение под стражу длится не дольше, чем необходимо, и применяется гуманно и с уважением присущего человеку достоинства. Принадлежащие к меньшинствам лица, обвиняемые в совершении преступлений и помещенные в следственные изоляторы, должны без какой-либо дискриминации получать доступ к эффективной системе юридической помощи и осуществлению своего права на подачу апелляции по своему делу в суд или в другую компетентную независимую инстанцию. </w:t>
      </w:r>
    </w:p>
    <w:p w:rsidR="000A33AF" w:rsidRPr="000A33AF" w:rsidRDefault="000A33AF" w:rsidP="00E47025">
      <w:pPr>
        <w:pStyle w:val="SingleTxt"/>
      </w:pPr>
      <w:r w:rsidRPr="000A33AF">
        <w:t>61.</w:t>
      </w:r>
      <w:r w:rsidRPr="000A33AF">
        <w:tab/>
        <w:t xml:space="preserve">В соответствии с Минимальными стандартными правилами Организации Объединенных Наций в отношении мер, не связанных с тюремным заключением (Токийские правила) государства должны использовать предварительное заключение под стражу как крайнюю меру (при условии должного учета интересов расследования предполагаемого правонарушения и защиты общества и жертвы) и поощрять применение таких альтернативных мер, как освобождение под залог или под личное поручительство, обеспечивая принадлежащим к меньшинствам лицам равные с другими правонарушителями условия. </w:t>
      </w:r>
    </w:p>
    <w:p w:rsidR="000A33AF" w:rsidRPr="000A33AF" w:rsidRDefault="000A33AF" w:rsidP="00E47025">
      <w:pPr>
        <w:pStyle w:val="SingleTxt"/>
      </w:pPr>
      <w:r w:rsidRPr="000A33AF">
        <w:t>62.</w:t>
      </w:r>
      <w:r w:rsidRPr="000A33AF">
        <w:tab/>
        <w:t xml:space="preserve">Государства должны полностью соблюдать предусмотренные Бангкокскими правилами нормы в отношении особых потребностей находящихся в заключении женщин и девушек, которые принадлежат к меньшинствам, а также множественных форм дискриминации, которым они могут подвергаться. Это включает оценку их доступа к осуществляемым с учетом гендерных и культурных особенностей программам и услугам по различным аспектам режима содержания под стражей, включая медицинскую помощь, программы реабилитации и права на посещения. Для удовлетворения таких потребностей тюремная администрация в консультации с женщинами-заключенными, относящимися к меньшинствам, и соответствующими общинами должна осуществлять комплексные программы и оказывать надлежащие услуги, обеспечивая, чтобы предоставляемые до и после освобождения услуги отвечали их интересам и были для них доступны. </w:t>
      </w:r>
    </w:p>
    <w:p w:rsidR="000A33AF" w:rsidRPr="000A33AF" w:rsidRDefault="000A33AF" w:rsidP="00E47025">
      <w:pPr>
        <w:pStyle w:val="SingleTxt"/>
      </w:pPr>
      <w:r w:rsidRPr="000A33AF">
        <w:t>63.</w:t>
      </w:r>
      <w:r w:rsidRPr="000A33AF">
        <w:tab/>
        <w:t xml:space="preserve">Предоставляемые в тюрьмах услуги должны охватывать весь диапазон потребностей содержащихся в тюрьмах вместе с матерями детей, включая медицинские, физические или психологические потребности. Поскольку такие дети не являются заключенными, с ними нельзя обращаться как с таковыми. Правила также предусматривают оказание особых услуг матерям до их помещения под стражу с тем, чтобы они могли организовать альтернативный уход за оставленными на свободе детьми. </w:t>
      </w:r>
    </w:p>
    <w:p w:rsidR="00E062FB" w:rsidRPr="00E062FB" w:rsidRDefault="00E062FB" w:rsidP="00E062FB">
      <w:pPr>
        <w:pStyle w:val="SingleTxt"/>
        <w:spacing w:after="0" w:line="120" w:lineRule="exact"/>
        <w:rPr>
          <w:sz w:val="10"/>
        </w:rPr>
      </w:pPr>
    </w:p>
    <w:p w:rsidR="000A33AF" w:rsidRPr="000A33AF" w:rsidRDefault="000A33AF" w:rsidP="00E062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3.</w:t>
      </w:r>
      <w:r w:rsidRPr="000A33AF">
        <w:tab/>
        <w:t>Содержание под стражей детей</w:t>
      </w: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64.</w:t>
      </w:r>
      <w:r w:rsidRPr="000A33AF">
        <w:tab/>
        <w:t>В соответствии с Конвенцией о правах ребенка содержание детей под стражей должно использоваться лишь в качестве крайней меры и в течение как можно более короткого соответствующего периода времени. Предпочтение должно отдаваться альтернативам тюремному заключению. В Минимальных стандартных правилах Организации Объединенных Наций, касающихся отправления правосудия в отношении несовершеннолетних (Пекинские правила), перечислен целый ряд не связанных с тюремным заключением мер в отношении детей, обвиняемых в совершении уголовных преступлений, включая «прекращение дела» с изъятием из-под стражи; это позволяет сохранять детей в общине или привлекать их к процессам и программам, осуществляемым в общинах с учетом их возраста. Согласно рекомендациям Комитета по правам ребенка минимальный возраст уголовной ответственности должен наступать в 18 лет</w:t>
      </w:r>
      <w:r w:rsidRPr="00EB728C">
        <w:rPr>
          <w:vertAlign w:val="superscript"/>
        </w:rPr>
        <w:footnoteReference w:id="4"/>
      </w:r>
      <w:r w:rsidRPr="000A33AF">
        <w:t>.</w:t>
      </w:r>
    </w:p>
    <w:p w:rsidR="000A33AF" w:rsidRPr="000A33AF" w:rsidRDefault="000A33AF" w:rsidP="00E47025">
      <w:pPr>
        <w:pStyle w:val="SingleTxt"/>
      </w:pPr>
      <w:r w:rsidRPr="000A33AF">
        <w:t>65.</w:t>
      </w:r>
      <w:r w:rsidRPr="000A33AF">
        <w:tab/>
        <w:t>Государства должны проверять, не является ли количество несовершеннолетних, принадлежащих к общинам религиозных, этнических, национальных или лингвистических меньшинств и содержащи</w:t>
      </w:r>
      <w:r w:rsidR="00E062FB">
        <w:t>хся в местах лишения свободы, в </w:t>
      </w:r>
      <w:r w:rsidRPr="000A33AF">
        <w:t xml:space="preserve">пропорциональном отношении более значимым, нежели их доля в общей численности населения. В таких случаях они должны разрабатывать и осуществлять активные программы профилактики преступности, предусматривающие применение вместо тюремного заключения альтернативных мер с упором на реабилитацию при возможности тюремного заключения в качестве крайней меры. </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062F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r>
      <w:r w:rsidRPr="000A33AF">
        <w:rPr>
          <w:lang w:val="en-US"/>
        </w:rPr>
        <w:t>D</w:t>
      </w:r>
      <w:r w:rsidRPr="000A33AF">
        <w:t>.</w:t>
      </w:r>
      <w:r w:rsidRPr="000A33AF">
        <w:tab/>
        <w:t>Судопроизводство и приговоры</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66.</w:t>
      </w:r>
      <w:r w:rsidRPr="000A33AF">
        <w:tab/>
        <w:t>Независимо от характера или обычаев суда государства должны обеспечивать полное соблюдение судами международных норм в области прав человека, особенно принципа равенства перед законом, а также гарантию справедливого разбирательства дела компетентным, независимым и беспристрастным судом, созданным на основании закона.</w:t>
      </w:r>
    </w:p>
    <w:p w:rsidR="000A33AF" w:rsidRPr="000A33AF" w:rsidRDefault="000A33AF" w:rsidP="00E47025">
      <w:pPr>
        <w:pStyle w:val="SingleTxt"/>
      </w:pPr>
      <w:r w:rsidRPr="000A33AF">
        <w:t>67.</w:t>
      </w:r>
      <w:r w:rsidRPr="000A33AF">
        <w:tab/>
        <w:t>Государства должны обеспечивать предоставление обвиняемым лицам, принадлежащим к меньшинствам, на всех этапах судебного разбирательства квалифицированной юридической помощи, включая бесплатную помощь, без какой-либо дискриминации, особенно, когда мерой наказания по приговору может быть тюремное заключение или смертная казнь.</w:t>
      </w:r>
    </w:p>
    <w:p w:rsidR="000A33AF" w:rsidRPr="000A33AF" w:rsidRDefault="000A33AF" w:rsidP="00E47025">
      <w:pPr>
        <w:pStyle w:val="SingleTxt"/>
      </w:pPr>
      <w:r w:rsidRPr="000A33AF">
        <w:t>68.</w:t>
      </w:r>
      <w:r w:rsidRPr="000A33AF">
        <w:tab/>
        <w:t xml:space="preserve">Государства должны обеспечивать, по возможности в консультации с общинами меньшинств, учет культурных, религиозных, лингвистических и других особенностей общин меньшинств в рамках основанных на признании культурного разнообразия судов, разбирательств и программ. При отсутствии таких судов государства должны обеспечивать в процессе судопроизводства в системе правосудия признание, уважение и учет властями культурной идентичности обвиняемых, жертв и свидетелей.  </w:t>
      </w:r>
    </w:p>
    <w:p w:rsidR="000A33AF" w:rsidRPr="000A33AF" w:rsidRDefault="000A33AF" w:rsidP="00E47025">
      <w:pPr>
        <w:pStyle w:val="SingleTxt"/>
      </w:pPr>
      <w:r w:rsidRPr="000A33AF">
        <w:t>69.</w:t>
      </w:r>
      <w:r w:rsidRPr="000A33AF">
        <w:tab/>
        <w:t xml:space="preserve">Государства должны обеспечивать предоставление услуг по устному переводу обвиняемым, принадлежащим к меньшинствам и не владеющим свободно языком судопроизводства, что позволит таким лицам пользоваться родным языком. Применительно к крупным по численности меньшинствам, имеющим исторические корни, государства должны признавать право принадлежащих к ним лиц на ведение судопроизводства на их родном языке. </w:t>
      </w:r>
    </w:p>
    <w:p w:rsidR="000A33AF" w:rsidRPr="000A33AF" w:rsidRDefault="000A33AF" w:rsidP="00E47025">
      <w:pPr>
        <w:pStyle w:val="SingleTxt"/>
      </w:pPr>
      <w:r w:rsidRPr="000A33AF">
        <w:t>70.</w:t>
      </w:r>
      <w:r w:rsidRPr="000A33AF">
        <w:tab/>
        <w:t>Государства должны проверять, не имеют ли прямых или косвенных дискриминационных последствий законы, политика и практика, которые кажутся нейтральными, но на практике оказывают несоизмеримое влияние на лиц, принадлежащих к группам меньшинств. К таким мерам следует отнести целенаправленное изучение практики применения законов об обязательном наказании в отношении тех или иных конкретных общин и назначения более строгих мер наказания либо необоснованных задержек в вынесении или приведении в исполнение приговоров. Государства должны выяснять роль, которую в этой связи играют прямая или косвенная дискриминация и, в случае выявления таковой, принимать меры с целью предоставления исчерпывающих средств правовой защиты и возмещения.</w:t>
      </w:r>
    </w:p>
    <w:p w:rsidR="000A33AF" w:rsidRPr="000A33AF" w:rsidRDefault="000A33AF" w:rsidP="00E47025">
      <w:pPr>
        <w:pStyle w:val="SingleTxt"/>
      </w:pPr>
      <w:r w:rsidRPr="000A33AF">
        <w:t>71.</w:t>
      </w:r>
      <w:r w:rsidRPr="000A33AF">
        <w:tab/>
        <w:t>По имеющимся сведениям, в некоторых странах в отношении лиц, принадлежащих к группам меньшинств, выносится и приводится в исполнение больше смертных приговоров. Государства должны учитывать этот факт как дополнительный решающий аргумент в пользу отмены смертной казни.</w:t>
      </w:r>
    </w:p>
    <w:p w:rsidR="000A33AF" w:rsidRPr="000A33AF" w:rsidRDefault="000A33AF" w:rsidP="00E47025">
      <w:pPr>
        <w:pStyle w:val="SingleTxt"/>
      </w:pPr>
      <w:r w:rsidRPr="000A33AF">
        <w:t>72.</w:t>
      </w:r>
      <w:r w:rsidRPr="000A33AF">
        <w:tab/>
        <w:t>В странах, в которых не отменена смертная казнь, государства должны не допускать ее использование в результате дискриминационного или произвольного применения законов, в том числе из-за отсутствия положений о равном доступе к квалифицированной юридической помощи и воспрепятствования осуществлению прав на обжалование приговоров, помилование или смягчение наказания на равной основе с большинством заключенных. Государства должны применять гарантии защиты прав лиц, которым угрожает смертная казнь. Государствам следует предпринять дальнейшие исследования с целью выявления факторов, лежащих в основе резких расовых и этнических различий в применении смертной казни, с целью выработки эффективных стратегий по ликвидации дискриминационной практики.</w:t>
      </w:r>
    </w:p>
    <w:p w:rsidR="000A33AF" w:rsidRPr="000A33AF" w:rsidRDefault="000A33AF" w:rsidP="00E47025">
      <w:pPr>
        <w:pStyle w:val="SingleTxt"/>
      </w:pPr>
      <w:r w:rsidRPr="000A33AF">
        <w:t>73.</w:t>
      </w:r>
      <w:r w:rsidRPr="000A33AF">
        <w:tab/>
        <w:t>В соответствии с Конвенцией о правах ребенка государства никогда не должны выносить смертный приговор детям, в том числе детям, принадлежащим к меньшинствам. Государствам следует отменять любые меры наказания, которые могут нанести психический или физический вред детям, включая телесные наказания и пожизненное тюремное заключение без возможности условно-досрочного освобождения.</w:t>
      </w:r>
    </w:p>
    <w:p w:rsidR="000A33AF" w:rsidRPr="000A33AF" w:rsidRDefault="000A33AF" w:rsidP="00E47025">
      <w:pPr>
        <w:pStyle w:val="SingleTxt"/>
      </w:pPr>
      <w:r w:rsidRPr="000A33AF">
        <w:t>74.</w:t>
      </w:r>
      <w:r w:rsidRPr="000A33AF">
        <w:tab/>
        <w:t xml:space="preserve">Государства должны не допускать проявлений дискриминации при вынесении судебных решений и приговоров детям, </w:t>
      </w:r>
      <w:r w:rsidR="00E062FB">
        <w:t>принадлежащим к меньшинствам, и </w:t>
      </w:r>
      <w:r w:rsidRPr="000A33AF">
        <w:t xml:space="preserve">обеспечивать гарантии прав детей и справедливого судебного разбирательства. Независимо от особенностей ребенка, его пола или происхождения при вынесении приговора всегда следует руководствоваться наилучшими интересами ребенка. Государствам следует принимать надлежащие меры, в том числе законодательного характера, с тем, чтобы органы, выносящие в судебном порядке решения, гарантировали участие в судебных разбирательствах принадлежащих к меньшинствам детей и обеспечивали доведение судьей или магистратом приговора до сведения таких детей на понятном для них языке. </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062F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r>
      <w:r w:rsidRPr="000A33AF">
        <w:rPr>
          <w:lang w:val="en-US"/>
        </w:rPr>
        <w:t>V</w:t>
      </w:r>
      <w:r w:rsidRPr="000A33AF">
        <w:t>.</w:t>
      </w:r>
      <w:r w:rsidRPr="000A33AF">
        <w:tab/>
        <w:t>Основные меры по</w:t>
      </w:r>
      <w:r w:rsidR="00E062FB">
        <w:t xml:space="preserve"> предупреждению дискриминации в </w:t>
      </w:r>
      <w:r w:rsidRPr="000A33AF">
        <w:t>отношении меньшинств при отправлении правосудия</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062F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А.</w:t>
      </w:r>
      <w:r w:rsidRPr="000A33AF">
        <w:tab/>
        <w:t>Образование, подготовка и создание потенциала</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75.</w:t>
      </w:r>
      <w:r w:rsidRPr="000A33AF">
        <w:tab/>
        <w:t>Обязательная подготовка, образование и повышение потенциала сотрудников правоохранительных органов и судебной системы по вопросам прав человека и прав меньшинств, с особенным учетом принципа недискриминации и культурных факторов, имеют определяющее значение для формирования справедливой и эффективной системы отправления правосудия, направленной на укрепление толерантности, уважение разнообразия и учет гендерных проблем во всех аспектах ее деятельности. К таким мерам относится подготовка инструктивных документов и кодексов проведения по вопросам выполнения полицейских функций и отправления правосудия в мультикультурной среде наряду с созданием надлежащих структур для контроля за их выполнением. Учебные и образовательные материалы должны разрабатываться и распространяться при действенном участии меньшинств.</w:t>
      </w:r>
    </w:p>
    <w:p w:rsidR="000A33AF" w:rsidRPr="000A33AF" w:rsidRDefault="000A33AF" w:rsidP="00E47025">
      <w:pPr>
        <w:pStyle w:val="SingleTxt"/>
      </w:pPr>
      <w:r w:rsidRPr="000A33AF">
        <w:t>76.</w:t>
      </w:r>
      <w:r w:rsidRPr="000A33AF">
        <w:tab/>
        <w:t>Государствам следует не ограничивать свои усилия организацией точечной или целевой правозащитной подготовки, а прилагать более широкие, согласованные и последовательные усилия в области образования, подготовки кадров и создания потенциала в целях формирования четкого и глубокого понимания прав человека меньшинств.</w:t>
      </w:r>
    </w:p>
    <w:p w:rsidR="000A33AF" w:rsidRPr="000A33AF" w:rsidRDefault="000A33AF" w:rsidP="00E47025">
      <w:pPr>
        <w:pStyle w:val="SingleTxt"/>
      </w:pPr>
      <w:r w:rsidRPr="000A33AF">
        <w:t>77.</w:t>
      </w:r>
      <w:r w:rsidRPr="000A33AF">
        <w:tab/>
        <w:t>Государствам надлежит разрабатывать и применять на практике эффективные методы выработки у сотрудников полиции чувства повышенной ответственности перед общинами, с которыми они работают. С этой целью государства должны осуществлять образовательные программы, доказавшие свою эффективность с точки зрения сокращении проявлений дискриминации в контексте действий полиции, в частности путем подготовки кадров на основе конкретных фактов в качестве платформы для выработки согласованных подходов и применения проверенных научных концепций и стандартов, позволяющих установить взаимосвязь конкретных фактов с эффективностью профилактики преступности.</w:t>
      </w:r>
    </w:p>
    <w:p w:rsidR="000A33AF" w:rsidRPr="000A33AF" w:rsidRDefault="000A33AF" w:rsidP="00E47025">
      <w:pPr>
        <w:pStyle w:val="SingleTxt"/>
      </w:pPr>
      <w:r w:rsidRPr="000A33AF">
        <w:t>78.</w:t>
      </w:r>
      <w:r w:rsidRPr="000A33AF">
        <w:tab/>
        <w:t xml:space="preserve">Государства должны изучить возможность пересмотра учебных планов и руководств для юристов, в том числе для судей, прокуроров, адвокатов и слушателей полицейских академий, и уделять в них особое внимание потребностям и методам формирования инклюзивной и полноценно функционирующей системы отправления правосудия. Неотъемлемым компонентом всего юридического образования должны стать вопросы прав человека, включая права меньшинств, которые имеют прямое отношение к деятельности судебных органов. </w:t>
      </w:r>
    </w:p>
    <w:p w:rsidR="00E062FB" w:rsidRPr="00E062FB" w:rsidRDefault="00E062FB" w:rsidP="00E062FB">
      <w:pPr>
        <w:pStyle w:val="SingleTxt"/>
        <w:spacing w:after="0" w:line="120" w:lineRule="exact"/>
        <w:rPr>
          <w:sz w:val="10"/>
        </w:rPr>
      </w:pPr>
    </w:p>
    <w:p w:rsidR="00E062FB" w:rsidRDefault="00E062FB" w:rsidP="00E47025">
      <w:pPr>
        <w:pStyle w:val="SingleTxt"/>
      </w:pPr>
    </w:p>
    <w:p w:rsidR="000A33AF" w:rsidRPr="000A33AF" w:rsidRDefault="000A33AF" w:rsidP="00E062F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В.</w:t>
      </w:r>
      <w:r w:rsidRPr="000A33AF">
        <w:tab/>
        <w:t>Взаимодействие с общинами</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79.</w:t>
      </w:r>
      <w:r w:rsidRPr="000A33AF">
        <w:tab/>
        <w:t>Государства должны создавать механизмы и определять политику и практику обеспечения диалога и консультаций с меньшинствами, а также их участия в разъяснении государствам положения меньшинств, их проблем и озабоченностей, возникающих при соприкосновении с системой уголовного правосудия. Такое взаимодействие будет способствовать их полному и равному доступу к системе уголовного правосудия, позволит повысить ее эффективность и добиться значимых результатов в укреплении доверия. Государствам следует рассмотреть вопрос о выдвижении в интересах общин инициатив по объединению усилий государственных служащих и меньшинств в интересах повышения безопасности общин меньшинств и соблюдения принципа недискриминации в контексте отправления правосудия, диалога и сотрудничества, а также в порядке активизации взаимодействия государственных служащих с общинами меньшинств.</w:t>
      </w:r>
    </w:p>
    <w:p w:rsidR="000A33AF" w:rsidRPr="000A33AF" w:rsidRDefault="000A33AF" w:rsidP="00E47025">
      <w:pPr>
        <w:pStyle w:val="SingleTxt"/>
      </w:pPr>
      <w:r w:rsidRPr="000A33AF">
        <w:t>80.</w:t>
      </w:r>
      <w:r w:rsidRPr="000A33AF">
        <w:tab/>
        <w:t>Полицейские подразделения на местах должны сотрудничать с меньшинствами в создании постоянных механизмов поддержания связей с общинами меньшинств в целях совместной выработки местных стратегий по рассмотрению и пересмотру соответствующих направлений политики и практики, оставляя открытыми каналы связи в интересах укрепления взаимного доверия.</w:t>
      </w:r>
    </w:p>
    <w:p w:rsidR="000A33AF" w:rsidRPr="000A33AF" w:rsidRDefault="000A33AF" w:rsidP="00E47025">
      <w:pPr>
        <w:pStyle w:val="SingleTxt"/>
      </w:pPr>
      <w:r w:rsidRPr="000A33AF">
        <w:t>81.</w:t>
      </w:r>
      <w:r w:rsidRPr="000A33AF">
        <w:tab/>
        <w:t>Государства должны поощрять практику выполнения общинами полицейских функций в качестве фактора стратегической поддержки традиционных методов работы полиции, налаживать партнерские отношения между полицией и общественностью, в контексте которых полицейские учреждения, соответствующие правительственные органы и общины меньшинств активно взаимодействуют в решении возникающих проблем. Центральным элементом выполнения общинами полицейских функций является уровень участия в этой деятельности общин меньшинств. Введение систем подотчетности в порядке поддержки работы полиции на основе полученных фактических данных повышает готовность полиции к сотрудничеству с общинами меньшинств.</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062F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t>С.</w:t>
      </w:r>
      <w:r w:rsidRPr="000A33AF">
        <w:tab/>
        <w:t>Расширение разнообразия в рамках системы</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82.</w:t>
      </w:r>
      <w:r w:rsidRPr="000A33AF">
        <w:tab/>
        <w:t>Повышенная представленность относящихся к меньшинствам лиц в качестве правонарушителей в системе уголовного правосудия может быть компенсирована за счет устранения препятствий для их участия в отправлении правосудия. Применение инклюзивных стратегий в рамках общей государственной политики по поощрению и защите прав меньшинств будет способствовать росту числа более широких инициатив, направленных на признание разнообразия в обществе. В целях выработки согласованной и комплексной политики в отношении меньшинств необходимо проводить конструктивные консультации по вопросам конкретных потребностей и условий жизни меньшинств в том или ином обществе при их полном и равном участии во всех аспектах жизни государства в интересах укрепления общественного согласия и безопасности.</w:t>
      </w:r>
    </w:p>
    <w:p w:rsidR="000A33AF" w:rsidRPr="000A33AF" w:rsidRDefault="000A33AF" w:rsidP="00E47025">
      <w:pPr>
        <w:pStyle w:val="SingleTxt"/>
      </w:pPr>
      <w:r w:rsidRPr="000A33AF">
        <w:t>83.</w:t>
      </w:r>
      <w:r w:rsidRPr="000A33AF">
        <w:tab/>
        <w:t xml:space="preserve">Государства должны обеспечивать, чтобы кадровый состав местных, региональных и общенациональных правоохранительных органов отражал разнообразие состава населения. Для этого необходимы согласованные стратегии, включая законодательные и административные инициативы, организационная политика и мероприятия по расширению кадрового набора женщин и мужчин, принадлежащих к недостаточно представленным меньшинствам, на все категории должностей от низовых до руководящих. Это требует устранения прямых и косвенных дискриминационных барьеров, препятствующих набору, сохранению и служебному росту представителей меньшинств в полицейских органах. </w:t>
      </w:r>
    </w:p>
    <w:p w:rsidR="000A33AF" w:rsidRPr="000A33AF" w:rsidRDefault="000A33AF" w:rsidP="00E47025">
      <w:pPr>
        <w:pStyle w:val="SingleTxt"/>
      </w:pPr>
      <w:r w:rsidRPr="000A33AF">
        <w:t>84.</w:t>
      </w:r>
      <w:r w:rsidRPr="000A33AF">
        <w:tab/>
        <w:t xml:space="preserve">Государства должны обеспечивать включение в состав патрулей правоохранительных органов женщин и других сотрудников, по возможности, прошедших подготовку по вопросам обращения с женщинами, которые могут быть жертвами сексуального или других форм гендерного насилия. Не следует недооценивать роль принадлежащих к меньшинствам женщин в формировании партнерских отношений между полицией и общиной и необходимо учитывать, что смешанный состав патрулей способствует налаживанию гармоничных отношений между полицией и общинами меньшинств. </w:t>
      </w:r>
    </w:p>
    <w:p w:rsidR="000A33AF" w:rsidRPr="000A33AF" w:rsidRDefault="000A33AF" w:rsidP="00E47025">
      <w:pPr>
        <w:pStyle w:val="SingleTxt"/>
      </w:pPr>
      <w:r w:rsidRPr="000A33AF">
        <w:t>85.</w:t>
      </w:r>
      <w:r w:rsidRPr="000A33AF">
        <w:tab/>
        <w:t>Опыт многих стран показывает, что законодательство о запрете дискриминации и укреплении равенства возможностей оказывает ограниченное влияние на практику набора и продвижения по службе представителей меньшинств в государственных ведомствах. Государства должны производить оценку кадрового состава каждого соответствующего государственного ведомства, собирать и анализировать данные в разбивке по полу, типу должности (низовая/руководящая) и географическому местоположению.</w:t>
      </w:r>
    </w:p>
    <w:p w:rsidR="000A33AF" w:rsidRPr="000A33AF" w:rsidRDefault="000A33AF" w:rsidP="00E47025">
      <w:pPr>
        <w:pStyle w:val="SingleTxt"/>
      </w:pPr>
      <w:r w:rsidRPr="000A33AF">
        <w:t>86.</w:t>
      </w:r>
      <w:r w:rsidRPr="000A33AF">
        <w:tab/>
        <w:t>Государствам надлежит предпринимать широкий круг позитивных действий по преодолению различных барьеров, включая структурную дискриминацию, которые затрудняют набор, продвижение по службе и сохранение принадлежащих к меньшинствам мужчин и женщин в составе полиции, судебных органов, прокуратуры, адвокатуры и тюремной администрации.</w:t>
      </w:r>
    </w:p>
    <w:p w:rsidR="000A33AF" w:rsidRPr="000A33AF" w:rsidRDefault="000A33AF" w:rsidP="00E47025">
      <w:pPr>
        <w:pStyle w:val="SingleTxt"/>
      </w:pPr>
      <w:r w:rsidRPr="000A33AF">
        <w:t>87.</w:t>
      </w:r>
      <w:r w:rsidRPr="000A33AF">
        <w:tab/>
        <w:t>Применение упреждающих стратегий набора кадров в районах проживания меньшинств помогает устранить формальные и неформальные препятствия для набора, сохранения и кадрового роста представителей меньшинств. Такие стратегии должны предусматривать отмену физических и/или образовательных требований, исключающих набор лиц, принадлежащих к меньшинствам; искоренение практики и атрибутики культурной исключительности и антагонистических представлений, которые порождают чувство изоляции; а также действия по сокращению и ликвидации негативных, дискриминационных или основанных на стереотипах отношений на рабочем месте. Следует устанавливать практичные и реалистичные цели и сроки в части выхода на надлежащие уровни представленности меньшинств в составе служб безопасности, полицейских и судебных органов на основе выработки необходимых мер в консультации с группами меньшинств и с принадлежащими к меньшинствам действующими сотрудниками таких органов.</w:t>
      </w:r>
    </w:p>
    <w:p w:rsidR="000A33AF" w:rsidRPr="000A33AF" w:rsidRDefault="000A33AF" w:rsidP="00E47025">
      <w:pPr>
        <w:pStyle w:val="SingleTxt"/>
      </w:pPr>
      <w:r w:rsidRPr="000A33AF">
        <w:t>88.</w:t>
      </w:r>
      <w:r w:rsidRPr="000A33AF">
        <w:tab/>
        <w:t xml:space="preserve">Государствам следует поощрять меры по увеличению набора принадлежащих к меньшинствам сотрудников и административных работников с целью формирования кадрового состава пенитенциарных учреждений по принципу обеспечения его разнообразия, в частности в случаях повышенной представленности меньшинств в составе заключенных и преобладания в тюремной администрации лиц, которые принадлежат к доминантной группе общества с культурной, лингвистической или этнической точек зрения. </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062F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A33AF">
        <w:tab/>
      </w:r>
      <w:r w:rsidRPr="000A33AF">
        <w:rPr>
          <w:lang w:val="en-US"/>
        </w:rPr>
        <w:t>D</w:t>
      </w:r>
      <w:r w:rsidRPr="000A33AF">
        <w:t xml:space="preserve">. </w:t>
      </w:r>
      <w:r w:rsidRPr="000A33AF">
        <w:tab/>
        <w:t xml:space="preserve">Независимые механизмы обеспечения надзора, подотчетности </w:t>
      </w:r>
      <w:r w:rsidRPr="000A33AF">
        <w:br/>
        <w:t>и добросовестности</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89.</w:t>
      </w:r>
      <w:r w:rsidRPr="000A33AF">
        <w:tab/>
        <w:t>Государства должны гарантировать создание независимых механизмов по обеспечению надзора и подотчетности на основе независимого анализа политики, программ, кадровой практики и других направлений деятельности полиции и служб безопасности как важнейшего фактора поддержания добросовестности, предупреждения и пресечения должностных нарушений, восстановления или расширения доверия общественности к системе отправления правосудия, а также в качестве неотъемлемого элемента верховенства закона.</w:t>
      </w:r>
    </w:p>
    <w:p w:rsidR="000A33AF" w:rsidRPr="000A33AF" w:rsidRDefault="000A33AF" w:rsidP="00E47025">
      <w:pPr>
        <w:pStyle w:val="SingleTxt"/>
      </w:pPr>
      <w:r w:rsidRPr="000A33AF">
        <w:t>90.</w:t>
      </w:r>
      <w:r w:rsidRPr="000A33AF">
        <w:tab/>
        <w:t>Государствам следует разработать особый кодекс поведения судебного персонала в целях укрепления этических норм и стандартов недискриминационного обращения, а также поощрения культуры добросовестного отношения к служебным обязанностям во всей системе уголовного правосудия, в том числе в судебных органах. Кодексы поведения должны не ограничиваться изложением правил, а способствовать формированию высоконравственного, эффективного и беспристрастного кадрового состава.</w:t>
      </w:r>
    </w:p>
    <w:p w:rsidR="000A33AF" w:rsidRPr="000A33AF" w:rsidRDefault="000A33AF" w:rsidP="00E47025">
      <w:pPr>
        <w:pStyle w:val="SingleTxt"/>
      </w:pPr>
      <w:r w:rsidRPr="000A33AF">
        <w:t>91.</w:t>
      </w:r>
      <w:r w:rsidRPr="000A33AF">
        <w:tab/>
        <w:t>Государства должны создавать независимые и эффективные механизмы или целевые структуры, обладающие полномочиями и техническим потенциалом для получения и рассмотрения жалоб на противоправную дискриминацию в системе уголовного правосудия по признаку расы, цвета кожи, национального происхождения, религии, возраста, пола, сексуальной ориентации, инвалидности, гендерной идентичности или иного обстоятельства или статуса. В надлежащих случаях они должны иметь возможность исправлять прямые или косвенные дискриминационные последствия в отношении жертвы (жертв). Закон должен прямо запрещать возмездие применительно к лицу, которое подает жалобу, выступает в качестве свидетеля, оказывает ту или иную помощь процессуальным действиям или участвует в них, и предусматривать привлечение к ответственности и, при необходимости, применение мер дисциплинарного воздействия. Подобные механизмы и структуры должны быть полностью доступны для отдельных лиц или групп лиц, принадлежащих к меньшинствам.</w:t>
      </w:r>
    </w:p>
    <w:p w:rsidR="000A33AF" w:rsidRPr="000A33AF" w:rsidRDefault="000A33AF" w:rsidP="00E47025">
      <w:pPr>
        <w:pStyle w:val="SingleTxt"/>
      </w:pPr>
      <w:r w:rsidRPr="000A33AF">
        <w:t>92.</w:t>
      </w:r>
      <w:r w:rsidRPr="000A33AF">
        <w:tab/>
        <w:t>Государствам следует создавать внутренние и внешние надзорные механизмы, обладающие определенным набором полномочий, в том числе на получение жалоб на злоупотребления со стороны полиции, проведение по собственной инициативе расследований по заявлениям о противоправных действиях полиции, передачу дел для принятия внутренних дисциплинарных мер в системе полиции, передачу дел в прокуратуру, применение дисциплинарных взысканий, проведение более широких исследований по вопросам поведения полиции и/или на представление предложений о реформировании полицейской службы на рассмотрение органов полиции или правительства. Надзорные механизмы должны обладать достаточными правами для независимого выполнения своих задач, располагать необходимыми ресурсами, функционировать при поддержке общественности и органов государственного управления, работать на транспарентной основе, доводить свои доклады до сведения общественности и привлекать ко всем аспектам своей деятельности представителей меньшинств.</w:t>
      </w:r>
    </w:p>
    <w:p w:rsidR="000A33AF" w:rsidRPr="000A33AF" w:rsidRDefault="000A33AF" w:rsidP="00E47025">
      <w:pPr>
        <w:pStyle w:val="SingleTxt"/>
      </w:pPr>
      <w:r w:rsidRPr="000A33AF">
        <w:t>93.</w:t>
      </w:r>
      <w:r w:rsidRPr="000A33AF">
        <w:tab/>
        <w:t>В целях поддержания и укрепления добросовестности полиции, государства должны обеспечивать справедливое применение системы внутренних дисциплинарных мер в качестве инструмента предупреждения дискриминационного поведения в структурах полиции. По случаям нарушения должностных обязанностей должны проводиться надлежащие расследования наряду с принятием необходимых мер по исправлению положения, в том числе путем устранения причин неправомерных действий. Для этого необходимо вести последовательную борьбу с живучестью бытующих в полицейской среде «кодексов молчания», которые подрывают принципы транспарентности и подотчетности, мешают работе независимой системы рассмотрения внутренних и внешних жалоб и размывают доверие между общинами и полицией, препятствуя тем самым формированию более безопасных и справедливых обществ.</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1D3C41" w:rsidP="00E062F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0A33AF" w:rsidRPr="000A33AF">
        <w:tab/>
      </w:r>
      <w:r w:rsidR="000A33AF" w:rsidRPr="000A33AF">
        <w:rPr>
          <w:lang w:val="en-US"/>
        </w:rPr>
        <w:t>VI</w:t>
      </w:r>
      <w:r w:rsidR="000A33AF" w:rsidRPr="000A33AF">
        <w:t>.</w:t>
      </w:r>
      <w:r w:rsidR="000A33AF" w:rsidRPr="000A33AF">
        <w:tab/>
        <w:t>Рекомендации негосударственным субъектам</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94.</w:t>
      </w:r>
      <w:r w:rsidRPr="000A33AF">
        <w:tab/>
        <w:t>В интересах подтверждения своей приверженности борьбе с предрассудками и дискриминацией в системе уголовного правосудия государствам следует применять подход, основанный на широком сотрудничестве, в том числе с гражданским обществом, общинами меньшинств, религиозными лидерами, национальными правозащитными учреждениями и руководством полиции.</w:t>
      </w:r>
    </w:p>
    <w:p w:rsidR="000A33AF" w:rsidRPr="000A33AF" w:rsidRDefault="000A33AF" w:rsidP="00E47025">
      <w:pPr>
        <w:pStyle w:val="SingleTxt"/>
      </w:pPr>
      <w:r w:rsidRPr="000A33AF">
        <w:t>95.</w:t>
      </w:r>
      <w:r w:rsidRPr="000A33AF">
        <w:tab/>
        <w:t xml:space="preserve">Национальные правозащитные учреждения должны отражать разнообразие своих соответствующих общин и стремиться к созданию целевых надзорных механизмов, выделяя соответствующие ресурсы и специалистов для систематической оценки положения меньшинств в контексте отправления уголовного правосудия и представления по этим вопросам докладов, и обращать при этом особое внимание на поведение сотрудников полиции, судебных органов, работников прокуратуры и адвокатов, а также принимать надлежащие меры при выявлении проявлений дискриминации. </w:t>
      </w:r>
    </w:p>
    <w:p w:rsidR="000A33AF" w:rsidRPr="000A33AF" w:rsidRDefault="000A33AF" w:rsidP="00E47025">
      <w:pPr>
        <w:pStyle w:val="SingleTxt"/>
      </w:pPr>
      <w:r w:rsidRPr="000A33AF">
        <w:t>96.</w:t>
      </w:r>
      <w:r w:rsidRPr="000A33AF">
        <w:tab/>
        <w:t xml:space="preserve">Национальные правозащитные учреждения должны отслеживать количество жалоб, получаемых от принадлежащих к меньшинствам лиц в контексте отправления уголовного правосудия, и изучать результаты их рассмотрения с целью оценки информированности заявителей о своих правах и использования ими имеющихся официальных механизмов отправления правосудия без боязни репрессий, а также соответственно планировать свою работу и информационно-просветительские мероприятия. </w:t>
      </w:r>
    </w:p>
    <w:p w:rsidR="000A33AF" w:rsidRPr="000A33AF" w:rsidRDefault="000A33AF" w:rsidP="00E47025">
      <w:pPr>
        <w:pStyle w:val="SingleTxt"/>
      </w:pPr>
      <w:r w:rsidRPr="000A33AF">
        <w:t>97.</w:t>
      </w:r>
      <w:r w:rsidRPr="000A33AF">
        <w:tab/>
        <w:t>Независимые профессиональные объединения судей, прокуроров и адвокатов должны разрабатывать инструктивные материалы и организовывать подготовку кадров по вопросам прав меньшинств, в том числе по проблемам косвенных проявлений предвзятости и дискриминации, обеспечивая вместе с тем должную представленность меньшинств в составе своих собственных организаций. При выявлении в таких контекстах случаев дискриминации в отношении меньшинств должны применяться меры дисциплинарного воздействия и проводиться работа по исправлению положения.</w:t>
      </w:r>
    </w:p>
    <w:p w:rsidR="000A33AF" w:rsidRPr="000A33AF" w:rsidRDefault="000A33AF" w:rsidP="00E47025">
      <w:pPr>
        <w:pStyle w:val="SingleTxt"/>
      </w:pPr>
      <w:r w:rsidRPr="000A33AF">
        <w:t>98.</w:t>
      </w:r>
      <w:r w:rsidRPr="000A33AF">
        <w:tab/>
        <w:t>Политические руководители должны вести публичную борьбу с дискриминацией, воздерживаясь от заявлений, увязывающих религиозную, национальную, языковую, расовую или этническую принадлежность с противоправным поведением, незаконной миграцией или терроризмом. Политическим партиям надлежит воздерживаться от распространения провокационных и расистских заявлений и обеспечивать, чтобы публичный дискурс не способствовал формированию стереотипных, расистских, ненавистнических или дискриминационных взглядов на конкретные группы меньшинств. Эффективная борьба с таким дискурсом будет обеспечивать неприкосновенность общественного пространства и со временем будет стимулировать широкое общественное обсуждение и укрепление доверия.</w:t>
      </w:r>
    </w:p>
    <w:p w:rsidR="000A33AF" w:rsidRPr="000A33AF" w:rsidRDefault="000A33AF" w:rsidP="00E47025">
      <w:pPr>
        <w:pStyle w:val="SingleTxt"/>
      </w:pPr>
      <w:r w:rsidRPr="000A33AF">
        <w:t>99.</w:t>
      </w:r>
      <w:r w:rsidRPr="000A33AF">
        <w:tab/>
        <w:t xml:space="preserve">Организации гражданского общества должны систематически сотрудничать с соответствующими заинтересованными сторонами в интересах искоренения незаконной дискриминационной практики и взглядов со стороны правоохранительных и/или судебных органов, в том числе посредством более эффективного решения вопросов подотчетности и доступа меньшинств к правосудию. Организациям гражданского общества следует взаимодействовать с группами меньшинств и выступать с предметными инициативами по решению выявленных проблем. </w:t>
      </w:r>
    </w:p>
    <w:p w:rsidR="000A33AF" w:rsidRPr="000A33AF" w:rsidRDefault="000A33AF" w:rsidP="00E47025">
      <w:pPr>
        <w:pStyle w:val="SingleTxt"/>
      </w:pPr>
      <w:r w:rsidRPr="000A33AF">
        <w:t>100.</w:t>
      </w:r>
      <w:r w:rsidRPr="000A33AF">
        <w:tab/>
        <w:t>Организации гражданского общества, включая организации меньшинств, следует рассматривать в качестве заслуживающих доверия партнеров по поощрению и защите прав меньшинств в рамках правоохранительной и судебной систем, активизации усилий по осуществлению инициатив по сбору данных и мониторингу эффективности системы уголовного правосудия.</w:t>
      </w:r>
    </w:p>
    <w:p w:rsidR="000A33AF" w:rsidRPr="000A33AF" w:rsidRDefault="000A33AF" w:rsidP="00E47025">
      <w:pPr>
        <w:pStyle w:val="SingleTxt"/>
      </w:pPr>
      <w:r w:rsidRPr="000A33AF">
        <w:t>101.</w:t>
      </w:r>
      <w:r w:rsidRPr="000A33AF">
        <w:tab/>
        <w:t>Организации гражданского общества должны призывать органы полиции к выработке четкой и более эффективной документально закрепленной политики в отношении методов отслеживания дискриминационной практики в правоохранительных и/или судебных органах и предоставлять консультативные услуги по методам преодоления препятствий, мешающих доступу принадлежащих к меньшинствам жертв к правосудию и возмещению. Организации гражданского общества должны оказывать поддержку лицам, принадлежащим к меньшинствам, которые стали жертвами дискриминации на любом этапе процесса отправления уголовного правосудия.</w:t>
      </w:r>
    </w:p>
    <w:p w:rsidR="000A33AF" w:rsidRPr="000A33AF" w:rsidRDefault="000A33AF" w:rsidP="00E47025">
      <w:pPr>
        <w:pStyle w:val="SingleTxt"/>
      </w:pPr>
      <w:r w:rsidRPr="000A33AF">
        <w:t>102.</w:t>
      </w:r>
      <w:r w:rsidRPr="000A33AF">
        <w:tab/>
        <w:t xml:space="preserve">Организациям гражданского общества надлежит играть определенную роль в стимулировании и поддержке инициатив по формированию позитивных отношений между общинами меньшинств и полицией, в том числе путем повышения уровня взаимопонимания и доверия. Такая деятельность может включать оказание содействия полиции в повышении эффективности ее операций по задержанию и обыску подозреваемых на основе оперативной информации посредством предоставления представителям общественности, включая общины меньшинств, возможностей для сопровождения полицейских патрулей. </w:t>
      </w:r>
    </w:p>
    <w:p w:rsidR="000A33AF" w:rsidRPr="000A33AF" w:rsidRDefault="000A33AF" w:rsidP="00E47025">
      <w:pPr>
        <w:pStyle w:val="SingleTxt"/>
      </w:pPr>
      <w:r w:rsidRPr="000A33AF">
        <w:t>103.</w:t>
      </w:r>
      <w:r w:rsidRPr="000A33AF">
        <w:tab/>
        <w:t>Организации гражданского общества должны выявлять и пропагандировать передовую практику, применяемую на международном, региональном и/или национальном уровнях, с целью сокращения проявлений неравенства и ликвидации дискриминации в отношении меньшинств в системе уголовного правосудия.</w:t>
      </w:r>
    </w:p>
    <w:p w:rsidR="000A33AF" w:rsidRPr="000A33AF" w:rsidRDefault="000A33AF" w:rsidP="00E47025">
      <w:pPr>
        <w:pStyle w:val="SingleTxt"/>
      </w:pPr>
      <w:r w:rsidRPr="000A33AF">
        <w:t>104.</w:t>
      </w:r>
      <w:r w:rsidRPr="000A33AF">
        <w:tab/>
        <w:t>Важную роль в формировании общественных представлений о преступности и правосудии играют средства массовой информации, включая социальные сети. Мнения общественности о жертвах, преступниках, свидетелях и сотрудниках правоохранительных органов во многом определяются их изображением в средствах массовой информации. Следует опротестовывать действия государственных и частных средств массовой информации, которые создают негативные стереотипные представления о группах меньшинств, как о преступных, агрессивных, недостойных доверия, нелояльных, чуждых или аморальных группах, либо формируют искаженные или ложные представления, мнения или обобщения о предполагаемой преступной склонности той или иной группы меньшинств, которые могут перерасти в дискриминационные взгляды и предрассудки.</w:t>
      </w:r>
    </w:p>
    <w:p w:rsidR="000A33AF" w:rsidRPr="000A33AF" w:rsidRDefault="000A33AF" w:rsidP="00E47025">
      <w:pPr>
        <w:pStyle w:val="SingleTxt"/>
      </w:pPr>
      <w:r w:rsidRPr="000A33AF">
        <w:t>105.</w:t>
      </w:r>
      <w:r w:rsidRPr="000A33AF">
        <w:tab/>
        <w:t>Средства массовой информации должны принимать кодексы этики и поведения в целях применения и поощрения этических стандартов и распространять их на языках различных меньшинств. Наличие принадлежащих к меньшинствам специалистов в кадровом составе средств массовой информации на всех должностях и на всех уровнях, а также существование независимых органов по мониторингу средств массовой информации, жизненно необходимо для объективного и нестереотипного изображения меньшинств. Средства массовой информации должны проводить программы подготовки, набора и поддержки сотрудников, принадлежащих к группам меньшинств. Они также должны рассмотреть возможность создания в СМИ координационных механизмов по проблематике меньшинств и наращивать свой потенциал по вопросам, связанным с правами меньшинств.</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1D3C41" w:rsidP="00E062F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0A33AF" w:rsidRPr="000A33AF">
        <w:tab/>
      </w:r>
      <w:r w:rsidR="000A33AF" w:rsidRPr="000A33AF">
        <w:rPr>
          <w:lang w:val="en-US"/>
        </w:rPr>
        <w:t>VII</w:t>
      </w:r>
      <w:r w:rsidR="000A33AF" w:rsidRPr="000A33AF">
        <w:t>.</w:t>
      </w:r>
      <w:r w:rsidR="000A33AF" w:rsidRPr="000A33AF">
        <w:tab/>
        <w:t>Рекомендации международным и региональным организациям</w:t>
      </w:r>
    </w:p>
    <w:p w:rsidR="00E062FB" w:rsidRPr="00E062FB" w:rsidRDefault="00E062FB" w:rsidP="00E062FB">
      <w:pPr>
        <w:pStyle w:val="SingleTxt"/>
        <w:spacing w:after="0" w:line="120" w:lineRule="exact"/>
        <w:rPr>
          <w:sz w:val="10"/>
        </w:rPr>
      </w:pPr>
    </w:p>
    <w:p w:rsidR="00E062FB" w:rsidRPr="00E062FB" w:rsidRDefault="00E062FB" w:rsidP="00E062FB">
      <w:pPr>
        <w:pStyle w:val="SingleTxt"/>
        <w:spacing w:after="0" w:line="120" w:lineRule="exact"/>
        <w:rPr>
          <w:sz w:val="10"/>
        </w:rPr>
      </w:pPr>
    </w:p>
    <w:p w:rsidR="000A33AF" w:rsidRPr="000A33AF" w:rsidRDefault="000A33AF" w:rsidP="00E47025">
      <w:pPr>
        <w:pStyle w:val="SingleTxt"/>
      </w:pPr>
      <w:r w:rsidRPr="000A33AF">
        <w:t>106.</w:t>
      </w:r>
      <w:r w:rsidRPr="000A33AF">
        <w:tab/>
        <w:t>Соответствующие органы, механизмы и специализированные учреждения Организации Объединенных Наций должны оказывать поддержку правительствам в выявлении элементов косвенной или прямой предвзятости и дискриминации в действиях полиции и в системе отправления правосудия, представлять конкретные рекомендации и предложения по улучшению положения, включая законодательные и/или конституционные реформы. В частности, международные органы, занимающиеся мониторингом мест лишения свободы, включая Подкомитет по предупреждению пыток и других жестоких, бесчеловечных или унижающих достоинство видов обращения и наказания, а также Комитет против пыток, должны активно рассматривать проблемы меньшинств в рамках своей деятельности и вводить в свой состав представителей меньшинств.</w:t>
      </w:r>
    </w:p>
    <w:p w:rsidR="000A33AF" w:rsidRPr="000A33AF" w:rsidRDefault="000A33AF" w:rsidP="00E47025">
      <w:pPr>
        <w:pStyle w:val="SingleTxt"/>
      </w:pPr>
      <w:r w:rsidRPr="000A33AF">
        <w:t>107.</w:t>
      </w:r>
      <w:r w:rsidRPr="000A33AF">
        <w:tab/>
        <w:t>Органы, механизмы и специализированные учреждения Организации Объединенных Наций должны использовать существующие в системе Организации Объединенных Наций инициативы и политические рамки, включая Повестку дня в области устойчивого развития на период до 2030 года и инициативу «Права человека прежде всего», в целях содействия укреплению потенциала системы Организации Объединенных Наций по эффективному предупреждению на сложных ситуаций, с которыми сталкиваются меньшинства в системе уголовного правосудия, и реагированию на них. В этой связи следует продолжать поддерживать и расширять деятельность сети Организации Объединенных Наций по борьбе с расовой дискриминацией и защите меньшинств.</w:t>
      </w:r>
    </w:p>
    <w:p w:rsidR="000A33AF" w:rsidRPr="000A33AF" w:rsidRDefault="000A33AF" w:rsidP="00E47025">
      <w:pPr>
        <w:pStyle w:val="SingleTxt"/>
      </w:pPr>
      <w:r w:rsidRPr="000A33AF">
        <w:t>108.</w:t>
      </w:r>
      <w:r w:rsidRPr="000A33AF">
        <w:tab/>
        <w:t>ЮНОДК следует рассмотреть вопрос о принятии целевого подхода к вопросам разнообразия и прав меньшинств в системе уголовного правосудия в качестве одной из тематических приоритетных задач в контексте программ и проектов в области предупреждения преступности и уголовного правосудия.</w:t>
      </w:r>
    </w:p>
    <w:p w:rsidR="000A33AF" w:rsidRPr="000A33AF" w:rsidRDefault="000A33AF" w:rsidP="00E47025">
      <w:pPr>
        <w:pStyle w:val="SingleTxt"/>
      </w:pPr>
      <w:r w:rsidRPr="000A33AF">
        <w:t>109.</w:t>
      </w:r>
      <w:r w:rsidRPr="000A33AF">
        <w:tab/>
        <w:t xml:space="preserve">Страновые группы Организации Объединенных Наций, занимающиеся вопросами реформирования системы отправления правосудия, в том числе сектора безопасности и полиции, должны создавать целевые подразделения по проблематике меньшинств с учетом особенностей конкретных стран. </w:t>
      </w:r>
    </w:p>
    <w:p w:rsidR="000A33AF" w:rsidRPr="000A33AF" w:rsidRDefault="000A33AF" w:rsidP="00E47025">
      <w:pPr>
        <w:pStyle w:val="SingleTxt"/>
      </w:pPr>
      <w:r w:rsidRPr="000A33AF">
        <w:t>110.</w:t>
      </w:r>
      <w:r w:rsidRPr="000A33AF">
        <w:tab/>
        <w:t>Международные и региональные организации должны предпринимать совместные и комплексные усилия для рассмотрения и поддержания деятельности национальных учреждений, играющих ключевую роль в борьбе с институциональным расизмом и дискриминацией и в реформировании системы уголовного правосудия, например, путем оказания государствам юридической помощи в пересмотре уголовного законодательства, в том числе в целях признания расовой и других форм дискриминации отягчающим обстоятельством при рассмотрении уголовных дел, посредством предоставления консультативной помощи и создания потенциала в рамках усилий по расследованию, уголовному преследованию и наказанию виновных в совершении расистских или прочих дискриминационных актов, а также на основе поддержки исследований и мероприятий по сбору данных в порядке информационного обеспечения процессов выработки политики.</w:t>
      </w:r>
    </w:p>
    <w:p w:rsidR="000A33AF" w:rsidRPr="000A33AF" w:rsidRDefault="000A33AF" w:rsidP="00E47025">
      <w:pPr>
        <w:pStyle w:val="SingleTxt"/>
      </w:pPr>
      <w:r w:rsidRPr="000A33AF">
        <w:t>111.</w:t>
      </w:r>
      <w:r w:rsidRPr="000A33AF">
        <w:tab/>
        <w:t>Международные и региональные организации должны оказывать государствам помощь в разработке и создании независимых механизмов по обеспечению надзора и подотчетности в контексте действий полиции, судебных органов и пенитенциарных учреждений в соответствии со стандартами и нормами Организации Объединенных Наций и другими соответствующими международными и региональными договорными документами с целью достижения полного равенства перед законом без какой-либо дискриминации.</w:t>
      </w:r>
    </w:p>
    <w:p w:rsidR="000A33AF" w:rsidRPr="000A33AF" w:rsidRDefault="000A33AF" w:rsidP="00E47025">
      <w:pPr>
        <w:pStyle w:val="SingleTxt"/>
      </w:pPr>
      <w:r w:rsidRPr="000A33AF">
        <w:t>112.</w:t>
      </w:r>
      <w:r w:rsidRPr="000A33AF">
        <w:tab/>
        <w:t xml:space="preserve">Международные и региональные организации должны поддерживать планы реформирования национальной системы правосудия и/или сектора безопасности, направленные на содействие набору принадлежащих к меньшинствам мужчин и женщин в правоохранительные органы, прокуратуру, суды, адвокатуру, а также на другие должности, обеспечивая, при необходимости, их надлежащую подготовку по вопросам прав меньшинств. </w:t>
      </w:r>
    </w:p>
    <w:p w:rsidR="000A33AF" w:rsidRPr="000A33AF" w:rsidRDefault="000A33AF" w:rsidP="00E47025">
      <w:pPr>
        <w:pStyle w:val="SingleTxt"/>
      </w:pPr>
      <w:r w:rsidRPr="000A33AF">
        <w:t>113.</w:t>
      </w:r>
      <w:r w:rsidRPr="000A33AF">
        <w:tab/>
        <w:t>Международные и региональные организации должны оказывать техническую помощь и содействовать созданию потенциала национальных, местных и низовых организаций в интересах совершенствования их отчетности, исследований и информационно-просветительской деятельности в области прав меньшинств. Такая деятельность может включать обучение методам сбора данных или применению других инструментов количественного анализа, которые могли бы способствовать пропагандистской деятельности организаций по оказанию влияния на процессы выработки в государствах политики в целях предупреждения и ликвидации дискриминации или злоупотреблений в отношении меньшинств в рамках всей системы уголовного правосудия.</w:t>
      </w:r>
    </w:p>
    <w:p w:rsidR="00C438B4" w:rsidRPr="00E062FB" w:rsidRDefault="00E062FB" w:rsidP="00E062FB">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C438B4" w:rsidRPr="00E062FB" w:rsidSect="00C438B4">
      <w:endnotePr>
        <w:numFmt w:val="decimal"/>
      </w:endnotePr>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28C" w:rsidRDefault="00EB728C" w:rsidP="008A1A7A">
      <w:pPr>
        <w:spacing w:line="240" w:lineRule="auto"/>
      </w:pPr>
      <w:r>
        <w:separator/>
      </w:r>
    </w:p>
  </w:endnote>
  <w:endnote w:type="continuationSeparator" w:id="0">
    <w:p w:rsidR="00EB728C" w:rsidRDefault="00EB728C"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EB728C" w:rsidTr="00C438B4">
      <w:trPr>
        <w:jc w:val="center"/>
      </w:trPr>
      <w:tc>
        <w:tcPr>
          <w:tcW w:w="5126" w:type="dxa"/>
          <w:shd w:val="clear" w:color="auto" w:fill="auto"/>
          <w:vAlign w:val="bottom"/>
        </w:tcPr>
        <w:p w:rsidR="00EB728C" w:rsidRPr="00C438B4" w:rsidRDefault="00EB728C" w:rsidP="00C438B4">
          <w:pPr>
            <w:pStyle w:val="Footer"/>
            <w:rPr>
              <w:color w:val="000000"/>
            </w:rPr>
          </w:pPr>
          <w:r>
            <w:fldChar w:fldCharType="begin"/>
          </w:r>
          <w:r>
            <w:instrText xml:space="preserve"> PAGE  \* Arabic  \* MERGEFORMAT </w:instrText>
          </w:r>
          <w:r>
            <w:fldChar w:fldCharType="separate"/>
          </w:r>
          <w:r w:rsidR="00AB0E34">
            <w:rPr>
              <w:noProof/>
            </w:rPr>
            <w:t>26</w:t>
          </w:r>
          <w:r>
            <w:fldChar w:fldCharType="end"/>
          </w:r>
          <w:r>
            <w:t>/</w:t>
          </w:r>
          <w:r w:rsidR="00AB0E34">
            <w:fldChar w:fldCharType="begin"/>
          </w:r>
          <w:r w:rsidR="00AB0E34">
            <w:instrText xml:space="preserve"> NUMPAGES  \* Arabic  \* MERGEFORMAT </w:instrText>
          </w:r>
          <w:r w:rsidR="00AB0E34">
            <w:fldChar w:fldCharType="separate"/>
          </w:r>
          <w:r w:rsidR="00AB0E34">
            <w:rPr>
              <w:noProof/>
            </w:rPr>
            <w:t>26</w:t>
          </w:r>
          <w:r w:rsidR="00AB0E34">
            <w:rPr>
              <w:noProof/>
            </w:rPr>
            <w:fldChar w:fldCharType="end"/>
          </w:r>
        </w:p>
      </w:tc>
      <w:tc>
        <w:tcPr>
          <w:tcW w:w="5127" w:type="dxa"/>
          <w:shd w:val="clear" w:color="auto" w:fill="auto"/>
          <w:vAlign w:val="bottom"/>
        </w:tcPr>
        <w:p w:rsidR="00EB728C" w:rsidRPr="00C438B4" w:rsidRDefault="00EB728C" w:rsidP="00C438B4">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318AA">
            <w:rPr>
              <w:b w:val="0"/>
              <w:color w:val="000000"/>
              <w:sz w:val="14"/>
            </w:rPr>
            <w:t>GE.16-01524</w:t>
          </w:r>
          <w:r>
            <w:rPr>
              <w:b w:val="0"/>
              <w:color w:val="000000"/>
              <w:sz w:val="14"/>
            </w:rPr>
            <w:fldChar w:fldCharType="end"/>
          </w:r>
        </w:p>
      </w:tc>
    </w:tr>
  </w:tbl>
  <w:p w:rsidR="00EB728C" w:rsidRPr="00C438B4" w:rsidRDefault="00EB728C" w:rsidP="00C43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EB728C" w:rsidTr="00C438B4">
      <w:trPr>
        <w:jc w:val="center"/>
      </w:trPr>
      <w:tc>
        <w:tcPr>
          <w:tcW w:w="5126" w:type="dxa"/>
          <w:shd w:val="clear" w:color="auto" w:fill="auto"/>
          <w:vAlign w:val="bottom"/>
        </w:tcPr>
        <w:p w:rsidR="00EB728C" w:rsidRPr="00C438B4" w:rsidRDefault="00EB728C" w:rsidP="00C438B4">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318AA">
            <w:rPr>
              <w:b w:val="0"/>
              <w:color w:val="000000"/>
              <w:sz w:val="14"/>
            </w:rPr>
            <w:t>GE.16-01524</w:t>
          </w:r>
          <w:r>
            <w:rPr>
              <w:b w:val="0"/>
              <w:color w:val="000000"/>
              <w:sz w:val="14"/>
            </w:rPr>
            <w:fldChar w:fldCharType="end"/>
          </w:r>
        </w:p>
      </w:tc>
      <w:tc>
        <w:tcPr>
          <w:tcW w:w="5127" w:type="dxa"/>
          <w:shd w:val="clear" w:color="auto" w:fill="auto"/>
          <w:vAlign w:val="bottom"/>
        </w:tcPr>
        <w:p w:rsidR="00EB728C" w:rsidRPr="00C438B4" w:rsidRDefault="00EB728C" w:rsidP="00C438B4">
          <w:pPr>
            <w:pStyle w:val="Footer"/>
            <w:jc w:val="right"/>
          </w:pPr>
          <w:r>
            <w:fldChar w:fldCharType="begin"/>
          </w:r>
          <w:r>
            <w:instrText xml:space="preserve"> PAGE  \* Arabic  \* MERGEFORMAT </w:instrText>
          </w:r>
          <w:r>
            <w:fldChar w:fldCharType="separate"/>
          </w:r>
          <w:r w:rsidR="00AB0E34">
            <w:rPr>
              <w:noProof/>
            </w:rPr>
            <w:t>25</w:t>
          </w:r>
          <w:r>
            <w:fldChar w:fldCharType="end"/>
          </w:r>
          <w:r>
            <w:t>/</w:t>
          </w:r>
          <w:r w:rsidR="00AB0E34">
            <w:fldChar w:fldCharType="begin"/>
          </w:r>
          <w:r w:rsidR="00AB0E34">
            <w:instrText xml:space="preserve"> NUMPAGES  \* Arabic  \* MERGEFORMAT </w:instrText>
          </w:r>
          <w:r w:rsidR="00AB0E34">
            <w:fldChar w:fldCharType="separate"/>
          </w:r>
          <w:r w:rsidR="00AB0E34">
            <w:rPr>
              <w:noProof/>
            </w:rPr>
            <w:t>25</w:t>
          </w:r>
          <w:r w:rsidR="00AB0E34">
            <w:rPr>
              <w:noProof/>
            </w:rPr>
            <w:fldChar w:fldCharType="end"/>
          </w:r>
        </w:p>
      </w:tc>
    </w:tr>
  </w:tbl>
  <w:p w:rsidR="00EB728C" w:rsidRPr="00C438B4" w:rsidRDefault="00EB728C" w:rsidP="00C438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EB728C" w:rsidTr="00C438B4">
      <w:tc>
        <w:tcPr>
          <w:tcW w:w="3873" w:type="dxa"/>
        </w:tcPr>
        <w:p w:rsidR="00EB728C" w:rsidRDefault="00EB728C" w:rsidP="00C438B4">
          <w:pPr>
            <w:pStyle w:val="ReleaseDate"/>
            <w:rPr>
              <w:color w:val="010000"/>
            </w:rPr>
          </w:pPr>
          <w:r>
            <w:rPr>
              <w:noProof/>
              <w:lang w:val="en-GB" w:eastAsia="en-GB"/>
            </w:rPr>
            <w:drawing>
              <wp:anchor distT="0" distB="0" distL="114300" distR="114300" simplePos="0" relativeHeight="251658240" behindDoc="0" locked="0" layoutInCell="1" allowOverlap="1" wp14:anchorId="5C585692" wp14:editId="43FDF5BB">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1/72&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2&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GE.16-01524 (R)</w:t>
          </w:r>
          <w:r>
            <w:rPr>
              <w:color w:val="010000"/>
            </w:rPr>
            <w:t xml:space="preserve">    230216    230216</w:t>
          </w:r>
        </w:p>
        <w:p w:rsidR="00EB728C" w:rsidRPr="00C438B4" w:rsidRDefault="00EB728C" w:rsidP="00C438B4">
          <w:pPr>
            <w:spacing w:before="80" w:line="210" w:lineRule="exact"/>
            <w:rPr>
              <w:rFonts w:ascii="Barcode 3 of 9 by request" w:hAnsi="Barcode 3 of 9 by request"/>
              <w:w w:val="100"/>
              <w:sz w:val="24"/>
            </w:rPr>
          </w:pPr>
          <w:r>
            <w:rPr>
              <w:rFonts w:ascii="Barcode 3 of 9 by request" w:hAnsi="Barcode 3 of 9 by request"/>
              <w:w w:val="100"/>
              <w:sz w:val="24"/>
            </w:rPr>
            <w:t>*1601524*</w:t>
          </w:r>
        </w:p>
      </w:tc>
      <w:tc>
        <w:tcPr>
          <w:tcW w:w="5127" w:type="dxa"/>
        </w:tcPr>
        <w:p w:rsidR="00EB728C" w:rsidRDefault="00EB728C" w:rsidP="00C438B4">
          <w:pPr>
            <w:pStyle w:val="Footer"/>
            <w:spacing w:line="240" w:lineRule="atLeast"/>
            <w:jc w:val="right"/>
            <w:rPr>
              <w:b w:val="0"/>
              <w:sz w:val="20"/>
            </w:rPr>
          </w:pPr>
          <w:r>
            <w:rPr>
              <w:b w:val="0"/>
              <w:noProof/>
              <w:sz w:val="20"/>
              <w:lang w:val="en-GB" w:eastAsia="en-GB"/>
            </w:rPr>
            <w:drawing>
              <wp:inline distT="0" distB="0" distL="0" distR="0" wp14:anchorId="00C8E6D9" wp14:editId="364CB321">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EB728C" w:rsidRPr="00C438B4" w:rsidRDefault="00EB728C" w:rsidP="00C438B4">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28C" w:rsidRPr="00EB728C" w:rsidRDefault="00EB728C" w:rsidP="00EB728C">
      <w:pPr>
        <w:pStyle w:val="Footer"/>
        <w:spacing w:after="80"/>
        <w:ind w:left="792"/>
        <w:rPr>
          <w:sz w:val="16"/>
        </w:rPr>
      </w:pPr>
      <w:r w:rsidRPr="00EB728C">
        <w:rPr>
          <w:sz w:val="16"/>
        </w:rPr>
        <w:t>__________________</w:t>
      </w:r>
    </w:p>
  </w:footnote>
  <w:footnote w:type="continuationSeparator" w:id="0">
    <w:p w:rsidR="00EB728C" w:rsidRPr="00EB728C" w:rsidRDefault="00EB728C" w:rsidP="00EB728C">
      <w:pPr>
        <w:pStyle w:val="Footer"/>
        <w:spacing w:after="80"/>
        <w:ind w:left="792"/>
        <w:rPr>
          <w:sz w:val="16"/>
        </w:rPr>
      </w:pPr>
      <w:r w:rsidRPr="00EB728C">
        <w:rPr>
          <w:sz w:val="16"/>
        </w:rPr>
        <w:t>__________________</w:t>
      </w:r>
    </w:p>
  </w:footnote>
  <w:footnote w:id="1">
    <w:p w:rsidR="00EB728C" w:rsidRPr="001B0EC0" w:rsidRDefault="00EB728C" w:rsidP="00EB728C">
      <w:pPr>
        <w:pStyle w:val="FootnoteText"/>
        <w:widowControl w:val="0"/>
        <w:tabs>
          <w:tab w:val="right" w:pos="1195"/>
          <w:tab w:val="left" w:pos="1267"/>
          <w:tab w:val="left" w:pos="1742"/>
          <w:tab w:val="left" w:pos="2218"/>
          <w:tab w:val="left" w:pos="2693"/>
        </w:tabs>
        <w:ind w:left="1267" w:right="1260" w:hanging="432"/>
      </w:pPr>
      <w:r>
        <w:tab/>
      </w:r>
      <w:r w:rsidRPr="00DA589D">
        <w:rPr>
          <w:rStyle w:val="FootnoteReference"/>
        </w:rPr>
        <w:footnoteRef/>
      </w:r>
      <w:r w:rsidRPr="00042D5C">
        <w:tab/>
      </w:r>
      <w:r>
        <w:rPr>
          <w:szCs w:val="18"/>
        </w:rPr>
        <w:t>См. Доклад о расовом и этническом профилировании Специального докладчика по вопросу</w:t>
      </w:r>
      <w:r w:rsidR="00E062FB">
        <w:rPr>
          <w:szCs w:val="18"/>
        </w:rPr>
        <w:br/>
      </w:r>
      <w:r>
        <w:rPr>
          <w:szCs w:val="18"/>
        </w:rPr>
        <w:t xml:space="preserve">о современных формах расизма, расовой дискриминации, ксенофобии и связанной с ними нетерпимости </w:t>
      </w:r>
      <w:r w:rsidRPr="001B0EC0">
        <w:rPr>
          <w:szCs w:val="18"/>
        </w:rPr>
        <w:t>(</w:t>
      </w:r>
      <w:r w:rsidRPr="00F71128">
        <w:rPr>
          <w:szCs w:val="18"/>
        </w:rPr>
        <w:t>A</w:t>
      </w:r>
      <w:r w:rsidRPr="001B0EC0">
        <w:rPr>
          <w:szCs w:val="18"/>
        </w:rPr>
        <w:t>/</w:t>
      </w:r>
      <w:r w:rsidRPr="00F71128">
        <w:rPr>
          <w:szCs w:val="18"/>
        </w:rPr>
        <w:t>HRC</w:t>
      </w:r>
      <w:r w:rsidRPr="001B0EC0">
        <w:rPr>
          <w:szCs w:val="18"/>
        </w:rPr>
        <w:t>/29/46).</w:t>
      </w:r>
    </w:p>
  </w:footnote>
  <w:footnote w:id="2">
    <w:p w:rsidR="00EB728C" w:rsidRPr="001B0EC0" w:rsidRDefault="00EB728C" w:rsidP="00EB728C">
      <w:pPr>
        <w:pStyle w:val="FootnoteText"/>
        <w:widowControl w:val="0"/>
        <w:tabs>
          <w:tab w:val="right" w:pos="1195"/>
          <w:tab w:val="left" w:pos="1267"/>
          <w:tab w:val="left" w:pos="1742"/>
          <w:tab w:val="left" w:pos="2218"/>
          <w:tab w:val="left" w:pos="2693"/>
        </w:tabs>
        <w:ind w:left="1267" w:right="1260" w:hanging="432"/>
      </w:pPr>
      <w:r w:rsidRPr="001B0EC0">
        <w:tab/>
      </w:r>
      <w:r w:rsidRPr="00DA589D">
        <w:rPr>
          <w:rStyle w:val="FootnoteReference"/>
        </w:rPr>
        <w:footnoteRef/>
      </w:r>
      <w:r w:rsidRPr="00042D5C">
        <w:tab/>
      </w:r>
      <w:r>
        <w:rPr>
          <w:szCs w:val="18"/>
        </w:rPr>
        <w:t>См</w:t>
      </w:r>
      <w:r w:rsidRPr="001B0EC0">
        <w:rPr>
          <w:szCs w:val="18"/>
        </w:rPr>
        <w:t xml:space="preserve">. </w:t>
      </w:r>
      <w:r>
        <w:rPr>
          <w:szCs w:val="18"/>
        </w:rPr>
        <w:t xml:space="preserve">Доклад об </w:t>
      </w:r>
      <w:r w:rsidRPr="00EB4D3A">
        <w:rPr>
          <w:szCs w:val="18"/>
        </w:rPr>
        <w:t>угроз</w:t>
      </w:r>
      <w:r>
        <w:rPr>
          <w:szCs w:val="18"/>
        </w:rPr>
        <w:t>е</w:t>
      </w:r>
      <w:r w:rsidRPr="00EB4D3A">
        <w:rPr>
          <w:szCs w:val="18"/>
        </w:rPr>
        <w:t xml:space="preserve"> правам на свободу мирных собраний и ассоциации для групп наибольшего риска</w:t>
      </w:r>
      <w:r>
        <w:rPr>
          <w:szCs w:val="18"/>
        </w:rPr>
        <w:t xml:space="preserve"> Специального докладчика по вопросу о правах на свободу мирных собраний и ассоциации </w:t>
      </w:r>
      <w:r w:rsidRPr="001B0EC0">
        <w:rPr>
          <w:szCs w:val="18"/>
        </w:rPr>
        <w:t>(</w:t>
      </w:r>
      <w:r w:rsidRPr="00611BCD">
        <w:rPr>
          <w:szCs w:val="18"/>
        </w:rPr>
        <w:t>A</w:t>
      </w:r>
      <w:r w:rsidRPr="001B0EC0">
        <w:rPr>
          <w:szCs w:val="18"/>
        </w:rPr>
        <w:t>/</w:t>
      </w:r>
      <w:r w:rsidRPr="00611BCD">
        <w:rPr>
          <w:szCs w:val="18"/>
        </w:rPr>
        <w:t>HRC</w:t>
      </w:r>
      <w:r w:rsidRPr="001B0EC0">
        <w:rPr>
          <w:szCs w:val="18"/>
        </w:rPr>
        <w:t>/26/29).</w:t>
      </w:r>
    </w:p>
  </w:footnote>
  <w:footnote w:id="3">
    <w:p w:rsidR="00EB728C" w:rsidRPr="00042D5C" w:rsidRDefault="00EB728C" w:rsidP="00E062FB">
      <w:pPr>
        <w:pStyle w:val="FootnoteText"/>
        <w:widowControl w:val="0"/>
        <w:tabs>
          <w:tab w:val="right" w:pos="1195"/>
          <w:tab w:val="left" w:pos="1267"/>
          <w:tab w:val="left" w:pos="1742"/>
          <w:tab w:val="left" w:pos="2218"/>
          <w:tab w:val="left" w:pos="2693"/>
        </w:tabs>
        <w:ind w:left="1267" w:right="1260" w:hanging="432"/>
      </w:pPr>
      <w:r w:rsidRPr="001B0EC0">
        <w:tab/>
      </w:r>
      <w:r w:rsidRPr="00DA589D">
        <w:rPr>
          <w:rStyle w:val="FootnoteReference"/>
        </w:rPr>
        <w:footnoteRef/>
      </w:r>
      <w:r w:rsidRPr="000A33AF">
        <w:rPr>
          <w:lang w:val="en-US"/>
        </w:rPr>
        <w:tab/>
      </w:r>
      <w:r>
        <w:t>См</w:t>
      </w:r>
      <w:r w:rsidRPr="00042D5C">
        <w:rPr>
          <w:lang w:val="en-US"/>
        </w:rPr>
        <w:t xml:space="preserve">. </w:t>
      </w:r>
      <w:r w:rsidRPr="00A94AA9">
        <w:rPr>
          <w:lang w:val="en-US"/>
        </w:rPr>
        <w:t>Ю</w:t>
      </w:r>
      <w:r>
        <w:t>НОДК</w:t>
      </w:r>
      <w:r w:rsidRPr="000A33AF">
        <w:rPr>
          <w:szCs w:val="18"/>
          <w:lang w:val="en-US"/>
        </w:rPr>
        <w:t xml:space="preserve"> </w:t>
      </w:r>
      <w:r w:rsidRPr="00042D5C">
        <w:rPr>
          <w:szCs w:val="18"/>
          <w:lang w:val="en-US"/>
        </w:rPr>
        <w:t>«</w:t>
      </w:r>
      <w:r w:rsidRPr="000A33AF">
        <w:rPr>
          <w:szCs w:val="18"/>
          <w:lang w:val="en-US"/>
        </w:rPr>
        <w:t>Handbook on State Regulation concerning Civilian Private Security Services and their Contribution to Crime Prevention and Community Safety</w:t>
      </w:r>
      <w:r w:rsidRPr="00042D5C">
        <w:rPr>
          <w:szCs w:val="18"/>
          <w:lang w:val="en-US"/>
        </w:rPr>
        <w:t>»</w:t>
      </w:r>
      <w:r>
        <w:rPr>
          <w:lang w:val="en-US"/>
        </w:rPr>
        <w:t xml:space="preserve">. </w:t>
      </w:r>
      <w:r>
        <w:t>Имеется</w:t>
      </w:r>
      <w:r w:rsidRPr="00BE1EB7">
        <w:t xml:space="preserve"> </w:t>
      </w:r>
      <w:r>
        <w:t>по</w:t>
      </w:r>
      <w:r w:rsidRPr="00BE1EB7">
        <w:t xml:space="preserve"> </w:t>
      </w:r>
      <w:r>
        <w:t xml:space="preserve">адресу </w:t>
      </w:r>
      <w:hyperlink r:id="rId1" w:history="1">
        <w:r w:rsidRPr="00F71128">
          <w:rPr>
            <w:szCs w:val="18"/>
          </w:rPr>
          <w:t>www</w:t>
        </w:r>
        <w:r w:rsidRPr="00BE1EB7">
          <w:rPr>
            <w:szCs w:val="18"/>
          </w:rPr>
          <w:t>.</w:t>
        </w:r>
        <w:r w:rsidRPr="00F71128">
          <w:rPr>
            <w:szCs w:val="18"/>
          </w:rPr>
          <w:t>unodc</w:t>
        </w:r>
        <w:r w:rsidRPr="00BE1EB7">
          <w:rPr>
            <w:szCs w:val="18"/>
          </w:rPr>
          <w:t>.</w:t>
        </w:r>
        <w:r w:rsidRPr="00F71128">
          <w:rPr>
            <w:szCs w:val="18"/>
          </w:rPr>
          <w:t>org</w:t>
        </w:r>
        <w:r w:rsidRPr="00042D5C">
          <w:rPr>
            <w:szCs w:val="18"/>
          </w:rPr>
          <w:t>/</w:t>
        </w:r>
        <w:r w:rsidRPr="00F71128">
          <w:rPr>
            <w:szCs w:val="18"/>
          </w:rPr>
          <w:t>documents</w:t>
        </w:r>
        <w:r w:rsidRPr="00042D5C">
          <w:rPr>
            <w:szCs w:val="18"/>
          </w:rPr>
          <w:t>/</w:t>
        </w:r>
        <w:r w:rsidRPr="00F71128">
          <w:rPr>
            <w:szCs w:val="18"/>
          </w:rPr>
          <w:t>justice</w:t>
        </w:r>
        <w:r w:rsidRPr="00042D5C">
          <w:rPr>
            <w:szCs w:val="18"/>
          </w:rPr>
          <w:t>-</w:t>
        </w:r>
        <w:r w:rsidRPr="00F71128">
          <w:rPr>
            <w:szCs w:val="18"/>
          </w:rPr>
          <w:t>and</w:t>
        </w:r>
        <w:r w:rsidRPr="00042D5C">
          <w:rPr>
            <w:szCs w:val="18"/>
          </w:rPr>
          <w:t>-</w:t>
        </w:r>
        <w:r w:rsidRPr="00F71128">
          <w:rPr>
            <w:szCs w:val="18"/>
          </w:rPr>
          <w:t>prison</w:t>
        </w:r>
        <w:r w:rsidRPr="00042D5C">
          <w:rPr>
            <w:szCs w:val="18"/>
          </w:rPr>
          <w:t>-</w:t>
        </w:r>
        <w:r w:rsidRPr="00F71128">
          <w:rPr>
            <w:szCs w:val="18"/>
          </w:rPr>
          <w:t>reform</w:t>
        </w:r>
        <w:r w:rsidRPr="00042D5C">
          <w:rPr>
            <w:szCs w:val="18"/>
          </w:rPr>
          <w:t>/</w:t>
        </w:r>
        <w:r w:rsidRPr="00F71128">
          <w:rPr>
            <w:szCs w:val="18"/>
          </w:rPr>
          <w:t>crimeprevention</w:t>
        </w:r>
        <w:r w:rsidRPr="00042D5C">
          <w:rPr>
            <w:szCs w:val="18"/>
          </w:rPr>
          <w:t>/</w:t>
        </w:r>
        <w:r w:rsidRPr="00F71128">
          <w:rPr>
            <w:szCs w:val="18"/>
          </w:rPr>
          <w:t>Ebook</w:t>
        </w:r>
        <w:r w:rsidRPr="00042D5C">
          <w:rPr>
            <w:szCs w:val="18"/>
          </w:rPr>
          <w:t>0.</w:t>
        </w:r>
        <w:r w:rsidRPr="00F71128">
          <w:rPr>
            <w:szCs w:val="18"/>
          </w:rPr>
          <w:t>pdf</w:t>
        </w:r>
      </w:hyperlink>
      <w:r w:rsidRPr="00042D5C">
        <w:t>.</w:t>
      </w:r>
    </w:p>
  </w:footnote>
  <w:footnote w:id="4">
    <w:p w:rsidR="00EB728C" w:rsidRPr="00B6445B" w:rsidRDefault="00EB728C" w:rsidP="00EB728C">
      <w:pPr>
        <w:pStyle w:val="FootnoteText"/>
        <w:widowControl w:val="0"/>
        <w:tabs>
          <w:tab w:val="right" w:pos="1195"/>
          <w:tab w:val="left" w:pos="1267"/>
          <w:tab w:val="left" w:pos="1742"/>
          <w:tab w:val="left" w:pos="2218"/>
          <w:tab w:val="left" w:pos="2693"/>
        </w:tabs>
        <w:ind w:left="1267" w:right="1260" w:hanging="432"/>
      </w:pPr>
      <w:r w:rsidRPr="00586513">
        <w:tab/>
      </w:r>
      <w:r w:rsidRPr="00F71128">
        <w:rPr>
          <w:rStyle w:val="FootnoteReference"/>
        </w:rPr>
        <w:footnoteRef/>
      </w:r>
      <w:r w:rsidRPr="00034C23">
        <w:tab/>
      </w:r>
      <w:r>
        <w:t>См. Комитет по правам ребенка, замечание общего порядка №</w:t>
      </w:r>
      <w:r w:rsidRPr="00C1678C">
        <w:t xml:space="preserve"> 10 (2007)</w:t>
      </w:r>
      <w:r>
        <w:t xml:space="preserve"> о правах </w:t>
      </w:r>
      <w:r w:rsidR="00E062FB">
        <w:t>детей в </w:t>
      </w:r>
      <w:r w:rsidRPr="00C1678C">
        <w:t>рамках отправления правосудия в отношении несовершеннолетних</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B728C" w:rsidTr="00C438B4">
      <w:trPr>
        <w:trHeight w:hRule="exact" w:val="864"/>
        <w:jc w:val="center"/>
      </w:trPr>
      <w:tc>
        <w:tcPr>
          <w:tcW w:w="4882" w:type="dxa"/>
          <w:shd w:val="clear" w:color="auto" w:fill="auto"/>
          <w:vAlign w:val="bottom"/>
        </w:tcPr>
        <w:p w:rsidR="00EB728C" w:rsidRPr="00C438B4" w:rsidRDefault="00EB728C" w:rsidP="00C438B4">
          <w:pPr>
            <w:pStyle w:val="Header"/>
            <w:spacing w:after="80"/>
            <w:rPr>
              <w:b/>
            </w:rPr>
          </w:pPr>
          <w:r>
            <w:rPr>
              <w:b/>
            </w:rPr>
            <w:fldChar w:fldCharType="begin"/>
          </w:r>
          <w:r>
            <w:rPr>
              <w:b/>
            </w:rPr>
            <w:instrText xml:space="preserve"> DOCVARIABLE "sss1" \* MERGEFORMAT </w:instrText>
          </w:r>
          <w:r>
            <w:rPr>
              <w:b/>
            </w:rPr>
            <w:fldChar w:fldCharType="separate"/>
          </w:r>
          <w:r w:rsidR="006318AA">
            <w:rPr>
              <w:b/>
            </w:rPr>
            <w:t>A/HRC/31/72</w:t>
          </w:r>
          <w:r>
            <w:rPr>
              <w:b/>
            </w:rPr>
            <w:fldChar w:fldCharType="end"/>
          </w:r>
        </w:p>
      </w:tc>
      <w:tc>
        <w:tcPr>
          <w:tcW w:w="5127" w:type="dxa"/>
          <w:shd w:val="clear" w:color="auto" w:fill="auto"/>
          <w:vAlign w:val="bottom"/>
        </w:tcPr>
        <w:p w:rsidR="00EB728C" w:rsidRDefault="00EB728C" w:rsidP="00C438B4">
          <w:pPr>
            <w:pStyle w:val="Header"/>
          </w:pPr>
        </w:p>
      </w:tc>
    </w:tr>
  </w:tbl>
  <w:p w:rsidR="00EB728C" w:rsidRPr="00C438B4" w:rsidRDefault="00EB728C" w:rsidP="00C438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B728C" w:rsidTr="00C438B4">
      <w:trPr>
        <w:trHeight w:hRule="exact" w:val="864"/>
        <w:jc w:val="center"/>
      </w:trPr>
      <w:tc>
        <w:tcPr>
          <w:tcW w:w="4882" w:type="dxa"/>
          <w:shd w:val="clear" w:color="auto" w:fill="auto"/>
          <w:vAlign w:val="bottom"/>
        </w:tcPr>
        <w:p w:rsidR="00EB728C" w:rsidRDefault="00EB728C" w:rsidP="00C438B4">
          <w:pPr>
            <w:pStyle w:val="Header"/>
          </w:pPr>
        </w:p>
      </w:tc>
      <w:tc>
        <w:tcPr>
          <w:tcW w:w="5127" w:type="dxa"/>
          <w:shd w:val="clear" w:color="auto" w:fill="auto"/>
          <w:vAlign w:val="bottom"/>
        </w:tcPr>
        <w:p w:rsidR="00EB728C" w:rsidRPr="00C438B4" w:rsidRDefault="00EB728C" w:rsidP="00C438B4">
          <w:pPr>
            <w:pStyle w:val="Header"/>
            <w:spacing w:after="80"/>
            <w:jc w:val="right"/>
            <w:rPr>
              <w:b/>
            </w:rPr>
          </w:pPr>
          <w:r>
            <w:rPr>
              <w:b/>
            </w:rPr>
            <w:fldChar w:fldCharType="begin"/>
          </w:r>
          <w:r>
            <w:rPr>
              <w:b/>
            </w:rPr>
            <w:instrText xml:space="preserve"> DOCVARIABLE "sss1" \* MERGEFORMAT </w:instrText>
          </w:r>
          <w:r>
            <w:rPr>
              <w:b/>
            </w:rPr>
            <w:fldChar w:fldCharType="separate"/>
          </w:r>
          <w:r w:rsidR="006318AA">
            <w:rPr>
              <w:b/>
            </w:rPr>
            <w:t>A/HRC/31/72</w:t>
          </w:r>
          <w:r>
            <w:rPr>
              <w:b/>
            </w:rPr>
            <w:fldChar w:fldCharType="end"/>
          </w:r>
        </w:p>
      </w:tc>
    </w:tr>
  </w:tbl>
  <w:p w:rsidR="00EB728C" w:rsidRPr="00C438B4" w:rsidRDefault="00EB728C" w:rsidP="00C438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EB728C" w:rsidTr="00C438B4">
      <w:trPr>
        <w:trHeight w:hRule="exact" w:val="864"/>
      </w:trPr>
      <w:tc>
        <w:tcPr>
          <w:tcW w:w="4421" w:type="dxa"/>
          <w:gridSpan w:val="2"/>
          <w:tcBorders>
            <w:bottom w:val="single" w:sz="4" w:space="0" w:color="auto"/>
          </w:tcBorders>
          <w:shd w:val="clear" w:color="auto" w:fill="auto"/>
          <w:vAlign w:val="bottom"/>
        </w:tcPr>
        <w:p w:rsidR="00EB728C" w:rsidRPr="00C438B4" w:rsidRDefault="00EB728C" w:rsidP="00C438B4">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EB728C" w:rsidRDefault="00EB728C" w:rsidP="00C438B4">
          <w:pPr>
            <w:pStyle w:val="Header"/>
            <w:spacing w:after="120"/>
          </w:pPr>
        </w:p>
      </w:tc>
      <w:tc>
        <w:tcPr>
          <w:tcW w:w="5357" w:type="dxa"/>
          <w:gridSpan w:val="3"/>
          <w:tcBorders>
            <w:bottom w:val="single" w:sz="4" w:space="0" w:color="auto"/>
          </w:tcBorders>
          <w:shd w:val="clear" w:color="auto" w:fill="auto"/>
          <w:vAlign w:val="bottom"/>
        </w:tcPr>
        <w:p w:rsidR="00EB728C" w:rsidRPr="00C438B4" w:rsidRDefault="00EB728C" w:rsidP="00C438B4">
          <w:pPr>
            <w:pStyle w:val="Header"/>
            <w:spacing w:after="20"/>
            <w:jc w:val="right"/>
            <w:rPr>
              <w:sz w:val="20"/>
            </w:rPr>
          </w:pPr>
          <w:r>
            <w:rPr>
              <w:sz w:val="40"/>
            </w:rPr>
            <w:t>A</w:t>
          </w:r>
          <w:r>
            <w:rPr>
              <w:sz w:val="20"/>
            </w:rPr>
            <w:t>/HRC/31/72</w:t>
          </w:r>
        </w:p>
      </w:tc>
    </w:tr>
    <w:tr w:rsidR="00EB728C" w:rsidRPr="00473B37" w:rsidTr="00C438B4">
      <w:trPr>
        <w:trHeight w:hRule="exact" w:val="2880"/>
      </w:trPr>
      <w:tc>
        <w:tcPr>
          <w:tcW w:w="1267" w:type="dxa"/>
          <w:tcBorders>
            <w:top w:val="single" w:sz="4" w:space="0" w:color="auto"/>
            <w:bottom w:val="single" w:sz="12" w:space="0" w:color="auto"/>
          </w:tcBorders>
          <w:shd w:val="clear" w:color="auto" w:fill="auto"/>
        </w:tcPr>
        <w:p w:rsidR="00EB728C" w:rsidRPr="00C438B4" w:rsidRDefault="00EB728C" w:rsidP="00C438B4">
          <w:pPr>
            <w:pStyle w:val="Header"/>
            <w:spacing w:before="120"/>
            <w:jc w:val="center"/>
          </w:pPr>
          <w:r>
            <w:t xml:space="preserve"> </w:t>
          </w:r>
          <w:r>
            <w:rPr>
              <w:noProof/>
              <w:lang w:val="en-GB" w:eastAsia="en-GB"/>
            </w:rPr>
            <w:drawing>
              <wp:inline distT="0" distB="0" distL="0" distR="0" wp14:anchorId="17DC50DD" wp14:editId="7A16EB9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B728C" w:rsidRPr="00C438B4" w:rsidRDefault="00EB728C" w:rsidP="00C438B4">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EB728C" w:rsidRPr="00C438B4" w:rsidRDefault="00EB728C" w:rsidP="00C438B4">
          <w:pPr>
            <w:pStyle w:val="Header"/>
            <w:spacing w:before="109"/>
          </w:pPr>
        </w:p>
      </w:tc>
      <w:tc>
        <w:tcPr>
          <w:tcW w:w="3280" w:type="dxa"/>
          <w:tcBorders>
            <w:top w:val="single" w:sz="4" w:space="0" w:color="auto"/>
            <w:bottom w:val="single" w:sz="12" w:space="0" w:color="auto"/>
          </w:tcBorders>
          <w:shd w:val="clear" w:color="auto" w:fill="auto"/>
        </w:tcPr>
        <w:p w:rsidR="00EB728C" w:rsidRPr="000A33AF" w:rsidRDefault="00EB728C" w:rsidP="00C438B4">
          <w:pPr>
            <w:pStyle w:val="Distribution"/>
            <w:rPr>
              <w:color w:val="000000"/>
              <w:lang w:val="en-US"/>
            </w:rPr>
          </w:pPr>
          <w:r w:rsidRPr="000A33AF">
            <w:rPr>
              <w:color w:val="000000"/>
              <w:lang w:val="en-US"/>
            </w:rPr>
            <w:t>Distr.: General</w:t>
          </w:r>
        </w:p>
        <w:p w:rsidR="00EB728C" w:rsidRPr="000A33AF" w:rsidRDefault="00EB728C" w:rsidP="000A33AF">
          <w:pPr>
            <w:pStyle w:val="Publication"/>
            <w:rPr>
              <w:color w:val="000000"/>
              <w:lang w:val="en-US"/>
            </w:rPr>
          </w:pPr>
          <w:r w:rsidRPr="000A33AF">
            <w:rPr>
              <w:color w:val="000000"/>
              <w:lang w:val="en-US"/>
            </w:rPr>
            <w:t>4 February 2016</w:t>
          </w:r>
        </w:p>
        <w:p w:rsidR="00EB728C" w:rsidRPr="000A33AF" w:rsidRDefault="00EB728C" w:rsidP="00C438B4">
          <w:pPr>
            <w:rPr>
              <w:color w:val="000000"/>
              <w:lang w:val="en-US"/>
            </w:rPr>
          </w:pPr>
          <w:r w:rsidRPr="000A33AF">
            <w:rPr>
              <w:color w:val="000000"/>
              <w:lang w:val="en-US"/>
            </w:rPr>
            <w:t>Russian</w:t>
          </w:r>
        </w:p>
        <w:p w:rsidR="00EB728C" w:rsidRPr="000A33AF" w:rsidRDefault="00EB728C" w:rsidP="00C438B4">
          <w:pPr>
            <w:pStyle w:val="Original"/>
            <w:rPr>
              <w:color w:val="000000"/>
              <w:lang w:val="en-US"/>
            </w:rPr>
          </w:pPr>
          <w:r w:rsidRPr="000A33AF">
            <w:rPr>
              <w:color w:val="000000"/>
              <w:lang w:val="en-US"/>
            </w:rPr>
            <w:t>Original: English</w:t>
          </w:r>
        </w:p>
        <w:p w:rsidR="00EB728C" w:rsidRPr="000A33AF" w:rsidRDefault="00EB728C" w:rsidP="00C438B4">
          <w:pPr>
            <w:rPr>
              <w:lang w:val="en-US"/>
            </w:rPr>
          </w:pPr>
        </w:p>
      </w:tc>
    </w:tr>
  </w:tbl>
  <w:p w:rsidR="00EB728C" w:rsidRPr="000A33AF" w:rsidRDefault="00EB728C" w:rsidP="00C438B4">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736B1B"/>
    <w:multiLevelType w:val="multilevel"/>
    <w:tmpl w:val="D8B65690"/>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7">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601524*"/>
    <w:docVar w:name="CreationDt" w:val="2/23/2016 10:57 AM"/>
    <w:docVar w:name="DocCategory" w:val="Doc"/>
    <w:docVar w:name="DocType" w:val="Final"/>
    <w:docVar w:name="DutyStation" w:val="Geneva"/>
    <w:docVar w:name="FooterJN" w:val="GE.16-01524"/>
    <w:docVar w:name="jobn" w:val="GE.16-01524 (R)"/>
    <w:docVar w:name="jobnDT" w:val="GE.16-01524 (R)   230216"/>
    <w:docVar w:name="jobnDTDT" w:val="GE.16-01524 (R)   230216   230216"/>
    <w:docVar w:name="JobNo" w:val="GE.1601524R"/>
    <w:docVar w:name="JobNo2" w:val="1601809R"/>
    <w:docVar w:name="LocalDrive" w:val="0"/>
    <w:docVar w:name="OandT" w:val=" "/>
    <w:docVar w:name="PaperSize" w:val="A4"/>
    <w:docVar w:name="sss1" w:val="A/HRC/31/72"/>
    <w:docVar w:name="sss2" w:val="-"/>
    <w:docVar w:name="Symbol1" w:val="A/HRC/31/72"/>
    <w:docVar w:name="Symbol2" w:val="-"/>
  </w:docVars>
  <w:rsids>
    <w:rsidRoot w:val="00036456"/>
    <w:rsid w:val="00004615"/>
    <w:rsid w:val="00004756"/>
    <w:rsid w:val="00010735"/>
    <w:rsid w:val="00010CB8"/>
    <w:rsid w:val="00013E03"/>
    <w:rsid w:val="00015201"/>
    <w:rsid w:val="0001588C"/>
    <w:rsid w:val="000162FB"/>
    <w:rsid w:val="00024A67"/>
    <w:rsid w:val="00025CF3"/>
    <w:rsid w:val="0002669B"/>
    <w:rsid w:val="00033C1F"/>
    <w:rsid w:val="00036456"/>
    <w:rsid w:val="0004020D"/>
    <w:rsid w:val="00041A49"/>
    <w:rsid w:val="000513EF"/>
    <w:rsid w:val="0005420D"/>
    <w:rsid w:val="00055EA2"/>
    <w:rsid w:val="00067A5A"/>
    <w:rsid w:val="00067A90"/>
    <w:rsid w:val="00070C37"/>
    <w:rsid w:val="000738BD"/>
    <w:rsid w:val="00076F88"/>
    <w:rsid w:val="0007796A"/>
    <w:rsid w:val="0008067C"/>
    <w:rsid w:val="00091DC8"/>
    <w:rsid w:val="00092464"/>
    <w:rsid w:val="000A111E"/>
    <w:rsid w:val="000A1DF3"/>
    <w:rsid w:val="000A33AF"/>
    <w:rsid w:val="000A4A11"/>
    <w:rsid w:val="000A58E3"/>
    <w:rsid w:val="000B02B7"/>
    <w:rsid w:val="000C069D"/>
    <w:rsid w:val="000C67BC"/>
    <w:rsid w:val="000D300C"/>
    <w:rsid w:val="000D64CF"/>
    <w:rsid w:val="000E0F08"/>
    <w:rsid w:val="000E30BA"/>
    <w:rsid w:val="000E35C6"/>
    <w:rsid w:val="000E3712"/>
    <w:rsid w:val="000E4411"/>
    <w:rsid w:val="000F1ACD"/>
    <w:rsid w:val="000F5D07"/>
    <w:rsid w:val="00105B0E"/>
    <w:rsid w:val="00113678"/>
    <w:rsid w:val="00116984"/>
    <w:rsid w:val="001235FD"/>
    <w:rsid w:val="0014308F"/>
    <w:rsid w:val="001444A3"/>
    <w:rsid w:val="00145BAE"/>
    <w:rsid w:val="00153645"/>
    <w:rsid w:val="00153E04"/>
    <w:rsid w:val="00153E8C"/>
    <w:rsid w:val="001565FD"/>
    <w:rsid w:val="00160648"/>
    <w:rsid w:val="00161F29"/>
    <w:rsid w:val="00162200"/>
    <w:rsid w:val="00162E88"/>
    <w:rsid w:val="00167FE9"/>
    <w:rsid w:val="00171F41"/>
    <w:rsid w:val="001726A4"/>
    <w:rsid w:val="001744B4"/>
    <w:rsid w:val="00175AC4"/>
    <w:rsid w:val="00177361"/>
    <w:rsid w:val="001802BD"/>
    <w:rsid w:val="001862BD"/>
    <w:rsid w:val="00193822"/>
    <w:rsid w:val="0019704E"/>
    <w:rsid w:val="001A0D31"/>
    <w:rsid w:val="001A1775"/>
    <w:rsid w:val="001A39EE"/>
    <w:rsid w:val="001A4338"/>
    <w:rsid w:val="001A6777"/>
    <w:rsid w:val="001A76E4"/>
    <w:rsid w:val="001C072D"/>
    <w:rsid w:val="001C54CE"/>
    <w:rsid w:val="001D15F8"/>
    <w:rsid w:val="001D1749"/>
    <w:rsid w:val="001D2679"/>
    <w:rsid w:val="001D3C41"/>
    <w:rsid w:val="001D502D"/>
    <w:rsid w:val="001D60ED"/>
    <w:rsid w:val="001E21CE"/>
    <w:rsid w:val="001E25A2"/>
    <w:rsid w:val="001E45CB"/>
    <w:rsid w:val="001E61AD"/>
    <w:rsid w:val="001E639C"/>
    <w:rsid w:val="001F1B08"/>
    <w:rsid w:val="001F4353"/>
    <w:rsid w:val="001F639D"/>
    <w:rsid w:val="00205CBD"/>
    <w:rsid w:val="00206603"/>
    <w:rsid w:val="002078A2"/>
    <w:rsid w:val="002102DE"/>
    <w:rsid w:val="00211A7E"/>
    <w:rsid w:val="00215955"/>
    <w:rsid w:val="00217A24"/>
    <w:rsid w:val="00223C57"/>
    <w:rsid w:val="00227D15"/>
    <w:rsid w:val="002329FD"/>
    <w:rsid w:val="00242477"/>
    <w:rsid w:val="00244051"/>
    <w:rsid w:val="002469E1"/>
    <w:rsid w:val="002524D1"/>
    <w:rsid w:val="002535D8"/>
    <w:rsid w:val="00254046"/>
    <w:rsid w:val="002564AC"/>
    <w:rsid w:val="002608F3"/>
    <w:rsid w:val="00261386"/>
    <w:rsid w:val="00261C41"/>
    <w:rsid w:val="00264124"/>
    <w:rsid w:val="00264A43"/>
    <w:rsid w:val="002726BA"/>
    <w:rsid w:val="0027350A"/>
    <w:rsid w:val="00277697"/>
    <w:rsid w:val="00281B96"/>
    <w:rsid w:val="002853F1"/>
    <w:rsid w:val="00285565"/>
    <w:rsid w:val="00297C3D"/>
    <w:rsid w:val="002A04A3"/>
    <w:rsid w:val="002A0BAE"/>
    <w:rsid w:val="002A2DD8"/>
    <w:rsid w:val="002A712C"/>
    <w:rsid w:val="002A7921"/>
    <w:rsid w:val="002B1213"/>
    <w:rsid w:val="002B6501"/>
    <w:rsid w:val="002B6E2A"/>
    <w:rsid w:val="002C0A4B"/>
    <w:rsid w:val="002C3DE6"/>
    <w:rsid w:val="002C66D0"/>
    <w:rsid w:val="002D396F"/>
    <w:rsid w:val="002D4606"/>
    <w:rsid w:val="002D4A88"/>
    <w:rsid w:val="002D666D"/>
    <w:rsid w:val="002E1F79"/>
    <w:rsid w:val="002F1222"/>
    <w:rsid w:val="002F3CF9"/>
    <w:rsid w:val="002F5C45"/>
    <w:rsid w:val="002F6149"/>
    <w:rsid w:val="002F7D25"/>
    <w:rsid w:val="00305FA3"/>
    <w:rsid w:val="00310EA4"/>
    <w:rsid w:val="00310ED4"/>
    <w:rsid w:val="00325C10"/>
    <w:rsid w:val="00326F5F"/>
    <w:rsid w:val="00332D90"/>
    <w:rsid w:val="00333B06"/>
    <w:rsid w:val="00337D91"/>
    <w:rsid w:val="00343513"/>
    <w:rsid w:val="00346BFB"/>
    <w:rsid w:val="00350756"/>
    <w:rsid w:val="003542EE"/>
    <w:rsid w:val="00360D26"/>
    <w:rsid w:val="00362148"/>
    <w:rsid w:val="00362FFE"/>
    <w:rsid w:val="003658B0"/>
    <w:rsid w:val="0038044D"/>
    <w:rsid w:val="00384AEE"/>
    <w:rsid w:val="0038527A"/>
    <w:rsid w:val="00386A98"/>
    <w:rsid w:val="00391367"/>
    <w:rsid w:val="0039505F"/>
    <w:rsid w:val="003A150E"/>
    <w:rsid w:val="003A2730"/>
    <w:rsid w:val="003B16B4"/>
    <w:rsid w:val="003B5A03"/>
    <w:rsid w:val="003B6E50"/>
    <w:rsid w:val="003C12AC"/>
    <w:rsid w:val="003C2842"/>
    <w:rsid w:val="003D0825"/>
    <w:rsid w:val="003D2003"/>
    <w:rsid w:val="003D5DA2"/>
    <w:rsid w:val="003E5193"/>
    <w:rsid w:val="00401CDD"/>
    <w:rsid w:val="00402244"/>
    <w:rsid w:val="00410A3F"/>
    <w:rsid w:val="0041304A"/>
    <w:rsid w:val="00415DEC"/>
    <w:rsid w:val="00427FE5"/>
    <w:rsid w:val="00433222"/>
    <w:rsid w:val="00436A23"/>
    <w:rsid w:val="00436F13"/>
    <w:rsid w:val="00437F47"/>
    <w:rsid w:val="004420FB"/>
    <w:rsid w:val="00445A4E"/>
    <w:rsid w:val="00445BBD"/>
    <w:rsid w:val="004502EC"/>
    <w:rsid w:val="004504A6"/>
    <w:rsid w:val="00460CDF"/>
    <w:rsid w:val="00460D23"/>
    <w:rsid w:val="004645DD"/>
    <w:rsid w:val="0046710A"/>
    <w:rsid w:val="00473B37"/>
    <w:rsid w:val="0047759D"/>
    <w:rsid w:val="00487893"/>
    <w:rsid w:val="0049612D"/>
    <w:rsid w:val="004964B8"/>
    <w:rsid w:val="004A04A6"/>
    <w:rsid w:val="004A21EE"/>
    <w:rsid w:val="004A36EE"/>
    <w:rsid w:val="004A5D8D"/>
    <w:rsid w:val="004A7499"/>
    <w:rsid w:val="004B1314"/>
    <w:rsid w:val="004B16C7"/>
    <w:rsid w:val="004B722C"/>
    <w:rsid w:val="004C1B79"/>
    <w:rsid w:val="004C27B4"/>
    <w:rsid w:val="004C3F11"/>
    <w:rsid w:val="004C6A2C"/>
    <w:rsid w:val="004D275F"/>
    <w:rsid w:val="004D474D"/>
    <w:rsid w:val="004D5D39"/>
    <w:rsid w:val="004D6276"/>
    <w:rsid w:val="004D656E"/>
    <w:rsid w:val="004D7B0A"/>
    <w:rsid w:val="004E1A1F"/>
    <w:rsid w:val="004E6443"/>
    <w:rsid w:val="004E7743"/>
    <w:rsid w:val="00504669"/>
    <w:rsid w:val="005058E0"/>
    <w:rsid w:val="00511EAC"/>
    <w:rsid w:val="005121DC"/>
    <w:rsid w:val="00513113"/>
    <w:rsid w:val="005135CF"/>
    <w:rsid w:val="00515869"/>
    <w:rsid w:val="005160BC"/>
    <w:rsid w:val="005214BA"/>
    <w:rsid w:val="00522E6D"/>
    <w:rsid w:val="00524A24"/>
    <w:rsid w:val="005251C4"/>
    <w:rsid w:val="00526E12"/>
    <w:rsid w:val="00532578"/>
    <w:rsid w:val="00533411"/>
    <w:rsid w:val="00533DAB"/>
    <w:rsid w:val="00540BD6"/>
    <w:rsid w:val="005427EA"/>
    <w:rsid w:val="00545562"/>
    <w:rsid w:val="0054563F"/>
    <w:rsid w:val="005469E1"/>
    <w:rsid w:val="0055087F"/>
    <w:rsid w:val="00552E08"/>
    <w:rsid w:val="00557DA1"/>
    <w:rsid w:val="005635F7"/>
    <w:rsid w:val="00563A41"/>
    <w:rsid w:val="0056579C"/>
    <w:rsid w:val="00567706"/>
    <w:rsid w:val="00572298"/>
    <w:rsid w:val="005734C2"/>
    <w:rsid w:val="00574AA1"/>
    <w:rsid w:val="00574BF2"/>
    <w:rsid w:val="0057633B"/>
    <w:rsid w:val="00577545"/>
    <w:rsid w:val="00585859"/>
    <w:rsid w:val="00590EDF"/>
    <w:rsid w:val="0059185A"/>
    <w:rsid w:val="005933CB"/>
    <w:rsid w:val="00593E2F"/>
    <w:rsid w:val="00595A74"/>
    <w:rsid w:val="005A002C"/>
    <w:rsid w:val="005A1D01"/>
    <w:rsid w:val="005A5601"/>
    <w:rsid w:val="005A62A9"/>
    <w:rsid w:val="005A637F"/>
    <w:rsid w:val="005A7964"/>
    <w:rsid w:val="005B01FC"/>
    <w:rsid w:val="005B064E"/>
    <w:rsid w:val="005B0686"/>
    <w:rsid w:val="005B499C"/>
    <w:rsid w:val="005B7528"/>
    <w:rsid w:val="005C0440"/>
    <w:rsid w:val="005D38B6"/>
    <w:rsid w:val="005D7642"/>
    <w:rsid w:val="005E0A46"/>
    <w:rsid w:val="005E3D0D"/>
    <w:rsid w:val="005E7DCF"/>
    <w:rsid w:val="005F02E0"/>
    <w:rsid w:val="005F6E5C"/>
    <w:rsid w:val="00602F9D"/>
    <w:rsid w:val="0060593E"/>
    <w:rsid w:val="00611EE5"/>
    <w:rsid w:val="00616833"/>
    <w:rsid w:val="00616B8D"/>
    <w:rsid w:val="006261A6"/>
    <w:rsid w:val="0062751F"/>
    <w:rsid w:val="006318AA"/>
    <w:rsid w:val="00632AFD"/>
    <w:rsid w:val="0063491E"/>
    <w:rsid w:val="00634A27"/>
    <w:rsid w:val="00634BC5"/>
    <w:rsid w:val="00635AF8"/>
    <w:rsid w:val="006409EF"/>
    <w:rsid w:val="00643CBD"/>
    <w:rsid w:val="006457F1"/>
    <w:rsid w:val="006459C6"/>
    <w:rsid w:val="00646363"/>
    <w:rsid w:val="00647668"/>
    <w:rsid w:val="00655212"/>
    <w:rsid w:val="00657EE4"/>
    <w:rsid w:val="006816AA"/>
    <w:rsid w:val="00682A27"/>
    <w:rsid w:val="00684FCA"/>
    <w:rsid w:val="0069689E"/>
    <w:rsid w:val="006A1698"/>
    <w:rsid w:val="006A1D06"/>
    <w:rsid w:val="006A3F10"/>
    <w:rsid w:val="006A71EB"/>
    <w:rsid w:val="006B12A2"/>
    <w:rsid w:val="006B34CB"/>
    <w:rsid w:val="006B452C"/>
    <w:rsid w:val="006B590B"/>
    <w:rsid w:val="006C44B7"/>
    <w:rsid w:val="006C59D5"/>
    <w:rsid w:val="006D58BE"/>
    <w:rsid w:val="006E09D5"/>
    <w:rsid w:val="006E12EC"/>
    <w:rsid w:val="006E1418"/>
    <w:rsid w:val="006E3D95"/>
    <w:rsid w:val="006F3683"/>
    <w:rsid w:val="006F78F9"/>
    <w:rsid w:val="00700738"/>
    <w:rsid w:val="007042EA"/>
    <w:rsid w:val="007043B9"/>
    <w:rsid w:val="00705549"/>
    <w:rsid w:val="0071210D"/>
    <w:rsid w:val="007153E8"/>
    <w:rsid w:val="00716BC5"/>
    <w:rsid w:val="007170E5"/>
    <w:rsid w:val="00723115"/>
    <w:rsid w:val="00723A18"/>
    <w:rsid w:val="00724550"/>
    <w:rsid w:val="00726A54"/>
    <w:rsid w:val="00726F7D"/>
    <w:rsid w:val="00730859"/>
    <w:rsid w:val="00731830"/>
    <w:rsid w:val="00736A19"/>
    <w:rsid w:val="00743C8D"/>
    <w:rsid w:val="00745258"/>
    <w:rsid w:val="00763C4A"/>
    <w:rsid w:val="00767AED"/>
    <w:rsid w:val="007732BE"/>
    <w:rsid w:val="0077374B"/>
    <w:rsid w:val="007746A3"/>
    <w:rsid w:val="0077623B"/>
    <w:rsid w:val="007766E6"/>
    <w:rsid w:val="00781ACA"/>
    <w:rsid w:val="00785F8F"/>
    <w:rsid w:val="00787B44"/>
    <w:rsid w:val="00790CD9"/>
    <w:rsid w:val="00791F20"/>
    <w:rsid w:val="00795A5A"/>
    <w:rsid w:val="00795F48"/>
    <w:rsid w:val="00796EC3"/>
    <w:rsid w:val="007A0441"/>
    <w:rsid w:val="007A072C"/>
    <w:rsid w:val="007A7058"/>
    <w:rsid w:val="007B098D"/>
    <w:rsid w:val="007B1DE5"/>
    <w:rsid w:val="007B5785"/>
    <w:rsid w:val="007B5CF3"/>
    <w:rsid w:val="007B67AE"/>
    <w:rsid w:val="007B6EBF"/>
    <w:rsid w:val="007C4E4D"/>
    <w:rsid w:val="007C62D1"/>
    <w:rsid w:val="007C706F"/>
    <w:rsid w:val="007C7320"/>
    <w:rsid w:val="007D01FF"/>
    <w:rsid w:val="007E0E39"/>
    <w:rsid w:val="007E2B60"/>
    <w:rsid w:val="007E5E30"/>
    <w:rsid w:val="007F0E54"/>
    <w:rsid w:val="007F5107"/>
    <w:rsid w:val="00803EC5"/>
    <w:rsid w:val="008040BA"/>
    <w:rsid w:val="008042D6"/>
    <w:rsid w:val="00806380"/>
    <w:rsid w:val="00821CE2"/>
    <w:rsid w:val="00830FF8"/>
    <w:rsid w:val="00833A04"/>
    <w:rsid w:val="00833B8D"/>
    <w:rsid w:val="00842DFF"/>
    <w:rsid w:val="0084324F"/>
    <w:rsid w:val="00843750"/>
    <w:rsid w:val="00844407"/>
    <w:rsid w:val="00853B24"/>
    <w:rsid w:val="00853E2A"/>
    <w:rsid w:val="008541E9"/>
    <w:rsid w:val="00856EEB"/>
    <w:rsid w:val="00873020"/>
    <w:rsid w:val="008739EB"/>
    <w:rsid w:val="00874DB2"/>
    <w:rsid w:val="008776BB"/>
    <w:rsid w:val="00880540"/>
    <w:rsid w:val="0088396E"/>
    <w:rsid w:val="00884EB1"/>
    <w:rsid w:val="008862E4"/>
    <w:rsid w:val="008A1A7A"/>
    <w:rsid w:val="008A45EE"/>
    <w:rsid w:val="008B0632"/>
    <w:rsid w:val="008B08A3"/>
    <w:rsid w:val="008B4F64"/>
    <w:rsid w:val="008B53C0"/>
    <w:rsid w:val="008B5F7F"/>
    <w:rsid w:val="008B64B1"/>
    <w:rsid w:val="008B6A49"/>
    <w:rsid w:val="008B709D"/>
    <w:rsid w:val="008C11F5"/>
    <w:rsid w:val="008C2A03"/>
    <w:rsid w:val="008C3A6F"/>
    <w:rsid w:val="008C6372"/>
    <w:rsid w:val="008D0CE3"/>
    <w:rsid w:val="008E37BE"/>
    <w:rsid w:val="008E7A0A"/>
    <w:rsid w:val="008F12FD"/>
    <w:rsid w:val="008F13EA"/>
    <w:rsid w:val="008F24E6"/>
    <w:rsid w:val="00904F3C"/>
    <w:rsid w:val="0090623F"/>
    <w:rsid w:val="00906702"/>
    <w:rsid w:val="00907279"/>
    <w:rsid w:val="00907EDB"/>
    <w:rsid w:val="009110C5"/>
    <w:rsid w:val="00912FB5"/>
    <w:rsid w:val="00913A54"/>
    <w:rsid w:val="00915944"/>
    <w:rsid w:val="00915A9F"/>
    <w:rsid w:val="00922460"/>
    <w:rsid w:val="009228D9"/>
    <w:rsid w:val="00930B74"/>
    <w:rsid w:val="009312DC"/>
    <w:rsid w:val="009327BF"/>
    <w:rsid w:val="00934047"/>
    <w:rsid w:val="0093512D"/>
    <w:rsid w:val="00935F33"/>
    <w:rsid w:val="009403E4"/>
    <w:rsid w:val="0094745A"/>
    <w:rsid w:val="00952B5F"/>
    <w:rsid w:val="00953546"/>
    <w:rsid w:val="009541F6"/>
    <w:rsid w:val="0095649D"/>
    <w:rsid w:val="009565AD"/>
    <w:rsid w:val="00960332"/>
    <w:rsid w:val="00961B26"/>
    <w:rsid w:val="00963BDB"/>
    <w:rsid w:val="0097006F"/>
    <w:rsid w:val="00970DDD"/>
    <w:rsid w:val="00984A17"/>
    <w:rsid w:val="00984EE4"/>
    <w:rsid w:val="00990168"/>
    <w:rsid w:val="0099354F"/>
    <w:rsid w:val="00996CBB"/>
    <w:rsid w:val="009A074F"/>
    <w:rsid w:val="009A3DB2"/>
    <w:rsid w:val="009A5318"/>
    <w:rsid w:val="009B16EA"/>
    <w:rsid w:val="009B3444"/>
    <w:rsid w:val="009B5DCD"/>
    <w:rsid w:val="009B5EE6"/>
    <w:rsid w:val="009B7193"/>
    <w:rsid w:val="009C02FB"/>
    <w:rsid w:val="009C0F43"/>
    <w:rsid w:val="009C20B9"/>
    <w:rsid w:val="009C382E"/>
    <w:rsid w:val="009C490E"/>
    <w:rsid w:val="009C495F"/>
    <w:rsid w:val="009C589E"/>
    <w:rsid w:val="009C6A25"/>
    <w:rsid w:val="009D28B9"/>
    <w:rsid w:val="009D6E3D"/>
    <w:rsid w:val="009E5E58"/>
    <w:rsid w:val="009F0808"/>
    <w:rsid w:val="00A0688A"/>
    <w:rsid w:val="00A070E6"/>
    <w:rsid w:val="00A1426A"/>
    <w:rsid w:val="00A14F1D"/>
    <w:rsid w:val="00A152DC"/>
    <w:rsid w:val="00A1703F"/>
    <w:rsid w:val="00A2180A"/>
    <w:rsid w:val="00A22293"/>
    <w:rsid w:val="00A26973"/>
    <w:rsid w:val="00A305DE"/>
    <w:rsid w:val="00A312E7"/>
    <w:rsid w:val="00A3401C"/>
    <w:rsid w:val="00A344D5"/>
    <w:rsid w:val="00A37E33"/>
    <w:rsid w:val="00A452CF"/>
    <w:rsid w:val="00A46574"/>
    <w:rsid w:val="00A471A3"/>
    <w:rsid w:val="00A47B1B"/>
    <w:rsid w:val="00A5253A"/>
    <w:rsid w:val="00A52941"/>
    <w:rsid w:val="00A63339"/>
    <w:rsid w:val="00A849DE"/>
    <w:rsid w:val="00A90F41"/>
    <w:rsid w:val="00A910E7"/>
    <w:rsid w:val="00A93B3B"/>
    <w:rsid w:val="00A951DD"/>
    <w:rsid w:val="00A95CBB"/>
    <w:rsid w:val="00A9600A"/>
    <w:rsid w:val="00A96C80"/>
    <w:rsid w:val="00AA0ABF"/>
    <w:rsid w:val="00AA27C2"/>
    <w:rsid w:val="00AB0E34"/>
    <w:rsid w:val="00AB2CCF"/>
    <w:rsid w:val="00AB49FD"/>
    <w:rsid w:val="00AB69B0"/>
    <w:rsid w:val="00AC271B"/>
    <w:rsid w:val="00AD12DB"/>
    <w:rsid w:val="00AD5D7C"/>
    <w:rsid w:val="00AD6322"/>
    <w:rsid w:val="00AD6752"/>
    <w:rsid w:val="00AD78B1"/>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84557"/>
    <w:rsid w:val="00BA6AD7"/>
    <w:rsid w:val="00BB052D"/>
    <w:rsid w:val="00BB1F92"/>
    <w:rsid w:val="00BB2E06"/>
    <w:rsid w:val="00BB46C6"/>
    <w:rsid w:val="00BB5B7F"/>
    <w:rsid w:val="00BB5C4E"/>
    <w:rsid w:val="00BB7E8A"/>
    <w:rsid w:val="00BC1DDE"/>
    <w:rsid w:val="00BC20A0"/>
    <w:rsid w:val="00BC27F5"/>
    <w:rsid w:val="00BC5F6D"/>
    <w:rsid w:val="00BC75AA"/>
    <w:rsid w:val="00BD0770"/>
    <w:rsid w:val="00BD21C4"/>
    <w:rsid w:val="00BD2F16"/>
    <w:rsid w:val="00BE1C7B"/>
    <w:rsid w:val="00BE2488"/>
    <w:rsid w:val="00BE2994"/>
    <w:rsid w:val="00BE2D25"/>
    <w:rsid w:val="00BE448A"/>
    <w:rsid w:val="00BE531D"/>
    <w:rsid w:val="00BE7378"/>
    <w:rsid w:val="00BF2725"/>
    <w:rsid w:val="00BF3D60"/>
    <w:rsid w:val="00BF5FCB"/>
    <w:rsid w:val="00BF72EA"/>
    <w:rsid w:val="00C00290"/>
    <w:rsid w:val="00C05FFF"/>
    <w:rsid w:val="00C10BAE"/>
    <w:rsid w:val="00C15F35"/>
    <w:rsid w:val="00C1699D"/>
    <w:rsid w:val="00C16B93"/>
    <w:rsid w:val="00C2210E"/>
    <w:rsid w:val="00C2524E"/>
    <w:rsid w:val="00C32802"/>
    <w:rsid w:val="00C35DFA"/>
    <w:rsid w:val="00C36272"/>
    <w:rsid w:val="00C40B0B"/>
    <w:rsid w:val="00C41B6F"/>
    <w:rsid w:val="00C42BBF"/>
    <w:rsid w:val="00C438B4"/>
    <w:rsid w:val="00C44979"/>
    <w:rsid w:val="00C45525"/>
    <w:rsid w:val="00C45A45"/>
    <w:rsid w:val="00C47EFE"/>
    <w:rsid w:val="00C50728"/>
    <w:rsid w:val="00C56B0F"/>
    <w:rsid w:val="00C57690"/>
    <w:rsid w:val="00C57E6A"/>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2E58"/>
    <w:rsid w:val="00CC3D89"/>
    <w:rsid w:val="00CC5B37"/>
    <w:rsid w:val="00CD2ED3"/>
    <w:rsid w:val="00CD2F27"/>
    <w:rsid w:val="00CD3C62"/>
    <w:rsid w:val="00CE4211"/>
    <w:rsid w:val="00CF021B"/>
    <w:rsid w:val="00CF066B"/>
    <w:rsid w:val="00CF07BE"/>
    <w:rsid w:val="00CF40E0"/>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54C9"/>
    <w:rsid w:val="00D60D62"/>
    <w:rsid w:val="00D61BB7"/>
    <w:rsid w:val="00D62DA9"/>
    <w:rsid w:val="00D70D97"/>
    <w:rsid w:val="00D7165D"/>
    <w:rsid w:val="00D75705"/>
    <w:rsid w:val="00D961D6"/>
    <w:rsid w:val="00D97B17"/>
    <w:rsid w:val="00DA1A4A"/>
    <w:rsid w:val="00DA4AFE"/>
    <w:rsid w:val="00DA4BD0"/>
    <w:rsid w:val="00DA7B41"/>
    <w:rsid w:val="00DA7F63"/>
    <w:rsid w:val="00DB058E"/>
    <w:rsid w:val="00DB326E"/>
    <w:rsid w:val="00DC1E7E"/>
    <w:rsid w:val="00DC31D2"/>
    <w:rsid w:val="00DC7A5F"/>
    <w:rsid w:val="00DD0CE6"/>
    <w:rsid w:val="00DD6A66"/>
    <w:rsid w:val="00DE0D15"/>
    <w:rsid w:val="00DF1CF0"/>
    <w:rsid w:val="00DF6656"/>
    <w:rsid w:val="00DF7388"/>
    <w:rsid w:val="00E02FA4"/>
    <w:rsid w:val="00E04C73"/>
    <w:rsid w:val="00E062FB"/>
    <w:rsid w:val="00E079A3"/>
    <w:rsid w:val="00E11718"/>
    <w:rsid w:val="00E12674"/>
    <w:rsid w:val="00E132AC"/>
    <w:rsid w:val="00E15CCC"/>
    <w:rsid w:val="00E15D7D"/>
    <w:rsid w:val="00E17234"/>
    <w:rsid w:val="00E23ABA"/>
    <w:rsid w:val="00E24428"/>
    <w:rsid w:val="00E261F5"/>
    <w:rsid w:val="00E34A5B"/>
    <w:rsid w:val="00E3623B"/>
    <w:rsid w:val="00E455D9"/>
    <w:rsid w:val="00E47025"/>
    <w:rsid w:val="00E4741B"/>
    <w:rsid w:val="00E478DE"/>
    <w:rsid w:val="00E5157F"/>
    <w:rsid w:val="00E5226F"/>
    <w:rsid w:val="00E53135"/>
    <w:rsid w:val="00E54141"/>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B728C"/>
    <w:rsid w:val="00EC34C1"/>
    <w:rsid w:val="00EC6F5D"/>
    <w:rsid w:val="00EC7A61"/>
    <w:rsid w:val="00ED1C96"/>
    <w:rsid w:val="00ED1E90"/>
    <w:rsid w:val="00ED3E61"/>
    <w:rsid w:val="00EE3586"/>
    <w:rsid w:val="00EE63A7"/>
    <w:rsid w:val="00EE7479"/>
    <w:rsid w:val="00EE7954"/>
    <w:rsid w:val="00EF1FBD"/>
    <w:rsid w:val="00EF29BE"/>
    <w:rsid w:val="00EF7FD0"/>
    <w:rsid w:val="00F07943"/>
    <w:rsid w:val="00F07DDF"/>
    <w:rsid w:val="00F11204"/>
    <w:rsid w:val="00F16256"/>
    <w:rsid w:val="00F209ED"/>
    <w:rsid w:val="00F231E8"/>
    <w:rsid w:val="00F26EA8"/>
    <w:rsid w:val="00F30632"/>
    <w:rsid w:val="00F31B97"/>
    <w:rsid w:val="00F329D8"/>
    <w:rsid w:val="00F32BCD"/>
    <w:rsid w:val="00F33544"/>
    <w:rsid w:val="00F35ACF"/>
    <w:rsid w:val="00F36445"/>
    <w:rsid w:val="00F402F3"/>
    <w:rsid w:val="00F40CAB"/>
    <w:rsid w:val="00F414C3"/>
    <w:rsid w:val="00F51C87"/>
    <w:rsid w:val="00F5214D"/>
    <w:rsid w:val="00F55457"/>
    <w:rsid w:val="00F6077B"/>
    <w:rsid w:val="00F60D85"/>
    <w:rsid w:val="00F624BD"/>
    <w:rsid w:val="00F62A5E"/>
    <w:rsid w:val="00F631B9"/>
    <w:rsid w:val="00F634A6"/>
    <w:rsid w:val="00F6634F"/>
    <w:rsid w:val="00F72CD1"/>
    <w:rsid w:val="00F74A39"/>
    <w:rsid w:val="00F8138E"/>
    <w:rsid w:val="00F85203"/>
    <w:rsid w:val="00F87D5A"/>
    <w:rsid w:val="00F87EF6"/>
    <w:rsid w:val="00F906DA"/>
    <w:rsid w:val="00F92676"/>
    <w:rsid w:val="00F94262"/>
    <w:rsid w:val="00F947D0"/>
    <w:rsid w:val="00F9616B"/>
    <w:rsid w:val="00F979A8"/>
    <w:rsid w:val="00FA1B93"/>
    <w:rsid w:val="00FA5551"/>
    <w:rsid w:val="00FA6C8A"/>
    <w:rsid w:val="00FA6D66"/>
    <w:rsid w:val="00FA7C7A"/>
    <w:rsid w:val="00FC1C00"/>
    <w:rsid w:val="00FC5F16"/>
    <w:rsid w:val="00FD213B"/>
    <w:rsid w:val="00FD3CE8"/>
    <w:rsid w:val="00FD5B91"/>
    <w:rsid w:val="00FD7004"/>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1"/>
    <w:semiHidden/>
    <w:unhideWhenUsed/>
    <w:rsid w:val="00C438B4"/>
    <w:rPr>
      <w:sz w:val="16"/>
      <w:szCs w:val="16"/>
    </w:rPr>
  </w:style>
  <w:style w:type="paragraph" w:styleId="CommentText">
    <w:name w:val="annotation text"/>
    <w:basedOn w:val="Normal"/>
    <w:link w:val="CommentTextChar"/>
    <w:uiPriority w:val="99"/>
    <w:semiHidden/>
    <w:unhideWhenUsed/>
    <w:rsid w:val="00C438B4"/>
    <w:pPr>
      <w:spacing w:line="240" w:lineRule="auto"/>
    </w:pPr>
    <w:rPr>
      <w:szCs w:val="20"/>
    </w:rPr>
  </w:style>
  <w:style w:type="character" w:customStyle="1" w:styleId="CommentTextChar">
    <w:name w:val="Comment Text Char"/>
    <w:basedOn w:val="DefaultParagraphFont"/>
    <w:link w:val="CommentText"/>
    <w:uiPriority w:val="99"/>
    <w:semiHidden/>
    <w:rsid w:val="00C438B4"/>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C438B4"/>
    <w:rPr>
      <w:b/>
      <w:bCs/>
    </w:rPr>
  </w:style>
  <w:style w:type="character" w:customStyle="1" w:styleId="CommentSubjectChar">
    <w:name w:val="Comment Subject Char"/>
    <w:basedOn w:val="CommentTextChar"/>
    <w:link w:val="CommentSubject"/>
    <w:uiPriority w:val="99"/>
    <w:semiHidden/>
    <w:rsid w:val="00C438B4"/>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AB0E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E34"/>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1"/>
    <w:semiHidden/>
    <w:unhideWhenUsed/>
    <w:rsid w:val="00C438B4"/>
    <w:rPr>
      <w:sz w:val="16"/>
      <w:szCs w:val="16"/>
    </w:rPr>
  </w:style>
  <w:style w:type="paragraph" w:styleId="CommentText">
    <w:name w:val="annotation text"/>
    <w:basedOn w:val="Normal"/>
    <w:link w:val="CommentTextChar"/>
    <w:uiPriority w:val="99"/>
    <w:semiHidden/>
    <w:unhideWhenUsed/>
    <w:rsid w:val="00C438B4"/>
    <w:pPr>
      <w:spacing w:line="240" w:lineRule="auto"/>
    </w:pPr>
    <w:rPr>
      <w:szCs w:val="20"/>
    </w:rPr>
  </w:style>
  <w:style w:type="character" w:customStyle="1" w:styleId="CommentTextChar">
    <w:name w:val="Comment Text Char"/>
    <w:basedOn w:val="DefaultParagraphFont"/>
    <w:link w:val="CommentText"/>
    <w:uiPriority w:val="99"/>
    <w:semiHidden/>
    <w:rsid w:val="00C438B4"/>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C438B4"/>
    <w:rPr>
      <w:b/>
      <w:bCs/>
    </w:rPr>
  </w:style>
  <w:style w:type="character" w:customStyle="1" w:styleId="CommentSubjectChar">
    <w:name w:val="Comment Subject Char"/>
    <w:basedOn w:val="CommentTextChar"/>
    <w:link w:val="CommentSubject"/>
    <w:uiPriority w:val="99"/>
    <w:semiHidden/>
    <w:rsid w:val="00C438B4"/>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AB0E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E34"/>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unodc.org/documents/justice-and-prison-reform/crimeprevention/Ebook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CF8D4-FC35-4647-A68F-EE85C6EC4AF7}"/>
</file>

<file path=customXml/itemProps2.xml><?xml version="1.0" encoding="utf-8"?>
<ds:datastoreItem xmlns:ds="http://schemas.openxmlformats.org/officeDocument/2006/customXml" ds:itemID="{D08E1B7E-7E42-404B-AC54-524C354132A4}"/>
</file>

<file path=customXml/itemProps3.xml><?xml version="1.0" encoding="utf-8"?>
<ds:datastoreItem xmlns:ds="http://schemas.openxmlformats.org/officeDocument/2006/customXml" ds:itemID="{10811130-EE17-41B3-9F4A-3DAA17FDC5CA}"/>
</file>

<file path=customXml/itemProps4.xml><?xml version="1.0" encoding="utf-8"?>
<ds:datastoreItem xmlns:ds="http://schemas.openxmlformats.org/officeDocument/2006/customXml" ds:itemID="{8BDEA1AB-D639-4C10-97A5-1B09915A24B0}"/>
</file>

<file path=docProps/app.xml><?xml version="1.0" encoding="utf-8"?>
<Properties xmlns="http://schemas.openxmlformats.org/officeDocument/2006/extended-properties" xmlns:vt="http://schemas.openxmlformats.org/officeDocument/2006/docPropsVTypes">
  <Template>6A1B5F6B.dotm</Template>
  <TotalTime>0</TotalTime>
  <Pages>26</Pages>
  <Words>10808</Words>
  <Characters>61611</Characters>
  <Application>Microsoft Office Word</Application>
  <DocSecurity>4</DocSecurity>
  <Lines>513</Lines>
  <Paragraphs>144</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of the Forum on Minority Issues at its eighth session: Minorities and the criminal justice system in Russian</dc:title>
  <dc:creator>Салынская Екатерина</dc:creator>
  <cp:lastModifiedBy>Iuliia Somova</cp:lastModifiedBy>
  <cp:revision>2</cp:revision>
  <cp:lastPrinted>2016-02-23T13:24:00Z</cp:lastPrinted>
  <dcterms:created xsi:type="dcterms:W3CDTF">2016-03-02T13:20:00Z</dcterms:created>
  <dcterms:modified xsi:type="dcterms:W3CDTF">2016-03-02T13:20:00Z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1601524R</vt:lpwstr>
  </property>
  <property fmtid="{D5CDD505-2E9C-101B-9397-08002B2CF9AE}" pid="3" name="ODSRefJobNo">
    <vt:lpwstr>1601809R</vt:lpwstr>
  </property>
  <property fmtid="{D5CDD505-2E9C-101B-9397-08002B2CF9AE}" pid="4" name="Symbol1">
    <vt:lpwstr>A/HRC/31/72</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4 February 2016</vt:lpwstr>
  </property>
  <property fmtid="{D5CDD505-2E9C-101B-9397-08002B2CF9AE}" pid="12" name="Original">
    <vt:lpwstr>English</vt:lpwstr>
  </property>
  <property fmtid="{D5CDD505-2E9C-101B-9397-08002B2CF9AE}" pid="13" name="Release Date">
    <vt:lpwstr>230216</vt:lpwstr>
  </property>
  <property fmtid="{D5CDD505-2E9C-101B-9397-08002B2CF9AE}" pid="14" name="ContentTypeId">
    <vt:lpwstr>0x01010096653915A04EE840B57D1EDE6D2D7227</vt:lpwstr>
  </property>
  <property fmtid="{D5CDD505-2E9C-101B-9397-08002B2CF9AE}" pid="15" name="Order">
    <vt:r8>16600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