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57BC0" w:rsidRPr="00DB58B5" w:rsidTr="00C717E0">
        <w:trPr>
          <w:trHeight w:hRule="exact" w:val="851"/>
        </w:trPr>
        <w:tc>
          <w:tcPr>
            <w:tcW w:w="1277" w:type="dxa"/>
            <w:tcBorders>
              <w:bottom w:val="single" w:sz="4" w:space="0" w:color="auto"/>
            </w:tcBorders>
          </w:tcPr>
          <w:p w:rsidR="00057BC0" w:rsidRPr="00DB58B5" w:rsidRDefault="00057BC0" w:rsidP="00C717E0"/>
        </w:tc>
        <w:tc>
          <w:tcPr>
            <w:tcW w:w="2268" w:type="dxa"/>
            <w:tcBorders>
              <w:bottom w:val="single" w:sz="4" w:space="0" w:color="auto"/>
            </w:tcBorders>
            <w:vAlign w:val="bottom"/>
          </w:tcPr>
          <w:p w:rsidR="00057BC0" w:rsidRPr="00DB58B5" w:rsidRDefault="00057BC0" w:rsidP="00C717E0">
            <w:pPr>
              <w:spacing w:after="80" w:line="300" w:lineRule="exact"/>
              <w:rPr>
                <w:sz w:val="28"/>
              </w:rPr>
            </w:pPr>
            <w:r w:rsidRPr="00DB58B5">
              <w:rPr>
                <w:sz w:val="28"/>
              </w:rPr>
              <w:t>Nations Unies</w:t>
            </w:r>
          </w:p>
        </w:tc>
        <w:tc>
          <w:tcPr>
            <w:tcW w:w="6094" w:type="dxa"/>
            <w:gridSpan w:val="2"/>
            <w:tcBorders>
              <w:bottom w:val="single" w:sz="4" w:space="0" w:color="auto"/>
            </w:tcBorders>
            <w:vAlign w:val="bottom"/>
          </w:tcPr>
          <w:p w:rsidR="00057BC0" w:rsidRPr="00DB58B5" w:rsidRDefault="008F4E8A" w:rsidP="008F4E8A">
            <w:pPr>
              <w:jc w:val="right"/>
            </w:pPr>
            <w:r w:rsidRPr="008F4E8A">
              <w:rPr>
                <w:sz w:val="40"/>
              </w:rPr>
              <w:t>A</w:t>
            </w:r>
            <w:r>
              <w:t>/HRC/31/76</w:t>
            </w:r>
          </w:p>
        </w:tc>
      </w:tr>
      <w:tr w:rsidR="00057BC0" w:rsidRPr="00DB58B5" w:rsidTr="00C717E0">
        <w:trPr>
          <w:trHeight w:hRule="exact" w:val="2835"/>
        </w:trPr>
        <w:tc>
          <w:tcPr>
            <w:tcW w:w="1276" w:type="dxa"/>
            <w:tcBorders>
              <w:top w:val="single" w:sz="4" w:space="0" w:color="auto"/>
              <w:bottom w:val="single" w:sz="12" w:space="0" w:color="auto"/>
            </w:tcBorders>
          </w:tcPr>
          <w:p w:rsidR="00057BC0" w:rsidRPr="00DB58B5" w:rsidRDefault="00C159F8" w:rsidP="00C717E0">
            <w:pPr>
              <w:spacing w:before="120"/>
              <w:jc w:val="center"/>
            </w:pPr>
            <w:r>
              <w:rPr>
                <w:noProof/>
                <w:lang w:val="en-GB" w:eastAsia="en-GB"/>
              </w:rPr>
              <w:drawing>
                <wp:inline distT="0" distB="0" distL="0" distR="0" wp14:anchorId="18254BC8" wp14:editId="69D903B5">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057BC0" w:rsidRPr="00740562" w:rsidRDefault="00057BC0" w:rsidP="00C717E0">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057BC0" w:rsidRDefault="008F4E8A" w:rsidP="00C717E0">
            <w:pPr>
              <w:spacing w:before="240"/>
            </w:pPr>
            <w:r>
              <w:t>Distr. générale</w:t>
            </w:r>
          </w:p>
          <w:p w:rsidR="008F4E8A" w:rsidRDefault="00B4580D" w:rsidP="00AD67BF">
            <w:pPr>
              <w:spacing w:line="240" w:lineRule="exact"/>
            </w:pPr>
            <w:r w:rsidRPr="009A0948">
              <w:t>2</w:t>
            </w:r>
            <w:r w:rsidR="003E0DC6">
              <w:t>1</w:t>
            </w:r>
            <w:r w:rsidR="00E15E3C" w:rsidRPr="0028756F">
              <w:t xml:space="preserve"> janvier</w:t>
            </w:r>
            <w:r w:rsidR="008F4E8A">
              <w:t xml:space="preserve"> 2016</w:t>
            </w:r>
          </w:p>
          <w:p w:rsidR="008F4E8A" w:rsidRDefault="008F4E8A" w:rsidP="008F4E8A">
            <w:pPr>
              <w:spacing w:line="240" w:lineRule="exact"/>
            </w:pPr>
          </w:p>
          <w:p w:rsidR="008F4E8A" w:rsidRPr="00DB58B5" w:rsidRDefault="008F4E8A" w:rsidP="008F4E8A">
            <w:pPr>
              <w:spacing w:line="240" w:lineRule="exact"/>
            </w:pPr>
            <w:r>
              <w:t>Original</w:t>
            </w:r>
            <w:r w:rsidR="00B91530">
              <w:t xml:space="preserve"> </w:t>
            </w:r>
            <w:r>
              <w:t xml:space="preserve">: français </w:t>
            </w:r>
          </w:p>
        </w:tc>
      </w:tr>
    </w:tbl>
    <w:p w:rsidR="007465BC" w:rsidRPr="007465BC" w:rsidRDefault="007465BC" w:rsidP="007465BC">
      <w:pPr>
        <w:kinsoku w:val="0"/>
        <w:overflowPunct w:val="0"/>
        <w:autoSpaceDE w:val="0"/>
        <w:autoSpaceDN w:val="0"/>
        <w:adjustRightInd w:val="0"/>
        <w:snapToGrid w:val="0"/>
        <w:spacing w:line="20" w:lineRule="exact"/>
        <w:rPr>
          <w:b/>
          <w:sz w:val="2"/>
          <w:szCs w:val="24"/>
        </w:rPr>
      </w:pPr>
      <w:bookmarkStart w:id="0" w:name="_GoBack"/>
      <w:bookmarkEnd w:id="0"/>
    </w:p>
    <w:p w:rsidR="006B0A7B" w:rsidRPr="007571A1" w:rsidRDefault="00E15E3C" w:rsidP="006B0A7B">
      <w:pPr>
        <w:kinsoku w:val="0"/>
        <w:overflowPunct w:val="0"/>
        <w:autoSpaceDE w:val="0"/>
        <w:autoSpaceDN w:val="0"/>
        <w:adjustRightInd w:val="0"/>
        <w:snapToGrid w:val="0"/>
        <w:spacing w:before="120"/>
        <w:rPr>
          <w:b/>
          <w:sz w:val="24"/>
          <w:szCs w:val="24"/>
        </w:rPr>
      </w:pPr>
      <w:r w:rsidRPr="007571A1">
        <w:rPr>
          <w:b/>
          <w:sz w:val="24"/>
          <w:szCs w:val="24"/>
        </w:rPr>
        <w:t>Conseil des droits de l’homme</w:t>
      </w:r>
    </w:p>
    <w:p w:rsidR="006B0A7B" w:rsidRPr="007571A1" w:rsidRDefault="00E15E3C" w:rsidP="006B0A7B">
      <w:pPr>
        <w:tabs>
          <w:tab w:val="left" w:pos="1701"/>
        </w:tabs>
        <w:kinsoku w:val="0"/>
        <w:overflowPunct w:val="0"/>
        <w:autoSpaceDE w:val="0"/>
        <w:autoSpaceDN w:val="0"/>
        <w:adjustRightInd w:val="0"/>
        <w:snapToGrid w:val="0"/>
        <w:rPr>
          <w:b/>
          <w:szCs w:val="24"/>
          <w:lang w:val="fr-FR"/>
        </w:rPr>
      </w:pPr>
      <w:r w:rsidRPr="007571A1">
        <w:rPr>
          <w:b/>
          <w:szCs w:val="24"/>
          <w:lang w:val="fr-FR"/>
        </w:rPr>
        <w:t xml:space="preserve">Trente et unième session </w:t>
      </w:r>
    </w:p>
    <w:p w:rsidR="006B0A7B" w:rsidRPr="007571A1" w:rsidRDefault="00E15E3C" w:rsidP="006B0A7B">
      <w:pPr>
        <w:tabs>
          <w:tab w:val="right" w:pos="850"/>
          <w:tab w:val="left" w:pos="1134"/>
          <w:tab w:val="left" w:pos="1559"/>
          <w:tab w:val="left" w:pos="1984"/>
        </w:tabs>
        <w:kinsoku w:val="0"/>
        <w:overflowPunct w:val="0"/>
        <w:autoSpaceDE w:val="0"/>
        <w:autoSpaceDN w:val="0"/>
        <w:adjustRightInd w:val="0"/>
        <w:snapToGrid w:val="0"/>
        <w:rPr>
          <w:szCs w:val="24"/>
          <w:lang w:val="fr-FR"/>
        </w:rPr>
      </w:pPr>
      <w:r w:rsidRPr="007571A1">
        <w:rPr>
          <w:szCs w:val="24"/>
          <w:lang w:val="fr-FR"/>
        </w:rPr>
        <w:t>Point 10 de l’ordre du jour</w:t>
      </w:r>
    </w:p>
    <w:p w:rsidR="0008167F" w:rsidRPr="00C159F8" w:rsidRDefault="00E15E3C" w:rsidP="00983168">
      <w:pPr>
        <w:kinsoku w:val="0"/>
        <w:overflowPunct w:val="0"/>
        <w:autoSpaceDE w:val="0"/>
        <w:autoSpaceDN w:val="0"/>
        <w:adjustRightInd w:val="0"/>
        <w:snapToGrid w:val="0"/>
        <w:rPr>
          <w:b/>
          <w:szCs w:val="24"/>
          <w:lang w:val="fr-FR"/>
        </w:rPr>
      </w:pPr>
      <w:r w:rsidRPr="007571A1">
        <w:rPr>
          <w:b/>
          <w:szCs w:val="24"/>
          <w:lang w:val="fr-FR"/>
        </w:rPr>
        <w:t>Assistance technique et renforcement des capacités</w:t>
      </w:r>
    </w:p>
    <w:p w:rsidR="006336F9" w:rsidRDefault="00983168" w:rsidP="00356E44">
      <w:pPr>
        <w:pStyle w:val="HChG"/>
        <w:rPr>
          <w:lang w:val="fr-CH"/>
        </w:rPr>
      </w:pPr>
      <w:r w:rsidRPr="00C159F8">
        <w:rPr>
          <w:lang w:val="fr-CH"/>
        </w:rPr>
        <w:tab/>
      </w:r>
      <w:r w:rsidRPr="00C159F8">
        <w:rPr>
          <w:lang w:val="fr-CH"/>
        </w:rPr>
        <w:tab/>
      </w:r>
      <w:r w:rsidR="006B0A7B" w:rsidRPr="00C159F8">
        <w:rPr>
          <w:lang w:val="fr-CH"/>
        </w:rPr>
        <w:t xml:space="preserve">Rapport de l’Expert indépendant sur la situation </w:t>
      </w:r>
      <w:r w:rsidR="006B0A7B" w:rsidRPr="00C159F8">
        <w:rPr>
          <w:lang w:val="fr-CH"/>
        </w:rPr>
        <w:br/>
        <w:t>des droits de l’homme au Mali</w:t>
      </w:r>
    </w:p>
    <w:p w:rsidR="00E15E3C" w:rsidRPr="009A0948" w:rsidRDefault="00E15E3C" w:rsidP="009A0948">
      <w:pPr>
        <w:pStyle w:val="H1G"/>
        <w:rPr>
          <w:lang w:val="fr-FR"/>
        </w:rPr>
      </w:pPr>
      <w:r w:rsidRPr="009A0948">
        <w:rPr>
          <w:lang w:val="fr-FR"/>
        </w:rPr>
        <w:tab/>
      </w:r>
      <w:r w:rsidRPr="009A0948">
        <w:rPr>
          <w:lang w:val="fr-FR"/>
        </w:rPr>
        <w:tab/>
        <w:t>Note du Secrétariat</w:t>
      </w:r>
    </w:p>
    <w:p w:rsidR="006B0A7B" w:rsidRPr="009A0948" w:rsidRDefault="00E15E3C" w:rsidP="00F234AA">
      <w:pPr>
        <w:pStyle w:val="SingleTxtG"/>
        <w:ind w:firstLine="567"/>
        <w:rPr>
          <w:lang w:val="fr-FR"/>
        </w:rPr>
      </w:pPr>
      <w:r w:rsidRPr="009A0948">
        <w:rPr>
          <w:lang w:val="fr-FR"/>
        </w:rPr>
        <w:t>Le Secrétariat a l’honneur de transmettre au Conseil des droits de l’homme le rapport de l’Expert indépendant sur la situation des droits de l’homme au Mali, Suliman Baldo, qui couvre la période du 1</w:t>
      </w:r>
      <w:r w:rsidRPr="009A0948">
        <w:rPr>
          <w:vertAlign w:val="superscript"/>
          <w:lang w:val="fr-FR"/>
        </w:rPr>
        <w:t>er</w:t>
      </w:r>
      <w:r w:rsidRPr="009A0948">
        <w:rPr>
          <w:lang w:val="fr-FR"/>
        </w:rPr>
        <w:t xml:space="preserve"> mai au 29 décembre 2015. Le rapport se fonde sur les informations mises à la disposition de l’Expert indépendant lors de sa cinquième visite au Mali du 10 au 19 octobre 2015 par le Gouvernement </w:t>
      </w:r>
      <w:r w:rsidR="000C3650" w:rsidRPr="007571A1">
        <w:rPr>
          <w:lang w:val="fr-FR"/>
        </w:rPr>
        <w:t>m</w:t>
      </w:r>
      <w:r w:rsidRPr="009A0948">
        <w:rPr>
          <w:lang w:val="fr-FR"/>
        </w:rPr>
        <w:t>ali</w:t>
      </w:r>
      <w:r w:rsidR="000C3650" w:rsidRPr="007571A1">
        <w:rPr>
          <w:lang w:val="fr-FR"/>
        </w:rPr>
        <w:t>en</w:t>
      </w:r>
      <w:r w:rsidRPr="009A0948">
        <w:rPr>
          <w:lang w:val="fr-FR"/>
        </w:rPr>
        <w:t xml:space="preserve">, la Mission multidimensionnelle intégrée des Nations Unies pour la stabilisation au Mali ainsi que d’autres sources notamment les organisations de la société civile. </w:t>
      </w:r>
    </w:p>
    <w:p w:rsidR="00356E44" w:rsidRDefault="00E15E3C" w:rsidP="00356E44">
      <w:pPr>
        <w:pStyle w:val="HChG"/>
        <w:rPr>
          <w:lang w:val="fr-CH"/>
        </w:rPr>
      </w:pPr>
      <w:r w:rsidRPr="009A0948">
        <w:rPr>
          <w:lang w:val="fr-FR"/>
        </w:rPr>
        <w:br w:type="page"/>
      </w:r>
      <w:r w:rsidR="00356E44" w:rsidRPr="00C159F8">
        <w:rPr>
          <w:lang w:val="fr-CH"/>
        </w:rPr>
        <w:lastRenderedPageBreak/>
        <w:tab/>
      </w:r>
      <w:r w:rsidR="00356E44" w:rsidRPr="00C159F8">
        <w:rPr>
          <w:lang w:val="fr-CH"/>
        </w:rPr>
        <w:tab/>
        <w:t xml:space="preserve">Rapport de l’Expert indépendant sur la situation </w:t>
      </w:r>
      <w:r w:rsidR="00356E44" w:rsidRPr="00C159F8">
        <w:rPr>
          <w:lang w:val="fr-CH"/>
        </w:rPr>
        <w:br/>
        <w:t>des droits de l’homme au Mali</w:t>
      </w:r>
    </w:p>
    <w:p w:rsidR="00983168" w:rsidRPr="00C159F8" w:rsidRDefault="00983168" w:rsidP="00983168">
      <w:pPr>
        <w:spacing w:after="120"/>
        <w:rPr>
          <w:sz w:val="28"/>
          <w:szCs w:val="28"/>
          <w:lang w:val="fr-FR"/>
        </w:rPr>
      </w:pPr>
      <w:r w:rsidRPr="0028756F">
        <w:rPr>
          <w:sz w:val="28"/>
          <w:szCs w:val="28"/>
          <w:lang w:val="fr-FR"/>
        </w:rPr>
        <w:t>Table des matières</w:t>
      </w:r>
    </w:p>
    <w:p w:rsidR="00983168" w:rsidRPr="00C159F8" w:rsidRDefault="00983168" w:rsidP="00983168">
      <w:pPr>
        <w:tabs>
          <w:tab w:val="right" w:pos="8929"/>
          <w:tab w:val="right" w:pos="9638"/>
        </w:tabs>
        <w:kinsoku w:val="0"/>
        <w:overflowPunct w:val="0"/>
        <w:autoSpaceDE w:val="0"/>
        <w:autoSpaceDN w:val="0"/>
        <w:adjustRightInd w:val="0"/>
        <w:snapToGrid w:val="0"/>
        <w:spacing w:after="120"/>
        <w:ind w:left="283"/>
        <w:rPr>
          <w:sz w:val="18"/>
          <w:szCs w:val="18"/>
          <w:lang w:val="fr-FR"/>
        </w:rPr>
      </w:pPr>
      <w:r w:rsidRPr="00C159F8">
        <w:rPr>
          <w:i/>
          <w:sz w:val="24"/>
          <w:szCs w:val="24"/>
          <w:lang w:val="fr-FR"/>
        </w:rPr>
        <w:tab/>
      </w:r>
      <w:r w:rsidRPr="00C159F8">
        <w:rPr>
          <w:i/>
          <w:sz w:val="24"/>
          <w:szCs w:val="24"/>
          <w:lang w:val="fr-FR"/>
        </w:rPr>
        <w:tab/>
      </w:r>
      <w:r w:rsidRPr="00C159F8">
        <w:rPr>
          <w:i/>
          <w:sz w:val="18"/>
          <w:szCs w:val="18"/>
          <w:lang w:val="fr-FR"/>
        </w:rPr>
        <w:t>Page</w:t>
      </w:r>
    </w:p>
    <w:p w:rsidR="00983168" w:rsidRPr="00C159F8" w:rsidRDefault="00C159F8" w:rsidP="007C7304">
      <w:pPr>
        <w:tabs>
          <w:tab w:val="right" w:pos="850"/>
          <w:tab w:val="left" w:pos="1134"/>
          <w:tab w:val="left" w:pos="1559"/>
          <w:tab w:val="left" w:pos="1984"/>
          <w:tab w:val="left" w:leader="dot" w:pos="8929"/>
          <w:tab w:val="right" w:pos="9638"/>
        </w:tabs>
        <w:spacing w:after="120"/>
      </w:pPr>
      <w:r w:rsidRPr="00ED3821">
        <w:tab/>
      </w:r>
      <w:r w:rsidRPr="00C159F8">
        <w:t>I.</w:t>
      </w:r>
      <w:r w:rsidRPr="00C159F8">
        <w:tab/>
        <w:t>Introduction</w:t>
      </w:r>
      <w:r w:rsidRPr="00C159F8">
        <w:tab/>
      </w:r>
      <w:r w:rsidRPr="00C159F8">
        <w:tab/>
      </w:r>
      <w:r w:rsidR="007C7304">
        <w:t>3</w:t>
      </w:r>
    </w:p>
    <w:p w:rsidR="00983168" w:rsidRPr="00C159F8" w:rsidRDefault="00983168" w:rsidP="00C159F8">
      <w:pPr>
        <w:tabs>
          <w:tab w:val="right" w:pos="850"/>
          <w:tab w:val="left" w:pos="1134"/>
          <w:tab w:val="left" w:pos="1559"/>
          <w:tab w:val="left" w:pos="1984"/>
          <w:tab w:val="left" w:leader="dot" w:pos="8929"/>
          <w:tab w:val="right" w:pos="9638"/>
        </w:tabs>
        <w:spacing w:after="120"/>
      </w:pPr>
      <w:r w:rsidRPr="00C159F8">
        <w:tab/>
        <w:t>II.</w:t>
      </w:r>
      <w:r w:rsidRPr="00C159F8">
        <w:tab/>
        <w:t>Contexte général du pays</w:t>
      </w:r>
      <w:r w:rsidRPr="00C159F8">
        <w:tab/>
      </w:r>
      <w:r w:rsidRPr="00C159F8">
        <w:tab/>
      </w:r>
      <w:r w:rsidR="007C7304">
        <w:t>3</w:t>
      </w:r>
    </w:p>
    <w:p w:rsidR="00983168" w:rsidRPr="00C159F8" w:rsidRDefault="00C159F8" w:rsidP="00C159F8">
      <w:pPr>
        <w:tabs>
          <w:tab w:val="right" w:pos="850"/>
          <w:tab w:val="left" w:pos="1134"/>
          <w:tab w:val="left" w:pos="1559"/>
          <w:tab w:val="left" w:pos="1984"/>
          <w:tab w:val="left" w:leader="dot" w:pos="8929"/>
          <w:tab w:val="right" w:pos="9638"/>
        </w:tabs>
        <w:spacing w:after="120"/>
      </w:pPr>
      <w:r w:rsidRPr="00C159F8">
        <w:tab/>
      </w:r>
      <w:r w:rsidRPr="00C159F8">
        <w:tab/>
        <w:t>A.</w:t>
      </w:r>
      <w:r w:rsidRPr="00C159F8">
        <w:tab/>
        <w:t>Contexte politique</w:t>
      </w:r>
      <w:r w:rsidRPr="00C159F8">
        <w:tab/>
      </w:r>
      <w:r w:rsidRPr="00C159F8">
        <w:tab/>
      </w:r>
      <w:r w:rsidR="007C7304">
        <w:t>3</w:t>
      </w:r>
    </w:p>
    <w:p w:rsidR="00983168" w:rsidRPr="00C159F8" w:rsidRDefault="00983168" w:rsidP="00C159F8">
      <w:pPr>
        <w:tabs>
          <w:tab w:val="right" w:pos="850"/>
          <w:tab w:val="left" w:pos="1134"/>
          <w:tab w:val="left" w:pos="1559"/>
          <w:tab w:val="left" w:pos="1984"/>
          <w:tab w:val="left" w:leader="dot" w:pos="8929"/>
          <w:tab w:val="right" w:pos="9638"/>
        </w:tabs>
        <w:spacing w:after="120"/>
      </w:pPr>
      <w:r w:rsidRPr="00C159F8">
        <w:tab/>
      </w:r>
      <w:r w:rsidR="00C159F8" w:rsidRPr="00C159F8">
        <w:tab/>
        <w:t>B.</w:t>
      </w:r>
      <w:r w:rsidR="00C159F8" w:rsidRPr="00C159F8">
        <w:tab/>
        <w:t>Contexte sécuritaire</w:t>
      </w:r>
      <w:r w:rsidR="00C159F8" w:rsidRPr="00C159F8">
        <w:tab/>
      </w:r>
      <w:r w:rsidR="00C159F8" w:rsidRPr="00C159F8">
        <w:tab/>
      </w:r>
      <w:r w:rsidR="007C7304">
        <w:t>4</w:t>
      </w:r>
    </w:p>
    <w:p w:rsidR="00983168" w:rsidRPr="00C159F8" w:rsidRDefault="00983168" w:rsidP="00C159F8">
      <w:pPr>
        <w:tabs>
          <w:tab w:val="right" w:pos="850"/>
          <w:tab w:val="left" w:pos="1134"/>
          <w:tab w:val="left" w:pos="1559"/>
          <w:tab w:val="left" w:pos="1984"/>
          <w:tab w:val="left" w:leader="dot" w:pos="8929"/>
          <w:tab w:val="right" w:pos="9638"/>
        </w:tabs>
        <w:spacing w:after="120"/>
      </w:pPr>
      <w:r w:rsidRPr="00C159F8">
        <w:tab/>
      </w:r>
      <w:r w:rsidRPr="00C159F8">
        <w:tab/>
        <w:t>C.</w:t>
      </w:r>
      <w:r w:rsidRPr="00C159F8">
        <w:tab/>
        <w:t>Le défi persistant de la lutte con</w:t>
      </w:r>
      <w:r w:rsidR="00C159F8" w:rsidRPr="00C159F8">
        <w:t>tre l’impunité</w:t>
      </w:r>
      <w:r w:rsidR="00C159F8" w:rsidRPr="00C159F8">
        <w:tab/>
      </w:r>
      <w:r w:rsidR="00C159F8" w:rsidRPr="00C159F8">
        <w:tab/>
      </w:r>
      <w:r w:rsidR="007C7304">
        <w:t>6</w:t>
      </w:r>
    </w:p>
    <w:p w:rsidR="00983168" w:rsidRPr="00C159F8" w:rsidRDefault="00983168" w:rsidP="00C159F8">
      <w:pPr>
        <w:tabs>
          <w:tab w:val="right" w:pos="850"/>
          <w:tab w:val="left" w:pos="1134"/>
          <w:tab w:val="left" w:pos="1559"/>
          <w:tab w:val="left" w:pos="1984"/>
          <w:tab w:val="left" w:leader="dot" w:pos="8929"/>
          <w:tab w:val="right" w:pos="9638"/>
        </w:tabs>
        <w:spacing w:after="120"/>
      </w:pPr>
      <w:r w:rsidRPr="00C159F8">
        <w:tab/>
        <w:t>III.</w:t>
      </w:r>
      <w:r w:rsidRPr="00C159F8">
        <w:tab/>
        <w:t>Situati</w:t>
      </w:r>
      <w:r w:rsidR="00C159F8" w:rsidRPr="00C159F8">
        <w:t>on des droits de l’homme</w:t>
      </w:r>
      <w:r w:rsidR="00C159F8" w:rsidRPr="00C159F8">
        <w:tab/>
      </w:r>
      <w:r w:rsidR="00C159F8" w:rsidRPr="00C159F8">
        <w:tab/>
      </w:r>
      <w:r w:rsidR="007C7304">
        <w:t>8</w:t>
      </w:r>
    </w:p>
    <w:p w:rsidR="00983168" w:rsidRPr="00C159F8" w:rsidRDefault="00983168">
      <w:pPr>
        <w:tabs>
          <w:tab w:val="right" w:pos="850"/>
          <w:tab w:val="left" w:pos="1134"/>
          <w:tab w:val="left" w:pos="1559"/>
          <w:tab w:val="left" w:pos="1984"/>
          <w:tab w:val="left" w:leader="dot" w:pos="8929"/>
          <w:tab w:val="right" w:pos="9638"/>
        </w:tabs>
        <w:spacing w:after="120"/>
      </w:pPr>
      <w:r w:rsidRPr="00C159F8">
        <w:tab/>
      </w:r>
      <w:r w:rsidRPr="00C159F8">
        <w:tab/>
        <w:t>A.</w:t>
      </w:r>
      <w:r w:rsidRPr="00C159F8">
        <w:tab/>
      </w:r>
      <w:r w:rsidR="00E307BA">
        <w:t>D</w:t>
      </w:r>
      <w:r w:rsidRPr="00C159F8">
        <w:t>roi</w:t>
      </w:r>
      <w:r w:rsidR="00C159F8" w:rsidRPr="00C159F8">
        <w:t>ts civils et politiques</w:t>
      </w:r>
      <w:r w:rsidR="00C159F8" w:rsidRPr="00C159F8">
        <w:tab/>
      </w:r>
      <w:r w:rsidR="00C159F8" w:rsidRPr="00C159F8">
        <w:tab/>
      </w:r>
      <w:r w:rsidR="007C7304">
        <w:t>8</w:t>
      </w:r>
    </w:p>
    <w:p w:rsidR="00983168" w:rsidRPr="00C159F8" w:rsidRDefault="00983168">
      <w:pPr>
        <w:tabs>
          <w:tab w:val="right" w:pos="850"/>
          <w:tab w:val="left" w:pos="1134"/>
          <w:tab w:val="left" w:pos="1559"/>
          <w:tab w:val="left" w:pos="1984"/>
          <w:tab w:val="left" w:leader="dot" w:pos="8929"/>
          <w:tab w:val="right" w:pos="9638"/>
        </w:tabs>
        <w:spacing w:after="120"/>
      </w:pPr>
      <w:r w:rsidRPr="00C159F8">
        <w:tab/>
      </w:r>
      <w:r w:rsidRPr="00C159F8">
        <w:tab/>
        <w:t>B.</w:t>
      </w:r>
      <w:r w:rsidRPr="00C159F8">
        <w:tab/>
      </w:r>
      <w:r w:rsidR="00E307BA">
        <w:t>C</w:t>
      </w:r>
      <w:r w:rsidRPr="00C159F8">
        <w:t>onflits inte</w:t>
      </w:r>
      <w:r w:rsidR="00C159F8" w:rsidRPr="00C159F8">
        <w:t>r et intracommunautaires</w:t>
      </w:r>
      <w:r w:rsidR="00C159F8" w:rsidRPr="00C159F8">
        <w:tab/>
      </w:r>
      <w:r w:rsidR="00C159F8" w:rsidRPr="00C159F8">
        <w:tab/>
      </w:r>
      <w:r w:rsidR="007C7304">
        <w:t>11</w:t>
      </w:r>
    </w:p>
    <w:p w:rsidR="00983168" w:rsidRPr="00C159F8" w:rsidRDefault="00983168">
      <w:pPr>
        <w:tabs>
          <w:tab w:val="right" w:pos="850"/>
          <w:tab w:val="left" w:pos="1134"/>
          <w:tab w:val="left" w:pos="1559"/>
          <w:tab w:val="left" w:pos="1984"/>
          <w:tab w:val="left" w:leader="dot" w:pos="8929"/>
          <w:tab w:val="right" w:pos="9638"/>
        </w:tabs>
        <w:spacing w:after="120"/>
      </w:pPr>
      <w:r w:rsidRPr="00C159F8">
        <w:tab/>
      </w:r>
      <w:r w:rsidRPr="00C159F8">
        <w:tab/>
        <w:t>C.</w:t>
      </w:r>
      <w:r w:rsidRPr="00C159F8">
        <w:tab/>
      </w:r>
      <w:r w:rsidR="00E307BA">
        <w:t>S</w:t>
      </w:r>
      <w:r w:rsidR="00C159F8" w:rsidRPr="00C159F8">
        <w:t>ituation des femmes</w:t>
      </w:r>
      <w:r w:rsidR="00C159F8" w:rsidRPr="00C159F8">
        <w:tab/>
      </w:r>
      <w:r w:rsidR="00C159F8" w:rsidRPr="00C159F8">
        <w:tab/>
      </w:r>
      <w:r w:rsidR="007C7304">
        <w:t>12</w:t>
      </w:r>
    </w:p>
    <w:p w:rsidR="00983168" w:rsidRPr="00C159F8" w:rsidRDefault="00983168">
      <w:pPr>
        <w:tabs>
          <w:tab w:val="right" w:pos="850"/>
          <w:tab w:val="left" w:pos="1134"/>
          <w:tab w:val="left" w:pos="1559"/>
          <w:tab w:val="left" w:pos="1984"/>
          <w:tab w:val="left" w:leader="dot" w:pos="8929"/>
          <w:tab w:val="right" w:pos="9638"/>
        </w:tabs>
        <w:spacing w:after="120"/>
      </w:pPr>
      <w:r w:rsidRPr="00C159F8">
        <w:tab/>
      </w:r>
      <w:r w:rsidRPr="00C159F8">
        <w:tab/>
        <w:t>D.</w:t>
      </w:r>
      <w:r w:rsidRPr="00C159F8">
        <w:tab/>
      </w:r>
      <w:r w:rsidR="00E307BA">
        <w:t>S</w:t>
      </w:r>
      <w:r w:rsidR="00C159F8" w:rsidRPr="00C159F8">
        <w:t>ituation des enfants</w:t>
      </w:r>
      <w:r w:rsidR="00C159F8" w:rsidRPr="00C159F8">
        <w:tab/>
      </w:r>
      <w:r w:rsidR="00C159F8" w:rsidRPr="00C159F8">
        <w:tab/>
      </w:r>
      <w:r w:rsidR="007C7304">
        <w:t>13</w:t>
      </w:r>
    </w:p>
    <w:p w:rsidR="00983168" w:rsidRPr="00C159F8" w:rsidRDefault="00983168">
      <w:pPr>
        <w:tabs>
          <w:tab w:val="right" w:pos="850"/>
          <w:tab w:val="left" w:pos="1134"/>
          <w:tab w:val="left" w:pos="1559"/>
          <w:tab w:val="left" w:pos="1984"/>
          <w:tab w:val="left" w:leader="dot" w:pos="8929"/>
          <w:tab w:val="right" w:pos="9638"/>
        </w:tabs>
        <w:spacing w:after="120"/>
      </w:pPr>
      <w:r w:rsidRPr="00C159F8">
        <w:tab/>
      </w:r>
      <w:r w:rsidRPr="00C159F8">
        <w:tab/>
        <w:t>E.</w:t>
      </w:r>
      <w:r w:rsidRPr="00C159F8">
        <w:tab/>
      </w:r>
      <w:r w:rsidR="00E307BA">
        <w:t>S</w:t>
      </w:r>
      <w:r w:rsidR="00C159F8" w:rsidRPr="00C159F8">
        <w:t>ituation pénitentiaire</w:t>
      </w:r>
      <w:r w:rsidR="00C159F8" w:rsidRPr="00C159F8">
        <w:tab/>
      </w:r>
      <w:r w:rsidR="00C159F8" w:rsidRPr="00C159F8">
        <w:tab/>
      </w:r>
      <w:r w:rsidR="007C7304">
        <w:t>14</w:t>
      </w:r>
    </w:p>
    <w:p w:rsidR="00983168" w:rsidRPr="00C159F8" w:rsidRDefault="00983168" w:rsidP="00C159F8">
      <w:pPr>
        <w:tabs>
          <w:tab w:val="right" w:pos="850"/>
          <w:tab w:val="left" w:pos="1134"/>
          <w:tab w:val="left" w:pos="1559"/>
          <w:tab w:val="left" w:pos="1984"/>
          <w:tab w:val="left" w:leader="dot" w:pos="8929"/>
          <w:tab w:val="right" w:pos="9638"/>
        </w:tabs>
        <w:spacing w:after="120"/>
      </w:pPr>
      <w:r w:rsidRPr="00C159F8">
        <w:tab/>
      </w:r>
      <w:r w:rsidRPr="00C159F8">
        <w:tab/>
        <w:t>F.</w:t>
      </w:r>
      <w:r w:rsidRPr="00C159F8">
        <w:tab/>
      </w:r>
      <w:r w:rsidR="00BA5176">
        <w:t>R</w:t>
      </w:r>
      <w:r w:rsidRPr="00C159F8">
        <w:t>éfugiés et personnes déplacé</w:t>
      </w:r>
      <w:r w:rsidR="00C159F8" w:rsidRPr="00C159F8">
        <w:t>es dans leur propre pays</w:t>
      </w:r>
      <w:r w:rsidR="00C159F8" w:rsidRPr="00C159F8">
        <w:tab/>
      </w:r>
      <w:r w:rsidR="00C159F8" w:rsidRPr="00C159F8">
        <w:tab/>
      </w:r>
      <w:r w:rsidR="0010377E" w:rsidRPr="00C159F8">
        <w:t>15</w:t>
      </w:r>
    </w:p>
    <w:p w:rsidR="00983168" w:rsidRPr="00C159F8" w:rsidRDefault="00983168">
      <w:pPr>
        <w:tabs>
          <w:tab w:val="right" w:pos="850"/>
          <w:tab w:val="left" w:pos="1134"/>
          <w:tab w:val="left" w:pos="1559"/>
          <w:tab w:val="left" w:pos="1984"/>
          <w:tab w:val="left" w:leader="dot" w:pos="8929"/>
          <w:tab w:val="right" w:pos="9638"/>
        </w:tabs>
        <w:spacing w:after="120"/>
      </w:pPr>
      <w:r w:rsidRPr="00C159F8">
        <w:tab/>
      </w:r>
      <w:r w:rsidRPr="00C159F8">
        <w:tab/>
        <w:t>G.</w:t>
      </w:r>
      <w:r w:rsidRPr="00C159F8">
        <w:tab/>
      </w:r>
      <w:r w:rsidR="00E307BA">
        <w:t>D</w:t>
      </w:r>
      <w:r w:rsidRPr="00C159F8">
        <w:t>roits économiqu</w:t>
      </w:r>
      <w:r w:rsidR="00C159F8" w:rsidRPr="00C159F8">
        <w:t>es, sociaux et culturels</w:t>
      </w:r>
      <w:r w:rsidR="00C159F8" w:rsidRPr="00C159F8">
        <w:tab/>
      </w:r>
      <w:r w:rsidR="00C159F8" w:rsidRPr="00C159F8">
        <w:tab/>
      </w:r>
      <w:r w:rsidR="007C7304">
        <w:t>15</w:t>
      </w:r>
    </w:p>
    <w:p w:rsidR="00983168" w:rsidRPr="00C159F8" w:rsidRDefault="00983168" w:rsidP="00C159F8">
      <w:pPr>
        <w:tabs>
          <w:tab w:val="right" w:pos="850"/>
          <w:tab w:val="left" w:pos="1134"/>
          <w:tab w:val="left" w:pos="1559"/>
          <w:tab w:val="left" w:pos="1984"/>
          <w:tab w:val="left" w:leader="dot" w:pos="8929"/>
          <w:tab w:val="right" w:pos="9638"/>
        </w:tabs>
        <w:spacing w:after="120"/>
      </w:pPr>
      <w:r w:rsidRPr="00C159F8">
        <w:tab/>
        <w:t>IV.</w:t>
      </w:r>
      <w:r w:rsidRPr="00C159F8">
        <w:tab/>
        <w:t>Conclu</w:t>
      </w:r>
      <w:r w:rsidR="00C159F8" w:rsidRPr="00C159F8">
        <w:t>sions et recommandations</w:t>
      </w:r>
      <w:r w:rsidR="00C159F8" w:rsidRPr="00C159F8">
        <w:tab/>
      </w:r>
      <w:r w:rsidR="00C159F8" w:rsidRPr="00C159F8">
        <w:tab/>
      </w:r>
      <w:r w:rsidR="007C7304">
        <w:t>16</w:t>
      </w:r>
    </w:p>
    <w:p w:rsidR="00983168" w:rsidRPr="00C159F8" w:rsidRDefault="00983168" w:rsidP="00C159F8">
      <w:pPr>
        <w:tabs>
          <w:tab w:val="right" w:pos="850"/>
          <w:tab w:val="left" w:pos="1134"/>
          <w:tab w:val="left" w:pos="1559"/>
          <w:tab w:val="left" w:pos="1984"/>
          <w:tab w:val="left" w:leader="dot" w:pos="8929"/>
          <w:tab w:val="right" w:pos="9638"/>
        </w:tabs>
        <w:spacing w:after="120"/>
      </w:pPr>
      <w:r w:rsidRPr="00C159F8">
        <w:tab/>
      </w:r>
      <w:r w:rsidRPr="00C159F8">
        <w:tab/>
        <w:t>A.</w:t>
      </w:r>
      <w:r w:rsidRPr="00C159F8">
        <w:tab/>
      </w:r>
      <w:r w:rsidR="00C159F8" w:rsidRPr="00C159F8">
        <w:t>Conclusions</w:t>
      </w:r>
      <w:r w:rsidR="00C159F8" w:rsidRPr="00C159F8">
        <w:tab/>
      </w:r>
      <w:r w:rsidR="00C159F8" w:rsidRPr="00C159F8">
        <w:tab/>
      </w:r>
      <w:r w:rsidR="007C7304">
        <w:t>16</w:t>
      </w:r>
    </w:p>
    <w:p w:rsidR="00983168" w:rsidRPr="00C159F8" w:rsidRDefault="00983168" w:rsidP="00C159F8">
      <w:pPr>
        <w:tabs>
          <w:tab w:val="right" w:pos="850"/>
          <w:tab w:val="left" w:pos="1134"/>
          <w:tab w:val="left" w:pos="1559"/>
          <w:tab w:val="left" w:pos="1984"/>
          <w:tab w:val="left" w:leader="dot" w:pos="8929"/>
          <w:tab w:val="right" w:pos="9638"/>
        </w:tabs>
        <w:spacing w:after="120"/>
      </w:pPr>
      <w:r w:rsidRPr="00C159F8">
        <w:tab/>
      </w:r>
      <w:r w:rsidRPr="00C159F8">
        <w:tab/>
        <w:t>B.</w:t>
      </w:r>
      <w:r w:rsidRPr="00C159F8">
        <w:tab/>
        <w:t>R</w:t>
      </w:r>
      <w:r w:rsidR="00C159F8" w:rsidRPr="00C159F8">
        <w:t>ecommandations</w:t>
      </w:r>
      <w:r w:rsidR="00C159F8" w:rsidRPr="00C159F8">
        <w:tab/>
      </w:r>
      <w:r w:rsidR="00C159F8" w:rsidRPr="00C159F8">
        <w:tab/>
      </w:r>
      <w:r w:rsidR="007C7304">
        <w:t>17</w:t>
      </w:r>
    </w:p>
    <w:p w:rsidR="00983168" w:rsidRPr="00C16358" w:rsidRDefault="00983168" w:rsidP="0072084A">
      <w:pPr>
        <w:pStyle w:val="HChG"/>
        <w:rPr>
          <w:lang w:val="fr-CH"/>
        </w:rPr>
      </w:pPr>
      <w:r w:rsidRPr="00C159F8">
        <w:rPr>
          <w:lang w:val="fr-FR"/>
        </w:rPr>
        <w:br w:type="page"/>
      </w:r>
      <w:r w:rsidRPr="00C159F8">
        <w:rPr>
          <w:lang w:val="fr-CH"/>
        </w:rPr>
        <w:lastRenderedPageBreak/>
        <w:tab/>
      </w:r>
      <w:r w:rsidR="00B91530">
        <w:rPr>
          <w:lang w:val="fr-CH"/>
        </w:rPr>
        <w:t>I.</w:t>
      </w:r>
      <w:r w:rsidR="00F52D8C" w:rsidRPr="00C159F8">
        <w:rPr>
          <w:lang w:val="fr-CH"/>
        </w:rPr>
        <w:tab/>
      </w:r>
      <w:r w:rsidRPr="00C159F8">
        <w:rPr>
          <w:lang w:val="fr-CH"/>
        </w:rPr>
        <w:t>Introduction</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1.</w:t>
      </w:r>
      <w:r w:rsidRPr="007571A1">
        <w:rPr>
          <w:bCs/>
        </w:rPr>
        <w:tab/>
      </w:r>
      <w:r w:rsidR="00E15E3C" w:rsidRPr="007571A1">
        <w:t>Le présent rapport est soumis conformément à la résolution</w:t>
      </w:r>
      <w:r w:rsidR="00983168" w:rsidRPr="007571A1">
        <w:t xml:space="preserve"> </w:t>
      </w:r>
      <w:r w:rsidR="00E15E3C" w:rsidRPr="007571A1">
        <w:t>28/31 du Conseil des droits de l’homme, adoptée</w:t>
      </w:r>
      <w:r w:rsidR="00C24732" w:rsidRPr="007571A1">
        <w:t xml:space="preserve"> </w:t>
      </w:r>
      <w:r w:rsidR="00E15E3C" w:rsidRPr="007571A1">
        <w:t>le 27 mars 2015</w:t>
      </w:r>
      <w:r w:rsidR="00983168" w:rsidRPr="007571A1">
        <w:t xml:space="preserve">, </w:t>
      </w:r>
      <w:r w:rsidR="00E15E3C" w:rsidRPr="007571A1">
        <w:t>dans laquelle le Conseil a pro</w:t>
      </w:r>
      <w:r w:rsidR="00A232E2" w:rsidRPr="009A0948">
        <w:t>r</w:t>
      </w:r>
      <w:r w:rsidR="00E15E3C" w:rsidRPr="007571A1">
        <w:t>ogé d’un an le mandat de l’Expert indépendant sur la situation des droits de l’homme au Mali en vue d’aider le Gouvernement malien dans ses actions de promotion et de protection des droits de l’homme et lui a demandé de présenter un rapport</w:t>
      </w:r>
      <w:r w:rsidR="00983168" w:rsidRPr="007571A1">
        <w:t xml:space="preserve"> </w:t>
      </w:r>
      <w:r w:rsidR="00A232E2" w:rsidRPr="007571A1">
        <w:t xml:space="preserve">au </w:t>
      </w:r>
      <w:r w:rsidR="00E15E3C" w:rsidRPr="007571A1">
        <w:t>Conseil à sa trente et unième session</w:t>
      </w:r>
      <w:r w:rsidR="00983168" w:rsidRPr="007571A1">
        <w:t>.</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2.</w:t>
      </w:r>
      <w:r w:rsidRPr="007571A1">
        <w:rPr>
          <w:bCs/>
        </w:rPr>
        <w:tab/>
      </w:r>
      <w:r w:rsidR="00E15E3C" w:rsidRPr="007571A1">
        <w:t>Dans le présent rapport, qui couvre la période</w:t>
      </w:r>
      <w:r w:rsidR="00983168" w:rsidRPr="007571A1">
        <w:t xml:space="preserve"> </w:t>
      </w:r>
      <w:r w:rsidR="00E15E3C" w:rsidRPr="007571A1">
        <w:t>du 1</w:t>
      </w:r>
      <w:r w:rsidR="00E15E3C" w:rsidRPr="00FC605C">
        <w:rPr>
          <w:vertAlign w:val="superscript"/>
        </w:rPr>
        <w:t>er</w:t>
      </w:r>
      <w:r w:rsidR="00E15E3C" w:rsidRPr="007571A1">
        <w:t> mai au 29 décembre 2015</w:t>
      </w:r>
      <w:r w:rsidR="00983168" w:rsidRPr="007571A1">
        <w:t xml:space="preserve">, </w:t>
      </w:r>
      <w:r w:rsidR="00E15E3C" w:rsidRPr="007571A1">
        <w:t>l’Expert indépendant</w:t>
      </w:r>
      <w:r w:rsidR="00E50A8B">
        <w:t xml:space="preserve"> </w:t>
      </w:r>
      <w:r w:rsidR="00E50A8B" w:rsidRPr="00FC605C">
        <w:rPr>
          <w:lang w:val="fr-FR"/>
        </w:rPr>
        <w:t>sur la situation des droits de l’homme au Mali, Suliman Baldo</w:t>
      </w:r>
      <w:r w:rsidR="00E50A8B">
        <w:t>,</w:t>
      </w:r>
      <w:r w:rsidR="00E15E3C" w:rsidRPr="007571A1">
        <w:t xml:space="preserve"> rend compte de sa</w:t>
      </w:r>
      <w:r w:rsidR="00983168" w:rsidRPr="007571A1">
        <w:t xml:space="preserve"> </w:t>
      </w:r>
      <w:r w:rsidR="00E15E3C" w:rsidRPr="007571A1">
        <w:t>cinquième visite au Mali, du 10 au 19 octobre 2015</w:t>
      </w:r>
      <w:r w:rsidR="00983168" w:rsidRPr="007571A1">
        <w:t xml:space="preserve">. </w:t>
      </w:r>
      <w:r w:rsidR="00E15E3C" w:rsidRPr="007571A1">
        <w:t xml:space="preserve">Il se fonde sur des informations collectées auprès des autorités gouvernementales, des organismes des Nations Unies opérant dans le pays, des associations nationales et internationales travaillant sur les questions humanitaires et les droits de l’homme, ainsi que sur les témoignages d’associations et </w:t>
      </w:r>
      <w:r w:rsidR="00137CCB" w:rsidRPr="009A0948">
        <w:t xml:space="preserve">de </w:t>
      </w:r>
      <w:r w:rsidR="00E15E3C" w:rsidRPr="007571A1">
        <w:t>familles de victimes de violations graves des droits de l’homme et du droit international humanitaire</w:t>
      </w:r>
      <w:r w:rsidR="00983168" w:rsidRPr="007571A1">
        <w:t>.</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3.</w:t>
      </w:r>
      <w:r w:rsidRPr="007571A1">
        <w:rPr>
          <w:bCs/>
        </w:rPr>
        <w:tab/>
      </w:r>
      <w:r w:rsidR="00E15E3C" w:rsidRPr="007571A1">
        <w:t xml:space="preserve">L’Expert indépendant tient à remercier le Gouvernement malien pour avoir facilité son séjour dans le pays et pour lui avoir accordé l’accès à tous les responsables nationaux et locaux qu’il a demandé </w:t>
      </w:r>
      <w:r w:rsidR="000C3650" w:rsidRPr="007571A1">
        <w:t xml:space="preserve">à </w:t>
      </w:r>
      <w:r w:rsidR="00E15E3C" w:rsidRPr="007571A1">
        <w:t xml:space="preserve">rencontrer. Lors de </w:t>
      </w:r>
      <w:r w:rsidR="00137CCB" w:rsidRPr="009A0948">
        <w:t>s</w:t>
      </w:r>
      <w:r w:rsidR="00983168" w:rsidRPr="007571A1">
        <w:t xml:space="preserve">a </w:t>
      </w:r>
      <w:r w:rsidR="00E15E3C" w:rsidRPr="007571A1">
        <w:t>cinquième visite</w:t>
      </w:r>
      <w:r w:rsidR="00983168" w:rsidRPr="007571A1">
        <w:t xml:space="preserve">, comme </w:t>
      </w:r>
      <w:r w:rsidR="00356E44" w:rsidRPr="007571A1">
        <w:t>lors d</w:t>
      </w:r>
      <w:r w:rsidR="00983168" w:rsidRPr="007571A1">
        <w:t xml:space="preserve">es </w:t>
      </w:r>
      <w:r w:rsidR="00E15E3C" w:rsidRPr="007571A1">
        <w:t xml:space="preserve">précédentes, l’Expert indépendant a rencontré des officiels de haut rang, </w:t>
      </w:r>
      <w:r w:rsidR="00137CCB" w:rsidRPr="009A0948">
        <w:t xml:space="preserve">parmi lesquels </w:t>
      </w:r>
      <w:r w:rsidR="00E15E3C" w:rsidRPr="007571A1">
        <w:t>le Président de la République, le Ministre de la justice</w:t>
      </w:r>
      <w:r w:rsidR="001109AC" w:rsidRPr="009A0948">
        <w:t xml:space="preserve"> et</w:t>
      </w:r>
      <w:r w:rsidR="00E15E3C" w:rsidRPr="007571A1">
        <w:t xml:space="preserve"> des droits de l’homme, garde des sceaux, </w:t>
      </w:r>
      <w:r w:rsidR="00137CCB" w:rsidRPr="009A0948">
        <w:t xml:space="preserve">et </w:t>
      </w:r>
      <w:r w:rsidR="00E15E3C" w:rsidRPr="007571A1">
        <w:t>le Ministre de la défense et des anciens combattants</w:t>
      </w:r>
      <w:r w:rsidR="00137CCB" w:rsidRPr="009A0948">
        <w:t>.</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4.</w:t>
      </w:r>
      <w:r w:rsidRPr="007571A1">
        <w:rPr>
          <w:bCs/>
        </w:rPr>
        <w:tab/>
      </w:r>
      <w:r w:rsidR="00E15E3C" w:rsidRPr="007571A1">
        <w:t>L’Expert indépendant a rencontré</w:t>
      </w:r>
      <w:r w:rsidR="00983168" w:rsidRPr="007571A1">
        <w:t xml:space="preserve"> </w:t>
      </w:r>
      <w:r w:rsidR="00E15E3C" w:rsidRPr="007571A1">
        <w:t>le Secrétaire général de la Commission vérité, justice et réconciliation et la Présidente de la Commission nationale des droits de l’homme</w:t>
      </w:r>
      <w:r w:rsidR="00983168" w:rsidRPr="007571A1">
        <w:t xml:space="preserve">. Il a visité la maison d’arrêt </w:t>
      </w:r>
      <w:r w:rsidR="00137CCB" w:rsidRPr="007571A1">
        <w:t>de</w:t>
      </w:r>
      <w:r w:rsidR="00983168" w:rsidRPr="007571A1">
        <w:t xml:space="preserve"> Bamako.</w:t>
      </w:r>
      <w:r w:rsidR="00E554B8" w:rsidRPr="007571A1">
        <w:t xml:space="preserve">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5.</w:t>
      </w:r>
      <w:r w:rsidRPr="007571A1">
        <w:rPr>
          <w:bCs/>
        </w:rPr>
        <w:tab/>
      </w:r>
      <w:r w:rsidR="00E15E3C" w:rsidRPr="007571A1">
        <w:t>L’Expert indépendant s’est entretenu avec les représentants de la société civile, d</w:t>
      </w:r>
      <w:r w:rsidR="000C3650" w:rsidRPr="009A0948">
        <w:t xml:space="preserve">es </w:t>
      </w:r>
      <w:r w:rsidR="00E15E3C" w:rsidRPr="007571A1">
        <w:t xml:space="preserve">associations de victimes du nord du Mali et </w:t>
      </w:r>
      <w:r w:rsidR="0047011A">
        <w:t xml:space="preserve">une </w:t>
      </w:r>
      <w:r w:rsidR="00E15E3C" w:rsidRPr="0047011A">
        <w:t>association</w:t>
      </w:r>
      <w:r w:rsidR="00983168" w:rsidRPr="00D32516">
        <w:t xml:space="preserve"> de jeunes</w:t>
      </w:r>
      <w:r w:rsidR="00983168" w:rsidRPr="00C159F8">
        <w:t>, les représentants de la Plat</w:t>
      </w:r>
      <w:r w:rsidR="000C3650">
        <w:t>e</w:t>
      </w:r>
      <w:r w:rsidR="00983168" w:rsidRPr="00C159F8">
        <w:t>form</w:t>
      </w:r>
      <w:r w:rsidR="009A2BB7">
        <w:t>e</w:t>
      </w:r>
      <w:r w:rsidR="00983168" w:rsidRPr="00C159F8">
        <w:t xml:space="preserve"> et de </w:t>
      </w:r>
      <w:r w:rsidR="00983168" w:rsidRPr="007571A1">
        <w:t xml:space="preserve">la </w:t>
      </w:r>
      <w:r w:rsidR="00FC283E" w:rsidRPr="007571A1">
        <w:t>c</w:t>
      </w:r>
      <w:r w:rsidR="00983168" w:rsidRPr="007571A1">
        <w:t xml:space="preserve">oordination des </w:t>
      </w:r>
      <w:r w:rsidR="00FC283E" w:rsidRPr="009A0948">
        <w:t>m</w:t>
      </w:r>
      <w:r w:rsidR="00983168" w:rsidRPr="007571A1">
        <w:t xml:space="preserve">ouvements des groupes armés, </w:t>
      </w:r>
      <w:r w:rsidR="00E15E3C" w:rsidRPr="007571A1">
        <w:t>le corps diplomatique et les organismes des Nations Unies</w:t>
      </w:r>
      <w:r w:rsidR="00983168" w:rsidRPr="007571A1">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6.</w:t>
      </w:r>
      <w:r w:rsidRPr="00C159F8">
        <w:rPr>
          <w:bCs/>
        </w:rPr>
        <w:tab/>
      </w:r>
      <w:r w:rsidR="00E15E3C" w:rsidRPr="007571A1">
        <w:t>L’Expert indépendant tient à remercier</w:t>
      </w:r>
      <w:r w:rsidR="00983168" w:rsidRPr="007571A1">
        <w:t xml:space="preserve"> </w:t>
      </w:r>
      <w:r w:rsidR="003433E5" w:rsidRPr="007571A1">
        <w:t>le</w:t>
      </w:r>
      <w:r w:rsidR="00983168" w:rsidRPr="007571A1">
        <w:t xml:space="preserve"> Représentant spécial du Secrétaire général pour le Mali </w:t>
      </w:r>
      <w:r w:rsidR="00E15E3C" w:rsidRPr="007571A1">
        <w:t>et chef de la Mission multidimensionnelle intégrée des Nations Unies pour la stabilisation au Mali (MINUSMA</w:t>
      </w:r>
      <w:r w:rsidR="00983168" w:rsidRPr="007571A1">
        <w:t xml:space="preserve">), </w:t>
      </w:r>
      <w:r w:rsidR="006875D3" w:rsidRPr="007571A1">
        <w:t xml:space="preserve">Mongi Hamdi, </w:t>
      </w:r>
      <w:r w:rsidR="003433E5" w:rsidRPr="007571A1">
        <w:t>le</w:t>
      </w:r>
      <w:r w:rsidR="00983168" w:rsidRPr="007571A1">
        <w:t xml:space="preserve"> </w:t>
      </w:r>
      <w:r w:rsidR="00E15E3C" w:rsidRPr="007571A1">
        <w:t xml:space="preserve">Représentant spécial </w:t>
      </w:r>
      <w:r w:rsidR="00EB17F4" w:rsidRPr="009A0948">
        <w:t xml:space="preserve">adjoint </w:t>
      </w:r>
      <w:r w:rsidR="00E15E3C" w:rsidRPr="007571A1">
        <w:t xml:space="preserve">du Secrétaire général pour les affaires politiques, </w:t>
      </w:r>
      <w:r w:rsidR="006875D3" w:rsidRPr="009A0948">
        <w:t xml:space="preserve">Koen Davidse, </w:t>
      </w:r>
      <w:r w:rsidR="00E15E3C" w:rsidRPr="007571A1">
        <w:t>ainsi que le personnel de la Division des droits de l’homme de la MINUSMA. L’appui technique et logistique du système des Nations Unies au Mali était indispensable pour la facilitation et le succès de l</w:t>
      </w:r>
      <w:r w:rsidR="00983168" w:rsidRPr="007571A1">
        <w:t xml:space="preserve">a </w:t>
      </w:r>
      <w:r w:rsidR="00137CCB" w:rsidRPr="007571A1">
        <w:t xml:space="preserve">cinquième visite </w:t>
      </w:r>
      <w:r w:rsidR="00983168" w:rsidRPr="007571A1">
        <w:t xml:space="preserve">de </w:t>
      </w:r>
      <w:r w:rsidR="00E15E3C" w:rsidRPr="007571A1">
        <w:t>l’Expert indépendant</w:t>
      </w:r>
      <w:r w:rsidR="00983168" w:rsidRPr="00C159F8">
        <w:t xml:space="preserve">. </w:t>
      </w:r>
    </w:p>
    <w:p w:rsidR="00983168" w:rsidRPr="00C159F8" w:rsidRDefault="00983168" w:rsidP="00F52D8C">
      <w:pPr>
        <w:pStyle w:val="HChG"/>
        <w:rPr>
          <w:lang w:val="fr-CH"/>
        </w:rPr>
      </w:pPr>
      <w:r w:rsidRPr="00C159F8">
        <w:rPr>
          <w:lang w:val="fr-CH"/>
        </w:rPr>
        <w:tab/>
        <w:t>II.</w:t>
      </w:r>
      <w:r w:rsidRPr="00C159F8">
        <w:rPr>
          <w:lang w:val="fr-CH"/>
        </w:rPr>
        <w:tab/>
        <w:t>Contexte général du pays</w:t>
      </w:r>
    </w:p>
    <w:p w:rsidR="00983168" w:rsidRPr="00C159F8" w:rsidRDefault="00983168" w:rsidP="00F52D8C">
      <w:pPr>
        <w:pStyle w:val="H1G"/>
        <w:rPr>
          <w:lang w:val="fr-CH"/>
        </w:rPr>
      </w:pPr>
      <w:r w:rsidRPr="00C159F8">
        <w:rPr>
          <w:lang w:val="fr-FR"/>
        </w:rPr>
        <w:tab/>
      </w:r>
      <w:r w:rsidR="00C159F8">
        <w:rPr>
          <w:lang w:val="fr-CH"/>
        </w:rPr>
        <w:t>A.</w:t>
      </w:r>
      <w:r w:rsidR="00C159F8">
        <w:rPr>
          <w:lang w:val="fr-CH"/>
        </w:rPr>
        <w:tab/>
        <w:t>Contexte politique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w:t>
      </w:r>
      <w:r w:rsidRPr="00C159F8">
        <w:rPr>
          <w:bCs/>
        </w:rPr>
        <w:tab/>
      </w:r>
      <w:r w:rsidR="00983168" w:rsidRPr="00C159F8">
        <w:t>Depuis la quatrième visite de l’Expert indépendant</w:t>
      </w:r>
      <w:r w:rsidR="00A01858">
        <w:t>,</w:t>
      </w:r>
      <w:r w:rsidR="00356E44">
        <w:t xml:space="preserve"> en mars 2015</w:t>
      </w:r>
      <w:r w:rsidR="00983168" w:rsidRPr="00C159F8">
        <w:t xml:space="preserve">, des évolutions </w:t>
      </w:r>
      <w:r w:rsidR="00E15E3C" w:rsidRPr="001109AC">
        <w:t>clés</w:t>
      </w:r>
      <w:r w:rsidR="00983168" w:rsidRPr="00C159F8">
        <w:t xml:space="preserve"> au plan politique permettent de croire à la mise en œuvre effective de </w:t>
      </w:r>
      <w:r w:rsidR="00E15E3C" w:rsidRPr="001109AC">
        <w:t xml:space="preserve">l’Accord </w:t>
      </w:r>
      <w:r w:rsidR="007823AB" w:rsidRPr="009A0948">
        <w:t xml:space="preserve">pour la </w:t>
      </w:r>
      <w:r w:rsidR="00983168" w:rsidRPr="001109AC">
        <w:t>paix</w:t>
      </w:r>
      <w:r w:rsidR="00983168" w:rsidRPr="00C159F8">
        <w:t xml:space="preserve"> et </w:t>
      </w:r>
      <w:r w:rsidR="007823AB">
        <w:t xml:space="preserve">la réconciliation </w:t>
      </w:r>
      <w:r w:rsidR="00D375D3">
        <w:t xml:space="preserve">au Mali </w:t>
      </w:r>
      <w:r w:rsidR="007823AB">
        <w:t xml:space="preserve">et </w:t>
      </w:r>
      <w:r w:rsidR="009066D8">
        <w:t xml:space="preserve">à </w:t>
      </w:r>
      <w:r w:rsidR="00983168" w:rsidRPr="00C159F8">
        <w:t>l’amélioration de la situation de</w:t>
      </w:r>
      <w:r w:rsidR="009066D8">
        <w:t>s</w:t>
      </w:r>
      <w:r w:rsidR="00983168" w:rsidRPr="00C159F8">
        <w:t xml:space="preserve"> droits de l’homme dans le pays.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8.</w:t>
      </w:r>
      <w:r w:rsidRPr="007571A1">
        <w:rPr>
          <w:bCs/>
        </w:rPr>
        <w:tab/>
      </w:r>
      <w:r w:rsidR="00983168" w:rsidRPr="00C159F8">
        <w:t xml:space="preserve">Le 20 juin 2015, </w:t>
      </w:r>
      <w:r w:rsidR="00983168" w:rsidRPr="00CC0C76">
        <w:t>la Coordination des mouvements de l’Azawad (CMA) a signé</w:t>
      </w:r>
      <w:r w:rsidR="00A01858">
        <w:t>,</w:t>
      </w:r>
      <w:r w:rsidR="00983168" w:rsidRPr="00C159F8">
        <w:t xml:space="preserve"> à Bamako</w:t>
      </w:r>
      <w:r w:rsidR="00A01858">
        <w:t>,</w:t>
      </w:r>
      <w:r w:rsidR="00983168" w:rsidRPr="00C159F8">
        <w:t xml:space="preserve"> l’</w:t>
      </w:r>
      <w:r w:rsidR="007823AB">
        <w:t>A</w:t>
      </w:r>
      <w:r w:rsidR="00983168" w:rsidRPr="00C159F8">
        <w:t xml:space="preserve">ccord </w:t>
      </w:r>
      <w:r w:rsidR="007823AB">
        <w:t xml:space="preserve">pour la </w:t>
      </w:r>
      <w:r w:rsidR="00983168" w:rsidRPr="00C159F8">
        <w:t xml:space="preserve">paix </w:t>
      </w:r>
      <w:r w:rsidR="007823AB">
        <w:t xml:space="preserve">et la réconciliation </w:t>
      </w:r>
      <w:r w:rsidR="00983168" w:rsidRPr="00C159F8">
        <w:t>qui a</w:t>
      </w:r>
      <w:r w:rsidR="009066D8">
        <w:t>vait</w:t>
      </w:r>
      <w:r w:rsidR="00983168" w:rsidRPr="00C159F8">
        <w:t xml:space="preserve"> été entériné le 15</w:t>
      </w:r>
      <w:r w:rsidR="007823AB">
        <w:t> </w:t>
      </w:r>
      <w:r w:rsidR="00983168" w:rsidRPr="00C159F8">
        <w:t>mai par le camp gouvernemental et la médiation internationale. La CMA s’était engagée</w:t>
      </w:r>
      <w:r w:rsidR="00A01858">
        <w:t>,</w:t>
      </w:r>
      <w:r w:rsidR="00983168" w:rsidRPr="00C159F8">
        <w:t xml:space="preserve"> le 5</w:t>
      </w:r>
      <w:r w:rsidR="00A01858">
        <w:t> </w:t>
      </w:r>
      <w:r w:rsidR="00983168" w:rsidRPr="00C159F8">
        <w:t>juin à Alger</w:t>
      </w:r>
      <w:r w:rsidR="00A01858">
        <w:t>,</w:t>
      </w:r>
      <w:r w:rsidR="00983168" w:rsidRPr="00C159F8">
        <w:t xml:space="preserve"> à </w:t>
      </w:r>
      <w:r w:rsidR="00983168" w:rsidRPr="001109AC">
        <w:t xml:space="preserve">ratifier </w:t>
      </w:r>
      <w:r w:rsidR="00E15E3C" w:rsidRPr="001109AC">
        <w:t>l’</w:t>
      </w:r>
      <w:r w:rsidR="001E4B35">
        <w:t>A</w:t>
      </w:r>
      <w:r w:rsidR="00E15E3C" w:rsidRPr="001109AC">
        <w:t>ccord</w:t>
      </w:r>
      <w:r w:rsidR="009066D8" w:rsidRPr="001109AC">
        <w:t xml:space="preserve"> </w:t>
      </w:r>
      <w:r w:rsidR="00E15E3C" w:rsidRPr="001109AC">
        <w:t xml:space="preserve">après avoir signé deux documents avec le </w:t>
      </w:r>
      <w:r w:rsidR="009066D8" w:rsidRPr="009A0948">
        <w:t>G</w:t>
      </w:r>
      <w:r w:rsidR="00E15E3C" w:rsidRPr="009D0320">
        <w:t>ouvernement : l’un portant sur des garanties d’applic</w:t>
      </w:r>
      <w:r w:rsidR="00E15E3C" w:rsidRPr="00A244B5">
        <w:t>ation</w:t>
      </w:r>
      <w:r w:rsidR="00983168" w:rsidRPr="00C159F8">
        <w:t xml:space="preserve"> prévoyant l</w:t>
      </w:r>
      <w:r w:rsidR="00E554B8">
        <w:t>’</w:t>
      </w:r>
      <w:r w:rsidR="00983168" w:rsidRPr="00C159F8">
        <w:t>insertion prioritaire et majoritaire des combattants des mouvements politico-militaires</w:t>
      </w:r>
      <w:r w:rsidR="009066D8">
        <w:t>,</w:t>
      </w:r>
      <w:r w:rsidR="00983168" w:rsidRPr="00C159F8">
        <w:t xml:space="preserve"> notamment de la CMA</w:t>
      </w:r>
      <w:r w:rsidR="009066D8">
        <w:t>,</w:t>
      </w:r>
      <w:r w:rsidR="00983168" w:rsidRPr="00C159F8">
        <w:t xml:space="preserve"> au sein des forces de sécurité dans le </w:t>
      </w:r>
      <w:r w:rsidR="00042506">
        <w:t>n</w:t>
      </w:r>
      <w:r w:rsidR="00983168" w:rsidRPr="00C159F8">
        <w:t xml:space="preserve">ord, et l’autre sur des arrangements sécuritaires prévoyant l’évacuation de la ville de Ménaka (nord-est) par les groupes armés de </w:t>
      </w:r>
      <w:r w:rsidR="00983168" w:rsidRPr="007571A1">
        <w:t xml:space="preserve">la </w:t>
      </w:r>
      <w:r w:rsidR="00E15E3C" w:rsidRPr="007571A1">
        <w:t>Plat</w:t>
      </w:r>
      <w:r w:rsidR="009066D8" w:rsidRPr="009A0948">
        <w:t>e</w:t>
      </w:r>
      <w:r w:rsidR="00E15E3C" w:rsidRPr="007571A1">
        <w:t>forme</w:t>
      </w:r>
      <w:r w:rsidR="00983168" w:rsidRPr="007571A1">
        <w:t>.</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9.</w:t>
      </w:r>
      <w:r w:rsidRPr="00C159F8">
        <w:rPr>
          <w:bCs/>
        </w:rPr>
        <w:tab/>
      </w:r>
      <w:r w:rsidR="00983168" w:rsidRPr="007571A1">
        <w:t xml:space="preserve">Le 21 </w:t>
      </w:r>
      <w:r w:rsidR="00C70568" w:rsidRPr="007571A1">
        <w:t>s</w:t>
      </w:r>
      <w:r w:rsidR="00983168" w:rsidRPr="007571A1">
        <w:t>eptembre</w:t>
      </w:r>
      <w:r w:rsidR="00E64A16" w:rsidRPr="007571A1">
        <w:t xml:space="preserve"> 2015</w:t>
      </w:r>
      <w:r w:rsidR="00983168" w:rsidRPr="007571A1">
        <w:t xml:space="preserve">, le Conseil des </w:t>
      </w:r>
      <w:r w:rsidR="005C07B0" w:rsidRPr="007571A1">
        <w:t>m</w:t>
      </w:r>
      <w:r w:rsidR="00983168" w:rsidRPr="007571A1">
        <w:t xml:space="preserve">inistres a décidé de reporter les élections locales prévues pour le 25 </w:t>
      </w:r>
      <w:r w:rsidR="00284252" w:rsidRPr="007571A1">
        <w:t>o</w:t>
      </w:r>
      <w:r w:rsidR="00983168" w:rsidRPr="007571A1">
        <w:t>ctobre 2015.</w:t>
      </w:r>
      <w:r w:rsidR="00E554B8" w:rsidRPr="007571A1">
        <w:t xml:space="preserve"> </w:t>
      </w:r>
      <w:r w:rsidR="00983168" w:rsidRPr="007571A1">
        <w:t>Les partis politiques, les organisations de la société civile, l</w:t>
      </w:r>
      <w:r w:rsidR="00D9105F" w:rsidRPr="007571A1">
        <w:t>a</w:t>
      </w:r>
      <w:r w:rsidR="00983168" w:rsidRPr="007571A1">
        <w:t xml:space="preserve"> CMA et la </w:t>
      </w:r>
      <w:r w:rsidR="009066D8" w:rsidRPr="007571A1">
        <w:t>P</w:t>
      </w:r>
      <w:r w:rsidR="00E15E3C" w:rsidRPr="007571A1">
        <w:t>lateforme</w:t>
      </w:r>
      <w:r w:rsidR="00983168" w:rsidRPr="00C159F8">
        <w:t xml:space="preserve"> avaient demandé </w:t>
      </w:r>
      <w:r w:rsidR="001109AC">
        <w:t>le report d</w:t>
      </w:r>
      <w:r w:rsidR="00983168" w:rsidRPr="00C159F8">
        <w:t>es élections jusqu</w:t>
      </w:r>
      <w:r w:rsidR="00E554B8">
        <w:t>’a</w:t>
      </w:r>
      <w:r w:rsidR="00983168" w:rsidRPr="00C159F8">
        <w:t>u retour des réfugiés et des personnes déplacées à l</w:t>
      </w:r>
      <w:r w:rsidR="00E554B8">
        <w:t>’</w:t>
      </w:r>
      <w:r w:rsidR="00983168" w:rsidRPr="00C159F8">
        <w:t>intérieur du pays pour garantir des élections locales inclusives.</w:t>
      </w:r>
      <w:r w:rsidR="00E554B8">
        <w:t xml:space="preserve"> </w:t>
      </w:r>
      <w:r w:rsidR="00983168" w:rsidRPr="00C159F8">
        <w:t>Le Gouvernement a aussi souligné l</w:t>
      </w:r>
      <w:r w:rsidR="00E554B8">
        <w:t>’</w:t>
      </w:r>
      <w:r w:rsidR="00983168" w:rsidRPr="00C159F8">
        <w:t xml:space="preserve">insécurité dans les régions septentrionales et la nécessité de mettre en œuvre la révision des circonscriptions électorales.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10.</w:t>
      </w:r>
      <w:r w:rsidRPr="00C159F8">
        <w:rPr>
          <w:bCs/>
        </w:rPr>
        <w:tab/>
      </w:r>
      <w:r w:rsidR="00983168" w:rsidRPr="00C159F8">
        <w:t xml:space="preserve">Le 14 octobre 2015, les groupes armés ont signé un pacte d’honneur de cessez-le-feu et de paix. </w:t>
      </w:r>
      <w:r w:rsidR="009066D8">
        <w:t>D</w:t>
      </w:r>
      <w:r w:rsidR="00983168" w:rsidRPr="00C159F8">
        <w:t>ans le cadre d’un dialogue direct et constructif entre la CMA et la Plateforme</w:t>
      </w:r>
      <w:r w:rsidR="009066D8">
        <w:t>, u</w:t>
      </w:r>
      <w:r w:rsidR="009066D8" w:rsidRPr="00C159F8">
        <w:t xml:space="preserve">ne série de rencontres </w:t>
      </w:r>
      <w:r w:rsidR="009066D8">
        <w:t xml:space="preserve">a eu lieu </w:t>
      </w:r>
      <w:r w:rsidR="009066D8" w:rsidRPr="00C159F8">
        <w:t>à Anéfis, du 4 au 14 octobre 2015</w:t>
      </w:r>
      <w:r w:rsidR="00983168" w:rsidRPr="00C159F8">
        <w:t xml:space="preserve">. Les discussions entre la CMA </w:t>
      </w:r>
      <w:r w:rsidR="00A53E14">
        <w:t>(</w:t>
      </w:r>
      <w:r w:rsidR="00983168" w:rsidRPr="00C159F8">
        <w:t>ex-rébellion à dominance touar</w:t>
      </w:r>
      <w:r w:rsidR="00A7335C">
        <w:t>e</w:t>
      </w:r>
      <w:r w:rsidR="00983168" w:rsidRPr="00C159F8">
        <w:t>g) et la Plateforme (coalition de groupes progouvernementaux) se sont déroulées pendant près de trois semaines à Anéfis. C’était une étape clé car sans cessez-le-feu crédible et durable, l’accord n</w:t>
      </w:r>
      <w:r w:rsidR="009066D8">
        <w:t xml:space="preserve">e peut aboutir </w:t>
      </w:r>
      <w:r w:rsidR="00983168" w:rsidRPr="00C159F8">
        <w:t xml:space="preserve">à une paix durable ni </w:t>
      </w:r>
      <w:r w:rsidR="009066D8">
        <w:t xml:space="preserve">à sa </w:t>
      </w:r>
      <w:r w:rsidR="00983168" w:rsidRPr="00C159F8">
        <w:t xml:space="preserve">mise en œuvre effective.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11.</w:t>
      </w:r>
      <w:r w:rsidRPr="00C159F8">
        <w:rPr>
          <w:bCs/>
        </w:rPr>
        <w:tab/>
      </w:r>
      <w:r w:rsidR="00983168" w:rsidRPr="00C159F8">
        <w:t>Le 22 octobre</w:t>
      </w:r>
      <w:r w:rsidR="009066D8">
        <w:t xml:space="preserve"> 2015,</w:t>
      </w:r>
      <w:r w:rsidR="00983168" w:rsidRPr="00C159F8">
        <w:t xml:space="preserve"> lors de la conférence internationale organisée à Paris par l’Organisation de coopération et de développement économiques pour la relance économique et le développement du Mali, les bailleurs de fonds ont</w:t>
      </w:r>
      <w:r w:rsidR="00E554B8">
        <w:t xml:space="preserve"> </w:t>
      </w:r>
      <w:r w:rsidR="00983168" w:rsidRPr="00C159F8">
        <w:t xml:space="preserve">réaffirmé leurs engagements pour le Mali. Cette conférence a réuni les autorités maliennes, avec à leur tête le </w:t>
      </w:r>
      <w:r w:rsidR="009066D8">
        <w:t>P</w:t>
      </w:r>
      <w:r w:rsidR="00983168" w:rsidRPr="00C159F8">
        <w:t>résident</w:t>
      </w:r>
      <w:r w:rsidR="009066D8">
        <w:t>,</w:t>
      </w:r>
      <w:r w:rsidR="00983168" w:rsidRPr="00C159F8">
        <w:t xml:space="preserve"> Ibrahim Boubacar Keïta, les représentants des parties signataires de </w:t>
      </w:r>
      <w:hyperlink r:id="rId9" w:history="1">
        <w:r w:rsidR="00983168" w:rsidRPr="00723D07">
          <w:t xml:space="preserve">l’Accord </w:t>
        </w:r>
        <w:r w:rsidR="001109AC" w:rsidRPr="00723D07">
          <w:t>pour la paix et la réconciliation</w:t>
        </w:r>
      </w:hyperlink>
      <w:r w:rsidR="00983168" w:rsidRPr="00723D07">
        <w:t>, ainsi q</w:t>
      </w:r>
      <w:r w:rsidR="00983168" w:rsidRPr="00C159F8">
        <w:t xml:space="preserve">ue 64 pays et organisations internationales partenaires. </w:t>
      </w:r>
      <w:r w:rsidR="00C70568">
        <w:t>À</w:t>
      </w:r>
      <w:r w:rsidR="00983168" w:rsidRPr="00C159F8">
        <w:t xml:space="preserve"> cette occasion</w:t>
      </w:r>
      <w:r w:rsidR="009066D8">
        <w:t>,</w:t>
      </w:r>
      <w:r w:rsidR="00983168" w:rsidRPr="00C159F8">
        <w:t xml:space="preserve"> le </w:t>
      </w:r>
      <w:r w:rsidR="00E15E3C" w:rsidRPr="0021338C">
        <w:t>P</w:t>
      </w:r>
      <w:r w:rsidR="00E15E3C" w:rsidRPr="001109AC">
        <w:t>résident</w:t>
      </w:r>
      <w:r w:rsidR="00983168" w:rsidRPr="00C159F8">
        <w:t xml:space="preserve"> </w:t>
      </w:r>
      <w:r w:rsidR="009066D8">
        <w:t xml:space="preserve">a </w:t>
      </w:r>
      <w:r w:rsidR="00983168" w:rsidRPr="00C159F8">
        <w:t>soulign</w:t>
      </w:r>
      <w:r w:rsidR="009066D8">
        <w:t xml:space="preserve">é </w:t>
      </w:r>
      <w:r w:rsidR="00983168" w:rsidRPr="00C159F8">
        <w:t xml:space="preserve">l’importance d’une relance économique et d’un développement équilibré de l’ensemble des régions du nord et </w:t>
      </w:r>
      <w:r w:rsidR="009066D8">
        <w:t xml:space="preserve">de </w:t>
      </w:r>
      <w:r w:rsidR="00983168" w:rsidRPr="00C159F8">
        <w:t>la réforme de l’État à travers une décentralisation renforcée.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12.</w:t>
      </w:r>
      <w:r w:rsidRPr="00C159F8">
        <w:rPr>
          <w:bCs/>
        </w:rPr>
        <w:tab/>
      </w:r>
      <w:r w:rsidR="00983168" w:rsidRPr="00C159F8">
        <w:t>Cette nouvelle dynamique d</w:t>
      </w:r>
      <w:r w:rsidR="009066D8">
        <w:t>u</w:t>
      </w:r>
      <w:r w:rsidR="00983168" w:rsidRPr="00C159F8">
        <w:t xml:space="preserve"> processus de paix a été accompagnée par des progrès dans la mise en œuvre de </w:t>
      </w:r>
      <w:r w:rsidR="00E15E3C" w:rsidRPr="001109AC">
        <w:t>l’</w:t>
      </w:r>
      <w:r w:rsidR="001E4B35">
        <w:t>A</w:t>
      </w:r>
      <w:r w:rsidR="00E15E3C" w:rsidRPr="001109AC">
        <w:t>ccord</w:t>
      </w:r>
      <w:r w:rsidR="009066D8">
        <w:t>;</w:t>
      </w:r>
      <w:r w:rsidR="00983168" w:rsidRPr="00C159F8">
        <w:t xml:space="preserve"> le Comité de </w:t>
      </w:r>
      <w:r w:rsidR="009066D8">
        <w:t>s</w:t>
      </w:r>
      <w:r w:rsidR="00983168" w:rsidRPr="00C159F8">
        <w:t xml:space="preserve">uivi s’est </w:t>
      </w:r>
      <w:r w:rsidR="009066D8">
        <w:t xml:space="preserve">notamment </w:t>
      </w:r>
      <w:r w:rsidR="00983168" w:rsidRPr="00C159F8">
        <w:t xml:space="preserve">réuni à plusieurs reprises. Pour que le </w:t>
      </w:r>
      <w:r w:rsidR="009066D8">
        <w:t>C</w:t>
      </w:r>
      <w:r w:rsidR="00983168" w:rsidRPr="00C159F8">
        <w:t xml:space="preserve">omité </w:t>
      </w:r>
      <w:r w:rsidR="00042506">
        <w:t xml:space="preserve">se </w:t>
      </w:r>
      <w:r w:rsidR="00983168" w:rsidRPr="00C159F8">
        <w:t xml:space="preserve">réunisse, il fallait que la MINUSMA et les membres de la communauté internationale </w:t>
      </w:r>
      <w:r w:rsidR="002A7F3C">
        <w:t xml:space="preserve">entretiennent des médiations </w:t>
      </w:r>
      <w:r w:rsidR="00983168" w:rsidRPr="00C159F8">
        <w:t>avec les groupes armés à la suite des violations d</w:t>
      </w:r>
      <w:r w:rsidR="002A7F3C">
        <w:t>u</w:t>
      </w:r>
      <w:r w:rsidR="00983168" w:rsidRPr="00C159F8">
        <w:t xml:space="preserve"> cesse</w:t>
      </w:r>
      <w:r w:rsidR="002A7F3C">
        <w:t>z-</w:t>
      </w:r>
      <w:r w:rsidR="00983168" w:rsidRPr="00C159F8">
        <w:t>le</w:t>
      </w:r>
      <w:r w:rsidR="002A7F3C">
        <w:t>-</w:t>
      </w:r>
      <w:r w:rsidR="00983168" w:rsidRPr="00C159F8">
        <w:t>feu et le retrait d’An</w:t>
      </w:r>
      <w:r w:rsidR="00D375D3">
        <w:t>é</w:t>
      </w:r>
      <w:r w:rsidR="00983168" w:rsidRPr="00C159F8">
        <w:t xml:space="preserve">fis en </w:t>
      </w:r>
      <w:r w:rsidR="002A7F3C">
        <w:t>s</w:t>
      </w:r>
      <w:r w:rsidR="00983168" w:rsidRPr="00C159F8">
        <w:t xml:space="preserve">eptembre 2015. </w:t>
      </w:r>
    </w:p>
    <w:p w:rsidR="00983168" w:rsidRPr="00C159F8" w:rsidRDefault="00983168" w:rsidP="00F52D8C">
      <w:pPr>
        <w:pStyle w:val="H1G"/>
        <w:rPr>
          <w:lang w:val="fr-CH"/>
        </w:rPr>
      </w:pPr>
      <w:r w:rsidRPr="00C159F8">
        <w:rPr>
          <w:lang w:val="fr-CH"/>
        </w:rPr>
        <w:tab/>
        <w:t>B.</w:t>
      </w:r>
      <w:r w:rsidRPr="00C159F8">
        <w:rPr>
          <w:lang w:val="fr-CH"/>
        </w:rPr>
        <w:tab/>
        <w:t xml:space="preserve">Contexte sécuritaire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13.</w:t>
      </w:r>
      <w:r w:rsidRPr="007571A1">
        <w:rPr>
          <w:bCs/>
        </w:rPr>
        <w:tab/>
      </w:r>
      <w:r w:rsidR="00983168" w:rsidRPr="00C159F8">
        <w:t xml:space="preserve">La situation sécuritaire dans le nord, le centre et le sud du pays s’est considérablement détériorée avec la résurgence des attaques terroristes et asymétriques dans les régions </w:t>
      </w:r>
      <w:r w:rsidR="00983168" w:rsidRPr="007571A1">
        <w:t xml:space="preserve">de </w:t>
      </w:r>
      <w:r w:rsidR="00E15E3C" w:rsidRPr="007571A1">
        <w:t xml:space="preserve">Mopti, </w:t>
      </w:r>
      <w:r w:rsidR="009D0320" w:rsidRPr="009A0948">
        <w:t xml:space="preserve">de </w:t>
      </w:r>
      <w:r w:rsidR="00E15E3C" w:rsidRPr="007571A1">
        <w:t xml:space="preserve">Ségou </w:t>
      </w:r>
      <w:r w:rsidR="009D0320" w:rsidRPr="009A0948">
        <w:t xml:space="preserve">et </w:t>
      </w:r>
      <w:r w:rsidR="00E15E3C" w:rsidRPr="007571A1">
        <w:t>de Gao</w:t>
      </w:r>
      <w:r w:rsidR="00983168" w:rsidRPr="007571A1">
        <w:t xml:space="preserve">. Ces attaques </w:t>
      </w:r>
      <w:r w:rsidR="002A7F3C" w:rsidRPr="007571A1">
        <w:t xml:space="preserve">visaient </w:t>
      </w:r>
      <w:r w:rsidR="00983168" w:rsidRPr="007571A1">
        <w:t>spécifiquement des membres de</w:t>
      </w:r>
      <w:r w:rsidR="00D9105F" w:rsidRPr="007571A1">
        <w:t>s</w:t>
      </w:r>
      <w:r w:rsidR="00983168" w:rsidRPr="007571A1">
        <w:t xml:space="preserve"> </w:t>
      </w:r>
      <w:r w:rsidR="00D9105F" w:rsidRPr="007571A1">
        <w:t>f</w:t>
      </w:r>
      <w:r w:rsidR="00983168" w:rsidRPr="007571A1">
        <w:t xml:space="preserve">orces </w:t>
      </w:r>
      <w:r w:rsidR="00D9105F" w:rsidRPr="007571A1">
        <w:t>a</w:t>
      </w:r>
      <w:r w:rsidR="00983168" w:rsidRPr="007571A1">
        <w:t xml:space="preserve">rmées </w:t>
      </w:r>
      <w:r w:rsidR="00D9105F" w:rsidRPr="007571A1">
        <w:t>m</w:t>
      </w:r>
      <w:r w:rsidR="00983168" w:rsidRPr="007571A1">
        <w:t xml:space="preserve">aliennes ainsi que les forces de la MINUSMA. En réponse à cette situation, de nombreuses opérations antiterroristes ont </w:t>
      </w:r>
      <w:r w:rsidR="00375589" w:rsidRPr="007571A1">
        <w:t xml:space="preserve">été menées </w:t>
      </w:r>
      <w:r w:rsidR="00983168" w:rsidRPr="007571A1">
        <w:t>dans le pays depuis la dernière visite de l’Expert indépendant.</w:t>
      </w:r>
      <w:r w:rsidR="00E554B8" w:rsidRPr="007571A1">
        <w:t xml:space="preserve"> </w:t>
      </w:r>
      <w:r w:rsidR="00983168" w:rsidRPr="007571A1">
        <w:t>Depuis une année</w:t>
      </w:r>
      <w:r w:rsidR="00375589" w:rsidRPr="007571A1">
        <w:t>,</w:t>
      </w:r>
      <w:r w:rsidR="00983168" w:rsidRPr="007571A1">
        <w:t xml:space="preserve"> la MINUSMA </w:t>
      </w:r>
      <w:r w:rsidR="00375589" w:rsidRPr="007571A1">
        <w:t xml:space="preserve">est l’une </w:t>
      </w:r>
      <w:r w:rsidR="00983168" w:rsidRPr="007571A1">
        <w:t xml:space="preserve">des opérations de maintien de </w:t>
      </w:r>
      <w:r w:rsidR="00375589" w:rsidRPr="007571A1">
        <w:t xml:space="preserve">la </w:t>
      </w:r>
      <w:r w:rsidR="00983168" w:rsidRPr="007571A1">
        <w:t xml:space="preserve">paix les plus meurtrières, avec un total de 67 </w:t>
      </w:r>
      <w:r w:rsidR="00042506" w:rsidRPr="007571A1">
        <w:t>C</w:t>
      </w:r>
      <w:r w:rsidR="00983168" w:rsidRPr="007571A1">
        <w:t xml:space="preserve">asques bleus tués et plus de </w:t>
      </w:r>
      <w:r w:rsidR="00501D38" w:rsidRPr="007571A1">
        <w:t xml:space="preserve">200 </w:t>
      </w:r>
      <w:r w:rsidR="00983168" w:rsidRPr="007571A1">
        <w:t xml:space="preserve">blessés.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14.</w:t>
      </w:r>
      <w:r w:rsidRPr="00C159F8">
        <w:rPr>
          <w:bCs/>
        </w:rPr>
        <w:tab/>
      </w:r>
      <w:r w:rsidR="00983168" w:rsidRPr="007571A1">
        <w:t>Les groupes terroristes et extrémistes</w:t>
      </w:r>
      <w:r w:rsidR="00E554B8" w:rsidRPr="007571A1">
        <w:t xml:space="preserve"> </w:t>
      </w:r>
      <w:r w:rsidR="007A3741" w:rsidRPr="007571A1">
        <w:t xml:space="preserve">prennent de plus en plus pour </w:t>
      </w:r>
      <w:r w:rsidR="00983168" w:rsidRPr="007571A1">
        <w:t>cible</w:t>
      </w:r>
      <w:r w:rsidR="007A3741" w:rsidRPr="007571A1">
        <w:t xml:space="preserve">s </w:t>
      </w:r>
      <w:r w:rsidR="00983168" w:rsidRPr="007571A1">
        <w:t>des civils</w:t>
      </w:r>
      <w:r w:rsidR="007A3741" w:rsidRPr="007571A1">
        <w:t xml:space="preserve">, en particulier </w:t>
      </w:r>
      <w:r w:rsidR="00983168" w:rsidRPr="007571A1">
        <w:t>des étrangers. Lors de ma quatrième visite</w:t>
      </w:r>
      <w:r w:rsidR="00356E44" w:rsidRPr="007571A1">
        <w:t xml:space="preserve"> dans le pays,</w:t>
      </w:r>
      <w:r w:rsidR="00983168" w:rsidRPr="007571A1">
        <w:t xml:space="preserve"> cinq personnes avaient trouvé la mort dans un </w:t>
      </w:r>
      <w:hyperlink r:id="rId10" w:history="1">
        <w:r w:rsidR="00983168" w:rsidRPr="007571A1">
          <w:t xml:space="preserve">attentat </w:t>
        </w:r>
        <w:r w:rsidR="007A3741" w:rsidRPr="007571A1">
          <w:t xml:space="preserve">perpétré </w:t>
        </w:r>
        <w:r w:rsidR="00983168" w:rsidRPr="007571A1">
          <w:t>le 7</w:t>
        </w:r>
        <w:r w:rsidR="005E2AD0" w:rsidRPr="007571A1">
          <w:t> </w:t>
        </w:r>
        <w:r w:rsidR="00983168" w:rsidRPr="007571A1">
          <w:t>mars</w:t>
        </w:r>
        <w:r w:rsidR="007A3741" w:rsidRPr="007571A1">
          <w:t xml:space="preserve"> 2015 contre le restaurant La Terrasse de Bamako</w:t>
        </w:r>
        <w:r w:rsidR="00983168" w:rsidRPr="007571A1">
          <w:t xml:space="preserve">. </w:t>
        </w:r>
      </w:hyperlink>
      <w:r w:rsidR="00983168" w:rsidRPr="007571A1">
        <w:t>Le 7</w:t>
      </w:r>
      <w:r w:rsidR="005E2AD0" w:rsidRPr="007571A1">
        <w:t> </w:t>
      </w:r>
      <w:r w:rsidR="00983168" w:rsidRPr="007571A1">
        <w:t>août</w:t>
      </w:r>
      <w:r w:rsidR="007A3741" w:rsidRPr="007571A1">
        <w:t>,</w:t>
      </w:r>
      <w:hyperlink r:id="rId11" w:history="1">
        <w:r w:rsidR="00983168" w:rsidRPr="007571A1">
          <w:t xml:space="preserve"> une attaque terroriste</w:t>
        </w:r>
      </w:hyperlink>
      <w:r w:rsidR="00983168" w:rsidRPr="007571A1">
        <w:t xml:space="preserve"> a fait </w:t>
      </w:r>
      <w:r w:rsidR="005E2AD0" w:rsidRPr="007571A1">
        <w:t xml:space="preserve">13 </w:t>
      </w:r>
      <w:r w:rsidR="00983168" w:rsidRPr="007571A1">
        <w:t xml:space="preserve">morts dans un hôtel de </w:t>
      </w:r>
      <w:r w:rsidR="00E15E3C" w:rsidRPr="007571A1">
        <w:t>Sévaré</w:t>
      </w:r>
      <w:r w:rsidR="00983168" w:rsidRPr="007571A1">
        <w:t>.</w:t>
      </w:r>
      <w:r w:rsidR="00E554B8" w:rsidRPr="007571A1">
        <w:t xml:space="preserve"> </w:t>
      </w:r>
      <w:r w:rsidR="007A3741" w:rsidRPr="007571A1">
        <w:t>Le 20 novembre</w:t>
      </w:r>
      <w:r w:rsidR="007A3741">
        <w:t>, l</w:t>
      </w:r>
      <w:r w:rsidR="00983168" w:rsidRPr="00C159F8">
        <w:t>a fusillade suivie de la prise d’otage</w:t>
      </w:r>
      <w:r w:rsidR="00042506">
        <w:t>s</w:t>
      </w:r>
      <w:r w:rsidR="00983168" w:rsidRPr="00C159F8">
        <w:t xml:space="preserve"> dans l’hôtel Radisson </w:t>
      </w:r>
      <w:r w:rsidR="007A3741">
        <w:t xml:space="preserve">aura été </w:t>
      </w:r>
      <w:r w:rsidR="00983168" w:rsidRPr="00C159F8">
        <w:t>la plus meurtrière</w:t>
      </w:r>
      <w:r w:rsidR="005E2AD0">
        <w:t xml:space="preserve">, </w:t>
      </w:r>
      <w:r w:rsidR="007A3741">
        <w:t xml:space="preserve">avec </w:t>
      </w:r>
      <w:r w:rsidR="005E2AD0">
        <w:t>a</w:t>
      </w:r>
      <w:r w:rsidR="00983168" w:rsidRPr="00C159F8">
        <w:t>u moins 21</w:t>
      </w:r>
      <w:r w:rsidR="001A5141">
        <w:t> </w:t>
      </w:r>
      <w:r w:rsidR="005E2AD0">
        <w:t xml:space="preserve">morts, dont </w:t>
      </w:r>
      <w:r w:rsidR="00983168" w:rsidRPr="00C159F8">
        <w:t>au moins 14</w:t>
      </w:r>
      <w:r w:rsidR="005E2AD0">
        <w:t> </w:t>
      </w:r>
      <w:r w:rsidR="00983168" w:rsidRPr="00C159F8">
        <w:t xml:space="preserve">civils.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15.</w:t>
      </w:r>
      <w:r w:rsidRPr="007571A1">
        <w:rPr>
          <w:bCs/>
        </w:rPr>
        <w:tab/>
      </w:r>
      <w:r w:rsidR="00983168" w:rsidRPr="00C159F8">
        <w:t>Entre mars et septembre 2015</w:t>
      </w:r>
      <w:r w:rsidR="005E2AD0">
        <w:t>,</w:t>
      </w:r>
      <w:r w:rsidR="00983168" w:rsidRPr="00C159F8">
        <w:t xml:space="preserve"> la Division des droits de l’homme de la MINUSMA a </w:t>
      </w:r>
      <w:r w:rsidR="009D0320">
        <w:t>fait état de</w:t>
      </w:r>
      <w:r w:rsidR="00983168" w:rsidRPr="00C159F8">
        <w:t xml:space="preserve"> 79 </w:t>
      </w:r>
      <w:r w:rsidR="00983168" w:rsidRPr="007571A1">
        <w:t xml:space="preserve">attaques asymétriques </w:t>
      </w:r>
      <w:r w:rsidR="00A1573D" w:rsidRPr="007571A1">
        <w:t xml:space="preserve">contre </w:t>
      </w:r>
      <w:r w:rsidR="00983168" w:rsidRPr="007571A1">
        <w:t xml:space="preserve">des cibles civiles ou militaires. Vingt-cinq de ces attaques </w:t>
      </w:r>
      <w:r w:rsidR="00A1573D" w:rsidRPr="007571A1">
        <w:t xml:space="preserve">visaient </w:t>
      </w:r>
      <w:r w:rsidR="00983168" w:rsidRPr="007571A1">
        <w:t xml:space="preserve">les </w:t>
      </w:r>
      <w:r w:rsidR="009D0320" w:rsidRPr="009A0948">
        <w:t>C</w:t>
      </w:r>
      <w:r w:rsidR="00983168" w:rsidRPr="007571A1">
        <w:t xml:space="preserve">asques bleus </w:t>
      </w:r>
      <w:r w:rsidR="00E15E3C" w:rsidRPr="007571A1">
        <w:t>des Nations Unies</w:t>
      </w:r>
      <w:r w:rsidR="00983168" w:rsidRPr="007571A1">
        <w:t xml:space="preserve"> ou les éléments de l’opération </w:t>
      </w:r>
      <w:r w:rsidR="00E15E3C" w:rsidRPr="007571A1">
        <w:t>S</w:t>
      </w:r>
      <w:r w:rsidR="009D0320" w:rsidRPr="009A0948">
        <w:t>erval</w:t>
      </w:r>
      <w:r w:rsidR="00E15E3C" w:rsidRPr="007571A1">
        <w:t>/B</w:t>
      </w:r>
      <w:r w:rsidR="009D0320" w:rsidRPr="009A0948">
        <w:t>arkhane</w:t>
      </w:r>
      <w:r w:rsidR="00983168" w:rsidRPr="007571A1">
        <w:t xml:space="preserve">. Le </w:t>
      </w:r>
      <w:r w:rsidR="00E15E3C" w:rsidRPr="00FC605C">
        <w:rPr>
          <w:i/>
          <w:iCs/>
        </w:rPr>
        <w:t>modus operandi</w:t>
      </w:r>
      <w:r w:rsidR="00983168" w:rsidRPr="007571A1">
        <w:t xml:space="preserve"> a été marqué par le recours à </w:t>
      </w:r>
      <w:r w:rsidR="00E15E3C" w:rsidRPr="007571A1">
        <w:t>des roquette</w:t>
      </w:r>
      <w:r w:rsidR="00C47087" w:rsidRPr="007571A1">
        <w:t>s</w:t>
      </w:r>
      <w:r w:rsidR="00983168" w:rsidRPr="007571A1">
        <w:t xml:space="preserve">, la pose de mines antipersonnel, des </w:t>
      </w:r>
      <w:r w:rsidR="00E15E3C" w:rsidRPr="007571A1">
        <w:t>attentats-suicide</w:t>
      </w:r>
      <w:r w:rsidR="00A1573D" w:rsidRPr="009A0948">
        <w:t xml:space="preserve"> et par </w:t>
      </w:r>
      <w:r w:rsidR="00983168" w:rsidRPr="007571A1">
        <w:t>l’utilisation d’engins explosifs.</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16.</w:t>
      </w:r>
      <w:r w:rsidRPr="007571A1">
        <w:rPr>
          <w:bCs/>
        </w:rPr>
        <w:tab/>
      </w:r>
      <w:r w:rsidR="00A1573D" w:rsidRPr="007571A1">
        <w:t>D</w:t>
      </w:r>
      <w:r w:rsidR="00983168" w:rsidRPr="007571A1">
        <w:t xml:space="preserve">epuis mars 2015, </w:t>
      </w:r>
      <w:r w:rsidR="00A1573D" w:rsidRPr="007571A1">
        <w:t>l</w:t>
      </w:r>
      <w:r w:rsidR="00983168" w:rsidRPr="007571A1">
        <w:t xml:space="preserve">es attaques asymétriques ont fluctué entre 8 et 14 par mois avec </w:t>
      </w:r>
      <w:r w:rsidR="00A1573D" w:rsidRPr="007571A1">
        <w:t xml:space="preserve">deux pics de </w:t>
      </w:r>
      <w:r w:rsidR="00983168" w:rsidRPr="007571A1">
        <w:t>14 attaques</w:t>
      </w:r>
      <w:r w:rsidR="00A1573D" w:rsidRPr="007571A1">
        <w:t xml:space="preserve"> en mai et en </w:t>
      </w:r>
      <w:r w:rsidR="00983168" w:rsidRPr="007571A1">
        <w:t xml:space="preserve">septembre. </w:t>
      </w:r>
      <w:r w:rsidR="00B32FEA" w:rsidRPr="007571A1">
        <w:t xml:space="preserve">Les </w:t>
      </w:r>
      <w:r w:rsidR="00983168" w:rsidRPr="007571A1">
        <w:t xml:space="preserve">attaques </w:t>
      </w:r>
      <w:r w:rsidR="00B32FEA" w:rsidRPr="007571A1">
        <w:t xml:space="preserve">du mois de mai </w:t>
      </w:r>
      <w:r w:rsidR="00983168" w:rsidRPr="007571A1">
        <w:t xml:space="preserve">pourraient être liées à la volonté des groupes armés de démontrer leur force à la veille de la signature </w:t>
      </w:r>
      <w:r w:rsidR="00983168" w:rsidRPr="00723D07">
        <w:t>de</w:t>
      </w:r>
      <w:r w:rsidR="004275B3" w:rsidRPr="00723D07">
        <w:t xml:space="preserve"> l’</w:t>
      </w:r>
      <w:r w:rsidR="00723D07" w:rsidRPr="009A0948">
        <w:t>A</w:t>
      </w:r>
      <w:r w:rsidR="00E15E3C" w:rsidRPr="00723D07">
        <w:t xml:space="preserve">ccord </w:t>
      </w:r>
      <w:r w:rsidR="00723D07" w:rsidRPr="009A0948">
        <w:t xml:space="preserve">pour la </w:t>
      </w:r>
      <w:r w:rsidR="00E15E3C" w:rsidRPr="00723D07">
        <w:t xml:space="preserve">paix </w:t>
      </w:r>
      <w:r w:rsidR="00723D07" w:rsidRPr="009A0948">
        <w:t>et la réconciliation</w:t>
      </w:r>
      <w:r w:rsidR="00983168" w:rsidRPr="007571A1">
        <w:t>.</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17.</w:t>
      </w:r>
      <w:r w:rsidRPr="00C159F8">
        <w:rPr>
          <w:bCs/>
        </w:rPr>
        <w:tab/>
      </w:r>
      <w:r w:rsidR="00983168" w:rsidRPr="0054109D">
        <w:t xml:space="preserve">Durant </w:t>
      </w:r>
      <w:r w:rsidR="00E15E3C" w:rsidRPr="0054109D">
        <w:t xml:space="preserve">la période </w:t>
      </w:r>
      <w:r w:rsidR="00453C24">
        <w:t>considérée</w:t>
      </w:r>
      <w:r w:rsidR="00983168" w:rsidRPr="0054109D">
        <w:t>,</w:t>
      </w:r>
      <w:r w:rsidR="00983168" w:rsidRPr="00C159F8">
        <w:t xml:space="preserve"> le nombre de victimes civiles et militaires </w:t>
      </w:r>
      <w:r w:rsidR="00042506">
        <w:t xml:space="preserve">a été </w:t>
      </w:r>
      <w:r w:rsidR="00983168" w:rsidRPr="00C159F8">
        <w:t>de 68</w:t>
      </w:r>
      <w:r w:rsidR="00B32FEA">
        <w:t> </w:t>
      </w:r>
      <w:r w:rsidR="00983168" w:rsidRPr="00C159F8">
        <w:t xml:space="preserve">morts (39 militaires et 29 civils). Le nombre de victimes militaires s’est accru pour atteindre le maximum en août (16 morts) suite aux différentes attaques terroristes contre des cibles gouvernementales. </w:t>
      </w:r>
      <w:r w:rsidR="008D3704">
        <w:t>Ainsi</w:t>
      </w:r>
      <w:r w:rsidR="00983168" w:rsidRPr="00C159F8">
        <w:t>, l’attaque de Sévaré</w:t>
      </w:r>
      <w:r w:rsidR="00B32FEA">
        <w:t>,</w:t>
      </w:r>
      <w:r w:rsidR="00983168" w:rsidRPr="00C159F8">
        <w:t xml:space="preserve"> le 7 août</w:t>
      </w:r>
      <w:r w:rsidR="00B32FEA">
        <w:t>,</w:t>
      </w:r>
      <w:r w:rsidR="00983168" w:rsidRPr="00C159F8">
        <w:t xml:space="preserve"> a fait quatre morts du côté militaire. Le nombre de victimes civiles a atteint le maximum en avril (11</w:t>
      </w:r>
      <w:r w:rsidR="001A5141">
        <w:t> </w:t>
      </w:r>
      <w:r w:rsidR="00983168" w:rsidRPr="00C159F8">
        <w:t>morts</w:t>
      </w:r>
      <w:r w:rsidR="00042506">
        <w:t xml:space="preserve"> et</w:t>
      </w:r>
      <w:r w:rsidR="00983168" w:rsidRPr="00C159F8">
        <w:t xml:space="preserve"> 54</w:t>
      </w:r>
      <w:r w:rsidR="00042506">
        <w:t> </w:t>
      </w:r>
      <w:r w:rsidR="00983168" w:rsidRPr="00C159F8">
        <w:t>blessé</w:t>
      </w:r>
      <w:r w:rsidR="00042506">
        <w:t>s</w:t>
      </w:r>
      <w:r w:rsidR="00983168" w:rsidRPr="00C159F8">
        <w:t>)</w:t>
      </w:r>
      <w:r w:rsidR="008D3704">
        <w:t>,</w:t>
      </w:r>
      <w:r w:rsidR="00983168" w:rsidRPr="00C159F8">
        <w:t xml:space="preserve"> ce mois a</w:t>
      </w:r>
      <w:r w:rsidR="008D3704">
        <w:t>yant</w:t>
      </w:r>
      <w:r w:rsidR="00983168" w:rsidRPr="00C159F8">
        <w:t xml:space="preserve"> été </w:t>
      </w:r>
      <w:r w:rsidR="00983168" w:rsidRPr="00154501">
        <w:t xml:space="preserve">notamment </w:t>
      </w:r>
      <w:r w:rsidR="00E15E3C" w:rsidRPr="00154501">
        <w:t>marqué par l’incident d’un camion transportant des civils qui a été touché par une mine le 30 avril (28 blessés) et une attaque contre l</w:t>
      </w:r>
      <w:r w:rsidR="00125F16" w:rsidRPr="009A0948">
        <w:t>a</w:t>
      </w:r>
      <w:r w:rsidR="00E15E3C" w:rsidRPr="00154501">
        <w:t xml:space="preserve"> MINUSMA aux abords du camp d’Ansongo le 17</w:t>
      </w:r>
      <w:r w:rsidR="00983168" w:rsidRPr="00C159F8">
        <w:t xml:space="preserve"> avril</w:t>
      </w:r>
      <w:r w:rsidR="00125F16">
        <w:t xml:space="preserve"> (</w:t>
      </w:r>
      <w:r w:rsidR="00723D07">
        <w:t xml:space="preserve">deux civils tués et une vingtaine de </w:t>
      </w:r>
      <w:r w:rsidR="00723D07" w:rsidRPr="00723D07">
        <w:t xml:space="preserve">blessés </w:t>
      </w:r>
      <w:r w:rsidR="00125F16" w:rsidRPr="00723D07">
        <w:t>civils)</w:t>
      </w:r>
      <w:r w:rsidR="00983168" w:rsidRPr="00723D07">
        <w:t>.</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18.</w:t>
      </w:r>
      <w:r w:rsidRPr="00C159F8">
        <w:rPr>
          <w:bCs/>
        </w:rPr>
        <w:tab/>
      </w:r>
      <w:r w:rsidR="00983168" w:rsidRPr="00C159F8">
        <w:t xml:space="preserve">La situation sécuritaire n’a cessé de se détériorer depuis le début de l’année 2015 dans les régions </w:t>
      </w:r>
      <w:r w:rsidR="00983168" w:rsidRPr="007571A1">
        <w:t xml:space="preserve">de </w:t>
      </w:r>
      <w:r w:rsidR="00E15E3C" w:rsidRPr="007571A1">
        <w:t xml:space="preserve">Mopti et </w:t>
      </w:r>
      <w:r w:rsidR="009D0320" w:rsidRPr="009A0948">
        <w:t xml:space="preserve">de </w:t>
      </w:r>
      <w:r w:rsidR="00E15E3C" w:rsidRPr="007571A1">
        <w:t>Ségou</w:t>
      </w:r>
      <w:r w:rsidR="00983168" w:rsidRPr="00C159F8">
        <w:t>. Les attaques</w:t>
      </w:r>
      <w:r w:rsidR="008D3704">
        <w:t>,</w:t>
      </w:r>
      <w:r w:rsidR="00983168" w:rsidRPr="00C159F8">
        <w:t xml:space="preserve"> qui avaient frappé les régions de </w:t>
      </w:r>
      <w:r w:rsidR="00E15E3C" w:rsidRPr="0054109D">
        <w:t>T</w:t>
      </w:r>
      <w:r w:rsidR="0054109D" w:rsidRPr="009A0948">
        <w:t>é</w:t>
      </w:r>
      <w:r w:rsidR="00E15E3C" w:rsidRPr="0054109D">
        <w:t xml:space="preserve">nenkou et </w:t>
      </w:r>
      <w:r w:rsidR="0054109D" w:rsidRPr="009A0948">
        <w:t xml:space="preserve">de </w:t>
      </w:r>
      <w:r w:rsidR="00E15E3C" w:rsidRPr="0054109D">
        <w:t>Youwarou</w:t>
      </w:r>
      <w:r w:rsidR="00983168" w:rsidRPr="0054109D">
        <w:t xml:space="preserve"> au</w:t>
      </w:r>
      <w:r w:rsidR="00983168" w:rsidRPr="00C159F8">
        <w:t xml:space="preserve"> cours du premier trimestre de l’année 2015</w:t>
      </w:r>
      <w:r w:rsidR="008D3704">
        <w:t>,</w:t>
      </w:r>
      <w:r w:rsidR="00983168" w:rsidRPr="00C159F8">
        <w:t xml:space="preserve"> se sont poursuivies</w:t>
      </w:r>
      <w:r w:rsidR="008D3704">
        <w:t xml:space="preserve"> </w:t>
      </w:r>
      <w:r w:rsidR="00983168" w:rsidRPr="00C159F8">
        <w:t>et étendues à d’autres zones.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19.</w:t>
      </w:r>
      <w:r w:rsidRPr="00C159F8">
        <w:rPr>
          <w:bCs/>
        </w:rPr>
        <w:tab/>
      </w:r>
      <w:r w:rsidR="00983168" w:rsidRPr="00C159F8">
        <w:t xml:space="preserve">La radicalisation de certains membres de la communauté </w:t>
      </w:r>
      <w:r w:rsidR="0054109D" w:rsidRPr="009A0948">
        <w:t>p</w:t>
      </w:r>
      <w:r w:rsidR="00E15E3C" w:rsidRPr="0054109D">
        <w:t>eul</w:t>
      </w:r>
      <w:r w:rsidR="0054109D" w:rsidRPr="00A244B5">
        <w:t>e</w:t>
      </w:r>
      <w:r w:rsidR="00983168" w:rsidRPr="00C159F8">
        <w:t xml:space="preserve"> constitue l’une des principales menaces dans ces deux régions. L’Expert indépendant a été informé que</w:t>
      </w:r>
      <w:r w:rsidR="00A7638D">
        <w:t>,</w:t>
      </w:r>
      <w:r w:rsidR="00983168" w:rsidRPr="00C159F8">
        <w:t xml:space="preserve"> depuis le début de </w:t>
      </w:r>
      <w:r w:rsidR="008D3704">
        <w:t>l’</w:t>
      </w:r>
      <w:r w:rsidR="00983168" w:rsidRPr="00C159F8">
        <w:t>année</w:t>
      </w:r>
      <w:r w:rsidR="008D3704">
        <w:t xml:space="preserve"> 2015</w:t>
      </w:r>
      <w:r w:rsidR="00983168" w:rsidRPr="00C159F8">
        <w:t xml:space="preserve">, la majorité des attaques répertoriées dans cette région est attribuée </w:t>
      </w:r>
      <w:r w:rsidR="008D3704">
        <w:t xml:space="preserve">par les autorités </w:t>
      </w:r>
      <w:r w:rsidR="00983168" w:rsidRPr="00C159F8">
        <w:t xml:space="preserve">à des ressortissants de cette communauté, sans que des preuves tangibles permettent de le démontrer. </w:t>
      </w:r>
      <w:r w:rsidR="008D3704">
        <w:t>L</w:t>
      </w:r>
      <w:r w:rsidR="00983168" w:rsidRPr="00C159F8">
        <w:t xml:space="preserve">es actes de </w:t>
      </w:r>
      <w:r w:rsidR="008D3704">
        <w:t xml:space="preserve">quelques </w:t>
      </w:r>
      <w:r w:rsidR="00983168" w:rsidRPr="00C159F8">
        <w:t xml:space="preserve">individus sont </w:t>
      </w:r>
      <w:r w:rsidR="008D3704">
        <w:t xml:space="preserve">donc </w:t>
      </w:r>
      <w:r w:rsidR="00983168" w:rsidRPr="00C159F8">
        <w:t xml:space="preserve">imputés à l’ensemble de la communauté </w:t>
      </w:r>
      <w:r w:rsidR="0054109D">
        <w:t>p</w:t>
      </w:r>
      <w:r w:rsidR="00983168" w:rsidRPr="00C159F8">
        <w:t>eul</w:t>
      </w:r>
      <w:r w:rsidR="0054109D">
        <w:t>e</w:t>
      </w:r>
      <w:r w:rsidR="00983168" w:rsidRPr="00C159F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20.</w:t>
      </w:r>
      <w:r w:rsidRPr="00C159F8">
        <w:rPr>
          <w:bCs/>
        </w:rPr>
        <w:tab/>
      </w:r>
      <w:r w:rsidR="00983168" w:rsidRPr="00C159F8">
        <w:t xml:space="preserve">Depuis la dernière visite de l’Expert indépendant au Mali, la région de Gao a connu de nombreux </w:t>
      </w:r>
      <w:r w:rsidR="009B5FD4">
        <w:t>événements</w:t>
      </w:r>
      <w:r w:rsidR="00983168" w:rsidRPr="00C159F8">
        <w:t xml:space="preserve"> </w:t>
      </w:r>
      <w:r w:rsidR="008D3704">
        <w:t xml:space="preserve">ayant eu </w:t>
      </w:r>
      <w:r w:rsidR="00983168" w:rsidRPr="00C159F8">
        <w:t>des effets négatifs sur la protection des droits de l’homme et des libertés individuelles. La situation sécuritaire d</w:t>
      </w:r>
      <w:r w:rsidR="008D3704">
        <w:t>ans</w:t>
      </w:r>
      <w:r w:rsidR="00983168" w:rsidRPr="00C159F8">
        <w:t xml:space="preserve"> la région de Gao demeure préoccupante. Depuis mars 2015</w:t>
      </w:r>
      <w:r w:rsidR="008D3704">
        <w:t>,</w:t>
      </w:r>
      <w:r w:rsidR="00983168" w:rsidRPr="00C159F8">
        <w:t xml:space="preserve"> on assist</w:t>
      </w:r>
      <w:r w:rsidR="008D3704">
        <w:t>e</w:t>
      </w:r>
      <w:r w:rsidR="00983168" w:rsidRPr="00C159F8">
        <w:t xml:space="preserve"> à une recrudescence des explosions d’</w:t>
      </w:r>
      <w:r w:rsidR="005E2AD0">
        <w:t>engins explosifs improvisés</w:t>
      </w:r>
      <w:r w:rsidR="00983168" w:rsidRPr="00C159F8">
        <w:t xml:space="preserve"> sur plusieurs axes routiers de la région </w:t>
      </w:r>
      <w:r w:rsidR="00983168" w:rsidRPr="0054109D">
        <w:t>(</w:t>
      </w:r>
      <w:r w:rsidR="00E15E3C" w:rsidRPr="0054109D">
        <w:t>Ansongo-Indelimane</w:t>
      </w:r>
      <w:r w:rsidR="0054109D" w:rsidRPr="009A0948">
        <w:t xml:space="preserve"> et</w:t>
      </w:r>
      <w:r w:rsidR="00E15E3C" w:rsidRPr="0054109D">
        <w:t xml:space="preserve"> Gao-Gossi</w:t>
      </w:r>
      <w:r w:rsidR="00983168" w:rsidRPr="0054109D">
        <w:t>)</w:t>
      </w:r>
      <w:r w:rsidR="00B91530" w:rsidRPr="0054109D">
        <w:t>.</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21.</w:t>
      </w:r>
      <w:r w:rsidRPr="00C159F8">
        <w:rPr>
          <w:bCs/>
        </w:rPr>
        <w:tab/>
      </w:r>
      <w:r w:rsidR="00983168" w:rsidRPr="00C159F8">
        <w:t>La Division de</w:t>
      </w:r>
      <w:r w:rsidR="008D3704">
        <w:t>s</w:t>
      </w:r>
      <w:r w:rsidR="00983168" w:rsidRPr="00C159F8">
        <w:t xml:space="preserve"> droits de l’homme a enregistré </w:t>
      </w:r>
      <w:r w:rsidR="00E15E3C" w:rsidRPr="00723D07">
        <w:t>105</w:t>
      </w:r>
      <w:r w:rsidR="00983168" w:rsidRPr="00C159F8">
        <w:t xml:space="preserve"> cas de banditisme </w:t>
      </w:r>
      <w:r w:rsidR="008D3704">
        <w:t xml:space="preserve">entre </w:t>
      </w:r>
      <w:r w:rsidR="00983168" w:rsidRPr="00C159F8">
        <w:t xml:space="preserve">mars </w:t>
      </w:r>
      <w:r w:rsidR="008D3704">
        <w:t xml:space="preserve">et </w:t>
      </w:r>
      <w:r w:rsidR="00983168" w:rsidRPr="00C159F8">
        <w:t>septembre 2015 (62 cas à Tombouctou, 26 cas à Gao</w:t>
      </w:r>
      <w:r w:rsidR="008D3704">
        <w:t>,</w:t>
      </w:r>
      <w:r w:rsidR="00983168" w:rsidRPr="00C159F8">
        <w:t xml:space="preserve"> 15 cas à Mopti et 2 cas à Kidal) qui ont un impact sur la situation sécuritaire et </w:t>
      </w:r>
      <w:r w:rsidR="00A7638D">
        <w:t>l</w:t>
      </w:r>
      <w:r w:rsidR="00983168" w:rsidRPr="00C159F8">
        <w:t xml:space="preserve">es droits de l’homme. Les commerçants qui transportent les marchandises de Bamako vers les régions du </w:t>
      </w:r>
      <w:r w:rsidR="00042506">
        <w:t>n</w:t>
      </w:r>
      <w:r w:rsidR="00983168" w:rsidRPr="00C159F8">
        <w:t xml:space="preserve">ord sont souvent la cible de bandits, particulièrement dans la région de Tombouctou. </w:t>
      </w:r>
      <w:r w:rsidR="008D3704">
        <w:t xml:space="preserve">Durant la période </w:t>
      </w:r>
      <w:r w:rsidR="00453C24">
        <w:t>considérée</w:t>
      </w:r>
      <w:r w:rsidR="008D3704">
        <w:t xml:space="preserve">, les attaques auraient eu lieu essentiellement sur deux axes : celui reliant </w:t>
      </w:r>
      <w:r w:rsidR="00983168" w:rsidRPr="00C159F8">
        <w:t>Tombouctou</w:t>
      </w:r>
      <w:r w:rsidR="008D3704">
        <w:t xml:space="preserve"> et </w:t>
      </w:r>
      <w:r w:rsidR="00983168" w:rsidRPr="00C159F8">
        <w:t>Goundam</w:t>
      </w:r>
      <w:r w:rsidR="008D3704">
        <w:t>,</w:t>
      </w:r>
      <w:r w:rsidR="00983168" w:rsidRPr="00C159F8">
        <w:t xml:space="preserve"> situé à 95</w:t>
      </w:r>
      <w:r w:rsidR="00A53E14">
        <w:t> </w:t>
      </w:r>
      <w:r w:rsidR="00983168" w:rsidRPr="00C159F8">
        <w:t>km au sud-ouest de Tombouctou</w:t>
      </w:r>
      <w:r w:rsidR="008D3704">
        <w:t>,</w:t>
      </w:r>
      <w:r w:rsidR="00983168" w:rsidRPr="00C159F8">
        <w:t xml:space="preserve"> et </w:t>
      </w:r>
      <w:r w:rsidR="008D3704">
        <w:t xml:space="preserve">celui reliant </w:t>
      </w:r>
      <w:r w:rsidR="00983168" w:rsidRPr="00C159F8">
        <w:t>Tombouctou</w:t>
      </w:r>
      <w:r w:rsidR="008D3704">
        <w:t xml:space="preserve"> et </w:t>
      </w:r>
      <w:r w:rsidR="00983168" w:rsidRPr="00C159F8">
        <w:t>Ber</w:t>
      </w:r>
      <w:r w:rsidR="008D3704">
        <w:t>,</w:t>
      </w:r>
      <w:r w:rsidR="00983168" w:rsidRPr="00C159F8">
        <w:t xml:space="preserve"> </w:t>
      </w:r>
      <w:r w:rsidR="00B1346C">
        <w:t xml:space="preserve">à </w:t>
      </w:r>
      <w:r w:rsidR="00983168" w:rsidRPr="00C159F8">
        <w:t>60</w:t>
      </w:r>
      <w:r w:rsidR="00A53E14">
        <w:t> </w:t>
      </w:r>
      <w:r w:rsidR="00983168" w:rsidRPr="00C159F8">
        <w:t>km à l’est de Tombouctou.</w:t>
      </w:r>
      <w:r w:rsidR="00E554B8">
        <w:t xml:space="preserve"> </w:t>
      </w:r>
      <w:r w:rsidR="0069716A" w:rsidRPr="007571A1">
        <w:t>À</w:t>
      </w:r>
      <w:r w:rsidR="00983168" w:rsidRPr="007571A1">
        <w:t xml:space="preserve"> </w:t>
      </w:r>
      <w:r w:rsidR="00E15E3C" w:rsidRPr="007571A1">
        <w:t>Ménaka</w:t>
      </w:r>
      <w:r w:rsidR="00983168" w:rsidRPr="007571A1">
        <w:t>, l</w:t>
      </w:r>
      <w:r w:rsidR="00983168" w:rsidRPr="00C159F8">
        <w:t xml:space="preserve">es braquages récurrents </w:t>
      </w:r>
      <w:r w:rsidR="00B1346C">
        <w:t xml:space="preserve">les </w:t>
      </w:r>
      <w:r w:rsidR="00983168" w:rsidRPr="00C159F8">
        <w:t xml:space="preserve">jours de foire sèment la peur et la panique dans la vie quotidienne des populations. </w:t>
      </w:r>
      <w:r w:rsidR="00B1346C">
        <w:t>L</w:t>
      </w:r>
      <w:r w:rsidR="00983168" w:rsidRPr="00C159F8">
        <w:t xml:space="preserve">es bandits ont profité du retard dans le redéploiement des autorités civiles et </w:t>
      </w:r>
      <w:r w:rsidR="00B1346C">
        <w:t xml:space="preserve">des forces de </w:t>
      </w:r>
      <w:r w:rsidR="00983168" w:rsidRPr="00C159F8">
        <w:t xml:space="preserve">sécurité de l’État </w:t>
      </w:r>
      <w:r w:rsidR="00B1346C">
        <w:t xml:space="preserve">dans le </w:t>
      </w:r>
      <w:r w:rsidR="00983168" w:rsidRPr="00C159F8">
        <w:t>nord du pays.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22.</w:t>
      </w:r>
      <w:r w:rsidRPr="00C159F8">
        <w:rPr>
          <w:bCs/>
        </w:rPr>
        <w:tab/>
      </w:r>
      <w:r w:rsidR="00983168" w:rsidRPr="00C159F8">
        <w:t>L’Expert indépendant a beaucoup entendu parler de la menace que posent les trafics illicites</w:t>
      </w:r>
      <w:r w:rsidR="00B1346C">
        <w:t>,</w:t>
      </w:r>
      <w:r w:rsidR="00983168" w:rsidRPr="00C159F8">
        <w:t xml:space="preserve"> e</w:t>
      </w:r>
      <w:r w:rsidR="00B1346C">
        <w:t>n</w:t>
      </w:r>
      <w:r w:rsidR="00983168" w:rsidRPr="00C159F8">
        <w:t xml:space="preserve"> particuli</w:t>
      </w:r>
      <w:r w:rsidR="00B1346C">
        <w:t>e</w:t>
      </w:r>
      <w:r w:rsidR="00983168" w:rsidRPr="00C159F8">
        <w:t>r le trafic de drogue.</w:t>
      </w:r>
      <w:r w:rsidR="00E554B8">
        <w:t xml:space="preserve"> </w:t>
      </w:r>
      <w:r w:rsidR="00983168" w:rsidRPr="00C159F8">
        <w:t xml:space="preserve">La plupart des affrontements entre groupes armés </w:t>
      </w:r>
      <w:r w:rsidR="00B1346C">
        <w:t xml:space="preserve">dans le </w:t>
      </w:r>
      <w:r w:rsidR="00983168" w:rsidRPr="00C159F8">
        <w:t>nord du pays auraient pour objectif le contrôle des routes qui servent à organiser les trafics illicites et</w:t>
      </w:r>
      <w:r w:rsidR="00B1346C">
        <w:t>,</w:t>
      </w:r>
      <w:r w:rsidR="00983168" w:rsidRPr="00C159F8">
        <w:t xml:space="preserve"> surtout durant la saison des pluies</w:t>
      </w:r>
      <w:r w:rsidR="00B1346C">
        <w:t>,</w:t>
      </w:r>
      <w:r w:rsidR="00983168" w:rsidRPr="00C159F8">
        <w:t xml:space="preserve"> le contrôle des routes </w:t>
      </w:r>
      <w:r w:rsidR="00B1346C">
        <w:t>praticable</w:t>
      </w:r>
      <w:r w:rsidR="00983168" w:rsidRPr="00C159F8">
        <w:t xml:space="preserve">. Les hautes autorités maliennes ont exprimé </w:t>
      </w:r>
      <w:r w:rsidR="000B6496">
        <w:t>leur</w:t>
      </w:r>
      <w:r w:rsidR="000B6496" w:rsidRPr="00C159F8">
        <w:t xml:space="preserve"> </w:t>
      </w:r>
      <w:r w:rsidR="00983168" w:rsidRPr="00C159F8">
        <w:t xml:space="preserve">inquiétude. Le </w:t>
      </w:r>
      <w:r w:rsidR="000B6496">
        <w:t xml:space="preserve">trafic </w:t>
      </w:r>
      <w:r w:rsidR="00983168" w:rsidRPr="00C159F8">
        <w:t xml:space="preserve">de drogue a des effets préjudiciables sur la sécurité nationale, la stabilité régionale et internationale, la paix internationale et la souveraineté de l’État. Il met en péril le respect des droits de l’homme et de l’état de droit, les institutions démocratiques et le développement durable. </w:t>
      </w:r>
    </w:p>
    <w:p w:rsidR="00983168" w:rsidRPr="00C159F8" w:rsidRDefault="00983168" w:rsidP="00F52D8C">
      <w:pPr>
        <w:pStyle w:val="H1G"/>
        <w:rPr>
          <w:lang w:val="fr-CH"/>
        </w:rPr>
      </w:pPr>
      <w:r w:rsidRPr="00C159F8">
        <w:rPr>
          <w:lang w:val="fr-CH"/>
        </w:rPr>
        <w:tab/>
        <w:t>C.</w:t>
      </w:r>
      <w:r w:rsidRPr="00C159F8">
        <w:rPr>
          <w:lang w:val="fr-CH"/>
        </w:rPr>
        <w:tab/>
        <w:t>Le défi persistant de la lutte contre l’impunité</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23.</w:t>
      </w:r>
      <w:r w:rsidRPr="007571A1">
        <w:rPr>
          <w:bCs/>
        </w:rPr>
        <w:tab/>
      </w:r>
      <w:r w:rsidR="00983168" w:rsidRPr="00C159F8">
        <w:t>L’Expert indépendant note que la majorité de</w:t>
      </w:r>
      <w:r w:rsidR="000B6496">
        <w:t>s</w:t>
      </w:r>
      <w:r w:rsidR="00983168" w:rsidRPr="00C159F8">
        <w:t xml:space="preserve"> cas de violation des droits de l’homme lié</w:t>
      </w:r>
      <w:r w:rsidR="000B6496">
        <w:t>s</w:t>
      </w:r>
      <w:r w:rsidR="00983168" w:rsidRPr="00C159F8">
        <w:t xml:space="preserve"> à </w:t>
      </w:r>
      <w:r w:rsidR="00983168" w:rsidRPr="00431EE6">
        <w:t xml:space="preserve">la </w:t>
      </w:r>
      <w:r w:rsidR="00E15E3C" w:rsidRPr="00431EE6">
        <w:t>crise d</w:t>
      </w:r>
      <w:r w:rsidR="00431EE6" w:rsidRPr="009A0948">
        <w:t xml:space="preserve">ans le nord du pays </w:t>
      </w:r>
      <w:r w:rsidR="00983168" w:rsidRPr="00431EE6">
        <w:t>et</w:t>
      </w:r>
      <w:r w:rsidR="00983168" w:rsidRPr="00C159F8">
        <w:t xml:space="preserve"> au coup </w:t>
      </w:r>
      <w:r w:rsidR="000B6496" w:rsidRPr="00C159F8">
        <w:t>d’</w:t>
      </w:r>
      <w:r w:rsidR="000B6496">
        <w:t>É</w:t>
      </w:r>
      <w:r w:rsidR="000B6496" w:rsidRPr="00C159F8">
        <w:t xml:space="preserve">tat </w:t>
      </w:r>
      <w:r w:rsidR="00983168" w:rsidRPr="00C159F8">
        <w:t xml:space="preserve">à Bamako </w:t>
      </w:r>
      <w:r w:rsidR="000B6496">
        <w:t xml:space="preserve">qui font </w:t>
      </w:r>
      <w:r w:rsidR="00983168" w:rsidRPr="00C159F8">
        <w:t xml:space="preserve">l’objet de plaintes auprès des autorités judiciaires compétentes depuis 2012 n’ont pas encore donné lieu à </w:t>
      </w:r>
      <w:r w:rsidR="000B6496">
        <w:t xml:space="preserve">des </w:t>
      </w:r>
      <w:r w:rsidR="00983168" w:rsidRPr="00C159F8">
        <w:t>enquête</w:t>
      </w:r>
      <w:r w:rsidR="000B6496">
        <w:t>s</w:t>
      </w:r>
      <w:r w:rsidR="00983168" w:rsidRPr="00C159F8">
        <w:t xml:space="preserve"> judiciaire</w:t>
      </w:r>
      <w:r w:rsidR="000B6496">
        <w:t>s</w:t>
      </w:r>
      <w:r w:rsidR="00983168" w:rsidRPr="00C159F8">
        <w:t>. Seul le dossier des « bérets rouges » a connu un</w:t>
      </w:r>
      <w:r w:rsidR="000B6496">
        <w:t>e</w:t>
      </w:r>
      <w:r w:rsidR="00983168" w:rsidRPr="00C159F8">
        <w:t xml:space="preserve"> lég</w:t>
      </w:r>
      <w:r w:rsidR="000B6496">
        <w:t xml:space="preserve">ère </w:t>
      </w:r>
      <w:r w:rsidR="000B6496" w:rsidRPr="007571A1">
        <w:t>avancée</w:t>
      </w:r>
      <w:r w:rsidR="00983168" w:rsidRPr="007571A1">
        <w:t xml:space="preserve"> </w:t>
      </w:r>
      <w:r w:rsidR="00E15E3C" w:rsidRPr="007571A1">
        <w:t>encore que cette</w:t>
      </w:r>
      <w:r w:rsidR="00983168" w:rsidRPr="007571A1">
        <w:t xml:space="preserve"> affaire tra</w:t>
      </w:r>
      <w:r w:rsidR="00A53E14" w:rsidRPr="007571A1">
        <w:t>î</w:t>
      </w:r>
      <w:r w:rsidR="00983168" w:rsidRPr="007571A1">
        <w:t>ne au niveau de</w:t>
      </w:r>
      <w:r w:rsidR="001A5141" w:rsidRPr="007571A1">
        <w:t xml:space="preserve"> </w:t>
      </w:r>
      <w:r w:rsidR="00983168" w:rsidRPr="007571A1">
        <w:t>la chambre d’accusation.</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24.</w:t>
      </w:r>
      <w:r w:rsidRPr="00C159F8">
        <w:rPr>
          <w:bCs/>
        </w:rPr>
        <w:tab/>
      </w:r>
      <w:r w:rsidR="00983168" w:rsidRPr="007571A1">
        <w:t>L’Expert indépendant soulign</w:t>
      </w:r>
      <w:r w:rsidR="000B6496" w:rsidRPr="007571A1">
        <w:t xml:space="preserve">e plusieurs </w:t>
      </w:r>
      <w:r w:rsidR="00983168" w:rsidRPr="007571A1">
        <w:t>cas emblématiques</w:t>
      </w:r>
      <w:r w:rsidR="000B6496" w:rsidRPr="007571A1">
        <w:t>,</w:t>
      </w:r>
      <w:r w:rsidR="00983168" w:rsidRPr="007571A1">
        <w:t xml:space="preserve"> y compris le dossier de la mutinerie</w:t>
      </w:r>
      <w:r w:rsidR="001A5141" w:rsidRPr="007571A1">
        <w:t xml:space="preserve"> </w:t>
      </w:r>
      <w:r w:rsidR="00983168" w:rsidRPr="007571A1">
        <w:t xml:space="preserve">du 30 septembre 2013 et </w:t>
      </w:r>
      <w:r w:rsidR="000B6496" w:rsidRPr="007571A1">
        <w:t xml:space="preserve">celui </w:t>
      </w:r>
      <w:r w:rsidR="00983168" w:rsidRPr="007571A1">
        <w:t>de Diabali o</w:t>
      </w:r>
      <w:r w:rsidR="000B6496" w:rsidRPr="007571A1">
        <w:t>ù</w:t>
      </w:r>
      <w:r w:rsidR="00983168" w:rsidRPr="007571A1">
        <w:t xml:space="preserve"> </w:t>
      </w:r>
      <w:r w:rsidR="00A53E14" w:rsidRPr="007571A1">
        <w:t>16 </w:t>
      </w:r>
      <w:r w:rsidR="00983168" w:rsidRPr="007571A1">
        <w:t>pèlerins auraient été arrêtés et exécutés dans un camp militaire mais aucune arrestation n’a encore été effectuée.</w:t>
      </w:r>
      <w:r w:rsidR="00E554B8" w:rsidRPr="007571A1">
        <w:t xml:space="preserve"> </w:t>
      </w:r>
      <w:r w:rsidR="00983168" w:rsidRPr="007571A1">
        <w:t xml:space="preserve">Il tient également à rappeler le dossier de Djebock </w:t>
      </w:r>
      <w:r w:rsidR="000B6496" w:rsidRPr="007571A1">
        <w:t>(zone de Gao) où</w:t>
      </w:r>
      <w:r w:rsidR="00983168" w:rsidRPr="007571A1">
        <w:t xml:space="preserve"> trois individus </w:t>
      </w:r>
      <w:r w:rsidR="0054109D" w:rsidRPr="007571A1">
        <w:t>t</w:t>
      </w:r>
      <w:r w:rsidR="00E15E3C" w:rsidRPr="007571A1">
        <w:t>ouaregs</w:t>
      </w:r>
      <w:r w:rsidR="00983168" w:rsidRPr="007571A1">
        <w:t xml:space="preserve"> auraient été sommairement exécutés et enterrés dans une fosse commune par des éléments des </w:t>
      </w:r>
      <w:r w:rsidR="00D9105F" w:rsidRPr="007571A1">
        <w:t xml:space="preserve">forces armées maliennes </w:t>
      </w:r>
      <w:r w:rsidR="00983168" w:rsidRPr="007571A1">
        <w:t>en février 2014</w:t>
      </w:r>
      <w:r w:rsidR="000B6496" w:rsidRPr="007571A1">
        <w:t>,</w:t>
      </w:r>
      <w:r w:rsidR="00983168" w:rsidRPr="007571A1">
        <w:t xml:space="preserve"> mais aucune enquête judiciaire n’a encore été initiée. </w:t>
      </w:r>
      <w:r w:rsidR="000B6496" w:rsidRPr="007571A1">
        <w:t>E</w:t>
      </w:r>
      <w:r w:rsidR="00983168" w:rsidRPr="007571A1">
        <w:t>n avril 2014</w:t>
      </w:r>
      <w:r w:rsidR="000B6496" w:rsidRPr="007571A1">
        <w:t>,</w:t>
      </w:r>
      <w:r w:rsidR="00983168" w:rsidRPr="007571A1">
        <w:t xml:space="preserve"> un berger</w:t>
      </w:r>
      <w:r w:rsidR="00E554B8" w:rsidRPr="007571A1">
        <w:t xml:space="preserve"> </w:t>
      </w:r>
      <w:r w:rsidR="00983168" w:rsidRPr="007571A1">
        <w:t>de 58 ans aurait été sommairement exécuté par un élément des</w:t>
      </w:r>
      <w:r w:rsidR="00E554B8" w:rsidRPr="007571A1">
        <w:t xml:space="preserve"> </w:t>
      </w:r>
      <w:r w:rsidR="00D9105F" w:rsidRPr="007571A1">
        <w:t>forces armées maliennes</w:t>
      </w:r>
      <w:r w:rsidR="00D9105F">
        <w:t xml:space="preserve"> </w:t>
      </w:r>
      <w:r w:rsidR="00983168" w:rsidRPr="00C159F8">
        <w:t>à</w:t>
      </w:r>
      <w:r w:rsidR="00E554B8">
        <w:t xml:space="preserve"> </w:t>
      </w:r>
      <w:r w:rsidR="00983168" w:rsidRPr="00C159F8">
        <w:t xml:space="preserve">proximité </w:t>
      </w:r>
      <w:r w:rsidR="00983168" w:rsidRPr="00E90D12">
        <w:t>du c</w:t>
      </w:r>
      <w:r w:rsidR="00E15E3C" w:rsidRPr="00E90D12">
        <w:t>amp militaire 1 de Gao</w:t>
      </w:r>
      <w:r w:rsidR="00983168" w:rsidRPr="00C159F8">
        <w:t xml:space="preserve"> alors qu’il faisait pâturer ses animaux. Aucune enquête n’a officiellement été ouverte par les autorités compétentes.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25.</w:t>
      </w:r>
      <w:r w:rsidRPr="00C159F8">
        <w:rPr>
          <w:bCs/>
        </w:rPr>
        <w:tab/>
      </w:r>
      <w:r w:rsidR="00983168" w:rsidRPr="00C159F8">
        <w:t xml:space="preserve">La responsabilité des violations attribuées aux militaires demeure particulièrement inquiétante. Le code militaire ne respecte pas </w:t>
      </w:r>
      <w:r w:rsidR="00E02DFC">
        <w:t>l</w:t>
      </w:r>
      <w:r w:rsidR="00983168" w:rsidRPr="00C159F8">
        <w:t xml:space="preserve">es </w:t>
      </w:r>
      <w:r w:rsidR="00E15E3C" w:rsidRPr="005C53B6">
        <w:t>garanties internationales</w:t>
      </w:r>
      <w:r w:rsidR="00983168" w:rsidRPr="005C53B6">
        <w:t xml:space="preserve"> </w:t>
      </w:r>
      <w:r w:rsidR="00E02DFC" w:rsidRPr="005C53B6">
        <w:t>en</w:t>
      </w:r>
      <w:r w:rsidR="00E02DFC">
        <w:t xml:space="preserve"> matière </w:t>
      </w:r>
      <w:r w:rsidR="00983168" w:rsidRPr="00C159F8">
        <w:t>de droits de l</w:t>
      </w:r>
      <w:r w:rsidR="00E554B8">
        <w:t>’</w:t>
      </w:r>
      <w:r w:rsidR="00983168" w:rsidRPr="00C159F8">
        <w:t>homme dans un certain nombre de domaines clés. En particulier, l</w:t>
      </w:r>
      <w:r w:rsidR="00E554B8">
        <w:t>’</w:t>
      </w:r>
      <w:r w:rsidR="00983168" w:rsidRPr="00C159F8">
        <w:t>indépendance et l</w:t>
      </w:r>
      <w:r w:rsidR="00E554B8">
        <w:t>’</w:t>
      </w:r>
      <w:r w:rsidR="00983168" w:rsidRPr="00C159F8">
        <w:t>impartialité de ces tribunaux, qui exercent des fonctions judiciaires, n</w:t>
      </w:r>
      <w:r w:rsidR="00E554B8">
        <w:t>’</w:t>
      </w:r>
      <w:r w:rsidR="00E02DFC">
        <w:t>est</w:t>
      </w:r>
      <w:r w:rsidR="00983168" w:rsidRPr="00C159F8">
        <w:t xml:space="preserve"> pas respecté</w:t>
      </w:r>
      <w:r w:rsidR="00E02DFC">
        <w:t>e</w:t>
      </w:r>
      <w:r w:rsidR="00983168" w:rsidRPr="00C159F8">
        <w:t xml:space="preserve"> et l</w:t>
      </w:r>
      <w:r w:rsidR="00E554B8">
        <w:t>’</w:t>
      </w:r>
      <w:r w:rsidR="00983168" w:rsidRPr="00C159F8">
        <w:t xml:space="preserve">autorisation du </w:t>
      </w:r>
      <w:r w:rsidR="005C07B0">
        <w:t>M</w:t>
      </w:r>
      <w:r w:rsidR="00983168" w:rsidRPr="00C159F8">
        <w:t xml:space="preserve">inistre de la </w:t>
      </w:r>
      <w:r w:rsidR="005C07B0">
        <w:t>d</w:t>
      </w:r>
      <w:r w:rsidR="00983168" w:rsidRPr="00C159F8">
        <w:t>éfense est requise pour l</w:t>
      </w:r>
      <w:r w:rsidR="00E554B8">
        <w:t>’</w:t>
      </w:r>
      <w:r w:rsidR="00983168" w:rsidRPr="00C159F8">
        <w:t>ouverture de poursuites pénales contre un membre de l</w:t>
      </w:r>
      <w:r w:rsidR="00E554B8">
        <w:t>’</w:t>
      </w:r>
      <w:r w:rsidR="00983168" w:rsidRPr="00C159F8">
        <w:t>armée. L</w:t>
      </w:r>
      <w:r w:rsidR="00E554B8">
        <w:t>’</w:t>
      </w:r>
      <w:r w:rsidR="00983168" w:rsidRPr="00C159F8">
        <w:t>absence de poursuites dans un certain nombre de cas, y</w:t>
      </w:r>
      <w:r w:rsidR="00E02DFC">
        <w:t> </w:t>
      </w:r>
      <w:r w:rsidR="00983168" w:rsidRPr="00C159F8">
        <w:t>compris l</w:t>
      </w:r>
      <w:r w:rsidR="00E02DFC">
        <w:t>es</w:t>
      </w:r>
      <w:r w:rsidR="00983168" w:rsidRPr="00C159F8">
        <w:t xml:space="preserve"> violence</w:t>
      </w:r>
      <w:r w:rsidR="00E02DFC">
        <w:t>s</w:t>
      </w:r>
      <w:r w:rsidR="00983168" w:rsidRPr="00C159F8">
        <w:t xml:space="preserve"> sexuelle</w:t>
      </w:r>
      <w:r w:rsidR="00E02DFC">
        <w:t>s</w:t>
      </w:r>
      <w:r w:rsidR="00983168" w:rsidRPr="00C159F8">
        <w:t xml:space="preserve"> présumée</w:t>
      </w:r>
      <w:r w:rsidR="00E02DFC">
        <w:t>s</w:t>
      </w:r>
      <w:r w:rsidR="00983168" w:rsidRPr="00C159F8">
        <w:t xml:space="preserve"> contre des mineurs, est préoccupante. À cet égard, </w:t>
      </w:r>
      <w:r w:rsidR="00E02DFC">
        <w:t xml:space="preserve">la </w:t>
      </w:r>
      <w:r w:rsidR="00983168" w:rsidRPr="00C159F8">
        <w:t xml:space="preserve">MINUSMA </w:t>
      </w:r>
      <w:r w:rsidR="00E15E3C" w:rsidRPr="005C53B6">
        <w:t>continue d</w:t>
      </w:r>
      <w:r w:rsidR="00A7638D" w:rsidRPr="009A0948">
        <w:t xml:space="preserve">’assurer </w:t>
      </w:r>
      <w:r w:rsidR="00983168" w:rsidRPr="005C53B6">
        <w:t>le suivi</w:t>
      </w:r>
      <w:r w:rsidR="00983168" w:rsidRPr="00C159F8">
        <w:t xml:space="preserve"> avec les autorités </w:t>
      </w:r>
      <w:r w:rsidR="00983168" w:rsidRPr="007571A1">
        <w:t>judiciaires sur les cas de violations des droits de l</w:t>
      </w:r>
      <w:r w:rsidR="00E554B8" w:rsidRPr="007571A1">
        <w:t>’</w:t>
      </w:r>
      <w:r w:rsidR="00983168" w:rsidRPr="007571A1">
        <w:t xml:space="preserve">homme commises entre 2013 et 2015 par des membres des </w:t>
      </w:r>
      <w:r w:rsidR="00A97A1E" w:rsidRPr="009A0948">
        <w:t>f</w:t>
      </w:r>
      <w:r w:rsidR="00E15E3C" w:rsidRPr="007571A1">
        <w:t>orces</w:t>
      </w:r>
      <w:r w:rsidR="00983168" w:rsidRPr="007571A1">
        <w:t xml:space="preserve"> armées maliennes dans les régions </w:t>
      </w:r>
      <w:r w:rsidR="008F522F" w:rsidRPr="007571A1">
        <w:t xml:space="preserve">de </w:t>
      </w:r>
      <w:r w:rsidR="00E15E3C" w:rsidRPr="007571A1">
        <w:t xml:space="preserve">Mopti et </w:t>
      </w:r>
      <w:r w:rsidR="008F522F" w:rsidRPr="009A0948">
        <w:t xml:space="preserve">de </w:t>
      </w:r>
      <w:r w:rsidR="00E15E3C" w:rsidRPr="007571A1">
        <w:t>Gao</w:t>
      </w:r>
      <w:r w:rsidR="00983168" w:rsidRPr="007571A1">
        <w:t xml:space="preserve">. </w:t>
      </w:r>
      <w:r w:rsidR="00E02DFC" w:rsidRPr="007571A1">
        <w:t>L</w:t>
      </w:r>
      <w:r w:rsidR="00983168" w:rsidRPr="007571A1">
        <w:t>’Expert indépendant</w:t>
      </w:r>
      <w:r w:rsidR="00983168" w:rsidRPr="00C159F8">
        <w:t xml:space="preserve"> souligne que la justice militaire est un domaine prioritaire pour la réforme du secteur de la sécurité dans le cadre du processus de paix.</w:t>
      </w:r>
      <w:r w:rsidR="00E554B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26.</w:t>
      </w:r>
      <w:r w:rsidRPr="00C159F8">
        <w:rPr>
          <w:bCs/>
        </w:rPr>
        <w:tab/>
      </w:r>
      <w:r w:rsidR="00E02DFC">
        <w:t>L</w:t>
      </w:r>
      <w:r w:rsidR="00983168" w:rsidRPr="00C159F8">
        <w:t>a Division des droits de l’homme de la MINUSMA a suivi quatre procès ayant un lien avec le conflit qui était en cours à Bamako. L’un des accusés (d’origine arabe et arrêté en 2013 à Ber</w:t>
      </w:r>
      <w:r w:rsidR="00E02DFC">
        <w:t xml:space="preserve"> dans la</w:t>
      </w:r>
      <w:r w:rsidR="00983168" w:rsidRPr="00C159F8">
        <w:t xml:space="preserve"> région de Tombouctou) était un mineur</w:t>
      </w:r>
      <w:r w:rsidR="00A7638D">
        <w:t>;</w:t>
      </w:r>
      <w:r w:rsidR="00983168" w:rsidRPr="00C159F8">
        <w:t xml:space="preserve"> </w:t>
      </w:r>
      <w:r w:rsidR="00A7638D">
        <w:t xml:space="preserve">il a été </w:t>
      </w:r>
      <w:r w:rsidR="00983168" w:rsidRPr="00C159F8">
        <w:t>libéré le 15</w:t>
      </w:r>
      <w:r w:rsidR="00A7638D">
        <w:t> </w:t>
      </w:r>
      <w:r w:rsidR="00983168" w:rsidRPr="00C159F8">
        <w:t xml:space="preserve">juillet 2014 dans le cadre des mesures de </w:t>
      </w:r>
      <w:r w:rsidR="00983168" w:rsidRPr="00431EE6">
        <w:t xml:space="preserve">confiance de </w:t>
      </w:r>
      <w:r w:rsidR="00E15E3C" w:rsidRPr="00431EE6">
        <w:t>l’accord</w:t>
      </w:r>
      <w:r w:rsidR="00983168" w:rsidRPr="00C159F8">
        <w:t xml:space="preserve"> d</w:t>
      </w:r>
      <w:r w:rsidR="00431EE6">
        <w:t xml:space="preserve">e </w:t>
      </w:r>
      <w:r w:rsidR="00983168" w:rsidRPr="00C159F8">
        <w:t xml:space="preserve">Ouagadougou. </w:t>
      </w:r>
      <w:r w:rsidR="00E02DFC">
        <w:t>I</w:t>
      </w:r>
      <w:r w:rsidR="00983168" w:rsidRPr="00C159F8">
        <w:t>l est important de noter que le prévenu mineur a</w:t>
      </w:r>
      <w:r w:rsidR="00E02DFC">
        <w:t>vait</w:t>
      </w:r>
      <w:r w:rsidR="00983168" w:rsidRPr="00C159F8">
        <w:t xml:space="preserve"> été condamné à la p</w:t>
      </w:r>
      <w:r w:rsidR="007060FA" w:rsidRPr="00C159F8">
        <w:t>eine de mort. Cependant</w:t>
      </w:r>
      <w:r w:rsidR="00E02DFC">
        <w:t>,</w:t>
      </w:r>
      <w:r w:rsidR="007060FA" w:rsidRPr="00C159F8">
        <w:t xml:space="preserve"> le Mali</w:t>
      </w:r>
      <w:r w:rsidR="00983168" w:rsidRPr="00C159F8">
        <w:t xml:space="preserve"> a ratifié </w:t>
      </w:r>
      <w:r w:rsidR="00983168" w:rsidRPr="00E90D12">
        <w:t>plusieurs conventions</w:t>
      </w:r>
      <w:r w:rsidR="007060FA" w:rsidRPr="00E90D12">
        <w:rPr>
          <w:rStyle w:val="FootnoteReference"/>
        </w:rPr>
        <w:footnoteReference w:id="2"/>
      </w:r>
      <w:r w:rsidR="00B91530" w:rsidRPr="00E90D12">
        <w:t xml:space="preserve"> </w:t>
      </w:r>
      <w:r w:rsidR="00983168" w:rsidRPr="00E90D12">
        <w:t>qui interdisent que la peine de mort soit appliquée et observe</w:t>
      </w:r>
      <w:r w:rsidR="00E02DFC" w:rsidRPr="00E90D12">
        <w:t>, depuis 2002,</w:t>
      </w:r>
      <w:r w:rsidR="00983168" w:rsidRPr="00E90D12">
        <w:t xml:space="preserve"> un</w:t>
      </w:r>
      <w:r w:rsidR="00983168" w:rsidRPr="00C159F8">
        <w:t xml:space="preserve"> </w:t>
      </w:r>
      <w:r w:rsidR="00983168" w:rsidRPr="008F522F">
        <w:t xml:space="preserve">moratoire </w:t>
      </w:r>
      <w:r w:rsidR="008F522F" w:rsidRPr="008F522F">
        <w:t>s</w:t>
      </w:r>
      <w:r w:rsidR="00E15E3C" w:rsidRPr="008F522F">
        <w:t>ur</w:t>
      </w:r>
      <w:r w:rsidR="00983168" w:rsidRPr="008F522F">
        <w:t xml:space="preserve"> l’application de la peine de mort et aucune exécution n’a été o</w:t>
      </w:r>
      <w:r w:rsidR="00983168" w:rsidRPr="00C159F8">
        <w:t>rdonnée depuis 1984.</w:t>
      </w:r>
    </w:p>
    <w:p w:rsidR="00983168" w:rsidRPr="00FC605C" w:rsidRDefault="00FC605C" w:rsidP="00FC605C">
      <w:pPr>
        <w:kinsoku w:val="0"/>
        <w:overflowPunct w:val="0"/>
        <w:autoSpaceDE w:val="0"/>
        <w:autoSpaceDN w:val="0"/>
        <w:adjustRightInd w:val="0"/>
        <w:snapToGrid w:val="0"/>
        <w:spacing w:after="120"/>
        <w:ind w:left="1134" w:right="1134"/>
        <w:jc w:val="both"/>
        <w:rPr>
          <w:bCs/>
          <w:lang w:val="fr-FR"/>
        </w:rPr>
      </w:pPr>
      <w:r w:rsidRPr="00C159F8">
        <w:rPr>
          <w:bCs/>
          <w:lang w:val="fr-FR"/>
        </w:rPr>
        <w:t>27.</w:t>
      </w:r>
      <w:r w:rsidRPr="00C159F8">
        <w:rPr>
          <w:bCs/>
          <w:lang w:val="fr-FR"/>
        </w:rPr>
        <w:tab/>
      </w:r>
      <w:r w:rsidR="00E02DFC">
        <w:t xml:space="preserve">Dans le cadre </w:t>
      </w:r>
      <w:r w:rsidR="00E02DFC" w:rsidRPr="00C159F8">
        <w:t>du processus de paix</w:t>
      </w:r>
      <w:r w:rsidR="00E02DFC">
        <w:t>, l</w:t>
      </w:r>
      <w:r w:rsidR="00983168" w:rsidRPr="00C159F8">
        <w:t>e Gouvernement malien a procédé à des libérations politiques de détenus</w:t>
      </w:r>
      <w:r w:rsidR="00E554B8">
        <w:t xml:space="preserve"> </w:t>
      </w:r>
      <w:r w:rsidR="00983168" w:rsidRPr="00C159F8">
        <w:t>dont 3 en avril, 7 en juin, 23 en juillet et 31 en septembre. L’Expert indépendant salue la mise en place</w:t>
      </w:r>
      <w:r w:rsidR="00C60108">
        <w:t>,</w:t>
      </w:r>
      <w:r w:rsidR="00983168" w:rsidRPr="00C159F8">
        <w:t xml:space="preserve"> en octobre 2015</w:t>
      </w:r>
      <w:r w:rsidR="00C60108">
        <w:t>,</w:t>
      </w:r>
      <w:r w:rsidR="00983168" w:rsidRPr="00C159F8">
        <w:t xml:space="preserve"> d’une commission ad hoc </w:t>
      </w:r>
      <w:r w:rsidR="00E02DFC">
        <w:t xml:space="preserve">en vue </w:t>
      </w:r>
      <w:r w:rsidR="00983168" w:rsidRPr="00C159F8">
        <w:t xml:space="preserve">d’identifier et </w:t>
      </w:r>
      <w:r w:rsidR="00E02DFC">
        <w:t>d’</w:t>
      </w:r>
      <w:r w:rsidR="00983168" w:rsidRPr="00C159F8">
        <w:t xml:space="preserve">élaborer la liste des détenus </w:t>
      </w:r>
      <w:r w:rsidR="00E15E3C" w:rsidRPr="006E51CE">
        <w:t>susceptibles</w:t>
      </w:r>
      <w:r w:rsidR="00983168" w:rsidRPr="00996DA3">
        <w:t xml:space="preserve"> de bénéficier des mesures de confiance </w:t>
      </w:r>
      <w:r w:rsidR="00E15E3C" w:rsidRPr="00996DA3">
        <w:t xml:space="preserve">et </w:t>
      </w:r>
      <w:r w:rsidR="00C60108" w:rsidRPr="009A0948">
        <w:t>d’</w:t>
      </w:r>
      <w:r w:rsidR="00E15E3C" w:rsidRPr="006E51CE">
        <w:t>ex</w:t>
      </w:r>
      <w:r w:rsidR="00983168" w:rsidRPr="00996DA3">
        <w:t xml:space="preserve">aminer de nouveau les listes des personnes réclamées par les mouvements et </w:t>
      </w:r>
      <w:r w:rsidR="00E15E3C" w:rsidRPr="00996DA3">
        <w:t>susceptibles d’être</w:t>
      </w:r>
      <w:r w:rsidR="00983168" w:rsidRPr="00996DA3">
        <w:t xml:space="preserve"> libérées. Cette commiss</w:t>
      </w:r>
      <w:r w:rsidR="00983168" w:rsidRPr="00C159F8">
        <w:t xml:space="preserve">ion devrait faire des propositions en tenant compte des listes des réserves produites par la MINUSMA, l’Ambassade de France, la Direction </w:t>
      </w:r>
      <w:r w:rsidR="005E2AD0">
        <w:t>g</w:t>
      </w:r>
      <w:r w:rsidR="00983168" w:rsidRPr="00C159F8">
        <w:t xml:space="preserve">énérale de la </w:t>
      </w:r>
      <w:r w:rsidR="005E2AD0">
        <w:t>s</w:t>
      </w:r>
      <w:r w:rsidR="00983168" w:rsidRPr="00C159F8">
        <w:t>écurité d’</w:t>
      </w:r>
      <w:r w:rsidR="005E2AD0">
        <w:t>É</w:t>
      </w:r>
      <w:r w:rsidR="00983168" w:rsidRPr="00C159F8">
        <w:t xml:space="preserve">tat et le Ministère de la </w:t>
      </w:r>
      <w:r w:rsidR="005E2AD0">
        <w:t>j</w:t>
      </w:r>
      <w:r w:rsidR="00983168" w:rsidRPr="00C159F8">
        <w:t xml:space="preserve">ustice et des </w:t>
      </w:r>
      <w:r w:rsidR="005E2AD0">
        <w:t>d</w:t>
      </w:r>
      <w:r w:rsidR="00983168" w:rsidRPr="00C159F8">
        <w:t>roits de l’</w:t>
      </w:r>
      <w:r w:rsidR="005E2AD0">
        <w:t>h</w:t>
      </w:r>
      <w:r w:rsidR="00983168" w:rsidRPr="00C159F8">
        <w:t xml:space="preserve">omme. </w:t>
      </w:r>
      <w:r w:rsidR="00633247">
        <w:t>À</w:t>
      </w:r>
      <w:r w:rsidR="00983168" w:rsidRPr="00C159F8">
        <w:t xml:space="preserve"> la conclusion de ses travaux, la </w:t>
      </w:r>
      <w:r w:rsidR="00672280">
        <w:t>c</w:t>
      </w:r>
      <w:r w:rsidR="00983168" w:rsidRPr="00C159F8">
        <w:t>ommission a constaté que sur un total de 195</w:t>
      </w:r>
      <w:r w:rsidR="003831D3">
        <w:t> </w:t>
      </w:r>
      <w:r w:rsidR="00983168" w:rsidRPr="00C159F8">
        <w:t xml:space="preserve">détenus proposés pour libération, 43 </w:t>
      </w:r>
      <w:r w:rsidR="00C67686">
        <w:t>avaie</w:t>
      </w:r>
      <w:r w:rsidR="00983168" w:rsidRPr="00C159F8">
        <w:t xml:space="preserve">nt fait l’objet de réserves </w:t>
      </w:r>
      <w:r w:rsidR="00E02DFC">
        <w:t xml:space="preserve">et </w:t>
      </w:r>
      <w:r w:rsidR="00983168" w:rsidRPr="00C159F8">
        <w:t>152</w:t>
      </w:r>
      <w:r w:rsidR="003831D3">
        <w:t> </w:t>
      </w:r>
      <w:r w:rsidR="00C67686">
        <w:t xml:space="preserve">étaient </w:t>
      </w:r>
      <w:r w:rsidR="00983168" w:rsidRPr="00C159F8">
        <w:t>susceptibles d’être libérés.</w:t>
      </w:r>
      <w:r w:rsidR="00E554B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28.</w:t>
      </w:r>
      <w:r w:rsidRPr="00C159F8">
        <w:rPr>
          <w:bCs/>
        </w:rPr>
        <w:tab/>
      </w:r>
      <w:r w:rsidR="00983168" w:rsidRPr="00C159F8">
        <w:t xml:space="preserve">L’Expert </w:t>
      </w:r>
      <w:r w:rsidR="009207D9" w:rsidRPr="00C159F8">
        <w:t xml:space="preserve">indépendant </w:t>
      </w:r>
      <w:r w:rsidR="00983168" w:rsidRPr="00C159F8">
        <w:t>souligne que toute mesure qui équivaudrait de facto à une amnistie serait contraire au droit international et viol</w:t>
      </w:r>
      <w:r w:rsidR="00E02DFC">
        <w:t xml:space="preserve">erait </w:t>
      </w:r>
      <w:r w:rsidR="00983168" w:rsidRPr="00C159F8">
        <w:t>l</w:t>
      </w:r>
      <w:r w:rsidR="00E554B8">
        <w:t>’</w:t>
      </w:r>
      <w:r w:rsidR="00983168" w:rsidRPr="00C159F8">
        <w:t xml:space="preserve">engagement pris par les parties à </w:t>
      </w:r>
      <w:r w:rsidR="00E15E3C" w:rsidRPr="006E51CE">
        <w:t xml:space="preserve">l’Accord </w:t>
      </w:r>
      <w:r w:rsidR="001109AC" w:rsidRPr="009A0948">
        <w:t xml:space="preserve">pour la </w:t>
      </w:r>
      <w:r w:rsidR="00983168" w:rsidRPr="00996DA3">
        <w:t>paix</w:t>
      </w:r>
      <w:r w:rsidR="00983168" w:rsidRPr="00C159F8">
        <w:t xml:space="preserve"> et </w:t>
      </w:r>
      <w:r w:rsidR="001109AC">
        <w:t>la</w:t>
      </w:r>
      <w:r w:rsidR="00983168" w:rsidRPr="00C159F8">
        <w:t xml:space="preserve"> réconciliation. Il a été profondément préoccupé par la libération</w:t>
      </w:r>
      <w:r w:rsidR="005C53B6">
        <w:t>,</w:t>
      </w:r>
      <w:r w:rsidR="00983168" w:rsidRPr="00C159F8">
        <w:t xml:space="preserve"> en juillet 2015</w:t>
      </w:r>
      <w:r w:rsidR="005C53B6" w:rsidRPr="00E90D12">
        <w:t>,</w:t>
      </w:r>
      <w:r w:rsidR="00983168" w:rsidRPr="00E90D12">
        <w:t xml:space="preserve"> </w:t>
      </w:r>
      <w:r w:rsidR="00E15E3C" w:rsidRPr="00E90D12">
        <w:t>de détenus soupçonnés ou formellement accusés d’implication</w:t>
      </w:r>
      <w:r w:rsidR="00983168" w:rsidRPr="00E90D12">
        <w:t xml:space="preserve"> dans de</w:t>
      </w:r>
      <w:r w:rsidR="00E02DFC" w:rsidRPr="00E90D12">
        <w:t>s</w:t>
      </w:r>
      <w:r w:rsidR="00983168" w:rsidRPr="00E90D12">
        <w:t xml:space="preserve"> crimes graves, y compris </w:t>
      </w:r>
      <w:r w:rsidR="00E02DFC" w:rsidRPr="00E90D12">
        <w:t>l</w:t>
      </w:r>
      <w:r w:rsidR="00983168" w:rsidRPr="00E90D12">
        <w:t xml:space="preserve">es crimes de guerre, les actes terroristes et les violations flagrantes des droits humains. De </w:t>
      </w:r>
      <w:r w:rsidR="00E15E3C" w:rsidRPr="00E90D12">
        <w:t>telles libérations</w:t>
      </w:r>
      <w:r w:rsidR="00E02DFC" w:rsidRPr="00E90D12">
        <w:t xml:space="preserve"> </w:t>
      </w:r>
      <w:r w:rsidR="00983168" w:rsidRPr="00E90D12">
        <w:t xml:space="preserve">ont un impact négatif sur la lutte contre l’impunité et l’Expert </w:t>
      </w:r>
      <w:r w:rsidR="009207D9" w:rsidRPr="00E90D12">
        <w:t xml:space="preserve">indépendant </w:t>
      </w:r>
      <w:r w:rsidR="00983168" w:rsidRPr="00E90D12">
        <w:t>entend souligner l</w:t>
      </w:r>
      <w:r w:rsidR="00E554B8" w:rsidRPr="00E90D12">
        <w:t>’</w:t>
      </w:r>
      <w:r w:rsidR="00983168" w:rsidRPr="00E90D12">
        <w:t>importance de lutter contre l</w:t>
      </w:r>
      <w:r w:rsidR="00E554B8" w:rsidRPr="00E90D12">
        <w:t>’</w:t>
      </w:r>
      <w:r w:rsidR="00983168" w:rsidRPr="00E90D12">
        <w:t>impunité et la nécessité d</w:t>
      </w:r>
      <w:r w:rsidR="00E554B8" w:rsidRPr="00E90D12">
        <w:t>’</w:t>
      </w:r>
      <w:r w:rsidR="00983168" w:rsidRPr="00E90D12">
        <w:t xml:space="preserve">enquêter </w:t>
      </w:r>
      <w:r w:rsidR="00E02DFC" w:rsidRPr="00E90D12">
        <w:t xml:space="preserve">sur </w:t>
      </w:r>
      <w:r w:rsidR="00983168" w:rsidRPr="00E90D12">
        <w:t>les violations flagrantes des droits de l</w:t>
      </w:r>
      <w:r w:rsidR="00E554B8" w:rsidRPr="00E90D12">
        <w:t>’</w:t>
      </w:r>
      <w:r w:rsidR="00983168" w:rsidRPr="00E90D12">
        <w:t xml:space="preserve">homme </w:t>
      </w:r>
      <w:r w:rsidR="00E15E3C" w:rsidRPr="00E90D12">
        <w:t>en vue d’établir les responsabilités et de poursuivre les auteurs de tels actes</w:t>
      </w:r>
      <w:r w:rsidR="00983168" w:rsidRPr="00C159F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29.</w:t>
      </w:r>
      <w:r w:rsidRPr="00C159F8">
        <w:rPr>
          <w:bCs/>
        </w:rPr>
        <w:tab/>
      </w:r>
      <w:r w:rsidR="009A4AD7">
        <w:t>À</w:t>
      </w:r>
      <w:r w:rsidR="00983168" w:rsidRPr="00C159F8">
        <w:t xml:space="preserve"> ce propos</w:t>
      </w:r>
      <w:r w:rsidR="005C53B6">
        <w:t>,</w:t>
      </w:r>
      <w:r w:rsidR="00983168" w:rsidRPr="00C159F8">
        <w:t xml:space="preserve"> l’Expert </w:t>
      </w:r>
      <w:r w:rsidR="009207D9" w:rsidRPr="00C159F8">
        <w:t xml:space="preserve">indépendant </w:t>
      </w:r>
      <w:r w:rsidR="00983168" w:rsidRPr="00C159F8">
        <w:t>est préoccupé par le fait qu’aucune enquête judiciaire n’a été ouverte dans le dossier de 14 victimes qui se sont constituées</w:t>
      </w:r>
      <w:r w:rsidR="00E554B8">
        <w:t xml:space="preserve"> </w:t>
      </w:r>
      <w:r w:rsidR="00983168" w:rsidRPr="00C159F8">
        <w:t xml:space="preserve">partie civile contre </w:t>
      </w:r>
      <w:r w:rsidR="00E15E3C" w:rsidRPr="007571A1">
        <w:t xml:space="preserve">Houka </w:t>
      </w:r>
      <w:r w:rsidR="008F522F" w:rsidRPr="009A0948">
        <w:t>H</w:t>
      </w:r>
      <w:r w:rsidR="00E15E3C" w:rsidRPr="007571A1">
        <w:t>ouka</w:t>
      </w:r>
      <w:r w:rsidR="00983168" w:rsidRPr="00C159F8">
        <w:t xml:space="preserve"> pour plusieurs violations des droits de l’homme</w:t>
      </w:r>
      <w:r w:rsidR="005C53B6">
        <w:t>,</w:t>
      </w:r>
      <w:r w:rsidR="00983168" w:rsidRPr="00C159F8">
        <w:t xml:space="preserve"> notamment amputation, viol, traitements cruels, inhumains et/ou dégradants. Il note que l</w:t>
      </w:r>
      <w:r w:rsidR="0085537A">
        <w:t xml:space="preserve">’auteur </w:t>
      </w:r>
      <w:r w:rsidR="00983168" w:rsidRPr="00C159F8">
        <w:t xml:space="preserve">présumé </w:t>
      </w:r>
      <w:r w:rsidR="0085537A">
        <w:t xml:space="preserve">de ces actes </w:t>
      </w:r>
      <w:r w:rsidR="00983168" w:rsidRPr="00C159F8">
        <w:t>a été libéré le 15 août 2014 dans le cadre de négociations politiques sans que les victimes n</w:t>
      </w:r>
      <w:r w:rsidR="0085537A">
        <w:t>’en</w:t>
      </w:r>
      <w:r w:rsidR="00983168" w:rsidRPr="00C159F8">
        <w:t xml:space="preserve"> soient informées.</w:t>
      </w:r>
      <w:r w:rsidR="00E554B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30.</w:t>
      </w:r>
      <w:r w:rsidRPr="00C159F8">
        <w:rPr>
          <w:bCs/>
        </w:rPr>
        <w:tab/>
      </w:r>
      <w:r w:rsidR="00983168" w:rsidRPr="00C159F8">
        <w:t xml:space="preserve">Le système de justice ne fonctionne pas comme il </w:t>
      </w:r>
      <w:r w:rsidR="0085537A">
        <w:t>devrait</w:t>
      </w:r>
      <w:r w:rsidR="00983168" w:rsidRPr="00C159F8">
        <w:t>.</w:t>
      </w:r>
      <w:r w:rsidR="00E554B8">
        <w:t xml:space="preserve"> </w:t>
      </w:r>
      <w:r w:rsidR="00983168" w:rsidRPr="00C159F8">
        <w:t xml:space="preserve">Les cas de violations des droits de l’homme </w:t>
      </w:r>
      <w:r w:rsidR="00121552">
        <w:t>enregistrés</w:t>
      </w:r>
      <w:r w:rsidR="00983168" w:rsidRPr="00C159F8">
        <w:t xml:space="preserve"> et rapportés aux </w:t>
      </w:r>
      <w:r w:rsidR="00A53E14">
        <w:t>t</w:t>
      </w:r>
      <w:r w:rsidR="00983168" w:rsidRPr="00C159F8">
        <w:t xml:space="preserve">ribunaux demeurent sans suite ou connaissent des lenteurs en ce qui concerne l’ouverture d’enquêtes judiciaires. </w:t>
      </w:r>
      <w:r w:rsidR="00065DBF">
        <w:t>À</w:t>
      </w:r>
      <w:r w:rsidR="00983168" w:rsidRPr="00C159F8">
        <w:t xml:space="preserve"> titre </w:t>
      </w:r>
      <w:r w:rsidR="0085537A">
        <w:t>d’exemple</w:t>
      </w:r>
      <w:r w:rsidR="00983168" w:rsidRPr="00C159F8">
        <w:t>, le dossier de 125</w:t>
      </w:r>
      <w:r w:rsidR="003831D3">
        <w:t> </w:t>
      </w:r>
      <w:r w:rsidR="00983168" w:rsidRPr="00C159F8">
        <w:t>victimes, dont 40</w:t>
      </w:r>
      <w:r w:rsidR="003831D3">
        <w:t> </w:t>
      </w:r>
      <w:r w:rsidR="005C53B6">
        <w:t xml:space="preserve">personnes ayant survécu à </w:t>
      </w:r>
      <w:r w:rsidR="00983168" w:rsidRPr="00C159F8">
        <w:t>de</w:t>
      </w:r>
      <w:r w:rsidR="005C53B6">
        <w:t>s</w:t>
      </w:r>
      <w:r w:rsidR="00983168" w:rsidRPr="00C159F8">
        <w:t xml:space="preserve"> violences sexuelles à Tombouctou</w:t>
      </w:r>
      <w:r w:rsidR="005C53B6">
        <w:t>,</w:t>
      </w:r>
      <w:r w:rsidR="00983168" w:rsidRPr="00C159F8">
        <w:t xml:space="preserve"> </w:t>
      </w:r>
      <w:r w:rsidR="0085537A">
        <w:t>pour lesquel</w:t>
      </w:r>
      <w:r w:rsidR="005C53B6">
        <w:t>le</w:t>
      </w:r>
      <w:r w:rsidR="0085537A">
        <w:t xml:space="preserve">s </w:t>
      </w:r>
      <w:r w:rsidR="00983168" w:rsidRPr="00C159F8">
        <w:t xml:space="preserve">une association de victimes a déposé en novembre 2014 des plaintes auprès du </w:t>
      </w:r>
      <w:r w:rsidR="00A53E14">
        <w:t>p</w:t>
      </w:r>
      <w:r w:rsidR="00983168" w:rsidRPr="00C159F8">
        <w:t xml:space="preserve">arquet de Tombouctou, n’a pas encore connu de progrès. De même, </w:t>
      </w:r>
      <w:r w:rsidR="0085537A">
        <w:t xml:space="preserve">aucune action publique n’a été déclenchée par les autorités </w:t>
      </w:r>
      <w:r w:rsidR="0085537A" w:rsidRPr="005C53B6">
        <w:t xml:space="preserve">judiciaires s’agissant </w:t>
      </w:r>
      <w:r w:rsidR="00983168" w:rsidRPr="005C53B6">
        <w:t xml:space="preserve">des violations des droits de l’homme </w:t>
      </w:r>
      <w:r w:rsidR="005C53B6" w:rsidRPr="009A0948">
        <w:t xml:space="preserve">représentant des </w:t>
      </w:r>
      <w:r w:rsidR="00983168" w:rsidRPr="005C53B6">
        <w:t xml:space="preserve">cas emblématiques </w:t>
      </w:r>
      <w:r w:rsidR="005C53B6" w:rsidRPr="005C53B6">
        <w:t>qui</w:t>
      </w:r>
      <w:r w:rsidR="005C53B6">
        <w:t xml:space="preserve"> n’ont </w:t>
      </w:r>
      <w:r w:rsidR="00983168" w:rsidRPr="00C159F8">
        <w:t>pas fait l’objet de plaintes.</w:t>
      </w:r>
      <w:r w:rsidR="00E554B8">
        <w:t xml:space="preserve"> </w:t>
      </w:r>
      <w:r w:rsidR="0085537A">
        <w:t>U</w:t>
      </w:r>
      <w:r w:rsidR="00983168" w:rsidRPr="00C159F8">
        <w:t xml:space="preserve">ne stratégie claire de poursuites devrait être élaborée </w:t>
      </w:r>
      <w:r w:rsidR="0085537A">
        <w:t xml:space="preserve">pour établir des </w:t>
      </w:r>
      <w:r w:rsidR="0085537A" w:rsidRPr="009F6340">
        <w:t xml:space="preserve">priorités </w:t>
      </w:r>
      <w:r w:rsidR="00983168" w:rsidRPr="009F6340">
        <w:t xml:space="preserve">et </w:t>
      </w:r>
      <w:r w:rsidR="00E15E3C" w:rsidRPr="009F6340">
        <w:t xml:space="preserve">traiter </w:t>
      </w:r>
      <w:r w:rsidR="009F6340" w:rsidRPr="009A0948">
        <w:t>c</w:t>
      </w:r>
      <w:r w:rsidR="00E15E3C" w:rsidRPr="00E90D12">
        <w:t>es cas</w:t>
      </w:r>
      <w:r w:rsidR="00983168" w:rsidRPr="00E90D12">
        <w:t>.</w:t>
      </w:r>
      <w:r w:rsidR="00E554B8" w:rsidRPr="00E90D12">
        <w:t xml:space="preserve"> </w:t>
      </w:r>
      <w:r w:rsidR="00983168" w:rsidRPr="00E90D12">
        <w:t>Pour les violations des droits de l’homme commises dans le cadre de la crise</w:t>
      </w:r>
      <w:r w:rsidR="00D7645F" w:rsidRPr="00E90D12">
        <w:t xml:space="preserve"> dans</w:t>
      </w:r>
      <w:r w:rsidR="00D7645F">
        <w:t xml:space="preserve"> le nord du pays</w:t>
      </w:r>
      <w:r w:rsidR="00983168" w:rsidRPr="00C159F8">
        <w:t xml:space="preserve">, les </w:t>
      </w:r>
      <w:r w:rsidR="00633247" w:rsidRPr="00C159F8">
        <w:t>autorités</w:t>
      </w:r>
      <w:r w:rsidR="00983168" w:rsidRPr="00C159F8">
        <w:t xml:space="preserve"> compétentes </w:t>
      </w:r>
      <w:r w:rsidR="0085537A">
        <w:t xml:space="preserve">devraient </w:t>
      </w:r>
      <w:r w:rsidR="00983168" w:rsidRPr="00C159F8">
        <w:t xml:space="preserve">permettre l’attribution de cette compétence </w:t>
      </w:r>
      <w:r w:rsidR="00D51314">
        <w:t>à</w:t>
      </w:r>
      <w:r w:rsidR="00983168" w:rsidRPr="00C159F8">
        <w:t xml:space="preserve"> une seule entité judiciaire.</w:t>
      </w:r>
      <w:r w:rsidR="00E554B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31.</w:t>
      </w:r>
      <w:r w:rsidRPr="00C159F8">
        <w:rPr>
          <w:bCs/>
        </w:rPr>
        <w:tab/>
      </w:r>
      <w:r w:rsidR="00983168" w:rsidRPr="00C159F8">
        <w:t xml:space="preserve">La capacité effective des tribunaux régionaux est sérieusement entravée par un manque de ressources matérielles et humaines. </w:t>
      </w:r>
      <w:r w:rsidR="0085537A">
        <w:t>Ainsi</w:t>
      </w:r>
      <w:r w:rsidR="00983168" w:rsidRPr="00C159F8">
        <w:t xml:space="preserve">, dans la région de Gao, le </w:t>
      </w:r>
      <w:r w:rsidR="005C07B0">
        <w:t>t</w:t>
      </w:r>
      <w:r w:rsidR="00983168" w:rsidRPr="00C159F8">
        <w:t xml:space="preserve">ribunal de </w:t>
      </w:r>
      <w:r w:rsidR="005C07B0">
        <w:t>p</w:t>
      </w:r>
      <w:r w:rsidR="00983168" w:rsidRPr="00C159F8">
        <w:t xml:space="preserve">remière </w:t>
      </w:r>
      <w:r w:rsidR="005C07B0">
        <w:t>i</w:t>
      </w:r>
      <w:r w:rsidR="00983168" w:rsidRPr="00C159F8">
        <w:t>nstance ne compte</w:t>
      </w:r>
      <w:r w:rsidR="0085537A">
        <w:t>,</w:t>
      </w:r>
      <w:r w:rsidR="00983168" w:rsidRPr="00C159F8">
        <w:t xml:space="preserve"> en termes de présence effective</w:t>
      </w:r>
      <w:r w:rsidR="0085537A">
        <w:t>,</w:t>
      </w:r>
      <w:r w:rsidR="00983168" w:rsidRPr="00C159F8">
        <w:t xml:space="preserve"> qu’un </w:t>
      </w:r>
      <w:r w:rsidR="009F6340">
        <w:t>p</w:t>
      </w:r>
      <w:r w:rsidR="00983168" w:rsidRPr="00C159F8">
        <w:t xml:space="preserve">rocureur de la République, le </w:t>
      </w:r>
      <w:r w:rsidR="009F6340">
        <w:t>p</w:t>
      </w:r>
      <w:r w:rsidR="00983168" w:rsidRPr="00C159F8">
        <w:t>résident du tribunal et le juge d</w:t>
      </w:r>
      <w:r w:rsidR="00E554B8">
        <w:t>’</w:t>
      </w:r>
      <w:r w:rsidR="00983168" w:rsidRPr="00C159F8">
        <w:t xml:space="preserve">instruction. </w:t>
      </w:r>
      <w:r w:rsidR="0085537A">
        <w:t xml:space="preserve">Quant au </w:t>
      </w:r>
      <w:r w:rsidR="00983168" w:rsidRPr="00C159F8">
        <w:t>tribunal de Tombouctou</w:t>
      </w:r>
      <w:r w:rsidR="0085537A">
        <w:t>, il ne</w:t>
      </w:r>
      <w:r w:rsidR="00983168" w:rsidRPr="00C159F8">
        <w:t xml:space="preserve"> compte </w:t>
      </w:r>
      <w:r w:rsidR="0085537A">
        <w:t>qu’</w:t>
      </w:r>
      <w:r w:rsidR="00983168" w:rsidRPr="00C159F8">
        <w:t xml:space="preserve">un </w:t>
      </w:r>
      <w:r w:rsidR="009F6340">
        <w:t>p</w:t>
      </w:r>
      <w:r w:rsidR="00983168" w:rsidRPr="00C159F8">
        <w:t xml:space="preserve">résident, un juge et un </w:t>
      </w:r>
      <w:r w:rsidR="009F6340">
        <w:t>p</w:t>
      </w:r>
      <w:r w:rsidR="00983168" w:rsidRPr="00C159F8">
        <w:t xml:space="preserve">rocureur. </w:t>
      </w:r>
      <w:r w:rsidR="00065DBF">
        <w:t>À</w:t>
      </w:r>
      <w:r w:rsidR="00983168" w:rsidRPr="00C159F8">
        <w:t xml:space="preserve"> Mopti</w:t>
      </w:r>
      <w:r w:rsidR="005C07B0">
        <w:t>,</w:t>
      </w:r>
      <w:r w:rsidR="00983168" w:rsidRPr="00C159F8">
        <w:t xml:space="preserve"> </w:t>
      </w:r>
      <w:r w:rsidR="0085537A">
        <w:t xml:space="preserve">les </w:t>
      </w:r>
      <w:r w:rsidR="00983168" w:rsidRPr="00C159F8">
        <w:t xml:space="preserve">zones </w:t>
      </w:r>
      <w:r w:rsidR="0085537A">
        <w:t xml:space="preserve">de Tenenkou et Youwarou </w:t>
      </w:r>
      <w:r w:rsidR="00983168" w:rsidRPr="00C159F8">
        <w:t>n’ont plus de représentants de la justice depuis janvier 2015</w:t>
      </w:r>
      <w:r w:rsidR="0085537A">
        <w:t xml:space="preserve"> </w:t>
      </w:r>
      <w:r w:rsidR="00983168" w:rsidRPr="00C159F8">
        <w:t>en raison de l’insécurité qui règne</w:t>
      </w:r>
      <w:r w:rsidR="0085537A">
        <w:t xml:space="preserve"> dans ces deux zones</w:t>
      </w:r>
      <w:r w:rsidR="00983168" w:rsidRPr="00C159F8">
        <w:t xml:space="preserve">. Une ordonnance émise par la </w:t>
      </w:r>
      <w:r w:rsidR="005C07B0">
        <w:t>c</w:t>
      </w:r>
      <w:r w:rsidR="00983168" w:rsidRPr="00C159F8">
        <w:t>our d’appel de Mopti leur permet d’exercer depuis la ville, mais cela n’est pas satisfaisant, plus particulièrement en matière pénale. Seule la gendarmerie est présente et dresse des procès-verbaux, qui sont ensuite transmis aux juges dans des délais plus ou moins long</w:t>
      </w:r>
      <w:r w:rsidR="0085537A">
        <w:t>s</w:t>
      </w:r>
      <w:r w:rsidR="00983168" w:rsidRPr="00C159F8">
        <w:t xml:space="preserve"> (un individu rencontré par la Division avait passé 40 jours au poste de gendarmerie de Tenenkou avant son transfert à Mopti).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32.</w:t>
      </w:r>
      <w:r w:rsidRPr="00C159F8">
        <w:rPr>
          <w:bCs/>
        </w:rPr>
        <w:tab/>
      </w:r>
      <w:r w:rsidR="00983168" w:rsidRPr="00C159F8">
        <w:t>Lors de sa rencontre avec le Ministre de la justice et des droits de l’homme</w:t>
      </w:r>
      <w:r w:rsidR="0085537A">
        <w:t>,</w:t>
      </w:r>
      <w:r w:rsidR="00983168" w:rsidRPr="00C159F8">
        <w:t xml:space="preserve"> l’Expert indépendant a été informé que des initiatives </w:t>
      </w:r>
      <w:r w:rsidR="007B386F">
        <w:t>étaient</w:t>
      </w:r>
      <w:r w:rsidR="00983168" w:rsidRPr="00C159F8">
        <w:t xml:space="preserve"> en cours </w:t>
      </w:r>
      <w:r w:rsidR="0085537A" w:rsidRPr="00C159F8">
        <w:t xml:space="preserve">pour </w:t>
      </w:r>
      <w:r w:rsidR="0085537A">
        <w:t xml:space="preserve">lutter contre </w:t>
      </w:r>
      <w:r w:rsidR="0085537A" w:rsidRPr="00C159F8">
        <w:t xml:space="preserve">ce problème </w:t>
      </w:r>
      <w:r w:rsidR="00983168" w:rsidRPr="00C159F8">
        <w:t>et des centres mobiles d’écoute devraient être opérationnels rapidement.</w:t>
      </w:r>
      <w:r w:rsidR="00E554B8">
        <w:t xml:space="preserve"> </w:t>
      </w:r>
      <w:r w:rsidR="00983168" w:rsidRPr="00C159F8">
        <w:t xml:space="preserve">L’Expert </w:t>
      </w:r>
      <w:r w:rsidR="009207D9" w:rsidRPr="00C159F8">
        <w:t xml:space="preserve">indépendant </w:t>
      </w:r>
      <w:r w:rsidR="00983168" w:rsidRPr="00C159F8">
        <w:t xml:space="preserve">rappelle que la législation pénale en vigueur au Mali </w:t>
      </w:r>
      <w:r w:rsidR="0085537A">
        <w:t>prévoit</w:t>
      </w:r>
      <w:r w:rsidR="0085537A" w:rsidRPr="00C159F8">
        <w:t xml:space="preserve"> </w:t>
      </w:r>
      <w:r w:rsidR="00983168" w:rsidRPr="00C159F8">
        <w:t xml:space="preserve">d’importantes garanties mais </w:t>
      </w:r>
      <w:r w:rsidR="0085537A">
        <w:t xml:space="preserve">que </w:t>
      </w:r>
      <w:r w:rsidR="00983168" w:rsidRPr="00C159F8">
        <w:t>le cadre institutionnel n’offr</w:t>
      </w:r>
      <w:r w:rsidR="001C2C11">
        <w:t xml:space="preserve">e pas </w:t>
      </w:r>
      <w:r w:rsidR="00983168" w:rsidRPr="00C159F8">
        <w:t>des garanties suffisantes pour la mise en œuvre de ces garanties fondamentales.</w:t>
      </w:r>
      <w:r w:rsidR="00E554B8">
        <w:t xml:space="preserve"> </w:t>
      </w:r>
      <w:r w:rsidR="00983168" w:rsidRPr="00C159F8">
        <w:t>Il incombe à l’</w:t>
      </w:r>
      <w:r w:rsidR="00633247" w:rsidRPr="00C159F8">
        <w:t>État</w:t>
      </w:r>
      <w:r w:rsidR="00983168" w:rsidRPr="00C159F8">
        <w:t xml:space="preserve"> de fournir </w:t>
      </w:r>
      <w:r w:rsidR="0083444C">
        <w:t>l</w:t>
      </w:r>
      <w:r w:rsidR="00983168" w:rsidRPr="00C159F8">
        <w:t xml:space="preserve">es ressources nécessaires.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33.</w:t>
      </w:r>
      <w:r w:rsidRPr="00C159F8">
        <w:rPr>
          <w:bCs/>
        </w:rPr>
        <w:tab/>
      </w:r>
      <w:r w:rsidR="00983168" w:rsidRPr="00C159F8">
        <w:t>Le 4 ao</w:t>
      </w:r>
      <w:r w:rsidR="003831D3">
        <w:t>û</w:t>
      </w:r>
      <w:r w:rsidR="00983168" w:rsidRPr="00C159F8">
        <w:t>t 2015, le président de la Commission vérité, justice et réconciliation</w:t>
      </w:r>
      <w:r w:rsidR="00E554B8">
        <w:t xml:space="preserve"> </w:t>
      </w:r>
      <w:r w:rsidR="00983168" w:rsidRPr="00C159F8">
        <w:t xml:space="preserve">a été désigné en Conseil des </w:t>
      </w:r>
      <w:r w:rsidR="005C07B0">
        <w:t>m</w:t>
      </w:r>
      <w:r w:rsidR="00983168" w:rsidRPr="00C159F8">
        <w:t>inistre</w:t>
      </w:r>
      <w:r w:rsidR="005C07B0">
        <w:t>s</w:t>
      </w:r>
      <w:r w:rsidR="00983168" w:rsidRPr="00C159F8">
        <w:t xml:space="preserve"> et les 14 autres commissaires ont été nommés par le Gouvernement</w:t>
      </w:r>
      <w:r w:rsidR="0083444C" w:rsidRPr="0083444C">
        <w:t xml:space="preserve"> </w:t>
      </w:r>
      <w:r w:rsidR="0083444C" w:rsidRPr="00C159F8">
        <w:t>le 15 octobre</w:t>
      </w:r>
      <w:r w:rsidR="00983168" w:rsidRPr="00C159F8">
        <w:t>.</w:t>
      </w:r>
      <w:r w:rsidR="00E554B8">
        <w:t xml:space="preserve"> </w:t>
      </w:r>
      <w:r w:rsidR="00983168" w:rsidRPr="00C159F8">
        <w:t>De nombreux interlocuteurs estime</w:t>
      </w:r>
      <w:r w:rsidR="0083444C">
        <w:t>nt</w:t>
      </w:r>
      <w:r w:rsidR="00983168" w:rsidRPr="00C159F8">
        <w:t xml:space="preserve"> que </w:t>
      </w:r>
      <w:r w:rsidR="002878FD" w:rsidRPr="002878FD">
        <w:t>l</w:t>
      </w:r>
      <w:r w:rsidR="00E15E3C" w:rsidRPr="002878FD">
        <w:t>a désignation</w:t>
      </w:r>
      <w:r w:rsidR="00983168" w:rsidRPr="002878FD">
        <w:t xml:space="preserve"> </w:t>
      </w:r>
      <w:r w:rsidR="002878FD" w:rsidRPr="002878FD">
        <w:t xml:space="preserve">du président de la Commission </w:t>
      </w:r>
      <w:r w:rsidR="00983168" w:rsidRPr="002878FD">
        <w:t xml:space="preserve">a été faite sans aucune consultation des groupes armés, qui sont pourtant parties à </w:t>
      </w:r>
      <w:r w:rsidR="00E15E3C" w:rsidRPr="002878FD">
        <w:t>l’Accord</w:t>
      </w:r>
      <w:r w:rsidR="00983168" w:rsidRPr="002878FD">
        <w:t xml:space="preserve"> </w:t>
      </w:r>
      <w:r w:rsidR="001E4B35" w:rsidRPr="009A0948">
        <w:t xml:space="preserve">pour la </w:t>
      </w:r>
      <w:r w:rsidR="0083444C" w:rsidRPr="002878FD">
        <w:t>p</w:t>
      </w:r>
      <w:r w:rsidR="00983168" w:rsidRPr="002878FD">
        <w:t>aix</w:t>
      </w:r>
      <w:r w:rsidR="001E4B35" w:rsidRPr="002878FD">
        <w:t xml:space="preserve"> et la réconciliation</w:t>
      </w:r>
      <w:r w:rsidR="00983168" w:rsidRPr="002878FD">
        <w:t>, ni de</w:t>
      </w:r>
      <w:r w:rsidR="00983168" w:rsidRPr="00C159F8">
        <w:t xml:space="preserve"> la société civile. La procédure de désignation de</w:t>
      </w:r>
      <w:r w:rsidR="0083444C">
        <w:t>s</w:t>
      </w:r>
      <w:r w:rsidR="00983168" w:rsidRPr="00C159F8">
        <w:t xml:space="preserve"> commissaires reste opaque </w:t>
      </w:r>
      <w:r w:rsidR="0083444C">
        <w:t>même si</w:t>
      </w:r>
      <w:r w:rsidR="00983168" w:rsidRPr="00C159F8">
        <w:t xml:space="preserve"> des correspondances </w:t>
      </w:r>
      <w:r w:rsidR="0083444C">
        <w:t>o</w:t>
      </w:r>
      <w:r w:rsidR="00983168" w:rsidRPr="00C159F8">
        <w:t>nt été soumises à la société civile, aux groupes armés et aux représentants religieux les invit</w:t>
      </w:r>
      <w:r w:rsidR="0083444C">
        <w:t>ant</w:t>
      </w:r>
      <w:r w:rsidR="00983168" w:rsidRPr="00C159F8">
        <w:t xml:space="preserve"> à soumettre de</w:t>
      </w:r>
      <w:r w:rsidR="0083444C">
        <w:t>s</w:t>
      </w:r>
      <w:r w:rsidR="00983168" w:rsidRPr="00C159F8">
        <w:t xml:space="preserve"> noms de candidats.</w:t>
      </w:r>
      <w:r w:rsidR="0083444C">
        <w:t xml:space="preserve"> Comme </w:t>
      </w:r>
      <w:r w:rsidR="00983168" w:rsidRPr="00C159F8">
        <w:t>il n’y a</w:t>
      </w:r>
      <w:r w:rsidR="0083444C">
        <w:t xml:space="preserve"> </w:t>
      </w:r>
      <w:r w:rsidR="00983168" w:rsidRPr="00C159F8">
        <w:t xml:space="preserve">pas </w:t>
      </w:r>
      <w:r w:rsidR="0083444C">
        <w:t xml:space="preserve">eu </w:t>
      </w:r>
      <w:r w:rsidR="00983168" w:rsidRPr="00C159F8">
        <w:t xml:space="preserve">de consultation nationale avant la mise en œuvre de la </w:t>
      </w:r>
      <w:r w:rsidR="009523DA">
        <w:t>C</w:t>
      </w:r>
      <w:r w:rsidR="00983168" w:rsidRPr="00C159F8">
        <w:t xml:space="preserve">ommission, </w:t>
      </w:r>
      <w:r w:rsidR="009523DA">
        <w:t>l’Expert indépendant estime qu’</w:t>
      </w:r>
      <w:r w:rsidR="00983168" w:rsidRPr="00C159F8">
        <w:t xml:space="preserve">une stratégie de communication devrait être mise en place </w:t>
      </w:r>
      <w:r w:rsidR="009523DA" w:rsidRPr="00C159F8">
        <w:t xml:space="preserve">avec la </w:t>
      </w:r>
      <w:r w:rsidR="009523DA" w:rsidRPr="00F30067">
        <w:t xml:space="preserve">population </w:t>
      </w:r>
      <w:r w:rsidR="00E15E3C" w:rsidRPr="00F30067">
        <w:t>pour engager une</w:t>
      </w:r>
      <w:r w:rsidR="00983168" w:rsidRPr="00F30067">
        <w:t xml:space="preserve"> vraie politique de sensibilisation</w:t>
      </w:r>
      <w:r w:rsidR="00983168" w:rsidRPr="00C159F8">
        <w:t xml:space="preserve">.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34.</w:t>
      </w:r>
      <w:r w:rsidRPr="007571A1">
        <w:rPr>
          <w:bCs/>
        </w:rPr>
        <w:tab/>
      </w:r>
      <w:r w:rsidR="00983168" w:rsidRPr="00C159F8">
        <w:t xml:space="preserve">L’Expert indépendant salue </w:t>
      </w:r>
      <w:r w:rsidR="00983168" w:rsidRPr="007571A1">
        <w:t xml:space="preserve">la </w:t>
      </w:r>
      <w:r w:rsidR="00E15E3C" w:rsidRPr="007571A1">
        <w:t xml:space="preserve">conférence internationale sur le rôle et la complémentarité des différents mécanismes </w:t>
      </w:r>
      <w:r w:rsidR="00431EE6" w:rsidRPr="009A0948">
        <w:t xml:space="preserve">dans le </w:t>
      </w:r>
      <w:r w:rsidR="00E15E3C" w:rsidRPr="007571A1">
        <w:t>processus de la justice transitionnelle au Mali qui s’est tenue du 29 juin au 1</w:t>
      </w:r>
      <w:r w:rsidR="00E15E3C" w:rsidRPr="00FC605C">
        <w:rPr>
          <w:vertAlign w:val="superscript"/>
        </w:rPr>
        <w:t>er</w:t>
      </w:r>
      <w:r w:rsidR="00E15E3C" w:rsidRPr="007571A1">
        <w:t xml:space="preserve"> juillet 2015 sous</w:t>
      </w:r>
      <w:r w:rsidR="00983168" w:rsidRPr="007571A1">
        <w:t xml:space="preserve"> l</w:t>
      </w:r>
      <w:r w:rsidR="00633247" w:rsidRPr="007571A1">
        <w:t>a</w:t>
      </w:r>
      <w:r w:rsidR="00983168" w:rsidRPr="007571A1">
        <w:t xml:space="preserve"> </w:t>
      </w:r>
      <w:r w:rsidR="00633247" w:rsidRPr="007571A1">
        <w:t>houlette</w:t>
      </w:r>
      <w:r w:rsidR="00983168" w:rsidRPr="007571A1">
        <w:t xml:space="preserve"> du </w:t>
      </w:r>
      <w:r w:rsidR="005C07B0" w:rsidRPr="007571A1">
        <w:t>M</w:t>
      </w:r>
      <w:r w:rsidR="00983168" w:rsidRPr="007571A1">
        <w:t xml:space="preserve">inistère de la </w:t>
      </w:r>
      <w:r w:rsidR="005C07B0" w:rsidRPr="007571A1">
        <w:t>j</w:t>
      </w:r>
      <w:r w:rsidR="00983168" w:rsidRPr="007571A1">
        <w:t>ustice et la Division des droits de l’homme</w:t>
      </w:r>
      <w:r w:rsidR="009523DA" w:rsidRPr="007571A1">
        <w:t xml:space="preserve"> de la </w:t>
      </w:r>
      <w:r w:rsidR="00983168" w:rsidRPr="007571A1">
        <w:t>MINUSMA</w:t>
      </w:r>
      <w:r w:rsidR="007B386F" w:rsidRPr="007571A1">
        <w:t>. À cette conférence</w:t>
      </w:r>
      <w:r w:rsidR="00983168" w:rsidRPr="007571A1">
        <w:t xml:space="preserve">, plusieurs recommandations ont été formulées, </w:t>
      </w:r>
      <w:r w:rsidR="00840535" w:rsidRPr="007571A1">
        <w:t xml:space="preserve">concernant </w:t>
      </w:r>
      <w:r w:rsidR="00983168" w:rsidRPr="007571A1">
        <w:t xml:space="preserve">notamment l’élaboration d’un document de stratégie nationale sur la justice transitionnelle.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35.</w:t>
      </w:r>
      <w:r w:rsidRPr="007571A1">
        <w:rPr>
          <w:bCs/>
        </w:rPr>
        <w:tab/>
      </w:r>
      <w:r w:rsidR="00983168" w:rsidRPr="007571A1">
        <w:t xml:space="preserve">L’Expert indépendant saluait dans son rapport </w:t>
      </w:r>
      <w:r w:rsidR="00662699" w:rsidRPr="009A0948">
        <w:t>précédent (A/HRC/28/83)</w:t>
      </w:r>
      <w:r w:rsidR="00983168" w:rsidRPr="007571A1">
        <w:t xml:space="preserve"> d</w:t>
      </w:r>
      <w:r w:rsidR="00662699" w:rsidRPr="007571A1">
        <w:t>ifférent</w:t>
      </w:r>
      <w:r w:rsidR="00983168" w:rsidRPr="007571A1">
        <w:t xml:space="preserve">es initiatives et le processus de refondation de la Commission nationale des droits de l’homme afin de la rendre conforme aux </w:t>
      </w:r>
      <w:r w:rsidR="00672280" w:rsidRPr="007571A1">
        <w:t>Principes concernant le statut des institutions nationales pour la promotion et la protection des droits de l’homme (P</w:t>
      </w:r>
      <w:r w:rsidR="00983168" w:rsidRPr="007571A1">
        <w:t>rincipes de Paris</w:t>
      </w:r>
      <w:r w:rsidR="00672280" w:rsidRPr="007571A1">
        <w:t>)</w:t>
      </w:r>
      <w:r w:rsidR="00983168" w:rsidRPr="007571A1">
        <w:t>.</w:t>
      </w:r>
      <w:r w:rsidR="00E554B8" w:rsidRPr="007571A1">
        <w:t xml:space="preserve"> </w:t>
      </w:r>
      <w:r w:rsidR="00983168" w:rsidRPr="007571A1">
        <w:t xml:space="preserve">Il encourage le Gouvernement </w:t>
      </w:r>
      <w:r w:rsidR="00A53E14" w:rsidRPr="007571A1">
        <w:t>m</w:t>
      </w:r>
      <w:r w:rsidR="00983168" w:rsidRPr="007571A1">
        <w:t xml:space="preserve">alien </w:t>
      </w:r>
      <w:r w:rsidR="00A53E14" w:rsidRPr="007571A1">
        <w:t xml:space="preserve">à </w:t>
      </w:r>
      <w:r w:rsidR="00983168" w:rsidRPr="007571A1">
        <w:t>faire avancer ce projet car une institution indépendante et opérationnelle pourrait être la pierre angulaire d</w:t>
      </w:r>
      <w:r w:rsidR="00E554B8" w:rsidRPr="007571A1">
        <w:t>’</w:t>
      </w:r>
      <w:r w:rsidR="00983168" w:rsidRPr="007571A1">
        <w:t xml:space="preserve">un système efficace de protection des droits </w:t>
      </w:r>
      <w:r w:rsidR="009523DA" w:rsidRPr="007571A1">
        <w:t xml:space="preserve">de l’homme au plan </w:t>
      </w:r>
      <w:r w:rsidR="00983168" w:rsidRPr="007571A1">
        <w:t>national.</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36.</w:t>
      </w:r>
      <w:r w:rsidRPr="00C159F8">
        <w:rPr>
          <w:bCs/>
        </w:rPr>
        <w:tab/>
      </w:r>
      <w:r w:rsidR="00983168" w:rsidRPr="007571A1">
        <w:t>L’Expert indépendant salue la comparution d’</w:t>
      </w:r>
      <w:r w:rsidR="00BB0E03" w:rsidRPr="007571A1">
        <w:t xml:space="preserve">un </w:t>
      </w:r>
      <w:r w:rsidR="00983168" w:rsidRPr="007571A1">
        <w:t xml:space="preserve">ancien responsable de </w:t>
      </w:r>
      <w:r w:rsidR="00E15E3C" w:rsidRPr="007571A1">
        <w:t>la police islamique du groupe terroriste Ansar Eddine, Ahmad Al Faqi Al Mahdi,</w:t>
      </w:r>
      <w:r w:rsidR="00983168" w:rsidRPr="00C159F8">
        <w:t xml:space="preserve"> devant la Cour pénale internationale. Il note qu</w:t>
      </w:r>
      <w:r w:rsidR="00BB0E03">
        <w:t xml:space="preserve">e cet homme </w:t>
      </w:r>
      <w:r w:rsidR="00983168" w:rsidRPr="00C159F8">
        <w:t xml:space="preserve">est le premier </w:t>
      </w:r>
      <w:r w:rsidR="00E15E3C" w:rsidRPr="00A244B5">
        <w:t>jihadiste</w:t>
      </w:r>
      <w:r w:rsidR="00983168" w:rsidRPr="00C159F8">
        <w:t xml:space="preserve"> jugé dans le cadre de </w:t>
      </w:r>
      <w:r w:rsidR="00E15E3C" w:rsidRPr="009A2BB7">
        <w:t>l’enquête de la juridiction international</w:t>
      </w:r>
      <w:r w:rsidR="00BB0E03" w:rsidRPr="009A2BB7">
        <w:t>e</w:t>
      </w:r>
      <w:r w:rsidR="00983168" w:rsidRPr="009A2BB7">
        <w:t>.</w:t>
      </w:r>
      <w:r w:rsidR="00983168" w:rsidRPr="00C159F8">
        <w:t xml:space="preserve"> Il est aussi le premier suspect poursuivi par la </w:t>
      </w:r>
      <w:r w:rsidR="00A53E14">
        <w:t xml:space="preserve">Cour pénale internationale </w:t>
      </w:r>
      <w:r w:rsidR="00983168" w:rsidRPr="00C159F8">
        <w:t xml:space="preserve">pour destruction d’édifices religieux et monuments historiques et l’Expert </w:t>
      </w:r>
      <w:r w:rsidR="009207D9" w:rsidRPr="00C159F8">
        <w:t xml:space="preserve">indépendant </w:t>
      </w:r>
      <w:r w:rsidR="00983168" w:rsidRPr="00C159F8">
        <w:t xml:space="preserve">voudrait voir le suspect poursuivi pour </w:t>
      </w:r>
      <w:r w:rsidR="00BB0E03">
        <w:t>l</w:t>
      </w:r>
      <w:r w:rsidR="00983168" w:rsidRPr="00C159F8">
        <w:t>es crimes qu’il aurait commis</w:t>
      </w:r>
      <w:r w:rsidR="00BB0E03">
        <w:t xml:space="preserve"> </w:t>
      </w:r>
      <w:r w:rsidR="00BB0E03" w:rsidRPr="00C159F8">
        <w:t xml:space="preserve">contre </w:t>
      </w:r>
      <w:r w:rsidR="00BB0E03">
        <w:t>d</w:t>
      </w:r>
      <w:r w:rsidR="00BB0E03" w:rsidRPr="00C159F8">
        <w:t>es civils</w:t>
      </w:r>
      <w:r w:rsidR="00983168" w:rsidRPr="00C159F8">
        <w:t>.</w:t>
      </w:r>
      <w:r w:rsidR="00E554B8">
        <w:t xml:space="preserve"> </w:t>
      </w:r>
      <w:r w:rsidR="00672280">
        <w:t>Q</w:t>
      </w:r>
      <w:r w:rsidR="00983168" w:rsidRPr="00C159F8">
        <w:t>uant à la Commission d’enquête internationale</w:t>
      </w:r>
      <w:r w:rsidR="00672280">
        <w:t>,</w:t>
      </w:r>
      <w:r w:rsidR="00983168" w:rsidRPr="00C159F8">
        <w:t xml:space="preserve"> aucune action n’est entreprise de la part des Nations Unies depuis la demande officielle du Gouvernement malien auprès du Secrétaire </w:t>
      </w:r>
      <w:r w:rsidR="00840535">
        <w:t>g</w:t>
      </w:r>
      <w:r w:rsidR="00983168" w:rsidRPr="00C159F8">
        <w:t xml:space="preserve">énéral </w:t>
      </w:r>
      <w:r w:rsidR="00840535">
        <w:t xml:space="preserve">de l’Organisation </w:t>
      </w:r>
      <w:r w:rsidR="00983168" w:rsidRPr="00C159F8">
        <w:t>des Nations Unies</w:t>
      </w:r>
      <w:r w:rsidR="00840535" w:rsidRPr="001928BD">
        <w:t>,</w:t>
      </w:r>
      <w:r w:rsidR="00983168" w:rsidRPr="001928BD">
        <w:t xml:space="preserve"> le 10 juillet 2014.</w:t>
      </w:r>
      <w:r w:rsidR="00983168" w:rsidRPr="00C159F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37.</w:t>
      </w:r>
      <w:r w:rsidRPr="00C159F8">
        <w:rPr>
          <w:bCs/>
        </w:rPr>
        <w:tab/>
      </w:r>
      <w:r w:rsidR="00983168" w:rsidRPr="00C159F8">
        <w:t xml:space="preserve">L’Expert </w:t>
      </w:r>
      <w:r w:rsidR="009207D9" w:rsidRPr="00C159F8">
        <w:t xml:space="preserve">indépendant </w:t>
      </w:r>
      <w:r w:rsidR="00983168" w:rsidRPr="00C159F8">
        <w:t>se félicite des initiatives prises par la société civile dans le sens de la lutte contre l’impunité.</w:t>
      </w:r>
      <w:r w:rsidR="00E554B8">
        <w:t xml:space="preserve"> </w:t>
      </w:r>
      <w:r w:rsidR="00983168" w:rsidRPr="00C159F8">
        <w:t xml:space="preserve">L’Expert indépendant a rencontré des membres du Réseau </w:t>
      </w:r>
      <w:r w:rsidR="00E15E3C" w:rsidRPr="006F130F">
        <w:t>Média</w:t>
      </w:r>
      <w:r w:rsidR="00983168" w:rsidRPr="00C159F8">
        <w:t xml:space="preserve"> et </w:t>
      </w:r>
      <w:r w:rsidR="00954B03">
        <w:t>d</w:t>
      </w:r>
      <w:r w:rsidR="00983168" w:rsidRPr="00C159F8">
        <w:t>roits de l</w:t>
      </w:r>
      <w:r w:rsidR="00E554B8">
        <w:t>’</w:t>
      </w:r>
      <w:r w:rsidR="00954B03">
        <w:t>h</w:t>
      </w:r>
      <w:r w:rsidR="00983168" w:rsidRPr="00C159F8">
        <w:t>omme, une coalition de journalistes créé</w:t>
      </w:r>
      <w:r w:rsidR="00BB0E03">
        <w:t>e</w:t>
      </w:r>
      <w:r w:rsidR="00983168" w:rsidRPr="00C159F8">
        <w:t xml:space="preserve"> il y a quelques mois, qui vise à sensibiliser le public </w:t>
      </w:r>
      <w:r w:rsidR="00BB0E03">
        <w:t xml:space="preserve">aux </w:t>
      </w:r>
      <w:r w:rsidR="00983168" w:rsidRPr="00C159F8">
        <w:t>droits de l</w:t>
      </w:r>
      <w:r w:rsidR="00E554B8">
        <w:t>’</w:t>
      </w:r>
      <w:r w:rsidR="00983168" w:rsidRPr="00C159F8">
        <w:t xml:space="preserve">homme. Il </w:t>
      </w:r>
      <w:r w:rsidR="00BB0E03">
        <w:t xml:space="preserve">existe </w:t>
      </w:r>
      <w:r w:rsidR="00983168" w:rsidRPr="00C159F8">
        <w:t xml:space="preserve">aussi l’Association des </w:t>
      </w:r>
      <w:r w:rsidR="00954B03">
        <w:t>j</w:t>
      </w:r>
      <w:r w:rsidR="00983168" w:rsidRPr="00C159F8">
        <w:t xml:space="preserve">eunes </w:t>
      </w:r>
      <w:r w:rsidR="00954B03">
        <w:t>a</w:t>
      </w:r>
      <w:r w:rsidR="00983168" w:rsidRPr="00C159F8">
        <w:t>vocats du Mali, qui a demandé l</w:t>
      </w:r>
      <w:r w:rsidR="00E554B8">
        <w:t>’</w:t>
      </w:r>
      <w:r w:rsidR="00983168" w:rsidRPr="00C159F8">
        <w:t xml:space="preserve">aide de </w:t>
      </w:r>
      <w:r w:rsidR="00BB0E03">
        <w:t xml:space="preserve">la </w:t>
      </w:r>
      <w:r w:rsidR="00983168" w:rsidRPr="00C159F8">
        <w:t xml:space="preserve">MINUSMA pour permettre à ses membres de fournir une assistance juridique aux victimes dans la partie nord du pays, où </w:t>
      </w:r>
      <w:r w:rsidR="00241E2F">
        <w:t xml:space="preserve">aucun avocat n’est </w:t>
      </w:r>
      <w:r w:rsidR="00983168" w:rsidRPr="00C159F8">
        <w:t>présen</w:t>
      </w:r>
      <w:r w:rsidR="00241E2F">
        <w:t>t</w:t>
      </w:r>
      <w:r w:rsidR="00983168" w:rsidRPr="00C159F8">
        <w:t>.</w:t>
      </w:r>
    </w:p>
    <w:p w:rsidR="00983168" w:rsidRPr="00C159F8" w:rsidRDefault="00983168" w:rsidP="00F52D8C">
      <w:pPr>
        <w:pStyle w:val="HChG"/>
        <w:rPr>
          <w:lang w:val="fr-CH"/>
        </w:rPr>
      </w:pPr>
      <w:r w:rsidRPr="00C159F8">
        <w:rPr>
          <w:lang w:val="fr-CH"/>
        </w:rPr>
        <w:tab/>
      </w:r>
      <w:r w:rsidRPr="007960EC">
        <w:rPr>
          <w:lang w:val="fr-CH"/>
        </w:rPr>
        <w:t>III.</w:t>
      </w:r>
      <w:r w:rsidRPr="007960EC">
        <w:rPr>
          <w:lang w:val="fr-CH"/>
        </w:rPr>
        <w:tab/>
        <w:t>Situation des droits de l’homme</w:t>
      </w:r>
    </w:p>
    <w:p w:rsidR="00983168" w:rsidRPr="00C159F8" w:rsidRDefault="00983168" w:rsidP="00D9105F">
      <w:pPr>
        <w:pStyle w:val="H1G"/>
        <w:rPr>
          <w:lang w:val="fr-CH"/>
        </w:rPr>
      </w:pPr>
      <w:r w:rsidRPr="00C159F8">
        <w:rPr>
          <w:lang w:val="fr-CH"/>
        </w:rPr>
        <w:tab/>
        <w:t>A.</w:t>
      </w:r>
      <w:r w:rsidRPr="00C159F8">
        <w:rPr>
          <w:lang w:val="fr-CH"/>
        </w:rPr>
        <w:tab/>
      </w:r>
      <w:r w:rsidR="00D9105F">
        <w:rPr>
          <w:lang w:val="fr-CH"/>
        </w:rPr>
        <w:t>D</w:t>
      </w:r>
      <w:r w:rsidRPr="00C159F8">
        <w:rPr>
          <w:lang w:val="fr-CH"/>
        </w:rPr>
        <w:t>roits civils et politiques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38.</w:t>
      </w:r>
      <w:r w:rsidRPr="00C159F8">
        <w:rPr>
          <w:bCs/>
        </w:rPr>
        <w:tab/>
      </w:r>
      <w:r w:rsidR="00983168" w:rsidRPr="00C159F8">
        <w:t xml:space="preserve">Au cours des sept derniers mois, la Division des droits de </w:t>
      </w:r>
      <w:r w:rsidR="00983168" w:rsidRPr="007A2696">
        <w:t xml:space="preserve">l’homme a diligenté des missions spéciales d’investigation dans les quatre régions </w:t>
      </w:r>
      <w:r w:rsidR="008A54BB" w:rsidRPr="007A2696">
        <w:t xml:space="preserve">touchées par </w:t>
      </w:r>
      <w:r w:rsidR="00983168" w:rsidRPr="007A2696">
        <w:t>les situations citées ci-dessus (</w:t>
      </w:r>
      <w:r w:rsidR="00983168" w:rsidRPr="009847EC">
        <w:t xml:space="preserve">Tombouctou du </w:t>
      </w:r>
      <w:r w:rsidR="007A2696" w:rsidRPr="009A0948">
        <w:t xml:space="preserve">13 au 17 avril et du </w:t>
      </w:r>
      <w:r w:rsidR="00983168" w:rsidRPr="009847EC">
        <w:t>23</w:t>
      </w:r>
      <w:r w:rsidR="007A2696" w:rsidRPr="009A0948">
        <w:t xml:space="preserve"> au </w:t>
      </w:r>
      <w:r w:rsidR="00983168" w:rsidRPr="009847EC">
        <w:t>30 avril, Tin</w:t>
      </w:r>
      <w:r w:rsidR="00983168" w:rsidRPr="00672280">
        <w:t xml:space="preserve"> Hama </w:t>
      </w:r>
      <w:r w:rsidR="00672280" w:rsidRPr="009A0948">
        <w:t xml:space="preserve">les </w:t>
      </w:r>
      <w:r w:rsidR="00983168" w:rsidRPr="00672280">
        <w:t>21</w:t>
      </w:r>
      <w:r w:rsidR="00672280" w:rsidRPr="009A0948">
        <w:t xml:space="preserve"> et </w:t>
      </w:r>
      <w:r w:rsidR="00983168" w:rsidRPr="00672280">
        <w:t>22 mai, Fakola du 17</w:t>
      </w:r>
      <w:r w:rsidR="00672280" w:rsidRPr="009A0948">
        <w:t xml:space="preserve"> au </w:t>
      </w:r>
      <w:r w:rsidR="00983168" w:rsidRPr="00672280">
        <w:t>21</w:t>
      </w:r>
      <w:r w:rsidR="00672280" w:rsidRPr="009A0948">
        <w:t> </w:t>
      </w:r>
      <w:r w:rsidR="00983168" w:rsidRPr="00672280">
        <w:t>août</w:t>
      </w:r>
      <w:r w:rsidR="00672280" w:rsidRPr="009A0948">
        <w:t>,</w:t>
      </w:r>
      <w:r w:rsidR="00983168" w:rsidRPr="00672280">
        <w:t xml:space="preserve"> et An</w:t>
      </w:r>
      <w:r w:rsidR="00672280" w:rsidRPr="009A0948">
        <w:t>é</w:t>
      </w:r>
      <w:r w:rsidR="00983168" w:rsidRPr="00672280">
        <w:t>fis</w:t>
      </w:r>
      <w:r w:rsidR="00672280" w:rsidRPr="009A0948">
        <w:t>,</w:t>
      </w:r>
      <w:r w:rsidR="00983168" w:rsidRPr="00672280">
        <w:t xml:space="preserve"> </w:t>
      </w:r>
      <w:r w:rsidR="00672280" w:rsidRPr="009A0948">
        <w:t xml:space="preserve">le </w:t>
      </w:r>
      <w:r w:rsidR="00983168" w:rsidRPr="00672280">
        <w:t xml:space="preserve">27 août et </w:t>
      </w:r>
      <w:r w:rsidR="00672280" w:rsidRPr="009A0948">
        <w:t xml:space="preserve">les </w:t>
      </w:r>
      <w:r w:rsidR="00983168" w:rsidRPr="00672280">
        <w:t>10</w:t>
      </w:r>
      <w:r w:rsidR="00672280" w:rsidRPr="009A0948">
        <w:t xml:space="preserve"> et </w:t>
      </w:r>
      <w:r w:rsidR="00983168" w:rsidRPr="00672280">
        <w:t xml:space="preserve">11 </w:t>
      </w:r>
      <w:r w:rsidR="00983168" w:rsidRPr="007A2696">
        <w:t>septembre).</w:t>
      </w:r>
      <w:r w:rsidR="00983168" w:rsidRPr="00C159F8">
        <w:t xml:space="preserve"> </w:t>
      </w:r>
      <w:r w:rsidR="008A54BB">
        <w:t>Le but de c</w:t>
      </w:r>
      <w:r w:rsidR="00983168" w:rsidRPr="00C159F8">
        <w:t xml:space="preserve">es missions </w:t>
      </w:r>
      <w:r w:rsidR="008A54BB">
        <w:t xml:space="preserve">était </w:t>
      </w:r>
      <w:r w:rsidR="00983168" w:rsidRPr="00C159F8">
        <w:t xml:space="preserve">de vérifier </w:t>
      </w:r>
      <w:r w:rsidR="008A54BB">
        <w:t>l</w:t>
      </w:r>
      <w:r w:rsidR="00983168" w:rsidRPr="00C159F8">
        <w:t xml:space="preserve">es allégations de violations des droits de l’homme par </w:t>
      </w:r>
      <w:r w:rsidR="00983168" w:rsidRPr="003E2C08">
        <w:t xml:space="preserve">les </w:t>
      </w:r>
      <w:r w:rsidR="003E2C08" w:rsidRPr="009A0948">
        <w:t>f</w:t>
      </w:r>
      <w:r w:rsidR="00983168" w:rsidRPr="003E2C08">
        <w:t>orces de</w:t>
      </w:r>
      <w:r w:rsidR="00983168" w:rsidRPr="00C159F8">
        <w:t xml:space="preserve"> </w:t>
      </w:r>
      <w:r w:rsidR="00A53E14">
        <w:t>s</w:t>
      </w:r>
      <w:r w:rsidR="00983168" w:rsidRPr="00C159F8">
        <w:t>écurité maliennes et d’abus commis par les groupes armés suite aux attaques terroristes, aux combats entre groupes armés ou à la violation du cessez-le-feu.</w:t>
      </w:r>
      <w:r w:rsidR="00E554B8">
        <w:t xml:space="preserve">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39.</w:t>
      </w:r>
      <w:r w:rsidRPr="007571A1">
        <w:rPr>
          <w:bCs/>
        </w:rPr>
        <w:tab/>
      </w:r>
      <w:r w:rsidR="00983168" w:rsidRPr="00C159F8">
        <w:t>Une mission a été conduite les 20</w:t>
      </w:r>
      <w:r w:rsidR="00840535">
        <w:t xml:space="preserve"> et </w:t>
      </w:r>
      <w:r w:rsidR="00983168" w:rsidRPr="00C159F8">
        <w:t>21 mai 2015 à Tin</w:t>
      </w:r>
      <w:r w:rsidR="00840535">
        <w:t xml:space="preserve"> </w:t>
      </w:r>
      <w:r w:rsidR="00983168" w:rsidRPr="00C159F8">
        <w:t xml:space="preserve">Hama, </w:t>
      </w:r>
      <w:r w:rsidR="008A54BB">
        <w:t xml:space="preserve">dans la </w:t>
      </w:r>
      <w:r w:rsidR="00983168" w:rsidRPr="00C159F8">
        <w:t xml:space="preserve">région de Gao, pour enquêter sur des violations des droits de l’homme, la violation du cessez-le-feu et </w:t>
      </w:r>
      <w:r w:rsidR="008A54BB">
        <w:t>d</w:t>
      </w:r>
      <w:r w:rsidR="00983168" w:rsidRPr="00C159F8">
        <w:t xml:space="preserve">es abus commis après les affrontements entre </w:t>
      </w:r>
      <w:r w:rsidR="00983168" w:rsidRPr="009A2BB7">
        <w:t xml:space="preserve">la </w:t>
      </w:r>
      <w:r w:rsidR="00983168" w:rsidRPr="00C159F8">
        <w:t xml:space="preserve"> CMA et les éléments de la Plateforme pour la prise de Ménaka et</w:t>
      </w:r>
      <w:r w:rsidR="008A54BB">
        <w:t xml:space="preserve"> des</w:t>
      </w:r>
      <w:r w:rsidR="00983168" w:rsidRPr="00C159F8">
        <w:t xml:space="preserve"> alentours. Cette mission a confirm</w:t>
      </w:r>
      <w:r w:rsidR="006E4DFA">
        <w:t>é</w:t>
      </w:r>
      <w:r w:rsidR="00983168" w:rsidRPr="00C159F8">
        <w:t xml:space="preserve"> que les violations suivantes </w:t>
      </w:r>
      <w:r w:rsidR="006E4DFA">
        <w:t>avaie</w:t>
      </w:r>
      <w:r w:rsidR="00983168" w:rsidRPr="00C159F8">
        <w:t xml:space="preserve">nt été commises par les groupes </w:t>
      </w:r>
      <w:r w:rsidR="00983168" w:rsidRPr="00903B12">
        <w:t>concernés</w:t>
      </w:r>
      <w:r w:rsidR="00983168" w:rsidRPr="00C159F8">
        <w:t xml:space="preserve"> : </w:t>
      </w:r>
      <w:r w:rsidR="00983168" w:rsidRPr="007571A1">
        <w:t xml:space="preserve">atteintes au droit à la vie (2 civils </w:t>
      </w:r>
      <w:r w:rsidR="006E4DFA" w:rsidRPr="007571A1">
        <w:t xml:space="preserve">tués </w:t>
      </w:r>
      <w:r w:rsidR="00983168" w:rsidRPr="007571A1">
        <w:t xml:space="preserve">par la CMA), exécutions sommaires </w:t>
      </w:r>
      <w:r w:rsidR="006E4DFA" w:rsidRPr="007571A1">
        <w:t xml:space="preserve">de </w:t>
      </w:r>
      <w:r w:rsidR="00983168" w:rsidRPr="007571A1">
        <w:t>6</w:t>
      </w:r>
      <w:r w:rsidR="006E4DFA" w:rsidRPr="007571A1">
        <w:t> </w:t>
      </w:r>
      <w:r w:rsidR="00983168" w:rsidRPr="007571A1">
        <w:t xml:space="preserve">civils par </w:t>
      </w:r>
      <w:r w:rsidR="00046315" w:rsidRPr="007571A1">
        <w:t>le Groupe d’autodéfense Touaregs Imghad et alliés</w:t>
      </w:r>
      <w:r w:rsidR="006E4DFA" w:rsidRPr="007571A1">
        <w:t xml:space="preserve"> (</w:t>
      </w:r>
      <w:r w:rsidR="00983168" w:rsidRPr="007571A1">
        <w:t>G</w:t>
      </w:r>
      <w:r w:rsidR="00046315" w:rsidRPr="007571A1">
        <w:t>ATIA</w:t>
      </w:r>
      <w:r w:rsidR="00983168" w:rsidRPr="007571A1">
        <w:t>), déplacement de 38 familles (160 personnes) suite aux affrontements, enlèvement de trois éléments du G</w:t>
      </w:r>
      <w:r w:rsidR="00046315" w:rsidRPr="007571A1">
        <w:t>ATIA</w:t>
      </w:r>
      <w:r w:rsidR="00983168" w:rsidRPr="007571A1">
        <w:t xml:space="preserve"> par la CMA ainsi que </w:t>
      </w:r>
      <w:r w:rsidR="006E4DFA" w:rsidRPr="007571A1">
        <w:t>d</w:t>
      </w:r>
      <w:r w:rsidR="00983168" w:rsidRPr="007571A1">
        <w:t xml:space="preserve">es pillages et </w:t>
      </w:r>
      <w:r w:rsidR="006E4DFA" w:rsidRPr="007571A1">
        <w:t xml:space="preserve">des </w:t>
      </w:r>
      <w:r w:rsidR="00983168" w:rsidRPr="007571A1">
        <w:t>destruction</w:t>
      </w:r>
      <w:r w:rsidR="006E4DFA" w:rsidRPr="007571A1">
        <w:t>s</w:t>
      </w:r>
      <w:r w:rsidR="00983168" w:rsidRPr="007571A1">
        <w:t xml:space="preserve"> de biens. </w:t>
      </w:r>
    </w:p>
    <w:p w:rsidR="00983168" w:rsidRPr="007571A1" w:rsidRDefault="00983168">
      <w:pPr>
        <w:pStyle w:val="H23G"/>
        <w:rPr>
          <w:lang w:val="fr-CH"/>
        </w:rPr>
      </w:pPr>
      <w:r w:rsidRPr="007571A1">
        <w:rPr>
          <w:lang w:val="fr-CH"/>
        </w:rPr>
        <w:tab/>
        <w:t>1.</w:t>
      </w:r>
      <w:r w:rsidRPr="007571A1">
        <w:rPr>
          <w:lang w:val="fr-CH"/>
        </w:rPr>
        <w:tab/>
      </w:r>
      <w:r w:rsidR="00FA7B97">
        <w:rPr>
          <w:lang w:val="fr-CH"/>
        </w:rPr>
        <w:t>A</w:t>
      </w:r>
      <w:r w:rsidRPr="007571A1">
        <w:rPr>
          <w:lang w:val="fr-CH"/>
        </w:rPr>
        <w:t>tteintes aux droits de l’homme commises par les forces armées maliennes</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40.</w:t>
      </w:r>
      <w:r w:rsidRPr="007571A1">
        <w:rPr>
          <w:bCs/>
        </w:rPr>
        <w:tab/>
      </w:r>
      <w:r w:rsidR="00983168" w:rsidRPr="007571A1">
        <w:t>De mars à septembre 2015, la Division de</w:t>
      </w:r>
      <w:r w:rsidR="00954B03" w:rsidRPr="007571A1">
        <w:t>s</w:t>
      </w:r>
      <w:r w:rsidR="00983168" w:rsidRPr="007571A1">
        <w:t xml:space="preserve"> droits de l’homme de la MINUSMA a enregistré une augmentation significative d</w:t>
      </w:r>
      <w:r w:rsidR="00440135" w:rsidRPr="007571A1">
        <w:t xml:space="preserve">es </w:t>
      </w:r>
      <w:r w:rsidR="00983168" w:rsidRPr="007571A1">
        <w:t>arrestations</w:t>
      </w:r>
      <w:r w:rsidR="00440135" w:rsidRPr="007571A1">
        <w:t> :</w:t>
      </w:r>
      <w:r w:rsidR="00983168" w:rsidRPr="007571A1">
        <w:t xml:space="preserve"> 308 en </w:t>
      </w:r>
      <w:r w:rsidR="00440135" w:rsidRPr="007571A1">
        <w:t>sept</w:t>
      </w:r>
      <w:r w:rsidR="00983168" w:rsidRPr="007571A1">
        <w:t xml:space="preserve"> mois</w:t>
      </w:r>
      <w:r w:rsidR="00440135" w:rsidRPr="007571A1">
        <w:t xml:space="preserve">, soit près du </w:t>
      </w:r>
      <w:r w:rsidR="00983168" w:rsidRPr="007571A1">
        <w:t>double du nombre d’arrestations en lien avec le conflit opéré</w:t>
      </w:r>
      <w:r w:rsidR="00903B12" w:rsidRPr="007571A1">
        <w:t>es</w:t>
      </w:r>
      <w:r w:rsidR="00983168" w:rsidRPr="007571A1">
        <w:t xml:space="preserve"> par les forces armées et de défense maliennes en 2014 (182</w:t>
      </w:r>
      <w:r w:rsidR="00FA7B97">
        <w:t> </w:t>
      </w:r>
      <w:r w:rsidR="00983168" w:rsidRPr="007571A1">
        <w:t xml:space="preserve">arrestations). Les personnes ont été arrêtées dans un contexte d’attaques multiples de villages par des groupes armés ou terroristes dans les régions du </w:t>
      </w:r>
      <w:r w:rsidR="00042506" w:rsidRPr="007571A1">
        <w:t>n</w:t>
      </w:r>
      <w:r w:rsidR="00983168" w:rsidRPr="007571A1">
        <w:t xml:space="preserve">ord mais aussi </w:t>
      </w:r>
      <w:r w:rsidR="00903B12" w:rsidRPr="007571A1">
        <w:t xml:space="preserve">du </w:t>
      </w:r>
      <w:r w:rsidR="00042506" w:rsidRPr="007571A1">
        <w:t>s</w:t>
      </w:r>
      <w:r w:rsidR="00983168" w:rsidRPr="007571A1">
        <w:t xml:space="preserve">ud du pays (Sikasso et Ségou). </w:t>
      </w:r>
      <w:r w:rsidR="00440135" w:rsidRPr="007571A1">
        <w:t>L</w:t>
      </w:r>
      <w:r w:rsidR="00983168" w:rsidRPr="007571A1">
        <w:t xml:space="preserve">a </w:t>
      </w:r>
      <w:r w:rsidR="00954B03" w:rsidRPr="007571A1">
        <w:t xml:space="preserve">Division des droits de l’homme </w:t>
      </w:r>
      <w:r w:rsidR="00983168" w:rsidRPr="007571A1">
        <w:t xml:space="preserve">s’est déjà entretenue avec 149 </w:t>
      </w:r>
      <w:r w:rsidR="00440135" w:rsidRPr="007571A1">
        <w:t xml:space="preserve">de ces </w:t>
      </w:r>
      <w:r w:rsidR="00983168" w:rsidRPr="007571A1">
        <w:t xml:space="preserve">détenus. </w:t>
      </w:r>
      <w:r w:rsidR="00440135" w:rsidRPr="007571A1">
        <w:t xml:space="preserve">Quarante-trois d’entre eux </w:t>
      </w:r>
      <w:r w:rsidR="00983168" w:rsidRPr="007571A1">
        <w:t>ont rapporté avoir été victimes d</w:t>
      </w:r>
      <w:r w:rsidR="00440135" w:rsidRPr="007571A1">
        <w:t>’</w:t>
      </w:r>
      <w:r w:rsidR="00983168" w:rsidRPr="007571A1">
        <w:t xml:space="preserve">actes de mauvais traitements et de torture par les forces de sécurité </w:t>
      </w:r>
      <w:r w:rsidR="00046315" w:rsidRPr="007571A1">
        <w:t>m</w:t>
      </w:r>
      <w:r w:rsidR="00983168" w:rsidRPr="007571A1">
        <w:t>aliennes (</w:t>
      </w:r>
      <w:r w:rsidR="00D9105F" w:rsidRPr="007571A1">
        <w:t xml:space="preserve">forces armées maliennes </w:t>
      </w:r>
      <w:r w:rsidR="00983168" w:rsidRPr="007571A1">
        <w:t xml:space="preserve">et agents de la </w:t>
      </w:r>
      <w:r w:rsidR="00046315" w:rsidRPr="007571A1">
        <w:t>sécurité d’État</w:t>
      </w:r>
      <w:r w:rsidR="00983168" w:rsidRPr="007571A1">
        <w:t xml:space="preserve">). Cette hausse </w:t>
      </w:r>
      <w:r w:rsidR="00440135" w:rsidRPr="007571A1">
        <w:t xml:space="preserve">des arrestations est intervenue </w:t>
      </w:r>
      <w:r w:rsidR="00983168" w:rsidRPr="007571A1">
        <w:t>dans le cadre de l’augmentation d</w:t>
      </w:r>
      <w:r w:rsidR="00440135" w:rsidRPr="007571A1">
        <w:t xml:space="preserve">es </w:t>
      </w:r>
      <w:r w:rsidR="00983168" w:rsidRPr="007571A1">
        <w:t>actes terroristes et d</w:t>
      </w:r>
      <w:r w:rsidR="00440135" w:rsidRPr="007571A1">
        <w:t xml:space="preserve">es </w:t>
      </w:r>
      <w:r w:rsidR="00983168" w:rsidRPr="007571A1">
        <w:t xml:space="preserve">activités de contre-terrorisme menées par les forces de sécurité </w:t>
      </w:r>
      <w:r w:rsidR="00440135" w:rsidRPr="007571A1">
        <w:t>m</w:t>
      </w:r>
      <w:r w:rsidR="00983168" w:rsidRPr="007571A1">
        <w:t>alienne</w:t>
      </w:r>
      <w:r w:rsidR="00440135" w:rsidRPr="007571A1">
        <w:t>s</w:t>
      </w:r>
      <w:r w:rsidR="00983168" w:rsidRPr="007571A1">
        <w:t xml:space="preserve"> à travers le pays.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41.</w:t>
      </w:r>
      <w:r w:rsidRPr="00C159F8">
        <w:rPr>
          <w:bCs/>
        </w:rPr>
        <w:tab/>
      </w:r>
      <w:r w:rsidR="00440135" w:rsidRPr="007571A1">
        <w:t>L</w:t>
      </w:r>
      <w:r w:rsidR="00983168" w:rsidRPr="007571A1">
        <w:t xml:space="preserve">a </w:t>
      </w:r>
      <w:r w:rsidR="00954B03" w:rsidRPr="007571A1">
        <w:t xml:space="preserve">Division des droits de l’homme de la MINUSMA </w:t>
      </w:r>
      <w:r w:rsidR="00983168" w:rsidRPr="007571A1">
        <w:t>a noté avec préoccupation que</w:t>
      </w:r>
      <w:r w:rsidR="00440135" w:rsidRPr="007571A1">
        <w:t>, dans le cadre des opérations antiterroristes menée par les forces armées maliennes</w:t>
      </w:r>
      <w:r w:rsidR="00440135">
        <w:t>,</w:t>
      </w:r>
      <w:r w:rsidR="00983168" w:rsidRPr="00C159F8">
        <w:t xml:space="preserve"> certains soldats </w:t>
      </w:r>
      <w:r w:rsidR="00440135">
        <w:t>avaie</w:t>
      </w:r>
      <w:r w:rsidR="00983168" w:rsidRPr="00C159F8">
        <w:t>nt continué à commettre des actes de torture et de mauvais traitements lors des arrestations massives dans les régions de Ségou et Sikasso.</w:t>
      </w:r>
      <w:r w:rsidR="00E554B8">
        <w:t xml:space="preserve"> </w:t>
      </w:r>
      <w:r w:rsidR="00983168" w:rsidRPr="00C159F8">
        <w:t>Les membres de communautés spécifiques (</w:t>
      </w:r>
      <w:r w:rsidR="00983168" w:rsidRPr="0054109D">
        <w:t>peulhs et arabes</w:t>
      </w:r>
      <w:r w:rsidR="00983168" w:rsidRPr="006F130F">
        <w:t>)</w:t>
      </w:r>
      <w:r w:rsidR="00983168" w:rsidRPr="00C159F8">
        <w:t xml:space="preserve"> ont été ciblés sur des soupçons de collaboration avec des groupes de terroristes armés. La Division </w:t>
      </w:r>
      <w:r w:rsidR="00954B03">
        <w:t>des d</w:t>
      </w:r>
      <w:r w:rsidR="00983168" w:rsidRPr="00C159F8">
        <w:t>roits de l</w:t>
      </w:r>
      <w:r w:rsidR="00E554B8">
        <w:t>’</w:t>
      </w:r>
      <w:r w:rsidR="00954B03">
        <w:t>h</w:t>
      </w:r>
      <w:r w:rsidR="00983168" w:rsidRPr="00C159F8">
        <w:t>omme a dû annuler à plusieurs reprises des missions d</w:t>
      </w:r>
      <w:r w:rsidR="00E554B8">
        <w:t>’</w:t>
      </w:r>
      <w:r w:rsidR="00983168" w:rsidRPr="00C159F8">
        <w:t xml:space="preserve">enquête </w:t>
      </w:r>
      <w:r w:rsidR="00983168" w:rsidRPr="00A244B5">
        <w:t xml:space="preserve">à </w:t>
      </w:r>
      <w:r w:rsidR="00983168" w:rsidRPr="00AD67BF">
        <w:t xml:space="preserve">Nampala et </w:t>
      </w:r>
      <w:r w:rsidR="00A244B5" w:rsidRPr="009A0948">
        <w:t xml:space="preserve">à </w:t>
      </w:r>
      <w:r w:rsidR="00983168" w:rsidRPr="00AD67BF">
        <w:t>Niono</w:t>
      </w:r>
      <w:r w:rsidR="00AD67BF" w:rsidRPr="009A0948">
        <w:t>, dans le</w:t>
      </w:r>
      <w:r w:rsidR="00983168" w:rsidRPr="00AD67BF">
        <w:t xml:space="preserve"> cercle</w:t>
      </w:r>
      <w:r w:rsidR="00AD67BF" w:rsidRPr="009A0948">
        <w:t xml:space="preserve"> de Niono</w:t>
      </w:r>
      <w:r w:rsidR="00983168" w:rsidRPr="00A244B5">
        <w:t>,</w:t>
      </w:r>
      <w:r w:rsidR="00840535">
        <w:t xml:space="preserve"> </w:t>
      </w:r>
      <w:r w:rsidR="00840535" w:rsidRPr="009A0948">
        <w:t>en raison de la situation sécuritaire</w:t>
      </w:r>
      <w:r w:rsidR="00983168" w:rsidRPr="00840535">
        <w:t xml:space="preserve"> </w:t>
      </w:r>
      <w:r w:rsidR="00A244B5" w:rsidRPr="00840535">
        <w:t>dans</w:t>
      </w:r>
      <w:r w:rsidR="00A244B5">
        <w:t xml:space="preserve"> la </w:t>
      </w:r>
      <w:r w:rsidR="00983168" w:rsidRPr="00A244B5">
        <w:t>région de Ségou</w:t>
      </w:r>
      <w:r w:rsidR="00983168" w:rsidRPr="00C159F8">
        <w:t xml:space="preserve"> où des arrestations mass</w:t>
      </w:r>
      <w:r w:rsidR="00440135">
        <w:t xml:space="preserve">ives </w:t>
      </w:r>
      <w:r w:rsidR="00983168" w:rsidRPr="00C159F8">
        <w:t>et de</w:t>
      </w:r>
      <w:r w:rsidR="00440135">
        <w:t>s</w:t>
      </w:r>
      <w:r w:rsidR="00983168" w:rsidRPr="00C159F8">
        <w:t xml:space="preserve"> mauvais traitement</w:t>
      </w:r>
      <w:r w:rsidR="00440135">
        <w:t>s</w:t>
      </w:r>
      <w:r w:rsidR="00983168" w:rsidRPr="00C159F8">
        <w:t xml:space="preserve"> de détenus avaient été signalés. L’Expert indépendant </w:t>
      </w:r>
      <w:r w:rsidR="00440135">
        <w:t>est préoccupé par la perspective</w:t>
      </w:r>
      <w:r w:rsidR="00440135" w:rsidRPr="00C159F8">
        <w:t xml:space="preserve"> </w:t>
      </w:r>
      <w:r w:rsidR="00983168" w:rsidRPr="00C159F8">
        <w:t xml:space="preserve">que ces arrestations massives et les violations résultant de ces opérations </w:t>
      </w:r>
      <w:r w:rsidR="00440135">
        <w:t xml:space="preserve">ne viennent </w:t>
      </w:r>
      <w:r w:rsidR="00983168" w:rsidRPr="00C159F8">
        <w:t>saper la confiance fragile entre les communautés touchées et l’autorité de l</w:t>
      </w:r>
      <w:r w:rsidR="00E554B8">
        <w:t>’</w:t>
      </w:r>
      <w:r w:rsidR="00633247" w:rsidRPr="00C159F8">
        <w:t>État</w:t>
      </w:r>
      <w:r w:rsidR="00983168" w:rsidRPr="00C159F8">
        <w:t>.</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42.</w:t>
      </w:r>
      <w:r w:rsidRPr="00C159F8">
        <w:rPr>
          <w:bCs/>
        </w:rPr>
        <w:tab/>
      </w:r>
      <w:r w:rsidR="00983168" w:rsidRPr="00C159F8">
        <w:t>L</w:t>
      </w:r>
      <w:r w:rsidR="00E554B8">
        <w:t>’</w:t>
      </w:r>
      <w:r w:rsidR="00983168" w:rsidRPr="00C159F8">
        <w:t>Expert indépendant a appris que</w:t>
      </w:r>
      <w:r w:rsidR="00440135">
        <w:t xml:space="preserve">, en l’espace </w:t>
      </w:r>
      <w:r w:rsidR="00983168" w:rsidRPr="00C159F8">
        <w:t>d</w:t>
      </w:r>
      <w:r w:rsidR="00E554B8">
        <w:t>’</w:t>
      </w:r>
      <w:r w:rsidR="00983168" w:rsidRPr="00C159F8">
        <w:t xml:space="preserve">un mois, avril </w:t>
      </w:r>
      <w:r w:rsidR="00440135">
        <w:t xml:space="preserve">et </w:t>
      </w:r>
      <w:r w:rsidR="00983168" w:rsidRPr="00C159F8">
        <w:t>mai 2015, 47</w:t>
      </w:r>
      <w:r w:rsidR="00440135">
        <w:t> </w:t>
      </w:r>
      <w:r w:rsidR="00983168" w:rsidRPr="00C159F8">
        <w:t xml:space="preserve">membres de la communauté </w:t>
      </w:r>
      <w:r w:rsidR="0054109D">
        <w:t>p</w:t>
      </w:r>
      <w:r w:rsidR="00983168" w:rsidRPr="00C159F8">
        <w:t>eul</w:t>
      </w:r>
      <w:r w:rsidR="0054109D">
        <w:t>e</w:t>
      </w:r>
      <w:r w:rsidR="00983168" w:rsidRPr="00C159F8">
        <w:t xml:space="preserve"> </w:t>
      </w:r>
      <w:r w:rsidR="00440135">
        <w:t>avaie</w:t>
      </w:r>
      <w:r w:rsidR="00983168" w:rsidRPr="00C159F8">
        <w:t>nt été arrêtés et détenus à la suite d</w:t>
      </w:r>
      <w:r w:rsidR="00440135">
        <w:t xml:space="preserve">e plusieurs </w:t>
      </w:r>
      <w:r w:rsidR="00983168" w:rsidRPr="00C159F8">
        <w:t>attaques armées</w:t>
      </w:r>
      <w:r w:rsidR="00440135">
        <w:t xml:space="preserve">, notamment </w:t>
      </w:r>
      <w:r w:rsidR="00983168" w:rsidRPr="00C159F8">
        <w:t>contre l</w:t>
      </w:r>
      <w:r w:rsidR="00E554B8">
        <w:t>’</w:t>
      </w:r>
      <w:r w:rsidR="00983168" w:rsidRPr="00C159F8">
        <w:t xml:space="preserve">armée malienne </w:t>
      </w:r>
      <w:r w:rsidR="00983168" w:rsidRPr="00A244B5">
        <w:t>dans</w:t>
      </w:r>
      <w:r w:rsidR="00983168" w:rsidRPr="00C159F8">
        <w:t xml:space="preserve"> Boulkessi. </w:t>
      </w:r>
      <w:r w:rsidR="00440135">
        <w:t>L</w:t>
      </w:r>
      <w:r w:rsidR="00983168" w:rsidRPr="00C159F8">
        <w:t xml:space="preserve">e Directeur de la Division </w:t>
      </w:r>
      <w:r w:rsidR="00954B03">
        <w:t>des d</w:t>
      </w:r>
      <w:r w:rsidR="00983168" w:rsidRPr="00C159F8">
        <w:t>roits de l</w:t>
      </w:r>
      <w:r w:rsidR="00E554B8">
        <w:t>’</w:t>
      </w:r>
      <w:r w:rsidR="00954B03">
        <w:t>h</w:t>
      </w:r>
      <w:r w:rsidR="00983168" w:rsidRPr="00C159F8">
        <w:t>omme de la MINUSMA a reçu une délégation de chefs de village et d</w:t>
      </w:r>
      <w:r w:rsidR="00E554B8">
        <w:t>’</w:t>
      </w:r>
      <w:r w:rsidR="00983168" w:rsidRPr="00C159F8">
        <w:t>autres personna</w:t>
      </w:r>
      <w:r w:rsidR="00840535">
        <w:t>l</w:t>
      </w:r>
      <w:r w:rsidR="00983168" w:rsidRPr="00C159F8">
        <w:t xml:space="preserve">ités de la communauté </w:t>
      </w:r>
      <w:r w:rsidR="0054109D">
        <w:t>p</w:t>
      </w:r>
      <w:r w:rsidR="00983168" w:rsidRPr="00C159F8">
        <w:t>eul</w:t>
      </w:r>
      <w:r w:rsidR="0054109D">
        <w:t>e</w:t>
      </w:r>
      <w:r w:rsidR="00983168" w:rsidRPr="00C159F8">
        <w:t xml:space="preserve"> de différentes localités </w:t>
      </w:r>
      <w:r w:rsidR="00440135">
        <w:t xml:space="preserve">de </w:t>
      </w:r>
      <w:r w:rsidR="00983168" w:rsidRPr="00C159F8">
        <w:t xml:space="preserve">la région de </w:t>
      </w:r>
      <w:r w:rsidR="00983168" w:rsidRPr="00A244B5">
        <w:t>Mopti (700</w:t>
      </w:r>
      <w:r w:rsidR="005C07B0" w:rsidRPr="00A244B5">
        <w:t> </w:t>
      </w:r>
      <w:r w:rsidR="00983168" w:rsidRPr="00A244B5">
        <w:t>km de Bamako).</w:t>
      </w:r>
      <w:r w:rsidR="00983168" w:rsidRPr="00C159F8">
        <w:t xml:space="preserve"> Les dirigeants ont exprimé de sérieuses préoccupations sur l</w:t>
      </w:r>
      <w:r w:rsidR="00E554B8">
        <w:t>’</w:t>
      </w:r>
      <w:r w:rsidR="00983168" w:rsidRPr="00C159F8">
        <w:t xml:space="preserve">arrestation et la détention </w:t>
      </w:r>
      <w:r w:rsidR="00983168" w:rsidRPr="00840535">
        <w:t>continue</w:t>
      </w:r>
      <w:r w:rsidR="00983168" w:rsidRPr="00C159F8">
        <w:t xml:space="preserve"> de membres de la communauté </w:t>
      </w:r>
      <w:r w:rsidR="0054109D">
        <w:t>p</w:t>
      </w:r>
      <w:r w:rsidR="00983168" w:rsidRPr="00C159F8">
        <w:t>eul</w:t>
      </w:r>
      <w:r w:rsidR="0054109D">
        <w:t>e</w:t>
      </w:r>
      <w:r w:rsidR="00983168" w:rsidRPr="00C159F8">
        <w:t xml:space="preserve"> soupçonnés d</w:t>
      </w:r>
      <w:r w:rsidR="00E554B8">
        <w:t>’</w:t>
      </w:r>
      <w:r w:rsidR="00983168" w:rsidRPr="00C159F8">
        <w:t>être affilié</w:t>
      </w:r>
      <w:r w:rsidR="00440135">
        <w:t>s</w:t>
      </w:r>
      <w:r w:rsidR="00983168" w:rsidRPr="00C159F8">
        <w:t xml:space="preserve"> </w:t>
      </w:r>
      <w:r w:rsidR="00903B12">
        <w:t xml:space="preserve">au </w:t>
      </w:r>
      <w:r w:rsidR="00903B12" w:rsidRPr="009847EC">
        <w:t>Mouvement pour l’unité et le jihad en Afrique de l’Ouest</w:t>
      </w:r>
      <w:r w:rsidR="00983168" w:rsidRPr="009847EC">
        <w:t>.</w:t>
      </w:r>
      <w:r w:rsidR="00983168" w:rsidRPr="00C159F8">
        <w:t xml:space="preserve">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43.</w:t>
      </w:r>
      <w:r w:rsidRPr="007571A1">
        <w:rPr>
          <w:bCs/>
        </w:rPr>
        <w:tab/>
      </w:r>
      <w:r w:rsidR="00983168" w:rsidRPr="00C159F8">
        <w:t xml:space="preserve">Le 13 </w:t>
      </w:r>
      <w:r w:rsidR="00633247">
        <w:t>o</w:t>
      </w:r>
      <w:r w:rsidR="00983168" w:rsidRPr="00C159F8">
        <w:t xml:space="preserve">ctobre, à Bamako, la </w:t>
      </w:r>
      <w:r w:rsidR="00954B03" w:rsidRPr="00C159F8">
        <w:t>Division de</w:t>
      </w:r>
      <w:r w:rsidR="00954B03">
        <w:t>s</w:t>
      </w:r>
      <w:r w:rsidR="00954B03" w:rsidRPr="00C159F8">
        <w:t xml:space="preserve"> droits de l’homme de la MINUSMA </w:t>
      </w:r>
      <w:r w:rsidR="00983168" w:rsidRPr="00C159F8">
        <w:t>a enquêté sur les conditions de détention de huit personnes arrêtées lors d</w:t>
      </w:r>
      <w:r w:rsidR="00E83C0A">
        <w:t>’</w:t>
      </w:r>
      <w:r w:rsidR="00983168" w:rsidRPr="00C159F8">
        <w:t xml:space="preserve">opérations de contre-terrorisme menées par </w:t>
      </w:r>
      <w:r w:rsidR="00983168" w:rsidRPr="007571A1">
        <w:t>les forces armées maliennes</w:t>
      </w:r>
      <w:r w:rsidR="00983168" w:rsidRPr="00C159F8">
        <w:t xml:space="preserve"> en août et septembre 2015</w:t>
      </w:r>
      <w:r w:rsidR="00E83C0A">
        <w:t xml:space="preserve"> à</w:t>
      </w:r>
      <w:r w:rsidR="00E554B8">
        <w:t xml:space="preserve"> </w:t>
      </w:r>
      <w:r w:rsidR="00983168" w:rsidRPr="00C159F8">
        <w:t>Nara (</w:t>
      </w:r>
      <w:r w:rsidR="00E83C0A">
        <w:t xml:space="preserve">à </w:t>
      </w:r>
      <w:r w:rsidR="00983168" w:rsidRPr="00C159F8">
        <w:t>370</w:t>
      </w:r>
      <w:r w:rsidR="00E83C0A">
        <w:t> </w:t>
      </w:r>
      <w:r w:rsidR="00983168" w:rsidRPr="00C159F8">
        <w:t xml:space="preserve">km au nord de Bamako), </w:t>
      </w:r>
      <w:r w:rsidR="00E83C0A">
        <w:t xml:space="preserve">dans la </w:t>
      </w:r>
      <w:r w:rsidR="00983168" w:rsidRPr="00C159F8">
        <w:t xml:space="preserve">région de Koulikoro. Des </w:t>
      </w:r>
      <w:r w:rsidR="00FF0E0A" w:rsidRPr="00FF0E0A">
        <w:t xml:space="preserve">spécialistes </w:t>
      </w:r>
      <w:r w:rsidR="00983168" w:rsidRPr="00FF0E0A">
        <w:t xml:space="preserve">des droits </w:t>
      </w:r>
      <w:r w:rsidR="00FF0E0A" w:rsidRPr="009A0948">
        <w:t xml:space="preserve">de l’homme </w:t>
      </w:r>
      <w:r w:rsidR="00983168" w:rsidRPr="00C159F8">
        <w:t>ont interrogé cinq des huit détenus. L</w:t>
      </w:r>
      <w:r w:rsidR="00E554B8">
        <w:t>’</w:t>
      </w:r>
      <w:r w:rsidR="00983168" w:rsidRPr="00C159F8">
        <w:t>un d</w:t>
      </w:r>
      <w:r w:rsidR="00E554B8">
        <w:t>’</w:t>
      </w:r>
      <w:r w:rsidR="00983168" w:rsidRPr="00C159F8">
        <w:t>eux a affirmé n</w:t>
      </w:r>
      <w:r w:rsidR="00983168" w:rsidRPr="00FC605C">
        <w:rPr>
          <w:strike/>
        </w:rPr>
        <w:t>e</w:t>
      </w:r>
      <w:r w:rsidR="00983168" w:rsidRPr="00C159F8">
        <w:t xml:space="preserve"> pas avoir été nourri pendant sa détention. Il devait se nourrir par ses propres moyens. Deux autres personnes ont également indiqué qu</w:t>
      </w:r>
      <w:r w:rsidR="00E554B8">
        <w:t>’</w:t>
      </w:r>
      <w:r w:rsidR="00E83C0A">
        <w:t xml:space="preserve">elles </w:t>
      </w:r>
      <w:r w:rsidR="00983168" w:rsidRPr="00C159F8">
        <w:t>étaient souvent privé</w:t>
      </w:r>
      <w:r w:rsidR="00E83C0A">
        <w:t>e</w:t>
      </w:r>
      <w:r w:rsidR="00983168" w:rsidRPr="00C159F8">
        <w:t xml:space="preserve">s de nourriture et </w:t>
      </w:r>
      <w:r w:rsidR="00853B78">
        <w:t xml:space="preserve">qu’elles étaient </w:t>
      </w:r>
      <w:r w:rsidR="00983168" w:rsidRPr="00C159F8">
        <w:t xml:space="preserve">détenues dans de très petites cellules </w:t>
      </w:r>
      <w:r w:rsidR="00853B78">
        <w:t xml:space="preserve">ne disposant </w:t>
      </w:r>
      <w:r w:rsidR="00853B78" w:rsidRPr="007571A1">
        <w:t>pas d’</w:t>
      </w:r>
      <w:r w:rsidR="00983168" w:rsidRPr="007571A1">
        <w:t>installations hygiénique</w:t>
      </w:r>
      <w:r w:rsidR="00903B12" w:rsidRPr="007571A1">
        <w:t>s</w:t>
      </w:r>
      <w:r w:rsidR="00983168" w:rsidRPr="00C159F8">
        <w:t xml:space="preserve">. La détention de ces individus n’était pas en conformité avec les exigences de la législation nationale </w:t>
      </w:r>
      <w:r w:rsidR="00452198">
        <w:t xml:space="preserve">puisqu’ils étaient détenus </w:t>
      </w:r>
      <w:r w:rsidR="00983168" w:rsidRPr="00C159F8">
        <w:t xml:space="preserve">depuis </w:t>
      </w:r>
      <w:r w:rsidR="00633247">
        <w:t>s</w:t>
      </w:r>
      <w:r w:rsidR="00983168" w:rsidRPr="00C159F8">
        <w:t xml:space="preserve">eptembre 2015 sans </w:t>
      </w:r>
      <w:r w:rsidR="00452198">
        <w:t xml:space="preserve">avoir été </w:t>
      </w:r>
      <w:r w:rsidR="00983168" w:rsidRPr="00C159F8">
        <w:t>présenté</w:t>
      </w:r>
      <w:r w:rsidR="00452198">
        <w:t>s</w:t>
      </w:r>
      <w:r w:rsidR="00983168" w:rsidRPr="00C159F8">
        <w:t xml:space="preserve"> devant un juge </w:t>
      </w:r>
      <w:r w:rsidR="00452198">
        <w:t xml:space="preserve">et n’avaient reçu aucun </w:t>
      </w:r>
      <w:r w:rsidR="00983168" w:rsidRPr="00C159F8">
        <w:t>document attestant qu</w:t>
      </w:r>
      <w:r w:rsidR="00E554B8">
        <w:t>’</w:t>
      </w:r>
      <w:r w:rsidR="00983168" w:rsidRPr="00C159F8">
        <w:t xml:space="preserve">ils </w:t>
      </w:r>
      <w:r w:rsidR="00452198">
        <w:t xml:space="preserve">étaient </w:t>
      </w:r>
      <w:r w:rsidR="00983168" w:rsidRPr="00C159F8">
        <w:t>officiellement placés en prison. En vertu de la loi antiterroriste malienne, la garde à vue d</w:t>
      </w:r>
      <w:r w:rsidR="00E554B8">
        <w:t>’</w:t>
      </w:r>
      <w:r w:rsidR="00983168" w:rsidRPr="00C159F8">
        <w:t xml:space="preserve">un terroriste présumé peut être prolongée par un juge </w:t>
      </w:r>
      <w:r w:rsidR="00983168" w:rsidRPr="007571A1">
        <w:t>compétent, pour une période de 48 heures, trois fois (</w:t>
      </w:r>
      <w:r w:rsidR="00633247" w:rsidRPr="007571A1">
        <w:t>a</w:t>
      </w:r>
      <w:r w:rsidR="00983168" w:rsidRPr="007571A1">
        <w:t>rt</w:t>
      </w:r>
      <w:r w:rsidR="005C07B0" w:rsidRPr="007571A1">
        <w:t>icle </w:t>
      </w:r>
      <w:r w:rsidR="00983168" w:rsidRPr="007571A1">
        <w:t>7</w:t>
      </w:r>
      <w:r w:rsidR="005C07B0" w:rsidRPr="007571A1">
        <w:t xml:space="preserve"> de la</w:t>
      </w:r>
      <w:r w:rsidR="00983168" w:rsidRPr="007571A1">
        <w:t xml:space="preserve"> loi </w:t>
      </w:r>
      <w:r w:rsidR="00BF7878" w:rsidRPr="007571A1">
        <w:t>n</w:t>
      </w:r>
      <w:r w:rsidR="00BF7878" w:rsidRPr="00FC605C">
        <w:rPr>
          <w:vertAlign w:val="superscript"/>
        </w:rPr>
        <w:t>o</w:t>
      </w:r>
      <w:r w:rsidR="00BF7878" w:rsidRPr="007571A1">
        <w:t> </w:t>
      </w:r>
      <w:r w:rsidR="00983168" w:rsidRPr="007571A1">
        <w:t>2013-016 du 21 mai 2013</w:t>
      </w:r>
      <w:r w:rsidR="00F1075C">
        <w:t xml:space="preserve"> </w:t>
      </w:r>
      <w:r w:rsidR="00F1075C" w:rsidRPr="00FC605C">
        <w:rPr>
          <w:lang w:val="fr-FR"/>
        </w:rPr>
        <w:t>portant modification de la loi n</w:t>
      </w:r>
      <w:r w:rsidR="00F1075C" w:rsidRPr="00FC605C">
        <w:rPr>
          <w:vertAlign w:val="superscript"/>
          <w:lang w:val="fr-FR"/>
        </w:rPr>
        <w:t>o</w:t>
      </w:r>
      <w:r w:rsidR="00F1075C" w:rsidRPr="00FC605C">
        <w:rPr>
          <w:lang w:val="fr-FR"/>
        </w:rPr>
        <w:t> 01-080 du 20 août 2001 portant Code de procédure pénale</w:t>
      </w:r>
      <w:r w:rsidR="00983168" w:rsidRPr="007571A1">
        <w:t>).</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44.</w:t>
      </w:r>
      <w:r w:rsidRPr="007571A1">
        <w:rPr>
          <w:bCs/>
        </w:rPr>
        <w:tab/>
      </w:r>
      <w:r w:rsidR="00983168" w:rsidRPr="007571A1">
        <w:t xml:space="preserve">Le 22 </w:t>
      </w:r>
      <w:r w:rsidR="00633247" w:rsidRPr="007571A1">
        <w:t>o</w:t>
      </w:r>
      <w:r w:rsidR="00983168" w:rsidRPr="007571A1">
        <w:t xml:space="preserve">ctobre, des </w:t>
      </w:r>
      <w:r w:rsidR="00FF0E0A" w:rsidRPr="007571A1">
        <w:t xml:space="preserve">spécialistes </w:t>
      </w:r>
      <w:r w:rsidR="00983168" w:rsidRPr="007571A1">
        <w:t>des droits de l</w:t>
      </w:r>
      <w:r w:rsidR="00E554B8" w:rsidRPr="007571A1">
        <w:t>’</w:t>
      </w:r>
      <w:r w:rsidR="00983168" w:rsidRPr="007571A1">
        <w:t xml:space="preserve">homme de Mopti ont interviewé un membre de la communauté </w:t>
      </w:r>
      <w:r w:rsidR="0054109D" w:rsidRPr="007571A1">
        <w:t>p</w:t>
      </w:r>
      <w:r w:rsidR="00983168" w:rsidRPr="007571A1">
        <w:t>eul</w:t>
      </w:r>
      <w:r w:rsidR="0054109D" w:rsidRPr="007571A1">
        <w:t>e</w:t>
      </w:r>
      <w:r w:rsidR="00983168" w:rsidRPr="007571A1">
        <w:t xml:space="preserve"> qui a</w:t>
      </w:r>
      <w:r w:rsidR="002B06F0" w:rsidRPr="007571A1">
        <w:t>vait</w:t>
      </w:r>
      <w:r w:rsidR="00983168" w:rsidRPr="007571A1">
        <w:t xml:space="preserve"> été arrêté le 25 </w:t>
      </w:r>
      <w:r w:rsidR="00633247" w:rsidRPr="007571A1">
        <w:t>s</w:t>
      </w:r>
      <w:r w:rsidR="00983168" w:rsidRPr="007571A1">
        <w:t xml:space="preserve">eptembre par la </w:t>
      </w:r>
      <w:r w:rsidR="008C3479" w:rsidRPr="007571A1">
        <w:t>g</w:t>
      </w:r>
      <w:r w:rsidR="00983168" w:rsidRPr="007571A1">
        <w:t xml:space="preserve">arde </w:t>
      </w:r>
      <w:r w:rsidR="005C07B0" w:rsidRPr="007571A1">
        <w:t>n</w:t>
      </w:r>
      <w:r w:rsidR="00983168" w:rsidRPr="007571A1">
        <w:t xml:space="preserve">ationale dans le village de Guidio (cercle de Youwarou, </w:t>
      </w:r>
      <w:r w:rsidR="00853B78" w:rsidRPr="007571A1">
        <w:t xml:space="preserve">dans la </w:t>
      </w:r>
      <w:r w:rsidR="00983168" w:rsidRPr="007571A1">
        <w:t xml:space="preserve">région de Mopti), </w:t>
      </w:r>
      <w:r w:rsidR="00853B78" w:rsidRPr="007571A1">
        <w:t xml:space="preserve">parce qu’il était </w:t>
      </w:r>
      <w:r w:rsidR="00983168" w:rsidRPr="007571A1">
        <w:t>soupçonné d</w:t>
      </w:r>
      <w:r w:rsidR="00E554B8" w:rsidRPr="007571A1">
        <w:t>’</w:t>
      </w:r>
      <w:r w:rsidR="00983168" w:rsidRPr="007571A1">
        <w:t xml:space="preserve">être un terroriste. Le détenu a affirmé que son arrestation était fondée sur son apparence physique (en référence à sa longue barbe et </w:t>
      </w:r>
      <w:r w:rsidR="00853B78" w:rsidRPr="007571A1">
        <w:t>à s</w:t>
      </w:r>
      <w:r w:rsidR="00983168" w:rsidRPr="007571A1">
        <w:t xml:space="preserve">es cheveux), mais cet individu avait été détenu pendant environ </w:t>
      </w:r>
      <w:r w:rsidR="00853B78" w:rsidRPr="007571A1">
        <w:t>un</w:t>
      </w:r>
      <w:r w:rsidR="00983168" w:rsidRPr="007571A1">
        <w:t xml:space="preserve"> mois sans qu’aucune accusation officielle </w:t>
      </w:r>
      <w:r w:rsidR="002B06F0" w:rsidRPr="007571A1">
        <w:t xml:space="preserve">ne </w:t>
      </w:r>
      <w:r w:rsidR="00983168" w:rsidRPr="007571A1">
        <w:t>lui soit notifiée.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45.</w:t>
      </w:r>
      <w:r w:rsidRPr="00C159F8">
        <w:rPr>
          <w:bCs/>
        </w:rPr>
        <w:tab/>
      </w:r>
      <w:r w:rsidR="00983168" w:rsidRPr="007571A1">
        <w:t xml:space="preserve">Le 24 </w:t>
      </w:r>
      <w:r w:rsidR="00A427EE" w:rsidRPr="007571A1">
        <w:t>j</w:t>
      </w:r>
      <w:r w:rsidR="00983168" w:rsidRPr="007571A1">
        <w:t xml:space="preserve">uillet, une équipe de spécialistes des droits de l’homme </w:t>
      </w:r>
      <w:r w:rsidR="00853B78" w:rsidRPr="007571A1">
        <w:t xml:space="preserve">a </w:t>
      </w:r>
      <w:r w:rsidR="00983168" w:rsidRPr="007571A1">
        <w:t>interviewé 17</w:t>
      </w:r>
      <w:r w:rsidR="00A427EE" w:rsidRPr="007571A1">
        <w:t> </w:t>
      </w:r>
      <w:r w:rsidR="00983168" w:rsidRPr="007571A1">
        <w:t xml:space="preserve">personnes détenues à Bamako, qui </w:t>
      </w:r>
      <w:r w:rsidR="00853B78" w:rsidRPr="007571A1">
        <w:t xml:space="preserve">avaient </w:t>
      </w:r>
      <w:r w:rsidR="00983168" w:rsidRPr="007571A1">
        <w:t>été arrêtées par l</w:t>
      </w:r>
      <w:r w:rsidR="008C3479" w:rsidRPr="007571A1">
        <w:t>es forces a</w:t>
      </w:r>
      <w:r w:rsidR="00983168" w:rsidRPr="007571A1">
        <w:t>rmée</w:t>
      </w:r>
      <w:r w:rsidR="008C3479" w:rsidRPr="007571A1">
        <w:t>s</w:t>
      </w:r>
      <w:r w:rsidR="00983168" w:rsidRPr="007571A1">
        <w:t xml:space="preserve"> </w:t>
      </w:r>
      <w:r w:rsidR="00D9105F" w:rsidRPr="007571A1">
        <w:t>m</w:t>
      </w:r>
      <w:r w:rsidR="00983168" w:rsidRPr="007571A1">
        <w:t>alienne</w:t>
      </w:r>
      <w:r w:rsidR="008C3479" w:rsidRPr="007571A1">
        <w:t>s</w:t>
      </w:r>
      <w:r w:rsidR="00983168" w:rsidRPr="007571A1">
        <w:t xml:space="preserve"> </w:t>
      </w:r>
      <w:r w:rsidR="008C3479" w:rsidRPr="007571A1">
        <w:t xml:space="preserve">à </w:t>
      </w:r>
      <w:r w:rsidR="00983168" w:rsidRPr="007571A1">
        <w:t xml:space="preserve">Fakola et Misséni, </w:t>
      </w:r>
      <w:r w:rsidR="008C3479" w:rsidRPr="009A0948">
        <w:t xml:space="preserve">dans la </w:t>
      </w:r>
      <w:r w:rsidR="00983168" w:rsidRPr="007571A1">
        <w:t>région de Sikasso,</w:t>
      </w:r>
      <w:r w:rsidR="00983168" w:rsidRPr="00C159F8">
        <w:t xml:space="preserve"> </w:t>
      </w:r>
      <w:r w:rsidR="00853B78">
        <w:t xml:space="preserve">parce qu’elles étaient </w:t>
      </w:r>
      <w:r w:rsidR="00983168" w:rsidRPr="00C159F8">
        <w:t>soupçonnées de collaborer avec les jihadistes. Deux ressortissants de la Côte d</w:t>
      </w:r>
      <w:r w:rsidR="00E554B8">
        <w:t>’</w:t>
      </w:r>
      <w:r w:rsidR="00983168" w:rsidRPr="00C159F8">
        <w:t xml:space="preserve">Ivoire, </w:t>
      </w:r>
      <w:r w:rsidR="00853B78">
        <w:t xml:space="preserve">dont </w:t>
      </w:r>
      <w:r w:rsidR="00983168" w:rsidRPr="00C159F8">
        <w:t>un garçon de 13</w:t>
      </w:r>
      <w:r w:rsidR="002B06F0">
        <w:t> </w:t>
      </w:r>
      <w:r w:rsidR="00983168" w:rsidRPr="00C159F8">
        <w:t xml:space="preserve">ans, et un </w:t>
      </w:r>
      <w:r w:rsidR="00672280" w:rsidRPr="00D7645F">
        <w:t>M</w:t>
      </w:r>
      <w:r w:rsidR="00983168" w:rsidRPr="00D7645F">
        <w:t xml:space="preserve">auritanien </w:t>
      </w:r>
      <w:r w:rsidR="002B06F0" w:rsidRPr="00D7645F">
        <w:t>figuraient</w:t>
      </w:r>
      <w:r w:rsidR="002B06F0">
        <w:t xml:space="preserve"> </w:t>
      </w:r>
      <w:r w:rsidR="00983168" w:rsidRPr="00C159F8">
        <w:t xml:space="preserve">parmi les 17 détenus. Sept des 17 détenus ont affirmé avoir été battus lors de leur arrestation et pendant leur détention. Les </w:t>
      </w:r>
      <w:r w:rsidR="00F81EED" w:rsidRPr="00F81EED">
        <w:t xml:space="preserve">spécialistes </w:t>
      </w:r>
      <w:r w:rsidR="00983168" w:rsidRPr="00F81EED">
        <w:t xml:space="preserve">des droits </w:t>
      </w:r>
      <w:r w:rsidR="00F81EED" w:rsidRPr="009A0948">
        <w:t xml:space="preserve">de l’homme </w:t>
      </w:r>
      <w:r w:rsidR="00983168" w:rsidRPr="00F81EED">
        <w:t>ont</w:t>
      </w:r>
      <w:r w:rsidR="00983168" w:rsidRPr="00C159F8">
        <w:t xml:space="preserve"> observé des signes de mauvais traitements sur certains des détenus. L</w:t>
      </w:r>
      <w:r w:rsidR="00E554B8">
        <w:t>’</w:t>
      </w:r>
      <w:r w:rsidR="00983168" w:rsidRPr="00C159F8">
        <w:t xml:space="preserve">un des détenus a indiqué que les gendarmes </w:t>
      </w:r>
      <w:r w:rsidR="00853B78">
        <w:t>avaie</w:t>
      </w:r>
      <w:r w:rsidR="00983168" w:rsidRPr="00C159F8">
        <w:t>nt menacé de lui couper la gorge s’il n</w:t>
      </w:r>
      <w:r w:rsidR="00E554B8">
        <w:t>’</w:t>
      </w:r>
      <w:r w:rsidR="00983168" w:rsidRPr="00C159F8">
        <w:t>avouait pas être un informateur pour les jihadistes. Il est à noter que les 17</w:t>
      </w:r>
      <w:r w:rsidR="004F0F77">
        <w:t> </w:t>
      </w:r>
      <w:r w:rsidR="00983168" w:rsidRPr="00C159F8">
        <w:t xml:space="preserve">détenus ont </w:t>
      </w:r>
      <w:r w:rsidR="00853B78">
        <w:t xml:space="preserve">tous </w:t>
      </w:r>
      <w:r w:rsidR="00983168" w:rsidRPr="00C159F8">
        <w:t xml:space="preserve">nié être affiliés ou </w:t>
      </w:r>
      <w:r w:rsidR="00853B78">
        <w:t xml:space="preserve">avoir </w:t>
      </w:r>
      <w:r w:rsidR="00983168" w:rsidRPr="00C159F8">
        <w:t>collaboré avec un groupe armé et se sont identifiés comme mineurs artisanaux, commerçants, éleveurs, agriculteurs et</w:t>
      </w:r>
      <w:r w:rsidR="00853B78">
        <w:t>, pour l’</w:t>
      </w:r>
      <w:r w:rsidR="00983168" w:rsidRPr="00C159F8">
        <w:t xml:space="preserve">un </w:t>
      </w:r>
      <w:r w:rsidR="00853B78">
        <w:t xml:space="preserve">d’entre eux, </w:t>
      </w:r>
      <w:r w:rsidR="00983168" w:rsidRPr="00C159F8">
        <w:t>comme un enseignant religieux. L’Expert indépendant a été informé que</w:t>
      </w:r>
      <w:r w:rsidR="00853B78">
        <w:t>,</w:t>
      </w:r>
      <w:r w:rsidR="00983168" w:rsidRPr="00C159F8">
        <w:t xml:space="preserve"> depuis fin </w:t>
      </w:r>
      <w:r w:rsidR="00A427EE">
        <w:t>j</w:t>
      </w:r>
      <w:r w:rsidR="00983168" w:rsidRPr="00C159F8">
        <w:t xml:space="preserve">uin 2015, plusieurs groupes </w:t>
      </w:r>
      <w:r w:rsidR="00853B78">
        <w:t xml:space="preserve">affirment que des </w:t>
      </w:r>
      <w:r w:rsidR="00983168" w:rsidRPr="00C159F8">
        <w:t>actes de torture et de mauvais traitements leur aurai</w:t>
      </w:r>
      <w:r w:rsidR="00853B78">
        <w:t>en</w:t>
      </w:r>
      <w:r w:rsidR="00983168" w:rsidRPr="00C159F8">
        <w:t xml:space="preserve">t été infligés par </w:t>
      </w:r>
      <w:r w:rsidR="001824D9" w:rsidRPr="001824D9">
        <w:t>l</w:t>
      </w:r>
      <w:r w:rsidR="00983168" w:rsidRPr="001824D9">
        <w:t>es</w:t>
      </w:r>
      <w:r w:rsidR="00983168" w:rsidRPr="00C159F8">
        <w:t xml:space="preserve"> forces de</w:t>
      </w:r>
      <w:r w:rsidR="00E554B8">
        <w:t xml:space="preserve"> </w:t>
      </w:r>
      <w:r w:rsidR="00983168" w:rsidRPr="00C159F8">
        <w:t>défense et de sécurité malienne</w:t>
      </w:r>
      <w:r w:rsidR="005C07B0">
        <w:t>s</w:t>
      </w:r>
      <w:r w:rsidR="00983168" w:rsidRPr="00C159F8">
        <w:t xml:space="preserve"> lors d’arrestations dans le cadre de la lutte contre le terrorisme.</w:t>
      </w:r>
    </w:p>
    <w:p w:rsidR="00983168" w:rsidRPr="00C159F8" w:rsidRDefault="00983168">
      <w:pPr>
        <w:pStyle w:val="H23G"/>
        <w:rPr>
          <w:lang w:val="fr-CH"/>
        </w:rPr>
      </w:pPr>
      <w:r w:rsidRPr="00C159F8">
        <w:rPr>
          <w:lang w:val="fr-FR"/>
        </w:rPr>
        <w:tab/>
      </w:r>
      <w:r w:rsidRPr="00C159F8">
        <w:rPr>
          <w:lang w:val="fr-CH"/>
        </w:rPr>
        <w:t>2.</w:t>
      </w:r>
      <w:r w:rsidRPr="00C159F8">
        <w:rPr>
          <w:lang w:val="fr-CH"/>
        </w:rPr>
        <w:tab/>
      </w:r>
      <w:r w:rsidR="00FA7B97">
        <w:rPr>
          <w:lang w:val="fr-CH"/>
        </w:rPr>
        <w:t>A</w:t>
      </w:r>
      <w:r w:rsidRPr="00C159F8">
        <w:rPr>
          <w:lang w:val="fr-CH"/>
        </w:rPr>
        <w:t>tteintes aux droits de l’homme commises par les groupes armés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46.</w:t>
      </w:r>
      <w:r w:rsidRPr="00C159F8">
        <w:rPr>
          <w:bCs/>
        </w:rPr>
        <w:tab/>
      </w:r>
      <w:r w:rsidR="00622FFC">
        <w:t xml:space="preserve">Entre </w:t>
      </w:r>
      <w:r w:rsidR="00983168" w:rsidRPr="00C159F8">
        <w:t xml:space="preserve">mars </w:t>
      </w:r>
      <w:r w:rsidR="00622FFC">
        <w:t xml:space="preserve">et </w:t>
      </w:r>
      <w:r w:rsidR="00983168" w:rsidRPr="00C159F8">
        <w:t>septembre 2015</w:t>
      </w:r>
      <w:r w:rsidR="00622FFC">
        <w:t>,</w:t>
      </w:r>
      <w:r w:rsidR="00983168" w:rsidRPr="00C159F8">
        <w:t xml:space="preserve"> la </w:t>
      </w:r>
      <w:r w:rsidR="00954B03" w:rsidRPr="00C159F8">
        <w:t>Division de</w:t>
      </w:r>
      <w:r w:rsidR="00954B03">
        <w:t>s</w:t>
      </w:r>
      <w:r w:rsidR="00954B03" w:rsidRPr="00C159F8">
        <w:t xml:space="preserve"> droits de l’homme de la MINUSMA</w:t>
      </w:r>
      <w:r w:rsidR="00983168" w:rsidRPr="00C159F8">
        <w:t xml:space="preserve"> a enregistré 120 cas de personnes privées de liberté par des groupes </w:t>
      </w:r>
      <w:r w:rsidR="00983168" w:rsidRPr="009847EC">
        <w:t>armés (</w:t>
      </w:r>
      <w:r w:rsidR="005C07B0" w:rsidRPr="009847EC">
        <w:t>Mouvement national pour la libération de l’Azawad</w:t>
      </w:r>
      <w:r w:rsidR="00BB65C4" w:rsidRPr="009847EC">
        <w:t xml:space="preserve"> et</w:t>
      </w:r>
      <w:r w:rsidR="00983168" w:rsidRPr="009847EC">
        <w:t xml:space="preserve"> </w:t>
      </w:r>
      <w:r w:rsidR="001824D9" w:rsidRPr="009847EC">
        <w:t>Mouvement arab</w:t>
      </w:r>
      <w:r w:rsidR="00AC10B8" w:rsidRPr="009847EC">
        <w:t>e</w:t>
      </w:r>
      <w:r w:rsidR="001824D9" w:rsidRPr="009847EC">
        <w:t xml:space="preserve"> de l’Azawad </w:t>
      </w:r>
      <w:r w:rsidR="0088579B" w:rsidRPr="009847EC">
        <w:t>(Coordination et Plateforme)</w:t>
      </w:r>
      <w:r w:rsidR="004E7CED" w:rsidRPr="009847EC">
        <w:t>)</w:t>
      </w:r>
      <w:r w:rsidR="0088579B">
        <w:t xml:space="preserve"> </w:t>
      </w:r>
      <w:r w:rsidR="00983168" w:rsidRPr="0088579B">
        <w:t>dont</w:t>
      </w:r>
      <w:r w:rsidR="00983168" w:rsidRPr="00C159F8">
        <w:t xml:space="preserve"> 62</w:t>
      </w:r>
      <w:r w:rsidR="00B46792">
        <w:t> </w:t>
      </w:r>
      <w:r w:rsidR="00983168" w:rsidRPr="00C159F8">
        <w:t xml:space="preserve">présumés combattants capturés </w:t>
      </w:r>
      <w:r w:rsidR="00983168" w:rsidRPr="00BB65C4">
        <w:t xml:space="preserve">par l’un </w:t>
      </w:r>
      <w:r w:rsidR="00BB65C4" w:rsidRPr="009A0948">
        <w:t xml:space="preserve">de ces </w:t>
      </w:r>
      <w:r w:rsidR="00983168" w:rsidRPr="00BB65C4">
        <w:t>groupe</w:t>
      </w:r>
      <w:r w:rsidR="00BB65C4" w:rsidRPr="00BB65C4">
        <w:t>s</w:t>
      </w:r>
      <w:r w:rsidR="00983168" w:rsidRPr="00BB65C4">
        <w:t xml:space="preserve"> lors des affr</w:t>
      </w:r>
      <w:r w:rsidR="00983168" w:rsidRPr="00C159F8">
        <w:t>ontements, 37</w:t>
      </w:r>
      <w:r w:rsidR="00B46792">
        <w:t> </w:t>
      </w:r>
      <w:r w:rsidR="00983168" w:rsidRPr="00C159F8">
        <w:t>détenus</w:t>
      </w:r>
      <w:r w:rsidR="00622FFC">
        <w:t xml:space="preserve"> sont des</w:t>
      </w:r>
      <w:r w:rsidR="00983168" w:rsidRPr="00C159F8">
        <w:t xml:space="preserve"> civils arrêtés pour des infractions de droit commun</w:t>
      </w:r>
      <w:r w:rsidR="00622FFC">
        <w:t xml:space="preserve"> ou des </w:t>
      </w:r>
      <w:r w:rsidR="00983168" w:rsidRPr="00C159F8">
        <w:t>braquages, 18</w:t>
      </w:r>
      <w:r w:rsidR="00622FFC">
        <w:t> </w:t>
      </w:r>
      <w:r w:rsidR="00983168" w:rsidRPr="00C159F8">
        <w:t xml:space="preserve">autres </w:t>
      </w:r>
      <w:r w:rsidR="00622FFC">
        <w:t xml:space="preserve">ont été </w:t>
      </w:r>
      <w:r w:rsidR="00983168" w:rsidRPr="00C159F8">
        <w:t>arrêtés pour des motifs communautaires (s</w:t>
      </w:r>
      <w:r w:rsidR="00BB65C4">
        <w:t>ou</w:t>
      </w:r>
      <w:r w:rsidR="00FA7B97">
        <w:t>p</w:t>
      </w:r>
      <w:r w:rsidR="00BB65C4">
        <w:t xml:space="preserve">çonnés </w:t>
      </w:r>
      <w:r w:rsidR="00983168" w:rsidRPr="00C159F8">
        <w:t xml:space="preserve">de travailler pour le compte </w:t>
      </w:r>
      <w:r w:rsidR="00BB65C4">
        <w:t>d’</w:t>
      </w:r>
      <w:r w:rsidR="00BB65C4" w:rsidRPr="00BB65C4">
        <w:t>un</w:t>
      </w:r>
      <w:r w:rsidR="00983168" w:rsidRPr="00BB65C4">
        <w:t xml:space="preserve"> autre groupe</w:t>
      </w:r>
      <w:r w:rsidR="00983168" w:rsidRPr="00C159F8">
        <w:t xml:space="preserve"> ou </w:t>
      </w:r>
      <w:r w:rsidR="00BB65C4">
        <w:t xml:space="preserve">d’exercer </w:t>
      </w:r>
      <w:r w:rsidR="00BB65C4" w:rsidRPr="00BB65C4">
        <w:t xml:space="preserve">des </w:t>
      </w:r>
      <w:r w:rsidR="00983168" w:rsidRPr="00BB65C4">
        <w:t>représailles)</w:t>
      </w:r>
      <w:r w:rsidR="00983168" w:rsidRPr="00C159F8">
        <w:t xml:space="preserve"> et 3 pour collaboration présumée avec </w:t>
      </w:r>
      <w:r w:rsidR="001C33AB">
        <w:t xml:space="preserve">la force </w:t>
      </w:r>
      <w:r w:rsidR="00983168" w:rsidRPr="001C33AB">
        <w:t>Barkhane</w:t>
      </w:r>
      <w:r w:rsidR="00983168" w:rsidRPr="00C159F8">
        <w:t xml:space="preserve">. </w:t>
      </w:r>
      <w:r w:rsidR="00622FFC">
        <w:t xml:space="preserve">Sur ces </w:t>
      </w:r>
      <w:r w:rsidR="00983168" w:rsidRPr="00C159F8">
        <w:t>120</w:t>
      </w:r>
      <w:r w:rsidR="004F0F77">
        <w:t> </w:t>
      </w:r>
      <w:r w:rsidR="00983168" w:rsidRPr="00C159F8">
        <w:t>détenus</w:t>
      </w:r>
      <w:r w:rsidR="00622FFC">
        <w:t>, cinq</w:t>
      </w:r>
      <w:r w:rsidR="00983168" w:rsidRPr="00C159F8">
        <w:t xml:space="preserve"> ont rapporté </w:t>
      </w:r>
      <w:r w:rsidR="00583B7A">
        <w:t xml:space="preserve">avoir subi </w:t>
      </w:r>
      <w:r w:rsidR="00983168" w:rsidRPr="00C159F8">
        <w:t xml:space="preserve">des actes de mauvais traitements et de torture lors de leur arrestation. </w:t>
      </w:r>
      <w:r w:rsidR="005C07B0">
        <w:t xml:space="preserve">Quarante-cinq </w:t>
      </w:r>
      <w:r w:rsidR="00983168" w:rsidRPr="00C159F8">
        <w:t xml:space="preserve">autres </w:t>
      </w:r>
      <w:r w:rsidR="00583B7A">
        <w:t xml:space="preserve">détenus </w:t>
      </w:r>
      <w:r w:rsidR="00983168" w:rsidRPr="00C159F8">
        <w:t>ont été libérés</w:t>
      </w:r>
      <w:r w:rsidR="00583B7A">
        <w:t>,</w:t>
      </w:r>
      <w:r w:rsidR="00983168" w:rsidRPr="00C159F8">
        <w:t xml:space="preserve"> le plus </w:t>
      </w:r>
      <w:r w:rsidR="00E15E3C" w:rsidRPr="00BB65C4">
        <w:t>fréquemment</w:t>
      </w:r>
      <w:r w:rsidR="00983168" w:rsidRPr="00C159F8">
        <w:t xml:space="preserve"> de façon unilatérale par le groupe armé détenteur ou après le paiement d’une compensation </w:t>
      </w:r>
      <w:r w:rsidR="00583B7A">
        <w:t>pour l</w:t>
      </w:r>
      <w:r w:rsidR="00983168" w:rsidRPr="00C159F8">
        <w:t xml:space="preserve">es valeurs volées.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47.</w:t>
      </w:r>
      <w:r w:rsidRPr="00C159F8">
        <w:rPr>
          <w:bCs/>
        </w:rPr>
        <w:tab/>
      </w:r>
      <w:r w:rsidR="00983168" w:rsidRPr="00C159F8">
        <w:t>L</w:t>
      </w:r>
      <w:r w:rsidR="00B32ED9">
        <w:t xml:space="preserve">es </w:t>
      </w:r>
      <w:r w:rsidR="00983168" w:rsidRPr="004A56BE">
        <w:t>enlèvements</w:t>
      </w:r>
      <w:r w:rsidR="007060FA" w:rsidRPr="004A56BE">
        <w:rPr>
          <w:rStyle w:val="FootnoteReference"/>
        </w:rPr>
        <w:footnoteReference w:id="3"/>
      </w:r>
      <w:r w:rsidR="00983168" w:rsidRPr="004A56BE">
        <w:t xml:space="preserve"> et </w:t>
      </w:r>
      <w:r w:rsidR="00B32ED9" w:rsidRPr="004A56BE">
        <w:t>les</w:t>
      </w:r>
      <w:r w:rsidR="00B32ED9">
        <w:t xml:space="preserve"> </w:t>
      </w:r>
      <w:r w:rsidR="00983168" w:rsidRPr="00C159F8">
        <w:t xml:space="preserve">disparitions forcées imputables aux groupes armés dans les régions de Gao, </w:t>
      </w:r>
      <w:r w:rsidR="009A78C0">
        <w:t xml:space="preserve">de </w:t>
      </w:r>
      <w:r w:rsidR="00983168" w:rsidRPr="00C159F8">
        <w:t xml:space="preserve">Tombouctou et </w:t>
      </w:r>
      <w:r w:rsidR="009A78C0">
        <w:t xml:space="preserve">de </w:t>
      </w:r>
      <w:r w:rsidR="00983168" w:rsidRPr="00C159F8">
        <w:t>Kidal</w:t>
      </w:r>
      <w:r w:rsidR="00583B7A">
        <w:t>,</w:t>
      </w:r>
      <w:r w:rsidR="00983168" w:rsidRPr="00C159F8">
        <w:t xml:space="preserve"> qui </w:t>
      </w:r>
      <w:r w:rsidR="00583B7A">
        <w:t xml:space="preserve">avait été </w:t>
      </w:r>
      <w:r w:rsidR="00983168" w:rsidRPr="00C159F8">
        <w:t>observé</w:t>
      </w:r>
      <w:r w:rsidR="00B32ED9">
        <w:t>s</w:t>
      </w:r>
      <w:r w:rsidR="00983168" w:rsidRPr="00C159F8">
        <w:t xml:space="preserve"> durant la période précédente, </w:t>
      </w:r>
      <w:r w:rsidR="00B32ED9">
        <w:t xml:space="preserve">ont </w:t>
      </w:r>
      <w:r w:rsidR="00983168" w:rsidRPr="00C159F8">
        <w:t xml:space="preserve">continué durant la </w:t>
      </w:r>
      <w:r w:rsidR="00983168" w:rsidRPr="009D0320">
        <w:t xml:space="preserve">période </w:t>
      </w:r>
      <w:r w:rsidR="00453C24">
        <w:t>considérée</w:t>
      </w:r>
      <w:r w:rsidR="00983168" w:rsidRPr="009D0320">
        <w:t>.</w:t>
      </w:r>
      <w:r w:rsidR="00983168" w:rsidRPr="00C159F8">
        <w:t xml:space="preserve"> Ainsi, au moins 18</w:t>
      </w:r>
      <w:r w:rsidR="009A78C0">
        <w:t> </w:t>
      </w:r>
      <w:r w:rsidR="00983168" w:rsidRPr="00C159F8">
        <w:t>personnes auraient été enlevé</w:t>
      </w:r>
      <w:r w:rsidR="00583B7A">
        <w:t>e</w:t>
      </w:r>
      <w:r w:rsidR="00983168" w:rsidRPr="00C159F8">
        <w:t xml:space="preserve">s, dont neuf combattants de la CMA portés disparus </w:t>
      </w:r>
      <w:r w:rsidR="0088579B">
        <w:t xml:space="preserve">qui auraient été </w:t>
      </w:r>
      <w:r w:rsidR="00983168" w:rsidRPr="009847EC">
        <w:t>transférés</w:t>
      </w:r>
      <w:r w:rsidR="00983168" w:rsidRPr="00C159F8">
        <w:t xml:space="preserve"> à Gao mais </w:t>
      </w:r>
      <w:r w:rsidR="004E7CED">
        <w:t xml:space="preserve">que </w:t>
      </w:r>
      <w:r w:rsidR="00983168" w:rsidRPr="00C159F8">
        <w:t xml:space="preserve">la </w:t>
      </w:r>
      <w:r w:rsidR="00954B03" w:rsidRPr="00C159F8">
        <w:t>Division de</w:t>
      </w:r>
      <w:r w:rsidR="00954B03">
        <w:t>s</w:t>
      </w:r>
      <w:r w:rsidR="00954B03" w:rsidRPr="00C159F8">
        <w:t xml:space="preserve"> droits de l’homme de la MINUSMA</w:t>
      </w:r>
      <w:r w:rsidR="00583B7A">
        <w:t xml:space="preserve"> n</w:t>
      </w:r>
      <w:r w:rsidR="004E7CED">
        <w:t>’</w:t>
      </w:r>
      <w:r w:rsidR="00583B7A">
        <w:t>a pas retrouvés</w:t>
      </w:r>
      <w:r w:rsidR="00983168" w:rsidRPr="00C159F8">
        <w:t>.</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48.</w:t>
      </w:r>
      <w:r w:rsidRPr="007571A1">
        <w:rPr>
          <w:bCs/>
        </w:rPr>
        <w:tab/>
      </w:r>
      <w:r w:rsidR="00C80B6B">
        <w:t xml:space="preserve">Entre </w:t>
      </w:r>
      <w:r w:rsidR="00983168" w:rsidRPr="00C159F8">
        <w:t xml:space="preserve">mars </w:t>
      </w:r>
      <w:r w:rsidR="00C80B6B">
        <w:t xml:space="preserve">et </w:t>
      </w:r>
      <w:r w:rsidR="00983168" w:rsidRPr="00C159F8">
        <w:t xml:space="preserve">septembre 2015, la CMA a arrêté 22 éléments des </w:t>
      </w:r>
      <w:r w:rsidR="003E2C08">
        <w:t>f</w:t>
      </w:r>
      <w:r w:rsidR="00983168" w:rsidRPr="00C159F8">
        <w:t xml:space="preserve">orces de </w:t>
      </w:r>
      <w:r w:rsidR="00C80B6B">
        <w:t>s</w:t>
      </w:r>
      <w:r w:rsidR="00983168" w:rsidRPr="00C159F8">
        <w:t xml:space="preserve">écurité </w:t>
      </w:r>
      <w:r w:rsidR="00C80B6B">
        <w:t>m</w:t>
      </w:r>
      <w:r w:rsidR="00983168" w:rsidRPr="00C159F8">
        <w:t xml:space="preserve">aliennes dont un policier et un gendarme. Le 2 septembre, la </w:t>
      </w:r>
      <w:r w:rsidR="00954B03" w:rsidRPr="00C159F8">
        <w:t>Division de</w:t>
      </w:r>
      <w:r w:rsidR="00954B03">
        <w:t>s</w:t>
      </w:r>
      <w:r w:rsidR="00954B03" w:rsidRPr="00C159F8">
        <w:t xml:space="preserve"> droits de l’homme de la MINUSMA</w:t>
      </w:r>
      <w:r w:rsidR="00983168" w:rsidRPr="00C159F8">
        <w:t xml:space="preserve"> a pu s’entretenir avec </w:t>
      </w:r>
      <w:r w:rsidR="00C80B6B">
        <w:t>c</w:t>
      </w:r>
      <w:r w:rsidR="00983168" w:rsidRPr="00C159F8">
        <w:t xml:space="preserve">es deux </w:t>
      </w:r>
      <w:r w:rsidR="00C80B6B">
        <w:t xml:space="preserve">personnes </w:t>
      </w:r>
      <w:r w:rsidR="00983168" w:rsidRPr="00C159F8">
        <w:t>détenu</w:t>
      </w:r>
      <w:r w:rsidR="00C80B6B">
        <w:t>e</w:t>
      </w:r>
      <w:r w:rsidR="00983168" w:rsidRPr="00C159F8">
        <w:t>s par la CMA à Ber dans la région de Tombouctou. Par contre, les 20</w:t>
      </w:r>
      <w:r w:rsidR="00C80B6B">
        <w:t xml:space="preserve"> autres</w:t>
      </w:r>
      <w:r w:rsidR="00983168" w:rsidRPr="00C159F8">
        <w:t xml:space="preserve"> </w:t>
      </w:r>
      <w:r w:rsidR="00983168" w:rsidRPr="007571A1">
        <w:t xml:space="preserve">éléments </w:t>
      </w:r>
      <w:r w:rsidR="00D9105F" w:rsidRPr="007571A1">
        <w:t xml:space="preserve">des forces armées maliennes </w:t>
      </w:r>
      <w:r w:rsidR="00983168" w:rsidRPr="007571A1">
        <w:t>sont détenus dans un lieu inconnu.</w:t>
      </w:r>
      <w:r w:rsidR="00C80B6B" w:rsidRPr="007571A1">
        <w:t xml:space="preserve"> L</w:t>
      </w:r>
      <w:r w:rsidR="00983168" w:rsidRPr="007571A1">
        <w:t xml:space="preserve">’accès à ces détenus </w:t>
      </w:r>
      <w:r w:rsidR="00C80B6B" w:rsidRPr="007571A1">
        <w:t xml:space="preserve">est </w:t>
      </w:r>
      <w:r w:rsidR="00983168" w:rsidRPr="007571A1">
        <w:t xml:space="preserve">un défi majeur </w:t>
      </w:r>
      <w:r w:rsidR="00C80B6B" w:rsidRPr="007571A1">
        <w:t xml:space="preserve">pour </w:t>
      </w:r>
      <w:r w:rsidR="00983168" w:rsidRPr="007571A1">
        <w:t xml:space="preserve">la </w:t>
      </w:r>
      <w:r w:rsidR="00954B03" w:rsidRPr="007571A1">
        <w:t>Division</w:t>
      </w:r>
      <w:r w:rsidR="00983168" w:rsidRPr="007571A1">
        <w:t>.</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49.</w:t>
      </w:r>
      <w:r w:rsidRPr="00C159F8">
        <w:rPr>
          <w:bCs/>
        </w:rPr>
        <w:tab/>
      </w:r>
      <w:r w:rsidR="00983168" w:rsidRPr="007571A1">
        <w:t>Depuis mars 2015</w:t>
      </w:r>
      <w:r w:rsidR="00C80B6B" w:rsidRPr="007571A1">
        <w:t>,</w:t>
      </w:r>
      <w:r w:rsidR="00983168" w:rsidRPr="007571A1">
        <w:t xml:space="preserve"> on a assisté à une recrudescence des explosions d’</w:t>
      </w:r>
      <w:r w:rsidR="00E15E3C" w:rsidRPr="009A0948">
        <w:t xml:space="preserve">engins explosifs improvisés </w:t>
      </w:r>
      <w:r w:rsidR="00983168" w:rsidRPr="007571A1">
        <w:t>sur plusieurs axes routiers de la région (Ansongo-Indelimane, Gao-Gossi, etc</w:t>
      </w:r>
      <w:r w:rsidR="005C07B0" w:rsidRPr="007571A1">
        <w:t>.</w:t>
      </w:r>
      <w:r w:rsidR="00983168" w:rsidRPr="007571A1">
        <w:t xml:space="preserve">). Sont ciblées aussi bien la MINUSMA (notamment les convois logistiques) que les </w:t>
      </w:r>
      <w:r w:rsidR="00D9105F" w:rsidRPr="007571A1">
        <w:t>forces armées maliennes</w:t>
      </w:r>
      <w:r w:rsidR="00983168" w:rsidRPr="007571A1">
        <w:t>.</w:t>
      </w:r>
      <w:r w:rsidR="00E554B8" w:rsidRPr="007571A1">
        <w:t xml:space="preserve"> </w:t>
      </w:r>
      <w:r w:rsidR="00C80B6B" w:rsidRPr="007571A1">
        <w:t>L</w:t>
      </w:r>
      <w:r w:rsidR="00983168" w:rsidRPr="00C159F8">
        <w:t xml:space="preserve">a Division </w:t>
      </w:r>
      <w:r w:rsidR="00C80B6B">
        <w:t xml:space="preserve">des droits de l’homme </w:t>
      </w:r>
      <w:r w:rsidR="00983168" w:rsidRPr="00C159F8">
        <w:t xml:space="preserve">a recensé des dizaines de cas d’atteinte à l’intégrité physique (blessures légères ou graves suite </w:t>
      </w:r>
      <w:r w:rsidR="00C80B6B">
        <w:t xml:space="preserve">à </w:t>
      </w:r>
      <w:r w:rsidR="00983168" w:rsidRPr="00C159F8">
        <w:t xml:space="preserve">l’explosion d’un </w:t>
      </w:r>
      <w:r w:rsidR="005E2AD0">
        <w:t>engin explosif improvisé</w:t>
      </w:r>
      <w:r w:rsidR="00983168" w:rsidRPr="00C159F8">
        <w:t>)</w:t>
      </w:r>
      <w:r w:rsidR="00C80B6B">
        <w:t xml:space="preserve"> et </w:t>
      </w:r>
      <w:r w:rsidR="00983168" w:rsidRPr="00C159F8">
        <w:t>d</w:t>
      </w:r>
      <w:r w:rsidR="00C80B6B">
        <w:t>’</w:t>
      </w:r>
      <w:r w:rsidR="00983168" w:rsidRPr="00C159F8">
        <w:t xml:space="preserve">atteintes au droit à la vie (décès suites aux blessures causées par un </w:t>
      </w:r>
      <w:r w:rsidR="005E2AD0">
        <w:t>engin explosif improvisé</w:t>
      </w:r>
      <w:r w:rsidR="00983168" w:rsidRPr="00C159F8">
        <w:t>). Ces attaques constituent aussi une entrave à la liberté de circulation et de commerce</w:t>
      </w:r>
      <w:r w:rsidR="00C80B6B">
        <w:t>,</w:t>
      </w:r>
      <w:r w:rsidR="00983168" w:rsidRPr="00C159F8">
        <w:t xml:space="preserve"> y compris </w:t>
      </w:r>
      <w:r w:rsidR="00C80B6B">
        <w:t>d</w:t>
      </w:r>
      <w:r w:rsidR="00983168" w:rsidRPr="00C159F8">
        <w:t xml:space="preserve">es marchandises, et </w:t>
      </w:r>
      <w:r w:rsidR="00C80B6B" w:rsidRPr="00C80B6B">
        <w:t xml:space="preserve">à </w:t>
      </w:r>
      <w:r w:rsidR="00983168" w:rsidRPr="00C80B6B">
        <w:t>l</w:t>
      </w:r>
      <w:r w:rsidR="00C80B6B" w:rsidRPr="009A0948">
        <w:t xml:space="preserve">’accès aux </w:t>
      </w:r>
      <w:r w:rsidR="00983168" w:rsidRPr="00C80B6B">
        <w:t>services</w:t>
      </w:r>
      <w:r w:rsidR="00983168" w:rsidRPr="00C159F8">
        <w:t xml:space="preserve"> sociaux de base</w:t>
      </w:r>
      <w:r w:rsidR="00C80B6B">
        <w:t xml:space="preserve">; elles </w:t>
      </w:r>
      <w:r w:rsidR="00983168" w:rsidRPr="00C159F8">
        <w:t xml:space="preserve">constituent </w:t>
      </w:r>
      <w:r w:rsidR="00C80B6B">
        <w:t xml:space="preserve">donc </w:t>
      </w:r>
      <w:r w:rsidR="00983168" w:rsidRPr="00C159F8">
        <w:t>une atteinte aux</w:t>
      </w:r>
      <w:r w:rsidR="00E554B8">
        <w:t xml:space="preserve"> </w:t>
      </w:r>
      <w:r w:rsidR="00983168" w:rsidRPr="00C159F8">
        <w:t>droits économiques et sociaux.</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50.</w:t>
      </w:r>
      <w:r w:rsidRPr="00C159F8">
        <w:rPr>
          <w:bCs/>
        </w:rPr>
        <w:tab/>
      </w:r>
      <w:r w:rsidR="00983168" w:rsidRPr="00C159F8">
        <w:t xml:space="preserve">Dans la région de Tombouctou, la situation des </w:t>
      </w:r>
      <w:r w:rsidR="005E2AD0">
        <w:t>d</w:t>
      </w:r>
      <w:r w:rsidR="00983168" w:rsidRPr="00C159F8">
        <w:t>roits de l’</w:t>
      </w:r>
      <w:r w:rsidR="005E2AD0">
        <w:t>h</w:t>
      </w:r>
      <w:r w:rsidR="00983168" w:rsidRPr="00C159F8">
        <w:t xml:space="preserve">omme s’est progressivement dégradée depuis le mois de mars 2015 en raison </w:t>
      </w:r>
      <w:r w:rsidR="005C07B0">
        <w:t xml:space="preserve">de </w:t>
      </w:r>
      <w:r w:rsidR="00983168" w:rsidRPr="00C159F8">
        <w:t>la recrudescence de l’insécurité due aux actions des groupes armés et des groupes terroristes. L</w:t>
      </w:r>
      <w:r w:rsidR="00DA6013">
        <w:t xml:space="preserve">a Division </w:t>
      </w:r>
      <w:r w:rsidR="00983168" w:rsidRPr="00C159F8">
        <w:t>des droits de l’homme a enregistré</w:t>
      </w:r>
      <w:r w:rsidR="00E554B8">
        <w:t xml:space="preserve"> </w:t>
      </w:r>
      <w:r w:rsidR="00983168" w:rsidRPr="00C159F8">
        <w:t xml:space="preserve">plusieurs cas d’exécutions sommaires, d’arrestations et </w:t>
      </w:r>
      <w:r w:rsidR="00C80B6B">
        <w:t xml:space="preserve">de </w:t>
      </w:r>
      <w:r w:rsidR="00983168" w:rsidRPr="00C159F8">
        <w:t>détentions illégales, de mauvais traitements et d</w:t>
      </w:r>
      <w:r w:rsidR="00C80B6B">
        <w:t>’</w:t>
      </w:r>
      <w:r w:rsidR="00983168" w:rsidRPr="00C159F8">
        <w:t xml:space="preserve">atteintes aux libertés et </w:t>
      </w:r>
      <w:r w:rsidR="00C80B6B">
        <w:t>à l’</w:t>
      </w:r>
      <w:r w:rsidR="00983168" w:rsidRPr="00C159F8">
        <w:t>intégrité physique. La situation a aussi été caractérisée par le déplacement massif des populations civiles et le pillage de leurs biens. L’</w:t>
      </w:r>
      <w:r w:rsidR="004D1CE9">
        <w:t>E</w:t>
      </w:r>
      <w:r w:rsidR="00983168" w:rsidRPr="00C159F8">
        <w:t xml:space="preserve">xpert </w:t>
      </w:r>
      <w:r w:rsidR="004D1CE9" w:rsidRPr="00C159F8">
        <w:t xml:space="preserve">indépendant </w:t>
      </w:r>
      <w:r w:rsidR="00983168" w:rsidRPr="00C159F8">
        <w:t>s’inqui</w:t>
      </w:r>
      <w:r w:rsidR="004D1CE9">
        <w:t>è</w:t>
      </w:r>
      <w:r w:rsidR="00983168" w:rsidRPr="00C159F8">
        <w:t>t</w:t>
      </w:r>
      <w:r w:rsidR="004D1CE9">
        <w:t>e</w:t>
      </w:r>
      <w:r w:rsidR="00983168" w:rsidRPr="00C159F8">
        <w:t xml:space="preserve"> aussi des attaques ciblées contre les institutions et les agents de l’</w:t>
      </w:r>
      <w:r w:rsidR="00C80B6B">
        <w:t>É</w:t>
      </w:r>
      <w:r w:rsidR="00983168" w:rsidRPr="00C159F8">
        <w:t xml:space="preserve">tat. La région a également enregistré plusieurs attaques contre la MINUSMA et les humanitaires </w:t>
      </w:r>
      <w:r w:rsidR="00C80B6B">
        <w:t xml:space="preserve">marquées par </w:t>
      </w:r>
      <w:r w:rsidR="00983168" w:rsidRPr="00C159F8">
        <w:t>des atteintes à la vie et à l’intégrité physique.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51.</w:t>
      </w:r>
      <w:r w:rsidRPr="00C159F8">
        <w:rPr>
          <w:bCs/>
        </w:rPr>
        <w:tab/>
      </w:r>
      <w:r w:rsidR="00983168" w:rsidRPr="00C159F8">
        <w:t xml:space="preserve">L’Expert indépendant a reçu des informations </w:t>
      </w:r>
      <w:r w:rsidR="00C80B6B">
        <w:t xml:space="preserve">selon lesquelles </w:t>
      </w:r>
      <w:r w:rsidR="00E15E3C" w:rsidRPr="009847EC">
        <w:t>l</w:t>
      </w:r>
      <w:r w:rsidR="00BB65C4" w:rsidRPr="009A0948">
        <w:t>a CM</w:t>
      </w:r>
      <w:r w:rsidR="00E15E3C" w:rsidRPr="009847EC">
        <w:t>A</w:t>
      </w:r>
      <w:r w:rsidR="00983168" w:rsidRPr="009847EC">
        <w:t xml:space="preserve"> à</w:t>
      </w:r>
      <w:r w:rsidR="00983168" w:rsidRPr="00C159F8">
        <w:t xml:space="preserve"> </w:t>
      </w:r>
      <w:r w:rsidR="00983168" w:rsidRPr="00BB65C4">
        <w:t>Tombouctou</w:t>
      </w:r>
      <w:r w:rsidR="00983168" w:rsidRPr="00C159F8">
        <w:t xml:space="preserve"> imposait des impôts illégaux sur les commerçants</w:t>
      </w:r>
      <w:r w:rsidR="00101ED9">
        <w:t xml:space="preserve"> </w:t>
      </w:r>
      <w:r w:rsidR="00983168" w:rsidRPr="00C159F8">
        <w:t xml:space="preserve">et les véhicules </w:t>
      </w:r>
      <w:r w:rsidR="00983168" w:rsidRPr="005C585B">
        <w:t>les jours de marché en</w:t>
      </w:r>
      <w:r w:rsidR="00983168" w:rsidRPr="00C159F8">
        <w:t xml:space="preserve"> échange de la sécurité de la population.</w:t>
      </w:r>
    </w:p>
    <w:p w:rsidR="00983168" w:rsidRPr="00C159F8" w:rsidRDefault="00983168" w:rsidP="00E64A16">
      <w:pPr>
        <w:pStyle w:val="H1G"/>
        <w:rPr>
          <w:lang w:val="fr-CH"/>
        </w:rPr>
      </w:pPr>
      <w:r w:rsidRPr="00C159F8">
        <w:rPr>
          <w:lang w:val="fr-CH"/>
        </w:rPr>
        <w:tab/>
        <w:t>B.</w:t>
      </w:r>
      <w:r w:rsidRPr="00C159F8">
        <w:rPr>
          <w:lang w:val="fr-CH"/>
        </w:rPr>
        <w:tab/>
      </w:r>
      <w:r w:rsidR="00E64A16">
        <w:rPr>
          <w:lang w:val="fr-CH"/>
        </w:rPr>
        <w:t>C</w:t>
      </w:r>
      <w:r w:rsidRPr="00C159F8">
        <w:rPr>
          <w:lang w:val="fr-CH"/>
        </w:rPr>
        <w:t>onflits inter et intracommunautaires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52.</w:t>
      </w:r>
      <w:r w:rsidRPr="00C159F8">
        <w:rPr>
          <w:bCs/>
        </w:rPr>
        <w:tab/>
      </w:r>
      <w:r w:rsidR="00983168" w:rsidRPr="00C159F8">
        <w:t xml:space="preserve">L’Expert indépendant demeure préoccupé par la multiplication des conflits inter et intracommunautaires </w:t>
      </w:r>
      <w:r w:rsidR="00C80B6B">
        <w:t>et</w:t>
      </w:r>
      <w:r w:rsidR="00983168" w:rsidRPr="00C159F8">
        <w:t xml:space="preserve"> </w:t>
      </w:r>
      <w:r w:rsidR="00C80B6B">
        <w:t xml:space="preserve">par </w:t>
      </w:r>
      <w:r w:rsidR="00983168" w:rsidRPr="00C159F8">
        <w:t xml:space="preserve">les atteintes aux droits l’homme, y compris </w:t>
      </w:r>
      <w:r w:rsidR="00C80B6B">
        <w:t>l</w:t>
      </w:r>
      <w:r w:rsidR="00983168" w:rsidRPr="00C159F8">
        <w:t xml:space="preserve">es exécutions, </w:t>
      </w:r>
      <w:r w:rsidR="00C80B6B">
        <w:t xml:space="preserve">les </w:t>
      </w:r>
      <w:r w:rsidR="00983168" w:rsidRPr="00C159F8">
        <w:t xml:space="preserve">enlèvements et </w:t>
      </w:r>
      <w:r w:rsidR="00C80B6B">
        <w:t xml:space="preserve">les </w:t>
      </w:r>
      <w:r w:rsidR="00983168" w:rsidRPr="00C159F8">
        <w:t xml:space="preserve">arrestations ayant pour fondement l’appartenance ethnique ou tribale des victimes. Le problème à l’origine du conflit serait des vols de bétails perpétrés ou qui auraient été </w:t>
      </w:r>
      <w:r w:rsidR="009A4AD7" w:rsidRPr="00C159F8">
        <w:t>perpétrés</w:t>
      </w:r>
      <w:r w:rsidR="00983168" w:rsidRPr="00C159F8">
        <w:t xml:space="preserve"> par l’autre tribu.</w:t>
      </w:r>
      <w:r w:rsidR="00E554B8">
        <w:t xml:space="preserve"> </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53.</w:t>
      </w:r>
      <w:r w:rsidRPr="007571A1">
        <w:rPr>
          <w:bCs/>
        </w:rPr>
        <w:tab/>
      </w:r>
      <w:r w:rsidR="00983168" w:rsidRPr="00C159F8">
        <w:t xml:space="preserve">La multiplication des tensions entre les communautés </w:t>
      </w:r>
      <w:r w:rsidR="00502A2B" w:rsidRPr="007571A1">
        <w:t xml:space="preserve">des </w:t>
      </w:r>
      <w:r w:rsidR="00983168" w:rsidRPr="007571A1">
        <w:t>Touaregs Daoussak</w:t>
      </w:r>
      <w:r w:rsidR="009A78C0" w:rsidRPr="007571A1">
        <w:t>,</w:t>
      </w:r>
      <w:r w:rsidR="00983168" w:rsidRPr="007571A1">
        <w:t xml:space="preserve"> réputées proche</w:t>
      </w:r>
      <w:r w:rsidR="00B54B0F" w:rsidRPr="007571A1">
        <w:t>s</w:t>
      </w:r>
      <w:r w:rsidR="00983168" w:rsidRPr="007571A1">
        <w:t xml:space="preserve"> de la CMA</w:t>
      </w:r>
      <w:r w:rsidR="00C80B6B" w:rsidRPr="007571A1">
        <w:t>,</w:t>
      </w:r>
      <w:r w:rsidR="00983168" w:rsidRPr="007571A1">
        <w:t xml:space="preserve"> et la communauté </w:t>
      </w:r>
      <w:r w:rsidR="00502A2B" w:rsidRPr="007571A1">
        <w:t xml:space="preserve">des </w:t>
      </w:r>
      <w:r w:rsidR="00983168" w:rsidRPr="007571A1">
        <w:t>Imghad</w:t>
      </w:r>
      <w:r w:rsidR="00C80B6B" w:rsidRPr="007571A1">
        <w:t>,</w:t>
      </w:r>
      <w:r w:rsidR="00983168" w:rsidRPr="007571A1">
        <w:t xml:space="preserve"> généralement affiliée au GATIA dans la région de Gao</w:t>
      </w:r>
      <w:r w:rsidR="009A78C0" w:rsidRPr="007571A1">
        <w:t>,</w:t>
      </w:r>
      <w:r w:rsidR="00983168" w:rsidRPr="007571A1">
        <w:t xml:space="preserve"> constitue un risque certain pour le processus de paix en cours.</w:t>
      </w:r>
      <w:r w:rsidR="00E554B8" w:rsidRPr="007571A1">
        <w:t xml:space="preserve"> </w:t>
      </w:r>
      <w:r w:rsidR="00983168" w:rsidRPr="007571A1">
        <w:t>Par ailleurs,</w:t>
      </w:r>
      <w:r w:rsidR="00E554B8" w:rsidRPr="007571A1">
        <w:t xml:space="preserve"> </w:t>
      </w:r>
      <w:r w:rsidR="00983168" w:rsidRPr="007571A1">
        <w:t>les zones concernées par les présentes tensions (Talataye</w:t>
      </w:r>
      <w:r w:rsidR="00C80B6B" w:rsidRPr="007571A1">
        <w:t xml:space="preserve"> et</w:t>
      </w:r>
      <w:r w:rsidR="00983168" w:rsidRPr="007571A1">
        <w:t xml:space="preserve"> Indelimane) sont difficilement accessibles par les acteurs humanitaires et même </w:t>
      </w:r>
      <w:r w:rsidR="00C80B6B" w:rsidRPr="007571A1">
        <w:t xml:space="preserve">par </w:t>
      </w:r>
      <w:r w:rsidR="00983168" w:rsidRPr="007571A1">
        <w:t>la MINUSMA, ce qui aggrave l’impact de</w:t>
      </w:r>
      <w:r w:rsidR="00C80B6B" w:rsidRPr="007571A1">
        <w:t>s</w:t>
      </w:r>
      <w:r w:rsidR="00983168" w:rsidRPr="007571A1">
        <w:t xml:space="preserve"> tensions sur les populations civiles qui y vivent.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54.</w:t>
      </w:r>
      <w:r w:rsidRPr="00C159F8">
        <w:rPr>
          <w:bCs/>
        </w:rPr>
        <w:tab/>
      </w:r>
      <w:r w:rsidR="009A4AD7" w:rsidRPr="007571A1">
        <w:t>À</w:t>
      </w:r>
      <w:r w:rsidR="00983168" w:rsidRPr="007571A1">
        <w:t xml:space="preserve"> Tombou</w:t>
      </w:r>
      <w:r w:rsidR="00C80B6B" w:rsidRPr="007571A1">
        <w:t>c</w:t>
      </w:r>
      <w:r w:rsidR="00983168" w:rsidRPr="007571A1">
        <w:t>tou</w:t>
      </w:r>
      <w:r w:rsidR="00C80B6B" w:rsidRPr="007571A1">
        <w:t>,</w:t>
      </w:r>
      <w:r w:rsidR="00983168" w:rsidRPr="007571A1">
        <w:t xml:space="preserve"> une baisse des conflits inter et intracommunautaire</w:t>
      </w:r>
      <w:r w:rsidR="009A78C0" w:rsidRPr="007571A1">
        <w:t>s</w:t>
      </w:r>
      <w:r w:rsidR="00983168" w:rsidRPr="007571A1">
        <w:t xml:space="preserve"> a été observé</w:t>
      </w:r>
      <w:r w:rsidR="00C80B6B" w:rsidRPr="007571A1">
        <w:t>e</w:t>
      </w:r>
      <w:r w:rsidR="00983168" w:rsidRPr="007571A1">
        <w:t xml:space="preserve"> pendant la période </w:t>
      </w:r>
      <w:r w:rsidR="00453C24" w:rsidRPr="007571A1">
        <w:t>considérée</w:t>
      </w:r>
      <w:r w:rsidR="00983168" w:rsidRPr="007571A1">
        <w:t xml:space="preserve">. </w:t>
      </w:r>
      <w:r w:rsidR="00C80B6B" w:rsidRPr="007571A1">
        <w:t>U</w:t>
      </w:r>
      <w:r w:rsidR="00983168" w:rsidRPr="007571A1">
        <w:t xml:space="preserve">n seul conflit intracommunautaire </w:t>
      </w:r>
      <w:r w:rsidR="00C80B6B" w:rsidRPr="007571A1">
        <w:t xml:space="preserve">a été observé : il a éclaté </w:t>
      </w:r>
      <w:r w:rsidR="00983168" w:rsidRPr="007571A1">
        <w:t>entre les songhaï de la commune Dou</w:t>
      </w:r>
      <w:r w:rsidR="00FF0277" w:rsidRPr="009A0948">
        <w:t>é</w:t>
      </w:r>
      <w:r w:rsidR="00983168" w:rsidRPr="007571A1">
        <w:t>kir</w:t>
      </w:r>
      <w:r w:rsidR="00FF0277" w:rsidRPr="009A0948">
        <w:t>é</w:t>
      </w:r>
      <w:r w:rsidR="00983168" w:rsidRPr="007571A1">
        <w:t xml:space="preserve"> (</w:t>
      </w:r>
      <w:r w:rsidR="00FF0277" w:rsidRPr="009A0948">
        <w:t xml:space="preserve">cercle de </w:t>
      </w:r>
      <w:r w:rsidR="00983168" w:rsidRPr="007571A1">
        <w:t>Goundam) et ceux de la commune Kondi (</w:t>
      </w:r>
      <w:r w:rsidR="00FF0277" w:rsidRPr="009A0948">
        <w:t xml:space="preserve">cercle de </w:t>
      </w:r>
      <w:r w:rsidR="00983168" w:rsidRPr="007571A1">
        <w:t>Diré)</w:t>
      </w:r>
      <w:r w:rsidR="00983168" w:rsidRPr="00C159F8">
        <w:t>.</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55.</w:t>
      </w:r>
      <w:r w:rsidRPr="00C159F8">
        <w:rPr>
          <w:bCs/>
        </w:rPr>
        <w:tab/>
      </w:r>
      <w:r w:rsidR="00983168" w:rsidRPr="00C159F8">
        <w:t>Par ailleurs, la région de Mopti</w:t>
      </w:r>
      <w:r w:rsidR="00C80B6B">
        <w:t>,</w:t>
      </w:r>
      <w:r w:rsidR="00983168" w:rsidRPr="00C159F8">
        <w:t xml:space="preserve"> qui est un lieu de passage et de résidence pour de très nombreuses ethnies, conna</w:t>
      </w:r>
      <w:r w:rsidR="00C80B6B">
        <w:t>î</w:t>
      </w:r>
      <w:r w:rsidR="00983168" w:rsidRPr="00C159F8">
        <w:t>t de nombreux conflits inter et intracommunautaires sans que l’</w:t>
      </w:r>
      <w:r w:rsidR="0049461E">
        <w:t>É</w:t>
      </w:r>
      <w:r w:rsidR="00983168" w:rsidRPr="00C159F8">
        <w:t>tat ne soit en mesure d’y apporter des réponses adéquates tant au niveau sécuritaire qu’au plan juridique.</w:t>
      </w:r>
      <w:r w:rsidR="00E554B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56.</w:t>
      </w:r>
      <w:r w:rsidRPr="00C159F8">
        <w:rPr>
          <w:bCs/>
        </w:rPr>
        <w:tab/>
      </w:r>
      <w:r w:rsidR="00983168" w:rsidRPr="00C159F8">
        <w:t>Au début du mois de juillet 2015, un conflit intracommunautaire dans le village d’Omo (commune rurale de Bondo) a fait un mort et provoqué le déplacement d’environ 530</w:t>
      </w:r>
      <w:r w:rsidR="00FB272F">
        <w:t> </w:t>
      </w:r>
      <w:r w:rsidR="00983168" w:rsidRPr="00C159F8">
        <w:t xml:space="preserve">personnes dans un village voisin </w:t>
      </w:r>
      <w:r w:rsidR="00983168" w:rsidRPr="00FB272F">
        <w:t>du</w:t>
      </w:r>
      <w:r w:rsidR="00983168" w:rsidRPr="00C159F8">
        <w:t xml:space="preserve"> Burkina</w:t>
      </w:r>
      <w:r w:rsidR="00FA7B97">
        <w:t xml:space="preserve"> </w:t>
      </w:r>
      <w:r w:rsidR="00983168" w:rsidRPr="00C159F8">
        <w:t xml:space="preserve">Faso. </w:t>
      </w:r>
      <w:r w:rsidR="0049461E">
        <w:t xml:space="preserve">Quarante-cinq </w:t>
      </w:r>
      <w:r w:rsidR="00983168" w:rsidRPr="00C159F8">
        <w:t>personnes ont été arrêtées parmi lesquelles 30 femmes.</w:t>
      </w:r>
      <w:r w:rsidR="00E554B8">
        <w:t xml:space="preserve"> </w:t>
      </w:r>
      <w:r w:rsidR="00983168" w:rsidRPr="00C159F8">
        <w:t>La situation dans les zones de Bankass (région de Mopti) et de Tominian (</w:t>
      </w:r>
      <w:r w:rsidR="00502A2B">
        <w:t>r</w:t>
      </w:r>
      <w:r w:rsidR="00983168" w:rsidRPr="00C159F8">
        <w:t>égion de Ségou) est à cet égard particulièrement inquiétante. Le recours à des groupes d’autodéfense se développe d’un côté et les accusations de recourir aux hommes d’Amadou Koufa se multiplient de l’autre, sans que les forces de sécurité maliennes, trop peu nombreuses, ne puissent avoir la moindre influence sur le déroulement des év</w:t>
      </w:r>
      <w:r w:rsidR="009B5FD4">
        <w:t>é</w:t>
      </w:r>
      <w:r w:rsidR="00983168" w:rsidRPr="00C159F8">
        <w:t xml:space="preserve">nements.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57.</w:t>
      </w:r>
      <w:r w:rsidRPr="00C159F8">
        <w:rPr>
          <w:bCs/>
        </w:rPr>
        <w:tab/>
      </w:r>
      <w:r w:rsidR="00983168" w:rsidRPr="00C159F8">
        <w:t>Dans la région de Gao</w:t>
      </w:r>
      <w:r w:rsidR="0049461E">
        <w:t>,</w:t>
      </w:r>
      <w:r w:rsidR="00983168" w:rsidRPr="00C159F8">
        <w:t xml:space="preserve"> un affrontement entre des membres de la </w:t>
      </w:r>
      <w:r w:rsidR="00502A2B">
        <w:t xml:space="preserve">communauté des </w:t>
      </w:r>
      <w:r w:rsidR="00983168" w:rsidRPr="00C159F8">
        <w:t>Dawssahak et les communautés peul</w:t>
      </w:r>
      <w:r w:rsidR="0054109D">
        <w:t>es</w:t>
      </w:r>
      <w:r w:rsidR="00983168" w:rsidRPr="00C159F8">
        <w:t xml:space="preserve"> a eu lieu le 21 octobre par rapport à un litige foncier de longue date dans Tassalatane (70</w:t>
      </w:r>
      <w:r w:rsidR="0049461E">
        <w:t> </w:t>
      </w:r>
      <w:r w:rsidR="00983168" w:rsidRPr="00C159F8">
        <w:t xml:space="preserve">km au sud de Ménaka), région de Gao, et, par conséquent, trois membres de la communauté </w:t>
      </w:r>
      <w:r w:rsidR="00502A2B">
        <w:t xml:space="preserve">des </w:t>
      </w:r>
      <w:r w:rsidR="00983168" w:rsidRPr="00C159F8">
        <w:t xml:space="preserve">Dawssahak ont été tués. Le 30 </w:t>
      </w:r>
      <w:r w:rsidR="005459FB">
        <w:t>o</w:t>
      </w:r>
      <w:r w:rsidR="00983168" w:rsidRPr="00C159F8">
        <w:t>ctobre</w:t>
      </w:r>
      <w:r w:rsidR="0049461E">
        <w:t>, quatre</w:t>
      </w:r>
      <w:r w:rsidR="00983168" w:rsidRPr="00C159F8">
        <w:t xml:space="preserve"> membres de la communauté </w:t>
      </w:r>
      <w:r w:rsidR="0054109D">
        <w:t>p</w:t>
      </w:r>
      <w:r w:rsidR="00983168" w:rsidRPr="00C159F8">
        <w:t>eul</w:t>
      </w:r>
      <w:r w:rsidR="0054109D">
        <w:t>e</w:t>
      </w:r>
      <w:r w:rsidR="00983168" w:rsidRPr="00C159F8">
        <w:t xml:space="preserve"> ont été tués par des membres de la communauté Dawssahak dans Inékar (90 km à l</w:t>
      </w:r>
      <w:r w:rsidR="00E554B8">
        <w:t>’</w:t>
      </w:r>
      <w:r w:rsidR="0049461E">
        <w:t>e</w:t>
      </w:r>
      <w:r w:rsidR="00983168" w:rsidRPr="00C159F8">
        <w:t>st de Menaka) dont un enfant et une femme qui auraient été victimes. Les autorités locales et les groupes armés dans Ber ont</w:t>
      </w:r>
      <w:r w:rsidR="005459FB">
        <w:t xml:space="preserve"> </w:t>
      </w:r>
      <w:r w:rsidR="00983168" w:rsidRPr="00C159F8">
        <w:t>confirmé les affrontements intercommunautaires qui ont eu lieu le 1</w:t>
      </w:r>
      <w:r w:rsidR="00983168" w:rsidRPr="00FC605C">
        <w:rPr>
          <w:vertAlign w:val="superscript"/>
        </w:rPr>
        <w:t>er</w:t>
      </w:r>
      <w:r w:rsidR="0049461E">
        <w:t> o</w:t>
      </w:r>
      <w:r w:rsidR="00983168" w:rsidRPr="00C159F8">
        <w:t xml:space="preserve">ctobre entre </w:t>
      </w:r>
      <w:r w:rsidR="00983168" w:rsidRPr="00FB272F">
        <w:t>Arabes et Touaregs</w:t>
      </w:r>
      <w:r w:rsidR="00983168" w:rsidRPr="00C159F8">
        <w:t xml:space="preserve"> déclenchés par l</w:t>
      </w:r>
      <w:r w:rsidR="00E554B8">
        <w:t>’</w:t>
      </w:r>
      <w:r w:rsidR="00983168" w:rsidRPr="00C159F8">
        <w:t>utilisation des rares ressources en eau. L</w:t>
      </w:r>
      <w:r w:rsidR="0049461E">
        <w:t>es l</w:t>
      </w:r>
      <w:r w:rsidR="00983168" w:rsidRPr="00C159F8">
        <w:t xml:space="preserve">itiges fonciers </w:t>
      </w:r>
      <w:r w:rsidR="0049461E">
        <w:t xml:space="preserve">et </w:t>
      </w:r>
      <w:r w:rsidR="00983168" w:rsidRPr="00C159F8">
        <w:t>le</w:t>
      </w:r>
      <w:r w:rsidR="0049461E">
        <w:t>s</w:t>
      </w:r>
      <w:r w:rsidR="00983168" w:rsidRPr="00C159F8">
        <w:t xml:space="preserve"> vol</w:t>
      </w:r>
      <w:r w:rsidR="0049461E">
        <w:t>s</w:t>
      </w:r>
      <w:r w:rsidR="00983168" w:rsidRPr="00C159F8">
        <w:t xml:space="preserve"> de bétail entre les membres des deux communautés sont les principales causes de ces conflits.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58.</w:t>
      </w:r>
      <w:r w:rsidRPr="00C159F8">
        <w:rPr>
          <w:bCs/>
        </w:rPr>
        <w:tab/>
      </w:r>
      <w:r w:rsidR="00983168" w:rsidRPr="00C159F8">
        <w:t xml:space="preserve">Les conflits traditionnels entre cultivateurs et bergers se durcissent, notamment en raison des liens qui peuvent exister entre des communautés et des groupes recourant à la violence armée. </w:t>
      </w:r>
    </w:p>
    <w:p w:rsidR="00983168" w:rsidRPr="00C159F8" w:rsidRDefault="00983168" w:rsidP="00E64A16">
      <w:pPr>
        <w:pStyle w:val="H1G"/>
        <w:rPr>
          <w:lang w:val="fr-CH"/>
        </w:rPr>
      </w:pPr>
      <w:r w:rsidRPr="00C159F8">
        <w:rPr>
          <w:lang w:val="fr-CH"/>
        </w:rPr>
        <w:tab/>
        <w:t>C.</w:t>
      </w:r>
      <w:r w:rsidRPr="00C159F8">
        <w:rPr>
          <w:lang w:val="fr-CH"/>
        </w:rPr>
        <w:tab/>
      </w:r>
      <w:r w:rsidR="00E64A16" w:rsidRPr="0088579B">
        <w:rPr>
          <w:lang w:val="fr-CH"/>
        </w:rPr>
        <w:t>S</w:t>
      </w:r>
      <w:r w:rsidRPr="0088579B">
        <w:rPr>
          <w:lang w:val="fr-CH"/>
        </w:rPr>
        <w:t>ituation</w:t>
      </w:r>
      <w:r w:rsidRPr="00C159F8">
        <w:rPr>
          <w:lang w:val="fr-CH"/>
        </w:rPr>
        <w:t xml:space="preserve"> des femmes</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59.</w:t>
      </w:r>
      <w:r w:rsidRPr="007571A1">
        <w:rPr>
          <w:bCs/>
        </w:rPr>
        <w:tab/>
      </w:r>
      <w:r w:rsidR="00983168" w:rsidRPr="00C159F8">
        <w:t xml:space="preserve">Les femmes sont sous-représentées au niveau décisionnel depuis le début du </w:t>
      </w:r>
      <w:r w:rsidR="00983168" w:rsidRPr="006E51CE">
        <w:t>processus de médiation d</w:t>
      </w:r>
      <w:r w:rsidR="00E554B8" w:rsidRPr="00996DA3">
        <w:t>’</w:t>
      </w:r>
      <w:r w:rsidR="00983168" w:rsidRPr="00996DA3">
        <w:t xml:space="preserve">Alger qui a </w:t>
      </w:r>
      <w:r w:rsidR="00983168" w:rsidRPr="007571A1">
        <w:t xml:space="preserve">commencé en </w:t>
      </w:r>
      <w:r w:rsidR="005459FB" w:rsidRPr="007571A1">
        <w:t>j</w:t>
      </w:r>
      <w:r w:rsidR="00983168" w:rsidRPr="007571A1">
        <w:t xml:space="preserve">uillet 2014 et la représentation des femmes dans la phase de mise en œuvre est encore très faible. Le </w:t>
      </w:r>
      <w:r w:rsidR="005C07B0" w:rsidRPr="007571A1">
        <w:t>M</w:t>
      </w:r>
      <w:r w:rsidR="00983168" w:rsidRPr="007571A1">
        <w:t xml:space="preserve">inistère de la </w:t>
      </w:r>
      <w:r w:rsidR="005C07B0" w:rsidRPr="007571A1">
        <w:t>p</w:t>
      </w:r>
      <w:r w:rsidR="00983168" w:rsidRPr="007571A1">
        <w:t xml:space="preserve">romotion de la </w:t>
      </w:r>
      <w:r w:rsidR="005C07B0" w:rsidRPr="007571A1">
        <w:t>f</w:t>
      </w:r>
      <w:r w:rsidR="00983168" w:rsidRPr="007571A1">
        <w:t xml:space="preserve">emme, </w:t>
      </w:r>
      <w:r w:rsidR="005C07B0" w:rsidRPr="007571A1">
        <w:t>des e</w:t>
      </w:r>
      <w:r w:rsidR="00983168" w:rsidRPr="007571A1">
        <w:t xml:space="preserve">nfants et de la </w:t>
      </w:r>
      <w:r w:rsidR="005C07B0" w:rsidRPr="007571A1">
        <w:t>f</w:t>
      </w:r>
      <w:r w:rsidR="00983168" w:rsidRPr="007571A1">
        <w:t xml:space="preserve">amille n’est pas représenté dans le </w:t>
      </w:r>
      <w:r w:rsidR="00A56882" w:rsidRPr="009A0948">
        <w:t>c</w:t>
      </w:r>
      <w:r w:rsidR="00983168" w:rsidRPr="007571A1">
        <w:t>omité national pour la coordination de la mise en œuvre de l</w:t>
      </w:r>
      <w:r w:rsidR="00E554B8" w:rsidRPr="007571A1">
        <w:t>’</w:t>
      </w:r>
      <w:r w:rsidR="001E4B35">
        <w:t>A</w:t>
      </w:r>
      <w:r w:rsidR="00983168" w:rsidRPr="007571A1">
        <w:t xml:space="preserve">ccord </w:t>
      </w:r>
      <w:r w:rsidR="001E4B35">
        <w:t xml:space="preserve">pour la </w:t>
      </w:r>
      <w:r w:rsidR="00983168" w:rsidRPr="007571A1">
        <w:t>paix</w:t>
      </w:r>
      <w:r w:rsidR="001E4B35">
        <w:t xml:space="preserve"> et la réconciliation</w:t>
      </w:r>
      <w:r w:rsidR="00983168" w:rsidRPr="007571A1">
        <w:t>.</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60.</w:t>
      </w:r>
      <w:r w:rsidRPr="007571A1">
        <w:rPr>
          <w:bCs/>
        </w:rPr>
        <w:tab/>
      </w:r>
      <w:r w:rsidR="00983168" w:rsidRPr="007571A1">
        <w:t>Cependant l</w:t>
      </w:r>
      <w:r w:rsidR="00E554B8" w:rsidRPr="007571A1">
        <w:t>’</w:t>
      </w:r>
      <w:r w:rsidR="001E4B35">
        <w:t>A</w:t>
      </w:r>
      <w:r w:rsidR="00983168" w:rsidRPr="007571A1">
        <w:t>ccord intègre des éléments sur la protection des femmes et la lutte contre l</w:t>
      </w:r>
      <w:r w:rsidR="00E554B8" w:rsidRPr="007571A1">
        <w:t>’</w:t>
      </w:r>
      <w:r w:rsidR="00983168" w:rsidRPr="007571A1">
        <w:t xml:space="preserve">impunité dans le chapitre 14 </w:t>
      </w:r>
      <w:r w:rsidR="00BA46F2" w:rsidRPr="007571A1">
        <w:t xml:space="preserve">et porte </w:t>
      </w:r>
      <w:r w:rsidR="00983168" w:rsidRPr="007571A1">
        <w:t xml:space="preserve">une attention particulière </w:t>
      </w:r>
      <w:r w:rsidR="00935383" w:rsidRPr="007571A1">
        <w:t xml:space="preserve">à </w:t>
      </w:r>
      <w:r w:rsidR="00983168" w:rsidRPr="007571A1">
        <w:t>la création d</w:t>
      </w:r>
      <w:r w:rsidR="00E554B8" w:rsidRPr="007571A1">
        <w:t>’</w:t>
      </w:r>
      <w:r w:rsidR="00983168" w:rsidRPr="007571A1">
        <w:t xml:space="preserve">une </w:t>
      </w:r>
      <w:r w:rsidR="00A56882" w:rsidRPr="007571A1">
        <w:t>c</w:t>
      </w:r>
      <w:r w:rsidR="00983168" w:rsidRPr="007571A1">
        <w:t>ommission d’enquête internationale chargée d</w:t>
      </w:r>
      <w:r w:rsidR="00E554B8" w:rsidRPr="007571A1">
        <w:t>’</w:t>
      </w:r>
      <w:r w:rsidR="00983168" w:rsidRPr="007571A1">
        <w:t xml:space="preserve">enquêter sur les crimes sexuels et </w:t>
      </w:r>
      <w:r w:rsidR="00935383" w:rsidRPr="007571A1">
        <w:t xml:space="preserve">à </w:t>
      </w:r>
      <w:r w:rsidR="00983168" w:rsidRPr="007571A1">
        <w:t>l</w:t>
      </w:r>
      <w:r w:rsidR="00E554B8" w:rsidRPr="007571A1">
        <w:t>’</w:t>
      </w:r>
      <w:r w:rsidR="00983168" w:rsidRPr="007571A1">
        <w:t>interdiction de l</w:t>
      </w:r>
      <w:r w:rsidR="00E554B8" w:rsidRPr="007571A1">
        <w:t>’</w:t>
      </w:r>
      <w:r w:rsidR="00983168" w:rsidRPr="007571A1">
        <w:t>amnistie pour les violations graves des droits de l</w:t>
      </w:r>
      <w:r w:rsidR="00E554B8" w:rsidRPr="007571A1">
        <w:t>’</w:t>
      </w:r>
      <w:r w:rsidR="00983168" w:rsidRPr="007571A1">
        <w:t xml:space="preserve">homme liées </w:t>
      </w:r>
      <w:r w:rsidR="00A56882" w:rsidRPr="009A0948">
        <w:t xml:space="preserve">au </w:t>
      </w:r>
      <w:r w:rsidR="00983168" w:rsidRPr="007571A1">
        <w:t>conflit, y compris la violence contre les femmes, les filles et les enfants. Ces dispositions sur la protection des femmes et la lutte contre l</w:t>
      </w:r>
      <w:r w:rsidR="00E554B8" w:rsidRPr="007571A1">
        <w:t>’</w:t>
      </w:r>
      <w:r w:rsidR="00983168" w:rsidRPr="007571A1">
        <w:t xml:space="preserve">impunité dans </w:t>
      </w:r>
      <w:r w:rsidR="00983168" w:rsidRPr="00723D07">
        <w:t>l</w:t>
      </w:r>
      <w:r w:rsidR="00E554B8" w:rsidRPr="00723D07">
        <w:t>’</w:t>
      </w:r>
      <w:r w:rsidR="001E4B35" w:rsidRPr="009A0948">
        <w:t>A</w:t>
      </w:r>
      <w:r w:rsidR="00983168" w:rsidRPr="00723D07">
        <w:t>ccord vont</w:t>
      </w:r>
      <w:r w:rsidR="00983168" w:rsidRPr="007571A1">
        <w:t xml:space="preserve"> jouer un rôle important dans l</w:t>
      </w:r>
      <w:r w:rsidR="00E554B8" w:rsidRPr="007571A1">
        <w:t>’</w:t>
      </w:r>
      <w:r w:rsidR="00983168" w:rsidRPr="007571A1">
        <w:t xml:space="preserve">intégration de la prévention dans les réformes prévues </w:t>
      </w:r>
      <w:r w:rsidR="00522E40" w:rsidRPr="007571A1">
        <w:t xml:space="preserve">pour </w:t>
      </w:r>
      <w:r w:rsidR="00983168" w:rsidRPr="007571A1">
        <w:t>la sécurité, la défense et la justice.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61.</w:t>
      </w:r>
      <w:r w:rsidRPr="00C159F8">
        <w:rPr>
          <w:bCs/>
        </w:rPr>
        <w:tab/>
      </w:r>
      <w:r w:rsidR="00983168" w:rsidRPr="007571A1">
        <w:t xml:space="preserve">Le remaniement ministériel opéré le 25 </w:t>
      </w:r>
      <w:r w:rsidR="00A35B3A" w:rsidRPr="007571A1">
        <w:t>s</w:t>
      </w:r>
      <w:r w:rsidR="00983168" w:rsidRPr="007571A1">
        <w:t>eptembre 2015 par le Président a augmenté la représentation des femmes au sein du Gouvernement de 10,3</w:t>
      </w:r>
      <w:r w:rsidR="00A35B3A" w:rsidRPr="007571A1">
        <w:t> </w:t>
      </w:r>
      <w:r w:rsidR="00983168" w:rsidRPr="007571A1">
        <w:t>% à 16,1</w:t>
      </w:r>
      <w:r w:rsidR="00A35B3A" w:rsidRPr="007571A1">
        <w:t> </w:t>
      </w:r>
      <w:r w:rsidR="00983168" w:rsidRPr="007571A1">
        <w:t xml:space="preserve">%. Les femmes occupent </w:t>
      </w:r>
      <w:r w:rsidR="00B2437D" w:rsidRPr="007571A1">
        <w:t xml:space="preserve">5 </w:t>
      </w:r>
      <w:r w:rsidR="00983168" w:rsidRPr="007571A1">
        <w:t>des</w:t>
      </w:r>
      <w:r w:rsidR="00983168" w:rsidRPr="00C159F8">
        <w:t xml:space="preserve"> </w:t>
      </w:r>
      <w:r w:rsidR="00B2437D">
        <w:t>31 </w:t>
      </w:r>
      <w:r w:rsidR="00983168" w:rsidRPr="00C159F8">
        <w:t xml:space="preserve">postes ministériels. Cette situation pourrait démontrer une </w:t>
      </w:r>
      <w:r w:rsidR="00B2437D">
        <w:t xml:space="preserve">évolution </w:t>
      </w:r>
      <w:r w:rsidR="00983168" w:rsidRPr="00C159F8">
        <w:t xml:space="preserve">positive de la volonté politique et </w:t>
      </w:r>
      <w:r w:rsidR="00B2437D">
        <w:t xml:space="preserve">de </w:t>
      </w:r>
      <w:r w:rsidR="00983168" w:rsidRPr="00C159F8">
        <w:t>l</w:t>
      </w:r>
      <w:r w:rsidR="00E554B8">
        <w:t>’</w:t>
      </w:r>
      <w:r w:rsidR="00983168" w:rsidRPr="00C159F8">
        <w:t>acceptation d</w:t>
      </w:r>
      <w:r w:rsidR="00B2437D">
        <w:t>u</w:t>
      </w:r>
      <w:r w:rsidR="00983168" w:rsidRPr="00C159F8">
        <w:t xml:space="preserve"> rôle </w:t>
      </w:r>
      <w:r w:rsidR="00983168" w:rsidRPr="006E51CE">
        <w:t>clé des</w:t>
      </w:r>
      <w:r w:rsidR="00983168" w:rsidRPr="00C159F8">
        <w:t xml:space="preserve"> femmes.</w:t>
      </w:r>
      <w:r w:rsidR="00E554B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62.</w:t>
      </w:r>
      <w:r w:rsidRPr="00C159F8">
        <w:rPr>
          <w:bCs/>
        </w:rPr>
        <w:tab/>
      </w:r>
      <w:r w:rsidR="00983168" w:rsidRPr="00C159F8">
        <w:t>L’Expert indépendant est très préoccupé par le manque de progrès dans le</w:t>
      </w:r>
      <w:r w:rsidR="00B2437D">
        <w:t>s</w:t>
      </w:r>
      <w:r w:rsidR="00983168" w:rsidRPr="00C159F8">
        <w:t xml:space="preserve"> enquêtes et poursuites judiciaires lié</w:t>
      </w:r>
      <w:r w:rsidR="00B2437D">
        <w:t>es</w:t>
      </w:r>
      <w:r w:rsidR="00983168" w:rsidRPr="00C159F8">
        <w:t xml:space="preserve"> aux crimes du passé et </w:t>
      </w:r>
      <w:r w:rsidR="00B2437D">
        <w:t xml:space="preserve">par </w:t>
      </w:r>
      <w:r w:rsidR="00983168" w:rsidRPr="00C159F8">
        <w:t>le climat d’impunité qui s’installe.</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63.</w:t>
      </w:r>
      <w:r w:rsidRPr="007571A1">
        <w:rPr>
          <w:bCs/>
        </w:rPr>
        <w:tab/>
      </w:r>
      <w:r w:rsidR="00983168" w:rsidRPr="00C159F8">
        <w:t xml:space="preserve">L’Expert indépendant a toujours accordé une attention particulière aux violences faites aux femmes et il a reçu des informations </w:t>
      </w:r>
      <w:r w:rsidR="00B2437D">
        <w:t xml:space="preserve">au sujet de </w:t>
      </w:r>
      <w:r w:rsidR="00983168" w:rsidRPr="00C159F8">
        <w:t>deux survivantes de violences sexuelles</w:t>
      </w:r>
      <w:r w:rsidR="00B2437D">
        <w:t>. Le 29 septe</w:t>
      </w:r>
      <w:r w:rsidR="00B2437D" w:rsidRPr="00FC605C">
        <w:rPr>
          <w:lang w:val="fr-FR"/>
        </w:rPr>
        <w:t>mbre 2015,</w:t>
      </w:r>
      <w:r w:rsidR="00983168" w:rsidRPr="00C159F8">
        <w:t xml:space="preserve"> dans la région de Tombouctou</w:t>
      </w:r>
      <w:r w:rsidR="00B2437D">
        <w:t>, elles</w:t>
      </w:r>
      <w:r w:rsidR="00983168" w:rsidRPr="00C159F8">
        <w:t xml:space="preserve"> ont été violées </w:t>
      </w:r>
      <w:r w:rsidR="00B2437D">
        <w:t xml:space="preserve">sous la menace d’un fusil </w:t>
      </w:r>
      <w:r w:rsidR="00983168" w:rsidRPr="00C159F8">
        <w:t xml:space="preserve">par des éléments de </w:t>
      </w:r>
      <w:r w:rsidR="00983168" w:rsidRPr="007571A1">
        <w:t xml:space="preserve">la Coalition du peuple </w:t>
      </w:r>
      <w:r w:rsidR="00965B63" w:rsidRPr="009A0948">
        <w:t>p</w:t>
      </w:r>
      <w:r w:rsidR="00983168" w:rsidRPr="007571A1">
        <w:t>our l</w:t>
      </w:r>
      <w:r w:rsidR="00E554B8" w:rsidRPr="007571A1">
        <w:t>’</w:t>
      </w:r>
      <w:r w:rsidR="00983168" w:rsidRPr="007571A1">
        <w:t>Azawad (CPA</w:t>
      </w:r>
      <w:r w:rsidR="00B2437D" w:rsidRPr="007571A1">
        <w:t xml:space="preserve">) </w:t>
      </w:r>
      <w:r w:rsidR="00983168" w:rsidRPr="007571A1">
        <w:t>alors qu’elles voyageaient à bord de véhicule</w:t>
      </w:r>
      <w:r w:rsidR="004275B3" w:rsidRPr="009A0948">
        <w:t>s</w:t>
      </w:r>
      <w:r w:rsidR="00983168" w:rsidRPr="007571A1">
        <w:t xml:space="preserve"> de transport public dans Acharane (35</w:t>
      </w:r>
      <w:r w:rsidR="004F0F77" w:rsidRPr="007571A1">
        <w:t> </w:t>
      </w:r>
      <w:r w:rsidR="00983168" w:rsidRPr="007571A1">
        <w:t>km à l</w:t>
      </w:r>
      <w:r w:rsidR="00E554B8" w:rsidRPr="007571A1">
        <w:t>’</w:t>
      </w:r>
      <w:r w:rsidR="004275B3" w:rsidRPr="009A0948">
        <w:t>e</w:t>
      </w:r>
      <w:r w:rsidR="00983168" w:rsidRPr="007571A1">
        <w:t xml:space="preserve">st de Tombouctou), dans la commune d’Alafia. </w:t>
      </w:r>
      <w:r w:rsidR="00B2437D" w:rsidRPr="007571A1">
        <w:t xml:space="preserve">Elles </w:t>
      </w:r>
      <w:r w:rsidR="00983168" w:rsidRPr="007571A1">
        <w:t>ont été envoyé</w:t>
      </w:r>
      <w:r w:rsidR="00B2437D" w:rsidRPr="007571A1">
        <w:t>e</w:t>
      </w:r>
      <w:r w:rsidR="00983168" w:rsidRPr="007571A1">
        <w:t xml:space="preserve">s à Médecins </w:t>
      </w:r>
      <w:r w:rsidR="00B2437D" w:rsidRPr="007571A1">
        <w:t>s</w:t>
      </w:r>
      <w:r w:rsidR="00983168" w:rsidRPr="007571A1">
        <w:t xml:space="preserve">ans </w:t>
      </w:r>
      <w:r w:rsidR="00A56882" w:rsidRPr="007571A1">
        <w:t>f</w:t>
      </w:r>
      <w:r w:rsidR="00983168" w:rsidRPr="007571A1">
        <w:t>rontières pour un soutien médical et psychosocial.</w:t>
      </w:r>
    </w:p>
    <w:p w:rsidR="00983168" w:rsidRPr="007571A1" w:rsidRDefault="00FC605C" w:rsidP="00FC605C">
      <w:pPr>
        <w:kinsoku w:val="0"/>
        <w:overflowPunct w:val="0"/>
        <w:autoSpaceDE w:val="0"/>
        <w:autoSpaceDN w:val="0"/>
        <w:adjustRightInd w:val="0"/>
        <w:snapToGrid w:val="0"/>
        <w:spacing w:after="120"/>
        <w:ind w:left="1134" w:right="1134"/>
        <w:jc w:val="both"/>
      </w:pPr>
      <w:r w:rsidRPr="007571A1">
        <w:rPr>
          <w:bCs/>
        </w:rPr>
        <w:t>64.</w:t>
      </w:r>
      <w:r w:rsidRPr="007571A1">
        <w:rPr>
          <w:bCs/>
        </w:rPr>
        <w:tab/>
      </w:r>
      <w:r w:rsidR="00983168" w:rsidRPr="007571A1">
        <w:t>Il a également été signalé à l</w:t>
      </w:r>
      <w:r w:rsidR="00E554B8" w:rsidRPr="007571A1">
        <w:t>’</w:t>
      </w:r>
      <w:r w:rsidR="00983168" w:rsidRPr="007571A1">
        <w:t xml:space="preserve">Expert indépendant que le nombre de cas de violences sexuelles </w:t>
      </w:r>
      <w:r w:rsidR="0038613A" w:rsidRPr="007571A1">
        <w:t xml:space="preserve">a augmenté </w:t>
      </w:r>
      <w:r w:rsidR="00983168" w:rsidRPr="007571A1">
        <w:t>sur l</w:t>
      </w:r>
      <w:r w:rsidR="00E554B8" w:rsidRPr="007571A1">
        <w:t>’</w:t>
      </w:r>
      <w:r w:rsidR="00983168" w:rsidRPr="007571A1">
        <w:t>axe Tombouctou-Goundam depuis l</w:t>
      </w:r>
      <w:r w:rsidR="00E554B8" w:rsidRPr="007571A1">
        <w:t>’</w:t>
      </w:r>
      <w:r w:rsidR="00983168" w:rsidRPr="007571A1">
        <w:t>installation de la CPA dans Acharane le 24</w:t>
      </w:r>
      <w:r w:rsidR="00BF2B45" w:rsidRPr="007571A1">
        <w:t> j</w:t>
      </w:r>
      <w:r w:rsidR="00983168" w:rsidRPr="007571A1">
        <w:t>uillet</w:t>
      </w:r>
      <w:r w:rsidR="0038613A" w:rsidRPr="007571A1">
        <w:t xml:space="preserve"> 2015</w:t>
      </w:r>
      <w:r w:rsidR="00983168" w:rsidRPr="007571A1">
        <w:t>. En outre, il est très probable que le nombre de cas de violence</w:t>
      </w:r>
      <w:r w:rsidR="009B2C1C" w:rsidRPr="007571A1">
        <w:t>s</w:t>
      </w:r>
      <w:r w:rsidR="00983168" w:rsidRPr="007571A1">
        <w:t xml:space="preserve"> sexuelle</w:t>
      </w:r>
      <w:r w:rsidR="009B2C1C" w:rsidRPr="007571A1">
        <w:t>s</w:t>
      </w:r>
      <w:r w:rsidR="00983168" w:rsidRPr="007571A1">
        <w:t xml:space="preserve"> </w:t>
      </w:r>
      <w:r w:rsidR="0038613A" w:rsidRPr="007571A1">
        <w:t xml:space="preserve">soit </w:t>
      </w:r>
      <w:r w:rsidR="00983168" w:rsidRPr="007571A1">
        <w:t xml:space="preserve">plus élevé que les cas signalés, car certaines victimes choisissent de ne pas déposer un rapport officiel, craignant la stigmatisation sociale dans leurs communautés. </w:t>
      </w:r>
      <w:r w:rsidR="00F51C72" w:rsidRPr="007571A1">
        <w:t>À</w:t>
      </w:r>
      <w:r w:rsidR="00983168" w:rsidRPr="007571A1">
        <w:t xml:space="preserve"> Imboguitane (5</w:t>
      </w:r>
      <w:r w:rsidR="00137153" w:rsidRPr="007571A1">
        <w:t> </w:t>
      </w:r>
      <w:r w:rsidR="00983168" w:rsidRPr="007571A1">
        <w:t xml:space="preserve">km au nord d’Anéfis), une femme a déclaré avoir été violée à trois reprises par trois hommes armés entre </w:t>
      </w:r>
      <w:r w:rsidR="0038613A" w:rsidRPr="007571A1">
        <w:t xml:space="preserve">le </w:t>
      </w:r>
      <w:r w:rsidR="00983168" w:rsidRPr="007571A1">
        <w:t xml:space="preserve">25 et </w:t>
      </w:r>
      <w:r w:rsidR="0038613A" w:rsidRPr="007571A1">
        <w:t xml:space="preserve">le </w:t>
      </w:r>
      <w:r w:rsidR="00983168" w:rsidRPr="007571A1">
        <w:t>27</w:t>
      </w:r>
      <w:r w:rsidR="004D7F06" w:rsidRPr="007571A1">
        <w:t> a</w:t>
      </w:r>
      <w:r w:rsidR="00983168" w:rsidRPr="007571A1">
        <w:t>oût</w:t>
      </w:r>
      <w:r w:rsidR="0038613A" w:rsidRPr="007571A1">
        <w:t xml:space="preserve"> 2015</w:t>
      </w:r>
      <w:r w:rsidR="00983168" w:rsidRPr="007571A1">
        <w:t>.</w:t>
      </w:r>
      <w:r w:rsidR="00E554B8" w:rsidRPr="007571A1">
        <w:t xml:space="preserve"> </w:t>
      </w:r>
      <w:r w:rsidR="00983168" w:rsidRPr="007571A1">
        <w:t>L’</w:t>
      </w:r>
      <w:r w:rsidR="009207D9" w:rsidRPr="007571A1">
        <w:t>E</w:t>
      </w:r>
      <w:r w:rsidR="00983168" w:rsidRPr="007571A1">
        <w:t xml:space="preserve">xpert indépendant a aussi </w:t>
      </w:r>
      <w:r w:rsidR="004D7F06" w:rsidRPr="007571A1">
        <w:t>reçu</w:t>
      </w:r>
      <w:r w:rsidR="00983168" w:rsidRPr="007571A1">
        <w:t xml:space="preserve"> des rapports </w:t>
      </w:r>
      <w:r w:rsidR="00F51C72" w:rsidRPr="007571A1">
        <w:t xml:space="preserve">indiquant </w:t>
      </w:r>
      <w:r w:rsidR="00983168" w:rsidRPr="007571A1">
        <w:t>que</w:t>
      </w:r>
      <w:r w:rsidR="00F51C72" w:rsidRPr="007571A1">
        <w:t>,</w:t>
      </w:r>
      <w:r w:rsidR="00983168" w:rsidRPr="007571A1">
        <w:t xml:space="preserve"> dans le même village, quatre tentatives de viols auraient été perpétré</w:t>
      </w:r>
      <w:r w:rsidR="0038613A" w:rsidRPr="007571A1">
        <w:t>e</w:t>
      </w:r>
      <w:r w:rsidR="00983168" w:rsidRPr="007571A1">
        <w:t xml:space="preserve">s par des éléments </w:t>
      </w:r>
      <w:r w:rsidR="0038613A" w:rsidRPr="007571A1">
        <w:t xml:space="preserve">de la </w:t>
      </w:r>
      <w:r w:rsidR="00983168" w:rsidRPr="007571A1">
        <w:t xml:space="preserve">Plateforme une semaine après la saisie d’Anéfis. </w:t>
      </w:r>
      <w:r w:rsidR="0038613A" w:rsidRPr="007571A1">
        <w:t>A</w:t>
      </w:r>
      <w:r w:rsidR="00983168" w:rsidRPr="007571A1">
        <w:t xml:space="preserve">ucune des victimes </w:t>
      </w:r>
      <w:r w:rsidR="0038613A" w:rsidRPr="007571A1">
        <w:t>n’</w:t>
      </w:r>
      <w:r w:rsidR="00983168" w:rsidRPr="007571A1">
        <w:t xml:space="preserve">aurait </w:t>
      </w:r>
      <w:r w:rsidR="0038613A" w:rsidRPr="007571A1">
        <w:t xml:space="preserve">demandé de </w:t>
      </w:r>
      <w:r w:rsidR="00983168" w:rsidRPr="007571A1">
        <w:t>traitement dans un établissement médical.</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65.</w:t>
      </w:r>
      <w:r w:rsidRPr="00C159F8">
        <w:rPr>
          <w:bCs/>
        </w:rPr>
        <w:tab/>
      </w:r>
      <w:r w:rsidR="00983168" w:rsidRPr="007571A1">
        <w:t>L’Expert indépendant se félicite du programme du Fonds d</w:t>
      </w:r>
      <w:r w:rsidR="00E554B8" w:rsidRPr="007571A1">
        <w:t>’</w:t>
      </w:r>
      <w:r w:rsidR="00983168" w:rsidRPr="007571A1">
        <w:t>affectation à la protection et à l</w:t>
      </w:r>
      <w:r w:rsidR="00E554B8" w:rsidRPr="007571A1">
        <w:t>’</w:t>
      </w:r>
      <w:r w:rsidR="00983168" w:rsidRPr="007571A1">
        <w:t>accès des victimes de violences sexuelles à la justice</w:t>
      </w:r>
      <w:r w:rsidR="0025403A" w:rsidRPr="007571A1">
        <w:t>,</w:t>
      </w:r>
      <w:r w:rsidR="00983168" w:rsidRPr="00C159F8">
        <w:t xml:space="preserve"> établi par la Division des droits de l’homme en juin 2015, auquel le Haut-Commissariat aux droits de l’homme contribue à hauteur de 30</w:t>
      </w:r>
      <w:r w:rsidR="00455687">
        <w:t> </w:t>
      </w:r>
      <w:r w:rsidR="00983168" w:rsidRPr="00C159F8">
        <w:t xml:space="preserve">000 </w:t>
      </w:r>
      <w:r w:rsidR="0038613A">
        <w:t>dollars des États-Unis</w:t>
      </w:r>
      <w:r w:rsidR="00983168" w:rsidRPr="00C159F8">
        <w:t>.</w:t>
      </w:r>
      <w:r w:rsidR="00E554B8">
        <w:t xml:space="preserve"> </w:t>
      </w:r>
      <w:r w:rsidR="00F51C72">
        <w:t>Quinze femmes survivantes bénéficieront de c</w:t>
      </w:r>
      <w:r w:rsidR="00983168" w:rsidRPr="00C159F8">
        <w:t xml:space="preserve">e programme.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66.</w:t>
      </w:r>
      <w:r w:rsidRPr="00C159F8">
        <w:rPr>
          <w:bCs/>
        </w:rPr>
        <w:tab/>
      </w:r>
      <w:r w:rsidR="00983168" w:rsidRPr="00C159F8">
        <w:t>L’Expert indépendant salue aussi le projet à impact rapide mis en place le 24</w:t>
      </w:r>
      <w:r w:rsidR="004D7F06">
        <w:t> o</w:t>
      </w:r>
      <w:r w:rsidR="00983168" w:rsidRPr="00C159F8">
        <w:t>ctobre par l</w:t>
      </w:r>
      <w:r w:rsidR="00E554B8">
        <w:t>’</w:t>
      </w:r>
      <w:r w:rsidR="00983168" w:rsidRPr="00C159F8">
        <w:t>organisation non</w:t>
      </w:r>
      <w:r w:rsidR="00E53020">
        <w:t xml:space="preserve"> </w:t>
      </w:r>
      <w:r w:rsidR="00983168" w:rsidRPr="00C159F8">
        <w:t xml:space="preserve">gouvernementale Association </w:t>
      </w:r>
      <w:r w:rsidR="0038613A">
        <w:t>f</w:t>
      </w:r>
      <w:r w:rsidR="00983168" w:rsidRPr="00C159F8">
        <w:t xml:space="preserve">emmes </w:t>
      </w:r>
      <w:r w:rsidR="0038613A">
        <w:t>b</w:t>
      </w:r>
      <w:r w:rsidR="00983168" w:rsidRPr="00C159F8">
        <w:t>attues. Le projet cible 106</w:t>
      </w:r>
      <w:r w:rsidR="000032E6">
        <w:t> </w:t>
      </w:r>
      <w:r w:rsidR="00983168" w:rsidRPr="00C159F8">
        <w:t>femmes déplacées qui ont survécu à de graves violations des droits de l</w:t>
      </w:r>
      <w:r w:rsidR="00E554B8">
        <w:t>’</w:t>
      </w:r>
      <w:r w:rsidR="00983168" w:rsidRPr="00C159F8">
        <w:t xml:space="preserve">homme commises par des groupes armés extrémistes lors de l’occupation du nord du Mali </w:t>
      </w:r>
      <w:r w:rsidR="0038613A">
        <w:t>ou</w:t>
      </w:r>
      <w:r w:rsidR="0038613A" w:rsidRPr="00C159F8">
        <w:t xml:space="preserve"> </w:t>
      </w:r>
      <w:r w:rsidR="00E53020">
        <w:t xml:space="preserve">à </w:t>
      </w:r>
      <w:r w:rsidR="00983168" w:rsidRPr="00C159F8">
        <w:t>des violence</w:t>
      </w:r>
      <w:r w:rsidR="009B2C1C">
        <w:t>s</w:t>
      </w:r>
      <w:r w:rsidR="00983168" w:rsidRPr="00C159F8">
        <w:t xml:space="preserve"> sexuelle</w:t>
      </w:r>
      <w:r w:rsidR="009B2C1C">
        <w:t>s</w:t>
      </w:r>
      <w:r w:rsidR="00983168" w:rsidRPr="00C159F8">
        <w:t xml:space="preserve"> dans la région de Tombouctou.</w:t>
      </w:r>
    </w:p>
    <w:p w:rsidR="00983168" w:rsidRPr="00C159F8" w:rsidRDefault="00983168" w:rsidP="00E64A16">
      <w:pPr>
        <w:pStyle w:val="H1G"/>
        <w:rPr>
          <w:lang w:val="fr-CH"/>
        </w:rPr>
      </w:pPr>
      <w:r w:rsidRPr="00C159F8">
        <w:rPr>
          <w:lang w:val="fr-CH"/>
        </w:rPr>
        <w:tab/>
        <w:t>D.</w:t>
      </w:r>
      <w:r w:rsidRPr="00C159F8">
        <w:rPr>
          <w:lang w:val="fr-CH"/>
        </w:rPr>
        <w:tab/>
      </w:r>
      <w:r w:rsidR="00E64A16">
        <w:rPr>
          <w:lang w:val="fr-CH"/>
        </w:rPr>
        <w:t>S</w:t>
      </w:r>
      <w:r w:rsidRPr="00C159F8">
        <w:rPr>
          <w:lang w:val="fr-CH"/>
        </w:rPr>
        <w:t>ituation des enfants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67.</w:t>
      </w:r>
      <w:r w:rsidRPr="00C159F8">
        <w:rPr>
          <w:bCs/>
        </w:rPr>
        <w:tab/>
      </w:r>
      <w:r w:rsidR="00983168" w:rsidRPr="00C159F8">
        <w:t>L</w:t>
      </w:r>
      <w:r w:rsidR="00E554B8">
        <w:t>’</w:t>
      </w:r>
      <w:r w:rsidR="00983168" w:rsidRPr="00C159F8">
        <w:t>Expert indépendant a été informé que les enfants ont été victimes</w:t>
      </w:r>
      <w:r w:rsidR="00D5291D">
        <w:t>, à plusieurs reprises,</w:t>
      </w:r>
      <w:r w:rsidR="00983168" w:rsidRPr="00C159F8">
        <w:t xml:space="preserve"> de violents affrontements entre les groupes armés. </w:t>
      </w:r>
      <w:r w:rsidR="004D1CE9">
        <w:t xml:space="preserve">Il </w:t>
      </w:r>
      <w:r w:rsidR="00983168" w:rsidRPr="00C159F8">
        <w:t xml:space="preserve">a </w:t>
      </w:r>
      <w:r w:rsidR="00D5291D">
        <w:t xml:space="preserve">appris </w:t>
      </w:r>
      <w:r w:rsidR="00983168" w:rsidRPr="00C159F8">
        <w:t>que</w:t>
      </w:r>
      <w:r w:rsidR="00D5291D">
        <w:t xml:space="preserve">, </w:t>
      </w:r>
      <w:r w:rsidR="00D5291D" w:rsidRPr="00C159F8">
        <w:t xml:space="preserve">le 29 </w:t>
      </w:r>
      <w:r w:rsidR="00D5291D">
        <w:t>a</w:t>
      </w:r>
      <w:r w:rsidR="00D5291D" w:rsidRPr="00C159F8">
        <w:t xml:space="preserve">vril </w:t>
      </w:r>
      <w:r w:rsidR="00201317">
        <w:t xml:space="preserve">2015 </w:t>
      </w:r>
      <w:r w:rsidR="00D5291D" w:rsidRPr="00C159F8">
        <w:t>à Léré (230</w:t>
      </w:r>
      <w:r w:rsidR="00D5291D">
        <w:t> </w:t>
      </w:r>
      <w:r w:rsidR="00D5291D" w:rsidRPr="00C159F8">
        <w:t>km à l</w:t>
      </w:r>
      <w:r w:rsidR="00D5291D">
        <w:t>’</w:t>
      </w:r>
      <w:r w:rsidR="00D5291D" w:rsidRPr="00C159F8">
        <w:t>ouest de Tombouctou</w:t>
      </w:r>
      <w:r w:rsidR="00D5291D">
        <w:t>),</w:t>
      </w:r>
      <w:r w:rsidR="00983168" w:rsidRPr="00C159F8">
        <w:t xml:space="preserve"> quatre civils </w:t>
      </w:r>
      <w:r w:rsidR="00D5291D">
        <w:t>avaie</w:t>
      </w:r>
      <w:r w:rsidR="00983168" w:rsidRPr="00C159F8">
        <w:t>nt été blessés, dont trois enfants, d</w:t>
      </w:r>
      <w:r w:rsidR="00983168" w:rsidRPr="009A2BB7">
        <w:t xml:space="preserve">ans les affrontements armés entre la </w:t>
      </w:r>
      <w:r w:rsidR="00983168" w:rsidRPr="00C159F8">
        <w:t xml:space="preserve"> </w:t>
      </w:r>
      <w:r w:rsidR="009A2BB7">
        <w:t xml:space="preserve">CMA </w:t>
      </w:r>
      <w:r w:rsidR="00983168" w:rsidRPr="00C159F8">
        <w:t>et l</w:t>
      </w:r>
      <w:r w:rsidR="00E554B8">
        <w:t>’</w:t>
      </w:r>
      <w:r w:rsidR="00983168" w:rsidRPr="00C159F8">
        <w:t xml:space="preserve">armée malienne. Le 18 </w:t>
      </w:r>
      <w:r w:rsidR="007E63D0">
        <w:t>a</w:t>
      </w:r>
      <w:r w:rsidR="00983168" w:rsidRPr="00C159F8">
        <w:t>oût, à Inkadewen</w:t>
      </w:r>
      <w:r w:rsidR="00201317">
        <w:t xml:space="preserve"> (</w:t>
      </w:r>
      <w:r w:rsidR="00983168" w:rsidRPr="00C159F8">
        <w:t>75 km de Ménaka</w:t>
      </w:r>
      <w:r w:rsidR="00201317">
        <w:t>)</w:t>
      </w:r>
      <w:r w:rsidR="00983168" w:rsidRPr="00C159F8">
        <w:t xml:space="preserve">, </w:t>
      </w:r>
      <w:r w:rsidR="0025403A">
        <w:t xml:space="preserve">dans </w:t>
      </w:r>
      <w:r w:rsidR="0025403A" w:rsidRPr="0025403A">
        <w:t xml:space="preserve">la </w:t>
      </w:r>
      <w:r w:rsidR="00983168" w:rsidRPr="0025403A">
        <w:t>région de</w:t>
      </w:r>
      <w:r w:rsidR="00983168" w:rsidRPr="00C159F8">
        <w:t xml:space="preserve"> Gao, deux enfants</w:t>
      </w:r>
      <w:r w:rsidR="00201317">
        <w:t xml:space="preserve"> </w:t>
      </w:r>
      <w:r w:rsidR="00983168" w:rsidRPr="00C159F8">
        <w:t>de 6 et 8</w:t>
      </w:r>
      <w:r w:rsidR="00201317">
        <w:t xml:space="preserve"> ans </w:t>
      </w:r>
      <w:r w:rsidR="00983168" w:rsidRPr="00C159F8">
        <w:t>ont été tués et trois personnes, deux hommes et un enfant de 3</w:t>
      </w:r>
      <w:r w:rsidR="00201317">
        <w:t> </w:t>
      </w:r>
      <w:r w:rsidR="00983168" w:rsidRPr="00C159F8">
        <w:t>ans, ont été blessé</w:t>
      </w:r>
      <w:r w:rsidR="00201317">
        <w:t>e</w:t>
      </w:r>
      <w:r w:rsidR="00983168" w:rsidRPr="00C159F8">
        <w:t xml:space="preserve">s </w:t>
      </w:r>
      <w:r w:rsidR="00201317">
        <w:t xml:space="preserve">par </w:t>
      </w:r>
      <w:r w:rsidR="00983168" w:rsidRPr="00C159F8">
        <w:t>l</w:t>
      </w:r>
      <w:r w:rsidR="00E554B8">
        <w:t>’</w:t>
      </w:r>
      <w:r w:rsidR="00983168" w:rsidRPr="00C159F8">
        <w:t>explosion d</w:t>
      </w:r>
      <w:r w:rsidR="00E554B8">
        <w:t>’</w:t>
      </w:r>
      <w:r w:rsidR="00983168" w:rsidRPr="00C159F8">
        <w:t>un engin explosif improvisé.</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68.</w:t>
      </w:r>
      <w:r w:rsidRPr="00C159F8">
        <w:rPr>
          <w:bCs/>
        </w:rPr>
        <w:tab/>
      </w:r>
      <w:r w:rsidR="00983168" w:rsidRPr="00C159F8">
        <w:t>Le recrutement et l</w:t>
      </w:r>
      <w:r w:rsidR="00E554B8">
        <w:t>’</w:t>
      </w:r>
      <w:r w:rsidR="00983168" w:rsidRPr="00C159F8">
        <w:t>utilisation d</w:t>
      </w:r>
      <w:r w:rsidR="00E554B8">
        <w:t>’</w:t>
      </w:r>
      <w:r w:rsidR="00983168" w:rsidRPr="00C159F8">
        <w:t xml:space="preserve">enfants par des groupes armés </w:t>
      </w:r>
      <w:r w:rsidR="004C4933">
        <w:t>est</w:t>
      </w:r>
      <w:r w:rsidR="00983168" w:rsidRPr="00C159F8">
        <w:t xml:space="preserve"> également un problème et des rapports indiquent la présence d</w:t>
      </w:r>
      <w:r w:rsidR="00E554B8">
        <w:t>’</w:t>
      </w:r>
      <w:r w:rsidR="00983168" w:rsidRPr="00C159F8">
        <w:t>enfants dont certains sont porteurs d</w:t>
      </w:r>
      <w:r w:rsidR="00E554B8">
        <w:t>’</w:t>
      </w:r>
      <w:r w:rsidR="00983168" w:rsidRPr="00C159F8">
        <w:t>armes aux points de contrôle. La Division des droits de l</w:t>
      </w:r>
      <w:r w:rsidR="00E554B8">
        <w:t>’</w:t>
      </w:r>
      <w:r w:rsidR="00983168" w:rsidRPr="00C159F8">
        <w:t xml:space="preserve">homme de </w:t>
      </w:r>
      <w:r w:rsidR="00954B03">
        <w:t xml:space="preserve">la </w:t>
      </w:r>
      <w:r w:rsidR="00983168" w:rsidRPr="00C159F8">
        <w:t xml:space="preserve">MINUSMA a observé, </w:t>
      </w:r>
      <w:r w:rsidR="004C4933">
        <w:t xml:space="preserve">le 2 octobre, </w:t>
      </w:r>
      <w:r w:rsidR="00983168" w:rsidRPr="00C159F8">
        <w:t>lors d</w:t>
      </w:r>
      <w:r w:rsidR="00E554B8">
        <w:t>’</w:t>
      </w:r>
      <w:r w:rsidR="00983168" w:rsidRPr="00C159F8">
        <w:t>une mission à Inbaram, à environ 8</w:t>
      </w:r>
      <w:r w:rsidR="004F0F77">
        <w:t> </w:t>
      </w:r>
      <w:r w:rsidR="00983168" w:rsidRPr="00C159F8">
        <w:t xml:space="preserve">km de Ménaka, </w:t>
      </w:r>
      <w:r w:rsidR="004C4933">
        <w:t xml:space="preserve">dans la </w:t>
      </w:r>
      <w:r w:rsidR="00983168" w:rsidRPr="00C159F8">
        <w:t xml:space="preserve">région de Gao, la présence d’au moins cinq enfants portant des treillis militaires et des armes, parmi les éléments </w:t>
      </w:r>
      <w:r w:rsidR="009A2BB7">
        <w:t xml:space="preserve">du </w:t>
      </w:r>
      <w:r w:rsidR="00983168" w:rsidRPr="009A2BB7">
        <w:t>GATIA.</w:t>
      </w:r>
      <w:r w:rsidR="00E554B8">
        <w:t xml:space="preserve"> </w:t>
      </w:r>
      <w:r w:rsidR="00983168" w:rsidRPr="00C159F8">
        <w:t xml:space="preserve">La </w:t>
      </w:r>
      <w:r w:rsidR="00954B03" w:rsidRPr="00C159F8">
        <w:t>Division de</w:t>
      </w:r>
      <w:r w:rsidR="00954B03">
        <w:t>s</w:t>
      </w:r>
      <w:r w:rsidR="00954B03" w:rsidRPr="00C159F8">
        <w:t xml:space="preserve"> droits de l’homme</w:t>
      </w:r>
      <w:r w:rsidR="00983168" w:rsidRPr="00C159F8">
        <w:t xml:space="preserve"> a également interrogé un garçon de 16 </w:t>
      </w:r>
      <w:r w:rsidR="00983168" w:rsidRPr="0028756F">
        <w:t xml:space="preserve">ans détenu par des </w:t>
      </w:r>
      <w:r w:rsidR="00E15E3C" w:rsidRPr="0028756F">
        <w:t>éléments de l</w:t>
      </w:r>
      <w:r w:rsidR="00222D3E" w:rsidRPr="009A0948">
        <w:t>a</w:t>
      </w:r>
      <w:r w:rsidR="00E15E3C" w:rsidRPr="0028756F">
        <w:t xml:space="preserve"> CMA</w:t>
      </w:r>
      <w:r w:rsidR="00983168" w:rsidRPr="0028756F">
        <w:t xml:space="preserve"> dans </w:t>
      </w:r>
      <w:r w:rsidR="006D75EA" w:rsidRPr="0028756F">
        <w:t xml:space="preserve">les locaux du Comité de sécurité mixte de l’Azawad à Kidal </w:t>
      </w:r>
      <w:r w:rsidR="00983168" w:rsidRPr="0028756F">
        <w:t>(CSMAK).</w:t>
      </w:r>
      <w:r w:rsidR="00983168" w:rsidRPr="00C159F8">
        <w:t xml:space="preserve"> </w:t>
      </w:r>
      <w:r w:rsidR="000D31EC">
        <w:t>C</w:t>
      </w:r>
      <w:r w:rsidR="00983168" w:rsidRPr="00C159F8">
        <w:t>e dernier a reconnu avoir été recruté par GATIA et a confirmé qu</w:t>
      </w:r>
      <w:r w:rsidR="00E554B8">
        <w:t>’</w:t>
      </w:r>
      <w:r w:rsidR="00983168" w:rsidRPr="00C159F8">
        <w:t>il a</w:t>
      </w:r>
      <w:r w:rsidR="000D31EC">
        <w:t>vait</w:t>
      </w:r>
      <w:r w:rsidR="00983168" w:rsidRPr="00C159F8">
        <w:t xml:space="preserve"> été arrêté en mai à Tin Fadimata, </w:t>
      </w:r>
      <w:r w:rsidR="000D31EC">
        <w:t xml:space="preserve">dans la </w:t>
      </w:r>
      <w:r w:rsidR="00983168" w:rsidRPr="00C159F8">
        <w:t>région de Gao</w:t>
      </w:r>
      <w:r w:rsidR="000D31EC">
        <w:t>,</w:t>
      </w:r>
      <w:r w:rsidR="00983168" w:rsidRPr="00C159F8">
        <w:t xml:space="preserve"> alors qu’il prenait part aux hostilités. Le 5</w:t>
      </w:r>
      <w:r w:rsidR="000B7F97">
        <w:t> </w:t>
      </w:r>
      <w:r w:rsidR="00983168" w:rsidRPr="00C159F8">
        <w:t>octobre</w:t>
      </w:r>
      <w:r w:rsidR="000D31EC">
        <w:t>,</w:t>
      </w:r>
      <w:r w:rsidR="00983168" w:rsidRPr="00C159F8">
        <w:t xml:space="preserve"> la </w:t>
      </w:r>
      <w:r w:rsidR="00954B03" w:rsidRPr="00C159F8">
        <w:t>Division de</w:t>
      </w:r>
      <w:r w:rsidR="00954B03">
        <w:t>s</w:t>
      </w:r>
      <w:r w:rsidR="00954B03" w:rsidRPr="00C159F8">
        <w:t xml:space="preserve"> droits de l’homme de la MINUSMA</w:t>
      </w:r>
      <w:r w:rsidR="00983168" w:rsidRPr="00C159F8">
        <w:t xml:space="preserve"> a observé au moins trois enfants parmi les </w:t>
      </w:r>
      <w:r w:rsidR="00983168" w:rsidRPr="00CB59BF">
        <w:t xml:space="preserve">éléments de </w:t>
      </w:r>
      <w:r w:rsidR="00E15E3C" w:rsidRPr="009A0948">
        <w:t>l</w:t>
      </w:r>
      <w:r w:rsidR="00CB59BF" w:rsidRPr="009A0948">
        <w:t xml:space="preserve">a </w:t>
      </w:r>
      <w:r w:rsidR="00E15E3C" w:rsidRPr="009A0948">
        <w:t>CPA</w:t>
      </w:r>
      <w:r w:rsidR="00983168" w:rsidRPr="00CB59BF">
        <w:t>. Un spécialiste des droits de l’homme a parlé à un garçon de 16 ans qui a indiqué qu</w:t>
      </w:r>
      <w:r w:rsidR="00E554B8" w:rsidRPr="00CB59BF">
        <w:t>’</w:t>
      </w:r>
      <w:r w:rsidR="00983168" w:rsidRPr="00CB59BF">
        <w:t>il a</w:t>
      </w:r>
      <w:r w:rsidR="000D31EC" w:rsidRPr="00CB59BF">
        <w:t>vait</w:t>
      </w:r>
      <w:r w:rsidR="00983168" w:rsidRPr="00CB59BF">
        <w:t xml:space="preserve"> rejoint volontairement l</w:t>
      </w:r>
      <w:r w:rsidR="00CB59BF" w:rsidRPr="009A0948">
        <w:t>a</w:t>
      </w:r>
      <w:r w:rsidR="00983168" w:rsidRPr="00CB59BF">
        <w:t xml:space="preserve"> </w:t>
      </w:r>
      <w:r w:rsidR="00E15E3C" w:rsidRPr="00CB59BF">
        <w:t>CPA</w:t>
      </w:r>
      <w:r w:rsidR="00983168" w:rsidRPr="00CB59BF">
        <w:t xml:space="preserve"> en </w:t>
      </w:r>
      <w:r w:rsidR="000B7F97" w:rsidRPr="00CB59BF">
        <w:t>j</w:t>
      </w:r>
      <w:r w:rsidR="00983168" w:rsidRPr="00CB59BF">
        <w:t>uillet 2015 avec d</w:t>
      </w:r>
      <w:r w:rsidR="00E554B8" w:rsidRPr="00CB59BF">
        <w:t>’</w:t>
      </w:r>
      <w:r w:rsidR="00983168" w:rsidRPr="00CB59BF">
        <w:t xml:space="preserve">autres enfants (environ sept). Il a mentionné </w:t>
      </w:r>
      <w:r w:rsidR="000D31EC" w:rsidRPr="00CB59BF">
        <w:t>qu’</w:t>
      </w:r>
      <w:r w:rsidR="00983168" w:rsidRPr="00CB59BF">
        <w:t>ils étaient principalement utilisés pour la</w:t>
      </w:r>
      <w:r w:rsidR="00983168" w:rsidRPr="00C159F8">
        <w:t xml:space="preserve"> </w:t>
      </w:r>
      <w:r w:rsidR="00983168" w:rsidRPr="000D31EC">
        <w:t>cuisson</w:t>
      </w:r>
      <w:r w:rsidR="00584991">
        <w:t xml:space="preserve"> des aliments</w:t>
      </w:r>
      <w:r w:rsidR="00983168" w:rsidRPr="00C159F8">
        <w:t xml:space="preserve">, mais qu’ils </w:t>
      </w:r>
      <w:r w:rsidR="000D31EC">
        <w:t>recevai</w:t>
      </w:r>
      <w:r w:rsidR="00983168" w:rsidRPr="00C159F8">
        <w:t>ent également une formation militaire.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69.</w:t>
      </w:r>
      <w:r w:rsidRPr="00C159F8">
        <w:rPr>
          <w:bCs/>
        </w:rPr>
        <w:tab/>
      </w:r>
      <w:r w:rsidR="00983168" w:rsidRPr="00C159F8">
        <w:t xml:space="preserve">Le risque de violence sexuelle contre </w:t>
      </w:r>
      <w:r w:rsidR="00584991">
        <w:t>d</w:t>
      </w:r>
      <w:r w:rsidR="00983168" w:rsidRPr="00C159F8">
        <w:t>es enfants par les membres des groupes armés reste élevé. En juin</w:t>
      </w:r>
      <w:r w:rsidR="00954B03">
        <w:t>,</w:t>
      </w:r>
      <w:r w:rsidR="00983168" w:rsidRPr="00C159F8">
        <w:t xml:space="preserve"> la </w:t>
      </w:r>
      <w:r w:rsidR="00954B03" w:rsidRPr="00C159F8">
        <w:t>Division de</w:t>
      </w:r>
      <w:r w:rsidR="00954B03">
        <w:t>s</w:t>
      </w:r>
      <w:r w:rsidR="00954B03" w:rsidRPr="00C159F8">
        <w:t xml:space="preserve"> droits de l’homme de la MINUSMA </w:t>
      </w:r>
      <w:r w:rsidR="00954B03">
        <w:t xml:space="preserve">a </w:t>
      </w:r>
      <w:r w:rsidR="00DA77B5">
        <w:t xml:space="preserve">enregistré </w:t>
      </w:r>
      <w:r w:rsidR="00983168" w:rsidRPr="00C159F8">
        <w:t xml:space="preserve">un cas de viol </w:t>
      </w:r>
      <w:r w:rsidR="00584991">
        <w:t>d’</w:t>
      </w:r>
      <w:r w:rsidR="00983168" w:rsidRPr="00C159F8">
        <w:t>une jeune fille de 16 ans par un élément de la garde nationale à Mopti.</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70.</w:t>
      </w:r>
      <w:r w:rsidRPr="00C159F8">
        <w:rPr>
          <w:bCs/>
        </w:rPr>
        <w:tab/>
      </w:r>
      <w:r w:rsidR="008C751B">
        <w:t>Lors</w:t>
      </w:r>
      <w:r w:rsidR="00983168" w:rsidRPr="00C159F8">
        <w:t xml:space="preserve"> de rencontres avec les membres de la société civile à Kidal,</w:t>
      </w:r>
      <w:r w:rsidR="00E554B8">
        <w:t xml:space="preserve"> </w:t>
      </w:r>
      <w:r w:rsidR="00983168" w:rsidRPr="00C159F8">
        <w:t>l’Expert indépendant a été informé des problèmes que pose</w:t>
      </w:r>
      <w:r w:rsidR="00F72AAD">
        <w:t>nt</w:t>
      </w:r>
      <w:r w:rsidR="00983168" w:rsidRPr="00C159F8">
        <w:t xml:space="preserve"> la situation socioéconomique </w:t>
      </w:r>
      <w:r w:rsidR="008C751B">
        <w:t xml:space="preserve">dans le </w:t>
      </w:r>
      <w:r w:rsidR="00983168" w:rsidRPr="00C159F8">
        <w:t xml:space="preserve">nord </w:t>
      </w:r>
      <w:r w:rsidR="008C751B">
        <w:t xml:space="preserve">du pays </w:t>
      </w:r>
      <w:r w:rsidR="00F72AAD">
        <w:t xml:space="preserve">et </w:t>
      </w:r>
      <w:r w:rsidR="00983168" w:rsidRPr="00C159F8">
        <w:t>le manque d’accès à l’eau potable et d</w:t>
      </w:r>
      <w:r w:rsidR="008C751B">
        <w:t>’</w:t>
      </w:r>
      <w:r w:rsidR="00983168" w:rsidRPr="00C159F8">
        <w:t>installations sanitaires qui exposent les enfants au risque de contracter des affections potentiellement mortelles.</w:t>
      </w:r>
    </w:p>
    <w:p w:rsidR="00983168" w:rsidRPr="00C159F8" w:rsidRDefault="00983168" w:rsidP="00E64A16">
      <w:pPr>
        <w:pStyle w:val="H1G"/>
        <w:rPr>
          <w:lang w:val="fr-CH"/>
        </w:rPr>
      </w:pPr>
      <w:r w:rsidRPr="00C159F8">
        <w:rPr>
          <w:lang w:val="fr-CH"/>
        </w:rPr>
        <w:tab/>
        <w:t>E.</w:t>
      </w:r>
      <w:r w:rsidRPr="00C159F8">
        <w:rPr>
          <w:lang w:val="fr-CH"/>
        </w:rPr>
        <w:tab/>
      </w:r>
      <w:r w:rsidR="00E64A16">
        <w:rPr>
          <w:lang w:val="fr-CH"/>
        </w:rPr>
        <w:t>S</w:t>
      </w:r>
      <w:r w:rsidRPr="00C159F8">
        <w:rPr>
          <w:lang w:val="fr-CH"/>
        </w:rPr>
        <w:t>ituation pénitentiaire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71.</w:t>
      </w:r>
      <w:r w:rsidRPr="00C159F8">
        <w:rPr>
          <w:bCs/>
        </w:rPr>
        <w:tab/>
      </w:r>
      <w:r w:rsidR="00983168" w:rsidRPr="00C159F8">
        <w:t xml:space="preserve">L’Expert indépendant a pu visiter la maison centrale d’arrêt de Bamako et s’entretenir avec des personnes privées de liberté en rapport avec le conflit </w:t>
      </w:r>
      <w:r w:rsidR="00F72AAD">
        <w:t xml:space="preserve">dans le </w:t>
      </w:r>
      <w:r w:rsidR="00983168" w:rsidRPr="00C159F8">
        <w:t>nord</w:t>
      </w:r>
      <w:r w:rsidR="00F72AAD">
        <w:t xml:space="preserve"> du pays</w:t>
      </w:r>
      <w:r w:rsidR="00983168" w:rsidRPr="00C159F8">
        <w:t>, et des personnes arrêtées au cours des opérations contre le terrorisme menées dans les régions sud du Mali.</w:t>
      </w:r>
      <w:r w:rsidR="00E554B8">
        <w:t xml:space="preserve"> </w:t>
      </w:r>
      <w:r w:rsidR="00983168" w:rsidRPr="00C159F8">
        <w:t>Parmi les détenus interrogés</w:t>
      </w:r>
      <w:r w:rsidR="00584991">
        <w:t>,</w:t>
      </w:r>
      <w:r w:rsidR="00983168" w:rsidRPr="00C159F8">
        <w:t xml:space="preserve"> une personne aurait été détenue depuis huit mois sans être interrogée et un mineur aurait appartenu à l’un des groupes armés.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72.</w:t>
      </w:r>
      <w:r w:rsidRPr="00C159F8">
        <w:rPr>
          <w:bCs/>
        </w:rPr>
        <w:tab/>
      </w:r>
      <w:r w:rsidR="00983168" w:rsidRPr="00C159F8">
        <w:t xml:space="preserve">La moitié des détenus avait vu un juge d’instruction, mais il est clair que le droit des personnes arrêtées d’avoir accès à un avocat consacré par la Constitution </w:t>
      </w:r>
      <w:r w:rsidR="00046315">
        <w:t>m</w:t>
      </w:r>
      <w:r w:rsidR="00983168" w:rsidRPr="00C159F8">
        <w:t>alienne n’est pas appliqué dans les faits. L’accès à l’aide judiciaire gratuite, prévue par la loi, n’est pas mis en œuvre dans la réalité. La population carcérale</w:t>
      </w:r>
      <w:r w:rsidR="00016E15">
        <w:t>,</w:t>
      </w:r>
      <w:r w:rsidR="00983168" w:rsidRPr="00C159F8">
        <w:t xml:space="preserve"> estimée à 1</w:t>
      </w:r>
      <w:r w:rsidR="004F0F77">
        <w:t> </w:t>
      </w:r>
      <w:r w:rsidR="00983168" w:rsidRPr="00C159F8">
        <w:t>900 détenus</w:t>
      </w:r>
      <w:r w:rsidR="00016E15">
        <w:t>,</w:t>
      </w:r>
      <w:r w:rsidR="00983168" w:rsidRPr="00C159F8">
        <w:t xml:space="preserve"> est très élevée par rapport à la capacité d’accueil de la prison qui est de 600.</w:t>
      </w:r>
      <w:r w:rsidR="00E554B8">
        <w:t xml:space="preserve"> </w:t>
      </w:r>
      <w:r w:rsidR="00983168" w:rsidRPr="00C159F8">
        <w:t>Cette situation est directement liée au nombre élevé de personnes en détention provisoire.</w:t>
      </w:r>
      <w:r w:rsidR="00E554B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73.</w:t>
      </w:r>
      <w:r w:rsidRPr="00C159F8">
        <w:rPr>
          <w:bCs/>
        </w:rPr>
        <w:tab/>
      </w:r>
      <w:r w:rsidR="00983168" w:rsidRPr="00C159F8">
        <w:t>L’Expert indépendant a noté que l’inscription des données concernant les personnes détenues a été maintenue, mais il fallait lire plusieurs registres pour comprendre la situation d’un seul détenu. Les données ne sont pas informatisées et leur exploitation n’</w:t>
      </w:r>
      <w:r w:rsidR="00F72AAD">
        <w:t xml:space="preserve">est </w:t>
      </w:r>
      <w:r w:rsidR="00983168" w:rsidRPr="00C159F8">
        <w:t>pas facile.</w:t>
      </w:r>
      <w:r w:rsidR="00E554B8">
        <w:t xml:space="preserve"> </w:t>
      </w:r>
      <w:r w:rsidR="00983168" w:rsidRPr="00C159F8">
        <w:t xml:space="preserve">L’Expert </w:t>
      </w:r>
      <w:r w:rsidR="004D1CE9" w:rsidRPr="00C159F8">
        <w:t xml:space="preserve">indépendant </w:t>
      </w:r>
      <w:r w:rsidR="00983168" w:rsidRPr="00C159F8">
        <w:t>a également constaté que la sécurité de la prison est faible en raison de structures inadaptées et du manque d’équipements adéquats pour la surveillance.</w:t>
      </w:r>
      <w:r w:rsidR="00E554B8">
        <w:t xml:space="preserv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74.</w:t>
      </w:r>
      <w:r w:rsidRPr="00C159F8">
        <w:rPr>
          <w:bCs/>
        </w:rPr>
        <w:tab/>
      </w:r>
      <w:r w:rsidR="00983168" w:rsidRPr="00C159F8">
        <w:t xml:space="preserve">L’Expert </w:t>
      </w:r>
      <w:r w:rsidR="004D1CE9" w:rsidRPr="00C159F8">
        <w:t xml:space="preserve">indépendant </w:t>
      </w:r>
      <w:r w:rsidR="00983168" w:rsidRPr="00C159F8">
        <w:t xml:space="preserve">a </w:t>
      </w:r>
      <w:r w:rsidR="007E63D0" w:rsidRPr="00C159F8">
        <w:t>reçu</w:t>
      </w:r>
      <w:r w:rsidR="00983168" w:rsidRPr="00C159F8">
        <w:t xml:space="preserve"> des informations </w:t>
      </w:r>
      <w:r w:rsidR="005E2AD0">
        <w:t xml:space="preserve">indiquant </w:t>
      </w:r>
      <w:r w:rsidR="00983168" w:rsidRPr="00C159F8">
        <w:t>que</w:t>
      </w:r>
      <w:r w:rsidR="005E2AD0">
        <w:t>,</w:t>
      </w:r>
      <w:r w:rsidR="00983168" w:rsidRPr="00C159F8">
        <w:t xml:space="preserve"> depuis la dernière visite de l</w:t>
      </w:r>
      <w:r w:rsidR="00E554B8">
        <w:t>’</w:t>
      </w:r>
      <w:r w:rsidR="009207D9">
        <w:t>E</w:t>
      </w:r>
      <w:r w:rsidR="00983168" w:rsidRPr="00C159F8">
        <w:t xml:space="preserve">xpert </w:t>
      </w:r>
      <w:r w:rsidR="009207D9">
        <w:t>i</w:t>
      </w:r>
      <w:r w:rsidR="00983168" w:rsidRPr="00C159F8">
        <w:t xml:space="preserve">ndépendant, la </w:t>
      </w:r>
      <w:r w:rsidR="005E2AD0">
        <w:t>D</w:t>
      </w:r>
      <w:r w:rsidR="00983168" w:rsidRPr="00C159F8">
        <w:t xml:space="preserve">ivision </w:t>
      </w:r>
      <w:r w:rsidR="005E2AD0">
        <w:t>des d</w:t>
      </w:r>
      <w:r w:rsidR="00983168" w:rsidRPr="00C159F8">
        <w:t>roits de l</w:t>
      </w:r>
      <w:r w:rsidR="00E554B8">
        <w:t>’</w:t>
      </w:r>
      <w:r w:rsidR="005E2AD0">
        <w:t>h</w:t>
      </w:r>
      <w:r w:rsidR="00983168" w:rsidRPr="00C159F8">
        <w:t>omme a</w:t>
      </w:r>
      <w:r w:rsidR="00F72AAD">
        <w:t>vait</w:t>
      </w:r>
      <w:r w:rsidR="00983168" w:rsidRPr="00C159F8">
        <w:t xml:space="preserve"> effectué un suivi régulier des installations de l</w:t>
      </w:r>
      <w:r w:rsidR="00E554B8">
        <w:t>’</w:t>
      </w:r>
      <w:r w:rsidR="00983168" w:rsidRPr="00C159F8">
        <w:t>État et de</w:t>
      </w:r>
      <w:r w:rsidR="00F72AAD">
        <w:t>s</w:t>
      </w:r>
      <w:r w:rsidR="00983168" w:rsidRPr="00C159F8">
        <w:t xml:space="preserve"> lieux de détention </w:t>
      </w:r>
      <w:r w:rsidR="00CC7935">
        <w:t>gérés</w:t>
      </w:r>
      <w:r w:rsidR="00983168" w:rsidRPr="00C159F8">
        <w:t xml:space="preserve"> par les groupes armés dans tout le pays </w:t>
      </w:r>
      <w:r w:rsidR="007E63D0">
        <w:t>–</w:t>
      </w:r>
      <w:r w:rsidR="00983168" w:rsidRPr="00C159F8">
        <w:t xml:space="preserve"> y compris les installations CMA </w:t>
      </w:r>
      <w:r w:rsidR="00F72AAD">
        <w:t xml:space="preserve">comme </w:t>
      </w:r>
      <w:r w:rsidR="00983168" w:rsidRPr="00C159F8">
        <w:t xml:space="preserve">à Kidal et </w:t>
      </w:r>
      <w:r w:rsidR="00F72AAD">
        <w:t xml:space="preserve">à </w:t>
      </w:r>
      <w:r w:rsidR="00983168" w:rsidRPr="00C159F8">
        <w:t xml:space="preserve">Ber. En </w:t>
      </w:r>
      <w:r w:rsidR="00D9105F">
        <w:t>j</w:t>
      </w:r>
      <w:r w:rsidR="00983168" w:rsidRPr="00C159F8">
        <w:t xml:space="preserve">uin, </w:t>
      </w:r>
      <w:r w:rsidR="00F72AAD">
        <w:t>d</w:t>
      </w:r>
      <w:r w:rsidR="00983168" w:rsidRPr="00C159F8">
        <w:t xml:space="preserve">es allégations de torture et de traitements cruels, inhumains ou dégradants par des membres des </w:t>
      </w:r>
      <w:r w:rsidR="00D9105F">
        <w:t>f</w:t>
      </w:r>
      <w:r w:rsidR="00983168" w:rsidRPr="00C159F8">
        <w:t xml:space="preserve">orces </w:t>
      </w:r>
      <w:r w:rsidR="00D9105F">
        <w:t>a</w:t>
      </w:r>
      <w:r w:rsidR="00983168" w:rsidRPr="00C159F8">
        <w:t xml:space="preserve">rmées </w:t>
      </w:r>
      <w:r w:rsidR="00D9105F">
        <w:t>m</w:t>
      </w:r>
      <w:r w:rsidR="00983168" w:rsidRPr="00C159F8">
        <w:t xml:space="preserve">aliennes </w:t>
      </w:r>
      <w:r w:rsidR="00983168" w:rsidRPr="009847EC">
        <w:t xml:space="preserve">ont été </w:t>
      </w:r>
      <w:r w:rsidR="00DA77B5" w:rsidRPr="009A0948">
        <w:t xml:space="preserve">enregistrées </w:t>
      </w:r>
      <w:r w:rsidR="00983168" w:rsidRPr="00C159F8">
        <w:t>dans la région de Ségou (centre du Mali). Les victimes ét</w:t>
      </w:r>
      <w:r w:rsidR="00F72AAD">
        <w:t xml:space="preserve">aient </w:t>
      </w:r>
      <w:r w:rsidR="00983168" w:rsidRPr="00C159F8">
        <w:t>soupçonnés d</w:t>
      </w:r>
      <w:r w:rsidR="00E554B8">
        <w:t>’</w:t>
      </w:r>
      <w:r w:rsidR="00983168" w:rsidRPr="00C159F8">
        <w:t>être associé</w:t>
      </w:r>
      <w:r w:rsidR="00F72AAD">
        <w:t>e</w:t>
      </w:r>
      <w:r w:rsidR="00983168" w:rsidRPr="00C159F8">
        <w:t>s à des groupes armés</w:t>
      </w:r>
      <w:r w:rsidR="00F72AAD">
        <w:t xml:space="preserve"> ou </w:t>
      </w:r>
      <w:r w:rsidR="00983168" w:rsidRPr="00C159F8">
        <w:t>terroristes. D’après les informations fournies à l’</w:t>
      </w:r>
      <w:r w:rsidR="004D1CE9">
        <w:t>E</w:t>
      </w:r>
      <w:r w:rsidR="00983168" w:rsidRPr="00C159F8">
        <w:t xml:space="preserve">xpert </w:t>
      </w:r>
      <w:r w:rsidR="004D1CE9" w:rsidRPr="00C159F8">
        <w:t>indépendant</w:t>
      </w:r>
      <w:r w:rsidR="00F72AAD">
        <w:t>,</w:t>
      </w:r>
      <w:r w:rsidR="004D1CE9" w:rsidRPr="00C159F8">
        <w:t xml:space="preserve"> </w:t>
      </w:r>
      <w:r w:rsidR="00983168" w:rsidRPr="00C159F8">
        <w:t>les victimes ont été arrêté</w:t>
      </w:r>
      <w:r w:rsidR="00F72AAD">
        <w:t>e</w:t>
      </w:r>
      <w:r w:rsidR="00983168" w:rsidRPr="00C159F8">
        <w:t xml:space="preserve">s par </w:t>
      </w:r>
      <w:r w:rsidR="00D9105F" w:rsidRPr="007571A1">
        <w:t>les forces armées maliennes</w:t>
      </w:r>
      <w:r w:rsidR="00983168" w:rsidRPr="00C159F8">
        <w:t xml:space="preserve"> </w:t>
      </w:r>
      <w:r w:rsidR="00983168" w:rsidRPr="006E51CE">
        <w:t>sur</w:t>
      </w:r>
      <w:r w:rsidR="00983168" w:rsidRPr="00C159F8">
        <w:t xml:space="preserve"> des soupçons de collaboration avec des groupes de terroristes armés, détenus dans une caserne militaire où ils ont été ligotés, les yeux bandés, suspendu</w:t>
      </w:r>
      <w:r w:rsidR="00F72AAD">
        <w:t>s</w:t>
      </w:r>
      <w:r w:rsidR="00983168" w:rsidRPr="00C159F8">
        <w:t xml:space="preserve"> par les pieds pendant plusieurs heures et battus durant les interrogatoires. Après quelques jours, ils ont été remis à la </w:t>
      </w:r>
      <w:r w:rsidR="00983168" w:rsidRPr="00B12967">
        <w:t>gendarmerie pertinente</w:t>
      </w:r>
      <w:r w:rsidR="00B12967" w:rsidRPr="00B12967">
        <w:t xml:space="preserve"> et</w:t>
      </w:r>
      <w:r w:rsidR="00B12967">
        <w:t xml:space="preserve"> </w:t>
      </w:r>
      <w:r w:rsidR="00983168" w:rsidRPr="00C159F8">
        <w:t xml:space="preserve">les abus ont cessé. </w:t>
      </w:r>
      <w:r w:rsidR="007E63D0">
        <w:t>À</w:t>
      </w:r>
      <w:r w:rsidR="00983168" w:rsidRPr="00C159F8">
        <w:t xml:space="preserve"> plusieurs reprises, les détenus interrogés ont indiqué que les commandants des </w:t>
      </w:r>
      <w:r w:rsidR="00FA7B97">
        <w:t xml:space="preserve">forces armées maliennes </w:t>
      </w:r>
      <w:r w:rsidR="00983168" w:rsidRPr="00C159F8">
        <w:t xml:space="preserve">étaient au courant ou </w:t>
      </w:r>
      <w:r w:rsidR="00F72AAD" w:rsidRPr="00B12967">
        <w:t xml:space="preserve">avaient </w:t>
      </w:r>
      <w:r w:rsidR="00983168" w:rsidRPr="00B12967">
        <w:t xml:space="preserve">incité </w:t>
      </w:r>
      <w:r w:rsidR="00B12967" w:rsidRPr="00B12967">
        <w:t>à</w:t>
      </w:r>
      <w:r w:rsidR="00B12967">
        <w:t xml:space="preserve"> de tels </w:t>
      </w:r>
      <w:r w:rsidR="00983168" w:rsidRPr="00C159F8">
        <w:t>traitements.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75.</w:t>
      </w:r>
      <w:r w:rsidRPr="00C159F8">
        <w:rPr>
          <w:bCs/>
        </w:rPr>
        <w:tab/>
      </w:r>
      <w:r w:rsidR="00983168" w:rsidRPr="00C159F8">
        <w:t>L’</w:t>
      </w:r>
      <w:r w:rsidR="009207D9">
        <w:t>E</w:t>
      </w:r>
      <w:r w:rsidR="00983168" w:rsidRPr="00C159F8">
        <w:t xml:space="preserve">xpert </w:t>
      </w:r>
      <w:r w:rsidR="009207D9">
        <w:t>i</w:t>
      </w:r>
      <w:r w:rsidR="00983168" w:rsidRPr="00C159F8">
        <w:t>ndépendant regrette que</w:t>
      </w:r>
      <w:r w:rsidR="00F75CD4">
        <w:t>,</w:t>
      </w:r>
      <w:r w:rsidR="00983168" w:rsidRPr="00C159F8">
        <w:t xml:space="preserve"> </w:t>
      </w:r>
      <w:r w:rsidR="00983168" w:rsidRPr="00340447">
        <w:t>durant la période considérée,</w:t>
      </w:r>
      <w:r w:rsidR="00983168" w:rsidRPr="00C159F8">
        <w:t xml:space="preserve"> la Division des </w:t>
      </w:r>
      <w:r w:rsidR="00F75CD4">
        <w:t>d</w:t>
      </w:r>
      <w:r w:rsidR="00983168" w:rsidRPr="00C159F8">
        <w:t>roits de l’homme n’a</w:t>
      </w:r>
      <w:r w:rsidR="00F75CD4">
        <w:t>it</w:t>
      </w:r>
      <w:r w:rsidR="00983168" w:rsidRPr="00C159F8">
        <w:t xml:space="preserve"> pas obtenu l’accès aux centres de détention gérés par les services de la </w:t>
      </w:r>
      <w:r w:rsidR="00046315">
        <w:t>s</w:t>
      </w:r>
      <w:r w:rsidR="00983168" w:rsidRPr="00C159F8">
        <w:t>écurité d’</w:t>
      </w:r>
      <w:r w:rsidR="00046315">
        <w:t>É</w:t>
      </w:r>
      <w:r w:rsidR="00983168" w:rsidRPr="00C159F8">
        <w:t>tat et n</w:t>
      </w:r>
      <w:r w:rsidR="00F75CD4">
        <w:t xml:space="preserve">’ait pu rendre </w:t>
      </w:r>
      <w:r w:rsidR="00983168" w:rsidRPr="00C159F8">
        <w:t xml:space="preserve">visite </w:t>
      </w:r>
      <w:r w:rsidR="00F75CD4">
        <w:t xml:space="preserve">aux </w:t>
      </w:r>
      <w:r w:rsidR="00983168" w:rsidRPr="00C159F8">
        <w:t>personnes qui y sont détenues. La Division a aussi eu un accès limité aux lieux de détention et aux éléments des forces de sécurité maliennes détenus par la CMA.</w:t>
      </w:r>
      <w:r w:rsidR="00E554B8">
        <w:t xml:space="preserve"> </w:t>
      </w:r>
      <w:r w:rsidR="00983168" w:rsidRPr="00C159F8">
        <w:t>L’</w:t>
      </w:r>
      <w:r w:rsidR="009207D9">
        <w:t>E</w:t>
      </w:r>
      <w:r w:rsidR="00983168" w:rsidRPr="00C159F8">
        <w:t xml:space="preserve">xpert </w:t>
      </w:r>
      <w:r w:rsidR="009207D9">
        <w:t>i</w:t>
      </w:r>
      <w:r w:rsidR="00983168" w:rsidRPr="00C159F8">
        <w:t xml:space="preserve">ndépendant rappelle que la Division des </w:t>
      </w:r>
      <w:r w:rsidR="00046315">
        <w:t>d</w:t>
      </w:r>
      <w:r w:rsidR="00983168" w:rsidRPr="00C159F8">
        <w:t>roits de l’homme doit avoir accès à tous les centre de détention de tous les acteurs militaire</w:t>
      </w:r>
      <w:r w:rsidR="007166D0">
        <w:t>,</w:t>
      </w:r>
      <w:r w:rsidR="00983168" w:rsidRPr="00C159F8">
        <w:t xml:space="preserve"> y</w:t>
      </w:r>
      <w:r w:rsidR="007166D0">
        <w:t> </w:t>
      </w:r>
      <w:r w:rsidR="00983168" w:rsidRPr="00C159F8">
        <w:t xml:space="preserve">compris ceux de </w:t>
      </w:r>
      <w:r w:rsidR="00983168" w:rsidRPr="007571A1">
        <w:t xml:space="preserve">la </w:t>
      </w:r>
      <w:r w:rsidR="001C33AB" w:rsidRPr="007571A1">
        <w:t>f</w:t>
      </w:r>
      <w:r w:rsidR="00983168" w:rsidRPr="007571A1">
        <w:t>orce Barkhane</w:t>
      </w:r>
      <w:r w:rsidR="00983168" w:rsidRPr="00C159F8">
        <w:t xml:space="preserve"> pour observer les droits et le bien</w:t>
      </w:r>
      <w:r w:rsidR="00F75CD4">
        <w:t>-</w:t>
      </w:r>
      <w:r w:rsidR="004F0F77" w:rsidRPr="00C159F8">
        <w:t>être</w:t>
      </w:r>
      <w:r w:rsidR="00983168" w:rsidRPr="00C159F8">
        <w:t xml:space="preserve"> de</w:t>
      </w:r>
      <w:r w:rsidR="00F75CD4">
        <w:t>s</w:t>
      </w:r>
      <w:r w:rsidR="00983168" w:rsidRPr="00C159F8">
        <w:t xml:space="preserve"> détenus de tous les c</w:t>
      </w:r>
      <w:r w:rsidR="00F75CD4">
        <w:t>ô</w:t>
      </w:r>
      <w:r w:rsidR="00983168" w:rsidRPr="00C159F8">
        <w:t>t</w:t>
      </w:r>
      <w:r w:rsidR="00F75CD4">
        <w:t>é</w:t>
      </w:r>
      <w:r w:rsidR="00983168" w:rsidRPr="00C159F8">
        <w:t>s.</w:t>
      </w:r>
    </w:p>
    <w:p w:rsidR="00983168" w:rsidRPr="00C159F8" w:rsidRDefault="00983168" w:rsidP="00F52D8C">
      <w:pPr>
        <w:pStyle w:val="H1G"/>
        <w:rPr>
          <w:lang w:val="fr-CH"/>
        </w:rPr>
      </w:pPr>
      <w:r w:rsidRPr="00C159F8">
        <w:rPr>
          <w:lang w:val="fr-CH"/>
        </w:rPr>
        <w:tab/>
        <w:t>F.</w:t>
      </w:r>
      <w:r w:rsidRPr="00C159F8">
        <w:rPr>
          <w:lang w:val="fr-CH"/>
        </w:rPr>
        <w:tab/>
      </w:r>
      <w:r w:rsidR="00BA5176">
        <w:rPr>
          <w:lang w:val="fr-CH"/>
        </w:rPr>
        <w:t>R</w:t>
      </w:r>
      <w:r w:rsidRPr="00C159F8">
        <w:rPr>
          <w:lang w:val="fr-CH"/>
        </w:rPr>
        <w:t>éfugiés et personnes déplacées dans leur propre pays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76.</w:t>
      </w:r>
      <w:r w:rsidRPr="00C159F8">
        <w:rPr>
          <w:bCs/>
        </w:rPr>
        <w:tab/>
      </w:r>
      <w:r w:rsidR="00983168" w:rsidRPr="00C159F8">
        <w:t xml:space="preserve">Au cours de la période </w:t>
      </w:r>
      <w:r w:rsidR="00453C24">
        <w:t>considérée</w:t>
      </w:r>
      <w:r w:rsidR="00405C4E">
        <w:t>, l</w:t>
      </w:r>
      <w:r w:rsidR="00E554B8">
        <w:t>’</w:t>
      </w:r>
      <w:r w:rsidR="00983168" w:rsidRPr="00C159F8">
        <w:t xml:space="preserve">Expert indépendant a été informé de plusieurs incidents </w:t>
      </w:r>
      <w:r w:rsidR="00405C4E">
        <w:t xml:space="preserve">liés à des </w:t>
      </w:r>
      <w:r w:rsidR="00983168" w:rsidRPr="00C159F8">
        <w:t>déplacement</w:t>
      </w:r>
      <w:r w:rsidR="00405C4E">
        <w:t>s</w:t>
      </w:r>
      <w:r w:rsidR="00983168" w:rsidRPr="00C159F8">
        <w:t xml:space="preserve"> forcé</w:t>
      </w:r>
      <w:r w:rsidR="00405C4E">
        <w:t>s</w:t>
      </w:r>
      <w:r w:rsidR="00983168" w:rsidRPr="00C159F8">
        <w:t xml:space="preserve">. Selon les informations reçues, un déplacement massif de population locale </w:t>
      </w:r>
      <w:r w:rsidR="00AC24CA">
        <w:t xml:space="preserve">aurait eu lieu </w:t>
      </w:r>
      <w:r w:rsidR="00983168" w:rsidRPr="00C159F8">
        <w:t xml:space="preserve">à partir de cinq villages </w:t>
      </w:r>
      <w:r w:rsidR="00983168" w:rsidRPr="001C33AB">
        <w:t>de l</w:t>
      </w:r>
      <w:r w:rsidR="00E554B8" w:rsidRPr="001C33AB">
        <w:t>’</w:t>
      </w:r>
      <w:r w:rsidR="001C33AB" w:rsidRPr="009A0948">
        <w:t>e</w:t>
      </w:r>
      <w:r w:rsidR="00983168" w:rsidRPr="001C33AB">
        <w:t xml:space="preserve">st </w:t>
      </w:r>
      <w:r w:rsidR="001C33AB" w:rsidRPr="009A0948">
        <w:t xml:space="preserve">de </w:t>
      </w:r>
      <w:r w:rsidR="00983168" w:rsidRPr="001C33AB">
        <w:t>Tombouctou le</w:t>
      </w:r>
      <w:r w:rsidR="00983168" w:rsidRPr="00C159F8">
        <w:t xml:space="preserve"> 11</w:t>
      </w:r>
      <w:r w:rsidR="009174AF">
        <w:t> </w:t>
      </w:r>
      <w:r w:rsidR="00983168" w:rsidRPr="00C159F8">
        <w:t>mai. Les autorités locales avaient estimé qu</w:t>
      </w:r>
      <w:r w:rsidR="00E554B8">
        <w:t>’</w:t>
      </w:r>
      <w:r w:rsidR="00983168" w:rsidRPr="00C159F8">
        <w:t>au moins 190 familles (environ 1</w:t>
      </w:r>
      <w:r w:rsidR="009174AF">
        <w:t> </w:t>
      </w:r>
      <w:r w:rsidR="00983168" w:rsidRPr="00C159F8">
        <w:t xml:space="preserve">630 personnes, dont 860 femmes) </w:t>
      </w:r>
      <w:r w:rsidR="00405C4E">
        <w:t>avaie</w:t>
      </w:r>
      <w:r w:rsidR="00983168" w:rsidRPr="00C159F8">
        <w:t>nt fui suite à l</w:t>
      </w:r>
      <w:r w:rsidR="00E554B8">
        <w:t>’</w:t>
      </w:r>
      <w:r w:rsidR="00983168" w:rsidRPr="00C159F8">
        <w:t>occupation de la zone par des éléments de la CMA. L</w:t>
      </w:r>
      <w:r w:rsidR="00E554B8">
        <w:t>’</w:t>
      </w:r>
      <w:r w:rsidR="00983168" w:rsidRPr="00C159F8">
        <w:t>occupation aurait été accompagnée de pillages de magasins et la population aurait fui par crainte de nouvelles violences. Le 18</w:t>
      </w:r>
      <w:r w:rsidR="009174AF">
        <w:t> a</w:t>
      </w:r>
      <w:r w:rsidR="00983168" w:rsidRPr="00C159F8">
        <w:t xml:space="preserve">oût, à la suite des affrontements entre le GATIA et la CMA </w:t>
      </w:r>
      <w:r w:rsidR="00983168" w:rsidRPr="001C33AB">
        <w:t>dans et autour d</w:t>
      </w:r>
      <w:r w:rsidR="00AC24CA">
        <w:t>’</w:t>
      </w:r>
      <w:r w:rsidR="00983168" w:rsidRPr="001C33AB">
        <w:t>An</w:t>
      </w:r>
      <w:r w:rsidR="001C33AB" w:rsidRPr="009A0948">
        <w:t>é</w:t>
      </w:r>
      <w:r w:rsidR="00983168" w:rsidRPr="001C33AB">
        <w:t>fis,</w:t>
      </w:r>
      <w:r w:rsidR="00983168" w:rsidRPr="00C159F8">
        <w:t xml:space="preserve"> à 112</w:t>
      </w:r>
      <w:r w:rsidR="009174AF">
        <w:t> </w:t>
      </w:r>
      <w:r w:rsidR="00983168" w:rsidRPr="00C159F8">
        <w:t xml:space="preserve">km au sud de Kidal, </w:t>
      </w:r>
      <w:r w:rsidR="00983168" w:rsidRPr="001C33AB">
        <w:t xml:space="preserve">plusieurs familles </w:t>
      </w:r>
      <w:r w:rsidR="00AC24CA" w:rsidRPr="009847EC">
        <w:t>d’</w:t>
      </w:r>
      <w:r w:rsidR="00983168" w:rsidRPr="009847EC">
        <w:t>Idnan</w:t>
      </w:r>
      <w:r w:rsidR="00983168" w:rsidRPr="001C33AB">
        <w:t xml:space="preserve"> </w:t>
      </w:r>
      <w:r w:rsidR="007853D4">
        <w:t xml:space="preserve">à </w:t>
      </w:r>
      <w:r w:rsidR="00983168" w:rsidRPr="001C33AB">
        <w:t>An</w:t>
      </w:r>
      <w:r w:rsidR="009772A7">
        <w:t>é</w:t>
      </w:r>
      <w:r w:rsidR="00983168" w:rsidRPr="001C33AB">
        <w:t>fis,</w:t>
      </w:r>
      <w:r w:rsidR="00983168" w:rsidRPr="00C159F8">
        <w:t xml:space="preserve"> </w:t>
      </w:r>
      <w:r w:rsidR="00AC24CA">
        <w:t xml:space="preserve">se seraient déplacées </w:t>
      </w:r>
      <w:r w:rsidR="00983168" w:rsidRPr="00C159F8">
        <w:t xml:space="preserve">par crainte de représailles de la Plateforme.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77.</w:t>
      </w:r>
      <w:r w:rsidRPr="00C159F8">
        <w:rPr>
          <w:bCs/>
        </w:rPr>
        <w:tab/>
      </w:r>
      <w:r w:rsidR="00983168" w:rsidRPr="00C159F8">
        <w:t xml:space="preserve">L’Expert indépendant note cependant que la </w:t>
      </w:r>
      <w:r w:rsidR="00E15E3C" w:rsidRPr="009847EC">
        <w:t xml:space="preserve">Direction </w:t>
      </w:r>
      <w:r w:rsidR="00046315" w:rsidRPr="009847EC">
        <w:t>nationale</w:t>
      </w:r>
      <w:r w:rsidR="00046315" w:rsidRPr="00046315">
        <w:t xml:space="preserve"> </w:t>
      </w:r>
      <w:r w:rsidR="00983168" w:rsidRPr="002B2B5E">
        <w:t xml:space="preserve">du </w:t>
      </w:r>
      <w:r w:rsidR="00046315" w:rsidRPr="002B2B5E">
        <w:t>d</w:t>
      </w:r>
      <w:r w:rsidR="00983168" w:rsidRPr="002B2B5E">
        <w:t xml:space="preserve">éveloppement </w:t>
      </w:r>
      <w:r w:rsidR="00046315" w:rsidRPr="002B2B5E">
        <w:t>s</w:t>
      </w:r>
      <w:r w:rsidR="00983168" w:rsidRPr="002B2B5E">
        <w:t>ocial a</w:t>
      </w:r>
      <w:r w:rsidR="00983168" w:rsidRPr="00C159F8">
        <w:t xml:space="preserve"> </w:t>
      </w:r>
      <w:r w:rsidR="00405C4E">
        <w:t>indiqué,</w:t>
      </w:r>
      <w:r w:rsidR="00405C4E" w:rsidRPr="00C159F8">
        <w:t xml:space="preserve"> </w:t>
      </w:r>
      <w:r w:rsidR="00983168" w:rsidRPr="00C159F8">
        <w:t xml:space="preserve">à la fin </w:t>
      </w:r>
      <w:r w:rsidR="00A42A21">
        <w:t xml:space="preserve">du mois </w:t>
      </w:r>
      <w:r w:rsidR="00983168" w:rsidRPr="00C159F8">
        <w:t>d’octobre 2015</w:t>
      </w:r>
      <w:r w:rsidR="00405C4E">
        <w:t>,</w:t>
      </w:r>
      <w:r w:rsidR="00983168" w:rsidRPr="00C159F8">
        <w:t xml:space="preserve"> qu’il y avait une diminution </w:t>
      </w:r>
      <w:r w:rsidR="00405C4E">
        <w:t xml:space="preserve">du </w:t>
      </w:r>
      <w:r w:rsidR="00983168" w:rsidRPr="00C159F8">
        <w:t>nombre des personnes déplacées (14</w:t>
      </w:r>
      <w:r w:rsidR="009174AF">
        <w:t> </w:t>
      </w:r>
      <w:r w:rsidR="00983168" w:rsidRPr="00C159F8">
        <w:t xml:space="preserve">154 ménages) et </w:t>
      </w:r>
      <w:r w:rsidR="00405C4E">
        <w:t xml:space="preserve">du </w:t>
      </w:r>
      <w:r w:rsidR="00983168" w:rsidRPr="00C159F8">
        <w:t>nombre de réfugiés (137</w:t>
      </w:r>
      <w:r w:rsidR="009174AF">
        <w:t> </w:t>
      </w:r>
      <w:r w:rsidR="00983168" w:rsidRPr="00C159F8">
        <w:t xml:space="preserve">651 personnes). </w:t>
      </w:r>
      <w:r w:rsidR="00405C4E">
        <w:t>M</w:t>
      </w:r>
      <w:r w:rsidR="00983168" w:rsidRPr="00C159F8">
        <w:t>ême si certain</w:t>
      </w:r>
      <w:r w:rsidR="00405C4E">
        <w:t>e</w:t>
      </w:r>
      <w:r w:rsidR="00983168" w:rsidRPr="00C159F8">
        <w:t>s atteint</w:t>
      </w:r>
      <w:r w:rsidR="00405C4E">
        <w:t>e</w:t>
      </w:r>
      <w:r w:rsidR="00983168" w:rsidRPr="00C159F8">
        <w:t>s à la sécurité des personnes déplacées ont diminué</w:t>
      </w:r>
      <w:r w:rsidR="00405C4E">
        <w:t>,</w:t>
      </w:r>
      <w:r w:rsidR="00983168" w:rsidRPr="00C159F8">
        <w:t xml:space="preserve"> </w:t>
      </w:r>
      <w:r w:rsidR="00405C4E">
        <w:t>d</w:t>
      </w:r>
      <w:r w:rsidR="00983168" w:rsidRPr="00C159F8">
        <w:t xml:space="preserve">es besoins spécifiques </w:t>
      </w:r>
      <w:r w:rsidR="00405C4E">
        <w:t xml:space="preserve">sont nécessaires </w:t>
      </w:r>
      <w:r w:rsidR="00983168" w:rsidRPr="00C159F8">
        <w:t>pour assurer le</w:t>
      </w:r>
      <w:r w:rsidR="00A42A21">
        <w:t xml:space="preserve"> </w:t>
      </w:r>
      <w:r w:rsidR="00983168" w:rsidRPr="00C159F8">
        <w:t xml:space="preserve">retour </w:t>
      </w:r>
      <w:r w:rsidR="00A42A21">
        <w:t xml:space="preserve">de ces personnes </w:t>
      </w:r>
      <w:r w:rsidR="00983168" w:rsidRPr="00C159F8">
        <w:t>dans la dignité et d</w:t>
      </w:r>
      <w:r w:rsidR="00405C4E">
        <w:t xml:space="preserve">e </w:t>
      </w:r>
      <w:r w:rsidR="00983168" w:rsidRPr="00C159F8">
        <w:t xml:space="preserve">façon durable. </w:t>
      </w:r>
      <w:r w:rsidR="00A42A21">
        <w:t xml:space="preserve">Elles </w:t>
      </w:r>
      <w:r w:rsidR="00BB27B8">
        <w:t xml:space="preserve">restent </w:t>
      </w:r>
      <w:r w:rsidR="00983168" w:rsidRPr="00C159F8">
        <w:t>confronté</w:t>
      </w:r>
      <w:r w:rsidR="00BB27B8">
        <w:t>e</w:t>
      </w:r>
      <w:r w:rsidR="00983168" w:rsidRPr="00C159F8">
        <w:t xml:space="preserve">s </w:t>
      </w:r>
      <w:r w:rsidR="00BB27B8">
        <w:t>à des problèmes e</w:t>
      </w:r>
      <w:r w:rsidR="00983168" w:rsidRPr="00C159F8">
        <w:t>n matière de droits de l’homme</w:t>
      </w:r>
      <w:r w:rsidR="00405C4E">
        <w:t>,</w:t>
      </w:r>
      <w:r w:rsidR="00983168" w:rsidRPr="00C159F8">
        <w:t xml:space="preserve"> notamment les menaces contre l’intégrité physique</w:t>
      </w:r>
      <w:r w:rsidR="00405C4E">
        <w:t>,</w:t>
      </w:r>
      <w:r w:rsidR="00983168" w:rsidRPr="00C159F8">
        <w:t xml:space="preserve"> y</w:t>
      </w:r>
      <w:r w:rsidR="00405C4E">
        <w:t> </w:t>
      </w:r>
      <w:r w:rsidR="00983168" w:rsidRPr="00C159F8">
        <w:t>compris la violence basée sur le genre, l’accès limité aux soins de santé, la perturbation de la scolarité des enfants déplacés et le manque de documents d’identité</w:t>
      </w:r>
      <w:r w:rsidR="00BB27B8">
        <w:t>;</w:t>
      </w:r>
      <w:r w:rsidR="00405C4E">
        <w:t xml:space="preserve"> autant de problèmes </w:t>
      </w:r>
      <w:r w:rsidR="00983168" w:rsidRPr="00C159F8">
        <w:t>qui pourraient entraver la recherche de solutions durables.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78.</w:t>
      </w:r>
      <w:r w:rsidRPr="00C159F8">
        <w:rPr>
          <w:bCs/>
        </w:rPr>
        <w:tab/>
      </w:r>
      <w:r w:rsidR="00983168" w:rsidRPr="00C159F8">
        <w:t>L</w:t>
      </w:r>
      <w:r w:rsidR="00E554B8">
        <w:t>’</w:t>
      </w:r>
      <w:r w:rsidR="00983168" w:rsidRPr="00C159F8">
        <w:t xml:space="preserve">Expert indépendant a souligné la nécessité de renforcer la présence d’acteurs humanitaires dans le </w:t>
      </w:r>
      <w:r w:rsidR="00042506">
        <w:t>n</w:t>
      </w:r>
      <w:r w:rsidR="00983168" w:rsidRPr="00C159F8">
        <w:t>ord</w:t>
      </w:r>
      <w:r w:rsidR="00042506">
        <w:t xml:space="preserve"> du pays</w:t>
      </w:r>
      <w:r w:rsidR="00983168" w:rsidRPr="00C159F8">
        <w:t>, où l</w:t>
      </w:r>
      <w:r w:rsidR="00E554B8">
        <w:t>’</w:t>
      </w:r>
      <w:r w:rsidR="00983168" w:rsidRPr="00C159F8">
        <w:t>accès à l</w:t>
      </w:r>
      <w:r w:rsidR="00E554B8">
        <w:t>’</w:t>
      </w:r>
      <w:r w:rsidR="00983168" w:rsidRPr="00C159F8">
        <w:t>aide humanitaire est encore très limité en raison de la détérioration de la situation sécuritaire. L’Expert indépendant rappelle la déclaration de la Coordonnatrice humanitaire</w:t>
      </w:r>
      <w:r w:rsidR="00BB6DE6">
        <w:t>,</w:t>
      </w:r>
      <w:r w:rsidR="00983168" w:rsidRPr="00C159F8">
        <w:t xml:space="preserve"> le 12 novembre</w:t>
      </w:r>
      <w:r w:rsidR="00BB6DE6">
        <w:t xml:space="preserve"> 2015,</w:t>
      </w:r>
      <w:r w:rsidR="00983168" w:rsidRPr="00C159F8">
        <w:t xml:space="preserve"> </w:t>
      </w:r>
      <w:r w:rsidR="00BB6DE6">
        <w:t xml:space="preserve">au cours de laquelle </w:t>
      </w:r>
      <w:r w:rsidR="00983168" w:rsidRPr="00C159F8">
        <w:t>elle a condamné la multiplication des violences contre les organisations humanitaires au Mali.</w:t>
      </w:r>
      <w:r w:rsidR="00E554B8">
        <w:t xml:space="preserve"> </w:t>
      </w:r>
      <w:r w:rsidR="00983168" w:rsidRPr="00C159F8">
        <w:t>En fait, la majorité d</w:t>
      </w:r>
      <w:r w:rsidR="00BB6DE6">
        <w:t xml:space="preserve">es </w:t>
      </w:r>
      <w:r w:rsidR="00983168" w:rsidRPr="00C159F8">
        <w:t xml:space="preserve">attaques contre le personnel et les installations humanitaires </w:t>
      </w:r>
      <w:r w:rsidR="00BB6DE6">
        <w:t xml:space="preserve">ont </w:t>
      </w:r>
      <w:r w:rsidR="00983168" w:rsidRPr="00C159F8">
        <w:t>eu lieu depuis juin. L’Expert indépendant souligne que les attaques contre le personnel et les installations des organisations humanitaires sont des violations du droit international humanitaire et sont passibles de sanctions.</w:t>
      </w:r>
      <w:r w:rsidR="00E554B8">
        <w:t xml:space="preserve"> </w:t>
      </w:r>
    </w:p>
    <w:p w:rsidR="00F52D8C" w:rsidRPr="00C159F8" w:rsidRDefault="00F52D8C" w:rsidP="00E64A16">
      <w:pPr>
        <w:pStyle w:val="H1G"/>
        <w:rPr>
          <w:lang w:val="fr-CH"/>
        </w:rPr>
      </w:pPr>
      <w:r w:rsidRPr="00C159F8">
        <w:rPr>
          <w:lang w:val="fr-CH"/>
        </w:rPr>
        <w:tab/>
      </w:r>
      <w:r w:rsidR="00983168" w:rsidRPr="00C159F8">
        <w:rPr>
          <w:lang w:val="fr-CH"/>
        </w:rPr>
        <w:t>G.</w:t>
      </w:r>
      <w:r w:rsidR="00983168" w:rsidRPr="00C159F8">
        <w:rPr>
          <w:lang w:val="fr-CH"/>
        </w:rPr>
        <w:tab/>
      </w:r>
      <w:r w:rsidR="00E64A16">
        <w:rPr>
          <w:lang w:val="fr-CH"/>
        </w:rPr>
        <w:t>D</w:t>
      </w:r>
      <w:r w:rsidR="00983168" w:rsidRPr="00C159F8">
        <w:rPr>
          <w:lang w:val="fr-CH"/>
        </w:rPr>
        <w:t>roits économiques, sociaux et culturels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79.</w:t>
      </w:r>
      <w:r w:rsidRPr="00C159F8">
        <w:rPr>
          <w:bCs/>
        </w:rPr>
        <w:tab/>
      </w:r>
      <w:r w:rsidR="00983168" w:rsidRPr="00C159F8">
        <w:t>L’</w:t>
      </w:r>
      <w:r w:rsidR="009207D9">
        <w:t>E</w:t>
      </w:r>
      <w:r w:rsidR="00983168" w:rsidRPr="00C159F8">
        <w:t xml:space="preserve">xpert indépendant a rencontré </w:t>
      </w:r>
      <w:r w:rsidR="00983168" w:rsidRPr="001C33AB">
        <w:t>l’équipe d</w:t>
      </w:r>
      <w:r w:rsidR="001C33AB" w:rsidRPr="009A0948">
        <w:t>e</w:t>
      </w:r>
      <w:r w:rsidR="00983168" w:rsidRPr="001C33AB">
        <w:t xml:space="preserve"> pays</w:t>
      </w:r>
      <w:r w:rsidR="00983168" w:rsidRPr="00C159F8">
        <w:t xml:space="preserve"> et a été informé qu’environ 3,1</w:t>
      </w:r>
      <w:r w:rsidR="00272183">
        <w:t> </w:t>
      </w:r>
      <w:r w:rsidR="00983168" w:rsidRPr="00C159F8">
        <w:t xml:space="preserve">millions de personnes au Mali sont considérées comme </w:t>
      </w:r>
      <w:r w:rsidR="0081617F">
        <w:t xml:space="preserve">étant en situation </w:t>
      </w:r>
      <w:r w:rsidR="00983168" w:rsidRPr="00C159F8">
        <w:t>d</w:t>
      </w:r>
      <w:r w:rsidR="00E554B8">
        <w:t>’</w:t>
      </w:r>
      <w:r w:rsidR="00983168" w:rsidRPr="00C159F8">
        <w:t>insécurité alimentaire</w:t>
      </w:r>
      <w:r w:rsidR="0081617F">
        <w:t xml:space="preserve">; elles vivent pour </w:t>
      </w:r>
      <w:r w:rsidR="00983168" w:rsidRPr="00C159F8">
        <w:t>la plupart dans le nord, où le</w:t>
      </w:r>
      <w:r w:rsidR="0081617F">
        <w:t>s</w:t>
      </w:r>
      <w:r w:rsidR="00983168" w:rsidRPr="00C159F8">
        <w:t xml:space="preserve"> déplacement</w:t>
      </w:r>
      <w:r w:rsidR="0081617F">
        <w:t>s</w:t>
      </w:r>
      <w:r w:rsidR="00983168" w:rsidRPr="00C159F8">
        <w:t xml:space="preserve"> forcé</w:t>
      </w:r>
      <w:r w:rsidR="0081617F">
        <w:t>s</w:t>
      </w:r>
      <w:r w:rsidR="00983168" w:rsidRPr="00C159F8">
        <w:t xml:space="preserve"> et l</w:t>
      </w:r>
      <w:r w:rsidR="00E554B8">
        <w:t>’</w:t>
      </w:r>
      <w:r w:rsidR="00983168" w:rsidRPr="00C159F8">
        <w:t>accès limité à l’aide humanitaire ont créé ces conditions.</w:t>
      </w:r>
      <w:r w:rsidR="00E554B8">
        <w:t xml:space="preserve"> </w:t>
      </w:r>
      <w:r w:rsidR="00272183">
        <w:t>À</w:t>
      </w:r>
      <w:r w:rsidR="00983168" w:rsidRPr="00C159F8">
        <w:t xml:space="preserve"> Kidal</w:t>
      </w:r>
      <w:r w:rsidR="00B14CE4">
        <w:t>,</w:t>
      </w:r>
      <w:r w:rsidR="00983168" w:rsidRPr="00C159F8">
        <w:t xml:space="preserve"> l’Expert indépendant a rencontré des organisations de la société civile et a beaucoup entendu </w:t>
      </w:r>
      <w:r w:rsidR="0081617F">
        <w:t>p</w:t>
      </w:r>
      <w:r w:rsidR="00B14CE4">
        <w:t>a</w:t>
      </w:r>
      <w:r w:rsidR="0081617F">
        <w:t xml:space="preserve">rler </w:t>
      </w:r>
      <w:r w:rsidR="00983168" w:rsidRPr="00C159F8">
        <w:t>de la pénurie d’eau potable</w:t>
      </w:r>
      <w:r w:rsidR="00B14CE4">
        <w:t xml:space="preserve"> et</w:t>
      </w:r>
      <w:r w:rsidR="00983168" w:rsidRPr="00C159F8">
        <w:t xml:space="preserve"> des difficultés d</w:t>
      </w:r>
      <w:r w:rsidR="00E554B8">
        <w:t>’</w:t>
      </w:r>
      <w:r w:rsidR="00983168" w:rsidRPr="00C159F8">
        <w:t>accès à la nourriture et à l’éducation. L’</w:t>
      </w:r>
      <w:r w:rsidR="009207D9">
        <w:t>E</w:t>
      </w:r>
      <w:r w:rsidR="00983168" w:rsidRPr="00C159F8">
        <w:t>xpert indépendant a reçu des informations faisant état de 54</w:t>
      </w:r>
      <w:r w:rsidR="004F0F77">
        <w:t> </w:t>
      </w:r>
      <w:r w:rsidR="00983168" w:rsidRPr="00C159F8">
        <w:t>000</w:t>
      </w:r>
      <w:r w:rsidR="004F0F77">
        <w:t> </w:t>
      </w:r>
      <w:r w:rsidR="00983168" w:rsidRPr="00C159F8">
        <w:t>personnes</w:t>
      </w:r>
      <w:r w:rsidR="0081617F">
        <w:t xml:space="preserve"> qui,</w:t>
      </w:r>
      <w:r w:rsidR="00983168" w:rsidRPr="00C159F8">
        <w:t xml:space="preserve"> dans le nord du Mali</w:t>
      </w:r>
      <w:r w:rsidR="0081617F">
        <w:t>,</w:t>
      </w:r>
      <w:r w:rsidR="00983168" w:rsidRPr="00C159F8">
        <w:t xml:space="preserve"> ne disposent pas d</w:t>
      </w:r>
      <w:r w:rsidR="00E554B8">
        <w:t>’</w:t>
      </w:r>
      <w:r w:rsidR="00983168" w:rsidRPr="00C159F8">
        <w:t>un accès adéquat à l</w:t>
      </w:r>
      <w:r w:rsidR="00E554B8">
        <w:t>’</w:t>
      </w:r>
      <w:r w:rsidR="00983168" w:rsidRPr="00C159F8">
        <w:t>eau potable.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80.</w:t>
      </w:r>
      <w:r w:rsidRPr="00C159F8">
        <w:rPr>
          <w:bCs/>
        </w:rPr>
        <w:tab/>
      </w:r>
      <w:r w:rsidR="00983168" w:rsidRPr="00C159F8">
        <w:t>Les attaques récurrentes contre le personnel humanitaire entravent l</w:t>
      </w:r>
      <w:r w:rsidR="00E554B8">
        <w:t>’</w:t>
      </w:r>
      <w:r w:rsidR="00983168" w:rsidRPr="00C159F8">
        <w:t>acheminement de l</w:t>
      </w:r>
      <w:r w:rsidR="00E554B8">
        <w:t>’</w:t>
      </w:r>
      <w:r w:rsidR="00983168" w:rsidRPr="00C159F8">
        <w:t xml:space="preserve">aide humanitaire et ont un impact négatif sur les civils. Le </w:t>
      </w:r>
      <w:r w:rsidR="0081617F">
        <w:t>G</w:t>
      </w:r>
      <w:r w:rsidR="00983168" w:rsidRPr="00C159F8">
        <w:t xml:space="preserve">ouvernement, avec des partenaires comme le </w:t>
      </w:r>
      <w:r w:rsidR="002B2B5E">
        <w:t>Programme alimentaire mondial</w:t>
      </w:r>
      <w:r w:rsidR="00983168" w:rsidRPr="00C159F8">
        <w:t>, l</w:t>
      </w:r>
      <w:r w:rsidR="002B2B5E">
        <w:t xml:space="preserve">’Organisation des Nations Unies pour l’alimentation et l’agriculture </w:t>
      </w:r>
      <w:r w:rsidR="00983168" w:rsidRPr="00C159F8">
        <w:t>et le Comité international de la Croix-</w:t>
      </w:r>
      <w:r w:rsidR="00983168" w:rsidRPr="000D58E5">
        <w:t xml:space="preserve">Rouge, a </w:t>
      </w:r>
      <w:r w:rsidR="0081617F" w:rsidRPr="000D58E5">
        <w:t>pu</w:t>
      </w:r>
      <w:r w:rsidR="00983168" w:rsidRPr="000D58E5">
        <w:t xml:space="preserve"> atteindre </w:t>
      </w:r>
      <w:r w:rsidR="0081617F" w:rsidRPr="000D58E5">
        <w:t xml:space="preserve">cette année </w:t>
      </w:r>
      <w:r w:rsidR="00983168" w:rsidRPr="000D58E5">
        <w:t>220</w:t>
      </w:r>
      <w:r w:rsidR="00272183" w:rsidRPr="000D58E5">
        <w:t> </w:t>
      </w:r>
      <w:r w:rsidR="00983168" w:rsidRPr="000D58E5">
        <w:t xml:space="preserve">000 </w:t>
      </w:r>
      <w:r w:rsidR="0081617F" w:rsidRPr="000D58E5">
        <w:t>personne</w:t>
      </w:r>
      <w:r w:rsidR="0081617F">
        <w:t>s sur l</w:t>
      </w:r>
      <w:r w:rsidR="00983168" w:rsidRPr="00C159F8">
        <w:t>es 450</w:t>
      </w:r>
      <w:r w:rsidR="00272183">
        <w:t> </w:t>
      </w:r>
      <w:r w:rsidR="00983168" w:rsidRPr="00C159F8">
        <w:t xml:space="preserve">000 </w:t>
      </w:r>
      <w:r w:rsidR="0081617F" w:rsidRPr="00FC605C">
        <w:rPr>
          <w:lang w:val="fr-FR"/>
        </w:rPr>
        <w:t xml:space="preserve">ayant </w:t>
      </w:r>
      <w:r w:rsidR="00983168" w:rsidRPr="00C159F8">
        <w:t>besoin de l</w:t>
      </w:r>
      <w:r w:rsidR="00E554B8">
        <w:t>’</w:t>
      </w:r>
      <w:r w:rsidR="00983168" w:rsidRPr="00C159F8">
        <w:t xml:space="preserve">agriculture et </w:t>
      </w:r>
      <w:r w:rsidR="0081617F">
        <w:t>d</w:t>
      </w:r>
      <w:r w:rsidR="00983168" w:rsidRPr="00C159F8">
        <w:t xml:space="preserve">e soutien </w:t>
      </w:r>
      <w:r w:rsidR="0081617F">
        <w:t xml:space="preserve">pour </w:t>
      </w:r>
      <w:r w:rsidR="00983168" w:rsidRPr="00C159F8">
        <w:t>l</w:t>
      </w:r>
      <w:r w:rsidR="00E554B8">
        <w:t>’</w:t>
      </w:r>
      <w:r w:rsidR="00983168" w:rsidRPr="00C159F8">
        <w:t xml:space="preserve">élevage. </w:t>
      </w:r>
      <w:r w:rsidR="0081617F">
        <w:t>D</w:t>
      </w:r>
      <w:r w:rsidR="00983168" w:rsidRPr="00C159F8">
        <w:t xml:space="preserve">es communautés entières risquent </w:t>
      </w:r>
      <w:r w:rsidR="0081617F">
        <w:t xml:space="preserve">donc </w:t>
      </w:r>
      <w:r w:rsidR="00983168" w:rsidRPr="00C159F8">
        <w:t>d</w:t>
      </w:r>
      <w:r w:rsidR="00E554B8">
        <w:t>’</w:t>
      </w:r>
      <w:r w:rsidR="00983168" w:rsidRPr="00C159F8">
        <w:t>être prises au piège, sans accès à la nourriture.</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81.</w:t>
      </w:r>
      <w:r w:rsidRPr="00C159F8">
        <w:rPr>
          <w:bCs/>
        </w:rPr>
        <w:tab/>
      </w:r>
      <w:r w:rsidR="00FF6ADD">
        <w:t>S’agissant de l</w:t>
      </w:r>
      <w:r w:rsidR="00983168" w:rsidRPr="00C159F8">
        <w:t>’accès à l’éducation</w:t>
      </w:r>
      <w:r w:rsidR="00FF6ADD">
        <w:t>,</w:t>
      </w:r>
      <w:r w:rsidR="00983168" w:rsidRPr="00C159F8">
        <w:t xml:space="preserve"> le 19 </w:t>
      </w:r>
      <w:r w:rsidR="00560915">
        <w:t>o</w:t>
      </w:r>
      <w:r w:rsidR="00983168" w:rsidRPr="00C159F8">
        <w:t>ctobre</w:t>
      </w:r>
      <w:r w:rsidR="00FF6ADD">
        <w:t xml:space="preserve"> 2015</w:t>
      </w:r>
      <w:r w:rsidR="00983168" w:rsidRPr="00C159F8">
        <w:t>, les spécialistes des droits de l’homme de la MINUSMA ont visité l</w:t>
      </w:r>
      <w:r w:rsidR="00E554B8">
        <w:t>’</w:t>
      </w:r>
      <w:r w:rsidR="00983168" w:rsidRPr="00C159F8">
        <w:t>école secondaire de Ménaka. L</w:t>
      </w:r>
      <w:r w:rsidR="00E554B8">
        <w:t>’</w:t>
      </w:r>
      <w:r w:rsidR="00983168" w:rsidRPr="00C159F8">
        <w:t>administration de l</w:t>
      </w:r>
      <w:r w:rsidR="00E554B8">
        <w:t>’</w:t>
      </w:r>
      <w:r w:rsidR="00983168" w:rsidRPr="00C159F8">
        <w:t xml:space="preserve">école a soulevé </w:t>
      </w:r>
      <w:r w:rsidR="00FF6ADD">
        <w:t xml:space="preserve">les questions </w:t>
      </w:r>
      <w:r w:rsidR="00983168" w:rsidRPr="00C159F8">
        <w:t>du manque d</w:t>
      </w:r>
      <w:r w:rsidR="00E554B8">
        <w:t>’</w:t>
      </w:r>
      <w:r w:rsidR="00983168" w:rsidRPr="00C159F8">
        <w:t xml:space="preserve">enseignants, qui </w:t>
      </w:r>
      <w:r w:rsidR="00FF6ADD">
        <w:t>s</w:t>
      </w:r>
      <w:r w:rsidR="00983168" w:rsidRPr="00C159F8">
        <w:t xml:space="preserve">ont </w:t>
      </w:r>
      <w:r w:rsidR="00FF6ADD">
        <w:t xml:space="preserve">partis en </w:t>
      </w:r>
      <w:r w:rsidR="00983168" w:rsidRPr="00C159F8">
        <w:t>raison de l</w:t>
      </w:r>
      <w:r w:rsidR="00E554B8">
        <w:t>’</w:t>
      </w:r>
      <w:r w:rsidR="00983168" w:rsidRPr="00C159F8">
        <w:t>insécurité</w:t>
      </w:r>
      <w:r w:rsidR="00FF6ADD">
        <w:t>,</w:t>
      </w:r>
      <w:r w:rsidR="00983168" w:rsidRPr="00C159F8">
        <w:t xml:space="preserve"> et du faible taux de scolarisation au niveau de l</w:t>
      </w:r>
      <w:r w:rsidR="00E554B8">
        <w:t>’</w:t>
      </w:r>
      <w:r w:rsidR="00983168" w:rsidRPr="00C159F8">
        <w:t xml:space="preserve">école secondaire. Pour le moment, </w:t>
      </w:r>
      <w:r w:rsidR="00FF6ADD">
        <w:t xml:space="preserve">on ne compte </w:t>
      </w:r>
      <w:r w:rsidR="00983168" w:rsidRPr="00C159F8">
        <w:t>qu</w:t>
      </w:r>
      <w:r w:rsidR="00E554B8">
        <w:t>’</w:t>
      </w:r>
      <w:r w:rsidR="00983168" w:rsidRPr="00C159F8">
        <w:t>un seul enseignant pour 223</w:t>
      </w:r>
      <w:r w:rsidR="00503BFF">
        <w:t> </w:t>
      </w:r>
      <w:r w:rsidR="00983168" w:rsidRPr="00C159F8">
        <w:t xml:space="preserve">étudiants inscrits. En attendant le retour des enseignants, les bénévoles tentent de combler </w:t>
      </w:r>
      <w:r w:rsidR="00B14CE4">
        <w:t>ce manque</w:t>
      </w:r>
      <w:r w:rsidR="00983168" w:rsidRPr="00C159F8">
        <w:t>. L</w:t>
      </w:r>
      <w:r w:rsidR="00E554B8">
        <w:t>’</w:t>
      </w:r>
      <w:r w:rsidR="00983168" w:rsidRPr="00C159F8">
        <w:t xml:space="preserve">administration se bat aussi pour répondre </w:t>
      </w:r>
      <w:r w:rsidR="00F7303A">
        <w:t xml:space="preserve">aux </w:t>
      </w:r>
      <w:r w:rsidR="00983168" w:rsidRPr="00C159F8">
        <w:t>besoins d</w:t>
      </w:r>
      <w:r w:rsidR="00E554B8">
        <w:t>’</w:t>
      </w:r>
      <w:r w:rsidR="00983168" w:rsidRPr="00C159F8">
        <w:t>enseignement et de papeterie de leurs élèves. L’</w:t>
      </w:r>
      <w:r w:rsidR="004D1CE9">
        <w:t>E</w:t>
      </w:r>
      <w:r w:rsidR="00983168" w:rsidRPr="00C159F8">
        <w:t xml:space="preserve">xpert </w:t>
      </w:r>
      <w:r w:rsidR="004D1CE9" w:rsidRPr="00C159F8">
        <w:t xml:space="preserve">indépendant </w:t>
      </w:r>
      <w:r w:rsidR="00983168" w:rsidRPr="00C159F8">
        <w:t>souligne que ce n’est qu’un exemple des problèmes.</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82.</w:t>
      </w:r>
      <w:r w:rsidRPr="00C159F8">
        <w:rPr>
          <w:bCs/>
        </w:rPr>
        <w:tab/>
      </w:r>
      <w:r w:rsidR="00F7303A">
        <w:t xml:space="preserve">Si des </w:t>
      </w:r>
      <w:r w:rsidR="00983168" w:rsidRPr="00C159F8">
        <w:t xml:space="preserve">progrès ont été réalisés </w:t>
      </w:r>
      <w:r w:rsidR="00F7303A">
        <w:t>s’agissant d</w:t>
      </w:r>
      <w:r w:rsidR="00983168" w:rsidRPr="00C159F8">
        <w:t>u problème d</w:t>
      </w:r>
      <w:r w:rsidR="00F7303A">
        <w:t xml:space="preserve">es </w:t>
      </w:r>
      <w:r w:rsidR="00983168" w:rsidRPr="00C159F8">
        <w:t xml:space="preserve">écoles occupées par les acteurs militaires </w:t>
      </w:r>
      <w:r w:rsidR="00F7303A">
        <w:t xml:space="preserve">puisque </w:t>
      </w:r>
      <w:r w:rsidR="00983168" w:rsidRPr="00C159F8">
        <w:t xml:space="preserve">quelques écoles </w:t>
      </w:r>
      <w:r w:rsidR="00F7303A">
        <w:t xml:space="preserve">ont été </w:t>
      </w:r>
      <w:r w:rsidR="00983168" w:rsidRPr="00C159F8">
        <w:t>évacuées à la suite de plaidoyer, les groupes armés occupe</w:t>
      </w:r>
      <w:r w:rsidR="00F7303A">
        <w:t>nt toujours</w:t>
      </w:r>
      <w:r w:rsidR="00983168" w:rsidRPr="00C159F8">
        <w:t xml:space="preserve"> 10 écoles de Tombouctou, </w:t>
      </w:r>
      <w:r w:rsidR="00B14CE4">
        <w:t xml:space="preserve">de </w:t>
      </w:r>
      <w:r w:rsidR="00983168" w:rsidRPr="00C159F8">
        <w:t xml:space="preserve">Gao et </w:t>
      </w:r>
      <w:r w:rsidR="00B14CE4">
        <w:t xml:space="preserve">de </w:t>
      </w:r>
      <w:r w:rsidR="00983168" w:rsidRPr="00C159F8">
        <w:t>Kidal et les utilise</w:t>
      </w:r>
      <w:r w:rsidR="00F7303A">
        <w:t>nt</w:t>
      </w:r>
      <w:r w:rsidR="00983168" w:rsidRPr="00C159F8">
        <w:t xml:space="preserve"> </w:t>
      </w:r>
      <w:r w:rsidR="00272183" w:rsidRPr="00C159F8">
        <w:t>à</w:t>
      </w:r>
      <w:r w:rsidR="00983168" w:rsidRPr="00C159F8">
        <w:t xml:space="preserve"> des fins militaires. </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83.</w:t>
      </w:r>
      <w:r w:rsidRPr="00C159F8">
        <w:rPr>
          <w:bCs/>
        </w:rPr>
        <w:tab/>
      </w:r>
      <w:r w:rsidR="00983168" w:rsidRPr="00C159F8">
        <w:t xml:space="preserve">Les filles </w:t>
      </w:r>
      <w:r w:rsidR="002168C4">
        <w:t>sont</w:t>
      </w:r>
      <w:r w:rsidR="00DF4858">
        <w:t>,</w:t>
      </w:r>
      <w:r w:rsidR="002168C4">
        <w:t xml:space="preserve"> pour leur part</w:t>
      </w:r>
      <w:r w:rsidR="00DF4858">
        <w:t>,</w:t>
      </w:r>
      <w:r w:rsidR="002168C4">
        <w:t xml:space="preserve"> victimes de discrimination en matière d’accès </w:t>
      </w:r>
      <w:r w:rsidR="00983168" w:rsidRPr="00C159F8">
        <w:t>à l</w:t>
      </w:r>
      <w:r w:rsidR="00E554B8">
        <w:t>’</w:t>
      </w:r>
      <w:r w:rsidR="00983168" w:rsidRPr="00C159F8">
        <w:t>éducation. Les familles préoccupées par la sécurité des filles, plus susceptibles d</w:t>
      </w:r>
      <w:r w:rsidR="00E554B8">
        <w:t>’</w:t>
      </w:r>
      <w:r w:rsidR="00983168" w:rsidRPr="00C159F8">
        <w:t>être victimes de violences sexuelles, ont tendance à les garder à la maison. En outre, les filles détiennent plus de responsabilités à la maison. Certaines familles rurales choisissent d</w:t>
      </w:r>
      <w:r w:rsidR="00E554B8">
        <w:t>’</w:t>
      </w:r>
      <w:r w:rsidR="00983168" w:rsidRPr="00C159F8">
        <w:t xml:space="preserve">envoyer leurs filles </w:t>
      </w:r>
      <w:r w:rsidR="00F7303A">
        <w:t xml:space="preserve">ayant </w:t>
      </w:r>
      <w:r w:rsidR="00983168" w:rsidRPr="00C159F8">
        <w:t>l</w:t>
      </w:r>
      <w:r w:rsidR="00E554B8">
        <w:t>’</w:t>
      </w:r>
      <w:r w:rsidR="00983168" w:rsidRPr="00C159F8">
        <w:t>âge d</w:t>
      </w:r>
      <w:r w:rsidR="00F7303A">
        <w:t>’aller à</w:t>
      </w:r>
      <w:r w:rsidR="00983168" w:rsidRPr="00C159F8">
        <w:t xml:space="preserve"> l</w:t>
      </w:r>
      <w:r w:rsidR="00E554B8">
        <w:t>’</w:t>
      </w:r>
      <w:r w:rsidR="00983168" w:rsidRPr="00C159F8">
        <w:t xml:space="preserve">école </w:t>
      </w:r>
      <w:r w:rsidR="00F7303A">
        <w:t xml:space="preserve">dans des </w:t>
      </w:r>
      <w:r w:rsidR="00983168" w:rsidRPr="00C159F8">
        <w:t xml:space="preserve">centres urbains où </w:t>
      </w:r>
      <w:r w:rsidR="00F7303A">
        <w:t xml:space="preserve">elles </w:t>
      </w:r>
      <w:r w:rsidR="00983168" w:rsidRPr="00C159F8">
        <w:t>sont employé</w:t>
      </w:r>
      <w:r w:rsidR="00F7303A">
        <w:t>e</w:t>
      </w:r>
      <w:r w:rsidR="00983168" w:rsidRPr="00C159F8">
        <w:t xml:space="preserve">s comme domestiques sans </w:t>
      </w:r>
      <w:r w:rsidR="00DE5103">
        <w:t xml:space="preserve">avoir </w:t>
      </w:r>
      <w:r w:rsidR="00983168" w:rsidRPr="00C159F8">
        <w:t>accès à l</w:t>
      </w:r>
      <w:r w:rsidR="00E554B8">
        <w:t>’</w:t>
      </w:r>
      <w:r w:rsidR="00983168" w:rsidRPr="00C159F8">
        <w:t>éducation.</w:t>
      </w:r>
    </w:p>
    <w:p w:rsidR="00983168" w:rsidRPr="00C159F8" w:rsidRDefault="00FC605C" w:rsidP="00FC605C">
      <w:pPr>
        <w:kinsoku w:val="0"/>
        <w:overflowPunct w:val="0"/>
        <w:autoSpaceDE w:val="0"/>
        <w:autoSpaceDN w:val="0"/>
        <w:adjustRightInd w:val="0"/>
        <w:snapToGrid w:val="0"/>
        <w:spacing w:after="120"/>
        <w:ind w:left="1134" w:right="1134"/>
        <w:jc w:val="both"/>
      </w:pPr>
      <w:r w:rsidRPr="00C159F8">
        <w:rPr>
          <w:bCs/>
        </w:rPr>
        <w:t>84.</w:t>
      </w:r>
      <w:r w:rsidRPr="00C159F8">
        <w:rPr>
          <w:bCs/>
        </w:rPr>
        <w:tab/>
      </w:r>
      <w:r w:rsidR="00983168" w:rsidRPr="006E51CE">
        <w:t>L’</w:t>
      </w:r>
      <w:r w:rsidR="004D1CE9" w:rsidRPr="006E51CE">
        <w:t>E</w:t>
      </w:r>
      <w:r w:rsidR="00983168" w:rsidRPr="00996DA3">
        <w:t>xpert indépendant salue le fait que l</w:t>
      </w:r>
      <w:r w:rsidR="00E554B8" w:rsidRPr="00996DA3">
        <w:t>’</w:t>
      </w:r>
      <w:r w:rsidR="00983168" w:rsidRPr="00996DA3">
        <w:t xml:space="preserve">Accord </w:t>
      </w:r>
      <w:r w:rsidR="001109AC" w:rsidRPr="009A0948">
        <w:t>pour la</w:t>
      </w:r>
      <w:r w:rsidR="00983168" w:rsidRPr="006E51CE">
        <w:t xml:space="preserve"> paix et </w:t>
      </w:r>
      <w:r w:rsidR="001109AC" w:rsidRPr="009A0948">
        <w:t xml:space="preserve">la </w:t>
      </w:r>
      <w:r w:rsidR="00983168" w:rsidRPr="006E51CE">
        <w:t xml:space="preserve">réconciliation définit la réouverture des écoles comme une priorité </w:t>
      </w:r>
      <w:r w:rsidR="002168C4" w:rsidRPr="009A0948">
        <w:t xml:space="preserve">pour le </w:t>
      </w:r>
      <w:r w:rsidR="00983168" w:rsidRPr="006E51CE">
        <w:t xml:space="preserve">Mali </w:t>
      </w:r>
      <w:r w:rsidR="002168C4" w:rsidRPr="009A0948">
        <w:t xml:space="preserve">dans cette situation de post-conflit </w:t>
      </w:r>
      <w:r w:rsidR="00983168" w:rsidRPr="006E51CE">
        <w:t>et que le succès de la conférence internationale pour la relance économique et le développement du Mali permett</w:t>
      </w:r>
      <w:r w:rsidR="00983168" w:rsidRPr="00996DA3">
        <w:t xml:space="preserve">e de mettre en œuvre des stratégies afin de s’attaquer à ces problèmes. </w:t>
      </w:r>
      <w:r w:rsidR="00DF4858">
        <w:t>Par ailleurs, l</w:t>
      </w:r>
      <w:r w:rsidR="00983168" w:rsidRPr="00996DA3">
        <w:t xml:space="preserve">’Expert </w:t>
      </w:r>
      <w:r w:rsidR="004D1CE9" w:rsidRPr="00996DA3">
        <w:t xml:space="preserve">indépendant </w:t>
      </w:r>
      <w:r w:rsidR="00983168" w:rsidRPr="00996DA3">
        <w:t xml:space="preserve">se félicite </w:t>
      </w:r>
      <w:r w:rsidR="006E51CE" w:rsidRPr="009A0948">
        <w:t xml:space="preserve">de ce </w:t>
      </w:r>
      <w:r w:rsidR="00983168" w:rsidRPr="006E51CE">
        <w:t>que le</w:t>
      </w:r>
      <w:r w:rsidR="00983168" w:rsidRPr="00C159F8">
        <w:t xml:space="preserve"> Mali </w:t>
      </w:r>
      <w:r w:rsidR="006E51CE">
        <w:t xml:space="preserve">soit </w:t>
      </w:r>
      <w:r w:rsidR="00983168" w:rsidRPr="00C159F8">
        <w:t xml:space="preserve">en train de préparer le rapport destiné </w:t>
      </w:r>
      <w:r w:rsidR="006E51CE">
        <w:t xml:space="preserve">au </w:t>
      </w:r>
      <w:r w:rsidR="00983168" w:rsidRPr="00C159F8">
        <w:t>Comité des droits économiques, sociaux et culturels.</w:t>
      </w:r>
      <w:r w:rsidR="00E554B8">
        <w:t xml:space="preserve"> </w:t>
      </w:r>
    </w:p>
    <w:p w:rsidR="00983168" w:rsidRPr="00C159F8" w:rsidRDefault="00983168" w:rsidP="00F52D8C">
      <w:pPr>
        <w:pStyle w:val="HChG"/>
        <w:rPr>
          <w:lang w:val="fr-CH"/>
        </w:rPr>
      </w:pPr>
      <w:r w:rsidRPr="00C159F8">
        <w:rPr>
          <w:lang w:val="fr-CH"/>
        </w:rPr>
        <w:tab/>
        <w:t>IV.</w:t>
      </w:r>
      <w:r w:rsidRPr="00C159F8">
        <w:rPr>
          <w:lang w:val="fr-CH"/>
        </w:rPr>
        <w:tab/>
        <w:t>Conclusions et recommandations</w:t>
      </w:r>
    </w:p>
    <w:p w:rsidR="00983168" w:rsidRPr="00C159F8" w:rsidRDefault="00983168" w:rsidP="00F52D8C">
      <w:pPr>
        <w:pStyle w:val="H1G"/>
        <w:rPr>
          <w:lang w:val="fr-CH"/>
        </w:rPr>
      </w:pPr>
      <w:r w:rsidRPr="00C159F8">
        <w:rPr>
          <w:lang w:val="fr-CH"/>
        </w:rPr>
        <w:tab/>
        <w:t>A.</w:t>
      </w:r>
      <w:r w:rsidRPr="00C159F8">
        <w:rPr>
          <w:lang w:val="fr-CH"/>
        </w:rPr>
        <w:tab/>
        <w:t>Conclusions</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C159F8">
        <w:rPr>
          <w:bCs/>
        </w:rPr>
        <w:t>85.</w:t>
      </w:r>
      <w:r w:rsidRPr="00C159F8">
        <w:rPr>
          <w:bCs/>
        </w:rPr>
        <w:tab/>
      </w:r>
      <w:r w:rsidR="00DE5103" w:rsidRPr="00FC605C">
        <w:rPr>
          <w:b/>
        </w:rPr>
        <w:t>L’</w:t>
      </w:r>
      <w:r w:rsidR="003022F1" w:rsidRPr="00FC605C">
        <w:rPr>
          <w:b/>
        </w:rPr>
        <w:t>E</w:t>
      </w:r>
      <w:r w:rsidR="00DE5103" w:rsidRPr="00FC605C">
        <w:rPr>
          <w:b/>
        </w:rPr>
        <w:t xml:space="preserve">xpert indépendant a constaté </w:t>
      </w:r>
      <w:r w:rsidR="00983168" w:rsidRPr="00FC605C">
        <w:rPr>
          <w:b/>
        </w:rPr>
        <w:t>des évolutions positives depuis sa dernière visite</w:t>
      </w:r>
      <w:r w:rsidR="00A86058" w:rsidRPr="00FC605C">
        <w:rPr>
          <w:b/>
        </w:rPr>
        <w:t>,</w:t>
      </w:r>
      <w:r w:rsidR="00983168" w:rsidRPr="00FC605C">
        <w:rPr>
          <w:b/>
        </w:rPr>
        <w:t xml:space="preserve"> néanmoins des défis importants demeurent.</w:t>
      </w:r>
      <w:r w:rsidR="00E554B8" w:rsidRPr="00FC605C">
        <w:rPr>
          <w:b/>
        </w:rPr>
        <w:t xml:space="preserve"> </w:t>
      </w:r>
      <w:r w:rsidR="00983168" w:rsidRPr="00FC605C">
        <w:rPr>
          <w:b/>
        </w:rPr>
        <w:t>L’</w:t>
      </w:r>
      <w:r w:rsidR="006E51CE" w:rsidRPr="00FC605C">
        <w:rPr>
          <w:b/>
        </w:rPr>
        <w:t>A</w:t>
      </w:r>
      <w:r w:rsidR="00983168" w:rsidRPr="00FC605C">
        <w:rPr>
          <w:b/>
        </w:rPr>
        <w:t xml:space="preserve">ccord </w:t>
      </w:r>
      <w:r w:rsidR="002B2B5E" w:rsidRPr="00FC605C">
        <w:rPr>
          <w:b/>
        </w:rPr>
        <w:t>pour la p</w:t>
      </w:r>
      <w:r w:rsidR="00983168" w:rsidRPr="00FC605C">
        <w:rPr>
          <w:b/>
        </w:rPr>
        <w:t xml:space="preserve">aix et </w:t>
      </w:r>
      <w:r w:rsidR="002B2B5E" w:rsidRPr="00FC605C">
        <w:rPr>
          <w:b/>
        </w:rPr>
        <w:t>la r</w:t>
      </w:r>
      <w:r w:rsidR="00983168" w:rsidRPr="00FC605C">
        <w:rPr>
          <w:b/>
        </w:rPr>
        <w:t xml:space="preserve">éconciliation a été signé </w:t>
      </w:r>
      <w:r w:rsidR="00E15E3C" w:rsidRPr="00FC605C">
        <w:rPr>
          <w:b/>
        </w:rPr>
        <w:t xml:space="preserve">en mai et </w:t>
      </w:r>
      <w:r w:rsidR="006E51CE" w:rsidRPr="00FC605C">
        <w:rPr>
          <w:b/>
        </w:rPr>
        <w:t xml:space="preserve">en </w:t>
      </w:r>
      <w:r w:rsidR="00E15E3C" w:rsidRPr="00FC605C">
        <w:rPr>
          <w:b/>
        </w:rPr>
        <w:t>juin 2015</w:t>
      </w:r>
      <w:r w:rsidR="00A86058" w:rsidRPr="00FC605C">
        <w:rPr>
          <w:b/>
        </w:rPr>
        <w:t xml:space="preserve">. La </w:t>
      </w:r>
      <w:r w:rsidR="00E15E3C" w:rsidRPr="00FC605C">
        <w:rPr>
          <w:b/>
        </w:rPr>
        <w:t xml:space="preserve">conclusion du </w:t>
      </w:r>
      <w:r w:rsidR="00B05B40" w:rsidRPr="00FC605C">
        <w:rPr>
          <w:b/>
        </w:rPr>
        <w:t>p</w:t>
      </w:r>
      <w:r w:rsidR="00E15E3C" w:rsidRPr="00FC605C">
        <w:rPr>
          <w:b/>
        </w:rPr>
        <w:t>acte d’honneur</w:t>
      </w:r>
      <w:r w:rsidR="00983168" w:rsidRPr="00FC605C">
        <w:rPr>
          <w:b/>
        </w:rPr>
        <w:t xml:space="preserve"> et du contrat social par la CMA et la Plateforme le 16 octobre semble avoir débloqué la situation en ce qui concerne la mise en œuvre de l’Accord. En plus, l’</w:t>
      </w:r>
      <w:r w:rsidR="00A86058" w:rsidRPr="00FC605C">
        <w:rPr>
          <w:b/>
        </w:rPr>
        <w:t>A</w:t>
      </w:r>
      <w:r w:rsidR="00983168" w:rsidRPr="00FC605C">
        <w:rPr>
          <w:b/>
        </w:rPr>
        <w:t>ccord contient des dispositions essentielles relatives aux droits de l’homme et des avancées ont déjà été enregistrées dans la mise en œuvre d’un mécanisme de justice transitionnelle.</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C159F8">
        <w:rPr>
          <w:bCs/>
        </w:rPr>
        <w:t>86.</w:t>
      </w:r>
      <w:r w:rsidRPr="00C159F8">
        <w:rPr>
          <w:bCs/>
        </w:rPr>
        <w:tab/>
      </w:r>
      <w:r w:rsidR="00983168" w:rsidRPr="00FC605C">
        <w:rPr>
          <w:b/>
        </w:rPr>
        <w:t>Les forces de sécurité et de défense maliennes ainsi que les contingents de la Mission multidimensionnelle intégrée des Nations Unies pour la stabilisation au Mali continuent d’être pris pour cible</w:t>
      </w:r>
      <w:r w:rsidR="003A4213" w:rsidRPr="00FC605C">
        <w:rPr>
          <w:b/>
        </w:rPr>
        <w:t>s</w:t>
      </w:r>
      <w:r w:rsidR="00983168" w:rsidRPr="00FC605C">
        <w:rPr>
          <w:b/>
        </w:rPr>
        <w:t xml:space="preserve"> par les groupes jihadistes.</w:t>
      </w:r>
      <w:r w:rsidR="00E554B8" w:rsidRPr="00FC605C">
        <w:rPr>
          <w:b/>
        </w:rPr>
        <w:t xml:space="preserve"> </w:t>
      </w:r>
      <w:r w:rsidR="00983168" w:rsidRPr="00FC605C">
        <w:rPr>
          <w:b/>
        </w:rPr>
        <w:t>L’Expert indépendant est préoccupé par les attaques</w:t>
      </w:r>
      <w:r w:rsidR="00DE5103" w:rsidRPr="00FC605C">
        <w:rPr>
          <w:b/>
        </w:rPr>
        <w:t>,</w:t>
      </w:r>
      <w:r w:rsidR="00983168" w:rsidRPr="00FC605C">
        <w:rPr>
          <w:b/>
        </w:rPr>
        <w:t xml:space="preserve"> y compris </w:t>
      </w:r>
      <w:r w:rsidR="00DE5103" w:rsidRPr="00FC605C">
        <w:rPr>
          <w:b/>
        </w:rPr>
        <w:t>l</w:t>
      </w:r>
      <w:r w:rsidR="00983168" w:rsidRPr="00FC605C">
        <w:rPr>
          <w:b/>
        </w:rPr>
        <w:t xml:space="preserve">es exécutions sommaires dont font l’objet des personnes soupçonnées de collaborer avec la MINUSMA ou la force Barkhane. Les attaques contre </w:t>
      </w:r>
      <w:r w:rsidR="00B05B40" w:rsidRPr="00FC605C">
        <w:rPr>
          <w:b/>
        </w:rPr>
        <w:t>d</w:t>
      </w:r>
      <w:r w:rsidR="00983168" w:rsidRPr="00FC605C">
        <w:rPr>
          <w:b/>
        </w:rPr>
        <w:t>es acteurs humanitaires, qu</w:t>
      </w:r>
      <w:r w:rsidR="003807A6" w:rsidRPr="00FC605C">
        <w:rPr>
          <w:b/>
        </w:rPr>
        <w:t>’il s’agisse d’attaque</w:t>
      </w:r>
      <w:r w:rsidR="00B05B40" w:rsidRPr="00FC605C">
        <w:rPr>
          <w:b/>
        </w:rPr>
        <w:t>s</w:t>
      </w:r>
      <w:r w:rsidR="003807A6" w:rsidRPr="00FC605C">
        <w:rPr>
          <w:b/>
        </w:rPr>
        <w:t xml:space="preserve"> </w:t>
      </w:r>
      <w:r w:rsidR="00983168" w:rsidRPr="00FC605C">
        <w:rPr>
          <w:b/>
        </w:rPr>
        <w:t xml:space="preserve">jihadistes ou </w:t>
      </w:r>
      <w:r w:rsidR="003807A6" w:rsidRPr="00FC605C">
        <w:rPr>
          <w:b/>
        </w:rPr>
        <w:t>d’</w:t>
      </w:r>
      <w:r w:rsidR="00983168" w:rsidRPr="00FC605C">
        <w:rPr>
          <w:b/>
        </w:rPr>
        <w:t xml:space="preserve">actes de banditisme, continuent de s’aggraver. Ces actes touchent </w:t>
      </w:r>
      <w:r w:rsidR="00DE5103" w:rsidRPr="00FC605C">
        <w:rPr>
          <w:b/>
        </w:rPr>
        <w:t>l</w:t>
      </w:r>
      <w:r w:rsidR="00983168" w:rsidRPr="00FC605C">
        <w:rPr>
          <w:b/>
        </w:rPr>
        <w:t>es populations les plus vulnérables qui s</w:t>
      </w:r>
      <w:r w:rsidR="00DE5103" w:rsidRPr="00FC605C">
        <w:rPr>
          <w:b/>
        </w:rPr>
        <w:t>e retrouve</w:t>
      </w:r>
      <w:r w:rsidR="00983168" w:rsidRPr="00FC605C">
        <w:rPr>
          <w:b/>
        </w:rPr>
        <w:t>nt privées d’accès aux services sociaux de base. Tous ces facteurs rendent la situation sécuritaire fragile.</w:t>
      </w:r>
      <w:r w:rsidR="00E554B8" w:rsidRPr="00FC605C">
        <w:rPr>
          <w:b/>
        </w:rPr>
        <w:t xml:space="preserve"> </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C159F8">
        <w:rPr>
          <w:bCs/>
        </w:rPr>
        <w:t>87.</w:t>
      </w:r>
      <w:r w:rsidRPr="00C159F8">
        <w:rPr>
          <w:bCs/>
        </w:rPr>
        <w:tab/>
      </w:r>
      <w:r w:rsidR="00983168" w:rsidRPr="00FC605C">
        <w:rPr>
          <w:b/>
        </w:rPr>
        <w:t>Les groupes armés et extrémistes présents dans le nord du Mali continuent d’être impliqués dans des violations des droits de l’homme</w:t>
      </w:r>
      <w:r w:rsidR="00B91530" w:rsidRPr="00FC605C">
        <w:rPr>
          <w:b/>
        </w:rPr>
        <w:t> </w:t>
      </w:r>
      <w:r w:rsidR="00983168" w:rsidRPr="00FC605C">
        <w:rPr>
          <w:b/>
        </w:rPr>
        <w:t xml:space="preserve">: atteintes au droit à la vie, enlèvements, traitements cruels, inhumains ou dégradants, détentions illégales, utilisation et enrôlement d’enfants par des groupes armés, attaques asymétriques et pillages. L’Expert indépendant souligne que </w:t>
      </w:r>
      <w:r w:rsidR="00DE5103" w:rsidRPr="00FC605C">
        <w:rPr>
          <w:b/>
        </w:rPr>
        <w:t xml:space="preserve">la </w:t>
      </w:r>
      <w:r w:rsidR="00983168" w:rsidRPr="00FC605C">
        <w:rPr>
          <w:b/>
        </w:rPr>
        <w:t>dimension de la situation sécuritaire au Mali</w:t>
      </w:r>
      <w:r w:rsidR="00E554B8" w:rsidRPr="00FC605C">
        <w:rPr>
          <w:b/>
        </w:rPr>
        <w:t xml:space="preserve"> </w:t>
      </w:r>
      <w:r w:rsidR="00983168" w:rsidRPr="00FC605C">
        <w:rPr>
          <w:b/>
        </w:rPr>
        <w:t xml:space="preserve">concernant les groupes extrémistes </w:t>
      </w:r>
      <w:r w:rsidR="00DE5103" w:rsidRPr="00FC605C">
        <w:rPr>
          <w:b/>
        </w:rPr>
        <w:t>est d’</w:t>
      </w:r>
      <w:r w:rsidR="00983168" w:rsidRPr="00FC605C">
        <w:rPr>
          <w:b/>
        </w:rPr>
        <w:t>une complexité dont les multiples dimensions dépassent les frontières du Mali</w:t>
      </w:r>
      <w:r w:rsidR="00DE5103" w:rsidRPr="00FC605C">
        <w:rPr>
          <w:b/>
        </w:rPr>
        <w:t>;</w:t>
      </w:r>
      <w:r w:rsidR="00983168" w:rsidRPr="00FC605C">
        <w:rPr>
          <w:b/>
        </w:rPr>
        <w:t xml:space="preserve"> la communauté international</w:t>
      </w:r>
      <w:r w:rsidR="00DE5103" w:rsidRPr="00FC605C">
        <w:rPr>
          <w:b/>
        </w:rPr>
        <w:t>e</w:t>
      </w:r>
      <w:r w:rsidR="00983168" w:rsidRPr="00FC605C">
        <w:rPr>
          <w:b/>
        </w:rPr>
        <w:t xml:space="preserve"> et les pays de la région devraient approfondir les modalités de coopération afin de mener à bien la lutte contre le terrorisme.</w:t>
      </w:r>
      <w:r w:rsidR="00E554B8" w:rsidRPr="00FC605C">
        <w:rPr>
          <w:b/>
        </w:rPr>
        <w:t xml:space="preserve"> </w:t>
      </w:r>
    </w:p>
    <w:p w:rsidR="00983168" w:rsidRPr="00FC605C" w:rsidRDefault="00FC605C" w:rsidP="00A8037C">
      <w:pPr>
        <w:kinsoku w:val="0"/>
        <w:overflowPunct w:val="0"/>
        <w:autoSpaceDE w:val="0"/>
        <w:autoSpaceDN w:val="0"/>
        <w:adjustRightInd w:val="0"/>
        <w:snapToGrid w:val="0"/>
        <w:spacing w:after="120"/>
        <w:ind w:left="1134" w:right="1134"/>
        <w:jc w:val="both"/>
        <w:rPr>
          <w:b/>
        </w:rPr>
      </w:pPr>
      <w:r w:rsidRPr="00C159F8">
        <w:rPr>
          <w:bCs/>
        </w:rPr>
        <w:t>88.</w:t>
      </w:r>
      <w:r w:rsidRPr="00C159F8">
        <w:rPr>
          <w:bCs/>
        </w:rPr>
        <w:tab/>
      </w:r>
      <w:r w:rsidR="00983168" w:rsidRPr="00FC605C">
        <w:rPr>
          <w:b/>
        </w:rPr>
        <w:t>La situation sécuritaire est aggravée par les conflits intra et intercommunautaires</w:t>
      </w:r>
      <w:r w:rsidR="00DE5103" w:rsidRPr="00FC605C">
        <w:rPr>
          <w:b/>
        </w:rPr>
        <w:t>. L</w:t>
      </w:r>
      <w:r w:rsidR="00983168" w:rsidRPr="00FC605C">
        <w:rPr>
          <w:b/>
        </w:rPr>
        <w:t xml:space="preserve">e risque de violations graves des droits de l’homme </w:t>
      </w:r>
      <w:r w:rsidR="00DE5103" w:rsidRPr="00FC605C">
        <w:rPr>
          <w:b/>
        </w:rPr>
        <w:t>de</w:t>
      </w:r>
      <w:r w:rsidR="00983168" w:rsidRPr="00FC605C">
        <w:rPr>
          <w:b/>
        </w:rPr>
        <w:t xml:space="preserve"> la population civile est particulièrement préoccupant.</w:t>
      </w:r>
      <w:r w:rsidR="00E554B8" w:rsidRPr="00FC605C">
        <w:rPr>
          <w:b/>
        </w:rPr>
        <w:t xml:space="preserve"> </w:t>
      </w:r>
      <w:r w:rsidR="00983168" w:rsidRPr="00FC605C">
        <w:rPr>
          <w:b/>
        </w:rPr>
        <w:t>L’Expert indépendant souligne aussi l’impact éventuel du trafic de drogue et d’autres trafics illicites sur l’</w:t>
      </w:r>
      <w:r w:rsidR="00DE5103" w:rsidRPr="00FC605C">
        <w:rPr>
          <w:b/>
        </w:rPr>
        <w:t>É</w:t>
      </w:r>
      <w:r w:rsidR="00983168" w:rsidRPr="00FC605C">
        <w:rPr>
          <w:b/>
        </w:rPr>
        <w:t xml:space="preserve">tat et </w:t>
      </w:r>
      <w:r w:rsidR="00721BC8" w:rsidRPr="00FC605C">
        <w:rPr>
          <w:b/>
        </w:rPr>
        <w:t xml:space="preserve">sur </w:t>
      </w:r>
      <w:r w:rsidR="00983168" w:rsidRPr="00FC605C">
        <w:rPr>
          <w:b/>
        </w:rPr>
        <w:t>la situation des droits de l’homme.</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7571A1">
        <w:rPr>
          <w:bCs/>
        </w:rPr>
        <w:t>89.</w:t>
      </w:r>
      <w:r w:rsidRPr="007571A1">
        <w:rPr>
          <w:bCs/>
        </w:rPr>
        <w:tab/>
      </w:r>
      <w:r w:rsidR="00983168" w:rsidRPr="00FC605C">
        <w:rPr>
          <w:b/>
        </w:rPr>
        <w:t>L’Expert indépendant appelle les autorités à renforcer l</w:t>
      </w:r>
      <w:r w:rsidR="00DE5103" w:rsidRPr="00FC605C">
        <w:rPr>
          <w:b/>
        </w:rPr>
        <w:t>a</w:t>
      </w:r>
      <w:r w:rsidR="00983168" w:rsidRPr="00FC605C">
        <w:rPr>
          <w:b/>
        </w:rPr>
        <w:t xml:space="preserve"> dynamique pour la réforme institutionnelle</w:t>
      </w:r>
      <w:r w:rsidR="00DE5103" w:rsidRPr="00FC605C">
        <w:rPr>
          <w:b/>
        </w:rPr>
        <w:t>,</w:t>
      </w:r>
      <w:r w:rsidR="00983168" w:rsidRPr="00FC605C">
        <w:rPr>
          <w:b/>
        </w:rPr>
        <w:t xml:space="preserve"> surtout en ce qui concerne la justice et la mise en place de cellules d’écoute juridique en vue d’accélérer la procédure judiciaire concernant les crimes commis dans le centre et le nord du pays. La lutte contre l’impunité pour les violations commises dans le </w:t>
      </w:r>
      <w:r w:rsidR="00FF0277" w:rsidRPr="00FC605C">
        <w:rPr>
          <w:b/>
        </w:rPr>
        <w:t xml:space="preserve">passé </w:t>
      </w:r>
      <w:r w:rsidR="00983168" w:rsidRPr="00FC605C">
        <w:rPr>
          <w:b/>
        </w:rPr>
        <w:t>et celles qui sont en train d</w:t>
      </w:r>
      <w:r w:rsidR="00FF0277" w:rsidRPr="00FC605C">
        <w:rPr>
          <w:b/>
        </w:rPr>
        <w:t xml:space="preserve">’être commises </w:t>
      </w:r>
      <w:r w:rsidR="00983168" w:rsidRPr="00FC605C">
        <w:rPr>
          <w:b/>
        </w:rPr>
        <w:t xml:space="preserve">est critique et l’Expert </w:t>
      </w:r>
      <w:r w:rsidR="004D1CE9" w:rsidRPr="00FC605C">
        <w:rPr>
          <w:b/>
        </w:rPr>
        <w:t xml:space="preserve">indépendant </w:t>
      </w:r>
      <w:r w:rsidR="00983168" w:rsidRPr="00FC605C">
        <w:rPr>
          <w:b/>
        </w:rPr>
        <w:t>note que très peu de progrès ont été enregistrés.</w:t>
      </w:r>
      <w:r w:rsidR="00E554B8" w:rsidRPr="00FC605C">
        <w:rPr>
          <w:b/>
        </w:rPr>
        <w:t xml:space="preserve"> </w:t>
      </w:r>
      <w:r w:rsidR="00983168" w:rsidRPr="00FC605C">
        <w:rPr>
          <w:b/>
        </w:rPr>
        <w:t>Pour</w:t>
      </w:r>
      <w:r w:rsidR="00DE5103" w:rsidRPr="00FC605C">
        <w:rPr>
          <w:b/>
        </w:rPr>
        <w:t xml:space="preserve"> disposer d’</w:t>
      </w:r>
      <w:r w:rsidR="00983168" w:rsidRPr="00FC605C">
        <w:rPr>
          <w:b/>
        </w:rPr>
        <w:t xml:space="preserve">un système national effectif </w:t>
      </w:r>
      <w:r w:rsidR="00DE5103" w:rsidRPr="00FC605C">
        <w:rPr>
          <w:b/>
        </w:rPr>
        <w:t xml:space="preserve">de </w:t>
      </w:r>
      <w:r w:rsidR="00983168" w:rsidRPr="00FC605C">
        <w:rPr>
          <w:b/>
        </w:rPr>
        <w:t>protection des droits de l’homme</w:t>
      </w:r>
      <w:r w:rsidR="00DE5103" w:rsidRPr="00FC605C">
        <w:rPr>
          <w:b/>
        </w:rPr>
        <w:t>,</w:t>
      </w:r>
      <w:r w:rsidR="00DE5103" w:rsidRPr="00FC605C" w:rsidDel="00DE5103">
        <w:rPr>
          <w:b/>
        </w:rPr>
        <w:t xml:space="preserve"> </w:t>
      </w:r>
      <w:r w:rsidR="00DE5103" w:rsidRPr="00FC605C">
        <w:rPr>
          <w:b/>
        </w:rPr>
        <w:t xml:space="preserve">il faut impérativement </w:t>
      </w:r>
      <w:r w:rsidR="00983168" w:rsidRPr="00FC605C">
        <w:rPr>
          <w:b/>
        </w:rPr>
        <w:t>réforme</w:t>
      </w:r>
      <w:r w:rsidR="00DE5103" w:rsidRPr="00FC605C">
        <w:rPr>
          <w:b/>
        </w:rPr>
        <w:t>r</w:t>
      </w:r>
      <w:r w:rsidR="00983168" w:rsidRPr="00FC605C">
        <w:rPr>
          <w:b/>
        </w:rPr>
        <w:t xml:space="preserve"> la Commission nationale des droits de l’homme </w:t>
      </w:r>
      <w:r w:rsidR="00DE5103" w:rsidRPr="00FC605C">
        <w:rPr>
          <w:b/>
        </w:rPr>
        <w:t xml:space="preserve">en vue </w:t>
      </w:r>
      <w:r w:rsidR="00983168" w:rsidRPr="00FC605C">
        <w:rPr>
          <w:b/>
        </w:rPr>
        <w:t xml:space="preserve">de la rendre conforme aux </w:t>
      </w:r>
      <w:r w:rsidR="00587266" w:rsidRPr="00FC605C">
        <w:rPr>
          <w:b/>
        </w:rPr>
        <w:t>normes</w:t>
      </w:r>
      <w:r w:rsidR="00983168" w:rsidRPr="00FC605C">
        <w:rPr>
          <w:b/>
        </w:rPr>
        <w:t xml:space="preserve"> internationa</w:t>
      </w:r>
      <w:r w:rsidR="00587266" w:rsidRPr="00FC605C">
        <w:rPr>
          <w:b/>
        </w:rPr>
        <w:t>les</w:t>
      </w:r>
      <w:r w:rsidR="009A4AD7" w:rsidRPr="00FC605C">
        <w:rPr>
          <w:b/>
        </w:rPr>
        <w:t>.</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C159F8">
        <w:rPr>
          <w:bCs/>
        </w:rPr>
        <w:t>90.</w:t>
      </w:r>
      <w:r w:rsidRPr="00C159F8">
        <w:rPr>
          <w:bCs/>
        </w:rPr>
        <w:tab/>
      </w:r>
      <w:r w:rsidR="00983168" w:rsidRPr="00FC605C">
        <w:rPr>
          <w:b/>
        </w:rPr>
        <w:t xml:space="preserve">En ce qui concerne l’Accord </w:t>
      </w:r>
      <w:r w:rsidR="00587266" w:rsidRPr="00FC605C">
        <w:rPr>
          <w:b/>
        </w:rPr>
        <w:t xml:space="preserve">pour la </w:t>
      </w:r>
      <w:r w:rsidR="00983168" w:rsidRPr="00FC605C">
        <w:rPr>
          <w:b/>
        </w:rPr>
        <w:t xml:space="preserve">paix et </w:t>
      </w:r>
      <w:r w:rsidR="00587266" w:rsidRPr="00FC605C">
        <w:rPr>
          <w:b/>
        </w:rPr>
        <w:t xml:space="preserve">la </w:t>
      </w:r>
      <w:r w:rsidR="00983168" w:rsidRPr="00FC605C">
        <w:rPr>
          <w:b/>
        </w:rPr>
        <w:t>réconciliation, l’Expert indépendant souligne les dispositions relatives à l’interdiction de l’amnistie et l’imprescriptibilité des crimes de guerre ainsi que celles relative</w:t>
      </w:r>
      <w:r w:rsidR="00581ED4" w:rsidRPr="00FC605C">
        <w:rPr>
          <w:b/>
        </w:rPr>
        <w:t>s</w:t>
      </w:r>
      <w:r w:rsidR="00983168" w:rsidRPr="00FC605C">
        <w:rPr>
          <w:b/>
        </w:rPr>
        <w:t xml:space="preserve"> à la réforme de la justice et </w:t>
      </w:r>
      <w:r w:rsidR="005B712F" w:rsidRPr="00FC605C">
        <w:rPr>
          <w:b/>
        </w:rPr>
        <w:t xml:space="preserve">à </w:t>
      </w:r>
      <w:r w:rsidR="00983168" w:rsidRPr="00FC605C">
        <w:rPr>
          <w:b/>
        </w:rPr>
        <w:t>la promotion des droits économique et sociaux.</w:t>
      </w:r>
      <w:r w:rsidR="00E554B8" w:rsidRPr="00FC605C">
        <w:rPr>
          <w:b/>
        </w:rPr>
        <w:t xml:space="preserve"> </w:t>
      </w:r>
      <w:r w:rsidR="00983168" w:rsidRPr="00FC605C">
        <w:rPr>
          <w:b/>
        </w:rPr>
        <w:t>Il ré</w:t>
      </w:r>
      <w:r w:rsidR="005B712F" w:rsidRPr="00FC605C">
        <w:rPr>
          <w:b/>
        </w:rPr>
        <w:t xml:space="preserve">affirme </w:t>
      </w:r>
      <w:r w:rsidR="00983168" w:rsidRPr="00FC605C">
        <w:rPr>
          <w:b/>
        </w:rPr>
        <w:t>que tant que la lutte contre l’impunité pour des crimes actuels et ceux du passé ne sera pas résolue de façon effective, la paix durable aura des difficultés à s’installer au Mali</w:t>
      </w:r>
      <w:r w:rsidR="009A4AD7" w:rsidRPr="00FC605C">
        <w:rPr>
          <w:b/>
        </w:rPr>
        <w:t>.</w:t>
      </w:r>
    </w:p>
    <w:p w:rsidR="00983168" w:rsidRPr="00C159F8" w:rsidRDefault="00983168" w:rsidP="00F52D8C">
      <w:pPr>
        <w:pStyle w:val="H1G"/>
        <w:rPr>
          <w:lang w:val="fr-CH"/>
        </w:rPr>
      </w:pPr>
      <w:r w:rsidRPr="00C159F8">
        <w:rPr>
          <w:lang w:val="fr-CH"/>
        </w:rPr>
        <w:tab/>
        <w:t>B.</w:t>
      </w:r>
      <w:r w:rsidRPr="00C159F8">
        <w:rPr>
          <w:lang w:val="fr-CH"/>
        </w:rPr>
        <w:tab/>
      </w:r>
      <w:r w:rsidRPr="00672280">
        <w:rPr>
          <w:lang w:val="fr-CH"/>
        </w:rPr>
        <w:t>Recommandations</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C159F8">
        <w:rPr>
          <w:bCs/>
        </w:rPr>
        <w:t>91.</w:t>
      </w:r>
      <w:r w:rsidRPr="00C159F8">
        <w:rPr>
          <w:bCs/>
        </w:rPr>
        <w:tab/>
      </w:r>
      <w:r w:rsidR="00983168" w:rsidRPr="00FC605C">
        <w:rPr>
          <w:b/>
        </w:rPr>
        <w:t>L’</w:t>
      </w:r>
      <w:r w:rsidR="009207D9" w:rsidRPr="00FC605C">
        <w:rPr>
          <w:b/>
        </w:rPr>
        <w:t>E</w:t>
      </w:r>
      <w:r w:rsidR="00983168" w:rsidRPr="00FC605C">
        <w:rPr>
          <w:b/>
        </w:rPr>
        <w:t xml:space="preserve">xpert indépendant </w:t>
      </w:r>
      <w:r w:rsidR="00E4122B" w:rsidRPr="00FC605C">
        <w:rPr>
          <w:b/>
        </w:rPr>
        <w:t xml:space="preserve">réitère </w:t>
      </w:r>
      <w:r w:rsidR="00983168" w:rsidRPr="00FC605C">
        <w:rPr>
          <w:b/>
        </w:rPr>
        <w:t xml:space="preserve">les recommandations contenues dans son rapport précédent et fait </w:t>
      </w:r>
      <w:r w:rsidR="00E4122B" w:rsidRPr="00FC605C">
        <w:rPr>
          <w:b/>
        </w:rPr>
        <w:t>l</w:t>
      </w:r>
      <w:r w:rsidR="00983168" w:rsidRPr="00FC605C">
        <w:rPr>
          <w:b/>
        </w:rPr>
        <w:t>es recommand</w:t>
      </w:r>
      <w:r w:rsidR="00131257" w:rsidRPr="00FC605C">
        <w:rPr>
          <w:b/>
        </w:rPr>
        <w:t>at</w:t>
      </w:r>
      <w:r w:rsidR="00983168" w:rsidRPr="00FC605C">
        <w:rPr>
          <w:b/>
        </w:rPr>
        <w:t xml:space="preserve">ions </w:t>
      </w:r>
      <w:r w:rsidR="00E4122B" w:rsidRPr="00FC605C">
        <w:rPr>
          <w:b/>
        </w:rPr>
        <w:t>énoncées ci-dessous.</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C159F8">
        <w:rPr>
          <w:bCs/>
        </w:rPr>
        <w:t>92.</w:t>
      </w:r>
      <w:r w:rsidRPr="00C159F8">
        <w:rPr>
          <w:bCs/>
        </w:rPr>
        <w:tab/>
      </w:r>
      <w:r w:rsidR="00131257" w:rsidRPr="00FC605C">
        <w:rPr>
          <w:b/>
        </w:rPr>
        <w:t>L’Expert indépendant recommande a</w:t>
      </w:r>
      <w:r w:rsidR="00983168" w:rsidRPr="00FC605C">
        <w:rPr>
          <w:b/>
        </w:rPr>
        <w:t>ux autorités maliennes</w:t>
      </w:r>
      <w:r w:rsidR="00B91530" w:rsidRPr="00FC605C">
        <w:rPr>
          <w:b/>
        </w:rPr>
        <w:t> </w:t>
      </w:r>
      <w:r w:rsidR="00983168" w:rsidRPr="00FC605C">
        <w:rPr>
          <w:b/>
        </w:rPr>
        <w:t>:</w:t>
      </w:r>
    </w:p>
    <w:p w:rsidR="00983168" w:rsidRPr="00C159F8" w:rsidRDefault="00983168" w:rsidP="003022F1">
      <w:pPr>
        <w:kinsoku w:val="0"/>
        <w:overflowPunct w:val="0"/>
        <w:autoSpaceDE w:val="0"/>
        <w:autoSpaceDN w:val="0"/>
        <w:adjustRightInd w:val="0"/>
        <w:snapToGrid w:val="0"/>
        <w:spacing w:after="120"/>
        <w:ind w:left="1134" w:right="1134" w:firstLine="567"/>
        <w:jc w:val="both"/>
        <w:rPr>
          <w:b/>
        </w:rPr>
      </w:pPr>
      <w:r w:rsidRPr="0072084A">
        <w:rPr>
          <w:bCs/>
        </w:rPr>
        <w:t>a)</w:t>
      </w:r>
      <w:r w:rsidRPr="00C159F8">
        <w:rPr>
          <w:b/>
        </w:rPr>
        <w:tab/>
      </w:r>
      <w:r w:rsidR="00131257">
        <w:rPr>
          <w:b/>
        </w:rPr>
        <w:t xml:space="preserve">De </w:t>
      </w:r>
      <w:r w:rsidR="003022F1">
        <w:rPr>
          <w:b/>
        </w:rPr>
        <w:t xml:space="preserve">veiller à ce </w:t>
      </w:r>
      <w:r w:rsidRPr="00C159F8">
        <w:rPr>
          <w:b/>
        </w:rPr>
        <w:t xml:space="preserve">que toutes </w:t>
      </w:r>
      <w:r w:rsidR="00E4122B">
        <w:rPr>
          <w:b/>
        </w:rPr>
        <w:t xml:space="preserve">les </w:t>
      </w:r>
      <w:r w:rsidRPr="00C159F8">
        <w:rPr>
          <w:b/>
        </w:rPr>
        <w:t xml:space="preserve">mesures utilisées dans la lutte antiterroriste soient compatibles avec les obligations qui incombent </w:t>
      </w:r>
      <w:r w:rsidR="00243B39">
        <w:rPr>
          <w:b/>
        </w:rPr>
        <w:t xml:space="preserve">aux autorités </w:t>
      </w:r>
      <w:r w:rsidRPr="00C159F8">
        <w:rPr>
          <w:b/>
        </w:rPr>
        <w:t>selon le droit international, y compris le droit international humanitaire et le droit international des droits de l’homme, et en particulier avec les principes de précaution, de distinction et de proportionnalité;</w:t>
      </w:r>
    </w:p>
    <w:p w:rsidR="00983168" w:rsidRPr="00C159F8"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b)</w:t>
      </w:r>
      <w:r w:rsidRPr="00C159F8">
        <w:rPr>
          <w:b/>
        </w:rPr>
        <w:tab/>
      </w:r>
      <w:r w:rsidR="00131257">
        <w:rPr>
          <w:b/>
        </w:rPr>
        <w:t>De f</w:t>
      </w:r>
      <w:r w:rsidR="00272183" w:rsidRPr="00C159F8">
        <w:rPr>
          <w:b/>
        </w:rPr>
        <w:t xml:space="preserve">aire </w:t>
      </w:r>
      <w:r w:rsidRPr="00C159F8">
        <w:rPr>
          <w:b/>
        </w:rPr>
        <w:t>en sorte que</w:t>
      </w:r>
      <w:r w:rsidR="00E4122B">
        <w:rPr>
          <w:b/>
        </w:rPr>
        <w:t>,</w:t>
      </w:r>
      <w:r w:rsidRPr="00C159F8">
        <w:rPr>
          <w:b/>
        </w:rPr>
        <w:t xml:space="preserve"> chaque fois qu’un indice tangible provenant d’une source apparemment fiable permet de supposer que des civils ont été tués ou blessés dans une opération antiterroriste</w:t>
      </w:r>
      <w:r w:rsidR="00E4122B">
        <w:rPr>
          <w:b/>
        </w:rPr>
        <w:t>,</w:t>
      </w:r>
      <w:r w:rsidRPr="00C159F8">
        <w:rPr>
          <w:b/>
        </w:rPr>
        <w:t xml:space="preserve"> les autorités compétentes mènent une enquête rapide, indépendante et impartiale pour établir les faits et fournissent des explications publiques détaillées;</w:t>
      </w:r>
    </w:p>
    <w:p w:rsidR="00983168" w:rsidRPr="00C159F8" w:rsidRDefault="00983168" w:rsidP="003E2C08">
      <w:pPr>
        <w:kinsoku w:val="0"/>
        <w:overflowPunct w:val="0"/>
        <w:autoSpaceDE w:val="0"/>
        <w:autoSpaceDN w:val="0"/>
        <w:adjustRightInd w:val="0"/>
        <w:snapToGrid w:val="0"/>
        <w:spacing w:after="120"/>
        <w:ind w:left="1134" w:right="1134" w:firstLine="567"/>
        <w:jc w:val="both"/>
        <w:rPr>
          <w:b/>
        </w:rPr>
      </w:pPr>
      <w:r w:rsidRPr="0072084A">
        <w:rPr>
          <w:bCs/>
        </w:rPr>
        <w:t>c)</w:t>
      </w:r>
      <w:r w:rsidRPr="00C159F8">
        <w:rPr>
          <w:b/>
        </w:rPr>
        <w:tab/>
      </w:r>
      <w:r w:rsidR="00131257">
        <w:rPr>
          <w:b/>
        </w:rPr>
        <w:t>De l</w:t>
      </w:r>
      <w:r w:rsidR="00272183" w:rsidRPr="00C159F8">
        <w:rPr>
          <w:b/>
        </w:rPr>
        <w:t xml:space="preserve">utter </w:t>
      </w:r>
      <w:r w:rsidRPr="00C159F8">
        <w:rPr>
          <w:b/>
        </w:rPr>
        <w:t>contre l’impunité</w:t>
      </w:r>
      <w:r w:rsidR="00243B39">
        <w:rPr>
          <w:b/>
        </w:rPr>
        <w:t>,</w:t>
      </w:r>
      <w:r w:rsidRPr="00C159F8">
        <w:rPr>
          <w:b/>
        </w:rPr>
        <w:t xml:space="preserve"> en particulier en ce qui concerne les membres des forces de sécurité : </w:t>
      </w:r>
      <w:r w:rsidR="00E4122B">
        <w:rPr>
          <w:b/>
        </w:rPr>
        <w:t xml:space="preserve">de </w:t>
      </w:r>
      <w:r w:rsidR="00560915">
        <w:rPr>
          <w:b/>
        </w:rPr>
        <w:t>m</w:t>
      </w:r>
      <w:r w:rsidRPr="00C159F8">
        <w:rPr>
          <w:b/>
        </w:rPr>
        <w:t>ettre en place une politique de tolérance zéro en matière de violence</w:t>
      </w:r>
      <w:r w:rsidR="00E4122B">
        <w:rPr>
          <w:b/>
        </w:rPr>
        <w:t>s</w:t>
      </w:r>
      <w:r w:rsidRPr="00C159F8">
        <w:rPr>
          <w:b/>
        </w:rPr>
        <w:t xml:space="preserve"> sexuelle</w:t>
      </w:r>
      <w:r w:rsidR="00E4122B">
        <w:rPr>
          <w:b/>
        </w:rPr>
        <w:t>s</w:t>
      </w:r>
      <w:r w:rsidRPr="00C159F8">
        <w:rPr>
          <w:b/>
        </w:rPr>
        <w:t xml:space="preserve"> et autres violations </w:t>
      </w:r>
      <w:r w:rsidR="00E4122B" w:rsidRPr="00C159F8">
        <w:rPr>
          <w:b/>
        </w:rPr>
        <w:t xml:space="preserve">graves </w:t>
      </w:r>
      <w:r w:rsidRPr="00C159F8">
        <w:rPr>
          <w:b/>
        </w:rPr>
        <w:t xml:space="preserve">des droits de l’homme, </w:t>
      </w:r>
      <w:r w:rsidR="003022F1">
        <w:rPr>
          <w:b/>
        </w:rPr>
        <w:t xml:space="preserve">et </w:t>
      </w:r>
      <w:r w:rsidR="00E4122B">
        <w:rPr>
          <w:b/>
        </w:rPr>
        <w:t xml:space="preserve">de </w:t>
      </w:r>
      <w:r w:rsidRPr="00C159F8">
        <w:rPr>
          <w:b/>
        </w:rPr>
        <w:t xml:space="preserve">condamner publiquement tous les actes de viol commis </w:t>
      </w:r>
      <w:r w:rsidRPr="003E2C08">
        <w:rPr>
          <w:b/>
        </w:rPr>
        <w:t xml:space="preserve">par </w:t>
      </w:r>
      <w:r w:rsidR="003E2C08" w:rsidRPr="003E2C08">
        <w:rPr>
          <w:b/>
        </w:rPr>
        <w:t>l</w:t>
      </w:r>
      <w:r w:rsidR="00E4122B" w:rsidRPr="003E2C08">
        <w:rPr>
          <w:b/>
        </w:rPr>
        <w:t xml:space="preserve">es </w:t>
      </w:r>
      <w:r w:rsidRPr="003E2C08">
        <w:rPr>
          <w:b/>
        </w:rPr>
        <w:t>forces</w:t>
      </w:r>
      <w:r w:rsidRPr="00C159F8">
        <w:rPr>
          <w:b/>
        </w:rPr>
        <w:t xml:space="preserve"> de sécurité. </w:t>
      </w:r>
      <w:r w:rsidR="00E4122B">
        <w:rPr>
          <w:b/>
        </w:rPr>
        <w:t>D’e</w:t>
      </w:r>
      <w:r w:rsidRPr="00C159F8">
        <w:rPr>
          <w:b/>
        </w:rPr>
        <w:t>nquêter sur les suspects, y compris les officiers ayant la responsabilité de commandement,</w:t>
      </w:r>
      <w:r w:rsidR="00E554B8">
        <w:rPr>
          <w:b/>
        </w:rPr>
        <w:t xml:space="preserve"> </w:t>
      </w:r>
      <w:r w:rsidR="00E4122B">
        <w:rPr>
          <w:b/>
        </w:rPr>
        <w:t xml:space="preserve">de </w:t>
      </w:r>
      <w:r w:rsidRPr="00C159F8">
        <w:rPr>
          <w:b/>
        </w:rPr>
        <w:t>poursuivre et</w:t>
      </w:r>
      <w:r w:rsidR="00E554B8">
        <w:rPr>
          <w:b/>
        </w:rPr>
        <w:t xml:space="preserve"> </w:t>
      </w:r>
      <w:r w:rsidR="00E4122B">
        <w:rPr>
          <w:b/>
        </w:rPr>
        <w:t xml:space="preserve">de </w:t>
      </w:r>
      <w:r w:rsidRPr="00C159F8">
        <w:rPr>
          <w:b/>
        </w:rPr>
        <w:t>sanctionner sévèrement tout membre des forces de sécurité qui aurait</w:t>
      </w:r>
      <w:r w:rsidR="00E554B8">
        <w:rPr>
          <w:b/>
        </w:rPr>
        <w:t xml:space="preserve"> </w:t>
      </w:r>
      <w:r w:rsidRPr="00C159F8">
        <w:rPr>
          <w:b/>
        </w:rPr>
        <w:t>commis ou ordonné le viol ou toléré d</w:t>
      </w:r>
      <w:r w:rsidR="00272183">
        <w:rPr>
          <w:b/>
        </w:rPr>
        <w:t>’</w:t>
      </w:r>
      <w:r w:rsidRPr="00C159F8">
        <w:rPr>
          <w:b/>
        </w:rPr>
        <w:t>autres violations des droits de l’homme</w:t>
      </w:r>
      <w:r w:rsidR="00E4122B">
        <w:rPr>
          <w:b/>
        </w:rPr>
        <w:t>,</w:t>
      </w:r>
      <w:r w:rsidRPr="00C159F8">
        <w:rPr>
          <w:b/>
        </w:rPr>
        <w:t xml:space="preserve"> ainsi que de poursuivre et </w:t>
      </w:r>
      <w:r w:rsidR="00E4122B">
        <w:rPr>
          <w:b/>
        </w:rPr>
        <w:t xml:space="preserve">de </w:t>
      </w:r>
      <w:r w:rsidRPr="00C159F8">
        <w:rPr>
          <w:b/>
        </w:rPr>
        <w:t xml:space="preserve">punir les officiers portant la responsabilité de commandement pour </w:t>
      </w:r>
      <w:r w:rsidR="00E4122B">
        <w:rPr>
          <w:b/>
        </w:rPr>
        <w:t>d</w:t>
      </w:r>
      <w:r w:rsidRPr="00C159F8">
        <w:rPr>
          <w:b/>
        </w:rPr>
        <w:t>es violations graves des droits de l’homme</w:t>
      </w:r>
      <w:r w:rsidR="00272183">
        <w:rPr>
          <w:b/>
        </w:rPr>
        <w:t>;</w:t>
      </w:r>
    </w:p>
    <w:p w:rsidR="00983168" w:rsidRPr="00C159F8"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d)</w:t>
      </w:r>
      <w:r w:rsidRPr="00C159F8">
        <w:rPr>
          <w:b/>
        </w:rPr>
        <w:t xml:space="preserve"> </w:t>
      </w:r>
      <w:r w:rsidRPr="00C159F8">
        <w:rPr>
          <w:b/>
        </w:rPr>
        <w:tab/>
      </w:r>
      <w:r w:rsidR="00131257">
        <w:rPr>
          <w:b/>
        </w:rPr>
        <w:t>De d</w:t>
      </w:r>
      <w:r w:rsidR="00272183" w:rsidRPr="00C159F8">
        <w:rPr>
          <w:b/>
        </w:rPr>
        <w:t xml:space="preserve">énoncer </w:t>
      </w:r>
      <w:r w:rsidRPr="00C159F8">
        <w:rPr>
          <w:b/>
        </w:rPr>
        <w:t>publiquement et sans équivoque toutes les formes de violence contre les femmes, y compris la violence conjugale, le viol conjugal et le harcèlement sexuel</w:t>
      </w:r>
      <w:r w:rsidR="00E4122B">
        <w:rPr>
          <w:b/>
        </w:rPr>
        <w:t>,</w:t>
      </w:r>
      <w:r w:rsidRPr="00C159F8">
        <w:rPr>
          <w:b/>
        </w:rPr>
        <w:t xml:space="preserve"> sans invoquer la coutume, la tradition ou la religion pour justifier ou excuser une telle violence. </w:t>
      </w:r>
      <w:r w:rsidR="00E4122B">
        <w:rPr>
          <w:b/>
        </w:rPr>
        <w:t>D’e</w:t>
      </w:r>
      <w:r w:rsidRPr="00C159F8">
        <w:rPr>
          <w:b/>
        </w:rPr>
        <w:t xml:space="preserve">nquêter et </w:t>
      </w:r>
      <w:r w:rsidR="00E4122B">
        <w:rPr>
          <w:b/>
        </w:rPr>
        <w:t xml:space="preserve">de </w:t>
      </w:r>
      <w:r w:rsidRPr="00C159F8">
        <w:rPr>
          <w:b/>
        </w:rPr>
        <w:t xml:space="preserve">poursuivre avec diligence tous les cas de </w:t>
      </w:r>
      <w:r w:rsidRPr="00E4122B">
        <w:rPr>
          <w:b/>
        </w:rPr>
        <w:t>violence</w:t>
      </w:r>
      <w:r w:rsidR="00E4122B" w:rsidRPr="00E4122B">
        <w:rPr>
          <w:b/>
        </w:rPr>
        <w:t>s</w:t>
      </w:r>
      <w:r w:rsidRPr="00C159F8">
        <w:rPr>
          <w:b/>
        </w:rPr>
        <w:t xml:space="preserve"> contre les femmes dans la famille ou dans la communauté</w:t>
      </w:r>
      <w:r w:rsidR="00272183">
        <w:rPr>
          <w:b/>
        </w:rPr>
        <w:t>;</w:t>
      </w:r>
    </w:p>
    <w:p w:rsidR="00983168" w:rsidRPr="00C159F8"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e)</w:t>
      </w:r>
      <w:r w:rsidRPr="00C159F8">
        <w:rPr>
          <w:b/>
        </w:rPr>
        <w:t xml:space="preserve"> </w:t>
      </w:r>
      <w:r w:rsidRPr="00C159F8">
        <w:rPr>
          <w:b/>
        </w:rPr>
        <w:tab/>
      </w:r>
      <w:r w:rsidR="00131257">
        <w:rPr>
          <w:b/>
        </w:rPr>
        <w:t>D’a</w:t>
      </w:r>
      <w:r w:rsidR="00272183" w:rsidRPr="00C159F8">
        <w:rPr>
          <w:b/>
        </w:rPr>
        <w:t xml:space="preserve">ccorder </w:t>
      </w:r>
      <w:r w:rsidRPr="00C159F8">
        <w:rPr>
          <w:b/>
        </w:rPr>
        <w:t xml:space="preserve">un rang de priorité élevé en termes budgétaires aux besoins de l’appareil judiciaire et des tribunaux et </w:t>
      </w:r>
      <w:r w:rsidR="00E4122B">
        <w:rPr>
          <w:b/>
        </w:rPr>
        <w:t xml:space="preserve">de </w:t>
      </w:r>
      <w:r w:rsidRPr="00C159F8">
        <w:rPr>
          <w:b/>
        </w:rPr>
        <w:t xml:space="preserve">prévoir un pourcentage fixe minimum du produit intérieur brut </w:t>
      </w:r>
      <w:r w:rsidR="00E4122B">
        <w:rPr>
          <w:b/>
        </w:rPr>
        <w:t xml:space="preserve">pour </w:t>
      </w:r>
      <w:r w:rsidRPr="00C159F8">
        <w:rPr>
          <w:b/>
        </w:rPr>
        <w:t>la justice</w:t>
      </w:r>
      <w:r w:rsidR="00291B71">
        <w:rPr>
          <w:b/>
        </w:rPr>
        <w:t>;</w:t>
      </w:r>
    </w:p>
    <w:p w:rsidR="00983168" w:rsidRPr="00C159F8"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f)</w:t>
      </w:r>
      <w:r w:rsidRPr="00C159F8">
        <w:rPr>
          <w:b/>
        </w:rPr>
        <w:tab/>
      </w:r>
      <w:r w:rsidR="00131257">
        <w:rPr>
          <w:b/>
        </w:rPr>
        <w:t>De p</w:t>
      </w:r>
      <w:r w:rsidR="00272183" w:rsidRPr="00C159F8">
        <w:rPr>
          <w:b/>
        </w:rPr>
        <w:t xml:space="preserve">rêter </w:t>
      </w:r>
      <w:r w:rsidRPr="00C159F8">
        <w:rPr>
          <w:b/>
        </w:rPr>
        <w:t>une attention particulière à la sécurité des magistrats, en particulier à l’adoption de mesures de sécurité préventive pour accroître la protection des juges qui traitent d’affaires de corruption à grande échelle, de criminalité organisée, de terrorisme, de crimes contre l’humanité ou de toute autre affaire qui les expose à un risque plus élevé que la normale;</w:t>
      </w:r>
    </w:p>
    <w:p w:rsidR="00983168" w:rsidRPr="00C159F8" w:rsidRDefault="00983168" w:rsidP="00300965">
      <w:pPr>
        <w:kinsoku w:val="0"/>
        <w:overflowPunct w:val="0"/>
        <w:autoSpaceDE w:val="0"/>
        <w:autoSpaceDN w:val="0"/>
        <w:adjustRightInd w:val="0"/>
        <w:snapToGrid w:val="0"/>
        <w:spacing w:after="120"/>
        <w:ind w:left="1134" w:right="1134" w:firstLine="567"/>
        <w:jc w:val="both"/>
        <w:rPr>
          <w:b/>
        </w:rPr>
      </w:pPr>
      <w:r w:rsidRPr="0072084A">
        <w:rPr>
          <w:bCs/>
        </w:rPr>
        <w:t>g)</w:t>
      </w:r>
      <w:r w:rsidRPr="00C159F8">
        <w:rPr>
          <w:b/>
        </w:rPr>
        <w:tab/>
      </w:r>
      <w:r w:rsidR="00131257">
        <w:rPr>
          <w:b/>
        </w:rPr>
        <w:t>De s</w:t>
      </w:r>
      <w:r w:rsidRPr="00C159F8">
        <w:rPr>
          <w:b/>
        </w:rPr>
        <w:t>outenir des mécanismes de justice transitionnelle</w:t>
      </w:r>
      <w:r w:rsidR="00E4122B">
        <w:rPr>
          <w:b/>
        </w:rPr>
        <w:t>,</w:t>
      </w:r>
      <w:r w:rsidRPr="00C159F8">
        <w:rPr>
          <w:b/>
        </w:rPr>
        <w:t xml:space="preserve"> </w:t>
      </w:r>
      <w:r w:rsidR="00300965">
        <w:rPr>
          <w:b/>
        </w:rPr>
        <w:t xml:space="preserve">ainsi que </w:t>
      </w:r>
      <w:r w:rsidRPr="00C159F8">
        <w:rPr>
          <w:b/>
        </w:rPr>
        <w:t xml:space="preserve">la révision du décret portant création </w:t>
      </w:r>
      <w:r w:rsidRPr="009847EC">
        <w:rPr>
          <w:b/>
        </w:rPr>
        <w:t xml:space="preserve">de la </w:t>
      </w:r>
      <w:r w:rsidR="00721BC8" w:rsidRPr="009A0948">
        <w:rPr>
          <w:b/>
        </w:rPr>
        <w:t>C</w:t>
      </w:r>
      <w:r w:rsidRPr="009847EC">
        <w:rPr>
          <w:b/>
        </w:rPr>
        <w:t xml:space="preserve">ommission </w:t>
      </w:r>
      <w:r w:rsidR="00300965">
        <w:rPr>
          <w:b/>
        </w:rPr>
        <w:t>nationale des droits de l’homme</w:t>
      </w:r>
      <w:r w:rsidRPr="00C159F8">
        <w:rPr>
          <w:b/>
        </w:rPr>
        <w:t xml:space="preserve">, et </w:t>
      </w:r>
      <w:r w:rsidR="00721BC8" w:rsidRPr="009847EC">
        <w:rPr>
          <w:b/>
        </w:rPr>
        <w:t>d’</w:t>
      </w:r>
      <w:r w:rsidRPr="009847EC">
        <w:rPr>
          <w:b/>
        </w:rPr>
        <w:t>offr</w:t>
      </w:r>
      <w:r w:rsidR="00721BC8" w:rsidRPr="009A0948">
        <w:rPr>
          <w:b/>
        </w:rPr>
        <w:t>ir</w:t>
      </w:r>
      <w:r w:rsidRPr="009847EC">
        <w:rPr>
          <w:b/>
        </w:rPr>
        <w:t xml:space="preserve"> les</w:t>
      </w:r>
      <w:r w:rsidRPr="00C159F8">
        <w:rPr>
          <w:b/>
        </w:rPr>
        <w:t xml:space="preserve"> garanties concernant le droit à des réparations et la non-répétition des violations.</w:t>
      </w:r>
      <w:r w:rsidR="00E554B8">
        <w:rPr>
          <w:b/>
        </w:rPr>
        <w:t xml:space="preserve"> </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C159F8">
        <w:rPr>
          <w:bCs/>
        </w:rPr>
        <w:t>93.</w:t>
      </w:r>
      <w:r w:rsidRPr="00C159F8">
        <w:rPr>
          <w:bCs/>
        </w:rPr>
        <w:tab/>
      </w:r>
      <w:r w:rsidR="00983168" w:rsidRPr="00FC605C">
        <w:rPr>
          <w:b/>
        </w:rPr>
        <w:t>L’Expert indépendant recommande aux groupes armés</w:t>
      </w:r>
      <w:r w:rsidR="00B91530" w:rsidRPr="00FC605C">
        <w:rPr>
          <w:b/>
        </w:rPr>
        <w:t> </w:t>
      </w:r>
      <w:r w:rsidR="00983168" w:rsidRPr="00FC605C">
        <w:rPr>
          <w:b/>
        </w:rPr>
        <w:t>:</w:t>
      </w:r>
    </w:p>
    <w:p w:rsidR="00983168" w:rsidRPr="00C159F8"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a)</w:t>
      </w:r>
      <w:r w:rsidRPr="00C159F8">
        <w:rPr>
          <w:b/>
        </w:rPr>
        <w:tab/>
        <w:t>De respecter le cessez</w:t>
      </w:r>
      <w:r w:rsidR="00E4122B">
        <w:rPr>
          <w:b/>
        </w:rPr>
        <w:t>-</w:t>
      </w:r>
      <w:r w:rsidRPr="00C159F8">
        <w:rPr>
          <w:b/>
        </w:rPr>
        <w:t>le</w:t>
      </w:r>
      <w:r w:rsidR="00E4122B">
        <w:rPr>
          <w:b/>
        </w:rPr>
        <w:t>-</w:t>
      </w:r>
      <w:r w:rsidRPr="00C159F8">
        <w:rPr>
          <w:b/>
        </w:rPr>
        <w:t>feu et l’</w:t>
      </w:r>
      <w:r w:rsidR="00E4122B">
        <w:rPr>
          <w:b/>
        </w:rPr>
        <w:t>A</w:t>
      </w:r>
      <w:r w:rsidRPr="00C159F8">
        <w:rPr>
          <w:b/>
        </w:rPr>
        <w:t xml:space="preserve">ccord </w:t>
      </w:r>
      <w:r w:rsidR="00E4122B">
        <w:rPr>
          <w:b/>
        </w:rPr>
        <w:t>pour la p</w:t>
      </w:r>
      <w:r w:rsidRPr="00C159F8">
        <w:rPr>
          <w:b/>
        </w:rPr>
        <w:t xml:space="preserve">aix et </w:t>
      </w:r>
      <w:r w:rsidR="00E4122B">
        <w:rPr>
          <w:b/>
        </w:rPr>
        <w:t xml:space="preserve">la </w:t>
      </w:r>
      <w:r w:rsidRPr="00C159F8">
        <w:rPr>
          <w:b/>
        </w:rPr>
        <w:t xml:space="preserve">réconciliation; </w:t>
      </w:r>
    </w:p>
    <w:p w:rsidR="00983168" w:rsidRPr="00C159F8" w:rsidRDefault="00983168" w:rsidP="00983168">
      <w:pPr>
        <w:kinsoku w:val="0"/>
        <w:overflowPunct w:val="0"/>
        <w:autoSpaceDE w:val="0"/>
        <w:autoSpaceDN w:val="0"/>
        <w:adjustRightInd w:val="0"/>
        <w:snapToGrid w:val="0"/>
        <w:spacing w:after="120"/>
        <w:ind w:left="1134" w:right="1134" w:firstLine="567"/>
        <w:jc w:val="both"/>
        <w:rPr>
          <w:b/>
        </w:rPr>
      </w:pPr>
      <w:r w:rsidRPr="0072084A">
        <w:rPr>
          <w:bCs/>
        </w:rPr>
        <w:t>b)</w:t>
      </w:r>
      <w:r w:rsidRPr="00C159F8">
        <w:rPr>
          <w:b/>
        </w:rPr>
        <w:tab/>
        <w:t xml:space="preserve">De faciliter la libération et la réintégration des enfants qui sont encore dans leurs rangs. </w:t>
      </w:r>
    </w:p>
    <w:p w:rsidR="00983168" w:rsidRPr="00FC605C" w:rsidRDefault="00FC605C" w:rsidP="00FC605C">
      <w:pPr>
        <w:kinsoku w:val="0"/>
        <w:overflowPunct w:val="0"/>
        <w:autoSpaceDE w:val="0"/>
        <w:autoSpaceDN w:val="0"/>
        <w:adjustRightInd w:val="0"/>
        <w:snapToGrid w:val="0"/>
        <w:spacing w:after="120"/>
        <w:ind w:left="1134" w:right="1134"/>
        <w:jc w:val="both"/>
        <w:rPr>
          <w:b/>
        </w:rPr>
      </w:pPr>
      <w:r w:rsidRPr="00C159F8">
        <w:rPr>
          <w:bCs/>
        </w:rPr>
        <w:t>94.</w:t>
      </w:r>
      <w:r w:rsidRPr="00C159F8">
        <w:rPr>
          <w:bCs/>
        </w:rPr>
        <w:tab/>
      </w:r>
      <w:r w:rsidR="00983168" w:rsidRPr="00FC605C">
        <w:rPr>
          <w:b/>
        </w:rPr>
        <w:t>L’Expert indépendant recommande à la communauté internationale</w:t>
      </w:r>
      <w:r w:rsidR="00B91530" w:rsidRPr="00FC605C">
        <w:rPr>
          <w:b/>
        </w:rPr>
        <w:t> </w:t>
      </w:r>
      <w:r w:rsidR="00983168" w:rsidRPr="00FC605C">
        <w:rPr>
          <w:b/>
        </w:rPr>
        <w:t>:</w:t>
      </w:r>
    </w:p>
    <w:p w:rsidR="00983168" w:rsidRPr="00C159F8" w:rsidRDefault="00983168" w:rsidP="009A0948">
      <w:pPr>
        <w:pStyle w:val="ListParagraph"/>
        <w:kinsoku w:val="0"/>
        <w:overflowPunct w:val="0"/>
        <w:autoSpaceDE w:val="0"/>
        <w:autoSpaceDN w:val="0"/>
        <w:adjustRightInd w:val="0"/>
        <w:snapToGrid w:val="0"/>
        <w:spacing w:after="120"/>
        <w:ind w:left="1134" w:right="1134"/>
        <w:contextualSpacing w:val="0"/>
        <w:jc w:val="both"/>
        <w:rPr>
          <w:b/>
        </w:rPr>
      </w:pPr>
      <w:r w:rsidRPr="00C159F8">
        <w:rPr>
          <w:b/>
        </w:rPr>
        <w:t xml:space="preserve">D’apporter un soutien financier et </w:t>
      </w:r>
      <w:r w:rsidR="00E4122B">
        <w:rPr>
          <w:b/>
        </w:rPr>
        <w:t xml:space="preserve">de </w:t>
      </w:r>
      <w:r w:rsidRPr="00C159F8">
        <w:rPr>
          <w:b/>
        </w:rPr>
        <w:t xml:space="preserve">tenir les promesses faites lors </w:t>
      </w:r>
      <w:r w:rsidRPr="009847EC">
        <w:rPr>
          <w:b/>
        </w:rPr>
        <w:t xml:space="preserve">de la </w:t>
      </w:r>
      <w:r w:rsidR="005566B8" w:rsidRPr="009A0948">
        <w:rPr>
          <w:b/>
        </w:rPr>
        <w:t>c</w:t>
      </w:r>
      <w:r w:rsidRPr="009847EC">
        <w:rPr>
          <w:b/>
        </w:rPr>
        <w:t xml:space="preserve">onférence </w:t>
      </w:r>
      <w:r w:rsidR="005566B8" w:rsidRPr="009A0948">
        <w:rPr>
          <w:b/>
        </w:rPr>
        <w:t xml:space="preserve">internationale organisée </w:t>
      </w:r>
      <w:r w:rsidRPr="009847EC">
        <w:rPr>
          <w:b/>
        </w:rPr>
        <w:t xml:space="preserve">à Paris </w:t>
      </w:r>
      <w:r w:rsidR="005566B8" w:rsidRPr="009847EC">
        <w:rPr>
          <w:b/>
        </w:rPr>
        <w:t>en octobre 2015</w:t>
      </w:r>
      <w:r w:rsidR="005566B8">
        <w:rPr>
          <w:b/>
        </w:rPr>
        <w:t xml:space="preserve"> </w:t>
      </w:r>
      <w:r w:rsidRPr="00C159F8">
        <w:rPr>
          <w:b/>
        </w:rPr>
        <w:t xml:space="preserve">ainsi que </w:t>
      </w:r>
      <w:r w:rsidR="00E4122B">
        <w:rPr>
          <w:b/>
        </w:rPr>
        <w:t xml:space="preserve">de </w:t>
      </w:r>
      <w:r w:rsidRPr="00C159F8">
        <w:rPr>
          <w:b/>
        </w:rPr>
        <w:t>fournir une assistance technique aux efforts du Gouvernement visant à</w:t>
      </w:r>
      <w:r w:rsidR="009A4AD7">
        <w:rPr>
          <w:b/>
        </w:rPr>
        <w:t> :</w:t>
      </w:r>
    </w:p>
    <w:p w:rsidR="00983168" w:rsidRPr="00C159F8"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a)</w:t>
      </w:r>
      <w:r w:rsidRPr="00C159F8">
        <w:rPr>
          <w:b/>
        </w:rPr>
        <w:tab/>
      </w:r>
      <w:r w:rsidR="00131257">
        <w:rPr>
          <w:b/>
        </w:rPr>
        <w:t>R</w:t>
      </w:r>
      <w:r w:rsidRPr="00C159F8">
        <w:rPr>
          <w:b/>
        </w:rPr>
        <w:t>elance</w:t>
      </w:r>
      <w:r w:rsidR="00131257">
        <w:rPr>
          <w:b/>
        </w:rPr>
        <w:t>r l’</w:t>
      </w:r>
      <w:r w:rsidRPr="00C159F8">
        <w:rPr>
          <w:b/>
        </w:rPr>
        <w:t>économie de tout le pays;</w:t>
      </w:r>
    </w:p>
    <w:p w:rsidR="00983168" w:rsidRPr="00C159F8"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b)</w:t>
      </w:r>
      <w:r w:rsidRPr="00C159F8">
        <w:rPr>
          <w:b/>
        </w:rPr>
        <w:tab/>
      </w:r>
      <w:r w:rsidR="00131257">
        <w:rPr>
          <w:b/>
        </w:rPr>
        <w:t>R</w:t>
      </w:r>
      <w:r w:rsidRPr="00C159F8">
        <w:rPr>
          <w:b/>
        </w:rPr>
        <w:t>éforme</w:t>
      </w:r>
      <w:r w:rsidR="00131257">
        <w:rPr>
          <w:b/>
        </w:rPr>
        <w:t>r</w:t>
      </w:r>
      <w:r w:rsidRPr="00C159F8">
        <w:rPr>
          <w:b/>
        </w:rPr>
        <w:t xml:space="preserve"> </w:t>
      </w:r>
      <w:r w:rsidR="00131257">
        <w:rPr>
          <w:b/>
        </w:rPr>
        <w:t xml:space="preserve">le </w:t>
      </w:r>
      <w:r w:rsidRPr="00C159F8">
        <w:rPr>
          <w:b/>
        </w:rPr>
        <w:t xml:space="preserve">secteur de </w:t>
      </w:r>
      <w:r w:rsidR="00131257">
        <w:rPr>
          <w:b/>
        </w:rPr>
        <w:t xml:space="preserve">la </w:t>
      </w:r>
      <w:r w:rsidRPr="00C159F8">
        <w:rPr>
          <w:b/>
        </w:rPr>
        <w:t xml:space="preserve">sécurité </w:t>
      </w:r>
      <w:r w:rsidR="00E4122B">
        <w:rPr>
          <w:b/>
        </w:rPr>
        <w:t xml:space="preserve">en prévoyant </w:t>
      </w:r>
      <w:r w:rsidRPr="00C159F8">
        <w:rPr>
          <w:b/>
        </w:rPr>
        <w:t>l</w:t>
      </w:r>
      <w:r w:rsidR="00E4122B">
        <w:rPr>
          <w:b/>
        </w:rPr>
        <w:t>a</w:t>
      </w:r>
      <w:r w:rsidRPr="00C159F8">
        <w:rPr>
          <w:b/>
        </w:rPr>
        <w:t xml:space="preserve"> réinsertion des membres des groupes armés</w:t>
      </w:r>
      <w:r w:rsidR="002C4FFF" w:rsidRPr="00C159F8">
        <w:rPr>
          <w:b/>
        </w:rPr>
        <w:t>;</w:t>
      </w:r>
    </w:p>
    <w:p w:rsidR="00983168" w:rsidRPr="00C159F8"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c)</w:t>
      </w:r>
      <w:r w:rsidRPr="00C159F8">
        <w:rPr>
          <w:b/>
        </w:rPr>
        <w:tab/>
      </w:r>
      <w:r w:rsidR="00131257">
        <w:rPr>
          <w:b/>
        </w:rPr>
        <w:t>R</w:t>
      </w:r>
      <w:r w:rsidR="009A4AD7" w:rsidRPr="00C159F8">
        <w:rPr>
          <w:b/>
        </w:rPr>
        <w:t xml:space="preserve">enforcer </w:t>
      </w:r>
      <w:r w:rsidRPr="00C159F8">
        <w:rPr>
          <w:b/>
        </w:rPr>
        <w:t>les capacités du système judiciaire malien</w:t>
      </w:r>
      <w:r w:rsidR="002C4FFF" w:rsidRPr="00C159F8">
        <w:rPr>
          <w:b/>
        </w:rPr>
        <w:t>;</w:t>
      </w:r>
    </w:p>
    <w:p w:rsidR="00F52D8C" w:rsidRDefault="00983168" w:rsidP="00E4122B">
      <w:pPr>
        <w:kinsoku w:val="0"/>
        <w:overflowPunct w:val="0"/>
        <w:autoSpaceDE w:val="0"/>
        <w:autoSpaceDN w:val="0"/>
        <w:adjustRightInd w:val="0"/>
        <w:snapToGrid w:val="0"/>
        <w:spacing w:after="120"/>
        <w:ind w:left="1134" w:right="1134" w:firstLine="567"/>
        <w:jc w:val="both"/>
        <w:rPr>
          <w:b/>
        </w:rPr>
      </w:pPr>
      <w:r w:rsidRPr="0072084A">
        <w:rPr>
          <w:bCs/>
        </w:rPr>
        <w:t>d)</w:t>
      </w:r>
      <w:r w:rsidRPr="00C159F8">
        <w:rPr>
          <w:b/>
        </w:rPr>
        <w:tab/>
      </w:r>
      <w:r w:rsidR="00131257">
        <w:rPr>
          <w:b/>
        </w:rPr>
        <w:t>É</w:t>
      </w:r>
      <w:r w:rsidR="009A4AD7" w:rsidRPr="00C159F8">
        <w:rPr>
          <w:b/>
        </w:rPr>
        <w:t xml:space="preserve">tablir </w:t>
      </w:r>
      <w:r w:rsidRPr="00C159F8">
        <w:rPr>
          <w:b/>
        </w:rPr>
        <w:t>des partenariats durables avec des acteurs clés dans la l</w:t>
      </w:r>
      <w:r w:rsidR="00C159F8" w:rsidRPr="00C159F8">
        <w:rPr>
          <w:b/>
        </w:rPr>
        <w:t>utte contre le trafic de drogue.</w:t>
      </w:r>
    </w:p>
    <w:p w:rsidR="00C159F8" w:rsidRPr="0072084A" w:rsidRDefault="00C159F8" w:rsidP="00C159F8">
      <w:pPr>
        <w:kinsoku w:val="0"/>
        <w:overflowPunct w:val="0"/>
        <w:autoSpaceDE w:val="0"/>
        <w:autoSpaceDN w:val="0"/>
        <w:adjustRightInd w:val="0"/>
        <w:snapToGrid w:val="0"/>
        <w:spacing w:before="240"/>
        <w:ind w:left="1134" w:right="1134"/>
        <w:jc w:val="center"/>
        <w:rPr>
          <w:bCs/>
          <w:u w:val="single"/>
        </w:rPr>
      </w:pPr>
      <w:r w:rsidRPr="0072084A">
        <w:rPr>
          <w:bCs/>
          <w:u w:val="single"/>
        </w:rPr>
        <w:tab/>
      </w:r>
      <w:r w:rsidRPr="0072084A">
        <w:rPr>
          <w:bCs/>
          <w:u w:val="single"/>
        </w:rPr>
        <w:tab/>
      </w:r>
      <w:r w:rsidRPr="0072084A">
        <w:rPr>
          <w:bCs/>
          <w:u w:val="single"/>
        </w:rPr>
        <w:tab/>
      </w:r>
    </w:p>
    <w:sectPr w:rsidR="00C159F8" w:rsidRPr="0072084A" w:rsidSect="007465BC">
      <w:headerReference w:type="even" r:id="rId12"/>
      <w:headerReference w:type="default" r:id="rId13"/>
      <w:footerReference w:type="even" r:id="rId14"/>
      <w:footerReference w:type="default" r:id="rId15"/>
      <w:footerReference w:type="first" r:id="rId16"/>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CEF" w:rsidRDefault="00E42CEF"/>
  </w:endnote>
  <w:endnote w:type="continuationSeparator" w:id="0">
    <w:p w:rsidR="00E42CEF" w:rsidRDefault="00E42CEF"/>
  </w:endnote>
  <w:endnote w:type="continuationNotice" w:id="1">
    <w:p w:rsidR="00E42CEF" w:rsidRDefault="00E42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EF" w:rsidRPr="008F4E8A" w:rsidRDefault="00E42CEF" w:rsidP="008F4E8A">
    <w:pPr>
      <w:pStyle w:val="Footer"/>
      <w:tabs>
        <w:tab w:val="right" w:pos="9638"/>
      </w:tabs>
    </w:pPr>
    <w:r w:rsidRPr="008F4E8A">
      <w:rPr>
        <w:b/>
        <w:sz w:val="18"/>
      </w:rPr>
      <w:fldChar w:fldCharType="begin"/>
    </w:r>
    <w:r w:rsidRPr="008F4E8A">
      <w:rPr>
        <w:b/>
        <w:sz w:val="18"/>
      </w:rPr>
      <w:instrText xml:space="preserve"> PAGE  \* MERGEFORMAT </w:instrText>
    </w:r>
    <w:r w:rsidRPr="008F4E8A">
      <w:rPr>
        <w:b/>
        <w:sz w:val="18"/>
      </w:rPr>
      <w:fldChar w:fldCharType="separate"/>
    </w:r>
    <w:r w:rsidR="00813FDB">
      <w:rPr>
        <w:b/>
        <w:noProof/>
        <w:sz w:val="18"/>
      </w:rPr>
      <w:t>18</w:t>
    </w:r>
    <w:r w:rsidRPr="008F4E8A">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EF" w:rsidRPr="008F4E8A" w:rsidRDefault="00E42CEF" w:rsidP="008F4E8A">
    <w:pPr>
      <w:pStyle w:val="Footer"/>
      <w:tabs>
        <w:tab w:val="right" w:pos="9638"/>
      </w:tabs>
      <w:rPr>
        <w:b/>
        <w:sz w:val="18"/>
      </w:rPr>
    </w:pPr>
    <w:r>
      <w:tab/>
    </w:r>
    <w:r w:rsidRPr="008F4E8A">
      <w:rPr>
        <w:b/>
        <w:sz w:val="18"/>
      </w:rPr>
      <w:fldChar w:fldCharType="begin"/>
    </w:r>
    <w:r w:rsidRPr="008F4E8A">
      <w:rPr>
        <w:b/>
        <w:sz w:val="18"/>
      </w:rPr>
      <w:instrText xml:space="preserve"> PAGE  \* MERGEFORMAT </w:instrText>
    </w:r>
    <w:r w:rsidRPr="008F4E8A">
      <w:rPr>
        <w:b/>
        <w:sz w:val="18"/>
      </w:rPr>
      <w:fldChar w:fldCharType="separate"/>
    </w:r>
    <w:r w:rsidR="00813FDB">
      <w:rPr>
        <w:b/>
        <w:noProof/>
        <w:sz w:val="18"/>
      </w:rPr>
      <w:t>17</w:t>
    </w:r>
    <w:r w:rsidRPr="008F4E8A">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465BC" w:rsidTr="007465BC">
      <w:tc>
        <w:tcPr>
          <w:tcW w:w="3614" w:type="dxa"/>
          <w:shd w:val="clear" w:color="auto" w:fill="auto"/>
        </w:tcPr>
        <w:p w:rsidR="007465BC" w:rsidRDefault="007465BC" w:rsidP="007465BC">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1/76&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6&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GE.16-00837 (F)</w:t>
          </w:r>
        </w:p>
        <w:p w:rsidR="007465BC" w:rsidRPr="007465BC" w:rsidRDefault="007465BC" w:rsidP="007465BC">
          <w:pPr>
            <w:pStyle w:val="Footer"/>
            <w:rPr>
              <w:rFonts w:ascii="Barcode 3 of 9 by request" w:hAnsi="Barcode 3 of 9 by request"/>
              <w:sz w:val="24"/>
            </w:rPr>
          </w:pPr>
          <w:r>
            <w:rPr>
              <w:rFonts w:ascii="Barcode 3 of 9 by request" w:hAnsi="Barcode 3 of 9 by request"/>
              <w:sz w:val="24"/>
            </w:rPr>
            <w:t>*1600837*</w:t>
          </w:r>
        </w:p>
      </w:tc>
      <w:tc>
        <w:tcPr>
          <w:tcW w:w="4752" w:type="dxa"/>
          <w:shd w:val="clear" w:color="auto" w:fill="auto"/>
        </w:tcPr>
        <w:p w:rsidR="007465BC" w:rsidRDefault="007465BC" w:rsidP="007465BC">
          <w:pPr>
            <w:pStyle w:val="Footer"/>
            <w:spacing w:line="240" w:lineRule="atLeast"/>
            <w:jc w:val="right"/>
            <w:rPr>
              <w:sz w:val="20"/>
            </w:rPr>
          </w:pPr>
          <w:r>
            <w:rPr>
              <w:noProof/>
              <w:sz w:val="20"/>
              <w:lang w:eastAsia="en-GB"/>
            </w:rPr>
            <w:drawing>
              <wp:inline distT="0" distB="0" distL="0" distR="0">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7465BC" w:rsidRPr="007465BC" w:rsidRDefault="007465BC" w:rsidP="007465BC">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CEF" w:rsidRPr="00D27D5E" w:rsidRDefault="00E42CEF" w:rsidP="00D27D5E">
      <w:pPr>
        <w:tabs>
          <w:tab w:val="right" w:pos="2155"/>
        </w:tabs>
        <w:spacing w:after="80"/>
        <w:ind w:left="680"/>
        <w:rPr>
          <w:u w:val="single"/>
        </w:rPr>
      </w:pPr>
      <w:r>
        <w:rPr>
          <w:u w:val="single"/>
        </w:rPr>
        <w:tab/>
      </w:r>
    </w:p>
  </w:footnote>
  <w:footnote w:type="continuationSeparator" w:id="0">
    <w:p w:rsidR="00E42CEF" w:rsidRPr="00D72E7E" w:rsidRDefault="00E42CEF" w:rsidP="00D72E7E">
      <w:pPr>
        <w:tabs>
          <w:tab w:val="right" w:pos="2155"/>
        </w:tabs>
        <w:spacing w:after="80"/>
        <w:ind w:left="680"/>
        <w:rPr>
          <w:u w:val="single"/>
        </w:rPr>
      </w:pPr>
      <w:r w:rsidRPr="00D72E7E">
        <w:rPr>
          <w:u w:val="single"/>
        </w:rPr>
        <w:tab/>
      </w:r>
    </w:p>
  </w:footnote>
  <w:footnote w:type="continuationNotice" w:id="1">
    <w:p w:rsidR="00E42CEF" w:rsidRDefault="00E42CEF"/>
  </w:footnote>
  <w:footnote w:id="2">
    <w:p w:rsidR="00E42CEF" w:rsidRPr="00C159F8" w:rsidRDefault="00E42CEF" w:rsidP="00A7638D">
      <w:pPr>
        <w:pStyle w:val="FootnoteText"/>
        <w:tabs>
          <w:tab w:val="clear" w:pos="1021"/>
          <w:tab w:val="right" w:pos="1020"/>
        </w:tabs>
        <w:rPr>
          <w:szCs w:val="18"/>
          <w:lang w:val="fr-CH"/>
        </w:rPr>
      </w:pPr>
      <w:r w:rsidRPr="00C159F8">
        <w:rPr>
          <w:sz w:val="20"/>
        </w:rPr>
        <w:tab/>
      </w:r>
      <w:r w:rsidRPr="00B91530">
        <w:rPr>
          <w:rStyle w:val="FootnoteReference"/>
        </w:rPr>
        <w:footnoteRef/>
      </w:r>
      <w:r w:rsidRPr="0072084A">
        <w:rPr>
          <w:sz w:val="20"/>
          <w:lang w:val="fr-CH"/>
        </w:rPr>
        <w:tab/>
      </w:r>
      <w:r w:rsidRPr="007571A1">
        <w:rPr>
          <w:szCs w:val="18"/>
          <w:lang w:val="fr-CH"/>
        </w:rPr>
        <w:t>Convention relative aux droits de l’enfant (art. 37), Pacte international relatif aux droits civils et politiques (art. 5 et 6), Convention de Genève relative à la protection des personnes civiles en temps de guerre (art. 68) et son Protocole additionnel relatif à la protection des victimes des conflits armés non internationaux (art. 4 et 6).</w:t>
      </w:r>
    </w:p>
  </w:footnote>
  <w:footnote w:id="3">
    <w:p w:rsidR="00E42CEF" w:rsidRPr="00C159F8" w:rsidRDefault="00E42CEF" w:rsidP="007060FA">
      <w:pPr>
        <w:pStyle w:val="FootnoteText"/>
        <w:widowControl w:val="0"/>
        <w:tabs>
          <w:tab w:val="clear" w:pos="1021"/>
          <w:tab w:val="right" w:pos="1020"/>
        </w:tabs>
        <w:rPr>
          <w:szCs w:val="18"/>
          <w:lang w:val="fr-CH"/>
        </w:rPr>
      </w:pPr>
      <w:r w:rsidRPr="00C159F8">
        <w:rPr>
          <w:lang w:val="fr-CH"/>
        </w:rPr>
        <w:tab/>
      </w:r>
      <w:r w:rsidRPr="00B91530">
        <w:rPr>
          <w:rStyle w:val="FootnoteReference"/>
        </w:rPr>
        <w:footnoteRef/>
      </w:r>
      <w:r w:rsidRPr="00C159F8">
        <w:rPr>
          <w:lang w:val="fr-CH"/>
        </w:rPr>
        <w:tab/>
      </w:r>
      <w:r w:rsidRPr="004A56BE">
        <w:rPr>
          <w:szCs w:val="18"/>
          <w:lang w:val="fr-FR"/>
        </w:rPr>
        <w:t>Une détention est un enlèvement et une disparition forcée lorsqu’elle est opérée par un groupe armé qui refuse tout accès aux victimes et qui ne divulgue pas leur lieu de détention.</w:t>
      </w:r>
      <w:r w:rsidRPr="00C159F8">
        <w:rPr>
          <w:szCs w:val="18"/>
          <w:lang w:val="fr-C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EF" w:rsidRPr="008F4E8A" w:rsidRDefault="00E42CEF">
    <w:pPr>
      <w:pStyle w:val="Header"/>
    </w:pPr>
    <w:r>
      <w:t>A/HRC/31/76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EF" w:rsidRPr="008F4E8A" w:rsidRDefault="00E42CEF" w:rsidP="008F4E8A">
    <w:pPr>
      <w:pStyle w:val="Header"/>
      <w:jc w:val="right"/>
    </w:pPr>
    <w:r>
      <w:t>A/HRC/31/76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E8CA7E"/>
    <w:lvl w:ilvl="0">
      <w:start w:val="1"/>
      <w:numFmt w:val="decimal"/>
      <w:lvlText w:val="%1."/>
      <w:lvlJc w:val="left"/>
      <w:pPr>
        <w:tabs>
          <w:tab w:val="num" w:pos="1492"/>
        </w:tabs>
        <w:ind w:left="1492" w:hanging="360"/>
      </w:pPr>
    </w:lvl>
  </w:abstractNum>
  <w:abstractNum w:abstractNumId="1">
    <w:nsid w:val="FFFFFF7D"/>
    <w:multiLevelType w:val="singleLevel"/>
    <w:tmpl w:val="CE3699EC"/>
    <w:lvl w:ilvl="0">
      <w:start w:val="1"/>
      <w:numFmt w:val="decimal"/>
      <w:lvlText w:val="%1."/>
      <w:lvlJc w:val="left"/>
      <w:pPr>
        <w:tabs>
          <w:tab w:val="num" w:pos="1209"/>
        </w:tabs>
        <w:ind w:left="1209" w:hanging="360"/>
      </w:pPr>
    </w:lvl>
  </w:abstractNum>
  <w:abstractNum w:abstractNumId="2">
    <w:nsid w:val="FFFFFF7E"/>
    <w:multiLevelType w:val="singleLevel"/>
    <w:tmpl w:val="5164D40E"/>
    <w:lvl w:ilvl="0">
      <w:start w:val="1"/>
      <w:numFmt w:val="decimal"/>
      <w:lvlText w:val="%1."/>
      <w:lvlJc w:val="left"/>
      <w:pPr>
        <w:tabs>
          <w:tab w:val="num" w:pos="926"/>
        </w:tabs>
        <w:ind w:left="926" w:hanging="360"/>
      </w:pPr>
    </w:lvl>
  </w:abstractNum>
  <w:abstractNum w:abstractNumId="3">
    <w:nsid w:val="FFFFFF7F"/>
    <w:multiLevelType w:val="singleLevel"/>
    <w:tmpl w:val="14B486FE"/>
    <w:lvl w:ilvl="0">
      <w:start w:val="1"/>
      <w:numFmt w:val="decimal"/>
      <w:lvlText w:val="%1."/>
      <w:lvlJc w:val="left"/>
      <w:pPr>
        <w:tabs>
          <w:tab w:val="num" w:pos="643"/>
        </w:tabs>
        <w:ind w:left="643" w:hanging="360"/>
      </w:pPr>
    </w:lvl>
  </w:abstractNum>
  <w:abstractNum w:abstractNumId="4">
    <w:nsid w:val="FFFFFF80"/>
    <w:multiLevelType w:val="singleLevel"/>
    <w:tmpl w:val="DE4C88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901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D81E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CF9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789420"/>
    <w:lvl w:ilvl="0">
      <w:start w:val="1"/>
      <w:numFmt w:val="decimal"/>
      <w:lvlText w:val="%1."/>
      <w:lvlJc w:val="left"/>
      <w:pPr>
        <w:tabs>
          <w:tab w:val="num" w:pos="360"/>
        </w:tabs>
        <w:ind w:left="360" w:hanging="360"/>
      </w:pPr>
    </w:lvl>
  </w:abstractNum>
  <w:abstractNum w:abstractNumId="9">
    <w:nsid w:val="FFFFFF89"/>
    <w:multiLevelType w:val="singleLevel"/>
    <w:tmpl w:val="951CCE1A"/>
    <w:lvl w:ilvl="0">
      <w:start w:val="1"/>
      <w:numFmt w:val="bullet"/>
      <w:lvlText w:val=""/>
      <w:lvlJc w:val="left"/>
      <w:pPr>
        <w:tabs>
          <w:tab w:val="num" w:pos="360"/>
        </w:tabs>
        <w:ind w:left="360" w:hanging="360"/>
      </w:pPr>
      <w:rPr>
        <w:rFonts w:ascii="Symbol" w:hAnsi="Symbol" w:hint="default"/>
      </w:rPr>
    </w:lvl>
  </w:abstractNum>
  <w:abstractNum w:abstractNumId="1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4E4A5D"/>
    <w:multiLevelType w:val="hybridMultilevel"/>
    <w:tmpl w:val="1AEE9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3F49C6"/>
    <w:multiLevelType w:val="singleLevel"/>
    <w:tmpl w:val="720CB540"/>
    <w:lvl w:ilvl="0">
      <w:start w:val="1"/>
      <w:numFmt w:val="lowerRoman"/>
      <w:lvlText w:val="(%1)"/>
      <w:lvlJc w:val="right"/>
      <w:pPr>
        <w:tabs>
          <w:tab w:val="num" w:pos="2160"/>
        </w:tabs>
        <w:ind w:left="2160" w:hanging="516"/>
      </w:pPr>
    </w:lvl>
  </w:abstractNum>
  <w:abstractNum w:abstractNumId="13">
    <w:nsid w:val="2D205129"/>
    <w:multiLevelType w:val="hybridMultilevel"/>
    <w:tmpl w:val="16E23524"/>
    <w:lvl w:ilvl="0" w:tplc="1114B0C0">
      <w:start w:val="1"/>
      <w:numFmt w:val="decimal"/>
      <w:lvlText w:val="%1."/>
      <w:lvlJc w:val="left"/>
      <w:pPr>
        <w:ind w:left="981" w:hanging="555"/>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nsid w:val="2EA77B5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6">
    <w:nsid w:val="45E644ED"/>
    <w:multiLevelType w:val="hybridMultilevel"/>
    <w:tmpl w:val="36327FAC"/>
    <w:lvl w:ilvl="0" w:tplc="4A868F86">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E6D4098"/>
    <w:multiLevelType w:val="hybridMultilevel"/>
    <w:tmpl w:val="7A1E4D9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0">
    <w:nsid w:val="695106F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BD73A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F349BD"/>
    <w:multiLevelType w:val="singleLevel"/>
    <w:tmpl w:val="51D4BF5A"/>
    <w:lvl w:ilvl="0">
      <w:start w:val="1"/>
      <w:numFmt w:val="lowerRoman"/>
      <w:lvlText w:val="(%1)"/>
      <w:lvlJc w:val="right"/>
      <w:pPr>
        <w:tabs>
          <w:tab w:val="num" w:pos="1440"/>
        </w:tabs>
        <w:ind w:left="1440" w:hanging="589"/>
      </w:pPr>
      <w:rPr>
        <w:rFonts w:hint="default"/>
      </w:rPr>
    </w:lvl>
  </w:abstractNum>
  <w:num w:numId="1">
    <w:abstractNumId w:val="22"/>
  </w:num>
  <w:num w:numId="2">
    <w:abstractNumId w:val="12"/>
  </w:num>
  <w:num w:numId="3">
    <w:abstractNumId w:val="1"/>
  </w:num>
  <w:num w:numId="4">
    <w:abstractNumId w:val="0"/>
  </w:num>
  <w:num w:numId="5">
    <w:abstractNumId w:val="2"/>
  </w:num>
  <w:num w:numId="6">
    <w:abstractNumId w:val="3"/>
  </w:num>
  <w:num w:numId="7">
    <w:abstractNumId w:val="8"/>
  </w:num>
  <w:num w:numId="8">
    <w:abstractNumId w:val="9"/>
  </w:num>
  <w:num w:numId="9">
    <w:abstractNumId w:val="7"/>
  </w:num>
  <w:num w:numId="10">
    <w:abstractNumId w:val="6"/>
  </w:num>
  <w:num w:numId="11">
    <w:abstractNumId w:val="5"/>
  </w:num>
  <w:num w:numId="12">
    <w:abstractNumId w:val="4"/>
  </w:num>
  <w:num w:numId="13">
    <w:abstractNumId w:val="14"/>
  </w:num>
  <w:num w:numId="14">
    <w:abstractNumId w:val="21"/>
  </w:num>
  <w:num w:numId="15">
    <w:abstractNumId w:val="20"/>
  </w:num>
  <w:num w:numId="16">
    <w:abstractNumId w:val="19"/>
  </w:num>
  <w:num w:numId="17">
    <w:abstractNumId w:val="15"/>
  </w:num>
  <w:num w:numId="18">
    <w:abstractNumId w:val="19"/>
  </w:num>
  <w:num w:numId="19">
    <w:abstractNumId w:val="15"/>
  </w:num>
  <w:num w:numId="20">
    <w:abstractNumId w:val="19"/>
  </w:num>
  <w:num w:numId="21">
    <w:abstractNumId w:val="15"/>
  </w:num>
  <w:num w:numId="22">
    <w:abstractNumId w:val="10"/>
  </w:num>
  <w:num w:numId="23">
    <w:abstractNumId w:val="18"/>
  </w:num>
  <w:num w:numId="24">
    <w:abstractNumId w:val="13"/>
  </w:num>
  <w:num w:numId="25">
    <w:abstractNumId w:val="17"/>
  </w:num>
  <w:num w:numId="26">
    <w:abstractNumId w:val="16"/>
  </w:num>
  <w:num w:numId="2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fr-CH"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E8A"/>
    <w:rsid w:val="000032E6"/>
    <w:rsid w:val="000168BB"/>
    <w:rsid w:val="00016AC5"/>
    <w:rsid w:val="00016E15"/>
    <w:rsid w:val="00025771"/>
    <w:rsid w:val="00033339"/>
    <w:rsid w:val="00042021"/>
    <w:rsid w:val="00042506"/>
    <w:rsid w:val="00046315"/>
    <w:rsid w:val="00047FA2"/>
    <w:rsid w:val="00057BC0"/>
    <w:rsid w:val="000606BE"/>
    <w:rsid w:val="00065DBF"/>
    <w:rsid w:val="0008047D"/>
    <w:rsid w:val="0008167F"/>
    <w:rsid w:val="000A3D39"/>
    <w:rsid w:val="000A6DF8"/>
    <w:rsid w:val="000B013F"/>
    <w:rsid w:val="000B6496"/>
    <w:rsid w:val="000B7F97"/>
    <w:rsid w:val="000C3650"/>
    <w:rsid w:val="000D2E5C"/>
    <w:rsid w:val="000D31EC"/>
    <w:rsid w:val="000D58E5"/>
    <w:rsid w:val="000E03D2"/>
    <w:rsid w:val="000E4DE1"/>
    <w:rsid w:val="000F41F2"/>
    <w:rsid w:val="00101ED9"/>
    <w:rsid w:val="00102432"/>
    <w:rsid w:val="0010377E"/>
    <w:rsid w:val="001109AC"/>
    <w:rsid w:val="0011219D"/>
    <w:rsid w:val="00121552"/>
    <w:rsid w:val="00125F16"/>
    <w:rsid w:val="00131257"/>
    <w:rsid w:val="00133B7A"/>
    <w:rsid w:val="001370FA"/>
    <w:rsid w:val="00137153"/>
    <w:rsid w:val="00137CCB"/>
    <w:rsid w:val="001506EA"/>
    <w:rsid w:val="0015264D"/>
    <w:rsid w:val="00153B2E"/>
    <w:rsid w:val="00154501"/>
    <w:rsid w:val="00160540"/>
    <w:rsid w:val="00170BBF"/>
    <w:rsid w:val="00172B99"/>
    <w:rsid w:val="001824D9"/>
    <w:rsid w:val="0019063D"/>
    <w:rsid w:val="001928BD"/>
    <w:rsid w:val="00192EEB"/>
    <w:rsid w:val="00197737"/>
    <w:rsid w:val="001A20FB"/>
    <w:rsid w:val="001A36C8"/>
    <w:rsid w:val="001A5141"/>
    <w:rsid w:val="001C2C11"/>
    <w:rsid w:val="001C33AB"/>
    <w:rsid w:val="001C6647"/>
    <w:rsid w:val="001E3FEB"/>
    <w:rsid w:val="001E4A02"/>
    <w:rsid w:val="001E4B35"/>
    <w:rsid w:val="001F1387"/>
    <w:rsid w:val="00201317"/>
    <w:rsid w:val="0021338C"/>
    <w:rsid w:val="002168C4"/>
    <w:rsid w:val="00222D3E"/>
    <w:rsid w:val="0023257D"/>
    <w:rsid w:val="00241E2F"/>
    <w:rsid w:val="00243B39"/>
    <w:rsid w:val="0025403A"/>
    <w:rsid w:val="002659F1"/>
    <w:rsid w:val="00272183"/>
    <w:rsid w:val="00275C91"/>
    <w:rsid w:val="00284252"/>
    <w:rsid w:val="0028756F"/>
    <w:rsid w:val="002878FD"/>
    <w:rsid w:val="00287E79"/>
    <w:rsid w:val="00291B71"/>
    <w:rsid w:val="002928F9"/>
    <w:rsid w:val="002A5D07"/>
    <w:rsid w:val="002A78F1"/>
    <w:rsid w:val="002A7F3C"/>
    <w:rsid w:val="002B06F0"/>
    <w:rsid w:val="002B0F72"/>
    <w:rsid w:val="002B2B5E"/>
    <w:rsid w:val="002B7341"/>
    <w:rsid w:val="002C1D84"/>
    <w:rsid w:val="002C4FFF"/>
    <w:rsid w:val="002D4A6A"/>
    <w:rsid w:val="002D7335"/>
    <w:rsid w:val="00300965"/>
    <w:rsid w:val="003016B7"/>
    <w:rsid w:val="003022F1"/>
    <w:rsid w:val="00340447"/>
    <w:rsid w:val="003433E5"/>
    <w:rsid w:val="003515AA"/>
    <w:rsid w:val="00356E44"/>
    <w:rsid w:val="00374106"/>
    <w:rsid w:val="00375589"/>
    <w:rsid w:val="0037787B"/>
    <w:rsid w:val="003800E1"/>
    <w:rsid w:val="003807A6"/>
    <w:rsid w:val="00382445"/>
    <w:rsid w:val="003831D3"/>
    <w:rsid w:val="0038613A"/>
    <w:rsid w:val="003976D5"/>
    <w:rsid w:val="00397ADA"/>
    <w:rsid w:val="003A4213"/>
    <w:rsid w:val="003A6A3A"/>
    <w:rsid w:val="003B66D4"/>
    <w:rsid w:val="003D5D72"/>
    <w:rsid w:val="003D6C68"/>
    <w:rsid w:val="003D7392"/>
    <w:rsid w:val="003E0DC6"/>
    <w:rsid w:val="003E2C08"/>
    <w:rsid w:val="003E6ACD"/>
    <w:rsid w:val="003F30D8"/>
    <w:rsid w:val="004009DC"/>
    <w:rsid w:val="00401C53"/>
    <w:rsid w:val="00405C4E"/>
    <w:rsid w:val="004153E0"/>
    <w:rsid w:val="004159D0"/>
    <w:rsid w:val="00420C1B"/>
    <w:rsid w:val="004239A3"/>
    <w:rsid w:val="004275B3"/>
    <w:rsid w:val="00431EE6"/>
    <w:rsid w:val="004323EE"/>
    <w:rsid w:val="00434023"/>
    <w:rsid w:val="00440135"/>
    <w:rsid w:val="004459B7"/>
    <w:rsid w:val="0045093A"/>
    <w:rsid w:val="00452198"/>
    <w:rsid w:val="00453816"/>
    <w:rsid w:val="00453C24"/>
    <w:rsid w:val="00455687"/>
    <w:rsid w:val="004618A5"/>
    <w:rsid w:val="0047011A"/>
    <w:rsid w:val="00473D10"/>
    <w:rsid w:val="00481744"/>
    <w:rsid w:val="0049461E"/>
    <w:rsid w:val="0049729F"/>
    <w:rsid w:val="004A1021"/>
    <w:rsid w:val="004A56BE"/>
    <w:rsid w:val="004B2F4D"/>
    <w:rsid w:val="004C4933"/>
    <w:rsid w:val="004D1CE9"/>
    <w:rsid w:val="004D401B"/>
    <w:rsid w:val="004D7F06"/>
    <w:rsid w:val="004E7CED"/>
    <w:rsid w:val="004E7D59"/>
    <w:rsid w:val="004F0F77"/>
    <w:rsid w:val="004F6342"/>
    <w:rsid w:val="00501D38"/>
    <w:rsid w:val="00502A2B"/>
    <w:rsid w:val="00503BFF"/>
    <w:rsid w:val="00506648"/>
    <w:rsid w:val="00515E4C"/>
    <w:rsid w:val="00522B28"/>
    <w:rsid w:val="00522E40"/>
    <w:rsid w:val="00532DE8"/>
    <w:rsid w:val="0054109D"/>
    <w:rsid w:val="005459FB"/>
    <w:rsid w:val="005566B8"/>
    <w:rsid w:val="0055747B"/>
    <w:rsid w:val="00560915"/>
    <w:rsid w:val="00571F41"/>
    <w:rsid w:val="00574BA7"/>
    <w:rsid w:val="00581ED4"/>
    <w:rsid w:val="00583B7A"/>
    <w:rsid w:val="00584991"/>
    <w:rsid w:val="00587266"/>
    <w:rsid w:val="00590AAB"/>
    <w:rsid w:val="00594033"/>
    <w:rsid w:val="005B712F"/>
    <w:rsid w:val="005C07B0"/>
    <w:rsid w:val="005C53B6"/>
    <w:rsid w:val="005C585B"/>
    <w:rsid w:val="005C6822"/>
    <w:rsid w:val="005C7EF3"/>
    <w:rsid w:val="005E16C9"/>
    <w:rsid w:val="005E2AD0"/>
    <w:rsid w:val="005E3752"/>
    <w:rsid w:val="005E5D1F"/>
    <w:rsid w:val="005F3C2D"/>
    <w:rsid w:val="005F48F4"/>
    <w:rsid w:val="00605A46"/>
    <w:rsid w:val="00611B8C"/>
    <w:rsid w:val="00612D48"/>
    <w:rsid w:val="00613553"/>
    <w:rsid w:val="00616B45"/>
    <w:rsid w:val="00620F48"/>
    <w:rsid w:val="00622FFC"/>
    <w:rsid w:val="00633247"/>
    <w:rsid w:val="006336F9"/>
    <w:rsid w:val="00633C1A"/>
    <w:rsid w:val="006402CD"/>
    <w:rsid w:val="0064201C"/>
    <w:rsid w:val="006439EC"/>
    <w:rsid w:val="00651206"/>
    <w:rsid w:val="00657651"/>
    <w:rsid w:val="00660C95"/>
    <w:rsid w:val="0066166E"/>
    <w:rsid w:val="00662699"/>
    <w:rsid w:val="00672280"/>
    <w:rsid w:val="006739B9"/>
    <w:rsid w:val="00675C66"/>
    <w:rsid w:val="006875D2"/>
    <w:rsid w:val="006875D3"/>
    <w:rsid w:val="0069609A"/>
    <w:rsid w:val="0069716A"/>
    <w:rsid w:val="006A4BB1"/>
    <w:rsid w:val="006B0A7B"/>
    <w:rsid w:val="006B4590"/>
    <w:rsid w:val="006C1EA8"/>
    <w:rsid w:val="006C340C"/>
    <w:rsid w:val="006C396C"/>
    <w:rsid w:val="006C5015"/>
    <w:rsid w:val="006D75EA"/>
    <w:rsid w:val="006E4DFA"/>
    <w:rsid w:val="006E51CE"/>
    <w:rsid w:val="006F130F"/>
    <w:rsid w:val="0070347C"/>
    <w:rsid w:val="007060FA"/>
    <w:rsid w:val="007166D0"/>
    <w:rsid w:val="0072082E"/>
    <w:rsid w:val="0072084A"/>
    <w:rsid w:val="00721A36"/>
    <w:rsid w:val="00721BC8"/>
    <w:rsid w:val="00723D07"/>
    <w:rsid w:val="0073451B"/>
    <w:rsid w:val="007465BC"/>
    <w:rsid w:val="007571A1"/>
    <w:rsid w:val="00757464"/>
    <w:rsid w:val="00757B26"/>
    <w:rsid w:val="007602DF"/>
    <w:rsid w:val="00765E99"/>
    <w:rsid w:val="007805FB"/>
    <w:rsid w:val="007823AB"/>
    <w:rsid w:val="007853D4"/>
    <w:rsid w:val="007960EC"/>
    <w:rsid w:val="007A2696"/>
    <w:rsid w:val="007A3741"/>
    <w:rsid w:val="007B386F"/>
    <w:rsid w:val="007B4AD1"/>
    <w:rsid w:val="007C7304"/>
    <w:rsid w:val="007D30F7"/>
    <w:rsid w:val="007D6E09"/>
    <w:rsid w:val="007E3979"/>
    <w:rsid w:val="007E63D0"/>
    <w:rsid w:val="007E7470"/>
    <w:rsid w:val="00804054"/>
    <w:rsid w:val="0081197C"/>
    <w:rsid w:val="00813FDB"/>
    <w:rsid w:val="0081617F"/>
    <w:rsid w:val="0083444C"/>
    <w:rsid w:val="00840535"/>
    <w:rsid w:val="00843779"/>
    <w:rsid w:val="00844750"/>
    <w:rsid w:val="00853B78"/>
    <w:rsid w:val="0085537A"/>
    <w:rsid w:val="008708C8"/>
    <w:rsid w:val="00873389"/>
    <w:rsid w:val="0088579B"/>
    <w:rsid w:val="00885B7B"/>
    <w:rsid w:val="008921DD"/>
    <w:rsid w:val="0089595B"/>
    <w:rsid w:val="008A312E"/>
    <w:rsid w:val="008A54BB"/>
    <w:rsid w:val="008C3479"/>
    <w:rsid w:val="008C751B"/>
    <w:rsid w:val="008D2056"/>
    <w:rsid w:val="008D3704"/>
    <w:rsid w:val="008E7FAE"/>
    <w:rsid w:val="008F4E8A"/>
    <w:rsid w:val="008F522F"/>
    <w:rsid w:val="00903B12"/>
    <w:rsid w:val="009044A5"/>
    <w:rsid w:val="009066D8"/>
    <w:rsid w:val="00911BF7"/>
    <w:rsid w:val="009174AF"/>
    <w:rsid w:val="009207D9"/>
    <w:rsid w:val="00935383"/>
    <w:rsid w:val="00946A11"/>
    <w:rsid w:val="00946E1E"/>
    <w:rsid w:val="009523DA"/>
    <w:rsid w:val="00954B03"/>
    <w:rsid w:val="00965B63"/>
    <w:rsid w:val="0096714A"/>
    <w:rsid w:val="009772A7"/>
    <w:rsid w:val="00977EC8"/>
    <w:rsid w:val="00983168"/>
    <w:rsid w:val="009847EC"/>
    <w:rsid w:val="00986208"/>
    <w:rsid w:val="00996DA3"/>
    <w:rsid w:val="009A0948"/>
    <w:rsid w:val="009A2BB7"/>
    <w:rsid w:val="009A4AD7"/>
    <w:rsid w:val="009A78C0"/>
    <w:rsid w:val="009B1C60"/>
    <w:rsid w:val="009B2C1C"/>
    <w:rsid w:val="009B5FD4"/>
    <w:rsid w:val="009D0320"/>
    <w:rsid w:val="009D3A8C"/>
    <w:rsid w:val="009E7956"/>
    <w:rsid w:val="009F318C"/>
    <w:rsid w:val="009F6340"/>
    <w:rsid w:val="00A01858"/>
    <w:rsid w:val="00A13E4E"/>
    <w:rsid w:val="00A1573D"/>
    <w:rsid w:val="00A232E2"/>
    <w:rsid w:val="00A244B5"/>
    <w:rsid w:val="00A2492E"/>
    <w:rsid w:val="00A35B3A"/>
    <w:rsid w:val="00A41FCA"/>
    <w:rsid w:val="00A427EE"/>
    <w:rsid w:val="00A42A21"/>
    <w:rsid w:val="00A534E1"/>
    <w:rsid w:val="00A53E14"/>
    <w:rsid w:val="00A56882"/>
    <w:rsid w:val="00A63BBD"/>
    <w:rsid w:val="00A72B56"/>
    <w:rsid w:val="00A7335C"/>
    <w:rsid w:val="00A74C24"/>
    <w:rsid w:val="00A7638D"/>
    <w:rsid w:val="00A8037C"/>
    <w:rsid w:val="00A8374C"/>
    <w:rsid w:val="00A86058"/>
    <w:rsid w:val="00A86FDF"/>
    <w:rsid w:val="00A954DF"/>
    <w:rsid w:val="00A97A1E"/>
    <w:rsid w:val="00AC10B8"/>
    <w:rsid w:val="00AC24CA"/>
    <w:rsid w:val="00AC47AD"/>
    <w:rsid w:val="00AC7977"/>
    <w:rsid w:val="00AD1653"/>
    <w:rsid w:val="00AD67BF"/>
    <w:rsid w:val="00AE0C55"/>
    <w:rsid w:val="00AE1606"/>
    <w:rsid w:val="00AE352C"/>
    <w:rsid w:val="00AE42B7"/>
    <w:rsid w:val="00B05B40"/>
    <w:rsid w:val="00B10710"/>
    <w:rsid w:val="00B10749"/>
    <w:rsid w:val="00B12967"/>
    <w:rsid w:val="00B1346C"/>
    <w:rsid w:val="00B14CE4"/>
    <w:rsid w:val="00B15691"/>
    <w:rsid w:val="00B2437D"/>
    <w:rsid w:val="00B32AA5"/>
    <w:rsid w:val="00B32E2D"/>
    <w:rsid w:val="00B32ED9"/>
    <w:rsid w:val="00B32FEA"/>
    <w:rsid w:val="00B34BF5"/>
    <w:rsid w:val="00B4580D"/>
    <w:rsid w:val="00B46792"/>
    <w:rsid w:val="00B47ED2"/>
    <w:rsid w:val="00B54B0F"/>
    <w:rsid w:val="00B61990"/>
    <w:rsid w:val="00B84EC3"/>
    <w:rsid w:val="00B91100"/>
    <w:rsid w:val="00B91530"/>
    <w:rsid w:val="00B925F0"/>
    <w:rsid w:val="00BA46F2"/>
    <w:rsid w:val="00BA5176"/>
    <w:rsid w:val="00BB0E03"/>
    <w:rsid w:val="00BB27B8"/>
    <w:rsid w:val="00BB65C4"/>
    <w:rsid w:val="00BB6DE6"/>
    <w:rsid w:val="00BE28D3"/>
    <w:rsid w:val="00BF0556"/>
    <w:rsid w:val="00BF2B45"/>
    <w:rsid w:val="00BF7878"/>
    <w:rsid w:val="00C159F8"/>
    <w:rsid w:val="00C16358"/>
    <w:rsid w:val="00C24732"/>
    <w:rsid w:val="00C261F8"/>
    <w:rsid w:val="00C316E5"/>
    <w:rsid w:val="00C47087"/>
    <w:rsid w:val="00C51114"/>
    <w:rsid w:val="00C54B58"/>
    <w:rsid w:val="00C60108"/>
    <w:rsid w:val="00C67686"/>
    <w:rsid w:val="00C70568"/>
    <w:rsid w:val="00C717E0"/>
    <w:rsid w:val="00C80B6B"/>
    <w:rsid w:val="00CB59BF"/>
    <w:rsid w:val="00CC0C76"/>
    <w:rsid w:val="00CC7935"/>
    <w:rsid w:val="00CD1A71"/>
    <w:rsid w:val="00CD1FBB"/>
    <w:rsid w:val="00CE5AFE"/>
    <w:rsid w:val="00D016B5"/>
    <w:rsid w:val="00D034F1"/>
    <w:rsid w:val="00D11E92"/>
    <w:rsid w:val="00D27D5E"/>
    <w:rsid w:val="00D32516"/>
    <w:rsid w:val="00D375D3"/>
    <w:rsid w:val="00D40011"/>
    <w:rsid w:val="00D42E42"/>
    <w:rsid w:val="00D51314"/>
    <w:rsid w:val="00D5291D"/>
    <w:rsid w:val="00D52D80"/>
    <w:rsid w:val="00D61A64"/>
    <w:rsid w:val="00D66913"/>
    <w:rsid w:val="00D725BC"/>
    <w:rsid w:val="00D72E7E"/>
    <w:rsid w:val="00D7645F"/>
    <w:rsid w:val="00D9105F"/>
    <w:rsid w:val="00DA6013"/>
    <w:rsid w:val="00DA77B5"/>
    <w:rsid w:val="00DD59CD"/>
    <w:rsid w:val="00DE2AF1"/>
    <w:rsid w:val="00DE5103"/>
    <w:rsid w:val="00DE5422"/>
    <w:rsid w:val="00DE6D90"/>
    <w:rsid w:val="00DF002F"/>
    <w:rsid w:val="00DF4858"/>
    <w:rsid w:val="00E0244D"/>
    <w:rsid w:val="00E02DFC"/>
    <w:rsid w:val="00E15E3C"/>
    <w:rsid w:val="00E307BA"/>
    <w:rsid w:val="00E4122B"/>
    <w:rsid w:val="00E42CEF"/>
    <w:rsid w:val="00E456CB"/>
    <w:rsid w:val="00E50A8B"/>
    <w:rsid w:val="00E53020"/>
    <w:rsid w:val="00E53A1D"/>
    <w:rsid w:val="00E554B8"/>
    <w:rsid w:val="00E6411F"/>
    <w:rsid w:val="00E6470A"/>
    <w:rsid w:val="00E64A16"/>
    <w:rsid w:val="00E741F3"/>
    <w:rsid w:val="00E7716B"/>
    <w:rsid w:val="00E81E94"/>
    <w:rsid w:val="00E82607"/>
    <w:rsid w:val="00E83C0A"/>
    <w:rsid w:val="00E90D12"/>
    <w:rsid w:val="00EB17F4"/>
    <w:rsid w:val="00ED3821"/>
    <w:rsid w:val="00ED7419"/>
    <w:rsid w:val="00EE28E0"/>
    <w:rsid w:val="00F06496"/>
    <w:rsid w:val="00F1075C"/>
    <w:rsid w:val="00F22103"/>
    <w:rsid w:val="00F234AA"/>
    <w:rsid w:val="00F234D3"/>
    <w:rsid w:val="00F30067"/>
    <w:rsid w:val="00F415B8"/>
    <w:rsid w:val="00F42631"/>
    <w:rsid w:val="00F4447A"/>
    <w:rsid w:val="00F445C9"/>
    <w:rsid w:val="00F513F4"/>
    <w:rsid w:val="00F51C72"/>
    <w:rsid w:val="00F52D8C"/>
    <w:rsid w:val="00F54E57"/>
    <w:rsid w:val="00F563D3"/>
    <w:rsid w:val="00F57217"/>
    <w:rsid w:val="00F72951"/>
    <w:rsid w:val="00F72AAD"/>
    <w:rsid w:val="00F7303A"/>
    <w:rsid w:val="00F75CD4"/>
    <w:rsid w:val="00F77B44"/>
    <w:rsid w:val="00F81EED"/>
    <w:rsid w:val="00FA5A79"/>
    <w:rsid w:val="00FA7B97"/>
    <w:rsid w:val="00FB0BFE"/>
    <w:rsid w:val="00FB272F"/>
    <w:rsid w:val="00FB4C51"/>
    <w:rsid w:val="00FB57F7"/>
    <w:rsid w:val="00FB7C60"/>
    <w:rsid w:val="00FC283E"/>
    <w:rsid w:val="00FC605C"/>
    <w:rsid w:val="00FD0979"/>
    <w:rsid w:val="00FD5764"/>
    <w:rsid w:val="00FE2CB7"/>
    <w:rsid w:val="00FF0277"/>
    <w:rsid w:val="00FF07B1"/>
    <w:rsid w:val="00FF0E0A"/>
    <w:rsid w:val="00FF1D71"/>
    <w:rsid w:val="00FF1DBD"/>
    <w:rsid w:val="00FF6A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qFormat/>
    <w:rsid w:val="0008167F"/>
    <w:pPr>
      <w:spacing w:line="240" w:lineRule="auto"/>
      <w:outlineLvl w:val="1"/>
    </w:pPr>
    <w:rPr>
      <w:lang w:val="en-GB"/>
    </w:rPr>
  </w:style>
  <w:style w:type="paragraph" w:styleId="Heading3">
    <w:name w:val="heading 3"/>
    <w:basedOn w:val="Normal"/>
    <w:next w:val="Normal"/>
    <w:qFormat/>
    <w:rsid w:val="0008167F"/>
    <w:pPr>
      <w:spacing w:line="240" w:lineRule="auto"/>
      <w:outlineLvl w:val="2"/>
    </w:pPr>
    <w:rPr>
      <w:lang w:val="en-GB"/>
    </w:rPr>
  </w:style>
  <w:style w:type="paragraph" w:styleId="Heading4">
    <w:name w:val="heading 4"/>
    <w:basedOn w:val="Normal"/>
    <w:next w:val="Normal"/>
    <w:qFormat/>
    <w:rsid w:val="0008167F"/>
    <w:pPr>
      <w:spacing w:line="240" w:lineRule="auto"/>
      <w:outlineLvl w:val="3"/>
    </w:pPr>
    <w:rPr>
      <w:lang w:val="en-GB"/>
    </w:rPr>
  </w:style>
  <w:style w:type="paragraph" w:styleId="Heading5">
    <w:name w:val="heading 5"/>
    <w:basedOn w:val="Normal"/>
    <w:next w:val="Normal"/>
    <w:qFormat/>
    <w:rsid w:val="0008167F"/>
    <w:pPr>
      <w:spacing w:line="240" w:lineRule="auto"/>
      <w:outlineLvl w:val="4"/>
    </w:pPr>
    <w:rPr>
      <w:lang w:val="en-GB"/>
    </w:rPr>
  </w:style>
  <w:style w:type="paragraph" w:styleId="Heading6">
    <w:name w:val="heading 6"/>
    <w:basedOn w:val="Normal"/>
    <w:next w:val="Normal"/>
    <w:qFormat/>
    <w:rsid w:val="0008167F"/>
    <w:pPr>
      <w:spacing w:line="240" w:lineRule="auto"/>
      <w:outlineLvl w:val="5"/>
    </w:pPr>
    <w:rPr>
      <w:lang w:val="en-GB"/>
    </w:rPr>
  </w:style>
  <w:style w:type="paragraph" w:styleId="Heading7">
    <w:name w:val="heading 7"/>
    <w:basedOn w:val="Normal"/>
    <w:next w:val="Normal"/>
    <w:qFormat/>
    <w:rsid w:val="0008167F"/>
    <w:pPr>
      <w:spacing w:line="240" w:lineRule="auto"/>
      <w:outlineLvl w:val="6"/>
    </w:pPr>
    <w:rPr>
      <w:lang w:val="en-GB"/>
    </w:rPr>
  </w:style>
  <w:style w:type="paragraph" w:styleId="Heading8">
    <w:name w:val="heading 8"/>
    <w:basedOn w:val="Normal"/>
    <w:next w:val="Normal"/>
    <w:qFormat/>
    <w:rsid w:val="0008167F"/>
    <w:pPr>
      <w:spacing w:line="240" w:lineRule="auto"/>
      <w:outlineLvl w:val="7"/>
    </w:pPr>
    <w:rPr>
      <w:lang w:val="en-GB"/>
    </w:rPr>
  </w:style>
  <w:style w:type="paragraph" w:styleId="Heading9">
    <w:name w:val="heading 9"/>
    <w:basedOn w:val="Normal"/>
    <w:next w:val="Normal"/>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link w:val="HChGChar"/>
    <w:qFormat/>
    <w:rsid w:val="0008167F"/>
    <w:pPr>
      <w:keepNext/>
      <w:keepLines/>
      <w:tabs>
        <w:tab w:val="right" w:pos="851"/>
      </w:tabs>
      <w:spacing w:before="360" w:after="240" w:line="300" w:lineRule="exact"/>
      <w:ind w:left="1134" w:right="1134" w:hanging="1134"/>
    </w:pPr>
    <w:rPr>
      <w:b/>
      <w:sz w:val="28"/>
      <w:lang w:val="en-GB"/>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rsid w:val="0008167F"/>
    <w:pPr>
      <w:spacing w:after="120"/>
      <w:ind w:left="1134" w:right="1134"/>
      <w:jc w:val="both"/>
    </w:pPr>
    <w:rPr>
      <w:lang w:val="en-GB"/>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22"/>
      </w:numPr>
      <w:spacing w:after="120"/>
      <w:ind w:right="1134"/>
      <w:jc w:val="both"/>
    </w:pPr>
    <w:rPr>
      <w:lang w:val="en-GB"/>
    </w:rPr>
  </w:style>
  <w:style w:type="paragraph" w:customStyle="1" w:styleId="Bullet2G">
    <w:name w:val="_Bullet 2_G"/>
    <w:basedOn w:val="Normal"/>
    <w:rsid w:val="0008167F"/>
    <w:pPr>
      <w:numPr>
        <w:numId w:val="23"/>
      </w:numPr>
      <w:spacing w:after="120"/>
      <w:ind w:right="1134"/>
      <w:jc w:val="both"/>
    </w:pPr>
    <w:rPr>
      <w:lang w:val="en-GB"/>
    </w:rPr>
  </w:style>
  <w:style w:type="character" w:styleId="FootnoteReference">
    <w:name w:val="footnote reference"/>
    <w:aliases w:val="4_G"/>
    <w:qFormat/>
    <w:rsid w:val="00B91530"/>
    <w:rPr>
      <w:rFonts w:ascii="Times New Roman" w:hAnsi="Times New Roman"/>
      <w:sz w:val="18"/>
      <w:vertAlign w:val="superscript"/>
    </w:rPr>
  </w:style>
  <w:style w:type="character" w:styleId="EndnoteReference">
    <w:name w:val="endnote reference"/>
    <w:aliases w:val="1_G"/>
    <w:rsid w:val="0008167F"/>
    <w:rPr>
      <w:rFonts w:ascii="Times New Roman" w:hAnsi="Times New Roman"/>
      <w:sz w:val="18"/>
      <w:vertAlign w:val="superscript"/>
    </w:rPr>
  </w:style>
  <w:style w:type="paragraph" w:styleId="Header">
    <w:name w:val="header"/>
    <w:aliases w:val="6_G"/>
    <w:basedOn w:val="Normal"/>
    <w:rsid w:val="0008167F"/>
    <w:pPr>
      <w:pBdr>
        <w:bottom w:val="single" w:sz="4" w:space="4" w:color="auto"/>
      </w:pBdr>
      <w:spacing w:line="240" w:lineRule="auto"/>
    </w:pPr>
    <w:rPr>
      <w:b/>
      <w:sz w:val="18"/>
      <w:lang w:val="en-GB"/>
    </w:rPr>
  </w:style>
  <w:style w:type="paragraph" w:styleId="FootnoteText">
    <w:name w:val="footnote text"/>
    <w:aliases w:val="5_G"/>
    <w:basedOn w:val="Normal"/>
    <w:link w:val="FootnoteTextChar"/>
    <w:qFormat/>
    <w:rsid w:val="00B9153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rsid w:val="0008167F"/>
    <w:pPr>
      <w:spacing w:line="240" w:lineRule="auto"/>
    </w:pPr>
    <w:rPr>
      <w:sz w:val="16"/>
      <w:lang w:val="en-GB"/>
    </w:rPr>
  </w:style>
  <w:style w:type="character" w:styleId="Hyperlink">
    <w:name w:val="Hyperlink"/>
    <w:semiHidden/>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ommentText">
    <w:name w:val="annotation text"/>
    <w:basedOn w:val="Normal"/>
    <w:link w:val="CommentTextChar"/>
    <w:rsid w:val="00983168"/>
  </w:style>
  <w:style w:type="character" w:customStyle="1" w:styleId="CommentTextChar">
    <w:name w:val="Comment Text Char"/>
    <w:link w:val="CommentText"/>
    <w:rsid w:val="00983168"/>
    <w:rPr>
      <w:lang w:val="fr-CH" w:eastAsia="en-US"/>
    </w:rPr>
  </w:style>
  <w:style w:type="character" w:customStyle="1" w:styleId="HChGChar">
    <w:name w:val="_ H _Ch_G Char"/>
    <w:link w:val="HChG"/>
    <w:rsid w:val="00983168"/>
    <w:rPr>
      <w:b/>
      <w:sz w:val="28"/>
      <w:lang w:eastAsia="en-US"/>
    </w:rPr>
  </w:style>
  <w:style w:type="character" w:styleId="CommentReference">
    <w:name w:val="annotation reference"/>
    <w:uiPriority w:val="99"/>
    <w:rsid w:val="00983168"/>
    <w:rPr>
      <w:sz w:val="16"/>
      <w:szCs w:val="16"/>
    </w:rPr>
  </w:style>
  <w:style w:type="paragraph" w:styleId="BalloonText">
    <w:name w:val="Balloon Text"/>
    <w:basedOn w:val="Normal"/>
    <w:link w:val="BalloonTextChar"/>
    <w:rsid w:val="00983168"/>
    <w:pPr>
      <w:spacing w:line="240" w:lineRule="auto"/>
    </w:pPr>
    <w:rPr>
      <w:rFonts w:ascii="Tahoma" w:hAnsi="Tahoma" w:cs="Tahoma"/>
      <w:sz w:val="16"/>
      <w:szCs w:val="16"/>
    </w:rPr>
  </w:style>
  <w:style w:type="character" w:customStyle="1" w:styleId="BalloonTextChar">
    <w:name w:val="Balloon Text Char"/>
    <w:link w:val="BalloonText"/>
    <w:rsid w:val="00983168"/>
    <w:rPr>
      <w:rFonts w:ascii="Tahoma" w:hAnsi="Tahoma" w:cs="Tahoma"/>
      <w:sz w:val="16"/>
      <w:szCs w:val="16"/>
      <w:lang w:val="fr-CH" w:eastAsia="en-US"/>
    </w:rPr>
  </w:style>
  <w:style w:type="character" w:customStyle="1" w:styleId="FootnoteTextChar">
    <w:name w:val="Footnote Text Char"/>
    <w:aliases w:val="5_G Char"/>
    <w:link w:val="FootnoteText"/>
    <w:qFormat/>
    <w:rsid w:val="007060FA"/>
    <w:rPr>
      <w:rFonts w:eastAsia="SimSun"/>
      <w:sz w:val="18"/>
      <w:lang w:val="en-US" w:eastAsia="zh-CN"/>
    </w:rPr>
  </w:style>
  <w:style w:type="paragraph" w:styleId="ListParagraph">
    <w:name w:val="List Paragraph"/>
    <w:basedOn w:val="Normal"/>
    <w:uiPriority w:val="34"/>
    <w:qFormat/>
    <w:rsid w:val="00B91530"/>
    <w:pPr>
      <w:ind w:left="720"/>
      <w:contextualSpacing/>
    </w:pPr>
  </w:style>
  <w:style w:type="paragraph" w:styleId="CommentSubject">
    <w:name w:val="annotation subject"/>
    <w:basedOn w:val="CommentText"/>
    <w:next w:val="CommentText"/>
    <w:link w:val="CommentSubjectChar"/>
    <w:rsid w:val="00A232E2"/>
    <w:pPr>
      <w:spacing w:line="240" w:lineRule="auto"/>
    </w:pPr>
    <w:rPr>
      <w:b/>
      <w:bCs/>
    </w:rPr>
  </w:style>
  <w:style w:type="character" w:customStyle="1" w:styleId="CommentSubjectChar">
    <w:name w:val="Comment Subject Char"/>
    <w:basedOn w:val="CommentTextChar"/>
    <w:link w:val="CommentSubject"/>
    <w:rsid w:val="00A232E2"/>
    <w:rPr>
      <w:b/>
      <w:bCs/>
      <w:lang w:val="fr-CH" w:eastAsia="en-US"/>
    </w:rPr>
  </w:style>
  <w:style w:type="paragraph" w:styleId="Revision">
    <w:name w:val="Revision"/>
    <w:hidden/>
    <w:uiPriority w:val="99"/>
    <w:semiHidden/>
    <w:rsid w:val="008D3704"/>
    <w:rPr>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qFormat/>
    <w:rsid w:val="0008167F"/>
    <w:pPr>
      <w:spacing w:line="240" w:lineRule="auto"/>
      <w:outlineLvl w:val="1"/>
    </w:pPr>
    <w:rPr>
      <w:lang w:val="en-GB"/>
    </w:rPr>
  </w:style>
  <w:style w:type="paragraph" w:styleId="Heading3">
    <w:name w:val="heading 3"/>
    <w:basedOn w:val="Normal"/>
    <w:next w:val="Normal"/>
    <w:qFormat/>
    <w:rsid w:val="0008167F"/>
    <w:pPr>
      <w:spacing w:line="240" w:lineRule="auto"/>
      <w:outlineLvl w:val="2"/>
    </w:pPr>
    <w:rPr>
      <w:lang w:val="en-GB"/>
    </w:rPr>
  </w:style>
  <w:style w:type="paragraph" w:styleId="Heading4">
    <w:name w:val="heading 4"/>
    <w:basedOn w:val="Normal"/>
    <w:next w:val="Normal"/>
    <w:qFormat/>
    <w:rsid w:val="0008167F"/>
    <w:pPr>
      <w:spacing w:line="240" w:lineRule="auto"/>
      <w:outlineLvl w:val="3"/>
    </w:pPr>
    <w:rPr>
      <w:lang w:val="en-GB"/>
    </w:rPr>
  </w:style>
  <w:style w:type="paragraph" w:styleId="Heading5">
    <w:name w:val="heading 5"/>
    <w:basedOn w:val="Normal"/>
    <w:next w:val="Normal"/>
    <w:qFormat/>
    <w:rsid w:val="0008167F"/>
    <w:pPr>
      <w:spacing w:line="240" w:lineRule="auto"/>
      <w:outlineLvl w:val="4"/>
    </w:pPr>
    <w:rPr>
      <w:lang w:val="en-GB"/>
    </w:rPr>
  </w:style>
  <w:style w:type="paragraph" w:styleId="Heading6">
    <w:name w:val="heading 6"/>
    <w:basedOn w:val="Normal"/>
    <w:next w:val="Normal"/>
    <w:qFormat/>
    <w:rsid w:val="0008167F"/>
    <w:pPr>
      <w:spacing w:line="240" w:lineRule="auto"/>
      <w:outlineLvl w:val="5"/>
    </w:pPr>
    <w:rPr>
      <w:lang w:val="en-GB"/>
    </w:rPr>
  </w:style>
  <w:style w:type="paragraph" w:styleId="Heading7">
    <w:name w:val="heading 7"/>
    <w:basedOn w:val="Normal"/>
    <w:next w:val="Normal"/>
    <w:qFormat/>
    <w:rsid w:val="0008167F"/>
    <w:pPr>
      <w:spacing w:line="240" w:lineRule="auto"/>
      <w:outlineLvl w:val="6"/>
    </w:pPr>
    <w:rPr>
      <w:lang w:val="en-GB"/>
    </w:rPr>
  </w:style>
  <w:style w:type="paragraph" w:styleId="Heading8">
    <w:name w:val="heading 8"/>
    <w:basedOn w:val="Normal"/>
    <w:next w:val="Normal"/>
    <w:qFormat/>
    <w:rsid w:val="0008167F"/>
    <w:pPr>
      <w:spacing w:line="240" w:lineRule="auto"/>
      <w:outlineLvl w:val="7"/>
    </w:pPr>
    <w:rPr>
      <w:lang w:val="en-GB"/>
    </w:rPr>
  </w:style>
  <w:style w:type="paragraph" w:styleId="Heading9">
    <w:name w:val="heading 9"/>
    <w:basedOn w:val="Normal"/>
    <w:next w:val="Normal"/>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link w:val="HChGChar"/>
    <w:qFormat/>
    <w:rsid w:val="0008167F"/>
    <w:pPr>
      <w:keepNext/>
      <w:keepLines/>
      <w:tabs>
        <w:tab w:val="right" w:pos="851"/>
      </w:tabs>
      <w:spacing w:before="360" w:after="240" w:line="300" w:lineRule="exact"/>
      <w:ind w:left="1134" w:right="1134" w:hanging="1134"/>
    </w:pPr>
    <w:rPr>
      <w:b/>
      <w:sz w:val="28"/>
      <w:lang w:val="en-GB"/>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rsid w:val="0008167F"/>
    <w:pPr>
      <w:spacing w:after="120"/>
      <w:ind w:left="1134" w:right="1134"/>
      <w:jc w:val="both"/>
    </w:pPr>
    <w:rPr>
      <w:lang w:val="en-GB"/>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22"/>
      </w:numPr>
      <w:spacing w:after="120"/>
      <w:ind w:right="1134"/>
      <w:jc w:val="both"/>
    </w:pPr>
    <w:rPr>
      <w:lang w:val="en-GB"/>
    </w:rPr>
  </w:style>
  <w:style w:type="paragraph" w:customStyle="1" w:styleId="Bullet2G">
    <w:name w:val="_Bullet 2_G"/>
    <w:basedOn w:val="Normal"/>
    <w:rsid w:val="0008167F"/>
    <w:pPr>
      <w:numPr>
        <w:numId w:val="23"/>
      </w:numPr>
      <w:spacing w:after="120"/>
      <w:ind w:right="1134"/>
      <w:jc w:val="both"/>
    </w:pPr>
    <w:rPr>
      <w:lang w:val="en-GB"/>
    </w:rPr>
  </w:style>
  <w:style w:type="character" w:styleId="FootnoteReference">
    <w:name w:val="footnote reference"/>
    <w:aliases w:val="4_G"/>
    <w:qFormat/>
    <w:rsid w:val="00B91530"/>
    <w:rPr>
      <w:rFonts w:ascii="Times New Roman" w:hAnsi="Times New Roman"/>
      <w:sz w:val="18"/>
      <w:vertAlign w:val="superscript"/>
    </w:rPr>
  </w:style>
  <w:style w:type="character" w:styleId="EndnoteReference">
    <w:name w:val="endnote reference"/>
    <w:aliases w:val="1_G"/>
    <w:rsid w:val="0008167F"/>
    <w:rPr>
      <w:rFonts w:ascii="Times New Roman" w:hAnsi="Times New Roman"/>
      <w:sz w:val="18"/>
      <w:vertAlign w:val="superscript"/>
    </w:rPr>
  </w:style>
  <w:style w:type="paragraph" w:styleId="Header">
    <w:name w:val="header"/>
    <w:aliases w:val="6_G"/>
    <w:basedOn w:val="Normal"/>
    <w:rsid w:val="0008167F"/>
    <w:pPr>
      <w:pBdr>
        <w:bottom w:val="single" w:sz="4" w:space="4" w:color="auto"/>
      </w:pBdr>
      <w:spacing w:line="240" w:lineRule="auto"/>
    </w:pPr>
    <w:rPr>
      <w:b/>
      <w:sz w:val="18"/>
      <w:lang w:val="en-GB"/>
    </w:rPr>
  </w:style>
  <w:style w:type="paragraph" w:styleId="FootnoteText">
    <w:name w:val="footnote text"/>
    <w:aliases w:val="5_G"/>
    <w:basedOn w:val="Normal"/>
    <w:link w:val="FootnoteTextChar"/>
    <w:qFormat/>
    <w:rsid w:val="00B9153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rsid w:val="0008167F"/>
    <w:pPr>
      <w:spacing w:line="240" w:lineRule="auto"/>
    </w:pPr>
    <w:rPr>
      <w:sz w:val="16"/>
      <w:lang w:val="en-GB"/>
    </w:rPr>
  </w:style>
  <w:style w:type="character" w:styleId="Hyperlink">
    <w:name w:val="Hyperlink"/>
    <w:semiHidden/>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ommentText">
    <w:name w:val="annotation text"/>
    <w:basedOn w:val="Normal"/>
    <w:link w:val="CommentTextChar"/>
    <w:rsid w:val="00983168"/>
  </w:style>
  <w:style w:type="character" w:customStyle="1" w:styleId="CommentTextChar">
    <w:name w:val="Comment Text Char"/>
    <w:link w:val="CommentText"/>
    <w:rsid w:val="00983168"/>
    <w:rPr>
      <w:lang w:val="fr-CH" w:eastAsia="en-US"/>
    </w:rPr>
  </w:style>
  <w:style w:type="character" w:customStyle="1" w:styleId="HChGChar">
    <w:name w:val="_ H _Ch_G Char"/>
    <w:link w:val="HChG"/>
    <w:rsid w:val="00983168"/>
    <w:rPr>
      <w:b/>
      <w:sz w:val="28"/>
      <w:lang w:eastAsia="en-US"/>
    </w:rPr>
  </w:style>
  <w:style w:type="character" w:styleId="CommentReference">
    <w:name w:val="annotation reference"/>
    <w:uiPriority w:val="99"/>
    <w:rsid w:val="00983168"/>
    <w:rPr>
      <w:sz w:val="16"/>
      <w:szCs w:val="16"/>
    </w:rPr>
  </w:style>
  <w:style w:type="paragraph" w:styleId="BalloonText">
    <w:name w:val="Balloon Text"/>
    <w:basedOn w:val="Normal"/>
    <w:link w:val="BalloonTextChar"/>
    <w:rsid w:val="00983168"/>
    <w:pPr>
      <w:spacing w:line="240" w:lineRule="auto"/>
    </w:pPr>
    <w:rPr>
      <w:rFonts w:ascii="Tahoma" w:hAnsi="Tahoma" w:cs="Tahoma"/>
      <w:sz w:val="16"/>
      <w:szCs w:val="16"/>
    </w:rPr>
  </w:style>
  <w:style w:type="character" w:customStyle="1" w:styleId="BalloonTextChar">
    <w:name w:val="Balloon Text Char"/>
    <w:link w:val="BalloonText"/>
    <w:rsid w:val="00983168"/>
    <w:rPr>
      <w:rFonts w:ascii="Tahoma" w:hAnsi="Tahoma" w:cs="Tahoma"/>
      <w:sz w:val="16"/>
      <w:szCs w:val="16"/>
      <w:lang w:val="fr-CH" w:eastAsia="en-US"/>
    </w:rPr>
  </w:style>
  <w:style w:type="character" w:customStyle="1" w:styleId="FootnoteTextChar">
    <w:name w:val="Footnote Text Char"/>
    <w:aliases w:val="5_G Char"/>
    <w:link w:val="FootnoteText"/>
    <w:qFormat/>
    <w:rsid w:val="007060FA"/>
    <w:rPr>
      <w:rFonts w:eastAsia="SimSun"/>
      <w:sz w:val="18"/>
      <w:lang w:val="en-US" w:eastAsia="zh-CN"/>
    </w:rPr>
  </w:style>
  <w:style w:type="paragraph" w:styleId="ListParagraph">
    <w:name w:val="List Paragraph"/>
    <w:basedOn w:val="Normal"/>
    <w:uiPriority w:val="34"/>
    <w:qFormat/>
    <w:rsid w:val="00B91530"/>
    <w:pPr>
      <w:ind w:left="720"/>
      <w:contextualSpacing/>
    </w:pPr>
  </w:style>
  <w:style w:type="paragraph" w:styleId="CommentSubject">
    <w:name w:val="annotation subject"/>
    <w:basedOn w:val="CommentText"/>
    <w:next w:val="CommentText"/>
    <w:link w:val="CommentSubjectChar"/>
    <w:rsid w:val="00A232E2"/>
    <w:pPr>
      <w:spacing w:line="240" w:lineRule="auto"/>
    </w:pPr>
    <w:rPr>
      <w:b/>
      <w:bCs/>
    </w:rPr>
  </w:style>
  <w:style w:type="character" w:customStyle="1" w:styleId="CommentSubjectChar">
    <w:name w:val="Comment Subject Char"/>
    <w:basedOn w:val="CommentTextChar"/>
    <w:link w:val="CommentSubject"/>
    <w:rsid w:val="00A232E2"/>
    <w:rPr>
      <w:b/>
      <w:bCs/>
      <w:lang w:val="fr-CH" w:eastAsia="en-US"/>
    </w:rPr>
  </w:style>
  <w:style w:type="paragraph" w:styleId="Revision">
    <w:name w:val="Revision"/>
    <w:hidden/>
    <w:uiPriority w:val="99"/>
    <w:semiHidden/>
    <w:rsid w:val="008D3704"/>
    <w:rPr>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9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euneafrique.com/255839/politique/mali-lon-sait-de-lattaque-de-seva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euneafrique.com/226283/politique/mali-cinq-morts-dans-un-attentat-bamako-deux-suspects-interpell-s/"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jeuneafrique.com/mag/241413/politique/accord-dalger-pour-la-paix-mali-le-plus-dur-reste-a-fair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1CA630-2669-4BEC-9A49-DD6B5CC3DF2B}"/>
</file>

<file path=customXml/itemProps2.xml><?xml version="1.0" encoding="utf-8"?>
<ds:datastoreItem xmlns:ds="http://schemas.openxmlformats.org/officeDocument/2006/customXml" ds:itemID="{146A6A14-6059-40D6-BB24-863E4BF5AB4B}"/>
</file>

<file path=customXml/itemProps3.xml><?xml version="1.0" encoding="utf-8"?>
<ds:datastoreItem xmlns:ds="http://schemas.openxmlformats.org/officeDocument/2006/customXml" ds:itemID="{2349BC31-DBD3-47FB-A488-1920B2DF6808}"/>
</file>

<file path=docProps/app.xml><?xml version="1.0" encoding="utf-8"?>
<Properties xmlns="http://schemas.openxmlformats.org/officeDocument/2006/extended-properties" xmlns:vt="http://schemas.openxmlformats.org/officeDocument/2006/docPropsVTypes">
  <Template>1BE4EE37.dotm</Template>
  <TotalTime>1</TotalTime>
  <Pages>18</Pages>
  <Words>9208</Words>
  <Characters>52487</Characters>
  <Application>Microsoft Office Word</Application>
  <DocSecurity>4</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Nations Unies</vt:lpstr>
      <vt:lpstr>Nations Unies</vt:lpstr>
    </vt:vector>
  </TitlesOfParts>
  <Company>CSD</Company>
  <LinksUpToDate>false</LinksUpToDate>
  <CharactersWithSpaces>61572</CharactersWithSpaces>
  <SharedDoc>false</SharedDoc>
  <HLinks>
    <vt:vector size="18" baseType="variant">
      <vt:variant>
        <vt:i4>1441815</vt:i4>
      </vt:variant>
      <vt:variant>
        <vt:i4>6</vt:i4>
      </vt:variant>
      <vt:variant>
        <vt:i4>0</vt:i4>
      </vt:variant>
      <vt:variant>
        <vt:i4>5</vt:i4>
      </vt:variant>
      <vt:variant>
        <vt:lpwstr>http://www.jeuneafrique.com/255839/politique/mali-lon-sait-de-lattaque-de-sevare/</vt:lpwstr>
      </vt:variant>
      <vt:variant>
        <vt:lpwstr/>
      </vt:variant>
      <vt:variant>
        <vt:i4>8323171</vt:i4>
      </vt:variant>
      <vt:variant>
        <vt:i4>3</vt:i4>
      </vt:variant>
      <vt:variant>
        <vt:i4>0</vt:i4>
      </vt:variant>
      <vt:variant>
        <vt:i4>5</vt:i4>
      </vt:variant>
      <vt:variant>
        <vt:lpwstr>http://www.jeuneafrique.com/226283/politique/mali-cinq-morts-dans-un-attentat-bamako-deux-suspects-interpell-s/</vt:lpwstr>
      </vt:variant>
      <vt:variant>
        <vt:lpwstr/>
      </vt:variant>
      <vt:variant>
        <vt:i4>4128806</vt:i4>
      </vt:variant>
      <vt:variant>
        <vt:i4>0</vt:i4>
      </vt:variant>
      <vt:variant>
        <vt:i4>0</vt:i4>
      </vt:variant>
      <vt:variant>
        <vt:i4>5</vt:i4>
      </vt:variant>
      <vt:variant>
        <vt:lpwstr>http://www.jeuneafrique.com/mag/241413/politique/accord-dalger-pour-la-paix-mali-le-plus-dur-reste-a-faire/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Mali in French</dc:title>
  <dc:creator>Jingping Wang</dc:creator>
  <cp:lastModifiedBy>Iuliia Somova</cp:lastModifiedBy>
  <cp:revision>2</cp:revision>
  <cp:lastPrinted>2016-01-25T16:00:00Z</cp:lastPrinted>
  <dcterms:created xsi:type="dcterms:W3CDTF">2016-02-18T10:35:00Z</dcterms:created>
  <dcterms:modified xsi:type="dcterms:W3CDTF">2016-02-18T10:35:00Z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