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6C0" w:rsidRPr="00A20E73" w:rsidRDefault="006C36C0" w:rsidP="006C36C0">
      <w:pPr>
        <w:spacing w:line="60" w:lineRule="exact"/>
        <w:rPr>
          <w:color w:val="010000"/>
          <w:sz w:val="6"/>
        </w:rPr>
        <w:sectPr w:rsidR="006C36C0" w:rsidRPr="00A20E73" w:rsidSect="006C36C0">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p>
    <w:p w:rsidR="006C36C0" w:rsidRPr="00A20E73" w:rsidRDefault="006C36C0" w:rsidP="006C36C0">
      <w:pPr>
        <w:pStyle w:val="H1"/>
      </w:pPr>
      <w:r w:rsidRPr="00A20E73">
        <w:lastRenderedPageBreak/>
        <w:t>Совет по правам человека</w:t>
      </w:r>
      <w:bookmarkStart w:id="0" w:name="_GoBack"/>
      <w:bookmarkEnd w:id="0"/>
    </w:p>
    <w:p w:rsidR="00A20E73" w:rsidRPr="00A20E73" w:rsidRDefault="00A20E73" w:rsidP="00A20E73">
      <w:pPr>
        <w:rPr>
          <w:b/>
        </w:rPr>
      </w:pPr>
      <w:r w:rsidRPr="00A20E73">
        <w:rPr>
          <w:b/>
        </w:rPr>
        <w:t xml:space="preserve">Тридцать первая сессия </w:t>
      </w:r>
    </w:p>
    <w:p w:rsidR="00A20E73" w:rsidRPr="00A20E73" w:rsidRDefault="00A20E73" w:rsidP="00A20E73">
      <w:r w:rsidRPr="00A20E73">
        <w:t>Пункт 10 повестки дня</w:t>
      </w:r>
    </w:p>
    <w:p w:rsidR="00A20E73" w:rsidRPr="00A20E73" w:rsidRDefault="00A20E73" w:rsidP="00A20E73">
      <w:pPr>
        <w:rPr>
          <w:b/>
        </w:rPr>
      </w:pPr>
      <w:r w:rsidRPr="00A20E73">
        <w:rPr>
          <w:b/>
        </w:rPr>
        <w:t>Техническая помощь и создание потенциала</w:t>
      </w:r>
    </w:p>
    <w:p w:rsidR="00A20E73" w:rsidRPr="00A20E73" w:rsidRDefault="00A20E73" w:rsidP="00A20E73">
      <w:pPr>
        <w:pStyle w:val="SingleTxt"/>
        <w:spacing w:after="0" w:line="120" w:lineRule="exact"/>
        <w:rPr>
          <w:sz w:val="10"/>
        </w:rPr>
      </w:pPr>
    </w:p>
    <w:p w:rsidR="00A20E73" w:rsidRPr="00A20E73" w:rsidRDefault="00A20E73" w:rsidP="00A20E73">
      <w:pPr>
        <w:pStyle w:val="SingleTxt"/>
        <w:spacing w:after="0" w:line="120" w:lineRule="exact"/>
        <w:rPr>
          <w:sz w:val="10"/>
        </w:rPr>
      </w:pPr>
    </w:p>
    <w:p w:rsidR="00A20E73" w:rsidRPr="00A20E73" w:rsidRDefault="00A20E73" w:rsidP="00A20E73">
      <w:pPr>
        <w:pStyle w:val="SingleTxt"/>
        <w:spacing w:after="0" w:line="120" w:lineRule="exact"/>
        <w:rPr>
          <w:sz w:val="10"/>
        </w:rPr>
      </w:pPr>
    </w:p>
    <w:p w:rsidR="00A20E73" w:rsidRPr="00A20E73" w:rsidRDefault="00A20E73" w:rsidP="00DB588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20E73">
        <w:tab/>
      </w:r>
      <w:r w:rsidRPr="00A20E73">
        <w:tab/>
        <w:t>Доклад Независимого эксперта по вопросу о положении в</w:t>
      </w:r>
      <w:r w:rsidR="00DB5889">
        <w:t> </w:t>
      </w:r>
      <w:r w:rsidRPr="00A20E73">
        <w:t>области прав человека в Мали</w:t>
      </w:r>
    </w:p>
    <w:p w:rsidR="00A20E73" w:rsidRPr="00A20E73" w:rsidRDefault="00A20E73" w:rsidP="00A20E73">
      <w:pPr>
        <w:pStyle w:val="SingleTxt"/>
        <w:spacing w:after="0" w:line="120" w:lineRule="exact"/>
        <w:rPr>
          <w:sz w:val="10"/>
        </w:rPr>
      </w:pPr>
    </w:p>
    <w:p w:rsidR="00A20E73" w:rsidRPr="00A20E73" w:rsidRDefault="00A20E73" w:rsidP="00A20E73">
      <w:pPr>
        <w:pStyle w:val="SingleTxt"/>
        <w:spacing w:after="0" w:line="120" w:lineRule="exact"/>
        <w:rPr>
          <w:sz w:val="10"/>
        </w:rPr>
      </w:pPr>
    </w:p>
    <w:p w:rsidR="00A20E73" w:rsidRPr="00A20E73" w:rsidRDefault="00A20E73" w:rsidP="00A20E7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20E73">
        <w:tab/>
      </w:r>
      <w:r w:rsidRPr="00A20E73">
        <w:tab/>
        <w:t>Записка секретариата</w:t>
      </w:r>
    </w:p>
    <w:p w:rsidR="00A20E73" w:rsidRPr="00A20E73" w:rsidRDefault="00A20E73" w:rsidP="00A20E73">
      <w:pPr>
        <w:pStyle w:val="SingleTxt"/>
        <w:spacing w:after="0" w:line="120" w:lineRule="exact"/>
        <w:rPr>
          <w:sz w:val="10"/>
        </w:rPr>
      </w:pPr>
    </w:p>
    <w:p w:rsidR="00A20E73" w:rsidRPr="00A20E73" w:rsidRDefault="00A20E73" w:rsidP="00A20E73">
      <w:pPr>
        <w:pStyle w:val="SingleTxt"/>
        <w:spacing w:after="0" w:line="120" w:lineRule="exact"/>
        <w:rPr>
          <w:sz w:val="10"/>
        </w:rPr>
      </w:pPr>
    </w:p>
    <w:p w:rsidR="00A20E73" w:rsidRPr="00A20E73" w:rsidRDefault="00A20E73" w:rsidP="00A20E73">
      <w:pPr>
        <w:pStyle w:val="SingleTxt"/>
      </w:pPr>
      <w:r w:rsidRPr="00A20E73">
        <w:tab/>
        <w:t xml:space="preserve">Секретариат имеет честь препроводить Совету по правам человека доклад Независимого эксперта по вопросу о положении в области прав человека в Мали Сулимана Балдо, который охватывает период с 1 мая по 29 декабря 2015 года. Доклад основан на информации, предоставленной в распоряжение Независимого эксперта во время его пятого посещения Мали 10–19 октября 2015 года правительством Мали, Многопрофильной комплексной миссией Организации Объединенных Наций по стабилизации </w:t>
      </w:r>
      <w:r>
        <w:t xml:space="preserve">в </w:t>
      </w:r>
      <w:r w:rsidRPr="00A20E73">
        <w:t>Мали, а также другими источниками, в частности организациями гражданского общества.</w:t>
      </w:r>
    </w:p>
    <w:p w:rsidR="00A20E73" w:rsidRPr="00A20E73" w:rsidRDefault="00A20E73" w:rsidP="00A20E7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20E73">
        <w:br w:type="page"/>
      </w:r>
      <w:r w:rsidRPr="00357367">
        <w:lastRenderedPageBreak/>
        <w:tab/>
      </w:r>
      <w:r w:rsidRPr="00A20E73">
        <w:tab/>
      </w:r>
      <w:r w:rsidRPr="00357367">
        <w:t>Доклад Независимого эксперта по вопросу о положении в</w:t>
      </w:r>
      <w:r>
        <w:rPr>
          <w:lang w:val="en-US"/>
        </w:rPr>
        <w:t> </w:t>
      </w:r>
      <w:r w:rsidRPr="00357367">
        <w:t>области прав человека в Мали</w:t>
      </w:r>
    </w:p>
    <w:p w:rsidR="00A20E73" w:rsidRPr="00A20E73" w:rsidRDefault="00A20E73" w:rsidP="00A20E73">
      <w:pPr>
        <w:pStyle w:val="SingleTxt"/>
        <w:spacing w:after="0" w:line="120" w:lineRule="exact"/>
        <w:rPr>
          <w:sz w:val="10"/>
        </w:rPr>
      </w:pPr>
    </w:p>
    <w:p w:rsidR="00A20E73" w:rsidRPr="00A20E73" w:rsidRDefault="00A20E73" w:rsidP="00A20E73">
      <w:pPr>
        <w:pStyle w:val="SingleTxt"/>
        <w:spacing w:after="0" w:line="120" w:lineRule="exact"/>
        <w:rPr>
          <w:sz w:val="10"/>
        </w:rPr>
      </w:pPr>
    </w:p>
    <w:p w:rsidR="00A20E73" w:rsidRPr="00357367" w:rsidRDefault="00A20E73" w:rsidP="00A20E73">
      <w:pPr>
        <w:pStyle w:val="HCh"/>
        <w:spacing w:after="120"/>
        <w:rPr>
          <w:b w:val="0"/>
        </w:rPr>
      </w:pPr>
      <w:r w:rsidRPr="00357367">
        <w:rPr>
          <w:b w:val="0"/>
        </w:rPr>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A20E73" w:rsidRPr="00357367" w:rsidTr="00DB5889">
        <w:tc>
          <w:tcPr>
            <w:tcW w:w="1060" w:type="dxa"/>
            <w:shd w:val="clear" w:color="auto" w:fill="auto"/>
          </w:tcPr>
          <w:p w:rsidR="00A20E73" w:rsidRPr="00357367" w:rsidRDefault="00A20E73" w:rsidP="00DB5889">
            <w:pPr>
              <w:spacing w:after="120" w:line="240" w:lineRule="auto"/>
              <w:jc w:val="right"/>
              <w:rPr>
                <w:i/>
                <w:sz w:val="14"/>
              </w:rPr>
            </w:pPr>
          </w:p>
        </w:tc>
        <w:tc>
          <w:tcPr>
            <w:tcW w:w="7056" w:type="dxa"/>
            <w:shd w:val="clear" w:color="auto" w:fill="auto"/>
          </w:tcPr>
          <w:p w:rsidR="00A20E73" w:rsidRPr="00357367" w:rsidRDefault="00A20E73" w:rsidP="00DB5889">
            <w:pPr>
              <w:spacing w:after="120" w:line="240" w:lineRule="auto"/>
              <w:rPr>
                <w:i/>
                <w:sz w:val="14"/>
              </w:rPr>
            </w:pPr>
          </w:p>
        </w:tc>
        <w:tc>
          <w:tcPr>
            <w:tcW w:w="994" w:type="dxa"/>
            <w:shd w:val="clear" w:color="auto" w:fill="auto"/>
          </w:tcPr>
          <w:p w:rsidR="00A20E73" w:rsidRPr="00357367" w:rsidRDefault="00A20E73" w:rsidP="00DB5889">
            <w:pPr>
              <w:spacing w:after="120" w:line="240" w:lineRule="auto"/>
              <w:ind w:right="40"/>
              <w:jc w:val="right"/>
              <w:rPr>
                <w:i/>
                <w:sz w:val="14"/>
              </w:rPr>
            </w:pPr>
          </w:p>
        </w:tc>
        <w:tc>
          <w:tcPr>
            <w:tcW w:w="720" w:type="dxa"/>
            <w:shd w:val="clear" w:color="auto" w:fill="auto"/>
          </w:tcPr>
          <w:p w:rsidR="00A20E73" w:rsidRPr="00357367" w:rsidRDefault="00A20E73" w:rsidP="00DB5889">
            <w:pPr>
              <w:spacing w:after="120" w:line="240" w:lineRule="auto"/>
              <w:ind w:right="40"/>
              <w:jc w:val="right"/>
              <w:rPr>
                <w:i/>
                <w:sz w:val="14"/>
              </w:rPr>
            </w:pPr>
            <w:r w:rsidRPr="00357367">
              <w:rPr>
                <w:i/>
                <w:sz w:val="14"/>
              </w:rPr>
              <w:t>Стр.</w:t>
            </w:r>
          </w:p>
        </w:tc>
      </w:tr>
      <w:tr w:rsidR="00A20E73" w:rsidRPr="00357367" w:rsidTr="00DB5889">
        <w:tc>
          <w:tcPr>
            <w:tcW w:w="9110" w:type="dxa"/>
            <w:gridSpan w:val="3"/>
            <w:shd w:val="clear" w:color="auto" w:fill="auto"/>
          </w:tcPr>
          <w:p w:rsidR="00A20E73" w:rsidRPr="00357367" w:rsidRDefault="00A20E73" w:rsidP="00DB5889">
            <w:pPr>
              <w:numPr>
                <w:ilvl w:val="0"/>
                <w:numId w:val="11"/>
              </w:numPr>
              <w:tabs>
                <w:tab w:val="right" w:pos="1080"/>
                <w:tab w:val="left" w:pos="1296"/>
                <w:tab w:val="left" w:pos="1728"/>
                <w:tab w:val="right" w:leader="dot" w:pos="9245"/>
              </w:tabs>
              <w:suppressAutoHyphens/>
              <w:spacing w:after="120"/>
            </w:pPr>
            <w:r w:rsidRPr="00357367">
              <w:tab/>
              <w:t>Введение</w:t>
            </w:r>
            <w:r w:rsidRPr="00357367">
              <w:rPr>
                <w:spacing w:val="60"/>
                <w:sz w:val="17"/>
              </w:rPr>
              <w:tab/>
            </w:r>
          </w:p>
        </w:tc>
        <w:tc>
          <w:tcPr>
            <w:tcW w:w="720" w:type="dxa"/>
            <w:shd w:val="clear" w:color="auto" w:fill="auto"/>
            <w:vAlign w:val="bottom"/>
          </w:tcPr>
          <w:p w:rsidR="00A20E73" w:rsidRPr="00357367" w:rsidRDefault="00066D1F" w:rsidP="00DB5889">
            <w:pPr>
              <w:spacing w:after="120"/>
              <w:ind w:right="40"/>
              <w:jc w:val="right"/>
            </w:pPr>
            <w:r>
              <w:t>3</w:t>
            </w:r>
          </w:p>
        </w:tc>
      </w:tr>
      <w:tr w:rsidR="00A20E73" w:rsidRPr="00357367" w:rsidTr="00DB5889">
        <w:tc>
          <w:tcPr>
            <w:tcW w:w="9110" w:type="dxa"/>
            <w:gridSpan w:val="3"/>
            <w:shd w:val="clear" w:color="auto" w:fill="auto"/>
          </w:tcPr>
          <w:p w:rsidR="00A20E73" w:rsidRPr="00357367" w:rsidRDefault="00A20E73" w:rsidP="00DB5889">
            <w:pPr>
              <w:numPr>
                <w:ilvl w:val="0"/>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rsidRPr="00357367">
              <w:tab/>
              <w:t>Общая ситуация в стране</w:t>
            </w:r>
            <w:r w:rsidRPr="00357367">
              <w:rPr>
                <w:spacing w:val="60"/>
                <w:sz w:val="17"/>
              </w:rPr>
              <w:tab/>
            </w:r>
          </w:p>
        </w:tc>
        <w:tc>
          <w:tcPr>
            <w:tcW w:w="720" w:type="dxa"/>
            <w:shd w:val="clear" w:color="auto" w:fill="auto"/>
            <w:vAlign w:val="bottom"/>
          </w:tcPr>
          <w:p w:rsidR="00A20E73" w:rsidRPr="00357367" w:rsidRDefault="00066D1F" w:rsidP="00DB5889">
            <w:pPr>
              <w:spacing w:after="120"/>
              <w:ind w:right="40"/>
              <w:jc w:val="right"/>
            </w:pPr>
            <w:r>
              <w:t>3</w:t>
            </w:r>
          </w:p>
        </w:tc>
      </w:tr>
      <w:tr w:rsidR="00A20E73" w:rsidRPr="00357367" w:rsidTr="00DB5889">
        <w:tc>
          <w:tcPr>
            <w:tcW w:w="9110" w:type="dxa"/>
            <w:gridSpan w:val="3"/>
            <w:shd w:val="clear" w:color="auto" w:fill="auto"/>
          </w:tcPr>
          <w:p w:rsidR="00A20E73" w:rsidRPr="00357367" w:rsidRDefault="00A20E73" w:rsidP="00DB5889">
            <w:pPr>
              <w:numPr>
                <w:ilvl w:val="1"/>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rsidRPr="00357367">
              <w:t>Политический контекст</w:t>
            </w:r>
            <w:r w:rsidRPr="00357367">
              <w:rPr>
                <w:spacing w:val="60"/>
                <w:sz w:val="17"/>
              </w:rPr>
              <w:tab/>
            </w:r>
          </w:p>
        </w:tc>
        <w:tc>
          <w:tcPr>
            <w:tcW w:w="720" w:type="dxa"/>
            <w:shd w:val="clear" w:color="auto" w:fill="auto"/>
            <w:vAlign w:val="bottom"/>
          </w:tcPr>
          <w:p w:rsidR="00A20E73" w:rsidRPr="00357367" w:rsidRDefault="00066D1F" w:rsidP="00DB5889">
            <w:pPr>
              <w:spacing w:after="120"/>
              <w:ind w:right="40"/>
              <w:jc w:val="right"/>
            </w:pPr>
            <w:r>
              <w:t>3</w:t>
            </w:r>
          </w:p>
        </w:tc>
      </w:tr>
      <w:tr w:rsidR="00A20E73" w:rsidRPr="00357367" w:rsidTr="00DB5889">
        <w:tc>
          <w:tcPr>
            <w:tcW w:w="9110" w:type="dxa"/>
            <w:gridSpan w:val="3"/>
            <w:shd w:val="clear" w:color="auto" w:fill="auto"/>
          </w:tcPr>
          <w:p w:rsidR="00A20E73" w:rsidRPr="00357367" w:rsidRDefault="00A20E73" w:rsidP="00DB5889">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pPr>
            <w:r w:rsidRPr="00357367">
              <w:t>Обстановка в сфере безопасности</w:t>
            </w:r>
            <w:r w:rsidRPr="00357367">
              <w:rPr>
                <w:spacing w:val="60"/>
                <w:sz w:val="17"/>
              </w:rPr>
              <w:tab/>
            </w:r>
          </w:p>
        </w:tc>
        <w:tc>
          <w:tcPr>
            <w:tcW w:w="720" w:type="dxa"/>
            <w:shd w:val="clear" w:color="auto" w:fill="auto"/>
            <w:vAlign w:val="bottom"/>
          </w:tcPr>
          <w:p w:rsidR="00A20E73" w:rsidRPr="00357367" w:rsidRDefault="00066D1F" w:rsidP="00DB5889">
            <w:pPr>
              <w:spacing w:after="120"/>
              <w:ind w:right="40"/>
              <w:jc w:val="right"/>
            </w:pPr>
            <w:r>
              <w:t>4</w:t>
            </w:r>
          </w:p>
        </w:tc>
      </w:tr>
      <w:tr w:rsidR="00A20E73" w:rsidRPr="00357367" w:rsidTr="00DB5889">
        <w:tc>
          <w:tcPr>
            <w:tcW w:w="9110" w:type="dxa"/>
            <w:gridSpan w:val="3"/>
            <w:shd w:val="clear" w:color="auto" w:fill="auto"/>
          </w:tcPr>
          <w:p w:rsidR="00A20E73" w:rsidRPr="00357367" w:rsidRDefault="00A20E73" w:rsidP="00DB5889">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245"/>
              </w:tabs>
              <w:suppressAutoHyphens/>
              <w:spacing w:after="120"/>
            </w:pPr>
            <w:r w:rsidRPr="00357367">
              <w:t>Сохраняющаяся проблема борьбы с безнаказанностью</w:t>
            </w:r>
            <w:r w:rsidRPr="00357367">
              <w:rPr>
                <w:spacing w:val="60"/>
                <w:sz w:val="17"/>
              </w:rPr>
              <w:tab/>
            </w:r>
          </w:p>
        </w:tc>
        <w:tc>
          <w:tcPr>
            <w:tcW w:w="720" w:type="dxa"/>
            <w:shd w:val="clear" w:color="auto" w:fill="auto"/>
            <w:vAlign w:val="bottom"/>
          </w:tcPr>
          <w:p w:rsidR="00A20E73" w:rsidRPr="00357367" w:rsidRDefault="00066D1F" w:rsidP="00DB5889">
            <w:pPr>
              <w:spacing w:after="120"/>
              <w:ind w:right="40"/>
              <w:jc w:val="right"/>
            </w:pPr>
            <w:r>
              <w:t>6</w:t>
            </w:r>
          </w:p>
        </w:tc>
      </w:tr>
      <w:tr w:rsidR="00A20E73" w:rsidRPr="00357367" w:rsidTr="00DB5889">
        <w:tc>
          <w:tcPr>
            <w:tcW w:w="9110" w:type="dxa"/>
            <w:gridSpan w:val="3"/>
            <w:shd w:val="clear" w:color="auto" w:fill="auto"/>
          </w:tcPr>
          <w:p w:rsidR="00A20E73" w:rsidRPr="00357367" w:rsidRDefault="00A20E73" w:rsidP="00DB5889">
            <w:pPr>
              <w:numPr>
                <w:ilvl w:val="0"/>
                <w:numId w:val="11"/>
              </w:numPr>
              <w:tabs>
                <w:tab w:val="right" w:pos="1080"/>
                <w:tab w:val="left" w:pos="1296"/>
                <w:tab w:val="left" w:pos="1728"/>
                <w:tab w:val="left" w:pos="2160"/>
                <w:tab w:val="left" w:pos="2592"/>
                <w:tab w:val="left" w:pos="3024"/>
                <w:tab w:val="left" w:pos="3456"/>
                <w:tab w:val="left" w:pos="3888"/>
                <w:tab w:val="left" w:pos="4320"/>
                <w:tab w:val="right" w:leader="dot" w:pos="9245"/>
              </w:tabs>
              <w:suppressAutoHyphens/>
              <w:spacing w:after="120"/>
            </w:pPr>
            <w:r w:rsidRPr="00357367">
              <w:tab/>
              <w:t>Положение в области прав человека</w:t>
            </w:r>
            <w:r w:rsidRPr="00357367">
              <w:rPr>
                <w:spacing w:val="60"/>
                <w:sz w:val="17"/>
              </w:rPr>
              <w:tab/>
            </w:r>
          </w:p>
        </w:tc>
        <w:tc>
          <w:tcPr>
            <w:tcW w:w="720" w:type="dxa"/>
            <w:shd w:val="clear" w:color="auto" w:fill="auto"/>
            <w:vAlign w:val="bottom"/>
          </w:tcPr>
          <w:p w:rsidR="00A20E73" w:rsidRPr="007600FD" w:rsidRDefault="007600FD" w:rsidP="00DB5889">
            <w:pPr>
              <w:spacing w:after="120"/>
              <w:ind w:right="40"/>
              <w:jc w:val="right"/>
              <w:rPr>
                <w:lang w:val="en-US"/>
              </w:rPr>
            </w:pPr>
            <w:r>
              <w:rPr>
                <w:lang w:val="en-US"/>
              </w:rPr>
              <w:t>9</w:t>
            </w:r>
          </w:p>
        </w:tc>
      </w:tr>
      <w:tr w:rsidR="00A20E73" w:rsidRPr="00357367" w:rsidTr="00DB5889">
        <w:tc>
          <w:tcPr>
            <w:tcW w:w="9110" w:type="dxa"/>
            <w:gridSpan w:val="3"/>
            <w:shd w:val="clear" w:color="auto" w:fill="auto"/>
          </w:tcPr>
          <w:p w:rsidR="00A20E73" w:rsidRPr="00357367" w:rsidRDefault="00A20E73" w:rsidP="00DB5889">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pPr>
            <w:r w:rsidRPr="00357367">
              <w:t>Гражданские и политические права</w:t>
            </w:r>
            <w:r w:rsidRPr="00357367">
              <w:rPr>
                <w:spacing w:val="60"/>
                <w:sz w:val="17"/>
              </w:rPr>
              <w:tab/>
            </w:r>
          </w:p>
        </w:tc>
        <w:tc>
          <w:tcPr>
            <w:tcW w:w="720" w:type="dxa"/>
            <w:shd w:val="clear" w:color="auto" w:fill="auto"/>
            <w:vAlign w:val="bottom"/>
          </w:tcPr>
          <w:p w:rsidR="00A20E73" w:rsidRPr="007600FD" w:rsidRDefault="007600FD" w:rsidP="00DB5889">
            <w:pPr>
              <w:spacing w:after="120"/>
              <w:ind w:right="40"/>
              <w:jc w:val="right"/>
              <w:rPr>
                <w:lang w:val="en-US"/>
              </w:rPr>
            </w:pPr>
            <w:r>
              <w:rPr>
                <w:lang w:val="en-US"/>
              </w:rPr>
              <w:t>9</w:t>
            </w:r>
          </w:p>
        </w:tc>
      </w:tr>
      <w:tr w:rsidR="00A20E73" w:rsidRPr="00357367" w:rsidTr="00DB5889">
        <w:tc>
          <w:tcPr>
            <w:tcW w:w="9110" w:type="dxa"/>
            <w:gridSpan w:val="3"/>
            <w:shd w:val="clear" w:color="auto" w:fill="auto"/>
          </w:tcPr>
          <w:p w:rsidR="00A20E73" w:rsidRPr="00357367" w:rsidRDefault="00A20E73" w:rsidP="00DB5889">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pPr>
            <w:r w:rsidRPr="00357367">
              <w:t>Межобщинные и внутриобщинные конфликты</w:t>
            </w:r>
            <w:r w:rsidRPr="00357367">
              <w:rPr>
                <w:spacing w:val="60"/>
                <w:sz w:val="17"/>
              </w:rPr>
              <w:tab/>
            </w:r>
          </w:p>
        </w:tc>
        <w:tc>
          <w:tcPr>
            <w:tcW w:w="720" w:type="dxa"/>
            <w:shd w:val="clear" w:color="auto" w:fill="auto"/>
            <w:vAlign w:val="bottom"/>
          </w:tcPr>
          <w:p w:rsidR="00A20E73" w:rsidRPr="007600FD" w:rsidRDefault="007600FD" w:rsidP="007600FD">
            <w:pPr>
              <w:spacing w:after="120"/>
              <w:ind w:right="40"/>
              <w:jc w:val="right"/>
              <w:rPr>
                <w:lang w:val="en-US"/>
              </w:rPr>
            </w:pPr>
            <w:r>
              <w:rPr>
                <w:lang w:val="en-US"/>
              </w:rPr>
              <w:t>12</w:t>
            </w:r>
          </w:p>
        </w:tc>
      </w:tr>
      <w:tr w:rsidR="00A20E73" w:rsidRPr="00357367" w:rsidTr="00DB5889">
        <w:tc>
          <w:tcPr>
            <w:tcW w:w="9110" w:type="dxa"/>
            <w:gridSpan w:val="3"/>
            <w:shd w:val="clear" w:color="auto" w:fill="auto"/>
          </w:tcPr>
          <w:p w:rsidR="00A20E73" w:rsidRPr="00357367" w:rsidRDefault="00A20E73" w:rsidP="00DB5889">
            <w:pPr>
              <w:numPr>
                <w:ilvl w:val="1"/>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rsidRPr="00357367">
              <w:t>Положение женщин</w:t>
            </w:r>
            <w:r w:rsidRPr="00357367">
              <w:rPr>
                <w:spacing w:val="60"/>
                <w:sz w:val="17"/>
              </w:rPr>
              <w:tab/>
            </w:r>
          </w:p>
        </w:tc>
        <w:tc>
          <w:tcPr>
            <w:tcW w:w="720" w:type="dxa"/>
            <w:shd w:val="clear" w:color="auto" w:fill="auto"/>
            <w:vAlign w:val="bottom"/>
          </w:tcPr>
          <w:p w:rsidR="00A20E73" w:rsidRPr="007600FD" w:rsidRDefault="007600FD" w:rsidP="007600FD">
            <w:pPr>
              <w:spacing w:after="120"/>
              <w:ind w:right="40"/>
              <w:jc w:val="right"/>
              <w:rPr>
                <w:lang w:val="en-US"/>
              </w:rPr>
            </w:pPr>
            <w:r>
              <w:rPr>
                <w:lang w:val="en-US"/>
              </w:rPr>
              <w:t>13</w:t>
            </w:r>
          </w:p>
        </w:tc>
      </w:tr>
      <w:tr w:rsidR="00A20E73" w:rsidRPr="00357367" w:rsidTr="00DB5889">
        <w:tc>
          <w:tcPr>
            <w:tcW w:w="9110" w:type="dxa"/>
            <w:gridSpan w:val="3"/>
            <w:shd w:val="clear" w:color="auto" w:fill="auto"/>
          </w:tcPr>
          <w:p w:rsidR="00A20E73" w:rsidRPr="00357367" w:rsidRDefault="00A20E73" w:rsidP="00DB5889">
            <w:pPr>
              <w:numPr>
                <w:ilvl w:val="1"/>
                <w:numId w:val="11"/>
              </w:numPr>
              <w:tabs>
                <w:tab w:val="right" w:pos="1080"/>
                <w:tab w:val="left" w:pos="1296"/>
                <w:tab w:val="left" w:pos="1728"/>
                <w:tab w:val="left" w:pos="2160"/>
                <w:tab w:val="left" w:pos="2592"/>
                <w:tab w:val="left" w:pos="3024"/>
                <w:tab w:val="right" w:leader="dot" w:pos="9245"/>
              </w:tabs>
              <w:suppressAutoHyphens/>
              <w:spacing w:after="120"/>
            </w:pPr>
            <w:r w:rsidRPr="00357367">
              <w:t>Положение детей</w:t>
            </w:r>
            <w:r w:rsidRPr="00357367">
              <w:rPr>
                <w:spacing w:val="60"/>
                <w:sz w:val="17"/>
              </w:rPr>
              <w:tab/>
            </w:r>
          </w:p>
        </w:tc>
        <w:tc>
          <w:tcPr>
            <w:tcW w:w="720" w:type="dxa"/>
            <w:shd w:val="clear" w:color="auto" w:fill="auto"/>
            <w:vAlign w:val="bottom"/>
          </w:tcPr>
          <w:p w:rsidR="00A20E73" w:rsidRPr="007600FD" w:rsidRDefault="007600FD" w:rsidP="007600FD">
            <w:pPr>
              <w:spacing w:after="120"/>
              <w:ind w:right="40"/>
              <w:jc w:val="right"/>
              <w:rPr>
                <w:lang w:val="en-US"/>
              </w:rPr>
            </w:pPr>
            <w:r>
              <w:rPr>
                <w:lang w:val="en-US"/>
              </w:rPr>
              <w:t>14</w:t>
            </w:r>
          </w:p>
        </w:tc>
      </w:tr>
      <w:tr w:rsidR="00A20E73" w:rsidRPr="00357367" w:rsidTr="00DB5889">
        <w:tc>
          <w:tcPr>
            <w:tcW w:w="9110" w:type="dxa"/>
            <w:gridSpan w:val="3"/>
            <w:shd w:val="clear" w:color="auto" w:fill="auto"/>
          </w:tcPr>
          <w:p w:rsidR="00A20E73" w:rsidRPr="00357367" w:rsidRDefault="00A20E73" w:rsidP="00DB5889">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pPr>
            <w:r w:rsidRPr="00357367">
              <w:t>Состояние пенитенциарной системы</w:t>
            </w:r>
            <w:r w:rsidRPr="00357367">
              <w:rPr>
                <w:spacing w:val="60"/>
                <w:sz w:val="17"/>
              </w:rPr>
              <w:tab/>
            </w:r>
          </w:p>
        </w:tc>
        <w:tc>
          <w:tcPr>
            <w:tcW w:w="720" w:type="dxa"/>
            <w:shd w:val="clear" w:color="auto" w:fill="auto"/>
            <w:vAlign w:val="bottom"/>
          </w:tcPr>
          <w:p w:rsidR="00A20E73" w:rsidRPr="007600FD" w:rsidRDefault="007600FD" w:rsidP="007600FD">
            <w:pPr>
              <w:spacing w:after="120"/>
              <w:ind w:right="40"/>
              <w:jc w:val="right"/>
              <w:rPr>
                <w:lang w:val="en-US"/>
              </w:rPr>
            </w:pPr>
            <w:r>
              <w:rPr>
                <w:lang w:val="en-US"/>
              </w:rPr>
              <w:t>15</w:t>
            </w:r>
          </w:p>
        </w:tc>
      </w:tr>
      <w:tr w:rsidR="00A20E73" w:rsidRPr="00357367" w:rsidTr="00DB5889">
        <w:tc>
          <w:tcPr>
            <w:tcW w:w="9110" w:type="dxa"/>
            <w:gridSpan w:val="3"/>
            <w:shd w:val="clear" w:color="auto" w:fill="auto"/>
          </w:tcPr>
          <w:p w:rsidR="00A20E73" w:rsidRPr="00357367" w:rsidRDefault="00A20E73" w:rsidP="00554F82">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pPr>
            <w:r w:rsidRPr="00357367">
              <w:t>Беженцы и лица, перемещенные внутри страны</w:t>
            </w:r>
            <w:r w:rsidR="00554F82">
              <w:rPr>
                <w:spacing w:val="60"/>
                <w:sz w:val="17"/>
              </w:rPr>
              <w:tab/>
            </w:r>
          </w:p>
        </w:tc>
        <w:tc>
          <w:tcPr>
            <w:tcW w:w="720" w:type="dxa"/>
            <w:shd w:val="clear" w:color="auto" w:fill="auto"/>
            <w:vAlign w:val="bottom"/>
          </w:tcPr>
          <w:p w:rsidR="00A20E73" w:rsidRPr="007600FD" w:rsidRDefault="007600FD" w:rsidP="007600FD">
            <w:pPr>
              <w:spacing w:after="120"/>
              <w:ind w:right="40"/>
              <w:jc w:val="right"/>
              <w:rPr>
                <w:lang w:val="en-US"/>
              </w:rPr>
            </w:pPr>
            <w:r>
              <w:rPr>
                <w:lang w:val="en-US"/>
              </w:rPr>
              <w:t>16</w:t>
            </w:r>
          </w:p>
        </w:tc>
      </w:tr>
      <w:tr w:rsidR="00A20E73" w:rsidRPr="00357367" w:rsidTr="00DB5889">
        <w:tc>
          <w:tcPr>
            <w:tcW w:w="9110" w:type="dxa"/>
            <w:gridSpan w:val="3"/>
            <w:shd w:val="clear" w:color="auto" w:fill="auto"/>
          </w:tcPr>
          <w:p w:rsidR="00A20E73" w:rsidRPr="00357367" w:rsidRDefault="00A20E73" w:rsidP="00DB5889">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rsidRPr="00357367">
              <w:t>Экономические, социальные и культурные права</w:t>
            </w:r>
            <w:r w:rsidRPr="00357367">
              <w:rPr>
                <w:spacing w:val="60"/>
                <w:sz w:val="17"/>
              </w:rPr>
              <w:tab/>
            </w:r>
          </w:p>
        </w:tc>
        <w:tc>
          <w:tcPr>
            <w:tcW w:w="720" w:type="dxa"/>
            <w:shd w:val="clear" w:color="auto" w:fill="auto"/>
            <w:vAlign w:val="bottom"/>
          </w:tcPr>
          <w:p w:rsidR="00A20E73" w:rsidRPr="007600FD" w:rsidRDefault="007600FD" w:rsidP="007600FD">
            <w:pPr>
              <w:spacing w:after="120"/>
              <w:ind w:right="40"/>
              <w:jc w:val="right"/>
              <w:rPr>
                <w:lang w:val="en-US"/>
              </w:rPr>
            </w:pPr>
            <w:r>
              <w:rPr>
                <w:lang w:val="en-US"/>
              </w:rPr>
              <w:t>17</w:t>
            </w:r>
          </w:p>
        </w:tc>
      </w:tr>
      <w:tr w:rsidR="00A20E73" w:rsidRPr="00357367" w:rsidTr="00DB5889">
        <w:tc>
          <w:tcPr>
            <w:tcW w:w="9110" w:type="dxa"/>
            <w:gridSpan w:val="3"/>
            <w:shd w:val="clear" w:color="auto" w:fill="auto"/>
          </w:tcPr>
          <w:p w:rsidR="00A20E73" w:rsidRPr="00357367" w:rsidRDefault="00A20E73" w:rsidP="00DB5889">
            <w:pPr>
              <w:numPr>
                <w:ilvl w:val="0"/>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rsidRPr="00357367">
              <w:tab/>
              <w:t>Выводы и рекомендации</w:t>
            </w:r>
            <w:r w:rsidRPr="00357367">
              <w:rPr>
                <w:spacing w:val="60"/>
                <w:sz w:val="17"/>
              </w:rPr>
              <w:tab/>
            </w:r>
          </w:p>
        </w:tc>
        <w:tc>
          <w:tcPr>
            <w:tcW w:w="720" w:type="dxa"/>
            <w:shd w:val="clear" w:color="auto" w:fill="auto"/>
            <w:vAlign w:val="bottom"/>
          </w:tcPr>
          <w:p w:rsidR="00A20E73" w:rsidRPr="007600FD" w:rsidRDefault="007600FD" w:rsidP="00DB5889">
            <w:pPr>
              <w:spacing w:after="120"/>
              <w:ind w:right="40"/>
              <w:jc w:val="right"/>
              <w:rPr>
                <w:lang w:val="en-US"/>
              </w:rPr>
            </w:pPr>
            <w:r>
              <w:rPr>
                <w:lang w:val="en-US"/>
              </w:rPr>
              <w:t>18</w:t>
            </w:r>
          </w:p>
        </w:tc>
      </w:tr>
      <w:tr w:rsidR="00A20E73" w:rsidRPr="00357367" w:rsidTr="00DB5889">
        <w:tc>
          <w:tcPr>
            <w:tcW w:w="9110" w:type="dxa"/>
            <w:gridSpan w:val="3"/>
            <w:shd w:val="clear" w:color="auto" w:fill="auto"/>
          </w:tcPr>
          <w:p w:rsidR="00A20E73" w:rsidRPr="00357367" w:rsidRDefault="00A20E73" w:rsidP="00DB5889">
            <w:pPr>
              <w:numPr>
                <w:ilvl w:val="1"/>
                <w:numId w:val="11"/>
              </w:numPr>
              <w:tabs>
                <w:tab w:val="right" w:pos="1080"/>
                <w:tab w:val="left" w:pos="1296"/>
                <w:tab w:val="left" w:pos="1728"/>
                <w:tab w:val="left" w:pos="2160"/>
                <w:tab w:val="right" w:leader="dot" w:pos="9245"/>
              </w:tabs>
              <w:suppressAutoHyphens/>
              <w:spacing w:after="120"/>
            </w:pPr>
            <w:r w:rsidRPr="00357367">
              <w:t>Выводы</w:t>
            </w:r>
            <w:r w:rsidRPr="00357367">
              <w:rPr>
                <w:spacing w:val="60"/>
                <w:sz w:val="17"/>
              </w:rPr>
              <w:tab/>
            </w:r>
          </w:p>
        </w:tc>
        <w:tc>
          <w:tcPr>
            <w:tcW w:w="720" w:type="dxa"/>
            <w:shd w:val="clear" w:color="auto" w:fill="auto"/>
            <w:vAlign w:val="bottom"/>
          </w:tcPr>
          <w:p w:rsidR="00A20E73" w:rsidRPr="007600FD" w:rsidRDefault="007600FD" w:rsidP="00DB5889">
            <w:pPr>
              <w:spacing w:after="120"/>
              <w:ind w:right="40"/>
              <w:jc w:val="right"/>
              <w:rPr>
                <w:lang w:val="en-US"/>
              </w:rPr>
            </w:pPr>
            <w:r>
              <w:rPr>
                <w:lang w:val="en-US"/>
              </w:rPr>
              <w:t>18</w:t>
            </w:r>
          </w:p>
        </w:tc>
      </w:tr>
      <w:tr w:rsidR="00A20E73" w:rsidRPr="00357367" w:rsidTr="00DB5889">
        <w:tc>
          <w:tcPr>
            <w:tcW w:w="9110" w:type="dxa"/>
            <w:gridSpan w:val="3"/>
            <w:shd w:val="clear" w:color="auto" w:fill="auto"/>
          </w:tcPr>
          <w:p w:rsidR="00A20E73" w:rsidRPr="00357367" w:rsidRDefault="00A20E73" w:rsidP="00DB5889">
            <w:pPr>
              <w:numPr>
                <w:ilvl w:val="1"/>
                <w:numId w:val="11"/>
              </w:numPr>
              <w:tabs>
                <w:tab w:val="right" w:pos="1080"/>
                <w:tab w:val="left" w:pos="1296"/>
                <w:tab w:val="left" w:pos="1728"/>
                <w:tab w:val="left" w:pos="2160"/>
                <w:tab w:val="left" w:pos="2592"/>
                <w:tab w:val="right" w:leader="dot" w:pos="9245"/>
              </w:tabs>
              <w:suppressAutoHyphens/>
              <w:spacing w:after="120"/>
            </w:pPr>
            <w:r w:rsidRPr="00357367">
              <w:t>Рекомендации</w:t>
            </w:r>
            <w:r w:rsidRPr="00357367">
              <w:rPr>
                <w:spacing w:val="60"/>
                <w:sz w:val="17"/>
              </w:rPr>
              <w:tab/>
            </w:r>
          </w:p>
        </w:tc>
        <w:tc>
          <w:tcPr>
            <w:tcW w:w="720" w:type="dxa"/>
            <w:shd w:val="clear" w:color="auto" w:fill="auto"/>
            <w:vAlign w:val="bottom"/>
          </w:tcPr>
          <w:p w:rsidR="00A20E73" w:rsidRPr="007600FD" w:rsidRDefault="007600FD" w:rsidP="00DB5889">
            <w:pPr>
              <w:spacing w:after="120"/>
              <w:ind w:right="40"/>
              <w:jc w:val="right"/>
              <w:rPr>
                <w:lang w:val="en-US"/>
              </w:rPr>
            </w:pPr>
            <w:r>
              <w:rPr>
                <w:lang w:val="en-US"/>
              </w:rPr>
              <w:t>19</w:t>
            </w:r>
          </w:p>
        </w:tc>
      </w:tr>
    </w:tbl>
    <w:p w:rsidR="00A20E73" w:rsidRPr="00357367" w:rsidRDefault="00A20E73" w:rsidP="00A20E73"/>
    <w:p w:rsidR="00A20E73" w:rsidRPr="00A20E73" w:rsidRDefault="00A20E73" w:rsidP="00A20E7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57367">
        <w:br w:type="page"/>
      </w:r>
      <w:r w:rsidRPr="00A20E73">
        <w:lastRenderedPageBreak/>
        <w:tab/>
      </w:r>
      <w:r w:rsidRPr="00A20E73">
        <w:rPr>
          <w:lang w:val="fr-CH"/>
        </w:rPr>
        <w:t>I</w:t>
      </w:r>
      <w:r w:rsidRPr="00A20E73">
        <w:t>.</w:t>
      </w:r>
      <w:r w:rsidRPr="00A20E73">
        <w:tab/>
        <w:t>Введение</w:t>
      </w:r>
    </w:p>
    <w:p w:rsidR="00A20E73" w:rsidRPr="00A20E73" w:rsidRDefault="00A20E73" w:rsidP="00A20E73">
      <w:pPr>
        <w:pStyle w:val="SingleTxt"/>
        <w:spacing w:after="0" w:line="120" w:lineRule="exact"/>
        <w:rPr>
          <w:sz w:val="10"/>
        </w:rPr>
      </w:pPr>
    </w:p>
    <w:p w:rsidR="00A20E73" w:rsidRPr="00A20E73" w:rsidRDefault="00A20E73" w:rsidP="00A20E73">
      <w:pPr>
        <w:pStyle w:val="SingleTxt"/>
        <w:spacing w:after="0" w:line="120" w:lineRule="exact"/>
        <w:rPr>
          <w:sz w:val="10"/>
        </w:rPr>
      </w:pPr>
    </w:p>
    <w:p w:rsidR="00A20E73" w:rsidRPr="00A20E73" w:rsidRDefault="00A20E73" w:rsidP="00A20E73">
      <w:pPr>
        <w:pStyle w:val="SingleTxt"/>
      </w:pPr>
      <w:r w:rsidRPr="00A20E73">
        <w:t>1.</w:t>
      </w:r>
      <w:r w:rsidRPr="00A20E73">
        <w:tab/>
        <w:t xml:space="preserve">Настоящий доклад представляется во исполнение резолюции 28/31 Совета по правам человека, принятой 27 марта 2015 года, в которой Совет продлил мандат </w:t>
      </w:r>
      <w:r>
        <w:t>Н</w:t>
      </w:r>
      <w:r w:rsidRPr="00A20E73">
        <w:t>езависимого эксперта по вопросу о положении прав человека в Мали с целью оказания помощи правительству Мали в его деятельности по поощрению и защите прав человека и просил его представить доклад Совету на его тридцать первой сессии.</w:t>
      </w:r>
    </w:p>
    <w:p w:rsidR="00A20E73" w:rsidRPr="00A20E73" w:rsidRDefault="00A20E73" w:rsidP="00A20E73">
      <w:pPr>
        <w:pStyle w:val="SingleTxt"/>
      </w:pPr>
      <w:r w:rsidRPr="00A20E73">
        <w:t>2.</w:t>
      </w:r>
      <w:r w:rsidRPr="00A20E73">
        <w:tab/>
        <w:t>В настоящем докладе, охватывающем период с 1 мая по 29 декабря 2015 года, Независимый эксперт по вопросу о положении в области прав человека в Мали Сулиман Балдо представляет отчет о своей пятой поездке в Мали, состоявшейся 10–19 октября 2015 года. Он основывается на информации, полученной от государственных властей, от представленных в стране органов системы Организации Объединенных Наций, от национальных и международных организаций, занимающихся вопросами гуманитарной сферы и прав человека, а также на свидетельствах представителей ассоциаций жертв грубых нарушений прав человека и международного гуманитарного права и членов их семей.</w:t>
      </w:r>
    </w:p>
    <w:p w:rsidR="00A20E73" w:rsidRPr="00A20E73" w:rsidRDefault="00A20E73" w:rsidP="00A20E73">
      <w:pPr>
        <w:pStyle w:val="SingleTxt"/>
      </w:pPr>
      <w:r w:rsidRPr="00A20E73">
        <w:t>3.</w:t>
      </w:r>
      <w:r w:rsidRPr="00A20E73">
        <w:tab/>
        <w:t xml:space="preserve">Независимый эксперт выражает признательность правительству Мали, которое содействовало его пребыванию в стране и проведению его встреч со всеми руководителями национального и местного уровней, с которыми он </w:t>
      </w:r>
      <w:r>
        <w:t>желал</w:t>
      </w:r>
      <w:r w:rsidRPr="00A20E73">
        <w:t xml:space="preserve"> встретиться. Как и в предыдущих случаях, в ходе своего пятого посещения Независимый эксперт провел встречи с высокопоставленными должностными лицами, в том числе с Президентом Республики, Министром юстиции, по правам человека, хранителем печати, Министром обороны и бывшими комбатантами.</w:t>
      </w:r>
    </w:p>
    <w:p w:rsidR="00A20E73" w:rsidRPr="00A20E73" w:rsidRDefault="00A20E73" w:rsidP="00A20E73">
      <w:pPr>
        <w:pStyle w:val="SingleTxt"/>
      </w:pPr>
      <w:r w:rsidRPr="00A20E73">
        <w:t>4.</w:t>
      </w:r>
      <w:r w:rsidRPr="00A20E73">
        <w:tab/>
        <w:t>Независимый эксперт встретился с генеральным секретарем Комиссии по установлению истины, правосудию и примирению и с председателем Национальной комиссии по правам человека. Он посетил центр содержания под стражей в Бамако.</w:t>
      </w:r>
    </w:p>
    <w:p w:rsidR="00A20E73" w:rsidRPr="00A20E73" w:rsidRDefault="00A20E73" w:rsidP="00066D1F">
      <w:pPr>
        <w:pStyle w:val="SingleTxt"/>
      </w:pPr>
      <w:r w:rsidRPr="00A20E73">
        <w:t>5.</w:t>
      </w:r>
      <w:r w:rsidRPr="00A20E73">
        <w:tab/>
        <w:t xml:space="preserve">Независимый эксперт провел беседы с представителями гражданского общества, ассоциаций жертв из северных районов Мали и одной ассоциации молодежи, представителями </w:t>
      </w:r>
      <w:r w:rsidR="00066D1F">
        <w:t>«</w:t>
      </w:r>
      <w:r w:rsidRPr="00A20E73">
        <w:t>Платформы</w:t>
      </w:r>
      <w:r w:rsidR="00066D1F">
        <w:t>»</w:t>
      </w:r>
      <w:r w:rsidRPr="00A20E73">
        <w:t xml:space="preserve"> и Координационного совета движений вооруженных групп, дипломатического корпуса и органов системы Организации Объединенных Наций.</w:t>
      </w:r>
    </w:p>
    <w:p w:rsidR="00A20E73" w:rsidRPr="00A20E73" w:rsidRDefault="00A20E73" w:rsidP="00A20E73">
      <w:pPr>
        <w:pStyle w:val="SingleTxt"/>
      </w:pPr>
      <w:r w:rsidRPr="00A20E73">
        <w:t>6.</w:t>
      </w:r>
      <w:r w:rsidRPr="00A20E73">
        <w:tab/>
        <w:t xml:space="preserve">Независимый эксперт хотел бы выразить свою благодарность Специальному представителю Генерального секретаря по Мали и руководителю Многопрофильной комплексной миссии Организации Объединенных Наций по стабилизации в Мали (МИНУСМА) Монги Хамди, заместителю Специального представителя Генерального секретаря по политическим вопросам Коену Давидсе, </w:t>
      </w:r>
      <w:r w:rsidR="00066D1F">
        <w:t xml:space="preserve">а </w:t>
      </w:r>
      <w:r w:rsidRPr="00A20E73">
        <w:t>также сотрудникам отдела по правам человека МИНУСМА. Незаменимую роль в содействии успешному проведению пятой поездки Независимого эксперта сыграла материально-техническая помощь, оказанная органами системы Организации Объединенных Наций в Мали.</w:t>
      </w:r>
    </w:p>
    <w:p w:rsidR="00A20E73" w:rsidRPr="00A20E73" w:rsidRDefault="00A20E73" w:rsidP="00A20E73">
      <w:pPr>
        <w:pStyle w:val="SingleTxt"/>
        <w:spacing w:after="0" w:line="120" w:lineRule="exact"/>
        <w:rPr>
          <w:sz w:val="10"/>
        </w:rPr>
      </w:pPr>
    </w:p>
    <w:p w:rsidR="00A20E73" w:rsidRPr="00A20E73" w:rsidRDefault="00A20E73" w:rsidP="00A20E73">
      <w:pPr>
        <w:pStyle w:val="SingleTxt"/>
        <w:spacing w:after="0" w:line="120" w:lineRule="exact"/>
        <w:rPr>
          <w:sz w:val="10"/>
        </w:rPr>
      </w:pPr>
    </w:p>
    <w:p w:rsidR="00A20E73" w:rsidRPr="00A20E73" w:rsidRDefault="00A20E73" w:rsidP="00A20E7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20E73">
        <w:tab/>
        <w:t>II.</w:t>
      </w:r>
      <w:r w:rsidRPr="00A20E73">
        <w:tab/>
        <w:t>Общая ситуация в стране</w:t>
      </w:r>
    </w:p>
    <w:p w:rsidR="00A20E73" w:rsidRPr="00A20E73" w:rsidRDefault="00A20E73" w:rsidP="00A20E73">
      <w:pPr>
        <w:pStyle w:val="SingleTxt"/>
        <w:spacing w:after="0" w:line="120" w:lineRule="exact"/>
        <w:rPr>
          <w:sz w:val="10"/>
        </w:rPr>
      </w:pPr>
    </w:p>
    <w:p w:rsidR="00A20E73" w:rsidRPr="00A20E73" w:rsidRDefault="00A20E73" w:rsidP="00A20E73">
      <w:pPr>
        <w:pStyle w:val="SingleTxt"/>
        <w:spacing w:after="0" w:line="120" w:lineRule="exact"/>
        <w:rPr>
          <w:sz w:val="10"/>
        </w:rPr>
      </w:pPr>
    </w:p>
    <w:p w:rsidR="00A20E73" w:rsidRPr="00A20E73" w:rsidRDefault="00A20E73" w:rsidP="00A20E7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20E73">
        <w:tab/>
        <w:t>А.</w:t>
      </w:r>
      <w:r w:rsidRPr="00A20E73">
        <w:tab/>
        <w:t>Политический контекст</w:t>
      </w:r>
    </w:p>
    <w:p w:rsidR="00A20E73" w:rsidRPr="00A20E73" w:rsidRDefault="00A20E73" w:rsidP="00A20E73">
      <w:pPr>
        <w:pStyle w:val="SingleTxt"/>
        <w:spacing w:after="0" w:line="120" w:lineRule="exact"/>
        <w:rPr>
          <w:sz w:val="10"/>
        </w:rPr>
      </w:pPr>
    </w:p>
    <w:p w:rsidR="00A20E73" w:rsidRPr="00A20E73" w:rsidRDefault="00A20E73" w:rsidP="00A20E73">
      <w:pPr>
        <w:pStyle w:val="SingleTxt"/>
        <w:spacing w:after="0" w:line="120" w:lineRule="exact"/>
        <w:rPr>
          <w:sz w:val="10"/>
        </w:rPr>
      </w:pPr>
    </w:p>
    <w:p w:rsidR="00A20E73" w:rsidRPr="00A20E73" w:rsidRDefault="00A20E73" w:rsidP="00A20E73">
      <w:pPr>
        <w:pStyle w:val="SingleTxt"/>
      </w:pPr>
      <w:r w:rsidRPr="00A20E73">
        <w:t>7.</w:t>
      </w:r>
      <w:r w:rsidRPr="00A20E73">
        <w:tab/>
        <w:t xml:space="preserve">Со времени четвертой поездки Независимого эксперта, состоявшейся в марте 2015 года, имели место ключевые изменения на политическом уровне, которые позволяют надеяться на эффективное осуществление Соглашения о </w:t>
      </w:r>
      <w:r w:rsidRPr="00A20E73">
        <w:lastRenderedPageBreak/>
        <w:t>мире и примирении в Мали и на улучшение положения в области прав человека в стране.</w:t>
      </w:r>
    </w:p>
    <w:p w:rsidR="00A20E73" w:rsidRPr="00A20E73" w:rsidRDefault="00A20E73" w:rsidP="00A20E73">
      <w:pPr>
        <w:pStyle w:val="SingleTxt"/>
      </w:pPr>
      <w:r w:rsidRPr="00A20E73">
        <w:t>8.</w:t>
      </w:r>
      <w:r w:rsidRPr="00A20E73">
        <w:tab/>
        <w:t>20 июня 2015 года Координационный совет движений Азавада (КСА) подписал в Бамако Соглашение о мире и примирении, которое было одобрено правительственной стороной и международными посредниками 15 мая. 5 июня в Алжире КСА обязался ратифицировать Соглашение после подписания двух документов с правительством: один из них касался практически применимых гарантий массового включения на приоритетной основе в состав сил безопасности северных районов комбатантов военно-политических движений, в том числе КСА, а второй – механизмов обеспечения безопасности при эвакуации из города Менака (северо-восток) вооруженны</w:t>
      </w:r>
      <w:r w:rsidR="00490AB1">
        <w:t>х групп</w:t>
      </w:r>
      <w:r w:rsidRPr="00A20E73">
        <w:t xml:space="preserve"> </w:t>
      </w:r>
      <w:r>
        <w:t>«</w:t>
      </w:r>
      <w:r w:rsidRPr="00A20E73">
        <w:t>Платформы</w:t>
      </w:r>
      <w:r>
        <w:t>»</w:t>
      </w:r>
      <w:r w:rsidRPr="00A20E73">
        <w:t>.</w:t>
      </w:r>
    </w:p>
    <w:p w:rsidR="00A20E73" w:rsidRPr="00A20E73" w:rsidRDefault="00A20E73" w:rsidP="00490AB1">
      <w:pPr>
        <w:pStyle w:val="SingleTxt"/>
      </w:pPr>
      <w:r w:rsidRPr="00A20E73">
        <w:t>9.</w:t>
      </w:r>
      <w:r w:rsidRPr="00A20E73">
        <w:tab/>
        <w:t xml:space="preserve">21 сентября 2015 года Совет министров принял решение о переносе местных выборов, предусмотренных на 25 октября 2015 года. Политические партии, организации гражданского общества, КСА и </w:t>
      </w:r>
      <w:r>
        <w:t>«</w:t>
      </w:r>
      <w:r w:rsidRPr="00A20E73">
        <w:t>Платформа</w:t>
      </w:r>
      <w:r>
        <w:t>»</w:t>
      </w:r>
      <w:r w:rsidRPr="00A20E73">
        <w:t xml:space="preserve"> требовали отложить выборы до тех пор, пока во внутренние районы страны не вернуться беженцы и перемещенные лица, с тем чтобы гарантировать широкое участие населения в выборах. Правительство также подчеркивало отсутствие безопасности в северных районах и необходимость пересмотра списков избирательных округов.</w:t>
      </w:r>
    </w:p>
    <w:p w:rsidR="00A20E73" w:rsidRPr="00A20E73" w:rsidRDefault="00A20E73" w:rsidP="00A20E73">
      <w:pPr>
        <w:pStyle w:val="SingleTxt"/>
      </w:pPr>
      <w:r w:rsidRPr="00A20E73">
        <w:t>10.</w:t>
      </w:r>
      <w:r w:rsidRPr="00A20E73">
        <w:tab/>
        <w:t xml:space="preserve">14 октября 2015 года вооруженные группы подписали торжественный пакт о прекращении огня и установлении мира. С 4 по 14 октября 2015 года в Анефисе в рамках прямого и конструктивного диалога состоялся ряд встреч между представителями КСА и </w:t>
      </w:r>
      <w:r>
        <w:t>«</w:t>
      </w:r>
      <w:r w:rsidRPr="00A20E73">
        <w:t>Платформы</w:t>
      </w:r>
      <w:r>
        <w:t>»</w:t>
      </w:r>
      <w:r w:rsidRPr="00A20E73">
        <w:t xml:space="preserve">. Дискуссии между представителями КСА (бывшими повстанцами преимущественно из числа туарегов) и </w:t>
      </w:r>
      <w:r>
        <w:t>«</w:t>
      </w:r>
      <w:r w:rsidRPr="00A20E73">
        <w:t>Платформы</w:t>
      </w:r>
      <w:r>
        <w:t>»</w:t>
      </w:r>
      <w:r w:rsidRPr="00A20E73">
        <w:t xml:space="preserve"> (коалиции проправительственных групп) проходили в этом городе в течение почти трех недель. Этот этап имел ключевое значение, поскольку без надежного и устойчивого прекращения огня нельзя было достичь соглашения о прочном мире и обеспечить его эффективное осуществление.</w:t>
      </w:r>
    </w:p>
    <w:p w:rsidR="00A20E73" w:rsidRPr="00A20E73" w:rsidRDefault="00A20E73" w:rsidP="00490AB1">
      <w:pPr>
        <w:pStyle w:val="SingleTxt"/>
      </w:pPr>
      <w:r w:rsidRPr="00A20E73">
        <w:t>11.</w:t>
      </w:r>
      <w:r w:rsidRPr="00A20E73">
        <w:tab/>
        <w:t>22 октября 2015 года на международной конференции, организ</w:t>
      </w:r>
      <w:r w:rsidR="00490AB1">
        <w:t xml:space="preserve">ованной в Париже Организацией </w:t>
      </w:r>
      <w:r w:rsidRPr="00A20E73">
        <w:t>экономическо</w:t>
      </w:r>
      <w:r w:rsidR="00490AB1">
        <w:t>го</w:t>
      </w:r>
      <w:r w:rsidRPr="00A20E73">
        <w:t xml:space="preserve"> сотрудничеств</w:t>
      </w:r>
      <w:r w:rsidR="00490AB1">
        <w:t>а</w:t>
      </w:r>
      <w:r w:rsidRPr="00A20E73">
        <w:t xml:space="preserve"> и развити</w:t>
      </w:r>
      <w:r w:rsidR="00490AB1">
        <w:t>я</w:t>
      </w:r>
      <w:r w:rsidRPr="00A20E73">
        <w:t xml:space="preserve"> в целях экономического восстановления и развития Мали, доноры вновь подтвердили свои обязательства в отношении Мали. В этой конференции приняли участие представители малийских властей во главе с Президентом Ибрагимом Бубакаром Кейтой, сторон, подписавших Соглашение о мире и примирении, а также 64 стран и партнеров из числа международных организаций. По этому поводу Президент подчеркнул важное значение экономического восстановления и сбалансированного развития всех районов севера и проведения государственной реформы путем углубления децентрализации.</w:t>
      </w:r>
    </w:p>
    <w:p w:rsidR="00A20E73" w:rsidRPr="00A20E73" w:rsidRDefault="00A20E73" w:rsidP="00A20E73">
      <w:pPr>
        <w:pStyle w:val="SingleTxt"/>
      </w:pPr>
      <w:r w:rsidRPr="00A20E73">
        <w:t>12.</w:t>
      </w:r>
      <w:r w:rsidRPr="00A20E73">
        <w:tab/>
        <w:t>Эта новая динамика мирного процесса сопровождалась прогрессом в осуществлении Соглашения; в частности, Комитет по осуществлению провел ряд заседаний. Для проведения заседаний Комитета было необходимо, чтобы МИНУСМА и члены международного сообщества оказывали поддержку усилиям в области посредничества в диалоге с вооруженными группами после нарушений прекращения огня и вывода сил из Анефиса в сентябре 2015 года.</w:t>
      </w:r>
    </w:p>
    <w:p w:rsidR="00490AB1" w:rsidRPr="00490AB1" w:rsidRDefault="00490AB1" w:rsidP="00490AB1">
      <w:pPr>
        <w:pStyle w:val="SingleTxt"/>
        <w:spacing w:after="0" w:line="120" w:lineRule="exact"/>
        <w:rPr>
          <w:sz w:val="10"/>
        </w:rPr>
      </w:pPr>
    </w:p>
    <w:p w:rsidR="00490AB1" w:rsidRPr="00490AB1" w:rsidRDefault="00490AB1" w:rsidP="00490AB1">
      <w:pPr>
        <w:pStyle w:val="SingleTxt"/>
        <w:spacing w:after="0" w:line="120" w:lineRule="exact"/>
        <w:rPr>
          <w:sz w:val="10"/>
        </w:rPr>
      </w:pPr>
    </w:p>
    <w:p w:rsidR="00A20E73" w:rsidRPr="00A20E73" w:rsidRDefault="00A20E73" w:rsidP="00490AB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20E73">
        <w:tab/>
        <w:t>В.</w:t>
      </w:r>
      <w:r w:rsidRPr="00A20E73">
        <w:tab/>
        <w:t>Обстановка в сфере безопасности</w:t>
      </w:r>
    </w:p>
    <w:p w:rsidR="00490AB1" w:rsidRPr="00490AB1" w:rsidRDefault="00490AB1" w:rsidP="00490AB1">
      <w:pPr>
        <w:pStyle w:val="SingleTxt"/>
        <w:spacing w:after="0" w:line="120" w:lineRule="exact"/>
        <w:rPr>
          <w:sz w:val="10"/>
        </w:rPr>
      </w:pPr>
    </w:p>
    <w:p w:rsidR="00490AB1" w:rsidRPr="00490AB1" w:rsidRDefault="00490AB1" w:rsidP="00490AB1">
      <w:pPr>
        <w:pStyle w:val="SingleTxt"/>
        <w:spacing w:after="0" w:line="120" w:lineRule="exact"/>
        <w:rPr>
          <w:sz w:val="10"/>
        </w:rPr>
      </w:pPr>
    </w:p>
    <w:p w:rsidR="00A20E73" w:rsidRPr="00A20E73" w:rsidRDefault="00A20E73" w:rsidP="00A20E73">
      <w:pPr>
        <w:pStyle w:val="SingleTxt"/>
      </w:pPr>
      <w:r w:rsidRPr="00A20E73">
        <w:t>13.</w:t>
      </w:r>
      <w:r w:rsidRPr="00A20E73">
        <w:tab/>
        <w:t xml:space="preserve">После возобновления террористических и асимметричных нападений в областях Мопти, Сегу и Гао положение в сфере безопасности на севере, в центре и на юге страны значительно ухудшилось. Эти нападения были конкретно направлены на военнослужащих вооруженных сил Мали, а также на силы </w:t>
      </w:r>
      <w:r w:rsidRPr="00A20E73">
        <w:lastRenderedPageBreak/>
        <w:t>МИНУСМА. В порядке реагирования на эту ситуацию после последнего посещения Независимого эксперта в стране были проведены многочисленные антитеррористические операции. В течение одного года силы МИНУСМА понесли одни из самых значительных потерь в истории операций по поддержанию мира: погибли в общей сложности 67 и получили ранения свыше 200 миротворцев.</w:t>
      </w:r>
    </w:p>
    <w:p w:rsidR="00A20E73" w:rsidRPr="00A20E73" w:rsidRDefault="00A20E73" w:rsidP="00490AB1">
      <w:pPr>
        <w:pStyle w:val="SingleTxt"/>
      </w:pPr>
      <w:r w:rsidRPr="00A20E73">
        <w:t>14.</w:t>
      </w:r>
      <w:r w:rsidRPr="00A20E73">
        <w:tab/>
        <w:t>Террористические и экстремистские г</w:t>
      </w:r>
      <w:r w:rsidR="00490AB1">
        <w:t>руппы все чаще избирают мишенью</w:t>
      </w:r>
      <w:r w:rsidRPr="00A20E73">
        <w:t xml:space="preserve"> своих атак гражданских лиц, в частности иностранцев. Во время моего четвертого посещения страны нападение, совершенное 7 марта 2015 года на ресторан «Терраса» в Бамако, унесло жизни пяти человек. 7 августа в результате террористического нападения на гостиницу в городе Сев</w:t>
      </w:r>
      <w:r w:rsidR="00490AB1">
        <w:t>а</w:t>
      </w:r>
      <w:r w:rsidRPr="00A20E73">
        <w:t>ре погибли 13 человек. 20 ноября захват заложников в отеле «Рэдиссон» привел к наибольшему числу жертв, когда в результате начавшейся стрельбы погибло не менее 21 человека и среди них не менее 14 гражданских лиц.</w:t>
      </w:r>
    </w:p>
    <w:p w:rsidR="00A20E73" w:rsidRPr="00A20E73" w:rsidRDefault="00A20E73" w:rsidP="00A20E73">
      <w:pPr>
        <w:pStyle w:val="SingleTxt"/>
      </w:pPr>
      <w:r w:rsidRPr="00A20E73">
        <w:t>15.</w:t>
      </w:r>
      <w:r w:rsidRPr="00A20E73">
        <w:tab/>
        <w:t>В период с марта по сентябрь 2015 года отдел по правам человека МИНУСМА сообщил о 79 асимметричных нападениях как на гражданские, так и на военные цели. 25 из этих нападений были направлены против миротворцев Организации Объединенных Наций, а также против сил, задействованных в операции «Серваль/Бархан». При этом использовались в основном такие методы, как ракетные обстрелы, установка противопехотных мин, нападения террористов-смертников и использование взрывных устройств.</w:t>
      </w:r>
    </w:p>
    <w:p w:rsidR="00A20E73" w:rsidRPr="00A20E73" w:rsidRDefault="00A20E73" w:rsidP="00A20E73">
      <w:pPr>
        <w:pStyle w:val="SingleTxt"/>
      </w:pPr>
      <w:r w:rsidRPr="00A20E73">
        <w:t>16.</w:t>
      </w:r>
      <w:r w:rsidRPr="00A20E73">
        <w:tab/>
        <w:t>С марта 2015 года количество асимметричных нападений колебалось от 8 до 14 в месяц, дважды достигая своих пиковых значений в мае и сентябре, когда было совершено по 14 нападений. Нападения в мае могли объясняться стремлением вооруженных групп продемонстрировать свою силу накануне подписания Соглашения о мире и примирении.</w:t>
      </w:r>
    </w:p>
    <w:p w:rsidR="00A20E73" w:rsidRPr="00A20E73" w:rsidRDefault="00A20E73" w:rsidP="00066D1F">
      <w:pPr>
        <w:pStyle w:val="SingleTxt"/>
      </w:pPr>
      <w:r w:rsidRPr="00A20E73">
        <w:t>17.</w:t>
      </w:r>
      <w:r w:rsidRPr="00A20E73">
        <w:tab/>
        <w:t>За рассматриваемый период количество жертв среди гражданского населения и военнослужащих составило 68 убитых (39 военнослужащих и 29 гражданских лиц). В августе в результате террористических нападений на правительственные цели количество жертв среди военнослужащих увеличилось до своего максимума (16 погибших). Так, нападение в Севаре, совершенн</w:t>
      </w:r>
      <w:r w:rsidR="00066D1F">
        <w:t>о</w:t>
      </w:r>
      <w:r w:rsidRPr="00A20E73">
        <w:t>е 7 августа, привело к гибели четырех военнослужащих. Число гражданских жертв достигло максимума в апреле (11 человек погибли и 54 получили ранения), когда произошли такие значительные инциденты, как подрыв на мине 30 апреля грузового автомобиля, перевозившего гражданских лиц (28 раненых), и нападение на силы МИНУСМА вблизи лагеря Ансонго 17 апреля (убиты 2 и ранены около 20 гражданских лиц).</w:t>
      </w:r>
    </w:p>
    <w:p w:rsidR="00A20E73" w:rsidRPr="00A20E73" w:rsidRDefault="00A20E73" w:rsidP="00490AB1">
      <w:pPr>
        <w:pStyle w:val="SingleTxt"/>
      </w:pPr>
      <w:r w:rsidRPr="00A20E73">
        <w:t>18.</w:t>
      </w:r>
      <w:r w:rsidRPr="00A20E73">
        <w:tab/>
        <w:t>С начала 2015 года обстановка в сфере безопасности в областях Мопти и Сегу</w:t>
      </w:r>
      <w:r w:rsidR="00490AB1" w:rsidRPr="00490AB1">
        <w:t xml:space="preserve"> </w:t>
      </w:r>
      <w:r w:rsidR="00490AB1" w:rsidRPr="00A20E73">
        <w:t>непрерывно ухудшалась</w:t>
      </w:r>
      <w:r w:rsidRPr="00A20E73">
        <w:t xml:space="preserve">. В течение первых трех месяцев года нападения, затронувшие районы Тененку и Ювару, </w:t>
      </w:r>
      <w:r w:rsidR="00490AB1">
        <w:t>продолжились и распространились</w:t>
      </w:r>
      <w:r w:rsidRPr="00A20E73">
        <w:t xml:space="preserve"> на другие зоны.</w:t>
      </w:r>
    </w:p>
    <w:p w:rsidR="00A20E73" w:rsidRPr="00A20E73" w:rsidRDefault="00A20E73" w:rsidP="00490AB1">
      <w:pPr>
        <w:pStyle w:val="SingleTxt"/>
      </w:pPr>
      <w:r w:rsidRPr="00A20E73">
        <w:t>19.</w:t>
      </w:r>
      <w:r w:rsidRPr="00A20E73">
        <w:tab/>
        <w:t xml:space="preserve">Одной из главных угроз в этих двух районах является радикализация некоторых членов общины </w:t>
      </w:r>
      <w:r w:rsidR="0076337E">
        <w:t>пель</w:t>
      </w:r>
      <w:r w:rsidRPr="00A20E73">
        <w:t>. Независимый эксперт был проинформирован о том, что, по мнению властей, за большинство нападений, неоднократно повторявшихся в этом регионе с начала 2015 года, несут ответственность представители этой общины, однако каких-либо значимых доказательств это</w:t>
      </w:r>
      <w:r w:rsidR="00490AB1">
        <w:t>го</w:t>
      </w:r>
      <w:r w:rsidRPr="00A20E73">
        <w:t xml:space="preserve"> представлено не было. Таким образом, действия нескольких лиц вменяются всей общине </w:t>
      </w:r>
      <w:r w:rsidR="0076337E">
        <w:t>пель</w:t>
      </w:r>
      <w:r w:rsidRPr="00A20E73">
        <w:t>.</w:t>
      </w:r>
    </w:p>
    <w:p w:rsidR="00A20E73" w:rsidRPr="00A20E73" w:rsidRDefault="00A20E73" w:rsidP="00490AB1">
      <w:pPr>
        <w:pStyle w:val="SingleTxt"/>
      </w:pPr>
      <w:r w:rsidRPr="00A20E73">
        <w:t>20.</w:t>
      </w:r>
      <w:r w:rsidRPr="00A20E73">
        <w:tab/>
        <w:t>Со времени последней поездки Независимого эксперта в Мали в области Гао произошл</w:t>
      </w:r>
      <w:r w:rsidR="00490AB1">
        <w:t>о</w:t>
      </w:r>
      <w:r w:rsidRPr="00A20E73">
        <w:t xml:space="preserve"> мног</w:t>
      </w:r>
      <w:r w:rsidR="00490AB1">
        <w:t>о</w:t>
      </w:r>
      <w:r w:rsidR="00066D1F">
        <w:t xml:space="preserve"> </w:t>
      </w:r>
      <w:r w:rsidRPr="00A20E73">
        <w:t>изменени</w:t>
      </w:r>
      <w:r w:rsidR="00490AB1">
        <w:t>й</w:t>
      </w:r>
      <w:r w:rsidRPr="00A20E73">
        <w:t>, отрицательно сказавши</w:t>
      </w:r>
      <w:r w:rsidR="00490AB1">
        <w:t>х</w:t>
      </w:r>
      <w:r w:rsidRPr="00A20E73">
        <w:t xml:space="preserve">ся на защите прав человека и индивидуальных свобод. По-прежнему вызывает опасения обстановка </w:t>
      </w:r>
      <w:r w:rsidRPr="00A20E73">
        <w:lastRenderedPageBreak/>
        <w:t>в сфере безопасности в области Гао. Начиная с марта 2015 года на целом ряде автодорожных маршрутов области (Ансонго–Инделимане и Гао–Госси) наблюдается рост случаев применения самодельных взрывных устройств.</w:t>
      </w:r>
    </w:p>
    <w:p w:rsidR="00A20E73" w:rsidRPr="00A20E73" w:rsidRDefault="00A20E73" w:rsidP="00A20E73">
      <w:pPr>
        <w:pStyle w:val="SingleTxt"/>
      </w:pPr>
      <w:r w:rsidRPr="00A20E73">
        <w:t>21.</w:t>
      </w:r>
      <w:r w:rsidRPr="00A20E73">
        <w:tab/>
        <w:t xml:space="preserve">За период с марта по сентябрь 2015 года отдел по правам человека зарегистрировал 105 случаев бандитизма (62 случая в Томбукту, 26 случаев в Гао, </w:t>
      </w:r>
      <w:r w:rsidR="00554F82">
        <w:br/>
      </w:r>
      <w:r w:rsidRPr="00A20E73">
        <w:t>15 – в Мопти и 2 – в Кидале), которые оказали воздействие на положение в сфере безопасности и в области прав человека. Зачастую бандиты нападают на коммерческих перевозчиков грузов из Бамако в северные районы, особенно в районе Томбукту. В рассматриваемый период эти нападения имели место главным образом на двух трассах: между Томбукту и Гундамом, расположенным в 95 км на северо-запад от Томбукту, и между Томбукту и Бером, который находится в 60 км на восток от Томбукту. В Менаке грабежи, повторяющиеся в базарные дни, мешают повседневной жизни, сея страх и панику среди населения. Бандиты воспользовались промедлением в восстановлении органов гражданской власти и государственных сил безопасности в северной части страны.</w:t>
      </w:r>
    </w:p>
    <w:p w:rsidR="00A20E73" w:rsidRPr="00A20E73" w:rsidRDefault="00A20E73" w:rsidP="00490AB1">
      <w:pPr>
        <w:pStyle w:val="SingleTxt"/>
      </w:pPr>
      <w:r w:rsidRPr="00A20E73">
        <w:t>22.</w:t>
      </w:r>
      <w:r w:rsidRPr="00A20E73">
        <w:tab/>
        <w:t xml:space="preserve">Независимый эксперт неоднократно слышал опасения в связи с угрозой, которую представляет собой незаконная торговля, в особенности незаконный оборот наркотиков. Большинство столкновений между вооруженными группами на севере страны происходит с целью установления контроля над маршрутами, которые используются для </w:t>
      </w:r>
      <w:r w:rsidR="00490AB1">
        <w:t>ведения</w:t>
      </w:r>
      <w:r w:rsidRPr="00A20E73">
        <w:t xml:space="preserve"> незаконной торговли, а также – главным образом в сезон д</w:t>
      </w:r>
      <w:r w:rsidR="00490AB1">
        <w:t>ождей – контроля над проезжими</w:t>
      </w:r>
      <w:r w:rsidRPr="00A20E73">
        <w:t xml:space="preserve"> дорогами. Свою обеспокоенность в этой связи высказывали высокопоставленные должностные лица Мали. Незаконный оборот наркотиков подрывает национальную безопасность, региональную и международную стабильность, международный мир и государственный суверенитет. Он несет угрозу соблюдению прав человека и верховенству права, демократическим институтам и устойчивому развитию.</w:t>
      </w:r>
    </w:p>
    <w:p w:rsidR="00490AB1" w:rsidRPr="00490AB1" w:rsidRDefault="00490AB1" w:rsidP="00490AB1">
      <w:pPr>
        <w:pStyle w:val="SingleTxt"/>
        <w:spacing w:after="0" w:line="120" w:lineRule="exact"/>
        <w:rPr>
          <w:sz w:val="10"/>
        </w:rPr>
      </w:pPr>
    </w:p>
    <w:p w:rsidR="00490AB1" w:rsidRPr="00490AB1" w:rsidRDefault="00490AB1" w:rsidP="00490AB1">
      <w:pPr>
        <w:pStyle w:val="SingleTxt"/>
        <w:spacing w:after="0" w:line="120" w:lineRule="exact"/>
        <w:rPr>
          <w:sz w:val="10"/>
        </w:rPr>
      </w:pPr>
    </w:p>
    <w:p w:rsidR="00A20E73" w:rsidRPr="00A20E73" w:rsidRDefault="00490AB1" w:rsidP="00490AB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A20E73" w:rsidRPr="00A20E73">
        <w:t>C.</w:t>
      </w:r>
      <w:r w:rsidR="00A20E73" w:rsidRPr="00A20E73">
        <w:tab/>
        <w:t>Сохраняющаяся проблема борьбы с безнаказанностью</w:t>
      </w:r>
    </w:p>
    <w:p w:rsidR="00490AB1" w:rsidRPr="00490AB1" w:rsidRDefault="00490AB1" w:rsidP="00490AB1">
      <w:pPr>
        <w:pStyle w:val="SingleTxt"/>
        <w:spacing w:after="0" w:line="120" w:lineRule="exact"/>
        <w:rPr>
          <w:sz w:val="10"/>
        </w:rPr>
      </w:pPr>
    </w:p>
    <w:p w:rsidR="00490AB1" w:rsidRPr="00490AB1" w:rsidRDefault="00490AB1" w:rsidP="00490AB1">
      <w:pPr>
        <w:pStyle w:val="SingleTxt"/>
        <w:spacing w:after="0" w:line="120" w:lineRule="exact"/>
        <w:rPr>
          <w:sz w:val="10"/>
        </w:rPr>
      </w:pPr>
    </w:p>
    <w:p w:rsidR="00A20E73" w:rsidRPr="00A20E73" w:rsidRDefault="00A20E73" w:rsidP="00490AB1">
      <w:pPr>
        <w:pStyle w:val="SingleTxt"/>
      </w:pPr>
      <w:r w:rsidRPr="00A20E73">
        <w:t>23.</w:t>
      </w:r>
      <w:r w:rsidRPr="00A20E73">
        <w:tab/>
        <w:t xml:space="preserve">Независимый эксперт отмечает, что большинство связанных с кризисом на севере страны и государственным переворотом в Бамако случаев нарушения прав человека, в отношении которых с 2012 года поступили жалобы в компетентные судебные органы, до сих пор не стали предметом судебных разбирательств. Небольшие </w:t>
      </w:r>
      <w:r w:rsidR="00490AB1">
        <w:t>сдвиги</w:t>
      </w:r>
      <w:r w:rsidRPr="00A20E73">
        <w:t xml:space="preserve"> заметны лишь в деле «красных беретов», хотя это дело все еще находится на уровне обвинительной палаты.</w:t>
      </w:r>
    </w:p>
    <w:p w:rsidR="00A20E73" w:rsidRPr="00A20E73" w:rsidRDefault="00A20E73" w:rsidP="00490AB1">
      <w:pPr>
        <w:pStyle w:val="SingleTxt"/>
      </w:pPr>
      <w:r w:rsidRPr="00A20E73">
        <w:t>24.</w:t>
      </w:r>
      <w:r w:rsidRPr="00A20E73">
        <w:tab/>
        <w:t xml:space="preserve">Независимый эксперт обращает внимание на ряд </w:t>
      </w:r>
      <w:r w:rsidR="00490AB1">
        <w:t>нашумевших</w:t>
      </w:r>
      <w:r w:rsidRPr="00A20E73">
        <w:t xml:space="preserve"> случаев, включая дело о мятеже 30 сентября 2013 года и дело Диабали, в котором 16 </w:t>
      </w:r>
      <w:r w:rsidR="00900797" w:rsidRPr="00A20E73">
        <w:t>паломников</w:t>
      </w:r>
      <w:r w:rsidRPr="00A20E73">
        <w:t xml:space="preserve"> были захвачены и казнены в военном лагере, однако в связи с которыми до сих пор не произведено никаких задержаний. Он также напоминает от деле Джебок (зона Гао), в котором в феврале 2014 года военнослужащие малийских вооруженных сил без надлежащего судебного разбирательства казнили и захоронили в общей могиле трех туарегов, однако никакого судебного расследования так и не было возбуждено. В апреле 2014 года военнослужащим малийских вооруженных сил вблизи военного лагеря № 1 в Гао был без надлежащего судебного разбирательства казнен 58-летний пастух, захваченный во время выпаса своего скота. Компетентные власти никаких официальных расследований не открывали.</w:t>
      </w:r>
    </w:p>
    <w:p w:rsidR="00A20E73" w:rsidRPr="00A20E73" w:rsidRDefault="00A20E73" w:rsidP="00490AB1">
      <w:pPr>
        <w:pStyle w:val="SingleTxt"/>
      </w:pPr>
      <w:r w:rsidRPr="00A20E73">
        <w:t>25.</w:t>
      </w:r>
      <w:r w:rsidRPr="00A20E73">
        <w:tab/>
        <w:t xml:space="preserve">По-прежнему особую обеспокоенность вызывает </w:t>
      </w:r>
      <w:r w:rsidR="00490AB1">
        <w:t>установление</w:t>
      </w:r>
      <w:r w:rsidR="00066D1F">
        <w:t xml:space="preserve"> </w:t>
      </w:r>
      <w:r w:rsidRPr="00A20E73">
        <w:t xml:space="preserve">ответственности за нарушения, приписываемые военнослужащим. Военный устав не обеспечивает соблюдения международных гарантий в области прав человека в ряде ключевых областей. В частности, отсутствует соблюдение независимости и беспристрастности судов, осуществляющих функции </w:t>
      </w:r>
      <w:r w:rsidRPr="00A20E73">
        <w:lastRenderedPageBreak/>
        <w:t xml:space="preserve">правосудия, и для возбуждения уголовного преследования в отношении военнослужащего необходима санкция </w:t>
      </w:r>
      <w:r w:rsidR="00490AB1">
        <w:t>м</w:t>
      </w:r>
      <w:r w:rsidRPr="00A20E73">
        <w:t>инистра обороны. Вызывает тревогу отсутствие преследования в целом ряде случаев, включая предполагаемые случаи сексуального насилия над несовершеннолетними. В связи с этим МИНУСМА продолжает в сотрудничестве с судебными властями обеспечивать наблюдение за делами о нарушениях прав человека, совершенных военнослужащими малийских вооруженных сил в областях Мопти и Гао в период 2013–2015 годов. Независимый эксперт подчеркивает, что реформирование военной юстиции является приоритетным направлением реформы сектора безопасности в рамках мирного процесса.</w:t>
      </w:r>
    </w:p>
    <w:p w:rsidR="006C36C0" w:rsidRPr="00A20E73" w:rsidRDefault="00A20E73" w:rsidP="00066D1F">
      <w:pPr>
        <w:pStyle w:val="SingleTxt"/>
      </w:pPr>
      <w:r w:rsidRPr="00A20E73">
        <w:t>26.</w:t>
      </w:r>
      <w:r w:rsidRPr="00A20E73">
        <w:tab/>
        <w:t xml:space="preserve">Отдел по правам человека МИНУСМА наблюдал за ходом четырех процессов в связи с конфликтом, протекавшим в Бамако. Одним из обвиняемых было несовершеннолетнее лицо арабского происхождения, которое </w:t>
      </w:r>
      <w:r w:rsidR="00490AB1">
        <w:t>было задержано</w:t>
      </w:r>
      <w:r w:rsidRPr="00A20E73">
        <w:t xml:space="preserve"> в 2013 году в городе Бер в районе Томбукту; </w:t>
      </w:r>
      <w:r w:rsidR="00490AB1">
        <w:t>его освободили</w:t>
      </w:r>
      <w:r w:rsidRPr="00A20E73">
        <w:t xml:space="preserve"> 15 июля 2014 года в рамках мер доверия по соглашению Уагадугу. Важно отметить, что несовершеннолетний обвиняемый был приговорен к смертной казни. Вместе с тем Мали ратифицировала ряд конвенций</w:t>
      </w:r>
      <w:r w:rsidRPr="00490AB1">
        <w:rPr>
          <w:vertAlign w:val="superscript"/>
        </w:rPr>
        <w:footnoteReference w:id="1"/>
      </w:r>
      <w:r w:rsidRPr="00A20E73">
        <w:t>, которые запрещают применение смертной казни, и с 20</w:t>
      </w:r>
      <w:r w:rsidR="00066D1F">
        <w:t>0</w:t>
      </w:r>
      <w:r w:rsidRPr="00A20E73">
        <w:t>2 года соблюдает мораторий на применение смертной казни</w:t>
      </w:r>
      <w:r w:rsidR="00490AB1">
        <w:t>:</w:t>
      </w:r>
      <w:r w:rsidRPr="00A20E73">
        <w:t xml:space="preserve"> ни один такой приговор не был приведен в исполнение с 1984 года.</w:t>
      </w:r>
    </w:p>
    <w:p w:rsidR="0087143F" w:rsidRPr="00721A97" w:rsidRDefault="0087143F" w:rsidP="0087143F">
      <w:pPr>
        <w:pStyle w:val="SingleTxt"/>
        <w:rPr>
          <w:bCs/>
        </w:rPr>
      </w:pPr>
      <w:r w:rsidRPr="00721A97">
        <w:rPr>
          <w:bCs/>
        </w:rPr>
        <w:t>28.</w:t>
      </w:r>
      <w:r w:rsidRPr="00721A97">
        <w:rPr>
          <w:bCs/>
        </w:rPr>
        <w:tab/>
        <w:t xml:space="preserve">Независимый эксперт подчеркивает, что любые меры, которые были бы де-факто равнозначны амнистии, противоречили бы международному праву и нарушали бы обязательство сторон по Соглашению о мире и примирении. </w:t>
      </w:r>
      <w:r>
        <w:rPr>
          <w:bCs/>
        </w:rPr>
        <w:br/>
      </w:r>
      <w:r w:rsidRPr="00721A97">
        <w:rPr>
          <w:bCs/>
        </w:rPr>
        <w:t>Он был глубоко обеспокоен освобождением в июле 2015 года задержанных, которые подозревались или официально обвинялись в причастности к совершению тяжких преступлений, включая военные преступления, террористические акты и откровенные нарушения прав человека. Освобождение таких лиц оказывает отрицательное воздействие на борьбу с безнаказанностью, и Независимый эксперт хотел бы подчеркнуть важность борьбы с безнаказанностью и необходимость расследования грубых нарушений прав человека с целью установления ответственности и преследования виновных в таких деяниях лиц.</w:t>
      </w:r>
    </w:p>
    <w:p w:rsidR="0087143F" w:rsidRPr="00721A97" w:rsidRDefault="0087143F" w:rsidP="0087143F">
      <w:pPr>
        <w:pStyle w:val="SingleTxt"/>
        <w:rPr>
          <w:bCs/>
        </w:rPr>
      </w:pPr>
      <w:r w:rsidRPr="00721A97">
        <w:rPr>
          <w:bCs/>
        </w:rPr>
        <w:t>29.</w:t>
      </w:r>
      <w:r w:rsidRPr="00721A97">
        <w:rPr>
          <w:bCs/>
        </w:rPr>
        <w:tab/>
        <w:t>В этой связи Независимый эксперт обеспокоен тем фактом, что не было возбуждено судебного производства по гражданскому иску 14 пострадавших лиц в отношении Ука Ука в связи со многими нарушениями прав человека, которые включали ампутации, изнасилования, жестокие, бесчеловечные и/или унижающие достоинство виды обращения. Он отмечает, что лицо, предположительно виновное в этих деяниях, было освобождено 15 августа 2014 года по итогам политических переговоров, о которых пострадавшие не были информированы.</w:t>
      </w:r>
    </w:p>
    <w:p w:rsidR="0087143F" w:rsidRPr="00721A97" w:rsidRDefault="0087143F" w:rsidP="0087143F">
      <w:pPr>
        <w:pStyle w:val="SingleTxt"/>
        <w:rPr>
          <w:bCs/>
        </w:rPr>
      </w:pPr>
      <w:r w:rsidRPr="00721A97">
        <w:rPr>
          <w:bCs/>
        </w:rPr>
        <w:t>30.</w:t>
      </w:r>
      <w:r w:rsidRPr="00721A97">
        <w:rPr>
          <w:bCs/>
        </w:rPr>
        <w:tab/>
        <w:t xml:space="preserve">Система правосудия не функционирует надлежащим образом. По фактам нарушения прав человека, которые были зарегистрированы и информация о которых поступила в суды, дела не возбуждаются или же производство ведется с задержками на этапе судебного расследования. Например, до сих пор нет никакого прогресса в деле 125 жертв, из которых 40 лиц подверглись сексуальному насилию в Томбукту, открытому прокуратурой Томбукту по жалобам ассоциации жертв в ноябре 2014 года. Кроме того, судебными властями не возбуждалось никакого уголовного преследования за нарушение прав человека во многих резонансных случаях, которые не стали предметом жалоб. В </w:t>
      </w:r>
      <w:r w:rsidRPr="00721A97">
        <w:rPr>
          <w:bCs/>
        </w:rPr>
        <w:lastRenderedPageBreak/>
        <w:t>целях определения приоритетов и надлежащего урегулирования этих дел необходимо разработать четкую стратегию уголовного преследования. Что касается нарушений прав человека, совершенных в контексте кризиса в северной части страны, то компетентным органам необходимо предусмотреть передачу юрисдикции по таким делам одному судебному органу.</w:t>
      </w:r>
    </w:p>
    <w:p w:rsidR="0087143F" w:rsidRPr="00721A97" w:rsidRDefault="0087143F" w:rsidP="0087143F">
      <w:pPr>
        <w:pStyle w:val="SingleTxt"/>
        <w:rPr>
          <w:bCs/>
        </w:rPr>
      </w:pPr>
      <w:r w:rsidRPr="00721A97">
        <w:rPr>
          <w:bCs/>
        </w:rPr>
        <w:t>31.</w:t>
      </w:r>
      <w:r w:rsidRPr="00721A97">
        <w:rPr>
          <w:bCs/>
        </w:rPr>
        <w:tab/>
        <w:t xml:space="preserve">Реальные возможности региональных судов серьезно подрываются нехваткой материальных и людских ресурсов. Так, в области Гао в составе суда первой инстанции практически работают только один прокурор Республики, председатель суда и следственный судья. Что касается суда Томбукту, то в его составе имеются один председатель, один судья и один обвинитель. В области Мопти зоны Тененку и Ювару с января 2015 года остаются без представителей системы правосудия по причине полного отсутствия безопасности в этих двух районах. Апелляционный суд Мопти издал постановление, предусматривающее отправление правосудия для этих районов в областном центре, но такое положение является неудовлетворительным, особенно в </w:t>
      </w:r>
      <w:r>
        <w:rPr>
          <w:bCs/>
        </w:rPr>
        <w:t>случаях</w:t>
      </w:r>
      <w:r w:rsidRPr="00721A97">
        <w:rPr>
          <w:bCs/>
        </w:rPr>
        <w:t xml:space="preserve"> уголовного правосудия. На</w:t>
      </w:r>
      <w:r>
        <w:rPr>
          <w:bCs/>
        </w:rPr>
        <w:t> </w:t>
      </w:r>
      <w:r w:rsidRPr="00721A97">
        <w:rPr>
          <w:bCs/>
        </w:rPr>
        <w:t xml:space="preserve">месте остаются только сотрудники жандармерии, которые составляют протоколы о правонарушениях и затем с задержкой большей или меньшей продолжительности препровождают их судьям (одно лицо, с которым встретились сотрудники отдела по правам человека, провело 40 дней </w:t>
      </w:r>
      <w:r>
        <w:rPr>
          <w:bCs/>
        </w:rPr>
        <w:t>в</w:t>
      </w:r>
      <w:r w:rsidRPr="00721A97">
        <w:rPr>
          <w:bCs/>
        </w:rPr>
        <w:t xml:space="preserve"> участ</w:t>
      </w:r>
      <w:r>
        <w:rPr>
          <w:bCs/>
        </w:rPr>
        <w:t>ке</w:t>
      </w:r>
      <w:r w:rsidRPr="00721A97">
        <w:rPr>
          <w:bCs/>
        </w:rPr>
        <w:t xml:space="preserve"> жандармерии в Тененку, прежде чем его препроводили в Мопти).</w:t>
      </w:r>
    </w:p>
    <w:p w:rsidR="0087143F" w:rsidRPr="00721A97" w:rsidRDefault="0087143F" w:rsidP="0087143F">
      <w:pPr>
        <w:pStyle w:val="SingleTxt"/>
        <w:rPr>
          <w:bCs/>
        </w:rPr>
      </w:pPr>
      <w:r w:rsidRPr="00721A97">
        <w:rPr>
          <w:bCs/>
        </w:rPr>
        <w:t>32.</w:t>
      </w:r>
      <w:r w:rsidRPr="00721A97">
        <w:rPr>
          <w:bCs/>
        </w:rPr>
        <w:tab/>
        <w:t xml:space="preserve">Во время своей встречи с </w:t>
      </w:r>
      <w:r>
        <w:rPr>
          <w:bCs/>
        </w:rPr>
        <w:t>м</w:t>
      </w:r>
      <w:r w:rsidRPr="00721A97">
        <w:rPr>
          <w:bCs/>
        </w:rPr>
        <w:t>инистром юстиции и по правам человека Независимый эксперт получил информацию о том, что предпринимаются инициативы для решения этой проблемы и вскоре будет налажено функционирование мобильных центров для приема жалоб. Независимый эксперт напоминает, что действующее в Мали уголовное законодательство предусматривает важные гарантии, однако институциональные рамки не способны обеспечить достаточные гарантии для осуществления этих основных гарантий. Государству надлежит предоставить необходимые ресурсы.</w:t>
      </w:r>
    </w:p>
    <w:p w:rsidR="0087143F" w:rsidRPr="00721A97" w:rsidRDefault="0087143F" w:rsidP="0087143F">
      <w:pPr>
        <w:pStyle w:val="SingleTxt"/>
        <w:rPr>
          <w:bCs/>
        </w:rPr>
      </w:pPr>
      <w:r w:rsidRPr="00721A97">
        <w:rPr>
          <w:bCs/>
        </w:rPr>
        <w:t>33.</w:t>
      </w:r>
      <w:r w:rsidRPr="00721A97">
        <w:rPr>
          <w:bCs/>
        </w:rPr>
        <w:tab/>
        <w:t>4 августа 2015 года Совет министров назначил председателя Комиссии по установлению истины, правосудию и примирению, а 15 октября правительство представило кандидатуры еще 14 членов Комиссии. Многие собеседники полагают, что назначение председателя Комиссии было проведено без каких-либо консультаций с вооруженными группами, являющимися сторонами Соглашения о мире и примирении, или гражданским обществом. Процедура назначения членов Комиссии остается неясной, хотя организациям гражданского общества, вооруженным группам и религиозным общинам были разосланы письма с предложением представлять своих кандидатов. Поскольку перед созданием Комиссии не проводилось никаких национальных консультаций, Независимый эксперт полагает, что необходимо разработать стратегию коммуникации с населением в целях осуществления эффективной политики в области информационно-просвети</w:t>
      </w:r>
      <w:r>
        <w:rPr>
          <w:bCs/>
        </w:rPr>
        <w:t>-</w:t>
      </w:r>
      <w:r w:rsidRPr="00721A97">
        <w:rPr>
          <w:bCs/>
        </w:rPr>
        <w:t>тельской работы.</w:t>
      </w:r>
    </w:p>
    <w:p w:rsidR="0087143F" w:rsidRPr="00721A97" w:rsidRDefault="0087143F" w:rsidP="0087143F">
      <w:pPr>
        <w:pStyle w:val="SingleTxt"/>
        <w:rPr>
          <w:bCs/>
        </w:rPr>
      </w:pPr>
      <w:r w:rsidRPr="00721A97">
        <w:rPr>
          <w:bCs/>
        </w:rPr>
        <w:t>34.</w:t>
      </w:r>
      <w:r w:rsidRPr="00721A97">
        <w:rPr>
          <w:bCs/>
        </w:rPr>
        <w:tab/>
        <w:t xml:space="preserve">Независимый эксперт приветствует международную конференцию на тему </w:t>
      </w:r>
      <w:r>
        <w:rPr>
          <w:bCs/>
        </w:rPr>
        <w:t>о </w:t>
      </w:r>
      <w:r w:rsidRPr="00721A97">
        <w:rPr>
          <w:bCs/>
        </w:rPr>
        <w:t>роли и взаимодополняемости различных механизмов в процессе отправления правосудия переходного периода в Мали, которая состоялась 29 июня – 1 июля 2015 года под эгидой Министерства юстиции и отдела по правам человека МИНУСМА. На этой конференции были сформулированы ряд рекомендаций, в</w:t>
      </w:r>
      <w:r>
        <w:rPr>
          <w:bCs/>
        </w:rPr>
        <w:t> </w:t>
      </w:r>
      <w:r w:rsidRPr="00721A97">
        <w:rPr>
          <w:bCs/>
        </w:rPr>
        <w:t>частности касающи</w:t>
      </w:r>
      <w:r>
        <w:rPr>
          <w:bCs/>
        </w:rPr>
        <w:t>х</w:t>
      </w:r>
      <w:r w:rsidRPr="00721A97">
        <w:rPr>
          <w:bCs/>
        </w:rPr>
        <w:t xml:space="preserve">ся подготовки документа о национальной стратегии в области правосудия переходного периода. </w:t>
      </w:r>
    </w:p>
    <w:p w:rsidR="0087143F" w:rsidRPr="00721A97" w:rsidRDefault="0087143F" w:rsidP="0087143F">
      <w:pPr>
        <w:pStyle w:val="SingleTxt"/>
        <w:rPr>
          <w:bCs/>
        </w:rPr>
      </w:pPr>
      <w:r w:rsidRPr="00721A97">
        <w:rPr>
          <w:bCs/>
        </w:rPr>
        <w:t>35.</w:t>
      </w:r>
      <w:r w:rsidRPr="00721A97">
        <w:rPr>
          <w:bCs/>
        </w:rPr>
        <w:tab/>
        <w:t xml:space="preserve">Независимый эксперт в своем предыдущем докладе (A/HRC/28/83) приветствовал различные инициативы и процесс реформирования Национальной комиссии по правам человека, направленные на приведение ее деятельности в соответствие с Принципами, касающимися статуса национальных учреждений по </w:t>
      </w:r>
      <w:r w:rsidRPr="00721A97">
        <w:rPr>
          <w:bCs/>
        </w:rPr>
        <w:lastRenderedPageBreak/>
        <w:t>поощрению и защите прав человека (Парижскими принципами). Он призывает правительство Мали продолжать осуществление этого проекта, поскольку такой независимый и функциональный институт мог бы стать краеугольным камнем эффективной системы защиты прав человека на национальном уровне.</w:t>
      </w:r>
    </w:p>
    <w:p w:rsidR="0087143F" w:rsidRPr="00721A97" w:rsidRDefault="0087143F" w:rsidP="0087143F">
      <w:pPr>
        <w:pStyle w:val="SingleTxt"/>
        <w:rPr>
          <w:bCs/>
        </w:rPr>
      </w:pPr>
      <w:r w:rsidRPr="00721A97">
        <w:rPr>
          <w:bCs/>
        </w:rPr>
        <w:t>36.</w:t>
      </w:r>
      <w:r w:rsidRPr="00721A97">
        <w:rPr>
          <w:bCs/>
        </w:rPr>
        <w:tab/>
        <w:t>Независимый эксперт приветствует факт привлечения к ответственности в Международном уголовном суде бывшего начальника исламской полиции террористической группы «Ансар Эддин» Ахмада аль-Факи аль-Магди. Он отмечает, что этот человек является первым джихадистом, привлеченным к судебной ответственности в рамках международной юрисдикции. Он также является первым подозреваемым, преследуемым Международным уголовным судом за уничтожение религиозных зданий и исторических памятников, и Независимый эксперт поддерживает привлечение этого подозреваемого к ответственности за преступления, которые он предположительно совершил против гражданских лиц. Что касается Комиссии по международному расследованию, то со времени официального заявления правительства Мали на имя Генерального секретаря Организации Объединенных Наций от 10 июля 2014 года никаких действий со стороны Организации Объединенных Наций не предпринималось.</w:t>
      </w:r>
    </w:p>
    <w:p w:rsidR="0087143F" w:rsidRDefault="0087143F" w:rsidP="0087143F">
      <w:pPr>
        <w:pStyle w:val="SingleTxt"/>
        <w:rPr>
          <w:bCs/>
        </w:rPr>
      </w:pPr>
      <w:r w:rsidRPr="00721A97">
        <w:rPr>
          <w:bCs/>
        </w:rPr>
        <w:t>37.</w:t>
      </w:r>
      <w:r w:rsidRPr="00721A97">
        <w:rPr>
          <w:bCs/>
        </w:rPr>
        <w:tab/>
        <w:t>Независимый эксперт удовлетворен инициативами организаций гражданского общества по борьбе с безнаказанностью. Независимый эксперт встретился с членами созданной несколько месяцев назад коалиции журналистов Сеть средств массовой информации и прав человека, которая ставит перед собой задачу просвещения общественности по вопросам прав человека. В стране действует также Ассоциация молодых адвокатов Мали, которая запросила помощь МИНУСМА в деле предоставления ее членами юридической помощи жертвам событий в северной части страны, где отсутствуют какие-либо адвокаты.</w:t>
      </w:r>
    </w:p>
    <w:p w:rsidR="0087143F" w:rsidRPr="001F4D38" w:rsidRDefault="0087143F" w:rsidP="0087143F">
      <w:pPr>
        <w:pStyle w:val="SingleTxt"/>
        <w:spacing w:after="0" w:line="120" w:lineRule="exact"/>
        <w:rPr>
          <w:bCs/>
          <w:sz w:val="10"/>
        </w:rPr>
      </w:pPr>
    </w:p>
    <w:p w:rsidR="0087143F" w:rsidRPr="001F4D38" w:rsidRDefault="0087143F" w:rsidP="0087143F">
      <w:pPr>
        <w:pStyle w:val="SingleTxt"/>
        <w:spacing w:after="0" w:line="120" w:lineRule="exact"/>
        <w:rPr>
          <w:bCs/>
          <w:sz w:val="10"/>
        </w:rPr>
      </w:pPr>
    </w:p>
    <w:p w:rsidR="0087143F" w:rsidRPr="00721A97" w:rsidRDefault="0087143F" w:rsidP="0087143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721A97">
        <w:t>III.</w:t>
      </w:r>
      <w:r w:rsidRPr="00721A97">
        <w:tab/>
        <w:t>Положение в области прав человека</w:t>
      </w:r>
    </w:p>
    <w:p w:rsidR="0087143F" w:rsidRPr="001F4D38" w:rsidRDefault="0087143F" w:rsidP="0087143F">
      <w:pPr>
        <w:pStyle w:val="SingleTxt"/>
        <w:spacing w:after="0" w:line="120" w:lineRule="exact"/>
        <w:rPr>
          <w:sz w:val="10"/>
        </w:rPr>
      </w:pPr>
    </w:p>
    <w:p w:rsidR="0087143F" w:rsidRPr="001F4D38" w:rsidRDefault="0087143F" w:rsidP="0087143F">
      <w:pPr>
        <w:pStyle w:val="SingleTxt"/>
        <w:spacing w:after="0" w:line="120" w:lineRule="exact"/>
        <w:rPr>
          <w:b/>
          <w:sz w:val="10"/>
        </w:rPr>
      </w:pPr>
    </w:p>
    <w:p w:rsidR="0087143F" w:rsidRPr="00721A97" w:rsidRDefault="0087143F" w:rsidP="0087143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721A97">
        <w:t>А.</w:t>
      </w:r>
      <w:r w:rsidRPr="00721A97">
        <w:tab/>
        <w:t>Гражданские и политические права</w:t>
      </w:r>
    </w:p>
    <w:p w:rsidR="0087143F" w:rsidRPr="001F4D38" w:rsidRDefault="0087143F" w:rsidP="0087143F">
      <w:pPr>
        <w:pStyle w:val="SingleTxt"/>
        <w:spacing w:after="0" w:line="120" w:lineRule="exact"/>
        <w:rPr>
          <w:bCs/>
          <w:sz w:val="10"/>
        </w:rPr>
      </w:pPr>
    </w:p>
    <w:p w:rsidR="0087143F" w:rsidRPr="001F4D38" w:rsidRDefault="0087143F" w:rsidP="0087143F">
      <w:pPr>
        <w:pStyle w:val="SingleTxt"/>
        <w:spacing w:after="0" w:line="120" w:lineRule="exact"/>
        <w:rPr>
          <w:bCs/>
          <w:sz w:val="10"/>
        </w:rPr>
      </w:pPr>
    </w:p>
    <w:p w:rsidR="0087143F" w:rsidRPr="00721A97" w:rsidRDefault="0087143F" w:rsidP="0087143F">
      <w:pPr>
        <w:pStyle w:val="SingleTxt"/>
        <w:rPr>
          <w:bCs/>
        </w:rPr>
      </w:pPr>
      <w:r w:rsidRPr="00721A97">
        <w:rPr>
          <w:bCs/>
        </w:rPr>
        <w:t>38.</w:t>
      </w:r>
      <w:r w:rsidRPr="00721A97">
        <w:rPr>
          <w:bCs/>
        </w:rPr>
        <w:tab/>
        <w:t>На протяжении семи последних месяцев отдел по правам человека направил в четыре района, затронутые вышеупомянутыми событиями, специальные миссии по расследованию (Томб</w:t>
      </w:r>
      <w:r>
        <w:rPr>
          <w:bCs/>
        </w:rPr>
        <w:t>у</w:t>
      </w:r>
      <w:r w:rsidRPr="00721A97">
        <w:rPr>
          <w:bCs/>
        </w:rPr>
        <w:t xml:space="preserve">кту – 13–17 апреля и 23–30 апреля, Тин Ама – </w:t>
      </w:r>
      <w:r>
        <w:rPr>
          <w:bCs/>
        </w:rPr>
        <w:br/>
      </w:r>
      <w:r w:rsidRPr="00721A97">
        <w:rPr>
          <w:bCs/>
        </w:rPr>
        <w:t>21–22 мая, Факола – 17–21 августа и Анефис – 27 августа и 10–11 сентября). Цель этих миссий состояла в проверке утверждений о нарушениях прав человека малийскими силами безопасности и злоупотреблениях, совершенных вооруженными группами в ходе террористических нападений, боев между вооруженными группами</w:t>
      </w:r>
      <w:r>
        <w:rPr>
          <w:bCs/>
        </w:rPr>
        <w:t>,</w:t>
      </w:r>
      <w:r w:rsidRPr="00721A97">
        <w:rPr>
          <w:bCs/>
        </w:rPr>
        <w:t xml:space="preserve"> или нарушения прекращени</w:t>
      </w:r>
      <w:r>
        <w:rPr>
          <w:bCs/>
        </w:rPr>
        <w:t>и</w:t>
      </w:r>
      <w:r w:rsidRPr="00721A97">
        <w:rPr>
          <w:bCs/>
        </w:rPr>
        <w:t xml:space="preserve"> огня.</w:t>
      </w:r>
    </w:p>
    <w:p w:rsidR="0087143F" w:rsidRDefault="0087143F" w:rsidP="0087143F">
      <w:pPr>
        <w:pStyle w:val="SingleTxt"/>
        <w:rPr>
          <w:bCs/>
        </w:rPr>
      </w:pPr>
      <w:r w:rsidRPr="00721A97">
        <w:rPr>
          <w:bCs/>
        </w:rPr>
        <w:t>39.</w:t>
      </w:r>
      <w:r w:rsidRPr="00721A97">
        <w:rPr>
          <w:bCs/>
        </w:rPr>
        <w:tab/>
        <w:t xml:space="preserve">21 </w:t>
      </w:r>
      <w:r>
        <w:rPr>
          <w:bCs/>
        </w:rPr>
        <w:t xml:space="preserve">и 22 мая </w:t>
      </w:r>
      <w:r w:rsidRPr="00721A97">
        <w:rPr>
          <w:bCs/>
        </w:rPr>
        <w:t xml:space="preserve">в районе Тин Ама, область Гао, была проведена миссия по расследованию нарушений прав человека, случаев нарушения прекращения огня и злоупотреблений, допущенных после боестолкновений между КСА и подразделениями «Платформы» за </w:t>
      </w:r>
      <w:r w:rsidR="0076337E" w:rsidRPr="00721A97">
        <w:rPr>
          <w:bCs/>
        </w:rPr>
        <w:t>контроль</w:t>
      </w:r>
      <w:r w:rsidRPr="00721A97">
        <w:rPr>
          <w:bCs/>
        </w:rPr>
        <w:t xml:space="preserve"> над Менакой и прилегающим районом. Эта миссия подтвердила, что соответствующими группами были совершены следующие нарушения: посягательства на право на жизнь (силами КСА убито 2 гражданских лица), казни без надлежащего судебного разбирательства 6 гражданских лиц, совершенные Группой самообороны туарегов племени имгад и их союзников  (ГСТИС), перемещение 38 семей (160 лиц) после боестолкновений, похищение </w:t>
      </w:r>
      <w:r>
        <w:rPr>
          <w:bCs/>
        </w:rPr>
        <w:t>3</w:t>
      </w:r>
      <w:r w:rsidRPr="00721A97">
        <w:rPr>
          <w:bCs/>
        </w:rPr>
        <w:t xml:space="preserve"> бойцов ГСТИС силами КСА, а также грабежи и уничтожение имущества. </w:t>
      </w:r>
    </w:p>
    <w:p w:rsidR="0087143F" w:rsidRPr="001F4D38" w:rsidRDefault="0087143F" w:rsidP="0087143F">
      <w:pPr>
        <w:pStyle w:val="SingleTxt"/>
        <w:spacing w:after="0" w:line="120" w:lineRule="exact"/>
        <w:rPr>
          <w:bCs/>
          <w:sz w:val="10"/>
        </w:rPr>
      </w:pPr>
    </w:p>
    <w:p w:rsidR="0087143F" w:rsidRPr="00721A97" w:rsidRDefault="0087143F" w:rsidP="0087143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1A97">
        <w:rPr>
          <w:bCs/>
        </w:rPr>
        <w:lastRenderedPageBreak/>
        <w:tab/>
      </w:r>
      <w:r w:rsidRPr="00721A97">
        <w:t>1.</w:t>
      </w:r>
      <w:r w:rsidRPr="00721A97">
        <w:tab/>
        <w:t>Посягательства на права человека, совершенные малийскими вооруженными силами</w:t>
      </w:r>
    </w:p>
    <w:p w:rsidR="0087143F" w:rsidRPr="001F4D38" w:rsidRDefault="0087143F" w:rsidP="0087143F">
      <w:pPr>
        <w:pStyle w:val="SingleTxt"/>
        <w:spacing w:after="0" w:line="120" w:lineRule="exact"/>
        <w:rPr>
          <w:bCs/>
          <w:sz w:val="10"/>
        </w:rPr>
      </w:pPr>
    </w:p>
    <w:p w:rsidR="0087143F" w:rsidRPr="00721A97" w:rsidRDefault="0087143F" w:rsidP="0087143F">
      <w:pPr>
        <w:pStyle w:val="SingleTxt"/>
        <w:rPr>
          <w:bCs/>
        </w:rPr>
      </w:pPr>
      <w:r w:rsidRPr="00721A97">
        <w:rPr>
          <w:bCs/>
        </w:rPr>
        <w:t>40.</w:t>
      </w:r>
      <w:r w:rsidRPr="00721A97">
        <w:rPr>
          <w:bCs/>
        </w:rPr>
        <w:tab/>
        <w:t xml:space="preserve">С марта по сентябрь 2015 года отдел по правам человека МИНУСМА зафиксировал значительный рост числа задержаний: 308 за семь месяцев, или почти вдвое больше числа задержаний в связи с конфликтом, произведенных малийскими вооруженными силами и силами обороны в 2014 году (182 задержания). Эти лица подверглись задержанию в ходе многочисленных нападений на деревни вооруженных групп или террористов в районах как северной, так и южной частей страны (Сикассо и Сегу). Отдел по правам человека уже провел беседы со 149 лицами из числа этих задержанных. 43 из них сообщили, что они стали жертвами актов плохого обращения и пыток, совершенных малийскими силами безопасности (военнослужащими малийских вооруженных сил и агентами органов государственной безопасности). Рост числа задержаний объясняется увеличением количества террористических актов и контртеррористических мероприятий, проводимых малийскими силами безопасности по всей стране. </w:t>
      </w:r>
    </w:p>
    <w:p w:rsidR="0087143F" w:rsidRPr="00721A97" w:rsidRDefault="0087143F" w:rsidP="0087143F">
      <w:pPr>
        <w:pStyle w:val="SingleTxt"/>
        <w:rPr>
          <w:bCs/>
        </w:rPr>
      </w:pPr>
      <w:r w:rsidRPr="00721A97">
        <w:rPr>
          <w:bCs/>
        </w:rPr>
        <w:t>41.</w:t>
      </w:r>
      <w:r w:rsidRPr="00721A97">
        <w:rPr>
          <w:bCs/>
        </w:rPr>
        <w:tab/>
        <w:t>Отдел по правам человека МИНУСМА с озабоченностью отметил, что в ходе антитеррористических операций малийских вооруженных сил некоторые военнослужащие при массовых задержаниях в районах Сегу и Сикассо по-прежнему совершали акты пыток и жестокого обращения. Представители конкретных общин (пель и арабы) подвергались репрессиям по подозрению в сотрудничестве с вооруженными группами террористов. Отдел по правам человека неоднократно был вынужден отменять миссии по расследованию в Нампале и</w:t>
      </w:r>
      <w:r>
        <w:rPr>
          <w:bCs/>
        </w:rPr>
        <w:t> </w:t>
      </w:r>
      <w:r w:rsidRPr="00721A97">
        <w:rPr>
          <w:bCs/>
        </w:rPr>
        <w:t xml:space="preserve">Нионо, округ Нионо, по причине обстановки в сфере безопасности в области Сегу, откуда поступали сообщения о массовых задержаниях и случаях плохого обращения с задержанными. Независимый эксперт обеспокоен тем, что в перспективе эти массовые задержания и нарушения, совершенные в результате таких операций, могут подорвать хрупкое доверие между затрагиваемыми общинами и государственной властью. </w:t>
      </w:r>
    </w:p>
    <w:p w:rsidR="0087143F" w:rsidRPr="00721A97" w:rsidRDefault="0087143F" w:rsidP="0087143F">
      <w:pPr>
        <w:pStyle w:val="SingleTxt"/>
        <w:rPr>
          <w:bCs/>
        </w:rPr>
      </w:pPr>
      <w:r w:rsidRPr="00721A97">
        <w:rPr>
          <w:bCs/>
        </w:rPr>
        <w:t>42.</w:t>
      </w:r>
      <w:r w:rsidRPr="00721A97">
        <w:rPr>
          <w:bCs/>
        </w:rPr>
        <w:tab/>
        <w:t>Независимый эксперт получил информацию о том, что на протяжении одного месяца в апреле и мае 2015 года в результате целого ряда вооруженных нападений, в частности на подразделения малийской армии в Булкесси, были задержаны и помещены под стражу 47 членов общины пель. Директор отдела по правам человека МИНУСМА принял делегацию в составе деревенских старост и</w:t>
      </w:r>
      <w:r>
        <w:rPr>
          <w:bCs/>
        </w:rPr>
        <w:t> </w:t>
      </w:r>
      <w:r w:rsidRPr="00721A97">
        <w:rPr>
          <w:bCs/>
        </w:rPr>
        <w:t xml:space="preserve">других деятелей общины пель из разных районов области Мопти (700 км от Бамако). Эти руководители выразили свою серьезную обеспокоенность продолжающимися задержаниями и помещением под стражу членов общины пель, подозреваемых в принадлежности к Движению за единство и джихад в Западной Африке </w:t>
      </w:r>
    </w:p>
    <w:p w:rsidR="0087143F" w:rsidRPr="00721A97" w:rsidRDefault="0087143F" w:rsidP="0087143F">
      <w:pPr>
        <w:pStyle w:val="SingleTxt"/>
        <w:rPr>
          <w:bCs/>
        </w:rPr>
      </w:pPr>
      <w:r w:rsidRPr="00721A97">
        <w:rPr>
          <w:bCs/>
        </w:rPr>
        <w:t>43.</w:t>
      </w:r>
      <w:r w:rsidRPr="00721A97">
        <w:rPr>
          <w:bCs/>
        </w:rPr>
        <w:tab/>
        <w:t xml:space="preserve">13 октября в Бамако отдел по правам человека МИНУСМА провел исследование условий содержания под стражей восьми лиц, задержанных в ходе контртеррористических операций малийских вооруженных сил в августе и сентябре 2015 года в Нара, область Куликоро (в 370 км на север от Бамако). Специалисты по правам человека провели беседы с пятью из восьми задержанных. Один из них утверждал, что он не получал питания во время содержания под стражей. </w:t>
      </w:r>
      <w:r>
        <w:rPr>
          <w:bCs/>
        </w:rPr>
        <w:br/>
      </w:r>
      <w:r w:rsidRPr="00721A97">
        <w:rPr>
          <w:bCs/>
        </w:rPr>
        <w:t xml:space="preserve">Он должен был </w:t>
      </w:r>
      <w:r>
        <w:rPr>
          <w:bCs/>
        </w:rPr>
        <w:t xml:space="preserve">сам </w:t>
      </w:r>
      <w:r w:rsidRPr="00721A97">
        <w:rPr>
          <w:bCs/>
        </w:rPr>
        <w:t>доставать пищу. Двое других лиц также сообщили, что они были лишены питания и содержались в крошечных камерах без санитарно-гигиеническ</w:t>
      </w:r>
      <w:r>
        <w:rPr>
          <w:bCs/>
        </w:rPr>
        <w:t>ого оборудования</w:t>
      </w:r>
      <w:r w:rsidRPr="00721A97">
        <w:rPr>
          <w:bCs/>
        </w:rPr>
        <w:t xml:space="preserve">. Задержание этих лиц не соответствовало требованиям национального законодательства, поскольку они с сентября 2015 года находились под стражей без привода к судье и не получили никаких документов,  официально удостоверяющих их нахождение в тюрьме. По смыслу </w:t>
      </w:r>
      <w:r w:rsidRPr="00721A97">
        <w:rPr>
          <w:bCs/>
        </w:rPr>
        <w:lastRenderedPageBreak/>
        <w:t>малийского закона о борьбе с терроризмом,  предварительное задержание лица, подозреваемого в терроризме, может трижды продлеваться компетентным судьей на срок до 48 часов (статья 7 закона № 2013-016 от 21 мая 2013 года о внесении изменений в закон</w:t>
      </w:r>
      <w:r>
        <w:rPr>
          <w:bCs/>
        </w:rPr>
        <w:t xml:space="preserve"> </w:t>
      </w:r>
      <w:r w:rsidRPr="00721A97">
        <w:rPr>
          <w:bCs/>
        </w:rPr>
        <w:t>№</w:t>
      </w:r>
      <w:r>
        <w:rPr>
          <w:bCs/>
        </w:rPr>
        <w:t xml:space="preserve"> </w:t>
      </w:r>
      <w:r w:rsidRPr="00721A97">
        <w:rPr>
          <w:bCs/>
        </w:rPr>
        <w:t xml:space="preserve">01-080 от 20 августа 2001 года об Уголовно-процессуальном кодексе). </w:t>
      </w:r>
    </w:p>
    <w:p w:rsidR="0087143F" w:rsidRPr="00721A97" w:rsidRDefault="0087143F" w:rsidP="0087143F">
      <w:pPr>
        <w:pStyle w:val="SingleTxt"/>
        <w:rPr>
          <w:bCs/>
        </w:rPr>
      </w:pPr>
      <w:r w:rsidRPr="00721A97">
        <w:rPr>
          <w:bCs/>
        </w:rPr>
        <w:t>44.</w:t>
      </w:r>
      <w:r w:rsidRPr="00721A97">
        <w:rPr>
          <w:bCs/>
        </w:rPr>
        <w:tab/>
        <w:t>22 октября специалисты по правам человека в области Мопти опросили члена общины пель, который 25 сентября был задержан военнослужащими национальной гвардии в деревне Гидио (округ Ювару, область Мопти) по подозрениям в принадлежности к террористам. Задержанный подтвердил, что его задержание основывалось на его внешнем виде (наличии длинной бороды и характерных волос), однако это лицо в течение одного месяца содержалось под стражей без его уведомления о каком-либо официальном обвинении.</w:t>
      </w:r>
    </w:p>
    <w:p w:rsidR="0087143F" w:rsidRDefault="0087143F" w:rsidP="0087143F">
      <w:pPr>
        <w:pStyle w:val="SingleTxt"/>
        <w:rPr>
          <w:bCs/>
        </w:rPr>
      </w:pPr>
      <w:r w:rsidRPr="00721A97">
        <w:rPr>
          <w:bCs/>
        </w:rPr>
        <w:t>45.</w:t>
      </w:r>
      <w:r w:rsidRPr="00721A97">
        <w:rPr>
          <w:bCs/>
        </w:rPr>
        <w:tab/>
        <w:t xml:space="preserve">24 июля группа специалистов по правам человека опросила 17 лиц, содержавшихся по стражей в Бамако, которые были задержаны малийскими вооруженными силами в Факоле и Миссени, область Сикассо, по подозрениям в сотрудничестве с джихадистами. Среди этих 17 задержанных </w:t>
      </w:r>
      <w:r>
        <w:rPr>
          <w:bCs/>
        </w:rPr>
        <w:t>фигурировали два выходца из Кот-</w:t>
      </w:r>
      <w:r w:rsidRPr="00721A97">
        <w:rPr>
          <w:bCs/>
        </w:rPr>
        <w:t>д'Ивуара, в том числе один мальчик 13 лет, и один гражданин Мавритании. Семь из 17 задержанных утверждали, что они подвергались избиениям во время задержания и содержания под стражей. На некоторых из задержанных правозащитники видели следы плохого обращения. Один из задержанных сообщил, что жандармы угрожали перерезать ему горло, если он не признается в том, что был информатором джихадистов. Следует отметить, что все 17</w:t>
      </w:r>
      <w:r>
        <w:rPr>
          <w:bCs/>
        </w:rPr>
        <w:t> </w:t>
      </w:r>
      <w:r w:rsidRPr="00721A97">
        <w:rPr>
          <w:bCs/>
        </w:rPr>
        <w:t>задержанных отрицали свою принадлежность к вооруженным группам или сотрудничество с ними и заявили, что на самом деле являются мелкими ремесленниками, торговцами, скотоводами, земледельцами, а один из них назвал себя религиозным проповедником. Независимый эксперт был проинформирован о том, что с конца июня 2015 года многие лица заявили о том, что во  время их задержания в рамках борьбы с терроризмом они подверглись актам пыток и жестокого обращения со стороны военнослужащих малийских сил обороны и безопасности.</w:t>
      </w:r>
    </w:p>
    <w:p w:rsidR="0087143F" w:rsidRPr="001F4D38" w:rsidRDefault="0087143F" w:rsidP="0087143F">
      <w:pPr>
        <w:pStyle w:val="SingleTxt"/>
        <w:spacing w:after="0" w:line="120" w:lineRule="exact"/>
        <w:rPr>
          <w:bCs/>
          <w:sz w:val="10"/>
        </w:rPr>
      </w:pPr>
    </w:p>
    <w:p w:rsidR="0087143F" w:rsidRPr="00721A97" w:rsidRDefault="0087143F" w:rsidP="0087143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721A97">
        <w:t>2.</w:t>
      </w:r>
      <w:r w:rsidRPr="00721A97">
        <w:tab/>
        <w:t>Посягательства на права человека, совершенные вооруженными группами</w:t>
      </w:r>
    </w:p>
    <w:p w:rsidR="0087143F" w:rsidRPr="001F4D38" w:rsidRDefault="0087143F" w:rsidP="0087143F">
      <w:pPr>
        <w:pStyle w:val="SingleTxt"/>
        <w:spacing w:after="0" w:line="120" w:lineRule="exact"/>
        <w:rPr>
          <w:bCs/>
          <w:sz w:val="10"/>
        </w:rPr>
      </w:pPr>
    </w:p>
    <w:p w:rsidR="0087143F" w:rsidRPr="00721A97" w:rsidRDefault="0087143F" w:rsidP="0087143F">
      <w:pPr>
        <w:pStyle w:val="SingleTxt"/>
        <w:rPr>
          <w:bCs/>
        </w:rPr>
      </w:pPr>
      <w:r w:rsidRPr="00721A97">
        <w:rPr>
          <w:bCs/>
        </w:rPr>
        <w:t>46.</w:t>
      </w:r>
      <w:r w:rsidRPr="00721A97">
        <w:rPr>
          <w:bCs/>
        </w:rPr>
        <w:tab/>
        <w:t>В марте</w:t>
      </w:r>
      <w:r>
        <w:rPr>
          <w:bCs/>
        </w:rPr>
        <w:t>–</w:t>
      </w:r>
      <w:r w:rsidRPr="00721A97">
        <w:rPr>
          <w:bCs/>
        </w:rPr>
        <w:t>сентябре 2015 года отдел по правам человека МИНУСМА зарегистрировал 120 случаев лишения лиц свободы вооруженными группами (Национальным движением за освобождение Азавада и Арабским движением Азавада (Координационный совет и «Платформа» )), из которых 62 предполагаемых комбатанта были захвачены одной из этих групп в ходе столкновений, 37 человек были гр</w:t>
      </w:r>
      <w:r>
        <w:rPr>
          <w:bCs/>
        </w:rPr>
        <w:t>а</w:t>
      </w:r>
      <w:r w:rsidRPr="00721A97">
        <w:rPr>
          <w:bCs/>
        </w:rPr>
        <w:t xml:space="preserve">жданскими лицами, задержанными за нарушения общего права или грабежи, и еще 18 лиц были задержаны по мотивам межобщинной вражды (подозревались в работе на другую группу или участии в репрессиях) и </w:t>
      </w:r>
      <w:r>
        <w:rPr>
          <w:bCs/>
        </w:rPr>
        <w:t>3</w:t>
      </w:r>
      <w:r w:rsidRPr="00721A97">
        <w:rPr>
          <w:bCs/>
        </w:rPr>
        <w:t xml:space="preserve"> лица за предполагаемое сотрудничество с силами, участвовавшими в операции «Бархан». Из этих 120 задержанных </w:t>
      </w:r>
      <w:r>
        <w:rPr>
          <w:bCs/>
        </w:rPr>
        <w:t>5</w:t>
      </w:r>
      <w:r w:rsidRPr="00721A97">
        <w:rPr>
          <w:bCs/>
        </w:rPr>
        <w:t xml:space="preserve"> человек сообщили о том, что подверглись актам плохого обращения и пыток в ходе их задержания. 45 других лиц были освобождены, чаще всего в одностороннем порядке вооруженной группой, задержавшей их, или  после выплаты возмещения за украденное.</w:t>
      </w:r>
    </w:p>
    <w:p w:rsidR="0087143F" w:rsidRPr="00721A97" w:rsidRDefault="0087143F" w:rsidP="0087143F">
      <w:pPr>
        <w:pStyle w:val="SingleTxt"/>
        <w:rPr>
          <w:bCs/>
        </w:rPr>
      </w:pPr>
      <w:r w:rsidRPr="00721A97">
        <w:rPr>
          <w:bCs/>
        </w:rPr>
        <w:t>47.</w:t>
      </w:r>
      <w:r w:rsidRPr="00721A97">
        <w:rPr>
          <w:bCs/>
        </w:rPr>
        <w:tab/>
        <w:t>В рассматриваемый период продолжались наблюдавшиеся в предыдущий период похищения</w:t>
      </w:r>
      <w:r w:rsidRPr="001F4D38">
        <w:rPr>
          <w:bCs/>
          <w:vertAlign w:val="superscript"/>
        </w:rPr>
        <w:footnoteReference w:id="2"/>
      </w:r>
      <w:r w:rsidR="00C04A28">
        <w:rPr>
          <w:bCs/>
        </w:rPr>
        <w:t xml:space="preserve"> </w:t>
      </w:r>
      <w:r w:rsidRPr="00721A97">
        <w:rPr>
          <w:bCs/>
        </w:rPr>
        <w:t>и насильственные исчезновения в областях Гао, Томбукту и</w:t>
      </w:r>
      <w:r>
        <w:rPr>
          <w:bCs/>
        </w:rPr>
        <w:t> </w:t>
      </w:r>
      <w:r w:rsidRPr="00721A97">
        <w:rPr>
          <w:bCs/>
        </w:rPr>
        <w:t xml:space="preserve">Кидаль, приписываемые вооруженным группам. Так, было похищено не менее </w:t>
      </w:r>
      <w:r w:rsidRPr="00721A97">
        <w:rPr>
          <w:bCs/>
        </w:rPr>
        <w:lastRenderedPageBreak/>
        <w:t>18</w:t>
      </w:r>
      <w:r>
        <w:rPr>
          <w:bCs/>
        </w:rPr>
        <w:t> </w:t>
      </w:r>
      <w:r w:rsidRPr="00721A97">
        <w:rPr>
          <w:bCs/>
        </w:rPr>
        <w:t xml:space="preserve">лиц, и в их числе </w:t>
      </w:r>
      <w:r>
        <w:rPr>
          <w:bCs/>
        </w:rPr>
        <w:t>9</w:t>
      </w:r>
      <w:r w:rsidRPr="00721A97">
        <w:rPr>
          <w:bCs/>
        </w:rPr>
        <w:t xml:space="preserve"> исчезнувших комбатантов КСА, которые должны были быть переведены в Гао, но не были там обнаружены сотрудниками отдела по правам человека МИНУСМА.  </w:t>
      </w:r>
    </w:p>
    <w:p w:rsidR="0087143F" w:rsidRPr="00721A97" w:rsidRDefault="0087143F" w:rsidP="0087143F">
      <w:pPr>
        <w:pStyle w:val="SingleTxt"/>
        <w:rPr>
          <w:bCs/>
        </w:rPr>
      </w:pPr>
      <w:r w:rsidRPr="00721A97">
        <w:rPr>
          <w:bCs/>
        </w:rPr>
        <w:t>48.</w:t>
      </w:r>
      <w:r w:rsidRPr="00721A97">
        <w:rPr>
          <w:bCs/>
        </w:rPr>
        <w:tab/>
        <w:t>В марте</w:t>
      </w:r>
      <w:r>
        <w:rPr>
          <w:bCs/>
        </w:rPr>
        <w:t>–</w:t>
      </w:r>
      <w:r w:rsidRPr="00721A97">
        <w:rPr>
          <w:bCs/>
        </w:rPr>
        <w:t xml:space="preserve">сентябре 2015 года силы КСА задержали  22 сотрудника малийских сил безопасности, из них </w:t>
      </w:r>
      <w:r>
        <w:rPr>
          <w:bCs/>
        </w:rPr>
        <w:t>1</w:t>
      </w:r>
      <w:r w:rsidRPr="00721A97">
        <w:rPr>
          <w:bCs/>
        </w:rPr>
        <w:t xml:space="preserve"> полицейского и </w:t>
      </w:r>
      <w:r>
        <w:rPr>
          <w:bCs/>
        </w:rPr>
        <w:t>1</w:t>
      </w:r>
      <w:r w:rsidRPr="00721A97">
        <w:rPr>
          <w:bCs/>
        </w:rPr>
        <w:t xml:space="preserve"> жандарма. 2 сентября сотрудники  отдела по правам человека МИНУСМА смогли побеседовать с этими двумя лицами, содержавшимися силами КСА в Бере в районе Томбукту. Вместе с тем местонахождение других 20 военнослужащих малийских вооруженных сил остается неизвестным. Для отдела весьма проблематично получить доступ к этим задержанным.</w:t>
      </w:r>
    </w:p>
    <w:p w:rsidR="0087143F" w:rsidRPr="00721A97" w:rsidRDefault="0087143F" w:rsidP="0087143F">
      <w:pPr>
        <w:pStyle w:val="SingleTxt"/>
        <w:rPr>
          <w:bCs/>
        </w:rPr>
      </w:pPr>
      <w:r w:rsidRPr="00721A97">
        <w:rPr>
          <w:bCs/>
        </w:rPr>
        <w:t>49.</w:t>
      </w:r>
      <w:r w:rsidRPr="00721A97">
        <w:rPr>
          <w:bCs/>
        </w:rPr>
        <w:tab/>
        <w:t>С марта 2015 года на многих трассах региона (Ансонго-Инделимане, Гао-Госси и т.д</w:t>
      </w:r>
      <w:r>
        <w:rPr>
          <w:bCs/>
        </w:rPr>
        <w:t>.</w:t>
      </w:r>
      <w:r w:rsidRPr="00721A97">
        <w:rPr>
          <w:bCs/>
        </w:rPr>
        <w:t>) отмечалось расширение применения самодельных взрывных устройств. Были совершены нападения как на имущество МИНУСМА (в частности</w:t>
      </w:r>
      <w:r>
        <w:rPr>
          <w:bCs/>
        </w:rPr>
        <w:t>,</w:t>
      </w:r>
      <w:r w:rsidRPr="00721A97">
        <w:rPr>
          <w:bCs/>
        </w:rPr>
        <w:t xml:space="preserve"> логистические конвои), так и на малийские вооруженные силы. Отдел по правам человека зарегистрировал десятки случаев посягательств на физическую неприкосновенность (легкие и тяжелые ранения в результате взрыва самодельного взрывного устройства) и посягательств на право на жизнь (случаи смерти вследствие ранений, причиненных самодельным взрывным устройством). Эти нападения представляют собой также посягательства на свободу передвижения и торговли, в том числе </w:t>
      </w:r>
      <w:r>
        <w:rPr>
          <w:bCs/>
        </w:rPr>
        <w:t>товарами</w:t>
      </w:r>
      <w:r w:rsidRPr="00721A97">
        <w:rPr>
          <w:bCs/>
        </w:rPr>
        <w:t>, и доступа к основным социальным услугам, а</w:t>
      </w:r>
      <w:r>
        <w:rPr>
          <w:bCs/>
        </w:rPr>
        <w:t>, </w:t>
      </w:r>
      <w:r w:rsidRPr="00721A97">
        <w:rPr>
          <w:bCs/>
        </w:rPr>
        <w:t>следовательно</w:t>
      </w:r>
      <w:r>
        <w:rPr>
          <w:bCs/>
        </w:rPr>
        <w:t>,</w:t>
      </w:r>
      <w:r w:rsidRPr="00721A97">
        <w:rPr>
          <w:bCs/>
        </w:rPr>
        <w:t xml:space="preserve"> посягательства на экономические и социальные права.</w:t>
      </w:r>
    </w:p>
    <w:p w:rsidR="0087143F" w:rsidRPr="00721A97" w:rsidRDefault="0087143F" w:rsidP="0087143F">
      <w:pPr>
        <w:pStyle w:val="SingleTxt"/>
        <w:rPr>
          <w:bCs/>
        </w:rPr>
      </w:pPr>
      <w:r w:rsidRPr="00721A97">
        <w:rPr>
          <w:bCs/>
        </w:rPr>
        <w:t>50.</w:t>
      </w:r>
      <w:r w:rsidRPr="00721A97">
        <w:rPr>
          <w:bCs/>
        </w:rPr>
        <w:tab/>
        <w:t>В районе Томбукту начиная с марта 2015 года положение в области прав человека постепенно ухудшалось по причине растущего отсутствия безопасности вследствие действий вооруженных и террористических групп. Отдел по правам человека зарегистрировал целый ряд случаев казней без надлежащего судебного разбирательства, незаконных задержаний и лишения свободы, жестокого обращения и посягательств на свободы и физическую неприкосновенность. Кроме того, положение характеризовалось массовым перемещением гражданского населения и грабежом его имущества. Независимый эксперт обеспокоен также целенаправленными нападениями на государственные учреждения и государственных служащих. Помимо этого, в регионе были отмечены ряд нападений на силы МИНУСМА и гуманитарных сотрудников, характеризовавшиеся посягательствами на жизнь и физическую неприкосновенность.</w:t>
      </w:r>
    </w:p>
    <w:p w:rsidR="0087143F" w:rsidRDefault="0087143F" w:rsidP="0087143F">
      <w:pPr>
        <w:pStyle w:val="SingleTxt"/>
        <w:rPr>
          <w:bCs/>
        </w:rPr>
      </w:pPr>
      <w:r w:rsidRPr="00721A97">
        <w:rPr>
          <w:bCs/>
        </w:rPr>
        <w:t>51.</w:t>
      </w:r>
      <w:r w:rsidRPr="00721A97">
        <w:rPr>
          <w:bCs/>
        </w:rPr>
        <w:tab/>
        <w:t>Независимый эксперт получил сведения, согласно которым КСА в Томбукто ввел незаконные сборы с торговцев и автомобилей в рыночные дни в обмен на обеспечение безопасности населения.</w:t>
      </w:r>
    </w:p>
    <w:p w:rsidR="0087143F" w:rsidRPr="001F4D38" w:rsidRDefault="0087143F" w:rsidP="0087143F">
      <w:pPr>
        <w:pStyle w:val="SingleTxt"/>
        <w:spacing w:after="0" w:line="120" w:lineRule="exact"/>
        <w:rPr>
          <w:bCs/>
          <w:sz w:val="10"/>
        </w:rPr>
      </w:pPr>
    </w:p>
    <w:p w:rsidR="0087143F" w:rsidRPr="001F4D38" w:rsidRDefault="0087143F" w:rsidP="0087143F">
      <w:pPr>
        <w:pStyle w:val="SingleTxt"/>
        <w:spacing w:after="0" w:line="120" w:lineRule="exact"/>
        <w:rPr>
          <w:bCs/>
          <w:sz w:val="10"/>
        </w:rPr>
      </w:pPr>
    </w:p>
    <w:p w:rsidR="0087143F" w:rsidRPr="00721A97" w:rsidRDefault="0087143F" w:rsidP="0087143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1A97">
        <w:tab/>
      </w:r>
      <w:r w:rsidRPr="00721A97">
        <w:rPr>
          <w:lang w:val="fr-CH"/>
        </w:rPr>
        <w:t>B</w:t>
      </w:r>
      <w:r w:rsidRPr="00721A97">
        <w:t>.</w:t>
      </w:r>
      <w:r w:rsidRPr="00721A97">
        <w:tab/>
        <w:t xml:space="preserve">Межобщинные и внутриобщинные конфликты </w:t>
      </w:r>
    </w:p>
    <w:p w:rsidR="0087143F" w:rsidRPr="001F4D38" w:rsidRDefault="0087143F" w:rsidP="0087143F">
      <w:pPr>
        <w:pStyle w:val="SingleTxt"/>
        <w:spacing w:after="0" w:line="120" w:lineRule="exact"/>
        <w:rPr>
          <w:sz w:val="10"/>
        </w:rPr>
      </w:pPr>
    </w:p>
    <w:p w:rsidR="0087143F" w:rsidRPr="001F4D38" w:rsidRDefault="0087143F" w:rsidP="0087143F">
      <w:pPr>
        <w:pStyle w:val="SingleTxt"/>
        <w:spacing w:after="0" w:line="120" w:lineRule="exact"/>
        <w:rPr>
          <w:sz w:val="10"/>
        </w:rPr>
      </w:pPr>
    </w:p>
    <w:p w:rsidR="0087143F" w:rsidRPr="00721A97" w:rsidRDefault="0087143F" w:rsidP="0087143F">
      <w:pPr>
        <w:pStyle w:val="SingleTxt"/>
        <w:rPr>
          <w:bCs/>
        </w:rPr>
      </w:pPr>
      <w:r w:rsidRPr="00721A97">
        <w:rPr>
          <w:bCs/>
        </w:rPr>
        <w:t>52.</w:t>
      </w:r>
      <w:r w:rsidRPr="00721A97">
        <w:rPr>
          <w:bCs/>
        </w:rPr>
        <w:tab/>
        <w:t xml:space="preserve">Независимый эксперт по-прежнему озабочен увеличением количества межобщинных и внутриобщинных конфликтов и посягательствами на права человека, включая казни, похищения и задержания по признаку этнической или племенной принадлежности жертв. Происхождение конфликта коренится в проблеме краж скота, которые совершались или могли совершаться другим племенем. </w:t>
      </w:r>
    </w:p>
    <w:p w:rsidR="0087143F" w:rsidRPr="00721A97" w:rsidRDefault="0087143F" w:rsidP="0087143F">
      <w:pPr>
        <w:pStyle w:val="SingleTxt"/>
        <w:rPr>
          <w:bCs/>
        </w:rPr>
      </w:pPr>
      <w:r w:rsidRPr="00721A97">
        <w:rPr>
          <w:bCs/>
        </w:rPr>
        <w:t>53.</w:t>
      </w:r>
      <w:r w:rsidRPr="00721A97">
        <w:rPr>
          <w:bCs/>
        </w:rPr>
        <w:tab/>
        <w:t xml:space="preserve">Рост напряженности между общинами туарегов племени дауссак, известными близостью к КСА, и общиной племени имгад, как правило, ассоциируемой с ГСТИС, в области Гао несет определенную угрозу текущему мирному процессу. К тому же зоны, затрагиваемые нынешними трениями </w:t>
      </w:r>
      <w:r w:rsidRPr="00721A97">
        <w:rPr>
          <w:bCs/>
        </w:rPr>
        <w:lastRenderedPageBreak/>
        <w:t>(Талатайе и Инделимане)</w:t>
      </w:r>
      <w:r>
        <w:rPr>
          <w:bCs/>
        </w:rPr>
        <w:t>,</w:t>
      </w:r>
      <w:r w:rsidRPr="00721A97">
        <w:rPr>
          <w:bCs/>
        </w:rPr>
        <w:t xml:space="preserve"> труднодоступны для гуманитарных субъектов и даже для МИНУСМА, что усугубляет воздействие этих трений на проживающее там гражданское население. </w:t>
      </w:r>
    </w:p>
    <w:p w:rsidR="0087143F" w:rsidRPr="00721A97" w:rsidRDefault="0087143F" w:rsidP="0087143F">
      <w:pPr>
        <w:pStyle w:val="SingleTxt"/>
        <w:rPr>
          <w:bCs/>
        </w:rPr>
      </w:pPr>
      <w:r w:rsidRPr="00721A97">
        <w:rPr>
          <w:bCs/>
        </w:rPr>
        <w:t>54.</w:t>
      </w:r>
      <w:r w:rsidRPr="00721A97">
        <w:rPr>
          <w:bCs/>
        </w:rPr>
        <w:tab/>
        <w:t>В Томбукту в рассматриваемый период наблюдалось снижение числа межобщинных и внутриобщинных конфликтов. Был отмечен только один внутриобщинный конфликт: он вспыхнул между представителями народа сонгаи, принадлежащими к коммуне Дуекире (округ Гундам)</w:t>
      </w:r>
      <w:r>
        <w:rPr>
          <w:bCs/>
        </w:rPr>
        <w:t>,</w:t>
      </w:r>
      <w:r w:rsidRPr="00721A97">
        <w:rPr>
          <w:bCs/>
        </w:rPr>
        <w:t xml:space="preserve"> с одной стороны</w:t>
      </w:r>
      <w:r>
        <w:rPr>
          <w:bCs/>
        </w:rPr>
        <w:t>,</w:t>
      </w:r>
      <w:r w:rsidRPr="00721A97">
        <w:rPr>
          <w:bCs/>
        </w:rPr>
        <w:t xml:space="preserve"> и к коммуне Конди (округ Дире) – с другой. </w:t>
      </w:r>
    </w:p>
    <w:p w:rsidR="0087143F" w:rsidRPr="00721A97" w:rsidRDefault="0087143F" w:rsidP="0087143F">
      <w:pPr>
        <w:pStyle w:val="SingleTxt"/>
        <w:rPr>
          <w:bCs/>
        </w:rPr>
      </w:pPr>
      <w:r w:rsidRPr="00721A97">
        <w:rPr>
          <w:bCs/>
        </w:rPr>
        <w:t>55.</w:t>
      </w:r>
      <w:r w:rsidRPr="00721A97">
        <w:rPr>
          <w:bCs/>
        </w:rPr>
        <w:tab/>
        <w:t xml:space="preserve">Помимо этого, в области Мопти, в которой кочуют и проживают очень многие этносы, происходит множество межобщинных и внутриобщинных конфликтов, на которые государство не в состоянии адекватно реагировать ни с точки зрения обеспечения безопасности, ни в плане отправления правосудия. </w:t>
      </w:r>
    </w:p>
    <w:p w:rsidR="0087143F" w:rsidRPr="00721A97" w:rsidRDefault="0087143F" w:rsidP="0087143F">
      <w:pPr>
        <w:pStyle w:val="SingleTxt"/>
        <w:rPr>
          <w:bCs/>
        </w:rPr>
      </w:pPr>
      <w:r w:rsidRPr="00721A97">
        <w:rPr>
          <w:bCs/>
        </w:rPr>
        <w:t>56.</w:t>
      </w:r>
      <w:r w:rsidRPr="00721A97">
        <w:rPr>
          <w:bCs/>
        </w:rPr>
        <w:tab/>
        <w:t xml:space="preserve">В начале июля 2015 года внутриобщинный конфликт в деревне Омо (сельская коммуна Бондо) привел к смерти </w:t>
      </w:r>
      <w:r>
        <w:rPr>
          <w:bCs/>
        </w:rPr>
        <w:t>1</w:t>
      </w:r>
      <w:r w:rsidRPr="00721A97">
        <w:rPr>
          <w:bCs/>
        </w:rPr>
        <w:t xml:space="preserve"> человека и спровоцировал перемещение примерно 530 человек в соседнюю деревню на территории Буркина-Фасо. 45 человек, в том числе 30 женщин, подверглись задержанию. В этой связи особенно тревожной является обстановка в зонах Банкасс (область Мопти) и Томиниан (область Сегу). С одной стороны, все чаще </w:t>
      </w:r>
      <w:r>
        <w:rPr>
          <w:bCs/>
        </w:rPr>
        <w:t xml:space="preserve">используются </w:t>
      </w:r>
      <w:r w:rsidRPr="00721A97">
        <w:rPr>
          <w:bCs/>
        </w:rPr>
        <w:t xml:space="preserve">групп самообороны, а с другой </w:t>
      </w:r>
      <w:r>
        <w:rPr>
          <w:bCs/>
        </w:rPr>
        <w:t>–</w:t>
      </w:r>
      <w:r w:rsidRPr="00721A97">
        <w:rPr>
          <w:bCs/>
        </w:rPr>
        <w:t xml:space="preserve"> множатся обвинения в обращениях к членам группировки Амаду Куфы, тогда как  крайне малочисленные в этих районах малийские силы безопасности не могут оказать ни малейшего влияния на ход событий.</w:t>
      </w:r>
    </w:p>
    <w:p w:rsidR="0087143F" w:rsidRPr="00721A97" w:rsidRDefault="0087143F" w:rsidP="0087143F">
      <w:pPr>
        <w:pStyle w:val="SingleTxt"/>
        <w:rPr>
          <w:bCs/>
        </w:rPr>
      </w:pPr>
      <w:r w:rsidRPr="00721A97">
        <w:rPr>
          <w:bCs/>
        </w:rPr>
        <w:t>57.</w:t>
      </w:r>
      <w:r w:rsidRPr="00721A97">
        <w:rPr>
          <w:bCs/>
        </w:rPr>
        <w:tab/>
        <w:t xml:space="preserve">В области Гао в связи с давним земельным спором в Тассалатане (70 км на юг от Менаки), область Гао, 21 октября произошло столкновение между членами общины дауссаак и общин пель, в результате которого были убиты три члена общины дауссаак. 30 октября в Инекаре (90 км на восток от Менаки) членами общины дауссаак были убиты четыре члена общины пель, в том числе один ребенок и одна женщина. В Бере местные власти и вооруженные группы подтвердили сообщения о межобщинных столкновениях </w:t>
      </w:r>
      <w:r>
        <w:rPr>
          <w:bCs/>
        </w:rPr>
        <w:t xml:space="preserve">в борьбе за </w:t>
      </w:r>
      <w:r w:rsidRPr="00721A97">
        <w:rPr>
          <w:bCs/>
        </w:rPr>
        <w:t>скудны</w:t>
      </w:r>
      <w:r>
        <w:rPr>
          <w:bCs/>
        </w:rPr>
        <w:t>е</w:t>
      </w:r>
      <w:r w:rsidRPr="00721A97">
        <w:rPr>
          <w:bCs/>
        </w:rPr>
        <w:t xml:space="preserve"> вод</w:t>
      </w:r>
      <w:r>
        <w:rPr>
          <w:bCs/>
        </w:rPr>
        <w:t>ные</w:t>
      </w:r>
      <w:r w:rsidRPr="00721A97">
        <w:rPr>
          <w:bCs/>
        </w:rPr>
        <w:t xml:space="preserve"> ресурс</w:t>
      </w:r>
      <w:r>
        <w:rPr>
          <w:bCs/>
        </w:rPr>
        <w:t>ы</w:t>
      </w:r>
      <w:r w:rsidRPr="00721A97">
        <w:rPr>
          <w:bCs/>
        </w:rPr>
        <w:t xml:space="preserve">, имевших место 1 октября между арабами и туарегами. Основными причинами конфликтов между членами обеих общин являются земельные споры и кражи скота. </w:t>
      </w:r>
    </w:p>
    <w:p w:rsidR="0087143F" w:rsidRDefault="0087143F" w:rsidP="0087143F">
      <w:pPr>
        <w:pStyle w:val="SingleTxt"/>
        <w:rPr>
          <w:bCs/>
        </w:rPr>
      </w:pPr>
      <w:r w:rsidRPr="00721A97">
        <w:rPr>
          <w:bCs/>
        </w:rPr>
        <w:t>58.</w:t>
      </w:r>
      <w:r w:rsidRPr="00721A97">
        <w:rPr>
          <w:bCs/>
        </w:rPr>
        <w:tab/>
        <w:t>Ужесточаются традиционные конфликты между земледельцами и пастухами, в частности по причине связей, которые могут существовать между определенными общинами и группами, прибегающими к вооруженному насилию.</w:t>
      </w:r>
    </w:p>
    <w:p w:rsidR="0087143F" w:rsidRPr="00081556" w:rsidRDefault="0087143F" w:rsidP="0087143F">
      <w:pPr>
        <w:pStyle w:val="SingleTxt"/>
        <w:spacing w:after="0" w:line="120" w:lineRule="exact"/>
        <w:rPr>
          <w:bCs/>
          <w:sz w:val="10"/>
        </w:rPr>
      </w:pPr>
    </w:p>
    <w:p w:rsidR="0087143F" w:rsidRPr="00081556" w:rsidRDefault="0087143F" w:rsidP="0087143F">
      <w:pPr>
        <w:pStyle w:val="SingleTxt"/>
        <w:spacing w:after="0" w:line="120" w:lineRule="exact"/>
        <w:rPr>
          <w:bCs/>
          <w:sz w:val="10"/>
        </w:rPr>
      </w:pPr>
    </w:p>
    <w:p w:rsidR="0087143F" w:rsidRPr="00721A97" w:rsidRDefault="0087143F" w:rsidP="0087143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721A97">
        <w:t>C.</w:t>
      </w:r>
      <w:r w:rsidRPr="00721A97">
        <w:tab/>
        <w:t>Положение женщин</w:t>
      </w:r>
    </w:p>
    <w:p w:rsidR="0087143F" w:rsidRPr="00081556" w:rsidRDefault="0087143F" w:rsidP="0087143F">
      <w:pPr>
        <w:pStyle w:val="SingleTxt"/>
        <w:spacing w:after="0" w:line="120" w:lineRule="exact"/>
        <w:rPr>
          <w:sz w:val="10"/>
        </w:rPr>
      </w:pPr>
    </w:p>
    <w:p w:rsidR="0087143F" w:rsidRPr="00081556" w:rsidRDefault="0087143F" w:rsidP="0087143F">
      <w:pPr>
        <w:pStyle w:val="SingleTxt"/>
        <w:spacing w:after="0" w:line="120" w:lineRule="exact"/>
        <w:rPr>
          <w:sz w:val="10"/>
        </w:rPr>
      </w:pPr>
    </w:p>
    <w:p w:rsidR="0087143F" w:rsidRPr="00721A97" w:rsidRDefault="0087143F" w:rsidP="0087143F">
      <w:pPr>
        <w:pStyle w:val="SingleTxt"/>
      </w:pPr>
      <w:r w:rsidRPr="00721A97">
        <w:t>59.</w:t>
      </w:r>
      <w:r w:rsidRPr="00721A97">
        <w:tab/>
        <w:t>С самого начала алжирского процесса посредничества в июле 2014 года женщины недостаточно представлены на директивном уровне, и представленность женщин на этапе осуществления все еще остается очень слабой. Министерство по делам женщин, детей и семьи не имеет своих представителей в национальном комитете по координации осуществления Соглашения о мире и примирении.</w:t>
      </w:r>
    </w:p>
    <w:p w:rsidR="0087143F" w:rsidRPr="00721A97" w:rsidRDefault="0087143F" w:rsidP="0087143F">
      <w:pPr>
        <w:pStyle w:val="SingleTxt"/>
      </w:pPr>
      <w:r w:rsidRPr="00721A97">
        <w:t>60.</w:t>
      </w:r>
      <w:r w:rsidRPr="00721A97">
        <w:tab/>
        <w:t>Вместе с тем в глав</w:t>
      </w:r>
      <w:r>
        <w:t>е</w:t>
      </w:r>
      <w:r w:rsidRPr="00721A97">
        <w:t xml:space="preserve"> 14 </w:t>
      </w:r>
      <w:r>
        <w:t>Соглашения</w:t>
      </w:r>
      <w:r w:rsidRPr="00721A97">
        <w:t xml:space="preserve"> </w:t>
      </w:r>
      <w:r>
        <w:t xml:space="preserve">содержатся </w:t>
      </w:r>
      <w:r w:rsidRPr="00721A97">
        <w:t>элементы защиты женщин и борьбы с безнаказанностью</w:t>
      </w:r>
      <w:r>
        <w:t>,</w:t>
      </w:r>
      <w:r w:rsidRPr="00721A97">
        <w:t xml:space="preserve"> и </w:t>
      </w:r>
      <w:r>
        <w:t xml:space="preserve">в нем </w:t>
      </w:r>
      <w:r w:rsidRPr="00721A97">
        <w:t>удел</w:t>
      </w:r>
      <w:r>
        <w:t>яется</w:t>
      </w:r>
      <w:r w:rsidRPr="00721A97">
        <w:t xml:space="preserve"> особо</w:t>
      </w:r>
      <w:r>
        <w:t>е</w:t>
      </w:r>
      <w:r w:rsidRPr="00721A97">
        <w:t xml:space="preserve"> внимани</w:t>
      </w:r>
      <w:r>
        <w:t>е</w:t>
      </w:r>
      <w:r w:rsidRPr="00721A97">
        <w:t xml:space="preserve"> как созданию международной комиссии по расследованию сексуальных преступлений, так и запрещению амнисти</w:t>
      </w:r>
      <w:r>
        <w:t>рования</w:t>
      </w:r>
      <w:r w:rsidRPr="00721A97">
        <w:t xml:space="preserve"> лиц, виновных в грубых нарушениях прав человека в связи с конфликтом, включая насилие о отношении женщин, девочек и детей. Эти положения Соглашения о защите женщин и борьбе с безнаказанностью призваны сыграть важную роль в деле создания профилактических механизмов в </w:t>
      </w:r>
      <w:r w:rsidRPr="00721A97">
        <w:lastRenderedPageBreak/>
        <w:t>рамках реформ, намечаемых в сферах безопасности, обороны и отправления правосудия.</w:t>
      </w:r>
    </w:p>
    <w:p w:rsidR="0087143F" w:rsidRPr="00FF01BE" w:rsidRDefault="0087143F" w:rsidP="0087143F">
      <w:pPr>
        <w:pStyle w:val="SingleTxt"/>
      </w:pPr>
      <w:r w:rsidRPr="00FF01BE">
        <w:t>61.</w:t>
      </w:r>
      <w:r w:rsidRPr="00FF01BE">
        <w:tab/>
        <w:t>Реорганизация на уровне министерств, проведенная Президентом 25 сентября 2015 года, увеличила представленност</w:t>
      </w:r>
      <w:r>
        <w:t>ь женщин в правительстве с 10,3% до 16,1</w:t>
      </w:r>
      <w:r w:rsidRPr="00FF01BE">
        <w:t xml:space="preserve">%. Женщины занимают 5 из 31 министерского поста. Как представляется, эта ситуация свидетельствует о положительной эволюции в деле проявления политической воли и осознания ключевой роли женщин. </w:t>
      </w:r>
    </w:p>
    <w:p w:rsidR="0087143F" w:rsidRPr="00FF01BE" w:rsidRDefault="0087143F" w:rsidP="0087143F">
      <w:pPr>
        <w:pStyle w:val="SingleTxt"/>
      </w:pPr>
      <w:r w:rsidRPr="00FF01BE">
        <w:t>62.</w:t>
      </w:r>
      <w:r w:rsidRPr="00FF01BE">
        <w:tab/>
        <w:t>Независимый эксперт весьма обеспокоен отсутствием прогресса в расследовани</w:t>
      </w:r>
      <w:r>
        <w:t>ях</w:t>
      </w:r>
      <w:r w:rsidRPr="00FF01BE">
        <w:t xml:space="preserve"> и судебном преследовании </w:t>
      </w:r>
      <w:r>
        <w:t xml:space="preserve">за </w:t>
      </w:r>
      <w:r w:rsidRPr="00FF01BE">
        <w:t>преступлени</w:t>
      </w:r>
      <w:r>
        <w:t>я</w:t>
      </w:r>
      <w:r w:rsidRPr="00FF01BE">
        <w:t>, совершенны</w:t>
      </w:r>
      <w:r>
        <w:t>е</w:t>
      </w:r>
      <w:r w:rsidRPr="00FF01BE">
        <w:t xml:space="preserve"> в прошлом, </w:t>
      </w:r>
      <w:r>
        <w:t>а также</w:t>
      </w:r>
      <w:r w:rsidRPr="00FF01BE">
        <w:t xml:space="preserve"> установившейся атмосферой безнаказанности. </w:t>
      </w:r>
    </w:p>
    <w:p w:rsidR="0087143F" w:rsidRPr="00FF01BE" w:rsidRDefault="0087143F" w:rsidP="0087143F">
      <w:pPr>
        <w:pStyle w:val="SingleTxt"/>
      </w:pPr>
      <w:r w:rsidRPr="00FF01BE">
        <w:t>63.</w:t>
      </w:r>
      <w:r w:rsidRPr="00FF01BE">
        <w:tab/>
        <w:t>Независимый эксперт по-прежнему уделяет особое внимание случаям насилия в отношении женщин и в этой связи получил</w:t>
      </w:r>
      <w:r>
        <w:t xml:space="preserve"> соответствующую информацию от </w:t>
      </w:r>
      <w:r w:rsidRPr="00FF01BE">
        <w:t xml:space="preserve">двух женщин, переживших сексуальное насилие. 29 сентября 2015 года в районе Томбукту эти женщины были изнасилованы под угрозой расстрела членами группировки Народная коалиция за Азавад (НКА) во время поездки общественным транспортом в Ашаране (35 км на восток от Томбукту), коммуна Алафия. Они были направлены к сотрудникам организации «Врачи без границ» для оказания им медицинской и психосоциальной поддержки. </w:t>
      </w:r>
    </w:p>
    <w:p w:rsidR="0087143F" w:rsidRPr="00FF01BE" w:rsidRDefault="0087143F" w:rsidP="0087143F">
      <w:pPr>
        <w:pStyle w:val="SingleTxt"/>
      </w:pPr>
      <w:r w:rsidRPr="00FF01BE">
        <w:t>64.</w:t>
      </w:r>
      <w:r w:rsidRPr="00FF01BE">
        <w:tab/>
        <w:t>Независимый эксперт получил также сведения о том, что с момента занятия силами НКА Ашаране 24 июля 2015 года увеличилось число случаев сексуального насилия на трассе, соединяющей Томбукту и Гундам. Кроме того, весьма вероятно, что число случаев сексуального насилия в действительности выше, чем сообщается, так как некоторые жертвы избегают подачи официального заявления, опасаясь социальной стигматизации в их общинах. В Имбогитане (5 км на север от Анефиса) одна женщина заявила, что 25</w:t>
      </w:r>
      <w:r>
        <w:t>–</w:t>
      </w:r>
      <w:r w:rsidRPr="00FF01BE">
        <w:t>27 августа 2015 года она была трижды изнасилована тремя вооруженными мужчинами. Независимый эксперт получил также сообщения, указывающие на то, что через неделю после взятия Анефиса силами «Платформы» в той же деревне их представителями были совершены четыре попытки изнасилований. Никто из жертв не обращался за помощью в медицинское учреждение.</w:t>
      </w:r>
      <w:r>
        <w:t xml:space="preserve"> </w:t>
      </w:r>
    </w:p>
    <w:p w:rsidR="0087143F" w:rsidRPr="00FF01BE" w:rsidRDefault="0087143F" w:rsidP="0087143F">
      <w:pPr>
        <w:pStyle w:val="SingleTxt"/>
      </w:pPr>
      <w:r w:rsidRPr="00FF01BE">
        <w:t>65.</w:t>
      </w:r>
      <w:r w:rsidRPr="00FF01BE">
        <w:tab/>
        <w:t>Независимый эксперт удовлетворен осуществлением программы Фонда по содействию защите и доступу жертв сексуального насилия к правосудию, учрежденного</w:t>
      </w:r>
      <w:r>
        <w:t xml:space="preserve"> </w:t>
      </w:r>
      <w:r w:rsidRPr="00FF01BE">
        <w:t xml:space="preserve">отделом по правам человека в июне 2015 года, в который Верховный комиссар по правам человека внесла сумму в размере 30 000 долл. США. Этой программой уже воспользовались 15 пострадавших женщин. </w:t>
      </w:r>
    </w:p>
    <w:p w:rsidR="0087143F" w:rsidRPr="00FF01BE" w:rsidRDefault="0087143F" w:rsidP="0087143F">
      <w:pPr>
        <w:pStyle w:val="SingleTxt"/>
      </w:pPr>
      <w:r w:rsidRPr="00FF01BE">
        <w:t>66.</w:t>
      </w:r>
      <w:r w:rsidRPr="00FF01BE">
        <w:tab/>
        <w:t>Независимый эксперт приветствует также проект быстрого реагирования, созданный 24 октября неправительственной организацией под названием Ассоциация женщин, пострадавших от избиений. Этот проект, в частности,</w:t>
      </w:r>
      <w:r>
        <w:t xml:space="preserve"> </w:t>
      </w:r>
      <w:r w:rsidRPr="00FF01BE">
        <w:t xml:space="preserve">предназначен для 106 перемещенных женщин, пострадавших от грубых нарушений прав человека, которые были совершены экстремистскими вооруженными группами в захваченных районах северной части Мали, а также от сексуального насилия в районе Томбукту. </w:t>
      </w:r>
    </w:p>
    <w:p w:rsidR="0087143F" w:rsidRPr="00D85A59" w:rsidRDefault="0087143F" w:rsidP="0087143F">
      <w:pPr>
        <w:pStyle w:val="SingleTxt"/>
        <w:spacing w:after="0" w:line="120" w:lineRule="exact"/>
        <w:rPr>
          <w:b/>
          <w:bCs/>
          <w:sz w:val="10"/>
        </w:rPr>
      </w:pPr>
    </w:p>
    <w:p w:rsidR="0087143F" w:rsidRPr="00D85A59" w:rsidRDefault="0087143F" w:rsidP="0087143F">
      <w:pPr>
        <w:pStyle w:val="SingleTxt"/>
        <w:spacing w:after="0" w:line="120" w:lineRule="exact"/>
        <w:rPr>
          <w:b/>
          <w:bCs/>
          <w:sz w:val="10"/>
        </w:rPr>
      </w:pPr>
    </w:p>
    <w:p w:rsidR="0087143F" w:rsidRPr="00FF01BE" w:rsidRDefault="0087143F" w:rsidP="0087143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FF01BE">
        <w:t>D.</w:t>
      </w:r>
      <w:r w:rsidRPr="00FF01BE">
        <w:tab/>
        <w:t>Положение детей</w:t>
      </w:r>
    </w:p>
    <w:p w:rsidR="0087143F" w:rsidRPr="00D85A59" w:rsidRDefault="0087143F" w:rsidP="0087143F">
      <w:pPr>
        <w:pStyle w:val="SingleTxt"/>
        <w:spacing w:after="0" w:line="120" w:lineRule="exact"/>
        <w:rPr>
          <w:sz w:val="10"/>
        </w:rPr>
      </w:pPr>
    </w:p>
    <w:p w:rsidR="0087143F" w:rsidRPr="00D85A59" w:rsidRDefault="0087143F" w:rsidP="0087143F">
      <w:pPr>
        <w:pStyle w:val="SingleTxt"/>
        <w:spacing w:after="0" w:line="120" w:lineRule="exact"/>
        <w:rPr>
          <w:sz w:val="10"/>
        </w:rPr>
      </w:pPr>
    </w:p>
    <w:p w:rsidR="0087143F" w:rsidRPr="00FF01BE" w:rsidRDefault="0087143F" w:rsidP="0087143F">
      <w:pPr>
        <w:pStyle w:val="SingleTxt"/>
      </w:pPr>
      <w:r w:rsidRPr="00FF01BE">
        <w:t>67.</w:t>
      </w:r>
      <w:r w:rsidRPr="00FF01BE">
        <w:tab/>
        <w:t>Независимый эксперт был проинформирован о том, что дети неоднократно становились жертвами столкновений между вооруженными группами. Он получил сведения о том, что 29 апреля 2015 года в Лере (230 км на запад от Томбукту) в ходе вооруженных столкновений между силами КСА и малийской армии получили ранение четыре гражданских лица, в том числе три ребенка. 18 августа в Инкадевене (75 к</w:t>
      </w:r>
      <w:r>
        <w:t>м</w:t>
      </w:r>
      <w:r w:rsidRPr="00FF01BE">
        <w:t xml:space="preserve"> от Менаки), область Гао, при взрыве самодельного </w:t>
      </w:r>
      <w:r w:rsidRPr="00FF01BE">
        <w:lastRenderedPageBreak/>
        <w:t>взрывного устройства были убиты двое детей в возраст</w:t>
      </w:r>
      <w:r>
        <w:t>е</w:t>
      </w:r>
      <w:r w:rsidRPr="00FF01BE">
        <w:t xml:space="preserve"> шест</w:t>
      </w:r>
      <w:r>
        <w:t>и</w:t>
      </w:r>
      <w:r w:rsidRPr="00FF01BE">
        <w:t xml:space="preserve"> и восьми лет и ранены трое лиц </w:t>
      </w:r>
      <w:r>
        <w:t>–</w:t>
      </w:r>
      <w:r w:rsidRPr="00FF01BE">
        <w:t xml:space="preserve"> двое мужчин и один трехлетний ребенок. </w:t>
      </w:r>
    </w:p>
    <w:p w:rsidR="0087143F" w:rsidRPr="00FF01BE" w:rsidRDefault="0087143F" w:rsidP="0087143F">
      <w:pPr>
        <w:pStyle w:val="SingleTxt"/>
      </w:pPr>
      <w:r w:rsidRPr="00FF01BE">
        <w:t>68.</w:t>
      </w:r>
      <w:r w:rsidRPr="00FF01BE">
        <w:tab/>
        <w:t>Вербовка и использование детей вооруженными группами также представляют собой проблему, и поступающие сообщения указывают на присутствие в пунктах контроля детей, некоторые из которых вооружены. 2 октября сотрудники отдела по правам человека МИНУСМА во время поездки в Инбарам, примерно в 8 км от Менаки, область Гао, наблюдали в составе подразделений ГСТИС не менее пяти детей в военной форме и с оружием. Сотрудники отдела по правам человека также допросили подростка в возрасте 16 лет, содержавшегося под стражей силами КСА в помещениях Смешанного комитета безопасности Азавада в Кидале (СКБАК). Подросток признался, что он был завербован в ГСТИС, и подтвердил, что он был задержан в мае в Тин Фадимате, область Гао, во время участия в боевых действиях. 5 октября сотрудники отдела по правам человека МИНУСМА видели в составе подразделений НКА не менее трех детей. Один правозащитник побеседовал с 16-летним подростком, который сообщил, что в июле 2015 года он добровольно вступил в ряды НКА вместе с другими детьми (примерно семь человек). Он рассказал, что дети в основном используются для приготовления пищи,</w:t>
      </w:r>
      <w:r>
        <w:t xml:space="preserve"> </w:t>
      </w:r>
      <w:r w:rsidRPr="00FF01BE">
        <w:t>но получают также военную подготовку.</w:t>
      </w:r>
    </w:p>
    <w:p w:rsidR="0087143F" w:rsidRPr="00FF01BE" w:rsidRDefault="0087143F" w:rsidP="0087143F">
      <w:pPr>
        <w:pStyle w:val="SingleTxt"/>
      </w:pPr>
      <w:r w:rsidRPr="00FF01BE">
        <w:t>69.</w:t>
      </w:r>
      <w:r w:rsidRPr="00FF01BE">
        <w:tab/>
        <w:t xml:space="preserve">Остается высоким риск сексуального насилия в отношении детей со стороны членов вооруженных групп. В июне отдел по правам человека МИНУСМА зарегистрировал один случай изнасилования 16-летней девочки национальным гвардейцем в Мопти. </w:t>
      </w:r>
    </w:p>
    <w:p w:rsidR="0087143F" w:rsidRPr="00FF01BE" w:rsidRDefault="0087143F" w:rsidP="0087143F">
      <w:pPr>
        <w:pStyle w:val="SingleTxt"/>
      </w:pPr>
      <w:r w:rsidRPr="00FF01BE">
        <w:t>70.</w:t>
      </w:r>
      <w:r w:rsidRPr="00FF01BE">
        <w:tab/>
        <w:t>На встрече с представителями гражданского общества в Кидале Независимый эксперт был проинформирован о проблемах, создаваемых социально-экономическим положением в северной части страны и ограниченным доступом к питьевой воде и надлежащим санитарно-гигиеническим условиям, вследствие чего дети подвергаются риску заражения потенциально смертельными болезнями.</w:t>
      </w:r>
    </w:p>
    <w:p w:rsidR="0087143F" w:rsidRPr="00D85A59" w:rsidRDefault="0087143F" w:rsidP="0087143F">
      <w:pPr>
        <w:pStyle w:val="SingleTxt"/>
        <w:spacing w:after="0" w:line="120" w:lineRule="exact"/>
        <w:rPr>
          <w:b/>
          <w:bCs/>
          <w:sz w:val="10"/>
        </w:rPr>
      </w:pPr>
    </w:p>
    <w:p w:rsidR="0087143F" w:rsidRPr="00D85A59" w:rsidRDefault="0087143F" w:rsidP="0087143F">
      <w:pPr>
        <w:pStyle w:val="SingleTxt"/>
        <w:spacing w:after="0" w:line="120" w:lineRule="exact"/>
        <w:rPr>
          <w:b/>
          <w:bCs/>
          <w:sz w:val="10"/>
        </w:rPr>
      </w:pPr>
    </w:p>
    <w:p w:rsidR="0087143F" w:rsidRPr="00FF01BE" w:rsidRDefault="0087143F" w:rsidP="0087143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FF01BE">
        <w:t>E.</w:t>
      </w:r>
      <w:r w:rsidRPr="00FF01BE">
        <w:tab/>
        <w:t>Состояние пенитенциарной системы</w:t>
      </w:r>
    </w:p>
    <w:p w:rsidR="0087143F" w:rsidRPr="00D85A59" w:rsidRDefault="0087143F" w:rsidP="0087143F">
      <w:pPr>
        <w:pStyle w:val="SingleTxt"/>
        <w:spacing w:after="0" w:line="120" w:lineRule="exact"/>
        <w:rPr>
          <w:sz w:val="10"/>
        </w:rPr>
      </w:pPr>
    </w:p>
    <w:p w:rsidR="0087143F" w:rsidRPr="00D85A59" w:rsidRDefault="0087143F" w:rsidP="0087143F">
      <w:pPr>
        <w:pStyle w:val="SingleTxt"/>
        <w:spacing w:after="0" w:line="120" w:lineRule="exact"/>
        <w:rPr>
          <w:sz w:val="10"/>
        </w:rPr>
      </w:pPr>
    </w:p>
    <w:p w:rsidR="0087143F" w:rsidRPr="00FF01BE" w:rsidRDefault="0087143F" w:rsidP="0087143F">
      <w:pPr>
        <w:pStyle w:val="SingleTxt"/>
      </w:pPr>
      <w:r w:rsidRPr="00FF01BE">
        <w:t>71.</w:t>
      </w:r>
      <w:r w:rsidRPr="00FF01BE">
        <w:tab/>
        <w:t xml:space="preserve">Независимый эксперт имел возможность посетить главный центр содержания под стражей в Бамако и провести беседы с лицами, лишенными свободы в связи с конфликтом в северной части страны, а также лицами, задержанными в ходе контртеррористических операций в южных районах Мали. Среди опрошенных заключенных одно лицо содержалось под стражей уже восемь месяцев без допроса и присутствовал один несовершеннолетний, по-видимому ранее входивший с состав одной из вооруженных групп. </w:t>
      </w:r>
    </w:p>
    <w:p w:rsidR="0087143F" w:rsidRPr="00FF01BE" w:rsidRDefault="0087143F" w:rsidP="0087143F">
      <w:pPr>
        <w:pStyle w:val="SingleTxt"/>
      </w:pPr>
      <w:r w:rsidRPr="00FF01BE">
        <w:t>72.</w:t>
      </w:r>
      <w:r w:rsidRPr="00FF01BE">
        <w:tab/>
        <w:t>Половина заключенных был</w:t>
      </w:r>
      <w:r>
        <w:t>а</w:t>
      </w:r>
      <w:r w:rsidRPr="00FF01BE">
        <w:t xml:space="preserve"> доставлен</w:t>
      </w:r>
      <w:r>
        <w:t>а</w:t>
      </w:r>
      <w:r w:rsidRPr="00FF01BE">
        <w:t xml:space="preserve"> к следственному судье, но очевидно, что закрепленное в малийской Конституции право задержанных лиц на доступ к адвокату на практике не соблюдается. В действительности не осуществляется право на доступ к бесплатной юридической помощи, предусмотренное законом. Количество заключенных, по оценкам, составляющее 1</w:t>
      </w:r>
      <w:r>
        <w:t> </w:t>
      </w:r>
      <w:r w:rsidRPr="00FF01BE">
        <w:t xml:space="preserve">900 человек, значительно выше вместимости тюрьмы, рассчитанной на 600 человек. Это положение непосредственно связано с большим числом лиц, находящихся в предварительном заключении. </w:t>
      </w:r>
    </w:p>
    <w:p w:rsidR="0087143F" w:rsidRPr="00FF01BE" w:rsidRDefault="0087143F" w:rsidP="0087143F">
      <w:pPr>
        <w:pStyle w:val="SingleTxt"/>
      </w:pPr>
      <w:r w:rsidRPr="00FF01BE">
        <w:t>73.</w:t>
      </w:r>
      <w:r w:rsidRPr="00FF01BE">
        <w:tab/>
        <w:t>Независимый эксперт отметил, что регистрация данных</w:t>
      </w:r>
      <w:r>
        <w:t xml:space="preserve"> о</w:t>
      </w:r>
      <w:r w:rsidRPr="00FF01BE">
        <w:t xml:space="preserve"> помещенных под стражу лиц</w:t>
      </w:r>
      <w:r>
        <w:t>ах</w:t>
      </w:r>
      <w:r w:rsidRPr="0084781E">
        <w:t xml:space="preserve"> </w:t>
      </w:r>
      <w:r w:rsidRPr="00FF01BE">
        <w:t xml:space="preserve">ведется, но для того, чтобы разобраться в положении того или иного заключенного, необходимо ознакомиться с целым рядом реестров. Данные не компьютеризованы, и пользоваться ими непросто. Независимый эксперт также </w:t>
      </w:r>
      <w:r w:rsidRPr="00FF01BE">
        <w:lastRenderedPageBreak/>
        <w:t>констатировал,</w:t>
      </w:r>
      <w:r>
        <w:t xml:space="preserve"> </w:t>
      </w:r>
      <w:r w:rsidRPr="00FF01BE">
        <w:t xml:space="preserve">что по причине конструктивной неприспособленности помещений и отсутствия надлежащего оборудования наблюдения и контроля безопасность в тюрьме находится на низком уровне. </w:t>
      </w:r>
    </w:p>
    <w:p w:rsidR="0087143F" w:rsidRPr="00FF01BE" w:rsidRDefault="0087143F" w:rsidP="0087143F">
      <w:pPr>
        <w:pStyle w:val="SingleTxt"/>
      </w:pPr>
      <w:r w:rsidRPr="00FF01BE">
        <w:t>74.</w:t>
      </w:r>
      <w:r w:rsidRPr="00FF01BE">
        <w:tab/>
        <w:t>Независимый эксперт получил сведения о том, что со времени последней поездки Независимого эксперта отдел по правам человека регулярно контролировал государственные пенитенциарные учреждения и места содержания под стражей, используемые вооруженными группами повсюду в стране, включая места заключения КСА, находящиеся в Кидале и Бере. В июне в области Сегу (центральная часть Мали) были зарегистрированы заявления, в которых утверждалось, что военнослужащие малийских вооруженных сил применяли пытки и жестокие, бесчеловечные или унижающие достоинство виды обращения. Пострадавшие подозревались в связях с вооруженными или террористическими группами. По информации, предоставленной Независимому эксперту, жертвы таких актов задерживались малийскими вооруженными силами по подозрениям в сотрудничестве с вооруженными террористическими группами</w:t>
      </w:r>
      <w:r>
        <w:t xml:space="preserve"> </w:t>
      </w:r>
      <w:r w:rsidRPr="00FF01BE">
        <w:t>и содержались в военных казармах, где их держали связанными, с завязанными глазами,</w:t>
      </w:r>
      <w:r>
        <w:t xml:space="preserve"> </w:t>
      </w:r>
      <w:r w:rsidRPr="00FF01BE">
        <w:t xml:space="preserve">подвешивали за ноги </w:t>
      </w:r>
      <w:r>
        <w:t>на несколько</w:t>
      </w:r>
      <w:r w:rsidRPr="00FF01BE">
        <w:t xml:space="preserve"> часов и избивали на допросах. Через несколько дней их передавали в соответствующую жандармерию, и злоупотребления прекращались. Опрошенные заключенные неоднократно сообщали, что командование малийских вооруженных сил знало о таких видах обращения или подстрекало к ним.</w:t>
      </w:r>
    </w:p>
    <w:p w:rsidR="0087143F" w:rsidRPr="00FF01BE" w:rsidRDefault="0087143F" w:rsidP="0087143F">
      <w:pPr>
        <w:pStyle w:val="SingleTxt"/>
      </w:pPr>
      <w:r w:rsidRPr="00FF01BE">
        <w:t>75.</w:t>
      </w:r>
      <w:r w:rsidRPr="00FF01BE">
        <w:tab/>
        <w:t>Независимый эксперт с сожалением отмечает, что за рассматриваемый период отдел по правам человека не получил доступа к центрам содержания под стражей</w:t>
      </w:r>
      <w:r>
        <w:t>, находившимся</w:t>
      </w:r>
      <w:r w:rsidRPr="00FF01BE">
        <w:t xml:space="preserve"> в ведении службы государственной безопасности, и его сотрудни</w:t>
      </w:r>
      <w:r>
        <w:t>ки не могли посещать содержавш</w:t>
      </w:r>
      <w:r w:rsidRPr="00FF01BE">
        <w:t>ихся в них лиц. Отдел также имел ограниченный доступ в места заключения</w:t>
      </w:r>
      <w:r>
        <w:t>, находившимся</w:t>
      </w:r>
      <w:r w:rsidRPr="00FF01BE">
        <w:t xml:space="preserve"> в ведении КСА</w:t>
      </w:r>
      <w:r>
        <w:t xml:space="preserve">, </w:t>
      </w:r>
      <w:r w:rsidRPr="00FF01BE">
        <w:t>и к содержа</w:t>
      </w:r>
      <w:r>
        <w:t>вшимся</w:t>
      </w:r>
      <w:r w:rsidRPr="00FF01BE">
        <w:t xml:space="preserve"> в них военнослужащим малийских сил безопасности. Независимый эксперт напоминает, что отдел по правам человека должен иметь доступ во все центры содержания под стражей всех военных субъектов, включая силы, участвующие в операции «Бархан», с тем чтобы наблюдать за соблюдением прав и благополучием задержанных от всех сторон конфликта.</w:t>
      </w:r>
    </w:p>
    <w:p w:rsidR="0087143F" w:rsidRPr="0084781E" w:rsidRDefault="0087143F" w:rsidP="0087143F">
      <w:pPr>
        <w:pStyle w:val="SingleTxt"/>
        <w:spacing w:after="0" w:line="120" w:lineRule="exact"/>
        <w:rPr>
          <w:b/>
          <w:bCs/>
          <w:sz w:val="10"/>
        </w:rPr>
      </w:pPr>
    </w:p>
    <w:p w:rsidR="0087143F" w:rsidRPr="0084781E" w:rsidRDefault="0087143F" w:rsidP="0087143F">
      <w:pPr>
        <w:pStyle w:val="SingleTxt"/>
        <w:spacing w:after="0" w:line="120" w:lineRule="exact"/>
        <w:rPr>
          <w:b/>
          <w:bCs/>
          <w:sz w:val="10"/>
        </w:rPr>
      </w:pPr>
    </w:p>
    <w:p w:rsidR="0087143F" w:rsidRPr="00FF01BE" w:rsidRDefault="0087143F" w:rsidP="0087143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FF01BE">
        <w:t>F.</w:t>
      </w:r>
      <w:r w:rsidRPr="00FF01BE">
        <w:tab/>
        <w:t>Беженцы и лица, перемещенные внутри страны</w:t>
      </w:r>
    </w:p>
    <w:p w:rsidR="0087143F" w:rsidRPr="0084781E" w:rsidRDefault="0087143F" w:rsidP="0087143F">
      <w:pPr>
        <w:pStyle w:val="SingleTxt"/>
        <w:spacing w:after="0" w:line="120" w:lineRule="exact"/>
        <w:rPr>
          <w:sz w:val="10"/>
        </w:rPr>
      </w:pPr>
    </w:p>
    <w:p w:rsidR="0087143F" w:rsidRPr="0084781E" w:rsidRDefault="0087143F" w:rsidP="0087143F">
      <w:pPr>
        <w:pStyle w:val="SingleTxt"/>
        <w:spacing w:after="0" w:line="120" w:lineRule="exact"/>
        <w:rPr>
          <w:sz w:val="10"/>
        </w:rPr>
      </w:pPr>
    </w:p>
    <w:p w:rsidR="0087143F" w:rsidRPr="00FF01BE" w:rsidRDefault="0087143F" w:rsidP="0087143F">
      <w:pPr>
        <w:pStyle w:val="SingleTxt"/>
      </w:pPr>
      <w:r w:rsidRPr="00FF01BE">
        <w:t>76.</w:t>
      </w:r>
      <w:r w:rsidRPr="00FF01BE">
        <w:tab/>
        <w:t>В рассматриваемый период Независимый эксперт был проинформирован о целом ряде инцидентов, связанных с насильственным перемещением. Согласно полученной информации,</w:t>
      </w:r>
      <w:r>
        <w:t xml:space="preserve"> </w:t>
      </w:r>
      <w:r w:rsidRPr="00FF01BE">
        <w:t>11 мая имело место массовое перемещение местного населения из пяти деревень восточнее Томбукту. По оценкам местных властей, после занятия этой зоны подразделениями КСА из нее бежали не менее 190 семей (примерно 1</w:t>
      </w:r>
      <w:r>
        <w:t> </w:t>
      </w:r>
      <w:r w:rsidRPr="00FF01BE">
        <w:t>630 человек, включая 860 женщин). Занятие этой территории сопровождалось</w:t>
      </w:r>
      <w:r>
        <w:t xml:space="preserve"> </w:t>
      </w:r>
      <w:r w:rsidRPr="00FF01BE">
        <w:t xml:space="preserve">разграблением магазинов, и население бежало из опасения новых витков насилия. 18 августа в результате столкновений между ГСТИС и КСА в окрестностях Анефиса, в 112 км на юг от Кидаля, множество семей из Иднана в районе Анефиса переместились из опасения репрессий со стороны «Платформы». </w:t>
      </w:r>
    </w:p>
    <w:p w:rsidR="0087143F" w:rsidRPr="00FF01BE" w:rsidRDefault="0087143F" w:rsidP="0087143F">
      <w:pPr>
        <w:pStyle w:val="SingleTxt"/>
      </w:pPr>
      <w:r w:rsidRPr="00FF01BE">
        <w:t>77.</w:t>
      </w:r>
      <w:r w:rsidRPr="00FF01BE">
        <w:tab/>
        <w:t>Вместе с тем Независимый эксперт отмечает, что в конце октября 2015 года Национальное управление социального развития сообщило об уменьшении количества перемещенных лиц (14</w:t>
      </w:r>
      <w:r>
        <w:t> </w:t>
      </w:r>
      <w:r w:rsidRPr="00FF01BE">
        <w:t>154 домохозяйства) и беженцев (137</w:t>
      </w:r>
      <w:r>
        <w:t> </w:t>
      </w:r>
      <w:r w:rsidRPr="00FF01BE">
        <w:t xml:space="preserve">651 человек). Хотя количество случаев посягательств на безопасность перемещенных лиц уменьшилось, для обеспечения возвращения этих лиц в достойных условиях и на долговременной основе необходимо удовлетворить их особые потребности. Они по-прежнему сталкиваются с </w:t>
      </w:r>
      <w:r>
        <w:t xml:space="preserve">такими </w:t>
      </w:r>
      <w:r w:rsidRPr="00FF01BE">
        <w:t xml:space="preserve">проблемами в области прав человека, </w:t>
      </w:r>
      <w:r>
        <w:lastRenderedPageBreak/>
        <w:t xml:space="preserve">как, </w:t>
      </w:r>
      <w:r w:rsidRPr="00FF01BE">
        <w:t>в частности</w:t>
      </w:r>
      <w:r>
        <w:t>,</w:t>
      </w:r>
      <w:r w:rsidRPr="00FF01BE">
        <w:t xml:space="preserve"> угроз</w:t>
      </w:r>
      <w:r>
        <w:t>ы</w:t>
      </w:r>
      <w:r w:rsidRPr="00FF01BE">
        <w:t xml:space="preserve"> их физической неприкосновенности, включая насилие по признаку пола, ограниченны</w:t>
      </w:r>
      <w:r>
        <w:t>й доступ</w:t>
      </w:r>
      <w:r w:rsidRPr="00FF01BE">
        <w:t xml:space="preserve"> к медицинскому обслуживанию, плох</w:t>
      </w:r>
      <w:r>
        <w:t>ая</w:t>
      </w:r>
      <w:r w:rsidRPr="00FF01BE">
        <w:t xml:space="preserve"> организаци</w:t>
      </w:r>
      <w:r>
        <w:t>я</w:t>
      </w:r>
      <w:r w:rsidRPr="00FF01BE">
        <w:t xml:space="preserve"> учебного процесса </w:t>
      </w:r>
      <w:r>
        <w:t>перемещенных детей и отсутствие</w:t>
      </w:r>
      <w:r w:rsidRPr="00FF01BE">
        <w:t xml:space="preserve"> документов, удостоверяющих личность, а также еще с огромным количеством проблем, препятствующих </w:t>
      </w:r>
      <w:r>
        <w:t>нахождению</w:t>
      </w:r>
      <w:r w:rsidRPr="00FF01BE">
        <w:t xml:space="preserve"> долговременных решений. </w:t>
      </w:r>
    </w:p>
    <w:p w:rsidR="0087143F" w:rsidRPr="00FF01BE" w:rsidRDefault="0087143F" w:rsidP="0087143F">
      <w:pPr>
        <w:pStyle w:val="SingleTxt"/>
      </w:pPr>
      <w:r w:rsidRPr="00FF01BE">
        <w:t>78.</w:t>
      </w:r>
      <w:r w:rsidRPr="00FF01BE">
        <w:tab/>
        <w:t>Независимый эксперт подчеркнул необходимость расширения присутствия гуманитарных субъектов в северной части страны, где доступ к гуманитарной помощи все еще весьма ограничен по причине ухудшения обстановки в сфере безопасности. Независимый эксперт ссылается на заявление Координатора гуманитарной помощи от 12 ноября 2015 года, в котором она осудила рост случаев насилия в отношении гуманитарных организаций в Мали. По сути, большинство нападений на персонал гуманитарных организаций и гуманитарные объекты было совершено начиная с июня. Независимый эксперт подчеркивает, что нападения на персонал и объекты гуманитарных организаций являются нарушениями международного гуманитарного права и влекут за собой санкции.</w:t>
      </w:r>
    </w:p>
    <w:p w:rsidR="0087143F" w:rsidRPr="0084781E" w:rsidRDefault="0087143F" w:rsidP="0087143F">
      <w:pPr>
        <w:pStyle w:val="SingleTxt"/>
        <w:spacing w:after="0" w:line="120" w:lineRule="exact"/>
        <w:rPr>
          <w:b/>
          <w:bCs/>
          <w:sz w:val="10"/>
        </w:rPr>
      </w:pPr>
    </w:p>
    <w:p w:rsidR="0087143F" w:rsidRPr="0084781E" w:rsidRDefault="0087143F" w:rsidP="0087143F">
      <w:pPr>
        <w:pStyle w:val="SingleTxt"/>
        <w:spacing w:after="0" w:line="120" w:lineRule="exact"/>
        <w:rPr>
          <w:b/>
          <w:bCs/>
          <w:sz w:val="10"/>
        </w:rPr>
      </w:pPr>
    </w:p>
    <w:p w:rsidR="0087143F" w:rsidRPr="00FF01BE" w:rsidRDefault="0087143F" w:rsidP="0087143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FF01BE">
        <w:t>G.</w:t>
      </w:r>
      <w:r w:rsidRPr="00FF01BE">
        <w:tab/>
        <w:t>Экономические, социальные и культурные права</w:t>
      </w:r>
    </w:p>
    <w:p w:rsidR="0087143F" w:rsidRPr="0084781E" w:rsidRDefault="0087143F" w:rsidP="0087143F">
      <w:pPr>
        <w:pStyle w:val="SingleTxt"/>
        <w:spacing w:after="0" w:line="120" w:lineRule="exact"/>
        <w:rPr>
          <w:sz w:val="10"/>
        </w:rPr>
      </w:pPr>
    </w:p>
    <w:p w:rsidR="0087143F" w:rsidRPr="0084781E" w:rsidRDefault="0087143F" w:rsidP="0087143F">
      <w:pPr>
        <w:pStyle w:val="SingleTxt"/>
        <w:spacing w:after="0" w:line="120" w:lineRule="exact"/>
        <w:rPr>
          <w:sz w:val="10"/>
        </w:rPr>
      </w:pPr>
    </w:p>
    <w:p w:rsidR="0087143F" w:rsidRPr="00FF01BE" w:rsidRDefault="0087143F" w:rsidP="0087143F">
      <w:pPr>
        <w:pStyle w:val="SingleTxt"/>
      </w:pPr>
      <w:r w:rsidRPr="00FF01BE">
        <w:t>79.</w:t>
      </w:r>
      <w:r w:rsidRPr="00FF01BE">
        <w:tab/>
        <w:t>Независимый эксперт встретился со страновой группой и был проинформирован о том, что, по имеющимся оценкам, примерно 3,1 млн. лиц в Мали находятся в ситуации отсутствия продовольственной безопасности; причем большинство таких лиц живут в северной части, где созданию этих условий способствовали принудительные перемещения и ограниченный доступ к гуманитарной помощи. В Кидале Независимый эксперт встретился с представителями организаций гражданского общества, которые сетовали на тяжелое положени</w:t>
      </w:r>
      <w:r>
        <w:t>е</w:t>
      </w:r>
      <w:r w:rsidRPr="00FF01BE">
        <w:t xml:space="preserve"> населения в связи с отсутствием питьевой воды и трудностями в доступе к питанию и образованию. Независимый эксперт получил информацию, согласно которой</w:t>
      </w:r>
      <w:r>
        <w:t xml:space="preserve"> </w:t>
      </w:r>
      <w:r>
        <w:br/>
      </w:r>
      <w:r w:rsidRPr="00FF01BE">
        <w:t>54 000 лиц в северной части Мали не имеют достаточного доступа к питьевой воде.</w:t>
      </w:r>
    </w:p>
    <w:p w:rsidR="0087143F" w:rsidRPr="00FF01BE" w:rsidRDefault="0087143F" w:rsidP="0087143F">
      <w:pPr>
        <w:pStyle w:val="SingleTxt"/>
      </w:pPr>
      <w:r w:rsidRPr="00FF01BE">
        <w:t>80.</w:t>
      </w:r>
      <w:r w:rsidRPr="00FF01BE">
        <w:tab/>
        <w:t>Повторяющиеся нападения на гуманитарный персонал препятствуют доставке гуманитарной помощи и оказывают отрицательное воздействие на положение гражданского населения. В этом году правительство вместе с такими партнерами, как Всемирная продовольственная программа, Продовольственная и сельскохозяйственная Организация Объединенных Наций и Международный комитет Красного Креста, сумели оказать помощь 220 000 человек из</w:t>
      </w:r>
      <w:r>
        <w:t xml:space="preserve"> </w:t>
      </w:r>
      <w:r w:rsidRPr="00FF01BE">
        <w:t>450 000 лиц, нуждающихся в поддержке для ведения сельского хозяйства и животноводства. Таким образом, целые общины могут оказаться в тупике, не имея доступа к продуктам питания.</w:t>
      </w:r>
    </w:p>
    <w:p w:rsidR="0087143F" w:rsidRPr="00FF01BE" w:rsidRDefault="0087143F" w:rsidP="0087143F">
      <w:pPr>
        <w:pStyle w:val="SingleTxt"/>
      </w:pPr>
      <w:r w:rsidRPr="00FF01BE">
        <w:t>81.</w:t>
      </w:r>
      <w:r w:rsidRPr="00FF01BE">
        <w:tab/>
        <w:t>Что касается доступа к образованию, то 19 октября 2015 года правозащитники МИНУСМА посетили среднюю школу Менаки. Администрация школы подняла вопросы нехватки преподавателей, уехавших по причине отсутствия безопасности, и низкого коэффициента охвата школьным образованием на уровне средней школы. На данный момент на одного преподавателя приходится 223 учащихся. В ожидании возвращения преподавателей эту нехватку пытаются возместить волонтеры. Администрация также прилагает отчаянные усилия для удовлетворения потребностей своих учащихся в обучении и письменных принадлежностях. Независимый эксперт подчеркивает, что это является лишь одним примером существующих проблем.</w:t>
      </w:r>
    </w:p>
    <w:p w:rsidR="0087143F" w:rsidRPr="00FF01BE" w:rsidRDefault="0087143F" w:rsidP="0087143F">
      <w:pPr>
        <w:pStyle w:val="SingleTxt"/>
      </w:pPr>
      <w:r w:rsidRPr="00FF01BE">
        <w:t>82.</w:t>
      </w:r>
      <w:r w:rsidRPr="00FF01BE">
        <w:tab/>
        <w:t xml:space="preserve">Несмотря на достижение определенного прогресса в решении проблемы занятия школ военными субъектами, так как после правозащитных посреднических усилий некоторые школы были эвакуированы, вооруженные </w:t>
      </w:r>
      <w:r w:rsidRPr="00FF01BE">
        <w:lastRenderedPageBreak/>
        <w:t xml:space="preserve">группы продолжают занимать и использовать в военных целях 10 школ в Томбукту, Гао и Кидале. </w:t>
      </w:r>
    </w:p>
    <w:p w:rsidR="0087143F" w:rsidRPr="00FF01BE" w:rsidRDefault="0087143F" w:rsidP="0087143F">
      <w:pPr>
        <w:pStyle w:val="SingleTxt"/>
      </w:pPr>
      <w:r w:rsidRPr="00FF01BE">
        <w:t>83.</w:t>
      </w:r>
      <w:r w:rsidRPr="00FF01BE">
        <w:tab/>
        <w:t>Что касается девочек, то зачастую они становятся жертвами дискриминации в области доступа к образованию. Семьи, обеспокоенные вопросом безопасности девочек, более подверженных угрозе стать жертвами сексуального насилия, стремятся держать их дома. Кроме того, девочкам поручается выполнение более широкого круга домашних обязанностей. Некоторые деревенские семьи отсылают девочек школьного возраста в городские районы, где они нанимаются домашней прислугой без доступа к образованию.</w:t>
      </w:r>
    </w:p>
    <w:p w:rsidR="0087143F" w:rsidRPr="00FF01BE" w:rsidRDefault="0087143F" w:rsidP="0087143F">
      <w:pPr>
        <w:pStyle w:val="SingleTxt"/>
      </w:pPr>
      <w:r w:rsidRPr="00FF01BE">
        <w:t>84.</w:t>
      </w:r>
      <w:r w:rsidRPr="00FF01BE">
        <w:tab/>
        <w:t>Независимый эксперт приветствует тот факт, что Соглашение о мире и примирении определяет открытие ранее закрытых школ в качестве одного из приоритетов Мали в постконфликтный период, и то обстоятельство, что успех международной конференции по экономическому восстановлению и развитию Мали позволяет разработать стратегии, направленные на ликвидацию этих проблем. Помимо этого,</w:t>
      </w:r>
      <w:r>
        <w:t xml:space="preserve"> </w:t>
      </w:r>
      <w:r w:rsidRPr="00FF01BE">
        <w:t>Независимый эксперт удовлетворен тем, что Мали занимается подготовкой доклада Комитету по экономическим, социальным и культурным правам.</w:t>
      </w:r>
      <w:r>
        <w:t xml:space="preserve"> </w:t>
      </w:r>
    </w:p>
    <w:p w:rsidR="0087143F" w:rsidRPr="0084781E" w:rsidRDefault="0087143F" w:rsidP="0087143F">
      <w:pPr>
        <w:pStyle w:val="SingleTxt"/>
        <w:spacing w:after="0" w:line="120" w:lineRule="exact"/>
        <w:rPr>
          <w:b/>
          <w:bCs/>
          <w:sz w:val="10"/>
        </w:rPr>
      </w:pPr>
    </w:p>
    <w:p w:rsidR="0087143F" w:rsidRPr="0084781E" w:rsidRDefault="0087143F" w:rsidP="0087143F">
      <w:pPr>
        <w:pStyle w:val="SingleTxt"/>
        <w:spacing w:after="0" w:line="120" w:lineRule="exact"/>
        <w:rPr>
          <w:b/>
          <w:bCs/>
          <w:sz w:val="10"/>
        </w:rPr>
      </w:pPr>
    </w:p>
    <w:p w:rsidR="0087143F" w:rsidRPr="00FF01BE" w:rsidRDefault="0087143F" w:rsidP="0087143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FF01BE">
        <w:t>IV.</w:t>
      </w:r>
      <w:r w:rsidRPr="00FF01BE">
        <w:tab/>
        <w:t xml:space="preserve">Выводы и рекомендации </w:t>
      </w:r>
    </w:p>
    <w:p w:rsidR="0087143F" w:rsidRPr="0084781E" w:rsidRDefault="0087143F" w:rsidP="0087143F">
      <w:pPr>
        <w:pStyle w:val="SingleTxt"/>
        <w:spacing w:after="0" w:line="120" w:lineRule="exact"/>
        <w:rPr>
          <w:b/>
          <w:bCs/>
          <w:sz w:val="10"/>
        </w:rPr>
      </w:pPr>
    </w:p>
    <w:p w:rsidR="0087143F" w:rsidRPr="0084781E" w:rsidRDefault="0087143F" w:rsidP="0087143F">
      <w:pPr>
        <w:pStyle w:val="SingleTxt"/>
        <w:spacing w:after="0" w:line="120" w:lineRule="exact"/>
        <w:rPr>
          <w:b/>
          <w:bCs/>
          <w:sz w:val="10"/>
        </w:rPr>
      </w:pPr>
    </w:p>
    <w:p w:rsidR="0087143F" w:rsidRPr="00FF01BE" w:rsidRDefault="0087143F" w:rsidP="0087143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FF01BE">
        <w:t>A.</w:t>
      </w:r>
      <w:r w:rsidRPr="00FF01BE">
        <w:tab/>
        <w:t>Выводы</w:t>
      </w:r>
    </w:p>
    <w:p w:rsidR="0087143F" w:rsidRPr="0084781E" w:rsidRDefault="0087143F" w:rsidP="0087143F">
      <w:pPr>
        <w:pStyle w:val="SingleTxt"/>
        <w:spacing w:after="0" w:line="120" w:lineRule="exact"/>
        <w:rPr>
          <w:sz w:val="10"/>
        </w:rPr>
      </w:pPr>
    </w:p>
    <w:p w:rsidR="0087143F" w:rsidRPr="0084781E" w:rsidRDefault="0087143F" w:rsidP="0087143F">
      <w:pPr>
        <w:pStyle w:val="SingleTxt"/>
        <w:spacing w:after="0" w:line="120" w:lineRule="exact"/>
        <w:rPr>
          <w:sz w:val="10"/>
        </w:rPr>
      </w:pPr>
    </w:p>
    <w:p w:rsidR="0087143F" w:rsidRPr="0084781E" w:rsidRDefault="0087143F" w:rsidP="0087143F">
      <w:pPr>
        <w:pStyle w:val="SingleTxt"/>
        <w:rPr>
          <w:b/>
          <w:bCs/>
        </w:rPr>
      </w:pPr>
      <w:r w:rsidRPr="00FF01BE">
        <w:t>85.</w:t>
      </w:r>
      <w:r w:rsidRPr="00FF01BE">
        <w:tab/>
      </w:r>
      <w:r w:rsidRPr="0084781E">
        <w:rPr>
          <w:b/>
          <w:bCs/>
        </w:rPr>
        <w:t xml:space="preserve">Независимый эксперт констатировал наличие позитивных изменений со времени его последнего посещения, однако сохраняются серьезные проблемы. В мае и июне 2015 года было подписано Соглашение о мире и примирении. Как представляется, с заключением 16 октября торжественного пакта и общественного договора КСА и «Платформой» было разблокировано осуществление Соглашения. Кроме того, Соглашение содержит существенно важные правозащитные положения, и уже отмечается продвижение в деле создания механизма правосудия переходного периода. </w:t>
      </w:r>
    </w:p>
    <w:p w:rsidR="0087143F" w:rsidRPr="0084781E" w:rsidRDefault="0087143F" w:rsidP="0087143F">
      <w:pPr>
        <w:pStyle w:val="SingleTxt"/>
        <w:rPr>
          <w:b/>
          <w:bCs/>
        </w:rPr>
      </w:pPr>
      <w:r w:rsidRPr="00FF01BE">
        <w:t>86.</w:t>
      </w:r>
      <w:r>
        <w:tab/>
      </w:r>
      <w:r w:rsidRPr="0084781E">
        <w:rPr>
          <w:b/>
          <w:bCs/>
        </w:rPr>
        <w:t>Джихадистские группы продолжают избирать мишенями своих нападений малийские силы безопасности и обороны, а также контингенты Многопрофильной комплексной миссии Организации Объединенных Наций по стабилизации в Мали. Независимый эксперт озабочен этими нападениями, включая казни без надлежащего судебного разбирательства, которым подвергаются лица, подозреваемые в сотрудничестве с МИНУСМА или силами операции «Бархан». Продолжают усугубляться нападения на гуманитарный персонал и объекты, будь то нападения джихадистов или акты бандитизма. Эти акты затрагивают наиболее уязвимое население, которое оказывается без доступа к базовым социальным услугам. Все эти факторы придают положению в сфере безопасности хрупкий характер.</w:t>
      </w:r>
    </w:p>
    <w:p w:rsidR="0087143F" w:rsidRPr="00FF01BE" w:rsidRDefault="0087143F" w:rsidP="0087143F">
      <w:pPr>
        <w:pStyle w:val="SingleTxt"/>
      </w:pPr>
      <w:r w:rsidRPr="00FF01BE">
        <w:t>87.</w:t>
      </w:r>
      <w:r w:rsidRPr="00FF01BE">
        <w:tab/>
      </w:r>
      <w:r w:rsidRPr="0084781E">
        <w:rPr>
          <w:b/>
          <w:bCs/>
        </w:rPr>
        <w:t xml:space="preserve">Вооруженные и экстремистские группы в северной части Мали продолжают совершать нарушения прав человека: посягательства на право на жизнь, похищения, жестокие, бесчеловечные или унижающие достоинство виды обращения, незаконные задержания, использование и вербовка детей вооруженными группами, ассиметричные нападения и грабежи. Независимый эксперт подчеркивает, что обстановка в сфере безопасности в Мали по причине деятельности экстремистских групп является весьма сложной и имеет многочисленные проявления, которые выходят за пределы границ Мали; международному сообществу и странам </w:t>
      </w:r>
      <w:r w:rsidRPr="0084781E">
        <w:rPr>
          <w:b/>
          <w:bCs/>
        </w:rPr>
        <w:lastRenderedPageBreak/>
        <w:t>региона следует углублять механизмы сотрудничества для более успешной борьбы с терроризмом.</w:t>
      </w:r>
      <w:r w:rsidRPr="00FF01BE">
        <w:t xml:space="preserve"> </w:t>
      </w:r>
    </w:p>
    <w:p w:rsidR="0087143F" w:rsidRPr="0084781E" w:rsidRDefault="0087143F" w:rsidP="0087143F">
      <w:pPr>
        <w:pStyle w:val="SingleTxt"/>
        <w:rPr>
          <w:b/>
          <w:bCs/>
        </w:rPr>
      </w:pPr>
      <w:r w:rsidRPr="00FF01BE">
        <w:t>88.</w:t>
      </w:r>
      <w:r w:rsidRPr="00FF01BE">
        <w:tab/>
      </w:r>
      <w:r w:rsidRPr="0084781E">
        <w:rPr>
          <w:b/>
          <w:bCs/>
        </w:rPr>
        <w:t xml:space="preserve">Положение в сфере безопасности усугубляется межобщинными и внутриобщинными конфликтами. Особенно беспокоит угроза грубых нарушений прав человека гражданского населения. Независимый эксперт подчеркивает также возможное воздействие нелегального оборота наркотиков и других видов незаконной торговли на государственное управление и положение в области прав человека. </w:t>
      </w:r>
    </w:p>
    <w:p w:rsidR="0087143F" w:rsidRPr="00003309" w:rsidRDefault="0087143F" w:rsidP="0087143F">
      <w:pPr>
        <w:pStyle w:val="SingleTxt"/>
        <w:rPr>
          <w:b/>
          <w:bCs/>
        </w:rPr>
      </w:pPr>
      <w:r w:rsidRPr="00FF01BE">
        <w:t>89.</w:t>
      </w:r>
      <w:r w:rsidRPr="00FF01BE">
        <w:tab/>
      </w:r>
      <w:r w:rsidRPr="00003309">
        <w:rPr>
          <w:b/>
          <w:bCs/>
        </w:rPr>
        <w:t xml:space="preserve">Независимый эксперт призывает власти усилить динамику институциональной реформы, особенно в том, что касается отправления правосудия и создания пунктов юридического консультирования и помощи, с тем чтобы ускорить судопроизводство в отношении преступлений, и совершаемых в центральной и северной частях страны. Чрезвычайно важное значение имеет борьба с безнаказанностью за нарушения, совершенные в прошлом и совершаемые в настоящее время, и Независимый эксперт отмечает отсутствие сколько-нибудь значимых признаков прогресса в этой связи. Для создания эффективной национальной системы защиты прав человека совершенно необходимо реформировать Национальную комиссию по правам человека в целях приведения ее в соответствие с международными нормами. </w:t>
      </w:r>
    </w:p>
    <w:p w:rsidR="0087143F" w:rsidRPr="00003309" w:rsidRDefault="0087143F" w:rsidP="0087143F">
      <w:pPr>
        <w:pStyle w:val="SingleTxt"/>
        <w:rPr>
          <w:b/>
          <w:bCs/>
        </w:rPr>
      </w:pPr>
      <w:r w:rsidRPr="00FF01BE">
        <w:t>90.</w:t>
      </w:r>
      <w:r w:rsidRPr="00FF01BE">
        <w:tab/>
      </w:r>
      <w:r w:rsidRPr="00003309">
        <w:rPr>
          <w:b/>
          <w:bCs/>
        </w:rPr>
        <w:t>Что касается Соглашения о мире и примирении, то Независимый эксперт подчеркивает соответствующие положения о запрещении амнистии и неприменении сроков давности для привлечения к ответственности за военные преступления, а также положения</w:t>
      </w:r>
      <w:r>
        <w:rPr>
          <w:b/>
          <w:bCs/>
        </w:rPr>
        <w:t xml:space="preserve"> </w:t>
      </w:r>
      <w:r w:rsidRPr="00003309">
        <w:rPr>
          <w:b/>
          <w:bCs/>
        </w:rPr>
        <w:t xml:space="preserve">о реформе системы правосудия и поощрении экономических и социальных прав. Он вновь отмечает, что до тех пор, пока не будет эффективно решена проблема борьбы с безнаказанностью за нынешние и прошлые преступления, будут сохраняться трудности в деле установления в Мали прочного мира. </w:t>
      </w:r>
    </w:p>
    <w:p w:rsidR="0087143F" w:rsidRPr="00003309" w:rsidRDefault="0087143F" w:rsidP="0087143F">
      <w:pPr>
        <w:pStyle w:val="SingleTxt"/>
        <w:spacing w:after="0" w:line="120" w:lineRule="exact"/>
        <w:rPr>
          <w:sz w:val="10"/>
        </w:rPr>
      </w:pPr>
    </w:p>
    <w:p w:rsidR="0087143F" w:rsidRPr="00003309" w:rsidRDefault="0087143F" w:rsidP="0087143F">
      <w:pPr>
        <w:pStyle w:val="SingleTxt"/>
        <w:spacing w:after="0" w:line="120" w:lineRule="exact"/>
        <w:rPr>
          <w:sz w:val="10"/>
        </w:rPr>
      </w:pPr>
    </w:p>
    <w:p w:rsidR="0087143F" w:rsidRPr="00FF01BE" w:rsidRDefault="0087143F" w:rsidP="0087143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FF01BE">
        <w:tab/>
        <w:t>B.</w:t>
      </w:r>
      <w:r w:rsidRPr="00FF01BE">
        <w:tab/>
        <w:t xml:space="preserve">Рекомендации </w:t>
      </w:r>
    </w:p>
    <w:p w:rsidR="0087143F" w:rsidRPr="00003309" w:rsidRDefault="0087143F" w:rsidP="0087143F">
      <w:pPr>
        <w:pStyle w:val="SingleTxt"/>
        <w:spacing w:after="0" w:line="120" w:lineRule="exact"/>
        <w:rPr>
          <w:sz w:val="10"/>
        </w:rPr>
      </w:pPr>
    </w:p>
    <w:p w:rsidR="0087143F" w:rsidRPr="00003309" w:rsidRDefault="0087143F" w:rsidP="0087143F">
      <w:pPr>
        <w:pStyle w:val="SingleTxt"/>
        <w:spacing w:after="0" w:line="120" w:lineRule="exact"/>
        <w:rPr>
          <w:sz w:val="10"/>
        </w:rPr>
      </w:pPr>
    </w:p>
    <w:p w:rsidR="0087143F" w:rsidRPr="00003309" w:rsidRDefault="0087143F" w:rsidP="0087143F">
      <w:pPr>
        <w:pStyle w:val="SingleTxt"/>
        <w:rPr>
          <w:b/>
          <w:bCs/>
        </w:rPr>
      </w:pPr>
      <w:r w:rsidRPr="00FF01BE">
        <w:t>91.</w:t>
      </w:r>
      <w:r w:rsidRPr="00FF01BE">
        <w:tab/>
      </w:r>
      <w:r w:rsidRPr="00003309">
        <w:rPr>
          <w:b/>
          <w:bCs/>
        </w:rPr>
        <w:t xml:space="preserve">Независимый эксперт вновь повторяет рекомендации, содержащиеся в его предыдущем докладе, и формулирует нижеследующие рекомендации. </w:t>
      </w:r>
    </w:p>
    <w:p w:rsidR="0087143F" w:rsidRPr="00003309" w:rsidRDefault="0087143F" w:rsidP="0087143F">
      <w:pPr>
        <w:pStyle w:val="SingleTxt"/>
        <w:rPr>
          <w:b/>
          <w:bCs/>
        </w:rPr>
      </w:pPr>
      <w:r w:rsidRPr="00FF01BE">
        <w:t>92.</w:t>
      </w:r>
      <w:r w:rsidRPr="00FF01BE">
        <w:tab/>
      </w:r>
      <w:r w:rsidRPr="00003309">
        <w:rPr>
          <w:b/>
          <w:bCs/>
        </w:rPr>
        <w:t>Независимый эксперт рекомендует малийским властям:</w:t>
      </w:r>
    </w:p>
    <w:p w:rsidR="0087143F" w:rsidRPr="00003309" w:rsidRDefault="0087143F" w:rsidP="0087143F">
      <w:pPr>
        <w:pStyle w:val="SingleTxt"/>
        <w:rPr>
          <w:b/>
          <w:bCs/>
        </w:rPr>
      </w:pPr>
      <w:r w:rsidRPr="00003309">
        <w:rPr>
          <w:b/>
          <w:bCs/>
        </w:rPr>
        <w:tab/>
        <w:t>a)</w:t>
      </w:r>
      <w:r w:rsidRPr="00003309">
        <w:rPr>
          <w:b/>
          <w:bCs/>
        </w:rPr>
        <w:tab/>
        <w:t>заботиться о том, чтобы любые меры, принимаемые в контексте борьбы с терроризмом, были совместимы с обязательствами, вытекающими для властей из международного права, включая международное гуманитарное право и международное право прав чело</w:t>
      </w:r>
      <w:r>
        <w:rPr>
          <w:b/>
          <w:bCs/>
        </w:rPr>
        <w:t>века,</w:t>
      </w:r>
      <w:r w:rsidRPr="00003309">
        <w:rPr>
          <w:b/>
          <w:bCs/>
        </w:rPr>
        <w:t xml:space="preserve"> в частности с принципами предосторожности, </w:t>
      </w:r>
      <w:r>
        <w:rPr>
          <w:b/>
          <w:bCs/>
        </w:rPr>
        <w:t>избирательности</w:t>
      </w:r>
      <w:r w:rsidRPr="00003309">
        <w:rPr>
          <w:b/>
          <w:bCs/>
        </w:rPr>
        <w:t xml:space="preserve"> и соразмерности;</w:t>
      </w:r>
    </w:p>
    <w:p w:rsidR="0087143F" w:rsidRPr="00003309" w:rsidRDefault="0087143F" w:rsidP="0087143F">
      <w:pPr>
        <w:pStyle w:val="SingleTxt"/>
        <w:rPr>
          <w:b/>
          <w:bCs/>
        </w:rPr>
      </w:pPr>
      <w:r w:rsidRPr="00003309">
        <w:rPr>
          <w:b/>
          <w:bCs/>
        </w:rPr>
        <w:tab/>
        <w:t>b)</w:t>
      </w:r>
      <w:r w:rsidRPr="00003309">
        <w:rPr>
          <w:b/>
          <w:bCs/>
        </w:rPr>
        <w:tab/>
        <w:t>обеспечивать, чтобы всякий раз, когда поступающие от, как представляется, надежного источника достоверные сведения позволяют предположить, что в ходе антитеррористической операции погибли или получили ранения гражданские лица, компетентные органы быстро проводили независимое и беспристрастное расследование в целях установления фактов и публичного представления подробных разъяснений;</w:t>
      </w:r>
    </w:p>
    <w:p w:rsidR="0087143F" w:rsidRPr="00003309" w:rsidRDefault="0087143F" w:rsidP="0087143F">
      <w:pPr>
        <w:pStyle w:val="SingleTxt"/>
        <w:rPr>
          <w:b/>
          <w:bCs/>
        </w:rPr>
      </w:pPr>
      <w:r w:rsidRPr="00003309">
        <w:rPr>
          <w:b/>
          <w:bCs/>
        </w:rPr>
        <w:tab/>
        <w:t>c)</w:t>
      </w:r>
      <w:r w:rsidRPr="00003309">
        <w:rPr>
          <w:b/>
          <w:bCs/>
        </w:rPr>
        <w:tab/>
        <w:t>бороться с безнаказанностью, в частности, когда это касается военнослужащих и сотрудников сил безопасности: осуществлять политику нулевой терпимости к случаям сексуального насилия и другим грубым нарушениям прав человека и публично осуждать все акты сексуального насилия, совершенные силами</w:t>
      </w:r>
      <w:r>
        <w:rPr>
          <w:b/>
          <w:bCs/>
        </w:rPr>
        <w:t xml:space="preserve"> </w:t>
      </w:r>
      <w:r w:rsidRPr="00003309">
        <w:rPr>
          <w:b/>
          <w:bCs/>
        </w:rPr>
        <w:t xml:space="preserve">безопасности. Проводить следствие в </w:t>
      </w:r>
      <w:r w:rsidRPr="00003309">
        <w:rPr>
          <w:b/>
          <w:bCs/>
        </w:rPr>
        <w:lastRenderedPageBreak/>
        <w:t>отношении подозреваемых, включая офицеров на командных должностях, подвергать преследованию и строгим санкциям всех военнослужащих и сотрудников сил безопасности, совершивших или приказавших совершить изнасилования или терпимо отнесшихся к другим нарушениям прав человека, а также преследовать и наказывать офицеров на командных должностях за грубые нарушения прав человека;</w:t>
      </w:r>
    </w:p>
    <w:p w:rsidR="0087143F" w:rsidRPr="00003309" w:rsidRDefault="0087143F" w:rsidP="0087143F">
      <w:pPr>
        <w:pStyle w:val="SingleTxt"/>
        <w:rPr>
          <w:b/>
          <w:bCs/>
        </w:rPr>
      </w:pPr>
      <w:r w:rsidRPr="00003309">
        <w:rPr>
          <w:b/>
          <w:bCs/>
        </w:rPr>
        <w:tab/>
        <w:t xml:space="preserve">d) </w:t>
      </w:r>
      <w:r w:rsidRPr="00003309">
        <w:rPr>
          <w:b/>
          <w:bCs/>
        </w:rPr>
        <w:tab/>
        <w:t>публично и недвусмысленно осуждать любые формы насилия в отношении женщин, включая насилие в браке, изнасилование в браке и сексуальные домогательства, без скидки на</w:t>
      </w:r>
      <w:r>
        <w:rPr>
          <w:b/>
          <w:bCs/>
        </w:rPr>
        <w:t xml:space="preserve"> </w:t>
      </w:r>
      <w:r w:rsidRPr="00003309">
        <w:rPr>
          <w:b/>
          <w:bCs/>
        </w:rPr>
        <w:t>обычаи, традиции или религию для оправдания или извинения такого насилия. Тщательно расследовать все случаи насилия в отношении женщин в семье или общине и возбуждать преследование виновных лиц;</w:t>
      </w:r>
    </w:p>
    <w:p w:rsidR="0087143F" w:rsidRPr="00003309" w:rsidRDefault="0087143F" w:rsidP="0087143F">
      <w:pPr>
        <w:pStyle w:val="SingleTxt"/>
        <w:rPr>
          <w:b/>
          <w:bCs/>
        </w:rPr>
      </w:pPr>
      <w:r>
        <w:rPr>
          <w:b/>
          <w:bCs/>
        </w:rPr>
        <w:tab/>
      </w:r>
      <w:r w:rsidRPr="00003309">
        <w:rPr>
          <w:b/>
          <w:bCs/>
        </w:rPr>
        <w:t xml:space="preserve">e) </w:t>
      </w:r>
      <w:r w:rsidRPr="00003309">
        <w:rPr>
          <w:b/>
          <w:bCs/>
        </w:rPr>
        <w:tab/>
        <w:t>придавать высокоприоритетное значение бюджетным ассигнованиям на потребности судебного аппарата и судов и предусмотреть выделение минимального фиксированного процента от валового внутреннего продукта на потребности системы правосудия;</w:t>
      </w:r>
    </w:p>
    <w:p w:rsidR="0087143F" w:rsidRPr="00003309" w:rsidRDefault="0087143F" w:rsidP="0087143F">
      <w:pPr>
        <w:pStyle w:val="SingleTxt"/>
        <w:rPr>
          <w:b/>
          <w:bCs/>
        </w:rPr>
      </w:pPr>
      <w:r>
        <w:rPr>
          <w:b/>
          <w:bCs/>
        </w:rPr>
        <w:tab/>
      </w:r>
      <w:r w:rsidRPr="00003309">
        <w:rPr>
          <w:b/>
          <w:bCs/>
        </w:rPr>
        <w:t>f)</w:t>
      </w:r>
      <w:r w:rsidRPr="00003309">
        <w:rPr>
          <w:b/>
          <w:bCs/>
        </w:rPr>
        <w:tab/>
        <w:t>обращать особое внимание на безопасность магистратов, в частности принятие превентивных мер безопасности для усиления защиты судей, рассматривающих дела о коррупции высокопоставленных должностных лиц, организованной преступности, терроризме, преступлениях против человечности или любые другие дела, в связи с которыми они подвергаются риску, выше обычного;</w:t>
      </w:r>
    </w:p>
    <w:p w:rsidR="0087143F" w:rsidRPr="00003309" w:rsidRDefault="0087143F" w:rsidP="0087143F">
      <w:pPr>
        <w:pStyle w:val="SingleTxt"/>
        <w:rPr>
          <w:b/>
          <w:bCs/>
        </w:rPr>
      </w:pPr>
      <w:r>
        <w:rPr>
          <w:b/>
          <w:bCs/>
        </w:rPr>
        <w:tab/>
      </w:r>
      <w:r w:rsidRPr="00003309">
        <w:rPr>
          <w:b/>
          <w:bCs/>
        </w:rPr>
        <w:t>g)</w:t>
      </w:r>
      <w:r w:rsidRPr="00003309">
        <w:rPr>
          <w:b/>
          <w:bCs/>
        </w:rPr>
        <w:tab/>
        <w:t>поддерживать механизмы правосудия переходного периода, а также пересмотр указа о создании Национальной комиссии по правам человека и</w:t>
      </w:r>
      <w:r>
        <w:rPr>
          <w:b/>
          <w:bCs/>
        </w:rPr>
        <w:t xml:space="preserve"> </w:t>
      </w:r>
      <w:r w:rsidRPr="00003309">
        <w:rPr>
          <w:b/>
          <w:bCs/>
        </w:rPr>
        <w:t xml:space="preserve">обеспечивать гарантии осуществления права на возмещение и неповторение нарушений. </w:t>
      </w:r>
    </w:p>
    <w:p w:rsidR="0087143F" w:rsidRPr="00003309" w:rsidRDefault="0087143F" w:rsidP="0087143F">
      <w:pPr>
        <w:pStyle w:val="SingleTxt"/>
        <w:rPr>
          <w:b/>
          <w:bCs/>
        </w:rPr>
      </w:pPr>
      <w:r w:rsidRPr="00FF01BE">
        <w:t>93.</w:t>
      </w:r>
      <w:r w:rsidRPr="00FF01BE">
        <w:tab/>
      </w:r>
      <w:r w:rsidRPr="00003309">
        <w:rPr>
          <w:b/>
          <w:bCs/>
        </w:rPr>
        <w:t>Независимый эксперт рекомендует вооруженным группам:</w:t>
      </w:r>
    </w:p>
    <w:p w:rsidR="0087143F" w:rsidRPr="00003309" w:rsidRDefault="0087143F" w:rsidP="0087143F">
      <w:pPr>
        <w:pStyle w:val="SingleTxt"/>
        <w:rPr>
          <w:b/>
          <w:bCs/>
        </w:rPr>
      </w:pPr>
      <w:r w:rsidRPr="00003309">
        <w:rPr>
          <w:b/>
          <w:bCs/>
        </w:rPr>
        <w:tab/>
        <w:t>a)</w:t>
      </w:r>
      <w:r w:rsidRPr="00003309">
        <w:rPr>
          <w:b/>
          <w:bCs/>
        </w:rPr>
        <w:tab/>
        <w:t xml:space="preserve">соблюдать прекращение огня и Соглашение о мире и примирении; </w:t>
      </w:r>
    </w:p>
    <w:p w:rsidR="0087143F" w:rsidRPr="00003309" w:rsidRDefault="0087143F" w:rsidP="0087143F">
      <w:pPr>
        <w:pStyle w:val="SingleTxt"/>
        <w:rPr>
          <w:b/>
          <w:bCs/>
        </w:rPr>
      </w:pPr>
      <w:r w:rsidRPr="00003309">
        <w:rPr>
          <w:b/>
          <w:bCs/>
        </w:rPr>
        <w:tab/>
        <w:t>b)</w:t>
      </w:r>
      <w:r w:rsidRPr="00003309">
        <w:rPr>
          <w:b/>
          <w:bCs/>
        </w:rPr>
        <w:tab/>
        <w:t xml:space="preserve">содействовать выводу из своего состава и реинтеграции детей, которые все еще находятся в их рядах. </w:t>
      </w:r>
    </w:p>
    <w:p w:rsidR="0087143F" w:rsidRPr="00003309" w:rsidRDefault="0087143F" w:rsidP="0087143F">
      <w:pPr>
        <w:pStyle w:val="SingleTxt"/>
        <w:rPr>
          <w:b/>
          <w:bCs/>
        </w:rPr>
      </w:pPr>
      <w:r w:rsidRPr="00FF01BE">
        <w:t>94.</w:t>
      </w:r>
      <w:r w:rsidRPr="00FF01BE">
        <w:tab/>
      </w:r>
      <w:r w:rsidRPr="00003309">
        <w:rPr>
          <w:b/>
          <w:bCs/>
        </w:rPr>
        <w:t xml:space="preserve">Независимый эксперт рекомендует международному сообществу нижеследующее. </w:t>
      </w:r>
    </w:p>
    <w:p w:rsidR="0087143F" w:rsidRPr="00003309" w:rsidRDefault="0087143F" w:rsidP="0087143F">
      <w:pPr>
        <w:pStyle w:val="SingleTxt"/>
        <w:rPr>
          <w:b/>
          <w:bCs/>
        </w:rPr>
      </w:pPr>
      <w:r w:rsidRPr="00003309">
        <w:rPr>
          <w:b/>
          <w:bCs/>
        </w:rPr>
        <w:tab/>
        <w:t xml:space="preserve">Оказать финансовую поддержку и выполнить обещания, данные на международной конференции, которая была организована в Париже в октябре 2015 года, а также предоставить техническую помощь в поддержку усилиям правительства, направленным на: </w:t>
      </w:r>
    </w:p>
    <w:p w:rsidR="0087143F" w:rsidRPr="00003309" w:rsidRDefault="0087143F" w:rsidP="0087143F">
      <w:pPr>
        <w:pStyle w:val="SingleTxt"/>
        <w:rPr>
          <w:b/>
          <w:bCs/>
        </w:rPr>
      </w:pPr>
      <w:r w:rsidRPr="00003309">
        <w:rPr>
          <w:b/>
          <w:bCs/>
        </w:rPr>
        <w:tab/>
        <w:t>a)</w:t>
      </w:r>
      <w:r w:rsidRPr="00003309">
        <w:rPr>
          <w:b/>
          <w:bCs/>
        </w:rPr>
        <w:tab/>
        <w:t>экономическое восстановление всей страны;</w:t>
      </w:r>
    </w:p>
    <w:p w:rsidR="0087143F" w:rsidRPr="00003309" w:rsidRDefault="0087143F" w:rsidP="0087143F">
      <w:pPr>
        <w:pStyle w:val="SingleTxt"/>
        <w:rPr>
          <w:b/>
          <w:bCs/>
        </w:rPr>
      </w:pPr>
      <w:r w:rsidRPr="00003309">
        <w:rPr>
          <w:b/>
          <w:bCs/>
        </w:rPr>
        <w:tab/>
        <w:t>b)</w:t>
      </w:r>
      <w:r w:rsidRPr="00003309">
        <w:rPr>
          <w:b/>
          <w:bCs/>
        </w:rPr>
        <w:tab/>
        <w:t>реформирование сектора безопасности с учетом реинтеграции членов вооруженных групп;</w:t>
      </w:r>
    </w:p>
    <w:p w:rsidR="0087143F" w:rsidRPr="00003309" w:rsidRDefault="0087143F" w:rsidP="0087143F">
      <w:pPr>
        <w:pStyle w:val="SingleTxt"/>
        <w:rPr>
          <w:b/>
          <w:bCs/>
        </w:rPr>
      </w:pPr>
      <w:r w:rsidRPr="00003309">
        <w:rPr>
          <w:b/>
          <w:bCs/>
        </w:rPr>
        <w:tab/>
        <w:t>c)</w:t>
      </w:r>
      <w:r w:rsidRPr="00003309">
        <w:rPr>
          <w:b/>
          <w:bCs/>
        </w:rPr>
        <w:tab/>
        <w:t>укрепление потенциала малийской судебной системы;</w:t>
      </w:r>
    </w:p>
    <w:p w:rsidR="0087143F" w:rsidRPr="00003309" w:rsidRDefault="0087143F" w:rsidP="0087143F">
      <w:pPr>
        <w:pStyle w:val="SingleTxt"/>
        <w:rPr>
          <w:b/>
          <w:bCs/>
        </w:rPr>
      </w:pPr>
      <w:r w:rsidRPr="00003309">
        <w:rPr>
          <w:b/>
          <w:bCs/>
        </w:rPr>
        <w:tab/>
        <w:t>d)</w:t>
      </w:r>
      <w:r w:rsidRPr="00003309">
        <w:rPr>
          <w:b/>
          <w:bCs/>
        </w:rPr>
        <w:tab/>
        <w:t>налаживание прочных партнерских отношений с ключевыми субъектами в борьбе с нелегальным оборотом наркотиков.</w:t>
      </w:r>
    </w:p>
    <w:p w:rsidR="0087143F" w:rsidRPr="0087143F" w:rsidRDefault="0087143F" w:rsidP="0087143F">
      <w:pPr>
        <w:pStyle w:val="SingleTxt"/>
        <w:spacing w:after="0" w:line="240" w:lineRule="auto"/>
      </w:pPr>
      <w:r>
        <w:rPr>
          <w:noProof/>
          <w:w w:val="100"/>
          <w:lang w:val="en-GB" w:eastAsia="en-GB"/>
        </w:rPr>
        <mc:AlternateContent>
          <mc:Choice Requires="wps">
            <w:drawing>
              <wp:anchor distT="0" distB="0" distL="114300" distR="114300" simplePos="0" relativeHeight="251659264" behindDoc="0" locked="0" layoutInCell="1" allowOverlap="1" wp14:anchorId="18B8BA25" wp14:editId="01C9D617">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87143F" w:rsidRPr="0087143F" w:rsidSect="006C36C0">
      <w:endnotePr>
        <w:numFmt w:val="decimal"/>
      </w:endnotePr>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889" w:rsidRDefault="00DB5889" w:rsidP="008A1A7A">
      <w:pPr>
        <w:spacing w:line="240" w:lineRule="auto"/>
      </w:pPr>
      <w:r>
        <w:separator/>
      </w:r>
    </w:p>
  </w:endnote>
  <w:endnote w:type="continuationSeparator" w:id="0">
    <w:p w:rsidR="00DB5889" w:rsidRDefault="00DB5889"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DB5889" w:rsidTr="006C36C0">
      <w:trPr>
        <w:jc w:val="center"/>
      </w:trPr>
      <w:tc>
        <w:tcPr>
          <w:tcW w:w="5126" w:type="dxa"/>
          <w:shd w:val="clear" w:color="auto" w:fill="auto"/>
          <w:vAlign w:val="bottom"/>
        </w:tcPr>
        <w:p w:rsidR="00DB5889" w:rsidRPr="006C36C0" w:rsidRDefault="00DB5889" w:rsidP="006C36C0">
          <w:pPr>
            <w:pStyle w:val="Footer"/>
            <w:rPr>
              <w:color w:val="000000"/>
            </w:rPr>
          </w:pPr>
          <w:r>
            <w:fldChar w:fldCharType="begin"/>
          </w:r>
          <w:r>
            <w:instrText xml:space="preserve"> PAGE  \* Arabic  \* MERGEFORMAT </w:instrText>
          </w:r>
          <w:r>
            <w:fldChar w:fldCharType="separate"/>
          </w:r>
          <w:r w:rsidR="000D4807">
            <w:rPr>
              <w:noProof/>
            </w:rPr>
            <w:t>2</w:t>
          </w:r>
          <w:r>
            <w:fldChar w:fldCharType="end"/>
          </w:r>
          <w:r>
            <w:t>/</w:t>
          </w:r>
          <w:r w:rsidR="000D4807">
            <w:fldChar w:fldCharType="begin"/>
          </w:r>
          <w:r w:rsidR="000D4807">
            <w:instrText xml:space="preserve"> NUMPAGES  \* Arabic  \* MERGEFORMAT </w:instrText>
          </w:r>
          <w:r w:rsidR="000D4807">
            <w:fldChar w:fldCharType="separate"/>
          </w:r>
          <w:r w:rsidR="000D4807">
            <w:rPr>
              <w:noProof/>
            </w:rPr>
            <w:t>20</w:t>
          </w:r>
          <w:r w:rsidR="000D4807">
            <w:rPr>
              <w:noProof/>
            </w:rPr>
            <w:fldChar w:fldCharType="end"/>
          </w:r>
        </w:p>
      </w:tc>
      <w:tc>
        <w:tcPr>
          <w:tcW w:w="5127" w:type="dxa"/>
          <w:shd w:val="clear" w:color="auto" w:fill="auto"/>
          <w:vAlign w:val="bottom"/>
        </w:tcPr>
        <w:p w:rsidR="00DB5889" w:rsidRPr="006C36C0" w:rsidRDefault="00DB5889" w:rsidP="006C36C0">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4E5109">
            <w:rPr>
              <w:b w:val="0"/>
              <w:color w:val="000000"/>
              <w:sz w:val="14"/>
            </w:rPr>
            <w:t>GE.16-00837</w:t>
          </w:r>
          <w:r>
            <w:rPr>
              <w:b w:val="0"/>
              <w:color w:val="000000"/>
              <w:sz w:val="14"/>
            </w:rPr>
            <w:fldChar w:fldCharType="end"/>
          </w:r>
        </w:p>
      </w:tc>
    </w:tr>
  </w:tbl>
  <w:p w:rsidR="00DB5889" w:rsidRPr="006C36C0" w:rsidRDefault="00DB5889" w:rsidP="006C36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DB5889" w:rsidTr="006C36C0">
      <w:trPr>
        <w:jc w:val="center"/>
      </w:trPr>
      <w:tc>
        <w:tcPr>
          <w:tcW w:w="5126" w:type="dxa"/>
          <w:shd w:val="clear" w:color="auto" w:fill="auto"/>
          <w:vAlign w:val="bottom"/>
        </w:tcPr>
        <w:p w:rsidR="00DB5889" w:rsidRPr="006C36C0" w:rsidRDefault="00DB5889" w:rsidP="006C36C0">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4E5109">
            <w:rPr>
              <w:b w:val="0"/>
              <w:color w:val="000000"/>
              <w:sz w:val="14"/>
            </w:rPr>
            <w:t>GE.16-00837</w:t>
          </w:r>
          <w:r>
            <w:rPr>
              <w:b w:val="0"/>
              <w:color w:val="000000"/>
              <w:sz w:val="14"/>
            </w:rPr>
            <w:fldChar w:fldCharType="end"/>
          </w:r>
        </w:p>
      </w:tc>
      <w:tc>
        <w:tcPr>
          <w:tcW w:w="5127" w:type="dxa"/>
          <w:shd w:val="clear" w:color="auto" w:fill="auto"/>
          <w:vAlign w:val="bottom"/>
        </w:tcPr>
        <w:p w:rsidR="00DB5889" w:rsidRPr="006C36C0" w:rsidRDefault="00DB5889" w:rsidP="006C36C0">
          <w:pPr>
            <w:pStyle w:val="Footer"/>
            <w:jc w:val="right"/>
          </w:pPr>
          <w:r>
            <w:fldChar w:fldCharType="begin"/>
          </w:r>
          <w:r>
            <w:instrText xml:space="preserve"> PAGE  \* Arabic  \* MERGEFORMAT </w:instrText>
          </w:r>
          <w:r>
            <w:fldChar w:fldCharType="separate"/>
          </w:r>
          <w:r w:rsidR="000D4807">
            <w:rPr>
              <w:noProof/>
            </w:rPr>
            <w:t>19</w:t>
          </w:r>
          <w:r>
            <w:fldChar w:fldCharType="end"/>
          </w:r>
          <w:r>
            <w:t>/</w:t>
          </w:r>
          <w:r w:rsidR="000D4807">
            <w:fldChar w:fldCharType="begin"/>
          </w:r>
          <w:r w:rsidR="000D4807">
            <w:instrText xml:space="preserve"> NUMPAGES  \* Arabic  \* MERGEFORMAT </w:instrText>
          </w:r>
          <w:r w:rsidR="000D4807">
            <w:fldChar w:fldCharType="separate"/>
          </w:r>
          <w:r w:rsidR="000D4807">
            <w:rPr>
              <w:noProof/>
            </w:rPr>
            <w:t>19</w:t>
          </w:r>
          <w:r w:rsidR="000D4807">
            <w:rPr>
              <w:noProof/>
            </w:rPr>
            <w:fldChar w:fldCharType="end"/>
          </w:r>
        </w:p>
      </w:tc>
    </w:tr>
  </w:tbl>
  <w:p w:rsidR="00DB5889" w:rsidRPr="006C36C0" w:rsidRDefault="00DB5889" w:rsidP="006C36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DB5889" w:rsidTr="006C36C0">
      <w:tc>
        <w:tcPr>
          <w:tcW w:w="3873" w:type="dxa"/>
        </w:tcPr>
        <w:p w:rsidR="00DB5889" w:rsidRDefault="00DB5889" w:rsidP="006C36C0">
          <w:pPr>
            <w:pStyle w:val="ReleaseDate"/>
            <w:rPr>
              <w:color w:val="010000"/>
            </w:rPr>
          </w:pPr>
          <w:r>
            <w:rPr>
              <w:noProof/>
              <w:lang w:val="en-GB" w:eastAsia="en-GB"/>
            </w:rPr>
            <w:drawing>
              <wp:anchor distT="0" distB="0" distL="114300" distR="114300" simplePos="0" relativeHeight="251658240" behindDoc="0" locked="0" layoutInCell="1" allowOverlap="1" wp14:anchorId="0361E2F9" wp14:editId="5D4D1756">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1/76&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6&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GE.16-00837 (R)</w:t>
          </w:r>
          <w:r>
            <w:rPr>
              <w:color w:val="010000"/>
            </w:rPr>
            <w:t xml:space="preserve">    030216    030216</w:t>
          </w:r>
        </w:p>
        <w:p w:rsidR="00DB5889" w:rsidRPr="006C36C0" w:rsidRDefault="00DB5889" w:rsidP="006C36C0">
          <w:pPr>
            <w:spacing w:before="80" w:line="210" w:lineRule="exact"/>
            <w:rPr>
              <w:rFonts w:ascii="Barcode 3 of 9 by request" w:hAnsi="Barcode 3 of 9 by request"/>
              <w:w w:val="100"/>
              <w:sz w:val="24"/>
            </w:rPr>
          </w:pPr>
          <w:r>
            <w:rPr>
              <w:rFonts w:ascii="Barcode 3 of 9 by request" w:hAnsi="Barcode 3 of 9 by request"/>
              <w:w w:val="100"/>
              <w:sz w:val="24"/>
            </w:rPr>
            <w:t>*1600837*</w:t>
          </w:r>
        </w:p>
      </w:tc>
      <w:tc>
        <w:tcPr>
          <w:tcW w:w="5127" w:type="dxa"/>
        </w:tcPr>
        <w:p w:rsidR="00DB5889" w:rsidRDefault="00DB5889" w:rsidP="006C36C0">
          <w:pPr>
            <w:pStyle w:val="Footer"/>
            <w:spacing w:line="240" w:lineRule="atLeast"/>
            <w:jc w:val="right"/>
            <w:rPr>
              <w:b w:val="0"/>
              <w:sz w:val="20"/>
            </w:rPr>
          </w:pPr>
          <w:r>
            <w:rPr>
              <w:b w:val="0"/>
              <w:noProof/>
              <w:sz w:val="20"/>
              <w:lang w:val="en-GB" w:eastAsia="en-GB"/>
            </w:rPr>
            <w:drawing>
              <wp:inline distT="0" distB="0" distL="0" distR="0" wp14:anchorId="718536E0" wp14:editId="1E971A26">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DB5889" w:rsidRPr="006C36C0" w:rsidRDefault="00DB5889" w:rsidP="006C36C0">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889" w:rsidRPr="00490AB1" w:rsidRDefault="00DB5889" w:rsidP="00490AB1">
      <w:pPr>
        <w:pStyle w:val="Footer"/>
        <w:spacing w:after="80"/>
        <w:ind w:left="792"/>
        <w:rPr>
          <w:sz w:val="16"/>
        </w:rPr>
      </w:pPr>
      <w:r w:rsidRPr="00490AB1">
        <w:rPr>
          <w:sz w:val="16"/>
        </w:rPr>
        <w:t>__________________</w:t>
      </w:r>
    </w:p>
  </w:footnote>
  <w:footnote w:type="continuationSeparator" w:id="0">
    <w:p w:rsidR="00DB5889" w:rsidRPr="00490AB1" w:rsidRDefault="00DB5889" w:rsidP="00490AB1">
      <w:pPr>
        <w:pStyle w:val="Footer"/>
        <w:spacing w:after="80"/>
        <w:ind w:left="792"/>
        <w:rPr>
          <w:sz w:val="16"/>
        </w:rPr>
      </w:pPr>
      <w:r w:rsidRPr="00490AB1">
        <w:rPr>
          <w:sz w:val="16"/>
        </w:rPr>
        <w:t>__________________</w:t>
      </w:r>
    </w:p>
  </w:footnote>
  <w:footnote w:id="1">
    <w:p w:rsidR="00DB5889" w:rsidRDefault="00DB5889" w:rsidP="00490AB1">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Конвенцию о правах ребенка (статья 37), Международный пакт о гражданских и политических правах (статьи 5 и 6), Женевскую конвенцию </w:t>
      </w:r>
      <w:r w:rsidRPr="00C069B6">
        <w:t>о защите гражданского населения во время войны</w:t>
      </w:r>
      <w:r>
        <w:t xml:space="preserve"> (статья 68) и </w:t>
      </w:r>
      <w:r w:rsidRPr="00C069B6">
        <w:t xml:space="preserve">Дополнительный протокол к </w:t>
      </w:r>
      <w:r>
        <w:t>ней</w:t>
      </w:r>
      <w:r w:rsidRPr="00C069B6">
        <w:t>, касающийся защиты жертв вооруженных конфликтов немеждународного характера</w:t>
      </w:r>
      <w:r>
        <w:t xml:space="preserve"> (статьи 4 и 6).</w:t>
      </w:r>
    </w:p>
  </w:footnote>
  <w:footnote w:id="2">
    <w:p w:rsidR="0087143F" w:rsidRDefault="0087143F" w:rsidP="0087143F">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r>
      <w:r w:rsidRPr="00682133">
        <w:t xml:space="preserve">Задержание считается похищением и насильственным исчезновением, если оно осуществляется вооруженной группой, которая отказывает в любом доступе </w:t>
      </w:r>
      <w:r>
        <w:br/>
      </w:r>
      <w:r w:rsidRPr="00682133">
        <w:t>к жертвам и не раскрывает их местопребывания.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B5889" w:rsidTr="006C36C0">
      <w:trPr>
        <w:trHeight w:hRule="exact" w:val="864"/>
        <w:jc w:val="center"/>
      </w:trPr>
      <w:tc>
        <w:tcPr>
          <w:tcW w:w="4882" w:type="dxa"/>
          <w:shd w:val="clear" w:color="auto" w:fill="auto"/>
          <w:vAlign w:val="bottom"/>
        </w:tcPr>
        <w:p w:rsidR="00DB5889" w:rsidRPr="006C36C0" w:rsidRDefault="00DB5889" w:rsidP="006C36C0">
          <w:pPr>
            <w:pStyle w:val="Header"/>
            <w:spacing w:after="80"/>
            <w:rPr>
              <w:b/>
            </w:rPr>
          </w:pPr>
          <w:r>
            <w:rPr>
              <w:b/>
            </w:rPr>
            <w:fldChar w:fldCharType="begin"/>
          </w:r>
          <w:r>
            <w:rPr>
              <w:b/>
            </w:rPr>
            <w:instrText xml:space="preserve"> DOCVARIABLE "sss1" \* MERGEFORMAT </w:instrText>
          </w:r>
          <w:r>
            <w:rPr>
              <w:b/>
            </w:rPr>
            <w:fldChar w:fldCharType="separate"/>
          </w:r>
          <w:r w:rsidR="004E5109">
            <w:rPr>
              <w:b/>
            </w:rPr>
            <w:t>A/HRC/31/76</w:t>
          </w:r>
          <w:r>
            <w:rPr>
              <w:b/>
            </w:rPr>
            <w:fldChar w:fldCharType="end"/>
          </w:r>
        </w:p>
      </w:tc>
      <w:tc>
        <w:tcPr>
          <w:tcW w:w="5127" w:type="dxa"/>
          <w:shd w:val="clear" w:color="auto" w:fill="auto"/>
          <w:vAlign w:val="bottom"/>
        </w:tcPr>
        <w:p w:rsidR="00DB5889" w:rsidRDefault="00DB5889" w:rsidP="006C36C0">
          <w:pPr>
            <w:pStyle w:val="Header"/>
          </w:pPr>
        </w:p>
      </w:tc>
    </w:tr>
  </w:tbl>
  <w:p w:rsidR="00DB5889" w:rsidRPr="006C36C0" w:rsidRDefault="00DB5889" w:rsidP="006C36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B5889" w:rsidTr="006C36C0">
      <w:trPr>
        <w:trHeight w:hRule="exact" w:val="864"/>
        <w:jc w:val="center"/>
      </w:trPr>
      <w:tc>
        <w:tcPr>
          <w:tcW w:w="4882" w:type="dxa"/>
          <w:shd w:val="clear" w:color="auto" w:fill="auto"/>
          <w:vAlign w:val="bottom"/>
        </w:tcPr>
        <w:p w:rsidR="00DB5889" w:rsidRDefault="00DB5889" w:rsidP="006C36C0">
          <w:pPr>
            <w:pStyle w:val="Header"/>
          </w:pPr>
        </w:p>
      </w:tc>
      <w:tc>
        <w:tcPr>
          <w:tcW w:w="5127" w:type="dxa"/>
          <w:shd w:val="clear" w:color="auto" w:fill="auto"/>
          <w:vAlign w:val="bottom"/>
        </w:tcPr>
        <w:p w:rsidR="00DB5889" w:rsidRPr="006C36C0" w:rsidRDefault="00DB5889" w:rsidP="006C36C0">
          <w:pPr>
            <w:pStyle w:val="Header"/>
            <w:spacing w:after="80"/>
            <w:jc w:val="right"/>
            <w:rPr>
              <w:b/>
            </w:rPr>
          </w:pPr>
          <w:r>
            <w:rPr>
              <w:b/>
            </w:rPr>
            <w:fldChar w:fldCharType="begin"/>
          </w:r>
          <w:r>
            <w:rPr>
              <w:b/>
            </w:rPr>
            <w:instrText xml:space="preserve"> DOCVARIABLE "sss1" \* MERGEFORMAT </w:instrText>
          </w:r>
          <w:r>
            <w:rPr>
              <w:b/>
            </w:rPr>
            <w:fldChar w:fldCharType="separate"/>
          </w:r>
          <w:r w:rsidR="004E5109">
            <w:rPr>
              <w:b/>
            </w:rPr>
            <w:t>A/HRC/31/76</w:t>
          </w:r>
          <w:r>
            <w:rPr>
              <w:b/>
            </w:rPr>
            <w:fldChar w:fldCharType="end"/>
          </w:r>
        </w:p>
      </w:tc>
    </w:tr>
  </w:tbl>
  <w:p w:rsidR="00DB5889" w:rsidRPr="006C36C0" w:rsidRDefault="00DB5889" w:rsidP="006C36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DB5889" w:rsidTr="006C36C0">
      <w:trPr>
        <w:trHeight w:hRule="exact" w:val="864"/>
      </w:trPr>
      <w:tc>
        <w:tcPr>
          <w:tcW w:w="4421" w:type="dxa"/>
          <w:gridSpan w:val="2"/>
          <w:tcBorders>
            <w:bottom w:val="single" w:sz="4" w:space="0" w:color="auto"/>
          </w:tcBorders>
          <w:shd w:val="clear" w:color="auto" w:fill="auto"/>
          <w:vAlign w:val="bottom"/>
        </w:tcPr>
        <w:p w:rsidR="00DB5889" w:rsidRPr="006C36C0" w:rsidRDefault="00DB5889" w:rsidP="006C36C0">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DB5889" w:rsidRDefault="00DB5889" w:rsidP="006C36C0">
          <w:pPr>
            <w:pStyle w:val="Header"/>
            <w:spacing w:after="120"/>
          </w:pPr>
        </w:p>
      </w:tc>
      <w:tc>
        <w:tcPr>
          <w:tcW w:w="5357" w:type="dxa"/>
          <w:gridSpan w:val="3"/>
          <w:tcBorders>
            <w:bottom w:val="single" w:sz="4" w:space="0" w:color="auto"/>
          </w:tcBorders>
          <w:shd w:val="clear" w:color="auto" w:fill="auto"/>
          <w:vAlign w:val="bottom"/>
        </w:tcPr>
        <w:p w:rsidR="00DB5889" w:rsidRPr="006C36C0" w:rsidRDefault="00DB5889" w:rsidP="006C36C0">
          <w:pPr>
            <w:pStyle w:val="Header"/>
            <w:spacing w:after="20"/>
            <w:jc w:val="right"/>
            <w:rPr>
              <w:sz w:val="20"/>
            </w:rPr>
          </w:pPr>
          <w:r>
            <w:rPr>
              <w:sz w:val="40"/>
            </w:rPr>
            <w:t>A</w:t>
          </w:r>
          <w:r>
            <w:rPr>
              <w:sz w:val="20"/>
            </w:rPr>
            <w:t>/HRC/31/76</w:t>
          </w:r>
        </w:p>
      </w:tc>
    </w:tr>
    <w:tr w:rsidR="00DB5889" w:rsidRPr="000D4807" w:rsidTr="006C36C0">
      <w:trPr>
        <w:trHeight w:hRule="exact" w:val="2880"/>
      </w:trPr>
      <w:tc>
        <w:tcPr>
          <w:tcW w:w="1267" w:type="dxa"/>
          <w:tcBorders>
            <w:top w:val="single" w:sz="4" w:space="0" w:color="auto"/>
            <w:bottom w:val="single" w:sz="12" w:space="0" w:color="auto"/>
          </w:tcBorders>
          <w:shd w:val="clear" w:color="auto" w:fill="auto"/>
        </w:tcPr>
        <w:p w:rsidR="00DB5889" w:rsidRPr="006C36C0" w:rsidRDefault="00DB5889" w:rsidP="006C36C0">
          <w:pPr>
            <w:pStyle w:val="Header"/>
            <w:spacing w:before="120"/>
            <w:jc w:val="center"/>
          </w:pPr>
          <w:r>
            <w:t xml:space="preserve"> </w:t>
          </w:r>
          <w:r>
            <w:rPr>
              <w:noProof/>
              <w:lang w:val="en-GB" w:eastAsia="en-GB"/>
            </w:rPr>
            <w:drawing>
              <wp:inline distT="0" distB="0" distL="0" distR="0" wp14:anchorId="1BA9D74A" wp14:editId="5DB4FD2F">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DB5889" w:rsidRPr="006C36C0" w:rsidRDefault="00DB5889" w:rsidP="006C36C0">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DB5889" w:rsidRPr="006C36C0" w:rsidRDefault="00DB5889" w:rsidP="006C36C0">
          <w:pPr>
            <w:pStyle w:val="Header"/>
            <w:spacing w:before="109"/>
          </w:pPr>
        </w:p>
      </w:tc>
      <w:tc>
        <w:tcPr>
          <w:tcW w:w="3280" w:type="dxa"/>
          <w:tcBorders>
            <w:top w:val="single" w:sz="4" w:space="0" w:color="auto"/>
            <w:bottom w:val="single" w:sz="12" w:space="0" w:color="auto"/>
          </w:tcBorders>
          <w:shd w:val="clear" w:color="auto" w:fill="auto"/>
        </w:tcPr>
        <w:p w:rsidR="00DB5889" w:rsidRPr="00A20E73" w:rsidRDefault="00DB5889" w:rsidP="006C36C0">
          <w:pPr>
            <w:pStyle w:val="Distribution"/>
            <w:rPr>
              <w:color w:val="000000"/>
              <w:lang w:val="en-US"/>
            </w:rPr>
          </w:pPr>
          <w:r w:rsidRPr="00A20E73">
            <w:rPr>
              <w:color w:val="000000"/>
              <w:lang w:val="en-US"/>
            </w:rPr>
            <w:t>Distr.: General</w:t>
          </w:r>
        </w:p>
        <w:p w:rsidR="00DB5889" w:rsidRPr="00A20E73" w:rsidRDefault="00DB5889" w:rsidP="00A20E73">
          <w:pPr>
            <w:pStyle w:val="Publication"/>
            <w:rPr>
              <w:color w:val="000000"/>
              <w:lang w:val="en-US"/>
            </w:rPr>
          </w:pPr>
          <w:r>
            <w:rPr>
              <w:color w:val="000000"/>
              <w:lang w:val="en-US"/>
            </w:rPr>
            <w:t>2</w:t>
          </w:r>
          <w:r w:rsidRPr="0087143F">
            <w:rPr>
              <w:color w:val="000000"/>
              <w:lang w:val="en-US"/>
            </w:rPr>
            <w:t>1</w:t>
          </w:r>
          <w:r w:rsidRPr="00A20E73">
            <w:rPr>
              <w:color w:val="000000"/>
              <w:lang w:val="en-US"/>
            </w:rPr>
            <w:t xml:space="preserve"> January 2016</w:t>
          </w:r>
        </w:p>
        <w:p w:rsidR="00DB5889" w:rsidRPr="00A20E73" w:rsidRDefault="00DB5889" w:rsidP="006C36C0">
          <w:pPr>
            <w:rPr>
              <w:color w:val="000000"/>
              <w:lang w:val="en-US"/>
            </w:rPr>
          </w:pPr>
          <w:r w:rsidRPr="00A20E73">
            <w:rPr>
              <w:color w:val="000000"/>
              <w:lang w:val="en-US"/>
            </w:rPr>
            <w:t>Russian</w:t>
          </w:r>
        </w:p>
        <w:p w:rsidR="00DB5889" w:rsidRPr="00A20E73" w:rsidRDefault="00DB5889" w:rsidP="006C36C0">
          <w:pPr>
            <w:pStyle w:val="Original"/>
            <w:rPr>
              <w:color w:val="000000"/>
              <w:lang w:val="en-US"/>
            </w:rPr>
          </w:pPr>
          <w:r w:rsidRPr="00A20E73">
            <w:rPr>
              <w:color w:val="000000"/>
              <w:lang w:val="en-US"/>
            </w:rPr>
            <w:t>Original: French</w:t>
          </w:r>
        </w:p>
        <w:p w:rsidR="00DB5889" w:rsidRPr="00A20E73" w:rsidRDefault="00DB5889" w:rsidP="006C36C0">
          <w:pPr>
            <w:rPr>
              <w:lang w:val="en-US"/>
            </w:rPr>
          </w:pPr>
        </w:p>
      </w:tc>
    </w:tr>
  </w:tbl>
  <w:p w:rsidR="00DB5889" w:rsidRPr="00A20E73" w:rsidRDefault="00DB5889" w:rsidP="006C36C0">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227A5ADA"/>
    <w:multiLevelType w:val="multilevel"/>
    <w:tmpl w:val="3C2E23E4"/>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8">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2"/>
  </w:num>
  <w:num w:numId="6">
    <w:abstractNumId w:val="1"/>
  </w:num>
  <w:num w:numId="7">
    <w:abstractNumId w:val="0"/>
  </w:num>
  <w:num w:numId="8">
    <w:abstractNumId w:val="5"/>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475"/>
  <w:autoHyphenation/>
  <w:hyphenationZone w:val="220"/>
  <w:doNotHyphenateCaps/>
  <w:evenAndOddHeaders/>
  <w:drawingGridHorizontalSpacing w:val="209"/>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600837*"/>
    <w:docVar w:name="CreationDt" w:val="2/3/2016 11:51 AM"/>
    <w:docVar w:name="DocCategory" w:val="Doc"/>
    <w:docVar w:name="DocType" w:val="Final"/>
    <w:docVar w:name="DutyStation" w:val="Geneva"/>
    <w:docVar w:name="FooterJN" w:val="GE.16-00837"/>
    <w:docVar w:name="jobn" w:val="GE.16-00837 (R)"/>
    <w:docVar w:name="jobnDT" w:val="GE.16-00837 (R)   030216"/>
    <w:docVar w:name="jobnDTDT" w:val="GE.16-00837 (R)   030216   030216"/>
    <w:docVar w:name="JobNo" w:val="GE.1600837R"/>
    <w:docVar w:name="JobNo2" w:val="1600942R"/>
    <w:docVar w:name="LocalDrive" w:val="0"/>
    <w:docVar w:name="OandT" w:val=" "/>
    <w:docVar w:name="PaperSize" w:val="A4"/>
    <w:docVar w:name="sss1" w:val="A/HRC/31/76"/>
    <w:docVar w:name="sss2" w:val="-"/>
    <w:docVar w:name="Symbol1" w:val="A/HRC/31/76"/>
    <w:docVar w:name="Symbol2" w:val="-"/>
  </w:docVars>
  <w:rsids>
    <w:rsidRoot w:val="00CC1507"/>
    <w:rsid w:val="00004615"/>
    <w:rsid w:val="00004756"/>
    <w:rsid w:val="00010735"/>
    <w:rsid w:val="00010CB8"/>
    <w:rsid w:val="00013E03"/>
    <w:rsid w:val="00015201"/>
    <w:rsid w:val="0001588C"/>
    <w:rsid w:val="000162FB"/>
    <w:rsid w:val="00024A67"/>
    <w:rsid w:val="00025CF3"/>
    <w:rsid w:val="0002669B"/>
    <w:rsid w:val="00033C1F"/>
    <w:rsid w:val="00041A49"/>
    <w:rsid w:val="000513EF"/>
    <w:rsid w:val="0005420D"/>
    <w:rsid w:val="00055EA2"/>
    <w:rsid w:val="00066D1F"/>
    <w:rsid w:val="00067A5A"/>
    <w:rsid w:val="00067A90"/>
    <w:rsid w:val="00070C37"/>
    <w:rsid w:val="000738BD"/>
    <w:rsid w:val="00076F88"/>
    <w:rsid w:val="0007796A"/>
    <w:rsid w:val="0008067C"/>
    <w:rsid w:val="00091DC8"/>
    <w:rsid w:val="00092464"/>
    <w:rsid w:val="000A111E"/>
    <w:rsid w:val="000A1DF3"/>
    <w:rsid w:val="000A4A11"/>
    <w:rsid w:val="000B02B7"/>
    <w:rsid w:val="000C069D"/>
    <w:rsid w:val="000C67BC"/>
    <w:rsid w:val="000D300C"/>
    <w:rsid w:val="000D4807"/>
    <w:rsid w:val="000D64CF"/>
    <w:rsid w:val="000E0F08"/>
    <w:rsid w:val="000E30BA"/>
    <w:rsid w:val="000E35C6"/>
    <w:rsid w:val="000E3712"/>
    <w:rsid w:val="000E4411"/>
    <w:rsid w:val="000F1ACD"/>
    <w:rsid w:val="000F5D07"/>
    <w:rsid w:val="00105B0E"/>
    <w:rsid w:val="00113678"/>
    <w:rsid w:val="001235FD"/>
    <w:rsid w:val="0014308F"/>
    <w:rsid w:val="001444A3"/>
    <w:rsid w:val="00145BAE"/>
    <w:rsid w:val="00153645"/>
    <w:rsid w:val="00153E04"/>
    <w:rsid w:val="00153E8C"/>
    <w:rsid w:val="001565FD"/>
    <w:rsid w:val="00160648"/>
    <w:rsid w:val="00161F29"/>
    <w:rsid w:val="00162200"/>
    <w:rsid w:val="00162E88"/>
    <w:rsid w:val="00167FE9"/>
    <w:rsid w:val="00171F41"/>
    <w:rsid w:val="001726A4"/>
    <w:rsid w:val="001744B4"/>
    <w:rsid w:val="00175AC4"/>
    <w:rsid w:val="00177361"/>
    <w:rsid w:val="001802BD"/>
    <w:rsid w:val="001862BD"/>
    <w:rsid w:val="00193822"/>
    <w:rsid w:val="0019704E"/>
    <w:rsid w:val="001A0D31"/>
    <w:rsid w:val="001A39EE"/>
    <w:rsid w:val="001A4338"/>
    <w:rsid w:val="001A6777"/>
    <w:rsid w:val="001A76E4"/>
    <w:rsid w:val="001C072D"/>
    <w:rsid w:val="001C54CE"/>
    <w:rsid w:val="001D15F8"/>
    <w:rsid w:val="001D1749"/>
    <w:rsid w:val="001D2679"/>
    <w:rsid w:val="001D502D"/>
    <w:rsid w:val="001D60ED"/>
    <w:rsid w:val="001E21CE"/>
    <w:rsid w:val="001E25A2"/>
    <w:rsid w:val="001E61AD"/>
    <w:rsid w:val="001E639C"/>
    <w:rsid w:val="001F1B08"/>
    <w:rsid w:val="001F4353"/>
    <w:rsid w:val="001F639D"/>
    <w:rsid w:val="00205CBD"/>
    <w:rsid w:val="00206603"/>
    <w:rsid w:val="002078A2"/>
    <w:rsid w:val="00211A7E"/>
    <w:rsid w:val="00215955"/>
    <w:rsid w:val="00217A24"/>
    <w:rsid w:val="00223C57"/>
    <w:rsid w:val="00227D15"/>
    <w:rsid w:val="00242477"/>
    <w:rsid w:val="00244051"/>
    <w:rsid w:val="002524D1"/>
    <w:rsid w:val="002535D8"/>
    <w:rsid w:val="00254046"/>
    <w:rsid w:val="002564AC"/>
    <w:rsid w:val="002608F3"/>
    <w:rsid w:val="00261386"/>
    <w:rsid w:val="00261C41"/>
    <w:rsid w:val="00264124"/>
    <w:rsid w:val="00264A43"/>
    <w:rsid w:val="0027050C"/>
    <w:rsid w:val="002726BA"/>
    <w:rsid w:val="0027350A"/>
    <w:rsid w:val="00277697"/>
    <w:rsid w:val="00281B96"/>
    <w:rsid w:val="002853F1"/>
    <w:rsid w:val="00285565"/>
    <w:rsid w:val="00297C3D"/>
    <w:rsid w:val="002A04A3"/>
    <w:rsid w:val="002A0BAE"/>
    <w:rsid w:val="002A2DD8"/>
    <w:rsid w:val="002A712C"/>
    <w:rsid w:val="002A7921"/>
    <w:rsid w:val="002B1213"/>
    <w:rsid w:val="002B6501"/>
    <w:rsid w:val="002B6E2A"/>
    <w:rsid w:val="002C0A4B"/>
    <w:rsid w:val="002C3DE6"/>
    <w:rsid w:val="002C66D0"/>
    <w:rsid w:val="002D396F"/>
    <w:rsid w:val="002D4606"/>
    <w:rsid w:val="002D4A88"/>
    <w:rsid w:val="002D666D"/>
    <w:rsid w:val="002E1F79"/>
    <w:rsid w:val="002F2AD4"/>
    <w:rsid w:val="002F3CF9"/>
    <w:rsid w:val="002F5C45"/>
    <w:rsid w:val="002F6149"/>
    <w:rsid w:val="002F7D25"/>
    <w:rsid w:val="00310EA4"/>
    <w:rsid w:val="00310ED4"/>
    <w:rsid w:val="00325C10"/>
    <w:rsid w:val="00326F5F"/>
    <w:rsid w:val="00332D90"/>
    <w:rsid w:val="00333B06"/>
    <w:rsid w:val="00337D91"/>
    <w:rsid w:val="00343513"/>
    <w:rsid w:val="00346BFB"/>
    <w:rsid w:val="00350756"/>
    <w:rsid w:val="003542EE"/>
    <w:rsid w:val="00360D26"/>
    <w:rsid w:val="00362148"/>
    <w:rsid w:val="00362FFE"/>
    <w:rsid w:val="003658B0"/>
    <w:rsid w:val="0038044D"/>
    <w:rsid w:val="00384AEE"/>
    <w:rsid w:val="0038527A"/>
    <w:rsid w:val="00386A98"/>
    <w:rsid w:val="00391367"/>
    <w:rsid w:val="0039505F"/>
    <w:rsid w:val="003A150E"/>
    <w:rsid w:val="003A2730"/>
    <w:rsid w:val="003B16B4"/>
    <w:rsid w:val="003B5A03"/>
    <w:rsid w:val="003B6E50"/>
    <w:rsid w:val="003C12AC"/>
    <w:rsid w:val="003C2842"/>
    <w:rsid w:val="003D0825"/>
    <w:rsid w:val="003D2003"/>
    <w:rsid w:val="003D5DA2"/>
    <w:rsid w:val="003E5193"/>
    <w:rsid w:val="00401CDD"/>
    <w:rsid w:val="00402244"/>
    <w:rsid w:val="00410A3F"/>
    <w:rsid w:val="00415DEC"/>
    <w:rsid w:val="00427FE5"/>
    <w:rsid w:val="00433222"/>
    <w:rsid w:val="00436A23"/>
    <w:rsid w:val="00436F13"/>
    <w:rsid w:val="00437F47"/>
    <w:rsid w:val="004420FB"/>
    <w:rsid w:val="00445A4E"/>
    <w:rsid w:val="00445BBD"/>
    <w:rsid w:val="004502EC"/>
    <w:rsid w:val="004504A6"/>
    <w:rsid w:val="00460D23"/>
    <w:rsid w:val="004645DD"/>
    <w:rsid w:val="0046710A"/>
    <w:rsid w:val="0047759D"/>
    <w:rsid w:val="00487893"/>
    <w:rsid w:val="00490AB1"/>
    <w:rsid w:val="0049612D"/>
    <w:rsid w:val="004964B8"/>
    <w:rsid w:val="004A04A6"/>
    <w:rsid w:val="004A21EE"/>
    <w:rsid w:val="004A36EE"/>
    <w:rsid w:val="004A5D8D"/>
    <w:rsid w:val="004A7499"/>
    <w:rsid w:val="004B1314"/>
    <w:rsid w:val="004B16C7"/>
    <w:rsid w:val="004B722C"/>
    <w:rsid w:val="004C1B79"/>
    <w:rsid w:val="004C27B4"/>
    <w:rsid w:val="004C3F11"/>
    <w:rsid w:val="004C6A2C"/>
    <w:rsid w:val="004D275F"/>
    <w:rsid w:val="004D474D"/>
    <w:rsid w:val="004D6276"/>
    <w:rsid w:val="004D656E"/>
    <w:rsid w:val="004E5109"/>
    <w:rsid w:val="004E6443"/>
    <w:rsid w:val="004E7743"/>
    <w:rsid w:val="00504669"/>
    <w:rsid w:val="005058E0"/>
    <w:rsid w:val="00511EAC"/>
    <w:rsid w:val="005121DC"/>
    <w:rsid w:val="00513113"/>
    <w:rsid w:val="005135CF"/>
    <w:rsid w:val="00515869"/>
    <w:rsid w:val="005160BC"/>
    <w:rsid w:val="005214BA"/>
    <w:rsid w:val="00522E6D"/>
    <w:rsid w:val="00524A24"/>
    <w:rsid w:val="005251C4"/>
    <w:rsid w:val="00526E12"/>
    <w:rsid w:val="00532578"/>
    <w:rsid w:val="00533411"/>
    <w:rsid w:val="00533DAB"/>
    <w:rsid w:val="00540BD6"/>
    <w:rsid w:val="005427EA"/>
    <w:rsid w:val="00545562"/>
    <w:rsid w:val="0054563F"/>
    <w:rsid w:val="005469E1"/>
    <w:rsid w:val="0055087F"/>
    <w:rsid w:val="00552E08"/>
    <w:rsid w:val="00554F82"/>
    <w:rsid w:val="00557DA1"/>
    <w:rsid w:val="005635F7"/>
    <w:rsid w:val="00563A41"/>
    <w:rsid w:val="0056579C"/>
    <w:rsid w:val="00567706"/>
    <w:rsid w:val="00572298"/>
    <w:rsid w:val="005734C2"/>
    <w:rsid w:val="00574AA1"/>
    <w:rsid w:val="00574BF2"/>
    <w:rsid w:val="0057633B"/>
    <w:rsid w:val="00577545"/>
    <w:rsid w:val="00585859"/>
    <w:rsid w:val="00590EDF"/>
    <w:rsid w:val="0059185A"/>
    <w:rsid w:val="005933CB"/>
    <w:rsid w:val="00593E2F"/>
    <w:rsid w:val="00595A74"/>
    <w:rsid w:val="005A002C"/>
    <w:rsid w:val="005A1D01"/>
    <w:rsid w:val="005A5601"/>
    <w:rsid w:val="005A62A9"/>
    <w:rsid w:val="005A7964"/>
    <w:rsid w:val="005B01FC"/>
    <w:rsid w:val="005B064E"/>
    <w:rsid w:val="005B499C"/>
    <w:rsid w:val="005B7528"/>
    <w:rsid w:val="005C0440"/>
    <w:rsid w:val="005D38B6"/>
    <w:rsid w:val="005D7642"/>
    <w:rsid w:val="005E0A46"/>
    <w:rsid w:val="005E3D0D"/>
    <w:rsid w:val="005E7DCF"/>
    <w:rsid w:val="005F02E0"/>
    <w:rsid w:val="005F6E5C"/>
    <w:rsid w:val="00602F9D"/>
    <w:rsid w:val="0060593E"/>
    <w:rsid w:val="00611EE5"/>
    <w:rsid w:val="00616833"/>
    <w:rsid w:val="00616B8D"/>
    <w:rsid w:val="006261A6"/>
    <w:rsid w:val="0062751F"/>
    <w:rsid w:val="00632AFD"/>
    <w:rsid w:val="0063491E"/>
    <w:rsid w:val="00634A27"/>
    <w:rsid w:val="00634BC5"/>
    <w:rsid w:val="00635AF8"/>
    <w:rsid w:val="006409EF"/>
    <w:rsid w:val="006457F1"/>
    <w:rsid w:val="006459C6"/>
    <w:rsid w:val="00646363"/>
    <w:rsid w:val="00647668"/>
    <w:rsid w:val="00655212"/>
    <w:rsid w:val="00657EE4"/>
    <w:rsid w:val="006816AA"/>
    <w:rsid w:val="00682A27"/>
    <w:rsid w:val="00684FCA"/>
    <w:rsid w:val="0069689E"/>
    <w:rsid w:val="006A1698"/>
    <w:rsid w:val="006A1D06"/>
    <w:rsid w:val="006A3F10"/>
    <w:rsid w:val="006A71EB"/>
    <w:rsid w:val="006B12A2"/>
    <w:rsid w:val="006B34CB"/>
    <w:rsid w:val="006B452C"/>
    <w:rsid w:val="006B590B"/>
    <w:rsid w:val="006C36C0"/>
    <w:rsid w:val="006C44B7"/>
    <w:rsid w:val="006C59D5"/>
    <w:rsid w:val="006D58BE"/>
    <w:rsid w:val="006E09D5"/>
    <w:rsid w:val="006E12EC"/>
    <w:rsid w:val="006E1418"/>
    <w:rsid w:val="006E3D95"/>
    <w:rsid w:val="006F3683"/>
    <w:rsid w:val="00700738"/>
    <w:rsid w:val="007042EA"/>
    <w:rsid w:val="007043B9"/>
    <w:rsid w:val="00705549"/>
    <w:rsid w:val="007061A5"/>
    <w:rsid w:val="0071210D"/>
    <w:rsid w:val="00716BC5"/>
    <w:rsid w:val="007170E5"/>
    <w:rsid w:val="00723115"/>
    <w:rsid w:val="00723A18"/>
    <w:rsid w:val="00724550"/>
    <w:rsid w:val="00726A54"/>
    <w:rsid w:val="00730859"/>
    <w:rsid w:val="00731830"/>
    <w:rsid w:val="00736A19"/>
    <w:rsid w:val="00743C8D"/>
    <w:rsid w:val="00745258"/>
    <w:rsid w:val="007600FD"/>
    <w:rsid w:val="0076337E"/>
    <w:rsid w:val="00763C4A"/>
    <w:rsid w:val="00767AED"/>
    <w:rsid w:val="0077374B"/>
    <w:rsid w:val="007746A3"/>
    <w:rsid w:val="007766E6"/>
    <w:rsid w:val="00781ACA"/>
    <w:rsid w:val="00785F8F"/>
    <w:rsid w:val="00787B44"/>
    <w:rsid w:val="00790CD9"/>
    <w:rsid w:val="00791F20"/>
    <w:rsid w:val="00795A5A"/>
    <w:rsid w:val="00796EC3"/>
    <w:rsid w:val="007A0441"/>
    <w:rsid w:val="007A7058"/>
    <w:rsid w:val="007B098D"/>
    <w:rsid w:val="007B1DE5"/>
    <w:rsid w:val="007B5785"/>
    <w:rsid w:val="007B5CF3"/>
    <w:rsid w:val="007B67AE"/>
    <w:rsid w:val="007B6EBF"/>
    <w:rsid w:val="007C4E4D"/>
    <w:rsid w:val="007C62D1"/>
    <w:rsid w:val="007C706F"/>
    <w:rsid w:val="007C7320"/>
    <w:rsid w:val="007D01FF"/>
    <w:rsid w:val="007E0E39"/>
    <w:rsid w:val="007E2B60"/>
    <w:rsid w:val="007E5E30"/>
    <w:rsid w:val="007F0E54"/>
    <w:rsid w:val="007F5107"/>
    <w:rsid w:val="00803EC5"/>
    <w:rsid w:val="008040BA"/>
    <w:rsid w:val="008042D6"/>
    <w:rsid w:val="00806380"/>
    <w:rsid w:val="00821CE2"/>
    <w:rsid w:val="00830FF8"/>
    <w:rsid w:val="00833A04"/>
    <w:rsid w:val="00833B8D"/>
    <w:rsid w:val="00842DFF"/>
    <w:rsid w:val="0084324F"/>
    <w:rsid w:val="00843750"/>
    <w:rsid w:val="00844407"/>
    <w:rsid w:val="00853B24"/>
    <w:rsid w:val="00853E2A"/>
    <w:rsid w:val="008541E9"/>
    <w:rsid w:val="00856EEB"/>
    <w:rsid w:val="0087143F"/>
    <w:rsid w:val="00873020"/>
    <w:rsid w:val="008739EB"/>
    <w:rsid w:val="008776BB"/>
    <w:rsid w:val="00880540"/>
    <w:rsid w:val="0088396E"/>
    <w:rsid w:val="00884EB1"/>
    <w:rsid w:val="008862E4"/>
    <w:rsid w:val="008A1A7A"/>
    <w:rsid w:val="008A45EE"/>
    <w:rsid w:val="008B0632"/>
    <w:rsid w:val="008B08A3"/>
    <w:rsid w:val="008B4F64"/>
    <w:rsid w:val="008B53C0"/>
    <w:rsid w:val="008B5F7F"/>
    <w:rsid w:val="008B64B1"/>
    <w:rsid w:val="008B6A49"/>
    <w:rsid w:val="008B709D"/>
    <w:rsid w:val="008C11F5"/>
    <w:rsid w:val="008C2A03"/>
    <w:rsid w:val="008C3A6F"/>
    <w:rsid w:val="008C6372"/>
    <w:rsid w:val="008D0CE3"/>
    <w:rsid w:val="008E7A0A"/>
    <w:rsid w:val="008F12FD"/>
    <w:rsid w:val="008F13EA"/>
    <w:rsid w:val="008F24E6"/>
    <w:rsid w:val="00900797"/>
    <w:rsid w:val="00904F3C"/>
    <w:rsid w:val="0090623F"/>
    <w:rsid w:val="00906702"/>
    <w:rsid w:val="00907279"/>
    <w:rsid w:val="00907EDB"/>
    <w:rsid w:val="009110C5"/>
    <w:rsid w:val="00912FB5"/>
    <w:rsid w:val="00913A54"/>
    <w:rsid w:val="00915944"/>
    <w:rsid w:val="00915A9F"/>
    <w:rsid w:val="00922460"/>
    <w:rsid w:val="009228D9"/>
    <w:rsid w:val="00930B74"/>
    <w:rsid w:val="009312DC"/>
    <w:rsid w:val="009327BF"/>
    <w:rsid w:val="00934047"/>
    <w:rsid w:val="0093512D"/>
    <w:rsid w:val="00935F33"/>
    <w:rsid w:val="009403E4"/>
    <w:rsid w:val="0094745A"/>
    <w:rsid w:val="00952B5F"/>
    <w:rsid w:val="00953546"/>
    <w:rsid w:val="009541F6"/>
    <w:rsid w:val="0095649D"/>
    <w:rsid w:val="009565AD"/>
    <w:rsid w:val="00957CFD"/>
    <w:rsid w:val="00960332"/>
    <w:rsid w:val="00961B26"/>
    <w:rsid w:val="00963BDB"/>
    <w:rsid w:val="0097006F"/>
    <w:rsid w:val="00970DDD"/>
    <w:rsid w:val="00984EE4"/>
    <w:rsid w:val="00990168"/>
    <w:rsid w:val="0099354F"/>
    <w:rsid w:val="00996CBB"/>
    <w:rsid w:val="009A5318"/>
    <w:rsid w:val="009B16EA"/>
    <w:rsid w:val="009B3444"/>
    <w:rsid w:val="009B5DCD"/>
    <w:rsid w:val="009B5EE6"/>
    <w:rsid w:val="009B7193"/>
    <w:rsid w:val="009C02FB"/>
    <w:rsid w:val="009C0F43"/>
    <w:rsid w:val="009C20B9"/>
    <w:rsid w:val="009C382E"/>
    <w:rsid w:val="009C490E"/>
    <w:rsid w:val="009C495F"/>
    <w:rsid w:val="009C6A25"/>
    <w:rsid w:val="009D28B9"/>
    <w:rsid w:val="009D6E3D"/>
    <w:rsid w:val="009E5E58"/>
    <w:rsid w:val="009F0808"/>
    <w:rsid w:val="00A0688A"/>
    <w:rsid w:val="00A070E6"/>
    <w:rsid w:val="00A1426A"/>
    <w:rsid w:val="00A14F1D"/>
    <w:rsid w:val="00A152DC"/>
    <w:rsid w:val="00A1703F"/>
    <w:rsid w:val="00A20E73"/>
    <w:rsid w:val="00A2180A"/>
    <w:rsid w:val="00A22293"/>
    <w:rsid w:val="00A26973"/>
    <w:rsid w:val="00A312E7"/>
    <w:rsid w:val="00A3401C"/>
    <w:rsid w:val="00A344D5"/>
    <w:rsid w:val="00A37E33"/>
    <w:rsid w:val="00A452CF"/>
    <w:rsid w:val="00A46574"/>
    <w:rsid w:val="00A471A3"/>
    <w:rsid w:val="00A47B1B"/>
    <w:rsid w:val="00A5253A"/>
    <w:rsid w:val="00A63339"/>
    <w:rsid w:val="00A90F41"/>
    <w:rsid w:val="00A910E7"/>
    <w:rsid w:val="00A93B3B"/>
    <w:rsid w:val="00A951DD"/>
    <w:rsid w:val="00A95CBB"/>
    <w:rsid w:val="00A9600A"/>
    <w:rsid w:val="00A96C80"/>
    <w:rsid w:val="00AA0ABF"/>
    <w:rsid w:val="00AA27C2"/>
    <w:rsid w:val="00AB2CCF"/>
    <w:rsid w:val="00AB49FD"/>
    <w:rsid w:val="00AB69B0"/>
    <w:rsid w:val="00AC271B"/>
    <w:rsid w:val="00AD12DB"/>
    <w:rsid w:val="00AD6322"/>
    <w:rsid w:val="00AD6752"/>
    <w:rsid w:val="00AD78B1"/>
    <w:rsid w:val="00AF0B91"/>
    <w:rsid w:val="00AF1A65"/>
    <w:rsid w:val="00AF3B70"/>
    <w:rsid w:val="00B03D42"/>
    <w:rsid w:val="00B11766"/>
    <w:rsid w:val="00B17439"/>
    <w:rsid w:val="00B17940"/>
    <w:rsid w:val="00B17A11"/>
    <w:rsid w:val="00B217F6"/>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A6AD7"/>
    <w:rsid w:val="00BB052D"/>
    <w:rsid w:val="00BB1F92"/>
    <w:rsid w:val="00BB2E06"/>
    <w:rsid w:val="00BB46C6"/>
    <w:rsid w:val="00BB5B7F"/>
    <w:rsid w:val="00BB5C4E"/>
    <w:rsid w:val="00BB7E8A"/>
    <w:rsid w:val="00BC1DDE"/>
    <w:rsid w:val="00BC20A0"/>
    <w:rsid w:val="00BC27F5"/>
    <w:rsid w:val="00BC5F6D"/>
    <w:rsid w:val="00BC75AA"/>
    <w:rsid w:val="00BD0770"/>
    <w:rsid w:val="00BD2F16"/>
    <w:rsid w:val="00BE1C7B"/>
    <w:rsid w:val="00BE2488"/>
    <w:rsid w:val="00BE2D25"/>
    <w:rsid w:val="00BE448A"/>
    <w:rsid w:val="00BE531D"/>
    <w:rsid w:val="00BE7378"/>
    <w:rsid w:val="00BF2725"/>
    <w:rsid w:val="00BF3D60"/>
    <w:rsid w:val="00BF5FCB"/>
    <w:rsid w:val="00BF72EA"/>
    <w:rsid w:val="00C00290"/>
    <w:rsid w:val="00C04A28"/>
    <w:rsid w:val="00C05FFF"/>
    <w:rsid w:val="00C10BAE"/>
    <w:rsid w:val="00C15F35"/>
    <w:rsid w:val="00C16B93"/>
    <w:rsid w:val="00C2210E"/>
    <w:rsid w:val="00C2524E"/>
    <w:rsid w:val="00C32802"/>
    <w:rsid w:val="00C35DFA"/>
    <w:rsid w:val="00C36272"/>
    <w:rsid w:val="00C40B0B"/>
    <w:rsid w:val="00C41B6F"/>
    <w:rsid w:val="00C42BBF"/>
    <w:rsid w:val="00C44979"/>
    <w:rsid w:val="00C45525"/>
    <w:rsid w:val="00C45A45"/>
    <w:rsid w:val="00C47EFE"/>
    <w:rsid w:val="00C50728"/>
    <w:rsid w:val="00C56B0F"/>
    <w:rsid w:val="00C57690"/>
    <w:rsid w:val="00C57E6A"/>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2CF3"/>
    <w:rsid w:val="00CB519E"/>
    <w:rsid w:val="00CC1507"/>
    <w:rsid w:val="00CC2E58"/>
    <w:rsid w:val="00CC3D89"/>
    <w:rsid w:val="00CC5B37"/>
    <w:rsid w:val="00CD2ED3"/>
    <w:rsid w:val="00CD3C62"/>
    <w:rsid w:val="00CE4211"/>
    <w:rsid w:val="00CF021B"/>
    <w:rsid w:val="00CF066B"/>
    <w:rsid w:val="00CF07BE"/>
    <w:rsid w:val="00CF40E0"/>
    <w:rsid w:val="00CF4412"/>
    <w:rsid w:val="00CF5B33"/>
    <w:rsid w:val="00D01748"/>
    <w:rsid w:val="00D028FF"/>
    <w:rsid w:val="00D03ECD"/>
    <w:rsid w:val="00D05963"/>
    <w:rsid w:val="00D07231"/>
    <w:rsid w:val="00D107E0"/>
    <w:rsid w:val="00D11640"/>
    <w:rsid w:val="00D1470E"/>
    <w:rsid w:val="00D20AA4"/>
    <w:rsid w:val="00D25A7B"/>
    <w:rsid w:val="00D32157"/>
    <w:rsid w:val="00D35B2E"/>
    <w:rsid w:val="00D40F84"/>
    <w:rsid w:val="00D434AF"/>
    <w:rsid w:val="00D44FA6"/>
    <w:rsid w:val="00D554C9"/>
    <w:rsid w:val="00D60D62"/>
    <w:rsid w:val="00D61BB7"/>
    <w:rsid w:val="00D6211F"/>
    <w:rsid w:val="00D62DA9"/>
    <w:rsid w:val="00D70D97"/>
    <w:rsid w:val="00D7165D"/>
    <w:rsid w:val="00D75705"/>
    <w:rsid w:val="00D961D6"/>
    <w:rsid w:val="00D97B17"/>
    <w:rsid w:val="00DA1A4A"/>
    <w:rsid w:val="00DA4AFE"/>
    <w:rsid w:val="00DA4BD0"/>
    <w:rsid w:val="00DA7B41"/>
    <w:rsid w:val="00DB058E"/>
    <w:rsid w:val="00DB326E"/>
    <w:rsid w:val="00DB5889"/>
    <w:rsid w:val="00DC1E7E"/>
    <w:rsid w:val="00DC31D2"/>
    <w:rsid w:val="00DC7A5F"/>
    <w:rsid w:val="00DD0CE6"/>
    <w:rsid w:val="00DD6A66"/>
    <w:rsid w:val="00DE0D15"/>
    <w:rsid w:val="00DF1CF0"/>
    <w:rsid w:val="00DF6656"/>
    <w:rsid w:val="00DF7388"/>
    <w:rsid w:val="00E02FA4"/>
    <w:rsid w:val="00E04C73"/>
    <w:rsid w:val="00E079A3"/>
    <w:rsid w:val="00E11718"/>
    <w:rsid w:val="00E12674"/>
    <w:rsid w:val="00E132AC"/>
    <w:rsid w:val="00E15CCC"/>
    <w:rsid w:val="00E15D7D"/>
    <w:rsid w:val="00E17234"/>
    <w:rsid w:val="00E23ABA"/>
    <w:rsid w:val="00E261F5"/>
    <w:rsid w:val="00E34A5B"/>
    <w:rsid w:val="00E3623B"/>
    <w:rsid w:val="00E455D9"/>
    <w:rsid w:val="00E4741B"/>
    <w:rsid w:val="00E478DE"/>
    <w:rsid w:val="00E5157F"/>
    <w:rsid w:val="00E5226F"/>
    <w:rsid w:val="00E53135"/>
    <w:rsid w:val="00E54141"/>
    <w:rsid w:val="00E54D94"/>
    <w:rsid w:val="00E57E26"/>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D3E61"/>
    <w:rsid w:val="00EE3586"/>
    <w:rsid w:val="00EE63A7"/>
    <w:rsid w:val="00EE7479"/>
    <w:rsid w:val="00EE7954"/>
    <w:rsid w:val="00EF1FBD"/>
    <w:rsid w:val="00EF29BE"/>
    <w:rsid w:val="00EF7FD0"/>
    <w:rsid w:val="00F07943"/>
    <w:rsid w:val="00F07DDF"/>
    <w:rsid w:val="00F11204"/>
    <w:rsid w:val="00F16256"/>
    <w:rsid w:val="00F209ED"/>
    <w:rsid w:val="00F231E8"/>
    <w:rsid w:val="00F26EA8"/>
    <w:rsid w:val="00F30632"/>
    <w:rsid w:val="00F31B97"/>
    <w:rsid w:val="00F329D8"/>
    <w:rsid w:val="00F32BCD"/>
    <w:rsid w:val="00F33544"/>
    <w:rsid w:val="00F35ACF"/>
    <w:rsid w:val="00F36445"/>
    <w:rsid w:val="00F402F3"/>
    <w:rsid w:val="00F40CAB"/>
    <w:rsid w:val="00F414C3"/>
    <w:rsid w:val="00F51C87"/>
    <w:rsid w:val="00F5214D"/>
    <w:rsid w:val="00F55457"/>
    <w:rsid w:val="00F6077B"/>
    <w:rsid w:val="00F60D85"/>
    <w:rsid w:val="00F624BD"/>
    <w:rsid w:val="00F62A5E"/>
    <w:rsid w:val="00F631B9"/>
    <w:rsid w:val="00F634A6"/>
    <w:rsid w:val="00F6634F"/>
    <w:rsid w:val="00F72CD1"/>
    <w:rsid w:val="00F74A39"/>
    <w:rsid w:val="00F8138E"/>
    <w:rsid w:val="00F85203"/>
    <w:rsid w:val="00F87D5A"/>
    <w:rsid w:val="00F87EF6"/>
    <w:rsid w:val="00F906DA"/>
    <w:rsid w:val="00F92676"/>
    <w:rsid w:val="00F94262"/>
    <w:rsid w:val="00F947D0"/>
    <w:rsid w:val="00F9616B"/>
    <w:rsid w:val="00F979A8"/>
    <w:rsid w:val="00FA1B93"/>
    <w:rsid w:val="00FA5551"/>
    <w:rsid w:val="00FA6D66"/>
    <w:rsid w:val="00FA7C7A"/>
    <w:rsid w:val="00FC1C00"/>
    <w:rsid w:val="00FD213B"/>
    <w:rsid w:val="00FD3CE8"/>
    <w:rsid w:val="00FD5B91"/>
    <w:rsid w:val="00FD7004"/>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C27F5"/>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5B01FC"/>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rsid w:val="0027350A"/>
    <w:pPr>
      <w:suppressAutoHyphens/>
      <w:spacing w:line="210" w:lineRule="exact"/>
      <w:contextualSpacing/>
    </w:pPr>
    <w:rPr>
      <w:spacing w:val="5"/>
      <w:w w:val="104"/>
      <w:sz w:val="17"/>
      <w:szCs w:val="20"/>
    </w:rPr>
  </w:style>
  <w:style w:type="character" w:customStyle="1" w:styleId="EndnoteTextChar">
    <w:name w:val="Endnote Text Char"/>
    <w:basedOn w:val="DefaultParagraphFont"/>
    <w:link w:val="EndnoteText"/>
    <w:uiPriority w:val="1"/>
    <w:semiHidden/>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C27F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6C36C0"/>
    <w:rPr>
      <w:sz w:val="16"/>
      <w:szCs w:val="16"/>
    </w:rPr>
  </w:style>
  <w:style w:type="paragraph" w:styleId="CommentText">
    <w:name w:val="annotation text"/>
    <w:basedOn w:val="Normal"/>
    <w:link w:val="CommentTextChar"/>
    <w:uiPriority w:val="99"/>
    <w:semiHidden/>
    <w:unhideWhenUsed/>
    <w:rsid w:val="006C36C0"/>
    <w:pPr>
      <w:spacing w:line="240" w:lineRule="auto"/>
    </w:pPr>
    <w:rPr>
      <w:szCs w:val="20"/>
    </w:rPr>
  </w:style>
  <w:style w:type="character" w:customStyle="1" w:styleId="CommentTextChar">
    <w:name w:val="Comment Text Char"/>
    <w:basedOn w:val="DefaultParagraphFont"/>
    <w:link w:val="CommentText"/>
    <w:uiPriority w:val="99"/>
    <w:semiHidden/>
    <w:rsid w:val="006C36C0"/>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6C36C0"/>
    <w:rPr>
      <w:b/>
      <w:bCs/>
    </w:rPr>
  </w:style>
  <w:style w:type="character" w:customStyle="1" w:styleId="CommentSubjectChar">
    <w:name w:val="Comment Subject Char"/>
    <w:basedOn w:val="CommentTextChar"/>
    <w:link w:val="CommentSubject"/>
    <w:uiPriority w:val="99"/>
    <w:semiHidden/>
    <w:rsid w:val="006C36C0"/>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0D48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807"/>
    <w:rPr>
      <w:rFonts w:ascii="Tahoma" w:hAnsi="Tahoma" w:cs="Tahoma"/>
      <w:spacing w:val="4"/>
      <w:w w:val="103"/>
      <w:kern w:val="14"/>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C27F5"/>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5B01FC"/>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rsid w:val="0027350A"/>
    <w:pPr>
      <w:suppressAutoHyphens/>
      <w:spacing w:line="210" w:lineRule="exact"/>
      <w:contextualSpacing/>
    </w:pPr>
    <w:rPr>
      <w:spacing w:val="5"/>
      <w:w w:val="104"/>
      <w:sz w:val="17"/>
      <w:szCs w:val="20"/>
    </w:rPr>
  </w:style>
  <w:style w:type="character" w:customStyle="1" w:styleId="EndnoteTextChar">
    <w:name w:val="Endnote Text Char"/>
    <w:basedOn w:val="DefaultParagraphFont"/>
    <w:link w:val="EndnoteText"/>
    <w:uiPriority w:val="1"/>
    <w:semiHidden/>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C27F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6C36C0"/>
    <w:rPr>
      <w:sz w:val="16"/>
      <w:szCs w:val="16"/>
    </w:rPr>
  </w:style>
  <w:style w:type="paragraph" w:styleId="CommentText">
    <w:name w:val="annotation text"/>
    <w:basedOn w:val="Normal"/>
    <w:link w:val="CommentTextChar"/>
    <w:uiPriority w:val="99"/>
    <w:semiHidden/>
    <w:unhideWhenUsed/>
    <w:rsid w:val="006C36C0"/>
    <w:pPr>
      <w:spacing w:line="240" w:lineRule="auto"/>
    </w:pPr>
    <w:rPr>
      <w:szCs w:val="20"/>
    </w:rPr>
  </w:style>
  <w:style w:type="character" w:customStyle="1" w:styleId="CommentTextChar">
    <w:name w:val="Comment Text Char"/>
    <w:basedOn w:val="DefaultParagraphFont"/>
    <w:link w:val="CommentText"/>
    <w:uiPriority w:val="99"/>
    <w:semiHidden/>
    <w:rsid w:val="006C36C0"/>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6C36C0"/>
    <w:rPr>
      <w:b/>
      <w:bCs/>
    </w:rPr>
  </w:style>
  <w:style w:type="character" w:customStyle="1" w:styleId="CommentSubjectChar">
    <w:name w:val="Comment Subject Char"/>
    <w:basedOn w:val="CommentTextChar"/>
    <w:link w:val="CommentSubject"/>
    <w:uiPriority w:val="99"/>
    <w:semiHidden/>
    <w:rsid w:val="006C36C0"/>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0D48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807"/>
    <w:rPr>
      <w:rFonts w:ascii="Tahoma" w:hAnsi="Tahoma" w:cs="Tahoma"/>
      <w:spacing w:val="4"/>
      <w:w w:val="103"/>
      <w:kern w:val="14"/>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20CF5-AD24-4FDE-B2F2-B34DE066E8FC}"/>
</file>

<file path=customXml/itemProps2.xml><?xml version="1.0" encoding="utf-8"?>
<ds:datastoreItem xmlns:ds="http://schemas.openxmlformats.org/officeDocument/2006/customXml" ds:itemID="{07643C36-97DA-48AB-956D-DC887855C8B0}"/>
</file>

<file path=customXml/itemProps3.xml><?xml version="1.0" encoding="utf-8"?>
<ds:datastoreItem xmlns:ds="http://schemas.openxmlformats.org/officeDocument/2006/customXml" ds:itemID="{EFFDC53B-1C7A-4AD4-92A0-4E594A0577BD}"/>
</file>

<file path=customXml/itemProps4.xml><?xml version="1.0" encoding="utf-8"?>
<ds:datastoreItem xmlns:ds="http://schemas.openxmlformats.org/officeDocument/2006/customXml" ds:itemID="{E5B7136D-CAE0-4010-A2F9-73CE8D77E814}"/>
</file>

<file path=docProps/app.xml><?xml version="1.0" encoding="utf-8"?>
<Properties xmlns="http://schemas.openxmlformats.org/officeDocument/2006/extended-properties" xmlns:vt="http://schemas.openxmlformats.org/officeDocument/2006/docPropsVTypes">
  <Template>BB51AFC1.dotm</Template>
  <TotalTime>2</TotalTime>
  <Pages>20</Pages>
  <Words>8834</Words>
  <Characters>50358</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59074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situation of human rights in Mali in Russian</dc:title>
  <dc:creator>Sharkina</dc:creator>
  <cp:lastModifiedBy>Iuliia Somova</cp:lastModifiedBy>
  <cp:revision>2</cp:revision>
  <cp:lastPrinted>2016-02-03T14:51:00Z</cp:lastPrinted>
  <dcterms:created xsi:type="dcterms:W3CDTF">2016-02-18T10:37:00Z</dcterms:created>
  <dcterms:modified xsi:type="dcterms:W3CDTF">2016-02-18T10:37:00Z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1600837R</vt:lpwstr>
  </property>
  <property fmtid="{D5CDD505-2E9C-101B-9397-08002B2CF9AE}" pid="3" name="ODSRefJobNo">
    <vt:lpwstr>1600942R</vt:lpwstr>
  </property>
  <property fmtid="{D5CDD505-2E9C-101B-9397-08002B2CF9AE}" pid="4" name="Symbol1">
    <vt:lpwstr>A/HRC/31/76</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27 January 2016</vt:lpwstr>
  </property>
  <property fmtid="{D5CDD505-2E9C-101B-9397-08002B2CF9AE}" pid="12" name="Original">
    <vt:lpwstr>French</vt:lpwstr>
  </property>
  <property fmtid="{D5CDD505-2E9C-101B-9397-08002B2CF9AE}" pid="13" name="Release Date">
    <vt:lpwstr>030216</vt:lpwstr>
  </property>
  <property fmtid="{D5CDD505-2E9C-101B-9397-08002B2CF9AE}" pid="14" name="ContentTypeId">
    <vt:lpwstr>0x01010096653915A04EE840B57D1EDE6D2D7227</vt:lpwstr>
  </property>
  <property fmtid="{D5CDD505-2E9C-101B-9397-08002B2CF9AE}" pid="15" name="Order">
    <vt:r8>7400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