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498" w:type="dxa"/>
        <w:tblLayout w:type="fixed"/>
        <w:tblCellMar>
          <w:left w:w="0" w:type="dxa"/>
          <w:right w:w="0" w:type="dxa"/>
        </w:tblCellMar>
        <w:tblLook w:val="01E0" w:firstRow="1" w:lastRow="1" w:firstColumn="1" w:lastColumn="1" w:noHBand="0" w:noVBand="0"/>
      </w:tblPr>
      <w:tblGrid>
        <w:gridCol w:w="1259"/>
        <w:gridCol w:w="2236"/>
        <w:gridCol w:w="3214"/>
        <w:gridCol w:w="2789"/>
      </w:tblGrid>
      <w:tr w:rsidR="00E52109" w:rsidRPr="00231CF5" w:rsidTr="00AD7D00">
        <w:trPr>
          <w:trHeight w:val="851"/>
        </w:trPr>
        <w:tc>
          <w:tcPr>
            <w:tcW w:w="1259" w:type="dxa"/>
            <w:tcBorders>
              <w:top w:val="nil"/>
              <w:left w:val="nil"/>
              <w:bottom w:val="single" w:sz="4" w:space="0" w:color="auto"/>
              <w:right w:val="nil"/>
            </w:tcBorders>
          </w:tcPr>
          <w:p w:rsidR="00E52109" w:rsidRPr="00231CF5" w:rsidRDefault="00E52109" w:rsidP="002A32CB">
            <w:pPr>
              <w:pStyle w:val="HMG"/>
            </w:pPr>
          </w:p>
        </w:tc>
        <w:tc>
          <w:tcPr>
            <w:tcW w:w="2236" w:type="dxa"/>
            <w:tcBorders>
              <w:top w:val="nil"/>
              <w:left w:val="nil"/>
              <w:bottom w:val="single" w:sz="4" w:space="0" w:color="auto"/>
              <w:right w:val="nil"/>
            </w:tcBorders>
            <w:vAlign w:val="bottom"/>
          </w:tcPr>
          <w:p w:rsidR="00E52109" w:rsidRPr="00231CF5" w:rsidRDefault="00E52109" w:rsidP="002810DE">
            <w:pPr>
              <w:spacing w:after="80" w:line="300" w:lineRule="exact"/>
              <w:rPr>
                <w:sz w:val="28"/>
                <w:szCs w:val="28"/>
              </w:rPr>
            </w:pPr>
          </w:p>
        </w:tc>
        <w:tc>
          <w:tcPr>
            <w:tcW w:w="6003" w:type="dxa"/>
            <w:gridSpan w:val="2"/>
            <w:tcBorders>
              <w:top w:val="nil"/>
              <w:left w:val="nil"/>
              <w:bottom w:val="single" w:sz="4" w:space="0" w:color="auto"/>
              <w:right w:val="nil"/>
            </w:tcBorders>
            <w:vAlign w:val="bottom"/>
          </w:tcPr>
          <w:p w:rsidR="00E52109" w:rsidRPr="00231CF5" w:rsidRDefault="00AF4876" w:rsidP="00A135F8">
            <w:pPr>
              <w:suppressAutoHyphens w:val="0"/>
              <w:spacing w:after="20"/>
              <w:jc w:val="right"/>
            </w:pPr>
            <w:r w:rsidRPr="00231CF5">
              <w:rPr>
                <w:sz w:val="40"/>
              </w:rPr>
              <w:t>A</w:t>
            </w:r>
            <w:r w:rsidRPr="008B1B4C">
              <w:rPr>
                <w:sz w:val="20"/>
                <w:szCs w:val="20"/>
              </w:rPr>
              <w:t>/HRC/</w:t>
            </w:r>
            <w:r w:rsidR="002959C5" w:rsidRPr="008B1B4C">
              <w:rPr>
                <w:sz w:val="20"/>
                <w:szCs w:val="20"/>
              </w:rPr>
              <w:t>32</w:t>
            </w:r>
            <w:r w:rsidRPr="008B1B4C">
              <w:rPr>
                <w:sz w:val="20"/>
                <w:szCs w:val="20"/>
              </w:rPr>
              <w:t>/</w:t>
            </w:r>
            <w:r w:rsidR="002959C5" w:rsidRPr="008B1B4C">
              <w:rPr>
                <w:sz w:val="20"/>
                <w:szCs w:val="20"/>
              </w:rPr>
              <w:t>42</w:t>
            </w:r>
            <w:r w:rsidRPr="008B1B4C">
              <w:rPr>
                <w:sz w:val="20"/>
                <w:szCs w:val="20"/>
              </w:rPr>
              <w:t>/Add.</w:t>
            </w:r>
            <w:r w:rsidR="00A135F8" w:rsidRPr="008B1B4C">
              <w:rPr>
                <w:sz w:val="20"/>
                <w:szCs w:val="20"/>
              </w:rPr>
              <w:t>3</w:t>
            </w:r>
          </w:p>
        </w:tc>
      </w:tr>
      <w:tr w:rsidR="00E52109" w:rsidRPr="00231CF5" w:rsidTr="00AD7D00">
        <w:trPr>
          <w:trHeight w:val="2835"/>
        </w:trPr>
        <w:tc>
          <w:tcPr>
            <w:tcW w:w="1259" w:type="dxa"/>
            <w:tcBorders>
              <w:top w:val="single" w:sz="4" w:space="0" w:color="auto"/>
              <w:left w:val="nil"/>
              <w:bottom w:val="single" w:sz="12" w:space="0" w:color="auto"/>
              <w:right w:val="nil"/>
            </w:tcBorders>
          </w:tcPr>
          <w:p w:rsidR="00E52109" w:rsidRPr="00231CF5" w:rsidRDefault="00E52109" w:rsidP="002810DE">
            <w:pPr>
              <w:spacing w:before="120"/>
              <w:jc w:val="center"/>
            </w:pPr>
          </w:p>
        </w:tc>
        <w:tc>
          <w:tcPr>
            <w:tcW w:w="5450" w:type="dxa"/>
            <w:gridSpan w:val="2"/>
            <w:tcBorders>
              <w:top w:val="single" w:sz="4" w:space="0" w:color="auto"/>
              <w:left w:val="nil"/>
              <w:bottom w:val="single" w:sz="12" w:space="0" w:color="auto"/>
              <w:right w:val="nil"/>
            </w:tcBorders>
          </w:tcPr>
          <w:p w:rsidR="00E52109" w:rsidRPr="00231CF5" w:rsidRDefault="00DF726C" w:rsidP="002810DE">
            <w:pPr>
              <w:spacing w:before="120" w:line="420" w:lineRule="exact"/>
              <w:rPr>
                <w:b/>
                <w:sz w:val="40"/>
                <w:szCs w:val="40"/>
              </w:rPr>
            </w:pPr>
            <w:r>
              <w:rPr>
                <w:b/>
                <w:sz w:val="40"/>
                <w:szCs w:val="40"/>
              </w:rPr>
              <w:t>Advance Unedited Version</w:t>
            </w:r>
            <w:bookmarkStart w:id="0" w:name="_GoBack"/>
            <w:bookmarkEnd w:id="0"/>
          </w:p>
        </w:tc>
        <w:tc>
          <w:tcPr>
            <w:tcW w:w="2789" w:type="dxa"/>
            <w:tcBorders>
              <w:top w:val="single" w:sz="4" w:space="0" w:color="auto"/>
              <w:left w:val="nil"/>
              <w:bottom w:val="single" w:sz="12" w:space="0" w:color="auto"/>
              <w:right w:val="nil"/>
            </w:tcBorders>
          </w:tcPr>
          <w:p w:rsidR="00E52109" w:rsidRPr="007828B4" w:rsidRDefault="00AF4876" w:rsidP="00AF4876">
            <w:pPr>
              <w:suppressAutoHyphens w:val="0"/>
              <w:spacing w:before="240" w:line="240" w:lineRule="exact"/>
              <w:rPr>
                <w:sz w:val="20"/>
                <w:szCs w:val="20"/>
              </w:rPr>
            </w:pPr>
            <w:r w:rsidRPr="007828B4">
              <w:rPr>
                <w:sz w:val="20"/>
                <w:szCs w:val="20"/>
              </w:rPr>
              <w:t>Distr.:</w:t>
            </w:r>
            <w:r w:rsidR="008D3B3A" w:rsidRPr="007828B4">
              <w:rPr>
                <w:sz w:val="20"/>
                <w:szCs w:val="20"/>
              </w:rPr>
              <w:t xml:space="preserve"> </w:t>
            </w:r>
            <w:r w:rsidRPr="007828B4">
              <w:rPr>
                <w:sz w:val="20"/>
                <w:szCs w:val="20"/>
              </w:rPr>
              <w:t>General</w:t>
            </w:r>
          </w:p>
          <w:p w:rsidR="00AF4876" w:rsidRPr="007828B4" w:rsidRDefault="00FC70D6" w:rsidP="00CD60A6">
            <w:pPr>
              <w:suppressAutoHyphens w:val="0"/>
              <w:rPr>
                <w:sz w:val="20"/>
                <w:szCs w:val="20"/>
              </w:rPr>
            </w:pPr>
            <w:r>
              <w:rPr>
                <w:sz w:val="20"/>
                <w:szCs w:val="20"/>
              </w:rPr>
              <w:t>9</w:t>
            </w:r>
            <w:r w:rsidR="00CD60A6">
              <w:rPr>
                <w:sz w:val="20"/>
                <w:szCs w:val="20"/>
              </w:rPr>
              <w:t xml:space="preserve"> June </w:t>
            </w:r>
            <w:r w:rsidR="00AF4876" w:rsidRPr="007828B4">
              <w:rPr>
                <w:sz w:val="20"/>
                <w:szCs w:val="20"/>
              </w:rPr>
              <w:t>201</w:t>
            </w:r>
            <w:r w:rsidR="002959C5" w:rsidRPr="007828B4">
              <w:rPr>
                <w:sz w:val="20"/>
                <w:szCs w:val="20"/>
              </w:rPr>
              <w:t>6</w:t>
            </w:r>
          </w:p>
          <w:p w:rsidR="00020694" w:rsidRPr="007828B4" w:rsidRDefault="00020694" w:rsidP="00020694">
            <w:pPr>
              <w:suppressAutoHyphens w:val="0"/>
              <w:rPr>
                <w:sz w:val="20"/>
                <w:szCs w:val="20"/>
              </w:rPr>
            </w:pPr>
          </w:p>
          <w:p w:rsidR="00AF4876" w:rsidRPr="00231CF5" w:rsidRDefault="00AF4876" w:rsidP="00020694">
            <w:pPr>
              <w:suppressAutoHyphens w:val="0"/>
            </w:pPr>
            <w:r w:rsidRPr="007828B4">
              <w:rPr>
                <w:sz w:val="20"/>
                <w:szCs w:val="20"/>
              </w:rPr>
              <w:t>Original:</w:t>
            </w:r>
            <w:r w:rsidR="008D3B3A" w:rsidRPr="007828B4">
              <w:rPr>
                <w:sz w:val="20"/>
                <w:szCs w:val="20"/>
              </w:rPr>
              <w:t xml:space="preserve"> </w:t>
            </w:r>
            <w:r w:rsidR="00020694" w:rsidRPr="007828B4">
              <w:rPr>
                <w:sz w:val="20"/>
                <w:szCs w:val="20"/>
              </w:rPr>
              <w:t>English</w:t>
            </w:r>
          </w:p>
        </w:tc>
      </w:tr>
    </w:tbl>
    <w:p w:rsidR="007268F9" w:rsidRPr="007828B4" w:rsidRDefault="00AF4876" w:rsidP="00AF4876">
      <w:pPr>
        <w:spacing w:before="120"/>
        <w:rPr>
          <w:b/>
          <w:bCs/>
          <w:sz w:val="20"/>
          <w:szCs w:val="20"/>
        </w:rPr>
      </w:pPr>
      <w:r w:rsidRPr="007828B4">
        <w:rPr>
          <w:b/>
          <w:bCs/>
          <w:sz w:val="20"/>
          <w:szCs w:val="20"/>
        </w:rPr>
        <w:t>Human</w:t>
      </w:r>
      <w:r w:rsidR="008D3B3A" w:rsidRPr="007828B4">
        <w:rPr>
          <w:b/>
          <w:bCs/>
          <w:sz w:val="20"/>
          <w:szCs w:val="20"/>
        </w:rPr>
        <w:t xml:space="preserve"> </w:t>
      </w:r>
      <w:r w:rsidRPr="007828B4">
        <w:rPr>
          <w:b/>
          <w:bCs/>
          <w:sz w:val="20"/>
          <w:szCs w:val="20"/>
        </w:rPr>
        <w:t>Rights</w:t>
      </w:r>
      <w:r w:rsidR="008D3B3A" w:rsidRPr="007828B4">
        <w:rPr>
          <w:b/>
          <w:bCs/>
          <w:sz w:val="20"/>
          <w:szCs w:val="20"/>
        </w:rPr>
        <w:t xml:space="preserve"> </w:t>
      </w:r>
      <w:r w:rsidRPr="007828B4">
        <w:rPr>
          <w:b/>
          <w:bCs/>
          <w:sz w:val="20"/>
          <w:szCs w:val="20"/>
        </w:rPr>
        <w:t>Council</w:t>
      </w:r>
    </w:p>
    <w:p w:rsidR="00AF4876" w:rsidRPr="007828B4" w:rsidRDefault="00AF4876" w:rsidP="00CD7D62">
      <w:pPr>
        <w:rPr>
          <w:b/>
          <w:bCs/>
          <w:sz w:val="20"/>
          <w:szCs w:val="20"/>
        </w:rPr>
      </w:pPr>
      <w:r w:rsidRPr="007828B4">
        <w:rPr>
          <w:b/>
          <w:bCs/>
          <w:sz w:val="20"/>
          <w:szCs w:val="20"/>
        </w:rPr>
        <w:t>T</w:t>
      </w:r>
      <w:r w:rsidR="00020694" w:rsidRPr="007828B4">
        <w:rPr>
          <w:b/>
          <w:bCs/>
          <w:sz w:val="20"/>
          <w:szCs w:val="20"/>
        </w:rPr>
        <w:t>hirty-</w:t>
      </w:r>
      <w:r w:rsidR="00CD7D62" w:rsidRPr="007828B4">
        <w:rPr>
          <w:b/>
          <w:bCs/>
          <w:sz w:val="20"/>
          <w:szCs w:val="20"/>
        </w:rPr>
        <w:t xml:space="preserve">second </w:t>
      </w:r>
      <w:r w:rsidRPr="007828B4">
        <w:rPr>
          <w:b/>
          <w:bCs/>
          <w:sz w:val="20"/>
          <w:szCs w:val="20"/>
        </w:rPr>
        <w:t>session</w:t>
      </w:r>
    </w:p>
    <w:p w:rsidR="00AF4876" w:rsidRPr="007828B4" w:rsidRDefault="00AF4876" w:rsidP="005E716E">
      <w:pPr>
        <w:rPr>
          <w:sz w:val="20"/>
          <w:szCs w:val="20"/>
        </w:rPr>
      </w:pPr>
      <w:r w:rsidRPr="007828B4">
        <w:rPr>
          <w:sz w:val="20"/>
          <w:szCs w:val="20"/>
        </w:rPr>
        <w:t>Agenda</w:t>
      </w:r>
      <w:r w:rsidR="008D3B3A" w:rsidRPr="007828B4">
        <w:rPr>
          <w:sz w:val="20"/>
          <w:szCs w:val="20"/>
        </w:rPr>
        <w:t xml:space="preserve"> </w:t>
      </w:r>
      <w:r w:rsidRPr="007828B4">
        <w:rPr>
          <w:sz w:val="20"/>
          <w:szCs w:val="20"/>
        </w:rPr>
        <w:t>item</w:t>
      </w:r>
      <w:r w:rsidR="008D3B3A" w:rsidRPr="007828B4">
        <w:rPr>
          <w:sz w:val="20"/>
          <w:szCs w:val="20"/>
        </w:rPr>
        <w:t xml:space="preserve"> </w:t>
      </w:r>
      <w:r w:rsidRPr="007828B4">
        <w:rPr>
          <w:sz w:val="20"/>
          <w:szCs w:val="20"/>
        </w:rPr>
        <w:t>3</w:t>
      </w:r>
    </w:p>
    <w:p w:rsidR="00AF4876" w:rsidRPr="007828B4" w:rsidRDefault="00AF4876" w:rsidP="00AF4876">
      <w:pPr>
        <w:rPr>
          <w:b/>
          <w:bCs/>
          <w:sz w:val="20"/>
          <w:szCs w:val="20"/>
        </w:rPr>
      </w:pPr>
      <w:r w:rsidRPr="007828B4">
        <w:rPr>
          <w:b/>
          <w:bCs/>
          <w:sz w:val="20"/>
          <w:szCs w:val="20"/>
        </w:rPr>
        <w:t>Promotion</w:t>
      </w:r>
      <w:r w:rsidR="008D3B3A" w:rsidRPr="007828B4">
        <w:rPr>
          <w:b/>
          <w:bCs/>
          <w:sz w:val="20"/>
          <w:szCs w:val="20"/>
        </w:rPr>
        <w:t xml:space="preserve"> </w:t>
      </w:r>
      <w:r w:rsidRPr="007828B4">
        <w:rPr>
          <w:b/>
          <w:bCs/>
          <w:sz w:val="20"/>
          <w:szCs w:val="20"/>
        </w:rPr>
        <w:t>and</w:t>
      </w:r>
      <w:r w:rsidR="008D3B3A" w:rsidRPr="007828B4">
        <w:rPr>
          <w:b/>
          <w:bCs/>
          <w:sz w:val="20"/>
          <w:szCs w:val="20"/>
        </w:rPr>
        <w:t xml:space="preserve"> </w:t>
      </w:r>
      <w:r w:rsidRPr="007828B4">
        <w:rPr>
          <w:b/>
          <w:bCs/>
          <w:sz w:val="20"/>
          <w:szCs w:val="20"/>
        </w:rPr>
        <w:t>protection</w:t>
      </w:r>
      <w:r w:rsidR="008D3B3A" w:rsidRPr="007828B4">
        <w:rPr>
          <w:b/>
          <w:bCs/>
          <w:sz w:val="20"/>
          <w:szCs w:val="20"/>
        </w:rPr>
        <w:t xml:space="preserve"> </w:t>
      </w:r>
      <w:r w:rsidRPr="007828B4">
        <w:rPr>
          <w:b/>
          <w:bCs/>
          <w:sz w:val="20"/>
          <w:szCs w:val="20"/>
        </w:rPr>
        <w:t>of</w:t>
      </w:r>
      <w:r w:rsidR="008D3B3A" w:rsidRPr="007828B4">
        <w:rPr>
          <w:b/>
          <w:bCs/>
          <w:sz w:val="20"/>
          <w:szCs w:val="20"/>
        </w:rPr>
        <w:t xml:space="preserve"> </w:t>
      </w:r>
      <w:r w:rsidRPr="007828B4">
        <w:rPr>
          <w:b/>
          <w:bCs/>
          <w:sz w:val="20"/>
          <w:szCs w:val="20"/>
        </w:rPr>
        <w:t>all</w:t>
      </w:r>
      <w:r w:rsidR="008D3B3A" w:rsidRPr="007828B4">
        <w:rPr>
          <w:b/>
          <w:bCs/>
          <w:sz w:val="20"/>
          <w:szCs w:val="20"/>
        </w:rPr>
        <w:t xml:space="preserve"> </w:t>
      </w:r>
      <w:r w:rsidRPr="007828B4">
        <w:rPr>
          <w:b/>
          <w:bCs/>
          <w:sz w:val="20"/>
          <w:szCs w:val="20"/>
        </w:rPr>
        <w:t>human</w:t>
      </w:r>
      <w:r w:rsidR="008D3B3A" w:rsidRPr="007828B4">
        <w:rPr>
          <w:b/>
          <w:bCs/>
          <w:sz w:val="20"/>
          <w:szCs w:val="20"/>
        </w:rPr>
        <w:t xml:space="preserve"> </w:t>
      </w:r>
      <w:r w:rsidRPr="007828B4">
        <w:rPr>
          <w:b/>
          <w:bCs/>
          <w:sz w:val="20"/>
          <w:szCs w:val="20"/>
        </w:rPr>
        <w:t>rights,</w:t>
      </w:r>
      <w:r w:rsidR="008D3B3A" w:rsidRPr="007828B4">
        <w:rPr>
          <w:b/>
          <w:bCs/>
          <w:sz w:val="20"/>
          <w:szCs w:val="20"/>
        </w:rPr>
        <w:t xml:space="preserve"> </w:t>
      </w:r>
      <w:r w:rsidRPr="007828B4">
        <w:rPr>
          <w:b/>
          <w:bCs/>
          <w:sz w:val="20"/>
          <w:szCs w:val="20"/>
        </w:rPr>
        <w:t>civil,</w:t>
      </w:r>
      <w:r w:rsidRPr="007828B4">
        <w:rPr>
          <w:b/>
          <w:bCs/>
          <w:sz w:val="20"/>
          <w:szCs w:val="20"/>
        </w:rPr>
        <w:br/>
        <w:t>political,</w:t>
      </w:r>
      <w:r w:rsidR="008D3B3A" w:rsidRPr="007828B4">
        <w:rPr>
          <w:b/>
          <w:bCs/>
          <w:sz w:val="20"/>
          <w:szCs w:val="20"/>
        </w:rPr>
        <w:t xml:space="preserve"> </w:t>
      </w:r>
      <w:r w:rsidRPr="007828B4">
        <w:rPr>
          <w:b/>
          <w:bCs/>
          <w:sz w:val="20"/>
          <w:szCs w:val="20"/>
        </w:rPr>
        <w:t>economic,</w:t>
      </w:r>
      <w:r w:rsidR="008D3B3A" w:rsidRPr="007828B4">
        <w:rPr>
          <w:b/>
          <w:bCs/>
          <w:sz w:val="20"/>
          <w:szCs w:val="20"/>
        </w:rPr>
        <w:t xml:space="preserve"> </w:t>
      </w:r>
      <w:r w:rsidRPr="007828B4">
        <w:rPr>
          <w:b/>
          <w:bCs/>
          <w:sz w:val="20"/>
          <w:szCs w:val="20"/>
        </w:rPr>
        <w:t>social</w:t>
      </w:r>
      <w:r w:rsidR="008D3B3A" w:rsidRPr="007828B4">
        <w:rPr>
          <w:b/>
          <w:bCs/>
          <w:sz w:val="20"/>
          <w:szCs w:val="20"/>
        </w:rPr>
        <w:t xml:space="preserve"> </w:t>
      </w:r>
      <w:r w:rsidRPr="007828B4">
        <w:rPr>
          <w:b/>
          <w:bCs/>
          <w:sz w:val="20"/>
          <w:szCs w:val="20"/>
        </w:rPr>
        <w:t>and</w:t>
      </w:r>
      <w:r w:rsidR="008D3B3A" w:rsidRPr="007828B4">
        <w:rPr>
          <w:b/>
          <w:bCs/>
          <w:sz w:val="20"/>
          <w:szCs w:val="20"/>
        </w:rPr>
        <w:t xml:space="preserve"> </w:t>
      </w:r>
      <w:r w:rsidRPr="007828B4">
        <w:rPr>
          <w:b/>
          <w:bCs/>
          <w:sz w:val="20"/>
          <w:szCs w:val="20"/>
        </w:rPr>
        <w:t>cultural</w:t>
      </w:r>
      <w:r w:rsidR="008D3B3A" w:rsidRPr="007828B4">
        <w:rPr>
          <w:b/>
          <w:bCs/>
          <w:sz w:val="20"/>
          <w:szCs w:val="20"/>
        </w:rPr>
        <w:t xml:space="preserve"> </w:t>
      </w:r>
      <w:r w:rsidRPr="007828B4">
        <w:rPr>
          <w:b/>
          <w:bCs/>
          <w:sz w:val="20"/>
          <w:szCs w:val="20"/>
        </w:rPr>
        <w:t>rights,</w:t>
      </w:r>
      <w:r w:rsidRPr="007828B4">
        <w:rPr>
          <w:b/>
          <w:bCs/>
          <w:sz w:val="20"/>
          <w:szCs w:val="20"/>
        </w:rPr>
        <w:br/>
        <w:t>including</w:t>
      </w:r>
      <w:r w:rsidR="008D3B3A" w:rsidRPr="007828B4">
        <w:rPr>
          <w:b/>
          <w:bCs/>
          <w:sz w:val="20"/>
          <w:szCs w:val="20"/>
        </w:rPr>
        <w:t xml:space="preserve"> </w:t>
      </w:r>
      <w:r w:rsidRPr="007828B4">
        <w:rPr>
          <w:b/>
          <w:bCs/>
          <w:sz w:val="20"/>
          <w:szCs w:val="20"/>
        </w:rPr>
        <w:t>the</w:t>
      </w:r>
      <w:r w:rsidR="008D3B3A" w:rsidRPr="007828B4">
        <w:rPr>
          <w:b/>
          <w:bCs/>
          <w:sz w:val="20"/>
          <w:szCs w:val="20"/>
        </w:rPr>
        <w:t xml:space="preserve"> </w:t>
      </w:r>
      <w:r w:rsidRPr="007828B4">
        <w:rPr>
          <w:b/>
          <w:bCs/>
          <w:sz w:val="20"/>
          <w:szCs w:val="20"/>
        </w:rPr>
        <w:t>right</w:t>
      </w:r>
      <w:r w:rsidR="008D3B3A" w:rsidRPr="007828B4">
        <w:rPr>
          <w:b/>
          <w:bCs/>
          <w:sz w:val="20"/>
          <w:szCs w:val="20"/>
        </w:rPr>
        <w:t xml:space="preserve"> </w:t>
      </w:r>
      <w:r w:rsidRPr="007828B4">
        <w:rPr>
          <w:b/>
          <w:bCs/>
          <w:sz w:val="20"/>
          <w:szCs w:val="20"/>
        </w:rPr>
        <w:t>to</w:t>
      </w:r>
      <w:r w:rsidR="008D3B3A" w:rsidRPr="007828B4">
        <w:rPr>
          <w:b/>
          <w:bCs/>
          <w:sz w:val="20"/>
          <w:szCs w:val="20"/>
        </w:rPr>
        <w:t xml:space="preserve"> </w:t>
      </w:r>
      <w:r w:rsidRPr="007828B4">
        <w:rPr>
          <w:b/>
          <w:bCs/>
          <w:sz w:val="20"/>
          <w:szCs w:val="20"/>
        </w:rPr>
        <w:t>development</w:t>
      </w:r>
    </w:p>
    <w:p w:rsidR="00521360" w:rsidRDefault="00AF4876" w:rsidP="002959C5">
      <w:pPr>
        <w:pStyle w:val="HChG"/>
        <w:rPr>
          <w:szCs w:val="28"/>
        </w:rPr>
      </w:pPr>
      <w:r w:rsidRPr="00231CF5">
        <w:tab/>
      </w:r>
      <w:r w:rsidRPr="00231CF5">
        <w:tab/>
      </w:r>
      <w:r w:rsidRPr="00E64C64">
        <w:rPr>
          <w:szCs w:val="28"/>
        </w:rPr>
        <w:t>Report</w:t>
      </w:r>
      <w:r w:rsidR="008D3B3A" w:rsidRPr="00E64C64">
        <w:rPr>
          <w:szCs w:val="28"/>
        </w:rPr>
        <w:t xml:space="preserve"> </w:t>
      </w:r>
      <w:r w:rsidRPr="00E64C64">
        <w:rPr>
          <w:szCs w:val="28"/>
        </w:rPr>
        <w:t>of</w:t>
      </w:r>
      <w:r w:rsidR="008D3B3A" w:rsidRPr="00E64C64">
        <w:rPr>
          <w:szCs w:val="28"/>
        </w:rPr>
        <w:t xml:space="preserve"> </w:t>
      </w:r>
      <w:r w:rsidRPr="00E64C64">
        <w:rPr>
          <w:szCs w:val="28"/>
        </w:rPr>
        <w:t>the</w:t>
      </w:r>
      <w:r w:rsidR="008D3B3A" w:rsidRPr="00E64C64">
        <w:rPr>
          <w:szCs w:val="28"/>
        </w:rPr>
        <w:t xml:space="preserve"> </w:t>
      </w:r>
      <w:r w:rsidRPr="00E64C64">
        <w:rPr>
          <w:szCs w:val="28"/>
        </w:rPr>
        <w:t>Special</w:t>
      </w:r>
      <w:r w:rsidR="008D3B3A" w:rsidRPr="00E64C64">
        <w:rPr>
          <w:szCs w:val="28"/>
        </w:rPr>
        <w:t xml:space="preserve"> </w:t>
      </w:r>
      <w:r w:rsidRPr="00E64C64">
        <w:rPr>
          <w:szCs w:val="28"/>
        </w:rPr>
        <w:t>Rapporteur</w:t>
      </w:r>
      <w:r w:rsidR="008D3B3A" w:rsidRPr="00E64C64">
        <w:rPr>
          <w:szCs w:val="28"/>
        </w:rPr>
        <w:t xml:space="preserve"> </w:t>
      </w:r>
      <w:r w:rsidRPr="00E64C64">
        <w:rPr>
          <w:szCs w:val="28"/>
        </w:rPr>
        <w:t>on</w:t>
      </w:r>
      <w:r w:rsidR="008D3B3A" w:rsidRPr="00E64C64">
        <w:rPr>
          <w:szCs w:val="28"/>
        </w:rPr>
        <w:t xml:space="preserve"> </w:t>
      </w:r>
      <w:r w:rsidR="002959C5">
        <w:rPr>
          <w:szCs w:val="28"/>
        </w:rPr>
        <w:t>violence against women, its causes and consequences</w:t>
      </w:r>
      <w:r w:rsidR="001D2671" w:rsidRPr="00E64C64">
        <w:rPr>
          <w:szCs w:val="28"/>
        </w:rPr>
        <w:t xml:space="preserve"> on </w:t>
      </w:r>
      <w:r w:rsidR="002959C5">
        <w:rPr>
          <w:szCs w:val="28"/>
        </w:rPr>
        <w:t>her</w:t>
      </w:r>
      <w:r w:rsidR="00495D8A" w:rsidRPr="00E64C64" w:rsidDel="001E3250">
        <w:rPr>
          <w:szCs w:val="28"/>
        </w:rPr>
        <w:t xml:space="preserve"> </w:t>
      </w:r>
      <w:r w:rsidR="001D2671" w:rsidRPr="00E64C64">
        <w:rPr>
          <w:szCs w:val="28"/>
        </w:rPr>
        <w:t>mission to Georgia</w:t>
      </w:r>
      <w:r w:rsidR="008B1B4C" w:rsidRPr="007D4F53">
        <w:rPr>
          <w:rStyle w:val="FootnoteReference"/>
          <w:sz w:val="24"/>
        </w:rPr>
        <w:footnoteReference w:customMarkFollows="1" w:id="2"/>
        <w:t>*</w:t>
      </w:r>
    </w:p>
    <w:p w:rsidR="00AF4876" w:rsidRPr="00E64C64" w:rsidRDefault="0055611D" w:rsidP="00E64C64">
      <w:pPr>
        <w:pStyle w:val="HChG"/>
        <w:rPr>
          <w:bCs/>
        </w:rPr>
      </w:pPr>
      <w:r>
        <w:rPr>
          <w:sz w:val="24"/>
        </w:rPr>
        <w:tab/>
      </w:r>
      <w:r>
        <w:rPr>
          <w:sz w:val="24"/>
        </w:rPr>
        <w:tab/>
      </w:r>
      <w:r w:rsidR="001D2671">
        <w:rPr>
          <w:sz w:val="24"/>
        </w:rPr>
        <w:t>Note by the Secretar</w:t>
      </w:r>
      <w:r>
        <w:rPr>
          <w:sz w:val="24"/>
        </w:rPr>
        <w:t>iat</w:t>
      </w:r>
    </w:p>
    <w:p w:rsidR="00A85386" w:rsidRPr="000A04F0" w:rsidRDefault="002959C5" w:rsidP="001F0033">
      <w:pPr>
        <w:ind w:left="1134" w:right="1134" w:firstLine="567"/>
        <w:jc w:val="both"/>
        <w:rPr>
          <w:sz w:val="20"/>
          <w:szCs w:val="20"/>
        </w:rPr>
      </w:pPr>
      <w:r w:rsidRPr="000A04F0">
        <w:rPr>
          <w:sz w:val="20"/>
          <w:szCs w:val="20"/>
        </w:rPr>
        <w:t xml:space="preserve">This report contains the findings </w:t>
      </w:r>
      <w:r w:rsidR="00A85386" w:rsidRPr="000A04F0">
        <w:rPr>
          <w:sz w:val="20"/>
          <w:szCs w:val="20"/>
        </w:rPr>
        <w:t xml:space="preserve">and recommendations </w:t>
      </w:r>
      <w:r w:rsidRPr="000A04F0">
        <w:rPr>
          <w:sz w:val="20"/>
          <w:szCs w:val="20"/>
        </w:rPr>
        <w:t>of the</w:t>
      </w:r>
      <w:r w:rsidR="0055611D" w:rsidRPr="000A04F0">
        <w:rPr>
          <w:sz w:val="20"/>
          <w:szCs w:val="20"/>
        </w:rPr>
        <w:t xml:space="preserve"> Special Rapporteur </w:t>
      </w:r>
      <w:r w:rsidRPr="000A04F0">
        <w:rPr>
          <w:sz w:val="20"/>
          <w:szCs w:val="20"/>
        </w:rPr>
        <w:t xml:space="preserve">on violence against women, its causes and consequences, on her visit to Georgia from 15 to 19 February 2016. </w:t>
      </w:r>
      <w:r w:rsidR="00A85386" w:rsidRPr="000A04F0">
        <w:rPr>
          <w:sz w:val="20"/>
          <w:szCs w:val="20"/>
        </w:rPr>
        <w:t xml:space="preserve">The mandate holder examines the gaps and challenges in fulfilling the States obligation to eliminate violence against women, its causes and consequences and recommends measures for preventing and combating violence against women and </w:t>
      </w:r>
      <w:r w:rsidR="000A04F0">
        <w:rPr>
          <w:sz w:val="20"/>
          <w:szCs w:val="20"/>
        </w:rPr>
        <w:t xml:space="preserve">ensuring the </w:t>
      </w:r>
      <w:r w:rsidR="00A85386" w:rsidRPr="000A04F0">
        <w:rPr>
          <w:sz w:val="20"/>
          <w:szCs w:val="20"/>
        </w:rPr>
        <w:t xml:space="preserve">enjoyment of human rights by women in the country.  </w:t>
      </w:r>
    </w:p>
    <w:p w:rsidR="00AF4876" w:rsidRPr="00485A9F" w:rsidRDefault="00AF4876" w:rsidP="00A85386">
      <w:pPr>
        <w:ind w:left="1134" w:right="1134" w:firstLine="567"/>
        <w:jc w:val="both"/>
      </w:pPr>
      <w:r w:rsidRPr="00485A9F">
        <w:br w:type="page"/>
      </w:r>
    </w:p>
    <w:p w:rsidR="00AF4876" w:rsidRPr="00485A9F" w:rsidRDefault="00AF4876" w:rsidP="005A57ED">
      <w:pPr>
        <w:pStyle w:val="HChG"/>
      </w:pPr>
      <w:r w:rsidRPr="00485A9F">
        <w:lastRenderedPageBreak/>
        <w:tab/>
      </w:r>
      <w:r w:rsidRPr="00485A9F">
        <w:tab/>
        <w:t>Report</w:t>
      </w:r>
      <w:r w:rsidR="008D3B3A" w:rsidRPr="00485A9F">
        <w:t xml:space="preserve"> </w:t>
      </w:r>
      <w:r w:rsidRPr="00485A9F">
        <w:t>of</w:t>
      </w:r>
      <w:r w:rsidR="008D3B3A" w:rsidRPr="00485A9F">
        <w:t xml:space="preserve"> </w:t>
      </w:r>
      <w:r w:rsidRPr="00485A9F">
        <w:t>the</w:t>
      </w:r>
      <w:r w:rsidR="008D3B3A" w:rsidRPr="00485A9F">
        <w:t xml:space="preserve"> </w:t>
      </w:r>
      <w:r w:rsidRPr="00485A9F">
        <w:t>Special</w:t>
      </w:r>
      <w:r w:rsidR="008D3B3A" w:rsidRPr="00485A9F">
        <w:t xml:space="preserve"> </w:t>
      </w:r>
      <w:r w:rsidRPr="00485A9F">
        <w:t>Rapporteur</w:t>
      </w:r>
      <w:r w:rsidR="008D3B3A" w:rsidRPr="00485A9F">
        <w:t xml:space="preserve"> </w:t>
      </w:r>
      <w:r w:rsidR="005A57ED">
        <w:t>on violence against women, its causes and consequences</w:t>
      </w:r>
      <w:r w:rsidR="008D3B3A" w:rsidRPr="00485A9F">
        <w:t xml:space="preserve"> </w:t>
      </w:r>
      <w:r w:rsidRPr="00485A9F">
        <w:t>on</w:t>
      </w:r>
      <w:r w:rsidR="008D3B3A" w:rsidRPr="00485A9F">
        <w:t xml:space="preserve"> </w:t>
      </w:r>
      <w:r w:rsidR="005A57ED">
        <w:t>her</w:t>
      </w:r>
      <w:r w:rsidR="008D3B3A" w:rsidRPr="00485A9F">
        <w:t xml:space="preserve"> </w:t>
      </w:r>
      <w:r w:rsidRPr="00485A9F">
        <w:t>mission</w:t>
      </w:r>
      <w:r w:rsidR="008D3B3A" w:rsidRPr="00485A9F">
        <w:t xml:space="preserve"> </w:t>
      </w:r>
      <w:r w:rsidRPr="00485A9F">
        <w:t>to</w:t>
      </w:r>
      <w:r w:rsidR="008D3B3A" w:rsidRPr="00485A9F">
        <w:t xml:space="preserve"> </w:t>
      </w:r>
      <w:r w:rsidR="00020694" w:rsidRPr="00485A9F">
        <w:t>Georgia</w:t>
      </w:r>
      <w:r w:rsidR="00BA1E54">
        <w:t xml:space="preserve"> (15 to 19 February 2016)</w:t>
      </w:r>
      <w:r w:rsidR="008B1B4C" w:rsidRPr="00D87C6A">
        <w:rPr>
          <w:b w:val="0"/>
          <w:sz w:val="18"/>
          <w:szCs w:val="20"/>
          <w:vertAlign w:val="superscript"/>
        </w:rPr>
        <w:t xml:space="preserve"> </w:t>
      </w:r>
      <w:r w:rsidR="00D87C6A" w:rsidRPr="008B1B4C">
        <w:rPr>
          <w:b w:val="0"/>
          <w:sz w:val="24"/>
          <w:vertAlign w:val="superscript"/>
        </w:rPr>
        <w:footnoteReference w:customMarkFollows="1" w:id="3"/>
        <w:t>**</w:t>
      </w:r>
    </w:p>
    <w:p w:rsidR="00AF4876" w:rsidRPr="008B1B4C" w:rsidRDefault="00AF4876" w:rsidP="00AF4876">
      <w:pPr>
        <w:spacing w:after="120"/>
        <w:rPr>
          <w:sz w:val="28"/>
          <w:szCs w:val="28"/>
        </w:rPr>
      </w:pPr>
      <w:r w:rsidRPr="008B1B4C">
        <w:rPr>
          <w:sz w:val="28"/>
          <w:szCs w:val="28"/>
        </w:rPr>
        <w:t>Contents</w:t>
      </w:r>
    </w:p>
    <w:p w:rsidR="00AF4876" w:rsidRPr="00F1164D" w:rsidRDefault="00AF4876" w:rsidP="00AF4876">
      <w:pPr>
        <w:tabs>
          <w:tab w:val="right" w:pos="8929"/>
          <w:tab w:val="right" w:pos="9638"/>
        </w:tabs>
        <w:spacing w:after="120"/>
        <w:ind w:left="283"/>
        <w:rPr>
          <w:sz w:val="20"/>
          <w:szCs w:val="20"/>
        </w:rPr>
      </w:pPr>
      <w:r w:rsidRPr="00F1164D">
        <w:rPr>
          <w:i/>
          <w:sz w:val="20"/>
          <w:szCs w:val="20"/>
        </w:rPr>
        <w:tab/>
      </w:r>
      <w:r w:rsidR="00CA7D5C" w:rsidRPr="00F1164D">
        <w:rPr>
          <w:i/>
          <w:sz w:val="20"/>
          <w:szCs w:val="20"/>
        </w:rPr>
        <w:tab/>
      </w:r>
      <w:r w:rsidRPr="00F1164D">
        <w:rPr>
          <w:i/>
          <w:sz w:val="20"/>
          <w:szCs w:val="20"/>
        </w:rPr>
        <w:t>Page</w:t>
      </w:r>
    </w:p>
    <w:p w:rsidR="00DB6A29" w:rsidRPr="00C33900" w:rsidRDefault="00AF4876" w:rsidP="00CA7D5C">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sz w:val="20"/>
          <w:szCs w:val="20"/>
        </w:rPr>
      </w:pPr>
      <w:r w:rsidRPr="00F1164D">
        <w:rPr>
          <w:rFonts w:eastAsia="Times New Roman"/>
          <w:sz w:val="20"/>
          <w:szCs w:val="20"/>
        </w:rPr>
        <w:tab/>
      </w:r>
      <w:r w:rsidRPr="00C33900">
        <w:rPr>
          <w:rFonts w:eastAsia="Times New Roman"/>
          <w:sz w:val="20"/>
          <w:szCs w:val="20"/>
        </w:rPr>
        <w:t>I.</w:t>
      </w:r>
      <w:r w:rsidRPr="00C33900">
        <w:rPr>
          <w:rFonts w:eastAsia="Times New Roman"/>
          <w:sz w:val="20"/>
          <w:szCs w:val="20"/>
        </w:rPr>
        <w:tab/>
        <w:t>Introduction</w:t>
      </w:r>
      <w:r w:rsidRPr="00C33900">
        <w:rPr>
          <w:rFonts w:eastAsia="Times New Roman"/>
          <w:sz w:val="20"/>
          <w:szCs w:val="20"/>
        </w:rPr>
        <w:tab/>
      </w:r>
      <w:r w:rsidR="00C33900" w:rsidRPr="00C33900">
        <w:rPr>
          <w:rFonts w:eastAsia="Times New Roman"/>
          <w:sz w:val="20"/>
          <w:szCs w:val="20"/>
        </w:rPr>
        <w:tab/>
        <w:t>3</w:t>
      </w:r>
    </w:p>
    <w:p w:rsidR="00AF4876" w:rsidRPr="00C33900" w:rsidRDefault="003D555F" w:rsidP="00B54662">
      <w:pPr>
        <w:tabs>
          <w:tab w:val="right" w:pos="850"/>
          <w:tab w:val="left" w:pos="1134"/>
          <w:tab w:val="left" w:pos="1559"/>
          <w:tab w:val="left" w:pos="1984"/>
          <w:tab w:val="left" w:leader="dot" w:pos="8929"/>
          <w:tab w:val="right" w:pos="9638"/>
        </w:tabs>
        <w:spacing w:after="120"/>
        <w:ind w:left="1134" w:hanging="1134"/>
        <w:rPr>
          <w:rFonts w:eastAsia="Times New Roman"/>
          <w:sz w:val="20"/>
          <w:szCs w:val="20"/>
        </w:rPr>
      </w:pPr>
      <w:r>
        <w:rPr>
          <w:rFonts w:eastAsia="Times New Roman"/>
          <w:sz w:val="20"/>
          <w:szCs w:val="20"/>
        </w:rPr>
        <w:tab/>
      </w:r>
      <w:r w:rsidR="000C6DAF" w:rsidRPr="00C33900">
        <w:rPr>
          <w:rFonts w:eastAsia="Times New Roman"/>
          <w:sz w:val="20"/>
          <w:szCs w:val="20"/>
        </w:rPr>
        <w:t>II</w:t>
      </w:r>
      <w:r w:rsidR="00375F0B" w:rsidRPr="00C33900">
        <w:rPr>
          <w:rFonts w:eastAsia="Times New Roman"/>
          <w:sz w:val="20"/>
          <w:szCs w:val="20"/>
        </w:rPr>
        <w:t>.</w:t>
      </w:r>
      <w:r w:rsidR="00375F0B" w:rsidRPr="00C33900">
        <w:rPr>
          <w:rFonts w:eastAsia="Times New Roman"/>
          <w:sz w:val="20"/>
          <w:szCs w:val="20"/>
        </w:rPr>
        <w:tab/>
      </w:r>
      <w:r w:rsidR="00C33900" w:rsidRPr="00C33900">
        <w:rPr>
          <w:rFonts w:eastAsia="Times New Roman"/>
          <w:sz w:val="20"/>
          <w:szCs w:val="20"/>
        </w:rPr>
        <w:t xml:space="preserve">General </w:t>
      </w:r>
      <w:r w:rsidR="00375F0B" w:rsidRPr="00C33900">
        <w:rPr>
          <w:rFonts w:eastAsia="Times New Roman"/>
          <w:sz w:val="20"/>
          <w:szCs w:val="20"/>
        </w:rPr>
        <w:t>Context</w:t>
      </w:r>
      <w:r w:rsidR="00375F0B" w:rsidRPr="00C33900">
        <w:rPr>
          <w:rFonts w:eastAsia="Times New Roman"/>
          <w:sz w:val="20"/>
          <w:szCs w:val="20"/>
        </w:rPr>
        <w:tab/>
      </w:r>
      <w:r w:rsidR="00375F0B" w:rsidRPr="00C33900">
        <w:rPr>
          <w:rFonts w:eastAsia="Times New Roman"/>
          <w:sz w:val="20"/>
          <w:szCs w:val="20"/>
        </w:rPr>
        <w:tab/>
      </w:r>
      <w:r w:rsidR="00C33900" w:rsidRPr="00C33900">
        <w:rPr>
          <w:rFonts w:eastAsia="Times New Roman"/>
          <w:sz w:val="20"/>
          <w:szCs w:val="20"/>
        </w:rPr>
        <w:t>3</w:t>
      </w:r>
    </w:p>
    <w:p w:rsidR="00AF4876" w:rsidRPr="000A04F0" w:rsidRDefault="00AF4876">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sz w:val="20"/>
          <w:szCs w:val="20"/>
        </w:rPr>
      </w:pPr>
      <w:r w:rsidRPr="00C33900">
        <w:rPr>
          <w:rFonts w:eastAsia="Times New Roman"/>
          <w:sz w:val="20"/>
          <w:szCs w:val="20"/>
        </w:rPr>
        <w:tab/>
      </w:r>
      <w:r w:rsidRPr="000A04F0">
        <w:rPr>
          <w:rFonts w:eastAsia="Times New Roman"/>
          <w:sz w:val="20"/>
          <w:szCs w:val="20"/>
        </w:rPr>
        <w:t>II</w:t>
      </w:r>
      <w:r w:rsidR="00DB6A29" w:rsidRPr="000A04F0">
        <w:rPr>
          <w:rFonts w:eastAsia="Times New Roman"/>
          <w:sz w:val="20"/>
          <w:szCs w:val="20"/>
        </w:rPr>
        <w:t>I</w:t>
      </w:r>
      <w:r w:rsidRPr="000A04F0">
        <w:rPr>
          <w:rFonts w:eastAsia="Times New Roman"/>
          <w:sz w:val="20"/>
          <w:szCs w:val="20"/>
        </w:rPr>
        <w:t>.</w:t>
      </w:r>
      <w:r w:rsidRPr="000A04F0">
        <w:rPr>
          <w:rFonts w:eastAsia="Times New Roman"/>
          <w:sz w:val="20"/>
          <w:szCs w:val="20"/>
        </w:rPr>
        <w:tab/>
      </w:r>
      <w:r w:rsidR="00BA1E54" w:rsidRPr="000A04F0">
        <w:rPr>
          <w:rFonts w:eastAsia="Times New Roman"/>
          <w:sz w:val="20"/>
          <w:szCs w:val="20"/>
        </w:rPr>
        <w:t>Manifestations of violence against women, its causes and consequences</w:t>
      </w:r>
      <w:r w:rsidRPr="000A04F0">
        <w:rPr>
          <w:rFonts w:eastAsia="Times New Roman"/>
          <w:sz w:val="20"/>
          <w:szCs w:val="20"/>
        </w:rPr>
        <w:tab/>
      </w:r>
      <w:r w:rsidRPr="000A04F0">
        <w:rPr>
          <w:rFonts w:eastAsia="Times New Roman"/>
          <w:sz w:val="20"/>
          <w:szCs w:val="20"/>
        </w:rPr>
        <w:tab/>
      </w:r>
      <w:r w:rsidR="00C33900">
        <w:rPr>
          <w:rFonts w:eastAsia="Times New Roman"/>
          <w:sz w:val="20"/>
          <w:szCs w:val="20"/>
        </w:rPr>
        <w:t>4</w:t>
      </w:r>
    </w:p>
    <w:p w:rsidR="000669E6" w:rsidRPr="000A04F0" w:rsidRDefault="00594804" w:rsidP="000669E6">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sz w:val="20"/>
          <w:szCs w:val="20"/>
        </w:rPr>
      </w:pPr>
      <w:r w:rsidRPr="000A04F0">
        <w:rPr>
          <w:rFonts w:eastAsia="Times New Roman"/>
          <w:sz w:val="20"/>
          <w:szCs w:val="20"/>
        </w:rPr>
        <w:tab/>
        <w:t>IV</w:t>
      </w:r>
      <w:r w:rsidR="00BA1E54" w:rsidRPr="000A04F0">
        <w:rPr>
          <w:rFonts w:eastAsia="Times New Roman"/>
          <w:sz w:val="20"/>
          <w:szCs w:val="20"/>
        </w:rPr>
        <w:t>.</w:t>
      </w:r>
      <w:r w:rsidR="00BA1E54" w:rsidRPr="000A04F0">
        <w:rPr>
          <w:rFonts w:eastAsia="Times New Roman"/>
          <w:sz w:val="20"/>
          <w:szCs w:val="20"/>
        </w:rPr>
        <w:tab/>
      </w:r>
      <w:r w:rsidR="000669E6" w:rsidRPr="000A04F0">
        <w:rPr>
          <w:rFonts w:eastAsia="Times New Roman"/>
          <w:sz w:val="20"/>
          <w:szCs w:val="20"/>
        </w:rPr>
        <w:t>State responses and measures to address violence against women</w:t>
      </w:r>
      <w:r w:rsidR="00BA1E54" w:rsidRPr="000A04F0">
        <w:rPr>
          <w:rFonts w:eastAsia="Times New Roman"/>
          <w:sz w:val="20"/>
          <w:szCs w:val="20"/>
        </w:rPr>
        <w:tab/>
      </w:r>
      <w:r w:rsidR="00C33900">
        <w:rPr>
          <w:rFonts w:eastAsia="Times New Roman"/>
          <w:sz w:val="20"/>
          <w:szCs w:val="20"/>
        </w:rPr>
        <w:tab/>
        <w:t>10</w:t>
      </w:r>
    </w:p>
    <w:p w:rsidR="000C6DAF" w:rsidRPr="000A04F0" w:rsidRDefault="000669E6" w:rsidP="008855C2">
      <w:pPr>
        <w:tabs>
          <w:tab w:val="right" w:pos="850"/>
          <w:tab w:val="left" w:pos="1134"/>
          <w:tab w:val="left" w:pos="1559"/>
          <w:tab w:val="left" w:pos="1984"/>
          <w:tab w:val="left" w:leader="dot" w:pos="8929"/>
          <w:tab w:val="right" w:pos="9638"/>
        </w:tabs>
        <w:spacing w:after="120"/>
        <w:ind w:left="1559" w:hanging="1559"/>
        <w:rPr>
          <w:rFonts w:eastAsia="Times New Roman"/>
          <w:sz w:val="20"/>
          <w:szCs w:val="20"/>
        </w:rPr>
      </w:pPr>
      <w:r w:rsidRPr="000A04F0">
        <w:rPr>
          <w:rFonts w:eastAsia="Times New Roman"/>
          <w:sz w:val="20"/>
          <w:szCs w:val="20"/>
        </w:rPr>
        <w:tab/>
      </w:r>
      <w:r w:rsidRPr="000A04F0">
        <w:rPr>
          <w:rFonts w:eastAsia="Times New Roman"/>
          <w:sz w:val="20"/>
          <w:szCs w:val="20"/>
        </w:rPr>
        <w:tab/>
        <w:t>A.</w:t>
      </w:r>
      <w:r w:rsidRPr="000A04F0">
        <w:rPr>
          <w:rFonts w:eastAsia="Times New Roman"/>
          <w:sz w:val="20"/>
          <w:szCs w:val="20"/>
        </w:rPr>
        <w:tab/>
      </w:r>
      <w:r w:rsidR="000C6DAF" w:rsidRPr="000A04F0">
        <w:rPr>
          <w:rFonts w:eastAsia="Times New Roman"/>
          <w:sz w:val="20"/>
          <w:szCs w:val="20"/>
        </w:rPr>
        <w:t>Incorporation of the international and regional legal framework on violence against women</w:t>
      </w:r>
      <w:r w:rsidR="003D555F">
        <w:rPr>
          <w:rFonts w:eastAsia="Times New Roman"/>
          <w:sz w:val="20"/>
          <w:szCs w:val="20"/>
        </w:rPr>
        <w:br/>
      </w:r>
      <w:r w:rsidR="000C6DAF" w:rsidRPr="000A04F0">
        <w:rPr>
          <w:rFonts w:eastAsia="Times New Roman"/>
          <w:sz w:val="20"/>
          <w:szCs w:val="20"/>
        </w:rPr>
        <w:t xml:space="preserve"> in Georgia</w:t>
      </w:r>
      <w:r w:rsidR="000C6DAF" w:rsidRPr="000A04F0">
        <w:rPr>
          <w:rFonts w:eastAsia="Times New Roman"/>
          <w:sz w:val="20"/>
          <w:szCs w:val="20"/>
        </w:rPr>
        <w:tab/>
      </w:r>
      <w:r w:rsidR="00C33900">
        <w:rPr>
          <w:rFonts w:eastAsia="Times New Roman"/>
          <w:sz w:val="20"/>
          <w:szCs w:val="20"/>
        </w:rPr>
        <w:tab/>
        <w:t>10</w:t>
      </w:r>
    </w:p>
    <w:p w:rsidR="000669E6" w:rsidRPr="000A04F0" w:rsidRDefault="000C6DAF" w:rsidP="00375F0B">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sz w:val="20"/>
          <w:szCs w:val="20"/>
        </w:rPr>
      </w:pPr>
      <w:r w:rsidRPr="000A04F0">
        <w:rPr>
          <w:rFonts w:eastAsia="Times New Roman"/>
          <w:sz w:val="20"/>
          <w:szCs w:val="20"/>
        </w:rPr>
        <w:tab/>
      </w:r>
      <w:r w:rsidRPr="000A04F0">
        <w:rPr>
          <w:rFonts w:eastAsia="Times New Roman"/>
          <w:sz w:val="20"/>
          <w:szCs w:val="20"/>
        </w:rPr>
        <w:tab/>
      </w:r>
      <w:r w:rsidR="008855C2">
        <w:rPr>
          <w:rFonts w:eastAsia="Times New Roman"/>
          <w:sz w:val="20"/>
          <w:szCs w:val="20"/>
        </w:rPr>
        <w:t>B.</w:t>
      </w:r>
      <w:r w:rsidR="008855C2">
        <w:rPr>
          <w:rFonts w:eastAsia="Times New Roman"/>
          <w:sz w:val="20"/>
          <w:szCs w:val="20"/>
        </w:rPr>
        <w:tab/>
      </w:r>
      <w:r w:rsidR="0038338E" w:rsidRPr="000A04F0">
        <w:rPr>
          <w:rFonts w:eastAsia="Times New Roman"/>
          <w:sz w:val="20"/>
          <w:szCs w:val="20"/>
        </w:rPr>
        <w:t>C</w:t>
      </w:r>
      <w:r w:rsidR="00594804" w:rsidRPr="000A04F0">
        <w:rPr>
          <w:rFonts w:eastAsia="Times New Roman"/>
          <w:sz w:val="20"/>
          <w:szCs w:val="20"/>
        </w:rPr>
        <w:t>onstitutional</w:t>
      </w:r>
      <w:r w:rsidR="004B1181" w:rsidRPr="000A04F0">
        <w:rPr>
          <w:rFonts w:eastAsia="Times New Roman"/>
          <w:sz w:val="20"/>
          <w:szCs w:val="20"/>
        </w:rPr>
        <w:t>,</w:t>
      </w:r>
      <w:r w:rsidR="00594804" w:rsidRPr="000A04F0">
        <w:rPr>
          <w:rFonts w:eastAsia="Times New Roman"/>
          <w:sz w:val="20"/>
          <w:szCs w:val="20"/>
        </w:rPr>
        <w:t xml:space="preserve"> legislative</w:t>
      </w:r>
      <w:r w:rsidR="000669E6" w:rsidRPr="000A04F0">
        <w:rPr>
          <w:rFonts w:eastAsia="Times New Roman"/>
          <w:sz w:val="20"/>
          <w:szCs w:val="20"/>
        </w:rPr>
        <w:t xml:space="preserve"> </w:t>
      </w:r>
      <w:r w:rsidR="0038338E" w:rsidRPr="000A04F0">
        <w:rPr>
          <w:rFonts w:eastAsia="Times New Roman"/>
          <w:sz w:val="20"/>
          <w:szCs w:val="20"/>
        </w:rPr>
        <w:t xml:space="preserve">and policy </w:t>
      </w:r>
      <w:r w:rsidR="000669E6" w:rsidRPr="000A04F0">
        <w:rPr>
          <w:rFonts w:eastAsia="Times New Roman"/>
          <w:sz w:val="20"/>
          <w:szCs w:val="20"/>
        </w:rPr>
        <w:t>framework</w:t>
      </w:r>
      <w:r w:rsidR="000669E6" w:rsidRPr="000A04F0">
        <w:rPr>
          <w:rFonts w:eastAsia="Times New Roman"/>
          <w:sz w:val="20"/>
          <w:szCs w:val="20"/>
        </w:rPr>
        <w:tab/>
      </w:r>
      <w:r w:rsidR="00C33900">
        <w:rPr>
          <w:rFonts w:eastAsia="Times New Roman"/>
          <w:sz w:val="20"/>
          <w:szCs w:val="20"/>
        </w:rPr>
        <w:tab/>
        <w:t>12</w:t>
      </w:r>
    </w:p>
    <w:p w:rsidR="00153793" w:rsidRPr="000A04F0" w:rsidRDefault="000669E6" w:rsidP="0087133A">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sz w:val="20"/>
          <w:szCs w:val="20"/>
        </w:rPr>
      </w:pPr>
      <w:r w:rsidRPr="000A04F0">
        <w:rPr>
          <w:rFonts w:eastAsia="Times New Roman"/>
          <w:sz w:val="20"/>
          <w:szCs w:val="20"/>
        </w:rPr>
        <w:tab/>
      </w:r>
      <w:r w:rsidRPr="000A04F0">
        <w:rPr>
          <w:rFonts w:eastAsia="Times New Roman"/>
          <w:sz w:val="20"/>
          <w:szCs w:val="20"/>
        </w:rPr>
        <w:tab/>
      </w:r>
      <w:r w:rsidR="000C6DAF" w:rsidRPr="000A04F0">
        <w:rPr>
          <w:rFonts w:eastAsia="Times New Roman"/>
          <w:sz w:val="20"/>
          <w:szCs w:val="20"/>
        </w:rPr>
        <w:t>C</w:t>
      </w:r>
      <w:r w:rsidRPr="000A04F0">
        <w:rPr>
          <w:rFonts w:eastAsia="Times New Roman"/>
          <w:sz w:val="20"/>
          <w:szCs w:val="20"/>
        </w:rPr>
        <w:t>.</w:t>
      </w:r>
      <w:r w:rsidRPr="000A04F0">
        <w:rPr>
          <w:rFonts w:eastAsia="Times New Roman"/>
          <w:sz w:val="20"/>
          <w:szCs w:val="20"/>
        </w:rPr>
        <w:tab/>
      </w:r>
      <w:r w:rsidR="0038338E" w:rsidRPr="000A04F0">
        <w:rPr>
          <w:rFonts w:eastAsia="Times New Roman"/>
          <w:sz w:val="20"/>
          <w:szCs w:val="20"/>
        </w:rPr>
        <w:t>I</w:t>
      </w:r>
      <w:r w:rsidR="0087133A" w:rsidRPr="000A04F0">
        <w:rPr>
          <w:rFonts w:eastAsia="Times New Roman"/>
          <w:sz w:val="20"/>
          <w:szCs w:val="20"/>
        </w:rPr>
        <w:t xml:space="preserve">nstitutional </w:t>
      </w:r>
      <w:r w:rsidRPr="000A04F0">
        <w:rPr>
          <w:rFonts w:eastAsia="Times New Roman"/>
          <w:sz w:val="20"/>
          <w:szCs w:val="20"/>
        </w:rPr>
        <w:t>framework</w:t>
      </w:r>
      <w:r w:rsidR="0038338E" w:rsidRPr="000A04F0">
        <w:rPr>
          <w:rFonts w:eastAsia="Times New Roman"/>
          <w:sz w:val="20"/>
          <w:szCs w:val="20"/>
        </w:rPr>
        <w:t xml:space="preserve">: national machinery and independent institutions </w:t>
      </w:r>
      <w:r w:rsidR="00C33900">
        <w:rPr>
          <w:rFonts w:eastAsia="Times New Roman"/>
          <w:sz w:val="20"/>
          <w:szCs w:val="20"/>
        </w:rPr>
        <w:tab/>
      </w:r>
      <w:r w:rsidR="00C33900">
        <w:rPr>
          <w:rFonts w:eastAsia="Times New Roman"/>
          <w:sz w:val="20"/>
          <w:szCs w:val="20"/>
        </w:rPr>
        <w:tab/>
        <w:t>1</w:t>
      </w:r>
      <w:r w:rsidR="008253B4">
        <w:rPr>
          <w:rFonts w:eastAsia="Times New Roman"/>
          <w:sz w:val="20"/>
          <w:szCs w:val="20"/>
        </w:rPr>
        <w:t>4</w:t>
      </w:r>
    </w:p>
    <w:p w:rsidR="00097D14" w:rsidRDefault="00097D14" w:rsidP="00097D14">
      <w:pPr>
        <w:tabs>
          <w:tab w:val="right" w:pos="850"/>
          <w:tab w:val="left" w:pos="1134"/>
          <w:tab w:val="left" w:pos="1559"/>
          <w:tab w:val="left" w:leader="dot" w:pos="8929"/>
          <w:tab w:val="right" w:pos="9638"/>
        </w:tabs>
        <w:kinsoku/>
        <w:overflowPunct/>
        <w:autoSpaceDE/>
        <w:autoSpaceDN/>
        <w:adjustRightInd/>
        <w:snapToGrid/>
        <w:spacing w:after="120"/>
        <w:ind w:left="1134" w:hanging="1980"/>
        <w:rPr>
          <w:rFonts w:eastAsia="Times New Roman"/>
          <w:sz w:val="20"/>
          <w:szCs w:val="20"/>
        </w:rPr>
      </w:pPr>
      <w:r w:rsidRPr="000A04F0">
        <w:rPr>
          <w:rFonts w:eastAsia="Times New Roman"/>
          <w:sz w:val="20"/>
          <w:szCs w:val="20"/>
        </w:rPr>
        <w:tab/>
      </w:r>
      <w:r w:rsidR="003D555F">
        <w:rPr>
          <w:rFonts w:eastAsia="Times New Roman"/>
          <w:sz w:val="20"/>
          <w:szCs w:val="20"/>
        </w:rPr>
        <w:t>V.</w:t>
      </w:r>
      <w:r w:rsidR="003D555F">
        <w:rPr>
          <w:rFonts w:eastAsia="Times New Roman"/>
          <w:sz w:val="20"/>
          <w:szCs w:val="20"/>
        </w:rPr>
        <w:tab/>
      </w:r>
      <w:r w:rsidR="00153793" w:rsidRPr="000A04F0">
        <w:rPr>
          <w:rFonts w:eastAsia="Times New Roman"/>
          <w:sz w:val="20"/>
          <w:szCs w:val="20"/>
        </w:rPr>
        <w:t xml:space="preserve">Implications of </w:t>
      </w:r>
      <w:r w:rsidR="00594804" w:rsidRPr="000A04F0">
        <w:rPr>
          <w:rFonts w:eastAsia="Times New Roman"/>
          <w:sz w:val="20"/>
          <w:szCs w:val="20"/>
        </w:rPr>
        <w:t>discrimination against</w:t>
      </w:r>
      <w:r w:rsidR="0038338E" w:rsidRPr="000A04F0">
        <w:rPr>
          <w:rFonts w:eastAsia="Times New Roman"/>
          <w:sz w:val="20"/>
          <w:szCs w:val="20"/>
        </w:rPr>
        <w:t xml:space="preserve"> women </w:t>
      </w:r>
      <w:r w:rsidR="00907478" w:rsidRPr="000A04F0">
        <w:rPr>
          <w:rFonts w:eastAsia="Times New Roman"/>
          <w:sz w:val="20"/>
          <w:szCs w:val="20"/>
        </w:rPr>
        <w:t xml:space="preserve">and discriminatory gender stereotypes </w:t>
      </w:r>
      <w:r w:rsidRPr="000A04F0">
        <w:rPr>
          <w:rFonts w:eastAsia="Times New Roman"/>
          <w:sz w:val="20"/>
          <w:szCs w:val="20"/>
        </w:rPr>
        <w:t xml:space="preserve">on </w:t>
      </w:r>
      <w:r w:rsidR="00D05A59" w:rsidRPr="000A04F0">
        <w:rPr>
          <w:rFonts w:eastAsia="Times New Roman"/>
          <w:sz w:val="20"/>
          <w:szCs w:val="20"/>
        </w:rPr>
        <w:t>violence</w:t>
      </w:r>
      <w:r w:rsidR="003D555F">
        <w:rPr>
          <w:rFonts w:eastAsia="Times New Roman"/>
          <w:sz w:val="20"/>
          <w:szCs w:val="20"/>
        </w:rPr>
        <w:br/>
      </w:r>
      <w:r w:rsidR="00907478" w:rsidRPr="000A04F0">
        <w:rPr>
          <w:rFonts w:eastAsia="Times New Roman"/>
          <w:sz w:val="20"/>
          <w:szCs w:val="20"/>
        </w:rPr>
        <w:t>against</w:t>
      </w:r>
      <w:r w:rsidR="00D05A59" w:rsidRPr="000A04F0">
        <w:rPr>
          <w:rFonts w:eastAsia="Times New Roman"/>
          <w:sz w:val="20"/>
          <w:szCs w:val="20"/>
        </w:rPr>
        <w:t xml:space="preserve"> women</w:t>
      </w:r>
      <w:r w:rsidR="00D05A59" w:rsidRPr="000A04F0">
        <w:rPr>
          <w:rFonts w:eastAsia="Times New Roman"/>
          <w:sz w:val="20"/>
          <w:szCs w:val="20"/>
        </w:rPr>
        <w:tab/>
      </w:r>
      <w:r w:rsidR="00C33900">
        <w:rPr>
          <w:rFonts w:eastAsia="Times New Roman"/>
          <w:sz w:val="20"/>
          <w:szCs w:val="20"/>
        </w:rPr>
        <w:tab/>
        <w:t>15</w:t>
      </w:r>
    </w:p>
    <w:p w:rsidR="0090516D" w:rsidRDefault="0090516D" w:rsidP="00097D14">
      <w:pPr>
        <w:tabs>
          <w:tab w:val="right" w:pos="850"/>
          <w:tab w:val="left" w:pos="1134"/>
          <w:tab w:val="left" w:pos="1559"/>
          <w:tab w:val="left" w:leader="dot" w:pos="8929"/>
          <w:tab w:val="right" w:pos="9638"/>
        </w:tabs>
        <w:kinsoku/>
        <w:overflowPunct/>
        <w:autoSpaceDE/>
        <w:autoSpaceDN/>
        <w:adjustRightInd/>
        <w:snapToGrid/>
        <w:spacing w:after="120"/>
        <w:ind w:left="1134" w:hanging="1980"/>
        <w:rPr>
          <w:rFonts w:eastAsia="Times New Roman"/>
          <w:sz w:val="20"/>
          <w:szCs w:val="20"/>
        </w:rPr>
      </w:pPr>
      <w:r>
        <w:rPr>
          <w:rFonts w:eastAsia="Times New Roman"/>
          <w:sz w:val="20"/>
          <w:szCs w:val="20"/>
        </w:rPr>
        <w:tab/>
      </w:r>
      <w:r>
        <w:rPr>
          <w:rFonts w:eastAsia="Times New Roman"/>
          <w:sz w:val="20"/>
          <w:szCs w:val="20"/>
        </w:rPr>
        <w:tab/>
        <w:t>A.</w:t>
      </w:r>
      <w:r>
        <w:rPr>
          <w:rFonts w:eastAsia="Times New Roman"/>
          <w:sz w:val="20"/>
          <w:szCs w:val="20"/>
        </w:rPr>
        <w:tab/>
        <w:t>Low political participation of women in political and public life</w:t>
      </w:r>
      <w:r>
        <w:rPr>
          <w:rFonts w:eastAsia="Times New Roman"/>
          <w:sz w:val="20"/>
          <w:szCs w:val="20"/>
        </w:rPr>
        <w:tab/>
      </w:r>
      <w:r>
        <w:rPr>
          <w:rFonts w:eastAsia="Times New Roman"/>
          <w:sz w:val="20"/>
          <w:szCs w:val="20"/>
        </w:rPr>
        <w:tab/>
        <w:t>16</w:t>
      </w:r>
    </w:p>
    <w:p w:rsidR="0090516D" w:rsidRPr="000A04F0" w:rsidRDefault="0090516D" w:rsidP="00097D14">
      <w:pPr>
        <w:tabs>
          <w:tab w:val="right" w:pos="850"/>
          <w:tab w:val="left" w:pos="1134"/>
          <w:tab w:val="left" w:pos="1559"/>
          <w:tab w:val="left" w:leader="dot" w:pos="8929"/>
          <w:tab w:val="right" w:pos="9638"/>
        </w:tabs>
        <w:kinsoku/>
        <w:overflowPunct/>
        <w:autoSpaceDE/>
        <w:autoSpaceDN/>
        <w:adjustRightInd/>
        <w:snapToGrid/>
        <w:spacing w:after="120"/>
        <w:ind w:left="1134" w:hanging="1980"/>
        <w:rPr>
          <w:rFonts w:eastAsia="Times New Roman"/>
          <w:sz w:val="20"/>
          <w:szCs w:val="20"/>
        </w:rPr>
      </w:pPr>
      <w:r>
        <w:rPr>
          <w:rFonts w:eastAsia="Times New Roman"/>
          <w:sz w:val="20"/>
          <w:szCs w:val="20"/>
        </w:rPr>
        <w:tab/>
      </w:r>
      <w:r>
        <w:rPr>
          <w:rFonts w:eastAsia="Times New Roman"/>
          <w:sz w:val="20"/>
          <w:szCs w:val="20"/>
        </w:rPr>
        <w:tab/>
        <w:t>B.</w:t>
      </w:r>
      <w:r>
        <w:rPr>
          <w:rFonts w:eastAsia="Times New Roman"/>
          <w:sz w:val="20"/>
          <w:szCs w:val="20"/>
        </w:rPr>
        <w:tab/>
        <w:t>Discriminatory gender stereotypes</w:t>
      </w:r>
      <w:r>
        <w:rPr>
          <w:rFonts w:eastAsia="Times New Roman"/>
          <w:sz w:val="20"/>
          <w:szCs w:val="20"/>
        </w:rPr>
        <w:tab/>
      </w:r>
      <w:r>
        <w:rPr>
          <w:rFonts w:eastAsia="Times New Roman"/>
          <w:sz w:val="20"/>
          <w:szCs w:val="20"/>
        </w:rPr>
        <w:tab/>
        <w:t>16</w:t>
      </w:r>
    </w:p>
    <w:p w:rsidR="00BA1E54" w:rsidRPr="000A04F0" w:rsidRDefault="000669E6" w:rsidP="0090516D">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sz w:val="20"/>
          <w:szCs w:val="20"/>
        </w:rPr>
      </w:pPr>
      <w:r w:rsidRPr="000A04F0">
        <w:rPr>
          <w:rFonts w:eastAsia="Times New Roman"/>
          <w:sz w:val="20"/>
          <w:szCs w:val="20"/>
        </w:rPr>
        <w:tab/>
        <w:t>V</w:t>
      </w:r>
      <w:r w:rsidR="00097D14" w:rsidRPr="000A04F0">
        <w:rPr>
          <w:rFonts w:eastAsia="Times New Roman"/>
          <w:sz w:val="20"/>
          <w:szCs w:val="20"/>
        </w:rPr>
        <w:t>I</w:t>
      </w:r>
      <w:r w:rsidRPr="000A04F0">
        <w:rPr>
          <w:rFonts w:eastAsia="Times New Roman"/>
          <w:sz w:val="20"/>
          <w:szCs w:val="20"/>
        </w:rPr>
        <w:t>.</w:t>
      </w:r>
      <w:r w:rsidRPr="000A04F0">
        <w:rPr>
          <w:rFonts w:eastAsia="Times New Roman"/>
          <w:sz w:val="20"/>
          <w:szCs w:val="20"/>
        </w:rPr>
        <w:tab/>
      </w:r>
      <w:r w:rsidR="00D05A59" w:rsidRPr="000A04F0">
        <w:rPr>
          <w:rFonts w:eastAsia="Times New Roman"/>
          <w:sz w:val="20"/>
          <w:szCs w:val="20"/>
        </w:rPr>
        <w:t>Gaps and</w:t>
      </w:r>
      <w:r w:rsidR="00153793" w:rsidRPr="000A04F0">
        <w:rPr>
          <w:rFonts w:eastAsia="Times New Roman"/>
          <w:sz w:val="20"/>
          <w:szCs w:val="20"/>
        </w:rPr>
        <w:t xml:space="preserve"> c</w:t>
      </w:r>
      <w:r w:rsidRPr="000A04F0">
        <w:rPr>
          <w:rFonts w:eastAsia="Times New Roman"/>
          <w:sz w:val="20"/>
          <w:szCs w:val="20"/>
        </w:rPr>
        <w:t>hallenges in fulfilling the State’s obligations to eliminate violence against women</w:t>
      </w:r>
      <w:r w:rsidRPr="000A04F0">
        <w:rPr>
          <w:rFonts w:eastAsia="Times New Roman"/>
          <w:sz w:val="20"/>
          <w:szCs w:val="20"/>
        </w:rPr>
        <w:tab/>
      </w:r>
      <w:r w:rsidR="0090516D">
        <w:rPr>
          <w:rFonts w:eastAsia="Times New Roman"/>
          <w:sz w:val="20"/>
          <w:szCs w:val="20"/>
        </w:rPr>
        <w:tab/>
        <w:t>17</w:t>
      </w:r>
    </w:p>
    <w:p w:rsidR="000669E6" w:rsidRPr="000A04F0" w:rsidRDefault="000669E6" w:rsidP="000669E6">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sz w:val="20"/>
          <w:szCs w:val="20"/>
        </w:rPr>
      </w:pPr>
      <w:r w:rsidRPr="000A04F0">
        <w:rPr>
          <w:rFonts w:eastAsia="Times New Roman"/>
          <w:sz w:val="20"/>
          <w:szCs w:val="20"/>
        </w:rPr>
        <w:tab/>
      </w:r>
      <w:r w:rsidRPr="000A04F0">
        <w:rPr>
          <w:rFonts w:eastAsia="Times New Roman"/>
          <w:sz w:val="20"/>
          <w:szCs w:val="20"/>
        </w:rPr>
        <w:tab/>
        <w:t>A.</w:t>
      </w:r>
      <w:r w:rsidRPr="000A04F0">
        <w:rPr>
          <w:rFonts w:eastAsia="Times New Roman"/>
          <w:sz w:val="20"/>
          <w:szCs w:val="20"/>
        </w:rPr>
        <w:tab/>
        <w:t xml:space="preserve">Prevention </w:t>
      </w:r>
      <w:r w:rsidRPr="000A04F0">
        <w:rPr>
          <w:rFonts w:eastAsia="Times New Roman"/>
          <w:sz w:val="20"/>
          <w:szCs w:val="20"/>
        </w:rPr>
        <w:tab/>
      </w:r>
      <w:r w:rsidR="0090516D">
        <w:rPr>
          <w:rFonts w:eastAsia="Times New Roman"/>
          <w:sz w:val="20"/>
          <w:szCs w:val="20"/>
        </w:rPr>
        <w:tab/>
        <w:t>17</w:t>
      </w:r>
    </w:p>
    <w:p w:rsidR="000669E6" w:rsidRPr="000A04F0" w:rsidRDefault="000669E6" w:rsidP="000669E6">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sz w:val="20"/>
          <w:szCs w:val="20"/>
        </w:rPr>
      </w:pPr>
      <w:r w:rsidRPr="000A04F0">
        <w:rPr>
          <w:rFonts w:eastAsia="Times New Roman"/>
          <w:sz w:val="20"/>
          <w:szCs w:val="20"/>
        </w:rPr>
        <w:tab/>
      </w:r>
      <w:r w:rsidRPr="000A04F0">
        <w:rPr>
          <w:rFonts w:eastAsia="Times New Roman"/>
          <w:sz w:val="20"/>
          <w:szCs w:val="20"/>
        </w:rPr>
        <w:tab/>
        <w:t>B.</w:t>
      </w:r>
      <w:r w:rsidRPr="000A04F0">
        <w:rPr>
          <w:rFonts w:eastAsia="Times New Roman"/>
          <w:sz w:val="20"/>
          <w:szCs w:val="20"/>
        </w:rPr>
        <w:tab/>
        <w:t>Pr</w:t>
      </w:r>
      <w:r w:rsidR="00153793" w:rsidRPr="000A04F0">
        <w:rPr>
          <w:rFonts w:eastAsia="Times New Roman"/>
          <w:sz w:val="20"/>
          <w:szCs w:val="20"/>
        </w:rPr>
        <w:t>otection</w:t>
      </w:r>
      <w:r w:rsidRPr="000A04F0">
        <w:rPr>
          <w:rFonts w:eastAsia="Times New Roman"/>
          <w:sz w:val="20"/>
          <w:szCs w:val="20"/>
        </w:rPr>
        <w:tab/>
      </w:r>
      <w:r w:rsidR="0090516D">
        <w:rPr>
          <w:rFonts w:eastAsia="Times New Roman"/>
          <w:sz w:val="20"/>
          <w:szCs w:val="20"/>
        </w:rPr>
        <w:tab/>
        <w:t>18</w:t>
      </w:r>
    </w:p>
    <w:p w:rsidR="0022346B" w:rsidRPr="000A04F0" w:rsidRDefault="00AF4876" w:rsidP="00B54662">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sz w:val="20"/>
          <w:szCs w:val="20"/>
        </w:rPr>
      </w:pPr>
      <w:r w:rsidRPr="000A04F0">
        <w:rPr>
          <w:rFonts w:eastAsia="Times New Roman"/>
          <w:sz w:val="20"/>
          <w:szCs w:val="20"/>
        </w:rPr>
        <w:tab/>
      </w:r>
      <w:r w:rsidR="000669E6" w:rsidRPr="000A04F0">
        <w:rPr>
          <w:rFonts w:eastAsia="Times New Roman"/>
          <w:sz w:val="20"/>
          <w:szCs w:val="20"/>
        </w:rPr>
        <w:tab/>
        <w:t>C.</w:t>
      </w:r>
      <w:r w:rsidR="000669E6" w:rsidRPr="000A04F0">
        <w:rPr>
          <w:rFonts w:eastAsia="Times New Roman"/>
          <w:sz w:val="20"/>
          <w:szCs w:val="20"/>
        </w:rPr>
        <w:tab/>
      </w:r>
      <w:r w:rsidR="001273C6" w:rsidRPr="000A04F0">
        <w:rPr>
          <w:rFonts w:eastAsia="Times New Roman"/>
          <w:sz w:val="20"/>
          <w:szCs w:val="20"/>
        </w:rPr>
        <w:t xml:space="preserve">Prosecution </w:t>
      </w:r>
      <w:r w:rsidR="000669E6" w:rsidRPr="000A04F0">
        <w:rPr>
          <w:rFonts w:eastAsia="Times New Roman"/>
          <w:sz w:val="20"/>
          <w:szCs w:val="20"/>
        </w:rPr>
        <w:tab/>
      </w:r>
      <w:r w:rsidR="0090516D">
        <w:rPr>
          <w:rFonts w:eastAsia="Times New Roman"/>
          <w:sz w:val="20"/>
          <w:szCs w:val="20"/>
        </w:rPr>
        <w:tab/>
        <w:t>19</w:t>
      </w:r>
    </w:p>
    <w:p w:rsidR="000C6DAF" w:rsidRDefault="00862164" w:rsidP="00B54662">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sz w:val="20"/>
          <w:szCs w:val="20"/>
        </w:rPr>
      </w:pPr>
      <w:r w:rsidRPr="000A04F0">
        <w:rPr>
          <w:rFonts w:eastAsia="Times New Roman"/>
          <w:sz w:val="20"/>
          <w:szCs w:val="20"/>
        </w:rPr>
        <w:tab/>
      </w:r>
      <w:r w:rsidR="00AF4876" w:rsidRPr="000A04F0">
        <w:rPr>
          <w:rFonts w:eastAsia="Times New Roman"/>
          <w:sz w:val="20"/>
          <w:szCs w:val="20"/>
        </w:rPr>
        <w:t>V</w:t>
      </w:r>
      <w:r w:rsidRPr="000A04F0">
        <w:rPr>
          <w:rFonts w:eastAsia="Times New Roman"/>
          <w:sz w:val="20"/>
          <w:szCs w:val="20"/>
        </w:rPr>
        <w:t>I</w:t>
      </w:r>
      <w:r w:rsidR="009A51E9" w:rsidRPr="000A04F0">
        <w:rPr>
          <w:rFonts w:eastAsia="Times New Roman"/>
          <w:sz w:val="20"/>
          <w:szCs w:val="20"/>
        </w:rPr>
        <w:t>I</w:t>
      </w:r>
      <w:r w:rsidR="00AF4876" w:rsidRPr="000A04F0">
        <w:rPr>
          <w:rFonts w:eastAsia="Times New Roman"/>
          <w:sz w:val="20"/>
          <w:szCs w:val="20"/>
        </w:rPr>
        <w:t>.</w:t>
      </w:r>
      <w:r w:rsidR="00AF4876" w:rsidRPr="000A04F0">
        <w:rPr>
          <w:rFonts w:eastAsia="Times New Roman"/>
          <w:sz w:val="20"/>
          <w:szCs w:val="20"/>
        </w:rPr>
        <w:tab/>
        <w:t>Conclusions</w:t>
      </w:r>
      <w:r w:rsidR="008D3B3A" w:rsidRPr="000A04F0">
        <w:rPr>
          <w:rFonts w:eastAsia="Times New Roman"/>
          <w:sz w:val="20"/>
          <w:szCs w:val="20"/>
        </w:rPr>
        <w:t xml:space="preserve"> </w:t>
      </w:r>
      <w:r w:rsidR="00AF4876" w:rsidRPr="000A04F0">
        <w:rPr>
          <w:rFonts w:eastAsia="Times New Roman"/>
          <w:sz w:val="20"/>
          <w:szCs w:val="20"/>
        </w:rPr>
        <w:t>and</w:t>
      </w:r>
      <w:r w:rsidR="008D3B3A" w:rsidRPr="000A04F0">
        <w:rPr>
          <w:rFonts w:eastAsia="Times New Roman"/>
          <w:sz w:val="20"/>
          <w:szCs w:val="20"/>
        </w:rPr>
        <w:t xml:space="preserve"> </w:t>
      </w:r>
      <w:r w:rsidR="00AF4876" w:rsidRPr="000A04F0">
        <w:rPr>
          <w:rFonts w:eastAsia="Times New Roman"/>
          <w:sz w:val="20"/>
          <w:szCs w:val="20"/>
        </w:rPr>
        <w:t>recommendations</w:t>
      </w:r>
      <w:r w:rsidR="00AF4876" w:rsidRPr="000A04F0">
        <w:rPr>
          <w:rFonts w:eastAsia="Times New Roman"/>
          <w:sz w:val="20"/>
          <w:szCs w:val="20"/>
        </w:rPr>
        <w:tab/>
      </w:r>
      <w:r w:rsidR="0090516D">
        <w:rPr>
          <w:rFonts w:eastAsia="Times New Roman"/>
          <w:sz w:val="20"/>
          <w:szCs w:val="20"/>
        </w:rPr>
        <w:tab/>
        <w:t>20</w:t>
      </w:r>
    </w:p>
    <w:p w:rsidR="001F755F" w:rsidRDefault="001F755F" w:rsidP="001F755F">
      <w:r>
        <w:br w:type="page"/>
      </w:r>
    </w:p>
    <w:p w:rsidR="00AF4876" w:rsidRPr="00485A9F" w:rsidRDefault="00AF4876" w:rsidP="00B272FD">
      <w:pPr>
        <w:pStyle w:val="HChG"/>
      </w:pPr>
      <w:r w:rsidRPr="00485A9F">
        <w:lastRenderedPageBreak/>
        <w:tab/>
        <w:t>I.</w:t>
      </w:r>
      <w:r w:rsidRPr="00485A9F">
        <w:tab/>
      </w:r>
      <w:r w:rsidRPr="00B272FD">
        <w:t>Introduction</w:t>
      </w:r>
    </w:p>
    <w:p w:rsidR="00612E61" w:rsidRPr="008855C2" w:rsidRDefault="00CA7D5C" w:rsidP="00976C8D">
      <w:pPr>
        <w:pStyle w:val="SingleTxtG"/>
        <w:rPr>
          <w:sz w:val="20"/>
          <w:szCs w:val="20"/>
        </w:rPr>
      </w:pPr>
      <w:r w:rsidRPr="008855C2">
        <w:rPr>
          <w:sz w:val="20"/>
          <w:szCs w:val="20"/>
        </w:rPr>
        <w:t>1.</w:t>
      </w:r>
      <w:r w:rsidRPr="008855C2">
        <w:rPr>
          <w:sz w:val="20"/>
          <w:szCs w:val="20"/>
        </w:rPr>
        <w:tab/>
      </w:r>
      <w:r w:rsidR="00612E61" w:rsidRPr="008855C2">
        <w:rPr>
          <w:sz w:val="20"/>
          <w:szCs w:val="20"/>
        </w:rPr>
        <w:t>At the</w:t>
      </w:r>
      <w:r w:rsidR="00AD48C2" w:rsidRPr="008855C2">
        <w:rPr>
          <w:sz w:val="20"/>
          <w:szCs w:val="20"/>
        </w:rPr>
        <w:t xml:space="preserve"> invitation of the Government</w:t>
      </w:r>
      <w:r w:rsidR="00E3057C" w:rsidRPr="008855C2">
        <w:rPr>
          <w:sz w:val="20"/>
          <w:szCs w:val="20"/>
        </w:rPr>
        <w:t xml:space="preserve"> </w:t>
      </w:r>
      <w:r w:rsidR="004D2E71" w:rsidRPr="008855C2">
        <w:rPr>
          <w:sz w:val="20"/>
          <w:szCs w:val="20"/>
        </w:rPr>
        <w:t>of</w:t>
      </w:r>
      <w:r w:rsidR="008855C2">
        <w:rPr>
          <w:sz w:val="20"/>
          <w:szCs w:val="20"/>
        </w:rPr>
        <w:t xml:space="preserve"> Georgia</w:t>
      </w:r>
      <w:r w:rsidR="00612E61" w:rsidRPr="008855C2">
        <w:rPr>
          <w:sz w:val="20"/>
          <w:szCs w:val="20"/>
        </w:rPr>
        <w:t xml:space="preserve">, the Special Rapporteur on violence against women, its causes and consequences, Ms. </w:t>
      </w:r>
      <w:proofErr w:type="spellStart"/>
      <w:r w:rsidR="00612E61" w:rsidRPr="008855C2">
        <w:rPr>
          <w:sz w:val="20"/>
          <w:szCs w:val="20"/>
        </w:rPr>
        <w:t>Dubravka</w:t>
      </w:r>
      <w:proofErr w:type="spellEnd"/>
      <w:r w:rsidR="00612E61" w:rsidRPr="008855C2">
        <w:rPr>
          <w:sz w:val="20"/>
          <w:szCs w:val="20"/>
        </w:rPr>
        <w:t xml:space="preserve"> </w:t>
      </w:r>
      <w:proofErr w:type="spellStart"/>
      <w:r w:rsidR="00612E61" w:rsidRPr="008855C2">
        <w:rPr>
          <w:caps/>
          <w:sz w:val="20"/>
          <w:szCs w:val="20"/>
        </w:rPr>
        <w:t>š</w:t>
      </w:r>
      <w:r w:rsidR="00612E61" w:rsidRPr="008855C2">
        <w:rPr>
          <w:sz w:val="20"/>
          <w:szCs w:val="20"/>
        </w:rPr>
        <w:t>imonović</w:t>
      </w:r>
      <w:proofErr w:type="spellEnd"/>
      <w:r w:rsidR="00612E61" w:rsidRPr="008855C2">
        <w:rPr>
          <w:sz w:val="20"/>
          <w:szCs w:val="20"/>
        </w:rPr>
        <w:t>, visit</w:t>
      </w:r>
      <w:r w:rsidR="00AD48C2" w:rsidRPr="008855C2">
        <w:rPr>
          <w:sz w:val="20"/>
          <w:szCs w:val="20"/>
        </w:rPr>
        <w:t>ed</w:t>
      </w:r>
      <w:r w:rsidR="00612E61" w:rsidRPr="008855C2">
        <w:rPr>
          <w:sz w:val="20"/>
          <w:szCs w:val="20"/>
        </w:rPr>
        <w:t xml:space="preserve"> Georgia from 15 to 19 February 2016.</w:t>
      </w:r>
    </w:p>
    <w:p w:rsidR="000461D6" w:rsidRPr="008855C2" w:rsidRDefault="00CA7D5C" w:rsidP="0026771A">
      <w:pPr>
        <w:pStyle w:val="SingleTxtG"/>
        <w:rPr>
          <w:sz w:val="20"/>
          <w:szCs w:val="20"/>
        </w:rPr>
      </w:pPr>
      <w:r w:rsidRPr="008855C2">
        <w:rPr>
          <w:sz w:val="20"/>
          <w:szCs w:val="20"/>
        </w:rPr>
        <w:t>2.</w:t>
      </w:r>
      <w:r w:rsidRPr="008855C2">
        <w:rPr>
          <w:sz w:val="20"/>
          <w:szCs w:val="20"/>
        </w:rPr>
        <w:tab/>
      </w:r>
      <w:r w:rsidR="00323A1F" w:rsidRPr="008855C2">
        <w:rPr>
          <w:sz w:val="20"/>
          <w:szCs w:val="20"/>
        </w:rPr>
        <w:t xml:space="preserve">The Special </w:t>
      </w:r>
      <w:r w:rsidR="00323A1F" w:rsidRPr="00D13934">
        <w:rPr>
          <w:sz w:val="20"/>
          <w:szCs w:val="20"/>
        </w:rPr>
        <w:t>Rapporteur expresses her sincere gratitude to the Gover</w:t>
      </w:r>
      <w:r w:rsidR="008855C2" w:rsidRPr="00D13934">
        <w:rPr>
          <w:sz w:val="20"/>
          <w:szCs w:val="20"/>
        </w:rPr>
        <w:t>nment for its full cooperation.</w:t>
      </w:r>
      <w:r w:rsidR="00323A1F" w:rsidRPr="00D13934">
        <w:rPr>
          <w:sz w:val="20"/>
          <w:szCs w:val="20"/>
        </w:rPr>
        <w:t xml:space="preserve"> </w:t>
      </w:r>
      <w:r w:rsidR="00612E61" w:rsidRPr="00D13934">
        <w:rPr>
          <w:sz w:val="20"/>
          <w:szCs w:val="20"/>
        </w:rPr>
        <w:t>During her vi</w:t>
      </w:r>
      <w:r w:rsidR="0026771A">
        <w:rPr>
          <w:sz w:val="20"/>
          <w:szCs w:val="20"/>
        </w:rPr>
        <w:t xml:space="preserve">sit, she </w:t>
      </w:r>
      <w:r w:rsidR="008855C2" w:rsidRPr="00D13934">
        <w:rPr>
          <w:sz w:val="20"/>
          <w:szCs w:val="20"/>
        </w:rPr>
        <w:t>met</w:t>
      </w:r>
      <w:r w:rsidR="007828B4" w:rsidRPr="00D13934">
        <w:rPr>
          <w:sz w:val="20"/>
          <w:szCs w:val="20"/>
        </w:rPr>
        <w:t xml:space="preserve"> with the Deputy Minister of Labour, Health and Social Affairs; the Minister of Foreign Affairs; the Deputy Minister of Internal Affairs; the Deputy Minister of Economy and Sustainable Development; the Deputy Minister of Education and Science; the </w:t>
      </w:r>
      <w:r w:rsidR="00D13934" w:rsidRPr="00D13934">
        <w:rPr>
          <w:sz w:val="20"/>
          <w:szCs w:val="20"/>
        </w:rPr>
        <w:t>Deputy Minister of Corrections; the First Deputy State Minister for Reconciliation and Civic Equality; the First Deputy Minister of Internally Displaced Persons from the Occupied Territories, Accommodation and Refugees; and the Minister of Justice; as well as with representatives of these ministries. She also met with the Assistant to the Prime Minister on Human Rights and Gender Equality Issues, the First Deputy Chairperson of the Parliament, the Chairperson of Gender Equ</w:t>
      </w:r>
      <w:r w:rsidR="00D13934">
        <w:rPr>
          <w:sz w:val="20"/>
          <w:szCs w:val="20"/>
        </w:rPr>
        <w:t>ality Council of the Parliament</w:t>
      </w:r>
      <w:r w:rsidR="00875A9B">
        <w:rPr>
          <w:sz w:val="20"/>
          <w:szCs w:val="20"/>
        </w:rPr>
        <w:t xml:space="preserve"> and with the Head of Division of Human Rights Protection at from the Prosecutor’s Office.</w:t>
      </w:r>
    </w:p>
    <w:p w:rsidR="007C79BC" w:rsidRPr="008855C2" w:rsidRDefault="005542B8" w:rsidP="004134A3">
      <w:pPr>
        <w:pStyle w:val="SingleTxtG"/>
        <w:rPr>
          <w:sz w:val="20"/>
          <w:szCs w:val="20"/>
        </w:rPr>
      </w:pPr>
      <w:r>
        <w:rPr>
          <w:sz w:val="20"/>
          <w:szCs w:val="20"/>
        </w:rPr>
        <w:t>3</w:t>
      </w:r>
      <w:r w:rsidR="0026771A">
        <w:rPr>
          <w:sz w:val="20"/>
          <w:szCs w:val="20"/>
        </w:rPr>
        <w:t>.</w:t>
      </w:r>
      <w:r w:rsidR="0026771A">
        <w:rPr>
          <w:sz w:val="20"/>
          <w:szCs w:val="20"/>
        </w:rPr>
        <w:tab/>
        <w:t>She</w:t>
      </w:r>
      <w:r w:rsidR="007C79BC" w:rsidRPr="008855C2">
        <w:rPr>
          <w:sz w:val="20"/>
          <w:szCs w:val="20"/>
        </w:rPr>
        <w:t xml:space="preserve"> also met with the Public Defender and </w:t>
      </w:r>
      <w:r w:rsidR="008855C2">
        <w:rPr>
          <w:sz w:val="20"/>
          <w:szCs w:val="20"/>
        </w:rPr>
        <w:t>held</w:t>
      </w:r>
      <w:r w:rsidR="007C79BC" w:rsidRPr="008855C2">
        <w:rPr>
          <w:sz w:val="20"/>
          <w:szCs w:val="20"/>
        </w:rPr>
        <w:t xml:space="preserve"> consultations with civil society organisations</w:t>
      </w:r>
      <w:r w:rsidR="00875A9B">
        <w:rPr>
          <w:sz w:val="20"/>
          <w:szCs w:val="20"/>
        </w:rPr>
        <w:t>, as well as</w:t>
      </w:r>
      <w:r w:rsidR="007C79BC" w:rsidRPr="008855C2" w:rsidDel="00D13934">
        <w:rPr>
          <w:sz w:val="20"/>
          <w:szCs w:val="20"/>
        </w:rPr>
        <w:t xml:space="preserve"> with the President and members of the Supreme Court and Judges of the Tbilisi City Court</w:t>
      </w:r>
      <w:r w:rsidR="004134A3">
        <w:rPr>
          <w:sz w:val="20"/>
          <w:szCs w:val="20"/>
        </w:rPr>
        <w:t xml:space="preserve"> and</w:t>
      </w:r>
      <w:r w:rsidR="00875A9B">
        <w:rPr>
          <w:sz w:val="20"/>
          <w:szCs w:val="20"/>
        </w:rPr>
        <w:t xml:space="preserve"> with representatives of UN agencies.</w:t>
      </w:r>
    </w:p>
    <w:p w:rsidR="00323A1F" w:rsidRPr="008855C2" w:rsidRDefault="005542B8" w:rsidP="00BC738D">
      <w:pPr>
        <w:pStyle w:val="SingleTxtG"/>
        <w:rPr>
          <w:sz w:val="20"/>
          <w:szCs w:val="20"/>
        </w:rPr>
      </w:pPr>
      <w:r>
        <w:rPr>
          <w:sz w:val="20"/>
          <w:szCs w:val="20"/>
        </w:rPr>
        <w:t>4</w:t>
      </w:r>
      <w:r w:rsidR="00CA7D5C" w:rsidRPr="008855C2">
        <w:rPr>
          <w:sz w:val="20"/>
          <w:szCs w:val="20"/>
        </w:rPr>
        <w:t>.</w:t>
      </w:r>
      <w:r w:rsidR="00CA7D5C" w:rsidRPr="008855C2">
        <w:rPr>
          <w:sz w:val="20"/>
          <w:szCs w:val="20"/>
        </w:rPr>
        <w:tab/>
      </w:r>
      <w:r w:rsidR="00520862" w:rsidRPr="008855C2">
        <w:rPr>
          <w:sz w:val="20"/>
          <w:szCs w:val="20"/>
        </w:rPr>
        <w:t>The Rapporteur visited the Kakheti</w:t>
      </w:r>
      <w:r w:rsidR="002523FA" w:rsidRPr="008855C2">
        <w:rPr>
          <w:sz w:val="20"/>
          <w:szCs w:val="20"/>
        </w:rPr>
        <w:t xml:space="preserve"> region, where she met with the Governor of the region, inhabitants </w:t>
      </w:r>
      <w:r w:rsidR="001923B4" w:rsidRPr="008855C2">
        <w:rPr>
          <w:sz w:val="20"/>
          <w:szCs w:val="20"/>
        </w:rPr>
        <w:t>of</w:t>
      </w:r>
      <w:r w:rsidR="008A4C4D" w:rsidRPr="008855C2">
        <w:rPr>
          <w:sz w:val="20"/>
          <w:szCs w:val="20"/>
        </w:rPr>
        <w:t xml:space="preserve"> the</w:t>
      </w:r>
      <w:r w:rsidR="00D33AA6" w:rsidRPr="008855C2">
        <w:rPr>
          <w:sz w:val="20"/>
          <w:szCs w:val="20"/>
        </w:rPr>
        <w:t xml:space="preserve"> </w:t>
      </w:r>
      <w:r w:rsidR="002523FA" w:rsidRPr="008855C2">
        <w:rPr>
          <w:sz w:val="20"/>
          <w:szCs w:val="20"/>
        </w:rPr>
        <w:t xml:space="preserve">Kabala </w:t>
      </w:r>
      <w:r w:rsidR="008A4C4D" w:rsidRPr="008855C2">
        <w:rPr>
          <w:sz w:val="20"/>
          <w:szCs w:val="20"/>
        </w:rPr>
        <w:t>Municipality</w:t>
      </w:r>
      <w:r w:rsidR="002523FA" w:rsidRPr="008855C2">
        <w:rPr>
          <w:sz w:val="20"/>
          <w:szCs w:val="20"/>
        </w:rPr>
        <w:t xml:space="preserve">, as well as civil society organizations and </w:t>
      </w:r>
      <w:r w:rsidR="00273BB1" w:rsidRPr="008855C2">
        <w:rPr>
          <w:sz w:val="20"/>
          <w:szCs w:val="20"/>
        </w:rPr>
        <w:t>the Women’s Elderly Council</w:t>
      </w:r>
      <w:r w:rsidR="002523FA" w:rsidRPr="008855C2">
        <w:rPr>
          <w:sz w:val="20"/>
          <w:szCs w:val="20"/>
        </w:rPr>
        <w:t xml:space="preserve"> in the village of </w:t>
      </w:r>
      <w:proofErr w:type="spellStart"/>
      <w:r w:rsidR="002523FA" w:rsidRPr="008855C2">
        <w:rPr>
          <w:sz w:val="20"/>
          <w:szCs w:val="20"/>
        </w:rPr>
        <w:t>Duisi</w:t>
      </w:r>
      <w:proofErr w:type="spellEnd"/>
      <w:r w:rsidR="002523FA" w:rsidRPr="008855C2">
        <w:rPr>
          <w:sz w:val="20"/>
          <w:szCs w:val="20"/>
        </w:rPr>
        <w:t xml:space="preserve"> (</w:t>
      </w:r>
      <w:proofErr w:type="spellStart"/>
      <w:r w:rsidR="002523FA" w:rsidRPr="008855C2">
        <w:rPr>
          <w:sz w:val="20"/>
          <w:szCs w:val="20"/>
        </w:rPr>
        <w:t>Akhmeta</w:t>
      </w:r>
      <w:proofErr w:type="spellEnd"/>
      <w:r w:rsidR="002523FA" w:rsidRPr="008855C2">
        <w:rPr>
          <w:sz w:val="20"/>
          <w:szCs w:val="20"/>
        </w:rPr>
        <w:t xml:space="preserve"> Municipality, </w:t>
      </w:r>
      <w:proofErr w:type="spellStart"/>
      <w:r w:rsidR="002523FA" w:rsidRPr="008855C2">
        <w:rPr>
          <w:sz w:val="20"/>
          <w:szCs w:val="20"/>
        </w:rPr>
        <w:t>Pankisi</w:t>
      </w:r>
      <w:proofErr w:type="spellEnd"/>
      <w:r w:rsidR="002523FA" w:rsidRPr="008855C2">
        <w:rPr>
          <w:sz w:val="20"/>
          <w:szCs w:val="20"/>
        </w:rPr>
        <w:t xml:space="preserve"> Gorge). She visited the </w:t>
      </w:r>
      <w:proofErr w:type="spellStart"/>
      <w:r w:rsidR="002523FA" w:rsidRPr="008855C2">
        <w:rPr>
          <w:sz w:val="20"/>
          <w:szCs w:val="20"/>
        </w:rPr>
        <w:t>Shida</w:t>
      </w:r>
      <w:proofErr w:type="spellEnd"/>
      <w:r w:rsidR="002523FA" w:rsidRPr="008855C2">
        <w:rPr>
          <w:sz w:val="20"/>
          <w:szCs w:val="20"/>
        </w:rPr>
        <w:t xml:space="preserve"> </w:t>
      </w:r>
      <w:proofErr w:type="spellStart"/>
      <w:r w:rsidR="008468C5">
        <w:rPr>
          <w:sz w:val="20"/>
          <w:szCs w:val="20"/>
        </w:rPr>
        <w:t>Kartli</w:t>
      </w:r>
      <w:proofErr w:type="spellEnd"/>
      <w:r w:rsidR="008468C5" w:rsidRPr="008855C2">
        <w:rPr>
          <w:sz w:val="20"/>
          <w:szCs w:val="20"/>
        </w:rPr>
        <w:t xml:space="preserve"> </w:t>
      </w:r>
      <w:r w:rsidR="001923B4" w:rsidRPr="008855C2">
        <w:rPr>
          <w:sz w:val="20"/>
          <w:szCs w:val="20"/>
        </w:rPr>
        <w:t>Region</w:t>
      </w:r>
      <w:r w:rsidR="000A5559" w:rsidRPr="008855C2">
        <w:rPr>
          <w:sz w:val="20"/>
          <w:szCs w:val="20"/>
        </w:rPr>
        <w:t xml:space="preserve"> and a </w:t>
      </w:r>
      <w:r w:rsidR="002523FA" w:rsidRPr="008855C2">
        <w:rPr>
          <w:sz w:val="20"/>
          <w:szCs w:val="20"/>
        </w:rPr>
        <w:t xml:space="preserve">settlement </w:t>
      </w:r>
      <w:r w:rsidR="000A5559" w:rsidRPr="008855C2">
        <w:rPr>
          <w:sz w:val="20"/>
          <w:szCs w:val="20"/>
        </w:rPr>
        <w:t xml:space="preserve">for </w:t>
      </w:r>
      <w:r w:rsidR="00C43307" w:rsidRPr="008855C2">
        <w:rPr>
          <w:sz w:val="20"/>
          <w:szCs w:val="20"/>
        </w:rPr>
        <w:t>IDPs</w:t>
      </w:r>
      <w:r w:rsidR="000A5559" w:rsidRPr="008855C2">
        <w:rPr>
          <w:sz w:val="20"/>
          <w:szCs w:val="20"/>
        </w:rPr>
        <w:t xml:space="preserve"> </w:t>
      </w:r>
      <w:r w:rsidR="002523FA" w:rsidRPr="008855C2">
        <w:rPr>
          <w:sz w:val="20"/>
          <w:szCs w:val="20"/>
        </w:rPr>
        <w:t>in the village</w:t>
      </w:r>
      <w:r w:rsidR="00733498" w:rsidRPr="008855C2">
        <w:rPr>
          <w:sz w:val="20"/>
          <w:szCs w:val="20"/>
        </w:rPr>
        <w:t xml:space="preserve"> of </w:t>
      </w:r>
      <w:proofErr w:type="spellStart"/>
      <w:r w:rsidR="00733498" w:rsidRPr="008855C2">
        <w:rPr>
          <w:sz w:val="20"/>
          <w:szCs w:val="20"/>
        </w:rPr>
        <w:t>Skra</w:t>
      </w:r>
      <w:proofErr w:type="spellEnd"/>
      <w:r w:rsidR="001923B4" w:rsidRPr="008855C2">
        <w:rPr>
          <w:sz w:val="20"/>
          <w:szCs w:val="20"/>
        </w:rPr>
        <w:t>,</w:t>
      </w:r>
      <w:r w:rsidR="00733498" w:rsidRPr="008855C2">
        <w:rPr>
          <w:sz w:val="20"/>
          <w:szCs w:val="20"/>
        </w:rPr>
        <w:t xml:space="preserve"> </w:t>
      </w:r>
      <w:r w:rsidR="009119C6" w:rsidRPr="008855C2">
        <w:rPr>
          <w:sz w:val="20"/>
          <w:szCs w:val="20"/>
        </w:rPr>
        <w:t>where she</w:t>
      </w:r>
      <w:r w:rsidR="00DA4F81" w:rsidRPr="008855C2">
        <w:rPr>
          <w:sz w:val="20"/>
          <w:szCs w:val="20"/>
        </w:rPr>
        <w:t xml:space="preserve"> met with internally displaced</w:t>
      </w:r>
      <w:r w:rsidR="00733498" w:rsidRPr="008855C2">
        <w:rPr>
          <w:sz w:val="20"/>
          <w:szCs w:val="20"/>
        </w:rPr>
        <w:t xml:space="preserve"> women. S</w:t>
      </w:r>
      <w:r w:rsidR="002523FA" w:rsidRPr="008855C2">
        <w:rPr>
          <w:sz w:val="20"/>
          <w:szCs w:val="20"/>
        </w:rPr>
        <w:t xml:space="preserve">he </w:t>
      </w:r>
      <w:r w:rsidR="00733498" w:rsidRPr="008855C2">
        <w:rPr>
          <w:sz w:val="20"/>
          <w:szCs w:val="20"/>
        </w:rPr>
        <w:t xml:space="preserve">also </w:t>
      </w:r>
      <w:r w:rsidR="002523FA" w:rsidRPr="008855C2">
        <w:rPr>
          <w:sz w:val="20"/>
          <w:szCs w:val="20"/>
        </w:rPr>
        <w:t xml:space="preserve">visited </w:t>
      </w:r>
      <w:r w:rsidR="008855C2">
        <w:rPr>
          <w:sz w:val="20"/>
          <w:szCs w:val="20"/>
        </w:rPr>
        <w:t xml:space="preserve">a </w:t>
      </w:r>
      <w:r w:rsidR="002523FA" w:rsidRPr="008855C2">
        <w:rPr>
          <w:sz w:val="20"/>
          <w:szCs w:val="20"/>
        </w:rPr>
        <w:t>shelter in the city of Gori</w:t>
      </w:r>
      <w:r w:rsidR="007C79BC" w:rsidRPr="008855C2">
        <w:rPr>
          <w:sz w:val="20"/>
          <w:szCs w:val="20"/>
        </w:rPr>
        <w:t xml:space="preserve"> </w:t>
      </w:r>
      <w:r w:rsidR="008855C2">
        <w:rPr>
          <w:sz w:val="20"/>
          <w:szCs w:val="20"/>
        </w:rPr>
        <w:t>and</w:t>
      </w:r>
      <w:r w:rsidR="007C79BC" w:rsidRPr="008855C2">
        <w:rPr>
          <w:sz w:val="20"/>
          <w:szCs w:val="20"/>
        </w:rPr>
        <w:t xml:space="preserve"> would like to thank women survivors of violence, who shared their experiences with her</w:t>
      </w:r>
      <w:r w:rsidR="0094737F">
        <w:rPr>
          <w:sz w:val="20"/>
          <w:szCs w:val="20"/>
        </w:rPr>
        <w:t xml:space="preserve"> throughout the visit</w:t>
      </w:r>
      <w:r w:rsidR="007C79BC" w:rsidRPr="008855C2">
        <w:rPr>
          <w:sz w:val="20"/>
          <w:szCs w:val="20"/>
        </w:rPr>
        <w:t>.</w:t>
      </w:r>
    </w:p>
    <w:p w:rsidR="00323A1F" w:rsidRPr="008855C2" w:rsidRDefault="005542B8" w:rsidP="008855C2">
      <w:pPr>
        <w:pStyle w:val="SingleTxtG"/>
        <w:rPr>
          <w:sz w:val="20"/>
          <w:szCs w:val="20"/>
        </w:rPr>
      </w:pPr>
      <w:r>
        <w:rPr>
          <w:sz w:val="20"/>
          <w:szCs w:val="20"/>
        </w:rPr>
        <w:t>5.</w:t>
      </w:r>
      <w:r>
        <w:rPr>
          <w:sz w:val="20"/>
          <w:szCs w:val="20"/>
        </w:rPr>
        <w:tab/>
      </w:r>
      <w:r w:rsidR="0026771A">
        <w:rPr>
          <w:sz w:val="20"/>
          <w:szCs w:val="20"/>
        </w:rPr>
        <w:t>The mandate holder</w:t>
      </w:r>
      <w:r w:rsidR="007C79BC" w:rsidRPr="008855C2">
        <w:rPr>
          <w:sz w:val="20"/>
          <w:szCs w:val="20"/>
        </w:rPr>
        <w:t xml:space="preserve"> </w:t>
      </w:r>
      <w:r w:rsidR="00DA1F11" w:rsidRPr="008855C2">
        <w:rPr>
          <w:sz w:val="20"/>
          <w:szCs w:val="20"/>
        </w:rPr>
        <w:t xml:space="preserve">expresses her gratitude to </w:t>
      </w:r>
      <w:r w:rsidR="00495AEA" w:rsidRPr="008855C2">
        <w:rPr>
          <w:sz w:val="20"/>
          <w:szCs w:val="20"/>
        </w:rPr>
        <w:t>OHCHR</w:t>
      </w:r>
      <w:r w:rsidR="00532580" w:rsidRPr="008855C2">
        <w:rPr>
          <w:sz w:val="20"/>
          <w:szCs w:val="20"/>
        </w:rPr>
        <w:t xml:space="preserve">, </w:t>
      </w:r>
      <w:r w:rsidR="00DA1F11" w:rsidRPr="008855C2">
        <w:rPr>
          <w:sz w:val="20"/>
          <w:szCs w:val="20"/>
        </w:rPr>
        <w:t xml:space="preserve">UN-Women, </w:t>
      </w:r>
      <w:r w:rsidR="00532580" w:rsidRPr="008855C2">
        <w:rPr>
          <w:sz w:val="20"/>
          <w:szCs w:val="20"/>
        </w:rPr>
        <w:t xml:space="preserve">UNHCR </w:t>
      </w:r>
      <w:r w:rsidR="00DA1F11" w:rsidRPr="008855C2">
        <w:rPr>
          <w:sz w:val="20"/>
          <w:szCs w:val="20"/>
        </w:rPr>
        <w:t xml:space="preserve">as well as other </w:t>
      </w:r>
      <w:r w:rsidR="00A85386" w:rsidRPr="008855C2">
        <w:rPr>
          <w:sz w:val="20"/>
          <w:szCs w:val="20"/>
        </w:rPr>
        <w:t xml:space="preserve">UN </w:t>
      </w:r>
      <w:r w:rsidR="00DA1F11" w:rsidRPr="008855C2">
        <w:rPr>
          <w:sz w:val="20"/>
          <w:szCs w:val="20"/>
        </w:rPr>
        <w:t xml:space="preserve">agencies </w:t>
      </w:r>
      <w:r w:rsidR="00323A1F" w:rsidRPr="008855C2">
        <w:rPr>
          <w:sz w:val="20"/>
          <w:szCs w:val="20"/>
        </w:rPr>
        <w:t>and other interlocutors involved</w:t>
      </w:r>
      <w:r w:rsidR="00DA1F11" w:rsidRPr="008855C2">
        <w:rPr>
          <w:sz w:val="20"/>
          <w:szCs w:val="20"/>
        </w:rPr>
        <w:t xml:space="preserve"> in the organization of her visit</w:t>
      </w:r>
      <w:r w:rsidR="008855C2">
        <w:rPr>
          <w:sz w:val="20"/>
          <w:szCs w:val="20"/>
        </w:rPr>
        <w:t>.</w:t>
      </w:r>
    </w:p>
    <w:p w:rsidR="004068C2" w:rsidRDefault="005542B8" w:rsidP="0026771A">
      <w:pPr>
        <w:pStyle w:val="SingleTxtG"/>
        <w:rPr>
          <w:sz w:val="20"/>
          <w:szCs w:val="20"/>
        </w:rPr>
      </w:pPr>
      <w:r>
        <w:rPr>
          <w:sz w:val="20"/>
          <w:szCs w:val="20"/>
        </w:rPr>
        <w:t>6</w:t>
      </w:r>
      <w:r w:rsidR="00CA7D5C" w:rsidRPr="008855C2">
        <w:rPr>
          <w:sz w:val="20"/>
          <w:szCs w:val="20"/>
        </w:rPr>
        <w:t>.</w:t>
      </w:r>
      <w:r w:rsidR="00CA7D5C" w:rsidRPr="008855C2">
        <w:rPr>
          <w:sz w:val="20"/>
          <w:szCs w:val="20"/>
        </w:rPr>
        <w:tab/>
      </w:r>
      <w:r w:rsidR="004068C2" w:rsidRPr="008855C2">
        <w:rPr>
          <w:sz w:val="20"/>
          <w:szCs w:val="20"/>
        </w:rPr>
        <w:t xml:space="preserve"> </w:t>
      </w:r>
      <w:r w:rsidR="0026771A">
        <w:rPr>
          <w:sz w:val="20"/>
          <w:szCs w:val="20"/>
        </w:rPr>
        <w:t>She</w:t>
      </w:r>
      <w:r w:rsidR="00733498" w:rsidRPr="008855C2">
        <w:rPr>
          <w:sz w:val="20"/>
          <w:szCs w:val="20"/>
        </w:rPr>
        <w:t xml:space="preserve"> shared her preliminary findings with the Government of Georgia at the end of her official visit and looks forward to a fruitful dialogue with the Government and other stakeholders on the implementation of the </w:t>
      </w:r>
      <w:r w:rsidR="00C5451F" w:rsidRPr="008855C2">
        <w:rPr>
          <w:sz w:val="20"/>
          <w:szCs w:val="20"/>
        </w:rPr>
        <w:t xml:space="preserve">action-oriented </w:t>
      </w:r>
      <w:r w:rsidR="00733498" w:rsidRPr="008855C2">
        <w:rPr>
          <w:sz w:val="20"/>
          <w:szCs w:val="20"/>
        </w:rPr>
        <w:t>recommendations</w:t>
      </w:r>
      <w:r w:rsidR="00B859D0" w:rsidRPr="008855C2">
        <w:rPr>
          <w:sz w:val="20"/>
          <w:szCs w:val="20"/>
        </w:rPr>
        <w:t xml:space="preserve"> included in</w:t>
      </w:r>
      <w:r w:rsidR="00D33AA6" w:rsidRPr="008855C2">
        <w:rPr>
          <w:sz w:val="20"/>
          <w:szCs w:val="20"/>
        </w:rPr>
        <w:t xml:space="preserve"> </w:t>
      </w:r>
      <w:r w:rsidR="009119C6" w:rsidRPr="008855C2">
        <w:rPr>
          <w:sz w:val="20"/>
          <w:szCs w:val="20"/>
        </w:rPr>
        <w:t>the</w:t>
      </w:r>
      <w:r w:rsidR="00733498" w:rsidRPr="008855C2">
        <w:rPr>
          <w:sz w:val="20"/>
          <w:szCs w:val="20"/>
        </w:rPr>
        <w:t xml:space="preserve"> present report.</w:t>
      </w:r>
    </w:p>
    <w:p w:rsidR="003202B2" w:rsidRPr="00B859D0" w:rsidRDefault="00B272FD" w:rsidP="00B272FD">
      <w:pPr>
        <w:pStyle w:val="HChG"/>
      </w:pPr>
      <w:r>
        <w:tab/>
      </w:r>
      <w:r w:rsidR="00B859D0">
        <w:t>II.</w:t>
      </w:r>
      <w:r>
        <w:tab/>
      </w:r>
      <w:r w:rsidR="003202B2" w:rsidRPr="00B859D0">
        <w:t>General context</w:t>
      </w:r>
    </w:p>
    <w:p w:rsidR="00421B1A" w:rsidRDefault="005542B8" w:rsidP="001A42B5">
      <w:pPr>
        <w:pStyle w:val="SingleTxtG"/>
        <w:rPr>
          <w:sz w:val="20"/>
          <w:szCs w:val="20"/>
        </w:rPr>
      </w:pPr>
      <w:r>
        <w:rPr>
          <w:sz w:val="20"/>
          <w:szCs w:val="20"/>
        </w:rPr>
        <w:t>7</w:t>
      </w:r>
      <w:r w:rsidR="00540810" w:rsidRPr="00F12479">
        <w:rPr>
          <w:sz w:val="20"/>
          <w:szCs w:val="20"/>
        </w:rPr>
        <w:t>.</w:t>
      </w:r>
      <w:r w:rsidR="00540810" w:rsidRPr="00F12479">
        <w:rPr>
          <w:sz w:val="20"/>
          <w:szCs w:val="20"/>
        </w:rPr>
        <w:tab/>
        <w:t xml:space="preserve">On 9 April 1991, Georgia declared its independence </w:t>
      </w:r>
      <w:r w:rsidR="003202B2" w:rsidRPr="00F12479">
        <w:rPr>
          <w:sz w:val="20"/>
          <w:szCs w:val="20"/>
        </w:rPr>
        <w:t>from the Soviet Union</w:t>
      </w:r>
      <w:r w:rsidR="00796001" w:rsidRPr="00F12479">
        <w:rPr>
          <w:sz w:val="20"/>
          <w:szCs w:val="20"/>
        </w:rPr>
        <w:t xml:space="preserve"> and was confronted </w:t>
      </w:r>
      <w:r w:rsidR="007C332A" w:rsidRPr="00F12479">
        <w:rPr>
          <w:sz w:val="20"/>
          <w:szCs w:val="20"/>
        </w:rPr>
        <w:t>with</w:t>
      </w:r>
      <w:r w:rsidR="005E537F">
        <w:rPr>
          <w:sz w:val="20"/>
          <w:szCs w:val="20"/>
        </w:rPr>
        <w:t xml:space="preserve"> </w:t>
      </w:r>
      <w:r w:rsidR="007C332A" w:rsidRPr="00F12479">
        <w:rPr>
          <w:sz w:val="20"/>
          <w:szCs w:val="20"/>
        </w:rPr>
        <w:t>groups demanding independence</w:t>
      </w:r>
      <w:r w:rsidR="005E537F">
        <w:rPr>
          <w:sz w:val="20"/>
          <w:szCs w:val="20"/>
        </w:rPr>
        <w:t xml:space="preserve"> for certain parts of the country</w:t>
      </w:r>
      <w:r w:rsidR="007C332A" w:rsidRPr="00F12479">
        <w:rPr>
          <w:sz w:val="20"/>
          <w:szCs w:val="20"/>
        </w:rPr>
        <w:t xml:space="preserve">, which resulted in conflicts and </w:t>
      </w:r>
      <w:r w:rsidR="007C332A" w:rsidRPr="00C138AD">
        <w:rPr>
          <w:sz w:val="20"/>
          <w:szCs w:val="20"/>
        </w:rPr>
        <w:t xml:space="preserve">the </w:t>
      </w:r>
      <w:r w:rsidR="007C332A" w:rsidRPr="00F12479">
        <w:rPr>
          <w:sz w:val="20"/>
          <w:szCs w:val="20"/>
        </w:rPr>
        <w:t xml:space="preserve">declaration of independence of </w:t>
      </w:r>
      <w:r w:rsidR="003B539E" w:rsidRPr="00F12479">
        <w:rPr>
          <w:rFonts w:eastAsia="SimSun"/>
          <w:sz w:val="20"/>
          <w:szCs w:val="20"/>
          <w:lang w:eastAsia="en-GB"/>
        </w:rPr>
        <w:t>Tskhinvali region/</w:t>
      </w:r>
      <w:r w:rsidR="003B539E" w:rsidRPr="00F12479">
        <w:rPr>
          <w:sz w:val="20"/>
          <w:szCs w:val="20"/>
        </w:rPr>
        <w:t xml:space="preserve">South </w:t>
      </w:r>
      <w:r w:rsidR="007C332A" w:rsidRPr="00F12479">
        <w:rPr>
          <w:sz w:val="20"/>
          <w:szCs w:val="20"/>
        </w:rPr>
        <w:t>Ossetia and Abkhazia</w:t>
      </w:r>
      <w:r w:rsidR="00540810" w:rsidRPr="00F12479">
        <w:rPr>
          <w:sz w:val="20"/>
          <w:szCs w:val="20"/>
        </w:rPr>
        <w:t>.</w:t>
      </w:r>
      <w:r w:rsidR="007C332A" w:rsidRPr="00F12479">
        <w:rPr>
          <w:rStyle w:val="FootnoteReference"/>
          <w:sz w:val="20"/>
          <w:szCs w:val="20"/>
        </w:rPr>
        <w:footnoteReference w:id="4"/>
      </w:r>
      <w:r w:rsidR="007C332A" w:rsidRPr="00F12479">
        <w:rPr>
          <w:sz w:val="20"/>
          <w:szCs w:val="20"/>
        </w:rPr>
        <w:t xml:space="preserve"> As a consequence of the 1990-1992 conflicts, about 360,000 persons were displaced and by November 2004, 241,032 </w:t>
      </w:r>
      <w:r w:rsidR="00C138AD">
        <w:rPr>
          <w:sz w:val="20"/>
          <w:szCs w:val="20"/>
        </w:rPr>
        <w:t>IDPs</w:t>
      </w:r>
      <w:r w:rsidR="007C332A" w:rsidRPr="00F12479">
        <w:rPr>
          <w:sz w:val="20"/>
          <w:szCs w:val="20"/>
        </w:rPr>
        <w:t xml:space="preserve"> were registered.</w:t>
      </w:r>
      <w:r w:rsidR="007C332A" w:rsidRPr="00F12479">
        <w:rPr>
          <w:rStyle w:val="FootnoteReference"/>
          <w:sz w:val="20"/>
          <w:szCs w:val="20"/>
        </w:rPr>
        <w:t xml:space="preserve"> </w:t>
      </w:r>
      <w:r w:rsidR="007C332A" w:rsidRPr="00F12479">
        <w:rPr>
          <w:rStyle w:val="FootnoteReference"/>
          <w:sz w:val="20"/>
          <w:szCs w:val="20"/>
        </w:rPr>
        <w:footnoteReference w:id="5"/>
      </w:r>
      <w:r w:rsidR="003B539E" w:rsidRPr="00F12479">
        <w:rPr>
          <w:sz w:val="20"/>
          <w:szCs w:val="20"/>
        </w:rPr>
        <w:t xml:space="preserve"> </w:t>
      </w:r>
      <w:r w:rsidR="00DA4F81" w:rsidRPr="00F12479">
        <w:rPr>
          <w:sz w:val="20"/>
          <w:szCs w:val="20"/>
        </w:rPr>
        <w:t>In August 2008, another conflict erupted in</w:t>
      </w:r>
      <w:r w:rsidR="007C0F27" w:rsidRPr="00F12479">
        <w:rPr>
          <w:sz w:val="20"/>
          <w:szCs w:val="20"/>
        </w:rPr>
        <w:t xml:space="preserve"> the</w:t>
      </w:r>
      <w:r w:rsidR="00DA4F81" w:rsidRPr="00F12479">
        <w:rPr>
          <w:sz w:val="20"/>
          <w:szCs w:val="20"/>
        </w:rPr>
        <w:t xml:space="preserve"> </w:t>
      </w:r>
      <w:r w:rsidR="007C0F27" w:rsidRPr="00F12479">
        <w:rPr>
          <w:sz w:val="20"/>
          <w:szCs w:val="20"/>
        </w:rPr>
        <w:t xml:space="preserve">region of Abkhazia and the </w:t>
      </w:r>
      <w:r w:rsidR="007C0F27" w:rsidRPr="00F12479">
        <w:rPr>
          <w:rFonts w:eastAsia="SimSun"/>
          <w:sz w:val="20"/>
          <w:szCs w:val="20"/>
          <w:lang w:eastAsia="en-GB"/>
        </w:rPr>
        <w:t>Tskhinvali region/</w:t>
      </w:r>
      <w:r w:rsidR="007C0F27" w:rsidRPr="00F12479">
        <w:rPr>
          <w:sz w:val="20"/>
          <w:szCs w:val="20"/>
        </w:rPr>
        <w:t>South Ossetia</w:t>
      </w:r>
      <w:r w:rsidR="001C7770" w:rsidRPr="00F12479">
        <w:rPr>
          <w:sz w:val="20"/>
          <w:szCs w:val="20"/>
        </w:rPr>
        <w:t>,</w:t>
      </w:r>
      <w:r w:rsidR="007C0F27" w:rsidRPr="00F12479">
        <w:rPr>
          <w:sz w:val="20"/>
          <w:szCs w:val="20"/>
        </w:rPr>
        <w:t xml:space="preserve"> </w:t>
      </w:r>
      <w:r w:rsidR="00DA4F81" w:rsidRPr="00F12479">
        <w:rPr>
          <w:sz w:val="20"/>
          <w:szCs w:val="20"/>
        </w:rPr>
        <w:t xml:space="preserve">creating </w:t>
      </w:r>
      <w:r w:rsidR="0053501A" w:rsidRPr="00F12479">
        <w:rPr>
          <w:sz w:val="20"/>
          <w:szCs w:val="20"/>
        </w:rPr>
        <w:t>a smaller</w:t>
      </w:r>
      <w:r w:rsidR="00247370" w:rsidRPr="00F12479">
        <w:rPr>
          <w:sz w:val="20"/>
          <w:szCs w:val="20"/>
        </w:rPr>
        <w:t xml:space="preserve"> </w:t>
      </w:r>
      <w:r w:rsidR="00DA4F81" w:rsidRPr="00F12479">
        <w:rPr>
          <w:sz w:val="20"/>
          <w:szCs w:val="20"/>
        </w:rPr>
        <w:t xml:space="preserve">wave of </w:t>
      </w:r>
      <w:r w:rsidR="001A42B5">
        <w:rPr>
          <w:sz w:val="20"/>
          <w:szCs w:val="20"/>
        </w:rPr>
        <w:t>IDPs</w:t>
      </w:r>
      <w:r w:rsidR="00DA4F81" w:rsidRPr="00F12479">
        <w:rPr>
          <w:sz w:val="20"/>
          <w:szCs w:val="20"/>
        </w:rPr>
        <w:t>.</w:t>
      </w:r>
      <w:r w:rsidR="001C7770" w:rsidRPr="00F12479">
        <w:rPr>
          <w:rStyle w:val="FootnoteReference"/>
          <w:sz w:val="20"/>
          <w:szCs w:val="20"/>
        </w:rPr>
        <w:footnoteReference w:id="6"/>
      </w:r>
    </w:p>
    <w:p w:rsidR="00B859D0" w:rsidRPr="00F12479" w:rsidRDefault="00B56591" w:rsidP="003B539E">
      <w:pPr>
        <w:pStyle w:val="SingleTxtG"/>
        <w:rPr>
          <w:sz w:val="20"/>
          <w:szCs w:val="20"/>
        </w:rPr>
      </w:pPr>
      <w:r>
        <w:rPr>
          <w:sz w:val="20"/>
          <w:szCs w:val="20"/>
        </w:rPr>
        <w:lastRenderedPageBreak/>
        <w:t>8</w:t>
      </w:r>
      <w:r w:rsidR="00421B1A" w:rsidRPr="00F12479">
        <w:rPr>
          <w:sz w:val="20"/>
          <w:szCs w:val="20"/>
        </w:rPr>
        <w:t>.</w:t>
      </w:r>
      <w:r w:rsidR="00421B1A" w:rsidRPr="00F12479">
        <w:rPr>
          <w:sz w:val="20"/>
          <w:szCs w:val="20"/>
        </w:rPr>
        <w:tab/>
      </w:r>
      <w:r w:rsidR="006832C3" w:rsidRPr="00F12479">
        <w:rPr>
          <w:sz w:val="20"/>
          <w:szCs w:val="20"/>
        </w:rPr>
        <w:t>O</w:t>
      </w:r>
      <w:r w:rsidR="00984A24" w:rsidRPr="00F12479">
        <w:rPr>
          <w:sz w:val="20"/>
          <w:szCs w:val="20"/>
        </w:rPr>
        <w:t xml:space="preserve">n 27 June 2014, </w:t>
      </w:r>
      <w:r w:rsidR="006832C3" w:rsidRPr="00F12479">
        <w:rPr>
          <w:sz w:val="20"/>
          <w:szCs w:val="20"/>
        </w:rPr>
        <w:t xml:space="preserve">Georgia </w:t>
      </w:r>
      <w:r w:rsidR="00984A24" w:rsidRPr="00F12479">
        <w:rPr>
          <w:sz w:val="20"/>
          <w:szCs w:val="20"/>
        </w:rPr>
        <w:t>signed the Association Agreements with the European Union</w:t>
      </w:r>
      <w:r w:rsidR="006832C3" w:rsidRPr="00F12479">
        <w:rPr>
          <w:sz w:val="20"/>
          <w:szCs w:val="20"/>
        </w:rPr>
        <w:t>, with the aim to reach political and economic integration</w:t>
      </w:r>
      <w:r w:rsidR="00BA21FF" w:rsidRPr="00F12479">
        <w:rPr>
          <w:sz w:val="20"/>
          <w:szCs w:val="20"/>
        </w:rPr>
        <w:t xml:space="preserve">, development and reform </w:t>
      </w:r>
      <w:r w:rsidR="005542B8">
        <w:rPr>
          <w:sz w:val="20"/>
          <w:szCs w:val="20"/>
        </w:rPr>
        <w:t xml:space="preserve">of the </w:t>
      </w:r>
      <w:r w:rsidR="00BA21FF" w:rsidRPr="00F12479">
        <w:rPr>
          <w:sz w:val="20"/>
          <w:szCs w:val="20"/>
        </w:rPr>
        <w:t>agenda and strengthen cooperation</w:t>
      </w:r>
      <w:r w:rsidR="005542B8">
        <w:rPr>
          <w:sz w:val="20"/>
          <w:szCs w:val="20"/>
        </w:rPr>
        <w:t xml:space="preserve"> with</w:t>
      </w:r>
      <w:r w:rsidR="00BA21FF" w:rsidRPr="00F12479">
        <w:rPr>
          <w:sz w:val="20"/>
          <w:szCs w:val="20"/>
        </w:rPr>
        <w:t xml:space="preserve"> EU</w:t>
      </w:r>
      <w:r w:rsidR="00984A24" w:rsidRPr="00F12479">
        <w:rPr>
          <w:sz w:val="20"/>
          <w:szCs w:val="20"/>
        </w:rPr>
        <w:t>.</w:t>
      </w:r>
      <w:r w:rsidR="006832C3" w:rsidRPr="00F12479">
        <w:rPr>
          <w:rStyle w:val="FootnoteReference"/>
          <w:sz w:val="20"/>
          <w:szCs w:val="20"/>
        </w:rPr>
        <w:footnoteReference w:id="7"/>
      </w:r>
    </w:p>
    <w:p w:rsidR="00AF4876" w:rsidRDefault="00B859D0" w:rsidP="00B272FD">
      <w:pPr>
        <w:pStyle w:val="HChG"/>
      </w:pPr>
      <w:r>
        <w:tab/>
        <w:t>III.</w:t>
      </w:r>
      <w:r>
        <w:tab/>
      </w:r>
      <w:r w:rsidR="00733498" w:rsidRPr="00B272FD">
        <w:t>Manifestations</w:t>
      </w:r>
      <w:r w:rsidR="00733498" w:rsidRPr="00733498">
        <w:t xml:space="preserve"> of violence against women, its causes and consequences</w:t>
      </w:r>
    </w:p>
    <w:p w:rsidR="00570A58" w:rsidRPr="00F12479" w:rsidRDefault="00B56591" w:rsidP="00BC738D">
      <w:pPr>
        <w:pStyle w:val="SingleTxtG"/>
        <w:rPr>
          <w:sz w:val="20"/>
          <w:szCs w:val="20"/>
        </w:rPr>
      </w:pPr>
      <w:r>
        <w:rPr>
          <w:sz w:val="20"/>
          <w:szCs w:val="20"/>
        </w:rPr>
        <w:t>9</w:t>
      </w:r>
      <w:r w:rsidR="00733498" w:rsidRPr="00F12479">
        <w:rPr>
          <w:sz w:val="20"/>
          <w:szCs w:val="20"/>
        </w:rPr>
        <w:t>.</w:t>
      </w:r>
      <w:r w:rsidR="00733498" w:rsidRPr="00F12479">
        <w:rPr>
          <w:sz w:val="20"/>
          <w:szCs w:val="20"/>
        </w:rPr>
        <w:tab/>
      </w:r>
      <w:r w:rsidR="00D65F9E" w:rsidRPr="00F12479">
        <w:rPr>
          <w:sz w:val="20"/>
          <w:szCs w:val="20"/>
        </w:rPr>
        <w:t>During the visit</w:t>
      </w:r>
      <w:r w:rsidR="001923B4" w:rsidRPr="00F12479">
        <w:rPr>
          <w:sz w:val="20"/>
          <w:szCs w:val="20"/>
        </w:rPr>
        <w:t>,</w:t>
      </w:r>
      <w:r w:rsidR="00D65F9E" w:rsidRPr="00F12479">
        <w:rPr>
          <w:sz w:val="20"/>
          <w:szCs w:val="20"/>
        </w:rPr>
        <w:t xml:space="preserve"> the Rapporteur learnt that violence against women in Georgia is widespread and occurs both in private and public spheres, in urban and rural areas. The mandate holder found that the persistence of entrenched patriarchal attitudes and gender stereotypes makes gender-based violence tolerated.</w:t>
      </w:r>
      <w:r w:rsidR="006854BD" w:rsidRPr="00F12479">
        <w:rPr>
          <w:sz w:val="20"/>
          <w:szCs w:val="20"/>
        </w:rPr>
        <w:t xml:space="preserve"> </w:t>
      </w:r>
      <w:r w:rsidR="0046042F">
        <w:rPr>
          <w:sz w:val="20"/>
          <w:szCs w:val="20"/>
        </w:rPr>
        <w:t xml:space="preserve">She </w:t>
      </w:r>
      <w:r w:rsidR="000E4219" w:rsidRPr="00F12479">
        <w:rPr>
          <w:sz w:val="20"/>
          <w:szCs w:val="20"/>
        </w:rPr>
        <w:t>analyses some of the manifestation</w:t>
      </w:r>
      <w:r w:rsidR="001923B4" w:rsidRPr="00F12479">
        <w:rPr>
          <w:sz w:val="20"/>
          <w:szCs w:val="20"/>
        </w:rPr>
        <w:t>s</w:t>
      </w:r>
      <w:r w:rsidR="000E4219" w:rsidRPr="00F12479">
        <w:rPr>
          <w:sz w:val="20"/>
          <w:szCs w:val="20"/>
        </w:rPr>
        <w:t xml:space="preserve"> below. </w:t>
      </w:r>
      <w:r w:rsidR="005E537F">
        <w:rPr>
          <w:sz w:val="20"/>
          <w:szCs w:val="20"/>
        </w:rPr>
        <w:t>This</w:t>
      </w:r>
      <w:r w:rsidR="006854BD" w:rsidRPr="00F12479">
        <w:rPr>
          <w:sz w:val="20"/>
          <w:szCs w:val="20"/>
        </w:rPr>
        <w:t xml:space="preserve"> list </w:t>
      </w:r>
      <w:r w:rsidR="005E537F">
        <w:rPr>
          <w:sz w:val="20"/>
          <w:szCs w:val="20"/>
        </w:rPr>
        <w:t xml:space="preserve">does not aim </w:t>
      </w:r>
      <w:r w:rsidR="006854BD" w:rsidRPr="00F12479">
        <w:rPr>
          <w:sz w:val="20"/>
          <w:szCs w:val="20"/>
        </w:rPr>
        <w:t>to be exhaustive</w:t>
      </w:r>
      <w:r w:rsidR="00421B1A" w:rsidRPr="00F12479">
        <w:rPr>
          <w:sz w:val="20"/>
          <w:szCs w:val="20"/>
        </w:rPr>
        <w:t xml:space="preserve"> </w:t>
      </w:r>
      <w:r w:rsidR="005E537F">
        <w:rPr>
          <w:sz w:val="20"/>
          <w:szCs w:val="20"/>
        </w:rPr>
        <w:t>but illustrates</w:t>
      </w:r>
      <w:r w:rsidR="006854BD" w:rsidRPr="00F12479">
        <w:rPr>
          <w:sz w:val="20"/>
          <w:szCs w:val="20"/>
        </w:rPr>
        <w:t xml:space="preserve"> the most prevalent manifestations of violence in the country</w:t>
      </w:r>
      <w:r w:rsidR="000E4219" w:rsidRPr="00F12479">
        <w:rPr>
          <w:sz w:val="20"/>
          <w:szCs w:val="20"/>
        </w:rPr>
        <w:t xml:space="preserve"> that were discus</w:t>
      </w:r>
      <w:r w:rsidR="001923B4" w:rsidRPr="00F12479">
        <w:rPr>
          <w:sz w:val="20"/>
          <w:szCs w:val="20"/>
        </w:rPr>
        <w:t>sed during her visit</w:t>
      </w:r>
      <w:r w:rsidR="006854BD" w:rsidRPr="00F12479">
        <w:rPr>
          <w:sz w:val="20"/>
          <w:szCs w:val="20"/>
        </w:rPr>
        <w:t>.</w:t>
      </w:r>
    </w:p>
    <w:p w:rsidR="00733625" w:rsidRPr="005B3A96" w:rsidRDefault="006854BD" w:rsidP="005B3A96">
      <w:pPr>
        <w:pStyle w:val="H4G"/>
        <w:rPr>
          <w:b/>
          <w:sz w:val="20"/>
          <w:szCs w:val="20"/>
        </w:rPr>
      </w:pPr>
      <w:r w:rsidRPr="005542B8">
        <w:tab/>
      </w:r>
      <w:r w:rsidRPr="005542B8">
        <w:tab/>
      </w:r>
      <w:r w:rsidR="00BA43F8" w:rsidRPr="005B3A96">
        <w:rPr>
          <w:b/>
          <w:sz w:val="20"/>
          <w:szCs w:val="20"/>
        </w:rPr>
        <w:t>Violence against women</w:t>
      </w:r>
      <w:r w:rsidR="00B56591" w:rsidRPr="005B3A96">
        <w:rPr>
          <w:b/>
          <w:sz w:val="20"/>
          <w:szCs w:val="20"/>
        </w:rPr>
        <w:t>,</w:t>
      </w:r>
      <w:r w:rsidR="00BA43F8" w:rsidRPr="005B3A96">
        <w:rPr>
          <w:b/>
          <w:sz w:val="20"/>
          <w:szCs w:val="20"/>
        </w:rPr>
        <w:t xml:space="preserve"> including d</w:t>
      </w:r>
      <w:r w:rsidR="004603BE" w:rsidRPr="005B3A96">
        <w:rPr>
          <w:b/>
          <w:sz w:val="20"/>
          <w:szCs w:val="20"/>
        </w:rPr>
        <w:t>omestic violence</w:t>
      </w:r>
    </w:p>
    <w:p w:rsidR="00D65F9E" w:rsidRPr="00F12479" w:rsidRDefault="00226109" w:rsidP="00A82DC6">
      <w:pPr>
        <w:pStyle w:val="SingleTxtG"/>
        <w:rPr>
          <w:rFonts w:eastAsia="SimSun"/>
          <w:sz w:val="20"/>
          <w:szCs w:val="20"/>
          <w:lang w:eastAsia="en-GB"/>
        </w:rPr>
      </w:pPr>
      <w:r>
        <w:rPr>
          <w:bCs/>
          <w:sz w:val="20"/>
          <w:szCs w:val="20"/>
        </w:rPr>
        <w:t>10</w:t>
      </w:r>
      <w:r w:rsidR="00733498" w:rsidRPr="00F12479">
        <w:rPr>
          <w:bCs/>
          <w:sz w:val="20"/>
          <w:szCs w:val="20"/>
        </w:rPr>
        <w:t>.</w:t>
      </w:r>
      <w:r w:rsidR="00733498" w:rsidRPr="00F12479">
        <w:rPr>
          <w:b/>
          <w:bCs/>
          <w:sz w:val="20"/>
          <w:szCs w:val="20"/>
        </w:rPr>
        <w:tab/>
      </w:r>
      <w:r w:rsidR="003E14EB" w:rsidRPr="00F12479">
        <w:rPr>
          <w:sz w:val="20"/>
          <w:szCs w:val="20"/>
        </w:rPr>
        <w:t xml:space="preserve">Despite the efforts made by the Government, including the adoption of the 2006 Law on Elimination of Domestic Violence, Protection and Support to </w:t>
      </w:r>
      <w:r w:rsidR="005542B8">
        <w:rPr>
          <w:sz w:val="20"/>
          <w:szCs w:val="20"/>
        </w:rPr>
        <w:t>i</w:t>
      </w:r>
      <w:r w:rsidR="003E14EB" w:rsidRPr="00F12479">
        <w:rPr>
          <w:sz w:val="20"/>
          <w:szCs w:val="20"/>
        </w:rPr>
        <w:t>ts Victims</w:t>
      </w:r>
      <w:r w:rsidR="002D721F">
        <w:rPr>
          <w:sz w:val="20"/>
          <w:szCs w:val="20"/>
        </w:rPr>
        <w:t xml:space="preserve"> (Law on Domestic Violence)</w:t>
      </w:r>
      <w:r w:rsidR="00FF12EE" w:rsidRPr="00F12479">
        <w:rPr>
          <w:sz w:val="20"/>
          <w:szCs w:val="20"/>
        </w:rPr>
        <w:t xml:space="preserve"> and the criminalization of domestic violence in 2012</w:t>
      </w:r>
      <w:r w:rsidR="003E14EB" w:rsidRPr="00F12479">
        <w:rPr>
          <w:sz w:val="20"/>
          <w:szCs w:val="20"/>
        </w:rPr>
        <w:t xml:space="preserve">, </w:t>
      </w:r>
      <w:r w:rsidR="005954CD" w:rsidRPr="00F12479">
        <w:rPr>
          <w:sz w:val="20"/>
          <w:szCs w:val="20"/>
        </w:rPr>
        <w:t xml:space="preserve">the mandate holder notes that </w:t>
      </w:r>
      <w:r w:rsidR="003E14EB" w:rsidRPr="00F12479">
        <w:rPr>
          <w:sz w:val="20"/>
          <w:szCs w:val="20"/>
        </w:rPr>
        <w:t>domestic violence</w:t>
      </w:r>
      <w:r w:rsidR="003F2A35" w:rsidRPr="00F12479">
        <w:rPr>
          <w:sz w:val="20"/>
          <w:szCs w:val="20"/>
        </w:rPr>
        <w:t>, including physical, sexual and</w:t>
      </w:r>
      <w:r w:rsidR="002736B0" w:rsidRPr="00F12479">
        <w:rPr>
          <w:sz w:val="20"/>
          <w:szCs w:val="20"/>
        </w:rPr>
        <w:t xml:space="preserve"> </w:t>
      </w:r>
      <w:r w:rsidR="00A933E2" w:rsidRPr="00F12479">
        <w:rPr>
          <w:sz w:val="20"/>
          <w:szCs w:val="20"/>
        </w:rPr>
        <w:t>psychological</w:t>
      </w:r>
      <w:r w:rsidR="003F2A35" w:rsidRPr="00F12479">
        <w:rPr>
          <w:sz w:val="20"/>
          <w:szCs w:val="20"/>
        </w:rPr>
        <w:t xml:space="preserve"> abuse</w:t>
      </w:r>
      <w:r w:rsidR="00A933E2" w:rsidRPr="00F12479">
        <w:rPr>
          <w:sz w:val="20"/>
          <w:szCs w:val="20"/>
        </w:rPr>
        <w:t>,</w:t>
      </w:r>
      <w:r w:rsidR="003E14EB" w:rsidRPr="00F12479">
        <w:rPr>
          <w:sz w:val="20"/>
          <w:szCs w:val="20"/>
        </w:rPr>
        <w:t xml:space="preserve"> is still considered a</w:t>
      </w:r>
      <w:r w:rsidR="00D33AA6" w:rsidRPr="00F12479">
        <w:rPr>
          <w:sz w:val="20"/>
          <w:szCs w:val="20"/>
        </w:rPr>
        <w:t>s a</w:t>
      </w:r>
      <w:r w:rsidR="003E14EB" w:rsidRPr="00F12479">
        <w:rPr>
          <w:sz w:val="20"/>
          <w:szCs w:val="20"/>
        </w:rPr>
        <w:t xml:space="preserve"> private matter and not a public conce</w:t>
      </w:r>
      <w:r w:rsidR="005954CD" w:rsidRPr="00F12479">
        <w:rPr>
          <w:sz w:val="20"/>
          <w:szCs w:val="20"/>
        </w:rPr>
        <w:t>rn in most parts of the country</w:t>
      </w:r>
      <w:r w:rsidR="00D65F9E" w:rsidRPr="00F12479">
        <w:rPr>
          <w:sz w:val="20"/>
          <w:szCs w:val="20"/>
        </w:rPr>
        <w:t>. T</w:t>
      </w:r>
      <w:r w:rsidR="00CC7612" w:rsidRPr="00F12479">
        <w:rPr>
          <w:sz w:val="20"/>
          <w:szCs w:val="20"/>
        </w:rPr>
        <w:t xml:space="preserve">he incidence of </w:t>
      </w:r>
      <w:r w:rsidR="00D65F9E" w:rsidRPr="00F12479">
        <w:rPr>
          <w:sz w:val="20"/>
          <w:szCs w:val="20"/>
        </w:rPr>
        <w:t>domestic violence is</w:t>
      </w:r>
      <w:r w:rsidR="00CC7612" w:rsidRPr="00F12479">
        <w:rPr>
          <w:sz w:val="20"/>
          <w:szCs w:val="20"/>
        </w:rPr>
        <w:t xml:space="preserve"> still underreported</w:t>
      </w:r>
      <w:r w:rsidR="003677D0" w:rsidRPr="00F12479">
        <w:rPr>
          <w:sz w:val="20"/>
          <w:szCs w:val="20"/>
        </w:rPr>
        <w:t>, due</w:t>
      </w:r>
      <w:r w:rsidR="001923B4" w:rsidRPr="00F12479">
        <w:rPr>
          <w:sz w:val="20"/>
          <w:szCs w:val="20"/>
        </w:rPr>
        <w:t xml:space="preserve"> to</w:t>
      </w:r>
      <w:r w:rsidR="003677D0" w:rsidRPr="00F12479">
        <w:rPr>
          <w:sz w:val="20"/>
          <w:szCs w:val="20"/>
        </w:rPr>
        <w:t xml:space="preserve"> inter alia the lack of public awareness about this societal problem, </w:t>
      </w:r>
      <w:r w:rsidR="00D81CE0" w:rsidRPr="00F12479">
        <w:rPr>
          <w:sz w:val="20"/>
          <w:szCs w:val="20"/>
        </w:rPr>
        <w:t>the</w:t>
      </w:r>
      <w:r w:rsidR="00D65F9E" w:rsidRPr="00F12479">
        <w:rPr>
          <w:sz w:val="20"/>
          <w:szCs w:val="20"/>
        </w:rPr>
        <w:t xml:space="preserve"> fear of retaliation and stigmatization, the lack of trust in law enforcement agencies, as well as the existing services and protection mechanisms for victims of violence.</w:t>
      </w:r>
      <w:r w:rsidR="00D65F9E" w:rsidRPr="00F12479">
        <w:rPr>
          <w:rStyle w:val="FootnoteReference"/>
          <w:sz w:val="20"/>
          <w:szCs w:val="20"/>
        </w:rPr>
        <w:footnoteReference w:id="8"/>
      </w:r>
    </w:p>
    <w:p w:rsidR="00340FC0" w:rsidRPr="00F12479" w:rsidRDefault="00226109" w:rsidP="00BD5C81">
      <w:pPr>
        <w:pStyle w:val="SingleTxtG"/>
        <w:rPr>
          <w:color w:val="FF0000"/>
          <w:sz w:val="20"/>
          <w:szCs w:val="20"/>
        </w:rPr>
      </w:pPr>
      <w:r>
        <w:rPr>
          <w:sz w:val="20"/>
          <w:szCs w:val="20"/>
        </w:rPr>
        <w:t>11</w:t>
      </w:r>
      <w:r w:rsidR="003F2A35" w:rsidRPr="00F12479">
        <w:rPr>
          <w:sz w:val="20"/>
          <w:szCs w:val="20"/>
        </w:rPr>
        <w:t>.</w:t>
      </w:r>
      <w:r w:rsidR="003F2A35" w:rsidRPr="00F12479">
        <w:rPr>
          <w:sz w:val="20"/>
          <w:szCs w:val="20"/>
        </w:rPr>
        <w:tab/>
      </w:r>
      <w:r w:rsidR="00843B28" w:rsidRPr="00F12479">
        <w:rPr>
          <w:sz w:val="20"/>
          <w:szCs w:val="20"/>
        </w:rPr>
        <w:t>A</w:t>
      </w:r>
      <w:r w:rsidR="003F2A35" w:rsidRPr="00F12479">
        <w:rPr>
          <w:sz w:val="20"/>
          <w:szCs w:val="20"/>
        </w:rPr>
        <w:t xml:space="preserve"> </w:t>
      </w:r>
      <w:r w:rsidR="00995708" w:rsidRPr="00F12479">
        <w:rPr>
          <w:sz w:val="20"/>
          <w:szCs w:val="20"/>
        </w:rPr>
        <w:t xml:space="preserve">national </w:t>
      </w:r>
      <w:r w:rsidR="003F2A35" w:rsidRPr="00F12479">
        <w:rPr>
          <w:sz w:val="20"/>
          <w:szCs w:val="20"/>
        </w:rPr>
        <w:t>research</w:t>
      </w:r>
      <w:r w:rsidR="00995708" w:rsidRPr="00F12479">
        <w:rPr>
          <w:sz w:val="20"/>
          <w:szCs w:val="20"/>
        </w:rPr>
        <w:t xml:space="preserve"> conducted in 2009</w:t>
      </w:r>
      <w:r w:rsidR="003F2A35" w:rsidRPr="00F12479">
        <w:rPr>
          <w:sz w:val="20"/>
          <w:szCs w:val="20"/>
        </w:rPr>
        <w:t>,</w:t>
      </w:r>
      <w:r w:rsidR="00995708" w:rsidRPr="00F12479">
        <w:rPr>
          <w:sz w:val="20"/>
          <w:szCs w:val="20"/>
        </w:rPr>
        <w:t xml:space="preserve"> </w:t>
      </w:r>
      <w:r w:rsidR="00D65F9E" w:rsidRPr="00F12479">
        <w:rPr>
          <w:sz w:val="20"/>
          <w:szCs w:val="20"/>
        </w:rPr>
        <w:t>shows that</w:t>
      </w:r>
      <w:r w:rsidR="001C5407" w:rsidRPr="00F12479">
        <w:rPr>
          <w:sz w:val="20"/>
          <w:szCs w:val="20"/>
        </w:rPr>
        <w:t>, among the women interviewed,</w:t>
      </w:r>
      <w:r w:rsidR="00843B28" w:rsidRPr="00F12479">
        <w:rPr>
          <w:sz w:val="20"/>
          <w:szCs w:val="20"/>
        </w:rPr>
        <w:t xml:space="preserve"> one</w:t>
      </w:r>
      <w:r w:rsidR="00995708" w:rsidRPr="00F12479">
        <w:rPr>
          <w:sz w:val="20"/>
          <w:szCs w:val="20"/>
        </w:rPr>
        <w:t xml:space="preserve"> woman in 11 ha</w:t>
      </w:r>
      <w:r w:rsidR="005E537F">
        <w:rPr>
          <w:sz w:val="20"/>
          <w:szCs w:val="20"/>
        </w:rPr>
        <w:t>d</w:t>
      </w:r>
      <w:r w:rsidR="00995708" w:rsidRPr="00F12479">
        <w:rPr>
          <w:sz w:val="20"/>
          <w:szCs w:val="20"/>
        </w:rPr>
        <w:t xml:space="preserve"> experienced physical or sexual abuse, either perpetr</w:t>
      </w:r>
      <w:r w:rsidR="00F555C6" w:rsidRPr="00F12479">
        <w:rPr>
          <w:sz w:val="20"/>
          <w:szCs w:val="20"/>
        </w:rPr>
        <w:t>ated by her husband or intimate-</w:t>
      </w:r>
      <w:r w:rsidR="00995708" w:rsidRPr="00F12479">
        <w:rPr>
          <w:sz w:val="20"/>
          <w:szCs w:val="20"/>
        </w:rPr>
        <w:t>partner and 34.7% have been injured as a result of physical or sexual violence.</w:t>
      </w:r>
      <w:r w:rsidR="00995708" w:rsidRPr="00F12479">
        <w:rPr>
          <w:rStyle w:val="FootnoteReference"/>
          <w:sz w:val="20"/>
          <w:szCs w:val="20"/>
        </w:rPr>
        <w:footnoteReference w:id="9"/>
      </w:r>
      <w:r w:rsidR="00B3388A" w:rsidRPr="00F12479">
        <w:rPr>
          <w:sz w:val="20"/>
          <w:szCs w:val="20"/>
        </w:rPr>
        <w:t xml:space="preserve"> </w:t>
      </w:r>
      <w:r w:rsidR="00DF069D" w:rsidRPr="00F12479">
        <w:rPr>
          <w:sz w:val="20"/>
          <w:szCs w:val="20"/>
        </w:rPr>
        <w:t>Ex-intimate partners and family members are also among</w:t>
      </w:r>
      <w:r w:rsidR="00341F72" w:rsidRPr="00F12479">
        <w:rPr>
          <w:sz w:val="20"/>
          <w:szCs w:val="20"/>
        </w:rPr>
        <w:t xml:space="preserve"> the perpetrators of violence</w:t>
      </w:r>
      <w:r w:rsidR="00D33A2D" w:rsidRPr="00F12479">
        <w:rPr>
          <w:sz w:val="20"/>
          <w:szCs w:val="20"/>
        </w:rPr>
        <w:t>. T</w:t>
      </w:r>
      <w:r w:rsidR="00341F72" w:rsidRPr="00F12479">
        <w:rPr>
          <w:sz w:val="20"/>
          <w:szCs w:val="20"/>
        </w:rPr>
        <w:t>he main patterns of violence are physical, sexual, psychological and economic abuse, as well as coercion</w:t>
      </w:r>
      <w:r w:rsidR="00BD5C81" w:rsidRPr="00F12479">
        <w:rPr>
          <w:sz w:val="20"/>
          <w:szCs w:val="20"/>
        </w:rPr>
        <w:t xml:space="preserve"> to carry out or fail to carry out an act</w:t>
      </w:r>
      <w:r w:rsidR="00341F72" w:rsidRPr="00F12479">
        <w:rPr>
          <w:sz w:val="20"/>
          <w:szCs w:val="20"/>
        </w:rPr>
        <w:t>.</w:t>
      </w:r>
    </w:p>
    <w:p w:rsidR="00B525B9" w:rsidRPr="00F12479" w:rsidRDefault="00226109" w:rsidP="001A42B5">
      <w:pPr>
        <w:pStyle w:val="SingleTxtG"/>
        <w:rPr>
          <w:sz w:val="20"/>
          <w:szCs w:val="20"/>
        </w:rPr>
      </w:pPr>
      <w:r>
        <w:rPr>
          <w:sz w:val="20"/>
          <w:szCs w:val="20"/>
        </w:rPr>
        <w:t>12</w:t>
      </w:r>
      <w:r w:rsidR="002425ED" w:rsidRPr="00F12479">
        <w:rPr>
          <w:sz w:val="20"/>
          <w:szCs w:val="20"/>
        </w:rPr>
        <w:t>.</w:t>
      </w:r>
      <w:r w:rsidR="002425ED" w:rsidRPr="00F12479">
        <w:rPr>
          <w:sz w:val="20"/>
          <w:szCs w:val="20"/>
        </w:rPr>
        <w:tab/>
      </w:r>
      <w:r w:rsidR="00244557" w:rsidRPr="00F12479">
        <w:rPr>
          <w:sz w:val="20"/>
          <w:szCs w:val="20"/>
        </w:rPr>
        <w:t>During the first half of 2015</w:t>
      </w:r>
      <w:r w:rsidR="00B170BC" w:rsidRPr="00F12479">
        <w:rPr>
          <w:sz w:val="20"/>
          <w:szCs w:val="20"/>
        </w:rPr>
        <w:t>,</w:t>
      </w:r>
      <w:r w:rsidR="00B170BC" w:rsidRPr="00F12479">
        <w:rPr>
          <w:rStyle w:val="FootnoteReference"/>
          <w:sz w:val="20"/>
          <w:szCs w:val="20"/>
        </w:rPr>
        <w:footnoteReference w:id="10"/>
      </w:r>
      <w:r w:rsidR="00B170BC" w:rsidRPr="00F12479">
        <w:rPr>
          <w:sz w:val="20"/>
          <w:szCs w:val="20"/>
        </w:rPr>
        <w:t xml:space="preserve"> </w:t>
      </w:r>
      <w:r w:rsidR="00B14B5F" w:rsidRPr="00F12479">
        <w:rPr>
          <w:sz w:val="20"/>
          <w:szCs w:val="20"/>
        </w:rPr>
        <w:t>the Public Defender</w:t>
      </w:r>
      <w:r w:rsidR="001A42B5">
        <w:rPr>
          <w:sz w:val="20"/>
          <w:szCs w:val="20"/>
        </w:rPr>
        <w:t>’s Office</w:t>
      </w:r>
      <w:r w:rsidR="00B14B5F" w:rsidRPr="00F12479">
        <w:rPr>
          <w:sz w:val="20"/>
          <w:szCs w:val="20"/>
        </w:rPr>
        <w:t xml:space="preserve"> registered </w:t>
      </w:r>
      <w:r w:rsidR="00340FC0" w:rsidRPr="00F12479">
        <w:rPr>
          <w:sz w:val="20"/>
          <w:szCs w:val="20"/>
        </w:rPr>
        <w:t xml:space="preserve">1,478 cases of </w:t>
      </w:r>
      <w:r w:rsidR="002425ED" w:rsidRPr="00F12479">
        <w:rPr>
          <w:sz w:val="20"/>
          <w:szCs w:val="20"/>
        </w:rPr>
        <w:t xml:space="preserve">domestic </w:t>
      </w:r>
      <w:r w:rsidR="00B14B5F" w:rsidRPr="00F12479">
        <w:rPr>
          <w:sz w:val="20"/>
          <w:szCs w:val="20"/>
        </w:rPr>
        <w:t>violence</w:t>
      </w:r>
      <w:r w:rsidR="00D65F9E" w:rsidRPr="00F12479">
        <w:rPr>
          <w:sz w:val="20"/>
          <w:szCs w:val="20"/>
        </w:rPr>
        <w:t xml:space="preserve">, </w:t>
      </w:r>
      <w:r w:rsidR="00340FC0" w:rsidRPr="00F12479">
        <w:rPr>
          <w:sz w:val="20"/>
          <w:szCs w:val="20"/>
        </w:rPr>
        <w:t xml:space="preserve">in </w:t>
      </w:r>
      <w:r w:rsidR="00D422E4" w:rsidRPr="00F12479">
        <w:rPr>
          <w:sz w:val="20"/>
          <w:szCs w:val="20"/>
        </w:rPr>
        <w:t xml:space="preserve">93% of the </w:t>
      </w:r>
      <w:r w:rsidR="00340FC0" w:rsidRPr="00F12479">
        <w:rPr>
          <w:sz w:val="20"/>
          <w:szCs w:val="20"/>
        </w:rPr>
        <w:t>cases the perpetrator was a man</w:t>
      </w:r>
      <w:r w:rsidR="00244557" w:rsidRPr="00F12479">
        <w:rPr>
          <w:sz w:val="20"/>
          <w:szCs w:val="20"/>
        </w:rPr>
        <w:t xml:space="preserve"> and 87% of the victims were women</w:t>
      </w:r>
      <w:r w:rsidR="00D422E4" w:rsidRPr="00F12479">
        <w:rPr>
          <w:sz w:val="20"/>
          <w:szCs w:val="20"/>
        </w:rPr>
        <w:t>.</w:t>
      </w:r>
      <w:r w:rsidR="008A1A3D" w:rsidRPr="00F12479">
        <w:rPr>
          <w:rStyle w:val="FootnoteReference"/>
          <w:sz w:val="20"/>
          <w:szCs w:val="20"/>
        </w:rPr>
        <w:footnoteReference w:id="11"/>
      </w:r>
      <w:r w:rsidR="00340FC0" w:rsidRPr="00F12479">
        <w:rPr>
          <w:sz w:val="20"/>
          <w:szCs w:val="20"/>
        </w:rPr>
        <w:t xml:space="preserve"> The</w:t>
      </w:r>
      <w:r w:rsidR="008032F8" w:rsidRPr="00F12479">
        <w:rPr>
          <w:sz w:val="20"/>
          <w:szCs w:val="20"/>
        </w:rPr>
        <w:t xml:space="preserve"> Special Rapporteur regrets that the </w:t>
      </w:r>
      <w:r w:rsidR="00B170BC" w:rsidRPr="00F12479">
        <w:rPr>
          <w:sz w:val="20"/>
          <w:szCs w:val="20"/>
        </w:rPr>
        <w:t xml:space="preserve">estimation of cases </w:t>
      </w:r>
      <w:r w:rsidR="008032F8" w:rsidRPr="00F12479">
        <w:rPr>
          <w:sz w:val="20"/>
          <w:szCs w:val="20"/>
        </w:rPr>
        <w:t xml:space="preserve">of </w:t>
      </w:r>
      <w:r w:rsidR="00B14B5F" w:rsidRPr="00F12479">
        <w:rPr>
          <w:sz w:val="20"/>
          <w:szCs w:val="20"/>
        </w:rPr>
        <w:t>domestic violence is based</w:t>
      </w:r>
      <w:r w:rsidR="002D721F">
        <w:rPr>
          <w:sz w:val="20"/>
          <w:szCs w:val="20"/>
        </w:rPr>
        <w:t xml:space="preserve"> on the number of restraining</w:t>
      </w:r>
      <w:r w:rsidR="00340FC0" w:rsidRPr="00F12479">
        <w:rPr>
          <w:sz w:val="20"/>
          <w:szCs w:val="20"/>
        </w:rPr>
        <w:t xml:space="preserve"> orders issued</w:t>
      </w:r>
      <w:r w:rsidR="00D33A2D" w:rsidRPr="00F12479">
        <w:rPr>
          <w:sz w:val="20"/>
          <w:szCs w:val="20"/>
        </w:rPr>
        <w:t xml:space="preserve">, leaving </w:t>
      </w:r>
      <w:r w:rsidR="005542B8">
        <w:rPr>
          <w:sz w:val="20"/>
          <w:szCs w:val="20"/>
        </w:rPr>
        <w:t>invisible an undefined number of</w:t>
      </w:r>
      <w:r w:rsidR="00D33A2D" w:rsidRPr="00F12479">
        <w:rPr>
          <w:sz w:val="20"/>
          <w:szCs w:val="20"/>
        </w:rPr>
        <w:t xml:space="preserve"> cases, </w:t>
      </w:r>
      <w:r w:rsidR="00340FC0" w:rsidRPr="00F12479">
        <w:rPr>
          <w:sz w:val="20"/>
          <w:szCs w:val="20"/>
        </w:rPr>
        <w:t>not reflect</w:t>
      </w:r>
      <w:r w:rsidR="00D33A2D" w:rsidRPr="00F12479">
        <w:rPr>
          <w:sz w:val="20"/>
          <w:szCs w:val="20"/>
        </w:rPr>
        <w:t>ing</w:t>
      </w:r>
      <w:r w:rsidR="00340FC0" w:rsidRPr="00F12479">
        <w:rPr>
          <w:sz w:val="20"/>
          <w:szCs w:val="20"/>
        </w:rPr>
        <w:t xml:space="preserve"> the real amplitude of this scourge</w:t>
      </w:r>
      <w:r w:rsidR="008032F8" w:rsidRPr="00F12479">
        <w:rPr>
          <w:sz w:val="20"/>
          <w:szCs w:val="20"/>
        </w:rPr>
        <w:t>.</w:t>
      </w:r>
      <w:r w:rsidR="00D33A2D" w:rsidRPr="00F12479">
        <w:rPr>
          <w:sz w:val="20"/>
          <w:szCs w:val="20"/>
        </w:rPr>
        <w:t xml:space="preserve"> She is concerned that some cases are registered </w:t>
      </w:r>
      <w:r w:rsidR="00B170BC" w:rsidRPr="00F12479">
        <w:rPr>
          <w:sz w:val="20"/>
          <w:szCs w:val="20"/>
        </w:rPr>
        <w:t xml:space="preserve">by the police </w:t>
      </w:r>
      <w:r w:rsidR="003677D0" w:rsidRPr="00F12479">
        <w:rPr>
          <w:sz w:val="20"/>
          <w:szCs w:val="20"/>
        </w:rPr>
        <w:t>under</w:t>
      </w:r>
      <w:r w:rsidR="00D33A2D" w:rsidRPr="00F12479">
        <w:rPr>
          <w:sz w:val="20"/>
          <w:szCs w:val="20"/>
        </w:rPr>
        <w:t xml:space="preserve"> ‘family conflict’</w:t>
      </w:r>
      <w:r w:rsidR="00B14B5F" w:rsidRPr="00F12479">
        <w:rPr>
          <w:sz w:val="20"/>
          <w:szCs w:val="20"/>
        </w:rPr>
        <w:t xml:space="preserve">, which </w:t>
      </w:r>
      <w:r w:rsidR="00B170BC" w:rsidRPr="00F12479">
        <w:rPr>
          <w:sz w:val="20"/>
          <w:szCs w:val="20"/>
        </w:rPr>
        <w:t xml:space="preserve">also </w:t>
      </w:r>
      <w:r w:rsidR="00585566">
        <w:rPr>
          <w:sz w:val="20"/>
          <w:szCs w:val="20"/>
        </w:rPr>
        <w:t xml:space="preserve">may </w:t>
      </w:r>
      <w:r w:rsidR="00E00D51" w:rsidRPr="00F12479">
        <w:rPr>
          <w:sz w:val="20"/>
          <w:szCs w:val="20"/>
        </w:rPr>
        <w:t>leave</w:t>
      </w:r>
      <w:r w:rsidR="003677D0" w:rsidRPr="00F12479">
        <w:rPr>
          <w:sz w:val="20"/>
          <w:szCs w:val="20"/>
        </w:rPr>
        <w:t xml:space="preserve"> </w:t>
      </w:r>
      <w:r w:rsidR="009D5C3B" w:rsidRPr="00F12479">
        <w:rPr>
          <w:sz w:val="20"/>
          <w:szCs w:val="20"/>
        </w:rPr>
        <w:t>cases of domestic violence</w:t>
      </w:r>
      <w:r w:rsidR="00D33A2D" w:rsidRPr="00F12479">
        <w:rPr>
          <w:sz w:val="20"/>
          <w:szCs w:val="20"/>
        </w:rPr>
        <w:t xml:space="preserve"> invisible.</w:t>
      </w:r>
    </w:p>
    <w:p w:rsidR="00E1344C" w:rsidRPr="00F12479" w:rsidRDefault="00226109" w:rsidP="00D65F9E">
      <w:pPr>
        <w:pStyle w:val="SingleTxtG"/>
        <w:rPr>
          <w:sz w:val="20"/>
          <w:szCs w:val="20"/>
        </w:rPr>
      </w:pPr>
      <w:r>
        <w:rPr>
          <w:sz w:val="20"/>
          <w:szCs w:val="20"/>
        </w:rPr>
        <w:t>13</w:t>
      </w:r>
      <w:r w:rsidR="001D7840" w:rsidRPr="00F12479">
        <w:rPr>
          <w:sz w:val="20"/>
          <w:szCs w:val="20"/>
        </w:rPr>
        <w:t>.</w:t>
      </w:r>
      <w:r w:rsidR="001D7840" w:rsidRPr="00F12479">
        <w:rPr>
          <w:sz w:val="20"/>
          <w:szCs w:val="20"/>
        </w:rPr>
        <w:tab/>
        <w:t>According to the Public Defender</w:t>
      </w:r>
      <w:r w:rsidR="00F1164D">
        <w:rPr>
          <w:sz w:val="20"/>
          <w:szCs w:val="20"/>
        </w:rPr>
        <w:t>’s</w:t>
      </w:r>
      <w:r w:rsidR="00FE1904" w:rsidRPr="00F12479">
        <w:rPr>
          <w:sz w:val="20"/>
          <w:szCs w:val="20"/>
        </w:rPr>
        <w:t xml:space="preserve"> </w:t>
      </w:r>
      <w:r w:rsidR="006F48FB" w:rsidRPr="00F12479">
        <w:rPr>
          <w:sz w:val="20"/>
          <w:szCs w:val="20"/>
        </w:rPr>
        <w:t xml:space="preserve">special </w:t>
      </w:r>
      <w:r w:rsidR="00FE1904" w:rsidRPr="00F12479">
        <w:rPr>
          <w:sz w:val="20"/>
          <w:szCs w:val="20"/>
        </w:rPr>
        <w:t>report on violence against women</w:t>
      </w:r>
      <w:r w:rsidR="001D7840" w:rsidRPr="00F12479">
        <w:rPr>
          <w:sz w:val="20"/>
          <w:szCs w:val="20"/>
        </w:rPr>
        <w:t>, in 2014 and 2015</w:t>
      </w:r>
      <w:r w:rsidR="005542B8">
        <w:rPr>
          <w:sz w:val="20"/>
          <w:szCs w:val="20"/>
        </w:rPr>
        <w:t>,</w:t>
      </w:r>
      <w:r w:rsidR="001D7840" w:rsidRPr="00F12479">
        <w:rPr>
          <w:sz w:val="20"/>
          <w:szCs w:val="20"/>
        </w:rPr>
        <w:t xml:space="preserve"> the most common form</w:t>
      </w:r>
      <w:r w:rsidR="00863080" w:rsidRPr="00F12479">
        <w:rPr>
          <w:sz w:val="20"/>
          <w:szCs w:val="20"/>
        </w:rPr>
        <w:t>s</w:t>
      </w:r>
      <w:r w:rsidR="001D7840" w:rsidRPr="00F12479">
        <w:rPr>
          <w:sz w:val="20"/>
          <w:szCs w:val="20"/>
        </w:rPr>
        <w:t xml:space="preserve"> of domestic violence </w:t>
      </w:r>
      <w:r w:rsidR="006C38F8" w:rsidRPr="00F12479">
        <w:rPr>
          <w:sz w:val="20"/>
          <w:szCs w:val="20"/>
        </w:rPr>
        <w:t>were</w:t>
      </w:r>
      <w:r w:rsidR="001D7840" w:rsidRPr="00F12479">
        <w:rPr>
          <w:sz w:val="20"/>
          <w:szCs w:val="20"/>
        </w:rPr>
        <w:t xml:space="preserve"> </w:t>
      </w:r>
      <w:r w:rsidR="008032F8" w:rsidRPr="00F12479">
        <w:rPr>
          <w:sz w:val="20"/>
          <w:szCs w:val="20"/>
        </w:rPr>
        <w:t xml:space="preserve">psychological together with </w:t>
      </w:r>
      <w:r w:rsidR="00745738" w:rsidRPr="00F12479">
        <w:rPr>
          <w:sz w:val="20"/>
          <w:szCs w:val="20"/>
        </w:rPr>
        <w:t>physical</w:t>
      </w:r>
      <w:r w:rsidR="001D7840" w:rsidRPr="00F12479">
        <w:rPr>
          <w:sz w:val="20"/>
          <w:szCs w:val="20"/>
        </w:rPr>
        <w:t xml:space="preserve"> violence. </w:t>
      </w:r>
      <w:r w:rsidR="009E58EE" w:rsidRPr="00F12479">
        <w:rPr>
          <w:sz w:val="20"/>
          <w:szCs w:val="20"/>
        </w:rPr>
        <w:t>According to the 2009 National Research, insults (14.3%), belittling/humiliations (5.3%)</w:t>
      </w:r>
      <w:r w:rsidR="00D65F9E" w:rsidRPr="00F12479">
        <w:rPr>
          <w:sz w:val="20"/>
          <w:szCs w:val="20"/>
        </w:rPr>
        <w:t xml:space="preserve"> intimidation (5.1%) and threat</w:t>
      </w:r>
      <w:r w:rsidR="009E58EE" w:rsidRPr="00F12479">
        <w:rPr>
          <w:sz w:val="20"/>
          <w:szCs w:val="20"/>
        </w:rPr>
        <w:t>s (3.8%) were the most common compon</w:t>
      </w:r>
      <w:r w:rsidR="00863080" w:rsidRPr="00F12479">
        <w:rPr>
          <w:sz w:val="20"/>
          <w:szCs w:val="20"/>
        </w:rPr>
        <w:t>ents of psychological abuse reported</w:t>
      </w:r>
      <w:r w:rsidR="009E58EE" w:rsidRPr="00F12479">
        <w:rPr>
          <w:sz w:val="20"/>
          <w:szCs w:val="20"/>
        </w:rPr>
        <w:t xml:space="preserve"> by the women interviewed.</w:t>
      </w:r>
      <w:r w:rsidR="00863080" w:rsidRPr="00F12479">
        <w:rPr>
          <w:rStyle w:val="FootnoteReference"/>
          <w:sz w:val="20"/>
          <w:szCs w:val="20"/>
        </w:rPr>
        <w:footnoteReference w:id="12"/>
      </w:r>
      <w:r w:rsidR="00863080" w:rsidRPr="00F12479">
        <w:rPr>
          <w:sz w:val="20"/>
          <w:szCs w:val="20"/>
        </w:rPr>
        <w:t xml:space="preserve"> 35.9% </w:t>
      </w:r>
      <w:r w:rsidR="00863080" w:rsidRPr="00F12479">
        <w:rPr>
          <w:sz w:val="20"/>
          <w:szCs w:val="20"/>
        </w:rPr>
        <w:lastRenderedPageBreak/>
        <w:t>of women reported their exposure to acts intended to control their behaviour, with a higher prevalence among the women with incomplete secondary education (60% of them) than those having completed their secondary, technical or higher education (</w:t>
      </w:r>
      <w:r w:rsidR="00E1344C" w:rsidRPr="00F12479">
        <w:rPr>
          <w:sz w:val="20"/>
          <w:szCs w:val="20"/>
        </w:rPr>
        <w:t>35% of them) and among women who do not earn money (76.6%).</w:t>
      </w:r>
      <w:r w:rsidR="00E1344C" w:rsidRPr="00F12479">
        <w:rPr>
          <w:rStyle w:val="FootnoteReference"/>
          <w:sz w:val="20"/>
          <w:szCs w:val="20"/>
        </w:rPr>
        <w:footnoteReference w:id="13"/>
      </w:r>
    </w:p>
    <w:p w:rsidR="00D65F9E" w:rsidRPr="00F12479" w:rsidRDefault="003C0FF5" w:rsidP="00BC738D">
      <w:pPr>
        <w:pStyle w:val="SingleTxtG"/>
        <w:rPr>
          <w:sz w:val="20"/>
          <w:szCs w:val="20"/>
        </w:rPr>
      </w:pPr>
      <w:r w:rsidRPr="00F12479">
        <w:rPr>
          <w:sz w:val="20"/>
          <w:szCs w:val="20"/>
        </w:rPr>
        <w:t>1</w:t>
      </w:r>
      <w:r w:rsidR="00226109">
        <w:rPr>
          <w:sz w:val="20"/>
          <w:szCs w:val="20"/>
        </w:rPr>
        <w:t>4</w:t>
      </w:r>
      <w:r w:rsidR="006C38F8" w:rsidRPr="00F12479">
        <w:rPr>
          <w:sz w:val="20"/>
          <w:szCs w:val="20"/>
        </w:rPr>
        <w:t>.</w:t>
      </w:r>
      <w:r w:rsidR="006C38F8" w:rsidRPr="00F12479">
        <w:rPr>
          <w:sz w:val="20"/>
          <w:szCs w:val="20"/>
        </w:rPr>
        <w:tab/>
        <w:t>The Rapporteur notes that a</w:t>
      </w:r>
      <w:r w:rsidR="00B14B5F" w:rsidRPr="00F12479">
        <w:rPr>
          <w:sz w:val="20"/>
          <w:szCs w:val="20"/>
        </w:rPr>
        <w:t xml:space="preserve">mong </w:t>
      </w:r>
      <w:r w:rsidR="006F48FB" w:rsidRPr="00F12479">
        <w:rPr>
          <w:sz w:val="20"/>
          <w:szCs w:val="20"/>
        </w:rPr>
        <w:t>the factors</w:t>
      </w:r>
      <w:r w:rsidR="00B14B5F" w:rsidRPr="00F12479">
        <w:rPr>
          <w:sz w:val="20"/>
          <w:szCs w:val="20"/>
        </w:rPr>
        <w:t xml:space="preserve"> that most likely increase the risk of intimate-partner violence are </w:t>
      </w:r>
      <w:r w:rsidR="006F48FB" w:rsidRPr="00F12479">
        <w:rPr>
          <w:sz w:val="20"/>
          <w:szCs w:val="20"/>
        </w:rPr>
        <w:t xml:space="preserve">discriminatory gender stereotypes and patriarchal attitudes, women’s low awareness of their rights, </w:t>
      </w:r>
      <w:r w:rsidR="00B14B5F" w:rsidRPr="00F12479">
        <w:rPr>
          <w:sz w:val="20"/>
          <w:szCs w:val="20"/>
        </w:rPr>
        <w:t xml:space="preserve">the occurrence of </w:t>
      </w:r>
      <w:r w:rsidR="0011715E">
        <w:rPr>
          <w:sz w:val="20"/>
          <w:szCs w:val="20"/>
        </w:rPr>
        <w:t>child</w:t>
      </w:r>
      <w:r w:rsidR="0011715E" w:rsidRPr="00F12479">
        <w:rPr>
          <w:sz w:val="20"/>
          <w:szCs w:val="20"/>
        </w:rPr>
        <w:t xml:space="preserve"> </w:t>
      </w:r>
      <w:r w:rsidR="00452D03" w:rsidRPr="00F12479">
        <w:rPr>
          <w:sz w:val="20"/>
          <w:szCs w:val="20"/>
        </w:rPr>
        <w:t xml:space="preserve">and forced </w:t>
      </w:r>
      <w:r w:rsidR="005542B8">
        <w:rPr>
          <w:sz w:val="20"/>
          <w:szCs w:val="20"/>
        </w:rPr>
        <w:t>marriages</w:t>
      </w:r>
      <w:r w:rsidR="005045FB" w:rsidRPr="00F12479">
        <w:rPr>
          <w:rStyle w:val="FootnoteReference"/>
          <w:sz w:val="20"/>
          <w:szCs w:val="20"/>
        </w:rPr>
        <w:footnoteReference w:id="14"/>
      </w:r>
      <w:r w:rsidR="00B14B5F" w:rsidRPr="00F12479">
        <w:rPr>
          <w:sz w:val="20"/>
          <w:szCs w:val="20"/>
        </w:rPr>
        <w:t xml:space="preserve"> and the lack of economic independence, among others.</w:t>
      </w:r>
      <w:r w:rsidR="001A0D74" w:rsidRPr="00F12479">
        <w:rPr>
          <w:sz w:val="20"/>
          <w:szCs w:val="20"/>
        </w:rPr>
        <w:t xml:space="preserve"> </w:t>
      </w:r>
      <w:r w:rsidR="00D65F9E" w:rsidRPr="00F12479">
        <w:rPr>
          <w:sz w:val="20"/>
          <w:szCs w:val="20"/>
        </w:rPr>
        <w:t>In addition,</w:t>
      </w:r>
      <w:r w:rsidR="001A0D74" w:rsidRPr="00F12479">
        <w:rPr>
          <w:sz w:val="20"/>
          <w:szCs w:val="20"/>
        </w:rPr>
        <w:t xml:space="preserve"> the consumption of alcohol, economic problems and unemployment</w:t>
      </w:r>
      <w:r w:rsidR="00D65F9E" w:rsidRPr="00F12479">
        <w:rPr>
          <w:sz w:val="20"/>
          <w:szCs w:val="20"/>
        </w:rPr>
        <w:t xml:space="preserve"> are factors that contribute to </w:t>
      </w:r>
      <w:r w:rsidR="00EF1529">
        <w:rPr>
          <w:sz w:val="20"/>
          <w:szCs w:val="20"/>
        </w:rPr>
        <w:t xml:space="preserve">reinforce the occurrence of </w:t>
      </w:r>
      <w:r w:rsidR="00D65F9E" w:rsidRPr="00F12479">
        <w:rPr>
          <w:sz w:val="20"/>
          <w:szCs w:val="20"/>
        </w:rPr>
        <w:t>domestic violence</w:t>
      </w:r>
      <w:r w:rsidR="001A0D74" w:rsidRPr="00F12479">
        <w:rPr>
          <w:sz w:val="20"/>
          <w:szCs w:val="20"/>
        </w:rPr>
        <w:t>.</w:t>
      </w:r>
      <w:r w:rsidR="001A0D74" w:rsidRPr="00F12479">
        <w:rPr>
          <w:rStyle w:val="FootnoteReference"/>
          <w:sz w:val="20"/>
          <w:szCs w:val="20"/>
        </w:rPr>
        <w:footnoteReference w:id="15"/>
      </w:r>
    </w:p>
    <w:p w:rsidR="00E1344C" w:rsidRPr="00F12479" w:rsidRDefault="00226109" w:rsidP="0045472D">
      <w:pPr>
        <w:pStyle w:val="SingleTxtG"/>
        <w:rPr>
          <w:sz w:val="20"/>
          <w:szCs w:val="20"/>
        </w:rPr>
      </w:pPr>
      <w:r>
        <w:rPr>
          <w:sz w:val="20"/>
          <w:szCs w:val="20"/>
        </w:rPr>
        <w:t>15</w:t>
      </w:r>
      <w:r w:rsidR="00A8525C" w:rsidRPr="00F12479">
        <w:rPr>
          <w:sz w:val="20"/>
          <w:szCs w:val="20"/>
        </w:rPr>
        <w:t>.</w:t>
      </w:r>
      <w:r w:rsidR="00A8525C" w:rsidRPr="00F12479">
        <w:rPr>
          <w:sz w:val="20"/>
          <w:szCs w:val="20"/>
        </w:rPr>
        <w:tab/>
      </w:r>
      <w:r w:rsidR="001C5407" w:rsidRPr="00F12479">
        <w:rPr>
          <w:sz w:val="20"/>
          <w:szCs w:val="20"/>
        </w:rPr>
        <w:t>Most of the women perceive domestic violence as a private matter. In 2009, 78.3% of the women interviewed</w:t>
      </w:r>
      <w:r w:rsidR="00FE4CAF" w:rsidRPr="00F12479">
        <w:rPr>
          <w:sz w:val="20"/>
          <w:szCs w:val="20"/>
        </w:rPr>
        <w:t xml:space="preserve"> in the National Research –</w:t>
      </w:r>
      <w:r w:rsidR="00A91E7D" w:rsidRPr="00F12479">
        <w:rPr>
          <w:sz w:val="20"/>
          <w:szCs w:val="20"/>
        </w:rPr>
        <w:t xml:space="preserve"> </w:t>
      </w:r>
      <w:r w:rsidR="00D17D27" w:rsidRPr="00F12479">
        <w:rPr>
          <w:sz w:val="20"/>
          <w:szCs w:val="20"/>
        </w:rPr>
        <w:t>the majority from rural area</w:t>
      </w:r>
      <w:r w:rsidR="00FE4CAF" w:rsidRPr="00F12479">
        <w:rPr>
          <w:sz w:val="20"/>
          <w:szCs w:val="20"/>
        </w:rPr>
        <w:t>s –</w:t>
      </w:r>
      <w:r w:rsidR="001C5407" w:rsidRPr="00F12479">
        <w:rPr>
          <w:sz w:val="20"/>
          <w:szCs w:val="20"/>
        </w:rPr>
        <w:t xml:space="preserve"> though</w:t>
      </w:r>
      <w:r w:rsidR="00D17D27" w:rsidRPr="00F12479">
        <w:rPr>
          <w:sz w:val="20"/>
          <w:szCs w:val="20"/>
        </w:rPr>
        <w:t>t</w:t>
      </w:r>
      <w:r w:rsidR="00FE4CAF" w:rsidRPr="00F12479">
        <w:rPr>
          <w:sz w:val="20"/>
          <w:szCs w:val="20"/>
        </w:rPr>
        <w:t xml:space="preserve"> </w:t>
      </w:r>
      <w:r w:rsidR="001C5407" w:rsidRPr="00F12479">
        <w:rPr>
          <w:sz w:val="20"/>
          <w:szCs w:val="20"/>
        </w:rPr>
        <w:t>that family problems should be discusse</w:t>
      </w:r>
      <w:r w:rsidR="00D17D27" w:rsidRPr="00F12479">
        <w:rPr>
          <w:sz w:val="20"/>
          <w:szCs w:val="20"/>
        </w:rPr>
        <w:t>d exclusively within the family and</w:t>
      </w:r>
      <w:r w:rsidR="001C5407" w:rsidRPr="00F12479">
        <w:rPr>
          <w:sz w:val="20"/>
          <w:szCs w:val="20"/>
        </w:rPr>
        <w:t xml:space="preserve"> 52.1% </w:t>
      </w:r>
      <w:r w:rsidR="0045472D" w:rsidRPr="00F12479">
        <w:rPr>
          <w:sz w:val="20"/>
          <w:szCs w:val="20"/>
        </w:rPr>
        <w:t xml:space="preserve">thought </w:t>
      </w:r>
      <w:r w:rsidR="001C5407" w:rsidRPr="00F12479">
        <w:rPr>
          <w:sz w:val="20"/>
          <w:szCs w:val="20"/>
        </w:rPr>
        <w:t xml:space="preserve">that </w:t>
      </w:r>
      <w:r w:rsidR="00D17D27" w:rsidRPr="00F12479">
        <w:rPr>
          <w:sz w:val="20"/>
          <w:szCs w:val="20"/>
        </w:rPr>
        <w:t>if a woman is mistreated by her partner, people outside the family should not intervene.</w:t>
      </w:r>
      <w:r w:rsidR="00D17D27" w:rsidRPr="00F12479">
        <w:rPr>
          <w:rStyle w:val="FootnoteReference"/>
          <w:sz w:val="20"/>
          <w:szCs w:val="20"/>
        </w:rPr>
        <w:footnoteReference w:id="16"/>
      </w:r>
      <w:r w:rsidR="00D17D27" w:rsidRPr="00F12479">
        <w:rPr>
          <w:sz w:val="20"/>
          <w:szCs w:val="20"/>
        </w:rPr>
        <w:t xml:space="preserve"> </w:t>
      </w:r>
      <w:r w:rsidR="00FE4CAF" w:rsidRPr="00F12479">
        <w:rPr>
          <w:sz w:val="20"/>
          <w:szCs w:val="20"/>
        </w:rPr>
        <w:t xml:space="preserve">With regard to the disclosure of their abusive experience, 27.8% of the women did not tell anyone; among the women who decided </w:t>
      </w:r>
      <w:r w:rsidR="0045472D" w:rsidRPr="00F12479">
        <w:rPr>
          <w:sz w:val="20"/>
          <w:szCs w:val="20"/>
        </w:rPr>
        <w:t>to talk about it</w:t>
      </w:r>
      <w:r w:rsidR="00FE4CAF" w:rsidRPr="00F12479">
        <w:rPr>
          <w:sz w:val="20"/>
          <w:szCs w:val="20"/>
        </w:rPr>
        <w:t>, 47.5% of them choose to tell their parents, 31.2% to their friends, 22.4% to their sister/brother and 14.8% to the husband’s family.</w:t>
      </w:r>
      <w:r w:rsidR="00FE4CAF" w:rsidRPr="00F12479">
        <w:rPr>
          <w:rStyle w:val="FootnoteReference"/>
          <w:sz w:val="20"/>
          <w:szCs w:val="20"/>
        </w:rPr>
        <w:footnoteReference w:id="17"/>
      </w:r>
      <w:r w:rsidR="00E20BE2" w:rsidRPr="00F12479">
        <w:rPr>
          <w:sz w:val="20"/>
          <w:szCs w:val="20"/>
        </w:rPr>
        <w:t xml:space="preserve"> Only a small number of them reported the cases to social networks or official institutions.</w:t>
      </w:r>
      <w:r w:rsidR="00E20BE2" w:rsidRPr="00F12479">
        <w:rPr>
          <w:rStyle w:val="FootnoteReference"/>
          <w:sz w:val="20"/>
          <w:szCs w:val="20"/>
        </w:rPr>
        <w:footnoteReference w:id="18"/>
      </w:r>
    </w:p>
    <w:p w:rsidR="00DA741D" w:rsidRPr="00F12479" w:rsidRDefault="00226109" w:rsidP="001923B4">
      <w:pPr>
        <w:pStyle w:val="SingleTxtG"/>
        <w:rPr>
          <w:sz w:val="20"/>
          <w:szCs w:val="20"/>
        </w:rPr>
      </w:pPr>
      <w:r>
        <w:rPr>
          <w:sz w:val="20"/>
          <w:szCs w:val="20"/>
        </w:rPr>
        <w:t>16</w:t>
      </w:r>
      <w:r w:rsidR="006042F2" w:rsidRPr="00F12479">
        <w:rPr>
          <w:sz w:val="20"/>
          <w:szCs w:val="20"/>
        </w:rPr>
        <w:t>.</w:t>
      </w:r>
      <w:r w:rsidR="006042F2" w:rsidRPr="00F12479">
        <w:rPr>
          <w:sz w:val="20"/>
          <w:szCs w:val="20"/>
        </w:rPr>
        <w:tab/>
        <w:t>Accord</w:t>
      </w:r>
      <w:r w:rsidR="0045472D" w:rsidRPr="00F12479">
        <w:rPr>
          <w:sz w:val="20"/>
          <w:szCs w:val="20"/>
        </w:rPr>
        <w:t>ing to the</w:t>
      </w:r>
      <w:r w:rsidR="006042F2" w:rsidRPr="00F12479">
        <w:rPr>
          <w:sz w:val="20"/>
          <w:szCs w:val="20"/>
        </w:rPr>
        <w:t xml:space="preserve"> 2010 </w:t>
      </w:r>
      <w:r w:rsidR="0045472D" w:rsidRPr="00F12479">
        <w:rPr>
          <w:sz w:val="20"/>
          <w:szCs w:val="20"/>
        </w:rPr>
        <w:t>reproductive health survey</w:t>
      </w:r>
      <w:r w:rsidR="006042F2" w:rsidRPr="00F12479">
        <w:rPr>
          <w:sz w:val="20"/>
          <w:szCs w:val="20"/>
        </w:rPr>
        <w:t>, verbal and/or physical abuse in marriage was, in general, greater among women with less formal education and lowest socioeconomic status,</w:t>
      </w:r>
      <w:r w:rsidR="00F1164D">
        <w:rPr>
          <w:sz w:val="20"/>
          <w:szCs w:val="20"/>
        </w:rPr>
        <w:t xml:space="preserve"> as well as among Azeri women or</w:t>
      </w:r>
      <w:r w:rsidR="006042F2" w:rsidRPr="00F12479">
        <w:rPr>
          <w:sz w:val="20"/>
          <w:szCs w:val="20"/>
        </w:rPr>
        <w:t xml:space="preserve"> from other ethnic backgrounds.</w:t>
      </w:r>
      <w:r w:rsidR="006042F2" w:rsidRPr="00F12479">
        <w:rPr>
          <w:rStyle w:val="FootnoteReference"/>
          <w:sz w:val="20"/>
          <w:szCs w:val="20"/>
        </w:rPr>
        <w:footnoteReference w:id="19"/>
      </w:r>
      <w:r w:rsidR="00EC079E" w:rsidRPr="00F12479">
        <w:rPr>
          <w:sz w:val="20"/>
          <w:szCs w:val="20"/>
        </w:rPr>
        <w:t xml:space="preserve"> D</w:t>
      </w:r>
      <w:r w:rsidR="006042F2" w:rsidRPr="00F12479">
        <w:rPr>
          <w:sz w:val="20"/>
          <w:szCs w:val="20"/>
        </w:rPr>
        <w:t xml:space="preserve">omestic violence is considered as </w:t>
      </w:r>
      <w:r w:rsidR="00EC079E" w:rsidRPr="00F12479">
        <w:rPr>
          <w:sz w:val="20"/>
          <w:szCs w:val="20"/>
        </w:rPr>
        <w:t>more prevalent</w:t>
      </w:r>
      <w:r w:rsidR="006042F2" w:rsidRPr="00F12479">
        <w:rPr>
          <w:sz w:val="20"/>
          <w:szCs w:val="20"/>
        </w:rPr>
        <w:t xml:space="preserve"> in minority groups, </w:t>
      </w:r>
      <w:r w:rsidR="001923B4" w:rsidRPr="00F12479">
        <w:rPr>
          <w:sz w:val="20"/>
          <w:szCs w:val="20"/>
        </w:rPr>
        <w:t>including</w:t>
      </w:r>
      <w:r w:rsidR="006042F2" w:rsidRPr="00F12479">
        <w:rPr>
          <w:sz w:val="20"/>
          <w:szCs w:val="20"/>
        </w:rPr>
        <w:t xml:space="preserve"> Azeri and Armenians, in particular in rural areas.</w:t>
      </w:r>
      <w:r w:rsidR="00EC079E" w:rsidRPr="00F12479">
        <w:rPr>
          <w:rStyle w:val="FootnoteReference"/>
          <w:sz w:val="20"/>
          <w:szCs w:val="20"/>
        </w:rPr>
        <w:footnoteReference w:id="20"/>
      </w:r>
    </w:p>
    <w:p w:rsidR="004F4AD2" w:rsidRPr="005B3A96" w:rsidRDefault="00FF1818" w:rsidP="005B3A96">
      <w:pPr>
        <w:pStyle w:val="H4G"/>
        <w:rPr>
          <w:b/>
          <w:sz w:val="20"/>
          <w:szCs w:val="20"/>
        </w:rPr>
      </w:pPr>
      <w:r w:rsidRPr="00EF1529">
        <w:tab/>
      </w:r>
      <w:r w:rsidRPr="00EF1529">
        <w:tab/>
      </w:r>
      <w:r w:rsidR="004F4AD2" w:rsidRPr="005B3A96">
        <w:rPr>
          <w:b/>
          <w:sz w:val="20"/>
          <w:szCs w:val="20"/>
        </w:rPr>
        <w:t>Sexual violence</w:t>
      </w:r>
      <w:r w:rsidR="00860D34" w:rsidRPr="005B3A96">
        <w:rPr>
          <w:b/>
          <w:sz w:val="20"/>
          <w:szCs w:val="20"/>
        </w:rPr>
        <w:t>, including rape</w:t>
      </w:r>
    </w:p>
    <w:p w:rsidR="00472647" w:rsidRPr="007A6C20" w:rsidRDefault="00BB10DA" w:rsidP="001B75C1">
      <w:pPr>
        <w:pStyle w:val="SingleTxtG"/>
        <w:rPr>
          <w:sz w:val="20"/>
          <w:szCs w:val="20"/>
        </w:rPr>
      </w:pPr>
      <w:r w:rsidRPr="00F12479">
        <w:rPr>
          <w:sz w:val="20"/>
          <w:szCs w:val="20"/>
        </w:rPr>
        <w:t>17</w:t>
      </w:r>
      <w:r w:rsidR="00472647" w:rsidRPr="00F12479">
        <w:rPr>
          <w:sz w:val="20"/>
          <w:szCs w:val="20"/>
        </w:rPr>
        <w:t>.</w:t>
      </w:r>
      <w:r w:rsidR="00472647" w:rsidRPr="00F12479">
        <w:rPr>
          <w:sz w:val="20"/>
          <w:szCs w:val="20"/>
        </w:rPr>
        <w:tab/>
      </w:r>
      <w:r w:rsidR="0045472D" w:rsidRPr="00F12479">
        <w:rPr>
          <w:sz w:val="20"/>
          <w:szCs w:val="20"/>
        </w:rPr>
        <w:t>In</w:t>
      </w:r>
      <w:r w:rsidR="00472647" w:rsidRPr="00F12479">
        <w:rPr>
          <w:sz w:val="20"/>
          <w:szCs w:val="20"/>
        </w:rPr>
        <w:t xml:space="preserve"> 2014 and 2015 respectively 80 and 87 cases of sexual violence were registered, among which 20 and 13 cases of rape.</w:t>
      </w:r>
      <w:r w:rsidR="00472647" w:rsidRPr="00F12479">
        <w:rPr>
          <w:rStyle w:val="FootnoteReference"/>
          <w:rFonts w:eastAsia="Sylfaen" w:cstheme="minorHAnsi"/>
          <w:sz w:val="20"/>
          <w:szCs w:val="20"/>
        </w:rPr>
        <w:footnoteReference w:id="21"/>
      </w:r>
      <w:r w:rsidR="00472647" w:rsidRPr="00F12479">
        <w:rPr>
          <w:sz w:val="20"/>
          <w:szCs w:val="20"/>
        </w:rPr>
        <w:t xml:space="preserve"> The Special Rapporteur regrets that no survey on the incidence of sexual violence ha</w:t>
      </w:r>
      <w:r w:rsidR="00F04A54" w:rsidRPr="00F12479">
        <w:rPr>
          <w:sz w:val="20"/>
          <w:szCs w:val="20"/>
        </w:rPr>
        <w:t>s been conducted in the country</w:t>
      </w:r>
      <w:r w:rsidR="00472647" w:rsidRPr="00F12479">
        <w:rPr>
          <w:rStyle w:val="FootnoteReference"/>
          <w:sz w:val="20"/>
          <w:szCs w:val="20"/>
        </w:rPr>
        <w:footnoteReference w:id="22"/>
      </w:r>
      <w:r w:rsidR="00472647" w:rsidRPr="00F12479">
        <w:rPr>
          <w:sz w:val="20"/>
          <w:szCs w:val="20"/>
        </w:rPr>
        <w:t xml:space="preserve"> </w:t>
      </w:r>
      <w:r w:rsidR="00F04A54" w:rsidRPr="00F12479">
        <w:rPr>
          <w:sz w:val="20"/>
          <w:szCs w:val="20"/>
        </w:rPr>
        <w:t xml:space="preserve">and </w:t>
      </w:r>
      <w:r w:rsidR="00472647" w:rsidRPr="00F12479">
        <w:rPr>
          <w:sz w:val="20"/>
          <w:szCs w:val="20"/>
        </w:rPr>
        <w:t>expresses concern that sexual crimes are underreported by victims, due among others to social stigma</w:t>
      </w:r>
      <w:r w:rsidR="00F04A54" w:rsidRPr="00F12479">
        <w:rPr>
          <w:sz w:val="20"/>
          <w:szCs w:val="20"/>
        </w:rPr>
        <w:t xml:space="preserve"> – including </w:t>
      </w:r>
      <w:r w:rsidR="00472647" w:rsidRPr="00F12479">
        <w:rPr>
          <w:sz w:val="20"/>
          <w:szCs w:val="20"/>
        </w:rPr>
        <w:t xml:space="preserve">the importance </w:t>
      </w:r>
      <w:r w:rsidR="00A03FA7" w:rsidRPr="00F12479">
        <w:rPr>
          <w:sz w:val="20"/>
          <w:szCs w:val="20"/>
        </w:rPr>
        <w:t>placed on</w:t>
      </w:r>
      <w:r w:rsidR="00472647" w:rsidRPr="00F12479">
        <w:rPr>
          <w:sz w:val="20"/>
          <w:szCs w:val="20"/>
        </w:rPr>
        <w:t xml:space="preserve"> </w:t>
      </w:r>
      <w:r w:rsidR="00F04A54" w:rsidRPr="00F12479">
        <w:rPr>
          <w:sz w:val="20"/>
          <w:szCs w:val="20"/>
        </w:rPr>
        <w:t>women’s virginity</w:t>
      </w:r>
      <w:r w:rsidR="00FB3E6B" w:rsidRPr="00F12479">
        <w:rPr>
          <w:sz w:val="20"/>
          <w:szCs w:val="20"/>
        </w:rPr>
        <w:t xml:space="preserve"> and family hono</w:t>
      </w:r>
      <w:r w:rsidR="004603BE" w:rsidRPr="00F12479">
        <w:rPr>
          <w:sz w:val="20"/>
          <w:szCs w:val="20"/>
        </w:rPr>
        <w:t>u</w:t>
      </w:r>
      <w:r w:rsidR="00FB3E6B" w:rsidRPr="00F12479">
        <w:rPr>
          <w:sz w:val="20"/>
          <w:szCs w:val="20"/>
        </w:rPr>
        <w:t>r</w:t>
      </w:r>
      <w:r w:rsidR="00F04A54" w:rsidRPr="00F12479">
        <w:rPr>
          <w:sz w:val="20"/>
          <w:szCs w:val="20"/>
        </w:rPr>
        <w:t xml:space="preserve"> –</w:t>
      </w:r>
      <w:r w:rsidR="00472647" w:rsidRPr="00F12479">
        <w:rPr>
          <w:sz w:val="20"/>
          <w:szCs w:val="20"/>
        </w:rPr>
        <w:t xml:space="preserve"> fear</w:t>
      </w:r>
      <w:r w:rsidR="00F04A54" w:rsidRPr="00F12479">
        <w:rPr>
          <w:sz w:val="20"/>
          <w:szCs w:val="20"/>
        </w:rPr>
        <w:t xml:space="preserve"> </w:t>
      </w:r>
      <w:r w:rsidR="00472647" w:rsidRPr="00F12479">
        <w:rPr>
          <w:sz w:val="20"/>
          <w:szCs w:val="20"/>
        </w:rPr>
        <w:t xml:space="preserve">of the perpetrator, </w:t>
      </w:r>
      <w:r w:rsidR="00D81CE0" w:rsidRPr="00F12479">
        <w:rPr>
          <w:sz w:val="20"/>
          <w:szCs w:val="20"/>
        </w:rPr>
        <w:t>the</w:t>
      </w:r>
      <w:r w:rsidR="00472647" w:rsidRPr="00F12479">
        <w:rPr>
          <w:sz w:val="20"/>
          <w:szCs w:val="20"/>
        </w:rPr>
        <w:t xml:space="preserve"> non-confidence on law enforcement authorities and the lack of specialized services.</w:t>
      </w:r>
      <w:r w:rsidR="002F452B" w:rsidRPr="00F12479">
        <w:rPr>
          <w:rFonts w:asciiTheme="majorBidi" w:hAnsiTheme="majorBidi" w:cstheme="majorBidi"/>
          <w:color w:val="000000"/>
          <w:sz w:val="20"/>
          <w:szCs w:val="20"/>
        </w:rPr>
        <w:t xml:space="preserve"> The Public Prosecutor’s Office indicated that in 2014, 32 persons were prosecuted under art. 137 of the Criminal Code (Rape) and that in 2015, the number of prosecuted was 21, among which, one person was prosecuted for marital rape.</w:t>
      </w:r>
    </w:p>
    <w:p w:rsidR="002F452B" w:rsidRPr="00F12479" w:rsidRDefault="00BB10DA" w:rsidP="00006CA4">
      <w:pPr>
        <w:pStyle w:val="SingleTxtG"/>
        <w:rPr>
          <w:sz w:val="20"/>
          <w:szCs w:val="20"/>
        </w:rPr>
      </w:pPr>
      <w:r w:rsidRPr="00F12479">
        <w:rPr>
          <w:sz w:val="20"/>
          <w:szCs w:val="20"/>
        </w:rPr>
        <w:lastRenderedPageBreak/>
        <w:t>18</w:t>
      </w:r>
      <w:r w:rsidR="00FF12EE" w:rsidRPr="00F12479">
        <w:rPr>
          <w:sz w:val="20"/>
          <w:szCs w:val="20"/>
        </w:rPr>
        <w:t>.</w:t>
      </w:r>
      <w:r w:rsidR="00FF12EE" w:rsidRPr="00F12479">
        <w:rPr>
          <w:sz w:val="20"/>
          <w:szCs w:val="20"/>
        </w:rPr>
        <w:tab/>
      </w:r>
      <w:r w:rsidR="00A6657D" w:rsidRPr="00F12479">
        <w:rPr>
          <w:sz w:val="20"/>
          <w:szCs w:val="20"/>
        </w:rPr>
        <w:t>The mandate holder was informed that sexual harassment at workplace is frequent, but underreported, which stigmatizes women.</w:t>
      </w:r>
      <w:r w:rsidR="00A6657D" w:rsidRPr="00F12479">
        <w:rPr>
          <w:rStyle w:val="FootnoteReference"/>
          <w:sz w:val="20"/>
          <w:szCs w:val="20"/>
        </w:rPr>
        <w:footnoteReference w:id="23"/>
      </w:r>
      <w:r w:rsidR="0080709D" w:rsidRPr="00F12479">
        <w:rPr>
          <w:sz w:val="20"/>
          <w:szCs w:val="20"/>
        </w:rPr>
        <w:t xml:space="preserve"> Already in 2006, the CEDAW Committee recommended to the State to make the existing provision on harassment at workplace (art. 2 (4)</w:t>
      </w:r>
      <w:r w:rsidR="001A4306" w:rsidRPr="00F12479">
        <w:rPr>
          <w:sz w:val="20"/>
          <w:szCs w:val="20"/>
        </w:rPr>
        <w:t>)</w:t>
      </w:r>
      <w:r w:rsidR="0080709D" w:rsidRPr="00F12479">
        <w:rPr>
          <w:sz w:val="20"/>
          <w:szCs w:val="20"/>
        </w:rPr>
        <w:t xml:space="preserve"> of the Labour Code, which does neither refer explicitly to sexual harassment nor its forms</w:t>
      </w:r>
      <w:r w:rsidR="001A4306" w:rsidRPr="00F12479">
        <w:rPr>
          <w:sz w:val="20"/>
          <w:szCs w:val="20"/>
        </w:rPr>
        <w:t>, in compliance with the General recommendation n°19</w:t>
      </w:r>
      <w:r w:rsidR="00BC738D">
        <w:rPr>
          <w:sz w:val="20"/>
          <w:szCs w:val="20"/>
        </w:rPr>
        <w:t xml:space="preserve"> (GR 19)</w:t>
      </w:r>
      <w:r w:rsidR="0080709D" w:rsidRPr="00F12479">
        <w:rPr>
          <w:sz w:val="20"/>
          <w:szCs w:val="20"/>
        </w:rPr>
        <w:t>.</w:t>
      </w:r>
      <w:r w:rsidR="0080709D" w:rsidRPr="00F12479">
        <w:rPr>
          <w:rStyle w:val="FootnoteReference"/>
          <w:sz w:val="20"/>
          <w:szCs w:val="20"/>
        </w:rPr>
        <w:footnoteReference w:id="24"/>
      </w:r>
      <w:r w:rsidR="00A6657D" w:rsidRPr="00F12479">
        <w:rPr>
          <w:sz w:val="20"/>
          <w:szCs w:val="20"/>
        </w:rPr>
        <w:t xml:space="preserve"> </w:t>
      </w:r>
      <w:r w:rsidR="00006CA4">
        <w:rPr>
          <w:sz w:val="20"/>
          <w:szCs w:val="20"/>
        </w:rPr>
        <w:t>She</w:t>
      </w:r>
      <w:r w:rsidR="004F4AD2" w:rsidRPr="00F12479">
        <w:rPr>
          <w:sz w:val="20"/>
          <w:szCs w:val="20"/>
        </w:rPr>
        <w:t xml:space="preserve"> regrets that there is no data available on the prevalence of sexual harassment</w:t>
      </w:r>
      <w:r w:rsidR="00472647" w:rsidRPr="00F12479">
        <w:rPr>
          <w:sz w:val="20"/>
          <w:szCs w:val="20"/>
        </w:rPr>
        <w:t xml:space="preserve"> and </w:t>
      </w:r>
      <w:r w:rsidR="001A42B5" w:rsidRPr="00F12479">
        <w:rPr>
          <w:sz w:val="20"/>
          <w:szCs w:val="20"/>
        </w:rPr>
        <w:t>that other form</w:t>
      </w:r>
      <w:r w:rsidR="001A42B5">
        <w:rPr>
          <w:sz w:val="20"/>
          <w:szCs w:val="20"/>
        </w:rPr>
        <w:t>s</w:t>
      </w:r>
      <w:r w:rsidR="00472647" w:rsidRPr="00F12479">
        <w:rPr>
          <w:sz w:val="20"/>
          <w:szCs w:val="20"/>
        </w:rPr>
        <w:t xml:space="preserve"> of harassment, such as offences in the public space</w:t>
      </w:r>
      <w:r w:rsidR="00FB3E6B" w:rsidRPr="00F12479">
        <w:rPr>
          <w:sz w:val="20"/>
          <w:szCs w:val="20"/>
        </w:rPr>
        <w:t xml:space="preserve"> which</w:t>
      </w:r>
      <w:r w:rsidR="00472647" w:rsidRPr="00F12479">
        <w:rPr>
          <w:sz w:val="20"/>
          <w:szCs w:val="20"/>
        </w:rPr>
        <w:t xml:space="preserve"> are not considered as violence.</w:t>
      </w:r>
    </w:p>
    <w:p w:rsidR="004F4AD2" w:rsidRPr="005B3A96" w:rsidRDefault="0020002B" w:rsidP="005B3A96">
      <w:pPr>
        <w:pStyle w:val="H4G"/>
        <w:rPr>
          <w:b/>
          <w:sz w:val="20"/>
          <w:szCs w:val="20"/>
        </w:rPr>
      </w:pPr>
      <w:r w:rsidRPr="00304581">
        <w:tab/>
      </w:r>
      <w:r w:rsidR="00FF1818" w:rsidRPr="00304581">
        <w:tab/>
      </w:r>
      <w:proofErr w:type="spellStart"/>
      <w:r w:rsidR="004F4AD2" w:rsidRPr="005B3A96">
        <w:rPr>
          <w:b/>
          <w:sz w:val="20"/>
          <w:szCs w:val="20"/>
        </w:rPr>
        <w:t>Femicides</w:t>
      </w:r>
      <w:proofErr w:type="spellEnd"/>
      <w:r w:rsidR="004F4AD2" w:rsidRPr="005B3A96">
        <w:rPr>
          <w:b/>
          <w:sz w:val="20"/>
          <w:szCs w:val="20"/>
        </w:rPr>
        <w:t xml:space="preserve"> or gender-related killings of women</w:t>
      </w:r>
    </w:p>
    <w:p w:rsidR="00A03CC0" w:rsidRPr="00F12479" w:rsidRDefault="003C0FF5" w:rsidP="00BC738D">
      <w:pPr>
        <w:pStyle w:val="SingleTxtG"/>
        <w:rPr>
          <w:sz w:val="20"/>
          <w:szCs w:val="20"/>
        </w:rPr>
      </w:pPr>
      <w:r w:rsidRPr="00F12479">
        <w:rPr>
          <w:sz w:val="20"/>
          <w:szCs w:val="20"/>
        </w:rPr>
        <w:t>1</w:t>
      </w:r>
      <w:r w:rsidR="00BB10DA" w:rsidRPr="00F12479">
        <w:rPr>
          <w:sz w:val="20"/>
          <w:szCs w:val="20"/>
        </w:rPr>
        <w:t>9</w:t>
      </w:r>
      <w:r w:rsidR="00B272FD">
        <w:rPr>
          <w:sz w:val="20"/>
          <w:szCs w:val="20"/>
        </w:rPr>
        <w:t>.</w:t>
      </w:r>
      <w:r w:rsidR="004F4AD2" w:rsidRPr="00F12479">
        <w:rPr>
          <w:sz w:val="20"/>
          <w:szCs w:val="20"/>
        </w:rPr>
        <w:tab/>
      </w:r>
      <w:r w:rsidR="000933D7" w:rsidRPr="00F12479">
        <w:rPr>
          <w:sz w:val="20"/>
          <w:szCs w:val="20"/>
        </w:rPr>
        <w:t>In 2014, the CEDAW Committee expressed concern about the growing number of women killed by their intimate-partner and recommended to take measures to prevent such killings.</w:t>
      </w:r>
      <w:r w:rsidR="000933D7" w:rsidRPr="00F12479">
        <w:rPr>
          <w:rStyle w:val="FootnoteReference"/>
          <w:sz w:val="20"/>
          <w:szCs w:val="20"/>
        </w:rPr>
        <w:footnoteReference w:id="25"/>
      </w:r>
      <w:r w:rsidR="000933D7" w:rsidRPr="00F12479">
        <w:rPr>
          <w:sz w:val="20"/>
          <w:szCs w:val="20"/>
        </w:rPr>
        <w:t xml:space="preserve"> </w:t>
      </w:r>
      <w:r w:rsidR="00023803" w:rsidRPr="00F12479">
        <w:rPr>
          <w:sz w:val="20"/>
          <w:szCs w:val="20"/>
        </w:rPr>
        <w:t>As a follow-up</w:t>
      </w:r>
      <w:r w:rsidR="00EF1529">
        <w:rPr>
          <w:sz w:val="20"/>
          <w:szCs w:val="20"/>
        </w:rPr>
        <w:t xml:space="preserve"> to these recommendations</w:t>
      </w:r>
      <w:r w:rsidR="00023803" w:rsidRPr="00F12479">
        <w:rPr>
          <w:sz w:val="20"/>
          <w:szCs w:val="20"/>
        </w:rPr>
        <w:t>, i</w:t>
      </w:r>
      <w:r w:rsidR="00742CB9" w:rsidRPr="00F12479">
        <w:rPr>
          <w:sz w:val="20"/>
          <w:szCs w:val="20"/>
        </w:rPr>
        <w:t>n 2015, the Public Defender</w:t>
      </w:r>
      <w:r w:rsidR="00006CA4">
        <w:rPr>
          <w:sz w:val="20"/>
          <w:szCs w:val="20"/>
        </w:rPr>
        <w:t>’s Office</w:t>
      </w:r>
      <w:r w:rsidR="00742CB9" w:rsidRPr="00F12479">
        <w:rPr>
          <w:sz w:val="20"/>
          <w:szCs w:val="20"/>
        </w:rPr>
        <w:t xml:space="preserve"> published a </w:t>
      </w:r>
      <w:r w:rsidR="00023803" w:rsidRPr="00F12479">
        <w:rPr>
          <w:sz w:val="20"/>
          <w:szCs w:val="20"/>
        </w:rPr>
        <w:t xml:space="preserve">special </w:t>
      </w:r>
      <w:r w:rsidR="00742CB9" w:rsidRPr="00F12479">
        <w:rPr>
          <w:sz w:val="20"/>
          <w:szCs w:val="20"/>
        </w:rPr>
        <w:t>report on Violence against Women and Domestic Violence in Georgia,</w:t>
      </w:r>
      <w:r w:rsidR="00742CB9" w:rsidRPr="00F12479">
        <w:rPr>
          <w:rStyle w:val="FootnoteReference"/>
          <w:sz w:val="20"/>
          <w:szCs w:val="20"/>
        </w:rPr>
        <w:footnoteReference w:id="26"/>
      </w:r>
      <w:r w:rsidR="00742CB9" w:rsidRPr="00F12479">
        <w:rPr>
          <w:sz w:val="20"/>
          <w:szCs w:val="20"/>
        </w:rPr>
        <w:t xml:space="preserve"> in which it provided data</w:t>
      </w:r>
      <w:r w:rsidR="00DF17A4" w:rsidRPr="00F12479">
        <w:rPr>
          <w:sz w:val="20"/>
          <w:szCs w:val="20"/>
        </w:rPr>
        <w:t xml:space="preserve"> on </w:t>
      </w:r>
      <w:r w:rsidR="00023803" w:rsidRPr="00F12479">
        <w:rPr>
          <w:sz w:val="20"/>
          <w:szCs w:val="20"/>
        </w:rPr>
        <w:t xml:space="preserve">34 </w:t>
      </w:r>
      <w:r w:rsidR="00EF1529">
        <w:rPr>
          <w:sz w:val="20"/>
          <w:szCs w:val="20"/>
        </w:rPr>
        <w:t>women killed because of their gender i</w:t>
      </w:r>
      <w:r w:rsidR="001D539D" w:rsidRPr="00F12479">
        <w:rPr>
          <w:sz w:val="20"/>
          <w:szCs w:val="20"/>
        </w:rPr>
        <w:t>n 2014.</w:t>
      </w:r>
      <w:r w:rsidR="00EF1529">
        <w:rPr>
          <w:sz w:val="20"/>
          <w:szCs w:val="20"/>
        </w:rPr>
        <w:t xml:space="preserve"> </w:t>
      </w:r>
      <w:r w:rsidR="004F4AD2" w:rsidRPr="00F12479">
        <w:rPr>
          <w:sz w:val="20"/>
          <w:szCs w:val="20"/>
        </w:rPr>
        <w:t xml:space="preserve">The </w:t>
      </w:r>
      <w:r w:rsidR="0030658E" w:rsidRPr="00F12479">
        <w:rPr>
          <w:sz w:val="20"/>
          <w:szCs w:val="20"/>
        </w:rPr>
        <w:t>Rapporteur was</w:t>
      </w:r>
      <w:r w:rsidR="004F4AD2" w:rsidRPr="00F12479">
        <w:rPr>
          <w:sz w:val="20"/>
          <w:szCs w:val="20"/>
        </w:rPr>
        <w:t xml:space="preserve"> informed that in 2015</w:t>
      </w:r>
      <w:r w:rsidR="003761EA" w:rsidRPr="00F12479">
        <w:rPr>
          <w:sz w:val="20"/>
          <w:szCs w:val="20"/>
        </w:rPr>
        <w:t xml:space="preserve"> </w:t>
      </w:r>
      <w:r w:rsidR="00EF1529">
        <w:rPr>
          <w:sz w:val="20"/>
          <w:szCs w:val="20"/>
        </w:rPr>
        <w:t>the number of</w:t>
      </w:r>
      <w:r w:rsidR="007B6439" w:rsidRPr="00F12479">
        <w:rPr>
          <w:sz w:val="20"/>
          <w:szCs w:val="20"/>
        </w:rPr>
        <w:t xml:space="preserve"> </w:t>
      </w:r>
      <w:proofErr w:type="spellStart"/>
      <w:r w:rsidR="004F4AD2" w:rsidRPr="00F12479">
        <w:rPr>
          <w:sz w:val="20"/>
          <w:szCs w:val="20"/>
        </w:rPr>
        <w:t>femicides</w:t>
      </w:r>
      <w:proofErr w:type="spellEnd"/>
      <w:r w:rsidR="004F4AD2" w:rsidRPr="00F12479">
        <w:rPr>
          <w:sz w:val="20"/>
          <w:szCs w:val="20"/>
        </w:rPr>
        <w:t xml:space="preserve">/gender-related </w:t>
      </w:r>
      <w:r w:rsidR="00EF1529">
        <w:rPr>
          <w:sz w:val="20"/>
          <w:szCs w:val="20"/>
        </w:rPr>
        <w:t xml:space="preserve">registered </w:t>
      </w:r>
      <w:r w:rsidR="005E537F">
        <w:rPr>
          <w:sz w:val="20"/>
          <w:szCs w:val="20"/>
        </w:rPr>
        <w:t>reportedly decreased</w:t>
      </w:r>
      <w:r w:rsidR="004F4AD2" w:rsidRPr="00F12479">
        <w:rPr>
          <w:sz w:val="20"/>
          <w:szCs w:val="20"/>
        </w:rPr>
        <w:t>.</w:t>
      </w:r>
      <w:r w:rsidR="0030658E" w:rsidRPr="00F12479">
        <w:rPr>
          <w:rStyle w:val="FootnoteReference"/>
          <w:sz w:val="20"/>
          <w:szCs w:val="20"/>
        </w:rPr>
        <w:footnoteReference w:id="27"/>
      </w:r>
      <w:r w:rsidR="004F4AD2" w:rsidRPr="00F12479">
        <w:rPr>
          <w:sz w:val="20"/>
          <w:szCs w:val="20"/>
        </w:rPr>
        <w:t xml:space="preserve"> </w:t>
      </w:r>
      <w:r w:rsidR="00DF17A4" w:rsidRPr="00F12479">
        <w:rPr>
          <w:sz w:val="20"/>
          <w:szCs w:val="20"/>
        </w:rPr>
        <w:t xml:space="preserve"> </w:t>
      </w:r>
    </w:p>
    <w:p w:rsidR="000933D7" w:rsidRPr="00F12479" w:rsidRDefault="00A03CC0" w:rsidP="00BC738D">
      <w:pPr>
        <w:pStyle w:val="SingleTxtG"/>
        <w:rPr>
          <w:sz w:val="20"/>
          <w:szCs w:val="20"/>
        </w:rPr>
      </w:pPr>
      <w:r w:rsidRPr="00F12479">
        <w:rPr>
          <w:sz w:val="20"/>
          <w:szCs w:val="20"/>
        </w:rPr>
        <w:t xml:space="preserve">20. </w:t>
      </w:r>
      <w:r w:rsidR="00BC738D">
        <w:rPr>
          <w:sz w:val="20"/>
          <w:szCs w:val="20"/>
        </w:rPr>
        <w:t>She</w:t>
      </w:r>
      <w:r w:rsidRPr="00F12479">
        <w:rPr>
          <w:sz w:val="20"/>
          <w:szCs w:val="20"/>
        </w:rPr>
        <w:t xml:space="preserve"> </w:t>
      </w:r>
      <w:r w:rsidR="00DF17A4" w:rsidRPr="00F12479">
        <w:rPr>
          <w:sz w:val="20"/>
          <w:szCs w:val="20"/>
        </w:rPr>
        <w:t xml:space="preserve">noted </w:t>
      </w:r>
      <w:r w:rsidR="004916E7" w:rsidRPr="00F12479">
        <w:rPr>
          <w:sz w:val="20"/>
          <w:szCs w:val="20"/>
        </w:rPr>
        <w:t xml:space="preserve">that in </w:t>
      </w:r>
      <w:r w:rsidRPr="00F12479">
        <w:rPr>
          <w:sz w:val="20"/>
          <w:szCs w:val="20"/>
        </w:rPr>
        <w:t>many</w:t>
      </w:r>
      <w:r w:rsidR="004916E7" w:rsidRPr="00F12479">
        <w:rPr>
          <w:sz w:val="20"/>
          <w:szCs w:val="20"/>
        </w:rPr>
        <w:t xml:space="preserve"> cases of </w:t>
      </w:r>
      <w:r w:rsidR="008D4D2A" w:rsidRPr="00F12479">
        <w:rPr>
          <w:sz w:val="20"/>
          <w:szCs w:val="20"/>
        </w:rPr>
        <w:t>killings</w:t>
      </w:r>
      <w:r w:rsidR="004916E7" w:rsidRPr="00F12479">
        <w:rPr>
          <w:sz w:val="20"/>
          <w:szCs w:val="20"/>
        </w:rPr>
        <w:t xml:space="preserve"> committed by </w:t>
      </w:r>
      <w:r w:rsidR="008D4D2A" w:rsidRPr="00F12479">
        <w:rPr>
          <w:sz w:val="20"/>
          <w:szCs w:val="20"/>
        </w:rPr>
        <w:t xml:space="preserve">(ex) </w:t>
      </w:r>
      <w:r w:rsidR="004916E7" w:rsidRPr="00F12479">
        <w:rPr>
          <w:sz w:val="20"/>
          <w:szCs w:val="20"/>
        </w:rPr>
        <w:t>intimate-partners, the victims reported the acts of violence</w:t>
      </w:r>
      <w:r w:rsidR="00C22437" w:rsidRPr="00F12479">
        <w:rPr>
          <w:sz w:val="20"/>
          <w:szCs w:val="20"/>
        </w:rPr>
        <w:t xml:space="preserve"> to the police,</w:t>
      </w:r>
      <w:r w:rsidR="004916E7" w:rsidRPr="00F12479">
        <w:rPr>
          <w:color w:val="FF0000"/>
          <w:sz w:val="20"/>
          <w:szCs w:val="20"/>
        </w:rPr>
        <w:t xml:space="preserve"> </w:t>
      </w:r>
      <w:r w:rsidR="004916E7" w:rsidRPr="00F12479">
        <w:rPr>
          <w:sz w:val="20"/>
          <w:szCs w:val="20"/>
        </w:rPr>
        <w:t xml:space="preserve">but no adequate and effective protection was provided to </w:t>
      </w:r>
      <w:r w:rsidR="008D4D2A" w:rsidRPr="00F12479">
        <w:rPr>
          <w:sz w:val="20"/>
          <w:szCs w:val="20"/>
        </w:rPr>
        <w:t>them</w:t>
      </w:r>
      <w:r w:rsidR="004916E7" w:rsidRPr="00F12479">
        <w:rPr>
          <w:sz w:val="20"/>
          <w:szCs w:val="20"/>
        </w:rPr>
        <w:t xml:space="preserve">. </w:t>
      </w:r>
    </w:p>
    <w:p w:rsidR="007529A2" w:rsidRDefault="00BB10DA" w:rsidP="007029F0">
      <w:pPr>
        <w:pStyle w:val="SingleTxtG"/>
        <w:rPr>
          <w:sz w:val="20"/>
          <w:szCs w:val="20"/>
        </w:rPr>
      </w:pPr>
      <w:r w:rsidRPr="00F12479">
        <w:rPr>
          <w:sz w:val="20"/>
          <w:szCs w:val="20"/>
        </w:rPr>
        <w:t>21</w:t>
      </w:r>
      <w:r w:rsidR="008B37AA" w:rsidRPr="00F12479">
        <w:rPr>
          <w:sz w:val="20"/>
          <w:szCs w:val="20"/>
        </w:rPr>
        <w:t>.</w:t>
      </w:r>
      <w:r w:rsidR="008B37AA" w:rsidRPr="00F12479">
        <w:rPr>
          <w:sz w:val="20"/>
          <w:szCs w:val="20"/>
        </w:rPr>
        <w:tab/>
      </w:r>
      <w:r w:rsidR="007029F0">
        <w:rPr>
          <w:sz w:val="20"/>
          <w:szCs w:val="20"/>
        </w:rPr>
        <w:t>She</w:t>
      </w:r>
      <w:r w:rsidR="004F4AD2" w:rsidRPr="00F12479">
        <w:rPr>
          <w:sz w:val="20"/>
          <w:szCs w:val="20"/>
        </w:rPr>
        <w:t xml:space="preserve"> </w:t>
      </w:r>
      <w:r w:rsidR="00A46468" w:rsidRPr="00F12479">
        <w:rPr>
          <w:sz w:val="20"/>
          <w:szCs w:val="20"/>
        </w:rPr>
        <w:t xml:space="preserve">wishes to </w:t>
      </w:r>
      <w:r w:rsidR="00A03CC0" w:rsidRPr="00F12479">
        <w:rPr>
          <w:sz w:val="20"/>
          <w:szCs w:val="20"/>
        </w:rPr>
        <w:t xml:space="preserve">commend the work of Public Defender on his work on monitoring </w:t>
      </w:r>
      <w:proofErr w:type="spellStart"/>
      <w:r w:rsidR="00A03CC0" w:rsidRPr="00F12479">
        <w:rPr>
          <w:sz w:val="20"/>
          <w:szCs w:val="20"/>
        </w:rPr>
        <w:t>femicides</w:t>
      </w:r>
      <w:proofErr w:type="spellEnd"/>
      <w:r w:rsidR="00A03CC0" w:rsidRPr="00F12479">
        <w:rPr>
          <w:sz w:val="20"/>
          <w:szCs w:val="20"/>
        </w:rPr>
        <w:t xml:space="preserve"> and to reiterate</w:t>
      </w:r>
      <w:r w:rsidR="004F4AD2" w:rsidRPr="00F12479">
        <w:rPr>
          <w:sz w:val="20"/>
          <w:szCs w:val="20"/>
        </w:rPr>
        <w:t xml:space="preserve"> the call she made to </w:t>
      </w:r>
      <w:r w:rsidR="00A03CC0" w:rsidRPr="00F12479">
        <w:rPr>
          <w:sz w:val="20"/>
          <w:szCs w:val="20"/>
        </w:rPr>
        <w:t xml:space="preserve">all States to </w:t>
      </w:r>
      <w:r w:rsidR="004F4AD2" w:rsidRPr="00F12479">
        <w:rPr>
          <w:sz w:val="20"/>
          <w:szCs w:val="20"/>
        </w:rPr>
        <w:t>establish a “</w:t>
      </w:r>
      <w:proofErr w:type="spellStart"/>
      <w:r w:rsidR="004F4AD2" w:rsidRPr="00F12479">
        <w:rPr>
          <w:sz w:val="20"/>
          <w:szCs w:val="20"/>
        </w:rPr>
        <w:t>femicide</w:t>
      </w:r>
      <w:proofErr w:type="spellEnd"/>
      <w:r w:rsidR="004F4AD2" w:rsidRPr="00F12479">
        <w:rPr>
          <w:sz w:val="20"/>
          <w:szCs w:val="20"/>
        </w:rPr>
        <w:t xml:space="preserve"> watch” or “gender-related killing of women watch”</w:t>
      </w:r>
      <w:r w:rsidR="00A03CC0" w:rsidRPr="00F12479">
        <w:rPr>
          <w:sz w:val="20"/>
          <w:szCs w:val="20"/>
        </w:rPr>
        <w:t xml:space="preserve"> and to collect and </w:t>
      </w:r>
      <w:r w:rsidR="004F4AD2" w:rsidRPr="00F12479">
        <w:rPr>
          <w:sz w:val="20"/>
          <w:szCs w:val="20"/>
        </w:rPr>
        <w:t xml:space="preserve">release each year on 25 November, the International Day on the Elimination of Violence against Women, </w:t>
      </w:r>
      <w:r w:rsidR="00A03CC0" w:rsidRPr="00F12479">
        <w:rPr>
          <w:sz w:val="20"/>
          <w:szCs w:val="20"/>
        </w:rPr>
        <w:t xml:space="preserve">data on </w:t>
      </w:r>
      <w:r w:rsidR="004F4AD2" w:rsidRPr="00F12479">
        <w:rPr>
          <w:sz w:val="20"/>
          <w:szCs w:val="20"/>
        </w:rPr>
        <w:t xml:space="preserve">the number of </w:t>
      </w:r>
      <w:proofErr w:type="spellStart"/>
      <w:r w:rsidR="004F4AD2" w:rsidRPr="00F12479">
        <w:rPr>
          <w:sz w:val="20"/>
          <w:szCs w:val="20"/>
        </w:rPr>
        <w:t>femicides</w:t>
      </w:r>
      <w:proofErr w:type="spellEnd"/>
      <w:r w:rsidR="007B6439" w:rsidRPr="00F12479">
        <w:rPr>
          <w:sz w:val="20"/>
          <w:szCs w:val="20"/>
        </w:rPr>
        <w:t>. Most importantly</w:t>
      </w:r>
      <w:r w:rsidR="00A03CC0" w:rsidRPr="00F12479">
        <w:rPr>
          <w:sz w:val="20"/>
          <w:szCs w:val="20"/>
        </w:rPr>
        <w:t xml:space="preserve"> each </w:t>
      </w:r>
      <w:r w:rsidR="007B6439" w:rsidRPr="00F12479">
        <w:rPr>
          <w:sz w:val="20"/>
          <w:szCs w:val="20"/>
        </w:rPr>
        <w:t>case should be</w:t>
      </w:r>
      <w:r w:rsidR="00A03CC0" w:rsidRPr="00F12479">
        <w:rPr>
          <w:sz w:val="20"/>
          <w:szCs w:val="20"/>
        </w:rPr>
        <w:t xml:space="preserve"> </w:t>
      </w:r>
      <w:r w:rsidR="007B6439" w:rsidRPr="00F12479">
        <w:rPr>
          <w:sz w:val="20"/>
          <w:szCs w:val="20"/>
        </w:rPr>
        <w:t xml:space="preserve">carefully analysed to identify </w:t>
      </w:r>
      <w:r w:rsidR="00304581">
        <w:rPr>
          <w:sz w:val="20"/>
          <w:szCs w:val="20"/>
        </w:rPr>
        <w:t xml:space="preserve">any failure of protection </w:t>
      </w:r>
      <w:r w:rsidR="007B6439" w:rsidRPr="00F12479">
        <w:rPr>
          <w:sz w:val="20"/>
          <w:szCs w:val="20"/>
        </w:rPr>
        <w:t>with a view of improving and developing further preventive measures</w:t>
      </w:r>
      <w:r w:rsidR="00304581">
        <w:rPr>
          <w:sz w:val="20"/>
          <w:szCs w:val="20"/>
        </w:rPr>
        <w:t>.</w:t>
      </w:r>
      <w:r w:rsidR="00A03CC0" w:rsidRPr="00F12479">
        <w:rPr>
          <w:sz w:val="20"/>
          <w:szCs w:val="20"/>
        </w:rPr>
        <w:t xml:space="preserve"> </w:t>
      </w:r>
    </w:p>
    <w:p w:rsidR="007529A2" w:rsidRPr="005B3A96" w:rsidRDefault="005B3A96" w:rsidP="00B272FD">
      <w:pPr>
        <w:pStyle w:val="H4G"/>
        <w:rPr>
          <w:b/>
          <w:sz w:val="20"/>
          <w:szCs w:val="20"/>
        </w:rPr>
      </w:pPr>
      <w:r>
        <w:tab/>
      </w:r>
      <w:r>
        <w:tab/>
      </w:r>
      <w:r w:rsidR="007529A2" w:rsidRPr="005B3A96">
        <w:rPr>
          <w:b/>
          <w:sz w:val="20"/>
          <w:szCs w:val="20"/>
        </w:rPr>
        <w:t>Suicides among women victims of systematic violence</w:t>
      </w:r>
    </w:p>
    <w:p w:rsidR="007529A2" w:rsidRPr="00F12479" w:rsidRDefault="00226109" w:rsidP="0011715E">
      <w:pPr>
        <w:pStyle w:val="SingleTxtG"/>
        <w:rPr>
          <w:color w:val="FF0000"/>
          <w:sz w:val="20"/>
          <w:szCs w:val="20"/>
        </w:rPr>
      </w:pPr>
      <w:r>
        <w:rPr>
          <w:sz w:val="20"/>
          <w:szCs w:val="20"/>
        </w:rPr>
        <w:t>22</w:t>
      </w:r>
      <w:r w:rsidR="007529A2" w:rsidRPr="00F12479">
        <w:rPr>
          <w:sz w:val="20"/>
          <w:szCs w:val="20"/>
        </w:rPr>
        <w:t>.</w:t>
      </w:r>
      <w:r w:rsidR="007529A2" w:rsidRPr="00F12479">
        <w:rPr>
          <w:sz w:val="20"/>
          <w:szCs w:val="20"/>
        </w:rPr>
        <w:tab/>
        <w:t xml:space="preserve">The Special Rapporteur was also informed that an undefined number of suicides </w:t>
      </w:r>
      <w:r w:rsidR="00304581">
        <w:rPr>
          <w:sz w:val="20"/>
          <w:szCs w:val="20"/>
        </w:rPr>
        <w:t xml:space="preserve">occurred </w:t>
      </w:r>
      <w:r w:rsidR="007529A2" w:rsidRPr="00F12479">
        <w:rPr>
          <w:sz w:val="20"/>
          <w:szCs w:val="20"/>
        </w:rPr>
        <w:t>among women victims of systematic violence, and cases of suicides</w:t>
      </w:r>
      <w:r w:rsidR="007529A2" w:rsidRPr="00F12479">
        <w:rPr>
          <w:rStyle w:val="FootnoteReference"/>
          <w:sz w:val="20"/>
          <w:szCs w:val="20"/>
        </w:rPr>
        <w:footnoteReference w:id="28"/>
      </w:r>
      <w:r w:rsidR="007529A2" w:rsidRPr="00F12479">
        <w:rPr>
          <w:sz w:val="20"/>
          <w:szCs w:val="20"/>
        </w:rPr>
        <w:t xml:space="preserve"> among young women, were allegedly caused by </w:t>
      </w:r>
      <w:r w:rsidR="005B6BF3">
        <w:rPr>
          <w:sz w:val="20"/>
          <w:szCs w:val="20"/>
        </w:rPr>
        <w:t xml:space="preserve">girl </w:t>
      </w:r>
      <w:r w:rsidR="0011715E">
        <w:rPr>
          <w:sz w:val="20"/>
          <w:szCs w:val="20"/>
        </w:rPr>
        <w:t>child</w:t>
      </w:r>
      <w:r w:rsidR="0011715E" w:rsidRPr="00F12479">
        <w:rPr>
          <w:sz w:val="20"/>
          <w:szCs w:val="20"/>
        </w:rPr>
        <w:t xml:space="preserve"> </w:t>
      </w:r>
      <w:r w:rsidR="00304581">
        <w:rPr>
          <w:sz w:val="20"/>
          <w:szCs w:val="20"/>
        </w:rPr>
        <w:t>and</w:t>
      </w:r>
      <w:r w:rsidR="007529A2" w:rsidRPr="00F12479">
        <w:rPr>
          <w:sz w:val="20"/>
          <w:szCs w:val="20"/>
        </w:rPr>
        <w:t xml:space="preserve"> forced marriage.</w:t>
      </w:r>
      <w:r w:rsidR="007529A2" w:rsidRPr="00F12479">
        <w:rPr>
          <w:rStyle w:val="FootnoteReference"/>
          <w:sz w:val="20"/>
          <w:szCs w:val="20"/>
        </w:rPr>
        <w:footnoteReference w:id="29"/>
      </w:r>
    </w:p>
    <w:p w:rsidR="00B75076" w:rsidRPr="005B3A96" w:rsidRDefault="005B3A96" w:rsidP="005B3A96">
      <w:pPr>
        <w:pStyle w:val="H4G"/>
        <w:rPr>
          <w:b/>
          <w:sz w:val="20"/>
          <w:szCs w:val="20"/>
        </w:rPr>
      </w:pPr>
      <w:r>
        <w:tab/>
      </w:r>
      <w:r>
        <w:tab/>
      </w:r>
      <w:r w:rsidR="0011715E" w:rsidRPr="005B3A96">
        <w:rPr>
          <w:b/>
          <w:sz w:val="20"/>
          <w:szCs w:val="20"/>
        </w:rPr>
        <w:t xml:space="preserve">Child </w:t>
      </w:r>
      <w:r w:rsidR="00B75076" w:rsidRPr="005B3A96">
        <w:rPr>
          <w:b/>
          <w:sz w:val="20"/>
          <w:szCs w:val="20"/>
        </w:rPr>
        <w:t>and forced marriages</w:t>
      </w:r>
    </w:p>
    <w:p w:rsidR="00452D03" w:rsidRPr="00F12479" w:rsidRDefault="00226109" w:rsidP="0011715E">
      <w:pPr>
        <w:pStyle w:val="SingleTxtG"/>
        <w:rPr>
          <w:sz w:val="20"/>
          <w:szCs w:val="20"/>
        </w:rPr>
      </w:pPr>
      <w:r>
        <w:rPr>
          <w:sz w:val="20"/>
          <w:szCs w:val="20"/>
        </w:rPr>
        <w:t>23</w:t>
      </w:r>
      <w:r w:rsidR="00817B56" w:rsidRPr="00F12479">
        <w:rPr>
          <w:sz w:val="20"/>
          <w:szCs w:val="20"/>
        </w:rPr>
        <w:t>.</w:t>
      </w:r>
      <w:r w:rsidR="00817B56" w:rsidRPr="00F12479">
        <w:rPr>
          <w:sz w:val="20"/>
          <w:szCs w:val="20"/>
        </w:rPr>
        <w:tab/>
      </w:r>
      <w:r w:rsidR="004F4AD2" w:rsidRPr="00F12479">
        <w:rPr>
          <w:sz w:val="20"/>
          <w:szCs w:val="20"/>
        </w:rPr>
        <w:t xml:space="preserve">The Special Rapporteur </w:t>
      </w:r>
      <w:r w:rsidR="00D4690E" w:rsidRPr="00F12479">
        <w:rPr>
          <w:sz w:val="20"/>
          <w:szCs w:val="20"/>
        </w:rPr>
        <w:t xml:space="preserve">is </w:t>
      </w:r>
      <w:r w:rsidR="004F4AD2" w:rsidRPr="00F12479">
        <w:rPr>
          <w:sz w:val="20"/>
          <w:szCs w:val="20"/>
        </w:rPr>
        <w:t xml:space="preserve">concerned about the high prevalence of cases of </w:t>
      </w:r>
      <w:r w:rsidR="0011715E">
        <w:rPr>
          <w:bCs/>
          <w:sz w:val="20"/>
          <w:szCs w:val="20"/>
        </w:rPr>
        <w:t>child</w:t>
      </w:r>
      <w:r w:rsidR="0011715E" w:rsidRPr="00C0127B">
        <w:rPr>
          <w:bCs/>
          <w:sz w:val="20"/>
          <w:szCs w:val="20"/>
        </w:rPr>
        <w:t xml:space="preserve"> </w:t>
      </w:r>
      <w:r w:rsidR="00B134C9" w:rsidRPr="00C0127B">
        <w:rPr>
          <w:bCs/>
          <w:sz w:val="20"/>
          <w:szCs w:val="20"/>
        </w:rPr>
        <w:t>and</w:t>
      </w:r>
      <w:r w:rsidR="00B134C9" w:rsidRPr="00F12479">
        <w:rPr>
          <w:sz w:val="20"/>
          <w:szCs w:val="20"/>
        </w:rPr>
        <w:t xml:space="preserve"> </w:t>
      </w:r>
      <w:r w:rsidR="004F4AD2" w:rsidRPr="00C0127B">
        <w:rPr>
          <w:bCs/>
          <w:sz w:val="20"/>
          <w:szCs w:val="20"/>
        </w:rPr>
        <w:t>forced marriages</w:t>
      </w:r>
      <w:r w:rsidR="00817B56" w:rsidRPr="00F12479">
        <w:rPr>
          <w:sz w:val="20"/>
          <w:szCs w:val="20"/>
        </w:rPr>
        <w:t xml:space="preserve"> throughout </w:t>
      </w:r>
      <w:r w:rsidR="00940FED" w:rsidRPr="00F12479">
        <w:rPr>
          <w:sz w:val="20"/>
          <w:szCs w:val="20"/>
        </w:rPr>
        <w:t xml:space="preserve">the country. </w:t>
      </w:r>
      <w:r w:rsidR="00452D03" w:rsidRPr="00F12479">
        <w:rPr>
          <w:sz w:val="20"/>
          <w:szCs w:val="20"/>
        </w:rPr>
        <w:t>She was informed that in 2015, 611 registered marriages took place between persons under 18 years old. Out of these, 578 cases involved a girl.</w:t>
      </w:r>
      <w:r w:rsidR="00452D03" w:rsidRPr="00F12479">
        <w:rPr>
          <w:rStyle w:val="FootnoteReference"/>
          <w:sz w:val="20"/>
          <w:szCs w:val="20"/>
        </w:rPr>
        <w:footnoteReference w:id="30"/>
      </w:r>
    </w:p>
    <w:p w:rsidR="00452D03" w:rsidRPr="00F12479" w:rsidRDefault="00226109" w:rsidP="00F1164D">
      <w:pPr>
        <w:pStyle w:val="SingleTxtG"/>
        <w:rPr>
          <w:sz w:val="20"/>
          <w:szCs w:val="20"/>
        </w:rPr>
      </w:pPr>
      <w:r>
        <w:rPr>
          <w:sz w:val="20"/>
          <w:szCs w:val="20"/>
        </w:rPr>
        <w:lastRenderedPageBreak/>
        <w:t>24</w:t>
      </w:r>
      <w:r w:rsidR="00452D03" w:rsidRPr="00F12479">
        <w:rPr>
          <w:sz w:val="20"/>
          <w:szCs w:val="20"/>
        </w:rPr>
        <w:t>.</w:t>
      </w:r>
      <w:r w:rsidR="00452D03" w:rsidRPr="00F12479">
        <w:rPr>
          <w:sz w:val="20"/>
          <w:szCs w:val="20"/>
        </w:rPr>
        <w:tab/>
        <w:t>The mandate holder was informed that in 2015</w:t>
      </w:r>
      <w:r w:rsidR="00C0127B">
        <w:rPr>
          <w:sz w:val="20"/>
          <w:szCs w:val="20"/>
        </w:rPr>
        <w:t>,</w:t>
      </w:r>
      <w:r w:rsidR="00452D03" w:rsidRPr="00F12479">
        <w:rPr>
          <w:sz w:val="20"/>
          <w:szCs w:val="20"/>
        </w:rPr>
        <w:t xml:space="preserve"> 224 pupils </w:t>
      </w:r>
      <w:r w:rsidR="00F1164D">
        <w:rPr>
          <w:sz w:val="20"/>
          <w:szCs w:val="20"/>
        </w:rPr>
        <w:t>aged</w:t>
      </w:r>
      <w:r w:rsidR="00452D03" w:rsidRPr="00F12479">
        <w:rPr>
          <w:sz w:val="20"/>
          <w:szCs w:val="20"/>
        </w:rPr>
        <w:t xml:space="preserve"> between 14 to 16 years</w:t>
      </w:r>
      <w:r w:rsidR="005E537F">
        <w:rPr>
          <w:sz w:val="20"/>
          <w:szCs w:val="20"/>
        </w:rPr>
        <w:t xml:space="preserve"> dropped out of school</w:t>
      </w:r>
      <w:r w:rsidR="00F1164D">
        <w:rPr>
          <w:sz w:val="20"/>
          <w:szCs w:val="20"/>
        </w:rPr>
        <w:t>, and</w:t>
      </w:r>
      <w:r w:rsidR="00452D03" w:rsidRPr="00F12479">
        <w:rPr>
          <w:sz w:val="20"/>
          <w:szCs w:val="20"/>
        </w:rPr>
        <w:t xml:space="preserve"> 351 at the age of 17-18 </w:t>
      </w:r>
      <w:r w:rsidR="005E537F">
        <w:rPr>
          <w:sz w:val="20"/>
          <w:szCs w:val="20"/>
        </w:rPr>
        <w:t>due to</w:t>
      </w:r>
      <w:r w:rsidR="00452D03" w:rsidRPr="00F12479">
        <w:rPr>
          <w:sz w:val="20"/>
          <w:szCs w:val="20"/>
        </w:rPr>
        <w:t xml:space="preserve"> </w:t>
      </w:r>
      <w:r w:rsidR="0011715E">
        <w:rPr>
          <w:sz w:val="20"/>
          <w:szCs w:val="20"/>
        </w:rPr>
        <w:t>child</w:t>
      </w:r>
      <w:r w:rsidR="0011715E" w:rsidRPr="00F12479">
        <w:rPr>
          <w:sz w:val="20"/>
          <w:szCs w:val="20"/>
        </w:rPr>
        <w:t xml:space="preserve"> </w:t>
      </w:r>
      <w:r w:rsidR="00452D03" w:rsidRPr="00F12479">
        <w:rPr>
          <w:sz w:val="20"/>
          <w:szCs w:val="20"/>
        </w:rPr>
        <w:t>marriage She is concerned about the high number of girls who drop out of school as a consequence of their marriage and highlights that these girls are more vulnerable to violence, including marital rape, because of the lack of education, their reduced prospects to find a job and become economically independent, which would impede them escaping from situations of abuse. This practice also leads to early pregnancies</w:t>
      </w:r>
      <w:r w:rsidR="00452D03" w:rsidRPr="00F12479">
        <w:rPr>
          <w:rStyle w:val="FootnoteReference"/>
          <w:sz w:val="20"/>
          <w:szCs w:val="20"/>
        </w:rPr>
        <w:footnoteReference w:id="31"/>
      </w:r>
      <w:r w:rsidR="00452D03" w:rsidRPr="00F12479">
        <w:rPr>
          <w:sz w:val="20"/>
          <w:szCs w:val="20"/>
        </w:rPr>
        <w:t xml:space="preserve"> and could be also linked with the rate of maternal mortality, estimated to 36 deaths per 100,000 live births in 2015.</w:t>
      </w:r>
      <w:r w:rsidR="00452D03" w:rsidRPr="00F12479">
        <w:rPr>
          <w:rStyle w:val="FootnoteReference"/>
          <w:sz w:val="20"/>
          <w:szCs w:val="20"/>
        </w:rPr>
        <w:footnoteReference w:id="32"/>
      </w:r>
      <w:r w:rsidR="00452D03" w:rsidRPr="00F12479">
        <w:rPr>
          <w:sz w:val="20"/>
          <w:szCs w:val="20"/>
        </w:rPr>
        <w:t xml:space="preserve"> </w:t>
      </w:r>
      <w:r w:rsidR="004E7C3F">
        <w:rPr>
          <w:sz w:val="20"/>
          <w:szCs w:val="20"/>
        </w:rPr>
        <w:t xml:space="preserve">The </w:t>
      </w:r>
      <w:r w:rsidR="00452D03" w:rsidRPr="00F12479">
        <w:rPr>
          <w:sz w:val="20"/>
          <w:szCs w:val="20"/>
        </w:rPr>
        <w:t xml:space="preserve">Public Defender reported on a case of suicide of </w:t>
      </w:r>
      <w:r w:rsidR="00F1164D">
        <w:rPr>
          <w:sz w:val="20"/>
          <w:szCs w:val="20"/>
        </w:rPr>
        <w:t xml:space="preserve">a </w:t>
      </w:r>
      <w:r w:rsidR="00452D03" w:rsidRPr="00F12479">
        <w:rPr>
          <w:sz w:val="20"/>
          <w:szCs w:val="20"/>
        </w:rPr>
        <w:t xml:space="preserve">16 years old girl possibly related to forced marriage. </w:t>
      </w:r>
    </w:p>
    <w:p w:rsidR="008C7D5E" w:rsidRPr="00F12479" w:rsidRDefault="00226109" w:rsidP="0011715E">
      <w:pPr>
        <w:pStyle w:val="SingleTxtG"/>
        <w:rPr>
          <w:sz w:val="20"/>
          <w:szCs w:val="20"/>
        </w:rPr>
      </w:pPr>
      <w:r>
        <w:rPr>
          <w:sz w:val="20"/>
          <w:szCs w:val="20"/>
        </w:rPr>
        <w:t>25.</w:t>
      </w:r>
      <w:r>
        <w:rPr>
          <w:sz w:val="20"/>
          <w:szCs w:val="20"/>
        </w:rPr>
        <w:tab/>
      </w:r>
      <w:r w:rsidR="00940FED" w:rsidRPr="00F12479">
        <w:rPr>
          <w:sz w:val="20"/>
          <w:szCs w:val="20"/>
        </w:rPr>
        <w:t>T</w:t>
      </w:r>
      <w:r w:rsidR="00D4690E" w:rsidRPr="00F12479">
        <w:rPr>
          <w:sz w:val="20"/>
          <w:szCs w:val="20"/>
        </w:rPr>
        <w:t xml:space="preserve">he main causes </w:t>
      </w:r>
      <w:r w:rsidR="00940FED" w:rsidRPr="00F12479">
        <w:rPr>
          <w:sz w:val="20"/>
          <w:szCs w:val="20"/>
        </w:rPr>
        <w:t>for</w:t>
      </w:r>
      <w:r w:rsidR="00D4690E" w:rsidRPr="00F12479">
        <w:rPr>
          <w:sz w:val="20"/>
          <w:szCs w:val="20"/>
        </w:rPr>
        <w:t xml:space="preserve"> this practice</w:t>
      </w:r>
      <w:r w:rsidR="00940FED" w:rsidRPr="00F12479">
        <w:rPr>
          <w:sz w:val="20"/>
          <w:szCs w:val="20"/>
        </w:rPr>
        <w:t>, as explained to her during the visit</w:t>
      </w:r>
      <w:r w:rsidR="00D4690E" w:rsidRPr="00F12479">
        <w:rPr>
          <w:sz w:val="20"/>
          <w:szCs w:val="20"/>
        </w:rPr>
        <w:t xml:space="preserve"> </w:t>
      </w:r>
      <w:r w:rsidR="00940FED" w:rsidRPr="00F12479">
        <w:rPr>
          <w:sz w:val="20"/>
          <w:szCs w:val="20"/>
        </w:rPr>
        <w:t>include</w:t>
      </w:r>
      <w:r w:rsidR="00D4690E" w:rsidRPr="00F12479">
        <w:rPr>
          <w:sz w:val="20"/>
          <w:szCs w:val="20"/>
        </w:rPr>
        <w:t xml:space="preserve">: low public </w:t>
      </w:r>
      <w:r w:rsidR="00817B56" w:rsidRPr="00F12479">
        <w:rPr>
          <w:sz w:val="20"/>
          <w:szCs w:val="20"/>
        </w:rPr>
        <w:t>awareness</w:t>
      </w:r>
      <w:r w:rsidR="00B327BF" w:rsidRPr="00F12479">
        <w:rPr>
          <w:sz w:val="20"/>
          <w:szCs w:val="20"/>
        </w:rPr>
        <w:t xml:space="preserve">, including on the illegality of </w:t>
      </w:r>
      <w:r w:rsidR="0011715E">
        <w:rPr>
          <w:sz w:val="20"/>
          <w:szCs w:val="20"/>
        </w:rPr>
        <w:t>child</w:t>
      </w:r>
      <w:r w:rsidR="0011715E" w:rsidRPr="00F12479">
        <w:rPr>
          <w:sz w:val="20"/>
          <w:szCs w:val="20"/>
        </w:rPr>
        <w:t xml:space="preserve"> </w:t>
      </w:r>
      <w:r w:rsidR="00B327BF" w:rsidRPr="00F12479">
        <w:rPr>
          <w:sz w:val="20"/>
          <w:szCs w:val="20"/>
        </w:rPr>
        <w:t>marriage</w:t>
      </w:r>
      <w:r w:rsidR="00817B56" w:rsidRPr="00F12479">
        <w:rPr>
          <w:sz w:val="20"/>
          <w:szCs w:val="20"/>
        </w:rPr>
        <w:t>, the lack of education among girls</w:t>
      </w:r>
      <w:r w:rsidR="000532F1" w:rsidRPr="00F12479">
        <w:rPr>
          <w:sz w:val="20"/>
          <w:szCs w:val="20"/>
        </w:rPr>
        <w:t xml:space="preserve"> and their parents</w:t>
      </w:r>
      <w:r w:rsidR="00817B56" w:rsidRPr="00F12479">
        <w:rPr>
          <w:sz w:val="20"/>
          <w:szCs w:val="20"/>
        </w:rPr>
        <w:t xml:space="preserve">, poverty and in some cases, </w:t>
      </w:r>
      <w:r w:rsidR="004F4AD2" w:rsidRPr="00F12479">
        <w:rPr>
          <w:sz w:val="20"/>
          <w:szCs w:val="20"/>
        </w:rPr>
        <w:t>the fea</w:t>
      </w:r>
      <w:r w:rsidR="00E83EFF" w:rsidRPr="00F12479">
        <w:rPr>
          <w:sz w:val="20"/>
          <w:szCs w:val="20"/>
        </w:rPr>
        <w:t>r of the abduction of the girls</w:t>
      </w:r>
      <w:r w:rsidR="00E83EFF" w:rsidRPr="00F12479">
        <w:rPr>
          <w:rStyle w:val="FootnoteReference"/>
          <w:sz w:val="20"/>
          <w:szCs w:val="20"/>
        </w:rPr>
        <w:footnoteReference w:id="33"/>
      </w:r>
      <w:r w:rsidR="00E83EFF" w:rsidRPr="00F12479">
        <w:rPr>
          <w:sz w:val="20"/>
          <w:szCs w:val="20"/>
        </w:rPr>
        <w:t xml:space="preserve"> – which was</w:t>
      </w:r>
      <w:r w:rsidR="00FD6429" w:rsidRPr="00F12479">
        <w:rPr>
          <w:sz w:val="20"/>
          <w:szCs w:val="20"/>
        </w:rPr>
        <w:t xml:space="preserve"> more </w:t>
      </w:r>
      <w:r w:rsidR="00E83EFF" w:rsidRPr="00F12479">
        <w:rPr>
          <w:sz w:val="20"/>
          <w:szCs w:val="20"/>
        </w:rPr>
        <w:t>prevalent in the 90s –</w:t>
      </w:r>
      <w:r w:rsidR="004F4AD2" w:rsidRPr="00F12479">
        <w:rPr>
          <w:sz w:val="20"/>
          <w:szCs w:val="20"/>
        </w:rPr>
        <w:t xml:space="preserve"> in</w:t>
      </w:r>
      <w:r w:rsidR="00E83EFF" w:rsidRPr="00F12479">
        <w:rPr>
          <w:sz w:val="20"/>
          <w:szCs w:val="20"/>
        </w:rPr>
        <w:t xml:space="preserve"> </w:t>
      </w:r>
      <w:r w:rsidR="004F4AD2" w:rsidRPr="00F12479">
        <w:rPr>
          <w:sz w:val="20"/>
          <w:szCs w:val="20"/>
        </w:rPr>
        <w:t xml:space="preserve">particular in rural areas and/or among ethnic minorities, </w:t>
      </w:r>
      <w:r w:rsidR="0016640E" w:rsidRPr="00F12479">
        <w:rPr>
          <w:sz w:val="20"/>
          <w:szCs w:val="20"/>
        </w:rPr>
        <w:t xml:space="preserve">including among Azeri, </w:t>
      </w:r>
      <w:r w:rsidR="004F4AD2" w:rsidRPr="00F12479">
        <w:rPr>
          <w:sz w:val="20"/>
          <w:szCs w:val="20"/>
        </w:rPr>
        <w:t>in which the vast majority of girls are married before the age of 18 and even 16.</w:t>
      </w:r>
      <w:r w:rsidR="007267CF" w:rsidRPr="00F12479">
        <w:rPr>
          <w:sz w:val="20"/>
          <w:szCs w:val="20"/>
        </w:rPr>
        <w:t xml:space="preserve"> Other challenges, among</w:t>
      </w:r>
      <w:r w:rsidR="000532F1" w:rsidRPr="00F12479">
        <w:rPr>
          <w:sz w:val="20"/>
          <w:szCs w:val="20"/>
        </w:rPr>
        <w:t xml:space="preserve"> which, gaps in support services provided to victims</w:t>
      </w:r>
      <w:r w:rsidR="007267CF" w:rsidRPr="00F12479">
        <w:rPr>
          <w:sz w:val="20"/>
          <w:szCs w:val="20"/>
        </w:rPr>
        <w:t xml:space="preserve"> and ineffective response mechanism</w:t>
      </w:r>
      <w:r w:rsidR="00F1164D">
        <w:rPr>
          <w:sz w:val="20"/>
          <w:szCs w:val="20"/>
        </w:rPr>
        <w:t>s</w:t>
      </w:r>
      <w:r w:rsidR="007267CF" w:rsidRPr="00F12479">
        <w:rPr>
          <w:sz w:val="20"/>
          <w:szCs w:val="20"/>
        </w:rPr>
        <w:t xml:space="preserve"> are also identified.</w:t>
      </w:r>
      <w:r w:rsidR="007267CF" w:rsidRPr="00F12479">
        <w:rPr>
          <w:rStyle w:val="FootnoteReference"/>
          <w:sz w:val="20"/>
          <w:szCs w:val="20"/>
        </w:rPr>
        <w:footnoteReference w:id="34"/>
      </w:r>
      <w:r w:rsidR="004F4AD2" w:rsidRPr="00F12479">
        <w:rPr>
          <w:sz w:val="20"/>
          <w:szCs w:val="20"/>
        </w:rPr>
        <w:t xml:space="preserve"> </w:t>
      </w:r>
    </w:p>
    <w:p w:rsidR="004F4AD2" w:rsidRPr="00F12479" w:rsidRDefault="00BB10DA" w:rsidP="0011715E">
      <w:pPr>
        <w:pStyle w:val="SingleTxtG"/>
        <w:rPr>
          <w:sz w:val="20"/>
          <w:szCs w:val="20"/>
        </w:rPr>
      </w:pPr>
      <w:r w:rsidRPr="00F12479">
        <w:rPr>
          <w:sz w:val="20"/>
          <w:szCs w:val="20"/>
        </w:rPr>
        <w:t>2</w:t>
      </w:r>
      <w:r w:rsidR="00226109">
        <w:rPr>
          <w:sz w:val="20"/>
          <w:szCs w:val="20"/>
        </w:rPr>
        <w:t>6</w:t>
      </w:r>
      <w:r w:rsidR="00694C17" w:rsidRPr="00F12479">
        <w:rPr>
          <w:sz w:val="20"/>
          <w:szCs w:val="20"/>
        </w:rPr>
        <w:t>.</w:t>
      </w:r>
      <w:r w:rsidR="00694C17" w:rsidRPr="00F12479">
        <w:rPr>
          <w:sz w:val="20"/>
          <w:szCs w:val="20"/>
        </w:rPr>
        <w:tab/>
        <w:t xml:space="preserve">Many interlocutors explained that </w:t>
      </w:r>
      <w:r w:rsidR="00817B56" w:rsidRPr="00F12479">
        <w:rPr>
          <w:sz w:val="20"/>
          <w:szCs w:val="20"/>
        </w:rPr>
        <w:t>the</w:t>
      </w:r>
      <w:r w:rsidR="000532F1" w:rsidRPr="00F12479">
        <w:rPr>
          <w:sz w:val="20"/>
          <w:szCs w:val="20"/>
        </w:rPr>
        <w:t xml:space="preserve"> majority of</w:t>
      </w:r>
      <w:r w:rsidR="00694C17" w:rsidRPr="00F12479">
        <w:rPr>
          <w:sz w:val="20"/>
          <w:szCs w:val="20"/>
        </w:rPr>
        <w:t xml:space="preserve"> </w:t>
      </w:r>
      <w:r w:rsidR="0011715E">
        <w:rPr>
          <w:sz w:val="20"/>
          <w:szCs w:val="20"/>
        </w:rPr>
        <w:t>child</w:t>
      </w:r>
      <w:r w:rsidR="0011715E" w:rsidRPr="00F12479">
        <w:rPr>
          <w:sz w:val="20"/>
          <w:szCs w:val="20"/>
        </w:rPr>
        <w:t xml:space="preserve"> </w:t>
      </w:r>
      <w:r w:rsidR="00452D03" w:rsidRPr="00F12479">
        <w:rPr>
          <w:sz w:val="20"/>
          <w:szCs w:val="20"/>
        </w:rPr>
        <w:t xml:space="preserve">and forced </w:t>
      </w:r>
      <w:r w:rsidR="00694C17" w:rsidRPr="00F12479">
        <w:rPr>
          <w:sz w:val="20"/>
          <w:szCs w:val="20"/>
        </w:rPr>
        <w:t xml:space="preserve">marriages take place against the girls’ will </w:t>
      </w:r>
      <w:r w:rsidR="00F94475" w:rsidRPr="00F12479">
        <w:rPr>
          <w:sz w:val="20"/>
          <w:szCs w:val="20"/>
        </w:rPr>
        <w:t>or</w:t>
      </w:r>
      <w:r w:rsidR="00694C17" w:rsidRPr="00F12479">
        <w:rPr>
          <w:sz w:val="20"/>
          <w:szCs w:val="20"/>
        </w:rPr>
        <w:t xml:space="preserve"> because of their parents’ </w:t>
      </w:r>
      <w:r w:rsidR="00694C17" w:rsidRPr="00F12479">
        <w:rPr>
          <w:color w:val="000000" w:themeColor="text1"/>
          <w:sz w:val="20"/>
          <w:szCs w:val="20"/>
        </w:rPr>
        <w:t xml:space="preserve">pressure. </w:t>
      </w:r>
      <w:r w:rsidR="00F94475" w:rsidRPr="00F12479">
        <w:rPr>
          <w:color w:val="000000" w:themeColor="text1"/>
          <w:sz w:val="20"/>
          <w:szCs w:val="20"/>
        </w:rPr>
        <w:t xml:space="preserve">Several reasons also contribute to </w:t>
      </w:r>
      <w:r w:rsidR="00DE531B" w:rsidRPr="00F12479">
        <w:rPr>
          <w:color w:val="000000" w:themeColor="text1"/>
          <w:sz w:val="20"/>
          <w:szCs w:val="20"/>
        </w:rPr>
        <w:t>girl marriage</w:t>
      </w:r>
      <w:r w:rsidR="00F94475" w:rsidRPr="00F12479">
        <w:rPr>
          <w:color w:val="000000" w:themeColor="text1"/>
          <w:sz w:val="20"/>
          <w:szCs w:val="20"/>
        </w:rPr>
        <w:t>, among which, the control made over women’s sexuality</w:t>
      </w:r>
      <w:r w:rsidR="000532F1" w:rsidRPr="00F12479">
        <w:rPr>
          <w:color w:val="000000" w:themeColor="text1"/>
          <w:sz w:val="20"/>
          <w:szCs w:val="20"/>
        </w:rPr>
        <w:t xml:space="preserve"> by society</w:t>
      </w:r>
      <w:r w:rsidR="00F94475" w:rsidRPr="00F12479">
        <w:rPr>
          <w:color w:val="000000" w:themeColor="text1"/>
          <w:sz w:val="20"/>
          <w:szCs w:val="20"/>
        </w:rPr>
        <w:t>, social stigma, including on the loss of their virginity before marriage, as well as other social and rel</w:t>
      </w:r>
      <w:r w:rsidR="00E072E4" w:rsidRPr="00F12479">
        <w:rPr>
          <w:color w:val="000000" w:themeColor="text1"/>
          <w:sz w:val="20"/>
          <w:szCs w:val="20"/>
        </w:rPr>
        <w:t>igious pressures</w:t>
      </w:r>
      <w:r w:rsidR="004F4AD2" w:rsidRPr="00F12479">
        <w:rPr>
          <w:color w:val="000000" w:themeColor="text1"/>
          <w:sz w:val="20"/>
          <w:szCs w:val="20"/>
        </w:rPr>
        <w:t>.</w:t>
      </w:r>
      <w:r w:rsidR="00C83FB5" w:rsidRPr="00F12479">
        <w:rPr>
          <w:color w:val="000000" w:themeColor="text1"/>
          <w:sz w:val="20"/>
          <w:szCs w:val="20"/>
        </w:rPr>
        <w:t xml:space="preserve"> The main regions that are more commonly affected by this harmful practice are </w:t>
      </w:r>
      <w:proofErr w:type="spellStart"/>
      <w:r w:rsidR="00C83FB5" w:rsidRPr="00F12479">
        <w:rPr>
          <w:color w:val="000000" w:themeColor="text1"/>
          <w:sz w:val="20"/>
          <w:szCs w:val="20"/>
        </w:rPr>
        <w:t>Kakheti</w:t>
      </w:r>
      <w:proofErr w:type="spellEnd"/>
      <w:r w:rsidR="00C83FB5" w:rsidRPr="00F12479">
        <w:rPr>
          <w:color w:val="000000" w:themeColor="text1"/>
          <w:sz w:val="20"/>
          <w:szCs w:val="20"/>
        </w:rPr>
        <w:t xml:space="preserve">, </w:t>
      </w:r>
      <w:proofErr w:type="spellStart"/>
      <w:r w:rsidR="00C83FB5" w:rsidRPr="00F12479">
        <w:rPr>
          <w:color w:val="000000" w:themeColor="text1"/>
          <w:sz w:val="20"/>
          <w:szCs w:val="20"/>
        </w:rPr>
        <w:t>Kvemo-Kartli</w:t>
      </w:r>
      <w:proofErr w:type="spellEnd"/>
      <w:r w:rsidR="00C83FB5" w:rsidRPr="00F12479">
        <w:rPr>
          <w:color w:val="000000" w:themeColor="text1"/>
          <w:sz w:val="20"/>
          <w:szCs w:val="20"/>
        </w:rPr>
        <w:t xml:space="preserve">, </w:t>
      </w:r>
      <w:proofErr w:type="spellStart"/>
      <w:r w:rsidR="00C83FB5" w:rsidRPr="00F12479">
        <w:rPr>
          <w:color w:val="000000" w:themeColor="text1"/>
          <w:sz w:val="20"/>
          <w:szCs w:val="20"/>
        </w:rPr>
        <w:t>Adjara</w:t>
      </w:r>
      <w:proofErr w:type="spellEnd"/>
      <w:r w:rsidR="00C83FB5" w:rsidRPr="00F12479">
        <w:rPr>
          <w:color w:val="000000" w:themeColor="text1"/>
          <w:sz w:val="20"/>
          <w:szCs w:val="20"/>
        </w:rPr>
        <w:t xml:space="preserve"> and </w:t>
      </w:r>
      <w:proofErr w:type="spellStart"/>
      <w:r w:rsidR="00C83FB5" w:rsidRPr="00F12479">
        <w:rPr>
          <w:color w:val="000000" w:themeColor="text1"/>
          <w:sz w:val="20"/>
          <w:szCs w:val="20"/>
        </w:rPr>
        <w:t>Guria</w:t>
      </w:r>
      <w:proofErr w:type="spellEnd"/>
      <w:r w:rsidR="00C83FB5" w:rsidRPr="00F12479">
        <w:rPr>
          <w:color w:val="000000" w:themeColor="text1"/>
          <w:sz w:val="20"/>
          <w:szCs w:val="20"/>
        </w:rPr>
        <w:t xml:space="preserve"> regions.</w:t>
      </w:r>
      <w:r w:rsidR="000532F1" w:rsidRPr="00F12479">
        <w:rPr>
          <w:rStyle w:val="FootnoteReference"/>
          <w:color w:val="000000" w:themeColor="text1"/>
          <w:sz w:val="20"/>
          <w:szCs w:val="20"/>
        </w:rPr>
        <w:footnoteReference w:id="35"/>
      </w:r>
    </w:p>
    <w:p w:rsidR="00080885" w:rsidRPr="00F12479" w:rsidRDefault="00BB10DA" w:rsidP="00BC738D">
      <w:pPr>
        <w:pStyle w:val="SingleTxtG"/>
        <w:rPr>
          <w:sz w:val="20"/>
          <w:szCs w:val="20"/>
        </w:rPr>
      </w:pPr>
      <w:r w:rsidRPr="00F12479">
        <w:rPr>
          <w:sz w:val="20"/>
          <w:szCs w:val="20"/>
        </w:rPr>
        <w:t>2</w:t>
      </w:r>
      <w:r w:rsidR="00226109">
        <w:rPr>
          <w:sz w:val="20"/>
          <w:szCs w:val="20"/>
        </w:rPr>
        <w:t>7</w:t>
      </w:r>
      <w:r w:rsidR="00A5575F" w:rsidRPr="00F12479">
        <w:rPr>
          <w:sz w:val="20"/>
          <w:szCs w:val="20"/>
        </w:rPr>
        <w:t>.</w:t>
      </w:r>
      <w:r w:rsidR="00A5575F" w:rsidRPr="00F12479">
        <w:rPr>
          <w:sz w:val="20"/>
          <w:szCs w:val="20"/>
        </w:rPr>
        <w:tab/>
      </w:r>
      <w:r w:rsidR="000532F1" w:rsidRPr="00F12479">
        <w:rPr>
          <w:sz w:val="20"/>
          <w:szCs w:val="20"/>
        </w:rPr>
        <w:t xml:space="preserve">The </w:t>
      </w:r>
      <w:r w:rsidR="00BC738D">
        <w:rPr>
          <w:sz w:val="20"/>
          <w:szCs w:val="20"/>
        </w:rPr>
        <w:t>Rapporteur</w:t>
      </w:r>
      <w:r w:rsidR="00CC64D8">
        <w:rPr>
          <w:sz w:val="20"/>
          <w:szCs w:val="20"/>
        </w:rPr>
        <w:t xml:space="preserve"> was informed</w:t>
      </w:r>
      <w:r w:rsidR="005045FB" w:rsidRPr="00F12479">
        <w:rPr>
          <w:sz w:val="20"/>
          <w:szCs w:val="20"/>
        </w:rPr>
        <w:t xml:space="preserve"> that</w:t>
      </w:r>
      <w:r w:rsidR="00A40B88" w:rsidRPr="00F12479">
        <w:rPr>
          <w:sz w:val="20"/>
          <w:szCs w:val="20"/>
        </w:rPr>
        <w:t xml:space="preserve"> on 17 October 2014, forced marriage was criminalized under article 150</w:t>
      </w:r>
      <w:r w:rsidR="00A40B88" w:rsidRPr="00F12479">
        <w:rPr>
          <w:sz w:val="20"/>
          <w:szCs w:val="20"/>
          <w:vertAlign w:val="superscript"/>
        </w:rPr>
        <w:t>1</w:t>
      </w:r>
      <w:r w:rsidR="00A40B88" w:rsidRPr="00F12479">
        <w:rPr>
          <w:sz w:val="20"/>
          <w:szCs w:val="20"/>
        </w:rPr>
        <w:t xml:space="preserve"> </w:t>
      </w:r>
      <w:r w:rsidR="00BD2205" w:rsidRPr="00F12479">
        <w:rPr>
          <w:sz w:val="20"/>
          <w:szCs w:val="20"/>
        </w:rPr>
        <w:t xml:space="preserve">of the Criminal Code </w:t>
      </w:r>
      <w:r w:rsidR="00F1164D" w:rsidRPr="00F12479">
        <w:rPr>
          <w:rFonts w:asciiTheme="majorBidi" w:hAnsiTheme="majorBidi" w:cstheme="majorBidi"/>
          <w:sz w:val="20"/>
          <w:szCs w:val="20"/>
          <w:lang w:val="en-US"/>
        </w:rPr>
        <w:t>(Forced marriage, including an unregistered marriage)</w:t>
      </w:r>
      <w:r w:rsidR="00F1164D">
        <w:rPr>
          <w:rFonts w:asciiTheme="majorBidi" w:hAnsiTheme="majorBidi" w:cstheme="majorBidi"/>
          <w:sz w:val="20"/>
          <w:szCs w:val="20"/>
          <w:lang w:val="en-US"/>
        </w:rPr>
        <w:t xml:space="preserve"> </w:t>
      </w:r>
      <w:r w:rsidR="00A40B88" w:rsidRPr="00F12479">
        <w:rPr>
          <w:sz w:val="20"/>
          <w:szCs w:val="20"/>
        </w:rPr>
        <w:t xml:space="preserve">and that </w:t>
      </w:r>
      <w:r w:rsidR="005045FB" w:rsidRPr="00F12479">
        <w:rPr>
          <w:sz w:val="20"/>
          <w:szCs w:val="20"/>
        </w:rPr>
        <w:t>o</w:t>
      </w:r>
      <w:r w:rsidR="00B64AB5" w:rsidRPr="00F12479">
        <w:rPr>
          <w:sz w:val="20"/>
          <w:szCs w:val="20"/>
        </w:rPr>
        <w:t xml:space="preserve">n </w:t>
      </w:r>
      <w:r w:rsidR="00CF13D5" w:rsidRPr="00F12479">
        <w:rPr>
          <w:sz w:val="20"/>
          <w:szCs w:val="20"/>
        </w:rPr>
        <w:t>26 November</w:t>
      </w:r>
      <w:r w:rsidR="00B64AB5" w:rsidRPr="00F12479">
        <w:rPr>
          <w:sz w:val="20"/>
          <w:szCs w:val="20"/>
        </w:rPr>
        <w:t xml:space="preserve"> 2015,</w:t>
      </w:r>
      <w:r w:rsidR="00CF13D5" w:rsidRPr="00F12479">
        <w:rPr>
          <w:rStyle w:val="FootnoteReference"/>
          <w:sz w:val="20"/>
          <w:szCs w:val="20"/>
        </w:rPr>
        <w:footnoteReference w:id="36"/>
      </w:r>
      <w:r w:rsidR="00B64AB5" w:rsidRPr="00F12479">
        <w:rPr>
          <w:sz w:val="20"/>
          <w:szCs w:val="20"/>
        </w:rPr>
        <w:t xml:space="preserve"> a regulation </w:t>
      </w:r>
      <w:r w:rsidR="005045FB" w:rsidRPr="00F12479">
        <w:rPr>
          <w:sz w:val="20"/>
          <w:szCs w:val="20"/>
        </w:rPr>
        <w:t>allowing</w:t>
      </w:r>
      <w:r w:rsidR="00B64AB5" w:rsidRPr="00F12479">
        <w:rPr>
          <w:sz w:val="20"/>
          <w:szCs w:val="20"/>
        </w:rPr>
        <w:t xml:space="preserve"> marriage of a </w:t>
      </w:r>
      <w:r w:rsidR="00A16040" w:rsidRPr="00F12479">
        <w:rPr>
          <w:sz w:val="20"/>
          <w:szCs w:val="20"/>
        </w:rPr>
        <w:t>child</w:t>
      </w:r>
      <w:r w:rsidR="00B64AB5" w:rsidRPr="00F12479">
        <w:rPr>
          <w:sz w:val="20"/>
          <w:szCs w:val="20"/>
        </w:rPr>
        <w:t xml:space="preserve"> between 16 and 18 upon the condition of obtaining her/his parents’ consent was </w:t>
      </w:r>
      <w:r w:rsidR="000532F1" w:rsidRPr="00F12479">
        <w:rPr>
          <w:sz w:val="20"/>
          <w:szCs w:val="20"/>
        </w:rPr>
        <w:t>repealed</w:t>
      </w:r>
      <w:r w:rsidR="00BD2205" w:rsidRPr="00F12479">
        <w:rPr>
          <w:sz w:val="20"/>
          <w:szCs w:val="20"/>
        </w:rPr>
        <w:t xml:space="preserve"> and replaced by </w:t>
      </w:r>
      <w:r w:rsidR="00CC64D8">
        <w:rPr>
          <w:sz w:val="20"/>
          <w:szCs w:val="20"/>
        </w:rPr>
        <w:t xml:space="preserve">a </w:t>
      </w:r>
      <w:r w:rsidR="00080885" w:rsidRPr="00F12479">
        <w:rPr>
          <w:sz w:val="20"/>
          <w:szCs w:val="20"/>
        </w:rPr>
        <w:t xml:space="preserve">law that </w:t>
      </w:r>
      <w:r w:rsidR="00CC64D8">
        <w:rPr>
          <w:sz w:val="20"/>
          <w:szCs w:val="20"/>
        </w:rPr>
        <w:t>authoriz</w:t>
      </w:r>
      <w:r w:rsidR="00080885" w:rsidRPr="00F12479">
        <w:rPr>
          <w:sz w:val="20"/>
          <w:szCs w:val="20"/>
        </w:rPr>
        <w:t>e the court to approve such marriages</w:t>
      </w:r>
      <w:r w:rsidR="00CC64D8">
        <w:rPr>
          <w:sz w:val="20"/>
          <w:szCs w:val="20"/>
        </w:rPr>
        <w:t>.</w:t>
      </w:r>
      <w:r w:rsidR="005045FB" w:rsidRPr="00F12479">
        <w:rPr>
          <w:sz w:val="20"/>
          <w:szCs w:val="20"/>
        </w:rPr>
        <w:t xml:space="preserve"> </w:t>
      </w:r>
    </w:p>
    <w:p w:rsidR="00BA43F8" w:rsidRPr="00CC64D8" w:rsidRDefault="00BB10DA" w:rsidP="00BC738D">
      <w:pPr>
        <w:pStyle w:val="SingleTxtG"/>
        <w:rPr>
          <w:rFonts w:asciiTheme="majorBidi" w:hAnsiTheme="majorBidi" w:cstheme="majorBidi"/>
          <w:color w:val="FF0000"/>
          <w:sz w:val="20"/>
          <w:szCs w:val="20"/>
          <w:lang w:val="en-US"/>
        </w:rPr>
      </w:pPr>
      <w:r w:rsidRPr="00F12479">
        <w:rPr>
          <w:rFonts w:asciiTheme="majorBidi" w:hAnsiTheme="majorBidi" w:cstheme="majorBidi"/>
          <w:sz w:val="20"/>
          <w:szCs w:val="20"/>
        </w:rPr>
        <w:t>28</w:t>
      </w:r>
      <w:r w:rsidR="00422E88" w:rsidRPr="00F12479">
        <w:rPr>
          <w:rFonts w:asciiTheme="majorBidi" w:hAnsiTheme="majorBidi" w:cstheme="majorBidi"/>
          <w:sz w:val="20"/>
          <w:szCs w:val="20"/>
        </w:rPr>
        <w:t>.</w:t>
      </w:r>
      <w:r w:rsidR="00422E88" w:rsidRPr="00F12479">
        <w:rPr>
          <w:rFonts w:asciiTheme="majorBidi" w:hAnsiTheme="majorBidi" w:cstheme="majorBidi"/>
          <w:sz w:val="20"/>
          <w:szCs w:val="20"/>
        </w:rPr>
        <w:tab/>
      </w:r>
      <w:r w:rsidR="00BC738D">
        <w:rPr>
          <w:rFonts w:asciiTheme="majorBidi" w:hAnsiTheme="majorBidi" w:cstheme="majorBidi"/>
          <w:sz w:val="20"/>
          <w:szCs w:val="20"/>
          <w:lang w:val="en-US"/>
        </w:rPr>
        <w:t>She</w:t>
      </w:r>
      <w:r w:rsidR="00422E88" w:rsidRPr="00F12479">
        <w:rPr>
          <w:rFonts w:asciiTheme="majorBidi" w:hAnsiTheme="majorBidi" w:cstheme="majorBidi"/>
          <w:sz w:val="20"/>
          <w:szCs w:val="20"/>
          <w:lang w:val="en-US"/>
        </w:rPr>
        <w:t xml:space="preserve"> was informed that in</w:t>
      </w:r>
      <w:r w:rsidR="00CC64D8">
        <w:rPr>
          <w:rFonts w:asciiTheme="majorBidi" w:hAnsiTheme="majorBidi" w:cstheme="majorBidi"/>
          <w:sz w:val="20"/>
          <w:szCs w:val="20"/>
          <w:lang w:val="en-US"/>
        </w:rPr>
        <w:t xml:space="preserve"> </w:t>
      </w:r>
      <w:r w:rsidR="00E754DE" w:rsidRPr="00F12479">
        <w:rPr>
          <w:rFonts w:asciiTheme="majorBidi" w:hAnsiTheme="majorBidi" w:cstheme="majorBidi"/>
          <w:sz w:val="20"/>
          <w:szCs w:val="20"/>
          <w:lang w:val="en-US"/>
        </w:rPr>
        <w:t>2015</w:t>
      </w:r>
      <w:r w:rsidR="00CC64D8">
        <w:rPr>
          <w:rFonts w:asciiTheme="majorBidi" w:hAnsiTheme="majorBidi" w:cstheme="majorBidi"/>
          <w:sz w:val="20"/>
          <w:szCs w:val="20"/>
          <w:lang w:val="en-US"/>
        </w:rPr>
        <w:t>,</w:t>
      </w:r>
      <w:r w:rsidR="00E754DE" w:rsidRPr="00F12479">
        <w:rPr>
          <w:rFonts w:asciiTheme="majorBidi" w:hAnsiTheme="majorBidi" w:cstheme="majorBidi"/>
          <w:sz w:val="20"/>
          <w:szCs w:val="20"/>
          <w:lang w:val="en-US"/>
        </w:rPr>
        <w:t xml:space="preserve"> investigation has been launched in 179 of the cases on the basis of article 140 of </w:t>
      </w:r>
      <w:r w:rsidR="00A02F50" w:rsidRPr="00F12479">
        <w:rPr>
          <w:rFonts w:asciiTheme="majorBidi" w:hAnsiTheme="majorBidi" w:cstheme="majorBidi"/>
          <w:sz w:val="20"/>
          <w:szCs w:val="20"/>
          <w:lang w:val="en-US"/>
        </w:rPr>
        <w:t xml:space="preserve">the Criminal </w:t>
      </w:r>
      <w:r w:rsidR="00370DAF" w:rsidRPr="00A82DC6">
        <w:rPr>
          <w:rFonts w:asciiTheme="majorBidi" w:hAnsiTheme="majorBidi" w:cstheme="majorBidi"/>
          <w:sz w:val="20"/>
          <w:szCs w:val="20"/>
          <w:lang w:val="en-US"/>
        </w:rPr>
        <w:t>Code</w:t>
      </w:r>
      <w:r w:rsidR="00E754DE" w:rsidRPr="00A82DC6">
        <w:rPr>
          <w:rFonts w:asciiTheme="majorBidi" w:hAnsiTheme="majorBidi" w:cstheme="majorBidi"/>
          <w:sz w:val="20"/>
          <w:szCs w:val="20"/>
          <w:lang w:val="en-US"/>
        </w:rPr>
        <w:t xml:space="preserve"> (</w:t>
      </w:r>
      <w:r w:rsidR="00CC64D8" w:rsidRPr="00A82DC6">
        <w:rPr>
          <w:rFonts w:asciiTheme="majorBidi" w:eastAsia="SimSun" w:hAnsiTheme="majorBidi" w:cstheme="majorBidi"/>
          <w:sz w:val="20"/>
          <w:szCs w:val="20"/>
          <w:lang w:eastAsia="en-GB"/>
        </w:rPr>
        <w:t>Sexual intercourse or any other act of sexual nature with a person who has not attained the age of 16 years</w:t>
      </w:r>
      <w:r w:rsidR="00CC64D8" w:rsidRPr="00A82DC6">
        <w:rPr>
          <w:rFonts w:ascii="Sylfaen_PDF_Subset" w:eastAsia="SimSun" w:hAnsi="Sylfaen_PDF_Subset" w:cs="Sylfaen_PDF_Subset"/>
          <w:sz w:val="18"/>
          <w:szCs w:val="18"/>
          <w:lang w:eastAsia="en-GB"/>
        </w:rPr>
        <w:t>)</w:t>
      </w:r>
      <w:r w:rsidR="00E754DE" w:rsidRPr="00A82DC6">
        <w:rPr>
          <w:rFonts w:asciiTheme="majorBidi" w:hAnsiTheme="majorBidi" w:cstheme="majorBidi"/>
          <w:sz w:val="20"/>
          <w:szCs w:val="20"/>
          <w:lang w:val="en-US"/>
        </w:rPr>
        <w:t xml:space="preserve">, </w:t>
      </w:r>
      <w:r w:rsidR="009A51E9" w:rsidRPr="00F12479">
        <w:rPr>
          <w:rFonts w:asciiTheme="majorBidi" w:hAnsiTheme="majorBidi" w:cstheme="majorBidi"/>
          <w:sz w:val="20"/>
          <w:szCs w:val="20"/>
          <w:lang w:val="en-US"/>
        </w:rPr>
        <w:t>33 cases were terminated and</w:t>
      </w:r>
      <w:r w:rsidR="00422E88" w:rsidRPr="00F12479">
        <w:rPr>
          <w:rFonts w:asciiTheme="majorBidi" w:hAnsiTheme="majorBidi" w:cstheme="majorBidi"/>
          <w:sz w:val="20"/>
          <w:szCs w:val="20"/>
          <w:lang w:val="en-US"/>
        </w:rPr>
        <w:t xml:space="preserve"> the criminal p</w:t>
      </w:r>
      <w:r w:rsidR="009A51E9" w:rsidRPr="00F12479">
        <w:rPr>
          <w:rFonts w:asciiTheme="majorBidi" w:hAnsiTheme="majorBidi" w:cstheme="majorBidi"/>
          <w:sz w:val="20"/>
          <w:szCs w:val="20"/>
          <w:lang w:val="en-US"/>
        </w:rPr>
        <w:t xml:space="preserve">rosecution started on 115 cases. </w:t>
      </w:r>
      <w:r w:rsidR="00871C9A" w:rsidRPr="00F12479">
        <w:rPr>
          <w:rFonts w:asciiTheme="majorBidi" w:hAnsiTheme="majorBidi" w:cstheme="majorBidi"/>
          <w:sz w:val="20"/>
          <w:szCs w:val="20"/>
          <w:lang w:val="en-US"/>
        </w:rPr>
        <w:t>At the moment of the visit,</w:t>
      </w:r>
      <w:r w:rsidR="009A51E9" w:rsidRPr="00F12479">
        <w:rPr>
          <w:rFonts w:asciiTheme="majorBidi" w:hAnsiTheme="majorBidi" w:cstheme="majorBidi"/>
          <w:sz w:val="20"/>
          <w:szCs w:val="20"/>
          <w:lang w:val="en-US"/>
        </w:rPr>
        <w:t xml:space="preserve"> </w:t>
      </w:r>
      <w:r w:rsidR="00422E88" w:rsidRPr="00F12479">
        <w:rPr>
          <w:rFonts w:asciiTheme="majorBidi" w:hAnsiTheme="majorBidi" w:cstheme="majorBidi"/>
          <w:sz w:val="20"/>
          <w:szCs w:val="20"/>
          <w:lang w:val="en-US"/>
        </w:rPr>
        <w:t xml:space="preserve">the investigation </w:t>
      </w:r>
      <w:r w:rsidR="009A51E9" w:rsidRPr="00F12479">
        <w:rPr>
          <w:rFonts w:asciiTheme="majorBidi" w:hAnsiTheme="majorBidi" w:cstheme="majorBidi"/>
          <w:sz w:val="20"/>
          <w:szCs w:val="20"/>
          <w:lang w:val="en-US"/>
        </w:rPr>
        <w:t>was</w:t>
      </w:r>
      <w:r w:rsidR="00422E88" w:rsidRPr="00F12479">
        <w:rPr>
          <w:rFonts w:asciiTheme="majorBidi" w:hAnsiTheme="majorBidi" w:cstheme="majorBidi"/>
          <w:sz w:val="20"/>
          <w:szCs w:val="20"/>
          <w:lang w:val="en-US"/>
        </w:rPr>
        <w:t xml:space="preserve"> continuing on 29 cases, and qual</w:t>
      </w:r>
      <w:r w:rsidR="009A51E9" w:rsidRPr="00F12479">
        <w:rPr>
          <w:rFonts w:asciiTheme="majorBidi" w:hAnsiTheme="majorBidi" w:cstheme="majorBidi"/>
          <w:sz w:val="20"/>
          <w:szCs w:val="20"/>
          <w:lang w:val="en-US"/>
        </w:rPr>
        <w:t>ification was changed on 1 case.</w:t>
      </w:r>
      <w:r w:rsidR="00422E88" w:rsidRPr="00F12479">
        <w:rPr>
          <w:rStyle w:val="FootnoteReference"/>
          <w:rFonts w:cstheme="majorBidi"/>
          <w:sz w:val="20"/>
          <w:szCs w:val="20"/>
          <w:lang w:val="en-US"/>
        </w:rPr>
        <w:footnoteReference w:id="37"/>
      </w:r>
      <w:r w:rsidR="00422E88" w:rsidRPr="00F12479">
        <w:rPr>
          <w:rFonts w:asciiTheme="majorBidi" w:hAnsiTheme="majorBidi" w:cstheme="majorBidi"/>
          <w:sz w:val="20"/>
          <w:szCs w:val="20"/>
          <w:lang w:val="en-US"/>
        </w:rPr>
        <w:t xml:space="preserve"> According to the 3</w:t>
      </w:r>
      <w:r w:rsidR="00422E88" w:rsidRPr="00F12479">
        <w:rPr>
          <w:rFonts w:asciiTheme="majorBidi" w:hAnsiTheme="majorBidi" w:cstheme="majorBidi"/>
          <w:sz w:val="20"/>
          <w:szCs w:val="20"/>
          <w:vertAlign w:val="superscript"/>
          <w:lang w:val="en-US"/>
        </w:rPr>
        <w:t>rd</w:t>
      </w:r>
      <w:r w:rsidR="00422E88" w:rsidRPr="00F12479">
        <w:rPr>
          <w:rFonts w:asciiTheme="majorBidi" w:hAnsiTheme="majorBidi" w:cstheme="majorBidi"/>
          <w:sz w:val="20"/>
          <w:szCs w:val="20"/>
          <w:lang w:val="en-US"/>
        </w:rPr>
        <w:t xml:space="preserve"> par</w:t>
      </w:r>
      <w:r w:rsidR="00871C9A" w:rsidRPr="00F12479">
        <w:rPr>
          <w:rFonts w:asciiTheme="majorBidi" w:hAnsiTheme="majorBidi" w:cstheme="majorBidi"/>
          <w:sz w:val="20"/>
          <w:szCs w:val="20"/>
          <w:lang w:val="en-US"/>
        </w:rPr>
        <w:t>t of article</w:t>
      </w:r>
      <w:r w:rsidR="00422E88" w:rsidRPr="00F12479">
        <w:rPr>
          <w:rFonts w:asciiTheme="majorBidi" w:hAnsiTheme="majorBidi" w:cstheme="majorBidi"/>
          <w:sz w:val="20"/>
          <w:szCs w:val="20"/>
          <w:lang w:val="en-US"/>
        </w:rPr>
        <w:t xml:space="preserve"> 143, subparagraph d), (Unlawful imprisonment of a minor), investigation has been launched on 20 cases, out of which unlawful imprisonment happened in </w:t>
      </w:r>
      <w:r w:rsidR="00370DAF" w:rsidRPr="00F12479">
        <w:rPr>
          <w:rFonts w:asciiTheme="majorBidi" w:hAnsiTheme="majorBidi" w:cstheme="majorBidi"/>
          <w:sz w:val="20"/>
          <w:szCs w:val="20"/>
          <w:lang w:val="en-US"/>
        </w:rPr>
        <w:t>five</w:t>
      </w:r>
      <w:r w:rsidR="00422E88" w:rsidRPr="00F12479">
        <w:rPr>
          <w:rFonts w:asciiTheme="majorBidi" w:hAnsiTheme="majorBidi" w:cstheme="majorBidi"/>
          <w:sz w:val="20"/>
          <w:szCs w:val="20"/>
          <w:lang w:val="en-US"/>
        </w:rPr>
        <w:t xml:space="preserve"> ca</w:t>
      </w:r>
      <w:r w:rsidR="00871C9A" w:rsidRPr="00F12479">
        <w:rPr>
          <w:rFonts w:asciiTheme="majorBidi" w:hAnsiTheme="majorBidi" w:cstheme="majorBidi"/>
          <w:sz w:val="20"/>
          <w:szCs w:val="20"/>
          <w:lang w:val="en-US"/>
        </w:rPr>
        <w:t>ses of the purpose of marriage and 17 cases were terminated;</w:t>
      </w:r>
      <w:r w:rsidR="00422E88" w:rsidRPr="00F12479">
        <w:rPr>
          <w:rFonts w:asciiTheme="majorBidi" w:hAnsiTheme="majorBidi" w:cstheme="majorBidi"/>
          <w:sz w:val="20"/>
          <w:szCs w:val="20"/>
          <w:lang w:val="en-US"/>
        </w:rPr>
        <w:t xml:space="preserve"> the prosecution has been launc</w:t>
      </w:r>
      <w:r w:rsidR="00871C9A" w:rsidRPr="00F12479">
        <w:rPr>
          <w:rFonts w:asciiTheme="majorBidi" w:hAnsiTheme="majorBidi" w:cstheme="majorBidi"/>
          <w:sz w:val="20"/>
          <w:szCs w:val="20"/>
          <w:lang w:val="en-US"/>
        </w:rPr>
        <w:t>hed in two</w:t>
      </w:r>
      <w:r w:rsidR="00422E88" w:rsidRPr="00F12479">
        <w:rPr>
          <w:rFonts w:asciiTheme="majorBidi" w:hAnsiTheme="majorBidi" w:cstheme="majorBidi"/>
          <w:sz w:val="20"/>
          <w:szCs w:val="20"/>
          <w:lang w:val="en-US"/>
        </w:rPr>
        <w:t xml:space="preserve"> cases, an</w:t>
      </w:r>
      <w:r w:rsidR="00871C9A" w:rsidRPr="00F12479">
        <w:rPr>
          <w:rFonts w:asciiTheme="majorBidi" w:hAnsiTheme="majorBidi" w:cstheme="majorBidi"/>
          <w:sz w:val="20"/>
          <w:szCs w:val="20"/>
          <w:lang w:val="en-US"/>
        </w:rPr>
        <w:t xml:space="preserve">d qualification was changed in </w:t>
      </w:r>
      <w:r w:rsidR="00CC64D8">
        <w:rPr>
          <w:rFonts w:asciiTheme="majorBidi" w:hAnsiTheme="majorBidi" w:cstheme="majorBidi"/>
          <w:sz w:val="20"/>
          <w:szCs w:val="20"/>
          <w:lang w:val="en-US"/>
        </w:rPr>
        <w:t>1</w:t>
      </w:r>
      <w:r w:rsidR="00871C9A" w:rsidRPr="00F12479">
        <w:rPr>
          <w:rFonts w:asciiTheme="majorBidi" w:hAnsiTheme="majorBidi" w:cstheme="majorBidi"/>
          <w:sz w:val="20"/>
          <w:szCs w:val="20"/>
          <w:lang w:val="en-US"/>
        </w:rPr>
        <w:t xml:space="preserve"> case.</w:t>
      </w:r>
      <w:r w:rsidR="00422E88" w:rsidRPr="00F12479">
        <w:rPr>
          <w:rFonts w:asciiTheme="majorBidi" w:hAnsiTheme="majorBidi" w:cstheme="majorBidi"/>
          <w:sz w:val="20"/>
          <w:szCs w:val="20"/>
          <w:lang w:val="en-US"/>
        </w:rPr>
        <w:t xml:space="preserve"> According to art 150</w:t>
      </w:r>
      <w:r w:rsidR="00422E88" w:rsidRPr="00F12479">
        <w:rPr>
          <w:rFonts w:asciiTheme="majorBidi" w:hAnsiTheme="majorBidi" w:cstheme="majorBidi"/>
          <w:sz w:val="20"/>
          <w:szCs w:val="20"/>
          <w:vertAlign w:val="superscript"/>
          <w:lang w:val="en-US"/>
        </w:rPr>
        <w:t>1</w:t>
      </w:r>
      <w:r w:rsidR="00422E88" w:rsidRPr="00F12479">
        <w:rPr>
          <w:rFonts w:asciiTheme="majorBidi" w:hAnsiTheme="majorBidi" w:cstheme="majorBidi"/>
          <w:sz w:val="20"/>
          <w:szCs w:val="20"/>
          <w:lang w:val="en-US"/>
        </w:rPr>
        <w:t xml:space="preserve">, investigation has been launched on </w:t>
      </w:r>
      <w:r w:rsidR="00CC64D8">
        <w:rPr>
          <w:rFonts w:asciiTheme="majorBidi" w:hAnsiTheme="majorBidi" w:cstheme="majorBidi"/>
          <w:sz w:val="20"/>
          <w:szCs w:val="20"/>
          <w:lang w:val="en-US"/>
        </w:rPr>
        <w:t>6</w:t>
      </w:r>
      <w:r w:rsidR="00370DAF" w:rsidRPr="00F12479">
        <w:rPr>
          <w:rFonts w:asciiTheme="majorBidi" w:hAnsiTheme="majorBidi" w:cstheme="majorBidi"/>
          <w:sz w:val="20"/>
          <w:szCs w:val="20"/>
          <w:lang w:val="en-US"/>
        </w:rPr>
        <w:t xml:space="preserve"> cases, </w:t>
      </w:r>
      <w:r w:rsidR="00CC64D8">
        <w:rPr>
          <w:rFonts w:asciiTheme="majorBidi" w:hAnsiTheme="majorBidi" w:cstheme="majorBidi"/>
          <w:sz w:val="20"/>
          <w:szCs w:val="20"/>
          <w:lang w:val="en-US"/>
        </w:rPr>
        <w:t>5</w:t>
      </w:r>
      <w:r w:rsidR="00370DAF" w:rsidRPr="00F12479">
        <w:rPr>
          <w:rFonts w:asciiTheme="majorBidi" w:hAnsiTheme="majorBidi" w:cstheme="majorBidi"/>
          <w:sz w:val="20"/>
          <w:szCs w:val="20"/>
          <w:lang w:val="en-US"/>
        </w:rPr>
        <w:t xml:space="preserve"> cases were terminated and </w:t>
      </w:r>
      <w:r w:rsidR="00CC64D8">
        <w:rPr>
          <w:rFonts w:asciiTheme="majorBidi" w:hAnsiTheme="majorBidi" w:cstheme="majorBidi"/>
          <w:sz w:val="20"/>
          <w:szCs w:val="20"/>
          <w:lang w:val="en-US"/>
        </w:rPr>
        <w:t>1</w:t>
      </w:r>
      <w:r w:rsidR="00422E88" w:rsidRPr="00F12479">
        <w:rPr>
          <w:rFonts w:asciiTheme="majorBidi" w:hAnsiTheme="majorBidi" w:cstheme="majorBidi"/>
          <w:sz w:val="20"/>
          <w:szCs w:val="20"/>
          <w:lang w:val="en-US"/>
        </w:rPr>
        <w:t xml:space="preserve"> case </w:t>
      </w:r>
      <w:r w:rsidR="00871C9A" w:rsidRPr="00F12479">
        <w:rPr>
          <w:rFonts w:asciiTheme="majorBidi" w:hAnsiTheme="majorBidi" w:cstheme="majorBidi"/>
          <w:sz w:val="20"/>
          <w:szCs w:val="20"/>
          <w:lang w:val="en-US"/>
        </w:rPr>
        <w:t>was</w:t>
      </w:r>
      <w:r w:rsidR="00422E88" w:rsidRPr="00F12479">
        <w:rPr>
          <w:rFonts w:asciiTheme="majorBidi" w:hAnsiTheme="majorBidi" w:cstheme="majorBidi"/>
          <w:sz w:val="20"/>
          <w:szCs w:val="20"/>
          <w:lang w:val="en-US"/>
        </w:rPr>
        <w:t xml:space="preserve"> under in</w:t>
      </w:r>
      <w:r w:rsidR="009A51E9" w:rsidRPr="00F12479">
        <w:rPr>
          <w:rFonts w:asciiTheme="majorBidi" w:hAnsiTheme="majorBidi" w:cstheme="majorBidi"/>
          <w:sz w:val="20"/>
          <w:szCs w:val="20"/>
          <w:lang w:val="en-US"/>
        </w:rPr>
        <w:t>vestigation</w:t>
      </w:r>
      <w:r w:rsidR="00422E88" w:rsidRPr="00F12479">
        <w:rPr>
          <w:rFonts w:asciiTheme="majorBidi" w:hAnsiTheme="majorBidi" w:cstheme="majorBidi"/>
          <w:sz w:val="20"/>
          <w:szCs w:val="20"/>
          <w:lang w:val="en-US"/>
        </w:rPr>
        <w:t>.</w:t>
      </w:r>
      <w:r w:rsidR="00422E88" w:rsidRPr="00F12479">
        <w:rPr>
          <w:rStyle w:val="FootnoteReference"/>
          <w:rFonts w:cstheme="majorBidi"/>
          <w:sz w:val="20"/>
          <w:szCs w:val="20"/>
          <w:lang w:val="en-US"/>
        </w:rPr>
        <w:footnoteReference w:id="38"/>
      </w:r>
      <w:r w:rsidR="00B5497A" w:rsidRPr="00F12479">
        <w:rPr>
          <w:rFonts w:asciiTheme="majorBidi" w:hAnsiTheme="majorBidi" w:cstheme="majorBidi"/>
          <w:sz w:val="20"/>
          <w:szCs w:val="20"/>
          <w:lang w:val="en-US"/>
        </w:rPr>
        <w:t xml:space="preserve"> Presented data indicates</w:t>
      </w:r>
      <w:r w:rsidR="00F1164D">
        <w:rPr>
          <w:rFonts w:asciiTheme="majorBidi" w:hAnsiTheme="majorBidi" w:cstheme="majorBidi"/>
          <w:sz w:val="20"/>
          <w:szCs w:val="20"/>
          <w:lang w:val="en-US"/>
        </w:rPr>
        <w:t xml:space="preserve"> a wea</w:t>
      </w:r>
      <w:r w:rsidR="00BA43F8" w:rsidRPr="00F12479">
        <w:rPr>
          <w:rFonts w:asciiTheme="majorBidi" w:hAnsiTheme="majorBidi" w:cstheme="majorBidi"/>
          <w:sz w:val="20"/>
          <w:szCs w:val="20"/>
          <w:lang w:val="en-US"/>
        </w:rPr>
        <w:t xml:space="preserve">k enforcement of </w:t>
      </w:r>
      <w:r w:rsidR="00BA43F8" w:rsidRPr="00F12479">
        <w:rPr>
          <w:rFonts w:asciiTheme="majorBidi" w:hAnsiTheme="majorBidi" w:cstheme="majorBidi"/>
          <w:sz w:val="20"/>
          <w:szCs w:val="20"/>
          <w:lang w:val="en-US"/>
        </w:rPr>
        <w:lastRenderedPageBreak/>
        <w:t>legislation and need</w:t>
      </w:r>
      <w:r w:rsidR="00B5497A" w:rsidRPr="00F12479">
        <w:rPr>
          <w:rFonts w:asciiTheme="majorBidi" w:hAnsiTheme="majorBidi" w:cstheme="majorBidi"/>
          <w:sz w:val="20"/>
          <w:szCs w:val="20"/>
          <w:lang w:val="en-US"/>
        </w:rPr>
        <w:t xml:space="preserve"> for</w:t>
      </w:r>
      <w:r w:rsidR="00CC64D8">
        <w:rPr>
          <w:rFonts w:asciiTheme="majorBidi" w:hAnsiTheme="majorBidi" w:cstheme="majorBidi"/>
          <w:sz w:val="20"/>
          <w:szCs w:val="20"/>
          <w:lang w:val="en-US"/>
        </w:rPr>
        <w:t xml:space="preserve"> </w:t>
      </w:r>
      <w:r w:rsidR="00EE64B5">
        <w:rPr>
          <w:rFonts w:asciiTheme="majorBidi" w:hAnsiTheme="majorBidi" w:cstheme="majorBidi"/>
          <w:sz w:val="20"/>
          <w:szCs w:val="20"/>
          <w:lang w:val="en-US"/>
        </w:rPr>
        <w:t>awareness</w:t>
      </w:r>
      <w:r w:rsidR="00CC64D8" w:rsidRPr="00F12479">
        <w:rPr>
          <w:sz w:val="20"/>
          <w:szCs w:val="20"/>
        </w:rPr>
        <w:t>-raising</w:t>
      </w:r>
      <w:r w:rsidR="0042000A" w:rsidRPr="00F12479">
        <w:rPr>
          <w:sz w:val="20"/>
          <w:szCs w:val="20"/>
        </w:rPr>
        <w:t xml:space="preserve"> and educational campaigns to prevent and combat this harmful practice.</w:t>
      </w:r>
      <w:r w:rsidR="0016640E" w:rsidRPr="00F12479">
        <w:rPr>
          <w:sz w:val="20"/>
          <w:szCs w:val="20"/>
        </w:rPr>
        <w:t xml:space="preserve"> </w:t>
      </w:r>
    </w:p>
    <w:p w:rsidR="0016640E" w:rsidRPr="00F12479" w:rsidRDefault="00BA43F8" w:rsidP="0011715E">
      <w:pPr>
        <w:pStyle w:val="SingleTxtG"/>
        <w:rPr>
          <w:sz w:val="20"/>
          <w:szCs w:val="20"/>
        </w:rPr>
      </w:pPr>
      <w:r w:rsidRPr="00F12479">
        <w:rPr>
          <w:sz w:val="20"/>
          <w:szCs w:val="20"/>
        </w:rPr>
        <w:t>29.</w:t>
      </w:r>
      <w:r w:rsidR="00CC64D8">
        <w:rPr>
          <w:sz w:val="20"/>
          <w:szCs w:val="20"/>
        </w:rPr>
        <w:tab/>
      </w:r>
      <w:r w:rsidR="005045FB" w:rsidRPr="00F12479">
        <w:rPr>
          <w:sz w:val="20"/>
          <w:szCs w:val="20"/>
        </w:rPr>
        <w:t>The mandate holder</w:t>
      </w:r>
      <w:r w:rsidR="0016640E" w:rsidRPr="00F12479">
        <w:rPr>
          <w:sz w:val="20"/>
          <w:szCs w:val="20"/>
        </w:rPr>
        <w:t xml:space="preserve"> highlights the importance of involving religious leaders in the fight against </w:t>
      </w:r>
      <w:r w:rsidRPr="00F12479">
        <w:rPr>
          <w:sz w:val="20"/>
          <w:szCs w:val="20"/>
        </w:rPr>
        <w:t xml:space="preserve">this </w:t>
      </w:r>
      <w:r w:rsidR="0016640E" w:rsidRPr="00F12479">
        <w:rPr>
          <w:sz w:val="20"/>
          <w:szCs w:val="20"/>
        </w:rPr>
        <w:t>harmful practice</w:t>
      </w:r>
      <w:r w:rsidR="00DC39C0" w:rsidRPr="00F12479">
        <w:rPr>
          <w:sz w:val="20"/>
          <w:szCs w:val="20"/>
        </w:rPr>
        <w:t>. She</w:t>
      </w:r>
      <w:r w:rsidR="0016640E" w:rsidRPr="00F12479">
        <w:rPr>
          <w:sz w:val="20"/>
          <w:szCs w:val="20"/>
        </w:rPr>
        <w:t xml:space="preserve"> welcomes the public announcement made after her visit that imams will no longer endorse </w:t>
      </w:r>
      <w:r w:rsidR="0011715E">
        <w:rPr>
          <w:sz w:val="20"/>
          <w:szCs w:val="20"/>
        </w:rPr>
        <w:t>child</w:t>
      </w:r>
      <w:r w:rsidR="0011715E" w:rsidRPr="00F12479">
        <w:rPr>
          <w:sz w:val="20"/>
          <w:szCs w:val="20"/>
        </w:rPr>
        <w:t xml:space="preserve"> </w:t>
      </w:r>
      <w:r w:rsidR="005045FB" w:rsidRPr="00F12479">
        <w:rPr>
          <w:sz w:val="20"/>
          <w:szCs w:val="20"/>
        </w:rPr>
        <w:t xml:space="preserve">marriage in the </w:t>
      </w:r>
      <w:proofErr w:type="spellStart"/>
      <w:r w:rsidR="005045FB" w:rsidRPr="00F12479">
        <w:rPr>
          <w:sz w:val="20"/>
          <w:szCs w:val="20"/>
        </w:rPr>
        <w:t>Pankisi</w:t>
      </w:r>
      <w:proofErr w:type="spellEnd"/>
      <w:r w:rsidR="005045FB" w:rsidRPr="00F12479">
        <w:rPr>
          <w:sz w:val="20"/>
          <w:szCs w:val="20"/>
        </w:rPr>
        <w:t xml:space="preserve"> Gorge</w:t>
      </w:r>
      <w:r w:rsidR="0016640E" w:rsidRPr="00F12479">
        <w:rPr>
          <w:rStyle w:val="FootnoteReference"/>
          <w:sz w:val="20"/>
          <w:szCs w:val="20"/>
        </w:rPr>
        <w:footnoteReference w:id="39"/>
      </w:r>
      <w:r w:rsidR="005045FB" w:rsidRPr="00F12479">
        <w:rPr>
          <w:sz w:val="20"/>
          <w:szCs w:val="20"/>
        </w:rPr>
        <w:t xml:space="preserve"> and looks forward to the implementation of such decision.</w:t>
      </w:r>
    </w:p>
    <w:p w:rsidR="00B75076" w:rsidRPr="005B3A96" w:rsidRDefault="005B3A96" w:rsidP="005B3A96">
      <w:pPr>
        <w:pStyle w:val="H4G"/>
        <w:rPr>
          <w:b/>
          <w:sz w:val="20"/>
          <w:szCs w:val="20"/>
        </w:rPr>
      </w:pPr>
      <w:r>
        <w:rPr>
          <w:b/>
          <w:sz w:val="20"/>
          <w:szCs w:val="20"/>
        </w:rPr>
        <w:tab/>
      </w:r>
      <w:r>
        <w:rPr>
          <w:b/>
          <w:sz w:val="20"/>
          <w:szCs w:val="20"/>
        </w:rPr>
        <w:tab/>
      </w:r>
      <w:r w:rsidR="00B75076" w:rsidRPr="005B3A96">
        <w:rPr>
          <w:b/>
          <w:sz w:val="20"/>
          <w:szCs w:val="20"/>
        </w:rPr>
        <w:t>Prenatal sex selection</w:t>
      </w:r>
    </w:p>
    <w:p w:rsidR="004F4AD2" w:rsidRPr="00F12479" w:rsidRDefault="00BB10DA" w:rsidP="00BC738D">
      <w:pPr>
        <w:pStyle w:val="SingleTxtG"/>
        <w:rPr>
          <w:color w:val="FF0000"/>
          <w:sz w:val="20"/>
          <w:szCs w:val="20"/>
        </w:rPr>
      </w:pPr>
      <w:r w:rsidRPr="00F12479">
        <w:rPr>
          <w:sz w:val="20"/>
          <w:szCs w:val="20"/>
        </w:rPr>
        <w:t>30</w:t>
      </w:r>
      <w:r w:rsidR="006E3414" w:rsidRPr="00F12479">
        <w:rPr>
          <w:sz w:val="20"/>
          <w:szCs w:val="20"/>
        </w:rPr>
        <w:t>.</w:t>
      </w:r>
      <w:r w:rsidR="006E3414" w:rsidRPr="00F12479">
        <w:rPr>
          <w:sz w:val="20"/>
          <w:szCs w:val="20"/>
        </w:rPr>
        <w:tab/>
      </w:r>
      <w:r w:rsidR="004F4AD2" w:rsidRPr="00F12479">
        <w:rPr>
          <w:sz w:val="20"/>
          <w:szCs w:val="20"/>
        </w:rPr>
        <w:t xml:space="preserve">The </w:t>
      </w:r>
      <w:r w:rsidR="006E3414" w:rsidRPr="00F12479">
        <w:rPr>
          <w:sz w:val="20"/>
          <w:szCs w:val="20"/>
        </w:rPr>
        <w:t>mandate holder</w:t>
      </w:r>
      <w:r w:rsidR="004F4AD2" w:rsidRPr="00F12479">
        <w:rPr>
          <w:sz w:val="20"/>
          <w:szCs w:val="20"/>
        </w:rPr>
        <w:t xml:space="preserve"> expressed concern about the existence of </w:t>
      </w:r>
      <w:r w:rsidR="004F4AD2" w:rsidRPr="00F12479">
        <w:rPr>
          <w:b/>
          <w:bCs/>
          <w:sz w:val="20"/>
          <w:szCs w:val="20"/>
        </w:rPr>
        <w:t>prenatal sex selection</w:t>
      </w:r>
      <w:r w:rsidR="004F4AD2" w:rsidRPr="00F12479">
        <w:rPr>
          <w:sz w:val="20"/>
          <w:szCs w:val="20"/>
        </w:rPr>
        <w:t xml:space="preserve">, </w:t>
      </w:r>
      <w:r w:rsidR="00601DE0" w:rsidRPr="00F12479">
        <w:rPr>
          <w:sz w:val="20"/>
          <w:szCs w:val="20"/>
        </w:rPr>
        <w:t xml:space="preserve">showed by several surveys in which families decide to abort the pregnancy if they </w:t>
      </w:r>
      <w:r w:rsidR="00F1164D">
        <w:rPr>
          <w:sz w:val="20"/>
          <w:szCs w:val="20"/>
        </w:rPr>
        <w:t>are</w:t>
      </w:r>
      <w:r w:rsidR="00601DE0" w:rsidRPr="00F12479">
        <w:rPr>
          <w:sz w:val="20"/>
          <w:szCs w:val="20"/>
        </w:rPr>
        <w:t xml:space="preserve"> expecting a girl.</w:t>
      </w:r>
      <w:r w:rsidR="004F4AD2" w:rsidRPr="00F12479">
        <w:rPr>
          <w:sz w:val="20"/>
          <w:szCs w:val="20"/>
        </w:rPr>
        <w:t xml:space="preserve"> </w:t>
      </w:r>
      <w:r w:rsidR="00BE586B" w:rsidRPr="00F12479">
        <w:rPr>
          <w:sz w:val="20"/>
          <w:szCs w:val="20"/>
        </w:rPr>
        <w:t xml:space="preserve">A research conducted by NGOs in which 1,600 women were interviewed, confirmed that the number of selective abortions was high, in particular in regions </w:t>
      </w:r>
      <w:r w:rsidR="006D7672" w:rsidRPr="00F12479">
        <w:rPr>
          <w:sz w:val="20"/>
          <w:szCs w:val="20"/>
        </w:rPr>
        <w:t>inhabited by ethnic minorities.</w:t>
      </w:r>
      <w:r w:rsidR="00BE586B" w:rsidRPr="00F12479">
        <w:rPr>
          <w:rStyle w:val="FootnoteReference"/>
          <w:sz w:val="20"/>
          <w:szCs w:val="20"/>
        </w:rPr>
        <w:footnoteReference w:id="40"/>
      </w:r>
      <w:r w:rsidR="00BC738D">
        <w:rPr>
          <w:sz w:val="20"/>
          <w:szCs w:val="20"/>
        </w:rPr>
        <w:t>She</w:t>
      </w:r>
      <w:r w:rsidR="006D7672" w:rsidRPr="00F12479">
        <w:rPr>
          <w:sz w:val="20"/>
          <w:szCs w:val="20"/>
        </w:rPr>
        <w:t xml:space="preserve"> regrets that no unified data were available on the prevalence of this practice.</w:t>
      </w:r>
      <w:r w:rsidR="00BE586B" w:rsidRPr="00F12479">
        <w:rPr>
          <w:sz w:val="20"/>
          <w:szCs w:val="20"/>
        </w:rPr>
        <w:t xml:space="preserve"> </w:t>
      </w:r>
      <w:r w:rsidR="004F4AD2" w:rsidRPr="00F12479">
        <w:rPr>
          <w:sz w:val="20"/>
          <w:szCs w:val="20"/>
        </w:rPr>
        <w:t xml:space="preserve">According to a </w:t>
      </w:r>
      <w:r w:rsidR="006D7672" w:rsidRPr="00F12479">
        <w:rPr>
          <w:sz w:val="20"/>
          <w:szCs w:val="20"/>
        </w:rPr>
        <w:t xml:space="preserve">2015 </w:t>
      </w:r>
      <w:r w:rsidR="004F4AD2" w:rsidRPr="00F12479">
        <w:rPr>
          <w:sz w:val="20"/>
          <w:szCs w:val="20"/>
        </w:rPr>
        <w:t>study conducted by UNFPA,</w:t>
      </w:r>
      <w:r w:rsidR="004F4AD2" w:rsidRPr="00F12479">
        <w:rPr>
          <w:rStyle w:val="FootnoteReference"/>
          <w:sz w:val="20"/>
          <w:szCs w:val="20"/>
        </w:rPr>
        <w:footnoteReference w:id="41"/>
      </w:r>
      <w:r w:rsidR="00BE586B" w:rsidRPr="00F12479">
        <w:rPr>
          <w:sz w:val="20"/>
          <w:szCs w:val="20"/>
        </w:rPr>
        <w:t xml:space="preserve"> </w:t>
      </w:r>
      <w:r w:rsidR="004F4AD2" w:rsidRPr="00F12479">
        <w:rPr>
          <w:sz w:val="20"/>
          <w:szCs w:val="20"/>
        </w:rPr>
        <w:t xml:space="preserve">the sex ratio at birth </w:t>
      </w:r>
      <w:r w:rsidR="00BE586B" w:rsidRPr="00F12479">
        <w:rPr>
          <w:sz w:val="20"/>
          <w:szCs w:val="20"/>
        </w:rPr>
        <w:t>was</w:t>
      </w:r>
      <w:r w:rsidR="004F4AD2" w:rsidRPr="00F12479">
        <w:rPr>
          <w:sz w:val="20"/>
          <w:szCs w:val="20"/>
        </w:rPr>
        <w:t xml:space="preserve"> below 110 male births per 100 female births</w:t>
      </w:r>
      <w:r w:rsidR="006D7672" w:rsidRPr="00F12479">
        <w:rPr>
          <w:sz w:val="20"/>
          <w:szCs w:val="20"/>
        </w:rPr>
        <w:t xml:space="preserve">. Although it seems this figure </w:t>
      </w:r>
      <w:r w:rsidR="00601DE0" w:rsidRPr="00F12479">
        <w:rPr>
          <w:sz w:val="20"/>
          <w:szCs w:val="20"/>
        </w:rPr>
        <w:t>has decreased,</w:t>
      </w:r>
      <w:r w:rsidR="006D7672" w:rsidRPr="00F12479">
        <w:rPr>
          <w:sz w:val="20"/>
          <w:szCs w:val="20"/>
        </w:rPr>
        <w:t xml:space="preserve"> the practice is far from being abandoned</w:t>
      </w:r>
      <w:r w:rsidR="00601DE0" w:rsidRPr="00F12479">
        <w:rPr>
          <w:sz w:val="20"/>
          <w:szCs w:val="20"/>
        </w:rPr>
        <w:t>.</w:t>
      </w:r>
      <w:r w:rsidR="00DE679D" w:rsidRPr="00F12479">
        <w:rPr>
          <w:color w:val="FF0000"/>
          <w:sz w:val="20"/>
          <w:szCs w:val="20"/>
        </w:rPr>
        <w:t xml:space="preserve"> </w:t>
      </w:r>
    </w:p>
    <w:p w:rsidR="00DE679D" w:rsidRPr="00F12479" w:rsidRDefault="00BB10DA" w:rsidP="006D7672">
      <w:pPr>
        <w:pStyle w:val="SingleTxtG"/>
        <w:rPr>
          <w:sz w:val="20"/>
          <w:szCs w:val="20"/>
        </w:rPr>
      </w:pPr>
      <w:r w:rsidRPr="00F12479">
        <w:rPr>
          <w:sz w:val="20"/>
          <w:szCs w:val="20"/>
        </w:rPr>
        <w:t>31</w:t>
      </w:r>
      <w:r w:rsidR="00DE679D" w:rsidRPr="00F12479">
        <w:rPr>
          <w:sz w:val="20"/>
          <w:szCs w:val="20"/>
        </w:rPr>
        <w:t>.</w:t>
      </w:r>
      <w:r w:rsidR="00DE679D" w:rsidRPr="00F12479">
        <w:rPr>
          <w:sz w:val="20"/>
          <w:szCs w:val="20"/>
        </w:rPr>
        <w:tab/>
        <w:t>Among the reasons for which families decide to under</w:t>
      </w:r>
      <w:r w:rsidR="008779AA" w:rsidRPr="00F12479">
        <w:rPr>
          <w:sz w:val="20"/>
          <w:szCs w:val="20"/>
        </w:rPr>
        <w:t xml:space="preserve">go a sex-selective abortion are </w:t>
      </w:r>
      <w:r w:rsidR="00DE679D" w:rsidRPr="00F12479">
        <w:rPr>
          <w:sz w:val="20"/>
          <w:szCs w:val="20"/>
        </w:rPr>
        <w:t>the greater value placed on sons</w:t>
      </w:r>
      <w:r w:rsidR="008779AA" w:rsidRPr="00F12479">
        <w:rPr>
          <w:sz w:val="20"/>
          <w:szCs w:val="20"/>
        </w:rPr>
        <w:t xml:space="preserve">, the pressure on couples to have a son, as well as </w:t>
      </w:r>
      <w:r w:rsidR="00DE679D" w:rsidRPr="00F12479">
        <w:rPr>
          <w:sz w:val="20"/>
          <w:szCs w:val="20"/>
        </w:rPr>
        <w:t xml:space="preserve">economic concerns, including the </w:t>
      </w:r>
      <w:r w:rsidR="006D7672" w:rsidRPr="00F12479">
        <w:rPr>
          <w:sz w:val="20"/>
          <w:szCs w:val="20"/>
        </w:rPr>
        <w:t>assumption that boys</w:t>
      </w:r>
      <w:r w:rsidR="00DE679D" w:rsidRPr="00F12479">
        <w:rPr>
          <w:sz w:val="20"/>
          <w:szCs w:val="20"/>
        </w:rPr>
        <w:t xml:space="preserve"> are more likely to provide financial support</w:t>
      </w:r>
      <w:r w:rsidR="006D7672" w:rsidRPr="00F12479">
        <w:rPr>
          <w:sz w:val="20"/>
          <w:szCs w:val="20"/>
        </w:rPr>
        <w:t xml:space="preserve"> to their parents</w:t>
      </w:r>
      <w:r w:rsidR="00DE679D" w:rsidRPr="00F12479">
        <w:rPr>
          <w:sz w:val="20"/>
          <w:szCs w:val="20"/>
        </w:rPr>
        <w:t>.</w:t>
      </w:r>
      <w:r w:rsidR="00DE679D" w:rsidRPr="00F12479">
        <w:rPr>
          <w:rStyle w:val="FootnoteReference"/>
          <w:sz w:val="20"/>
          <w:szCs w:val="20"/>
        </w:rPr>
        <w:footnoteReference w:id="42"/>
      </w:r>
    </w:p>
    <w:p w:rsidR="00B75076" w:rsidRPr="005B3A96" w:rsidRDefault="005B3A96" w:rsidP="005B3A96">
      <w:pPr>
        <w:pStyle w:val="H4G"/>
        <w:rPr>
          <w:b/>
          <w:sz w:val="20"/>
          <w:szCs w:val="20"/>
        </w:rPr>
      </w:pPr>
      <w:r>
        <w:rPr>
          <w:b/>
          <w:sz w:val="20"/>
          <w:szCs w:val="20"/>
        </w:rPr>
        <w:tab/>
      </w:r>
      <w:r>
        <w:rPr>
          <w:b/>
          <w:sz w:val="20"/>
          <w:szCs w:val="20"/>
        </w:rPr>
        <w:tab/>
      </w:r>
      <w:r w:rsidR="00B75076" w:rsidRPr="005B3A96">
        <w:rPr>
          <w:b/>
          <w:sz w:val="20"/>
          <w:szCs w:val="20"/>
        </w:rPr>
        <w:t>Virginity tests</w:t>
      </w:r>
    </w:p>
    <w:p w:rsidR="004D5530" w:rsidRPr="00F12479" w:rsidRDefault="00BB10DA" w:rsidP="004D5530">
      <w:pPr>
        <w:pStyle w:val="SingleTxtG"/>
        <w:rPr>
          <w:sz w:val="20"/>
          <w:szCs w:val="20"/>
        </w:rPr>
      </w:pPr>
      <w:r w:rsidRPr="00F12479">
        <w:rPr>
          <w:rFonts w:asciiTheme="majorBidi" w:hAnsiTheme="majorBidi" w:cstheme="majorBidi"/>
          <w:color w:val="000000"/>
          <w:sz w:val="20"/>
          <w:szCs w:val="20"/>
        </w:rPr>
        <w:t>32</w:t>
      </w:r>
      <w:r w:rsidR="00601DE0" w:rsidRPr="00F12479">
        <w:rPr>
          <w:rFonts w:asciiTheme="majorBidi" w:hAnsiTheme="majorBidi" w:cstheme="majorBidi"/>
          <w:color w:val="000000"/>
          <w:sz w:val="20"/>
          <w:szCs w:val="20"/>
        </w:rPr>
        <w:t>.</w:t>
      </w:r>
      <w:r w:rsidR="00601DE0" w:rsidRPr="00F12479">
        <w:rPr>
          <w:rFonts w:asciiTheme="majorBidi" w:hAnsiTheme="majorBidi" w:cstheme="majorBidi"/>
          <w:color w:val="000000"/>
          <w:sz w:val="20"/>
          <w:szCs w:val="20"/>
        </w:rPr>
        <w:tab/>
        <w:t>Due to societal pressures, among other</w:t>
      </w:r>
      <w:r w:rsidR="00943CF6" w:rsidRPr="00F12479">
        <w:rPr>
          <w:rFonts w:asciiTheme="majorBidi" w:hAnsiTheme="majorBidi" w:cstheme="majorBidi"/>
          <w:color w:val="000000"/>
          <w:sz w:val="20"/>
          <w:szCs w:val="20"/>
        </w:rPr>
        <w:t xml:space="preserve"> reason</w:t>
      </w:r>
      <w:r w:rsidR="00601DE0" w:rsidRPr="00F12479">
        <w:rPr>
          <w:rFonts w:asciiTheme="majorBidi" w:hAnsiTheme="majorBidi" w:cstheme="majorBidi"/>
          <w:color w:val="000000"/>
          <w:sz w:val="20"/>
          <w:szCs w:val="20"/>
        </w:rPr>
        <w:t xml:space="preserve">s, women undertake </w:t>
      </w:r>
      <w:r w:rsidR="00601DE0" w:rsidRPr="00F12479">
        <w:rPr>
          <w:rFonts w:asciiTheme="majorBidi" w:hAnsiTheme="majorBidi" w:cstheme="majorBidi"/>
          <w:b/>
          <w:bCs/>
          <w:color w:val="000000"/>
          <w:sz w:val="20"/>
          <w:szCs w:val="20"/>
        </w:rPr>
        <w:t>virginity tests</w:t>
      </w:r>
      <w:r w:rsidR="00601DE0" w:rsidRPr="00F12479">
        <w:rPr>
          <w:rFonts w:asciiTheme="majorBidi" w:hAnsiTheme="majorBidi" w:cstheme="majorBidi"/>
          <w:color w:val="000000"/>
          <w:sz w:val="20"/>
          <w:szCs w:val="20"/>
        </w:rPr>
        <w:t xml:space="preserve">, to prove their virginity to their husbands and relatives. In 2013, according to the information released by the </w:t>
      </w:r>
      <w:proofErr w:type="spellStart"/>
      <w:r w:rsidR="00601DE0" w:rsidRPr="00F12479">
        <w:rPr>
          <w:sz w:val="20"/>
          <w:szCs w:val="20"/>
        </w:rPr>
        <w:t>Levan</w:t>
      </w:r>
      <w:proofErr w:type="spellEnd"/>
      <w:r w:rsidR="00601DE0" w:rsidRPr="00F12479">
        <w:rPr>
          <w:sz w:val="20"/>
          <w:szCs w:val="20"/>
        </w:rPr>
        <w:t xml:space="preserve"> </w:t>
      </w:r>
      <w:proofErr w:type="spellStart"/>
      <w:r w:rsidR="00601DE0" w:rsidRPr="00F12479">
        <w:rPr>
          <w:sz w:val="20"/>
          <w:szCs w:val="20"/>
        </w:rPr>
        <w:t>Samkharauli</w:t>
      </w:r>
      <w:proofErr w:type="spellEnd"/>
      <w:r w:rsidR="00601DE0" w:rsidRPr="00F12479">
        <w:rPr>
          <w:sz w:val="20"/>
          <w:szCs w:val="20"/>
        </w:rPr>
        <w:t xml:space="preserve"> State Forensic Expertise Bureau, for </w:t>
      </w:r>
      <w:r w:rsidR="009404A4" w:rsidRPr="00F12479">
        <w:rPr>
          <w:sz w:val="20"/>
          <w:szCs w:val="20"/>
        </w:rPr>
        <w:t>175 GEL (</w:t>
      </w:r>
      <w:r w:rsidR="00601DE0" w:rsidRPr="00F12479">
        <w:rPr>
          <w:sz w:val="20"/>
          <w:szCs w:val="20"/>
        </w:rPr>
        <w:t>appr</w:t>
      </w:r>
      <w:r w:rsidR="009404A4" w:rsidRPr="00F12479">
        <w:rPr>
          <w:sz w:val="20"/>
          <w:szCs w:val="20"/>
        </w:rPr>
        <w:t>oximately 78 USD)</w:t>
      </w:r>
      <w:r w:rsidR="00601DE0" w:rsidRPr="00F12479">
        <w:rPr>
          <w:sz w:val="20"/>
          <w:szCs w:val="20"/>
        </w:rPr>
        <w:t>, women could access services to test their virginity.</w:t>
      </w:r>
      <w:r w:rsidR="00601DE0" w:rsidRPr="00F12479">
        <w:rPr>
          <w:rStyle w:val="FootnoteReference"/>
          <w:rFonts w:cstheme="majorBidi"/>
          <w:color w:val="000000"/>
          <w:sz w:val="20"/>
          <w:szCs w:val="20"/>
        </w:rPr>
        <w:footnoteReference w:id="43"/>
      </w:r>
      <w:r w:rsidR="00601DE0" w:rsidRPr="00F12479">
        <w:rPr>
          <w:sz w:val="20"/>
          <w:szCs w:val="20"/>
        </w:rPr>
        <w:t xml:space="preserve"> </w:t>
      </w:r>
      <w:r w:rsidR="00DA6D70" w:rsidRPr="00F12479">
        <w:rPr>
          <w:sz w:val="20"/>
          <w:szCs w:val="20"/>
        </w:rPr>
        <w:t>T</w:t>
      </w:r>
      <w:r w:rsidR="00601DE0" w:rsidRPr="00F12479">
        <w:rPr>
          <w:sz w:val="20"/>
          <w:szCs w:val="20"/>
        </w:rPr>
        <w:t xml:space="preserve">he Special Rapporteur is concerned </w:t>
      </w:r>
      <w:r w:rsidR="00DA6D70" w:rsidRPr="00F12479">
        <w:rPr>
          <w:sz w:val="20"/>
          <w:szCs w:val="20"/>
        </w:rPr>
        <w:t xml:space="preserve">that the </w:t>
      </w:r>
      <w:r w:rsidR="000C4E82" w:rsidRPr="00F12479">
        <w:rPr>
          <w:sz w:val="20"/>
          <w:szCs w:val="20"/>
        </w:rPr>
        <w:t xml:space="preserve">State </w:t>
      </w:r>
      <w:r w:rsidR="00DA6D70" w:rsidRPr="00F12479">
        <w:rPr>
          <w:sz w:val="20"/>
          <w:szCs w:val="20"/>
        </w:rPr>
        <w:t xml:space="preserve">public legal entity is performing such tests </w:t>
      </w:r>
      <w:r w:rsidR="000C4E82" w:rsidRPr="00F12479">
        <w:rPr>
          <w:sz w:val="20"/>
          <w:szCs w:val="20"/>
        </w:rPr>
        <w:t xml:space="preserve">without safeguards for protection of women’s rights to privacy and fully informed consent </w:t>
      </w:r>
      <w:r w:rsidR="00601DE0" w:rsidRPr="00F12479">
        <w:rPr>
          <w:sz w:val="20"/>
          <w:szCs w:val="20"/>
        </w:rPr>
        <w:t xml:space="preserve">and reminds </w:t>
      </w:r>
      <w:r w:rsidR="004D5530" w:rsidRPr="00F12479">
        <w:rPr>
          <w:sz w:val="20"/>
          <w:szCs w:val="20"/>
        </w:rPr>
        <w:t xml:space="preserve">concerned that </w:t>
      </w:r>
      <w:r w:rsidR="000C4E82" w:rsidRPr="00F12479">
        <w:rPr>
          <w:sz w:val="20"/>
          <w:szCs w:val="20"/>
        </w:rPr>
        <w:t xml:space="preserve">many such tests </w:t>
      </w:r>
      <w:r w:rsidR="004D5530" w:rsidRPr="00F12479">
        <w:rPr>
          <w:sz w:val="20"/>
          <w:szCs w:val="20"/>
        </w:rPr>
        <w:t>are preformed due to the stereotyp</w:t>
      </w:r>
      <w:r w:rsidR="000C4E82" w:rsidRPr="00F12479">
        <w:rPr>
          <w:sz w:val="20"/>
          <w:szCs w:val="20"/>
        </w:rPr>
        <w:t>es on women’s sexual behaviours.</w:t>
      </w:r>
      <w:r w:rsidR="004D5530" w:rsidRPr="00F12479">
        <w:rPr>
          <w:sz w:val="20"/>
          <w:szCs w:val="20"/>
        </w:rPr>
        <w:t xml:space="preserve"> </w:t>
      </w:r>
    </w:p>
    <w:p w:rsidR="00B75076" w:rsidRPr="005B3A96" w:rsidRDefault="005B3A96" w:rsidP="005B3A96">
      <w:pPr>
        <w:pStyle w:val="H4G"/>
        <w:rPr>
          <w:b/>
          <w:sz w:val="20"/>
          <w:szCs w:val="20"/>
        </w:rPr>
      </w:pPr>
      <w:r>
        <w:rPr>
          <w:b/>
          <w:sz w:val="20"/>
          <w:szCs w:val="20"/>
        </w:rPr>
        <w:tab/>
      </w:r>
      <w:r>
        <w:rPr>
          <w:b/>
          <w:sz w:val="20"/>
          <w:szCs w:val="20"/>
        </w:rPr>
        <w:tab/>
      </w:r>
      <w:r w:rsidR="00B75076" w:rsidRPr="005B3A96">
        <w:rPr>
          <w:b/>
          <w:sz w:val="20"/>
          <w:szCs w:val="20"/>
        </w:rPr>
        <w:t>Surrogate motherhood</w:t>
      </w:r>
    </w:p>
    <w:p w:rsidR="00B75076" w:rsidRPr="00F12479" w:rsidRDefault="00A82DC6" w:rsidP="00B75076">
      <w:pPr>
        <w:pStyle w:val="SingleTxtG"/>
        <w:rPr>
          <w:sz w:val="20"/>
          <w:szCs w:val="20"/>
        </w:rPr>
      </w:pPr>
      <w:r>
        <w:rPr>
          <w:sz w:val="20"/>
          <w:szCs w:val="20"/>
        </w:rPr>
        <w:t>33</w:t>
      </w:r>
      <w:r w:rsidR="00B75076" w:rsidRPr="00F12479">
        <w:rPr>
          <w:sz w:val="20"/>
          <w:szCs w:val="20"/>
        </w:rPr>
        <w:t>.</w:t>
      </w:r>
      <w:r w:rsidR="00B75076" w:rsidRPr="00F12479">
        <w:rPr>
          <w:sz w:val="20"/>
          <w:szCs w:val="20"/>
        </w:rPr>
        <w:tab/>
        <w:t xml:space="preserve">The Special Rapporteur was informed that different foreign agencies </w:t>
      </w:r>
      <w:r w:rsidR="00E07BFC">
        <w:rPr>
          <w:sz w:val="20"/>
          <w:szCs w:val="20"/>
        </w:rPr>
        <w:t>have</w:t>
      </w:r>
      <w:r w:rsidR="00E07BFC" w:rsidRPr="00F12479">
        <w:rPr>
          <w:sz w:val="20"/>
          <w:szCs w:val="20"/>
        </w:rPr>
        <w:t xml:space="preserve"> </w:t>
      </w:r>
      <w:r w:rsidR="00B75076" w:rsidRPr="00F12479">
        <w:rPr>
          <w:sz w:val="20"/>
          <w:szCs w:val="20"/>
        </w:rPr>
        <w:t>advertis</w:t>
      </w:r>
      <w:r w:rsidR="00E07BFC">
        <w:rPr>
          <w:sz w:val="20"/>
          <w:szCs w:val="20"/>
        </w:rPr>
        <w:t>ed</w:t>
      </w:r>
      <w:r w:rsidR="00B75076" w:rsidRPr="00F12479">
        <w:rPr>
          <w:sz w:val="20"/>
          <w:szCs w:val="20"/>
        </w:rPr>
        <w:t xml:space="preserve"> and offer</w:t>
      </w:r>
      <w:r w:rsidR="00E07BFC">
        <w:rPr>
          <w:sz w:val="20"/>
          <w:szCs w:val="20"/>
        </w:rPr>
        <w:t>ed</w:t>
      </w:r>
      <w:r w:rsidR="00B75076" w:rsidRPr="00F12479">
        <w:rPr>
          <w:sz w:val="20"/>
          <w:szCs w:val="20"/>
        </w:rPr>
        <w:t xml:space="preserve"> </w:t>
      </w:r>
      <w:r w:rsidR="00B75076" w:rsidRPr="00F12479">
        <w:rPr>
          <w:b/>
          <w:sz w:val="20"/>
          <w:szCs w:val="20"/>
        </w:rPr>
        <w:t>surrogate motherhood</w:t>
      </w:r>
      <w:r w:rsidR="0011715E">
        <w:rPr>
          <w:sz w:val="20"/>
          <w:szCs w:val="20"/>
        </w:rPr>
        <w:t xml:space="preserve"> contracts to young women </w:t>
      </w:r>
      <w:r w:rsidR="00B75076" w:rsidRPr="00F12479">
        <w:rPr>
          <w:sz w:val="20"/>
          <w:szCs w:val="20"/>
        </w:rPr>
        <w:t xml:space="preserve">and that </w:t>
      </w:r>
      <w:r w:rsidR="00F1164D">
        <w:rPr>
          <w:sz w:val="20"/>
          <w:szCs w:val="20"/>
        </w:rPr>
        <w:t xml:space="preserve">the </w:t>
      </w:r>
      <w:r w:rsidR="00B75076" w:rsidRPr="00F12479">
        <w:rPr>
          <w:sz w:val="20"/>
          <w:szCs w:val="20"/>
        </w:rPr>
        <w:t>whole procedure of medically assisted procreation is not legally regulated and as such could lead to violence and exploitation of women entering such contracts that are not based on clear legal regulation.</w:t>
      </w:r>
    </w:p>
    <w:p w:rsidR="00676E03" w:rsidRPr="005B3A96" w:rsidRDefault="00676E03" w:rsidP="005B3A96">
      <w:pPr>
        <w:pStyle w:val="H4G"/>
        <w:rPr>
          <w:b/>
          <w:sz w:val="20"/>
          <w:szCs w:val="20"/>
        </w:rPr>
      </w:pPr>
      <w:r w:rsidRPr="008708BA">
        <w:tab/>
      </w:r>
      <w:r w:rsidR="00FF1818">
        <w:tab/>
      </w:r>
      <w:r w:rsidRPr="005B3A96">
        <w:rPr>
          <w:b/>
          <w:sz w:val="20"/>
          <w:szCs w:val="20"/>
        </w:rPr>
        <w:t>Specific groups at risk</w:t>
      </w:r>
    </w:p>
    <w:p w:rsidR="0029446D" w:rsidRPr="00F12479" w:rsidRDefault="00A82DC6" w:rsidP="00BC738D">
      <w:pPr>
        <w:pStyle w:val="SingleTxtG"/>
        <w:ind w:firstLine="6"/>
        <w:rPr>
          <w:sz w:val="20"/>
          <w:szCs w:val="20"/>
        </w:rPr>
      </w:pPr>
      <w:r>
        <w:rPr>
          <w:sz w:val="20"/>
          <w:szCs w:val="20"/>
        </w:rPr>
        <w:t>34</w:t>
      </w:r>
      <w:r w:rsidR="00B03439" w:rsidRPr="00F12479">
        <w:rPr>
          <w:sz w:val="20"/>
          <w:szCs w:val="20"/>
        </w:rPr>
        <w:t>.</w:t>
      </w:r>
      <w:r w:rsidR="00B03439" w:rsidRPr="00F12479">
        <w:rPr>
          <w:sz w:val="20"/>
          <w:szCs w:val="20"/>
        </w:rPr>
        <w:tab/>
      </w:r>
      <w:r w:rsidR="0029446D" w:rsidRPr="00F12479">
        <w:rPr>
          <w:sz w:val="20"/>
          <w:szCs w:val="20"/>
        </w:rPr>
        <w:t xml:space="preserve">Throughout her visit, the Rapporteur noted that specific groups of women </w:t>
      </w:r>
      <w:r w:rsidR="00672C6C" w:rsidRPr="00F12479">
        <w:rPr>
          <w:sz w:val="20"/>
          <w:szCs w:val="20"/>
        </w:rPr>
        <w:t>including</w:t>
      </w:r>
      <w:r w:rsidR="0029446D" w:rsidRPr="00F12479">
        <w:rPr>
          <w:sz w:val="20"/>
          <w:szCs w:val="20"/>
        </w:rPr>
        <w:t xml:space="preserve">, women belonging to ethnic minorities, </w:t>
      </w:r>
      <w:r w:rsidR="00672C6C" w:rsidRPr="00F12479">
        <w:rPr>
          <w:sz w:val="20"/>
          <w:szCs w:val="20"/>
        </w:rPr>
        <w:t xml:space="preserve">women </w:t>
      </w:r>
      <w:r w:rsidR="0029446D" w:rsidRPr="00F12479">
        <w:rPr>
          <w:sz w:val="20"/>
          <w:szCs w:val="20"/>
        </w:rPr>
        <w:t xml:space="preserve">living in rural areas, internally displaced </w:t>
      </w:r>
      <w:r w:rsidR="0029446D" w:rsidRPr="00F12479">
        <w:rPr>
          <w:sz w:val="20"/>
          <w:szCs w:val="20"/>
        </w:rPr>
        <w:lastRenderedPageBreak/>
        <w:t xml:space="preserve">women, </w:t>
      </w:r>
      <w:r w:rsidR="00CA7728" w:rsidRPr="00F12479">
        <w:rPr>
          <w:sz w:val="20"/>
          <w:szCs w:val="20"/>
        </w:rPr>
        <w:t xml:space="preserve">refugees, </w:t>
      </w:r>
      <w:r w:rsidR="0029446D" w:rsidRPr="00F12479">
        <w:rPr>
          <w:sz w:val="20"/>
          <w:szCs w:val="20"/>
        </w:rPr>
        <w:t xml:space="preserve">LGTB or </w:t>
      </w:r>
      <w:r w:rsidR="000D4D82" w:rsidRPr="00F12479">
        <w:rPr>
          <w:sz w:val="20"/>
          <w:szCs w:val="20"/>
        </w:rPr>
        <w:t>older</w:t>
      </w:r>
      <w:r w:rsidR="0029446D" w:rsidRPr="00F12479">
        <w:rPr>
          <w:sz w:val="20"/>
          <w:szCs w:val="20"/>
        </w:rPr>
        <w:t xml:space="preserve"> women tend to suffer multiple forms of discrimination, which render them more vulnerable to specific forms of violence.</w:t>
      </w:r>
    </w:p>
    <w:p w:rsidR="00A22829" w:rsidRPr="00F12479" w:rsidRDefault="00A82DC6" w:rsidP="0011715E">
      <w:pPr>
        <w:pStyle w:val="SingleTxtG"/>
        <w:ind w:firstLine="6"/>
        <w:rPr>
          <w:sz w:val="20"/>
          <w:szCs w:val="20"/>
        </w:rPr>
      </w:pPr>
      <w:r>
        <w:rPr>
          <w:sz w:val="20"/>
          <w:szCs w:val="20"/>
        </w:rPr>
        <w:t>35</w:t>
      </w:r>
      <w:r w:rsidR="00F433A9" w:rsidRPr="00F12479">
        <w:rPr>
          <w:sz w:val="20"/>
          <w:szCs w:val="20"/>
        </w:rPr>
        <w:t>.</w:t>
      </w:r>
      <w:r w:rsidR="00F433A9" w:rsidRPr="00F12479">
        <w:rPr>
          <w:sz w:val="20"/>
          <w:szCs w:val="20"/>
        </w:rPr>
        <w:tab/>
      </w:r>
      <w:r w:rsidR="00545DFF" w:rsidRPr="00F12479">
        <w:rPr>
          <w:sz w:val="20"/>
          <w:szCs w:val="20"/>
        </w:rPr>
        <w:t xml:space="preserve">Women belonging to ethnic minorities, including </w:t>
      </w:r>
      <w:r w:rsidR="000F362C" w:rsidRPr="00F12479">
        <w:rPr>
          <w:sz w:val="20"/>
          <w:szCs w:val="20"/>
        </w:rPr>
        <w:t xml:space="preserve">Azeri, Armenian, </w:t>
      </w:r>
      <w:proofErr w:type="spellStart"/>
      <w:r w:rsidR="00CA7728" w:rsidRPr="00F12479">
        <w:rPr>
          <w:sz w:val="20"/>
          <w:szCs w:val="20"/>
        </w:rPr>
        <w:t>Ossetian</w:t>
      </w:r>
      <w:proofErr w:type="spellEnd"/>
      <w:r w:rsidR="00CA7728" w:rsidRPr="00F12479">
        <w:rPr>
          <w:sz w:val="20"/>
          <w:szCs w:val="20"/>
        </w:rPr>
        <w:t>, Kist</w:t>
      </w:r>
      <w:r w:rsidR="001B249E" w:rsidRPr="00F12479">
        <w:rPr>
          <w:sz w:val="20"/>
          <w:szCs w:val="20"/>
        </w:rPr>
        <w:t xml:space="preserve">, </w:t>
      </w:r>
      <w:proofErr w:type="spellStart"/>
      <w:r w:rsidR="00545DFF" w:rsidRPr="00F12479">
        <w:rPr>
          <w:sz w:val="20"/>
          <w:szCs w:val="20"/>
        </w:rPr>
        <w:t>Yezidi</w:t>
      </w:r>
      <w:proofErr w:type="spellEnd"/>
      <w:r w:rsidR="005177BA" w:rsidRPr="00F12479">
        <w:rPr>
          <w:sz w:val="20"/>
          <w:szCs w:val="20"/>
        </w:rPr>
        <w:t xml:space="preserve"> </w:t>
      </w:r>
      <w:r w:rsidR="00545DFF" w:rsidRPr="00F12479">
        <w:rPr>
          <w:sz w:val="20"/>
          <w:szCs w:val="20"/>
        </w:rPr>
        <w:t xml:space="preserve">and Roma women are not only discriminated because of their gender, but the fact that they are also minorities increases their vulnerability to suffer specific forms of violence. </w:t>
      </w:r>
      <w:r w:rsidR="000F362C" w:rsidRPr="00F12479">
        <w:rPr>
          <w:sz w:val="20"/>
          <w:szCs w:val="20"/>
        </w:rPr>
        <w:t xml:space="preserve">Gender stereotypes and gender specific roles within the family and in society are still prevalent in such communities. </w:t>
      </w:r>
      <w:r w:rsidR="00545DFF" w:rsidRPr="00F12479">
        <w:rPr>
          <w:sz w:val="20"/>
          <w:szCs w:val="20"/>
        </w:rPr>
        <w:t xml:space="preserve">It is considered that </w:t>
      </w:r>
      <w:r w:rsidR="0011715E">
        <w:rPr>
          <w:sz w:val="20"/>
          <w:szCs w:val="20"/>
        </w:rPr>
        <w:t>child</w:t>
      </w:r>
      <w:r w:rsidR="0011715E" w:rsidRPr="00F12479">
        <w:rPr>
          <w:sz w:val="20"/>
          <w:szCs w:val="20"/>
        </w:rPr>
        <w:t xml:space="preserve"> </w:t>
      </w:r>
      <w:r w:rsidR="00545DFF" w:rsidRPr="00F12479">
        <w:rPr>
          <w:sz w:val="20"/>
          <w:szCs w:val="20"/>
        </w:rPr>
        <w:t>marriage</w:t>
      </w:r>
      <w:r w:rsidR="000F362C" w:rsidRPr="00F12479">
        <w:rPr>
          <w:sz w:val="20"/>
          <w:szCs w:val="20"/>
        </w:rPr>
        <w:t xml:space="preserve"> and therefore </w:t>
      </w:r>
      <w:r w:rsidR="005177BA" w:rsidRPr="00F12479">
        <w:rPr>
          <w:sz w:val="20"/>
          <w:szCs w:val="20"/>
        </w:rPr>
        <w:t>child birth</w:t>
      </w:r>
      <w:r w:rsidR="000F362C" w:rsidRPr="00F12479">
        <w:rPr>
          <w:sz w:val="20"/>
          <w:szCs w:val="20"/>
        </w:rPr>
        <w:t xml:space="preserve"> and/or school drop outs</w:t>
      </w:r>
      <w:r w:rsidR="00545DFF" w:rsidRPr="00F12479">
        <w:rPr>
          <w:sz w:val="20"/>
          <w:szCs w:val="20"/>
        </w:rPr>
        <w:t xml:space="preserve"> and domestic violence tend to be mor</w:t>
      </w:r>
      <w:r w:rsidR="00467A14" w:rsidRPr="00F12479">
        <w:rPr>
          <w:sz w:val="20"/>
          <w:szCs w:val="20"/>
        </w:rPr>
        <w:t>e prevalent in minority groups</w:t>
      </w:r>
      <w:r w:rsidR="006D459D">
        <w:rPr>
          <w:sz w:val="20"/>
          <w:szCs w:val="20"/>
        </w:rPr>
        <w:t>, in particular</w:t>
      </w:r>
      <w:r w:rsidR="00545DFF" w:rsidRPr="00F12479">
        <w:rPr>
          <w:sz w:val="20"/>
          <w:szCs w:val="20"/>
        </w:rPr>
        <w:t xml:space="preserve"> those living in rural areas.</w:t>
      </w:r>
      <w:r w:rsidR="00545DFF" w:rsidRPr="00F12479">
        <w:rPr>
          <w:rStyle w:val="FootnoteReference"/>
          <w:sz w:val="20"/>
          <w:szCs w:val="20"/>
        </w:rPr>
        <w:footnoteReference w:id="44"/>
      </w:r>
      <w:r w:rsidR="00545DFF" w:rsidRPr="00F12479">
        <w:rPr>
          <w:sz w:val="20"/>
          <w:szCs w:val="20"/>
        </w:rPr>
        <w:t xml:space="preserve"> </w:t>
      </w:r>
      <w:r w:rsidR="00351F6F" w:rsidRPr="00F12479">
        <w:rPr>
          <w:sz w:val="20"/>
          <w:szCs w:val="20"/>
        </w:rPr>
        <w:t xml:space="preserve">In 2010, the Reproductive Health Survey Georgia </w:t>
      </w:r>
      <w:r w:rsidR="00ED575F" w:rsidRPr="00F12479">
        <w:rPr>
          <w:sz w:val="20"/>
          <w:szCs w:val="20"/>
        </w:rPr>
        <w:t>2010</w:t>
      </w:r>
      <w:r w:rsidR="00351F6F" w:rsidRPr="00F12479">
        <w:rPr>
          <w:sz w:val="20"/>
          <w:szCs w:val="20"/>
        </w:rPr>
        <w:t xml:space="preserve"> highlighted that Azeri women were almost twice as likely as ethnic Georgians to experience abuse in their marriages.</w:t>
      </w:r>
      <w:r w:rsidR="00351F6F" w:rsidRPr="00F12479">
        <w:rPr>
          <w:rStyle w:val="FootnoteReference"/>
          <w:sz w:val="20"/>
          <w:szCs w:val="20"/>
        </w:rPr>
        <w:footnoteReference w:id="45"/>
      </w:r>
      <w:r w:rsidR="00351F6F" w:rsidRPr="00F12479">
        <w:rPr>
          <w:sz w:val="20"/>
          <w:szCs w:val="20"/>
        </w:rPr>
        <w:t xml:space="preserve"> </w:t>
      </w:r>
    </w:p>
    <w:p w:rsidR="00ED575F" w:rsidRPr="00F12479" w:rsidRDefault="00A82DC6" w:rsidP="00E07E30">
      <w:pPr>
        <w:pStyle w:val="SingleTxtG"/>
        <w:ind w:firstLine="6"/>
        <w:rPr>
          <w:sz w:val="20"/>
          <w:szCs w:val="20"/>
        </w:rPr>
      </w:pPr>
      <w:r>
        <w:rPr>
          <w:sz w:val="20"/>
          <w:szCs w:val="20"/>
        </w:rPr>
        <w:t>36</w:t>
      </w:r>
      <w:r w:rsidR="00A22829" w:rsidRPr="00F12479">
        <w:rPr>
          <w:sz w:val="20"/>
          <w:szCs w:val="20"/>
        </w:rPr>
        <w:t>.</w:t>
      </w:r>
      <w:r w:rsidR="00A22829" w:rsidRPr="00F12479">
        <w:rPr>
          <w:sz w:val="20"/>
          <w:szCs w:val="20"/>
        </w:rPr>
        <w:tab/>
        <w:t>T</w:t>
      </w:r>
      <w:r w:rsidR="005177BA" w:rsidRPr="00F12479">
        <w:rPr>
          <w:sz w:val="20"/>
          <w:szCs w:val="20"/>
        </w:rPr>
        <w:t xml:space="preserve">he mandate holder was informed that </w:t>
      </w:r>
      <w:r w:rsidR="00545DFF" w:rsidRPr="00F12479">
        <w:rPr>
          <w:sz w:val="20"/>
          <w:szCs w:val="20"/>
        </w:rPr>
        <w:t xml:space="preserve">women </w:t>
      </w:r>
      <w:r w:rsidR="005177BA" w:rsidRPr="00F12479">
        <w:rPr>
          <w:sz w:val="20"/>
          <w:szCs w:val="20"/>
        </w:rPr>
        <w:t>living in rural areas</w:t>
      </w:r>
      <w:r w:rsidR="00545DFF" w:rsidRPr="00F12479">
        <w:rPr>
          <w:sz w:val="20"/>
          <w:szCs w:val="20"/>
        </w:rPr>
        <w:t xml:space="preserve"> do not have the same </w:t>
      </w:r>
      <w:r w:rsidR="005177BA" w:rsidRPr="00F12479">
        <w:rPr>
          <w:sz w:val="20"/>
          <w:szCs w:val="20"/>
        </w:rPr>
        <w:t>access to information about their rights, service provision for victims of vi</w:t>
      </w:r>
      <w:r w:rsidR="000F362C" w:rsidRPr="00F12479">
        <w:rPr>
          <w:sz w:val="20"/>
          <w:szCs w:val="20"/>
        </w:rPr>
        <w:t>olence,</w:t>
      </w:r>
      <w:r w:rsidR="005177BA" w:rsidRPr="00F12479">
        <w:rPr>
          <w:sz w:val="20"/>
          <w:szCs w:val="20"/>
        </w:rPr>
        <w:t xml:space="preserve"> economic empowerment</w:t>
      </w:r>
      <w:r w:rsidR="00A22829" w:rsidRPr="00F12479">
        <w:rPr>
          <w:sz w:val="20"/>
          <w:szCs w:val="20"/>
        </w:rPr>
        <w:t xml:space="preserve"> </w:t>
      </w:r>
      <w:r w:rsidR="000F362C" w:rsidRPr="00F12479">
        <w:rPr>
          <w:sz w:val="20"/>
          <w:szCs w:val="20"/>
        </w:rPr>
        <w:t xml:space="preserve">and access to employment </w:t>
      </w:r>
      <w:r w:rsidR="00A22829" w:rsidRPr="00F12479">
        <w:rPr>
          <w:sz w:val="20"/>
          <w:szCs w:val="20"/>
        </w:rPr>
        <w:t xml:space="preserve">that </w:t>
      </w:r>
      <w:r w:rsidR="000F362C" w:rsidRPr="00F12479">
        <w:rPr>
          <w:sz w:val="20"/>
          <w:szCs w:val="20"/>
        </w:rPr>
        <w:t>would allow</w:t>
      </w:r>
      <w:r w:rsidR="00A22829" w:rsidRPr="00F12479">
        <w:rPr>
          <w:sz w:val="20"/>
          <w:szCs w:val="20"/>
        </w:rPr>
        <w:t xml:space="preserve"> them to leave abusive situations and to break the cycle of violence</w:t>
      </w:r>
      <w:r w:rsidR="00ED575F" w:rsidRPr="00F12479">
        <w:rPr>
          <w:sz w:val="20"/>
          <w:szCs w:val="20"/>
        </w:rPr>
        <w:t xml:space="preserve"> than women living in urban areas</w:t>
      </w:r>
      <w:r w:rsidR="005177BA" w:rsidRPr="00F12479">
        <w:rPr>
          <w:sz w:val="20"/>
          <w:szCs w:val="20"/>
        </w:rPr>
        <w:t xml:space="preserve">. </w:t>
      </w:r>
      <w:r w:rsidR="00E07E30">
        <w:rPr>
          <w:sz w:val="20"/>
          <w:szCs w:val="20"/>
        </w:rPr>
        <w:t xml:space="preserve">While acknowledging the efforts of the Government, the Special Rapporteur is concerned that </w:t>
      </w:r>
      <w:r w:rsidR="00AA5B63">
        <w:rPr>
          <w:sz w:val="20"/>
          <w:szCs w:val="20"/>
        </w:rPr>
        <w:t>i</w:t>
      </w:r>
      <w:r w:rsidR="00AA5B63" w:rsidRPr="00F12479">
        <w:rPr>
          <w:sz w:val="20"/>
          <w:szCs w:val="20"/>
        </w:rPr>
        <w:t>t</w:t>
      </w:r>
      <w:r w:rsidR="005177BA" w:rsidRPr="00F12479">
        <w:rPr>
          <w:sz w:val="20"/>
          <w:szCs w:val="20"/>
        </w:rPr>
        <w:t xml:space="preserve"> was also reported that </w:t>
      </w:r>
      <w:r w:rsidR="00AA5B63">
        <w:rPr>
          <w:sz w:val="20"/>
          <w:szCs w:val="20"/>
        </w:rPr>
        <w:t xml:space="preserve">a </w:t>
      </w:r>
      <w:r w:rsidR="005177BA" w:rsidRPr="00F12479">
        <w:rPr>
          <w:sz w:val="20"/>
          <w:szCs w:val="20"/>
        </w:rPr>
        <w:t xml:space="preserve">problem is the language barrier among </w:t>
      </w:r>
      <w:r w:rsidR="0064624E">
        <w:rPr>
          <w:sz w:val="20"/>
          <w:szCs w:val="20"/>
        </w:rPr>
        <w:t xml:space="preserve">some </w:t>
      </w:r>
      <w:r w:rsidR="005177BA" w:rsidRPr="00F12479">
        <w:rPr>
          <w:sz w:val="20"/>
          <w:szCs w:val="20"/>
        </w:rPr>
        <w:t>minority ethnic groups and the difficulty in some cases for women to report cases of violence, in particular because of the lack of interpret</w:t>
      </w:r>
      <w:r w:rsidR="00E07BFC">
        <w:rPr>
          <w:sz w:val="20"/>
          <w:szCs w:val="20"/>
        </w:rPr>
        <w:t>ation</w:t>
      </w:r>
      <w:r w:rsidR="005177BA" w:rsidRPr="00F12479">
        <w:rPr>
          <w:sz w:val="20"/>
          <w:szCs w:val="20"/>
        </w:rPr>
        <w:t>.</w:t>
      </w:r>
      <w:r w:rsidR="005177BA" w:rsidRPr="00F12479">
        <w:rPr>
          <w:rStyle w:val="FootnoteReference"/>
          <w:sz w:val="20"/>
          <w:szCs w:val="20"/>
        </w:rPr>
        <w:footnoteReference w:id="46"/>
      </w:r>
    </w:p>
    <w:p w:rsidR="00666B34" w:rsidRPr="00F12479" w:rsidRDefault="00A82DC6" w:rsidP="0028008E">
      <w:pPr>
        <w:pStyle w:val="SingleTxtG"/>
        <w:ind w:firstLine="6"/>
        <w:rPr>
          <w:sz w:val="20"/>
          <w:szCs w:val="20"/>
        </w:rPr>
      </w:pPr>
      <w:r>
        <w:rPr>
          <w:sz w:val="20"/>
          <w:szCs w:val="20"/>
        </w:rPr>
        <w:t>37</w:t>
      </w:r>
      <w:r w:rsidR="00DD3271" w:rsidRPr="00F12479">
        <w:rPr>
          <w:sz w:val="20"/>
          <w:szCs w:val="20"/>
        </w:rPr>
        <w:t>.</w:t>
      </w:r>
      <w:r w:rsidR="00DD3271" w:rsidRPr="00F12479">
        <w:rPr>
          <w:sz w:val="20"/>
          <w:szCs w:val="20"/>
        </w:rPr>
        <w:tab/>
      </w:r>
      <w:r w:rsidR="00615550" w:rsidRPr="00F12479">
        <w:rPr>
          <w:sz w:val="20"/>
          <w:szCs w:val="20"/>
        </w:rPr>
        <w:t xml:space="preserve">In the </w:t>
      </w:r>
      <w:proofErr w:type="spellStart"/>
      <w:r w:rsidR="00615550" w:rsidRPr="00F12479">
        <w:rPr>
          <w:sz w:val="20"/>
          <w:szCs w:val="20"/>
        </w:rPr>
        <w:t>Pankisi</w:t>
      </w:r>
      <w:proofErr w:type="spellEnd"/>
      <w:r w:rsidR="00615550" w:rsidRPr="00F12479">
        <w:rPr>
          <w:sz w:val="20"/>
          <w:szCs w:val="20"/>
        </w:rPr>
        <w:t xml:space="preserve"> Gorge,</w:t>
      </w:r>
      <w:r w:rsidR="009078BA" w:rsidRPr="00F12479">
        <w:rPr>
          <w:sz w:val="20"/>
          <w:szCs w:val="20"/>
        </w:rPr>
        <w:t xml:space="preserve"> a location</w:t>
      </w:r>
      <w:r w:rsidR="00467A14" w:rsidRPr="00F12479">
        <w:rPr>
          <w:sz w:val="20"/>
          <w:szCs w:val="20"/>
        </w:rPr>
        <w:t xml:space="preserve"> mainly</w:t>
      </w:r>
      <w:r w:rsidR="009078BA" w:rsidRPr="00F12479">
        <w:rPr>
          <w:sz w:val="20"/>
          <w:szCs w:val="20"/>
        </w:rPr>
        <w:t xml:space="preserve"> inhabited by Kist and Chechen, </w:t>
      </w:r>
      <w:r w:rsidR="00615550" w:rsidRPr="00F12479">
        <w:rPr>
          <w:sz w:val="20"/>
          <w:szCs w:val="20"/>
        </w:rPr>
        <w:t>it was estimated that</w:t>
      </w:r>
      <w:r w:rsidR="009078BA" w:rsidRPr="00F12479">
        <w:rPr>
          <w:sz w:val="20"/>
          <w:szCs w:val="20"/>
        </w:rPr>
        <w:t>, in 2011,</w:t>
      </w:r>
      <w:r w:rsidR="00615550" w:rsidRPr="00F12479">
        <w:rPr>
          <w:sz w:val="20"/>
          <w:szCs w:val="20"/>
        </w:rPr>
        <w:t xml:space="preserve"> between 60 and 80% of you</w:t>
      </w:r>
      <w:r w:rsidR="009078BA" w:rsidRPr="00F12479">
        <w:rPr>
          <w:sz w:val="20"/>
          <w:szCs w:val="20"/>
        </w:rPr>
        <w:t>ng men have joined Salafism which contributed to exacerbate existing discriminative practices towards women</w:t>
      </w:r>
      <w:r w:rsidR="00666B34" w:rsidRPr="00F12479">
        <w:rPr>
          <w:sz w:val="20"/>
          <w:szCs w:val="20"/>
        </w:rPr>
        <w:t>.</w:t>
      </w:r>
      <w:r w:rsidR="009078BA" w:rsidRPr="00F12479">
        <w:rPr>
          <w:rStyle w:val="FootnoteReference"/>
          <w:sz w:val="20"/>
          <w:szCs w:val="20"/>
        </w:rPr>
        <w:footnoteReference w:id="47"/>
      </w:r>
      <w:r w:rsidR="00615550" w:rsidRPr="00F12479">
        <w:rPr>
          <w:sz w:val="20"/>
          <w:szCs w:val="20"/>
        </w:rPr>
        <w:t xml:space="preserve"> </w:t>
      </w:r>
      <w:r w:rsidR="00666B34" w:rsidRPr="00F12479">
        <w:rPr>
          <w:sz w:val="20"/>
          <w:szCs w:val="20"/>
        </w:rPr>
        <w:t xml:space="preserve">The mandate holder was informed that in the </w:t>
      </w:r>
      <w:proofErr w:type="spellStart"/>
      <w:r w:rsidR="00666B34" w:rsidRPr="00F12479">
        <w:rPr>
          <w:sz w:val="20"/>
          <w:szCs w:val="20"/>
        </w:rPr>
        <w:t>Pankisi</w:t>
      </w:r>
      <w:proofErr w:type="spellEnd"/>
      <w:r w:rsidR="00666B34" w:rsidRPr="00F12479">
        <w:rPr>
          <w:sz w:val="20"/>
          <w:szCs w:val="20"/>
        </w:rPr>
        <w:t xml:space="preserve"> Gorge, traditional Chechen/Kist rules, based on the Sharia Law and the Caucasian customs, were applied to settle cases related to family iss</w:t>
      </w:r>
      <w:r w:rsidR="006D459D">
        <w:rPr>
          <w:sz w:val="20"/>
          <w:szCs w:val="20"/>
        </w:rPr>
        <w:t>ues, which are not aligned with</w:t>
      </w:r>
      <w:r w:rsidR="00666B34" w:rsidRPr="00F12479">
        <w:rPr>
          <w:sz w:val="20"/>
          <w:szCs w:val="20"/>
        </w:rPr>
        <w:t xml:space="preserve"> Georgian legislation and </w:t>
      </w:r>
      <w:r w:rsidR="000C4E82" w:rsidRPr="00F12479">
        <w:rPr>
          <w:sz w:val="20"/>
          <w:szCs w:val="20"/>
        </w:rPr>
        <w:t xml:space="preserve">the </w:t>
      </w:r>
      <w:r w:rsidR="008D5472">
        <w:rPr>
          <w:sz w:val="20"/>
          <w:szCs w:val="20"/>
        </w:rPr>
        <w:t xml:space="preserve">CEDAW </w:t>
      </w:r>
      <w:r w:rsidR="000C4E82" w:rsidRPr="00F12479">
        <w:rPr>
          <w:sz w:val="20"/>
          <w:szCs w:val="20"/>
        </w:rPr>
        <w:t>Convention</w:t>
      </w:r>
      <w:r w:rsidR="00666B34" w:rsidRPr="00F12479">
        <w:rPr>
          <w:sz w:val="20"/>
          <w:szCs w:val="20"/>
        </w:rPr>
        <w:t>.</w:t>
      </w:r>
      <w:r w:rsidR="00666B34" w:rsidRPr="00F12479">
        <w:rPr>
          <w:rStyle w:val="FootnoteReference"/>
          <w:sz w:val="20"/>
          <w:szCs w:val="20"/>
        </w:rPr>
        <w:footnoteReference w:id="48"/>
      </w:r>
      <w:r w:rsidR="00666B34" w:rsidRPr="00F12479">
        <w:rPr>
          <w:sz w:val="20"/>
          <w:szCs w:val="20"/>
        </w:rPr>
        <w:t xml:space="preserve"> The mandate holder recognizes the role of </w:t>
      </w:r>
      <w:r w:rsidR="008D5472">
        <w:rPr>
          <w:sz w:val="20"/>
          <w:szCs w:val="20"/>
        </w:rPr>
        <w:t xml:space="preserve">the </w:t>
      </w:r>
      <w:r w:rsidR="00666B34" w:rsidRPr="00F12479">
        <w:rPr>
          <w:sz w:val="20"/>
          <w:szCs w:val="20"/>
        </w:rPr>
        <w:t xml:space="preserve">Women’s Elderly Council met in the village of </w:t>
      </w:r>
      <w:proofErr w:type="spellStart"/>
      <w:r w:rsidR="00666B34" w:rsidRPr="00F12479">
        <w:rPr>
          <w:sz w:val="20"/>
          <w:szCs w:val="20"/>
        </w:rPr>
        <w:t>Duisi</w:t>
      </w:r>
      <w:proofErr w:type="spellEnd"/>
      <w:r w:rsidR="00666B34" w:rsidRPr="00F12479">
        <w:rPr>
          <w:sz w:val="20"/>
          <w:szCs w:val="20"/>
        </w:rPr>
        <w:t xml:space="preserve"> and highlights the importance of continuing </w:t>
      </w:r>
      <w:r w:rsidR="00E07BFC">
        <w:rPr>
          <w:sz w:val="20"/>
          <w:szCs w:val="20"/>
        </w:rPr>
        <w:t>working with</w:t>
      </w:r>
      <w:r w:rsidR="00672C6C" w:rsidRPr="00F12479">
        <w:rPr>
          <w:sz w:val="20"/>
          <w:szCs w:val="20"/>
        </w:rPr>
        <w:t xml:space="preserve"> this council</w:t>
      </w:r>
      <w:r w:rsidR="00B503BF" w:rsidRPr="00F12479">
        <w:rPr>
          <w:sz w:val="20"/>
          <w:szCs w:val="20"/>
        </w:rPr>
        <w:t xml:space="preserve"> to use</w:t>
      </w:r>
      <w:r w:rsidR="00A02F50" w:rsidRPr="00F12479">
        <w:rPr>
          <w:sz w:val="20"/>
          <w:szCs w:val="20"/>
        </w:rPr>
        <w:t xml:space="preserve"> </w:t>
      </w:r>
      <w:r w:rsidR="00B5497A" w:rsidRPr="00F12479">
        <w:rPr>
          <w:sz w:val="20"/>
          <w:szCs w:val="20"/>
        </w:rPr>
        <w:t xml:space="preserve">not only </w:t>
      </w:r>
      <w:r w:rsidR="00A02F50" w:rsidRPr="00F12479">
        <w:rPr>
          <w:sz w:val="20"/>
          <w:szCs w:val="20"/>
        </w:rPr>
        <w:t>the</w:t>
      </w:r>
      <w:r w:rsidR="00B503BF" w:rsidRPr="00F12479">
        <w:rPr>
          <w:sz w:val="20"/>
          <w:szCs w:val="20"/>
        </w:rPr>
        <w:t xml:space="preserve"> national legislation </w:t>
      </w:r>
      <w:r w:rsidR="008D5472">
        <w:rPr>
          <w:sz w:val="20"/>
          <w:szCs w:val="20"/>
        </w:rPr>
        <w:t>but also</w:t>
      </w:r>
      <w:r w:rsidR="00B503BF" w:rsidRPr="00F12479">
        <w:rPr>
          <w:sz w:val="20"/>
          <w:szCs w:val="20"/>
        </w:rPr>
        <w:t xml:space="preserve"> accepted international standards in </w:t>
      </w:r>
      <w:r w:rsidR="00B00081" w:rsidRPr="00F12479">
        <w:rPr>
          <w:sz w:val="20"/>
          <w:szCs w:val="20"/>
        </w:rPr>
        <w:t>its</w:t>
      </w:r>
      <w:r w:rsidR="00B503BF" w:rsidRPr="00F12479">
        <w:rPr>
          <w:sz w:val="20"/>
          <w:szCs w:val="20"/>
        </w:rPr>
        <w:t xml:space="preserve"> work</w:t>
      </w:r>
      <w:r w:rsidR="00A02F50" w:rsidRPr="00F12479">
        <w:rPr>
          <w:sz w:val="20"/>
          <w:szCs w:val="20"/>
        </w:rPr>
        <w:t>.</w:t>
      </w:r>
    </w:p>
    <w:p w:rsidR="00545DFF" w:rsidRPr="00F12479" w:rsidRDefault="00A82DC6" w:rsidP="00BC738D">
      <w:pPr>
        <w:pStyle w:val="SingleTxtG"/>
        <w:ind w:firstLine="6"/>
        <w:rPr>
          <w:sz w:val="20"/>
          <w:szCs w:val="20"/>
        </w:rPr>
      </w:pPr>
      <w:r>
        <w:rPr>
          <w:sz w:val="20"/>
          <w:szCs w:val="20"/>
        </w:rPr>
        <w:t>38</w:t>
      </w:r>
      <w:r w:rsidR="00ED575F" w:rsidRPr="00F12479">
        <w:rPr>
          <w:sz w:val="20"/>
          <w:szCs w:val="20"/>
        </w:rPr>
        <w:t>.</w:t>
      </w:r>
      <w:r w:rsidR="00ED575F" w:rsidRPr="00F12479">
        <w:rPr>
          <w:sz w:val="20"/>
          <w:szCs w:val="20"/>
        </w:rPr>
        <w:tab/>
      </w:r>
      <w:r w:rsidR="00A22829" w:rsidRPr="00F12479">
        <w:rPr>
          <w:sz w:val="20"/>
          <w:szCs w:val="20"/>
        </w:rPr>
        <w:t xml:space="preserve">The </w:t>
      </w:r>
      <w:r w:rsidR="00BC738D">
        <w:rPr>
          <w:sz w:val="20"/>
          <w:szCs w:val="20"/>
        </w:rPr>
        <w:t>Rapporteur</w:t>
      </w:r>
      <w:r w:rsidR="00A22829" w:rsidRPr="00F12479">
        <w:rPr>
          <w:sz w:val="20"/>
          <w:szCs w:val="20"/>
        </w:rPr>
        <w:t xml:space="preserve"> was also </w:t>
      </w:r>
      <w:r w:rsidR="00B7074C" w:rsidRPr="00F12479">
        <w:rPr>
          <w:sz w:val="20"/>
          <w:szCs w:val="20"/>
        </w:rPr>
        <w:t>informed</w:t>
      </w:r>
      <w:r w:rsidR="00A22829" w:rsidRPr="00F12479">
        <w:rPr>
          <w:sz w:val="20"/>
          <w:szCs w:val="20"/>
        </w:rPr>
        <w:t xml:space="preserve"> that</w:t>
      </w:r>
      <w:r w:rsidR="00B7074C" w:rsidRPr="00F12479">
        <w:rPr>
          <w:sz w:val="20"/>
          <w:szCs w:val="20"/>
        </w:rPr>
        <w:t>, in particular in rural areas,</w:t>
      </w:r>
      <w:r w:rsidR="00A22829" w:rsidRPr="00F12479">
        <w:rPr>
          <w:sz w:val="20"/>
          <w:szCs w:val="20"/>
        </w:rPr>
        <w:t xml:space="preserve"> many women </w:t>
      </w:r>
      <w:r w:rsidR="00E07BFC">
        <w:rPr>
          <w:sz w:val="20"/>
          <w:szCs w:val="20"/>
        </w:rPr>
        <w:t>do not own</w:t>
      </w:r>
      <w:r w:rsidR="00A22829" w:rsidRPr="00F12479">
        <w:rPr>
          <w:sz w:val="20"/>
          <w:szCs w:val="20"/>
        </w:rPr>
        <w:t xml:space="preserve"> houses and live in the h</w:t>
      </w:r>
      <w:r w:rsidR="00746B84" w:rsidRPr="00F12479">
        <w:rPr>
          <w:sz w:val="20"/>
          <w:szCs w:val="20"/>
        </w:rPr>
        <w:t>usband’s or his family’s house. Despite the amendment made to the Code of Administrative Procedure, which includes the removal of the perpetrator from the place of residence of the victim, the mandate holder noted that this is not always applied and that women have few chan</w:t>
      </w:r>
      <w:r w:rsidR="003001A7" w:rsidRPr="00F12479">
        <w:rPr>
          <w:sz w:val="20"/>
          <w:szCs w:val="20"/>
        </w:rPr>
        <w:t>ces to find a new place to live</w:t>
      </w:r>
      <w:r w:rsidR="00746B84" w:rsidRPr="00F12479">
        <w:rPr>
          <w:sz w:val="20"/>
          <w:szCs w:val="20"/>
        </w:rPr>
        <w:t xml:space="preserve">. </w:t>
      </w:r>
      <w:r w:rsidR="00B7074C" w:rsidRPr="00F12479">
        <w:rPr>
          <w:sz w:val="20"/>
          <w:szCs w:val="20"/>
        </w:rPr>
        <w:t xml:space="preserve">This was also confirmed by the women interviewed, who informed that their chances to find a new place to </w:t>
      </w:r>
      <w:r w:rsidR="00746B84" w:rsidRPr="00F12479">
        <w:rPr>
          <w:sz w:val="20"/>
          <w:szCs w:val="20"/>
        </w:rPr>
        <w:t>live after their</w:t>
      </w:r>
      <w:r w:rsidR="00B7074C" w:rsidRPr="00F12479">
        <w:rPr>
          <w:sz w:val="20"/>
          <w:szCs w:val="20"/>
        </w:rPr>
        <w:t xml:space="preserve"> stay in a shelter were </w:t>
      </w:r>
      <w:r w:rsidR="00ED575F" w:rsidRPr="00F12479">
        <w:rPr>
          <w:sz w:val="20"/>
          <w:szCs w:val="20"/>
        </w:rPr>
        <w:t>poor</w:t>
      </w:r>
      <w:r w:rsidR="00B7074C" w:rsidRPr="00F12479">
        <w:rPr>
          <w:sz w:val="20"/>
          <w:szCs w:val="20"/>
        </w:rPr>
        <w:t xml:space="preserve">, due </w:t>
      </w:r>
      <w:r w:rsidR="00B00081" w:rsidRPr="00F12479">
        <w:rPr>
          <w:sz w:val="20"/>
          <w:szCs w:val="20"/>
        </w:rPr>
        <w:t xml:space="preserve">to </w:t>
      </w:r>
      <w:r w:rsidR="00B7074C" w:rsidRPr="00F12479">
        <w:rPr>
          <w:sz w:val="20"/>
          <w:szCs w:val="20"/>
        </w:rPr>
        <w:t>inter alia the lack of job opportunities and the low wages they would receive for low skill</w:t>
      </w:r>
      <w:r w:rsidR="00F1164D">
        <w:rPr>
          <w:sz w:val="20"/>
          <w:szCs w:val="20"/>
        </w:rPr>
        <w:t>ed</w:t>
      </w:r>
      <w:r w:rsidR="00746B84" w:rsidRPr="00F12479">
        <w:rPr>
          <w:sz w:val="20"/>
          <w:szCs w:val="20"/>
        </w:rPr>
        <w:t xml:space="preserve"> jobs</w:t>
      </w:r>
      <w:r w:rsidR="00B7074C" w:rsidRPr="00F12479">
        <w:rPr>
          <w:sz w:val="20"/>
          <w:szCs w:val="20"/>
        </w:rPr>
        <w:t>.</w:t>
      </w:r>
    </w:p>
    <w:p w:rsidR="005E43B6" w:rsidRPr="00F12479" w:rsidRDefault="00A82DC6" w:rsidP="00BC738D">
      <w:pPr>
        <w:pStyle w:val="SingleTxtG"/>
        <w:rPr>
          <w:sz w:val="20"/>
          <w:szCs w:val="20"/>
        </w:rPr>
      </w:pPr>
      <w:r>
        <w:rPr>
          <w:sz w:val="20"/>
          <w:szCs w:val="20"/>
        </w:rPr>
        <w:t>39</w:t>
      </w:r>
      <w:r w:rsidR="005E43B6" w:rsidRPr="00F12479">
        <w:rPr>
          <w:sz w:val="20"/>
          <w:szCs w:val="20"/>
        </w:rPr>
        <w:t>.</w:t>
      </w:r>
      <w:r w:rsidR="005E43B6" w:rsidRPr="00F12479">
        <w:rPr>
          <w:sz w:val="20"/>
          <w:szCs w:val="20"/>
        </w:rPr>
        <w:tab/>
        <w:t xml:space="preserve">At the time of the visit, the number of </w:t>
      </w:r>
      <w:r w:rsidR="00C43307" w:rsidRPr="00F12479">
        <w:rPr>
          <w:sz w:val="20"/>
          <w:szCs w:val="20"/>
        </w:rPr>
        <w:t>IDPs</w:t>
      </w:r>
      <w:r w:rsidR="005E43B6" w:rsidRPr="00F12479">
        <w:rPr>
          <w:sz w:val="20"/>
          <w:szCs w:val="20"/>
        </w:rPr>
        <w:t xml:space="preserve"> was estimated to about 274,000 persons</w:t>
      </w:r>
      <w:r w:rsidR="00B00081" w:rsidRPr="00F12479">
        <w:rPr>
          <w:sz w:val="20"/>
          <w:szCs w:val="20"/>
        </w:rPr>
        <w:t>.</w:t>
      </w:r>
      <w:r w:rsidR="005E43B6" w:rsidRPr="00F12479">
        <w:rPr>
          <w:rStyle w:val="FootnoteReference"/>
          <w:sz w:val="20"/>
          <w:szCs w:val="20"/>
        </w:rPr>
        <w:footnoteReference w:id="49"/>
      </w:r>
      <w:r w:rsidR="005E43B6" w:rsidRPr="00F12479">
        <w:rPr>
          <w:sz w:val="20"/>
          <w:szCs w:val="20"/>
        </w:rPr>
        <w:t xml:space="preserve"> The Rapporteur notes that conflict had traumatizing consequences on displaced communities, in particular women, because inter alia of the loss of family members, loss of their home, </w:t>
      </w:r>
      <w:r w:rsidR="00E07BFC">
        <w:rPr>
          <w:sz w:val="20"/>
          <w:szCs w:val="20"/>
        </w:rPr>
        <w:t>and other</w:t>
      </w:r>
      <w:r w:rsidR="005E43B6" w:rsidRPr="00F12479">
        <w:rPr>
          <w:sz w:val="20"/>
          <w:szCs w:val="20"/>
        </w:rPr>
        <w:t xml:space="preserve"> human rights violations.</w:t>
      </w:r>
      <w:r w:rsidR="005E43B6" w:rsidRPr="00F12479">
        <w:rPr>
          <w:rStyle w:val="FootnoteReference"/>
          <w:sz w:val="20"/>
          <w:szCs w:val="20"/>
        </w:rPr>
        <w:footnoteReference w:id="50"/>
      </w:r>
    </w:p>
    <w:p w:rsidR="005E43B6" w:rsidRPr="00F12479" w:rsidRDefault="00A82DC6" w:rsidP="00E07BFC">
      <w:pPr>
        <w:pStyle w:val="SingleTxtG"/>
        <w:rPr>
          <w:sz w:val="20"/>
          <w:szCs w:val="20"/>
        </w:rPr>
      </w:pPr>
      <w:r>
        <w:rPr>
          <w:sz w:val="20"/>
          <w:szCs w:val="20"/>
        </w:rPr>
        <w:lastRenderedPageBreak/>
        <w:t>40</w:t>
      </w:r>
      <w:r w:rsidR="005E43B6" w:rsidRPr="00F12479">
        <w:rPr>
          <w:sz w:val="20"/>
          <w:szCs w:val="20"/>
        </w:rPr>
        <w:t>.</w:t>
      </w:r>
      <w:r w:rsidR="005E43B6" w:rsidRPr="00F12479">
        <w:rPr>
          <w:sz w:val="20"/>
          <w:szCs w:val="20"/>
        </w:rPr>
        <w:tab/>
      </w:r>
      <w:r w:rsidR="00E07BFC">
        <w:rPr>
          <w:sz w:val="20"/>
          <w:szCs w:val="20"/>
        </w:rPr>
        <w:t>While it was reported</w:t>
      </w:r>
      <w:r w:rsidR="005E43B6" w:rsidRPr="00F12479">
        <w:rPr>
          <w:sz w:val="20"/>
          <w:szCs w:val="20"/>
        </w:rPr>
        <w:t xml:space="preserve"> that </w:t>
      </w:r>
      <w:r w:rsidR="00467A14" w:rsidRPr="00F12479">
        <w:rPr>
          <w:sz w:val="20"/>
          <w:szCs w:val="20"/>
        </w:rPr>
        <w:t>internally displaced</w:t>
      </w:r>
      <w:r w:rsidR="005E43B6" w:rsidRPr="00F12479">
        <w:rPr>
          <w:sz w:val="20"/>
          <w:szCs w:val="20"/>
        </w:rPr>
        <w:t xml:space="preserve"> women tend to be more affected by sexual and gender-based violence, this problem is mainly denied among this </w:t>
      </w:r>
      <w:r w:rsidR="00E07BFC">
        <w:rPr>
          <w:sz w:val="20"/>
          <w:szCs w:val="20"/>
        </w:rPr>
        <w:t xml:space="preserve">group </w:t>
      </w:r>
      <w:r w:rsidR="005E43B6" w:rsidRPr="00F12479">
        <w:rPr>
          <w:sz w:val="20"/>
          <w:szCs w:val="20"/>
        </w:rPr>
        <w:t>of women</w:t>
      </w:r>
      <w:r w:rsidR="00E07BFC">
        <w:rPr>
          <w:sz w:val="20"/>
          <w:szCs w:val="20"/>
        </w:rPr>
        <w:t>.</w:t>
      </w:r>
      <w:r w:rsidR="005E43B6" w:rsidRPr="00F12479">
        <w:rPr>
          <w:rStyle w:val="FootnoteReference"/>
          <w:sz w:val="20"/>
          <w:szCs w:val="20"/>
        </w:rPr>
        <w:footnoteReference w:id="51"/>
      </w:r>
      <w:r w:rsidR="005E43B6" w:rsidRPr="00F12479">
        <w:rPr>
          <w:sz w:val="20"/>
          <w:szCs w:val="20"/>
        </w:rPr>
        <w:t xml:space="preserve"> One of the reasons for this explanation could be the fact that</w:t>
      </w:r>
      <w:r w:rsidR="00DE5B1B">
        <w:rPr>
          <w:sz w:val="20"/>
          <w:szCs w:val="20"/>
        </w:rPr>
        <w:t>, despite the efforts of the Government,</w:t>
      </w:r>
      <w:r w:rsidR="005E43B6" w:rsidRPr="00F12479">
        <w:rPr>
          <w:sz w:val="20"/>
          <w:szCs w:val="20"/>
        </w:rPr>
        <w:t xml:space="preserve"> sexual violence is still taboo among this group of the population and women do not come forward talking about it. </w:t>
      </w:r>
    </w:p>
    <w:p w:rsidR="005E43B6" w:rsidRPr="00F12479" w:rsidRDefault="00A82DC6" w:rsidP="00467A14">
      <w:pPr>
        <w:pStyle w:val="SingleTxtG"/>
        <w:rPr>
          <w:sz w:val="20"/>
          <w:szCs w:val="20"/>
        </w:rPr>
      </w:pPr>
      <w:r>
        <w:rPr>
          <w:sz w:val="20"/>
          <w:szCs w:val="20"/>
        </w:rPr>
        <w:t>41</w:t>
      </w:r>
      <w:r w:rsidR="005E43B6" w:rsidRPr="00F12479">
        <w:rPr>
          <w:sz w:val="20"/>
          <w:szCs w:val="20"/>
        </w:rPr>
        <w:t>.</w:t>
      </w:r>
      <w:r w:rsidR="005E43B6" w:rsidRPr="00F12479">
        <w:rPr>
          <w:sz w:val="20"/>
          <w:szCs w:val="20"/>
        </w:rPr>
        <w:tab/>
        <w:t xml:space="preserve">The main issues highlighted by </w:t>
      </w:r>
      <w:r w:rsidR="00467A14" w:rsidRPr="00F12479">
        <w:rPr>
          <w:sz w:val="20"/>
          <w:szCs w:val="20"/>
        </w:rPr>
        <w:t>internally displaced</w:t>
      </w:r>
      <w:r w:rsidR="005E43B6" w:rsidRPr="00F12479">
        <w:rPr>
          <w:sz w:val="20"/>
          <w:szCs w:val="20"/>
        </w:rPr>
        <w:t xml:space="preserve"> women were the precarious conditions in which they live. Despite the Government’s efforts in providing housing and a plot of land for cultivation to persons living in settlements, access to water, sanitation, education, as well as to health services, including access to contraceptives seem to be limited. Concerns about the lack of job opportunities among the population and the small financial support provided (45 GEL, approximately 20 USD)</w:t>
      </w:r>
      <w:r w:rsidR="005E43B6" w:rsidRPr="00F12479">
        <w:rPr>
          <w:rStyle w:val="FootnoteReference"/>
          <w:sz w:val="20"/>
          <w:szCs w:val="20"/>
        </w:rPr>
        <w:footnoteReference w:id="52"/>
      </w:r>
      <w:r w:rsidR="005E43B6" w:rsidRPr="00F12479">
        <w:rPr>
          <w:sz w:val="20"/>
          <w:szCs w:val="20"/>
        </w:rPr>
        <w:t xml:space="preserve"> were also shared. The mandate holder is concerned that displaced women</w:t>
      </w:r>
      <w:r w:rsidR="00CC0F05" w:rsidRPr="00F12479">
        <w:rPr>
          <w:sz w:val="20"/>
          <w:szCs w:val="20"/>
        </w:rPr>
        <w:t xml:space="preserve">, in particular </w:t>
      </w:r>
      <w:r w:rsidR="000D4D82" w:rsidRPr="00F12479">
        <w:rPr>
          <w:sz w:val="20"/>
          <w:szCs w:val="20"/>
        </w:rPr>
        <w:t>older</w:t>
      </w:r>
      <w:r w:rsidR="00CC0F05" w:rsidRPr="00F12479">
        <w:rPr>
          <w:sz w:val="20"/>
          <w:szCs w:val="20"/>
        </w:rPr>
        <w:t xml:space="preserve"> women, who represent 60% of the older </w:t>
      </w:r>
      <w:r w:rsidR="00E07BFC" w:rsidRPr="00F12479">
        <w:rPr>
          <w:sz w:val="20"/>
          <w:szCs w:val="20"/>
        </w:rPr>
        <w:t xml:space="preserve">displaced </w:t>
      </w:r>
      <w:r w:rsidR="00CC0F05" w:rsidRPr="00F12479">
        <w:rPr>
          <w:sz w:val="20"/>
          <w:szCs w:val="20"/>
        </w:rPr>
        <w:t>adult</w:t>
      </w:r>
      <w:r w:rsidR="00E07BFC">
        <w:rPr>
          <w:sz w:val="20"/>
          <w:szCs w:val="20"/>
        </w:rPr>
        <w:t>s</w:t>
      </w:r>
      <w:r w:rsidR="00CC0F05" w:rsidRPr="00F12479">
        <w:rPr>
          <w:sz w:val="20"/>
          <w:szCs w:val="20"/>
        </w:rPr>
        <w:t>,</w:t>
      </w:r>
      <w:r w:rsidR="00CC0F05" w:rsidRPr="00F12479">
        <w:rPr>
          <w:rStyle w:val="FootnoteReference"/>
          <w:sz w:val="20"/>
          <w:szCs w:val="20"/>
        </w:rPr>
        <w:footnoteReference w:id="53"/>
      </w:r>
      <w:r w:rsidR="005E43B6" w:rsidRPr="00F12479">
        <w:rPr>
          <w:sz w:val="20"/>
          <w:szCs w:val="20"/>
        </w:rPr>
        <w:t xml:space="preserve"> are placed in a vulnerable and marginalized situation because of their living conditions.</w:t>
      </w:r>
      <w:r w:rsidR="00CC0F05" w:rsidRPr="00F12479">
        <w:rPr>
          <w:sz w:val="20"/>
          <w:szCs w:val="20"/>
        </w:rPr>
        <w:t xml:space="preserve"> Generally, internally displaced </w:t>
      </w:r>
      <w:r w:rsidR="000D4D82" w:rsidRPr="00F12479">
        <w:rPr>
          <w:sz w:val="20"/>
          <w:szCs w:val="20"/>
        </w:rPr>
        <w:t>older</w:t>
      </w:r>
      <w:r w:rsidR="00CC0F05" w:rsidRPr="00F12479">
        <w:rPr>
          <w:sz w:val="20"/>
          <w:szCs w:val="20"/>
        </w:rPr>
        <w:t xml:space="preserve"> women live in poor economic conditions and are concerned about the cost of medicines and the small pensions</w:t>
      </w:r>
      <w:r w:rsidR="00E07BFC">
        <w:rPr>
          <w:sz w:val="20"/>
          <w:szCs w:val="20"/>
        </w:rPr>
        <w:t xml:space="preserve"> they</w:t>
      </w:r>
      <w:r w:rsidR="00CC0F05" w:rsidRPr="00F12479">
        <w:rPr>
          <w:sz w:val="20"/>
          <w:szCs w:val="20"/>
        </w:rPr>
        <w:t xml:space="preserve"> receive</w:t>
      </w:r>
      <w:r w:rsidR="006D459D">
        <w:rPr>
          <w:sz w:val="20"/>
          <w:szCs w:val="20"/>
        </w:rPr>
        <w:t>.</w:t>
      </w:r>
      <w:r w:rsidR="00CC0F05" w:rsidRPr="00F12479">
        <w:rPr>
          <w:rStyle w:val="FootnoteReference"/>
          <w:sz w:val="20"/>
          <w:szCs w:val="20"/>
        </w:rPr>
        <w:footnoteReference w:id="54"/>
      </w:r>
      <w:r w:rsidR="00CC0F05" w:rsidRPr="00F12479">
        <w:rPr>
          <w:sz w:val="20"/>
          <w:szCs w:val="20"/>
        </w:rPr>
        <w:t xml:space="preserve"> </w:t>
      </w:r>
    </w:p>
    <w:p w:rsidR="000F362C" w:rsidRPr="00F12479" w:rsidRDefault="00A82DC6" w:rsidP="00BC738D">
      <w:pPr>
        <w:pStyle w:val="SingleTxtG"/>
        <w:ind w:firstLine="6"/>
        <w:rPr>
          <w:sz w:val="20"/>
          <w:szCs w:val="20"/>
        </w:rPr>
      </w:pPr>
      <w:r>
        <w:rPr>
          <w:sz w:val="20"/>
          <w:szCs w:val="20"/>
        </w:rPr>
        <w:t>42</w:t>
      </w:r>
      <w:r w:rsidR="007C3BF3" w:rsidRPr="00F12479">
        <w:rPr>
          <w:sz w:val="20"/>
          <w:szCs w:val="20"/>
        </w:rPr>
        <w:t>.</w:t>
      </w:r>
      <w:r w:rsidR="007C3BF3" w:rsidRPr="00F12479">
        <w:rPr>
          <w:sz w:val="20"/>
          <w:szCs w:val="20"/>
        </w:rPr>
        <w:tab/>
      </w:r>
      <w:r w:rsidR="000F362C" w:rsidRPr="00F12479">
        <w:rPr>
          <w:sz w:val="20"/>
          <w:szCs w:val="20"/>
        </w:rPr>
        <w:t xml:space="preserve">The mandate holder was informed that </w:t>
      </w:r>
      <w:r w:rsidR="00AD77F5" w:rsidRPr="00F12479">
        <w:rPr>
          <w:sz w:val="20"/>
          <w:szCs w:val="20"/>
        </w:rPr>
        <w:t>LGBT</w:t>
      </w:r>
      <w:r w:rsidR="000F362C" w:rsidRPr="00F12479">
        <w:rPr>
          <w:sz w:val="20"/>
          <w:szCs w:val="20"/>
        </w:rPr>
        <w:t xml:space="preserve"> are victims of aggressive attitudes and suffer discrimination and violence, </w:t>
      </w:r>
      <w:r w:rsidR="003F213B" w:rsidRPr="00F12479">
        <w:rPr>
          <w:sz w:val="20"/>
          <w:szCs w:val="20"/>
        </w:rPr>
        <w:t>because of their sexual orientation or gender identity</w:t>
      </w:r>
      <w:r w:rsidR="000F362C" w:rsidRPr="00F12479">
        <w:rPr>
          <w:sz w:val="20"/>
          <w:szCs w:val="20"/>
        </w:rPr>
        <w:t>.</w:t>
      </w:r>
      <w:r w:rsidR="0085633A" w:rsidRPr="00F12479">
        <w:rPr>
          <w:sz w:val="20"/>
          <w:szCs w:val="20"/>
        </w:rPr>
        <w:t xml:space="preserve"> The </w:t>
      </w:r>
      <w:r w:rsidR="00BC738D">
        <w:rPr>
          <w:sz w:val="20"/>
          <w:szCs w:val="20"/>
        </w:rPr>
        <w:t>Rapporteur</w:t>
      </w:r>
      <w:r w:rsidR="0085633A" w:rsidRPr="00F12479">
        <w:rPr>
          <w:sz w:val="20"/>
          <w:szCs w:val="20"/>
        </w:rPr>
        <w:t xml:space="preserve"> was informed </w:t>
      </w:r>
      <w:r w:rsidR="00C73DCC" w:rsidRPr="00F12479">
        <w:rPr>
          <w:sz w:val="20"/>
          <w:szCs w:val="20"/>
        </w:rPr>
        <w:t>that</w:t>
      </w:r>
      <w:r w:rsidR="0085633A" w:rsidRPr="00F12479">
        <w:rPr>
          <w:sz w:val="20"/>
          <w:szCs w:val="20"/>
        </w:rPr>
        <w:t xml:space="preserve"> </w:t>
      </w:r>
      <w:r w:rsidR="00C73DCC" w:rsidRPr="00F12479">
        <w:rPr>
          <w:sz w:val="20"/>
          <w:szCs w:val="20"/>
        </w:rPr>
        <w:t xml:space="preserve">the perpetrators </w:t>
      </w:r>
      <w:r w:rsidR="0085633A" w:rsidRPr="00F12479">
        <w:rPr>
          <w:sz w:val="20"/>
          <w:szCs w:val="20"/>
        </w:rPr>
        <w:t>of violence occurred in 2013</w:t>
      </w:r>
      <w:r w:rsidR="00BF19B9">
        <w:rPr>
          <w:sz w:val="20"/>
          <w:szCs w:val="20"/>
        </w:rPr>
        <w:t>, in which 17 people were injured as a result of attacks conducted by reportedly thousands of people during a Pride event,</w:t>
      </w:r>
      <w:r w:rsidR="0085633A" w:rsidRPr="00F12479">
        <w:rPr>
          <w:rStyle w:val="FootnoteReference"/>
          <w:sz w:val="20"/>
          <w:szCs w:val="20"/>
        </w:rPr>
        <w:footnoteReference w:id="55"/>
      </w:r>
      <w:r w:rsidR="0085633A" w:rsidRPr="00F12479">
        <w:rPr>
          <w:sz w:val="20"/>
          <w:szCs w:val="20"/>
        </w:rPr>
        <w:t xml:space="preserve"> have not been punished.</w:t>
      </w:r>
      <w:r w:rsidR="0085633A" w:rsidRPr="00F12479">
        <w:rPr>
          <w:rStyle w:val="FootnoteReference"/>
          <w:sz w:val="20"/>
          <w:szCs w:val="20"/>
        </w:rPr>
        <w:footnoteReference w:id="56"/>
      </w:r>
      <w:r w:rsidR="000F362C" w:rsidRPr="00F12479">
        <w:rPr>
          <w:sz w:val="20"/>
          <w:szCs w:val="20"/>
        </w:rPr>
        <w:t xml:space="preserve">In 2014, the Human Rights Committee expressed concern about </w:t>
      </w:r>
      <w:r w:rsidR="003F213B" w:rsidRPr="00F12479">
        <w:rPr>
          <w:sz w:val="20"/>
          <w:szCs w:val="20"/>
        </w:rPr>
        <w:t xml:space="preserve">discrimination and social stigma, </w:t>
      </w:r>
      <w:proofErr w:type="gramStart"/>
      <w:r w:rsidR="003F213B" w:rsidRPr="00F12479">
        <w:rPr>
          <w:sz w:val="20"/>
          <w:szCs w:val="20"/>
        </w:rPr>
        <w:t>hate</w:t>
      </w:r>
      <w:proofErr w:type="gramEnd"/>
      <w:r w:rsidR="003F213B" w:rsidRPr="00F12479">
        <w:rPr>
          <w:sz w:val="20"/>
          <w:szCs w:val="20"/>
        </w:rPr>
        <w:t xml:space="preserve"> speech and acts of violence against this group and recommended to take effective measures to provide effective protection to this specific group and ensure the investigation, prosecution and punishment of any act of violence motivated by the victim’s sexual orientation or gender identity.</w:t>
      </w:r>
      <w:r w:rsidR="003F213B" w:rsidRPr="00F12479">
        <w:rPr>
          <w:rStyle w:val="FootnoteReference"/>
          <w:sz w:val="20"/>
          <w:szCs w:val="20"/>
        </w:rPr>
        <w:footnoteReference w:id="57"/>
      </w:r>
    </w:p>
    <w:p w:rsidR="000C6DAF" w:rsidRDefault="00EB7AA3" w:rsidP="00B272FD">
      <w:pPr>
        <w:pStyle w:val="HChG"/>
      </w:pPr>
      <w:r w:rsidRPr="00DE06AD">
        <w:tab/>
      </w:r>
      <w:r w:rsidR="00DE06AD" w:rsidRPr="00BB4321">
        <w:t>IV</w:t>
      </w:r>
      <w:r w:rsidR="0087133A" w:rsidRPr="00BB4321">
        <w:t>.</w:t>
      </w:r>
      <w:r w:rsidR="0087133A" w:rsidRPr="00BB4321">
        <w:tab/>
        <w:t>State responses and measures to address violence against women</w:t>
      </w:r>
    </w:p>
    <w:p w:rsidR="000C6DAF" w:rsidRPr="00AE5CC3" w:rsidRDefault="00B272FD" w:rsidP="00B272FD">
      <w:pPr>
        <w:pStyle w:val="H1G"/>
      </w:pPr>
      <w:r>
        <w:tab/>
      </w:r>
      <w:r w:rsidR="000C6DAF" w:rsidRPr="00AE5CC3">
        <w:t>A.</w:t>
      </w:r>
      <w:r w:rsidR="000C6DAF" w:rsidRPr="00AE5CC3">
        <w:tab/>
        <w:t>Incorporation of international and regional framework on violence against women</w:t>
      </w:r>
    </w:p>
    <w:p w:rsidR="000C6DAF" w:rsidRPr="00F12479" w:rsidRDefault="00BB10DA" w:rsidP="00B77814">
      <w:pPr>
        <w:pStyle w:val="SingleTxtG"/>
        <w:rPr>
          <w:sz w:val="20"/>
          <w:szCs w:val="20"/>
        </w:rPr>
      </w:pPr>
      <w:r w:rsidRPr="00F12479">
        <w:rPr>
          <w:sz w:val="20"/>
          <w:szCs w:val="20"/>
        </w:rPr>
        <w:t>43</w:t>
      </w:r>
      <w:r w:rsidR="000C6DAF" w:rsidRPr="00F12479">
        <w:rPr>
          <w:sz w:val="20"/>
          <w:szCs w:val="20"/>
        </w:rPr>
        <w:t>.</w:t>
      </w:r>
      <w:r w:rsidR="000C6DAF" w:rsidRPr="00F12479">
        <w:rPr>
          <w:sz w:val="20"/>
          <w:szCs w:val="20"/>
        </w:rPr>
        <w:tab/>
        <w:t xml:space="preserve">Georgia is a party to the main international human rights instruments, including the </w:t>
      </w:r>
      <w:r w:rsidR="007A3897">
        <w:rPr>
          <w:sz w:val="20"/>
          <w:szCs w:val="20"/>
        </w:rPr>
        <w:t>ICCPR</w:t>
      </w:r>
      <w:r w:rsidR="00B77814">
        <w:rPr>
          <w:sz w:val="20"/>
          <w:szCs w:val="20"/>
        </w:rPr>
        <w:t xml:space="preserve"> and its OP</w:t>
      </w:r>
      <w:r w:rsidR="000C6DAF" w:rsidRPr="00F12479">
        <w:rPr>
          <w:sz w:val="20"/>
          <w:szCs w:val="20"/>
        </w:rPr>
        <w:t xml:space="preserve">; the </w:t>
      </w:r>
      <w:r w:rsidR="007A3897">
        <w:rPr>
          <w:sz w:val="20"/>
          <w:szCs w:val="20"/>
        </w:rPr>
        <w:t>ICESCR</w:t>
      </w:r>
      <w:r w:rsidR="000C6DAF" w:rsidRPr="00F12479">
        <w:rPr>
          <w:sz w:val="20"/>
          <w:szCs w:val="20"/>
        </w:rPr>
        <w:t xml:space="preserve">; the </w:t>
      </w:r>
      <w:r w:rsidR="00B77814">
        <w:rPr>
          <w:sz w:val="20"/>
          <w:szCs w:val="20"/>
        </w:rPr>
        <w:t xml:space="preserve">CAT </w:t>
      </w:r>
      <w:r w:rsidR="000C6DAF" w:rsidRPr="00F12479">
        <w:rPr>
          <w:sz w:val="20"/>
          <w:szCs w:val="20"/>
        </w:rPr>
        <w:t xml:space="preserve">and to the </w:t>
      </w:r>
      <w:r w:rsidR="00B77814">
        <w:rPr>
          <w:sz w:val="20"/>
          <w:szCs w:val="20"/>
        </w:rPr>
        <w:t>OP</w:t>
      </w:r>
      <w:r w:rsidR="000C6DAF" w:rsidRPr="00F12479">
        <w:rPr>
          <w:sz w:val="20"/>
          <w:szCs w:val="20"/>
        </w:rPr>
        <w:t xml:space="preserve"> thereto; the </w:t>
      </w:r>
      <w:r w:rsidR="007A3897">
        <w:rPr>
          <w:sz w:val="20"/>
          <w:szCs w:val="20"/>
        </w:rPr>
        <w:t>CEDAW</w:t>
      </w:r>
      <w:r w:rsidR="000C6DAF" w:rsidRPr="00F12479">
        <w:rPr>
          <w:sz w:val="20"/>
          <w:szCs w:val="20"/>
        </w:rPr>
        <w:t xml:space="preserve">; the </w:t>
      </w:r>
      <w:r w:rsidR="00B77814">
        <w:rPr>
          <w:sz w:val="20"/>
          <w:szCs w:val="20"/>
        </w:rPr>
        <w:t>ICERD</w:t>
      </w:r>
      <w:r w:rsidR="000C6DAF" w:rsidRPr="00F12479">
        <w:rPr>
          <w:sz w:val="20"/>
          <w:szCs w:val="20"/>
        </w:rPr>
        <w:t xml:space="preserve">; the </w:t>
      </w:r>
      <w:r w:rsidR="007A3897">
        <w:rPr>
          <w:sz w:val="20"/>
          <w:szCs w:val="20"/>
        </w:rPr>
        <w:t>CRC</w:t>
      </w:r>
      <w:r w:rsidR="000C6DAF" w:rsidRPr="00F12479">
        <w:rPr>
          <w:sz w:val="20"/>
          <w:szCs w:val="20"/>
        </w:rPr>
        <w:t xml:space="preserve"> and its </w:t>
      </w:r>
      <w:r w:rsidR="00303FAD">
        <w:rPr>
          <w:sz w:val="20"/>
          <w:szCs w:val="20"/>
        </w:rPr>
        <w:t>first two</w:t>
      </w:r>
      <w:r w:rsidR="00303FAD" w:rsidRPr="00F12479">
        <w:rPr>
          <w:sz w:val="20"/>
          <w:szCs w:val="20"/>
        </w:rPr>
        <w:t xml:space="preserve"> </w:t>
      </w:r>
      <w:r w:rsidR="00B77814">
        <w:rPr>
          <w:sz w:val="20"/>
          <w:szCs w:val="20"/>
        </w:rPr>
        <w:t>OPs</w:t>
      </w:r>
      <w:r w:rsidR="00857C96">
        <w:rPr>
          <w:sz w:val="20"/>
          <w:szCs w:val="20"/>
        </w:rPr>
        <w:t xml:space="preserve">; </w:t>
      </w:r>
      <w:r w:rsidR="000C6DAF" w:rsidRPr="00F12479">
        <w:rPr>
          <w:sz w:val="20"/>
          <w:szCs w:val="20"/>
        </w:rPr>
        <w:t xml:space="preserve">and the </w:t>
      </w:r>
      <w:r w:rsidR="007A3897">
        <w:rPr>
          <w:sz w:val="20"/>
          <w:szCs w:val="20"/>
        </w:rPr>
        <w:t>ICRPD</w:t>
      </w:r>
      <w:r w:rsidR="000C6DAF" w:rsidRPr="00F12479">
        <w:rPr>
          <w:sz w:val="20"/>
          <w:szCs w:val="20"/>
        </w:rPr>
        <w:t xml:space="preserve">. The State is a signatory to the Rome Statute of the </w:t>
      </w:r>
      <w:r w:rsidR="00B77814">
        <w:rPr>
          <w:sz w:val="20"/>
          <w:szCs w:val="20"/>
        </w:rPr>
        <w:t>ICC</w:t>
      </w:r>
      <w:r w:rsidR="000C6DAF" w:rsidRPr="00F12479">
        <w:rPr>
          <w:sz w:val="20"/>
          <w:szCs w:val="20"/>
        </w:rPr>
        <w:t>, and a party to the Convention relating to the Status of Refugees and the Convention relating to the Status of Stateless Persons.</w:t>
      </w:r>
    </w:p>
    <w:p w:rsidR="002A20B7" w:rsidRPr="00F12479" w:rsidRDefault="00BB10DA" w:rsidP="00A52306">
      <w:pPr>
        <w:pStyle w:val="SingleTxtG"/>
        <w:rPr>
          <w:sz w:val="20"/>
          <w:szCs w:val="20"/>
        </w:rPr>
      </w:pPr>
      <w:r w:rsidRPr="00F12479">
        <w:rPr>
          <w:sz w:val="20"/>
          <w:szCs w:val="20"/>
        </w:rPr>
        <w:t>44</w:t>
      </w:r>
      <w:r w:rsidR="000C6DAF" w:rsidRPr="00F12479">
        <w:rPr>
          <w:sz w:val="20"/>
          <w:szCs w:val="20"/>
        </w:rPr>
        <w:t>.</w:t>
      </w:r>
      <w:r w:rsidR="000C6DAF" w:rsidRPr="00F12479">
        <w:rPr>
          <w:sz w:val="20"/>
          <w:szCs w:val="20"/>
        </w:rPr>
        <w:tab/>
        <w:t xml:space="preserve">The Constitution is the supreme law of Georgia and recognizes the supremacy of international treaties over domestic laws, unless a treaty contradicts the </w:t>
      </w:r>
      <w:r w:rsidR="00A52306" w:rsidRPr="00F12479">
        <w:rPr>
          <w:sz w:val="20"/>
          <w:szCs w:val="20"/>
        </w:rPr>
        <w:t>Constit</w:t>
      </w:r>
      <w:r w:rsidR="0026771A">
        <w:rPr>
          <w:sz w:val="20"/>
          <w:szCs w:val="20"/>
        </w:rPr>
        <w:t>ution</w:t>
      </w:r>
      <w:r w:rsidR="000C6DAF" w:rsidRPr="00F12479">
        <w:rPr>
          <w:sz w:val="20"/>
          <w:szCs w:val="20"/>
        </w:rPr>
        <w:t>.</w:t>
      </w:r>
      <w:r w:rsidR="002A20B7" w:rsidRPr="00F12479">
        <w:rPr>
          <w:sz w:val="20"/>
          <w:szCs w:val="20"/>
        </w:rPr>
        <w:t xml:space="preserve"> </w:t>
      </w:r>
      <w:r w:rsidR="009857C3" w:rsidRPr="00F12479">
        <w:rPr>
          <w:sz w:val="20"/>
          <w:szCs w:val="20"/>
        </w:rPr>
        <w:lastRenderedPageBreak/>
        <w:t>Despite t</w:t>
      </w:r>
      <w:r w:rsidR="00B41925" w:rsidRPr="00F12479">
        <w:rPr>
          <w:sz w:val="20"/>
          <w:szCs w:val="20"/>
        </w:rPr>
        <w:t xml:space="preserve">his </w:t>
      </w:r>
      <w:r w:rsidR="00E66F96" w:rsidRPr="00F12479">
        <w:rPr>
          <w:sz w:val="20"/>
          <w:szCs w:val="20"/>
        </w:rPr>
        <w:t xml:space="preserve">important </w:t>
      </w:r>
      <w:r w:rsidR="00B41925" w:rsidRPr="00F12479">
        <w:rPr>
          <w:sz w:val="20"/>
          <w:szCs w:val="20"/>
        </w:rPr>
        <w:t>constitutional</w:t>
      </w:r>
      <w:r w:rsidR="002A20B7" w:rsidRPr="00F12479">
        <w:rPr>
          <w:sz w:val="20"/>
          <w:szCs w:val="20"/>
        </w:rPr>
        <w:t xml:space="preserve"> provision </w:t>
      </w:r>
      <w:r w:rsidR="009857C3" w:rsidRPr="00F12479">
        <w:rPr>
          <w:sz w:val="20"/>
          <w:szCs w:val="20"/>
        </w:rPr>
        <w:t xml:space="preserve">there </w:t>
      </w:r>
      <w:r w:rsidR="00B473C5" w:rsidRPr="00F12479">
        <w:rPr>
          <w:sz w:val="20"/>
          <w:szCs w:val="20"/>
        </w:rPr>
        <w:t>is lack of visibility and</w:t>
      </w:r>
      <w:r w:rsidR="00E66F96" w:rsidRPr="00F12479">
        <w:rPr>
          <w:sz w:val="20"/>
          <w:szCs w:val="20"/>
        </w:rPr>
        <w:t xml:space="preserve"> direct </w:t>
      </w:r>
      <w:r w:rsidR="005E50C5" w:rsidRPr="00F12479">
        <w:rPr>
          <w:sz w:val="20"/>
          <w:szCs w:val="20"/>
        </w:rPr>
        <w:t>application of the</w:t>
      </w:r>
      <w:r w:rsidR="00B41925" w:rsidRPr="00F12479">
        <w:rPr>
          <w:sz w:val="20"/>
          <w:szCs w:val="20"/>
        </w:rPr>
        <w:t xml:space="preserve"> </w:t>
      </w:r>
      <w:r w:rsidR="00D07CA7">
        <w:rPr>
          <w:sz w:val="20"/>
          <w:szCs w:val="20"/>
        </w:rPr>
        <w:t xml:space="preserve">CEDAW </w:t>
      </w:r>
      <w:r w:rsidR="00B41925" w:rsidRPr="00F12479">
        <w:rPr>
          <w:sz w:val="20"/>
          <w:szCs w:val="20"/>
        </w:rPr>
        <w:t xml:space="preserve">Convention </w:t>
      </w:r>
      <w:r w:rsidR="002A20B7" w:rsidRPr="00F12479">
        <w:rPr>
          <w:sz w:val="20"/>
          <w:szCs w:val="20"/>
        </w:rPr>
        <w:t>as noted by the CEDAW Committee</w:t>
      </w:r>
      <w:r w:rsidR="005E50C5" w:rsidRPr="00F12479">
        <w:rPr>
          <w:sz w:val="20"/>
          <w:szCs w:val="20"/>
        </w:rPr>
        <w:t xml:space="preserve"> in its Concluding observations of 2014.</w:t>
      </w:r>
      <w:r w:rsidR="009857C3" w:rsidRPr="00F12479">
        <w:rPr>
          <w:sz w:val="20"/>
          <w:szCs w:val="20"/>
        </w:rPr>
        <w:t xml:space="preserve"> This was confirmed in discussion</w:t>
      </w:r>
      <w:r w:rsidR="00336C76">
        <w:rPr>
          <w:sz w:val="20"/>
          <w:szCs w:val="20"/>
        </w:rPr>
        <w:t>s</w:t>
      </w:r>
      <w:r w:rsidR="009857C3" w:rsidRPr="00F12479">
        <w:rPr>
          <w:sz w:val="20"/>
          <w:szCs w:val="20"/>
        </w:rPr>
        <w:t xml:space="preserve"> on this issue by </w:t>
      </w:r>
      <w:r w:rsidR="002A20B7" w:rsidRPr="00F12479">
        <w:rPr>
          <w:sz w:val="20"/>
          <w:szCs w:val="20"/>
        </w:rPr>
        <w:t xml:space="preserve">the Special Rapporteur with the Chairperson of the Supreme Court and judges of the Tbilisi City </w:t>
      </w:r>
      <w:r w:rsidR="009857C3" w:rsidRPr="00F12479">
        <w:rPr>
          <w:sz w:val="20"/>
          <w:szCs w:val="20"/>
        </w:rPr>
        <w:t xml:space="preserve">Court </w:t>
      </w:r>
      <w:r w:rsidR="00B473C5" w:rsidRPr="00F12479">
        <w:rPr>
          <w:sz w:val="20"/>
          <w:szCs w:val="20"/>
        </w:rPr>
        <w:t xml:space="preserve">who also stressed </w:t>
      </w:r>
      <w:r w:rsidR="00336C76">
        <w:rPr>
          <w:sz w:val="20"/>
          <w:szCs w:val="20"/>
        </w:rPr>
        <w:t xml:space="preserve">the </w:t>
      </w:r>
      <w:r w:rsidR="00B473C5" w:rsidRPr="00F12479">
        <w:rPr>
          <w:sz w:val="20"/>
          <w:szCs w:val="20"/>
        </w:rPr>
        <w:t>importance of specific legal education of judges, prosecutors and lawyers with a view to train them to apply the provisions of the Convention directly and interpret national legal provisions in light of the CEDAW Committee</w:t>
      </w:r>
      <w:r w:rsidR="00E07BFC">
        <w:rPr>
          <w:sz w:val="20"/>
          <w:szCs w:val="20"/>
        </w:rPr>
        <w:t>’s</w:t>
      </w:r>
      <w:r w:rsidR="00B473C5" w:rsidRPr="00F12479">
        <w:rPr>
          <w:sz w:val="20"/>
          <w:szCs w:val="20"/>
        </w:rPr>
        <w:t xml:space="preserve"> jurisprudence.</w:t>
      </w:r>
    </w:p>
    <w:p w:rsidR="000C6DAF" w:rsidRPr="00F12479" w:rsidRDefault="00A82DC6" w:rsidP="00336C76">
      <w:pPr>
        <w:pStyle w:val="SingleTxtG"/>
        <w:rPr>
          <w:sz w:val="20"/>
          <w:szCs w:val="20"/>
        </w:rPr>
      </w:pPr>
      <w:r>
        <w:rPr>
          <w:sz w:val="20"/>
          <w:szCs w:val="20"/>
        </w:rPr>
        <w:t>45</w:t>
      </w:r>
      <w:r w:rsidR="000C6DAF" w:rsidRPr="00F12479">
        <w:rPr>
          <w:sz w:val="20"/>
          <w:szCs w:val="20"/>
        </w:rPr>
        <w:t>.</w:t>
      </w:r>
      <w:r w:rsidR="000C6DAF" w:rsidRPr="00F12479">
        <w:rPr>
          <w:sz w:val="20"/>
          <w:szCs w:val="20"/>
        </w:rPr>
        <w:tab/>
      </w:r>
      <w:r w:rsidR="00530CBD" w:rsidRPr="00F12479">
        <w:rPr>
          <w:sz w:val="20"/>
          <w:szCs w:val="20"/>
        </w:rPr>
        <w:t>In 2014, the CEDAW Committee considered the combined fourth and fifth periodic</w:t>
      </w:r>
      <w:r w:rsidR="00A52306">
        <w:rPr>
          <w:sz w:val="20"/>
          <w:szCs w:val="20"/>
        </w:rPr>
        <w:t xml:space="preserve"> reports of Georgia and adopted</w:t>
      </w:r>
      <w:r w:rsidR="00530CBD" w:rsidRPr="00F12479">
        <w:rPr>
          <w:sz w:val="20"/>
          <w:szCs w:val="20"/>
        </w:rPr>
        <w:t xml:space="preserve"> concluding observations.</w:t>
      </w:r>
      <w:r w:rsidR="00383313" w:rsidRPr="00F12479">
        <w:rPr>
          <w:sz w:val="20"/>
          <w:szCs w:val="20"/>
        </w:rPr>
        <w:t xml:space="preserve"> </w:t>
      </w:r>
      <w:r w:rsidR="00B473C5" w:rsidRPr="00F12479">
        <w:rPr>
          <w:sz w:val="20"/>
          <w:szCs w:val="20"/>
        </w:rPr>
        <w:t>With respect to violence against women t</w:t>
      </w:r>
      <w:r w:rsidR="00383313" w:rsidRPr="00F12479">
        <w:rPr>
          <w:sz w:val="20"/>
          <w:szCs w:val="20"/>
        </w:rPr>
        <w:t>he</w:t>
      </w:r>
      <w:r w:rsidR="000C6DAF" w:rsidRPr="00F12479">
        <w:rPr>
          <w:sz w:val="20"/>
          <w:szCs w:val="20"/>
        </w:rPr>
        <w:t xml:space="preserve"> Committee expressed concern at a) the growing number of women who are murdered by their husbands or partners and of women who are victims of other forms of violence, including psychological, physical, economic and sexual violence; b) the low rate of reporting of cases of sexual and domestic violence against women owing to stigma and fear of the perpetrator, as well as the lack of trust in law enforcement agencies; c) the lack of State-funded crisis centres and shelters for women who are victims of domestic violence and; d) the fact that women are sometimes subjected to virginity tests in violation of their right to privacy.</w:t>
      </w:r>
      <w:r w:rsidR="000C6DAF" w:rsidRPr="00F12479">
        <w:rPr>
          <w:rStyle w:val="FootnoteReference"/>
          <w:sz w:val="20"/>
          <w:szCs w:val="20"/>
        </w:rPr>
        <w:footnoteReference w:id="58"/>
      </w:r>
      <w:r w:rsidR="00B473C5" w:rsidRPr="00F12479">
        <w:rPr>
          <w:sz w:val="20"/>
          <w:szCs w:val="20"/>
        </w:rPr>
        <w:t xml:space="preserve"> The CEDAW </w:t>
      </w:r>
      <w:r w:rsidR="00E60F5A" w:rsidRPr="00F12479">
        <w:rPr>
          <w:sz w:val="20"/>
          <w:szCs w:val="20"/>
        </w:rPr>
        <w:t xml:space="preserve">Committee </w:t>
      </w:r>
      <w:r w:rsidR="00B473C5" w:rsidRPr="00F12479">
        <w:rPr>
          <w:sz w:val="20"/>
          <w:szCs w:val="20"/>
        </w:rPr>
        <w:t xml:space="preserve">also selected violence against women as its follow up item and requested </w:t>
      </w:r>
      <w:r w:rsidR="00E07BFC">
        <w:rPr>
          <w:sz w:val="20"/>
          <w:szCs w:val="20"/>
        </w:rPr>
        <w:t>a</w:t>
      </w:r>
      <w:r w:rsidR="002252F9">
        <w:rPr>
          <w:sz w:val="20"/>
          <w:szCs w:val="20"/>
        </w:rPr>
        <w:t xml:space="preserve"> </w:t>
      </w:r>
      <w:r w:rsidR="00B473C5" w:rsidRPr="00F12479">
        <w:rPr>
          <w:sz w:val="20"/>
          <w:szCs w:val="20"/>
        </w:rPr>
        <w:t>report on implementation of those recommendations</w:t>
      </w:r>
      <w:r w:rsidR="00336C76">
        <w:rPr>
          <w:sz w:val="20"/>
          <w:szCs w:val="20"/>
        </w:rPr>
        <w:t xml:space="preserve"> within 2 years.</w:t>
      </w:r>
    </w:p>
    <w:p w:rsidR="000C6DAF" w:rsidRPr="00F12479" w:rsidRDefault="00A82DC6" w:rsidP="002D721F">
      <w:pPr>
        <w:pStyle w:val="SingleTxtG"/>
        <w:rPr>
          <w:sz w:val="20"/>
          <w:szCs w:val="20"/>
        </w:rPr>
      </w:pPr>
      <w:r>
        <w:rPr>
          <w:sz w:val="20"/>
          <w:szCs w:val="20"/>
        </w:rPr>
        <w:t>46</w:t>
      </w:r>
      <w:r w:rsidR="000C6DAF" w:rsidRPr="00F12479">
        <w:rPr>
          <w:sz w:val="20"/>
          <w:szCs w:val="20"/>
        </w:rPr>
        <w:t>.</w:t>
      </w:r>
      <w:r w:rsidR="000C6DAF" w:rsidRPr="00F12479">
        <w:rPr>
          <w:sz w:val="20"/>
          <w:szCs w:val="20"/>
        </w:rPr>
        <w:tab/>
        <w:t xml:space="preserve">The Human Rights Committee noted concern about the underreporting of domestic violence, owing to gender stereotypes, lack of due diligence by law enforcement officers in investigating these cases and insufficient protection measures for victims, including insufficient enforcement of </w:t>
      </w:r>
      <w:r w:rsidR="002D721F">
        <w:rPr>
          <w:sz w:val="20"/>
          <w:szCs w:val="20"/>
        </w:rPr>
        <w:t>restraining</w:t>
      </w:r>
      <w:r w:rsidR="002D721F" w:rsidRPr="00F12479">
        <w:rPr>
          <w:sz w:val="20"/>
          <w:szCs w:val="20"/>
        </w:rPr>
        <w:t xml:space="preserve"> </w:t>
      </w:r>
      <w:r w:rsidR="000C6DAF" w:rsidRPr="00F12479">
        <w:rPr>
          <w:sz w:val="20"/>
          <w:szCs w:val="20"/>
        </w:rPr>
        <w:t>and protective orders,</w:t>
      </w:r>
      <w:r w:rsidR="006B61C7">
        <w:rPr>
          <w:rStyle w:val="FootnoteReference"/>
          <w:szCs w:val="20"/>
        </w:rPr>
        <w:footnoteReference w:id="59"/>
      </w:r>
      <w:r w:rsidR="000C6DAF" w:rsidRPr="00F12479">
        <w:rPr>
          <w:sz w:val="20"/>
          <w:szCs w:val="20"/>
        </w:rPr>
        <w:t xml:space="preserve"> as well as a limited number of State-run shelters and support services.</w:t>
      </w:r>
      <w:r w:rsidR="000C6DAF" w:rsidRPr="00F12479">
        <w:rPr>
          <w:rStyle w:val="FootnoteReference"/>
          <w:sz w:val="20"/>
          <w:szCs w:val="20"/>
        </w:rPr>
        <w:footnoteReference w:id="60"/>
      </w:r>
    </w:p>
    <w:p w:rsidR="00BF4BEB" w:rsidRPr="00F12479" w:rsidRDefault="00A82DC6" w:rsidP="00BC738D">
      <w:pPr>
        <w:pStyle w:val="SingleTxtG"/>
        <w:rPr>
          <w:sz w:val="20"/>
          <w:szCs w:val="20"/>
        </w:rPr>
      </w:pPr>
      <w:r>
        <w:rPr>
          <w:sz w:val="20"/>
          <w:szCs w:val="20"/>
        </w:rPr>
        <w:t>47</w:t>
      </w:r>
      <w:r w:rsidR="00BF4BEB" w:rsidRPr="00F12479">
        <w:rPr>
          <w:sz w:val="20"/>
          <w:szCs w:val="20"/>
        </w:rPr>
        <w:t>.</w:t>
      </w:r>
      <w:r w:rsidR="00BF4BEB" w:rsidRPr="00F12479">
        <w:rPr>
          <w:sz w:val="20"/>
          <w:szCs w:val="20"/>
        </w:rPr>
        <w:tab/>
        <w:t>In 2015, the CEDAW Committee adopted its views under its Optional Protocol on the case X. and Y. v. Georgia (N° 24/2009),</w:t>
      </w:r>
      <w:r w:rsidR="00BF4BEB" w:rsidRPr="00F12479">
        <w:rPr>
          <w:rStyle w:val="FootnoteReference"/>
          <w:sz w:val="20"/>
          <w:szCs w:val="20"/>
        </w:rPr>
        <w:footnoteReference w:id="61"/>
      </w:r>
      <w:r w:rsidR="00BF4BEB" w:rsidRPr="00F12479">
        <w:rPr>
          <w:sz w:val="20"/>
          <w:szCs w:val="20"/>
        </w:rPr>
        <w:t xml:space="preserve"> in which the victim and her daughter endured physical and sexual violence for a several years. Despite several complaints lodged at the police, no criminal charges were brought against the husband. In this case, the </w:t>
      </w:r>
      <w:r w:rsidR="00682765" w:rsidRPr="00F12479">
        <w:rPr>
          <w:sz w:val="20"/>
          <w:szCs w:val="20"/>
        </w:rPr>
        <w:t>CEDAW Committee</w:t>
      </w:r>
      <w:r w:rsidR="00BF4BEB" w:rsidRPr="00F12479">
        <w:rPr>
          <w:sz w:val="20"/>
          <w:szCs w:val="20"/>
        </w:rPr>
        <w:t xml:space="preserve"> recognized that the State failed to act with due diligence, including to investigate and punish human rights violations, which constituted a violation of article 2 b) c) d) e) f) </w:t>
      </w:r>
      <w:r w:rsidR="007575B6">
        <w:rPr>
          <w:sz w:val="20"/>
          <w:szCs w:val="20"/>
        </w:rPr>
        <w:t>in conjunction with</w:t>
      </w:r>
      <w:r w:rsidR="00BF4BEB" w:rsidRPr="00F12479">
        <w:rPr>
          <w:sz w:val="20"/>
          <w:szCs w:val="20"/>
        </w:rPr>
        <w:t xml:space="preserve"> articles 1 and 5 </w:t>
      </w:r>
      <w:r w:rsidR="009857C3" w:rsidRPr="00F12479">
        <w:rPr>
          <w:sz w:val="20"/>
          <w:szCs w:val="20"/>
        </w:rPr>
        <w:t xml:space="preserve">a) </w:t>
      </w:r>
      <w:r w:rsidR="00BF4BEB" w:rsidRPr="00F12479">
        <w:rPr>
          <w:sz w:val="20"/>
          <w:szCs w:val="20"/>
        </w:rPr>
        <w:t xml:space="preserve">of the Convention and </w:t>
      </w:r>
      <w:r w:rsidR="00BC738D">
        <w:rPr>
          <w:sz w:val="20"/>
          <w:szCs w:val="20"/>
        </w:rPr>
        <w:t>GR</w:t>
      </w:r>
      <w:r w:rsidR="009857C3" w:rsidRPr="00F12479">
        <w:rPr>
          <w:sz w:val="20"/>
          <w:szCs w:val="20"/>
        </w:rPr>
        <w:t xml:space="preserve"> 19 and </w:t>
      </w:r>
      <w:r w:rsidR="00BF4BEB" w:rsidRPr="00F12479">
        <w:rPr>
          <w:sz w:val="20"/>
          <w:szCs w:val="20"/>
        </w:rPr>
        <w:t>recommended the adequate financial compensation to the victims.</w:t>
      </w:r>
      <w:r w:rsidR="009857C3" w:rsidRPr="00F12479">
        <w:rPr>
          <w:sz w:val="20"/>
          <w:szCs w:val="20"/>
        </w:rPr>
        <w:t xml:space="preserve"> It also recommended: </w:t>
      </w:r>
      <w:proofErr w:type="spellStart"/>
      <w:r w:rsidR="0067765C" w:rsidRPr="00F12479">
        <w:rPr>
          <w:sz w:val="20"/>
          <w:szCs w:val="20"/>
        </w:rPr>
        <w:t>i</w:t>
      </w:r>
      <w:proofErr w:type="spellEnd"/>
      <w:r w:rsidR="0067765C" w:rsidRPr="00F12479">
        <w:rPr>
          <w:sz w:val="20"/>
          <w:szCs w:val="20"/>
        </w:rPr>
        <w:t xml:space="preserve">) </w:t>
      </w:r>
      <w:r w:rsidR="009857C3" w:rsidRPr="00F12479">
        <w:rPr>
          <w:sz w:val="20"/>
          <w:szCs w:val="20"/>
        </w:rPr>
        <w:t xml:space="preserve">adequate support to </w:t>
      </w:r>
      <w:r w:rsidR="0067765C" w:rsidRPr="00F12479">
        <w:rPr>
          <w:sz w:val="20"/>
          <w:szCs w:val="20"/>
        </w:rPr>
        <w:t xml:space="preserve">victims of domestic violence including shelters and psychological support; ii) awareness raising campaigns; iii) ratification </w:t>
      </w:r>
      <w:r w:rsidR="007575B6">
        <w:rPr>
          <w:sz w:val="20"/>
          <w:szCs w:val="20"/>
        </w:rPr>
        <w:t xml:space="preserve">of the Istanbul convention; iv) </w:t>
      </w:r>
      <w:r w:rsidR="0067765C" w:rsidRPr="00F12479">
        <w:rPr>
          <w:sz w:val="20"/>
          <w:szCs w:val="20"/>
        </w:rPr>
        <w:t xml:space="preserve">mandatory training for judges, lawyers, prosecutors. </w:t>
      </w:r>
    </w:p>
    <w:p w:rsidR="00DC4328" w:rsidRPr="00F12479" w:rsidRDefault="00A82DC6" w:rsidP="00DC4328">
      <w:pPr>
        <w:pStyle w:val="SingleTxtG"/>
        <w:rPr>
          <w:sz w:val="20"/>
          <w:szCs w:val="20"/>
        </w:rPr>
      </w:pPr>
      <w:r>
        <w:rPr>
          <w:sz w:val="20"/>
          <w:szCs w:val="20"/>
        </w:rPr>
        <w:t>48.</w:t>
      </w:r>
      <w:r>
        <w:rPr>
          <w:sz w:val="20"/>
          <w:szCs w:val="20"/>
        </w:rPr>
        <w:tab/>
      </w:r>
      <w:r w:rsidR="00DC4328" w:rsidRPr="00F12479">
        <w:rPr>
          <w:sz w:val="20"/>
          <w:szCs w:val="20"/>
        </w:rPr>
        <w:t>At the time of the visit, no compensation had been provided to the victim. The mandate holder also noted that there is no national machinery to implement the treaty bodies’ recommendations.</w:t>
      </w:r>
    </w:p>
    <w:p w:rsidR="005E50C5" w:rsidRPr="00F12479" w:rsidRDefault="00A82DC6" w:rsidP="00A52306">
      <w:pPr>
        <w:pStyle w:val="SingleTxtG"/>
        <w:rPr>
          <w:sz w:val="20"/>
          <w:szCs w:val="20"/>
        </w:rPr>
      </w:pPr>
      <w:r>
        <w:rPr>
          <w:sz w:val="20"/>
          <w:szCs w:val="20"/>
        </w:rPr>
        <w:lastRenderedPageBreak/>
        <w:t>49</w:t>
      </w:r>
      <w:r w:rsidR="00B272FD">
        <w:rPr>
          <w:sz w:val="20"/>
          <w:szCs w:val="20"/>
        </w:rPr>
        <w:t>.</w:t>
      </w:r>
      <w:r w:rsidR="00B272FD">
        <w:rPr>
          <w:sz w:val="20"/>
          <w:szCs w:val="20"/>
        </w:rPr>
        <w:tab/>
      </w:r>
      <w:r w:rsidR="005E50C5" w:rsidRPr="00F12479">
        <w:rPr>
          <w:sz w:val="20"/>
          <w:szCs w:val="20"/>
        </w:rPr>
        <w:t xml:space="preserve">Georgia was also reviewed by the Universal Periodic Review in 2015 and accepted </w:t>
      </w:r>
      <w:r w:rsidR="00665326">
        <w:rPr>
          <w:sz w:val="20"/>
          <w:szCs w:val="20"/>
        </w:rPr>
        <w:t xml:space="preserve">a number of </w:t>
      </w:r>
      <w:r w:rsidR="005E50C5" w:rsidRPr="00F12479">
        <w:rPr>
          <w:sz w:val="20"/>
          <w:szCs w:val="20"/>
        </w:rPr>
        <w:t>recommendations related to gender equality and violence against women</w:t>
      </w:r>
      <w:r w:rsidR="00E86303">
        <w:rPr>
          <w:sz w:val="20"/>
          <w:szCs w:val="20"/>
        </w:rPr>
        <w:t>.</w:t>
      </w:r>
      <w:r w:rsidR="005E50C5" w:rsidRPr="00F12479">
        <w:rPr>
          <w:rStyle w:val="FootnoteReference"/>
          <w:sz w:val="20"/>
          <w:szCs w:val="20"/>
        </w:rPr>
        <w:footnoteReference w:id="62"/>
      </w:r>
      <w:r w:rsidR="00E60F5A" w:rsidRPr="00F12479">
        <w:rPr>
          <w:sz w:val="20"/>
          <w:szCs w:val="20"/>
        </w:rPr>
        <w:t xml:space="preserve"> </w:t>
      </w:r>
    </w:p>
    <w:p w:rsidR="000C6DAF" w:rsidRPr="00F12479" w:rsidRDefault="00A82DC6" w:rsidP="00BF4BEB">
      <w:pPr>
        <w:pStyle w:val="SingleTxtG"/>
        <w:rPr>
          <w:sz w:val="20"/>
          <w:szCs w:val="20"/>
        </w:rPr>
      </w:pPr>
      <w:r>
        <w:rPr>
          <w:sz w:val="20"/>
          <w:szCs w:val="20"/>
        </w:rPr>
        <w:t>50</w:t>
      </w:r>
      <w:r w:rsidR="00A932B5" w:rsidRPr="00F12479">
        <w:rPr>
          <w:sz w:val="20"/>
          <w:szCs w:val="20"/>
        </w:rPr>
        <w:t>.</w:t>
      </w:r>
      <w:r w:rsidR="00A932B5" w:rsidRPr="00F12479">
        <w:rPr>
          <w:sz w:val="20"/>
          <w:szCs w:val="20"/>
        </w:rPr>
        <w:tab/>
        <w:t>At the regional level, Georgia is a member of the Council of Europe</w:t>
      </w:r>
      <w:r w:rsidR="0067765C" w:rsidRPr="00F12479">
        <w:rPr>
          <w:sz w:val="20"/>
          <w:szCs w:val="20"/>
        </w:rPr>
        <w:t xml:space="preserve"> an</w:t>
      </w:r>
      <w:r w:rsidR="007529A2" w:rsidRPr="00F12479">
        <w:rPr>
          <w:sz w:val="20"/>
          <w:szCs w:val="20"/>
        </w:rPr>
        <w:t>d</w:t>
      </w:r>
      <w:r w:rsidR="0067765C" w:rsidRPr="00F12479">
        <w:rPr>
          <w:sz w:val="20"/>
          <w:szCs w:val="20"/>
        </w:rPr>
        <w:t xml:space="preserve"> participating State in the Organisation for Security and Cooperation in Europe</w:t>
      </w:r>
      <w:r w:rsidR="00A932B5" w:rsidRPr="00F12479">
        <w:rPr>
          <w:sz w:val="20"/>
          <w:szCs w:val="20"/>
        </w:rPr>
        <w:t>. It ratified the European Convention on Human Rights on 20 May 1999 and is subject to the jurisdiction of the European Court of Human Rights. Georgia has signed the Council of Europe Convention on preventing and combating violence against women and domestic violence (Istanbul Convention) on 19 June 2014.</w:t>
      </w:r>
      <w:r w:rsidR="00BF4BEB" w:rsidRPr="00F12479">
        <w:rPr>
          <w:sz w:val="20"/>
          <w:szCs w:val="20"/>
        </w:rPr>
        <w:t xml:space="preserve"> </w:t>
      </w:r>
      <w:r w:rsidR="00A932B5" w:rsidRPr="00F12479">
        <w:rPr>
          <w:sz w:val="20"/>
          <w:szCs w:val="20"/>
        </w:rPr>
        <w:t xml:space="preserve">The Special Rapporteur welcomed the announcement made during her visit that the Government intends to ratify the Convention in spring 2016 and regrets that during the preparation of this report, such commitment </w:t>
      </w:r>
      <w:r w:rsidR="002252F9" w:rsidRPr="00F12479">
        <w:rPr>
          <w:sz w:val="20"/>
          <w:szCs w:val="20"/>
        </w:rPr>
        <w:t>ha</w:t>
      </w:r>
      <w:r w:rsidR="002252F9">
        <w:rPr>
          <w:sz w:val="20"/>
          <w:szCs w:val="20"/>
        </w:rPr>
        <w:t>d</w:t>
      </w:r>
      <w:r w:rsidR="002252F9" w:rsidRPr="00F12479">
        <w:rPr>
          <w:sz w:val="20"/>
          <w:szCs w:val="20"/>
        </w:rPr>
        <w:t xml:space="preserve"> not</w:t>
      </w:r>
      <w:r w:rsidR="00A932B5" w:rsidRPr="00F12479">
        <w:rPr>
          <w:sz w:val="20"/>
          <w:szCs w:val="20"/>
        </w:rPr>
        <w:t xml:space="preserve"> yet materialized</w:t>
      </w:r>
      <w:r w:rsidR="00E86303">
        <w:rPr>
          <w:sz w:val="20"/>
          <w:szCs w:val="20"/>
        </w:rPr>
        <w:t>.</w:t>
      </w:r>
    </w:p>
    <w:p w:rsidR="0087133A" w:rsidRPr="00F12479" w:rsidRDefault="00680F68" w:rsidP="00B272FD">
      <w:pPr>
        <w:pStyle w:val="H1G"/>
      </w:pPr>
      <w:r w:rsidRPr="00F12479">
        <w:tab/>
        <w:t>B.</w:t>
      </w:r>
      <w:r w:rsidRPr="00F12479">
        <w:tab/>
      </w:r>
      <w:r w:rsidR="00DE06AD" w:rsidRPr="00F12479">
        <w:t>Constitutional, legislative and policy framework</w:t>
      </w:r>
    </w:p>
    <w:p w:rsidR="00B5711A" w:rsidRPr="00F12479" w:rsidRDefault="00A82DC6" w:rsidP="00F1164D">
      <w:pPr>
        <w:pStyle w:val="SingleTxtG"/>
        <w:rPr>
          <w:sz w:val="20"/>
          <w:szCs w:val="20"/>
        </w:rPr>
      </w:pPr>
      <w:r>
        <w:rPr>
          <w:sz w:val="20"/>
          <w:szCs w:val="20"/>
        </w:rPr>
        <w:t>51</w:t>
      </w:r>
      <w:r w:rsidR="005B4D4A" w:rsidRPr="00F12479">
        <w:rPr>
          <w:sz w:val="20"/>
          <w:szCs w:val="20"/>
        </w:rPr>
        <w:t>.</w:t>
      </w:r>
      <w:r w:rsidR="005B4D4A" w:rsidRPr="00F12479">
        <w:rPr>
          <w:sz w:val="20"/>
          <w:szCs w:val="20"/>
        </w:rPr>
        <w:tab/>
      </w:r>
      <w:r w:rsidR="00F5764E" w:rsidRPr="00F12479">
        <w:rPr>
          <w:sz w:val="20"/>
          <w:szCs w:val="20"/>
        </w:rPr>
        <w:t>The 1995 Constitution</w:t>
      </w:r>
      <w:r w:rsidR="00B5711A" w:rsidRPr="00F12479">
        <w:rPr>
          <w:sz w:val="20"/>
          <w:szCs w:val="20"/>
        </w:rPr>
        <w:t xml:space="preserve"> </w:t>
      </w:r>
      <w:r w:rsidR="005B4D4A" w:rsidRPr="00F12479">
        <w:rPr>
          <w:sz w:val="20"/>
          <w:szCs w:val="20"/>
        </w:rPr>
        <w:t xml:space="preserve">contains provisions on equality, among which article 14 </w:t>
      </w:r>
      <w:r w:rsidR="00776DFA" w:rsidRPr="00F12479">
        <w:rPr>
          <w:sz w:val="20"/>
          <w:szCs w:val="20"/>
        </w:rPr>
        <w:t>stipulates</w:t>
      </w:r>
      <w:r w:rsidR="005B4D4A" w:rsidRPr="00F12479">
        <w:rPr>
          <w:sz w:val="20"/>
          <w:szCs w:val="20"/>
        </w:rPr>
        <w:t xml:space="preserve"> </w:t>
      </w:r>
      <w:r w:rsidR="000F28BC" w:rsidRPr="00F12479">
        <w:rPr>
          <w:sz w:val="20"/>
          <w:szCs w:val="20"/>
        </w:rPr>
        <w:t>equality</w:t>
      </w:r>
      <w:r w:rsidR="005B4D4A" w:rsidRPr="00F12479">
        <w:rPr>
          <w:sz w:val="20"/>
          <w:szCs w:val="20"/>
        </w:rPr>
        <w:t xml:space="preserve"> before the law, regardless of sex; article 36 </w:t>
      </w:r>
      <w:r w:rsidR="00776DFA" w:rsidRPr="00F12479">
        <w:rPr>
          <w:sz w:val="20"/>
          <w:szCs w:val="20"/>
        </w:rPr>
        <w:t>recognizes</w:t>
      </w:r>
      <w:r w:rsidR="000F28BC" w:rsidRPr="00F12479">
        <w:rPr>
          <w:sz w:val="20"/>
          <w:szCs w:val="20"/>
        </w:rPr>
        <w:t xml:space="preserve"> </w:t>
      </w:r>
      <w:r w:rsidR="005B4D4A" w:rsidRPr="00F12479">
        <w:rPr>
          <w:sz w:val="20"/>
          <w:szCs w:val="20"/>
        </w:rPr>
        <w:t>equal</w:t>
      </w:r>
      <w:r w:rsidR="000F28BC" w:rsidRPr="00F12479">
        <w:rPr>
          <w:sz w:val="20"/>
          <w:szCs w:val="20"/>
        </w:rPr>
        <w:t>ity in marriage; and article 38</w:t>
      </w:r>
      <w:r w:rsidR="00776DFA" w:rsidRPr="00F12479">
        <w:rPr>
          <w:sz w:val="20"/>
          <w:szCs w:val="20"/>
        </w:rPr>
        <w:t xml:space="preserve"> establishes</w:t>
      </w:r>
      <w:r w:rsidR="000F28BC" w:rsidRPr="00F12479">
        <w:rPr>
          <w:sz w:val="20"/>
          <w:szCs w:val="20"/>
        </w:rPr>
        <w:t xml:space="preserve"> </w:t>
      </w:r>
      <w:r w:rsidR="005B4D4A" w:rsidRPr="00F12479">
        <w:rPr>
          <w:sz w:val="20"/>
          <w:szCs w:val="20"/>
        </w:rPr>
        <w:t>equality in social, economi</w:t>
      </w:r>
      <w:r w:rsidR="00736FB1" w:rsidRPr="00F12479">
        <w:rPr>
          <w:sz w:val="20"/>
          <w:szCs w:val="20"/>
        </w:rPr>
        <w:t>c, cultural and political life.</w:t>
      </w:r>
    </w:p>
    <w:p w:rsidR="00C456B3" w:rsidRPr="00F12479" w:rsidRDefault="00A82DC6" w:rsidP="00475D65">
      <w:pPr>
        <w:pStyle w:val="SingleTxtG"/>
        <w:rPr>
          <w:sz w:val="20"/>
          <w:szCs w:val="20"/>
        </w:rPr>
      </w:pPr>
      <w:r>
        <w:rPr>
          <w:sz w:val="20"/>
          <w:szCs w:val="20"/>
        </w:rPr>
        <w:t>52</w:t>
      </w:r>
      <w:r w:rsidR="00CB6BA7" w:rsidRPr="00F12479">
        <w:rPr>
          <w:sz w:val="20"/>
          <w:szCs w:val="20"/>
        </w:rPr>
        <w:t>.</w:t>
      </w:r>
      <w:r w:rsidR="00CB6BA7" w:rsidRPr="00F12479">
        <w:rPr>
          <w:sz w:val="20"/>
          <w:szCs w:val="20"/>
        </w:rPr>
        <w:tab/>
        <w:t xml:space="preserve">The Special Rapporteur recognizes </w:t>
      </w:r>
      <w:r w:rsidR="00BF11C1" w:rsidRPr="00F12479">
        <w:rPr>
          <w:sz w:val="20"/>
          <w:szCs w:val="20"/>
        </w:rPr>
        <w:t>that during the</w:t>
      </w:r>
      <w:r w:rsidR="00FA180F" w:rsidRPr="00F12479">
        <w:rPr>
          <w:sz w:val="20"/>
          <w:szCs w:val="20"/>
        </w:rPr>
        <w:t xml:space="preserve"> </w:t>
      </w:r>
      <w:r w:rsidR="00BF11C1" w:rsidRPr="00F12479">
        <w:rPr>
          <w:sz w:val="20"/>
          <w:szCs w:val="20"/>
        </w:rPr>
        <w:t xml:space="preserve">past </w:t>
      </w:r>
      <w:r w:rsidR="000F28BC" w:rsidRPr="00F12479">
        <w:rPr>
          <w:sz w:val="20"/>
          <w:szCs w:val="20"/>
        </w:rPr>
        <w:t xml:space="preserve">ten </w:t>
      </w:r>
      <w:r w:rsidR="00BF11C1" w:rsidRPr="00F12479">
        <w:rPr>
          <w:sz w:val="20"/>
          <w:szCs w:val="20"/>
        </w:rPr>
        <w:t xml:space="preserve">years, Georgia has made </w:t>
      </w:r>
      <w:r w:rsidR="00CB6BA7" w:rsidRPr="00F12479">
        <w:rPr>
          <w:sz w:val="20"/>
          <w:szCs w:val="20"/>
        </w:rPr>
        <w:t xml:space="preserve">several </w:t>
      </w:r>
      <w:r w:rsidR="00BF11C1" w:rsidRPr="00F12479">
        <w:rPr>
          <w:sz w:val="20"/>
          <w:szCs w:val="20"/>
        </w:rPr>
        <w:t xml:space="preserve">significant </w:t>
      </w:r>
      <w:r w:rsidR="00CB6BA7" w:rsidRPr="00F12479">
        <w:rPr>
          <w:sz w:val="20"/>
          <w:szCs w:val="20"/>
        </w:rPr>
        <w:t xml:space="preserve">improvements of </w:t>
      </w:r>
      <w:r w:rsidR="00BF11C1" w:rsidRPr="00F12479">
        <w:rPr>
          <w:sz w:val="20"/>
          <w:szCs w:val="20"/>
        </w:rPr>
        <w:t>its</w:t>
      </w:r>
      <w:r w:rsidR="00CB6BA7" w:rsidRPr="00F12479">
        <w:rPr>
          <w:sz w:val="20"/>
          <w:szCs w:val="20"/>
        </w:rPr>
        <w:t xml:space="preserve"> legislative framework on gender equality and in particular on</w:t>
      </w:r>
      <w:r w:rsidR="000F28BC" w:rsidRPr="00F12479">
        <w:rPr>
          <w:sz w:val="20"/>
          <w:szCs w:val="20"/>
        </w:rPr>
        <w:t xml:space="preserve"> domestic violence. These include</w:t>
      </w:r>
      <w:r w:rsidR="00CB6BA7" w:rsidRPr="00F12479">
        <w:rPr>
          <w:sz w:val="20"/>
          <w:szCs w:val="20"/>
        </w:rPr>
        <w:t xml:space="preserve"> the </w:t>
      </w:r>
      <w:r w:rsidR="00DF1764" w:rsidRPr="00F12479">
        <w:rPr>
          <w:sz w:val="20"/>
          <w:szCs w:val="20"/>
        </w:rPr>
        <w:t xml:space="preserve">adoption of the </w:t>
      </w:r>
      <w:r w:rsidR="00FA180F" w:rsidRPr="00F12479">
        <w:rPr>
          <w:sz w:val="20"/>
          <w:szCs w:val="20"/>
        </w:rPr>
        <w:t xml:space="preserve">2006 Law of Georgia on Elimination of Domestic Violence, Protection and Support of Victims of Domestic Violence, 2010 Law on Gender Equality and the 2014 Law on the Elimination of all Forms of Discrimination </w:t>
      </w:r>
      <w:r w:rsidR="00C87139">
        <w:rPr>
          <w:sz w:val="20"/>
          <w:szCs w:val="20"/>
        </w:rPr>
        <w:t xml:space="preserve">which </w:t>
      </w:r>
      <w:r w:rsidR="002252F9">
        <w:rPr>
          <w:sz w:val="20"/>
          <w:szCs w:val="20"/>
        </w:rPr>
        <w:t>includes the</w:t>
      </w:r>
      <w:r w:rsidR="00FA180F" w:rsidRPr="00F12479">
        <w:rPr>
          <w:sz w:val="20"/>
          <w:szCs w:val="20"/>
        </w:rPr>
        <w:t xml:space="preserve"> prohibition of </w:t>
      </w:r>
      <w:r w:rsidR="009B12D4" w:rsidRPr="00F12479">
        <w:rPr>
          <w:sz w:val="20"/>
          <w:szCs w:val="20"/>
        </w:rPr>
        <w:t xml:space="preserve">discrimination based on sex, as well as on </w:t>
      </w:r>
      <w:r w:rsidR="00C03C42" w:rsidRPr="00F12479">
        <w:rPr>
          <w:sz w:val="20"/>
          <w:szCs w:val="20"/>
        </w:rPr>
        <w:t xml:space="preserve">sexual orientation and </w:t>
      </w:r>
      <w:r w:rsidR="000849F8" w:rsidRPr="00F12479">
        <w:rPr>
          <w:sz w:val="20"/>
          <w:szCs w:val="20"/>
        </w:rPr>
        <w:t>gender identity</w:t>
      </w:r>
      <w:r w:rsidR="0067765C" w:rsidRPr="00F12479">
        <w:rPr>
          <w:sz w:val="20"/>
          <w:szCs w:val="20"/>
        </w:rPr>
        <w:t>,</w:t>
      </w:r>
      <w:r w:rsidR="009B12D4" w:rsidRPr="00F12479">
        <w:rPr>
          <w:sz w:val="20"/>
          <w:szCs w:val="20"/>
        </w:rPr>
        <w:t xml:space="preserve"> </w:t>
      </w:r>
      <w:r w:rsidR="00500125">
        <w:rPr>
          <w:sz w:val="20"/>
          <w:szCs w:val="20"/>
        </w:rPr>
        <w:t xml:space="preserve">the </w:t>
      </w:r>
      <w:r w:rsidR="00C456B3" w:rsidRPr="00F12479">
        <w:rPr>
          <w:sz w:val="20"/>
          <w:szCs w:val="20"/>
        </w:rPr>
        <w:t xml:space="preserve">2006 Law on combatting human trafficking and the 2014 </w:t>
      </w:r>
      <w:r w:rsidR="00475D65">
        <w:rPr>
          <w:sz w:val="20"/>
          <w:szCs w:val="20"/>
        </w:rPr>
        <w:t>Law on</w:t>
      </w:r>
      <w:r w:rsidR="00C456B3" w:rsidRPr="00F12479">
        <w:rPr>
          <w:sz w:val="20"/>
          <w:szCs w:val="20"/>
        </w:rPr>
        <w:t xml:space="preserve"> Internally Displaced Persons</w:t>
      </w:r>
      <w:r w:rsidR="00126A77">
        <w:rPr>
          <w:sz w:val="20"/>
          <w:szCs w:val="20"/>
        </w:rPr>
        <w:t xml:space="preserve"> – Persecuted from the Occupied Territories of Georgia</w:t>
      </w:r>
      <w:r w:rsidR="00C456B3" w:rsidRPr="00F12479">
        <w:rPr>
          <w:sz w:val="20"/>
          <w:szCs w:val="20"/>
        </w:rPr>
        <w:t xml:space="preserve">, </w:t>
      </w:r>
      <w:r w:rsidR="009B12D4" w:rsidRPr="00F12479">
        <w:rPr>
          <w:sz w:val="20"/>
          <w:szCs w:val="20"/>
        </w:rPr>
        <w:t>as well as the amendments made to the Criminal Code in 2012, in which new provisions defining the scope and categories of domestic violence were included</w:t>
      </w:r>
      <w:r w:rsidR="00D711F3" w:rsidRPr="00F12479">
        <w:rPr>
          <w:sz w:val="20"/>
          <w:szCs w:val="20"/>
        </w:rPr>
        <w:t>.</w:t>
      </w:r>
    </w:p>
    <w:p w:rsidR="0038338E" w:rsidRPr="00F12479" w:rsidRDefault="00A82DC6" w:rsidP="00DC2A36">
      <w:pPr>
        <w:pStyle w:val="SingleTxtG"/>
        <w:rPr>
          <w:sz w:val="20"/>
          <w:szCs w:val="20"/>
        </w:rPr>
      </w:pPr>
      <w:r>
        <w:rPr>
          <w:sz w:val="20"/>
          <w:szCs w:val="20"/>
        </w:rPr>
        <w:t>53</w:t>
      </w:r>
      <w:r w:rsidR="0038338E" w:rsidRPr="00F12479">
        <w:rPr>
          <w:sz w:val="20"/>
          <w:szCs w:val="20"/>
        </w:rPr>
        <w:t>.</w:t>
      </w:r>
      <w:r w:rsidR="0038338E" w:rsidRPr="00F12479">
        <w:rPr>
          <w:sz w:val="20"/>
          <w:szCs w:val="20"/>
        </w:rPr>
        <w:tab/>
        <w:t xml:space="preserve">There are a number of policies and strategies, adopted by the Government, such as the adoption of the </w:t>
      </w:r>
      <w:r w:rsidR="00DC2A36" w:rsidRPr="00F12479">
        <w:rPr>
          <w:sz w:val="20"/>
          <w:szCs w:val="20"/>
        </w:rPr>
        <w:t>2014-20</w:t>
      </w:r>
      <w:r w:rsidR="00DC2A36">
        <w:rPr>
          <w:sz w:val="20"/>
          <w:szCs w:val="20"/>
        </w:rPr>
        <w:t>15</w:t>
      </w:r>
      <w:r w:rsidR="00DC2A36" w:rsidRPr="00F12479">
        <w:rPr>
          <w:sz w:val="20"/>
          <w:szCs w:val="20"/>
        </w:rPr>
        <w:t xml:space="preserve"> </w:t>
      </w:r>
      <w:r w:rsidR="00DC2A36">
        <w:rPr>
          <w:sz w:val="20"/>
          <w:szCs w:val="20"/>
        </w:rPr>
        <w:t xml:space="preserve">the </w:t>
      </w:r>
      <w:r w:rsidR="00DC2A36" w:rsidRPr="00F12479">
        <w:rPr>
          <w:sz w:val="20"/>
          <w:szCs w:val="20"/>
        </w:rPr>
        <w:t xml:space="preserve">National Action Plan for the Implementation of </w:t>
      </w:r>
      <w:r w:rsidR="00DC2A36">
        <w:rPr>
          <w:sz w:val="20"/>
          <w:szCs w:val="20"/>
        </w:rPr>
        <w:t>Human Rights Strategy, which had</w:t>
      </w:r>
      <w:r w:rsidR="00DC2A36" w:rsidRPr="00F12479">
        <w:rPr>
          <w:sz w:val="20"/>
          <w:szCs w:val="20"/>
        </w:rPr>
        <w:t xml:space="preserve"> as specific objective the realization of gender equality through the empowerment of women and the fight against domestic violence</w:t>
      </w:r>
      <w:r w:rsidR="00DC2A36">
        <w:rPr>
          <w:sz w:val="20"/>
          <w:szCs w:val="20"/>
        </w:rPr>
        <w:t xml:space="preserve"> and the </w:t>
      </w:r>
      <w:r w:rsidR="0038338E" w:rsidRPr="00F12479">
        <w:rPr>
          <w:sz w:val="20"/>
          <w:szCs w:val="20"/>
        </w:rPr>
        <w:t xml:space="preserve">2013-2015 National Action Plan for Combatting Domestic Violence and Implementing Measures for the Protection of Victims of Domestic Violence. The Special Rapporteur welcomes the </w:t>
      </w:r>
      <w:r w:rsidR="003A365A" w:rsidRPr="00F12479">
        <w:rPr>
          <w:sz w:val="20"/>
          <w:szCs w:val="20"/>
        </w:rPr>
        <w:t xml:space="preserve">work on the </w:t>
      </w:r>
      <w:r w:rsidR="0038338E" w:rsidRPr="00F12479">
        <w:rPr>
          <w:sz w:val="20"/>
          <w:szCs w:val="20"/>
        </w:rPr>
        <w:t xml:space="preserve">subsequent </w:t>
      </w:r>
      <w:r w:rsidR="00ED310F" w:rsidRPr="00F12479">
        <w:rPr>
          <w:sz w:val="20"/>
          <w:szCs w:val="20"/>
        </w:rPr>
        <w:t xml:space="preserve">draft </w:t>
      </w:r>
      <w:r w:rsidR="00500125">
        <w:rPr>
          <w:sz w:val="20"/>
          <w:szCs w:val="20"/>
        </w:rPr>
        <w:t>Action Plan for 2016-2017</w:t>
      </w:r>
      <w:r w:rsidR="0038338E" w:rsidRPr="00F12479">
        <w:rPr>
          <w:sz w:val="20"/>
          <w:szCs w:val="20"/>
        </w:rPr>
        <w:t>, which will cover domestic violence and sexual violence issues.</w:t>
      </w:r>
      <w:r w:rsidR="0038338E" w:rsidRPr="00F12479">
        <w:rPr>
          <w:rStyle w:val="FootnoteReference"/>
          <w:sz w:val="20"/>
          <w:szCs w:val="20"/>
        </w:rPr>
        <w:footnoteReference w:id="63"/>
      </w:r>
      <w:r w:rsidR="0038338E" w:rsidRPr="00F12479">
        <w:rPr>
          <w:sz w:val="20"/>
          <w:szCs w:val="20"/>
        </w:rPr>
        <w:t xml:space="preserve"> The Government has approved the National Action Plan on Gender Equality for 2014-2016, as well as the National Human Rights Strategy. The last National Action Plan on Combatting Trafficking in Persons for 2015-2016 was also adopted. </w:t>
      </w:r>
    </w:p>
    <w:p w:rsidR="00450955" w:rsidRPr="00F12479" w:rsidRDefault="00A82DC6" w:rsidP="00F6693C">
      <w:pPr>
        <w:pStyle w:val="SingleTxtG"/>
        <w:rPr>
          <w:sz w:val="20"/>
          <w:szCs w:val="20"/>
        </w:rPr>
      </w:pPr>
      <w:r>
        <w:rPr>
          <w:sz w:val="20"/>
          <w:szCs w:val="20"/>
        </w:rPr>
        <w:t>54</w:t>
      </w:r>
      <w:r w:rsidR="00450955" w:rsidRPr="00F12479">
        <w:rPr>
          <w:sz w:val="20"/>
          <w:szCs w:val="20"/>
        </w:rPr>
        <w:t>.</w:t>
      </w:r>
      <w:r w:rsidR="00450955" w:rsidRPr="00F12479">
        <w:rPr>
          <w:sz w:val="20"/>
          <w:szCs w:val="20"/>
        </w:rPr>
        <w:tab/>
        <w:t xml:space="preserve">The Special Rapporteur welcomed the adoption of the 2012-2015 National Action Plan on Women, Peace and Security </w:t>
      </w:r>
      <w:r w:rsidR="003A365A" w:rsidRPr="00F12479">
        <w:rPr>
          <w:sz w:val="20"/>
          <w:szCs w:val="20"/>
        </w:rPr>
        <w:t xml:space="preserve">for the implementation of Security Council resolution 1325 (2000) </w:t>
      </w:r>
      <w:r w:rsidR="00450955" w:rsidRPr="00F12479">
        <w:rPr>
          <w:sz w:val="20"/>
          <w:szCs w:val="20"/>
        </w:rPr>
        <w:t xml:space="preserve">and the establishment of an interagency coordination group, </w:t>
      </w:r>
      <w:r w:rsidR="00C87139">
        <w:rPr>
          <w:sz w:val="20"/>
          <w:szCs w:val="20"/>
        </w:rPr>
        <w:t xml:space="preserve">led </w:t>
      </w:r>
      <w:r w:rsidR="00450955" w:rsidRPr="00F12479">
        <w:rPr>
          <w:sz w:val="20"/>
          <w:szCs w:val="20"/>
        </w:rPr>
        <w:t xml:space="preserve">by the </w:t>
      </w:r>
      <w:r w:rsidR="00F6693C">
        <w:rPr>
          <w:sz w:val="20"/>
          <w:szCs w:val="20"/>
        </w:rPr>
        <w:t>Assistant to the Prime Minister on Human Rights and Gender Equality Issues</w:t>
      </w:r>
      <w:r w:rsidR="00450955" w:rsidRPr="00F12479">
        <w:rPr>
          <w:sz w:val="20"/>
          <w:szCs w:val="20"/>
        </w:rPr>
        <w:t xml:space="preserve">. She looks forward to the adoption of </w:t>
      </w:r>
      <w:r w:rsidR="00F6693C">
        <w:rPr>
          <w:sz w:val="20"/>
          <w:szCs w:val="20"/>
        </w:rPr>
        <w:t>the</w:t>
      </w:r>
      <w:r w:rsidR="00450955" w:rsidRPr="00F12479">
        <w:rPr>
          <w:sz w:val="20"/>
          <w:szCs w:val="20"/>
        </w:rPr>
        <w:t xml:space="preserve"> subsequent plan </w:t>
      </w:r>
      <w:r w:rsidR="00F6693C">
        <w:rPr>
          <w:sz w:val="20"/>
          <w:szCs w:val="20"/>
        </w:rPr>
        <w:t xml:space="preserve">for 2016-2017, </w:t>
      </w:r>
      <w:r w:rsidR="00450955" w:rsidRPr="00F12479">
        <w:rPr>
          <w:sz w:val="20"/>
          <w:szCs w:val="20"/>
        </w:rPr>
        <w:t xml:space="preserve">which </w:t>
      </w:r>
      <w:r w:rsidR="003A365A" w:rsidRPr="00F12479">
        <w:rPr>
          <w:sz w:val="20"/>
          <w:szCs w:val="20"/>
        </w:rPr>
        <w:t xml:space="preserve">should </w:t>
      </w:r>
      <w:r w:rsidR="00450955" w:rsidRPr="00F12479">
        <w:rPr>
          <w:sz w:val="20"/>
          <w:szCs w:val="20"/>
        </w:rPr>
        <w:t xml:space="preserve">include the </w:t>
      </w:r>
      <w:r w:rsidR="00450955" w:rsidRPr="00F12479">
        <w:rPr>
          <w:sz w:val="20"/>
          <w:szCs w:val="20"/>
        </w:rPr>
        <w:lastRenderedPageBreak/>
        <w:t xml:space="preserve">participation of all responsible agencies, in particular those working in local communities, as recommended by the Public </w:t>
      </w:r>
      <w:r w:rsidR="00F1164D">
        <w:rPr>
          <w:sz w:val="20"/>
          <w:szCs w:val="20"/>
        </w:rPr>
        <w:t>Defender’s</w:t>
      </w:r>
      <w:r w:rsidR="00450955" w:rsidRPr="00F12479">
        <w:rPr>
          <w:sz w:val="20"/>
          <w:szCs w:val="20"/>
        </w:rPr>
        <w:t xml:space="preserve"> Office.</w:t>
      </w:r>
      <w:r w:rsidR="00450955" w:rsidRPr="00F12479">
        <w:rPr>
          <w:rStyle w:val="FootnoteReference"/>
          <w:sz w:val="20"/>
          <w:szCs w:val="20"/>
        </w:rPr>
        <w:footnoteReference w:id="64"/>
      </w:r>
    </w:p>
    <w:p w:rsidR="009B5DE1" w:rsidRPr="00F12479" w:rsidRDefault="00342AAB" w:rsidP="00C33900">
      <w:pPr>
        <w:pStyle w:val="SingleTxtG"/>
        <w:rPr>
          <w:sz w:val="20"/>
          <w:szCs w:val="20"/>
        </w:rPr>
      </w:pPr>
      <w:r w:rsidRPr="00F12479">
        <w:rPr>
          <w:sz w:val="20"/>
          <w:szCs w:val="20"/>
        </w:rPr>
        <w:t>5</w:t>
      </w:r>
      <w:r w:rsidR="00BB10DA" w:rsidRPr="00F12479">
        <w:rPr>
          <w:sz w:val="20"/>
          <w:szCs w:val="20"/>
        </w:rPr>
        <w:t>5</w:t>
      </w:r>
      <w:r w:rsidR="007F581A" w:rsidRPr="00F12479">
        <w:rPr>
          <w:sz w:val="20"/>
          <w:szCs w:val="20"/>
        </w:rPr>
        <w:t>.</w:t>
      </w:r>
      <w:r w:rsidR="007F581A" w:rsidRPr="00F12479">
        <w:rPr>
          <w:sz w:val="20"/>
          <w:szCs w:val="20"/>
        </w:rPr>
        <w:tab/>
      </w:r>
      <w:r w:rsidR="0038338E" w:rsidRPr="00F12479">
        <w:rPr>
          <w:sz w:val="20"/>
          <w:szCs w:val="20"/>
        </w:rPr>
        <w:t xml:space="preserve">The 2014-2016 Gender Action Plan elaborated by the Ministry of Internal Affairs </w:t>
      </w:r>
      <w:r w:rsidR="00D943BA">
        <w:rPr>
          <w:sz w:val="20"/>
          <w:szCs w:val="20"/>
        </w:rPr>
        <w:t xml:space="preserve">was adopted </w:t>
      </w:r>
      <w:r w:rsidR="0038338E" w:rsidRPr="00F12479">
        <w:rPr>
          <w:sz w:val="20"/>
          <w:szCs w:val="20"/>
        </w:rPr>
        <w:t xml:space="preserve">with the objective to </w:t>
      </w:r>
      <w:r w:rsidR="00245A50">
        <w:rPr>
          <w:sz w:val="20"/>
          <w:szCs w:val="20"/>
        </w:rPr>
        <w:t>improve gender equality in all aspects of political, economic and social life. The mandate holder was informed that</w:t>
      </w:r>
      <w:r w:rsidR="00245A50" w:rsidRPr="00F12479">
        <w:rPr>
          <w:sz w:val="20"/>
          <w:szCs w:val="20"/>
        </w:rPr>
        <w:t xml:space="preserve"> </w:t>
      </w:r>
      <w:r w:rsidR="0038338E" w:rsidRPr="00F12479">
        <w:rPr>
          <w:sz w:val="20"/>
          <w:szCs w:val="20"/>
        </w:rPr>
        <w:t>women’s role</w:t>
      </w:r>
      <w:r w:rsidR="00245A50">
        <w:rPr>
          <w:sz w:val="20"/>
          <w:szCs w:val="20"/>
        </w:rPr>
        <w:t xml:space="preserve"> was increased i</w:t>
      </w:r>
      <w:r w:rsidR="0038338E" w:rsidRPr="00F12479">
        <w:rPr>
          <w:sz w:val="20"/>
          <w:szCs w:val="20"/>
        </w:rPr>
        <w:t>n the police</w:t>
      </w:r>
      <w:r w:rsidR="003A365A" w:rsidRPr="00F12479">
        <w:rPr>
          <w:sz w:val="20"/>
          <w:szCs w:val="20"/>
        </w:rPr>
        <w:t xml:space="preserve"> force</w:t>
      </w:r>
      <w:r w:rsidR="00AF7C64" w:rsidRPr="00F12479">
        <w:rPr>
          <w:sz w:val="20"/>
          <w:szCs w:val="20"/>
        </w:rPr>
        <w:t xml:space="preserve"> </w:t>
      </w:r>
      <w:r w:rsidR="00C33900">
        <w:rPr>
          <w:sz w:val="20"/>
          <w:szCs w:val="20"/>
        </w:rPr>
        <w:t xml:space="preserve">and that 500 </w:t>
      </w:r>
      <w:r w:rsidR="0027560E">
        <w:rPr>
          <w:sz w:val="20"/>
          <w:szCs w:val="20"/>
        </w:rPr>
        <w:t xml:space="preserve">female </w:t>
      </w:r>
      <w:r w:rsidR="00C33900">
        <w:rPr>
          <w:sz w:val="20"/>
          <w:szCs w:val="20"/>
        </w:rPr>
        <w:t>police officer were recruited.</w:t>
      </w:r>
    </w:p>
    <w:p w:rsidR="00D97903" w:rsidRPr="00F12479" w:rsidRDefault="00BB10DA" w:rsidP="00F12BCD">
      <w:pPr>
        <w:pStyle w:val="SingleTxtG"/>
        <w:rPr>
          <w:sz w:val="20"/>
          <w:szCs w:val="20"/>
        </w:rPr>
      </w:pPr>
      <w:r w:rsidRPr="00F12479">
        <w:rPr>
          <w:sz w:val="20"/>
          <w:szCs w:val="20"/>
        </w:rPr>
        <w:t>56</w:t>
      </w:r>
      <w:r w:rsidR="00D97903" w:rsidRPr="00F12479">
        <w:rPr>
          <w:sz w:val="20"/>
          <w:szCs w:val="20"/>
        </w:rPr>
        <w:t>.</w:t>
      </w:r>
      <w:r w:rsidR="00D97903" w:rsidRPr="00F12479">
        <w:rPr>
          <w:sz w:val="20"/>
          <w:szCs w:val="20"/>
        </w:rPr>
        <w:tab/>
        <w:t xml:space="preserve"> The mandate holder was also</w:t>
      </w:r>
      <w:r w:rsidR="00F12BCD" w:rsidRPr="00F12479">
        <w:rPr>
          <w:sz w:val="20"/>
          <w:szCs w:val="20"/>
        </w:rPr>
        <w:t xml:space="preserve"> informed that Standard Operating</w:t>
      </w:r>
      <w:r w:rsidR="00D97903" w:rsidRPr="00F12479">
        <w:rPr>
          <w:sz w:val="20"/>
          <w:szCs w:val="20"/>
        </w:rPr>
        <w:t xml:space="preserve"> Procedures on Prevention and Response to sexual and gender-based violence in Tbilisi, </w:t>
      </w:r>
      <w:proofErr w:type="spellStart"/>
      <w:r w:rsidR="00D97903" w:rsidRPr="00F12479">
        <w:rPr>
          <w:sz w:val="20"/>
          <w:szCs w:val="20"/>
        </w:rPr>
        <w:t>Pankisi</w:t>
      </w:r>
      <w:proofErr w:type="spellEnd"/>
      <w:r w:rsidR="00D97903" w:rsidRPr="00F12479">
        <w:rPr>
          <w:sz w:val="20"/>
          <w:szCs w:val="20"/>
        </w:rPr>
        <w:t xml:space="preserve">, </w:t>
      </w:r>
      <w:proofErr w:type="spellStart"/>
      <w:r w:rsidR="00D97903" w:rsidRPr="00F12479">
        <w:rPr>
          <w:sz w:val="20"/>
          <w:szCs w:val="20"/>
        </w:rPr>
        <w:t>Gori</w:t>
      </w:r>
      <w:proofErr w:type="spellEnd"/>
      <w:r w:rsidR="00D97903" w:rsidRPr="00F12479">
        <w:rPr>
          <w:sz w:val="20"/>
          <w:szCs w:val="20"/>
        </w:rPr>
        <w:t xml:space="preserve">, Kutaisi, </w:t>
      </w:r>
      <w:proofErr w:type="spellStart"/>
      <w:r w:rsidR="00D97903" w:rsidRPr="00F12479">
        <w:rPr>
          <w:sz w:val="20"/>
          <w:szCs w:val="20"/>
        </w:rPr>
        <w:t>Zugdidi</w:t>
      </w:r>
      <w:proofErr w:type="spellEnd"/>
      <w:r w:rsidR="00D97903" w:rsidRPr="00F12479">
        <w:rPr>
          <w:sz w:val="20"/>
          <w:szCs w:val="20"/>
        </w:rPr>
        <w:t xml:space="preserve"> and </w:t>
      </w:r>
      <w:proofErr w:type="spellStart"/>
      <w:r w:rsidR="00D97903" w:rsidRPr="00F12479">
        <w:rPr>
          <w:sz w:val="20"/>
          <w:szCs w:val="20"/>
        </w:rPr>
        <w:t>Gali</w:t>
      </w:r>
      <w:proofErr w:type="spellEnd"/>
      <w:r w:rsidR="00D97903" w:rsidRPr="00F12479">
        <w:rPr>
          <w:sz w:val="20"/>
          <w:szCs w:val="20"/>
        </w:rPr>
        <w:t xml:space="preserve"> regions were elaborated to maximize the efficiency of coordinated actions of governmental and non-governmental bodies have been elaborated, with the lead of UNHCR.</w:t>
      </w:r>
      <w:r w:rsidR="00D97903" w:rsidRPr="00F12479">
        <w:rPr>
          <w:rStyle w:val="FootnoteReference"/>
          <w:sz w:val="20"/>
          <w:szCs w:val="20"/>
        </w:rPr>
        <w:footnoteReference w:id="65"/>
      </w:r>
    </w:p>
    <w:p w:rsidR="00781B79" w:rsidRPr="00F12479" w:rsidRDefault="00BB10DA" w:rsidP="00680C10">
      <w:pPr>
        <w:pStyle w:val="SingleTxtG"/>
        <w:rPr>
          <w:sz w:val="20"/>
          <w:szCs w:val="20"/>
        </w:rPr>
      </w:pPr>
      <w:r w:rsidRPr="00F12479">
        <w:rPr>
          <w:sz w:val="20"/>
          <w:szCs w:val="20"/>
        </w:rPr>
        <w:t>57</w:t>
      </w:r>
      <w:r w:rsidR="00B5711A" w:rsidRPr="00F12479">
        <w:rPr>
          <w:sz w:val="20"/>
          <w:szCs w:val="20"/>
        </w:rPr>
        <w:t>.</w:t>
      </w:r>
      <w:r w:rsidR="00B5711A" w:rsidRPr="00F12479">
        <w:rPr>
          <w:sz w:val="20"/>
          <w:szCs w:val="20"/>
        </w:rPr>
        <w:tab/>
      </w:r>
      <w:r w:rsidR="00DF1764" w:rsidRPr="00F12479">
        <w:rPr>
          <w:sz w:val="20"/>
          <w:szCs w:val="20"/>
        </w:rPr>
        <w:t>In relation to the Law on Elimination of Domestic Violence, Protection and Support of Victims of Domestic Violence</w:t>
      </w:r>
      <w:r w:rsidR="000F28BC" w:rsidRPr="00F12479">
        <w:rPr>
          <w:sz w:val="20"/>
          <w:szCs w:val="20"/>
        </w:rPr>
        <w:t>, t</w:t>
      </w:r>
      <w:r w:rsidR="00DF1764" w:rsidRPr="00F12479">
        <w:rPr>
          <w:sz w:val="20"/>
          <w:szCs w:val="20"/>
        </w:rPr>
        <w:t xml:space="preserve">he mandate holder </w:t>
      </w:r>
      <w:r w:rsidR="00B35B9D" w:rsidRPr="00F12479">
        <w:rPr>
          <w:sz w:val="20"/>
          <w:szCs w:val="20"/>
        </w:rPr>
        <w:t xml:space="preserve">welcomes the </w:t>
      </w:r>
      <w:r w:rsidR="000F28BC" w:rsidRPr="00F12479">
        <w:rPr>
          <w:sz w:val="20"/>
          <w:szCs w:val="20"/>
        </w:rPr>
        <w:t xml:space="preserve">2014 </w:t>
      </w:r>
      <w:r w:rsidR="002801DD" w:rsidRPr="00F12479">
        <w:rPr>
          <w:sz w:val="20"/>
          <w:szCs w:val="20"/>
        </w:rPr>
        <w:t>amendment, which includes</w:t>
      </w:r>
      <w:r w:rsidR="00BD5C81" w:rsidRPr="00F12479">
        <w:rPr>
          <w:sz w:val="20"/>
          <w:szCs w:val="20"/>
        </w:rPr>
        <w:t xml:space="preserve"> ph</w:t>
      </w:r>
      <w:r w:rsidR="00977320" w:rsidRPr="00F12479">
        <w:rPr>
          <w:sz w:val="20"/>
          <w:szCs w:val="20"/>
        </w:rPr>
        <w:t>ysical, psychological, economic and</w:t>
      </w:r>
      <w:r w:rsidR="00BD5C81" w:rsidRPr="00F12479">
        <w:rPr>
          <w:sz w:val="20"/>
          <w:szCs w:val="20"/>
        </w:rPr>
        <w:t xml:space="preserve"> sexual violence or coercion (article 3). Nevertheless, she </w:t>
      </w:r>
      <w:r w:rsidR="00DF1764" w:rsidRPr="00F12479">
        <w:rPr>
          <w:sz w:val="20"/>
          <w:szCs w:val="20"/>
        </w:rPr>
        <w:t xml:space="preserve">is concerned </w:t>
      </w:r>
      <w:r w:rsidR="008D7944" w:rsidRPr="00F12479">
        <w:rPr>
          <w:sz w:val="20"/>
          <w:szCs w:val="20"/>
        </w:rPr>
        <w:t xml:space="preserve">about </w:t>
      </w:r>
      <w:r w:rsidR="005C1538" w:rsidRPr="00F12479">
        <w:rPr>
          <w:sz w:val="20"/>
          <w:szCs w:val="20"/>
        </w:rPr>
        <w:t>the scope of this law that does n</w:t>
      </w:r>
      <w:r w:rsidR="00533B3E" w:rsidRPr="00F12479">
        <w:rPr>
          <w:sz w:val="20"/>
          <w:szCs w:val="20"/>
        </w:rPr>
        <w:t>ot cover violence against women outside the family</w:t>
      </w:r>
      <w:r w:rsidR="005C1538" w:rsidRPr="00F12479">
        <w:rPr>
          <w:sz w:val="20"/>
          <w:szCs w:val="20"/>
        </w:rPr>
        <w:t>, as well as its narrow definition of a ‘victim’ in article 4 (f): a person</w:t>
      </w:r>
      <w:r w:rsidR="00533B3E" w:rsidRPr="00F12479">
        <w:rPr>
          <w:sz w:val="20"/>
          <w:szCs w:val="20"/>
        </w:rPr>
        <w:t xml:space="preserve"> who suffered domestic violence</w:t>
      </w:r>
      <w:r w:rsidR="005C1538" w:rsidRPr="00F12479">
        <w:rPr>
          <w:sz w:val="20"/>
          <w:szCs w:val="20"/>
        </w:rPr>
        <w:t xml:space="preserve"> as we</w:t>
      </w:r>
      <w:r w:rsidR="002801DD" w:rsidRPr="00F12479">
        <w:rPr>
          <w:sz w:val="20"/>
          <w:szCs w:val="20"/>
        </w:rPr>
        <w:t>l</w:t>
      </w:r>
      <w:r w:rsidR="005C1538" w:rsidRPr="00F12479">
        <w:rPr>
          <w:sz w:val="20"/>
          <w:szCs w:val="20"/>
        </w:rPr>
        <w:t xml:space="preserve">l as </w:t>
      </w:r>
      <w:r w:rsidR="00781B79" w:rsidRPr="00F12479">
        <w:rPr>
          <w:sz w:val="20"/>
          <w:szCs w:val="20"/>
        </w:rPr>
        <w:t xml:space="preserve">the </w:t>
      </w:r>
      <w:r w:rsidR="005C1538" w:rsidRPr="00F12479">
        <w:rPr>
          <w:sz w:val="20"/>
          <w:szCs w:val="20"/>
        </w:rPr>
        <w:t xml:space="preserve">determination </w:t>
      </w:r>
      <w:r w:rsidR="00C87139">
        <w:rPr>
          <w:sz w:val="20"/>
          <w:szCs w:val="20"/>
        </w:rPr>
        <w:t xml:space="preserve">of </w:t>
      </w:r>
      <w:r w:rsidR="005C1538" w:rsidRPr="00F12479">
        <w:rPr>
          <w:sz w:val="20"/>
          <w:szCs w:val="20"/>
        </w:rPr>
        <w:t>the ‘status of victim’</w:t>
      </w:r>
      <w:r w:rsidR="00781B79" w:rsidRPr="00F12479">
        <w:rPr>
          <w:sz w:val="20"/>
          <w:szCs w:val="20"/>
        </w:rPr>
        <w:t xml:space="preserve"> by </w:t>
      </w:r>
      <w:r w:rsidR="00533B3E" w:rsidRPr="00F12479">
        <w:rPr>
          <w:sz w:val="20"/>
          <w:szCs w:val="20"/>
        </w:rPr>
        <w:t>law enforcement and judicial bodies, as well as the</w:t>
      </w:r>
      <w:r w:rsidR="004F5D8E">
        <w:rPr>
          <w:sz w:val="20"/>
          <w:szCs w:val="20"/>
        </w:rPr>
        <w:t xml:space="preserve"> existence of a</w:t>
      </w:r>
      <w:r w:rsidR="00533B3E" w:rsidRPr="00F12479">
        <w:rPr>
          <w:sz w:val="20"/>
          <w:szCs w:val="20"/>
        </w:rPr>
        <w:t xml:space="preserve"> </w:t>
      </w:r>
      <w:r w:rsidR="00533B3E" w:rsidRPr="004F5D8E">
        <w:rPr>
          <w:sz w:val="20"/>
          <w:szCs w:val="20"/>
        </w:rPr>
        <w:t>Group for Determining Domestic Violence Victim Status of the Interagency Council for Prevention of Domestic Violence</w:t>
      </w:r>
      <w:r w:rsidR="002C1E5F">
        <w:rPr>
          <w:sz w:val="20"/>
          <w:szCs w:val="20"/>
        </w:rPr>
        <w:t>, which is requested to ensure the identification and relevant respons</w:t>
      </w:r>
      <w:r w:rsidR="00680C10">
        <w:rPr>
          <w:sz w:val="20"/>
          <w:szCs w:val="20"/>
        </w:rPr>
        <w:t>e to cases of domestic violence</w:t>
      </w:r>
      <w:r w:rsidR="00533B3E" w:rsidRPr="004F5D8E">
        <w:rPr>
          <w:sz w:val="20"/>
          <w:szCs w:val="20"/>
        </w:rPr>
        <w:t>. All of this</w:t>
      </w:r>
      <w:r w:rsidR="00533B3E" w:rsidRPr="00F12479">
        <w:rPr>
          <w:sz w:val="20"/>
          <w:szCs w:val="20"/>
        </w:rPr>
        <w:t xml:space="preserve"> results in the impediment to women survivors of violence to have </w:t>
      </w:r>
      <w:r w:rsidR="00F81A3F" w:rsidRPr="00F12479">
        <w:rPr>
          <w:sz w:val="20"/>
          <w:szCs w:val="20"/>
        </w:rPr>
        <w:t xml:space="preserve">immediate </w:t>
      </w:r>
      <w:r w:rsidR="00533B3E" w:rsidRPr="00F12479">
        <w:rPr>
          <w:sz w:val="20"/>
          <w:szCs w:val="20"/>
        </w:rPr>
        <w:t>access to the protectio</w:t>
      </w:r>
      <w:r w:rsidR="00D46F40" w:rsidRPr="00F12479">
        <w:rPr>
          <w:sz w:val="20"/>
          <w:szCs w:val="20"/>
        </w:rPr>
        <w:t xml:space="preserve">n by the issuance of </w:t>
      </w:r>
      <w:r w:rsidR="002D721F">
        <w:rPr>
          <w:sz w:val="20"/>
          <w:szCs w:val="20"/>
        </w:rPr>
        <w:t>restraining</w:t>
      </w:r>
      <w:r w:rsidR="00533B3E" w:rsidRPr="00F12479">
        <w:rPr>
          <w:sz w:val="20"/>
          <w:szCs w:val="20"/>
        </w:rPr>
        <w:t>/protective orders and/or the possibility to stay in a State-run shelter</w:t>
      </w:r>
      <w:r w:rsidR="00680C10">
        <w:rPr>
          <w:sz w:val="20"/>
          <w:szCs w:val="20"/>
        </w:rPr>
        <w:t xml:space="preserve"> – as victims without such status cannot stay in shelters</w:t>
      </w:r>
      <w:r w:rsidR="00533B3E" w:rsidRPr="00F12479">
        <w:rPr>
          <w:sz w:val="20"/>
          <w:szCs w:val="20"/>
        </w:rPr>
        <w:t>.</w:t>
      </w:r>
    </w:p>
    <w:p w:rsidR="009B4845" w:rsidRPr="00F12479" w:rsidRDefault="00342AAB" w:rsidP="007029F0">
      <w:pPr>
        <w:pStyle w:val="SingleTxtG"/>
        <w:rPr>
          <w:sz w:val="20"/>
          <w:szCs w:val="20"/>
        </w:rPr>
      </w:pPr>
      <w:r w:rsidRPr="00F12479">
        <w:rPr>
          <w:sz w:val="20"/>
          <w:szCs w:val="20"/>
        </w:rPr>
        <w:t>5</w:t>
      </w:r>
      <w:r w:rsidR="00BB10DA" w:rsidRPr="00F12479">
        <w:rPr>
          <w:sz w:val="20"/>
          <w:szCs w:val="20"/>
        </w:rPr>
        <w:t>8</w:t>
      </w:r>
      <w:r w:rsidR="009B4845" w:rsidRPr="00F12479">
        <w:rPr>
          <w:sz w:val="20"/>
          <w:szCs w:val="20"/>
        </w:rPr>
        <w:t>.</w:t>
      </w:r>
      <w:r w:rsidR="009B4845" w:rsidRPr="00F12479">
        <w:rPr>
          <w:sz w:val="20"/>
          <w:szCs w:val="20"/>
        </w:rPr>
        <w:tab/>
        <w:t xml:space="preserve">While welcoming the adoption of the Law on Gender Equality, which provides a definition of harassment, the </w:t>
      </w:r>
      <w:r w:rsidR="00F1164D">
        <w:rPr>
          <w:sz w:val="20"/>
          <w:szCs w:val="20"/>
        </w:rPr>
        <w:t xml:space="preserve">Special </w:t>
      </w:r>
      <w:r w:rsidR="007029F0">
        <w:rPr>
          <w:sz w:val="20"/>
          <w:szCs w:val="20"/>
        </w:rPr>
        <w:t>Rapporteur</w:t>
      </w:r>
      <w:r w:rsidR="009B4845" w:rsidRPr="00F12479">
        <w:rPr>
          <w:sz w:val="20"/>
          <w:szCs w:val="20"/>
        </w:rPr>
        <w:t xml:space="preserve"> is concerned that the law does not cover the issue of sexual harassment in education establishments or sexual harassment at workplace.</w:t>
      </w:r>
      <w:r w:rsidR="009B4845" w:rsidRPr="00F12479">
        <w:rPr>
          <w:rStyle w:val="FootnoteReference"/>
          <w:sz w:val="20"/>
          <w:szCs w:val="20"/>
        </w:rPr>
        <w:footnoteReference w:id="66"/>
      </w:r>
    </w:p>
    <w:p w:rsidR="00AF7C64" w:rsidRPr="00F12479" w:rsidRDefault="00BB10DA" w:rsidP="007E1C10">
      <w:pPr>
        <w:pStyle w:val="SingleTxtG"/>
        <w:rPr>
          <w:sz w:val="20"/>
          <w:szCs w:val="20"/>
        </w:rPr>
      </w:pPr>
      <w:r w:rsidRPr="00F12479">
        <w:rPr>
          <w:sz w:val="20"/>
          <w:szCs w:val="20"/>
        </w:rPr>
        <w:t>59</w:t>
      </w:r>
      <w:r w:rsidR="00CB6BA7" w:rsidRPr="00F12479">
        <w:rPr>
          <w:sz w:val="20"/>
          <w:szCs w:val="20"/>
        </w:rPr>
        <w:t>.</w:t>
      </w:r>
      <w:r w:rsidR="00D3057B" w:rsidRPr="00F12479">
        <w:rPr>
          <w:sz w:val="20"/>
          <w:szCs w:val="20"/>
        </w:rPr>
        <w:tab/>
        <w:t>A</w:t>
      </w:r>
      <w:r w:rsidR="0012508E" w:rsidRPr="00F12479">
        <w:rPr>
          <w:sz w:val="20"/>
          <w:szCs w:val="20"/>
        </w:rPr>
        <w:t>rticle</w:t>
      </w:r>
      <w:r w:rsidR="009B12D4" w:rsidRPr="00F12479">
        <w:rPr>
          <w:sz w:val="20"/>
          <w:szCs w:val="20"/>
        </w:rPr>
        <w:t xml:space="preserve"> 150</w:t>
      </w:r>
      <w:r w:rsidR="009B12D4" w:rsidRPr="00F12479">
        <w:rPr>
          <w:sz w:val="20"/>
          <w:szCs w:val="20"/>
          <w:vertAlign w:val="superscript"/>
        </w:rPr>
        <w:t>1</w:t>
      </w:r>
      <w:r w:rsidR="009B12D4" w:rsidRPr="00F12479">
        <w:rPr>
          <w:sz w:val="20"/>
          <w:szCs w:val="20"/>
        </w:rPr>
        <w:t xml:space="preserve"> </w:t>
      </w:r>
      <w:r w:rsidR="007E47F6" w:rsidRPr="00F12479">
        <w:rPr>
          <w:sz w:val="20"/>
          <w:szCs w:val="20"/>
        </w:rPr>
        <w:t xml:space="preserve">of the Criminal </w:t>
      </w:r>
      <w:r w:rsidR="00AF7C64" w:rsidRPr="00F12479">
        <w:rPr>
          <w:sz w:val="20"/>
          <w:szCs w:val="20"/>
        </w:rPr>
        <w:t>Code</w:t>
      </w:r>
      <w:r w:rsidR="007E47F6" w:rsidRPr="00F12479">
        <w:rPr>
          <w:sz w:val="20"/>
          <w:szCs w:val="20"/>
        </w:rPr>
        <w:t xml:space="preserve"> criminalize</w:t>
      </w:r>
      <w:r w:rsidR="0012508E" w:rsidRPr="00F12479">
        <w:rPr>
          <w:sz w:val="20"/>
          <w:szCs w:val="20"/>
        </w:rPr>
        <w:t>s</w:t>
      </w:r>
      <w:r w:rsidR="005C1538" w:rsidRPr="00F12479">
        <w:rPr>
          <w:sz w:val="20"/>
          <w:szCs w:val="20"/>
        </w:rPr>
        <w:t xml:space="preserve"> forced </w:t>
      </w:r>
      <w:r w:rsidR="007E47F6" w:rsidRPr="00F12479">
        <w:rPr>
          <w:sz w:val="20"/>
          <w:szCs w:val="20"/>
        </w:rPr>
        <w:t>marriage, including unregistered marriage</w:t>
      </w:r>
      <w:r w:rsidR="00413570">
        <w:rPr>
          <w:sz w:val="20"/>
          <w:szCs w:val="20"/>
        </w:rPr>
        <w:t xml:space="preserve">. </w:t>
      </w:r>
      <w:r w:rsidR="0012508E" w:rsidRPr="00F12479">
        <w:rPr>
          <w:sz w:val="20"/>
          <w:szCs w:val="20"/>
        </w:rPr>
        <w:t xml:space="preserve">Article </w:t>
      </w:r>
      <w:r w:rsidR="009B12D4" w:rsidRPr="00F12479">
        <w:rPr>
          <w:sz w:val="20"/>
          <w:szCs w:val="20"/>
        </w:rPr>
        <w:t xml:space="preserve">140 </w:t>
      </w:r>
      <w:r w:rsidR="0012508E" w:rsidRPr="00F12479">
        <w:rPr>
          <w:sz w:val="20"/>
          <w:szCs w:val="20"/>
        </w:rPr>
        <w:t>of</w:t>
      </w:r>
      <w:r w:rsidR="002252F9">
        <w:rPr>
          <w:sz w:val="20"/>
          <w:szCs w:val="20"/>
        </w:rPr>
        <w:t xml:space="preserve"> the Criminal Code criminalizes</w:t>
      </w:r>
      <w:r w:rsidR="0012508E" w:rsidRPr="00F12479">
        <w:rPr>
          <w:sz w:val="20"/>
          <w:szCs w:val="20"/>
        </w:rPr>
        <w:t xml:space="preserve"> sexual intercourse or another action of sexual character committed between an adult and a child under 16 years old. The mandate holder was informed that a</w:t>
      </w:r>
      <w:r w:rsidR="009B12D4" w:rsidRPr="00F12479">
        <w:rPr>
          <w:sz w:val="20"/>
          <w:szCs w:val="20"/>
        </w:rPr>
        <w:t>r</w:t>
      </w:r>
      <w:r w:rsidR="0012508E" w:rsidRPr="00F12479">
        <w:rPr>
          <w:sz w:val="20"/>
          <w:szCs w:val="20"/>
        </w:rPr>
        <w:t>ticle 143 of the Criminal Code on Illegal Imprisonment</w:t>
      </w:r>
      <w:r w:rsidR="009B12D4" w:rsidRPr="00F12479">
        <w:rPr>
          <w:sz w:val="20"/>
          <w:szCs w:val="20"/>
        </w:rPr>
        <w:t xml:space="preserve"> can be used against a kidn</w:t>
      </w:r>
      <w:r w:rsidR="0012508E" w:rsidRPr="00F12479">
        <w:rPr>
          <w:sz w:val="20"/>
          <w:szCs w:val="20"/>
        </w:rPr>
        <w:t xml:space="preserve">apper. </w:t>
      </w:r>
      <w:r w:rsidR="00664147" w:rsidRPr="00F12479">
        <w:rPr>
          <w:sz w:val="20"/>
          <w:szCs w:val="20"/>
        </w:rPr>
        <w:t xml:space="preserve">While acknowledging </w:t>
      </w:r>
      <w:r w:rsidR="00A16040" w:rsidRPr="00F12479">
        <w:rPr>
          <w:sz w:val="20"/>
          <w:szCs w:val="20"/>
        </w:rPr>
        <w:t>the repeal o</w:t>
      </w:r>
      <w:r w:rsidR="00664147" w:rsidRPr="00F12479">
        <w:rPr>
          <w:sz w:val="20"/>
          <w:szCs w:val="20"/>
        </w:rPr>
        <w:t xml:space="preserve">f the regulation that allowed the marriage of a child between 16 and 18 years, with her/his parents’ consent, and leaving </w:t>
      </w:r>
      <w:r w:rsidR="006352B0" w:rsidRPr="00F12479">
        <w:rPr>
          <w:sz w:val="20"/>
          <w:szCs w:val="20"/>
        </w:rPr>
        <w:t xml:space="preserve">now </w:t>
      </w:r>
      <w:r w:rsidR="00664147" w:rsidRPr="00F12479">
        <w:rPr>
          <w:sz w:val="20"/>
          <w:szCs w:val="20"/>
        </w:rPr>
        <w:t xml:space="preserve">the </w:t>
      </w:r>
      <w:r w:rsidR="006352B0" w:rsidRPr="00F12479">
        <w:rPr>
          <w:sz w:val="20"/>
          <w:szCs w:val="20"/>
        </w:rPr>
        <w:t>decision to a court in exceptional cases</w:t>
      </w:r>
      <w:r w:rsidR="0012508E" w:rsidRPr="00F12479">
        <w:rPr>
          <w:sz w:val="20"/>
          <w:szCs w:val="20"/>
        </w:rPr>
        <w:t xml:space="preserve">, the </w:t>
      </w:r>
      <w:r w:rsidR="00F1164D">
        <w:rPr>
          <w:sz w:val="20"/>
          <w:szCs w:val="20"/>
        </w:rPr>
        <w:t xml:space="preserve">Special </w:t>
      </w:r>
      <w:r w:rsidR="0012508E" w:rsidRPr="00F12479">
        <w:rPr>
          <w:sz w:val="20"/>
          <w:szCs w:val="20"/>
        </w:rPr>
        <w:t xml:space="preserve">Rapporteur expresses concern that numerous </w:t>
      </w:r>
      <w:r w:rsidR="00B571CC">
        <w:rPr>
          <w:sz w:val="20"/>
          <w:szCs w:val="20"/>
        </w:rPr>
        <w:t>child</w:t>
      </w:r>
      <w:r w:rsidR="00B571CC" w:rsidRPr="00F12479">
        <w:rPr>
          <w:sz w:val="20"/>
          <w:szCs w:val="20"/>
        </w:rPr>
        <w:t xml:space="preserve"> </w:t>
      </w:r>
      <w:r w:rsidR="0012508E" w:rsidRPr="00F12479">
        <w:rPr>
          <w:sz w:val="20"/>
          <w:szCs w:val="20"/>
        </w:rPr>
        <w:t>and forced marriages are not officially registered</w:t>
      </w:r>
      <w:r w:rsidR="008F43D5" w:rsidRPr="00F12479">
        <w:rPr>
          <w:sz w:val="20"/>
          <w:szCs w:val="20"/>
        </w:rPr>
        <w:t xml:space="preserve"> and that the Government does not have specific data on the number of unregistered marriages, which contributes to the lack of effective implementation of the existing </w:t>
      </w:r>
      <w:r w:rsidR="00413570">
        <w:rPr>
          <w:sz w:val="20"/>
          <w:szCs w:val="20"/>
        </w:rPr>
        <w:t>law.</w:t>
      </w:r>
    </w:p>
    <w:p w:rsidR="00161281" w:rsidRPr="00F12479" w:rsidRDefault="00BB10DA" w:rsidP="00F1164D">
      <w:pPr>
        <w:pStyle w:val="SingleTxtG"/>
        <w:rPr>
          <w:sz w:val="20"/>
          <w:szCs w:val="20"/>
        </w:rPr>
      </w:pPr>
      <w:r w:rsidRPr="00F12479">
        <w:rPr>
          <w:sz w:val="20"/>
          <w:szCs w:val="20"/>
        </w:rPr>
        <w:t>60</w:t>
      </w:r>
      <w:r w:rsidR="005B5A3E" w:rsidRPr="00F12479">
        <w:rPr>
          <w:sz w:val="20"/>
          <w:szCs w:val="20"/>
        </w:rPr>
        <w:t>.</w:t>
      </w:r>
      <w:r w:rsidR="005B5A3E" w:rsidRPr="00F12479">
        <w:rPr>
          <w:sz w:val="20"/>
          <w:szCs w:val="20"/>
        </w:rPr>
        <w:tab/>
      </w:r>
      <w:r w:rsidR="007E1C10">
        <w:rPr>
          <w:sz w:val="20"/>
          <w:szCs w:val="20"/>
        </w:rPr>
        <w:t xml:space="preserve">The </w:t>
      </w:r>
      <w:r w:rsidR="00F1164D">
        <w:rPr>
          <w:sz w:val="20"/>
          <w:szCs w:val="20"/>
        </w:rPr>
        <w:t xml:space="preserve">Special </w:t>
      </w:r>
      <w:r w:rsidR="007E1C10">
        <w:rPr>
          <w:sz w:val="20"/>
          <w:szCs w:val="20"/>
        </w:rPr>
        <w:t>Rapporteur</w:t>
      </w:r>
      <w:r w:rsidR="00AF7C64" w:rsidRPr="00F12479">
        <w:rPr>
          <w:sz w:val="20"/>
          <w:szCs w:val="20"/>
        </w:rPr>
        <w:t xml:space="preserve"> welcomes</w:t>
      </w:r>
      <w:r w:rsidR="00413570">
        <w:rPr>
          <w:sz w:val="20"/>
          <w:szCs w:val="20"/>
        </w:rPr>
        <w:t xml:space="preserve"> the</w:t>
      </w:r>
      <w:r w:rsidR="005B5A3E" w:rsidRPr="00F12479">
        <w:rPr>
          <w:rFonts w:asciiTheme="majorBidi" w:hAnsiTheme="majorBidi" w:cstheme="majorBidi"/>
          <w:sz w:val="20"/>
          <w:szCs w:val="20"/>
        </w:rPr>
        <w:t xml:space="preserve"> </w:t>
      </w:r>
      <w:r w:rsidR="00AF7C64" w:rsidRPr="00F12479">
        <w:rPr>
          <w:rFonts w:asciiTheme="majorBidi" w:hAnsiTheme="majorBidi" w:cstheme="majorBidi"/>
          <w:sz w:val="20"/>
          <w:szCs w:val="20"/>
        </w:rPr>
        <w:t xml:space="preserve">adoption of </w:t>
      </w:r>
      <w:r w:rsidR="005B5A3E" w:rsidRPr="00F12479">
        <w:rPr>
          <w:rFonts w:asciiTheme="majorBidi" w:hAnsiTheme="majorBidi" w:cstheme="majorBidi"/>
          <w:sz w:val="20"/>
          <w:szCs w:val="20"/>
        </w:rPr>
        <w:t>Order n°01-74/6</w:t>
      </w:r>
      <w:r w:rsidR="00413570">
        <w:rPr>
          <w:rFonts w:asciiTheme="majorBidi" w:hAnsiTheme="majorBidi" w:cstheme="majorBidi"/>
          <w:sz w:val="20"/>
          <w:szCs w:val="20"/>
        </w:rPr>
        <w:t xml:space="preserve"> of 2014</w:t>
      </w:r>
      <w:r w:rsidR="00AF7C64" w:rsidRPr="00F12479">
        <w:rPr>
          <w:rFonts w:asciiTheme="majorBidi" w:hAnsiTheme="majorBidi" w:cstheme="majorBidi"/>
          <w:sz w:val="20"/>
          <w:szCs w:val="20"/>
        </w:rPr>
        <w:t xml:space="preserve"> which </w:t>
      </w:r>
      <w:r w:rsidR="00AF7C64" w:rsidRPr="00F12479">
        <w:rPr>
          <w:rFonts w:asciiTheme="majorBidi" w:hAnsiTheme="majorBidi" w:cstheme="majorBidi"/>
          <w:sz w:val="20"/>
          <w:szCs w:val="20"/>
          <w:lang w:val="en-US"/>
        </w:rPr>
        <w:t>regulate</w:t>
      </w:r>
      <w:r w:rsidR="00413570">
        <w:rPr>
          <w:rFonts w:asciiTheme="majorBidi" w:hAnsiTheme="majorBidi" w:cstheme="majorBidi"/>
          <w:sz w:val="20"/>
          <w:szCs w:val="20"/>
          <w:lang w:val="en-US"/>
        </w:rPr>
        <w:t>s</w:t>
      </w:r>
      <w:r w:rsidR="00BF0321" w:rsidRPr="00F12479">
        <w:rPr>
          <w:rFonts w:asciiTheme="majorBidi" w:hAnsiTheme="majorBidi" w:cstheme="majorBidi"/>
          <w:sz w:val="20"/>
          <w:szCs w:val="20"/>
          <w:lang w:val="en-US"/>
        </w:rPr>
        <w:t xml:space="preserve"> </w:t>
      </w:r>
      <w:r w:rsidR="00413570">
        <w:rPr>
          <w:rFonts w:asciiTheme="majorBidi" w:hAnsiTheme="majorBidi" w:cstheme="majorBidi"/>
          <w:sz w:val="20"/>
          <w:szCs w:val="20"/>
          <w:lang w:val="en-US"/>
        </w:rPr>
        <w:t>the</w:t>
      </w:r>
      <w:r w:rsidR="00BF0321" w:rsidRPr="00F12479">
        <w:rPr>
          <w:rFonts w:asciiTheme="majorBidi" w:hAnsiTheme="majorBidi" w:cstheme="majorBidi"/>
          <w:sz w:val="20"/>
          <w:szCs w:val="20"/>
          <w:lang w:val="en-US"/>
        </w:rPr>
        <w:t xml:space="preserve"> termination of the pregnancy</w:t>
      </w:r>
      <w:r w:rsidR="00AF7C64" w:rsidRPr="00F12479">
        <w:rPr>
          <w:rFonts w:asciiTheme="majorBidi" w:hAnsiTheme="majorBidi" w:cstheme="majorBidi"/>
          <w:sz w:val="20"/>
          <w:szCs w:val="20"/>
          <w:lang w:val="en-US"/>
        </w:rPr>
        <w:t xml:space="preserve"> and</w:t>
      </w:r>
      <w:r w:rsidR="00BF0321" w:rsidRPr="00F12479">
        <w:rPr>
          <w:rFonts w:asciiTheme="majorBidi" w:hAnsiTheme="majorBidi" w:cstheme="majorBidi"/>
          <w:sz w:val="20"/>
          <w:szCs w:val="20"/>
          <w:lang w:val="en-US"/>
        </w:rPr>
        <w:t xml:space="preserve"> </w:t>
      </w:r>
      <w:r w:rsidR="005B5A3E" w:rsidRPr="00F12479">
        <w:rPr>
          <w:rFonts w:asciiTheme="majorBidi" w:hAnsiTheme="majorBidi" w:cstheme="majorBidi"/>
          <w:sz w:val="20"/>
          <w:szCs w:val="20"/>
        </w:rPr>
        <w:t xml:space="preserve">prohibits </w:t>
      </w:r>
      <w:r w:rsidR="00043DE5">
        <w:rPr>
          <w:rFonts w:asciiTheme="majorBidi" w:hAnsiTheme="majorBidi" w:cstheme="majorBidi"/>
          <w:sz w:val="20"/>
          <w:szCs w:val="20"/>
        </w:rPr>
        <w:t xml:space="preserve">in its paragraph 14 of the first addendum </w:t>
      </w:r>
      <w:r w:rsidR="005B5A3E" w:rsidRPr="00F12479">
        <w:rPr>
          <w:rFonts w:asciiTheme="majorBidi" w:hAnsiTheme="majorBidi" w:cstheme="majorBidi"/>
          <w:sz w:val="20"/>
          <w:szCs w:val="20"/>
        </w:rPr>
        <w:t>the termination of pregnancy for the reason of sex selection</w:t>
      </w:r>
      <w:r w:rsidR="0012456B" w:rsidRPr="00F12479">
        <w:rPr>
          <w:rFonts w:asciiTheme="majorBidi" w:hAnsiTheme="majorBidi" w:cstheme="majorBidi"/>
          <w:sz w:val="20"/>
          <w:szCs w:val="20"/>
        </w:rPr>
        <w:t xml:space="preserve">. </w:t>
      </w:r>
      <w:r w:rsidR="005B5A3E" w:rsidRPr="00F12479">
        <w:rPr>
          <w:rFonts w:asciiTheme="majorBidi" w:hAnsiTheme="majorBidi" w:cstheme="majorBidi"/>
          <w:sz w:val="20"/>
          <w:szCs w:val="20"/>
        </w:rPr>
        <w:t xml:space="preserve">While acknowledging this </w:t>
      </w:r>
      <w:r w:rsidR="00C87139">
        <w:rPr>
          <w:rFonts w:asciiTheme="majorBidi" w:hAnsiTheme="majorBidi" w:cstheme="majorBidi"/>
          <w:sz w:val="20"/>
          <w:szCs w:val="20"/>
        </w:rPr>
        <w:t>positive step</w:t>
      </w:r>
      <w:r w:rsidR="005B5A3E" w:rsidRPr="00F12479">
        <w:rPr>
          <w:rFonts w:asciiTheme="majorBidi" w:hAnsiTheme="majorBidi" w:cstheme="majorBidi"/>
          <w:sz w:val="20"/>
          <w:szCs w:val="20"/>
        </w:rPr>
        <w:t xml:space="preserve">, </w:t>
      </w:r>
      <w:r w:rsidR="007E1C10">
        <w:rPr>
          <w:rFonts w:asciiTheme="majorBidi" w:hAnsiTheme="majorBidi" w:cstheme="majorBidi"/>
          <w:sz w:val="20"/>
          <w:szCs w:val="20"/>
        </w:rPr>
        <w:t>she</w:t>
      </w:r>
      <w:r w:rsidR="005B5A3E" w:rsidRPr="00F12479">
        <w:rPr>
          <w:rFonts w:asciiTheme="majorBidi" w:hAnsiTheme="majorBidi" w:cstheme="majorBidi"/>
          <w:sz w:val="20"/>
          <w:szCs w:val="20"/>
        </w:rPr>
        <w:t xml:space="preserve"> regrets that no official statistics on sex-selective </w:t>
      </w:r>
      <w:r w:rsidR="005B5A3E" w:rsidRPr="00F12479">
        <w:rPr>
          <w:rFonts w:asciiTheme="majorBidi" w:hAnsiTheme="majorBidi" w:cstheme="majorBidi"/>
          <w:sz w:val="20"/>
          <w:szCs w:val="20"/>
        </w:rPr>
        <w:lastRenderedPageBreak/>
        <w:t>abortions</w:t>
      </w:r>
      <w:r w:rsidR="005B5A3E" w:rsidRPr="00F12479">
        <w:rPr>
          <w:sz w:val="20"/>
          <w:szCs w:val="20"/>
        </w:rPr>
        <w:t xml:space="preserve"> are collected and notes with interest the will of the Government to elaborate a regulation on this issue</w:t>
      </w:r>
      <w:r w:rsidR="0033031F">
        <w:rPr>
          <w:sz w:val="20"/>
          <w:szCs w:val="20"/>
        </w:rPr>
        <w:t>.</w:t>
      </w:r>
    </w:p>
    <w:p w:rsidR="00673C2C" w:rsidRPr="00F12479" w:rsidRDefault="00BB10DA" w:rsidP="008647A1">
      <w:pPr>
        <w:pStyle w:val="SingleTxtG"/>
        <w:rPr>
          <w:sz w:val="20"/>
          <w:szCs w:val="20"/>
        </w:rPr>
      </w:pPr>
      <w:r w:rsidRPr="00F12479">
        <w:rPr>
          <w:sz w:val="20"/>
          <w:szCs w:val="20"/>
        </w:rPr>
        <w:t>61</w:t>
      </w:r>
      <w:r w:rsidR="0012456B" w:rsidRPr="00F12479">
        <w:rPr>
          <w:sz w:val="20"/>
          <w:szCs w:val="20"/>
        </w:rPr>
        <w:t>.</w:t>
      </w:r>
      <w:r w:rsidR="0012456B" w:rsidRPr="00F12479">
        <w:rPr>
          <w:sz w:val="20"/>
          <w:szCs w:val="20"/>
        </w:rPr>
        <w:tab/>
        <w:t xml:space="preserve"> The Special Rapporteur welcomes </w:t>
      </w:r>
      <w:r w:rsidR="00F81A3F" w:rsidRPr="00F12479">
        <w:rPr>
          <w:sz w:val="20"/>
          <w:szCs w:val="20"/>
        </w:rPr>
        <w:t>the abovementioned</w:t>
      </w:r>
      <w:r w:rsidR="0012456B" w:rsidRPr="00F12479">
        <w:rPr>
          <w:sz w:val="20"/>
          <w:szCs w:val="20"/>
        </w:rPr>
        <w:t xml:space="preserve"> legislative steps taken by the Government, but remains concerned about </w:t>
      </w:r>
      <w:r w:rsidR="00F81A3F" w:rsidRPr="00F12479">
        <w:rPr>
          <w:sz w:val="20"/>
          <w:szCs w:val="20"/>
        </w:rPr>
        <w:t xml:space="preserve">the inconsistent and fragmented legislative framework on </w:t>
      </w:r>
      <w:r w:rsidR="00680F68" w:rsidRPr="00F12479">
        <w:rPr>
          <w:sz w:val="20"/>
          <w:szCs w:val="20"/>
        </w:rPr>
        <w:t>violence against women</w:t>
      </w:r>
      <w:r w:rsidR="00F81A3F" w:rsidRPr="00F12479">
        <w:rPr>
          <w:sz w:val="20"/>
          <w:szCs w:val="20"/>
        </w:rPr>
        <w:t xml:space="preserve"> that is not yet fully in line with the </w:t>
      </w:r>
      <w:r w:rsidR="00C43307" w:rsidRPr="00F12479">
        <w:rPr>
          <w:sz w:val="20"/>
          <w:szCs w:val="20"/>
        </w:rPr>
        <w:t xml:space="preserve">CEDAW </w:t>
      </w:r>
      <w:r w:rsidR="00680F68" w:rsidRPr="00F12479">
        <w:rPr>
          <w:sz w:val="20"/>
          <w:szCs w:val="20"/>
        </w:rPr>
        <w:t>Convention and the Istanbul Convention</w:t>
      </w:r>
      <w:r w:rsidR="006F71E3" w:rsidRPr="00F12479">
        <w:rPr>
          <w:sz w:val="20"/>
          <w:szCs w:val="20"/>
        </w:rPr>
        <w:t>,</w:t>
      </w:r>
      <w:r w:rsidR="008647A1">
        <w:rPr>
          <w:sz w:val="20"/>
          <w:szCs w:val="20"/>
        </w:rPr>
        <w:t xml:space="preserve"> as well as </w:t>
      </w:r>
      <w:r w:rsidR="0012456B" w:rsidRPr="00F12479">
        <w:rPr>
          <w:sz w:val="20"/>
          <w:szCs w:val="20"/>
        </w:rPr>
        <w:t>their poor implementation</w:t>
      </w:r>
      <w:r w:rsidR="00673C2C" w:rsidRPr="00F12479">
        <w:rPr>
          <w:sz w:val="20"/>
          <w:szCs w:val="20"/>
        </w:rPr>
        <w:t xml:space="preserve">, due to, inter alia </w:t>
      </w:r>
      <w:r w:rsidR="00AF7C64" w:rsidRPr="00F12479">
        <w:rPr>
          <w:sz w:val="20"/>
          <w:szCs w:val="20"/>
        </w:rPr>
        <w:t>insufficient awareness about the co</w:t>
      </w:r>
      <w:r w:rsidR="008647A1">
        <w:rPr>
          <w:sz w:val="20"/>
          <w:szCs w:val="20"/>
        </w:rPr>
        <w:t xml:space="preserve">ntent of the legal provisions, </w:t>
      </w:r>
      <w:r w:rsidR="00673C2C" w:rsidRPr="00F12479">
        <w:rPr>
          <w:sz w:val="20"/>
          <w:szCs w:val="20"/>
        </w:rPr>
        <w:t xml:space="preserve">the lack of effective enforcement mechanisms, </w:t>
      </w:r>
      <w:r w:rsidR="00C87139">
        <w:rPr>
          <w:sz w:val="20"/>
          <w:szCs w:val="20"/>
        </w:rPr>
        <w:t>lack of</w:t>
      </w:r>
      <w:r w:rsidR="00C87139" w:rsidRPr="00F12479">
        <w:rPr>
          <w:sz w:val="20"/>
          <w:szCs w:val="20"/>
        </w:rPr>
        <w:t xml:space="preserve"> </w:t>
      </w:r>
      <w:r w:rsidR="00673C2C" w:rsidRPr="00F12479">
        <w:rPr>
          <w:sz w:val="20"/>
          <w:szCs w:val="20"/>
        </w:rPr>
        <w:t>sufficien</w:t>
      </w:r>
      <w:r w:rsidR="0012456B" w:rsidRPr="00F12479">
        <w:rPr>
          <w:sz w:val="20"/>
          <w:szCs w:val="20"/>
        </w:rPr>
        <w:t xml:space="preserve">t human and financial resources, as well as </w:t>
      </w:r>
      <w:r w:rsidR="00AF7C64" w:rsidRPr="00F12479">
        <w:rPr>
          <w:sz w:val="20"/>
          <w:szCs w:val="20"/>
        </w:rPr>
        <w:t>the perpetuation of gender stereotypes and patriarchal attitudes</w:t>
      </w:r>
      <w:r w:rsidR="00A95E46" w:rsidRPr="00F12479">
        <w:rPr>
          <w:sz w:val="20"/>
          <w:szCs w:val="20"/>
        </w:rPr>
        <w:t>.</w:t>
      </w:r>
    </w:p>
    <w:p w:rsidR="00F81A3F" w:rsidRPr="00F12479" w:rsidRDefault="00BB10DA" w:rsidP="00F81A3F">
      <w:pPr>
        <w:pStyle w:val="SingleTxtG"/>
        <w:rPr>
          <w:sz w:val="20"/>
          <w:szCs w:val="20"/>
        </w:rPr>
      </w:pPr>
      <w:r w:rsidRPr="00F12479">
        <w:rPr>
          <w:sz w:val="20"/>
          <w:szCs w:val="20"/>
        </w:rPr>
        <w:t>62</w:t>
      </w:r>
      <w:r w:rsidR="00F81A3F" w:rsidRPr="00F12479">
        <w:rPr>
          <w:sz w:val="20"/>
          <w:szCs w:val="20"/>
        </w:rPr>
        <w:t>.</w:t>
      </w:r>
      <w:r w:rsidR="00F81A3F" w:rsidRPr="00F12479">
        <w:rPr>
          <w:sz w:val="20"/>
          <w:szCs w:val="20"/>
        </w:rPr>
        <w:tab/>
        <w:t xml:space="preserve">During the visit the mandate holder was informed </w:t>
      </w:r>
      <w:r w:rsidR="00262A64">
        <w:rPr>
          <w:sz w:val="20"/>
          <w:szCs w:val="20"/>
        </w:rPr>
        <w:t>that the Ministry of Justice</w:t>
      </w:r>
      <w:r w:rsidR="00F81A3F" w:rsidRPr="00F12479">
        <w:rPr>
          <w:sz w:val="20"/>
          <w:szCs w:val="20"/>
        </w:rPr>
        <w:t xml:space="preserve"> took the lead in revising 17 laws,</w:t>
      </w:r>
      <w:r w:rsidR="00F81A3F" w:rsidRPr="00F12479">
        <w:rPr>
          <w:rStyle w:val="FootnoteReference"/>
          <w:sz w:val="20"/>
          <w:szCs w:val="20"/>
        </w:rPr>
        <w:footnoteReference w:id="67"/>
      </w:r>
      <w:r w:rsidR="00F81A3F" w:rsidRPr="00F12479">
        <w:rPr>
          <w:sz w:val="20"/>
          <w:szCs w:val="20"/>
        </w:rPr>
        <w:t xml:space="preserve"> aiming at harmonizing domestic legislation with the Istanbul Convention</w:t>
      </w:r>
      <w:r w:rsidR="00262A64">
        <w:rPr>
          <w:sz w:val="20"/>
          <w:szCs w:val="20"/>
        </w:rPr>
        <w:t>. Some of the</w:t>
      </w:r>
      <w:r w:rsidR="00F81A3F" w:rsidRPr="00F12479">
        <w:rPr>
          <w:sz w:val="20"/>
          <w:szCs w:val="20"/>
        </w:rPr>
        <w:t xml:space="preserve"> important legislative amendments proposed includ</w:t>
      </w:r>
      <w:r w:rsidR="00262A64">
        <w:rPr>
          <w:sz w:val="20"/>
          <w:szCs w:val="20"/>
        </w:rPr>
        <w:t>e</w:t>
      </w:r>
      <w:r w:rsidR="00F81A3F" w:rsidRPr="00F12479">
        <w:rPr>
          <w:sz w:val="20"/>
          <w:szCs w:val="20"/>
        </w:rPr>
        <w:t xml:space="preserve"> the Law of Georgia on Elimination of Domestic Violence, Protection and Support of Victims of Domestic Violence into which, the scope of the law will be expanded and will cover measures on both, combatting violence against women and domestic violence. The Ministry also informed that the definition of ‘violence against women’, ‘victim’, ‘family member’ and ‘perpetrator’ will be amended. In relation to the amendments that will be introduced into the Criminal Code, the Ministry informed that the definition of rape will be amended to be in compliance with the Istanbul Convention and that the scope of aggravating circumstances will be extended to crime committed inter alia against spouses, former spouses or partners or against a person in a vulnerable position.</w:t>
      </w:r>
    </w:p>
    <w:p w:rsidR="00F81A3F" w:rsidRPr="00F12479" w:rsidRDefault="00BB10DA" w:rsidP="006E746E">
      <w:pPr>
        <w:pStyle w:val="SingleTxtG"/>
        <w:rPr>
          <w:sz w:val="20"/>
          <w:szCs w:val="20"/>
        </w:rPr>
      </w:pPr>
      <w:r w:rsidRPr="00F12479">
        <w:rPr>
          <w:sz w:val="20"/>
          <w:szCs w:val="20"/>
        </w:rPr>
        <w:t>63</w:t>
      </w:r>
      <w:r w:rsidR="002252F9">
        <w:rPr>
          <w:sz w:val="20"/>
          <w:szCs w:val="20"/>
        </w:rPr>
        <w:t>.</w:t>
      </w:r>
      <w:r w:rsidR="002252F9">
        <w:rPr>
          <w:sz w:val="20"/>
          <w:szCs w:val="20"/>
        </w:rPr>
        <w:tab/>
        <w:t>Other</w:t>
      </w:r>
      <w:r w:rsidR="00F81A3F" w:rsidRPr="00F12479">
        <w:rPr>
          <w:sz w:val="20"/>
          <w:szCs w:val="20"/>
        </w:rPr>
        <w:t xml:space="preserve"> amendments</w:t>
      </w:r>
      <w:r w:rsidR="00262A64">
        <w:rPr>
          <w:sz w:val="20"/>
          <w:szCs w:val="20"/>
        </w:rPr>
        <w:t xml:space="preserve"> proposed include</w:t>
      </w:r>
      <w:r w:rsidR="00F81A3F" w:rsidRPr="00F12479">
        <w:rPr>
          <w:sz w:val="20"/>
          <w:szCs w:val="20"/>
        </w:rPr>
        <w:t xml:space="preserve"> that the Court mediation will not receive disputes on cases relating to violence agains</w:t>
      </w:r>
      <w:r w:rsidR="006E746E" w:rsidRPr="00F12479">
        <w:rPr>
          <w:sz w:val="20"/>
          <w:szCs w:val="20"/>
        </w:rPr>
        <w:t>t women and domestic viol</w:t>
      </w:r>
      <w:r w:rsidR="002252F9">
        <w:rPr>
          <w:sz w:val="20"/>
          <w:szCs w:val="20"/>
        </w:rPr>
        <w:t xml:space="preserve">ence. In relation to mediation, </w:t>
      </w:r>
      <w:r w:rsidR="006E746E" w:rsidRPr="00F12479">
        <w:rPr>
          <w:sz w:val="20"/>
          <w:szCs w:val="20"/>
        </w:rPr>
        <w:t>in</w:t>
      </w:r>
      <w:r w:rsidR="00F81A3F" w:rsidRPr="00F12479">
        <w:rPr>
          <w:sz w:val="20"/>
          <w:szCs w:val="20"/>
        </w:rPr>
        <w:t xml:space="preserve">terlocutors confirmed that mediation is still applied in cases of domestic violence. An amendment suggested that under the Administrative Procedure Code of Georgia, the restraining order will be valid since its issuance by a police officer and will not require the Court’s validation – as it is currently the case. </w:t>
      </w:r>
    </w:p>
    <w:p w:rsidR="00F81A3F" w:rsidRPr="00F12479" w:rsidRDefault="00BB10DA" w:rsidP="00F81A3F">
      <w:pPr>
        <w:pStyle w:val="SingleTxtG"/>
        <w:rPr>
          <w:sz w:val="20"/>
          <w:szCs w:val="20"/>
        </w:rPr>
      </w:pPr>
      <w:r w:rsidRPr="00F12479">
        <w:rPr>
          <w:sz w:val="20"/>
          <w:szCs w:val="20"/>
        </w:rPr>
        <w:t>64</w:t>
      </w:r>
      <w:r w:rsidR="003C0FF5" w:rsidRPr="00F12479">
        <w:rPr>
          <w:sz w:val="20"/>
          <w:szCs w:val="20"/>
        </w:rPr>
        <w:t>.</w:t>
      </w:r>
      <w:r w:rsidR="003C0FF5" w:rsidRPr="00F12479">
        <w:rPr>
          <w:sz w:val="20"/>
          <w:szCs w:val="20"/>
        </w:rPr>
        <w:tab/>
      </w:r>
      <w:r w:rsidR="00F81A3F" w:rsidRPr="00F12479">
        <w:rPr>
          <w:sz w:val="20"/>
          <w:szCs w:val="20"/>
        </w:rPr>
        <w:t xml:space="preserve">Under the Law on Medical Practice, the Law on Patient Rights, the Law on Higher Education, the Law on General Education and the Law on Lawyers, </w:t>
      </w:r>
      <w:r w:rsidR="00262A64">
        <w:rPr>
          <w:sz w:val="20"/>
          <w:szCs w:val="20"/>
        </w:rPr>
        <w:t xml:space="preserve">the proposed </w:t>
      </w:r>
      <w:r w:rsidR="00F81A3F" w:rsidRPr="00F12479">
        <w:rPr>
          <w:sz w:val="20"/>
          <w:szCs w:val="20"/>
        </w:rPr>
        <w:t xml:space="preserve">amendments would </w:t>
      </w:r>
      <w:r w:rsidR="00262A64">
        <w:rPr>
          <w:sz w:val="20"/>
          <w:szCs w:val="20"/>
        </w:rPr>
        <w:t>not bind</w:t>
      </w:r>
      <w:r w:rsidR="00262A64" w:rsidRPr="00F12479">
        <w:rPr>
          <w:sz w:val="20"/>
          <w:szCs w:val="20"/>
        </w:rPr>
        <w:t xml:space="preserve"> </w:t>
      </w:r>
      <w:r w:rsidR="00F81A3F" w:rsidRPr="00F12479">
        <w:rPr>
          <w:sz w:val="20"/>
          <w:szCs w:val="20"/>
        </w:rPr>
        <w:t xml:space="preserve">doctors, medical personnel, teachers and lawyers by the confidentiality obligation if they report to the relevant governmental agencies cases of violence against women and domestic violence. Under the Law of Georgia on the Legal Status of Aliens and Stateless Persons, an amendment </w:t>
      </w:r>
      <w:r w:rsidR="00262A64">
        <w:rPr>
          <w:sz w:val="20"/>
          <w:szCs w:val="20"/>
        </w:rPr>
        <w:t xml:space="preserve">is </w:t>
      </w:r>
      <w:r w:rsidR="00F81A3F" w:rsidRPr="00F12479">
        <w:rPr>
          <w:sz w:val="20"/>
          <w:szCs w:val="20"/>
        </w:rPr>
        <w:t>proposed that a foreign woman who is victim of violence should be able to receive a temporary residence permit.</w:t>
      </w:r>
    </w:p>
    <w:p w:rsidR="00351BFC" w:rsidRPr="00F12479" w:rsidRDefault="00BB10DA" w:rsidP="004F5D8E">
      <w:pPr>
        <w:pStyle w:val="SingleTxtG"/>
        <w:rPr>
          <w:sz w:val="20"/>
          <w:szCs w:val="20"/>
        </w:rPr>
      </w:pPr>
      <w:r w:rsidRPr="00F12479">
        <w:rPr>
          <w:sz w:val="20"/>
          <w:szCs w:val="20"/>
        </w:rPr>
        <w:t>65</w:t>
      </w:r>
      <w:r w:rsidR="00161281" w:rsidRPr="00F12479">
        <w:rPr>
          <w:sz w:val="20"/>
          <w:szCs w:val="20"/>
        </w:rPr>
        <w:t>.</w:t>
      </w:r>
      <w:r w:rsidR="00161281" w:rsidRPr="00F12479">
        <w:rPr>
          <w:sz w:val="20"/>
          <w:szCs w:val="20"/>
        </w:rPr>
        <w:tab/>
      </w:r>
      <w:r w:rsidR="00673C2C" w:rsidRPr="00F12479">
        <w:rPr>
          <w:sz w:val="20"/>
          <w:szCs w:val="20"/>
        </w:rPr>
        <w:t>The S</w:t>
      </w:r>
      <w:r w:rsidR="0012456B" w:rsidRPr="00F12479">
        <w:rPr>
          <w:sz w:val="20"/>
          <w:szCs w:val="20"/>
        </w:rPr>
        <w:t xml:space="preserve">pecial </w:t>
      </w:r>
      <w:r w:rsidR="00673C2C" w:rsidRPr="00F12479">
        <w:rPr>
          <w:sz w:val="20"/>
          <w:szCs w:val="20"/>
        </w:rPr>
        <w:t>R</w:t>
      </w:r>
      <w:r w:rsidR="0012456B" w:rsidRPr="00F12479">
        <w:rPr>
          <w:sz w:val="20"/>
          <w:szCs w:val="20"/>
        </w:rPr>
        <w:t>apporteur</w:t>
      </w:r>
      <w:r w:rsidR="00673C2C" w:rsidRPr="00F12479">
        <w:rPr>
          <w:sz w:val="20"/>
          <w:szCs w:val="20"/>
        </w:rPr>
        <w:t xml:space="preserve"> welcomes the Government</w:t>
      </w:r>
      <w:r w:rsidR="0012456B" w:rsidRPr="00F12479">
        <w:rPr>
          <w:sz w:val="20"/>
          <w:szCs w:val="20"/>
        </w:rPr>
        <w:t>’s</w:t>
      </w:r>
      <w:r w:rsidR="00673C2C" w:rsidRPr="00F12479">
        <w:rPr>
          <w:sz w:val="20"/>
          <w:szCs w:val="20"/>
        </w:rPr>
        <w:t xml:space="preserve"> recognition </w:t>
      </w:r>
      <w:r w:rsidR="0012456B" w:rsidRPr="00F12479">
        <w:rPr>
          <w:sz w:val="20"/>
          <w:szCs w:val="20"/>
        </w:rPr>
        <w:t>of shortcomings</w:t>
      </w:r>
      <w:r w:rsidR="00673C2C" w:rsidRPr="00F12479">
        <w:rPr>
          <w:sz w:val="20"/>
          <w:szCs w:val="20"/>
        </w:rPr>
        <w:t xml:space="preserve"> of the c</w:t>
      </w:r>
      <w:r w:rsidR="0002640B" w:rsidRPr="00F12479">
        <w:rPr>
          <w:sz w:val="20"/>
          <w:szCs w:val="20"/>
        </w:rPr>
        <w:t>urrent legal framework on v</w:t>
      </w:r>
      <w:r w:rsidR="0012456B" w:rsidRPr="00F12479">
        <w:rPr>
          <w:sz w:val="20"/>
          <w:szCs w:val="20"/>
        </w:rPr>
        <w:t xml:space="preserve">iolence against women </w:t>
      </w:r>
      <w:r w:rsidR="00981D4A" w:rsidRPr="00F12479">
        <w:rPr>
          <w:sz w:val="20"/>
          <w:szCs w:val="20"/>
        </w:rPr>
        <w:t xml:space="preserve">and </w:t>
      </w:r>
      <w:r w:rsidR="00B92A38" w:rsidRPr="00F12479">
        <w:rPr>
          <w:sz w:val="20"/>
          <w:szCs w:val="20"/>
        </w:rPr>
        <w:t>looks</w:t>
      </w:r>
      <w:r w:rsidR="00161281" w:rsidRPr="00F12479">
        <w:rPr>
          <w:sz w:val="20"/>
          <w:szCs w:val="20"/>
        </w:rPr>
        <w:t xml:space="preserve"> forward to the </w:t>
      </w:r>
      <w:r w:rsidR="00A95E46" w:rsidRPr="00F12479">
        <w:rPr>
          <w:sz w:val="20"/>
          <w:szCs w:val="20"/>
        </w:rPr>
        <w:t xml:space="preserve">speedy </w:t>
      </w:r>
      <w:r w:rsidR="007D6CBB" w:rsidRPr="00F12479">
        <w:rPr>
          <w:sz w:val="20"/>
          <w:szCs w:val="20"/>
        </w:rPr>
        <w:t xml:space="preserve">adoption of </w:t>
      </w:r>
      <w:r w:rsidR="00981D4A" w:rsidRPr="00F12479">
        <w:rPr>
          <w:sz w:val="20"/>
          <w:szCs w:val="20"/>
        </w:rPr>
        <w:t>the abovementioned</w:t>
      </w:r>
      <w:r w:rsidR="007D6CBB" w:rsidRPr="00F12479">
        <w:rPr>
          <w:sz w:val="20"/>
          <w:szCs w:val="20"/>
        </w:rPr>
        <w:t xml:space="preserve"> amendments</w:t>
      </w:r>
      <w:r w:rsidR="0002640B" w:rsidRPr="00F12479">
        <w:rPr>
          <w:sz w:val="20"/>
          <w:szCs w:val="20"/>
        </w:rPr>
        <w:t>.</w:t>
      </w:r>
    </w:p>
    <w:p w:rsidR="0087133A" w:rsidRDefault="0087133A" w:rsidP="00B272FD">
      <w:pPr>
        <w:pStyle w:val="H1G"/>
      </w:pPr>
      <w:r w:rsidRPr="008708BA">
        <w:tab/>
      </w:r>
      <w:r w:rsidR="00C33900">
        <w:t>C</w:t>
      </w:r>
      <w:r w:rsidR="00B272FD">
        <w:t>.</w:t>
      </w:r>
      <w:r w:rsidRPr="008708BA">
        <w:tab/>
      </w:r>
      <w:r w:rsidR="00907478">
        <w:t xml:space="preserve">Institutional </w:t>
      </w:r>
      <w:r w:rsidR="00907478" w:rsidRPr="00B272FD">
        <w:t>framework</w:t>
      </w:r>
      <w:r w:rsidR="00907478">
        <w:t>: national machinery and independent institutions</w:t>
      </w:r>
    </w:p>
    <w:p w:rsidR="0038338E" w:rsidRPr="00F12479" w:rsidRDefault="00BB10DA" w:rsidP="00907478">
      <w:pPr>
        <w:pStyle w:val="SingleTxtG"/>
        <w:rPr>
          <w:sz w:val="20"/>
          <w:szCs w:val="20"/>
        </w:rPr>
      </w:pPr>
      <w:r w:rsidRPr="00F12479">
        <w:rPr>
          <w:sz w:val="20"/>
          <w:szCs w:val="20"/>
        </w:rPr>
        <w:t>66</w:t>
      </w:r>
      <w:r w:rsidR="004E357F" w:rsidRPr="00F12479">
        <w:rPr>
          <w:sz w:val="20"/>
          <w:szCs w:val="20"/>
        </w:rPr>
        <w:t>.</w:t>
      </w:r>
      <w:r w:rsidR="004E357F" w:rsidRPr="00F12479">
        <w:rPr>
          <w:sz w:val="20"/>
          <w:szCs w:val="20"/>
        </w:rPr>
        <w:tab/>
      </w:r>
      <w:r w:rsidR="00DA4CA0" w:rsidRPr="00F12479">
        <w:rPr>
          <w:sz w:val="20"/>
          <w:szCs w:val="20"/>
        </w:rPr>
        <w:t>At the institutional level, the Permanent Inter-Agency Coordination Council for the Prevention of Domestic Violence was established in 2008 and</w:t>
      </w:r>
      <w:r w:rsidR="00F1164D">
        <w:rPr>
          <w:sz w:val="20"/>
          <w:szCs w:val="20"/>
        </w:rPr>
        <w:t>,</w:t>
      </w:r>
      <w:r w:rsidR="00DA4CA0" w:rsidRPr="00F12479">
        <w:rPr>
          <w:sz w:val="20"/>
          <w:szCs w:val="20"/>
        </w:rPr>
        <w:t xml:space="preserve"> in 2009</w:t>
      </w:r>
      <w:r w:rsidR="004E357F" w:rsidRPr="00F12479">
        <w:rPr>
          <w:sz w:val="20"/>
          <w:szCs w:val="20"/>
        </w:rPr>
        <w:t xml:space="preserve"> the Gender Equality </w:t>
      </w:r>
      <w:r w:rsidR="004E357F" w:rsidRPr="00F12479">
        <w:rPr>
          <w:sz w:val="20"/>
          <w:szCs w:val="20"/>
        </w:rPr>
        <w:lastRenderedPageBreak/>
        <w:t>Council within the Parliament</w:t>
      </w:r>
      <w:r w:rsidR="00DA4CA0" w:rsidRPr="00F12479">
        <w:rPr>
          <w:sz w:val="20"/>
          <w:szCs w:val="20"/>
        </w:rPr>
        <w:t xml:space="preserve"> was </w:t>
      </w:r>
      <w:r w:rsidR="00262A64">
        <w:rPr>
          <w:sz w:val="20"/>
          <w:szCs w:val="20"/>
        </w:rPr>
        <w:t xml:space="preserve">also </w:t>
      </w:r>
      <w:r w:rsidR="00DA4CA0" w:rsidRPr="00F12479">
        <w:rPr>
          <w:sz w:val="20"/>
          <w:szCs w:val="20"/>
        </w:rPr>
        <w:t>created</w:t>
      </w:r>
      <w:r w:rsidR="00262A64">
        <w:rPr>
          <w:sz w:val="20"/>
          <w:szCs w:val="20"/>
        </w:rPr>
        <w:t xml:space="preserve">. The </w:t>
      </w:r>
      <w:r w:rsidR="004E357F" w:rsidRPr="00F12479">
        <w:rPr>
          <w:sz w:val="20"/>
          <w:szCs w:val="20"/>
        </w:rPr>
        <w:t xml:space="preserve">main task </w:t>
      </w:r>
      <w:r w:rsidR="00262A64">
        <w:rPr>
          <w:sz w:val="20"/>
          <w:szCs w:val="20"/>
        </w:rPr>
        <w:t xml:space="preserve">of this Council </w:t>
      </w:r>
      <w:r w:rsidR="004E357F" w:rsidRPr="00F12479">
        <w:rPr>
          <w:sz w:val="20"/>
          <w:szCs w:val="20"/>
        </w:rPr>
        <w:t>is to coordinate the work on gender issues and to monitor the implementation of the National action plan on women peace and security.</w:t>
      </w:r>
    </w:p>
    <w:p w:rsidR="002867C0" w:rsidRPr="00F12479" w:rsidRDefault="00BB10DA" w:rsidP="008647A1">
      <w:pPr>
        <w:pStyle w:val="SingleTxtG"/>
        <w:rPr>
          <w:sz w:val="20"/>
          <w:szCs w:val="20"/>
        </w:rPr>
      </w:pPr>
      <w:r w:rsidRPr="00F12479">
        <w:rPr>
          <w:sz w:val="20"/>
          <w:szCs w:val="20"/>
        </w:rPr>
        <w:t>67</w:t>
      </w:r>
      <w:r w:rsidR="002867C0" w:rsidRPr="00F12479">
        <w:rPr>
          <w:sz w:val="20"/>
          <w:szCs w:val="20"/>
        </w:rPr>
        <w:t>.</w:t>
      </w:r>
      <w:r w:rsidR="002867C0" w:rsidRPr="00F12479">
        <w:rPr>
          <w:sz w:val="20"/>
          <w:szCs w:val="20"/>
        </w:rPr>
        <w:tab/>
        <w:t>The mandate holder was informed of the appointment of advisors on Gender Equality</w:t>
      </w:r>
      <w:r w:rsidR="00AD0917">
        <w:rPr>
          <w:sz w:val="20"/>
          <w:szCs w:val="20"/>
        </w:rPr>
        <w:t xml:space="preserve"> in municipalities</w:t>
      </w:r>
      <w:r w:rsidR="00FA52E4">
        <w:rPr>
          <w:sz w:val="20"/>
          <w:szCs w:val="20"/>
        </w:rPr>
        <w:t xml:space="preserve"> and self-government cities</w:t>
      </w:r>
      <w:r w:rsidR="002867C0" w:rsidRPr="00F12479">
        <w:rPr>
          <w:sz w:val="20"/>
          <w:szCs w:val="20"/>
        </w:rPr>
        <w:t xml:space="preserve"> to support the implementation of the Law on Gender Equality, as well as the establishment of the </w:t>
      </w:r>
      <w:r w:rsidR="00A95E46" w:rsidRPr="00F12479">
        <w:rPr>
          <w:sz w:val="20"/>
          <w:szCs w:val="20"/>
        </w:rPr>
        <w:t xml:space="preserve">Assistant on </w:t>
      </w:r>
      <w:r w:rsidR="002867C0" w:rsidRPr="00F12479">
        <w:rPr>
          <w:sz w:val="20"/>
          <w:szCs w:val="20"/>
        </w:rPr>
        <w:t>Human Rights and Gender Equality in the Office of the Prime Minister in 2013. It was reported that</w:t>
      </w:r>
      <w:r w:rsidR="00A95E46" w:rsidRPr="00F12479">
        <w:rPr>
          <w:sz w:val="20"/>
          <w:szCs w:val="20"/>
        </w:rPr>
        <w:t xml:space="preserve"> </w:t>
      </w:r>
      <w:r w:rsidR="008647A1">
        <w:rPr>
          <w:sz w:val="20"/>
          <w:szCs w:val="20"/>
        </w:rPr>
        <w:t xml:space="preserve">there are </w:t>
      </w:r>
      <w:r w:rsidR="00A95E46" w:rsidRPr="00F12479">
        <w:rPr>
          <w:sz w:val="20"/>
          <w:szCs w:val="20"/>
        </w:rPr>
        <w:t xml:space="preserve">only in a few municipalities Gender councils and gender advisors and that </w:t>
      </w:r>
      <w:r w:rsidR="008647A1">
        <w:rPr>
          <w:sz w:val="20"/>
          <w:szCs w:val="20"/>
        </w:rPr>
        <w:t xml:space="preserve">the </w:t>
      </w:r>
      <w:r w:rsidR="00A95E46" w:rsidRPr="00F12479">
        <w:rPr>
          <w:sz w:val="20"/>
          <w:szCs w:val="20"/>
        </w:rPr>
        <w:t xml:space="preserve">Gender Equality Council of the Parliament initiated amendments to the Law on Gender equality in order to establish such institutional mechanisms at the local level.  </w:t>
      </w:r>
    </w:p>
    <w:p w:rsidR="002867C0" w:rsidRPr="00F12479" w:rsidRDefault="00BB10DA" w:rsidP="007E1C10">
      <w:pPr>
        <w:pStyle w:val="SingleTxtG"/>
        <w:rPr>
          <w:sz w:val="20"/>
          <w:szCs w:val="20"/>
        </w:rPr>
      </w:pPr>
      <w:r w:rsidRPr="00F12479">
        <w:rPr>
          <w:sz w:val="20"/>
          <w:szCs w:val="20"/>
        </w:rPr>
        <w:t>68</w:t>
      </w:r>
      <w:r w:rsidR="003C0FF5" w:rsidRPr="00F12479">
        <w:rPr>
          <w:sz w:val="20"/>
          <w:szCs w:val="20"/>
        </w:rPr>
        <w:t>.</w:t>
      </w:r>
      <w:r w:rsidR="003C0FF5" w:rsidRPr="00F12479">
        <w:rPr>
          <w:sz w:val="20"/>
          <w:szCs w:val="20"/>
        </w:rPr>
        <w:tab/>
      </w:r>
      <w:r w:rsidR="00C73A09" w:rsidRPr="00F12479">
        <w:rPr>
          <w:sz w:val="20"/>
          <w:szCs w:val="20"/>
        </w:rPr>
        <w:t xml:space="preserve">The </w:t>
      </w:r>
      <w:r w:rsidR="00F1164D">
        <w:rPr>
          <w:sz w:val="20"/>
          <w:szCs w:val="20"/>
        </w:rPr>
        <w:t xml:space="preserve">Special </w:t>
      </w:r>
      <w:r w:rsidR="00C73A09" w:rsidRPr="00F12479">
        <w:rPr>
          <w:sz w:val="20"/>
          <w:szCs w:val="20"/>
        </w:rPr>
        <w:t xml:space="preserve">Rapporteur </w:t>
      </w:r>
      <w:r w:rsidR="00DC660A">
        <w:rPr>
          <w:sz w:val="20"/>
          <w:szCs w:val="20"/>
        </w:rPr>
        <w:t xml:space="preserve">welcomes the commitment of the Government to further improve Georgia’s agenda on gender equality and women’s empowerment but </w:t>
      </w:r>
      <w:r w:rsidR="00C73A09" w:rsidRPr="00F12479">
        <w:rPr>
          <w:sz w:val="20"/>
          <w:szCs w:val="20"/>
        </w:rPr>
        <w:t xml:space="preserve">reiterates the concerns expressed by the CEDAW Committee on </w:t>
      </w:r>
      <w:r w:rsidR="00D1795D" w:rsidRPr="00F12479">
        <w:rPr>
          <w:sz w:val="20"/>
          <w:szCs w:val="20"/>
        </w:rPr>
        <w:t xml:space="preserve">the poor implementation of the </w:t>
      </w:r>
      <w:r w:rsidR="00A95E46" w:rsidRPr="00F12479">
        <w:rPr>
          <w:sz w:val="20"/>
          <w:szCs w:val="20"/>
        </w:rPr>
        <w:t>Law</w:t>
      </w:r>
      <w:r w:rsidR="008647A1">
        <w:rPr>
          <w:sz w:val="20"/>
          <w:szCs w:val="20"/>
        </w:rPr>
        <w:t xml:space="preserve"> on Gender Equality</w:t>
      </w:r>
      <w:r w:rsidR="00C73A09" w:rsidRPr="00F12479">
        <w:rPr>
          <w:sz w:val="20"/>
          <w:szCs w:val="20"/>
        </w:rPr>
        <w:t xml:space="preserve"> and regrets that the </w:t>
      </w:r>
      <w:r w:rsidR="00D1795D" w:rsidRPr="00F12479">
        <w:rPr>
          <w:sz w:val="20"/>
          <w:szCs w:val="20"/>
        </w:rPr>
        <w:t>Gender Equality Council lacks adequate substantive, technical and administrative support and resources.</w:t>
      </w:r>
      <w:r w:rsidR="00D1795D" w:rsidRPr="00F12479">
        <w:rPr>
          <w:rStyle w:val="FootnoteReference"/>
          <w:sz w:val="20"/>
          <w:szCs w:val="20"/>
        </w:rPr>
        <w:footnoteReference w:id="68"/>
      </w:r>
      <w:r w:rsidR="00D1795D" w:rsidRPr="00F12479">
        <w:rPr>
          <w:sz w:val="20"/>
          <w:szCs w:val="20"/>
        </w:rPr>
        <w:t xml:space="preserve"> </w:t>
      </w:r>
      <w:r w:rsidR="007550AF" w:rsidRPr="00F12479">
        <w:rPr>
          <w:sz w:val="20"/>
          <w:szCs w:val="20"/>
        </w:rPr>
        <w:t>She</w:t>
      </w:r>
      <w:r w:rsidR="00D1795D" w:rsidRPr="00F12479">
        <w:rPr>
          <w:sz w:val="20"/>
          <w:szCs w:val="20"/>
        </w:rPr>
        <w:t xml:space="preserve"> also re</w:t>
      </w:r>
      <w:r w:rsidR="00F14ECB" w:rsidRPr="00F12479">
        <w:rPr>
          <w:sz w:val="20"/>
          <w:szCs w:val="20"/>
        </w:rPr>
        <w:t>iterates</w:t>
      </w:r>
      <w:r w:rsidR="00D1795D" w:rsidRPr="00F12479">
        <w:rPr>
          <w:sz w:val="20"/>
          <w:szCs w:val="20"/>
        </w:rPr>
        <w:t xml:space="preserve"> </w:t>
      </w:r>
      <w:r w:rsidR="00933827" w:rsidRPr="00F12479">
        <w:rPr>
          <w:sz w:val="20"/>
          <w:szCs w:val="20"/>
        </w:rPr>
        <w:t xml:space="preserve">the CEDAW Committee </w:t>
      </w:r>
      <w:r w:rsidR="00F14ECB" w:rsidRPr="00F12479">
        <w:rPr>
          <w:sz w:val="20"/>
          <w:szCs w:val="20"/>
        </w:rPr>
        <w:t xml:space="preserve">concerns on the </w:t>
      </w:r>
      <w:r w:rsidR="00D1795D" w:rsidRPr="00F12479">
        <w:rPr>
          <w:sz w:val="20"/>
          <w:szCs w:val="20"/>
        </w:rPr>
        <w:t xml:space="preserve">position of human rights and gender equality </w:t>
      </w:r>
      <w:r w:rsidR="00A95E46" w:rsidRPr="00F12479">
        <w:rPr>
          <w:sz w:val="20"/>
          <w:szCs w:val="20"/>
        </w:rPr>
        <w:t>Assistant</w:t>
      </w:r>
      <w:r w:rsidR="008647A1">
        <w:rPr>
          <w:sz w:val="20"/>
          <w:szCs w:val="20"/>
        </w:rPr>
        <w:t xml:space="preserve"> </w:t>
      </w:r>
      <w:r w:rsidR="00D1795D" w:rsidRPr="00F12479">
        <w:rPr>
          <w:sz w:val="20"/>
          <w:szCs w:val="20"/>
        </w:rPr>
        <w:t>created in the Office of the Prime Minister in 2013 and is concerned about the absence of a comprehensive mechanism in the executive branch for the coordination, implementation and monitoring of gender equality policies</w:t>
      </w:r>
      <w:r w:rsidR="00F14ECB" w:rsidRPr="00F12479">
        <w:rPr>
          <w:sz w:val="20"/>
          <w:szCs w:val="20"/>
        </w:rPr>
        <w:t xml:space="preserve"> and for the co-ordination of policies and measures to prevent and combat violence against women.</w:t>
      </w:r>
      <w:r w:rsidR="00933827" w:rsidRPr="00F12479">
        <w:rPr>
          <w:rStyle w:val="FootnoteReference"/>
          <w:sz w:val="20"/>
          <w:szCs w:val="20"/>
        </w:rPr>
        <w:footnoteReference w:id="69"/>
      </w:r>
    </w:p>
    <w:p w:rsidR="00CE410B" w:rsidRPr="00F12479" w:rsidRDefault="00BB10DA" w:rsidP="00CE410B">
      <w:pPr>
        <w:pStyle w:val="SingleTxtG"/>
        <w:rPr>
          <w:sz w:val="20"/>
          <w:szCs w:val="20"/>
        </w:rPr>
      </w:pPr>
      <w:r w:rsidRPr="00F12479">
        <w:rPr>
          <w:sz w:val="20"/>
          <w:szCs w:val="20"/>
        </w:rPr>
        <w:t>69</w:t>
      </w:r>
      <w:r w:rsidR="005A3898" w:rsidRPr="00F12479">
        <w:rPr>
          <w:sz w:val="20"/>
          <w:szCs w:val="20"/>
        </w:rPr>
        <w:t>.</w:t>
      </w:r>
      <w:r w:rsidR="005A3898" w:rsidRPr="00F12479">
        <w:rPr>
          <w:sz w:val="20"/>
          <w:szCs w:val="20"/>
        </w:rPr>
        <w:tab/>
      </w:r>
      <w:r w:rsidR="00091468" w:rsidRPr="00F12479">
        <w:rPr>
          <w:sz w:val="20"/>
          <w:szCs w:val="20"/>
        </w:rPr>
        <w:t xml:space="preserve">In </w:t>
      </w:r>
      <w:r w:rsidR="005A3898" w:rsidRPr="00F12479">
        <w:rPr>
          <w:sz w:val="20"/>
          <w:szCs w:val="20"/>
        </w:rPr>
        <w:t>200</w:t>
      </w:r>
      <w:r w:rsidR="00091468" w:rsidRPr="00F12479">
        <w:rPr>
          <w:sz w:val="20"/>
          <w:szCs w:val="20"/>
        </w:rPr>
        <w:t>6 the Interagency Coordination Council on Com</w:t>
      </w:r>
      <w:r w:rsidR="00DA4CA0" w:rsidRPr="00F12479">
        <w:rPr>
          <w:sz w:val="20"/>
          <w:szCs w:val="20"/>
        </w:rPr>
        <w:t xml:space="preserve">batting Trafficking in Persons, </w:t>
      </w:r>
      <w:r w:rsidR="00091468" w:rsidRPr="00F12479">
        <w:rPr>
          <w:sz w:val="20"/>
          <w:szCs w:val="20"/>
        </w:rPr>
        <w:t>was established</w:t>
      </w:r>
      <w:r w:rsidR="002D5923">
        <w:rPr>
          <w:sz w:val="20"/>
          <w:szCs w:val="20"/>
        </w:rPr>
        <w:t xml:space="preserve"> for carrying out actions against trafficking in persons</w:t>
      </w:r>
      <w:r w:rsidR="00091468" w:rsidRPr="00F12479">
        <w:rPr>
          <w:sz w:val="20"/>
          <w:szCs w:val="20"/>
        </w:rPr>
        <w:t>. Th</w:t>
      </w:r>
      <w:r w:rsidR="00262A64">
        <w:rPr>
          <w:sz w:val="20"/>
          <w:szCs w:val="20"/>
        </w:rPr>
        <w:t xml:space="preserve">is Council </w:t>
      </w:r>
      <w:r w:rsidR="002252F9">
        <w:rPr>
          <w:sz w:val="20"/>
          <w:szCs w:val="20"/>
        </w:rPr>
        <w:t>approved the</w:t>
      </w:r>
      <w:r w:rsidR="00091468" w:rsidRPr="00F12479">
        <w:rPr>
          <w:sz w:val="20"/>
          <w:szCs w:val="20"/>
        </w:rPr>
        <w:t xml:space="preserve"> Strategy for Rehabilitation and Reintegration in Society of Victims of Trafficking in Persons. A special Anti-trafficking Unit under the Ministry of Internal Affairs was also established in Adjara.</w:t>
      </w:r>
    </w:p>
    <w:p w:rsidR="00CE410B" w:rsidRPr="00F12479" w:rsidRDefault="00BB10DA" w:rsidP="007E1C10">
      <w:pPr>
        <w:pStyle w:val="SingleTxtG"/>
        <w:rPr>
          <w:sz w:val="20"/>
          <w:szCs w:val="20"/>
        </w:rPr>
      </w:pPr>
      <w:r w:rsidRPr="00F12479">
        <w:rPr>
          <w:sz w:val="20"/>
          <w:szCs w:val="20"/>
        </w:rPr>
        <w:t>70</w:t>
      </w:r>
      <w:r w:rsidR="00091468" w:rsidRPr="00F12479">
        <w:rPr>
          <w:sz w:val="20"/>
          <w:szCs w:val="20"/>
        </w:rPr>
        <w:t>.</w:t>
      </w:r>
      <w:r w:rsidR="00091468" w:rsidRPr="00F12479">
        <w:rPr>
          <w:sz w:val="20"/>
          <w:szCs w:val="20"/>
        </w:rPr>
        <w:tab/>
      </w:r>
      <w:r w:rsidR="005A3898" w:rsidRPr="00F12479">
        <w:rPr>
          <w:sz w:val="20"/>
          <w:szCs w:val="20"/>
        </w:rPr>
        <w:t xml:space="preserve">The </w:t>
      </w:r>
      <w:r w:rsidR="004F3E75" w:rsidRPr="00F12479">
        <w:rPr>
          <w:sz w:val="20"/>
          <w:szCs w:val="20"/>
        </w:rPr>
        <w:t xml:space="preserve">Public </w:t>
      </w:r>
      <w:r w:rsidR="00F14ECB" w:rsidRPr="00F12479">
        <w:rPr>
          <w:sz w:val="20"/>
          <w:szCs w:val="20"/>
        </w:rPr>
        <w:t>Defender</w:t>
      </w:r>
      <w:r w:rsidR="007E1C10">
        <w:rPr>
          <w:sz w:val="20"/>
          <w:szCs w:val="20"/>
        </w:rPr>
        <w:t>’s</w:t>
      </w:r>
      <w:r w:rsidR="00F14ECB" w:rsidRPr="00F12479">
        <w:rPr>
          <w:sz w:val="20"/>
          <w:szCs w:val="20"/>
        </w:rPr>
        <w:t xml:space="preserve"> Office</w:t>
      </w:r>
      <w:r w:rsidR="00C82210" w:rsidRPr="00F12479">
        <w:rPr>
          <w:sz w:val="20"/>
          <w:szCs w:val="20"/>
        </w:rPr>
        <w:t xml:space="preserve">, which has the status A, according to the Paris Principles has </w:t>
      </w:r>
      <w:r w:rsidR="00F14ECB" w:rsidRPr="00F12479">
        <w:rPr>
          <w:sz w:val="20"/>
          <w:szCs w:val="20"/>
        </w:rPr>
        <w:t>established</w:t>
      </w:r>
      <w:r w:rsidR="00C82210" w:rsidRPr="00F12479">
        <w:rPr>
          <w:sz w:val="20"/>
          <w:szCs w:val="20"/>
        </w:rPr>
        <w:t xml:space="preserve"> a Depar</w:t>
      </w:r>
      <w:r w:rsidR="001818A5" w:rsidRPr="00F12479">
        <w:rPr>
          <w:sz w:val="20"/>
          <w:szCs w:val="20"/>
        </w:rPr>
        <w:t>tment of Gender Equality</w:t>
      </w:r>
      <w:r w:rsidR="00C82210" w:rsidRPr="00F12479">
        <w:rPr>
          <w:sz w:val="20"/>
          <w:szCs w:val="20"/>
        </w:rPr>
        <w:t>. This Office</w:t>
      </w:r>
      <w:r w:rsidR="004F3E75" w:rsidRPr="00F12479">
        <w:rPr>
          <w:sz w:val="20"/>
          <w:szCs w:val="20"/>
        </w:rPr>
        <w:t xml:space="preserve"> </w:t>
      </w:r>
      <w:r w:rsidR="005A3898" w:rsidRPr="00F12479">
        <w:rPr>
          <w:sz w:val="20"/>
          <w:szCs w:val="20"/>
        </w:rPr>
        <w:t xml:space="preserve">has </w:t>
      </w:r>
      <w:r w:rsidR="00F14ECB" w:rsidRPr="00F12479">
        <w:rPr>
          <w:sz w:val="20"/>
          <w:szCs w:val="20"/>
        </w:rPr>
        <w:t xml:space="preserve">played an </w:t>
      </w:r>
      <w:r w:rsidR="005A3898" w:rsidRPr="00F12479">
        <w:rPr>
          <w:sz w:val="20"/>
          <w:szCs w:val="20"/>
        </w:rPr>
        <w:t xml:space="preserve">important role </w:t>
      </w:r>
      <w:r w:rsidR="00F14ECB" w:rsidRPr="00F12479">
        <w:rPr>
          <w:sz w:val="20"/>
          <w:szCs w:val="20"/>
        </w:rPr>
        <w:t xml:space="preserve">in addressing violence against women in Georgia and published the special report on violence against women </w:t>
      </w:r>
      <w:r w:rsidR="003272E6" w:rsidRPr="00F12479">
        <w:rPr>
          <w:sz w:val="20"/>
          <w:szCs w:val="20"/>
        </w:rPr>
        <w:t xml:space="preserve">and domestic violence </w:t>
      </w:r>
      <w:r w:rsidR="00F14ECB" w:rsidRPr="00F12479">
        <w:rPr>
          <w:sz w:val="20"/>
          <w:szCs w:val="20"/>
        </w:rPr>
        <w:t xml:space="preserve">with numerous recommendations </w:t>
      </w:r>
      <w:r w:rsidR="00262A64">
        <w:rPr>
          <w:sz w:val="20"/>
          <w:szCs w:val="20"/>
        </w:rPr>
        <w:t>in line</w:t>
      </w:r>
      <w:r w:rsidR="00262A64" w:rsidRPr="00F12479">
        <w:rPr>
          <w:sz w:val="20"/>
          <w:szCs w:val="20"/>
        </w:rPr>
        <w:t xml:space="preserve"> </w:t>
      </w:r>
      <w:r w:rsidR="003272E6" w:rsidRPr="00F12479">
        <w:rPr>
          <w:sz w:val="20"/>
          <w:szCs w:val="20"/>
        </w:rPr>
        <w:t xml:space="preserve">with </w:t>
      </w:r>
      <w:r w:rsidR="00262A64">
        <w:rPr>
          <w:sz w:val="20"/>
          <w:szCs w:val="20"/>
        </w:rPr>
        <w:t xml:space="preserve">the </w:t>
      </w:r>
      <w:r w:rsidR="003272E6" w:rsidRPr="00F12479">
        <w:rPr>
          <w:sz w:val="20"/>
          <w:szCs w:val="20"/>
        </w:rPr>
        <w:t>findings of this report</w:t>
      </w:r>
      <w:r w:rsidR="00C82210" w:rsidRPr="00F12479">
        <w:rPr>
          <w:sz w:val="20"/>
          <w:szCs w:val="20"/>
        </w:rPr>
        <w:t>.</w:t>
      </w:r>
      <w:r w:rsidR="007E1C10">
        <w:rPr>
          <w:sz w:val="20"/>
          <w:szCs w:val="20"/>
        </w:rPr>
        <w:t xml:space="preserve"> T</w:t>
      </w:r>
      <w:r w:rsidR="00C82210" w:rsidRPr="00F12479">
        <w:rPr>
          <w:sz w:val="20"/>
          <w:szCs w:val="20"/>
        </w:rPr>
        <w:t>he mandate holder was informed that</w:t>
      </w:r>
      <w:r w:rsidR="004F3E75" w:rsidRPr="00F12479">
        <w:rPr>
          <w:sz w:val="20"/>
          <w:szCs w:val="20"/>
        </w:rPr>
        <w:t xml:space="preserve"> </w:t>
      </w:r>
      <w:r w:rsidR="00262A64">
        <w:rPr>
          <w:sz w:val="20"/>
          <w:szCs w:val="20"/>
        </w:rPr>
        <w:t>in</w:t>
      </w:r>
      <w:r w:rsidR="0099697D" w:rsidRPr="00F12479">
        <w:rPr>
          <w:sz w:val="20"/>
          <w:szCs w:val="20"/>
        </w:rPr>
        <w:t xml:space="preserve">adequate resources do </w:t>
      </w:r>
      <w:r w:rsidR="00C82210" w:rsidRPr="00F12479">
        <w:rPr>
          <w:sz w:val="20"/>
          <w:szCs w:val="20"/>
        </w:rPr>
        <w:t xml:space="preserve">not allow this </w:t>
      </w:r>
      <w:r w:rsidR="003272E6" w:rsidRPr="00F12479">
        <w:rPr>
          <w:sz w:val="20"/>
          <w:szCs w:val="20"/>
        </w:rPr>
        <w:t>Office</w:t>
      </w:r>
      <w:r w:rsidR="00C82210" w:rsidRPr="00F12479">
        <w:rPr>
          <w:sz w:val="20"/>
          <w:szCs w:val="20"/>
        </w:rPr>
        <w:t xml:space="preserve"> to fully comply with its tasks</w:t>
      </w:r>
      <w:r w:rsidR="0099697D" w:rsidRPr="00F12479">
        <w:rPr>
          <w:sz w:val="20"/>
          <w:szCs w:val="20"/>
        </w:rPr>
        <w:t>.</w:t>
      </w:r>
    </w:p>
    <w:p w:rsidR="008C7D5E" w:rsidRDefault="00907478" w:rsidP="00B272FD">
      <w:pPr>
        <w:pStyle w:val="HChG"/>
      </w:pPr>
      <w:r>
        <w:tab/>
      </w:r>
      <w:r w:rsidR="008C7D5E">
        <w:t>V</w:t>
      </w:r>
      <w:r w:rsidR="008C7D5E" w:rsidRPr="00733498">
        <w:t>.</w:t>
      </w:r>
      <w:r w:rsidR="008C7D5E" w:rsidRPr="00733498">
        <w:tab/>
      </w:r>
      <w:r w:rsidR="008C7D5E" w:rsidRPr="00B272FD">
        <w:t>Implications</w:t>
      </w:r>
      <w:r w:rsidR="008C7D5E">
        <w:t xml:space="preserve"> of discrimination</w:t>
      </w:r>
      <w:r>
        <w:t xml:space="preserve"> against women on violence against women</w:t>
      </w:r>
    </w:p>
    <w:p w:rsidR="008C7D5E" w:rsidRPr="00F12479" w:rsidRDefault="00BB10DA" w:rsidP="0047222B">
      <w:pPr>
        <w:pStyle w:val="SingleTxtG"/>
        <w:rPr>
          <w:sz w:val="20"/>
          <w:szCs w:val="20"/>
        </w:rPr>
      </w:pPr>
      <w:r w:rsidRPr="00F12479">
        <w:rPr>
          <w:sz w:val="20"/>
          <w:szCs w:val="20"/>
        </w:rPr>
        <w:t>71</w:t>
      </w:r>
      <w:r w:rsidR="008C7D5E" w:rsidRPr="00F12479">
        <w:rPr>
          <w:sz w:val="20"/>
          <w:szCs w:val="20"/>
        </w:rPr>
        <w:t>.</w:t>
      </w:r>
      <w:r w:rsidR="008C7D5E" w:rsidRPr="00F12479">
        <w:rPr>
          <w:sz w:val="20"/>
          <w:szCs w:val="20"/>
        </w:rPr>
        <w:tab/>
        <w:t>During her visit, the Special Rapporteur learnt about patterns of discrimination and inequality impeding the full enjoyment of women’s rights</w:t>
      </w:r>
      <w:r w:rsidR="00512C36" w:rsidRPr="00F12479">
        <w:rPr>
          <w:sz w:val="20"/>
          <w:szCs w:val="20"/>
        </w:rPr>
        <w:t>.</w:t>
      </w:r>
      <w:r w:rsidR="008C7D5E" w:rsidRPr="00F12479">
        <w:rPr>
          <w:sz w:val="20"/>
          <w:szCs w:val="20"/>
        </w:rPr>
        <w:t xml:space="preserve"> Despite the adoption of the 2010 Act on Gender Equality and the 2014 Act on the Elimination of All Forms of Discrimination</w:t>
      </w:r>
      <w:r w:rsidR="0047222B">
        <w:rPr>
          <w:sz w:val="20"/>
          <w:szCs w:val="20"/>
        </w:rPr>
        <w:t>,</w:t>
      </w:r>
      <w:r w:rsidR="00512C36" w:rsidRPr="00F12479">
        <w:rPr>
          <w:sz w:val="20"/>
          <w:szCs w:val="20"/>
        </w:rPr>
        <w:t xml:space="preserve"> as well as other relevant paces of legislation</w:t>
      </w:r>
      <w:r w:rsidR="008C7D5E" w:rsidRPr="00F12479">
        <w:rPr>
          <w:sz w:val="20"/>
          <w:szCs w:val="20"/>
        </w:rPr>
        <w:t xml:space="preserve">, major challenges remain to ensure de facto equality, due to </w:t>
      </w:r>
      <w:r w:rsidR="002252F9">
        <w:rPr>
          <w:sz w:val="20"/>
          <w:szCs w:val="20"/>
        </w:rPr>
        <w:t>a number</w:t>
      </w:r>
      <w:r w:rsidR="00262A64">
        <w:rPr>
          <w:sz w:val="20"/>
          <w:szCs w:val="20"/>
        </w:rPr>
        <w:t xml:space="preserve"> of factors </w:t>
      </w:r>
      <w:r w:rsidR="008C7D5E" w:rsidRPr="00F12479">
        <w:rPr>
          <w:sz w:val="20"/>
          <w:szCs w:val="20"/>
        </w:rPr>
        <w:t xml:space="preserve">including </w:t>
      </w:r>
      <w:r w:rsidR="00512C36" w:rsidRPr="00F12479">
        <w:rPr>
          <w:sz w:val="20"/>
          <w:szCs w:val="20"/>
        </w:rPr>
        <w:t xml:space="preserve">a low political participation of women in public and private life and </w:t>
      </w:r>
      <w:r w:rsidR="008C7D5E" w:rsidRPr="00F12479">
        <w:rPr>
          <w:sz w:val="20"/>
          <w:szCs w:val="20"/>
        </w:rPr>
        <w:t>the pervasive</w:t>
      </w:r>
      <w:r w:rsidR="00262A64">
        <w:rPr>
          <w:sz w:val="20"/>
          <w:szCs w:val="20"/>
        </w:rPr>
        <w:t xml:space="preserve"> nature</w:t>
      </w:r>
      <w:r w:rsidR="008C7D5E" w:rsidRPr="00F12479">
        <w:rPr>
          <w:sz w:val="20"/>
          <w:szCs w:val="20"/>
        </w:rPr>
        <w:t xml:space="preserve"> of </w:t>
      </w:r>
      <w:r w:rsidR="00512C36" w:rsidRPr="00F12479">
        <w:rPr>
          <w:sz w:val="20"/>
          <w:szCs w:val="20"/>
        </w:rPr>
        <w:t xml:space="preserve">discriminatory </w:t>
      </w:r>
      <w:r w:rsidR="008C7D5E" w:rsidRPr="00F12479">
        <w:rPr>
          <w:sz w:val="20"/>
          <w:szCs w:val="20"/>
        </w:rPr>
        <w:t>gender stereotypes</w:t>
      </w:r>
      <w:r w:rsidR="0047222B">
        <w:rPr>
          <w:sz w:val="20"/>
          <w:szCs w:val="20"/>
        </w:rPr>
        <w:t>.</w:t>
      </w:r>
    </w:p>
    <w:p w:rsidR="008C7D5E" w:rsidRDefault="008C7D5E" w:rsidP="00B272FD">
      <w:pPr>
        <w:pStyle w:val="H1G"/>
      </w:pPr>
      <w:r w:rsidRPr="008708BA">
        <w:lastRenderedPageBreak/>
        <w:tab/>
      </w:r>
      <w:r w:rsidR="00B272FD">
        <w:t>A.</w:t>
      </w:r>
      <w:r>
        <w:tab/>
      </w:r>
      <w:r w:rsidR="00F975F4">
        <w:t xml:space="preserve">Low </w:t>
      </w:r>
      <w:r w:rsidR="00F975F4" w:rsidRPr="00B272FD">
        <w:t>political</w:t>
      </w:r>
      <w:r w:rsidR="00F975F4">
        <w:t xml:space="preserve"> p</w:t>
      </w:r>
      <w:r>
        <w:t>articipation of women in political and public life</w:t>
      </w:r>
    </w:p>
    <w:p w:rsidR="00FA3755" w:rsidRDefault="00BB10DA" w:rsidP="007E1C10">
      <w:pPr>
        <w:pStyle w:val="SingleTxtG"/>
        <w:rPr>
          <w:sz w:val="20"/>
          <w:szCs w:val="20"/>
        </w:rPr>
      </w:pPr>
      <w:r w:rsidRPr="00F12479">
        <w:rPr>
          <w:sz w:val="20"/>
          <w:szCs w:val="20"/>
        </w:rPr>
        <w:t>72</w:t>
      </w:r>
      <w:r w:rsidR="00EE6712" w:rsidRPr="00F12479">
        <w:rPr>
          <w:sz w:val="20"/>
          <w:szCs w:val="20"/>
        </w:rPr>
        <w:t>.</w:t>
      </w:r>
      <w:r w:rsidR="00F975F4" w:rsidRPr="00F12479">
        <w:rPr>
          <w:sz w:val="20"/>
          <w:szCs w:val="20"/>
        </w:rPr>
        <w:tab/>
      </w:r>
      <w:r w:rsidR="0059786C" w:rsidRPr="00F12479">
        <w:rPr>
          <w:sz w:val="20"/>
          <w:szCs w:val="20"/>
        </w:rPr>
        <w:t xml:space="preserve">The </w:t>
      </w:r>
      <w:r w:rsidR="00F1164D">
        <w:rPr>
          <w:sz w:val="20"/>
          <w:szCs w:val="20"/>
        </w:rPr>
        <w:t xml:space="preserve">Special </w:t>
      </w:r>
      <w:r w:rsidR="0059786C" w:rsidRPr="00F12479">
        <w:rPr>
          <w:sz w:val="20"/>
          <w:szCs w:val="20"/>
        </w:rPr>
        <w:t>Rapporteur remains concerned about the low representation of women in the legislative and executive branches,</w:t>
      </w:r>
      <w:r w:rsidR="0059786C" w:rsidRPr="00F12479">
        <w:rPr>
          <w:rStyle w:val="FootnoteReference"/>
          <w:sz w:val="20"/>
          <w:szCs w:val="20"/>
        </w:rPr>
        <w:footnoteReference w:id="70"/>
      </w:r>
      <w:r w:rsidR="0059786C" w:rsidRPr="00F12479">
        <w:rPr>
          <w:sz w:val="20"/>
          <w:szCs w:val="20"/>
        </w:rPr>
        <w:t xml:space="preserve"> as already expressed by the CEDAW Committee. </w:t>
      </w:r>
      <w:r w:rsidR="0026771A">
        <w:rPr>
          <w:sz w:val="20"/>
          <w:szCs w:val="20"/>
        </w:rPr>
        <w:t>T</w:t>
      </w:r>
      <w:r w:rsidR="007C5D60" w:rsidRPr="00F12479">
        <w:rPr>
          <w:sz w:val="20"/>
          <w:szCs w:val="20"/>
        </w:rPr>
        <w:t xml:space="preserve">he current political </w:t>
      </w:r>
      <w:r w:rsidR="00F975F4" w:rsidRPr="00F12479">
        <w:rPr>
          <w:sz w:val="20"/>
          <w:szCs w:val="20"/>
        </w:rPr>
        <w:t xml:space="preserve">participation of women in the </w:t>
      </w:r>
      <w:proofErr w:type="gramStart"/>
      <w:r w:rsidR="00F975F4" w:rsidRPr="00F12479">
        <w:rPr>
          <w:sz w:val="20"/>
          <w:szCs w:val="20"/>
        </w:rPr>
        <w:t>Parliament,</w:t>
      </w:r>
      <w:proofErr w:type="gramEnd"/>
      <w:r w:rsidR="00F975F4" w:rsidRPr="00F12479">
        <w:rPr>
          <w:sz w:val="20"/>
          <w:szCs w:val="20"/>
        </w:rPr>
        <w:t xml:space="preserve"> </w:t>
      </w:r>
      <w:r w:rsidR="0059786C" w:rsidRPr="00F12479">
        <w:rPr>
          <w:sz w:val="20"/>
          <w:szCs w:val="20"/>
        </w:rPr>
        <w:t>is only 17 (11.3%)</w:t>
      </w:r>
      <w:r w:rsidR="0026771A">
        <w:rPr>
          <w:sz w:val="20"/>
          <w:szCs w:val="20"/>
        </w:rPr>
        <w:t>.</w:t>
      </w:r>
      <w:r w:rsidR="0059786C" w:rsidRPr="00F12479">
        <w:rPr>
          <w:rStyle w:val="FootnoteReference"/>
          <w:sz w:val="20"/>
          <w:szCs w:val="20"/>
        </w:rPr>
        <w:footnoteReference w:id="71"/>
      </w:r>
      <w:r w:rsidR="00F975F4" w:rsidRPr="00F12479">
        <w:rPr>
          <w:sz w:val="20"/>
          <w:szCs w:val="20"/>
        </w:rPr>
        <w:t xml:space="preserve"> In February 2016, Georgia was placed at the 147</w:t>
      </w:r>
      <w:r w:rsidR="00F975F4" w:rsidRPr="00F12479">
        <w:rPr>
          <w:sz w:val="20"/>
          <w:szCs w:val="20"/>
          <w:vertAlign w:val="superscript"/>
        </w:rPr>
        <w:t>th</w:t>
      </w:r>
      <w:r w:rsidR="00F975F4" w:rsidRPr="00F12479">
        <w:rPr>
          <w:sz w:val="20"/>
          <w:szCs w:val="20"/>
        </w:rPr>
        <w:t xml:space="preserve"> position of a world classification on women’s participation in Parliaments.</w:t>
      </w:r>
      <w:r w:rsidR="00F975F4" w:rsidRPr="00F12479">
        <w:rPr>
          <w:rStyle w:val="FootnoteReference"/>
          <w:sz w:val="20"/>
          <w:szCs w:val="20"/>
        </w:rPr>
        <w:footnoteReference w:id="72"/>
      </w:r>
      <w:r w:rsidR="00F975F4" w:rsidRPr="00F12479">
        <w:rPr>
          <w:sz w:val="20"/>
          <w:szCs w:val="20"/>
        </w:rPr>
        <w:t xml:space="preserve"> At the municipal level, in 2006, out of the 1,750 elected</w:t>
      </w:r>
      <w:r w:rsidR="00262A64">
        <w:rPr>
          <w:sz w:val="20"/>
          <w:szCs w:val="20"/>
        </w:rPr>
        <w:t xml:space="preserve"> counsellors</w:t>
      </w:r>
      <w:r w:rsidR="00F975F4" w:rsidRPr="00F12479">
        <w:rPr>
          <w:sz w:val="20"/>
          <w:szCs w:val="20"/>
        </w:rPr>
        <w:t>, only 195 were women.</w:t>
      </w:r>
      <w:r w:rsidR="00F975F4" w:rsidRPr="00F12479">
        <w:rPr>
          <w:rStyle w:val="FootnoteReference"/>
          <w:sz w:val="20"/>
          <w:szCs w:val="20"/>
        </w:rPr>
        <w:footnoteReference w:id="73"/>
      </w:r>
    </w:p>
    <w:p w:rsidR="008C7D5E" w:rsidRDefault="00A82DC6" w:rsidP="007E1C10">
      <w:pPr>
        <w:pStyle w:val="SingleTxtG"/>
        <w:rPr>
          <w:sz w:val="20"/>
          <w:szCs w:val="20"/>
        </w:rPr>
      </w:pPr>
      <w:r>
        <w:rPr>
          <w:sz w:val="20"/>
          <w:szCs w:val="20"/>
        </w:rPr>
        <w:t>73</w:t>
      </w:r>
      <w:r w:rsidR="008C7D5E" w:rsidRPr="00F12479">
        <w:rPr>
          <w:sz w:val="20"/>
          <w:szCs w:val="20"/>
        </w:rPr>
        <w:t>.</w:t>
      </w:r>
      <w:r w:rsidR="00C55C0A" w:rsidRPr="00F12479">
        <w:rPr>
          <w:sz w:val="20"/>
          <w:szCs w:val="20"/>
        </w:rPr>
        <w:tab/>
      </w:r>
      <w:r w:rsidR="008C7D5E" w:rsidRPr="00F12479">
        <w:rPr>
          <w:sz w:val="20"/>
          <w:szCs w:val="20"/>
        </w:rPr>
        <w:t xml:space="preserve">Despite </w:t>
      </w:r>
      <w:r w:rsidR="002252F9">
        <w:rPr>
          <w:sz w:val="20"/>
          <w:szCs w:val="20"/>
        </w:rPr>
        <w:t>the</w:t>
      </w:r>
      <w:r w:rsidR="00F975F4" w:rsidRPr="00F12479">
        <w:rPr>
          <w:sz w:val="20"/>
          <w:szCs w:val="20"/>
        </w:rPr>
        <w:t xml:space="preserve"> </w:t>
      </w:r>
      <w:r w:rsidR="008C7D5E" w:rsidRPr="00F12479">
        <w:rPr>
          <w:sz w:val="20"/>
          <w:szCs w:val="20"/>
        </w:rPr>
        <w:t>amendments introduced in the Election Code and the Organization Act on the Political Unions of Citizens, related to financial incentives</w:t>
      </w:r>
      <w:r w:rsidR="0047222B">
        <w:rPr>
          <w:sz w:val="20"/>
          <w:szCs w:val="20"/>
        </w:rPr>
        <w:t xml:space="preserve"> </w:t>
      </w:r>
      <w:r w:rsidR="008C7D5E" w:rsidRPr="00F12479">
        <w:rPr>
          <w:sz w:val="20"/>
          <w:szCs w:val="20"/>
        </w:rPr>
        <w:t>to political parties that nominate women candidates for parliamentary elections</w:t>
      </w:r>
      <w:r w:rsidR="0009027F" w:rsidRPr="00F12479">
        <w:rPr>
          <w:sz w:val="20"/>
          <w:szCs w:val="20"/>
        </w:rPr>
        <w:t>,</w:t>
      </w:r>
      <w:r w:rsidR="008C7D5E" w:rsidRPr="00F12479">
        <w:rPr>
          <w:sz w:val="20"/>
          <w:szCs w:val="20"/>
        </w:rPr>
        <w:t xml:space="preserve"> women’s participation in political and public life remains low. In this regard, the Rapporteur looks forward to the adoption of the law on mandatory quotas that specifies a minimum participation of 30% of women in the Parliament</w:t>
      </w:r>
      <w:r w:rsidR="0004466F" w:rsidRPr="00F12479">
        <w:rPr>
          <w:sz w:val="20"/>
          <w:szCs w:val="20"/>
        </w:rPr>
        <w:t xml:space="preserve"> and remains concern</w:t>
      </w:r>
      <w:r w:rsidR="0047222B">
        <w:rPr>
          <w:sz w:val="20"/>
          <w:szCs w:val="20"/>
        </w:rPr>
        <w:t>ed</w:t>
      </w:r>
      <w:r w:rsidR="0004466F" w:rsidRPr="00F12479">
        <w:rPr>
          <w:sz w:val="20"/>
          <w:szCs w:val="20"/>
        </w:rPr>
        <w:t xml:space="preserve"> that there are insufficient public and political acceptance of such temporary special measures for accelerated advancement of women.</w:t>
      </w:r>
    </w:p>
    <w:p w:rsidR="002B19EE" w:rsidRPr="00F12479" w:rsidRDefault="002B19EE" w:rsidP="002B19EE">
      <w:pPr>
        <w:pStyle w:val="SingleTxtG"/>
        <w:rPr>
          <w:sz w:val="20"/>
          <w:szCs w:val="20"/>
        </w:rPr>
      </w:pPr>
      <w:r>
        <w:rPr>
          <w:sz w:val="20"/>
          <w:szCs w:val="20"/>
        </w:rPr>
        <w:t>74</w:t>
      </w:r>
      <w:r w:rsidRPr="00F12479">
        <w:rPr>
          <w:sz w:val="20"/>
          <w:szCs w:val="20"/>
        </w:rPr>
        <w:t>.</w:t>
      </w:r>
      <w:r w:rsidRPr="00F12479">
        <w:rPr>
          <w:sz w:val="20"/>
          <w:szCs w:val="20"/>
        </w:rPr>
        <w:tab/>
        <w:t>Out of 19 Ministerial posts, only three women hold such positions in Georgia.</w:t>
      </w:r>
      <w:r w:rsidRPr="00F12479">
        <w:rPr>
          <w:rStyle w:val="FootnoteReference"/>
          <w:sz w:val="20"/>
          <w:szCs w:val="20"/>
        </w:rPr>
        <w:footnoteReference w:id="74"/>
      </w:r>
      <w:r w:rsidRPr="00F12479">
        <w:rPr>
          <w:sz w:val="20"/>
          <w:szCs w:val="20"/>
        </w:rPr>
        <w:t xml:space="preserve"> At the municipal level, only 10% of those elected on self-government bodies were women and women’s participation was even lower in municipalities mainly inhabited by ethnic minorities – out of 148 MPs appointed in </w:t>
      </w:r>
      <w:proofErr w:type="spellStart"/>
      <w:r w:rsidRPr="00F12479">
        <w:rPr>
          <w:sz w:val="20"/>
          <w:szCs w:val="20"/>
        </w:rPr>
        <w:t>Akhalkalaki</w:t>
      </w:r>
      <w:proofErr w:type="spellEnd"/>
      <w:r w:rsidRPr="00F12479">
        <w:rPr>
          <w:sz w:val="20"/>
          <w:szCs w:val="20"/>
        </w:rPr>
        <w:t xml:space="preserve">, </w:t>
      </w:r>
      <w:proofErr w:type="spellStart"/>
      <w:r w:rsidRPr="00F12479">
        <w:rPr>
          <w:sz w:val="20"/>
          <w:szCs w:val="20"/>
        </w:rPr>
        <w:t>Ninotsminda</w:t>
      </w:r>
      <w:proofErr w:type="spellEnd"/>
      <w:r w:rsidRPr="00F12479">
        <w:rPr>
          <w:sz w:val="20"/>
          <w:szCs w:val="20"/>
        </w:rPr>
        <w:t xml:space="preserve">, </w:t>
      </w:r>
      <w:proofErr w:type="spellStart"/>
      <w:r w:rsidRPr="00F12479">
        <w:rPr>
          <w:sz w:val="20"/>
          <w:szCs w:val="20"/>
        </w:rPr>
        <w:t>Gardabani</w:t>
      </w:r>
      <w:proofErr w:type="spellEnd"/>
      <w:r w:rsidRPr="00F12479">
        <w:rPr>
          <w:sz w:val="20"/>
          <w:szCs w:val="20"/>
        </w:rPr>
        <w:t xml:space="preserve">, </w:t>
      </w:r>
      <w:proofErr w:type="spellStart"/>
      <w:r w:rsidRPr="00F12479">
        <w:rPr>
          <w:sz w:val="20"/>
          <w:szCs w:val="20"/>
        </w:rPr>
        <w:t>Mameuli</w:t>
      </w:r>
      <w:proofErr w:type="spellEnd"/>
      <w:r w:rsidRPr="00F12479">
        <w:rPr>
          <w:sz w:val="20"/>
          <w:szCs w:val="20"/>
        </w:rPr>
        <w:t xml:space="preserve"> and </w:t>
      </w:r>
      <w:proofErr w:type="spellStart"/>
      <w:r w:rsidRPr="00F12479">
        <w:rPr>
          <w:sz w:val="20"/>
          <w:szCs w:val="20"/>
        </w:rPr>
        <w:t>Tsalka</w:t>
      </w:r>
      <w:proofErr w:type="spellEnd"/>
      <w:r w:rsidRPr="00F12479">
        <w:rPr>
          <w:sz w:val="20"/>
          <w:szCs w:val="20"/>
        </w:rPr>
        <w:t xml:space="preserve"> </w:t>
      </w:r>
      <w:proofErr w:type="spellStart"/>
      <w:r w:rsidRPr="00F12479">
        <w:rPr>
          <w:sz w:val="20"/>
          <w:szCs w:val="20"/>
        </w:rPr>
        <w:t>Sakrebulos</w:t>
      </w:r>
      <w:proofErr w:type="spellEnd"/>
      <w:r w:rsidRPr="00F12479">
        <w:rPr>
          <w:sz w:val="20"/>
          <w:szCs w:val="20"/>
        </w:rPr>
        <w:t>, only 4 of them were women.</w:t>
      </w:r>
      <w:r w:rsidRPr="00F12479">
        <w:rPr>
          <w:rStyle w:val="FootnoteReference"/>
          <w:sz w:val="20"/>
          <w:szCs w:val="20"/>
        </w:rPr>
        <w:footnoteReference w:id="75"/>
      </w:r>
    </w:p>
    <w:p w:rsidR="008C7D5E" w:rsidRDefault="00813653" w:rsidP="00B272FD">
      <w:pPr>
        <w:pStyle w:val="H1G"/>
      </w:pPr>
      <w:r>
        <w:tab/>
      </w:r>
      <w:r w:rsidR="00097D14">
        <w:t>B</w:t>
      </w:r>
      <w:r w:rsidR="00B272FD">
        <w:t>.</w:t>
      </w:r>
      <w:r w:rsidR="008C7D5E">
        <w:tab/>
      </w:r>
      <w:r w:rsidR="001D072A">
        <w:t>Discriminatory g</w:t>
      </w:r>
      <w:r w:rsidR="008C7D5E">
        <w:t>ender stereotypes</w:t>
      </w:r>
    </w:p>
    <w:p w:rsidR="008C7D5E" w:rsidRPr="00F12479" w:rsidRDefault="00A82DC6" w:rsidP="00EE6712">
      <w:pPr>
        <w:pStyle w:val="SingleTxtG"/>
        <w:rPr>
          <w:sz w:val="20"/>
          <w:szCs w:val="20"/>
        </w:rPr>
      </w:pPr>
      <w:r>
        <w:rPr>
          <w:sz w:val="20"/>
          <w:szCs w:val="20"/>
        </w:rPr>
        <w:t>75</w:t>
      </w:r>
      <w:r w:rsidR="008C7D5E" w:rsidRPr="00F12479">
        <w:rPr>
          <w:sz w:val="20"/>
          <w:szCs w:val="20"/>
        </w:rPr>
        <w:t>.</w:t>
      </w:r>
      <w:r w:rsidR="008C7D5E" w:rsidRPr="00F12479">
        <w:rPr>
          <w:sz w:val="20"/>
          <w:szCs w:val="20"/>
        </w:rPr>
        <w:tab/>
        <w:t xml:space="preserve">Despite the efforts made by the Government, United Nations agencies and civil society actors, in particular in awareness-raising, gender stereotypes and patriarchal attitudes remain </w:t>
      </w:r>
      <w:r w:rsidR="00C200E8" w:rsidRPr="00F12479">
        <w:rPr>
          <w:sz w:val="20"/>
          <w:szCs w:val="20"/>
        </w:rPr>
        <w:t xml:space="preserve">deeply entrenched and </w:t>
      </w:r>
      <w:r w:rsidR="008C7D5E" w:rsidRPr="00F12479">
        <w:rPr>
          <w:sz w:val="20"/>
          <w:szCs w:val="20"/>
        </w:rPr>
        <w:t>prevalent in society, thus infringing on women’s enjoyment of equality</w:t>
      </w:r>
      <w:r w:rsidR="00142897" w:rsidRPr="00F12479">
        <w:rPr>
          <w:sz w:val="20"/>
          <w:szCs w:val="20"/>
        </w:rPr>
        <w:t xml:space="preserve"> and </w:t>
      </w:r>
      <w:r w:rsidR="002B19EE">
        <w:rPr>
          <w:sz w:val="20"/>
          <w:szCs w:val="20"/>
        </w:rPr>
        <w:t>perpetuating</w:t>
      </w:r>
      <w:r w:rsidR="002B19EE" w:rsidRPr="00F12479">
        <w:rPr>
          <w:sz w:val="20"/>
          <w:szCs w:val="20"/>
        </w:rPr>
        <w:t xml:space="preserve"> </w:t>
      </w:r>
      <w:r w:rsidR="00142897" w:rsidRPr="00F12479">
        <w:rPr>
          <w:sz w:val="20"/>
          <w:szCs w:val="20"/>
        </w:rPr>
        <w:t>violence against women</w:t>
      </w:r>
      <w:r w:rsidR="008C7D5E" w:rsidRPr="00F12479">
        <w:rPr>
          <w:sz w:val="20"/>
          <w:szCs w:val="20"/>
        </w:rPr>
        <w:t xml:space="preserve">. </w:t>
      </w:r>
      <w:r w:rsidR="00C200E8" w:rsidRPr="00F12479">
        <w:rPr>
          <w:sz w:val="20"/>
          <w:szCs w:val="20"/>
        </w:rPr>
        <w:t>T</w:t>
      </w:r>
      <w:r w:rsidR="008C7D5E" w:rsidRPr="00F12479">
        <w:rPr>
          <w:sz w:val="20"/>
          <w:szCs w:val="20"/>
        </w:rPr>
        <w:t xml:space="preserve">he mandate holder </w:t>
      </w:r>
      <w:r w:rsidR="00142897" w:rsidRPr="00F12479">
        <w:rPr>
          <w:sz w:val="20"/>
          <w:szCs w:val="20"/>
        </w:rPr>
        <w:t xml:space="preserve">observed that </w:t>
      </w:r>
      <w:r w:rsidR="00C200E8" w:rsidRPr="00F12479">
        <w:rPr>
          <w:sz w:val="20"/>
          <w:szCs w:val="20"/>
        </w:rPr>
        <w:t xml:space="preserve">especially </w:t>
      </w:r>
      <w:r w:rsidR="00142897" w:rsidRPr="00F12479">
        <w:rPr>
          <w:sz w:val="20"/>
          <w:szCs w:val="20"/>
        </w:rPr>
        <w:t xml:space="preserve">in rural areas, </w:t>
      </w:r>
      <w:r w:rsidR="008C7D5E" w:rsidRPr="00F12479">
        <w:rPr>
          <w:sz w:val="20"/>
          <w:szCs w:val="20"/>
        </w:rPr>
        <w:t>a lot is yet to be done to change patriarchal norms and public attitudes towards gender roles.</w:t>
      </w:r>
      <w:r w:rsidR="008C7D5E" w:rsidRPr="00F12479">
        <w:rPr>
          <w:rStyle w:val="FootnoteReference"/>
          <w:sz w:val="20"/>
          <w:szCs w:val="20"/>
        </w:rPr>
        <w:footnoteReference w:id="76"/>
      </w:r>
    </w:p>
    <w:p w:rsidR="008C7D5E" w:rsidRPr="00F12479" w:rsidRDefault="00A82DC6" w:rsidP="008C7D5E">
      <w:pPr>
        <w:pStyle w:val="SingleTxtG"/>
        <w:rPr>
          <w:sz w:val="20"/>
          <w:szCs w:val="20"/>
        </w:rPr>
      </w:pPr>
      <w:r>
        <w:rPr>
          <w:sz w:val="20"/>
          <w:szCs w:val="20"/>
        </w:rPr>
        <w:t>76</w:t>
      </w:r>
      <w:r w:rsidR="008C7D5E" w:rsidRPr="00F12479">
        <w:rPr>
          <w:sz w:val="20"/>
          <w:szCs w:val="20"/>
        </w:rPr>
        <w:t>.</w:t>
      </w:r>
      <w:r w:rsidR="008C7D5E" w:rsidRPr="00F12479">
        <w:rPr>
          <w:sz w:val="20"/>
          <w:szCs w:val="20"/>
        </w:rPr>
        <w:tab/>
        <w:t xml:space="preserve">The Special Rapporteur was informed that an increase of conservatism, in the media and political debate, fuelled </w:t>
      </w:r>
      <w:r w:rsidR="002B19EE">
        <w:rPr>
          <w:sz w:val="20"/>
          <w:szCs w:val="20"/>
        </w:rPr>
        <w:t xml:space="preserve">in some cases </w:t>
      </w:r>
      <w:r w:rsidR="008C7D5E" w:rsidRPr="00F12479">
        <w:rPr>
          <w:sz w:val="20"/>
          <w:szCs w:val="20"/>
        </w:rPr>
        <w:t>by religious institutions, has contributed to reinforce gender stereotypes and patriarchal beliefs. According to a 2014 Survey on Men and Gender Relations in Georgia, 89 of the respondents agreed that the main responsibility of women is to take care of their family.</w:t>
      </w:r>
      <w:r w:rsidR="008C7D5E" w:rsidRPr="00F12479">
        <w:rPr>
          <w:rStyle w:val="FootnoteReference"/>
          <w:sz w:val="20"/>
          <w:szCs w:val="20"/>
        </w:rPr>
        <w:footnoteReference w:id="77"/>
      </w:r>
    </w:p>
    <w:p w:rsidR="008C7D5E" w:rsidRPr="00F12479" w:rsidRDefault="00A82DC6" w:rsidP="00AB365C">
      <w:pPr>
        <w:pStyle w:val="SingleTxtG"/>
        <w:rPr>
          <w:sz w:val="20"/>
          <w:szCs w:val="20"/>
        </w:rPr>
      </w:pPr>
      <w:r>
        <w:rPr>
          <w:sz w:val="20"/>
          <w:szCs w:val="20"/>
        </w:rPr>
        <w:t>77</w:t>
      </w:r>
      <w:r w:rsidR="002D2311" w:rsidRPr="00F12479">
        <w:rPr>
          <w:sz w:val="20"/>
          <w:szCs w:val="20"/>
        </w:rPr>
        <w:t>.</w:t>
      </w:r>
      <w:r w:rsidR="002D2311" w:rsidRPr="00F12479">
        <w:rPr>
          <w:sz w:val="20"/>
          <w:szCs w:val="20"/>
        </w:rPr>
        <w:tab/>
        <w:t xml:space="preserve">The Special Rapporteur </w:t>
      </w:r>
      <w:r w:rsidR="008C7D5E" w:rsidRPr="00F12479">
        <w:rPr>
          <w:sz w:val="20"/>
          <w:szCs w:val="20"/>
        </w:rPr>
        <w:t>is</w:t>
      </w:r>
      <w:r w:rsidR="002B19EE">
        <w:rPr>
          <w:sz w:val="20"/>
          <w:szCs w:val="20"/>
        </w:rPr>
        <w:t xml:space="preserve"> also</w:t>
      </w:r>
      <w:r w:rsidR="008C7D5E" w:rsidRPr="00F12479">
        <w:rPr>
          <w:sz w:val="20"/>
          <w:szCs w:val="20"/>
        </w:rPr>
        <w:t xml:space="preserve"> concerned about </w:t>
      </w:r>
      <w:r w:rsidR="002B19EE">
        <w:rPr>
          <w:sz w:val="20"/>
          <w:szCs w:val="20"/>
        </w:rPr>
        <w:t>the</w:t>
      </w:r>
      <w:r w:rsidR="008C7D5E" w:rsidRPr="00F12479">
        <w:rPr>
          <w:sz w:val="20"/>
          <w:szCs w:val="20"/>
        </w:rPr>
        <w:t xml:space="preserve"> dissemination of sexist remarks and widespread gender stereotypes, related to women and men’s role by the media,</w:t>
      </w:r>
      <w:r w:rsidR="008C7D5E" w:rsidRPr="00F12479">
        <w:rPr>
          <w:rStyle w:val="FootnoteReference"/>
          <w:sz w:val="20"/>
          <w:szCs w:val="20"/>
        </w:rPr>
        <w:footnoteReference w:id="78"/>
      </w:r>
      <w:r w:rsidR="008C7D5E" w:rsidRPr="00F12479">
        <w:rPr>
          <w:sz w:val="20"/>
          <w:szCs w:val="20"/>
        </w:rPr>
        <w:t xml:space="preserve"> which </w:t>
      </w:r>
      <w:r w:rsidR="008C7D5E" w:rsidRPr="00F12479">
        <w:rPr>
          <w:sz w:val="20"/>
          <w:szCs w:val="20"/>
        </w:rPr>
        <w:lastRenderedPageBreak/>
        <w:t>can impair women’s opportunities, as well as their social status, professional careers and participation in political and public life on an equal basis with men.</w:t>
      </w:r>
    </w:p>
    <w:p w:rsidR="00EB7AA3" w:rsidRDefault="0087133A" w:rsidP="00B272FD">
      <w:pPr>
        <w:pStyle w:val="HChG"/>
      </w:pPr>
      <w:r>
        <w:tab/>
      </w:r>
      <w:r w:rsidR="00EB7AA3">
        <w:t>V</w:t>
      </w:r>
      <w:r w:rsidR="007B52B2">
        <w:t>I</w:t>
      </w:r>
      <w:r w:rsidR="00EB7AA3" w:rsidRPr="00733498">
        <w:t>.</w:t>
      </w:r>
      <w:r w:rsidR="00EB7AA3" w:rsidRPr="00733498">
        <w:tab/>
      </w:r>
      <w:r w:rsidR="00097D14">
        <w:t>Gaps and c</w:t>
      </w:r>
      <w:r w:rsidR="00EB7AA3">
        <w:t xml:space="preserve">hallenges in fulfilling the State’s obligations to eliminate violence </w:t>
      </w:r>
      <w:r w:rsidR="00EB7AA3" w:rsidRPr="00B272FD">
        <w:t>against</w:t>
      </w:r>
      <w:r w:rsidR="00EB7AA3">
        <w:t xml:space="preserve"> women</w:t>
      </w:r>
    </w:p>
    <w:p w:rsidR="00EB7AA3" w:rsidRDefault="00EB7AA3" w:rsidP="00B272FD">
      <w:pPr>
        <w:pStyle w:val="H1G"/>
      </w:pPr>
      <w:r w:rsidRPr="008708BA">
        <w:tab/>
      </w:r>
      <w:r>
        <w:t>A</w:t>
      </w:r>
      <w:r w:rsidR="00B272FD">
        <w:t>.</w:t>
      </w:r>
      <w:r w:rsidRPr="008708BA">
        <w:tab/>
      </w:r>
      <w:r w:rsidR="009E3088" w:rsidRPr="00B272FD">
        <w:t>Prevention</w:t>
      </w:r>
    </w:p>
    <w:p w:rsidR="00C200E8" w:rsidRPr="005B3A96" w:rsidRDefault="005B3A96" w:rsidP="005B3A96">
      <w:pPr>
        <w:pStyle w:val="H23G"/>
        <w:rPr>
          <w:sz w:val="20"/>
          <w:szCs w:val="20"/>
        </w:rPr>
      </w:pPr>
      <w:r>
        <w:rPr>
          <w:sz w:val="20"/>
          <w:szCs w:val="20"/>
        </w:rPr>
        <w:tab/>
        <w:t>1.</w:t>
      </w:r>
      <w:r>
        <w:rPr>
          <w:sz w:val="20"/>
          <w:szCs w:val="20"/>
        </w:rPr>
        <w:tab/>
      </w:r>
      <w:r w:rsidR="00B272FD" w:rsidRPr="005B3A96">
        <w:rPr>
          <w:sz w:val="20"/>
          <w:szCs w:val="20"/>
        </w:rPr>
        <w:t>Data</w:t>
      </w:r>
    </w:p>
    <w:p w:rsidR="009E3088" w:rsidRPr="00F12479" w:rsidRDefault="00A82DC6" w:rsidP="009E3088">
      <w:pPr>
        <w:pStyle w:val="SingleTxtG"/>
        <w:rPr>
          <w:sz w:val="20"/>
          <w:szCs w:val="20"/>
        </w:rPr>
      </w:pPr>
      <w:r>
        <w:rPr>
          <w:sz w:val="20"/>
          <w:szCs w:val="20"/>
        </w:rPr>
        <w:t>78</w:t>
      </w:r>
      <w:r w:rsidR="00BB60C0" w:rsidRPr="00F12479">
        <w:rPr>
          <w:sz w:val="20"/>
          <w:szCs w:val="20"/>
        </w:rPr>
        <w:t>.</w:t>
      </w:r>
      <w:r w:rsidR="00BB60C0" w:rsidRPr="00F12479">
        <w:rPr>
          <w:sz w:val="20"/>
          <w:szCs w:val="20"/>
        </w:rPr>
        <w:tab/>
      </w:r>
      <w:r w:rsidR="009E3088" w:rsidRPr="00F12479">
        <w:rPr>
          <w:sz w:val="20"/>
          <w:szCs w:val="20"/>
        </w:rPr>
        <w:t xml:space="preserve">While noting </w:t>
      </w:r>
      <w:r w:rsidR="002B19EE">
        <w:rPr>
          <w:sz w:val="20"/>
          <w:szCs w:val="20"/>
        </w:rPr>
        <w:t xml:space="preserve">that article 6 of </w:t>
      </w:r>
      <w:r w:rsidR="009E3088" w:rsidRPr="00F12479">
        <w:rPr>
          <w:sz w:val="20"/>
          <w:szCs w:val="20"/>
        </w:rPr>
        <w:t xml:space="preserve">the Law on Elimination of Domestic Violence, Protection and Support of Victims of Domestic </w:t>
      </w:r>
      <w:r w:rsidR="002252F9" w:rsidRPr="00F12479">
        <w:rPr>
          <w:sz w:val="20"/>
          <w:szCs w:val="20"/>
        </w:rPr>
        <w:t>Violence establishes</w:t>
      </w:r>
      <w:r w:rsidR="009E3088" w:rsidRPr="00F12479">
        <w:rPr>
          <w:sz w:val="20"/>
          <w:szCs w:val="20"/>
        </w:rPr>
        <w:t xml:space="preserve"> the creation of mechanisms for prevention of domestic violence, which will be responsible in maintaining relevant statistics (paragraph c)); to take preventive measures against persons belonging to risk groups of perpetration of domestic violence (paragraph d)); to conduct awareness-raising campaigns (paragraph e</w:t>
      </w:r>
      <w:r w:rsidR="00DD273B" w:rsidRPr="00F12479">
        <w:rPr>
          <w:sz w:val="20"/>
          <w:szCs w:val="20"/>
        </w:rPr>
        <w:t>)</w:t>
      </w:r>
      <w:r w:rsidR="009E3088" w:rsidRPr="00F12479">
        <w:rPr>
          <w:sz w:val="20"/>
          <w:szCs w:val="20"/>
        </w:rPr>
        <w:t>); and the implementation of measures to protect and support victims (paragraph g)) the mandate holder i</w:t>
      </w:r>
      <w:r w:rsidR="002B19EE">
        <w:rPr>
          <w:sz w:val="20"/>
          <w:szCs w:val="20"/>
        </w:rPr>
        <w:t>s</w:t>
      </w:r>
      <w:r w:rsidR="009E3088" w:rsidRPr="00F12479">
        <w:rPr>
          <w:sz w:val="20"/>
          <w:szCs w:val="20"/>
        </w:rPr>
        <w:t xml:space="preserve"> concerned about the</w:t>
      </w:r>
      <w:r w:rsidR="002B19EE">
        <w:rPr>
          <w:sz w:val="20"/>
          <w:szCs w:val="20"/>
        </w:rPr>
        <w:t xml:space="preserve"> absence</w:t>
      </w:r>
      <w:r w:rsidR="00092620" w:rsidRPr="00F12479">
        <w:rPr>
          <w:sz w:val="20"/>
          <w:szCs w:val="20"/>
        </w:rPr>
        <w:t xml:space="preserve"> of unified statistical data</w:t>
      </w:r>
      <w:r w:rsidR="009E3088" w:rsidRPr="00F12479">
        <w:rPr>
          <w:sz w:val="20"/>
          <w:szCs w:val="20"/>
        </w:rPr>
        <w:t xml:space="preserve"> on domestic violence</w:t>
      </w:r>
      <w:r w:rsidR="00092620" w:rsidRPr="00F12479">
        <w:rPr>
          <w:sz w:val="20"/>
          <w:szCs w:val="20"/>
        </w:rPr>
        <w:t xml:space="preserve"> and in general on gender-based violence</w:t>
      </w:r>
      <w:r w:rsidR="009E3088" w:rsidRPr="00F12479">
        <w:rPr>
          <w:sz w:val="20"/>
          <w:szCs w:val="20"/>
        </w:rPr>
        <w:t xml:space="preserve">. </w:t>
      </w:r>
    </w:p>
    <w:p w:rsidR="006D4D92" w:rsidRPr="005B3A96" w:rsidRDefault="00A82DC6" w:rsidP="007E1C10">
      <w:pPr>
        <w:pStyle w:val="SingleTxtG"/>
        <w:rPr>
          <w:sz w:val="20"/>
          <w:szCs w:val="20"/>
        </w:rPr>
      </w:pPr>
      <w:r w:rsidRPr="005B3A96">
        <w:rPr>
          <w:sz w:val="20"/>
          <w:szCs w:val="20"/>
        </w:rPr>
        <w:t>79.</w:t>
      </w:r>
      <w:r w:rsidRPr="005B3A96">
        <w:rPr>
          <w:sz w:val="20"/>
          <w:szCs w:val="20"/>
        </w:rPr>
        <w:tab/>
      </w:r>
      <w:r w:rsidR="006D4D92" w:rsidRPr="005B3A96">
        <w:rPr>
          <w:sz w:val="20"/>
          <w:szCs w:val="20"/>
        </w:rPr>
        <w:t>The Public Defender</w:t>
      </w:r>
      <w:r w:rsidR="007E1C10" w:rsidRPr="005B3A96">
        <w:rPr>
          <w:sz w:val="20"/>
          <w:szCs w:val="20"/>
        </w:rPr>
        <w:t>’s Office</w:t>
      </w:r>
      <w:r w:rsidR="006D4D92" w:rsidRPr="005B3A96">
        <w:rPr>
          <w:sz w:val="20"/>
          <w:szCs w:val="20"/>
        </w:rPr>
        <w:t xml:space="preserve"> informed that in general, the acquisition of </w:t>
      </w:r>
      <w:r w:rsidR="006D4D92" w:rsidRPr="005B3A96">
        <w:rPr>
          <w:b/>
          <w:bCs/>
          <w:sz w:val="20"/>
          <w:szCs w:val="20"/>
        </w:rPr>
        <w:t>statistical data</w:t>
      </w:r>
      <w:r w:rsidR="006D4D92" w:rsidRPr="005B3A96">
        <w:rPr>
          <w:sz w:val="20"/>
          <w:szCs w:val="20"/>
        </w:rPr>
        <w:t xml:space="preserve"> from governmental entities was </w:t>
      </w:r>
      <w:r w:rsidR="002B19EE" w:rsidRPr="005B3A96">
        <w:rPr>
          <w:sz w:val="20"/>
          <w:szCs w:val="20"/>
        </w:rPr>
        <w:t xml:space="preserve">complex </w:t>
      </w:r>
      <w:r w:rsidR="006D4D92" w:rsidRPr="005B3A96">
        <w:rPr>
          <w:sz w:val="20"/>
          <w:szCs w:val="20"/>
        </w:rPr>
        <w:t>and that the data are not adequately</w:t>
      </w:r>
      <w:r w:rsidR="002252F9" w:rsidRPr="005B3A96">
        <w:rPr>
          <w:sz w:val="20"/>
          <w:szCs w:val="20"/>
        </w:rPr>
        <w:t xml:space="preserve"> analysed and used to inform po</w:t>
      </w:r>
      <w:r w:rsidR="002B19EE" w:rsidRPr="005B3A96">
        <w:rPr>
          <w:sz w:val="20"/>
          <w:szCs w:val="20"/>
        </w:rPr>
        <w:t>licies</w:t>
      </w:r>
      <w:r w:rsidR="006D4D92" w:rsidRPr="005B3A96">
        <w:rPr>
          <w:sz w:val="20"/>
          <w:szCs w:val="20"/>
        </w:rPr>
        <w:t>.</w:t>
      </w:r>
      <w:r w:rsidR="006D4D92" w:rsidRPr="005B3A96">
        <w:rPr>
          <w:rStyle w:val="FootnoteReference"/>
          <w:sz w:val="20"/>
          <w:szCs w:val="20"/>
        </w:rPr>
        <w:footnoteReference w:id="79"/>
      </w:r>
      <w:r w:rsidR="006D4D92" w:rsidRPr="005B3A96">
        <w:rPr>
          <w:sz w:val="20"/>
          <w:szCs w:val="20"/>
        </w:rPr>
        <w:t xml:space="preserve"> During the visit, the Government recognized that the collection of data </w:t>
      </w:r>
      <w:r w:rsidR="002B19EE" w:rsidRPr="005B3A96">
        <w:rPr>
          <w:sz w:val="20"/>
          <w:szCs w:val="20"/>
        </w:rPr>
        <w:t xml:space="preserve">remains </w:t>
      </w:r>
      <w:r w:rsidR="002252F9" w:rsidRPr="005B3A96">
        <w:rPr>
          <w:sz w:val="20"/>
          <w:szCs w:val="20"/>
        </w:rPr>
        <w:t>a challenge.</w:t>
      </w:r>
    </w:p>
    <w:p w:rsidR="003124B1" w:rsidRPr="005B3A96" w:rsidRDefault="005B3A96" w:rsidP="005B3A96">
      <w:pPr>
        <w:pStyle w:val="H23G"/>
        <w:rPr>
          <w:sz w:val="20"/>
          <w:szCs w:val="20"/>
        </w:rPr>
      </w:pPr>
      <w:r>
        <w:rPr>
          <w:sz w:val="20"/>
          <w:szCs w:val="20"/>
        </w:rPr>
        <w:tab/>
      </w:r>
      <w:r w:rsidRPr="005B3A96">
        <w:rPr>
          <w:sz w:val="20"/>
          <w:szCs w:val="20"/>
        </w:rPr>
        <w:t>2.</w:t>
      </w:r>
      <w:r w:rsidRPr="005B3A96">
        <w:rPr>
          <w:sz w:val="20"/>
          <w:szCs w:val="20"/>
        </w:rPr>
        <w:tab/>
      </w:r>
      <w:r w:rsidR="00656AE0" w:rsidRPr="005B3A96">
        <w:rPr>
          <w:sz w:val="20"/>
          <w:szCs w:val="20"/>
        </w:rPr>
        <w:t xml:space="preserve">Education </w:t>
      </w:r>
    </w:p>
    <w:p w:rsidR="00FF5C2B" w:rsidRPr="005B3A96" w:rsidRDefault="00A82DC6" w:rsidP="00BC738D">
      <w:pPr>
        <w:pStyle w:val="SingleTxtG"/>
        <w:rPr>
          <w:sz w:val="20"/>
          <w:szCs w:val="20"/>
        </w:rPr>
      </w:pPr>
      <w:r w:rsidRPr="005B3A96">
        <w:rPr>
          <w:sz w:val="20"/>
          <w:szCs w:val="20"/>
        </w:rPr>
        <w:t>80</w:t>
      </w:r>
      <w:r w:rsidR="00FF5C2B" w:rsidRPr="005B3A96">
        <w:rPr>
          <w:sz w:val="20"/>
          <w:szCs w:val="20"/>
        </w:rPr>
        <w:t>.</w:t>
      </w:r>
      <w:r w:rsidR="00FF5C2B" w:rsidRPr="005B3A96">
        <w:rPr>
          <w:sz w:val="20"/>
          <w:szCs w:val="20"/>
        </w:rPr>
        <w:tab/>
        <w:t xml:space="preserve">While </w:t>
      </w:r>
      <w:r w:rsidR="006D4D92" w:rsidRPr="005B3A96">
        <w:rPr>
          <w:sz w:val="20"/>
          <w:szCs w:val="20"/>
        </w:rPr>
        <w:t>noting</w:t>
      </w:r>
      <w:r w:rsidR="002B19EE" w:rsidRPr="005B3A96">
        <w:rPr>
          <w:sz w:val="20"/>
          <w:szCs w:val="20"/>
        </w:rPr>
        <w:t xml:space="preserve"> the</w:t>
      </w:r>
      <w:r w:rsidR="00FF5C2B" w:rsidRPr="005B3A96">
        <w:rPr>
          <w:sz w:val="20"/>
          <w:szCs w:val="20"/>
        </w:rPr>
        <w:t xml:space="preserve"> efforts of the Government to deliver </w:t>
      </w:r>
      <w:r w:rsidR="00FF5C2B" w:rsidRPr="005B3A96">
        <w:rPr>
          <w:b/>
          <w:bCs/>
          <w:sz w:val="20"/>
          <w:szCs w:val="20"/>
        </w:rPr>
        <w:t xml:space="preserve">trainings </w:t>
      </w:r>
      <w:r w:rsidR="00FF5C2B" w:rsidRPr="005B3A96">
        <w:rPr>
          <w:sz w:val="20"/>
          <w:szCs w:val="20"/>
        </w:rPr>
        <w:t xml:space="preserve">to law enforcement officers, prosecutors and judges, the mandate holder points out that the international standards to eliminate and address gender-based violence </w:t>
      </w:r>
      <w:r w:rsidR="00656AE0" w:rsidRPr="005B3A96">
        <w:rPr>
          <w:sz w:val="20"/>
          <w:szCs w:val="20"/>
        </w:rPr>
        <w:t>especial</w:t>
      </w:r>
      <w:r w:rsidR="00AB365C" w:rsidRPr="005B3A96">
        <w:rPr>
          <w:sz w:val="20"/>
          <w:szCs w:val="20"/>
        </w:rPr>
        <w:t>ly</w:t>
      </w:r>
      <w:r w:rsidR="00656AE0" w:rsidRPr="005B3A96">
        <w:rPr>
          <w:sz w:val="20"/>
          <w:szCs w:val="20"/>
        </w:rPr>
        <w:t xml:space="preserve"> the </w:t>
      </w:r>
      <w:r w:rsidR="00AB365C" w:rsidRPr="005B3A96">
        <w:rPr>
          <w:sz w:val="20"/>
          <w:szCs w:val="20"/>
        </w:rPr>
        <w:t xml:space="preserve">CEDAW </w:t>
      </w:r>
      <w:r w:rsidR="00656AE0" w:rsidRPr="005B3A96">
        <w:rPr>
          <w:sz w:val="20"/>
          <w:szCs w:val="20"/>
        </w:rPr>
        <w:t>Convention</w:t>
      </w:r>
      <w:r w:rsidR="00AB365C" w:rsidRPr="005B3A96">
        <w:rPr>
          <w:sz w:val="20"/>
          <w:szCs w:val="20"/>
        </w:rPr>
        <w:t xml:space="preserve">, </w:t>
      </w:r>
      <w:r w:rsidR="00656AE0" w:rsidRPr="005B3A96">
        <w:rPr>
          <w:sz w:val="20"/>
          <w:szCs w:val="20"/>
        </w:rPr>
        <w:t xml:space="preserve">the Committee </w:t>
      </w:r>
      <w:r w:rsidR="00BC738D" w:rsidRPr="005B3A96">
        <w:rPr>
          <w:sz w:val="20"/>
          <w:szCs w:val="20"/>
        </w:rPr>
        <w:t xml:space="preserve">GR </w:t>
      </w:r>
      <w:r w:rsidR="00656AE0" w:rsidRPr="005B3A96">
        <w:rPr>
          <w:sz w:val="20"/>
          <w:szCs w:val="20"/>
        </w:rPr>
        <w:t xml:space="preserve">19 on violence against women </w:t>
      </w:r>
      <w:r w:rsidR="00BC1BAC" w:rsidRPr="005B3A96">
        <w:rPr>
          <w:sz w:val="20"/>
          <w:szCs w:val="20"/>
        </w:rPr>
        <w:t xml:space="preserve">and </w:t>
      </w:r>
      <w:r w:rsidR="00AB365C" w:rsidRPr="005B3A96">
        <w:rPr>
          <w:sz w:val="20"/>
          <w:szCs w:val="20"/>
        </w:rPr>
        <w:t xml:space="preserve">the </w:t>
      </w:r>
      <w:r w:rsidR="00BC1BAC" w:rsidRPr="005B3A96">
        <w:rPr>
          <w:sz w:val="20"/>
          <w:szCs w:val="20"/>
        </w:rPr>
        <w:t xml:space="preserve">Declaration on Elimination of Violence against women </w:t>
      </w:r>
      <w:r w:rsidR="00FF5C2B" w:rsidRPr="005B3A96">
        <w:rPr>
          <w:sz w:val="20"/>
          <w:szCs w:val="20"/>
        </w:rPr>
        <w:t xml:space="preserve">are not well-known by them and therefore </w:t>
      </w:r>
      <w:r w:rsidR="00BC1BAC" w:rsidRPr="005B3A96">
        <w:rPr>
          <w:sz w:val="20"/>
          <w:szCs w:val="20"/>
        </w:rPr>
        <w:t xml:space="preserve">not </w:t>
      </w:r>
      <w:r w:rsidR="00093430" w:rsidRPr="005B3A96">
        <w:rPr>
          <w:sz w:val="20"/>
          <w:szCs w:val="20"/>
        </w:rPr>
        <w:t>applied in cases of violence</w:t>
      </w:r>
      <w:r w:rsidR="00AB365C" w:rsidRPr="005B3A96">
        <w:rPr>
          <w:sz w:val="20"/>
          <w:szCs w:val="20"/>
        </w:rPr>
        <w:t>.</w:t>
      </w:r>
    </w:p>
    <w:p w:rsidR="00C52DA3" w:rsidRPr="005B3A96" w:rsidRDefault="00A82DC6" w:rsidP="00AB365C">
      <w:pPr>
        <w:pStyle w:val="SingleTxtG"/>
        <w:rPr>
          <w:sz w:val="20"/>
          <w:szCs w:val="20"/>
        </w:rPr>
      </w:pPr>
      <w:r w:rsidRPr="005B3A96">
        <w:rPr>
          <w:sz w:val="20"/>
          <w:szCs w:val="20"/>
        </w:rPr>
        <w:t>81</w:t>
      </w:r>
      <w:r w:rsidR="00FF5C2B" w:rsidRPr="005B3A96">
        <w:rPr>
          <w:sz w:val="20"/>
          <w:szCs w:val="20"/>
        </w:rPr>
        <w:t>.</w:t>
      </w:r>
      <w:r w:rsidR="00FF5C2B" w:rsidRPr="005B3A96">
        <w:rPr>
          <w:sz w:val="20"/>
          <w:szCs w:val="20"/>
        </w:rPr>
        <w:tab/>
      </w:r>
      <w:r w:rsidR="00C52DA3" w:rsidRPr="005B3A96">
        <w:rPr>
          <w:sz w:val="20"/>
          <w:szCs w:val="20"/>
        </w:rPr>
        <w:t xml:space="preserve">The mandate holder </w:t>
      </w:r>
      <w:r w:rsidR="00091FD0" w:rsidRPr="005B3A96">
        <w:rPr>
          <w:sz w:val="20"/>
          <w:szCs w:val="20"/>
        </w:rPr>
        <w:t>welcomes</w:t>
      </w:r>
      <w:r w:rsidR="00C52DA3" w:rsidRPr="005B3A96">
        <w:rPr>
          <w:sz w:val="20"/>
          <w:szCs w:val="20"/>
        </w:rPr>
        <w:t xml:space="preserve"> that three higher universities</w:t>
      </w:r>
      <w:r w:rsidR="00D87BF7" w:rsidRPr="005B3A96">
        <w:rPr>
          <w:sz w:val="20"/>
          <w:szCs w:val="20"/>
        </w:rPr>
        <w:t xml:space="preserve"> have introduced gender studies and </w:t>
      </w:r>
      <w:r w:rsidR="00C52DA3" w:rsidRPr="005B3A96">
        <w:rPr>
          <w:sz w:val="20"/>
          <w:szCs w:val="20"/>
        </w:rPr>
        <w:t xml:space="preserve">welcomed the information </w:t>
      </w:r>
      <w:r w:rsidR="00D87BF7" w:rsidRPr="005B3A96">
        <w:rPr>
          <w:sz w:val="20"/>
          <w:szCs w:val="20"/>
        </w:rPr>
        <w:t>shared by</w:t>
      </w:r>
      <w:r w:rsidR="00C52DA3" w:rsidRPr="005B3A96">
        <w:rPr>
          <w:sz w:val="20"/>
          <w:szCs w:val="20"/>
        </w:rPr>
        <w:t xml:space="preserve"> the Ministry of Education to include g</w:t>
      </w:r>
      <w:r w:rsidR="00D87BF7" w:rsidRPr="005B3A96">
        <w:rPr>
          <w:sz w:val="20"/>
          <w:szCs w:val="20"/>
        </w:rPr>
        <w:t>ender equality in the curricula</w:t>
      </w:r>
      <w:r w:rsidR="00091FD0" w:rsidRPr="005B3A96">
        <w:rPr>
          <w:sz w:val="20"/>
          <w:szCs w:val="20"/>
        </w:rPr>
        <w:t xml:space="preserve"> but</w:t>
      </w:r>
      <w:r w:rsidR="00D87BF7" w:rsidRPr="005B3A96">
        <w:rPr>
          <w:sz w:val="20"/>
          <w:szCs w:val="20"/>
        </w:rPr>
        <w:t xml:space="preserve"> </w:t>
      </w:r>
      <w:r w:rsidR="00C52DA3" w:rsidRPr="005B3A96">
        <w:rPr>
          <w:sz w:val="20"/>
          <w:szCs w:val="20"/>
        </w:rPr>
        <w:t xml:space="preserve">expressed concern that education on </w:t>
      </w:r>
      <w:r w:rsidR="00E447AE" w:rsidRPr="005B3A96">
        <w:rPr>
          <w:sz w:val="20"/>
          <w:szCs w:val="20"/>
        </w:rPr>
        <w:t>the CEDAW Convention</w:t>
      </w:r>
      <w:r w:rsidR="00AB365C" w:rsidRPr="005B3A96">
        <w:rPr>
          <w:sz w:val="20"/>
          <w:szCs w:val="20"/>
        </w:rPr>
        <w:t>,</w:t>
      </w:r>
      <w:r w:rsidR="00E447AE" w:rsidRPr="005B3A96">
        <w:rPr>
          <w:sz w:val="20"/>
          <w:szCs w:val="20"/>
        </w:rPr>
        <w:t xml:space="preserve"> </w:t>
      </w:r>
      <w:r w:rsidR="006D4D92" w:rsidRPr="005B3A96">
        <w:rPr>
          <w:sz w:val="20"/>
          <w:szCs w:val="20"/>
        </w:rPr>
        <w:t xml:space="preserve">the Committees general recommendations and </w:t>
      </w:r>
      <w:r w:rsidR="00E447AE" w:rsidRPr="005B3A96">
        <w:rPr>
          <w:sz w:val="20"/>
          <w:szCs w:val="20"/>
        </w:rPr>
        <w:t xml:space="preserve">jurisprudence under </w:t>
      </w:r>
      <w:r w:rsidR="00933827" w:rsidRPr="005B3A96">
        <w:rPr>
          <w:sz w:val="20"/>
          <w:szCs w:val="20"/>
        </w:rPr>
        <w:t>its Optional Protocol</w:t>
      </w:r>
      <w:r w:rsidR="00E447AE" w:rsidRPr="005B3A96">
        <w:rPr>
          <w:sz w:val="20"/>
          <w:szCs w:val="20"/>
        </w:rPr>
        <w:t xml:space="preserve"> on </w:t>
      </w:r>
      <w:r w:rsidR="00C52DA3" w:rsidRPr="005B3A96">
        <w:rPr>
          <w:sz w:val="20"/>
          <w:szCs w:val="20"/>
        </w:rPr>
        <w:t>gender-based violence, is not part of the schools curricula.</w:t>
      </w:r>
    </w:p>
    <w:p w:rsidR="00656AE0" w:rsidRPr="005B3A96" w:rsidRDefault="005B3A96" w:rsidP="005B3A96">
      <w:pPr>
        <w:pStyle w:val="H23G"/>
        <w:rPr>
          <w:sz w:val="20"/>
          <w:szCs w:val="20"/>
        </w:rPr>
      </w:pPr>
      <w:r>
        <w:rPr>
          <w:sz w:val="20"/>
          <w:szCs w:val="20"/>
        </w:rPr>
        <w:tab/>
        <w:t>3.</w:t>
      </w:r>
      <w:r>
        <w:rPr>
          <w:sz w:val="20"/>
          <w:szCs w:val="20"/>
        </w:rPr>
        <w:tab/>
      </w:r>
      <w:r w:rsidR="00AB365C" w:rsidRPr="005B3A96">
        <w:rPr>
          <w:sz w:val="20"/>
          <w:szCs w:val="20"/>
        </w:rPr>
        <w:t>Training of professionals</w:t>
      </w:r>
    </w:p>
    <w:p w:rsidR="00455882" w:rsidRPr="005B3A96" w:rsidRDefault="00A82DC6" w:rsidP="00CF0C15">
      <w:pPr>
        <w:pStyle w:val="SingleTxtG"/>
        <w:rPr>
          <w:sz w:val="20"/>
          <w:szCs w:val="20"/>
        </w:rPr>
      </w:pPr>
      <w:r w:rsidRPr="005B3A96">
        <w:rPr>
          <w:sz w:val="20"/>
          <w:szCs w:val="20"/>
        </w:rPr>
        <w:t>82</w:t>
      </w:r>
      <w:r w:rsidR="00656AE0" w:rsidRPr="005B3A96">
        <w:rPr>
          <w:sz w:val="20"/>
          <w:szCs w:val="20"/>
        </w:rPr>
        <w:t>.</w:t>
      </w:r>
      <w:r w:rsidR="00656AE0" w:rsidRPr="005B3A96">
        <w:rPr>
          <w:sz w:val="20"/>
          <w:szCs w:val="20"/>
        </w:rPr>
        <w:tab/>
        <w:t xml:space="preserve">According to the article 8 of the Law on Domestic </w:t>
      </w:r>
      <w:r w:rsidR="007E1C10" w:rsidRPr="005B3A96">
        <w:rPr>
          <w:sz w:val="20"/>
          <w:szCs w:val="20"/>
        </w:rPr>
        <w:t>Violence</w:t>
      </w:r>
      <w:r w:rsidR="00656AE0" w:rsidRPr="005B3A96">
        <w:rPr>
          <w:sz w:val="20"/>
          <w:szCs w:val="20"/>
        </w:rPr>
        <w:t xml:space="preserve">, social services should implement assistance and support measures for victims of domestic violence (para. b) and should monitor the execution of protective and restraining orders (para. e). </w:t>
      </w:r>
      <w:r w:rsidR="00CF0C15" w:rsidRPr="005B3A96">
        <w:rPr>
          <w:sz w:val="20"/>
          <w:szCs w:val="20"/>
        </w:rPr>
        <w:t>While noting the efforts of the Government, the Special Rapporteur notes that</w:t>
      </w:r>
      <w:r w:rsidR="00656AE0" w:rsidRPr="005B3A96">
        <w:rPr>
          <w:sz w:val="20"/>
          <w:szCs w:val="20"/>
        </w:rPr>
        <w:t xml:space="preserve"> the current 250 social workers in service, as informed by the Government, and the limited resources allocated to perform their job do not seem to be enough to ensure an efficient implementation of the law. </w:t>
      </w:r>
      <w:r w:rsidR="000907F9" w:rsidRPr="005B3A96">
        <w:rPr>
          <w:sz w:val="20"/>
          <w:szCs w:val="20"/>
        </w:rPr>
        <w:t>The Special Rapporteur</w:t>
      </w:r>
      <w:r w:rsidR="00656AE0" w:rsidRPr="005B3A96">
        <w:rPr>
          <w:sz w:val="20"/>
          <w:szCs w:val="20"/>
        </w:rPr>
        <w:t xml:space="preserve"> also highlights the important role of</w:t>
      </w:r>
      <w:r w:rsidR="000907F9" w:rsidRPr="005B3A96">
        <w:rPr>
          <w:sz w:val="20"/>
          <w:szCs w:val="20"/>
        </w:rPr>
        <w:t xml:space="preserve"> </w:t>
      </w:r>
      <w:r w:rsidR="00656AE0" w:rsidRPr="005B3A96">
        <w:rPr>
          <w:sz w:val="20"/>
          <w:szCs w:val="20"/>
        </w:rPr>
        <w:t>teachers, doctors and social workers in the detection of cases of violence and the importance for them to be adequately trained</w:t>
      </w:r>
      <w:r w:rsidR="00455882" w:rsidRPr="005B3A96">
        <w:rPr>
          <w:sz w:val="20"/>
          <w:szCs w:val="20"/>
        </w:rPr>
        <w:t>.</w:t>
      </w:r>
    </w:p>
    <w:p w:rsidR="00EB7AA3" w:rsidRPr="005B3A96" w:rsidRDefault="000907F9" w:rsidP="005B3A96">
      <w:pPr>
        <w:pStyle w:val="H1G"/>
      </w:pPr>
      <w:r w:rsidRPr="005B3A96">
        <w:lastRenderedPageBreak/>
        <w:tab/>
      </w:r>
      <w:r w:rsidR="00EB7AA3" w:rsidRPr="005B3A96">
        <w:t>B</w:t>
      </w:r>
      <w:r w:rsidR="00B272FD" w:rsidRPr="005B3A96">
        <w:t>.</w:t>
      </w:r>
      <w:r w:rsidR="00EB7AA3" w:rsidRPr="005B3A96">
        <w:tab/>
        <w:t>Pr</w:t>
      </w:r>
      <w:r w:rsidR="00FF5C2B" w:rsidRPr="005B3A96">
        <w:t>otection</w:t>
      </w:r>
    </w:p>
    <w:p w:rsidR="00624F9D" w:rsidRPr="005B3A96" w:rsidRDefault="00A82DC6" w:rsidP="000907F9">
      <w:pPr>
        <w:pStyle w:val="SingleTxtG"/>
        <w:rPr>
          <w:sz w:val="20"/>
          <w:szCs w:val="20"/>
        </w:rPr>
      </w:pPr>
      <w:r w:rsidRPr="005B3A96">
        <w:rPr>
          <w:sz w:val="20"/>
          <w:szCs w:val="20"/>
        </w:rPr>
        <w:t>83</w:t>
      </w:r>
      <w:r w:rsidR="00624F9D" w:rsidRPr="005B3A96">
        <w:rPr>
          <w:sz w:val="20"/>
          <w:szCs w:val="20"/>
        </w:rPr>
        <w:t>.</w:t>
      </w:r>
      <w:r w:rsidR="00624F9D" w:rsidRPr="005B3A96">
        <w:rPr>
          <w:sz w:val="20"/>
          <w:szCs w:val="20"/>
        </w:rPr>
        <w:tab/>
        <w:t xml:space="preserve">The Special Rapporteur was informed that </w:t>
      </w:r>
      <w:r w:rsidR="00661B19" w:rsidRPr="005B3A96">
        <w:rPr>
          <w:sz w:val="20"/>
          <w:szCs w:val="20"/>
        </w:rPr>
        <w:t>the G</w:t>
      </w:r>
      <w:r w:rsidR="00624F9D" w:rsidRPr="005B3A96">
        <w:rPr>
          <w:sz w:val="20"/>
          <w:szCs w:val="20"/>
        </w:rPr>
        <w:t xml:space="preserve">overnment </w:t>
      </w:r>
      <w:r w:rsidR="000907F9" w:rsidRPr="005B3A96">
        <w:rPr>
          <w:sz w:val="20"/>
          <w:szCs w:val="20"/>
        </w:rPr>
        <w:t>run</w:t>
      </w:r>
      <w:r w:rsidR="00624F9D" w:rsidRPr="005B3A96">
        <w:rPr>
          <w:sz w:val="20"/>
          <w:szCs w:val="20"/>
        </w:rPr>
        <w:t xml:space="preserve"> a free </w:t>
      </w:r>
      <w:r w:rsidR="00624F9D" w:rsidRPr="005B3A96">
        <w:rPr>
          <w:b/>
          <w:bCs/>
          <w:sz w:val="20"/>
          <w:szCs w:val="20"/>
        </w:rPr>
        <w:t>hotline</w:t>
      </w:r>
      <w:r w:rsidR="00624F9D" w:rsidRPr="005B3A96">
        <w:rPr>
          <w:sz w:val="20"/>
          <w:szCs w:val="20"/>
        </w:rPr>
        <w:t xml:space="preserve"> </w:t>
      </w:r>
      <w:r w:rsidR="00355A6D" w:rsidRPr="005B3A96">
        <w:rPr>
          <w:sz w:val="20"/>
          <w:szCs w:val="20"/>
        </w:rPr>
        <w:t>operated by lawyers</w:t>
      </w:r>
      <w:r w:rsidR="00624F9D" w:rsidRPr="005B3A96">
        <w:rPr>
          <w:sz w:val="20"/>
          <w:szCs w:val="20"/>
        </w:rPr>
        <w:t xml:space="preserve"> 24 hours a day 7 days a week for </w:t>
      </w:r>
      <w:r w:rsidR="002252F9" w:rsidRPr="005B3A96">
        <w:rPr>
          <w:sz w:val="20"/>
          <w:szCs w:val="20"/>
        </w:rPr>
        <w:t xml:space="preserve">women </w:t>
      </w:r>
      <w:r w:rsidR="00624F9D" w:rsidRPr="005B3A96">
        <w:rPr>
          <w:sz w:val="20"/>
          <w:szCs w:val="20"/>
        </w:rPr>
        <w:t>victims</w:t>
      </w:r>
      <w:r w:rsidR="002252F9" w:rsidRPr="005B3A96">
        <w:rPr>
          <w:sz w:val="20"/>
          <w:szCs w:val="20"/>
        </w:rPr>
        <w:t xml:space="preserve"> of violence</w:t>
      </w:r>
      <w:r w:rsidR="00624F9D" w:rsidRPr="005B3A96">
        <w:rPr>
          <w:sz w:val="20"/>
          <w:szCs w:val="20"/>
        </w:rPr>
        <w:t>.</w:t>
      </w:r>
      <w:r w:rsidR="00624F9D" w:rsidRPr="005B3A96">
        <w:rPr>
          <w:rStyle w:val="FootnoteReference"/>
          <w:sz w:val="20"/>
          <w:szCs w:val="20"/>
        </w:rPr>
        <w:footnoteReference w:id="80"/>
      </w:r>
      <w:r w:rsidR="00624F9D" w:rsidRPr="005B3A96">
        <w:rPr>
          <w:sz w:val="20"/>
          <w:szCs w:val="20"/>
        </w:rPr>
        <w:t xml:space="preserve"> The hotline provides the following services: crisis aid, legal advice, psychological aid, information and reference </w:t>
      </w:r>
      <w:r w:rsidR="00661B19" w:rsidRPr="005B3A96">
        <w:rPr>
          <w:sz w:val="20"/>
          <w:szCs w:val="20"/>
        </w:rPr>
        <w:t>to the shelter or crisis centre and</w:t>
      </w:r>
      <w:r w:rsidR="00624F9D" w:rsidRPr="005B3A96">
        <w:rPr>
          <w:sz w:val="20"/>
          <w:szCs w:val="20"/>
        </w:rPr>
        <w:t xml:space="preserve"> </w:t>
      </w:r>
      <w:r w:rsidR="00355A6D" w:rsidRPr="005B3A96">
        <w:rPr>
          <w:sz w:val="20"/>
          <w:szCs w:val="20"/>
        </w:rPr>
        <w:t>is</w:t>
      </w:r>
      <w:r w:rsidR="00624F9D" w:rsidRPr="005B3A96">
        <w:rPr>
          <w:sz w:val="20"/>
          <w:szCs w:val="20"/>
        </w:rPr>
        <w:t xml:space="preserve"> available in Georgian and Russian.</w:t>
      </w:r>
      <w:r w:rsidR="00661B19" w:rsidRPr="005B3A96">
        <w:rPr>
          <w:rStyle w:val="FootnoteReference"/>
          <w:sz w:val="20"/>
          <w:szCs w:val="20"/>
        </w:rPr>
        <w:footnoteReference w:id="81"/>
      </w:r>
      <w:r w:rsidR="000907F9" w:rsidRPr="005B3A96">
        <w:rPr>
          <w:sz w:val="20"/>
          <w:szCs w:val="20"/>
        </w:rPr>
        <w:t xml:space="preserve"> T</w:t>
      </w:r>
      <w:r w:rsidR="00624F9D" w:rsidRPr="005B3A96">
        <w:rPr>
          <w:sz w:val="20"/>
          <w:szCs w:val="20"/>
        </w:rPr>
        <w:t xml:space="preserve">he mandate holder </w:t>
      </w:r>
      <w:r w:rsidR="009278F2" w:rsidRPr="005B3A96">
        <w:rPr>
          <w:sz w:val="20"/>
          <w:szCs w:val="20"/>
        </w:rPr>
        <w:t xml:space="preserve">recognizes the State’s efforts but </w:t>
      </w:r>
      <w:r w:rsidR="00624F9D" w:rsidRPr="005B3A96">
        <w:rPr>
          <w:sz w:val="20"/>
          <w:szCs w:val="20"/>
        </w:rPr>
        <w:t xml:space="preserve">is concerned that such hotline is not </w:t>
      </w:r>
      <w:r w:rsidR="009278F2" w:rsidRPr="005B3A96">
        <w:rPr>
          <w:sz w:val="20"/>
          <w:szCs w:val="20"/>
        </w:rPr>
        <w:t xml:space="preserve">yet </w:t>
      </w:r>
      <w:r w:rsidR="00624F9D" w:rsidRPr="005B3A96">
        <w:rPr>
          <w:sz w:val="20"/>
          <w:szCs w:val="20"/>
        </w:rPr>
        <w:t>available in the languages spoken by</w:t>
      </w:r>
      <w:r w:rsidR="009278F2" w:rsidRPr="005B3A96">
        <w:rPr>
          <w:sz w:val="20"/>
          <w:szCs w:val="20"/>
        </w:rPr>
        <w:t xml:space="preserve"> all</w:t>
      </w:r>
      <w:r w:rsidR="00624F9D" w:rsidRPr="005B3A96">
        <w:rPr>
          <w:sz w:val="20"/>
          <w:szCs w:val="20"/>
        </w:rPr>
        <w:t xml:space="preserve"> the ethnic minorities</w:t>
      </w:r>
      <w:r w:rsidR="00EB3122" w:rsidRPr="005B3A96">
        <w:rPr>
          <w:sz w:val="20"/>
          <w:szCs w:val="20"/>
        </w:rPr>
        <w:t>, impeding them to report cases of</w:t>
      </w:r>
      <w:r w:rsidR="002252F9" w:rsidRPr="005B3A96">
        <w:rPr>
          <w:sz w:val="20"/>
          <w:szCs w:val="20"/>
        </w:rPr>
        <w:t xml:space="preserve"> violence and therefore to seek</w:t>
      </w:r>
      <w:r w:rsidR="00EB3122" w:rsidRPr="005B3A96">
        <w:rPr>
          <w:sz w:val="20"/>
          <w:szCs w:val="20"/>
        </w:rPr>
        <w:t xml:space="preserve"> adequate protection</w:t>
      </w:r>
      <w:r w:rsidR="00624F9D" w:rsidRPr="005B3A96">
        <w:rPr>
          <w:sz w:val="20"/>
          <w:szCs w:val="20"/>
        </w:rPr>
        <w:t>.</w:t>
      </w:r>
    </w:p>
    <w:p w:rsidR="006F3E70" w:rsidRPr="00F12479" w:rsidRDefault="00A82DC6" w:rsidP="00BC5264">
      <w:pPr>
        <w:pStyle w:val="SingleTxtG"/>
        <w:rPr>
          <w:sz w:val="20"/>
          <w:szCs w:val="20"/>
        </w:rPr>
      </w:pPr>
      <w:r w:rsidRPr="005B3A96">
        <w:rPr>
          <w:sz w:val="20"/>
          <w:szCs w:val="20"/>
        </w:rPr>
        <w:t>84</w:t>
      </w:r>
      <w:r w:rsidR="006F3E70" w:rsidRPr="005B3A96">
        <w:rPr>
          <w:sz w:val="20"/>
          <w:szCs w:val="20"/>
        </w:rPr>
        <w:t>.</w:t>
      </w:r>
      <w:r w:rsidR="006F3E70" w:rsidRPr="005B3A96">
        <w:rPr>
          <w:sz w:val="20"/>
          <w:szCs w:val="20"/>
        </w:rPr>
        <w:tab/>
        <w:t xml:space="preserve">A woman victim of violence – that has not/not yet received the </w:t>
      </w:r>
      <w:r w:rsidR="000F1394" w:rsidRPr="005B3A96">
        <w:rPr>
          <w:sz w:val="20"/>
          <w:szCs w:val="20"/>
        </w:rPr>
        <w:t>‘</w:t>
      </w:r>
      <w:r w:rsidR="006F3E70" w:rsidRPr="005B3A96">
        <w:rPr>
          <w:sz w:val="20"/>
          <w:szCs w:val="20"/>
        </w:rPr>
        <w:t>status of victim</w:t>
      </w:r>
      <w:r w:rsidR="000F1394" w:rsidRPr="005B3A96">
        <w:rPr>
          <w:sz w:val="20"/>
          <w:szCs w:val="20"/>
        </w:rPr>
        <w:t>’</w:t>
      </w:r>
      <w:r w:rsidR="006F3E70" w:rsidRPr="005B3A96">
        <w:rPr>
          <w:sz w:val="20"/>
          <w:szCs w:val="20"/>
        </w:rPr>
        <w:t xml:space="preserve"> – can receive support in </w:t>
      </w:r>
      <w:r w:rsidR="006F3E70" w:rsidRPr="005B3A96">
        <w:rPr>
          <w:b/>
          <w:bCs/>
          <w:sz w:val="20"/>
          <w:szCs w:val="20"/>
        </w:rPr>
        <w:t>crisis centres</w:t>
      </w:r>
      <w:r w:rsidR="006F3E70" w:rsidRPr="005B3A96">
        <w:rPr>
          <w:sz w:val="20"/>
          <w:szCs w:val="20"/>
        </w:rPr>
        <w:t>, which are run by NGOs. The mandate holder</w:t>
      </w:r>
      <w:r w:rsidR="006F3E70" w:rsidRPr="00F12479">
        <w:rPr>
          <w:sz w:val="20"/>
          <w:szCs w:val="20"/>
        </w:rPr>
        <w:t xml:space="preserve"> welcomes the announcement that the first State-run crisis centre</w:t>
      </w:r>
      <w:r w:rsidR="002252F9">
        <w:rPr>
          <w:sz w:val="20"/>
          <w:szCs w:val="20"/>
        </w:rPr>
        <w:t xml:space="preserve"> for women victims of violence</w:t>
      </w:r>
      <w:r w:rsidR="006F3E70" w:rsidRPr="00F12479">
        <w:rPr>
          <w:sz w:val="20"/>
          <w:szCs w:val="20"/>
        </w:rPr>
        <w:t xml:space="preserve"> will open in </w:t>
      </w:r>
      <w:r w:rsidR="00BC5264">
        <w:rPr>
          <w:sz w:val="20"/>
          <w:szCs w:val="20"/>
        </w:rPr>
        <w:t>September</w:t>
      </w:r>
      <w:r w:rsidR="00BC5264" w:rsidRPr="00F12479">
        <w:rPr>
          <w:sz w:val="20"/>
          <w:szCs w:val="20"/>
        </w:rPr>
        <w:t xml:space="preserve"> </w:t>
      </w:r>
      <w:r w:rsidR="006F3E70" w:rsidRPr="00F12479">
        <w:rPr>
          <w:sz w:val="20"/>
          <w:szCs w:val="20"/>
        </w:rPr>
        <w:t>2016.</w:t>
      </w:r>
    </w:p>
    <w:p w:rsidR="00B45921" w:rsidRPr="00F12479" w:rsidRDefault="00A82DC6" w:rsidP="004B3D79">
      <w:pPr>
        <w:pStyle w:val="SingleTxtG"/>
        <w:rPr>
          <w:sz w:val="20"/>
          <w:szCs w:val="20"/>
        </w:rPr>
      </w:pPr>
      <w:r>
        <w:rPr>
          <w:sz w:val="20"/>
          <w:szCs w:val="20"/>
        </w:rPr>
        <w:t>85</w:t>
      </w:r>
      <w:r w:rsidR="000F1394" w:rsidRPr="00F12479">
        <w:rPr>
          <w:sz w:val="20"/>
          <w:szCs w:val="20"/>
        </w:rPr>
        <w:t>.</w:t>
      </w:r>
      <w:r w:rsidR="000F1394" w:rsidRPr="00F12479">
        <w:rPr>
          <w:sz w:val="20"/>
          <w:szCs w:val="20"/>
        </w:rPr>
        <w:tab/>
        <w:t xml:space="preserve">At the time of the visit, there were three State-run </w:t>
      </w:r>
      <w:r w:rsidR="000F1394" w:rsidRPr="00F12479">
        <w:rPr>
          <w:b/>
          <w:bCs/>
          <w:sz w:val="20"/>
          <w:szCs w:val="20"/>
        </w:rPr>
        <w:t>shelters</w:t>
      </w:r>
      <w:r w:rsidR="000F1394" w:rsidRPr="00F12479">
        <w:rPr>
          <w:sz w:val="20"/>
          <w:szCs w:val="20"/>
        </w:rPr>
        <w:t xml:space="preserve"> in Georgia</w:t>
      </w:r>
      <w:r w:rsidR="00E120E8" w:rsidRPr="00F12479">
        <w:rPr>
          <w:sz w:val="20"/>
          <w:szCs w:val="20"/>
        </w:rPr>
        <w:t xml:space="preserve"> (Tbilisi, </w:t>
      </w:r>
      <w:r w:rsidR="004B3D79">
        <w:rPr>
          <w:sz w:val="20"/>
          <w:szCs w:val="20"/>
        </w:rPr>
        <w:t>Kutaisi</w:t>
      </w:r>
      <w:r w:rsidR="00E120E8" w:rsidRPr="00F12479">
        <w:rPr>
          <w:sz w:val="20"/>
          <w:szCs w:val="20"/>
        </w:rPr>
        <w:t>, Gori)</w:t>
      </w:r>
      <w:r w:rsidR="00760A35" w:rsidRPr="00F12479">
        <w:rPr>
          <w:sz w:val="20"/>
          <w:szCs w:val="20"/>
        </w:rPr>
        <w:t xml:space="preserve"> operated by the State Fund for the Protection and Assistance </w:t>
      </w:r>
      <w:r w:rsidR="007A6C20">
        <w:rPr>
          <w:sz w:val="20"/>
          <w:szCs w:val="20"/>
        </w:rPr>
        <w:t>of (Statutory)</w:t>
      </w:r>
      <w:r w:rsidR="00760A35" w:rsidRPr="00F12479">
        <w:rPr>
          <w:sz w:val="20"/>
          <w:szCs w:val="20"/>
        </w:rPr>
        <w:t xml:space="preserve"> Victims of Human Trafficking, </w:t>
      </w:r>
      <w:r w:rsidR="004B3D79">
        <w:rPr>
          <w:sz w:val="20"/>
          <w:szCs w:val="20"/>
        </w:rPr>
        <w:t>for</w:t>
      </w:r>
      <w:r w:rsidR="002B19EE">
        <w:rPr>
          <w:sz w:val="20"/>
          <w:szCs w:val="20"/>
        </w:rPr>
        <w:t xml:space="preserve"> </w:t>
      </w:r>
      <w:r w:rsidR="000F1394" w:rsidRPr="00F12479">
        <w:rPr>
          <w:sz w:val="20"/>
          <w:szCs w:val="20"/>
        </w:rPr>
        <w:t xml:space="preserve">victims of domestic violence, </w:t>
      </w:r>
      <w:r w:rsidR="002B19EE">
        <w:rPr>
          <w:sz w:val="20"/>
          <w:szCs w:val="20"/>
        </w:rPr>
        <w:t xml:space="preserve">who </w:t>
      </w:r>
      <w:r w:rsidR="000F1394" w:rsidRPr="00F12479">
        <w:rPr>
          <w:sz w:val="20"/>
          <w:szCs w:val="20"/>
        </w:rPr>
        <w:t xml:space="preserve">have received the ‘status of victim’. </w:t>
      </w:r>
      <w:r w:rsidR="00B45921" w:rsidRPr="00F12479">
        <w:rPr>
          <w:sz w:val="20"/>
          <w:szCs w:val="20"/>
        </w:rPr>
        <w:t>The mandate holder highlights that w</w:t>
      </w:r>
      <w:r w:rsidR="000F1394" w:rsidRPr="00F12479">
        <w:rPr>
          <w:sz w:val="20"/>
          <w:szCs w:val="20"/>
        </w:rPr>
        <w:t>omen living in rural areas and escaping from their perpetrators have to leave their villages and communities to live in shelters,</w:t>
      </w:r>
      <w:r w:rsidR="00B45921" w:rsidRPr="00F12479">
        <w:rPr>
          <w:sz w:val="20"/>
          <w:szCs w:val="20"/>
        </w:rPr>
        <w:t xml:space="preserve"> mainly located in urban areas.</w:t>
      </w:r>
    </w:p>
    <w:p w:rsidR="00B45921" w:rsidRPr="00F12479" w:rsidRDefault="00A82DC6" w:rsidP="00F350BE">
      <w:pPr>
        <w:pStyle w:val="SingleTxtG"/>
        <w:rPr>
          <w:sz w:val="20"/>
          <w:szCs w:val="20"/>
        </w:rPr>
      </w:pPr>
      <w:r>
        <w:rPr>
          <w:sz w:val="20"/>
          <w:szCs w:val="20"/>
        </w:rPr>
        <w:t>86</w:t>
      </w:r>
      <w:r w:rsidR="00B45921" w:rsidRPr="00F12479">
        <w:rPr>
          <w:sz w:val="20"/>
          <w:szCs w:val="20"/>
        </w:rPr>
        <w:t>.</w:t>
      </w:r>
      <w:r w:rsidR="00B45921" w:rsidRPr="00F12479">
        <w:rPr>
          <w:sz w:val="20"/>
          <w:szCs w:val="20"/>
        </w:rPr>
        <w:tab/>
        <w:t xml:space="preserve"> She welcomed the announcement that a fourth State-run shelter</w:t>
      </w:r>
      <w:r w:rsidR="005276ED">
        <w:rPr>
          <w:sz w:val="20"/>
          <w:szCs w:val="20"/>
        </w:rPr>
        <w:t xml:space="preserve"> for victims of domestic violence</w:t>
      </w:r>
      <w:r w:rsidR="00B45921" w:rsidRPr="00F12479">
        <w:rPr>
          <w:sz w:val="20"/>
          <w:szCs w:val="20"/>
        </w:rPr>
        <w:t xml:space="preserve"> in the Kakheti region </w:t>
      </w:r>
      <w:r w:rsidR="00F350BE" w:rsidRPr="00F12479">
        <w:rPr>
          <w:sz w:val="20"/>
          <w:szCs w:val="20"/>
        </w:rPr>
        <w:t>was</w:t>
      </w:r>
      <w:r w:rsidR="00B45921" w:rsidRPr="00F12479">
        <w:rPr>
          <w:sz w:val="20"/>
          <w:szCs w:val="20"/>
        </w:rPr>
        <w:t xml:space="preserve"> opened,</w:t>
      </w:r>
      <w:r w:rsidR="00E120E8" w:rsidRPr="00F12479">
        <w:rPr>
          <w:rStyle w:val="FootnoteReference"/>
          <w:sz w:val="20"/>
          <w:szCs w:val="20"/>
        </w:rPr>
        <w:footnoteReference w:id="82"/>
      </w:r>
      <w:r w:rsidR="00E120E8" w:rsidRPr="00F12479">
        <w:rPr>
          <w:sz w:val="20"/>
          <w:szCs w:val="20"/>
        </w:rPr>
        <w:t xml:space="preserve"> </w:t>
      </w:r>
      <w:r w:rsidR="00B45921" w:rsidRPr="00F12479">
        <w:rPr>
          <w:sz w:val="20"/>
          <w:szCs w:val="20"/>
        </w:rPr>
        <w:t xml:space="preserve">but stresses the estimation made by the Council of Europe taskforce that there is a need for over 437 </w:t>
      </w:r>
      <w:r w:rsidR="00656AE0" w:rsidRPr="00F12479">
        <w:rPr>
          <w:sz w:val="20"/>
          <w:szCs w:val="20"/>
        </w:rPr>
        <w:t>places</w:t>
      </w:r>
      <w:r w:rsidR="00B45921" w:rsidRPr="00F12479">
        <w:rPr>
          <w:sz w:val="20"/>
          <w:szCs w:val="20"/>
        </w:rPr>
        <w:t xml:space="preserve"> throughout the country</w:t>
      </w:r>
      <w:r w:rsidR="00B45921" w:rsidRPr="00F12479">
        <w:rPr>
          <w:rStyle w:val="FootnoteReference"/>
          <w:sz w:val="20"/>
          <w:szCs w:val="20"/>
        </w:rPr>
        <w:footnoteReference w:id="83"/>
      </w:r>
      <w:r w:rsidR="00B45921" w:rsidRPr="00F12479">
        <w:rPr>
          <w:sz w:val="20"/>
          <w:szCs w:val="20"/>
        </w:rPr>
        <w:t xml:space="preserve"> and emphasizes </w:t>
      </w:r>
      <w:r w:rsidR="003F0972" w:rsidRPr="00F12479">
        <w:rPr>
          <w:sz w:val="20"/>
          <w:szCs w:val="20"/>
        </w:rPr>
        <w:t>the particular need</w:t>
      </w:r>
      <w:r w:rsidR="00B45921" w:rsidRPr="00F12479">
        <w:rPr>
          <w:sz w:val="20"/>
          <w:szCs w:val="20"/>
        </w:rPr>
        <w:t xml:space="preserve"> in rural areas.</w:t>
      </w:r>
      <w:r w:rsidR="004B32CA" w:rsidRPr="00F12479">
        <w:rPr>
          <w:sz w:val="20"/>
          <w:szCs w:val="20"/>
        </w:rPr>
        <w:t xml:space="preserve"> She also recognizes the work done by civil society organizations, in the provision of protection services to women victims of violence and highlights the importance of the Government to cooperate and provide adequate </w:t>
      </w:r>
      <w:r w:rsidR="00656AE0" w:rsidRPr="00F12479">
        <w:rPr>
          <w:sz w:val="20"/>
          <w:szCs w:val="20"/>
        </w:rPr>
        <w:t xml:space="preserve">financial and other </w:t>
      </w:r>
      <w:r w:rsidR="004B32CA" w:rsidRPr="00F12479">
        <w:rPr>
          <w:sz w:val="20"/>
          <w:szCs w:val="20"/>
        </w:rPr>
        <w:t>support to them.</w:t>
      </w:r>
    </w:p>
    <w:p w:rsidR="000F1394" w:rsidRPr="00F12479" w:rsidRDefault="00A82DC6" w:rsidP="001F5779">
      <w:pPr>
        <w:pStyle w:val="SingleTxtG"/>
        <w:rPr>
          <w:sz w:val="20"/>
          <w:szCs w:val="20"/>
        </w:rPr>
      </w:pPr>
      <w:r w:rsidRPr="00857C96">
        <w:rPr>
          <w:sz w:val="20"/>
          <w:szCs w:val="20"/>
        </w:rPr>
        <w:t>87</w:t>
      </w:r>
      <w:r w:rsidR="00B45921" w:rsidRPr="00857C96">
        <w:rPr>
          <w:sz w:val="20"/>
          <w:szCs w:val="20"/>
        </w:rPr>
        <w:t>.</w:t>
      </w:r>
      <w:r w:rsidR="00B45921" w:rsidRPr="00857C96">
        <w:rPr>
          <w:sz w:val="20"/>
          <w:szCs w:val="20"/>
        </w:rPr>
        <w:tab/>
        <w:t xml:space="preserve">The mandate holder was informed that the duration of stay in a shelter is </w:t>
      </w:r>
      <w:r w:rsidR="003D7C2F" w:rsidRPr="00857C96">
        <w:rPr>
          <w:sz w:val="20"/>
          <w:szCs w:val="20"/>
        </w:rPr>
        <w:t xml:space="preserve">3 </w:t>
      </w:r>
      <w:r w:rsidR="00B45921" w:rsidRPr="00857C96">
        <w:rPr>
          <w:sz w:val="20"/>
          <w:szCs w:val="20"/>
        </w:rPr>
        <w:t xml:space="preserve">months </w:t>
      </w:r>
      <w:r w:rsidR="003D7C2F" w:rsidRPr="00857C96">
        <w:rPr>
          <w:sz w:val="20"/>
          <w:szCs w:val="20"/>
        </w:rPr>
        <w:t xml:space="preserve">with a possible extension </w:t>
      </w:r>
      <w:r w:rsidR="002100FC" w:rsidRPr="00857C96">
        <w:rPr>
          <w:sz w:val="20"/>
          <w:szCs w:val="20"/>
        </w:rPr>
        <w:t>after assessment of the condition of the beneficiary. Despite Government indications that the contract can be extended multiple times, it was reported to the Rapporteur that it was done</w:t>
      </w:r>
      <w:r w:rsidR="003D7C2F" w:rsidRPr="00857C96">
        <w:rPr>
          <w:sz w:val="20"/>
          <w:szCs w:val="20"/>
        </w:rPr>
        <w:t xml:space="preserve"> </w:t>
      </w:r>
      <w:r w:rsidR="001F5779" w:rsidRPr="00857C96">
        <w:rPr>
          <w:sz w:val="20"/>
          <w:szCs w:val="20"/>
        </w:rPr>
        <w:t xml:space="preserve">only in </w:t>
      </w:r>
      <w:r w:rsidR="00BC1BAC" w:rsidRPr="00857C96">
        <w:rPr>
          <w:sz w:val="20"/>
          <w:szCs w:val="20"/>
        </w:rPr>
        <w:t>rare</w:t>
      </w:r>
      <w:r w:rsidR="003D7C2F" w:rsidRPr="00857C96">
        <w:rPr>
          <w:sz w:val="20"/>
          <w:szCs w:val="20"/>
        </w:rPr>
        <w:t xml:space="preserve"> </w:t>
      </w:r>
      <w:r w:rsidR="001F5779" w:rsidRPr="00857C96">
        <w:rPr>
          <w:sz w:val="20"/>
          <w:szCs w:val="20"/>
        </w:rPr>
        <w:t>cases</w:t>
      </w:r>
      <w:r w:rsidR="003D7C2F" w:rsidRPr="00857C96">
        <w:rPr>
          <w:sz w:val="20"/>
          <w:szCs w:val="20"/>
        </w:rPr>
        <w:t>.</w:t>
      </w:r>
    </w:p>
    <w:p w:rsidR="00456C03" w:rsidRPr="00F12479" w:rsidRDefault="00A82DC6" w:rsidP="001C71BD">
      <w:pPr>
        <w:pStyle w:val="SingleTxtG"/>
        <w:rPr>
          <w:sz w:val="20"/>
          <w:szCs w:val="20"/>
        </w:rPr>
      </w:pPr>
      <w:r>
        <w:rPr>
          <w:sz w:val="20"/>
          <w:szCs w:val="20"/>
        </w:rPr>
        <w:t>88</w:t>
      </w:r>
      <w:r w:rsidR="00E120E8" w:rsidRPr="00F12479">
        <w:rPr>
          <w:sz w:val="20"/>
          <w:szCs w:val="20"/>
        </w:rPr>
        <w:t>.</w:t>
      </w:r>
      <w:r w:rsidR="00E120E8" w:rsidRPr="00F12479">
        <w:rPr>
          <w:sz w:val="20"/>
          <w:szCs w:val="20"/>
        </w:rPr>
        <w:tab/>
      </w:r>
      <w:r w:rsidR="001C71BD" w:rsidRPr="00F12479">
        <w:rPr>
          <w:sz w:val="20"/>
          <w:szCs w:val="20"/>
        </w:rPr>
        <w:t>She</w:t>
      </w:r>
      <w:r w:rsidR="00E120E8" w:rsidRPr="00F12479">
        <w:rPr>
          <w:sz w:val="20"/>
          <w:szCs w:val="20"/>
        </w:rPr>
        <w:t xml:space="preserve"> is concerned that so far, the ‘</w:t>
      </w:r>
      <w:r w:rsidR="00456C03" w:rsidRPr="00F12479">
        <w:rPr>
          <w:sz w:val="20"/>
          <w:szCs w:val="20"/>
        </w:rPr>
        <w:t>status</w:t>
      </w:r>
      <w:r w:rsidR="00E120E8" w:rsidRPr="00F12479">
        <w:rPr>
          <w:sz w:val="20"/>
          <w:szCs w:val="20"/>
        </w:rPr>
        <w:t xml:space="preserve"> of victim’ only recognizes victims of trafficking and victims of d</w:t>
      </w:r>
      <w:r w:rsidR="002F452B" w:rsidRPr="00F12479">
        <w:rPr>
          <w:sz w:val="20"/>
          <w:szCs w:val="20"/>
        </w:rPr>
        <w:t>omestic violence</w:t>
      </w:r>
      <w:r w:rsidR="00E120E8" w:rsidRPr="00F12479">
        <w:rPr>
          <w:sz w:val="20"/>
          <w:szCs w:val="20"/>
        </w:rPr>
        <w:t xml:space="preserve"> </w:t>
      </w:r>
      <w:r w:rsidR="003D7C2F" w:rsidRPr="00F12479">
        <w:rPr>
          <w:sz w:val="20"/>
          <w:szCs w:val="20"/>
        </w:rPr>
        <w:t>as recognised by the Law on D</w:t>
      </w:r>
      <w:r w:rsidR="002D721F">
        <w:rPr>
          <w:sz w:val="20"/>
          <w:szCs w:val="20"/>
        </w:rPr>
        <w:t xml:space="preserve">omestic </w:t>
      </w:r>
      <w:r w:rsidR="003D7C2F" w:rsidRPr="00F12479">
        <w:rPr>
          <w:sz w:val="20"/>
          <w:szCs w:val="20"/>
        </w:rPr>
        <w:t>V</w:t>
      </w:r>
      <w:r w:rsidR="002D721F">
        <w:rPr>
          <w:sz w:val="20"/>
          <w:szCs w:val="20"/>
        </w:rPr>
        <w:t>iolence</w:t>
      </w:r>
      <w:r w:rsidR="003D7C2F" w:rsidRPr="00F12479">
        <w:rPr>
          <w:sz w:val="20"/>
          <w:szCs w:val="20"/>
        </w:rPr>
        <w:t xml:space="preserve"> </w:t>
      </w:r>
      <w:r w:rsidR="00E120E8" w:rsidRPr="00F12479">
        <w:rPr>
          <w:sz w:val="20"/>
          <w:szCs w:val="20"/>
        </w:rPr>
        <w:t>and</w:t>
      </w:r>
      <w:r w:rsidR="002F452B" w:rsidRPr="00F12479">
        <w:rPr>
          <w:sz w:val="20"/>
          <w:szCs w:val="20"/>
        </w:rPr>
        <w:t xml:space="preserve"> that</w:t>
      </w:r>
      <w:r w:rsidR="00E120E8" w:rsidRPr="00F12479">
        <w:rPr>
          <w:sz w:val="20"/>
          <w:szCs w:val="20"/>
        </w:rPr>
        <w:t xml:space="preserve"> other </w:t>
      </w:r>
      <w:r w:rsidR="003D7C2F" w:rsidRPr="00F12479">
        <w:rPr>
          <w:sz w:val="20"/>
          <w:szCs w:val="20"/>
        </w:rPr>
        <w:t xml:space="preserve">women </w:t>
      </w:r>
      <w:r w:rsidR="00E120E8" w:rsidRPr="00F12479">
        <w:rPr>
          <w:sz w:val="20"/>
          <w:szCs w:val="20"/>
        </w:rPr>
        <w:t xml:space="preserve">victims of violence remain </w:t>
      </w:r>
      <w:r w:rsidR="003D7C2F" w:rsidRPr="00F12479">
        <w:rPr>
          <w:sz w:val="20"/>
          <w:szCs w:val="20"/>
        </w:rPr>
        <w:t xml:space="preserve">out of the </w:t>
      </w:r>
      <w:r w:rsidR="000907F9">
        <w:rPr>
          <w:sz w:val="20"/>
          <w:szCs w:val="20"/>
        </w:rPr>
        <w:t>scope of the law and protection</w:t>
      </w:r>
      <w:r w:rsidR="00456C03" w:rsidRPr="00F12479">
        <w:rPr>
          <w:sz w:val="20"/>
          <w:szCs w:val="20"/>
        </w:rPr>
        <w:t xml:space="preserve">, which does not allow them to seek refuge in one of the State-run shelters. </w:t>
      </w:r>
      <w:r w:rsidR="001C71BD" w:rsidRPr="00F12479">
        <w:rPr>
          <w:sz w:val="20"/>
          <w:szCs w:val="20"/>
        </w:rPr>
        <w:t>The</w:t>
      </w:r>
      <w:r w:rsidR="002F452B" w:rsidRPr="00F12479">
        <w:rPr>
          <w:sz w:val="20"/>
          <w:szCs w:val="20"/>
        </w:rPr>
        <w:t xml:space="preserve"> mandate holder w</w:t>
      </w:r>
      <w:r w:rsidR="00456C03" w:rsidRPr="00F12479">
        <w:rPr>
          <w:sz w:val="20"/>
          <w:szCs w:val="20"/>
        </w:rPr>
        <w:t>as informed that in some cases, the issuance of the status of victims takes time,</w:t>
      </w:r>
      <w:r w:rsidR="002B19EE">
        <w:rPr>
          <w:sz w:val="20"/>
          <w:szCs w:val="20"/>
        </w:rPr>
        <w:t xml:space="preserve"> thus leaving </w:t>
      </w:r>
      <w:r w:rsidR="00E163D1">
        <w:rPr>
          <w:sz w:val="20"/>
          <w:szCs w:val="20"/>
        </w:rPr>
        <w:t>the victim without</w:t>
      </w:r>
      <w:r w:rsidR="00456C03" w:rsidRPr="00F12479">
        <w:rPr>
          <w:sz w:val="20"/>
          <w:szCs w:val="20"/>
        </w:rPr>
        <w:t xml:space="preserve"> effective protection.</w:t>
      </w:r>
    </w:p>
    <w:p w:rsidR="003D7C2F" w:rsidRPr="00F12479" w:rsidRDefault="00A82DC6" w:rsidP="002D721F">
      <w:pPr>
        <w:pStyle w:val="SingleTxtG"/>
        <w:rPr>
          <w:sz w:val="20"/>
          <w:szCs w:val="20"/>
        </w:rPr>
      </w:pPr>
      <w:r>
        <w:rPr>
          <w:sz w:val="20"/>
          <w:szCs w:val="20"/>
        </w:rPr>
        <w:t>89</w:t>
      </w:r>
      <w:r w:rsidR="00B272FD">
        <w:rPr>
          <w:sz w:val="20"/>
          <w:szCs w:val="20"/>
        </w:rPr>
        <w:t>.</w:t>
      </w:r>
      <w:r w:rsidR="00B272FD">
        <w:rPr>
          <w:sz w:val="20"/>
          <w:szCs w:val="20"/>
        </w:rPr>
        <w:tab/>
      </w:r>
      <w:r w:rsidR="00C85F65" w:rsidRPr="00F12479">
        <w:rPr>
          <w:sz w:val="20"/>
          <w:szCs w:val="20"/>
        </w:rPr>
        <w:t xml:space="preserve">The mandate holder was informed </w:t>
      </w:r>
      <w:r w:rsidR="003D7C2F" w:rsidRPr="00F12479">
        <w:rPr>
          <w:sz w:val="20"/>
          <w:szCs w:val="20"/>
        </w:rPr>
        <w:t xml:space="preserve">that in numerous cases, the victims of domestic violence have to report cases of violence several times to the police before receiving a </w:t>
      </w:r>
      <w:r w:rsidR="002D721F">
        <w:rPr>
          <w:sz w:val="20"/>
          <w:szCs w:val="20"/>
        </w:rPr>
        <w:t>restraining</w:t>
      </w:r>
      <w:r w:rsidR="002D721F" w:rsidRPr="00F12479">
        <w:rPr>
          <w:sz w:val="20"/>
          <w:szCs w:val="20"/>
        </w:rPr>
        <w:t xml:space="preserve"> </w:t>
      </w:r>
      <w:r w:rsidR="003D7C2F" w:rsidRPr="00F12479">
        <w:rPr>
          <w:sz w:val="20"/>
          <w:szCs w:val="20"/>
        </w:rPr>
        <w:t>order.</w:t>
      </w:r>
      <w:r w:rsidR="003D7C2F" w:rsidRPr="00F12479">
        <w:rPr>
          <w:rStyle w:val="FootnoteReference"/>
          <w:sz w:val="20"/>
          <w:szCs w:val="20"/>
        </w:rPr>
        <w:footnoteReference w:id="84"/>
      </w:r>
      <w:r w:rsidR="003D7C2F" w:rsidRPr="00F12479">
        <w:rPr>
          <w:sz w:val="20"/>
          <w:szCs w:val="20"/>
        </w:rPr>
        <w:t xml:space="preserve"> For example, the mandate holder was informed that in 2013, the police </w:t>
      </w:r>
      <w:r w:rsidR="003D7C2F" w:rsidRPr="00F12479">
        <w:rPr>
          <w:sz w:val="20"/>
          <w:szCs w:val="20"/>
        </w:rPr>
        <w:lastRenderedPageBreak/>
        <w:t xml:space="preserve">was called in more than 5,447 cases of domestic ‘conflict’ but that only 212 </w:t>
      </w:r>
      <w:r w:rsidR="002D721F">
        <w:rPr>
          <w:sz w:val="20"/>
          <w:szCs w:val="20"/>
        </w:rPr>
        <w:t>restraining</w:t>
      </w:r>
      <w:r w:rsidR="002D721F" w:rsidRPr="00F12479">
        <w:rPr>
          <w:sz w:val="20"/>
          <w:szCs w:val="20"/>
        </w:rPr>
        <w:t xml:space="preserve"> </w:t>
      </w:r>
      <w:r w:rsidR="003D7C2F" w:rsidRPr="00F12479">
        <w:rPr>
          <w:sz w:val="20"/>
          <w:szCs w:val="20"/>
        </w:rPr>
        <w:t>orders were issued.</w:t>
      </w:r>
      <w:r w:rsidR="003D7C2F" w:rsidRPr="00F12479">
        <w:rPr>
          <w:rStyle w:val="FootnoteReference"/>
          <w:sz w:val="20"/>
          <w:szCs w:val="20"/>
        </w:rPr>
        <w:footnoteReference w:id="85"/>
      </w:r>
      <w:r w:rsidR="003D7C2F" w:rsidRPr="00F12479">
        <w:rPr>
          <w:sz w:val="20"/>
          <w:szCs w:val="20"/>
        </w:rPr>
        <w:t xml:space="preserve"> </w:t>
      </w:r>
      <w:r w:rsidR="002B19EE">
        <w:rPr>
          <w:rFonts w:asciiTheme="majorBidi" w:hAnsiTheme="majorBidi" w:cstheme="majorBidi"/>
          <w:color w:val="000000"/>
          <w:sz w:val="20"/>
          <w:szCs w:val="20"/>
        </w:rPr>
        <w:t>I</w:t>
      </w:r>
      <w:r w:rsidR="003D7C2F" w:rsidRPr="00F12479">
        <w:rPr>
          <w:rFonts w:asciiTheme="majorBidi" w:hAnsiTheme="majorBidi" w:cstheme="majorBidi"/>
          <w:color w:val="000000"/>
          <w:sz w:val="20"/>
          <w:szCs w:val="20"/>
        </w:rPr>
        <w:t xml:space="preserve">t was also reported that victims are not well informed by police officers, who sometimes do not explain the possibility to request a </w:t>
      </w:r>
      <w:r w:rsidR="002D721F">
        <w:rPr>
          <w:sz w:val="20"/>
          <w:szCs w:val="20"/>
        </w:rPr>
        <w:t>restraining</w:t>
      </w:r>
      <w:r w:rsidR="002D721F" w:rsidRPr="00F12479">
        <w:rPr>
          <w:sz w:val="20"/>
          <w:szCs w:val="20"/>
        </w:rPr>
        <w:t xml:space="preserve"> </w:t>
      </w:r>
      <w:r w:rsidR="003D7C2F" w:rsidRPr="00F12479">
        <w:rPr>
          <w:rFonts w:asciiTheme="majorBidi" w:hAnsiTheme="majorBidi" w:cstheme="majorBidi"/>
          <w:color w:val="000000"/>
          <w:sz w:val="20"/>
          <w:szCs w:val="20"/>
        </w:rPr>
        <w:t>order.</w:t>
      </w:r>
    </w:p>
    <w:p w:rsidR="0026771A" w:rsidRDefault="00A82DC6" w:rsidP="00CD0022">
      <w:pPr>
        <w:pStyle w:val="SingleTxtG"/>
        <w:rPr>
          <w:sz w:val="20"/>
          <w:szCs w:val="20"/>
        </w:rPr>
      </w:pPr>
      <w:r>
        <w:rPr>
          <w:sz w:val="20"/>
          <w:szCs w:val="20"/>
        </w:rPr>
        <w:t>90</w:t>
      </w:r>
      <w:r w:rsidR="00C85F65" w:rsidRPr="00F12479">
        <w:rPr>
          <w:sz w:val="20"/>
          <w:szCs w:val="20"/>
        </w:rPr>
        <w:t>.</w:t>
      </w:r>
      <w:r w:rsidR="00C85F65" w:rsidRPr="00F12479">
        <w:rPr>
          <w:sz w:val="20"/>
          <w:szCs w:val="20"/>
        </w:rPr>
        <w:tab/>
      </w:r>
      <w:r w:rsidR="00F1164D">
        <w:rPr>
          <w:sz w:val="20"/>
          <w:szCs w:val="20"/>
        </w:rPr>
        <w:t>The Special Rapporteur</w:t>
      </w:r>
      <w:r w:rsidR="003D7C2F" w:rsidRPr="00F12479">
        <w:rPr>
          <w:sz w:val="20"/>
          <w:szCs w:val="20"/>
        </w:rPr>
        <w:t xml:space="preserve"> welcomes the </w:t>
      </w:r>
      <w:r w:rsidR="00BC1BAC" w:rsidRPr="00F12479">
        <w:rPr>
          <w:sz w:val="20"/>
          <w:szCs w:val="20"/>
        </w:rPr>
        <w:t xml:space="preserve">data </w:t>
      </w:r>
      <w:r w:rsidR="00CD0022">
        <w:rPr>
          <w:sz w:val="20"/>
          <w:szCs w:val="20"/>
        </w:rPr>
        <w:t xml:space="preserve">shared by the Government </w:t>
      </w:r>
      <w:r w:rsidR="00BC1BAC" w:rsidRPr="00F12479">
        <w:rPr>
          <w:sz w:val="20"/>
          <w:szCs w:val="20"/>
        </w:rPr>
        <w:t>showing</w:t>
      </w:r>
      <w:r w:rsidR="003D7C2F" w:rsidRPr="00F12479">
        <w:rPr>
          <w:sz w:val="20"/>
          <w:szCs w:val="20"/>
        </w:rPr>
        <w:t xml:space="preserve"> </w:t>
      </w:r>
      <w:r w:rsidR="000907F9">
        <w:rPr>
          <w:sz w:val="20"/>
          <w:szCs w:val="20"/>
        </w:rPr>
        <w:t xml:space="preserve">the </w:t>
      </w:r>
      <w:r w:rsidR="003D7C2F" w:rsidRPr="00F12479">
        <w:rPr>
          <w:sz w:val="20"/>
          <w:szCs w:val="20"/>
        </w:rPr>
        <w:t xml:space="preserve">increasing number of </w:t>
      </w:r>
      <w:r w:rsidR="002D721F" w:rsidRPr="002D721F">
        <w:rPr>
          <w:b/>
          <w:bCs/>
          <w:sz w:val="20"/>
          <w:szCs w:val="20"/>
        </w:rPr>
        <w:t>restraining</w:t>
      </w:r>
      <w:r w:rsidR="002D721F" w:rsidRPr="00F12479">
        <w:rPr>
          <w:sz w:val="20"/>
          <w:szCs w:val="20"/>
        </w:rPr>
        <w:t xml:space="preserve"> </w:t>
      </w:r>
      <w:r w:rsidR="003D7C2F" w:rsidRPr="00F12479">
        <w:rPr>
          <w:b/>
          <w:bCs/>
          <w:sz w:val="20"/>
          <w:szCs w:val="20"/>
        </w:rPr>
        <w:t>orders</w:t>
      </w:r>
      <w:r w:rsidR="003D7C2F" w:rsidRPr="00F12479">
        <w:rPr>
          <w:sz w:val="20"/>
          <w:szCs w:val="20"/>
        </w:rPr>
        <w:t xml:space="preserve"> issu</w:t>
      </w:r>
      <w:r w:rsidR="00E13264" w:rsidRPr="00F12479">
        <w:rPr>
          <w:sz w:val="20"/>
          <w:szCs w:val="20"/>
        </w:rPr>
        <w:t>ed during the</w:t>
      </w:r>
      <w:r w:rsidR="003D7C2F" w:rsidRPr="00F12479">
        <w:rPr>
          <w:sz w:val="20"/>
          <w:szCs w:val="20"/>
        </w:rPr>
        <w:t xml:space="preserve"> last </w:t>
      </w:r>
      <w:r w:rsidR="00E13264" w:rsidRPr="00F12479">
        <w:rPr>
          <w:sz w:val="20"/>
          <w:szCs w:val="20"/>
        </w:rPr>
        <w:t xml:space="preserve">years, </w:t>
      </w:r>
      <w:r w:rsidR="00CD0022">
        <w:rPr>
          <w:sz w:val="20"/>
          <w:szCs w:val="20"/>
        </w:rPr>
        <w:t>945</w:t>
      </w:r>
      <w:r w:rsidR="00CD0022" w:rsidRPr="00F12479">
        <w:rPr>
          <w:b/>
          <w:bCs/>
          <w:sz w:val="20"/>
          <w:szCs w:val="20"/>
        </w:rPr>
        <w:t xml:space="preserve"> </w:t>
      </w:r>
      <w:r w:rsidR="002D721F" w:rsidRPr="002D721F">
        <w:rPr>
          <w:b/>
          <w:bCs/>
          <w:sz w:val="20"/>
          <w:szCs w:val="20"/>
        </w:rPr>
        <w:t>restraining</w:t>
      </w:r>
      <w:r w:rsidR="002D721F" w:rsidRPr="00F12479">
        <w:rPr>
          <w:sz w:val="20"/>
          <w:szCs w:val="20"/>
        </w:rPr>
        <w:t xml:space="preserve"> </w:t>
      </w:r>
      <w:r w:rsidR="00E13264" w:rsidRPr="00F12479">
        <w:rPr>
          <w:b/>
          <w:bCs/>
          <w:sz w:val="20"/>
          <w:szCs w:val="20"/>
        </w:rPr>
        <w:t>orders</w:t>
      </w:r>
      <w:r w:rsidR="00E13264" w:rsidRPr="00F12479">
        <w:rPr>
          <w:sz w:val="20"/>
          <w:szCs w:val="20"/>
        </w:rPr>
        <w:t xml:space="preserve"> in 2014 and </w:t>
      </w:r>
      <w:r w:rsidR="00CD0022">
        <w:rPr>
          <w:sz w:val="20"/>
          <w:szCs w:val="20"/>
        </w:rPr>
        <w:t>2607</w:t>
      </w:r>
      <w:r w:rsidR="00CD0022" w:rsidRPr="00F12479">
        <w:rPr>
          <w:sz w:val="20"/>
          <w:szCs w:val="20"/>
        </w:rPr>
        <w:t xml:space="preserve"> </w:t>
      </w:r>
      <w:r w:rsidR="00E13264" w:rsidRPr="00F12479">
        <w:rPr>
          <w:sz w:val="20"/>
          <w:szCs w:val="20"/>
        </w:rPr>
        <w:t>in 2015</w:t>
      </w:r>
      <w:r w:rsidR="003D7C2F" w:rsidRPr="00F12479">
        <w:rPr>
          <w:sz w:val="20"/>
          <w:szCs w:val="20"/>
        </w:rPr>
        <w:t xml:space="preserve"> but highlights that they are valid for maximum one month and remains concerned about the data on law issuance of </w:t>
      </w:r>
      <w:r w:rsidR="0039056B">
        <w:rPr>
          <w:b/>
          <w:bCs/>
          <w:sz w:val="20"/>
          <w:szCs w:val="20"/>
        </w:rPr>
        <w:t>protective</w:t>
      </w:r>
      <w:r w:rsidR="003D7C2F" w:rsidRPr="00F12479">
        <w:rPr>
          <w:b/>
          <w:bCs/>
          <w:sz w:val="20"/>
          <w:szCs w:val="20"/>
        </w:rPr>
        <w:t xml:space="preserve"> orders</w:t>
      </w:r>
      <w:r w:rsidR="00E13264" w:rsidRPr="00F12479">
        <w:rPr>
          <w:sz w:val="20"/>
          <w:szCs w:val="20"/>
        </w:rPr>
        <w:t xml:space="preserve"> (</w:t>
      </w:r>
      <w:r w:rsidR="00CD0022">
        <w:rPr>
          <w:sz w:val="20"/>
          <w:szCs w:val="20"/>
        </w:rPr>
        <w:t>92</w:t>
      </w:r>
      <w:r w:rsidR="00CD0022" w:rsidRPr="00F12479">
        <w:rPr>
          <w:sz w:val="20"/>
          <w:szCs w:val="20"/>
        </w:rPr>
        <w:t xml:space="preserve"> </w:t>
      </w:r>
      <w:r w:rsidR="00E13264" w:rsidRPr="00F12479">
        <w:rPr>
          <w:sz w:val="20"/>
          <w:szCs w:val="20"/>
        </w:rPr>
        <w:t>in 2014</w:t>
      </w:r>
      <w:r w:rsidR="00CD0022">
        <w:rPr>
          <w:sz w:val="20"/>
          <w:szCs w:val="20"/>
        </w:rPr>
        <w:t xml:space="preserve"> and 173 in 2015</w:t>
      </w:r>
      <w:r w:rsidR="00E13264" w:rsidRPr="00F12479">
        <w:rPr>
          <w:sz w:val="20"/>
          <w:szCs w:val="20"/>
        </w:rPr>
        <w:t>) which</w:t>
      </w:r>
      <w:r w:rsidR="003D7C2F" w:rsidRPr="00F12479">
        <w:rPr>
          <w:sz w:val="20"/>
          <w:szCs w:val="20"/>
        </w:rPr>
        <w:t xml:space="preserve"> allows </w:t>
      </w:r>
      <w:r w:rsidR="00E13264" w:rsidRPr="00F12479">
        <w:rPr>
          <w:sz w:val="20"/>
          <w:szCs w:val="20"/>
        </w:rPr>
        <w:t>a long term protection to victims valid</w:t>
      </w:r>
      <w:r w:rsidR="003D7C2F" w:rsidRPr="00F12479">
        <w:rPr>
          <w:sz w:val="20"/>
          <w:szCs w:val="20"/>
        </w:rPr>
        <w:t xml:space="preserve"> up to six months. This </w:t>
      </w:r>
      <w:r w:rsidR="00E13264" w:rsidRPr="00F12479">
        <w:rPr>
          <w:sz w:val="20"/>
          <w:szCs w:val="20"/>
        </w:rPr>
        <w:t xml:space="preserve">huge difference </w:t>
      </w:r>
      <w:r w:rsidR="003D7C2F" w:rsidRPr="00F12479">
        <w:rPr>
          <w:sz w:val="20"/>
          <w:szCs w:val="20"/>
        </w:rPr>
        <w:t xml:space="preserve">remains to be studied and </w:t>
      </w:r>
      <w:r w:rsidR="00E13264" w:rsidRPr="00F12479">
        <w:rPr>
          <w:sz w:val="20"/>
          <w:szCs w:val="20"/>
        </w:rPr>
        <w:t xml:space="preserve">properly </w:t>
      </w:r>
      <w:r w:rsidR="003D7C2F" w:rsidRPr="00F12479">
        <w:rPr>
          <w:sz w:val="20"/>
          <w:szCs w:val="20"/>
        </w:rPr>
        <w:t>addre</w:t>
      </w:r>
      <w:r w:rsidR="00E13264" w:rsidRPr="00F12479">
        <w:rPr>
          <w:sz w:val="20"/>
          <w:szCs w:val="20"/>
        </w:rPr>
        <w:t xml:space="preserve">ssed since underuse of </w:t>
      </w:r>
      <w:r w:rsidR="00DB4E05" w:rsidRPr="00F12479">
        <w:rPr>
          <w:sz w:val="20"/>
          <w:szCs w:val="20"/>
        </w:rPr>
        <w:t>longer-term</w:t>
      </w:r>
      <w:r w:rsidR="00E13264" w:rsidRPr="00F12479">
        <w:rPr>
          <w:sz w:val="20"/>
          <w:szCs w:val="20"/>
        </w:rPr>
        <w:t xml:space="preserve"> </w:t>
      </w:r>
      <w:r w:rsidR="0039056B">
        <w:rPr>
          <w:sz w:val="20"/>
          <w:szCs w:val="20"/>
        </w:rPr>
        <w:t>protective</w:t>
      </w:r>
      <w:r w:rsidR="000907F9">
        <w:rPr>
          <w:sz w:val="20"/>
          <w:szCs w:val="20"/>
        </w:rPr>
        <w:t xml:space="preserve"> orders indicates </w:t>
      </w:r>
      <w:r w:rsidR="00BC1BAC" w:rsidRPr="00F12479">
        <w:rPr>
          <w:sz w:val="20"/>
          <w:szCs w:val="20"/>
        </w:rPr>
        <w:t xml:space="preserve">of their effectives </w:t>
      </w:r>
      <w:r w:rsidR="000907F9" w:rsidRPr="00F12479">
        <w:rPr>
          <w:sz w:val="20"/>
          <w:szCs w:val="20"/>
        </w:rPr>
        <w:t>and linkages</w:t>
      </w:r>
      <w:r w:rsidR="00E13264" w:rsidRPr="00F12479">
        <w:rPr>
          <w:sz w:val="20"/>
          <w:szCs w:val="20"/>
        </w:rPr>
        <w:t xml:space="preserve"> between</w:t>
      </w:r>
      <w:r w:rsidR="003D7C2F" w:rsidRPr="00F12479">
        <w:rPr>
          <w:sz w:val="20"/>
          <w:szCs w:val="20"/>
        </w:rPr>
        <w:t xml:space="preserve"> </w:t>
      </w:r>
      <w:r w:rsidR="002D721F">
        <w:rPr>
          <w:sz w:val="20"/>
          <w:szCs w:val="20"/>
        </w:rPr>
        <w:t>restraining</w:t>
      </w:r>
      <w:r w:rsidR="002D721F" w:rsidRPr="00F12479">
        <w:rPr>
          <w:sz w:val="20"/>
          <w:szCs w:val="20"/>
        </w:rPr>
        <w:t xml:space="preserve"> </w:t>
      </w:r>
      <w:r w:rsidR="003D7C2F" w:rsidRPr="00F12479">
        <w:rPr>
          <w:sz w:val="20"/>
          <w:szCs w:val="20"/>
        </w:rPr>
        <w:t>and protective orders</w:t>
      </w:r>
      <w:r w:rsidR="002C1D8A">
        <w:rPr>
          <w:sz w:val="20"/>
          <w:szCs w:val="20"/>
        </w:rPr>
        <w:t xml:space="preserve"> (see footnote 56)</w:t>
      </w:r>
      <w:r w:rsidR="003D7C2F" w:rsidRPr="00F12479">
        <w:rPr>
          <w:sz w:val="20"/>
          <w:szCs w:val="20"/>
        </w:rPr>
        <w:t>.</w:t>
      </w:r>
    </w:p>
    <w:p w:rsidR="00B36CA7" w:rsidRPr="00F12479" w:rsidRDefault="00A82DC6" w:rsidP="0026771A">
      <w:pPr>
        <w:pStyle w:val="SingleTxtG"/>
        <w:rPr>
          <w:sz w:val="20"/>
          <w:szCs w:val="20"/>
        </w:rPr>
      </w:pPr>
      <w:r>
        <w:rPr>
          <w:sz w:val="20"/>
          <w:szCs w:val="20"/>
        </w:rPr>
        <w:t>91</w:t>
      </w:r>
      <w:r w:rsidR="00672BB0" w:rsidRPr="00F12479">
        <w:rPr>
          <w:sz w:val="20"/>
          <w:szCs w:val="20"/>
        </w:rPr>
        <w:t>.</w:t>
      </w:r>
      <w:r w:rsidR="00672BB0" w:rsidRPr="00F12479">
        <w:rPr>
          <w:sz w:val="20"/>
          <w:szCs w:val="20"/>
        </w:rPr>
        <w:tab/>
        <w:t xml:space="preserve">The Special </w:t>
      </w:r>
      <w:r w:rsidR="00B36CA7" w:rsidRPr="00F12479">
        <w:rPr>
          <w:sz w:val="20"/>
          <w:szCs w:val="20"/>
        </w:rPr>
        <w:t xml:space="preserve">Rapporteur </w:t>
      </w:r>
      <w:r w:rsidR="00915411" w:rsidRPr="00F12479">
        <w:rPr>
          <w:sz w:val="20"/>
          <w:szCs w:val="20"/>
        </w:rPr>
        <w:t xml:space="preserve">was informed that </w:t>
      </w:r>
      <w:r w:rsidR="00915411" w:rsidRPr="00F12479">
        <w:rPr>
          <w:b/>
          <w:bCs/>
          <w:sz w:val="20"/>
          <w:szCs w:val="20"/>
        </w:rPr>
        <w:t>police</w:t>
      </w:r>
      <w:r w:rsidR="00915411" w:rsidRPr="00F12479">
        <w:rPr>
          <w:sz w:val="20"/>
          <w:szCs w:val="20"/>
        </w:rPr>
        <w:t xml:space="preserve"> officers </w:t>
      </w:r>
      <w:r w:rsidR="007410E0">
        <w:rPr>
          <w:sz w:val="20"/>
          <w:szCs w:val="20"/>
        </w:rPr>
        <w:t>have benefitted from</w:t>
      </w:r>
      <w:r w:rsidR="00915411" w:rsidRPr="00F12479">
        <w:rPr>
          <w:sz w:val="20"/>
          <w:szCs w:val="20"/>
        </w:rPr>
        <w:t xml:space="preserve"> trainings and are now more proactive in the issuance of </w:t>
      </w:r>
      <w:r w:rsidR="002D721F">
        <w:rPr>
          <w:sz w:val="20"/>
          <w:szCs w:val="20"/>
        </w:rPr>
        <w:t>restraining</w:t>
      </w:r>
      <w:r w:rsidR="002D721F" w:rsidRPr="00F12479">
        <w:rPr>
          <w:sz w:val="20"/>
          <w:szCs w:val="20"/>
        </w:rPr>
        <w:t xml:space="preserve"> </w:t>
      </w:r>
      <w:r w:rsidR="00915411" w:rsidRPr="00F12479">
        <w:rPr>
          <w:sz w:val="20"/>
          <w:szCs w:val="20"/>
        </w:rPr>
        <w:t xml:space="preserve">orders. </w:t>
      </w:r>
      <w:r w:rsidR="00B36CA7" w:rsidRPr="00F12479">
        <w:rPr>
          <w:sz w:val="20"/>
          <w:szCs w:val="20"/>
        </w:rPr>
        <w:t>She also welcomes that m</w:t>
      </w:r>
      <w:r w:rsidR="00915411" w:rsidRPr="00F12479">
        <w:rPr>
          <w:sz w:val="20"/>
          <w:szCs w:val="20"/>
        </w:rPr>
        <w:t xml:space="preserve">ore women </w:t>
      </w:r>
      <w:r w:rsidR="00B36CA7" w:rsidRPr="00F12479">
        <w:rPr>
          <w:sz w:val="20"/>
          <w:szCs w:val="20"/>
        </w:rPr>
        <w:t xml:space="preserve">have joined the police, because they </w:t>
      </w:r>
      <w:r w:rsidR="00915411" w:rsidRPr="00F12479">
        <w:rPr>
          <w:sz w:val="20"/>
          <w:szCs w:val="20"/>
        </w:rPr>
        <w:t xml:space="preserve">can play an important role in </w:t>
      </w:r>
      <w:r w:rsidR="00B36CA7" w:rsidRPr="00F12479">
        <w:rPr>
          <w:sz w:val="20"/>
          <w:szCs w:val="20"/>
        </w:rPr>
        <w:t xml:space="preserve">the </w:t>
      </w:r>
      <w:r w:rsidR="00915411" w:rsidRPr="00F12479">
        <w:rPr>
          <w:sz w:val="20"/>
          <w:szCs w:val="20"/>
        </w:rPr>
        <w:t>detection and provision of information to victims</w:t>
      </w:r>
      <w:r w:rsidR="00B36CA7" w:rsidRPr="00F12479">
        <w:rPr>
          <w:sz w:val="20"/>
          <w:szCs w:val="20"/>
        </w:rPr>
        <w:t>. She also welcomes that, generally, patrols of police are composed of one man and one woman to assess cases of domestic violence.</w:t>
      </w:r>
      <w:r w:rsidR="00B36CA7" w:rsidRPr="00F12479">
        <w:rPr>
          <w:rStyle w:val="FootnoteReference"/>
          <w:sz w:val="20"/>
          <w:szCs w:val="20"/>
        </w:rPr>
        <w:footnoteReference w:id="86"/>
      </w:r>
    </w:p>
    <w:p w:rsidR="00B36CA7" w:rsidRPr="00F12479" w:rsidRDefault="00A82DC6" w:rsidP="000C1807">
      <w:pPr>
        <w:pStyle w:val="SingleTxtG"/>
        <w:rPr>
          <w:sz w:val="20"/>
          <w:szCs w:val="20"/>
        </w:rPr>
      </w:pPr>
      <w:r>
        <w:rPr>
          <w:sz w:val="20"/>
          <w:szCs w:val="20"/>
        </w:rPr>
        <w:t>92</w:t>
      </w:r>
      <w:r w:rsidR="00B36CA7" w:rsidRPr="00F12479">
        <w:rPr>
          <w:sz w:val="20"/>
          <w:szCs w:val="20"/>
        </w:rPr>
        <w:t>.</w:t>
      </w:r>
      <w:r w:rsidR="00B36CA7" w:rsidRPr="00F12479">
        <w:rPr>
          <w:sz w:val="20"/>
          <w:szCs w:val="20"/>
        </w:rPr>
        <w:tab/>
        <w:t xml:space="preserve"> Nevertheless, the mandate holder expressed serious concern about </w:t>
      </w:r>
      <w:r w:rsidR="00B36CA7" w:rsidRPr="00F12479">
        <w:rPr>
          <w:rFonts w:asciiTheme="majorBidi" w:hAnsiTheme="majorBidi" w:cstheme="majorBidi"/>
          <w:color w:val="000000"/>
          <w:sz w:val="20"/>
          <w:szCs w:val="20"/>
        </w:rPr>
        <w:t>the persistence of stereotypes among the police</w:t>
      </w:r>
      <w:r w:rsidR="00B36CA7" w:rsidRPr="00F12479">
        <w:rPr>
          <w:sz w:val="20"/>
          <w:szCs w:val="20"/>
        </w:rPr>
        <w:t xml:space="preserve"> and the fact that some police officers </w:t>
      </w:r>
      <w:r w:rsidR="00BC1BAC" w:rsidRPr="00F12479">
        <w:rPr>
          <w:sz w:val="20"/>
          <w:szCs w:val="20"/>
        </w:rPr>
        <w:t xml:space="preserve">in rural areas </w:t>
      </w:r>
      <w:r w:rsidR="00B36CA7" w:rsidRPr="00F12479">
        <w:rPr>
          <w:sz w:val="20"/>
          <w:szCs w:val="20"/>
        </w:rPr>
        <w:t>still issue</w:t>
      </w:r>
      <w:r w:rsidR="00915411" w:rsidRPr="00F12479">
        <w:rPr>
          <w:rFonts w:asciiTheme="majorBidi" w:hAnsiTheme="majorBidi" w:cstheme="majorBidi"/>
          <w:color w:val="000000"/>
          <w:sz w:val="20"/>
          <w:szCs w:val="20"/>
        </w:rPr>
        <w:t xml:space="preserve"> ‘warning letters’, devoid of any legal value, through which perpetrators commit not to exercise violence against their partner</w:t>
      </w:r>
      <w:r w:rsidR="00B36CA7" w:rsidRPr="00F12479">
        <w:rPr>
          <w:rFonts w:asciiTheme="majorBidi" w:hAnsiTheme="majorBidi" w:cstheme="majorBidi"/>
          <w:color w:val="000000"/>
          <w:sz w:val="20"/>
          <w:szCs w:val="20"/>
        </w:rPr>
        <w:t>, highlighting that such letters do</w:t>
      </w:r>
      <w:r w:rsidR="00B36CA7" w:rsidRPr="00F12479">
        <w:rPr>
          <w:sz w:val="20"/>
          <w:szCs w:val="20"/>
        </w:rPr>
        <w:t xml:space="preserve"> not ensure victims’ protection, and cannot hold a person responsible for past acts of violence committed.</w:t>
      </w:r>
      <w:r w:rsidR="00B36CA7" w:rsidRPr="00F12479">
        <w:rPr>
          <w:rStyle w:val="FootnoteReference"/>
          <w:sz w:val="20"/>
          <w:szCs w:val="20"/>
        </w:rPr>
        <w:footnoteReference w:id="87"/>
      </w:r>
    </w:p>
    <w:p w:rsidR="001F0DBE" w:rsidRPr="00F12479" w:rsidRDefault="00A82DC6" w:rsidP="002D721F">
      <w:pPr>
        <w:pStyle w:val="SingleTxtG"/>
        <w:rPr>
          <w:rFonts w:asciiTheme="majorBidi" w:hAnsiTheme="majorBidi" w:cstheme="majorBidi"/>
          <w:color w:val="000000"/>
          <w:sz w:val="20"/>
          <w:szCs w:val="20"/>
        </w:rPr>
      </w:pPr>
      <w:r>
        <w:rPr>
          <w:sz w:val="20"/>
          <w:szCs w:val="20"/>
        </w:rPr>
        <w:t>93</w:t>
      </w:r>
      <w:r w:rsidR="008A7DAA" w:rsidRPr="00F12479">
        <w:rPr>
          <w:sz w:val="20"/>
          <w:szCs w:val="20"/>
        </w:rPr>
        <w:t>.</w:t>
      </w:r>
      <w:r w:rsidR="008A7DAA" w:rsidRPr="00F12479">
        <w:rPr>
          <w:sz w:val="20"/>
          <w:szCs w:val="20"/>
        </w:rPr>
        <w:tab/>
        <w:t xml:space="preserve">The Special Rapporteur is also concerned that some cases of violence are still reported by the police as ‘family conflict’ and they do </w:t>
      </w:r>
      <w:r w:rsidR="00355A6D" w:rsidRPr="00F12479">
        <w:rPr>
          <w:sz w:val="20"/>
          <w:szCs w:val="20"/>
        </w:rPr>
        <w:t>not</w:t>
      </w:r>
      <w:r w:rsidR="000907F9">
        <w:rPr>
          <w:sz w:val="20"/>
          <w:szCs w:val="20"/>
        </w:rPr>
        <w:t xml:space="preserve"> apply</w:t>
      </w:r>
      <w:r w:rsidR="008A7DAA" w:rsidRPr="00F12479">
        <w:rPr>
          <w:sz w:val="20"/>
          <w:szCs w:val="20"/>
        </w:rPr>
        <w:t xml:space="preserve"> </w:t>
      </w:r>
      <w:r w:rsidR="00DB4E05" w:rsidRPr="00F12479">
        <w:rPr>
          <w:sz w:val="20"/>
          <w:szCs w:val="20"/>
        </w:rPr>
        <w:t xml:space="preserve">an assessment of the lethality risk. </w:t>
      </w:r>
      <w:r w:rsidR="00782C6E" w:rsidRPr="00F12479">
        <w:rPr>
          <w:sz w:val="20"/>
          <w:szCs w:val="20"/>
        </w:rPr>
        <w:t>She was</w:t>
      </w:r>
      <w:r w:rsidR="008A7DAA" w:rsidRPr="00F12479">
        <w:rPr>
          <w:sz w:val="20"/>
          <w:szCs w:val="20"/>
        </w:rPr>
        <w:t xml:space="preserve"> informed that in numerous cases the police do not provide adequate help </w:t>
      </w:r>
      <w:r w:rsidR="00DB4E05" w:rsidRPr="00F12479">
        <w:rPr>
          <w:sz w:val="20"/>
          <w:szCs w:val="20"/>
        </w:rPr>
        <w:t xml:space="preserve">and information on shelters or </w:t>
      </w:r>
      <w:r w:rsidR="002D721F">
        <w:rPr>
          <w:sz w:val="20"/>
          <w:szCs w:val="20"/>
        </w:rPr>
        <w:t>restraining</w:t>
      </w:r>
      <w:r w:rsidR="002D721F" w:rsidRPr="00F12479">
        <w:rPr>
          <w:sz w:val="20"/>
          <w:szCs w:val="20"/>
        </w:rPr>
        <w:t xml:space="preserve"> </w:t>
      </w:r>
      <w:r w:rsidR="00DB4E05" w:rsidRPr="00F12479">
        <w:rPr>
          <w:sz w:val="20"/>
          <w:szCs w:val="20"/>
        </w:rPr>
        <w:t xml:space="preserve">orders </w:t>
      </w:r>
      <w:r w:rsidR="008A7DAA" w:rsidRPr="00F12479">
        <w:rPr>
          <w:sz w:val="20"/>
          <w:szCs w:val="20"/>
        </w:rPr>
        <w:t xml:space="preserve">to the victims of domestic violence and that </w:t>
      </w:r>
      <w:r w:rsidR="00FF0018">
        <w:rPr>
          <w:sz w:val="20"/>
          <w:szCs w:val="20"/>
        </w:rPr>
        <w:t xml:space="preserve">in numerous cases, </w:t>
      </w:r>
      <w:r w:rsidR="00A56850" w:rsidRPr="00F12479">
        <w:rPr>
          <w:sz w:val="20"/>
          <w:szCs w:val="20"/>
        </w:rPr>
        <w:t xml:space="preserve">the </w:t>
      </w:r>
      <w:r w:rsidR="008A7DAA" w:rsidRPr="00F12479">
        <w:rPr>
          <w:sz w:val="20"/>
          <w:szCs w:val="20"/>
        </w:rPr>
        <w:t xml:space="preserve">investigations </w:t>
      </w:r>
      <w:r w:rsidR="00A56850" w:rsidRPr="00F12479">
        <w:rPr>
          <w:sz w:val="20"/>
          <w:szCs w:val="20"/>
        </w:rPr>
        <w:t xml:space="preserve">are </w:t>
      </w:r>
      <w:r w:rsidR="007410E0">
        <w:rPr>
          <w:sz w:val="20"/>
          <w:szCs w:val="20"/>
        </w:rPr>
        <w:t>halted</w:t>
      </w:r>
      <w:r w:rsidR="007410E0" w:rsidRPr="00F12479">
        <w:rPr>
          <w:sz w:val="20"/>
          <w:szCs w:val="20"/>
        </w:rPr>
        <w:t xml:space="preserve"> </w:t>
      </w:r>
      <w:r w:rsidR="008A7DAA" w:rsidRPr="00F12479">
        <w:rPr>
          <w:sz w:val="20"/>
          <w:szCs w:val="20"/>
        </w:rPr>
        <w:t xml:space="preserve">when </w:t>
      </w:r>
      <w:r w:rsidR="00A56850" w:rsidRPr="00F12479">
        <w:rPr>
          <w:sz w:val="20"/>
          <w:szCs w:val="20"/>
        </w:rPr>
        <w:t>a</w:t>
      </w:r>
      <w:r w:rsidR="008A7DAA" w:rsidRPr="00F12479">
        <w:rPr>
          <w:sz w:val="20"/>
          <w:szCs w:val="20"/>
        </w:rPr>
        <w:t xml:space="preserve"> victim wit</w:t>
      </w:r>
      <w:r w:rsidR="00A56850" w:rsidRPr="00F12479">
        <w:rPr>
          <w:sz w:val="20"/>
          <w:szCs w:val="20"/>
        </w:rPr>
        <w:t>hdraws her statement</w:t>
      </w:r>
      <w:r w:rsidR="008A7DAA" w:rsidRPr="00F12479">
        <w:rPr>
          <w:sz w:val="20"/>
          <w:szCs w:val="20"/>
        </w:rPr>
        <w:t>.</w:t>
      </w:r>
      <w:r w:rsidR="008A7DAA" w:rsidRPr="00F12479">
        <w:rPr>
          <w:rStyle w:val="FootnoteReference"/>
          <w:sz w:val="20"/>
          <w:szCs w:val="20"/>
        </w:rPr>
        <w:footnoteReference w:id="88"/>
      </w:r>
      <w:r w:rsidR="008A7DAA" w:rsidRPr="00F12479">
        <w:rPr>
          <w:sz w:val="20"/>
          <w:szCs w:val="20"/>
        </w:rPr>
        <w:t xml:space="preserve"> </w:t>
      </w:r>
      <w:r w:rsidR="007410E0">
        <w:rPr>
          <w:sz w:val="20"/>
          <w:szCs w:val="20"/>
        </w:rPr>
        <w:t>T</w:t>
      </w:r>
      <w:r w:rsidR="008A7DAA" w:rsidRPr="00F12479">
        <w:rPr>
          <w:sz w:val="20"/>
          <w:szCs w:val="20"/>
        </w:rPr>
        <w:t xml:space="preserve">he quality of documentations of cases of domestic violence by the police is </w:t>
      </w:r>
      <w:r w:rsidR="007410E0">
        <w:rPr>
          <w:sz w:val="20"/>
          <w:szCs w:val="20"/>
        </w:rPr>
        <w:t xml:space="preserve">reportedly </w:t>
      </w:r>
      <w:r w:rsidR="008A7DAA" w:rsidRPr="00F12479">
        <w:rPr>
          <w:sz w:val="20"/>
          <w:szCs w:val="20"/>
        </w:rPr>
        <w:t xml:space="preserve">not adequate, and there are weaknesses in the collection of evidence and drafting </w:t>
      </w:r>
      <w:r w:rsidR="00E163D1">
        <w:rPr>
          <w:sz w:val="20"/>
          <w:szCs w:val="20"/>
        </w:rPr>
        <w:t>o</w:t>
      </w:r>
      <w:r w:rsidR="007410E0">
        <w:rPr>
          <w:sz w:val="20"/>
          <w:szCs w:val="20"/>
        </w:rPr>
        <w:t xml:space="preserve">f </w:t>
      </w:r>
      <w:r w:rsidR="008A7DAA" w:rsidRPr="00F12479">
        <w:rPr>
          <w:sz w:val="20"/>
          <w:szCs w:val="20"/>
        </w:rPr>
        <w:t>the police reports, which can hinder the prosecution of perpetrator</w:t>
      </w:r>
      <w:r w:rsidR="007410E0">
        <w:rPr>
          <w:sz w:val="20"/>
          <w:szCs w:val="20"/>
        </w:rPr>
        <w:t>s</w:t>
      </w:r>
      <w:r w:rsidR="008A7DAA" w:rsidRPr="00F12479">
        <w:rPr>
          <w:sz w:val="20"/>
          <w:szCs w:val="20"/>
        </w:rPr>
        <w:t xml:space="preserve"> of violence.</w:t>
      </w:r>
      <w:r w:rsidR="008A7DAA" w:rsidRPr="00F12479">
        <w:rPr>
          <w:rStyle w:val="FootnoteReference"/>
          <w:sz w:val="20"/>
          <w:szCs w:val="20"/>
        </w:rPr>
        <w:footnoteReference w:id="89"/>
      </w:r>
      <w:r w:rsidR="00782C6E" w:rsidRPr="00F12479">
        <w:rPr>
          <w:sz w:val="20"/>
          <w:szCs w:val="20"/>
        </w:rPr>
        <w:t xml:space="preserve"> The mandate holder was</w:t>
      </w:r>
      <w:r w:rsidR="00331C1D" w:rsidRPr="00F12479">
        <w:rPr>
          <w:sz w:val="20"/>
          <w:szCs w:val="20"/>
        </w:rPr>
        <w:t xml:space="preserve"> informed that d</w:t>
      </w:r>
      <w:r w:rsidR="001F0DBE" w:rsidRPr="00F12479">
        <w:rPr>
          <w:rFonts w:asciiTheme="majorBidi" w:hAnsiTheme="majorBidi" w:cstheme="majorBidi"/>
          <w:color w:val="000000"/>
          <w:sz w:val="20"/>
          <w:szCs w:val="20"/>
        </w:rPr>
        <w:t xml:space="preserve">espite the new obligation </w:t>
      </w:r>
      <w:r w:rsidR="007410E0">
        <w:rPr>
          <w:rFonts w:asciiTheme="majorBidi" w:hAnsiTheme="majorBidi" w:cstheme="majorBidi"/>
          <w:color w:val="000000"/>
          <w:sz w:val="20"/>
          <w:szCs w:val="20"/>
        </w:rPr>
        <w:t>for</w:t>
      </w:r>
      <w:r w:rsidR="001F0DBE" w:rsidRPr="00F12479">
        <w:rPr>
          <w:rFonts w:asciiTheme="majorBidi" w:hAnsiTheme="majorBidi" w:cstheme="majorBidi"/>
          <w:color w:val="000000"/>
          <w:sz w:val="20"/>
          <w:szCs w:val="20"/>
        </w:rPr>
        <w:t xml:space="preserve"> the police to immediately notify the victim of domestic violence </w:t>
      </w:r>
      <w:r w:rsidR="0000534F" w:rsidRPr="00F12479">
        <w:rPr>
          <w:rFonts w:asciiTheme="majorBidi" w:hAnsiTheme="majorBidi" w:cstheme="majorBidi"/>
          <w:color w:val="000000"/>
          <w:sz w:val="20"/>
          <w:szCs w:val="20"/>
        </w:rPr>
        <w:t>when</w:t>
      </w:r>
      <w:r w:rsidR="001F0DBE" w:rsidRPr="00F12479">
        <w:rPr>
          <w:rFonts w:asciiTheme="majorBidi" w:hAnsiTheme="majorBidi" w:cstheme="majorBidi"/>
          <w:color w:val="000000"/>
          <w:sz w:val="20"/>
          <w:szCs w:val="20"/>
        </w:rPr>
        <w:t xml:space="preserve"> the </w:t>
      </w:r>
      <w:r w:rsidR="007410E0">
        <w:rPr>
          <w:rFonts w:asciiTheme="majorBidi" w:hAnsiTheme="majorBidi" w:cstheme="majorBidi"/>
          <w:color w:val="000000"/>
          <w:sz w:val="20"/>
          <w:szCs w:val="20"/>
        </w:rPr>
        <w:t xml:space="preserve">convicted </w:t>
      </w:r>
      <w:r w:rsidR="001F0DBE" w:rsidRPr="00F12479">
        <w:rPr>
          <w:rFonts w:asciiTheme="majorBidi" w:hAnsiTheme="majorBidi" w:cstheme="majorBidi"/>
          <w:color w:val="000000"/>
          <w:sz w:val="20"/>
          <w:szCs w:val="20"/>
        </w:rPr>
        <w:t xml:space="preserve">perpetrator </w:t>
      </w:r>
      <w:r w:rsidR="0000534F" w:rsidRPr="00F12479">
        <w:rPr>
          <w:rFonts w:asciiTheme="majorBidi" w:hAnsiTheme="majorBidi" w:cstheme="majorBidi"/>
          <w:color w:val="000000"/>
          <w:sz w:val="20"/>
          <w:szCs w:val="20"/>
        </w:rPr>
        <w:t>leaves the</w:t>
      </w:r>
      <w:r w:rsidR="001F0DBE" w:rsidRPr="00F12479">
        <w:rPr>
          <w:rFonts w:asciiTheme="majorBidi" w:hAnsiTheme="majorBidi" w:cstheme="majorBidi"/>
          <w:color w:val="000000"/>
          <w:sz w:val="20"/>
          <w:szCs w:val="20"/>
        </w:rPr>
        <w:t xml:space="preserve"> prison</w:t>
      </w:r>
      <w:r w:rsidR="0000534F" w:rsidRPr="00F12479">
        <w:rPr>
          <w:rFonts w:asciiTheme="majorBidi" w:hAnsiTheme="majorBidi" w:cstheme="majorBidi"/>
          <w:color w:val="000000"/>
          <w:sz w:val="20"/>
          <w:szCs w:val="20"/>
        </w:rPr>
        <w:t>,</w:t>
      </w:r>
      <w:r w:rsidR="00331C1D" w:rsidRPr="00F12479">
        <w:rPr>
          <w:rFonts w:asciiTheme="majorBidi" w:hAnsiTheme="majorBidi" w:cstheme="majorBidi"/>
          <w:color w:val="000000"/>
          <w:sz w:val="20"/>
          <w:szCs w:val="20"/>
        </w:rPr>
        <w:t xml:space="preserve"> </w:t>
      </w:r>
      <w:r w:rsidR="0000534F" w:rsidRPr="00F12479">
        <w:rPr>
          <w:rFonts w:asciiTheme="majorBidi" w:hAnsiTheme="majorBidi" w:cstheme="majorBidi"/>
          <w:color w:val="000000"/>
          <w:sz w:val="20"/>
          <w:szCs w:val="20"/>
        </w:rPr>
        <w:t>the implementation of this new obligation was poor.</w:t>
      </w:r>
      <w:r w:rsidR="00331C1D" w:rsidRPr="00F12479">
        <w:rPr>
          <w:rStyle w:val="FootnoteReference"/>
          <w:rFonts w:cstheme="majorBidi"/>
          <w:color w:val="000000"/>
          <w:sz w:val="20"/>
          <w:szCs w:val="20"/>
        </w:rPr>
        <w:t xml:space="preserve"> </w:t>
      </w:r>
      <w:r w:rsidR="00331C1D" w:rsidRPr="00F12479">
        <w:rPr>
          <w:rStyle w:val="FootnoteReference"/>
          <w:rFonts w:cstheme="majorBidi"/>
          <w:color w:val="000000"/>
          <w:sz w:val="20"/>
          <w:szCs w:val="20"/>
        </w:rPr>
        <w:footnoteReference w:id="90"/>
      </w:r>
      <w:r w:rsidR="004426A8" w:rsidRPr="00F12479">
        <w:rPr>
          <w:rFonts w:cstheme="majorBidi"/>
          <w:color w:val="000000"/>
          <w:sz w:val="20"/>
          <w:szCs w:val="20"/>
        </w:rPr>
        <w:t xml:space="preserve"> All these elements may put the victim in danger of stronger attacks, including the killing by the perpetrator.</w:t>
      </w:r>
    </w:p>
    <w:p w:rsidR="0000534F" w:rsidRPr="000907F9" w:rsidRDefault="00B272FD" w:rsidP="00B272FD">
      <w:pPr>
        <w:pStyle w:val="H1G"/>
      </w:pPr>
      <w:r>
        <w:tab/>
        <w:t>C.</w:t>
      </w:r>
      <w:r>
        <w:tab/>
      </w:r>
      <w:r w:rsidR="00915411" w:rsidRPr="000907F9">
        <w:t>Prosecution</w:t>
      </w:r>
    </w:p>
    <w:p w:rsidR="00141276" w:rsidRPr="00F12479" w:rsidRDefault="00A82DC6" w:rsidP="000839A4">
      <w:pPr>
        <w:pStyle w:val="SingleTxtG"/>
        <w:rPr>
          <w:rFonts w:asciiTheme="majorBidi" w:hAnsiTheme="majorBidi" w:cstheme="majorBidi"/>
          <w:color w:val="000000"/>
          <w:sz w:val="20"/>
          <w:szCs w:val="20"/>
        </w:rPr>
      </w:pPr>
      <w:r>
        <w:rPr>
          <w:sz w:val="20"/>
          <w:szCs w:val="20"/>
        </w:rPr>
        <w:t>94</w:t>
      </w:r>
      <w:r w:rsidR="00141276" w:rsidRPr="00F12479">
        <w:rPr>
          <w:sz w:val="20"/>
          <w:szCs w:val="20"/>
        </w:rPr>
        <w:t>.</w:t>
      </w:r>
      <w:r w:rsidR="00141276" w:rsidRPr="00F12479">
        <w:rPr>
          <w:sz w:val="20"/>
          <w:szCs w:val="20"/>
        </w:rPr>
        <w:tab/>
        <w:t>The Special Rapporteur w</w:t>
      </w:r>
      <w:r w:rsidR="00141276" w:rsidRPr="00F12479">
        <w:rPr>
          <w:rFonts w:asciiTheme="majorBidi" w:hAnsiTheme="majorBidi" w:cstheme="majorBidi"/>
          <w:color w:val="000000"/>
          <w:sz w:val="20"/>
          <w:szCs w:val="20"/>
        </w:rPr>
        <w:t xml:space="preserve">as informed </w:t>
      </w:r>
      <w:r w:rsidR="00E163D1" w:rsidRPr="00F12479">
        <w:rPr>
          <w:rFonts w:asciiTheme="majorBidi" w:hAnsiTheme="majorBidi" w:cstheme="majorBidi"/>
          <w:color w:val="000000"/>
          <w:sz w:val="20"/>
          <w:szCs w:val="20"/>
        </w:rPr>
        <w:t>about</w:t>
      </w:r>
      <w:r w:rsidR="00141276" w:rsidRPr="00F12479">
        <w:rPr>
          <w:rFonts w:asciiTheme="majorBidi" w:hAnsiTheme="majorBidi" w:cstheme="majorBidi"/>
          <w:color w:val="000000"/>
          <w:sz w:val="20"/>
          <w:szCs w:val="20"/>
        </w:rPr>
        <w:t xml:space="preserve"> difficulties to initiate a case, without the </w:t>
      </w:r>
      <w:r w:rsidR="007410E0">
        <w:rPr>
          <w:rFonts w:asciiTheme="majorBidi" w:hAnsiTheme="majorBidi" w:cstheme="majorBidi"/>
          <w:color w:val="000000"/>
          <w:sz w:val="20"/>
          <w:szCs w:val="20"/>
        </w:rPr>
        <w:t>victim’s complaint as</w:t>
      </w:r>
      <w:r w:rsidR="00141276" w:rsidRPr="00F12479">
        <w:rPr>
          <w:rFonts w:asciiTheme="majorBidi" w:hAnsiTheme="majorBidi" w:cstheme="majorBidi"/>
          <w:color w:val="000000"/>
          <w:sz w:val="20"/>
          <w:szCs w:val="20"/>
        </w:rPr>
        <w:t xml:space="preserve"> there is no ex officio prosecution </w:t>
      </w:r>
      <w:r w:rsidR="00DB4E05" w:rsidRPr="00F12479">
        <w:rPr>
          <w:rFonts w:asciiTheme="majorBidi" w:hAnsiTheme="majorBidi" w:cstheme="majorBidi"/>
          <w:color w:val="000000"/>
          <w:sz w:val="20"/>
          <w:szCs w:val="20"/>
        </w:rPr>
        <w:t xml:space="preserve">of </w:t>
      </w:r>
      <w:r w:rsidR="00141276" w:rsidRPr="00F12479">
        <w:rPr>
          <w:rFonts w:asciiTheme="majorBidi" w:hAnsiTheme="majorBidi" w:cstheme="majorBidi"/>
          <w:color w:val="000000"/>
          <w:sz w:val="20"/>
          <w:szCs w:val="20"/>
        </w:rPr>
        <w:t xml:space="preserve">perpetrators of domestic violence. Interlocutors also reported that prosecutors do not conduct timely and effective </w:t>
      </w:r>
      <w:r w:rsidR="00141276" w:rsidRPr="00F12479">
        <w:rPr>
          <w:rFonts w:asciiTheme="majorBidi" w:hAnsiTheme="majorBidi" w:cstheme="majorBidi"/>
          <w:color w:val="000000"/>
          <w:sz w:val="20"/>
          <w:szCs w:val="20"/>
        </w:rPr>
        <w:lastRenderedPageBreak/>
        <w:t>investigations on cases related to domestic violence</w:t>
      </w:r>
      <w:r w:rsidR="000839A4" w:rsidRPr="00F12479">
        <w:rPr>
          <w:rFonts w:asciiTheme="majorBidi" w:hAnsiTheme="majorBidi" w:cstheme="majorBidi"/>
          <w:color w:val="000000"/>
          <w:sz w:val="20"/>
          <w:szCs w:val="20"/>
        </w:rPr>
        <w:t>. Th</w:t>
      </w:r>
      <w:r w:rsidR="004A1805" w:rsidRPr="00F12479">
        <w:rPr>
          <w:rFonts w:asciiTheme="majorBidi" w:hAnsiTheme="majorBidi" w:cstheme="majorBidi"/>
          <w:color w:val="000000"/>
          <w:sz w:val="20"/>
          <w:szCs w:val="20"/>
        </w:rPr>
        <w:t>e number of prosecutions is low</w:t>
      </w:r>
      <w:r w:rsidR="00760A35" w:rsidRPr="00F12479">
        <w:rPr>
          <w:rFonts w:asciiTheme="majorBidi" w:hAnsiTheme="majorBidi" w:cstheme="majorBidi"/>
          <w:color w:val="000000"/>
          <w:sz w:val="20"/>
          <w:szCs w:val="20"/>
        </w:rPr>
        <w:t>, in comparison with the number of cases reported</w:t>
      </w:r>
      <w:r w:rsidR="004A1805" w:rsidRPr="00F12479">
        <w:rPr>
          <w:rFonts w:asciiTheme="majorBidi" w:hAnsiTheme="majorBidi" w:cstheme="majorBidi"/>
          <w:color w:val="000000"/>
          <w:sz w:val="20"/>
          <w:szCs w:val="20"/>
        </w:rPr>
        <w:t>.</w:t>
      </w:r>
      <w:r w:rsidR="000839A4" w:rsidRPr="00F12479">
        <w:rPr>
          <w:rFonts w:asciiTheme="majorBidi" w:hAnsiTheme="majorBidi" w:cstheme="majorBidi"/>
          <w:color w:val="000000"/>
          <w:sz w:val="20"/>
          <w:szCs w:val="20"/>
        </w:rPr>
        <w:t xml:space="preserve"> </w:t>
      </w:r>
    </w:p>
    <w:p w:rsidR="00141276" w:rsidRPr="00F12479" w:rsidRDefault="00A82DC6" w:rsidP="002C1D8A">
      <w:pPr>
        <w:pStyle w:val="SingleTxtG"/>
        <w:rPr>
          <w:sz w:val="20"/>
          <w:szCs w:val="20"/>
        </w:rPr>
      </w:pPr>
      <w:r>
        <w:rPr>
          <w:rFonts w:asciiTheme="majorBidi" w:hAnsiTheme="majorBidi" w:cstheme="majorBidi"/>
          <w:color w:val="000000"/>
          <w:sz w:val="20"/>
          <w:szCs w:val="20"/>
        </w:rPr>
        <w:t>95</w:t>
      </w:r>
      <w:r w:rsidR="00141276" w:rsidRPr="00F12479">
        <w:rPr>
          <w:rFonts w:asciiTheme="majorBidi" w:hAnsiTheme="majorBidi" w:cstheme="majorBidi"/>
          <w:color w:val="000000"/>
          <w:sz w:val="20"/>
          <w:szCs w:val="20"/>
        </w:rPr>
        <w:t>.</w:t>
      </w:r>
      <w:r w:rsidR="00141276" w:rsidRPr="00F12479">
        <w:rPr>
          <w:rFonts w:asciiTheme="majorBidi" w:hAnsiTheme="majorBidi" w:cstheme="majorBidi"/>
          <w:color w:val="000000"/>
          <w:sz w:val="20"/>
          <w:szCs w:val="20"/>
        </w:rPr>
        <w:tab/>
        <w:t xml:space="preserve">As an example, the mandate holder noted that for cases of </w:t>
      </w:r>
      <w:proofErr w:type="spellStart"/>
      <w:r w:rsidR="00141276" w:rsidRPr="00F12479">
        <w:rPr>
          <w:rFonts w:asciiTheme="majorBidi" w:hAnsiTheme="majorBidi" w:cstheme="majorBidi"/>
          <w:color w:val="000000"/>
          <w:sz w:val="20"/>
          <w:szCs w:val="20"/>
        </w:rPr>
        <w:t>femicide</w:t>
      </w:r>
      <w:proofErr w:type="spellEnd"/>
      <w:r w:rsidR="00141276" w:rsidRPr="00F12479">
        <w:rPr>
          <w:rFonts w:asciiTheme="majorBidi" w:hAnsiTheme="majorBidi" w:cstheme="majorBidi"/>
          <w:color w:val="000000"/>
          <w:sz w:val="20"/>
          <w:szCs w:val="20"/>
        </w:rPr>
        <w:t xml:space="preserve">, </w:t>
      </w:r>
      <w:r w:rsidR="00141276" w:rsidRPr="00F12479">
        <w:rPr>
          <w:sz w:val="20"/>
          <w:szCs w:val="20"/>
        </w:rPr>
        <w:t xml:space="preserve">different articles of the Criminal Code can be </w:t>
      </w:r>
      <w:r w:rsidR="00E163D1" w:rsidRPr="00F12479">
        <w:rPr>
          <w:sz w:val="20"/>
          <w:szCs w:val="20"/>
        </w:rPr>
        <w:t>applied</w:t>
      </w:r>
      <w:proofErr w:type="gramStart"/>
      <w:r w:rsidR="00E163D1">
        <w:rPr>
          <w:sz w:val="20"/>
          <w:szCs w:val="20"/>
        </w:rPr>
        <w:t>:.</w:t>
      </w:r>
      <w:proofErr w:type="gramEnd"/>
      <w:r w:rsidR="00E163D1" w:rsidRPr="00F12479">
        <w:rPr>
          <w:sz w:val="20"/>
          <w:szCs w:val="20"/>
        </w:rPr>
        <w:t xml:space="preserve"> </w:t>
      </w:r>
      <w:proofErr w:type="gramStart"/>
      <w:r w:rsidR="00E163D1" w:rsidRPr="00F12479">
        <w:rPr>
          <w:sz w:val="20"/>
          <w:szCs w:val="20"/>
        </w:rPr>
        <w:t>art</w:t>
      </w:r>
      <w:proofErr w:type="gramEnd"/>
      <w:r w:rsidR="00141276" w:rsidRPr="00F12479">
        <w:rPr>
          <w:sz w:val="20"/>
          <w:szCs w:val="20"/>
        </w:rPr>
        <w:t xml:space="preserve">. </w:t>
      </w:r>
      <w:proofErr w:type="gramStart"/>
      <w:r w:rsidR="00141276" w:rsidRPr="00F12479">
        <w:rPr>
          <w:sz w:val="20"/>
          <w:szCs w:val="20"/>
        </w:rPr>
        <w:t>108 (Murder); art.</w:t>
      </w:r>
      <w:proofErr w:type="gramEnd"/>
      <w:r w:rsidR="00141276" w:rsidRPr="00F12479">
        <w:rPr>
          <w:sz w:val="20"/>
          <w:szCs w:val="20"/>
        </w:rPr>
        <w:t xml:space="preserve"> </w:t>
      </w:r>
      <w:proofErr w:type="gramStart"/>
      <w:r w:rsidR="00141276" w:rsidRPr="00F12479">
        <w:rPr>
          <w:sz w:val="20"/>
          <w:szCs w:val="20"/>
        </w:rPr>
        <w:t>109 (Murder under Aggravating Circumstances); art 111 (Intentional Murder in a State of Sudden, Strong Emotional Excitement); art.</w:t>
      </w:r>
      <w:proofErr w:type="gramEnd"/>
      <w:r w:rsidR="00141276" w:rsidRPr="00F12479">
        <w:rPr>
          <w:sz w:val="20"/>
          <w:szCs w:val="20"/>
        </w:rPr>
        <w:t xml:space="preserve"> </w:t>
      </w:r>
      <w:proofErr w:type="gramStart"/>
      <w:r w:rsidR="00141276" w:rsidRPr="00F12479">
        <w:rPr>
          <w:sz w:val="20"/>
          <w:szCs w:val="20"/>
        </w:rPr>
        <w:t>117</w:t>
      </w:r>
      <w:r w:rsidR="00141276" w:rsidRPr="00F12479">
        <w:rPr>
          <w:sz w:val="20"/>
          <w:szCs w:val="20"/>
          <w:vertAlign w:val="superscript"/>
        </w:rPr>
        <w:t>2</w:t>
      </w:r>
      <w:r w:rsidR="00141276" w:rsidRPr="00F12479">
        <w:rPr>
          <w:sz w:val="20"/>
          <w:szCs w:val="20"/>
        </w:rPr>
        <w:t xml:space="preserve"> (Intentional Infliction of Grave Injury that Caused Death) and art.</w:t>
      </w:r>
      <w:proofErr w:type="gramEnd"/>
      <w:r w:rsidR="00141276" w:rsidRPr="00F12479">
        <w:rPr>
          <w:sz w:val="20"/>
          <w:szCs w:val="20"/>
        </w:rPr>
        <w:t xml:space="preserve"> </w:t>
      </w:r>
      <w:proofErr w:type="gramStart"/>
      <w:r w:rsidR="00141276" w:rsidRPr="00F12479">
        <w:rPr>
          <w:sz w:val="20"/>
          <w:szCs w:val="20"/>
        </w:rPr>
        <w:t>115 (Incitement to Suicide).</w:t>
      </w:r>
      <w:proofErr w:type="gramEnd"/>
      <w:r w:rsidR="00141276" w:rsidRPr="00F12479">
        <w:rPr>
          <w:rStyle w:val="FootnoteReference"/>
          <w:sz w:val="20"/>
          <w:szCs w:val="20"/>
        </w:rPr>
        <w:footnoteReference w:id="91"/>
      </w:r>
      <w:r w:rsidR="00141276" w:rsidRPr="00F12479">
        <w:rPr>
          <w:sz w:val="20"/>
          <w:szCs w:val="20"/>
        </w:rPr>
        <w:t xml:space="preserve"> The analysis of cases</w:t>
      </w:r>
      <w:r w:rsidR="002C1D8A">
        <w:rPr>
          <w:sz w:val="20"/>
          <w:szCs w:val="20"/>
        </w:rPr>
        <w:t xml:space="preserve"> of </w:t>
      </w:r>
      <w:proofErr w:type="spellStart"/>
      <w:r w:rsidR="002C1D8A">
        <w:rPr>
          <w:sz w:val="20"/>
          <w:szCs w:val="20"/>
        </w:rPr>
        <w:t>femicide</w:t>
      </w:r>
      <w:proofErr w:type="spellEnd"/>
      <w:r w:rsidR="00141276" w:rsidRPr="00F12479">
        <w:rPr>
          <w:sz w:val="20"/>
          <w:szCs w:val="20"/>
        </w:rPr>
        <w:t xml:space="preserve"> showed deficiencies in prosecution and the judiciary in identifying the crimes as </w:t>
      </w:r>
      <w:proofErr w:type="spellStart"/>
      <w:r w:rsidR="00141276" w:rsidRPr="00F12479">
        <w:rPr>
          <w:sz w:val="20"/>
          <w:szCs w:val="20"/>
        </w:rPr>
        <w:t>femicide</w:t>
      </w:r>
      <w:proofErr w:type="spellEnd"/>
      <w:r w:rsidR="00141276" w:rsidRPr="00F12479">
        <w:rPr>
          <w:sz w:val="20"/>
          <w:szCs w:val="20"/>
        </w:rPr>
        <w:t>, classifying it, defining mitigating/aggravating circumstances and imposing sanctions to perpetrators.</w:t>
      </w:r>
      <w:r w:rsidR="00141276" w:rsidRPr="00F12479">
        <w:rPr>
          <w:rStyle w:val="FootnoteReference"/>
          <w:sz w:val="20"/>
          <w:szCs w:val="20"/>
        </w:rPr>
        <w:footnoteReference w:id="92"/>
      </w:r>
      <w:r w:rsidR="00141276" w:rsidRPr="00F12479">
        <w:rPr>
          <w:sz w:val="20"/>
          <w:szCs w:val="20"/>
        </w:rPr>
        <w:t xml:space="preserve"> The study revealed that in none of the twelve cases analysed, the gender motivation was identified.</w:t>
      </w:r>
      <w:r w:rsidR="00141276" w:rsidRPr="00F12479">
        <w:rPr>
          <w:rStyle w:val="FootnoteReference"/>
          <w:sz w:val="20"/>
          <w:szCs w:val="20"/>
        </w:rPr>
        <w:footnoteReference w:id="93"/>
      </w:r>
    </w:p>
    <w:p w:rsidR="004A2B08" w:rsidRPr="00F12479" w:rsidRDefault="00A82DC6" w:rsidP="00802CEB">
      <w:pPr>
        <w:pStyle w:val="SingleTxtG"/>
        <w:rPr>
          <w:sz w:val="20"/>
          <w:szCs w:val="20"/>
        </w:rPr>
      </w:pPr>
      <w:r>
        <w:rPr>
          <w:sz w:val="20"/>
          <w:szCs w:val="20"/>
        </w:rPr>
        <w:t>96</w:t>
      </w:r>
      <w:r w:rsidR="00B272FD">
        <w:rPr>
          <w:sz w:val="20"/>
          <w:szCs w:val="20"/>
        </w:rPr>
        <w:t>.</w:t>
      </w:r>
      <w:r w:rsidR="00B272FD">
        <w:rPr>
          <w:sz w:val="20"/>
          <w:szCs w:val="20"/>
        </w:rPr>
        <w:tab/>
      </w:r>
      <w:r w:rsidR="00FA7C42" w:rsidRPr="00F12479">
        <w:rPr>
          <w:sz w:val="20"/>
          <w:szCs w:val="20"/>
        </w:rPr>
        <w:t>The Special Rapporteur also recalls the case X. and Y. v. Georgia (</w:t>
      </w:r>
      <w:r w:rsidR="00BF4BEB" w:rsidRPr="00F12479">
        <w:rPr>
          <w:sz w:val="20"/>
          <w:szCs w:val="20"/>
        </w:rPr>
        <w:t>N° 24/2009),</w:t>
      </w:r>
      <w:r w:rsidR="008C740B" w:rsidRPr="00F12479">
        <w:rPr>
          <w:rStyle w:val="FootnoteReference"/>
          <w:sz w:val="20"/>
          <w:szCs w:val="20"/>
        </w:rPr>
        <w:footnoteReference w:id="94"/>
      </w:r>
      <w:r w:rsidR="00BF4BEB" w:rsidRPr="00F12479">
        <w:rPr>
          <w:sz w:val="20"/>
          <w:szCs w:val="20"/>
        </w:rPr>
        <w:t xml:space="preserve"> </w:t>
      </w:r>
      <w:r w:rsidR="00141CD8" w:rsidRPr="00F12479">
        <w:rPr>
          <w:sz w:val="20"/>
          <w:szCs w:val="20"/>
        </w:rPr>
        <w:t xml:space="preserve">which </w:t>
      </w:r>
      <w:r w:rsidR="00CF617F" w:rsidRPr="00F12479">
        <w:rPr>
          <w:sz w:val="20"/>
          <w:szCs w:val="20"/>
        </w:rPr>
        <w:t xml:space="preserve">shows </w:t>
      </w:r>
      <w:r w:rsidR="00DC4328" w:rsidRPr="00F12479">
        <w:rPr>
          <w:sz w:val="20"/>
          <w:szCs w:val="20"/>
        </w:rPr>
        <w:t>patterns that are observed in some other</w:t>
      </w:r>
      <w:r w:rsidR="000907F9">
        <w:rPr>
          <w:sz w:val="20"/>
          <w:szCs w:val="20"/>
        </w:rPr>
        <w:t xml:space="preserve"> ongoing cases</w:t>
      </w:r>
      <w:r w:rsidR="00DC4328" w:rsidRPr="00F12479">
        <w:rPr>
          <w:sz w:val="20"/>
          <w:szCs w:val="20"/>
        </w:rPr>
        <w:t xml:space="preserve"> at the national level, </w:t>
      </w:r>
      <w:r w:rsidR="00CF617F" w:rsidRPr="00F12479">
        <w:rPr>
          <w:sz w:val="20"/>
          <w:szCs w:val="20"/>
        </w:rPr>
        <w:t xml:space="preserve">in particular the lack </w:t>
      </w:r>
      <w:r w:rsidR="00DC4328" w:rsidRPr="00F12479">
        <w:rPr>
          <w:sz w:val="20"/>
          <w:szCs w:val="20"/>
        </w:rPr>
        <w:t xml:space="preserve">of proper and timely </w:t>
      </w:r>
      <w:r w:rsidR="00CF617F" w:rsidRPr="00F12479">
        <w:rPr>
          <w:sz w:val="20"/>
          <w:szCs w:val="20"/>
        </w:rPr>
        <w:t xml:space="preserve">investigation of the cases of abuse, </w:t>
      </w:r>
      <w:r w:rsidR="000907F9">
        <w:rPr>
          <w:sz w:val="20"/>
          <w:szCs w:val="20"/>
        </w:rPr>
        <w:t xml:space="preserve">the </w:t>
      </w:r>
      <w:r w:rsidR="00CF617F" w:rsidRPr="00F12479">
        <w:rPr>
          <w:sz w:val="20"/>
          <w:szCs w:val="20"/>
        </w:rPr>
        <w:t>consider</w:t>
      </w:r>
      <w:r w:rsidR="00DC4328" w:rsidRPr="00F12479">
        <w:rPr>
          <w:sz w:val="20"/>
          <w:szCs w:val="20"/>
        </w:rPr>
        <w:t>ation of the violence against women</w:t>
      </w:r>
      <w:r w:rsidR="00CF617F" w:rsidRPr="00F12479">
        <w:rPr>
          <w:sz w:val="20"/>
          <w:szCs w:val="20"/>
        </w:rPr>
        <w:t xml:space="preserve"> as a private matter and the refusal of the Prosecutor’s Office to bring charges against the victim’s husband. </w:t>
      </w:r>
    </w:p>
    <w:p w:rsidR="00CF617F" w:rsidRPr="00F12479" w:rsidRDefault="00A82DC6" w:rsidP="00CF617F">
      <w:pPr>
        <w:pStyle w:val="SingleTxtG"/>
        <w:rPr>
          <w:sz w:val="20"/>
          <w:szCs w:val="20"/>
        </w:rPr>
      </w:pPr>
      <w:r>
        <w:rPr>
          <w:sz w:val="20"/>
          <w:szCs w:val="20"/>
        </w:rPr>
        <w:t>97</w:t>
      </w:r>
      <w:r w:rsidR="00BD4EF3" w:rsidRPr="00F12479">
        <w:rPr>
          <w:sz w:val="20"/>
          <w:szCs w:val="20"/>
        </w:rPr>
        <w:t>.</w:t>
      </w:r>
      <w:r w:rsidR="00BD4EF3" w:rsidRPr="00F12479">
        <w:rPr>
          <w:sz w:val="20"/>
          <w:szCs w:val="20"/>
        </w:rPr>
        <w:tab/>
      </w:r>
      <w:r w:rsidR="002D0F2D" w:rsidRPr="00F12479">
        <w:rPr>
          <w:sz w:val="20"/>
          <w:szCs w:val="20"/>
        </w:rPr>
        <w:t>In</w:t>
      </w:r>
      <w:r w:rsidR="00746B84" w:rsidRPr="00F12479">
        <w:rPr>
          <w:sz w:val="20"/>
          <w:szCs w:val="20"/>
        </w:rPr>
        <w:t xml:space="preserve"> 2014</w:t>
      </w:r>
      <w:r w:rsidR="00CF617F" w:rsidRPr="00F12479">
        <w:rPr>
          <w:sz w:val="20"/>
          <w:szCs w:val="20"/>
        </w:rPr>
        <w:t>, the Law on Domestic Violence prescribed the right for a victim of domestic violence to claim compensation in case that the damage incurred to the victim is not compensated from other sources envisaged by the legislation.</w:t>
      </w:r>
      <w:r w:rsidR="00CF617F" w:rsidRPr="00F12479">
        <w:rPr>
          <w:rStyle w:val="FootnoteReference"/>
          <w:sz w:val="20"/>
          <w:szCs w:val="20"/>
        </w:rPr>
        <w:footnoteReference w:id="95"/>
      </w:r>
      <w:r w:rsidR="00CF617F" w:rsidRPr="00F12479">
        <w:rPr>
          <w:sz w:val="20"/>
          <w:szCs w:val="20"/>
        </w:rPr>
        <w:t xml:space="preserve"> The mandate holder was informed that the Government has to rule </w:t>
      </w:r>
      <w:r w:rsidR="007410E0">
        <w:rPr>
          <w:sz w:val="20"/>
          <w:szCs w:val="20"/>
        </w:rPr>
        <w:t xml:space="preserve">how </w:t>
      </w:r>
      <w:r w:rsidR="00CF617F" w:rsidRPr="00F12479">
        <w:rPr>
          <w:sz w:val="20"/>
          <w:szCs w:val="20"/>
        </w:rPr>
        <w:t>to calculate the amount of compensation to be granted to a victim of domestic violence, as well as the procedure of granting such compensation.</w:t>
      </w:r>
      <w:r w:rsidR="00CF617F" w:rsidRPr="00F12479">
        <w:rPr>
          <w:rStyle w:val="FootnoteReference"/>
          <w:sz w:val="20"/>
          <w:szCs w:val="20"/>
        </w:rPr>
        <w:footnoteReference w:id="96"/>
      </w:r>
    </w:p>
    <w:p w:rsidR="00F63606" w:rsidRDefault="00EB7AA3" w:rsidP="00B272FD">
      <w:pPr>
        <w:pStyle w:val="HChG"/>
      </w:pPr>
      <w:r w:rsidRPr="00224F37">
        <w:tab/>
      </w:r>
      <w:r>
        <w:t>V</w:t>
      </w:r>
      <w:r w:rsidR="007B52B2">
        <w:t>II</w:t>
      </w:r>
      <w:r w:rsidRPr="00733498">
        <w:t>.</w:t>
      </w:r>
      <w:r w:rsidRPr="00733498">
        <w:tab/>
      </w:r>
      <w:r w:rsidR="00033C5C" w:rsidRPr="00224A83">
        <w:t>Conclusions and recommendations</w:t>
      </w:r>
    </w:p>
    <w:p w:rsidR="0065771B" w:rsidRPr="00B272FD" w:rsidRDefault="00A82DC6" w:rsidP="00D80D68">
      <w:pPr>
        <w:pStyle w:val="SingleTxtG"/>
        <w:rPr>
          <w:rFonts w:asciiTheme="majorBidi" w:hAnsiTheme="majorBidi" w:cstheme="majorBidi"/>
          <w:b/>
          <w:bCs/>
          <w:sz w:val="20"/>
          <w:szCs w:val="20"/>
        </w:rPr>
      </w:pPr>
      <w:r w:rsidRPr="008B1B4C">
        <w:rPr>
          <w:rFonts w:asciiTheme="majorBidi" w:hAnsiTheme="majorBidi" w:cstheme="majorBidi"/>
          <w:sz w:val="20"/>
          <w:szCs w:val="20"/>
        </w:rPr>
        <w:t>98</w:t>
      </w:r>
      <w:r w:rsidR="00BD4EF3" w:rsidRPr="008B1B4C">
        <w:rPr>
          <w:rFonts w:asciiTheme="majorBidi" w:hAnsiTheme="majorBidi" w:cstheme="majorBidi"/>
          <w:sz w:val="20"/>
          <w:szCs w:val="20"/>
        </w:rPr>
        <w:t>.</w:t>
      </w:r>
      <w:r w:rsidR="00BD4EF3" w:rsidRPr="00B272FD">
        <w:rPr>
          <w:rFonts w:asciiTheme="majorBidi" w:hAnsiTheme="majorBidi" w:cstheme="majorBidi"/>
          <w:b/>
          <w:sz w:val="20"/>
          <w:szCs w:val="20"/>
        </w:rPr>
        <w:tab/>
      </w:r>
      <w:r w:rsidR="00BF5932" w:rsidRPr="00B272FD">
        <w:rPr>
          <w:rFonts w:asciiTheme="majorBidi" w:hAnsiTheme="majorBidi" w:cstheme="majorBidi"/>
          <w:b/>
          <w:bCs/>
          <w:sz w:val="20"/>
          <w:szCs w:val="20"/>
        </w:rPr>
        <w:t>The Special Rapporteur highlights that throughout the visit, the Government demonstrated its willingness to</w:t>
      </w:r>
      <w:r w:rsidR="007410E0" w:rsidRPr="00B272FD">
        <w:rPr>
          <w:rFonts w:asciiTheme="majorBidi" w:hAnsiTheme="majorBidi" w:cstheme="majorBidi"/>
          <w:b/>
          <w:bCs/>
          <w:sz w:val="20"/>
          <w:szCs w:val="20"/>
        </w:rPr>
        <w:t xml:space="preserve"> combat d</w:t>
      </w:r>
      <w:r w:rsidR="00E163D1" w:rsidRPr="00B272FD">
        <w:rPr>
          <w:rFonts w:asciiTheme="majorBidi" w:hAnsiTheme="majorBidi" w:cstheme="majorBidi"/>
          <w:b/>
          <w:bCs/>
          <w:sz w:val="20"/>
          <w:szCs w:val="20"/>
        </w:rPr>
        <w:t>iscrimination against women and</w:t>
      </w:r>
      <w:r w:rsidR="00BF5932" w:rsidRPr="00B272FD">
        <w:rPr>
          <w:rFonts w:asciiTheme="majorBidi" w:hAnsiTheme="majorBidi" w:cstheme="majorBidi"/>
          <w:b/>
          <w:bCs/>
          <w:sz w:val="20"/>
          <w:szCs w:val="20"/>
        </w:rPr>
        <w:t xml:space="preserve"> address violence </w:t>
      </w:r>
      <w:r w:rsidR="00422076" w:rsidRPr="00B272FD">
        <w:rPr>
          <w:rFonts w:asciiTheme="majorBidi" w:hAnsiTheme="majorBidi" w:cstheme="majorBidi"/>
          <w:b/>
          <w:bCs/>
          <w:sz w:val="20"/>
          <w:szCs w:val="20"/>
        </w:rPr>
        <w:t xml:space="preserve">against women </w:t>
      </w:r>
      <w:r w:rsidR="005961CD" w:rsidRPr="00B272FD">
        <w:rPr>
          <w:rFonts w:asciiTheme="majorBidi" w:hAnsiTheme="majorBidi" w:cstheme="majorBidi"/>
          <w:b/>
          <w:bCs/>
          <w:sz w:val="20"/>
          <w:szCs w:val="20"/>
        </w:rPr>
        <w:t xml:space="preserve">including </w:t>
      </w:r>
      <w:r w:rsidR="007410E0" w:rsidRPr="00B272FD">
        <w:rPr>
          <w:rFonts w:asciiTheme="majorBidi" w:hAnsiTheme="majorBidi" w:cstheme="majorBidi"/>
          <w:b/>
          <w:bCs/>
          <w:sz w:val="20"/>
          <w:szCs w:val="20"/>
        </w:rPr>
        <w:t>through amending</w:t>
      </w:r>
      <w:r w:rsidR="005961CD" w:rsidRPr="00B272FD">
        <w:rPr>
          <w:rFonts w:asciiTheme="majorBidi" w:hAnsiTheme="majorBidi" w:cstheme="majorBidi"/>
          <w:b/>
          <w:bCs/>
          <w:sz w:val="20"/>
          <w:szCs w:val="20"/>
        </w:rPr>
        <w:t xml:space="preserve"> different laws aimed to improve the legal framework and to strengthen its implementation</w:t>
      </w:r>
      <w:r w:rsidR="00D80D68" w:rsidRPr="00B272FD">
        <w:rPr>
          <w:rFonts w:asciiTheme="majorBidi" w:hAnsiTheme="majorBidi" w:cstheme="majorBidi"/>
          <w:b/>
          <w:bCs/>
          <w:sz w:val="20"/>
          <w:szCs w:val="20"/>
        </w:rPr>
        <w:t xml:space="preserve">. </w:t>
      </w:r>
      <w:r w:rsidR="00FC2F7E" w:rsidRPr="00B272FD">
        <w:rPr>
          <w:rFonts w:asciiTheme="majorBidi" w:hAnsiTheme="majorBidi" w:cstheme="majorBidi"/>
          <w:b/>
          <w:bCs/>
          <w:sz w:val="20"/>
          <w:szCs w:val="20"/>
        </w:rPr>
        <w:t xml:space="preserve">With respect to </w:t>
      </w:r>
      <w:r w:rsidR="00881A03" w:rsidRPr="00B272FD">
        <w:rPr>
          <w:rFonts w:asciiTheme="majorBidi" w:hAnsiTheme="majorBidi" w:cstheme="majorBidi"/>
          <w:b/>
          <w:bCs/>
          <w:sz w:val="20"/>
          <w:szCs w:val="20"/>
        </w:rPr>
        <w:t xml:space="preserve">the </w:t>
      </w:r>
      <w:r w:rsidR="002568BE" w:rsidRPr="00B272FD">
        <w:rPr>
          <w:rFonts w:asciiTheme="majorBidi" w:hAnsiTheme="majorBidi" w:cstheme="majorBidi"/>
          <w:b/>
          <w:bCs/>
          <w:sz w:val="20"/>
          <w:szCs w:val="20"/>
        </w:rPr>
        <w:t>observed</w:t>
      </w:r>
      <w:r w:rsidR="00BF5932" w:rsidRPr="00B272FD">
        <w:rPr>
          <w:rFonts w:asciiTheme="majorBidi" w:hAnsiTheme="majorBidi" w:cstheme="majorBidi"/>
          <w:b/>
          <w:bCs/>
          <w:sz w:val="20"/>
          <w:szCs w:val="20"/>
        </w:rPr>
        <w:t xml:space="preserve"> </w:t>
      </w:r>
      <w:r w:rsidR="00AC59BC" w:rsidRPr="00B272FD">
        <w:rPr>
          <w:rFonts w:asciiTheme="majorBidi" w:hAnsiTheme="majorBidi" w:cstheme="majorBidi"/>
          <w:b/>
          <w:bCs/>
          <w:sz w:val="20"/>
          <w:szCs w:val="20"/>
        </w:rPr>
        <w:t>gaps</w:t>
      </w:r>
      <w:r w:rsidR="00731A87" w:rsidRPr="00B272FD">
        <w:rPr>
          <w:rFonts w:asciiTheme="majorBidi" w:hAnsiTheme="majorBidi" w:cstheme="majorBidi"/>
          <w:b/>
          <w:bCs/>
          <w:sz w:val="20"/>
          <w:szCs w:val="20"/>
        </w:rPr>
        <w:t xml:space="preserve"> in fulfilling the State</w:t>
      </w:r>
      <w:r w:rsidR="007410E0" w:rsidRPr="00B272FD">
        <w:rPr>
          <w:rFonts w:asciiTheme="majorBidi" w:hAnsiTheme="majorBidi" w:cstheme="majorBidi"/>
          <w:b/>
          <w:bCs/>
          <w:sz w:val="20"/>
          <w:szCs w:val="20"/>
        </w:rPr>
        <w:t>’s</w:t>
      </w:r>
      <w:r w:rsidR="00731A87" w:rsidRPr="00B272FD">
        <w:rPr>
          <w:rFonts w:asciiTheme="majorBidi" w:hAnsiTheme="majorBidi" w:cstheme="majorBidi"/>
          <w:b/>
          <w:bCs/>
          <w:sz w:val="20"/>
          <w:szCs w:val="20"/>
        </w:rPr>
        <w:t xml:space="preserve"> obligation</w:t>
      </w:r>
      <w:r w:rsidR="00881A03" w:rsidRPr="00B272FD">
        <w:rPr>
          <w:rFonts w:asciiTheme="majorBidi" w:hAnsiTheme="majorBidi" w:cstheme="majorBidi"/>
          <w:b/>
          <w:bCs/>
          <w:sz w:val="20"/>
          <w:szCs w:val="20"/>
        </w:rPr>
        <w:t>s</w:t>
      </w:r>
      <w:r w:rsidR="00731A87" w:rsidRPr="00B272FD">
        <w:rPr>
          <w:rFonts w:asciiTheme="majorBidi" w:hAnsiTheme="majorBidi" w:cstheme="majorBidi"/>
          <w:b/>
          <w:bCs/>
          <w:sz w:val="20"/>
          <w:szCs w:val="20"/>
        </w:rPr>
        <w:t>, including due diligence obligation to prevent</w:t>
      </w:r>
      <w:r w:rsidR="00243902" w:rsidRPr="00B272FD">
        <w:rPr>
          <w:rFonts w:asciiTheme="majorBidi" w:hAnsiTheme="majorBidi" w:cstheme="majorBidi"/>
          <w:b/>
          <w:bCs/>
          <w:sz w:val="20"/>
          <w:szCs w:val="20"/>
        </w:rPr>
        <w:t xml:space="preserve"> </w:t>
      </w:r>
      <w:r w:rsidR="005961CD" w:rsidRPr="00B272FD">
        <w:rPr>
          <w:rFonts w:asciiTheme="majorBidi" w:hAnsiTheme="majorBidi" w:cstheme="majorBidi"/>
          <w:b/>
          <w:bCs/>
          <w:sz w:val="20"/>
          <w:szCs w:val="20"/>
        </w:rPr>
        <w:t>violence</w:t>
      </w:r>
      <w:r w:rsidR="00FC2F7E" w:rsidRPr="00B272FD">
        <w:rPr>
          <w:rFonts w:asciiTheme="majorBidi" w:hAnsiTheme="majorBidi" w:cstheme="majorBidi"/>
          <w:b/>
          <w:bCs/>
          <w:sz w:val="20"/>
          <w:szCs w:val="20"/>
        </w:rPr>
        <w:t xml:space="preserve"> against women</w:t>
      </w:r>
      <w:r w:rsidR="005961CD" w:rsidRPr="00B272FD">
        <w:rPr>
          <w:rFonts w:asciiTheme="majorBidi" w:hAnsiTheme="majorBidi" w:cstheme="majorBidi"/>
          <w:b/>
          <w:bCs/>
          <w:sz w:val="20"/>
          <w:szCs w:val="20"/>
        </w:rPr>
        <w:t xml:space="preserve">, to protect and provide remedies to women who have been subjected to violence </w:t>
      </w:r>
      <w:r w:rsidR="00243902" w:rsidRPr="00B272FD">
        <w:rPr>
          <w:rFonts w:asciiTheme="majorBidi" w:hAnsiTheme="majorBidi" w:cstheme="majorBidi"/>
          <w:b/>
          <w:bCs/>
          <w:sz w:val="20"/>
          <w:szCs w:val="20"/>
        </w:rPr>
        <w:t xml:space="preserve">and </w:t>
      </w:r>
      <w:r w:rsidR="005961CD" w:rsidRPr="00B272FD">
        <w:rPr>
          <w:rFonts w:asciiTheme="majorBidi" w:hAnsiTheme="majorBidi" w:cstheme="majorBidi"/>
          <w:b/>
          <w:bCs/>
          <w:sz w:val="20"/>
          <w:szCs w:val="20"/>
        </w:rPr>
        <w:t>to prosec</w:t>
      </w:r>
      <w:r w:rsidR="00FC2F7E" w:rsidRPr="00B272FD">
        <w:rPr>
          <w:rFonts w:asciiTheme="majorBidi" w:hAnsiTheme="majorBidi" w:cstheme="majorBidi"/>
          <w:b/>
          <w:bCs/>
          <w:sz w:val="20"/>
          <w:szCs w:val="20"/>
        </w:rPr>
        <w:t>ute and punish the perpetrators</w:t>
      </w:r>
      <w:r w:rsidR="00881A03" w:rsidRPr="00B272FD">
        <w:rPr>
          <w:rFonts w:asciiTheme="majorBidi" w:hAnsiTheme="majorBidi" w:cstheme="majorBidi"/>
          <w:b/>
          <w:bCs/>
          <w:sz w:val="20"/>
          <w:szCs w:val="20"/>
        </w:rPr>
        <w:t>,</w:t>
      </w:r>
      <w:r w:rsidR="0065771B" w:rsidRPr="00B272FD">
        <w:rPr>
          <w:rFonts w:asciiTheme="majorBidi" w:hAnsiTheme="majorBidi" w:cstheme="majorBidi"/>
          <w:b/>
          <w:bCs/>
          <w:sz w:val="20"/>
          <w:szCs w:val="20"/>
        </w:rPr>
        <w:t xml:space="preserve"> t</w:t>
      </w:r>
      <w:r w:rsidR="00FC2F7E" w:rsidRPr="00B272FD">
        <w:rPr>
          <w:rFonts w:asciiTheme="majorBidi" w:hAnsiTheme="majorBidi" w:cstheme="majorBidi"/>
          <w:b/>
          <w:bCs/>
          <w:sz w:val="20"/>
          <w:szCs w:val="20"/>
        </w:rPr>
        <w:t>he</w:t>
      </w:r>
      <w:r w:rsidR="005961CD" w:rsidRPr="00B272FD">
        <w:rPr>
          <w:rFonts w:asciiTheme="majorBidi" w:hAnsiTheme="majorBidi" w:cstheme="majorBidi"/>
          <w:b/>
          <w:bCs/>
          <w:sz w:val="20"/>
          <w:szCs w:val="20"/>
        </w:rPr>
        <w:t xml:space="preserve"> Special Rapporteur would like to address the following re</w:t>
      </w:r>
      <w:r w:rsidR="00D80D68" w:rsidRPr="00B272FD">
        <w:rPr>
          <w:rFonts w:asciiTheme="majorBidi" w:hAnsiTheme="majorBidi" w:cstheme="majorBidi"/>
          <w:b/>
          <w:bCs/>
          <w:sz w:val="20"/>
          <w:szCs w:val="20"/>
        </w:rPr>
        <w:t>commendations to the Government</w:t>
      </w:r>
      <w:r w:rsidR="005961CD" w:rsidRPr="00B272FD">
        <w:rPr>
          <w:rFonts w:asciiTheme="majorBidi" w:hAnsiTheme="majorBidi" w:cstheme="majorBidi"/>
          <w:b/>
          <w:bCs/>
          <w:sz w:val="20"/>
          <w:szCs w:val="20"/>
        </w:rPr>
        <w:t>:</w:t>
      </w:r>
    </w:p>
    <w:p w:rsidR="00753529" w:rsidRPr="00881A03" w:rsidRDefault="00A82DC6" w:rsidP="004E0295">
      <w:pPr>
        <w:pStyle w:val="SingleTxtG"/>
        <w:rPr>
          <w:rFonts w:asciiTheme="majorBidi" w:hAnsiTheme="majorBidi" w:cstheme="majorBidi"/>
          <w:b/>
          <w:bCs/>
          <w:sz w:val="20"/>
          <w:szCs w:val="20"/>
        </w:rPr>
      </w:pPr>
      <w:r w:rsidRPr="008B1B4C">
        <w:rPr>
          <w:rFonts w:asciiTheme="majorBidi" w:hAnsiTheme="majorBidi" w:cstheme="majorBidi"/>
          <w:bCs/>
          <w:sz w:val="20"/>
          <w:szCs w:val="20"/>
        </w:rPr>
        <w:t>99.</w:t>
      </w:r>
      <w:r>
        <w:rPr>
          <w:rFonts w:asciiTheme="majorBidi" w:hAnsiTheme="majorBidi" w:cstheme="majorBidi"/>
          <w:b/>
          <w:bCs/>
          <w:sz w:val="20"/>
          <w:szCs w:val="20"/>
        </w:rPr>
        <w:tab/>
      </w:r>
      <w:r w:rsidR="00FC2F7E" w:rsidRPr="00881A03">
        <w:rPr>
          <w:rFonts w:asciiTheme="majorBidi" w:hAnsiTheme="majorBidi" w:cstheme="majorBidi"/>
          <w:b/>
          <w:bCs/>
          <w:sz w:val="20"/>
          <w:szCs w:val="20"/>
        </w:rPr>
        <w:t xml:space="preserve">Law </w:t>
      </w:r>
      <w:r w:rsidR="007410E0">
        <w:rPr>
          <w:rFonts w:asciiTheme="majorBidi" w:hAnsiTheme="majorBidi" w:cstheme="majorBidi"/>
          <w:b/>
          <w:bCs/>
          <w:sz w:val="20"/>
          <w:szCs w:val="20"/>
        </w:rPr>
        <w:t xml:space="preserve">and policy </w:t>
      </w:r>
      <w:r w:rsidR="003D3DC1" w:rsidRPr="00881A03">
        <w:rPr>
          <w:rFonts w:asciiTheme="majorBidi" w:hAnsiTheme="majorBidi" w:cstheme="majorBidi"/>
          <w:b/>
          <w:bCs/>
          <w:sz w:val="20"/>
          <w:szCs w:val="20"/>
        </w:rPr>
        <w:t xml:space="preserve">reforms </w:t>
      </w:r>
    </w:p>
    <w:p w:rsidR="00AA3DA3" w:rsidRPr="0053437C" w:rsidRDefault="0053437C" w:rsidP="0053437C">
      <w:pPr>
        <w:pStyle w:val="SingleTxtG"/>
        <w:rPr>
          <w:b/>
          <w:sz w:val="20"/>
          <w:szCs w:val="20"/>
        </w:rPr>
      </w:pPr>
      <w:r>
        <w:rPr>
          <w:b/>
          <w:sz w:val="20"/>
          <w:szCs w:val="20"/>
        </w:rPr>
        <w:tab/>
      </w:r>
      <w:r w:rsidRPr="008B1B4C">
        <w:rPr>
          <w:sz w:val="20"/>
          <w:szCs w:val="20"/>
        </w:rPr>
        <w:t>(a)</w:t>
      </w:r>
      <w:r>
        <w:rPr>
          <w:b/>
          <w:sz w:val="20"/>
          <w:szCs w:val="20"/>
        </w:rPr>
        <w:tab/>
      </w:r>
      <w:r w:rsidR="00FC2F7E" w:rsidRPr="0053437C">
        <w:rPr>
          <w:b/>
          <w:sz w:val="20"/>
          <w:szCs w:val="20"/>
        </w:rPr>
        <w:t xml:space="preserve">Improve legal and policy framework on violence against women in order to establish a holistic and comprehensive national framework to prevent violence against women </w:t>
      </w:r>
      <w:r w:rsidR="00AA3DA3" w:rsidRPr="0053437C">
        <w:rPr>
          <w:b/>
          <w:sz w:val="20"/>
          <w:szCs w:val="20"/>
        </w:rPr>
        <w:t xml:space="preserve">and </w:t>
      </w:r>
      <w:r w:rsidR="00881A03" w:rsidRPr="0053437C">
        <w:rPr>
          <w:b/>
          <w:sz w:val="20"/>
          <w:szCs w:val="20"/>
        </w:rPr>
        <w:t xml:space="preserve">speedily </w:t>
      </w:r>
      <w:r w:rsidR="00AA3DA3" w:rsidRPr="0053437C">
        <w:rPr>
          <w:b/>
          <w:sz w:val="20"/>
          <w:szCs w:val="20"/>
        </w:rPr>
        <w:t>a</w:t>
      </w:r>
      <w:r w:rsidR="00F61F2B" w:rsidRPr="0053437C">
        <w:rPr>
          <w:b/>
          <w:sz w:val="20"/>
          <w:szCs w:val="20"/>
        </w:rPr>
        <w:t xml:space="preserve">dopt </w:t>
      </w:r>
      <w:r w:rsidR="00881A03" w:rsidRPr="0053437C">
        <w:rPr>
          <w:b/>
          <w:sz w:val="20"/>
          <w:szCs w:val="20"/>
        </w:rPr>
        <w:t>the</w:t>
      </w:r>
      <w:r w:rsidR="00F61F2B" w:rsidRPr="0053437C">
        <w:rPr>
          <w:b/>
          <w:sz w:val="20"/>
          <w:szCs w:val="20"/>
        </w:rPr>
        <w:t xml:space="preserve"> envisaged amendments to </w:t>
      </w:r>
      <w:r w:rsidR="007410E0" w:rsidRPr="0053437C">
        <w:rPr>
          <w:b/>
          <w:sz w:val="20"/>
          <w:szCs w:val="20"/>
        </w:rPr>
        <w:t xml:space="preserve">bring </w:t>
      </w:r>
      <w:r w:rsidR="00F61F2B" w:rsidRPr="0053437C">
        <w:rPr>
          <w:b/>
          <w:sz w:val="20"/>
          <w:szCs w:val="20"/>
        </w:rPr>
        <w:t xml:space="preserve">national legislation on violence against women and gender equality in line with the CEDAW and Istanbul Conventions, </w:t>
      </w:r>
    </w:p>
    <w:p w:rsidR="00F61F2B" w:rsidRPr="0053437C" w:rsidRDefault="0053437C" w:rsidP="0053437C">
      <w:pPr>
        <w:pStyle w:val="SingleTxtG"/>
        <w:rPr>
          <w:b/>
          <w:sz w:val="20"/>
          <w:szCs w:val="20"/>
        </w:rPr>
      </w:pPr>
      <w:r>
        <w:rPr>
          <w:b/>
          <w:sz w:val="20"/>
          <w:szCs w:val="20"/>
        </w:rPr>
        <w:tab/>
      </w:r>
      <w:r w:rsidRPr="008B1B4C">
        <w:rPr>
          <w:sz w:val="20"/>
          <w:szCs w:val="20"/>
        </w:rPr>
        <w:t>(b)</w:t>
      </w:r>
      <w:r>
        <w:rPr>
          <w:b/>
          <w:sz w:val="20"/>
          <w:szCs w:val="20"/>
        </w:rPr>
        <w:tab/>
      </w:r>
      <w:r w:rsidR="007410E0" w:rsidRPr="0053437C">
        <w:rPr>
          <w:b/>
          <w:sz w:val="20"/>
          <w:szCs w:val="20"/>
        </w:rPr>
        <w:t>Accelerate</w:t>
      </w:r>
      <w:r w:rsidR="00881A03" w:rsidRPr="0053437C">
        <w:rPr>
          <w:b/>
          <w:sz w:val="20"/>
          <w:szCs w:val="20"/>
        </w:rPr>
        <w:t xml:space="preserve"> the</w:t>
      </w:r>
      <w:r w:rsidR="00F61F2B" w:rsidRPr="0053437C">
        <w:rPr>
          <w:b/>
          <w:sz w:val="20"/>
          <w:szCs w:val="20"/>
        </w:rPr>
        <w:t xml:space="preserve"> ratification of the Istanbul Convention.</w:t>
      </w:r>
    </w:p>
    <w:p w:rsidR="007C44EA" w:rsidRPr="0053437C" w:rsidRDefault="0053437C" w:rsidP="0053437C">
      <w:pPr>
        <w:pStyle w:val="SingleTxtG"/>
        <w:rPr>
          <w:b/>
          <w:sz w:val="20"/>
          <w:szCs w:val="20"/>
        </w:rPr>
      </w:pPr>
      <w:r w:rsidRPr="008B1B4C">
        <w:rPr>
          <w:sz w:val="20"/>
          <w:szCs w:val="20"/>
        </w:rPr>
        <w:lastRenderedPageBreak/>
        <w:tab/>
        <w:t>(c)</w:t>
      </w:r>
      <w:r>
        <w:rPr>
          <w:b/>
          <w:sz w:val="20"/>
          <w:szCs w:val="20"/>
        </w:rPr>
        <w:tab/>
      </w:r>
      <w:r w:rsidR="005F1E5C" w:rsidRPr="0053437C">
        <w:rPr>
          <w:b/>
          <w:sz w:val="20"/>
          <w:szCs w:val="20"/>
        </w:rPr>
        <w:t xml:space="preserve">Provide mandatory training to law enforcement officers, members of the judiciary, including judges and prosecutors, on the </w:t>
      </w:r>
      <w:r w:rsidR="00FC2F7E" w:rsidRPr="0053437C">
        <w:rPr>
          <w:b/>
          <w:sz w:val="20"/>
          <w:szCs w:val="20"/>
        </w:rPr>
        <w:t>CEDAW Convention and its</w:t>
      </w:r>
      <w:r w:rsidR="005F1E5C" w:rsidRPr="0053437C">
        <w:rPr>
          <w:b/>
          <w:sz w:val="20"/>
          <w:szCs w:val="20"/>
        </w:rPr>
        <w:t xml:space="preserve"> O</w:t>
      </w:r>
      <w:r w:rsidR="00FC2F7E" w:rsidRPr="0053437C">
        <w:rPr>
          <w:b/>
          <w:sz w:val="20"/>
          <w:szCs w:val="20"/>
        </w:rPr>
        <w:t>ptional protocol</w:t>
      </w:r>
      <w:r w:rsidR="005F1E5C" w:rsidRPr="0053437C">
        <w:rPr>
          <w:b/>
          <w:sz w:val="20"/>
          <w:szCs w:val="20"/>
        </w:rPr>
        <w:t>, the G</w:t>
      </w:r>
      <w:r w:rsidR="00FC2F7E" w:rsidRPr="0053437C">
        <w:rPr>
          <w:b/>
          <w:sz w:val="20"/>
          <w:szCs w:val="20"/>
        </w:rPr>
        <w:t>eneral recommendations and</w:t>
      </w:r>
      <w:r w:rsidR="005F1E5C" w:rsidRPr="0053437C">
        <w:rPr>
          <w:b/>
          <w:sz w:val="20"/>
          <w:szCs w:val="20"/>
        </w:rPr>
        <w:t xml:space="preserve"> the Committees jurisprudence on violence against women and on the Istanbul convention and national legislation, </w:t>
      </w:r>
      <w:r w:rsidR="009B74D2" w:rsidRPr="0053437C">
        <w:rPr>
          <w:b/>
          <w:sz w:val="20"/>
          <w:szCs w:val="20"/>
        </w:rPr>
        <w:t>with a view to train them to apply the provisions of the Convention directly and interpret national legal provisions in light of the CEDAW Committees jurisprudence.</w:t>
      </w:r>
      <w:r w:rsidR="007C44EA" w:rsidRPr="0053437C">
        <w:rPr>
          <w:b/>
          <w:sz w:val="20"/>
          <w:szCs w:val="20"/>
        </w:rPr>
        <w:t xml:space="preserve"> </w:t>
      </w:r>
    </w:p>
    <w:p w:rsidR="00753529" w:rsidRPr="0053437C" w:rsidRDefault="0053437C" w:rsidP="0053437C">
      <w:pPr>
        <w:pStyle w:val="SingleTxtG"/>
        <w:rPr>
          <w:b/>
          <w:sz w:val="20"/>
          <w:szCs w:val="20"/>
        </w:rPr>
      </w:pPr>
      <w:r w:rsidRPr="008B1B4C">
        <w:rPr>
          <w:sz w:val="20"/>
          <w:szCs w:val="20"/>
        </w:rPr>
        <w:tab/>
        <w:t>(d)</w:t>
      </w:r>
      <w:r>
        <w:rPr>
          <w:b/>
          <w:sz w:val="20"/>
          <w:szCs w:val="20"/>
        </w:rPr>
        <w:tab/>
      </w:r>
      <w:r w:rsidR="007C44EA" w:rsidRPr="0053437C">
        <w:rPr>
          <w:b/>
          <w:sz w:val="20"/>
          <w:szCs w:val="20"/>
        </w:rPr>
        <w:t xml:space="preserve">Support </w:t>
      </w:r>
      <w:r w:rsidR="00881A03" w:rsidRPr="0053437C">
        <w:rPr>
          <w:b/>
          <w:sz w:val="20"/>
          <w:szCs w:val="20"/>
        </w:rPr>
        <w:t xml:space="preserve">the </w:t>
      </w:r>
      <w:r w:rsidR="007C44EA" w:rsidRPr="0053437C">
        <w:rPr>
          <w:b/>
          <w:sz w:val="20"/>
          <w:szCs w:val="20"/>
        </w:rPr>
        <w:t xml:space="preserve">judiciary in its efforts to elaborate a compendium on international and national jurisprudence on </w:t>
      </w:r>
      <w:r w:rsidR="00FC2F7E" w:rsidRPr="0053437C">
        <w:rPr>
          <w:b/>
          <w:sz w:val="20"/>
          <w:szCs w:val="20"/>
        </w:rPr>
        <w:t>violence against women</w:t>
      </w:r>
      <w:r w:rsidR="00753529" w:rsidRPr="0053437C">
        <w:rPr>
          <w:b/>
          <w:sz w:val="20"/>
          <w:szCs w:val="20"/>
        </w:rPr>
        <w:t xml:space="preserve">, </w:t>
      </w:r>
    </w:p>
    <w:p w:rsidR="00153CD2" w:rsidRPr="0053437C" w:rsidRDefault="0053437C" w:rsidP="0053437C">
      <w:pPr>
        <w:pStyle w:val="SingleTxtG"/>
        <w:rPr>
          <w:b/>
          <w:sz w:val="20"/>
          <w:szCs w:val="20"/>
        </w:rPr>
      </w:pPr>
      <w:r w:rsidRPr="008B1B4C">
        <w:rPr>
          <w:sz w:val="20"/>
          <w:szCs w:val="20"/>
        </w:rPr>
        <w:tab/>
        <w:t>(e)</w:t>
      </w:r>
      <w:r>
        <w:rPr>
          <w:b/>
          <w:sz w:val="20"/>
          <w:szCs w:val="20"/>
        </w:rPr>
        <w:tab/>
      </w:r>
      <w:r w:rsidR="00153CD2" w:rsidRPr="0053437C">
        <w:rPr>
          <w:b/>
          <w:sz w:val="20"/>
          <w:szCs w:val="20"/>
        </w:rPr>
        <w:t xml:space="preserve">Establish a national mechanism for </w:t>
      </w:r>
      <w:r w:rsidR="007410E0" w:rsidRPr="0053437C">
        <w:rPr>
          <w:b/>
          <w:sz w:val="20"/>
          <w:szCs w:val="20"/>
        </w:rPr>
        <w:t>implementing</w:t>
      </w:r>
      <w:r w:rsidR="00153CD2" w:rsidRPr="0053437C">
        <w:rPr>
          <w:b/>
          <w:sz w:val="20"/>
          <w:szCs w:val="20"/>
        </w:rPr>
        <w:t xml:space="preserve"> treaty bodies decisions including recommendations of the CEDAW case X. and Y. v. Georgia (N° 24/2009) on allocation of adequate financial compensation to the victims</w:t>
      </w:r>
      <w:r w:rsidR="00753529" w:rsidRPr="0053437C">
        <w:rPr>
          <w:b/>
          <w:sz w:val="20"/>
          <w:szCs w:val="20"/>
        </w:rPr>
        <w:t xml:space="preserve">, </w:t>
      </w:r>
    </w:p>
    <w:p w:rsidR="009C557D" w:rsidRPr="0053437C" w:rsidRDefault="0053437C" w:rsidP="0053437C">
      <w:pPr>
        <w:pStyle w:val="SingleTxtG"/>
        <w:rPr>
          <w:b/>
          <w:sz w:val="20"/>
          <w:szCs w:val="20"/>
        </w:rPr>
      </w:pPr>
      <w:r w:rsidRPr="008B1B4C">
        <w:rPr>
          <w:sz w:val="20"/>
          <w:szCs w:val="20"/>
        </w:rPr>
        <w:tab/>
        <w:t>(f)</w:t>
      </w:r>
      <w:r>
        <w:rPr>
          <w:b/>
          <w:sz w:val="20"/>
          <w:szCs w:val="20"/>
        </w:rPr>
        <w:tab/>
      </w:r>
      <w:r w:rsidR="009C557D" w:rsidRPr="0053437C">
        <w:rPr>
          <w:b/>
          <w:sz w:val="20"/>
          <w:szCs w:val="20"/>
        </w:rPr>
        <w:t>Ensu</w:t>
      </w:r>
      <w:r w:rsidR="000A4DC4" w:rsidRPr="0053437C">
        <w:rPr>
          <w:b/>
          <w:sz w:val="20"/>
          <w:szCs w:val="20"/>
        </w:rPr>
        <w:t>r</w:t>
      </w:r>
      <w:r w:rsidR="009C557D" w:rsidRPr="0053437C">
        <w:rPr>
          <w:b/>
          <w:sz w:val="20"/>
          <w:szCs w:val="20"/>
        </w:rPr>
        <w:t>e that legislation is applied by all authorities that deal wi</w:t>
      </w:r>
      <w:r w:rsidR="00F1164D" w:rsidRPr="0053437C">
        <w:rPr>
          <w:b/>
          <w:sz w:val="20"/>
          <w:szCs w:val="20"/>
        </w:rPr>
        <w:t>th family issues including the Men’s Elderly Council and Women’s Elderly C</w:t>
      </w:r>
      <w:r w:rsidR="009C557D" w:rsidRPr="0053437C">
        <w:rPr>
          <w:b/>
          <w:sz w:val="20"/>
          <w:szCs w:val="20"/>
        </w:rPr>
        <w:t>ouncil</w:t>
      </w:r>
      <w:r w:rsidR="00753529" w:rsidRPr="0053437C">
        <w:rPr>
          <w:b/>
          <w:sz w:val="20"/>
          <w:szCs w:val="20"/>
        </w:rPr>
        <w:t xml:space="preserve"> who should interpret religious norms in line with</w:t>
      </w:r>
      <w:r w:rsidR="00D755D9" w:rsidRPr="0053437C">
        <w:rPr>
          <w:b/>
          <w:sz w:val="20"/>
          <w:szCs w:val="20"/>
        </w:rPr>
        <w:t xml:space="preserve"> international human rights law and standards.</w:t>
      </w:r>
    </w:p>
    <w:p w:rsidR="008D1A0F" w:rsidRPr="0053437C" w:rsidRDefault="0053437C" w:rsidP="0053437C">
      <w:pPr>
        <w:pStyle w:val="SingleTxtG"/>
        <w:rPr>
          <w:b/>
          <w:sz w:val="20"/>
          <w:szCs w:val="20"/>
        </w:rPr>
      </w:pPr>
      <w:r>
        <w:rPr>
          <w:b/>
          <w:sz w:val="20"/>
          <w:szCs w:val="20"/>
        </w:rPr>
        <w:tab/>
      </w:r>
      <w:r w:rsidRPr="008B1B4C">
        <w:rPr>
          <w:sz w:val="20"/>
          <w:szCs w:val="20"/>
        </w:rPr>
        <w:t>(g)</w:t>
      </w:r>
      <w:r>
        <w:rPr>
          <w:b/>
          <w:sz w:val="20"/>
          <w:szCs w:val="20"/>
        </w:rPr>
        <w:tab/>
      </w:r>
      <w:r w:rsidR="00F61F2B" w:rsidRPr="0053437C">
        <w:rPr>
          <w:b/>
          <w:sz w:val="20"/>
          <w:szCs w:val="20"/>
        </w:rPr>
        <w:t xml:space="preserve">Revise the Law on the Prevention of Domestic Violence, Protection of and Assistance to Victims of Domestic Violence and expand its scope to violence to violence against women </w:t>
      </w:r>
    </w:p>
    <w:p w:rsidR="00F61F2B" w:rsidRPr="0053437C" w:rsidRDefault="0053437C" w:rsidP="0053437C">
      <w:pPr>
        <w:pStyle w:val="SingleTxtG"/>
        <w:rPr>
          <w:b/>
          <w:sz w:val="20"/>
          <w:szCs w:val="20"/>
        </w:rPr>
      </w:pPr>
      <w:r>
        <w:rPr>
          <w:b/>
          <w:sz w:val="20"/>
          <w:szCs w:val="20"/>
        </w:rPr>
        <w:tab/>
      </w:r>
      <w:r w:rsidRPr="008B1B4C">
        <w:rPr>
          <w:sz w:val="20"/>
          <w:szCs w:val="20"/>
        </w:rPr>
        <w:t>(h)</w:t>
      </w:r>
      <w:r>
        <w:rPr>
          <w:b/>
          <w:sz w:val="20"/>
          <w:szCs w:val="20"/>
        </w:rPr>
        <w:tab/>
      </w:r>
      <w:r w:rsidR="00F61F2B" w:rsidRPr="0053437C">
        <w:rPr>
          <w:b/>
          <w:sz w:val="20"/>
          <w:szCs w:val="20"/>
        </w:rPr>
        <w:t xml:space="preserve">Remove the restrictive </w:t>
      </w:r>
      <w:r w:rsidR="00753529" w:rsidRPr="0053437C">
        <w:rPr>
          <w:b/>
          <w:sz w:val="20"/>
          <w:szCs w:val="20"/>
        </w:rPr>
        <w:t xml:space="preserve">legal and administrative </w:t>
      </w:r>
      <w:r w:rsidR="00F61F2B" w:rsidRPr="0053437C">
        <w:rPr>
          <w:b/>
          <w:sz w:val="20"/>
          <w:szCs w:val="20"/>
        </w:rPr>
        <w:t xml:space="preserve">determination of status of victim of domestic violence in order to ensure immediate availability of all </w:t>
      </w:r>
      <w:r w:rsidR="00547B82" w:rsidRPr="0053437C">
        <w:rPr>
          <w:b/>
          <w:sz w:val="20"/>
          <w:szCs w:val="20"/>
        </w:rPr>
        <w:t xml:space="preserve">protective measures </w:t>
      </w:r>
      <w:r w:rsidR="00753529" w:rsidRPr="0053437C">
        <w:rPr>
          <w:b/>
          <w:sz w:val="20"/>
          <w:szCs w:val="20"/>
        </w:rPr>
        <w:t>(</w:t>
      </w:r>
      <w:r w:rsidR="0039056B" w:rsidRPr="0053437C">
        <w:rPr>
          <w:b/>
          <w:bCs/>
          <w:sz w:val="20"/>
          <w:szCs w:val="20"/>
        </w:rPr>
        <w:t>restraining</w:t>
      </w:r>
      <w:r w:rsidR="0039056B" w:rsidRPr="0053437C">
        <w:rPr>
          <w:b/>
          <w:sz w:val="20"/>
          <w:szCs w:val="20"/>
        </w:rPr>
        <w:t xml:space="preserve"> </w:t>
      </w:r>
      <w:r w:rsidR="00753529" w:rsidRPr="0053437C">
        <w:rPr>
          <w:b/>
          <w:sz w:val="20"/>
          <w:szCs w:val="20"/>
        </w:rPr>
        <w:t xml:space="preserve">and </w:t>
      </w:r>
      <w:r w:rsidR="006C3B49" w:rsidRPr="0053437C">
        <w:rPr>
          <w:b/>
          <w:sz w:val="20"/>
          <w:szCs w:val="20"/>
        </w:rPr>
        <w:t>protective</w:t>
      </w:r>
      <w:r w:rsidR="00753529" w:rsidRPr="0053437C">
        <w:rPr>
          <w:b/>
          <w:sz w:val="20"/>
          <w:szCs w:val="20"/>
        </w:rPr>
        <w:t xml:space="preserve"> orders) </w:t>
      </w:r>
      <w:r w:rsidR="00547B82" w:rsidRPr="0053437C">
        <w:rPr>
          <w:b/>
          <w:sz w:val="20"/>
          <w:szCs w:val="20"/>
        </w:rPr>
        <w:t xml:space="preserve">and </w:t>
      </w:r>
      <w:r w:rsidR="00F61F2B" w:rsidRPr="0053437C">
        <w:rPr>
          <w:b/>
          <w:sz w:val="20"/>
          <w:szCs w:val="20"/>
        </w:rPr>
        <w:t xml:space="preserve">services </w:t>
      </w:r>
      <w:r w:rsidR="00881A03" w:rsidRPr="0053437C">
        <w:rPr>
          <w:b/>
          <w:sz w:val="20"/>
          <w:szCs w:val="20"/>
        </w:rPr>
        <w:t>(</w:t>
      </w:r>
      <w:r w:rsidR="00753529" w:rsidRPr="0053437C">
        <w:rPr>
          <w:b/>
          <w:sz w:val="20"/>
          <w:szCs w:val="20"/>
        </w:rPr>
        <w:t xml:space="preserve">shelters) </w:t>
      </w:r>
      <w:r w:rsidR="00547B82" w:rsidRPr="0053437C">
        <w:rPr>
          <w:b/>
          <w:sz w:val="20"/>
          <w:szCs w:val="20"/>
        </w:rPr>
        <w:t>to victims</w:t>
      </w:r>
      <w:r w:rsidR="00F61F2B" w:rsidRPr="0053437C">
        <w:rPr>
          <w:b/>
          <w:sz w:val="20"/>
          <w:szCs w:val="20"/>
        </w:rPr>
        <w:t xml:space="preserve"> of violence, </w:t>
      </w:r>
    </w:p>
    <w:p w:rsidR="00F61F2B" w:rsidRPr="0053437C" w:rsidRDefault="0053437C" w:rsidP="0053437C">
      <w:pPr>
        <w:pStyle w:val="SingleTxtG"/>
        <w:rPr>
          <w:b/>
          <w:sz w:val="20"/>
          <w:szCs w:val="20"/>
        </w:rPr>
      </w:pPr>
      <w:r w:rsidRPr="008B1B4C">
        <w:rPr>
          <w:sz w:val="20"/>
          <w:szCs w:val="20"/>
        </w:rPr>
        <w:tab/>
        <w:t>(</w:t>
      </w:r>
      <w:proofErr w:type="spellStart"/>
      <w:proofErr w:type="gramStart"/>
      <w:r w:rsidRPr="008B1B4C">
        <w:rPr>
          <w:sz w:val="20"/>
          <w:szCs w:val="20"/>
        </w:rPr>
        <w:t>i</w:t>
      </w:r>
      <w:proofErr w:type="spellEnd"/>
      <w:proofErr w:type="gramEnd"/>
      <w:r w:rsidRPr="008B1B4C">
        <w:rPr>
          <w:sz w:val="20"/>
          <w:szCs w:val="20"/>
        </w:rPr>
        <w:t>)</w:t>
      </w:r>
      <w:r>
        <w:rPr>
          <w:b/>
          <w:sz w:val="20"/>
          <w:szCs w:val="20"/>
        </w:rPr>
        <w:tab/>
      </w:r>
      <w:r w:rsidR="00DA0067" w:rsidRPr="0053437C">
        <w:rPr>
          <w:b/>
          <w:sz w:val="20"/>
          <w:szCs w:val="20"/>
        </w:rPr>
        <w:t>Amend</w:t>
      </w:r>
      <w:r w:rsidR="00547B82" w:rsidRPr="0053437C">
        <w:rPr>
          <w:b/>
          <w:sz w:val="20"/>
          <w:szCs w:val="20"/>
        </w:rPr>
        <w:t xml:space="preserve"> the definition of rape in the Criminal Code to </w:t>
      </w:r>
      <w:r w:rsidR="008175B1" w:rsidRPr="0053437C">
        <w:rPr>
          <w:b/>
          <w:sz w:val="20"/>
          <w:szCs w:val="20"/>
        </w:rPr>
        <w:t>bring</w:t>
      </w:r>
      <w:r w:rsidR="00547B82" w:rsidRPr="0053437C">
        <w:rPr>
          <w:b/>
          <w:sz w:val="20"/>
          <w:szCs w:val="20"/>
        </w:rPr>
        <w:t xml:space="preserve"> it in </w:t>
      </w:r>
      <w:r w:rsidR="008175B1" w:rsidRPr="0053437C">
        <w:rPr>
          <w:b/>
          <w:sz w:val="20"/>
          <w:szCs w:val="20"/>
        </w:rPr>
        <w:t xml:space="preserve">compliance </w:t>
      </w:r>
      <w:r w:rsidR="00547B82" w:rsidRPr="0053437C">
        <w:rPr>
          <w:b/>
          <w:sz w:val="20"/>
          <w:szCs w:val="20"/>
        </w:rPr>
        <w:t xml:space="preserve">with the CEDAW and Istanbul conventions, </w:t>
      </w:r>
    </w:p>
    <w:p w:rsidR="00DA0067" w:rsidRPr="0053437C" w:rsidRDefault="0053437C" w:rsidP="0053437C">
      <w:pPr>
        <w:pStyle w:val="SingleTxtG"/>
        <w:rPr>
          <w:rFonts w:eastAsia="SimSun"/>
          <w:b/>
          <w:sz w:val="20"/>
          <w:szCs w:val="20"/>
          <w:lang w:val="en-US" w:eastAsia="en-GB"/>
        </w:rPr>
      </w:pPr>
      <w:r>
        <w:rPr>
          <w:rFonts w:eastAsia="SimSun"/>
          <w:b/>
          <w:sz w:val="20"/>
          <w:szCs w:val="20"/>
          <w:lang w:val="en-US" w:eastAsia="en-GB"/>
        </w:rPr>
        <w:tab/>
      </w:r>
      <w:r w:rsidRPr="008B1B4C">
        <w:rPr>
          <w:rFonts w:eastAsia="SimSun"/>
          <w:sz w:val="20"/>
          <w:szCs w:val="20"/>
          <w:lang w:val="en-US" w:eastAsia="en-GB"/>
        </w:rPr>
        <w:t>(j)</w:t>
      </w:r>
      <w:r>
        <w:rPr>
          <w:rFonts w:eastAsia="SimSun"/>
          <w:b/>
          <w:sz w:val="20"/>
          <w:szCs w:val="20"/>
          <w:lang w:val="en-US" w:eastAsia="en-GB"/>
        </w:rPr>
        <w:tab/>
      </w:r>
      <w:r w:rsidR="009A322B" w:rsidRPr="0053437C">
        <w:rPr>
          <w:rFonts w:eastAsia="SimSun"/>
          <w:b/>
          <w:sz w:val="20"/>
          <w:szCs w:val="20"/>
          <w:lang w:val="en-US" w:eastAsia="en-GB"/>
        </w:rPr>
        <w:t xml:space="preserve">Consider </w:t>
      </w:r>
      <w:r w:rsidR="00881A03" w:rsidRPr="0053437C">
        <w:rPr>
          <w:rFonts w:eastAsia="SimSun"/>
          <w:b/>
          <w:sz w:val="20"/>
          <w:szCs w:val="20"/>
          <w:lang w:val="en-US" w:eastAsia="en-GB"/>
        </w:rPr>
        <w:t xml:space="preserve">the </w:t>
      </w:r>
      <w:r w:rsidR="009A322B" w:rsidRPr="0053437C">
        <w:rPr>
          <w:rFonts w:eastAsia="SimSun"/>
          <w:b/>
          <w:sz w:val="20"/>
          <w:szCs w:val="20"/>
          <w:lang w:val="en-US" w:eastAsia="en-GB"/>
        </w:rPr>
        <w:t xml:space="preserve">inclusion of the provision of Battered Women Syndrome (BWS) as a mitigating circumstance </w:t>
      </w:r>
      <w:r w:rsidR="008175B1" w:rsidRPr="0053437C">
        <w:rPr>
          <w:rFonts w:eastAsia="SimSun"/>
          <w:b/>
          <w:sz w:val="20"/>
          <w:szCs w:val="20"/>
          <w:lang w:val="en-US" w:eastAsia="en-GB"/>
        </w:rPr>
        <w:t>when</w:t>
      </w:r>
      <w:r w:rsidR="009A322B" w:rsidRPr="0053437C">
        <w:rPr>
          <w:rFonts w:eastAsia="SimSun"/>
          <w:b/>
          <w:sz w:val="20"/>
          <w:szCs w:val="20"/>
          <w:lang w:val="en-US" w:eastAsia="en-GB"/>
        </w:rPr>
        <w:t xml:space="preserve"> wives exposed to long-term domestic violence, kill their spouses.</w:t>
      </w:r>
    </w:p>
    <w:p w:rsidR="00DA0067" w:rsidRPr="0053437C" w:rsidRDefault="0053437C" w:rsidP="0053437C">
      <w:pPr>
        <w:pStyle w:val="SingleTxtG"/>
        <w:rPr>
          <w:b/>
          <w:sz w:val="20"/>
          <w:szCs w:val="20"/>
        </w:rPr>
      </w:pPr>
      <w:r>
        <w:rPr>
          <w:b/>
          <w:sz w:val="20"/>
          <w:szCs w:val="20"/>
        </w:rPr>
        <w:tab/>
      </w:r>
      <w:r w:rsidRPr="008B1B4C">
        <w:rPr>
          <w:sz w:val="20"/>
          <w:szCs w:val="20"/>
        </w:rPr>
        <w:t>(k)</w:t>
      </w:r>
      <w:r>
        <w:rPr>
          <w:b/>
          <w:sz w:val="20"/>
          <w:szCs w:val="20"/>
        </w:rPr>
        <w:tab/>
      </w:r>
      <w:r w:rsidR="00547B82" w:rsidRPr="0053437C">
        <w:rPr>
          <w:b/>
          <w:sz w:val="20"/>
          <w:szCs w:val="20"/>
        </w:rPr>
        <w:t xml:space="preserve">Amend the current provision </w:t>
      </w:r>
      <w:r w:rsidR="008175B1" w:rsidRPr="0053437C">
        <w:rPr>
          <w:b/>
          <w:sz w:val="20"/>
          <w:szCs w:val="20"/>
        </w:rPr>
        <w:t>related to</w:t>
      </w:r>
      <w:r w:rsidR="00547B82" w:rsidRPr="0053437C">
        <w:rPr>
          <w:b/>
          <w:sz w:val="20"/>
          <w:szCs w:val="20"/>
        </w:rPr>
        <w:t xml:space="preserve"> mediation </w:t>
      </w:r>
      <w:r w:rsidR="008175B1" w:rsidRPr="0053437C">
        <w:rPr>
          <w:b/>
          <w:sz w:val="20"/>
          <w:szCs w:val="20"/>
        </w:rPr>
        <w:t>to</w:t>
      </w:r>
      <w:r w:rsidR="00547B82" w:rsidRPr="0053437C">
        <w:rPr>
          <w:b/>
          <w:sz w:val="20"/>
          <w:szCs w:val="20"/>
        </w:rPr>
        <w:t xml:space="preserve"> </w:t>
      </w:r>
      <w:r w:rsidR="00470BBF" w:rsidRPr="0053437C">
        <w:rPr>
          <w:b/>
          <w:sz w:val="20"/>
          <w:szCs w:val="20"/>
        </w:rPr>
        <w:t>ensure that there is no mandatory mediation in cases of violence against women</w:t>
      </w:r>
      <w:r w:rsidR="00DA0067" w:rsidRPr="0053437C">
        <w:rPr>
          <w:b/>
          <w:sz w:val="20"/>
          <w:szCs w:val="20"/>
        </w:rPr>
        <w:t>,</w:t>
      </w:r>
    </w:p>
    <w:p w:rsidR="0065771B" w:rsidRPr="0053437C" w:rsidRDefault="0053437C" w:rsidP="0053437C">
      <w:pPr>
        <w:pStyle w:val="SingleTxtG"/>
        <w:rPr>
          <w:b/>
          <w:sz w:val="20"/>
          <w:szCs w:val="20"/>
        </w:rPr>
      </w:pPr>
      <w:r>
        <w:rPr>
          <w:b/>
          <w:sz w:val="20"/>
          <w:szCs w:val="20"/>
        </w:rPr>
        <w:tab/>
      </w:r>
      <w:r w:rsidRPr="008B1B4C">
        <w:rPr>
          <w:sz w:val="20"/>
          <w:szCs w:val="20"/>
        </w:rPr>
        <w:t>(l)</w:t>
      </w:r>
      <w:r>
        <w:rPr>
          <w:b/>
          <w:sz w:val="20"/>
          <w:szCs w:val="20"/>
        </w:rPr>
        <w:tab/>
      </w:r>
      <w:r w:rsidR="00185544" w:rsidRPr="0053437C">
        <w:rPr>
          <w:b/>
          <w:sz w:val="20"/>
          <w:szCs w:val="20"/>
        </w:rPr>
        <w:t xml:space="preserve">Amend </w:t>
      </w:r>
      <w:r w:rsidR="006C3B49" w:rsidRPr="0053437C">
        <w:rPr>
          <w:b/>
          <w:sz w:val="20"/>
          <w:szCs w:val="20"/>
        </w:rPr>
        <w:t>the following</w:t>
      </w:r>
      <w:r w:rsidR="00185544" w:rsidRPr="0053437C">
        <w:rPr>
          <w:b/>
          <w:sz w:val="20"/>
          <w:szCs w:val="20"/>
        </w:rPr>
        <w:t xml:space="preserve"> laws</w:t>
      </w:r>
      <w:r w:rsidR="006C3B49" w:rsidRPr="0053437C">
        <w:rPr>
          <w:b/>
          <w:sz w:val="20"/>
          <w:szCs w:val="20"/>
        </w:rPr>
        <w:t>: Law on Medical Practice, Law on Patient Rights, Law on Higher Education,</w:t>
      </w:r>
      <w:r w:rsidR="00185544" w:rsidRPr="0053437C">
        <w:rPr>
          <w:b/>
          <w:sz w:val="20"/>
          <w:szCs w:val="20"/>
        </w:rPr>
        <w:t xml:space="preserve"> </w:t>
      </w:r>
      <w:r w:rsidR="006C3B49" w:rsidRPr="0053437C">
        <w:rPr>
          <w:b/>
          <w:sz w:val="20"/>
          <w:szCs w:val="20"/>
        </w:rPr>
        <w:t>Law on General Education and Law on Lawyers</w:t>
      </w:r>
      <w:r w:rsidR="00185544" w:rsidRPr="0053437C">
        <w:rPr>
          <w:b/>
          <w:sz w:val="20"/>
          <w:szCs w:val="20"/>
        </w:rPr>
        <w:t xml:space="preserve"> to allow doctors, medical personnel, teachers and lawyers not to be bound by the confidentiality obligation if they report to the relevant governmental agencies cases of violence against women and domestic violence</w:t>
      </w:r>
      <w:r w:rsidR="00DA0067" w:rsidRPr="0053437C">
        <w:rPr>
          <w:b/>
          <w:sz w:val="20"/>
          <w:szCs w:val="20"/>
        </w:rPr>
        <w:t xml:space="preserve"> and provide training</w:t>
      </w:r>
      <w:r w:rsidR="006C3B49" w:rsidRPr="0053437C">
        <w:rPr>
          <w:b/>
          <w:sz w:val="20"/>
          <w:szCs w:val="20"/>
        </w:rPr>
        <w:t xml:space="preserve"> to</w:t>
      </w:r>
      <w:r w:rsidR="00DA0067" w:rsidRPr="0053437C">
        <w:rPr>
          <w:b/>
          <w:sz w:val="20"/>
          <w:szCs w:val="20"/>
        </w:rPr>
        <w:t xml:space="preserve"> </w:t>
      </w:r>
      <w:r w:rsidR="006C3B49" w:rsidRPr="0053437C">
        <w:rPr>
          <w:b/>
          <w:sz w:val="20"/>
          <w:szCs w:val="20"/>
        </w:rPr>
        <w:t xml:space="preserve">them </w:t>
      </w:r>
      <w:r w:rsidR="00DA0067" w:rsidRPr="0053437C">
        <w:rPr>
          <w:b/>
          <w:sz w:val="20"/>
          <w:szCs w:val="20"/>
        </w:rPr>
        <w:t>on prevention and detection on such violence</w:t>
      </w:r>
      <w:r w:rsidR="00185544" w:rsidRPr="0053437C">
        <w:rPr>
          <w:b/>
          <w:sz w:val="20"/>
          <w:szCs w:val="20"/>
        </w:rPr>
        <w:t>.</w:t>
      </w:r>
    </w:p>
    <w:p w:rsidR="0065771B" w:rsidRPr="0053437C" w:rsidRDefault="0053437C" w:rsidP="0053437C">
      <w:pPr>
        <w:pStyle w:val="SingleTxtG"/>
        <w:rPr>
          <w:b/>
          <w:sz w:val="20"/>
          <w:szCs w:val="20"/>
        </w:rPr>
      </w:pPr>
      <w:r>
        <w:rPr>
          <w:b/>
          <w:sz w:val="20"/>
          <w:szCs w:val="20"/>
        </w:rPr>
        <w:tab/>
      </w:r>
      <w:r w:rsidRPr="008B1B4C">
        <w:rPr>
          <w:sz w:val="20"/>
          <w:szCs w:val="20"/>
        </w:rPr>
        <w:t>(m)</w:t>
      </w:r>
      <w:r>
        <w:rPr>
          <w:b/>
          <w:sz w:val="20"/>
          <w:szCs w:val="20"/>
        </w:rPr>
        <w:tab/>
      </w:r>
      <w:r w:rsidR="0065771B" w:rsidRPr="0053437C">
        <w:rPr>
          <w:b/>
          <w:sz w:val="20"/>
          <w:szCs w:val="20"/>
        </w:rPr>
        <w:t>Amend the Law of Georgia on the Legal Status of Aliens and Stateless Persons, to allow a foreign woman who is victim of violence to be able to receive a temporary residence permit,</w:t>
      </w:r>
    </w:p>
    <w:p w:rsidR="0065771B" w:rsidRPr="0053437C" w:rsidRDefault="0053437C" w:rsidP="0053437C">
      <w:pPr>
        <w:pStyle w:val="SingleTxtG"/>
        <w:rPr>
          <w:b/>
          <w:sz w:val="20"/>
          <w:szCs w:val="20"/>
        </w:rPr>
      </w:pPr>
      <w:r>
        <w:rPr>
          <w:b/>
          <w:sz w:val="20"/>
          <w:szCs w:val="20"/>
        </w:rPr>
        <w:tab/>
      </w:r>
      <w:r w:rsidRPr="008B1B4C">
        <w:rPr>
          <w:sz w:val="20"/>
          <w:szCs w:val="20"/>
        </w:rPr>
        <w:t>(n)</w:t>
      </w:r>
      <w:r>
        <w:rPr>
          <w:b/>
          <w:sz w:val="20"/>
          <w:szCs w:val="20"/>
        </w:rPr>
        <w:tab/>
      </w:r>
      <w:r w:rsidR="0065771B" w:rsidRPr="0053437C">
        <w:rPr>
          <w:b/>
          <w:sz w:val="20"/>
          <w:szCs w:val="20"/>
        </w:rPr>
        <w:t xml:space="preserve">Analyse the efficiency of </w:t>
      </w:r>
      <w:r w:rsidR="0039056B" w:rsidRPr="0053437C">
        <w:rPr>
          <w:b/>
          <w:bCs/>
          <w:sz w:val="20"/>
          <w:szCs w:val="20"/>
        </w:rPr>
        <w:t>restraining</w:t>
      </w:r>
      <w:r w:rsidR="0039056B" w:rsidRPr="0053437C">
        <w:rPr>
          <w:b/>
          <w:sz w:val="20"/>
          <w:szCs w:val="20"/>
        </w:rPr>
        <w:t xml:space="preserve"> </w:t>
      </w:r>
      <w:r w:rsidR="0065771B" w:rsidRPr="0053437C">
        <w:rPr>
          <w:b/>
          <w:sz w:val="20"/>
          <w:szCs w:val="20"/>
        </w:rPr>
        <w:t xml:space="preserve">and </w:t>
      </w:r>
      <w:r w:rsidR="0039056B" w:rsidRPr="0053437C">
        <w:rPr>
          <w:b/>
          <w:sz w:val="20"/>
          <w:szCs w:val="20"/>
        </w:rPr>
        <w:t>protective</w:t>
      </w:r>
      <w:r w:rsidR="0024358E" w:rsidRPr="0053437C">
        <w:rPr>
          <w:b/>
          <w:sz w:val="20"/>
          <w:szCs w:val="20"/>
        </w:rPr>
        <w:t xml:space="preserve"> </w:t>
      </w:r>
      <w:r w:rsidR="0065771B" w:rsidRPr="0053437C">
        <w:rPr>
          <w:b/>
          <w:sz w:val="20"/>
          <w:szCs w:val="20"/>
        </w:rPr>
        <w:t xml:space="preserve">orders including the reasons of the significant differences between the high number of issuance of </w:t>
      </w:r>
      <w:r w:rsidR="0039056B" w:rsidRPr="0053437C">
        <w:rPr>
          <w:b/>
          <w:bCs/>
          <w:sz w:val="20"/>
          <w:szCs w:val="20"/>
        </w:rPr>
        <w:t>restraining</w:t>
      </w:r>
      <w:r w:rsidR="0039056B" w:rsidRPr="0053437C">
        <w:rPr>
          <w:b/>
          <w:sz w:val="20"/>
          <w:szCs w:val="20"/>
        </w:rPr>
        <w:t xml:space="preserve"> </w:t>
      </w:r>
      <w:r w:rsidR="0065771B" w:rsidRPr="0053437C">
        <w:rPr>
          <w:b/>
          <w:sz w:val="20"/>
          <w:szCs w:val="20"/>
        </w:rPr>
        <w:t>order</w:t>
      </w:r>
      <w:r w:rsidR="0024358E" w:rsidRPr="0053437C">
        <w:rPr>
          <w:b/>
          <w:sz w:val="20"/>
          <w:szCs w:val="20"/>
        </w:rPr>
        <w:t>s</w:t>
      </w:r>
      <w:r w:rsidR="0065771B" w:rsidRPr="0053437C">
        <w:rPr>
          <w:b/>
          <w:sz w:val="20"/>
          <w:szCs w:val="20"/>
        </w:rPr>
        <w:t xml:space="preserve"> and very low number of </w:t>
      </w:r>
      <w:r w:rsidR="0039056B" w:rsidRPr="0053437C">
        <w:rPr>
          <w:b/>
          <w:sz w:val="20"/>
          <w:szCs w:val="20"/>
        </w:rPr>
        <w:t xml:space="preserve">protective </w:t>
      </w:r>
      <w:r w:rsidR="0065771B" w:rsidRPr="0053437C">
        <w:rPr>
          <w:b/>
          <w:sz w:val="20"/>
          <w:szCs w:val="20"/>
        </w:rPr>
        <w:t xml:space="preserve">orders, and ensure that the restraining order are valid immediately after their issuance by a police officer, </w:t>
      </w:r>
    </w:p>
    <w:p w:rsidR="0065771B" w:rsidRPr="0053437C" w:rsidRDefault="0053437C" w:rsidP="0053437C">
      <w:pPr>
        <w:pStyle w:val="SingleTxtG"/>
        <w:rPr>
          <w:b/>
          <w:sz w:val="20"/>
          <w:szCs w:val="20"/>
        </w:rPr>
      </w:pPr>
      <w:r>
        <w:rPr>
          <w:b/>
          <w:sz w:val="20"/>
          <w:szCs w:val="20"/>
        </w:rPr>
        <w:tab/>
      </w:r>
      <w:r w:rsidRPr="008B1B4C">
        <w:rPr>
          <w:sz w:val="20"/>
          <w:szCs w:val="20"/>
        </w:rPr>
        <w:t>(o)</w:t>
      </w:r>
      <w:r>
        <w:rPr>
          <w:b/>
          <w:sz w:val="20"/>
          <w:szCs w:val="20"/>
        </w:rPr>
        <w:tab/>
      </w:r>
      <w:r w:rsidR="0065771B" w:rsidRPr="0053437C">
        <w:rPr>
          <w:b/>
          <w:sz w:val="20"/>
          <w:szCs w:val="20"/>
        </w:rPr>
        <w:t>Elaborate the law on medically assisted procreation including on surrogacy in order to establish legal grounds for such procedure and to protect women and children</w:t>
      </w:r>
      <w:r w:rsidR="0024358E" w:rsidRPr="0053437C">
        <w:rPr>
          <w:b/>
          <w:sz w:val="20"/>
          <w:szCs w:val="20"/>
        </w:rPr>
        <w:t>’s rights</w:t>
      </w:r>
      <w:r w:rsidR="0065771B" w:rsidRPr="0053437C">
        <w:rPr>
          <w:b/>
          <w:sz w:val="20"/>
          <w:szCs w:val="20"/>
        </w:rPr>
        <w:t xml:space="preserve"> who are subjected to </w:t>
      </w:r>
      <w:r w:rsidR="0024358E" w:rsidRPr="0053437C">
        <w:rPr>
          <w:b/>
          <w:sz w:val="20"/>
          <w:szCs w:val="20"/>
        </w:rPr>
        <w:t>surrogacy</w:t>
      </w:r>
    </w:p>
    <w:p w:rsidR="0065771B" w:rsidRPr="0053437C" w:rsidRDefault="0053437C" w:rsidP="0053437C">
      <w:pPr>
        <w:pStyle w:val="SingleTxtG"/>
        <w:rPr>
          <w:b/>
          <w:sz w:val="20"/>
          <w:szCs w:val="20"/>
        </w:rPr>
      </w:pPr>
      <w:r>
        <w:rPr>
          <w:b/>
          <w:sz w:val="20"/>
          <w:szCs w:val="20"/>
        </w:rPr>
        <w:tab/>
      </w:r>
      <w:r w:rsidRPr="008B1B4C">
        <w:rPr>
          <w:sz w:val="20"/>
          <w:szCs w:val="20"/>
        </w:rPr>
        <w:t>(p)</w:t>
      </w:r>
      <w:r>
        <w:rPr>
          <w:b/>
          <w:sz w:val="20"/>
          <w:szCs w:val="20"/>
        </w:rPr>
        <w:tab/>
      </w:r>
      <w:r w:rsidR="0065771B" w:rsidRPr="0053437C">
        <w:rPr>
          <w:b/>
          <w:sz w:val="20"/>
          <w:szCs w:val="20"/>
        </w:rPr>
        <w:t xml:space="preserve">Introduce legal requirements for </w:t>
      </w:r>
      <w:r w:rsidR="0024358E" w:rsidRPr="0053437C">
        <w:rPr>
          <w:b/>
          <w:sz w:val="20"/>
          <w:szCs w:val="20"/>
        </w:rPr>
        <w:t xml:space="preserve">the </w:t>
      </w:r>
      <w:r w:rsidR="0065771B" w:rsidRPr="0053437C">
        <w:rPr>
          <w:b/>
          <w:sz w:val="20"/>
          <w:szCs w:val="20"/>
        </w:rPr>
        <w:t>protection of women’s rights to privacy and fully informed consent for virginity test</w:t>
      </w:r>
      <w:r w:rsidR="006C3B49" w:rsidRPr="0053437C">
        <w:rPr>
          <w:b/>
          <w:sz w:val="20"/>
          <w:szCs w:val="20"/>
        </w:rPr>
        <w:t>s</w:t>
      </w:r>
    </w:p>
    <w:p w:rsidR="0065771B" w:rsidRPr="0053437C" w:rsidRDefault="0053437C" w:rsidP="0053437C">
      <w:pPr>
        <w:pStyle w:val="SingleTxtG"/>
        <w:rPr>
          <w:b/>
          <w:sz w:val="20"/>
          <w:szCs w:val="20"/>
        </w:rPr>
      </w:pPr>
      <w:r>
        <w:rPr>
          <w:b/>
          <w:sz w:val="20"/>
          <w:szCs w:val="20"/>
        </w:rPr>
        <w:lastRenderedPageBreak/>
        <w:tab/>
      </w:r>
      <w:r w:rsidRPr="008B1B4C">
        <w:rPr>
          <w:sz w:val="20"/>
          <w:szCs w:val="20"/>
        </w:rPr>
        <w:t>(q)</w:t>
      </w:r>
      <w:r>
        <w:rPr>
          <w:b/>
          <w:sz w:val="20"/>
          <w:szCs w:val="20"/>
        </w:rPr>
        <w:tab/>
      </w:r>
      <w:r w:rsidR="0065771B" w:rsidRPr="0053437C">
        <w:rPr>
          <w:b/>
          <w:sz w:val="20"/>
          <w:szCs w:val="20"/>
        </w:rPr>
        <w:t>Introduce legislation to prohibit and sanction sexual harassment in education establishments and at workplace</w:t>
      </w:r>
    </w:p>
    <w:p w:rsidR="0065771B" w:rsidRPr="0053437C" w:rsidRDefault="0053437C" w:rsidP="0053437C">
      <w:pPr>
        <w:pStyle w:val="SingleTxtG"/>
        <w:rPr>
          <w:b/>
          <w:sz w:val="20"/>
          <w:szCs w:val="20"/>
        </w:rPr>
      </w:pPr>
      <w:r>
        <w:rPr>
          <w:b/>
          <w:sz w:val="20"/>
          <w:szCs w:val="20"/>
        </w:rPr>
        <w:tab/>
      </w:r>
      <w:r w:rsidRPr="008B1B4C">
        <w:rPr>
          <w:sz w:val="20"/>
          <w:szCs w:val="20"/>
        </w:rPr>
        <w:t>(r)</w:t>
      </w:r>
      <w:r>
        <w:rPr>
          <w:b/>
          <w:sz w:val="20"/>
          <w:szCs w:val="20"/>
        </w:rPr>
        <w:tab/>
      </w:r>
      <w:r w:rsidR="0065771B" w:rsidRPr="0053437C">
        <w:rPr>
          <w:b/>
          <w:sz w:val="20"/>
          <w:szCs w:val="20"/>
        </w:rPr>
        <w:t>Introduce temporary special measure</w:t>
      </w:r>
      <w:r w:rsidR="006C3B49" w:rsidRPr="0053437C">
        <w:rPr>
          <w:b/>
          <w:sz w:val="20"/>
          <w:szCs w:val="20"/>
        </w:rPr>
        <w:t>s in line with article 4.</w:t>
      </w:r>
      <w:r w:rsidR="0065771B" w:rsidRPr="0053437C">
        <w:rPr>
          <w:b/>
          <w:sz w:val="20"/>
          <w:szCs w:val="20"/>
        </w:rPr>
        <w:t xml:space="preserve">1 of the CEDAW Convention or introduce mandatory quotas for women </w:t>
      </w:r>
      <w:proofErr w:type="gramStart"/>
      <w:r w:rsidR="0065771B" w:rsidRPr="0053437C">
        <w:rPr>
          <w:b/>
          <w:sz w:val="20"/>
          <w:szCs w:val="20"/>
        </w:rPr>
        <w:t xml:space="preserve">in  </w:t>
      </w:r>
      <w:r w:rsidR="007A02BC" w:rsidRPr="0053437C">
        <w:rPr>
          <w:b/>
          <w:sz w:val="20"/>
          <w:szCs w:val="20"/>
        </w:rPr>
        <w:t>P</w:t>
      </w:r>
      <w:r w:rsidR="0065771B" w:rsidRPr="0053437C">
        <w:rPr>
          <w:b/>
          <w:sz w:val="20"/>
          <w:szCs w:val="20"/>
        </w:rPr>
        <w:t>arliament</w:t>
      </w:r>
      <w:proofErr w:type="gramEnd"/>
    </w:p>
    <w:p w:rsidR="0065771B" w:rsidRPr="0053437C" w:rsidRDefault="0053437C" w:rsidP="0053437C">
      <w:pPr>
        <w:pStyle w:val="SingleTxtG"/>
        <w:rPr>
          <w:b/>
          <w:sz w:val="20"/>
          <w:szCs w:val="20"/>
        </w:rPr>
      </w:pPr>
      <w:r>
        <w:rPr>
          <w:b/>
          <w:sz w:val="20"/>
          <w:szCs w:val="20"/>
        </w:rPr>
        <w:tab/>
      </w:r>
      <w:r w:rsidRPr="008B1B4C">
        <w:rPr>
          <w:sz w:val="20"/>
          <w:szCs w:val="20"/>
        </w:rPr>
        <w:t>(s)</w:t>
      </w:r>
      <w:r>
        <w:rPr>
          <w:b/>
          <w:sz w:val="20"/>
          <w:szCs w:val="20"/>
        </w:rPr>
        <w:tab/>
      </w:r>
      <w:r w:rsidR="0065771B" w:rsidRPr="0053437C">
        <w:rPr>
          <w:b/>
          <w:sz w:val="20"/>
          <w:szCs w:val="20"/>
        </w:rPr>
        <w:t xml:space="preserve">Elaborate and adopt the new National Action Plan for Combatting Domestic Violence and Implementing Measures for the Protection </w:t>
      </w:r>
      <w:r w:rsidR="00D80D68" w:rsidRPr="0053437C">
        <w:rPr>
          <w:b/>
          <w:sz w:val="20"/>
          <w:szCs w:val="20"/>
        </w:rPr>
        <w:t>of Victims of Domestic Violence</w:t>
      </w:r>
    </w:p>
    <w:p w:rsidR="0065771B" w:rsidRPr="0053437C" w:rsidRDefault="0053437C" w:rsidP="0053437C">
      <w:pPr>
        <w:pStyle w:val="SingleTxtG"/>
        <w:rPr>
          <w:b/>
          <w:sz w:val="20"/>
          <w:szCs w:val="20"/>
        </w:rPr>
      </w:pPr>
      <w:r>
        <w:rPr>
          <w:b/>
          <w:sz w:val="20"/>
          <w:szCs w:val="20"/>
        </w:rPr>
        <w:tab/>
      </w:r>
      <w:r w:rsidRPr="008B1B4C">
        <w:rPr>
          <w:sz w:val="20"/>
          <w:szCs w:val="20"/>
        </w:rPr>
        <w:t>(t)</w:t>
      </w:r>
      <w:r>
        <w:rPr>
          <w:b/>
          <w:sz w:val="20"/>
          <w:szCs w:val="20"/>
        </w:rPr>
        <w:tab/>
      </w:r>
      <w:r w:rsidR="0065771B" w:rsidRPr="0053437C">
        <w:rPr>
          <w:b/>
          <w:sz w:val="20"/>
          <w:szCs w:val="20"/>
        </w:rPr>
        <w:t>Elaborate and adopt the new National Action Plan on Women, Peace and Security with the participation of all responsible agencies, in particular those working in local communities.</w:t>
      </w:r>
    </w:p>
    <w:p w:rsidR="0065771B" w:rsidRPr="0053437C" w:rsidRDefault="0053437C" w:rsidP="0053437C">
      <w:pPr>
        <w:pStyle w:val="SingleTxtG"/>
        <w:rPr>
          <w:b/>
          <w:sz w:val="20"/>
          <w:szCs w:val="20"/>
        </w:rPr>
      </w:pPr>
      <w:r>
        <w:rPr>
          <w:b/>
          <w:sz w:val="20"/>
          <w:szCs w:val="20"/>
        </w:rPr>
        <w:tab/>
      </w:r>
      <w:r w:rsidRPr="008B1B4C">
        <w:rPr>
          <w:sz w:val="20"/>
          <w:szCs w:val="20"/>
        </w:rPr>
        <w:t>(u)</w:t>
      </w:r>
      <w:r w:rsidRPr="008B1B4C">
        <w:rPr>
          <w:sz w:val="20"/>
          <w:szCs w:val="20"/>
        </w:rPr>
        <w:tab/>
      </w:r>
      <w:r w:rsidR="0065771B" w:rsidRPr="0053437C">
        <w:rPr>
          <w:b/>
          <w:sz w:val="20"/>
          <w:szCs w:val="20"/>
        </w:rPr>
        <w:t xml:space="preserve">Strengthen efforts to </w:t>
      </w:r>
      <w:r w:rsidR="00D80D68" w:rsidRPr="0053437C">
        <w:rPr>
          <w:b/>
          <w:sz w:val="20"/>
          <w:szCs w:val="20"/>
        </w:rPr>
        <w:t>combat</w:t>
      </w:r>
      <w:r w:rsidR="0024358E" w:rsidRPr="0053437C">
        <w:rPr>
          <w:b/>
          <w:sz w:val="20"/>
          <w:szCs w:val="20"/>
        </w:rPr>
        <w:t xml:space="preserve"> </w:t>
      </w:r>
      <w:r w:rsidR="0065771B" w:rsidRPr="0053437C">
        <w:rPr>
          <w:b/>
          <w:sz w:val="20"/>
          <w:szCs w:val="20"/>
        </w:rPr>
        <w:t>discriminatory gender stereotypes among the society, including in the media</w:t>
      </w:r>
    </w:p>
    <w:p w:rsidR="0065771B" w:rsidRPr="0053437C" w:rsidRDefault="0053437C" w:rsidP="0053437C">
      <w:pPr>
        <w:pStyle w:val="SingleTxtG"/>
        <w:rPr>
          <w:b/>
          <w:sz w:val="20"/>
          <w:szCs w:val="20"/>
        </w:rPr>
      </w:pPr>
      <w:r>
        <w:rPr>
          <w:b/>
          <w:sz w:val="20"/>
          <w:szCs w:val="20"/>
        </w:rPr>
        <w:tab/>
      </w:r>
      <w:r w:rsidRPr="008B1B4C">
        <w:rPr>
          <w:sz w:val="20"/>
          <w:szCs w:val="20"/>
        </w:rPr>
        <w:t>(v)</w:t>
      </w:r>
      <w:r>
        <w:rPr>
          <w:b/>
          <w:sz w:val="20"/>
          <w:szCs w:val="20"/>
        </w:rPr>
        <w:tab/>
      </w:r>
      <w:r w:rsidR="0065771B" w:rsidRPr="0053437C">
        <w:rPr>
          <w:b/>
          <w:sz w:val="20"/>
          <w:szCs w:val="20"/>
        </w:rPr>
        <w:t>Includ</w:t>
      </w:r>
      <w:r w:rsidR="00F1164D" w:rsidRPr="0053437C">
        <w:rPr>
          <w:b/>
          <w:sz w:val="20"/>
          <w:szCs w:val="20"/>
        </w:rPr>
        <w:t>e education on gender equality,</w:t>
      </w:r>
      <w:r w:rsidR="0065771B" w:rsidRPr="0053437C">
        <w:rPr>
          <w:b/>
          <w:sz w:val="20"/>
          <w:szCs w:val="20"/>
        </w:rPr>
        <w:t xml:space="preserve"> violence against women and age-appropriate sexual and reproductive health and rights in the curricula at all levels of education</w:t>
      </w:r>
    </w:p>
    <w:p w:rsidR="00991EEC" w:rsidRPr="0053437C" w:rsidRDefault="0053437C" w:rsidP="0053437C">
      <w:pPr>
        <w:pStyle w:val="SingleTxtG"/>
        <w:rPr>
          <w:b/>
          <w:sz w:val="20"/>
          <w:szCs w:val="20"/>
        </w:rPr>
      </w:pPr>
      <w:r>
        <w:rPr>
          <w:b/>
          <w:sz w:val="20"/>
          <w:szCs w:val="20"/>
        </w:rPr>
        <w:tab/>
      </w:r>
      <w:r w:rsidRPr="008B1B4C">
        <w:rPr>
          <w:sz w:val="20"/>
          <w:szCs w:val="20"/>
        </w:rPr>
        <w:t>(w)</w:t>
      </w:r>
      <w:r>
        <w:rPr>
          <w:b/>
          <w:sz w:val="20"/>
          <w:szCs w:val="20"/>
        </w:rPr>
        <w:tab/>
      </w:r>
      <w:r w:rsidR="0065771B" w:rsidRPr="0053437C">
        <w:rPr>
          <w:b/>
          <w:sz w:val="20"/>
          <w:szCs w:val="20"/>
        </w:rPr>
        <w:t xml:space="preserve">Conduct awareness-raising campaigns and programs, including in co-operation with the Public defender and civil society to increase awareness and understanding among </w:t>
      </w:r>
      <w:r w:rsidR="0024358E" w:rsidRPr="0053437C">
        <w:rPr>
          <w:b/>
          <w:sz w:val="20"/>
          <w:szCs w:val="20"/>
        </w:rPr>
        <w:t xml:space="preserve">the </w:t>
      </w:r>
      <w:r w:rsidR="0065771B" w:rsidRPr="0053437C">
        <w:rPr>
          <w:b/>
          <w:sz w:val="20"/>
          <w:szCs w:val="20"/>
        </w:rPr>
        <w:t>general public and professionals on different forms of manifestations of violence against women their causes and consequence with the aim of their prevention.</w:t>
      </w:r>
    </w:p>
    <w:p w:rsidR="0065771B" w:rsidRPr="00AD7D00" w:rsidRDefault="00A82DC6" w:rsidP="007A02BC">
      <w:pPr>
        <w:pStyle w:val="SingleTxtG"/>
        <w:ind w:left="927" w:firstLine="207"/>
        <w:rPr>
          <w:rFonts w:asciiTheme="majorBidi" w:hAnsiTheme="majorBidi" w:cstheme="majorBidi"/>
          <w:b/>
          <w:sz w:val="20"/>
          <w:szCs w:val="20"/>
        </w:rPr>
      </w:pPr>
      <w:r w:rsidRPr="008B1B4C">
        <w:rPr>
          <w:rFonts w:asciiTheme="majorBidi" w:hAnsiTheme="majorBidi" w:cstheme="majorBidi"/>
          <w:sz w:val="20"/>
          <w:szCs w:val="20"/>
        </w:rPr>
        <w:t>100.</w:t>
      </w:r>
      <w:r w:rsidRPr="00AD7D00">
        <w:rPr>
          <w:rFonts w:asciiTheme="majorBidi" w:hAnsiTheme="majorBidi" w:cstheme="majorBidi"/>
          <w:b/>
          <w:sz w:val="20"/>
          <w:szCs w:val="20"/>
        </w:rPr>
        <w:tab/>
      </w:r>
      <w:r w:rsidR="001869DE" w:rsidRPr="00AD7D00">
        <w:rPr>
          <w:rFonts w:asciiTheme="majorBidi" w:hAnsiTheme="majorBidi" w:cstheme="majorBidi"/>
          <w:b/>
          <w:sz w:val="20"/>
          <w:szCs w:val="20"/>
        </w:rPr>
        <w:t xml:space="preserve">Investigation, prosecution </w:t>
      </w:r>
      <w:r w:rsidR="00991EEC" w:rsidRPr="00AD7D00">
        <w:rPr>
          <w:rFonts w:asciiTheme="majorBidi" w:hAnsiTheme="majorBidi" w:cstheme="majorBidi"/>
          <w:b/>
          <w:sz w:val="20"/>
          <w:szCs w:val="20"/>
        </w:rPr>
        <w:t xml:space="preserve">support services </w:t>
      </w:r>
      <w:r w:rsidR="001869DE" w:rsidRPr="00AD7D00">
        <w:rPr>
          <w:rFonts w:asciiTheme="majorBidi" w:hAnsiTheme="majorBidi" w:cstheme="majorBidi"/>
          <w:b/>
          <w:sz w:val="20"/>
          <w:szCs w:val="20"/>
        </w:rPr>
        <w:t xml:space="preserve">and protective measures </w:t>
      </w:r>
      <w:r w:rsidR="008D1A0F" w:rsidRPr="00AD7D00">
        <w:rPr>
          <w:rFonts w:asciiTheme="majorBidi" w:hAnsiTheme="majorBidi" w:cstheme="majorBidi"/>
          <w:b/>
          <w:sz w:val="20"/>
          <w:szCs w:val="20"/>
        </w:rPr>
        <w:t xml:space="preserve"> </w:t>
      </w:r>
    </w:p>
    <w:p w:rsidR="0065771B" w:rsidRPr="0053437C" w:rsidRDefault="0053437C" w:rsidP="0053437C">
      <w:pPr>
        <w:pStyle w:val="SingleTxtG"/>
        <w:rPr>
          <w:b/>
          <w:sz w:val="20"/>
          <w:szCs w:val="20"/>
        </w:rPr>
      </w:pPr>
      <w:r w:rsidRPr="008B1B4C">
        <w:rPr>
          <w:sz w:val="20"/>
          <w:szCs w:val="20"/>
        </w:rPr>
        <w:tab/>
        <w:t>(a)</w:t>
      </w:r>
      <w:r>
        <w:rPr>
          <w:b/>
          <w:sz w:val="20"/>
          <w:szCs w:val="20"/>
        </w:rPr>
        <w:tab/>
      </w:r>
      <w:r w:rsidR="001869DE" w:rsidRPr="0053437C">
        <w:rPr>
          <w:b/>
          <w:sz w:val="20"/>
          <w:szCs w:val="20"/>
        </w:rPr>
        <w:t>Continue</w:t>
      </w:r>
      <w:r w:rsidR="008D1A0F" w:rsidRPr="0053437C">
        <w:rPr>
          <w:b/>
          <w:sz w:val="20"/>
          <w:szCs w:val="20"/>
        </w:rPr>
        <w:t xml:space="preserve"> </w:t>
      </w:r>
      <w:r w:rsidR="001869DE" w:rsidRPr="0053437C">
        <w:rPr>
          <w:b/>
          <w:sz w:val="20"/>
          <w:szCs w:val="20"/>
        </w:rPr>
        <w:t>to increase</w:t>
      </w:r>
      <w:r w:rsidR="008D1A0F" w:rsidRPr="0053437C">
        <w:rPr>
          <w:b/>
          <w:sz w:val="20"/>
          <w:szCs w:val="20"/>
        </w:rPr>
        <w:t xml:space="preserve"> the number of women police officers </w:t>
      </w:r>
      <w:r w:rsidR="001869DE" w:rsidRPr="0053437C">
        <w:rPr>
          <w:b/>
          <w:sz w:val="20"/>
          <w:szCs w:val="20"/>
        </w:rPr>
        <w:t>and employ male and female police office</w:t>
      </w:r>
      <w:r w:rsidR="006C3B49" w:rsidRPr="0053437C">
        <w:rPr>
          <w:b/>
          <w:sz w:val="20"/>
          <w:szCs w:val="20"/>
        </w:rPr>
        <w:t>r</w:t>
      </w:r>
      <w:r w:rsidR="001869DE" w:rsidRPr="0053437C">
        <w:rPr>
          <w:b/>
          <w:sz w:val="20"/>
          <w:szCs w:val="20"/>
        </w:rPr>
        <w:t xml:space="preserve">s </w:t>
      </w:r>
      <w:r w:rsidR="006C3B49" w:rsidRPr="0053437C">
        <w:rPr>
          <w:b/>
          <w:sz w:val="20"/>
          <w:szCs w:val="20"/>
        </w:rPr>
        <w:t xml:space="preserve">dealing with </w:t>
      </w:r>
      <w:r w:rsidR="001869DE" w:rsidRPr="0053437C">
        <w:rPr>
          <w:b/>
          <w:sz w:val="20"/>
          <w:szCs w:val="20"/>
        </w:rPr>
        <w:t xml:space="preserve">cases of </w:t>
      </w:r>
      <w:r w:rsidR="006C3B49" w:rsidRPr="0053437C">
        <w:rPr>
          <w:b/>
          <w:sz w:val="20"/>
          <w:szCs w:val="20"/>
        </w:rPr>
        <w:t>domestic violence</w:t>
      </w:r>
      <w:r w:rsidR="001869DE" w:rsidRPr="0053437C">
        <w:rPr>
          <w:b/>
          <w:sz w:val="20"/>
          <w:szCs w:val="20"/>
        </w:rPr>
        <w:t>;</w:t>
      </w:r>
    </w:p>
    <w:p w:rsidR="007A02BC" w:rsidRPr="0053437C" w:rsidRDefault="0053437C" w:rsidP="0053437C">
      <w:pPr>
        <w:pStyle w:val="SingleTxtG"/>
        <w:rPr>
          <w:b/>
          <w:sz w:val="20"/>
          <w:szCs w:val="20"/>
        </w:rPr>
      </w:pPr>
      <w:r w:rsidRPr="008B1B4C">
        <w:rPr>
          <w:sz w:val="20"/>
          <w:szCs w:val="20"/>
        </w:rPr>
        <w:tab/>
        <w:t>(b)</w:t>
      </w:r>
      <w:r>
        <w:rPr>
          <w:b/>
          <w:sz w:val="20"/>
          <w:szCs w:val="20"/>
        </w:rPr>
        <w:tab/>
      </w:r>
      <w:r w:rsidR="00D80D68" w:rsidRPr="0053437C">
        <w:rPr>
          <w:b/>
          <w:sz w:val="20"/>
          <w:szCs w:val="20"/>
        </w:rPr>
        <w:t>Fully e</w:t>
      </w:r>
      <w:r w:rsidR="008D1A0F" w:rsidRPr="0053437C">
        <w:rPr>
          <w:b/>
          <w:sz w:val="20"/>
          <w:szCs w:val="20"/>
        </w:rPr>
        <w:t>liminate the issuance of ‘warning lett</w:t>
      </w:r>
      <w:r w:rsidR="006C3B49" w:rsidRPr="0053437C">
        <w:rPr>
          <w:b/>
          <w:sz w:val="20"/>
          <w:szCs w:val="20"/>
        </w:rPr>
        <w:t>ers’ by police officers in cases</w:t>
      </w:r>
      <w:r w:rsidR="008D1A0F" w:rsidRPr="0053437C">
        <w:rPr>
          <w:b/>
          <w:sz w:val="20"/>
          <w:szCs w:val="20"/>
        </w:rPr>
        <w:t xml:space="preserve"> of domestic violence</w:t>
      </w:r>
    </w:p>
    <w:p w:rsidR="008D1A0F" w:rsidRPr="0053437C" w:rsidRDefault="0053437C" w:rsidP="0053437C">
      <w:pPr>
        <w:pStyle w:val="SingleTxtG"/>
        <w:rPr>
          <w:b/>
          <w:sz w:val="20"/>
          <w:szCs w:val="20"/>
        </w:rPr>
      </w:pPr>
      <w:r w:rsidRPr="008B1B4C">
        <w:rPr>
          <w:sz w:val="20"/>
          <w:szCs w:val="20"/>
        </w:rPr>
        <w:tab/>
        <w:t>(c)</w:t>
      </w:r>
      <w:r>
        <w:rPr>
          <w:b/>
          <w:sz w:val="20"/>
          <w:szCs w:val="20"/>
        </w:rPr>
        <w:tab/>
      </w:r>
      <w:r w:rsidR="00991EEC" w:rsidRPr="0053437C">
        <w:rPr>
          <w:b/>
          <w:sz w:val="20"/>
          <w:szCs w:val="20"/>
        </w:rPr>
        <w:t>E</w:t>
      </w:r>
      <w:r w:rsidR="001869DE" w:rsidRPr="0053437C">
        <w:rPr>
          <w:b/>
          <w:sz w:val="20"/>
          <w:szCs w:val="20"/>
        </w:rPr>
        <w:t xml:space="preserve">nsure that an assessment of the lethality risk, the seriousness of the situation and the risk </w:t>
      </w:r>
      <w:r w:rsidR="0024358E" w:rsidRPr="0053437C">
        <w:rPr>
          <w:b/>
          <w:sz w:val="20"/>
          <w:szCs w:val="20"/>
        </w:rPr>
        <w:t xml:space="preserve">of </w:t>
      </w:r>
      <w:r w:rsidR="001869DE" w:rsidRPr="0053437C">
        <w:rPr>
          <w:b/>
          <w:sz w:val="20"/>
          <w:szCs w:val="20"/>
        </w:rPr>
        <w:t xml:space="preserve">repeated violence is carried out by all relevant authorities </w:t>
      </w:r>
      <w:r w:rsidR="00991EEC" w:rsidRPr="0053437C">
        <w:rPr>
          <w:b/>
          <w:sz w:val="20"/>
          <w:szCs w:val="20"/>
        </w:rPr>
        <w:t xml:space="preserve">at all stages of the investigation </w:t>
      </w:r>
      <w:r w:rsidR="001869DE" w:rsidRPr="0053437C">
        <w:rPr>
          <w:b/>
          <w:sz w:val="20"/>
          <w:szCs w:val="20"/>
        </w:rPr>
        <w:t xml:space="preserve">in order to </w:t>
      </w:r>
      <w:r w:rsidR="006C3B49" w:rsidRPr="0053437C">
        <w:rPr>
          <w:b/>
          <w:sz w:val="20"/>
          <w:szCs w:val="20"/>
        </w:rPr>
        <w:t>m</w:t>
      </w:r>
      <w:r w:rsidR="0024358E" w:rsidRPr="0053437C">
        <w:rPr>
          <w:b/>
          <w:sz w:val="20"/>
          <w:szCs w:val="20"/>
        </w:rPr>
        <w:t>itigate</w:t>
      </w:r>
      <w:r w:rsidR="00D80D68" w:rsidRPr="0053437C">
        <w:rPr>
          <w:b/>
          <w:sz w:val="20"/>
          <w:szCs w:val="20"/>
        </w:rPr>
        <w:t xml:space="preserve"> the risk and</w:t>
      </w:r>
      <w:r w:rsidR="001869DE" w:rsidRPr="0053437C">
        <w:rPr>
          <w:b/>
          <w:sz w:val="20"/>
          <w:szCs w:val="20"/>
        </w:rPr>
        <w:t xml:space="preserve"> provide safety and support</w:t>
      </w:r>
      <w:r w:rsidR="00991EEC" w:rsidRPr="0053437C">
        <w:rPr>
          <w:b/>
          <w:sz w:val="20"/>
          <w:szCs w:val="20"/>
        </w:rPr>
        <w:t xml:space="preserve"> to victims. </w:t>
      </w:r>
    </w:p>
    <w:p w:rsidR="001869DE" w:rsidRPr="0053437C" w:rsidRDefault="0053437C" w:rsidP="0053437C">
      <w:pPr>
        <w:pStyle w:val="SingleTxtG"/>
        <w:rPr>
          <w:b/>
          <w:sz w:val="20"/>
          <w:szCs w:val="20"/>
        </w:rPr>
      </w:pPr>
      <w:r>
        <w:rPr>
          <w:b/>
          <w:sz w:val="20"/>
          <w:szCs w:val="20"/>
        </w:rPr>
        <w:tab/>
      </w:r>
      <w:r w:rsidRPr="008B1B4C">
        <w:rPr>
          <w:sz w:val="20"/>
          <w:szCs w:val="20"/>
        </w:rPr>
        <w:t>(d)</w:t>
      </w:r>
      <w:r>
        <w:rPr>
          <w:b/>
          <w:sz w:val="20"/>
          <w:szCs w:val="20"/>
        </w:rPr>
        <w:tab/>
      </w:r>
      <w:r w:rsidR="001869DE" w:rsidRPr="0053437C">
        <w:rPr>
          <w:b/>
          <w:sz w:val="20"/>
          <w:szCs w:val="20"/>
        </w:rPr>
        <w:t>Increase the numb</w:t>
      </w:r>
      <w:r w:rsidR="00991EEC" w:rsidRPr="0053437C">
        <w:rPr>
          <w:b/>
          <w:sz w:val="20"/>
          <w:szCs w:val="20"/>
        </w:rPr>
        <w:t>er, availability</w:t>
      </w:r>
      <w:r w:rsidR="0024358E" w:rsidRPr="0053437C">
        <w:rPr>
          <w:b/>
          <w:sz w:val="20"/>
          <w:szCs w:val="20"/>
        </w:rPr>
        <w:t xml:space="preserve"> of</w:t>
      </w:r>
      <w:r w:rsidR="00991EEC" w:rsidRPr="0053437C">
        <w:rPr>
          <w:b/>
          <w:sz w:val="20"/>
          <w:szCs w:val="20"/>
        </w:rPr>
        <w:t>,</w:t>
      </w:r>
      <w:r w:rsidR="0024358E" w:rsidRPr="0053437C">
        <w:rPr>
          <w:b/>
          <w:sz w:val="20"/>
          <w:szCs w:val="20"/>
        </w:rPr>
        <w:t xml:space="preserve"> and</w:t>
      </w:r>
      <w:r w:rsidR="00991EEC" w:rsidRPr="0053437C">
        <w:rPr>
          <w:b/>
          <w:sz w:val="20"/>
          <w:szCs w:val="20"/>
        </w:rPr>
        <w:t xml:space="preserve"> services</w:t>
      </w:r>
      <w:r w:rsidR="0024358E" w:rsidRPr="0053437C">
        <w:rPr>
          <w:b/>
          <w:sz w:val="20"/>
          <w:szCs w:val="20"/>
        </w:rPr>
        <w:t xml:space="preserve"> in</w:t>
      </w:r>
      <w:r w:rsidR="00991EEC" w:rsidRPr="0053437C">
        <w:rPr>
          <w:b/>
          <w:sz w:val="20"/>
          <w:szCs w:val="20"/>
        </w:rPr>
        <w:t>, s</w:t>
      </w:r>
      <w:r w:rsidR="001869DE" w:rsidRPr="0053437C">
        <w:rPr>
          <w:b/>
          <w:sz w:val="20"/>
          <w:szCs w:val="20"/>
        </w:rPr>
        <w:t>tate-run shelters and crisis centres, in particular in rural ar</w:t>
      </w:r>
      <w:r w:rsidR="006C3B49" w:rsidRPr="0053437C">
        <w:rPr>
          <w:b/>
          <w:sz w:val="20"/>
          <w:szCs w:val="20"/>
        </w:rPr>
        <w:t>eas and i</w:t>
      </w:r>
      <w:r w:rsidR="001869DE" w:rsidRPr="0053437C">
        <w:rPr>
          <w:b/>
          <w:sz w:val="20"/>
          <w:szCs w:val="20"/>
        </w:rPr>
        <w:t>ncrease the number of social workers and the financial support allocated to them.</w:t>
      </w:r>
    </w:p>
    <w:p w:rsidR="001869DE" w:rsidRPr="0053437C" w:rsidRDefault="0053437C" w:rsidP="0053437C">
      <w:pPr>
        <w:pStyle w:val="SingleTxtG"/>
        <w:rPr>
          <w:b/>
          <w:sz w:val="20"/>
          <w:szCs w:val="20"/>
        </w:rPr>
      </w:pPr>
      <w:r>
        <w:rPr>
          <w:b/>
          <w:sz w:val="20"/>
          <w:szCs w:val="20"/>
        </w:rPr>
        <w:tab/>
      </w:r>
      <w:r w:rsidRPr="008B1B4C">
        <w:rPr>
          <w:sz w:val="20"/>
          <w:szCs w:val="20"/>
        </w:rPr>
        <w:t>(e)</w:t>
      </w:r>
      <w:r>
        <w:rPr>
          <w:b/>
          <w:sz w:val="20"/>
          <w:szCs w:val="20"/>
        </w:rPr>
        <w:tab/>
      </w:r>
      <w:r w:rsidR="001869DE" w:rsidRPr="0053437C">
        <w:rPr>
          <w:b/>
          <w:sz w:val="20"/>
          <w:szCs w:val="20"/>
        </w:rPr>
        <w:t>Provide training to social workers, teachers and doctors on the identification of cases of domestic violence</w:t>
      </w:r>
    </w:p>
    <w:p w:rsidR="001869DE" w:rsidRPr="0053437C" w:rsidRDefault="0053437C" w:rsidP="0053437C">
      <w:pPr>
        <w:pStyle w:val="SingleTxtG"/>
        <w:rPr>
          <w:b/>
          <w:sz w:val="20"/>
          <w:szCs w:val="20"/>
        </w:rPr>
      </w:pPr>
      <w:r w:rsidRPr="008B1B4C">
        <w:rPr>
          <w:sz w:val="20"/>
          <w:szCs w:val="20"/>
        </w:rPr>
        <w:tab/>
        <w:t>(f)</w:t>
      </w:r>
      <w:r>
        <w:rPr>
          <w:b/>
          <w:sz w:val="20"/>
          <w:szCs w:val="20"/>
        </w:rPr>
        <w:tab/>
      </w:r>
      <w:r w:rsidR="006C3B49" w:rsidRPr="0053437C">
        <w:rPr>
          <w:b/>
          <w:sz w:val="20"/>
          <w:szCs w:val="20"/>
        </w:rPr>
        <w:t>Provide s</w:t>
      </w:r>
      <w:r w:rsidR="001869DE" w:rsidRPr="0053437C">
        <w:rPr>
          <w:b/>
          <w:sz w:val="20"/>
          <w:szCs w:val="20"/>
        </w:rPr>
        <w:t xml:space="preserve">upport services for victims of violence available in the language of </w:t>
      </w:r>
      <w:r w:rsidR="001D07E8" w:rsidRPr="0053437C">
        <w:rPr>
          <w:b/>
          <w:sz w:val="20"/>
          <w:szCs w:val="20"/>
        </w:rPr>
        <w:t xml:space="preserve">all </w:t>
      </w:r>
      <w:r w:rsidR="001869DE" w:rsidRPr="0053437C">
        <w:rPr>
          <w:b/>
          <w:sz w:val="20"/>
          <w:szCs w:val="20"/>
        </w:rPr>
        <w:t>ethnic minorities</w:t>
      </w:r>
    </w:p>
    <w:p w:rsidR="001869DE" w:rsidRPr="0053437C" w:rsidRDefault="0053437C" w:rsidP="0053437C">
      <w:pPr>
        <w:pStyle w:val="SingleTxtG"/>
        <w:rPr>
          <w:b/>
          <w:sz w:val="20"/>
          <w:szCs w:val="20"/>
        </w:rPr>
      </w:pPr>
      <w:r w:rsidRPr="008B1B4C">
        <w:rPr>
          <w:sz w:val="20"/>
          <w:szCs w:val="20"/>
        </w:rPr>
        <w:tab/>
        <w:t>(g)</w:t>
      </w:r>
      <w:r w:rsidRPr="008B1B4C">
        <w:rPr>
          <w:sz w:val="20"/>
          <w:szCs w:val="20"/>
        </w:rPr>
        <w:tab/>
      </w:r>
      <w:r w:rsidR="00991EEC" w:rsidRPr="0053437C">
        <w:rPr>
          <w:b/>
          <w:sz w:val="20"/>
          <w:szCs w:val="20"/>
        </w:rPr>
        <w:t xml:space="preserve">Increase the support to social workers who work on implementation </w:t>
      </w:r>
      <w:r w:rsidR="00662579" w:rsidRPr="0053437C">
        <w:rPr>
          <w:b/>
          <w:sz w:val="20"/>
          <w:szCs w:val="20"/>
        </w:rPr>
        <w:t>of assistance</w:t>
      </w:r>
      <w:r w:rsidR="00991EEC" w:rsidRPr="0053437C">
        <w:rPr>
          <w:b/>
          <w:sz w:val="20"/>
          <w:szCs w:val="20"/>
        </w:rPr>
        <w:t xml:space="preserve"> and support measures for victims of domestic violence </w:t>
      </w:r>
    </w:p>
    <w:p w:rsidR="0065771B" w:rsidRPr="0053437C" w:rsidRDefault="0053437C" w:rsidP="0053437C">
      <w:pPr>
        <w:pStyle w:val="SingleTxtG"/>
        <w:rPr>
          <w:b/>
          <w:sz w:val="20"/>
          <w:szCs w:val="20"/>
        </w:rPr>
      </w:pPr>
      <w:r>
        <w:rPr>
          <w:b/>
          <w:sz w:val="20"/>
          <w:szCs w:val="20"/>
        </w:rPr>
        <w:tab/>
      </w:r>
      <w:r w:rsidRPr="008B1B4C">
        <w:rPr>
          <w:sz w:val="20"/>
          <w:szCs w:val="20"/>
        </w:rPr>
        <w:t>(h)</w:t>
      </w:r>
      <w:r>
        <w:rPr>
          <w:b/>
          <w:sz w:val="20"/>
          <w:szCs w:val="20"/>
        </w:rPr>
        <w:tab/>
      </w:r>
      <w:r w:rsidR="0024358E" w:rsidRPr="0053437C">
        <w:rPr>
          <w:b/>
          <w:sz w:val="20"/>
          <w:szCs w:val="20"/>
        </w:rPr>
        <w:t xml:space="preserve">Determine </w:t>
      </w:r>
      <w:r w:rsidR="00662579" w:rsidRPr="0053437C">
        <w:rPr>
          <w:b/>
          <w:sz w:val="20"/>
          <w:szCs w:val="20"/>
        </w:rPr>
        <w:t>the amount of compensation to be granted to a victim of domestic violence, as well as the procedure of granting such compensation</w:t>
      </w:r>
    </w:p>
    <w:p w:rsidR="008D1A0F" w:rsidRPr="0053437C" w:rsidRDefault="00A82DC6" w:rsidP="0053437C">
      <w:pPr>
        <w:pStyle w:val="SingleTxtG"/>
        <w:rPr>
          <w:b/>
          <w:sz w:val="20"/>
          <w:szCs w:val="20"/>
        </w:rPr>
      </w:pPr>
      <w:r w:rsidRPr="008B1B4C">
        <w:rPr>
          <w:sz w:val="20"/>
          <w:szCs w:val="20"/>
        </w:rPr>
        <w:t>101.</w:t>
      </w:r>
      <w:r w:rsidRPr="0053437C">
        <w:rPr>
          <w:b/>
          <w:sz w:val="20"/>
          <w:szCs w:val="20"/>
        </w:rPr>
        <w:tab/>
      </w:r>
      <w:r w:rsidR="008D1A0F" w:rsidRPr="0053437C">
        <w:rPr>
          <w:b/>
          <w:sz w:val="20"/>
          <w:szCs w:val="20"/>
        </w:rPr>
        <w:t xml:space="preserve">National mechanisms </w:t>
      </w:r>
    </w:p>
    <w:p w:rsidR="008D1A0F" w:rsidRPr="0053437C" w:rsidRDefault="0053437C" w:rsidP="0053437C">
      <w:pPr>
        <w:pStyle w:val="SingleTxtG"/>
        <w:rPr>
          <w:b/>
          <w:sz w:val="20"/>
          <w:szCs w:val="20"/>
        </w:rPr>
      </w:pPr>
      <w:r w:rsidRPr="008B1B4C">
        <w:rPr>
          <w:sz w:val="20"/>
          <w:szCs w:val="20"/>
        </w:rPr>
        <w:tab/>
        <w:t>(a)</w:t>
      </w:r>
      <w:r>
        <w:rPr>
          <w:b/>
          <w:sz w:val="20"/>
          <w:szCs w:val="20"/>
        </w:rPr>
        <w:tab/>
      </w:r>
      <w:r w:rsidR="008D1A0F" w:rsidRPr="0053437C">
        <w:rPr>
          <w:b/>
          <w:sz w:val="20"/>
          <w:szCs w:val="20"/>
        </w:rPr>
        <w:t xml:space="preserve">Strengthen the Gender Equality Council by providing it with adequate human, technical and financial resources, increasing its visibility and efficiency and strengthening its capacity, </w:t>
      </w:r>
    </w:p>
    <w:p w:rsidR="008D1A0F" w:rsidRPr="0053437C" w:rsidRDefault="0053437C" w:rsidP="0053437C">
      <w:pPr>
        <w:pStyle w:val="SingleTxtG"/>
        <w:rPr>
          <w:b/>
          <w:sz w:val="20"/>
          <w:szCs w:val="20"/>
        </w:rPr>
      </w:pPr>
      <w:r>
        <w:rPr>
          <w:b/>
          <w:sz w:val="20"/>
          <w:szCs w:val="20"/>
        </w:rPr>
        <w:lastRenderedPageBreak/>
        <w:tab/>
      </w:r>
      <w:r w:rsidRPr="008B1B4C">
        <w:rPr>
          <w:sz w:val="20"/>
          <w:szCs w:val="20"/>
        </w:rPr>
        <w:t>(b)</w:t>
      </w:r>
      <w:r>
        <w:rPr>
          <w:b/>
          <w:sz w:val="20"/>
          <w:szCs w:val="20"/>
        </w:rPr>
        <w:tab/>
      </w:r>
      <w:r w:rsidR="008D1A0F" w:rsidRPr="0053437C">
        <w:rPr>
          <w:b/>
          <w:sz w:val="20"/>
          <w:szCs w:val="20"/>
        </w:rPr>
        <w:t>Establish a comprehensive national mechanism within the executive branch for the co-ordination of policies and measures to prevent and combat violence against women</w:t>
      </w:r>
    </w:p>
    <w:p w:rsidR="008D1A0F" w:rsidRPr="0053437C" w:rsidRDefault="0053437C" w:rsidP="0053437C">
      <w:pPr>
        <w:pStyle w:val="SingleTxtG"/>
        <w:rPr>
          <w:b/>
          <w:sz w:val="20"/>
          <w:szCs w:val="20"/>
        </w:rPr>
      </w:pPr>
      <w:r w:rsidRPr="008B1B4C">
        <w:rPr>
          <w:sz w:val="20"/>
          <w:szCs w:val="20"/>
        </w:rPr>
        <w:tab/>
        <w:t>(c)</w:t>
      </w:r>
      <w:r>
        <w:rPr>
          <w:b/>
          <w:sz w:val="20"/>
          <w:szCs w:val="20"/>
        </w:rPr>
        <w:tab/>
      </w:r>
      <w:r w:rsidR="008D1A0F" w:rsidRPr="0053437C">
        <w:rPr>
          <w:b/>
          <w:sz w:val="20"/>
          <w:szCs w:val="20"/>
        </w:rPr>
        <w:t>Support with adequate financial resources the work of the Public Defender</w:t>
      </w:r>
      <w:r w:rsidR="00242036" w:rsidRPr="0053437C">
        <w:rPr>
          <w:b/>
          <w:sz w:val="20"/>
          <w:szCs w:val="20"/>
        </w:rPr>
        <w:t>’</w:t>
      </w:r>
      <w:r w:rsidR="008D1A0F" w:rsidRPr="0053437C">
        <w:rPr>
          <w:b/>
          <w:sz w:val="20"/>
          <w:szCs w:val="20"/>
        </w:rPr>
        <w:t xml:space="preserve">s Office to enable </w:t>
      </w:r>
      <w:r w:rsidR="0024358E" w:rsidRPr="0053437C">
        <w:rPr>
          <w:b/>
          <w:sz w:val="20"/>
          <w:szCs w:val="20"/>
        </w:rPr>
        <w:t>it</w:t>
      </w:r>
      <w:r w:rsidR="008D1A0F" w:rsidRPr="0053437C">
        <w:rPr>
          <w:b/>
          <w:sz w:val="20"/>
          <w:szCs w:val="20"/>
        </w:rPr>
        <w:t xml:space="preserve"> to fully comply with its tasks especial</w:t>
      </w:r>
      <w:r w:rsidR="00242036" w:rsidRPr="0053437C">
        <w:rPr>
          <w:b/>
          <w:sz w:val="20"/>
          <w:szCs w:val="20"/>
        </w:rPr>
        <w:t>ly</w:t>
      </w:r>
      <w:r w:rsidR="008D1A0F" w:rsidRPr="0053437C">
        <w:rPr>
          <w:b/>
          <w:sz w:val="20"/>
          <w:szCs w:val="20"/>
        </w:rPr>
        <w:t xml:space="preserve"> with respect to its work </w:t>
      </w:r>
      <w:proofErr w:type="gramStart"/>
      <w:r w:rsidR="008D1A0F" w:rsidRPr="0053437C">
        <w:rPr>
          <w:b/>
          <w:sz w:val="20"/>
          <w:szCs w:val="20"/>
        </w:rPr>
        <w:t xml:space="preserve">on  </w:t>
      </w:r>
      <w:r w:rsidR="00242036" w:rsidRPr="0053437C">
        <w:rPr>
          <w:b/>
          <w:sz w:val="20"/>
          <w:szCs w:val="20"/>
        </w:rPr>
        <w:t>violence</w:t>
      </w:r>
      <w:proofErr w:type="gramEnd"/>
      <w:r w:rsidR="00242036" w:rsidRPr="0053437C">
        <w:rPr>
          <w:b/>
          <w:sz w:val="20"/>
          <w:szCs w:val="20"/>
        </w:rPr>
        <w:t xml:space="preserve"> against women</w:t>
      </w:r>
      <w:r w:rsidR="008D1A0F" w:rsidRPr="0053437C">
        <w:rPr>
          <w:b/>
          <w:sz w:val="20"/>
          <w:szCs w:val="20"/>
        </w:rPr>
        <w:t xml:space="preserve"> </w:t>
      </w:r>
    </w:p>
    <w:p w:rsidR="0065771B" w:rsidRPr="0053437C" w:rsidRDefault="0053437C" w:rsidP="0053437C">
      <w:pPr>
        <w:pStyle w:val="SingleTxtG"/>
        <w:rPr>
          <w:b/>
          <w:sz w:val="20"/>
          <w:szCs w:val="20"/>
        </w:rPr>
      </w:pPr>
      <w:r w:rsidRPr="008B1B4C">
        <w:rPr>
          <w:sz w:val="20"/>
          <w:szCs w:val="20"/>
        </w:rPr>
        <w:tab/>
        <w:t>(d)</w:t>
      </w:r>
      <w:r>
        <w:rPr>
          <w:b/>
          <w:sz w:val="20"/>
          <w:szCs w:val="20"/>
        </w:rPr>
        <w:tab/>
      </w:r>
      <w:r w:rsidR="001D07E8" w:rsidRPr="0053437C">
        <w:rPr>
          <w:b/>
          <w:sz w:val="20"/>
          <w:szCs w:val="20"/>
        </w:rPr>
        <w:t>Increase the c</w:t>
      </w:r>
      <w:r w:rsidR="008D1A0F" w:rsidRPr="0053437C">
        <w:rPr>
          <w:b/>
          <w:sz w:val="20"/>
          <w:szCs w:val="20"/>
        </w:rPr>
        <w:t>ooperat</w:t>
      </w:r>
      <w:r w:rsidR="001D07E8" w:rsidRPr="0053437C">
        <w:rPr>
          <w:b/>
          <w:sz w:val="20"/>
          <w:szCs w:val="20"/>
        </w:rPr>
        <w:t>ion</w:t>
      </w:r>
      <w:r w:rsidR="008D1A0F" w:rsidRPr="0053437C">
        <w:rPr>
          <w:b/>
          <w:sz w:val="20"/>
          <w:szCs w:val="20"/>
        </w:rPr>
        <w:t xml:space="preserve"> and provi</w:t>
      </w:r>
      <w:r w:rsidR="001D07E8" w:rsidRPr="0053437C">
        <w:rPr>
          <w:b/>
          <w:sz w:val="20"/>
          <w:szCs w:val="20"/>
        </w:rPr>
        <w:t>sion</w:t>
      </w:r>
      <w:r w:rsidR="008D1A0F" w:rsidRPr="0053437C">
        <w:rPr>
          <w:b/>
          <w:sz w:val="20"/>
          <w:szCs w:val="20"/>
        </w:rPr>
        <w:t xml:space="preserve"> </w:t>
      </w:r>
      <w:r w:rsidR="001D07E8" w:rsidRPr="0053437C">
        <w:rPr>
          <w:b/>
          <w:sz w:val="20"/>
          <w:szCs w:val="20"/>
        </w:rPr>
        <w:t xml:space="preserve">of </w:t>
      </w:r>
      <w:r w:rsidR="008D1A0F" w:rsidRPr="0053437C">
        <w:rPr>
          <w:b/>
          <w:sz w:val="20"/>
          <w:szCs w:val="20"/>
        </w:rPr>
        <w:t>support to NGO</w:t>
      </w:r>
      <w:r w:rsidR="00242036" w:rsidRPr="0053437C">
        <w:rPr>
          <w:b/>
          <w:sz w:val="20"/>
          <w:szCs w:val="20"/>
        </w:rPr>
        <w:t>s</w:t>
      </w:r>
      <w:r w:rsidR="008D1A0F" w:rsidRPr="0053437C">
        <w:rPr>
          <w:b/>
          <w:sz w:val="20"/>
          <w:szCs w:val="20"/>
        </w:rPr>
        <w:t xml:space="preserve"> working on </w:t>
      </w:r>
      <w:r w:rsidR="00242036" w:rsidRPr="0053437C">
        <w:rPr>
          <w:b/>
          <w:sz w:val="20"/>
          <w:szCs w:val="20"/>
        </w:rPr>
        <w:t>violence against women</w:t>
      </w:r>
    </w:p>
    <w:p w:rsidR="00C103B2" w:rsidRPr="00AD7D00" w:rsidRDefault="00A82DC6" w:rsidP="00242036">
      <w:pPr>
        <w:pStyle w:val="SingleTxt"/>
        <w:tabs>
          <w:tab w:val="clear" w:pos="1267"/>
          <w:tab w:val="left" w:pos="1134"/>
        </w:tabs>
        <w:ind w:left="0"/>
        <w:rPr>
          <w:rFonts w:asciiTheme="majorBidi" w:hAnsiTheme="majorBidi" w:cstheme="majorBidi"/>
          <w:b/>
          <w:sz w:val="20"/>
          <w:szCs w:val="20"/>
        </w:rPr>
      </w:pPr>
      <w:r w:rsidRPr="00AD7D00">
        <w:rPr>
          <w:rFonts w:asciiTheme="majorBidi" w:hAnsiTheme="majorBidi" w:cstheme="majorBidi"/>
          <w:b/>
          <w:sz w:val="20"/>
          <w:szCs w:val="20"/>
        </w:rPr>
        <w:tab/>
      </w:r>
      <w:r w:rsidRPr="008B1B4C">
        <w:rPr>
          <w:rFonts w:asciiTheme="majorBidi" w:hAnsiTheme="majorBidi" w:cstheme="majorBidi"/>
          <w:sz w:val="20"/>
          <w:szCs w:val="20"/>
        </w:rPr>
        <w:t>102.</w:t>
      </w:r>
      <w:r w:rsidRPr="008B1B4C">
        <w:rPr>
          <w:rFonts w:asciiTheme="majorBidi" w:hAnsiTheme="majorBidi" w:cstheme="majorBidi"/>
          <w:sz w:val="20"/>
          <w:szCs w:val="20"/>
        </w:rPr>
        <w:tab/>
      </w:r>
      <w:r w:rsidR="00DA125F" w:rsidRPr="00AD7D00">
        <w:rPr>
          <w:rFonts w:asciiTheme="majorBidi" w:hAnsiTheme="majorBidi" w:cstheme="majorBidi"/>
          <w:b/>
          <w:sz w:val="20"/>
          <w:szCs w:val="20"/>
        </w:rPr>
        <w:t xml:space="preserve">Collection of data </w:t>
      </w:r>
      <w:r w:rsidR="009C557D" w:rsidRPr="00AD7D00">
        <w:rPr>
          <w:rFonts w:asciiTheme="majorBidi" w:hAnsiTheme="majorBidi" w:cstheme="majorBidi"/>
          <w:b/>
          <w:sz w:val="20"/>
          <w:szCs w:val="20"/>
        </w:rPr>
        <w:t xml:space="preserve">and prevention of </w:t>
      </w:r>
      <w:r w:rsidR="00242036" w:rsidRPr="00AD7D00">
        <w:rPr>
          <w:rFonts w:asciiTheme="majorBidi" w:hAnsiTheme="majorBidi" w:cstheme="majorBidi"/>
          <w:b/>
          <w:sz w:val="20"/>
          <w:szCs w:val="20"/>
        </w:rPr>
        <w:t>violence against women</w:t>
      </w:r>
    </w:p>
    <w:p w:rsidR="00DA125F" w:rsidRPr="0053437C" w:rsidRDefault="0053437C" w:rsidP="008B1B4C">
      <w:pPr>
        <w:pStyle w:val="SingleTxtG"/>
        <w:ind w:firstLine="567"/>
        <w:rPr>
          <w:b/>
          <w:sz w:val="20"/>
          <w:szCs w:val="20"/>
        </w:rPr>
      </w:pPr>
      <w:r w:rsidRPr="008B1B4C">
        <w:rPr>
          <w:sz w:val="20"/>
          <w:szCs w:val="20"/>
        </w:rPr>
        <w:t>(a)</w:t>
      </w:r>
      <w:r>
        <w:rPr>
          <w:b/>
          <w:sz w:val="20"/>
          <w:szCs w:val="20"/>
        </w:rPr>
        <w:tab/>
      </w:r>
      <w:r w:rsidR="009B74D2" w:rsidRPr="0053437C">
        <w:rPr>
          <w:b/>
          <w:sz w:val="20"/>
          <w:szCs w:val="20"/>
        </w:rPr>
        <w:t xml:space="preserve">Collect </w:t>
      </w:r>
      <w:r w:rsidR="00DA125F" w:rsidRPr="0053437C">
        <w:rPr>
          <w:b/>
          <w:sz w:val="20"/>
          <w:szCs w:val="20"/>
        </w:rPr>
        <w:t xml:space="preserve">disaggregated data on all forms of </w:t>
      </w:r>
      <w:r w:rsidR="00242036" w:rsidRPr="0053437C">
        <w:rPr>
          <w:b/>
          <w:sz w:val="20"/>
          <w:szCs w:val="20"/>
        </w:rPr>
        <w:t>violence against women</w:t>
      </w:r>
      <w:r w:rsidR="009C557D" w:rsidRPr="0053437C">
        <w:rPr>
          <w:b/>
          <w:sz w:val="20"/>
          <w:szCs w:val="20"/>
        </w:rPr>
        <w:t>,</w:t>
      </w:r>
    </w:p>
    <w:p w:rsidR="009C557D" w:rsidRPr="0053437C" w:rsidRDefault="0053437C" w:rsidP="008B1B4C">
      <w:pPr>
        <w:pStyle w:val="SingleTxtG"/>
        <w:ind w:firstLine="567"/>
        <w:rPr>
          <w:b/>
          <w:sz w:val="20"/>
          <w:szCs w:val="20"/>
        </w:rPr>
      </w:pPr>
      <w:r w:rsidRPr="008B1B4C">
        <w:rPr>
          <w:sz w:val="20"/>
          <w:szCs w:val="20"/>
        </w:rPr>
        <w:t>(b)</w:t>
      </w:r>
      <w:r>
        <w:rPr>
          <w:b/>
          <w:sz w:val="20"/>
          <w:szCs w:val="20"/>
        </w:rPr>
        <w:tab/>
      </w:r>
      <w:r w:rsidR="009C557D" w:rsidRPr="0053437C">
        <w:rPr>
          <w:b/>
          <w:sz w:val="20"/>
          <w:szCs w:val="20"/>
        </w:rPr>
        <w:t xml:space="preserve">Conduct </w:t>
      </w:r>
      <w:r w:rsidR="0024358E" w:rsidRPr="0053437C">
        <w:rPr>
          <w:b/>
          <w:sz w:val="20"/>
          <w:szCs w:val="20"/>
        </w:rPr>
        <w:t xml:space="preserve">regular </w:t>
      </w:r>
      <w:r w:rsidR="009C557D" w:rsidRPr="0053437C">
        <w:rPr>
          <w:b/>
          <w:sz w:val="20"/>
          <w:szCs w:val="20"/>
        </w:rPr>
        <w:t>population based surveys to asses</w:t>
      </w:r>
      <w:r w:rsidR="00242036" w:rsidRPr="0053437C">
        <w:rPr>
          <w:b/>
          <w:sz w:val="20"/>
          <w:szCs w:val="20"/>
        </w:rPr>
        <w:t>s</w:t>
      </w:r>
      <w:r w:rsidR="009C557D" w:rsidRPr="0053437C">
        <w:rPr>
          <w:b/>
          <w:sz w:val="20"/>
          <w:szCs w:val="20"/>
        </w:rPr>
        <w:t xml:space="preserve"> the prevalence and trends of different forms of violence against women </w:t>
      </w:r>
    </w:p>
    <w:p w:rsidR="00DA125F" w:rsidRPr="0053437C" w:rsidRDefault="0053437C" w:rsidP="008B1B4C">
      <w:pPr>
        <w:pStyle w:val="SingleTxtG"/>
        <w:ind w:firstLine="567"/>
        <w:rPr>
          <w:b/>
          <w:sz w:val="20"/>
          <w:szCs w:val="20"/>
        </w:rPr>
      </w:pPr>
      <w:r w:rsidRPr="008B1B4C">
        <w:rPr>
          <w:sz w:val="20"/>
          <w:szCs w:val="20"/>
        </w:rPr>
        <w:t>(c)</w:t>
      </w:r>
      <w:r>
        <w:rPr>
          <w:b/>
          <w:sz w:val="20"/>
          <w:szCs w:val="20"/>
        </w:rPr>
        <w:tab/>
      </w:r>
      <w:r w:rsidR="00DA125F" w:rsidRPr="0053437C">
        <w:rPr>
          <w:b/>
          <w:sz w:val="20"/>
          <w:szCs w:val="20"/>
        </w:rPr>
        <w:t>Establish a “</w:t>
      </w:r>
      <w:proofErr w:type="spellStart"/>
      <w:r w:rsidR="00DA125F" w:rsidRPr="0053437C">
        <w:rPr>
          <w:b/>
          <w:sz w:val="20"/>
          <w:szCs w:val="20"/>
        </w:rPr>
        <w:t>femicide</w:t>
      </w:r>
      <w:proofErr w:type="spellEnd"/>
      <w:r w:rsidR="00DA125F" w:rsidRPr="0053437C">
        <w:rPr>
          <w:b/>
          <w:sz w:val="20"/>
          <w:szCs w:val="20"/>
        </w:rPr>
        <w:t xml:space="preserve"> watch” or “gender-related killing of women watch” and collect and publish each year  </w:t>
      </w:r>
      <w:r w:rsidR="00242036" w:rsidRPr="0053437C">
        <w:rPr>
          <w:b/>
          <w:sz w:val="20"/>
          <w:szCs w:val="20"/>
        </w:rPr>
        <w:t xml:space="preserve">data on the number of </w:t>
      </w:r>
      <w:proofErr w:type="spellStart"/>
      <w:r w:rsidR="00242036" w:rsidRPr="0053437C">
        <w:rPr>
          <w:b/>
          <w:sz w:val="20"/>
          <w:szCs w:val="20"/>
        </w:rPr>
        <w:t>femicides</w:t>
      </w:r>
      <w:proofErr w:type="spellEnd"/>
      <w:r w:rsidR="00242036" w:rsidRPr="0053437C">
        <w:rPr>
          <w:b/>
          <w:sz w:val="20"/>
          <w:szCs w:val="20"/>
        </w:rPr>
        <w:t xml:space="preserve"> and e</w:t>
      </w:r>
      <w:r w:rsidR="00DA125F" w:rsidRPr="0053437C">
        <w:rPr>
          <w:b/>
          <w:sz w:val="20"/>
          <w:szCs w:val="20"/>
        </w:rPr>
        <w:t>stablish a separate body or entru</w:t>
      </w:r>
      <w:r w:rsidR="008A3254" w:rsidRPr="0053437C">
        <w:rPr>
          <w:b/>
          <w:sz w:val="20"/>
          <w:szCs w:val="20"/>
        </w:rPr>
        <w:t>st and exiting body to analyse</w:t>
      </w:r>
      <w:r w:rsidR="00DA125F" w:rsidRPr="0053437C">
        <w:rPr>
          <w:b/>
          <w:sz w:val="20"/>
          <w:szCs w:val="20"/>
        </w:rPr>
        <w:t xml:space="preserve"> each case of </w:t>
      </w:r>
      <w:proofErr w:type="spellStart"/>
      <w:r w:rsidR="00DA125F" w:rsidRPr="0053437C">
        <w:rPr>
          <w:b/>
          <w:sz w:val="20"/>
          <w:szCs w:val="20"/>
        </w:rPr>
        <w:t>femicide</w:t>
      </w:r>
      <w:proofErr w:type="spellEnd"/>
      <w:r w:rsidR="0026771A" w:rsidRPr="0053437C">
        <w:rPr>
          <w:b/>
          <w:sz w:val="20"/>
          <w:szCs w:val="20"/>
        </w:rPr>
        <w:t xml:space="preserve"> in order</w:t>
      </w:r>
      <w:r w:rsidR="00DA125F" w:rsidRPr="0053437C">
        <w:rPr>
          <w:b/>
          <w:sz w:val="20"/>
          <w:szCs w:val="20"/>
        </w:rPr>
        <w:t xml:space="preserve"> to identify any failure of protection  with a view of improving and developing further preventive measures.  </w:t>
      </w:r>
    </w:p>
    <w:p w:rsidR="009C557D" w:rsidRPr="0053437C" w:rsidRDefault="0053437C" w:rsidP="008B1B4C">
      <w:pPr>
        <w:pStyle w:val="SingleTxtG"/>
        <w:ind w:firstLine="567"/>
        <w:rPr>
          <w:b/>
          <w:sz w:val="20"/>
          <w:szCs w:val="20"/>
        </w:rPr>
      </w:pPr>
      <w:r w:rsidRPr="008B1B4C">
        <w:rPr>
          <w:sz w:val="20"/>
          <w:szCs w:val="20"/>
        </w:rPr>
        <w:t>(d)</w:t>
      </w:r>
      <w:r>
        <w:rPr>
          <w:b/>
          <w:sz w:val="20"/>
          <w:szCs w:val="20"/>
        </w:rPr>
        <w:tab/>
      </w:r>
      <w:r w:rsidR="0024358E" w:rsidRPr="0053437C">
        <w:rPr>
          <w:b/>
          <w:sz w:val="20"/>
          <w:szCs w:val="20"/>
        </w:rPr>
        <w:t>Collect and analyse</w:t>
      </w:r>
      <w:r w:rsidR="009C557D" w:rsidRPr="0053437C">
        <w:rPr>
          <w:b/>
          <w:sz w:val="20"/>
          <w:szCs w:val="20"/>
        </w:rPr>
        <w:t xml:space="preserve"> data on suicides among women victims of violence. </w:t>
      </w:r>
    </w:p>
    <w:p w:rsidR="00242036" w:rsidRPr="0053437C" w:rsidRDefault="00102226" w:rsidP="008B1B4C">
      <w:pPr>
        <w:pStyle w:val="SingleTxtG"/>
        <w:ind w:firstLine="567"/>
        <w:rPr>
          <w:b/>
          <w:sz w:val="20"/>
          <w:szCs w:val="20"/>
        </w:rPr>
      </w:pPr>
      <w:r w:rsidRPr="008B1B4C">
        <w:rPr>
          <w:sz w:val="20"/>
          <w:szCs w:val="20"/>
        </w:rPr>
        <w:t>(e)</w:t>
      </w:r>
      <w:r>
        <w:rPr>
          <w:b/>
          <w:sz w:val="20"/>
          <w:szCs w:val="20"/>
        </w:rPr>
        <w:tab/>
      </w:r>
      <w:r w:rsidR="00094D96" w:rsidRPr="0053437C">
        <w:rPr>
          <w:b/>
          <w:sz w:val="20"/>
          <w:szCs w:val="20"/>
        </w:rPr>
        <w:t xml:space="preserve">Ensure registration of all child marriages and collect data disaggregated by sex and age on all marriages </w:t>
      </w:r>
      <w:r w:rsidR="0024358E" w:rsidRPr="0053437C">
        <w:rPr>
          <w:b/>
          <w:sz w:val="20"/>
          <w:szCs w:val="20"/>
        </w:rPr>
        <w:t>stipulated by children</w:t>
      </w:r>
      <w:r w:rsidR="00094D96" w:rsidRPr="0053437C">
        <w:rPr>
          <w:b/>
          <w:sz w:val="20"/>
          <w:szCs w:val="20"/>
        </w:rPr>
        <w:t>, including on those authorised by the court and on those without such authorisation;</w:t>
      </w:r>
    </w:p>
    <w:p w:rsidR="00242036" w:rsidRPr="0053437C" w:rsidRDefault="00102226" w:rsidP="008B1B4C">
      <w:pPr>
        <w:pStyle w:val="SingleTxtG"/>
        <w:ind w:firstLine="567"/>
        <w:rPr>
          <w:b/>
          <w:sz w:val="20"/>
          <w:szCs w:val="20"/>
        </w:rPr>
      </w:pPr>
      <w:r w:rsidRPr="008B1B4C">
        <w:rPr>
          <w:sz w:val="20"/>
          <w:szCs w:val="20"/>
        </w:rPr>
        <w:t>(f)</w:t>
      </w:r>
      <w:r>
        <w:rPr>
          <w:b/>
          <w:sz w:val="20"/>
          <w:szCs w:val="20"/>
        </w:rPr>
        <w:tab/>
      </w:r>
      <w:r w:rsidR="00094D96" w:rsidRPr="0053437C">
        <w:rPr>
          <w:b/>
          <w:sz w:val="20"/>
          <w:szCs w:val="20"/>
        </w:rPr>
        <w:t xml:space="preserve">Strictly enforce the Criminal law provision on the ban of forced marriages and collect </w:t>
      </w:r>
      <w:r w:rsidR="00242036" w:rsidRPr="0053437C">
        <w:rPr>
          <w:b/>
          <w:sz w:val="20"/>
          <w:szCs w:val="20"/>
        </w:rPr>
        <w:t>data on the prosecution rate</w:t>
      </w:r>
      <w:r w:rsidR="0024358E" w:rsidRPr="0053437C">
        <w:rPr>
          <w:b/>
          <w:sz w:val="20"/>
          <w:szCs w:val="20"/>
        </w:rPr>
        <w:t>s</w:t>
      </w:r>
      <w:r w:rsidR="00242036" w:rsidRPr="0053437C">
        <w:rPr>
          <w:b/>
          <w:sz w:val="20"/>
          <w:szCs w:val="20"/>
        </w:rPr>
        <w:t>,</w:t>
      </w:r>
    </w:p>
    <w:p w:rsidR="009C557D" w:rsidRPr="008B1B4C" w:rsidRDefault="00102226" w:rsidP="008B1B4C">
      <w:pPr>
        <w:pStyle w:val="SingleTxtG"/>
        <w:ind w:firstLine="567"/>
        <w:rPr>
          <w:b/>
          <w:sz w:val="20"/>
          <w:szCs w:val="20"/>
        </w:rPr>
      </w:pPr>
      <w:r w:rsidRPr="008B1B4C">
        <w:rPr>
          <w:sz w:val="20"/>
          <w:szCs w:val="20"/>
        </w:rPr>
        <w:t>(g)</w:t>
      </w:r>
      <w:r>
        <w:rPr>
          <w:b/>
          <w:sz w:val="20"/>
          <w:szCs w:val="20"/>
        </w:rPr>
        <w:tab/>
      </w:r>
      <w:r w:rsidR="00094D96" w:rsidRPr="0053437C">
        <w:rPr>
          <w:b/>
          <w:sz w:val="20"/>
          <w:szCs w:val="20"/>
        </w:rPr>
        <w:t xml:space="preserve">Develop a joint strategy of awareness rising among parents, teachers, law enforcement agencies on problems of forced marriage and the existing legislative </w:t>
      </w:r>
      <w:r w:rsidR="00094D96" w:rsidRPr="008B1B4C">
        <w:rPr>
          <w:b/>
          <w:sz w:val="20"/>
          <w:szCs w:val="20"/>
        </w:rPr>
        <w:t>regulations, in particular in rural areas</w:t>
      </w:r>
      <w:r w:rsidR="00AD7D00" w:rsidRPr="008B1B4C">
        <w:rPr>
          <w:b/>
          <w:sz w:val="20"/>
          <w:szCs w:val="20"/>
        </w:rPr>
        <w:t>;</w:t>
      </w:r>
    </w:p>
    <w:p w:rsidR="00991EEC" w:rsidRDefault="00102226" w:rsidP="008B1B4C">
      <w:pPr>
        <w:pStyle w:val="SingleTxtG"/>
        <w:ind w:firstLine="567"/>
        <w:rPr>
          <w:b/>
          <w:sz w:val="20"/>
          <w:szCs w:val="20"/>
        </w:rPr>
      </w:pPr>
      <w:r w:rsidRPr="008B1B4C">
        <w:rPr>
          <w:sz w:val="20"/>
          <w:szCs w:val="20"/>
        </w:rPr>
        <w:t>(h)</w:t>
      </w:r>
      <w:r>
        <w:rPr>
          <w:b/>
          <w:sz w:val="20"/>
          <w:szCs w:val="20"/>
        </w:rPr>
        <w:tab/>
      </w:r>
      <w:r w:rsidR="00094D96" w:rsidRPr="0053437C">
        <w:rPr>
          <w:b/>
          <w:sz w:val="20"/>
          <w:szCs w:val="20"/>
        </w:rPr>
        <w:t>Adopt measures to prevent sex</w:t>
      </w:r>
      <w:r w:rsidR="00796997" w:rsidRPr="0053437C">
        <w:rPr>
          <w:b/>
          <w:sz w:val="20"/>
          <w:szCs w:val="20"/>
        </w:rPr>
        <w:t>-selective abortions and ensure</w:t>
      </w:r>
      <w:r w:rsidR="00094D96" w:rsidRPr="0053437C">
        <w:rPr>
          <w:b/>
          <w:sz w:val="20"/>
          <w:szCs w:val="20"/>
        </w:rPr>
        <w:t xml:space="preserve"> regular publication of birth registration data, disaggregated by sex and region with the purpose to understand the causes of such abortions and raising awareness among the population about the negative long-term effects that such practices can have among the population</w:t>
      </w:r>
      <w:r w:rsidR="00AD7D00" w:rsidRPr="0053437C">
        <w:rPr>
          <w:b/>
          <w:sz w:val="20"/>
          <w:szCs w:val="20"/>
        </w:rPr>
        <w:t>.</w:t>
      </w:r>
    </w:p>
    <w:p w:rsidR="00E406D7" w:rsidRPr="00E406D7" w:rsidRDefault="00E406D7" w:rsidP="00E406D7">
      <w:pPr>
        <w:pStyle w:val="SingleTxtG"/>
        <w:spacing w:before="240" w:after="0"/>
        <w:jc w:val="center"/>
        <w:rPr>
          <w:b/>
          <w:sz w:val="20"/>
          <w:szCs w:val="20"/>
          <w:u w:val="single"/>
        </w:rPr>
      </w:pPr>
      <w:r>
        <w:rPr>
          <w:b/>
          <w:sz w:val="20"/>
          <w:szCs w:val="20"/>
          <w:u w:val="single"/>
        </w:rPr>
        <w:tab/>
      </w:r>
      <w:r>
        <w:rPr>
          <w:b/>
          <w:sz w:val="20"/>
          <w:szCs w:val="20"/>
          <w:u w:val="single"/>
        </w:rPr>
        <w:tab/>
      </w:r>
      <w:r>
        <w:rPr>
          <w:b/>
          <w:sz w:val="20"/>
          <w:szCs w:val="20"/>
          <w:u w:val="single"/>
        </w:rPr>
        <w:tab/>
      </w:r>
    </w:p>
    <w:sectPr w:rsidR="00E406D7" w:rsidRPr="00E406D7" w:rsidSect="00AF4876">
      <w:headerReference w:type="even" r:id="rId13"/>
      <w:headerReference w:type="default" r:id="rId14"/>
      <w:footerReference w:type="even" r:id="rId15"/>
      <w:footerReference w:type="default" r:id="rId16"/>
      <w:endnotePr>
        <w:numFmt w:val="decimal"/>
      </w:endnotePr>
      <w:type w:val="continuous"/>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45B" w:rsidRPr="00C47B2E" w:rsidRDefault="002B445B" w:rsidP="00C47B2E">
      <w:pPr>
        <w:pStyle w:val="Footer"/>
      </w:pPr>
    </w:p>
  </w:endnote>
  <w:endnote w:type="continuationSeparator" w:id="0">
    <w:p w:rsidR="002B445B" w:rsidRPr="00C47B2E" w:rsidRDefault="002B445B" w:rsidP="00C47B2E">
      <w:pPr>
        <w:pStyle w:val="Footer"/>
      </w:pPr>
    </w:p>
  </w:endnote>
  <w:endnote w:type="continuationNotice" w:id="1">
    <w:p w:rsidR="002B445B" w:rsidRPr="00C47B2E" w:rsidRDefault="002B445B"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Sylfaen_PDF_Subset">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45B" w:rsidRPr="00AF4876" w:rsidRDefault="002B445B" w:rsidP="00AF4876">
    <w:pPr>
      <w:pStyle w:val="Footer"/>
      <w:tabs>
        <w:tab w:val="right" w:pos="9598"/>
      </w:tabs>
    </w:pPr>
    <w:r>
      <w:fldChar w:fldCharType="begin"/>
    </w:r>
    <w:r>
      <w:instrText xml:space="preserve"> PAGE  \* MERGEFORMAT </w:instrText>
    </w:r>
    <w:r>
      <w:fldChar w:fldCharType="separate"/>
    </w:r>
    <w:r w:rsidR="00DF726C" w:rsidRPr="00DF726C">
      <w:rPr>
        <w:b/>
        <w:noProof/>
        <w:sz w:val="18"/>
      </w:rPr>
      <w:t>22</w:t>
    </w:r>
    <w:r>
      <w:rPr>
        <w:b/>
        <w:noProof/>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45B" w:rsidRPr="00AF4876" w:rsidRDefault="002B445B" w:rsidP="00AF4876">
    <w:pPr>
      <w:pStyle w:val="Footer"/>
      <w:tabs>
        <w:tab w:val="right" w:pos="9598"/>
      </w:tabs>
      <w:rPr>
        <w:b/>
        <w:sz w:val="18"/>
      </w:rPr>
    </w:pPr>
    <w:r>
      <w:tab/>
    </w:r>
    <w:r>
      <w:fldChar w:fldCharType="begin"/>
    </w:r>
    <w:r>
      <w:instrText xml:space="preserve"> PAGE  \* MERGEFORMAT </w:instrText>
    </w:r>
    <w:r>
      <w:fldChar w:fldCharType="separate"/>
    </w:r>
    <w:r w:rsidR="00DF726C" w:rsidRPr="00DF726C">
      <w:rPr>
        <w:b/>
        <w:noProof/>
        <w:sz w:val="18"/>
      </w:rPr>
      <w:t>23</w:t>
    </w:r>
    <w:r>
      <w:rPr>
        <w:b/>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45B" w:rsidRPr="00C47B2E" w:rsidRDefault="002B445B" w:rsidP="00C47B2E">
      <w:pPr>
        <w:tabs>
          <w:tab w:val="right" w:pos="2155"/>
        </w:tabs>
        <w:spacing w:after="80" w:line="240" w:lineRule="auto"/>
        <w:ind w:left="680"/>
      </w:pPr>
      <w:r>
        <w:rPr>
          <w:u w:val="single"/>
        </w:rPr>
        <w:tab/>
      </w:r>
    </w:p>
  </w:footnote>
  <w:footnote w:type="continuationSeparator" w:id="0">
    <w:p w:rsidR="002B445B" w:rsidRPr="00C47B2E" w:rsidRDefault="002B445B" w:rsidP="005E716E">
      <w:pPr>
        <w:tabs>
          <w:tab w:val="right" w:pos="2155"/>
        </w:tabs>
        <w:spacing w:after="80" w:line="240" w:lineRule="auto"/>
        <w:ind w:left="680"/>
      </w:pPr>
      <w:r>
        <w:rPr>
          <w:u w:val="single"/>
        </w:rPr>
        <w:tab/>
      </w:r>
    </w:p>
  </w:footnote>
  <w:footnote w:type="continuationNotice" w:id="1">
    <w:p w:rsidR="002B445B" w:rsidRPr="00C47B2E" w:rsidRDefault="002B445B" w:rsidP="00C47B2E">
      <w:pPr>
        <w:pStyle w:val="Footer"/>
      </w:pPr>
    </w:p>
  </w:footnote>
  <w:footnote w:id="2">
    <w:p w:rsidR="008B1B4C" w:rsidRDefault="008B1B4C" w:rsidP="008B1B4C">
      <w:pPr>
        <w:pStyle w:val="FootnoteText"/>
        <w:jc w:val="both"/>
      </w:pPr>
      <w:r>
        <w:tab/>
      </w:r>
      <w:r>
        <w:rPr>
          <w:rStyle w:val="FootnoteReference"/>
        </w:rPr>
        <w:t>*</w:t>
      </w:r>
      <w:r>
        <w:tab/>
      </w:r>
      <w:r w:rsidRPr="00540481">
        <w:rPr>
          <w:color w:val="000000"/>
          <w:szCs w:val="18"/>
          <w:lang w:eastAsia="en-GB"/>
        </w:rPr>
        <w:t>The present report was submitted after the deadline in order to reflect the most recent developments.</w:t>
      </w:r>
      <w:r>
        <w:t xml:space="preserve"> </w:t>
      </w:r>
    </w:p>
  </w:footnote>
  <w:footnote w:id="3">
    <w:p w:rsidR="00D87C6A" w:rsidRPr="00BA1B6C" w:rsidRDefault="00D87C6A" w:rsidP="00D87C6A">
      <w:pPr>
        <w:pStyle w:val="FootnoteText"/>
      </w:pPr>
      <w:r>
        <w:tab/>
      </w:r>
      <w:r>
        <w:rPr>
          <w:rStyle w:val="FootnoteReference"/>
        </w:rPr>
        <w:t>**</w:t>
      </w:r>
      <w:r>
        <w:t xml:space="preserve"> </w:t>
      </w:r>
      <w:r>
        <w:tab/>
      </w:r>
      <w:r w:rsidRPr="006A655D">
        <w:t xml:space="preserve">Circulated in </w:t>
      </w:r>
      <w:r>
        <w:t>the language of submission only</w:t>
      </w:r>
    </w:p>
  </w:footnote>
  <w:footnote w:id="4">
    <w:p w:rsidR="002B445B" w:rsidRPr="005542B8" w:rsidRDefault="002B445B">
      <w:pPr>
        <w:pStyle w:val="FootnoteText"/>
      </w:pPr>
      <w:r>
        <w:tab/>
      </w:r>
      <w:r>
        <w:rPr>
          <w:rStyle w:val="FootnoteReference"/>
        </w:rPr>
        <w:footnoteRef/>
      </w:r>
      <w:r w:rsidRPr="005542B8">
        <w:t xml:space="preserve"> </w:t>
      </w:r>
      <w:r>
        <w:tab/>
      </w:r>
      <w:r w:rsidRPr="005542B8">
        <w:rPr>
          <w:lang w:eastAsia="en-GB"/>
        </w:rPr>
        <w:t>E/CN.4/2006/71/Add.7</w:t>
      </w:r>
    </w:p>
  </w:footnote>
  <w:footnote w:id="5">
    <w:p w:rsidR="002B445B" w:rsidRPr="00421B1A" w:rsidRDefault="002B445B" w:rsidP="00421B1A">
      <w:pPr>
        <w:pStyle w:val="FootnoteText"/>
      </w:pPr>
      <w:r>
        <w:tab/>
      </w:r>
      <w:r>
        <w:rPr>
          <w:rStyle w:val="FootnoteReference"/>
        </w:rPr>
        <w:footnoteRef/>
      </w:r>
      <w:r w:rsidRPr="00421B1A">
        <w:t xml:space="preserve"> </w:t>
      </w:r>
      <w:r>
        <w:tab/>
      </w:r>
      <w:r w:rsidRPr="00421B1A">
        <w:rPr>
          <w:lang w:eastAsia="en-GB"/>
        </w:rPr>
        <w:t>Ibid.</w:t>
      </w:r>
    </w:p>
  </w:footnote>
  <w:footnote w:id="6">
    <w:p w:rsidR="002B445B" w:rsidRPr="001C7770" w:rsidRDefault="002B445B" w:rsidP="00F54567">
      <w:pPr>
        <w:pStyle w:val="FootnoteText"/>
      </w:pPr>
      <w:r>
        <w:tab/>
      </w:r>
      <w:r>
        <w:rPr>
          <w:rStyle w:val="FootnoteReference"/>
        </w:rPr>
        <w:footnoteRef/>
      </w:r>
      <w:r>
        <w:t xml:space="preserve"> </w:t>
      </w:r>
      <w:r>
        <w:tab/>
      </w:r>
      <w:r w:rsidRPr="001C7770">
        <w:rPr>
          <w:lang w:eastAsia="en-GB"/>
        </w:rPr>
        <w:t>A/HRC/10/13/Add.2</w:t>
      </w:r>
    </w:p>
  </w:footnote>
  <w:footnote w:id="7">
    <w:p w:rsidR="002B445B" w:rsidRPr="006832C3" w:rsidRDefault="002B445B" w:rsidP="00C43307">
      <w:pPr>
        <w:pStyle w:val="FootnoteText"/>
      </w:pPr>
      <w:r>
        <w:tab/>
      </w:r>
      <w:r>
        <w:rPr>
          <w:rStyle w:val="FootnoteReference"/>
        </w:rPr>
        <w:footnoteRef/>
      </w:r>
      <w:r>
        <w:t xml:space="preserve"> </w:t>
      </w:r>
      <w:r>
        <w:tab/>
      </w:r>
      <w:r w:rsidRPr="008B1B4C">
        <w:t>http://eeas.europa.eu/top_stories/2014/270614_association_agreement_en.htm</w:t>
      </w:r>
      <w:r>
        <w:t xml:space="preserve">  </w:t>
      </w:r>
    </w:p>
  </w:footnote>
  <w:footnote w:id="8">
    <w:p w:rsidR="002B445B" w:rsidRDefault="002B445B" w:rsidP="004603BE">
      <w:pPr>
        <w:pStyle w:val="FootnoteText"/>
      </w:pPr>
      <w:r>
        <w:tab/>
      </w:r>
      <w:r>
        <w:rPr>
          <w:rStyle w:val="FootnoteReference"/>
        </w:rPr>
        <w:footnoteRef/>
      </w:r>
      <w:r>
        <w:t xml:space="preserve"> </w:t>
      </w:r>
      <w:r>
        <w:tab/>
        <w:t>Background note provided by UN-Women.</w:t>
      </w:r>
    </w:p>
  </w:footnote>
  <w:footnote w:id="9">
    <w:p w:rsidR="002B445B" w:rsidRPr="00B14B5F" w:rsidRDefault="002B445B" w:rsidP="0022523E">
      <w:pPr>
        <w:pStyle w:val="FootnoteText"/>
        <w:rPr>
          <w:rFonts w:eastAsia="Sylfaen" w:cstheme="minorHAnsi"/>
          <w:szCs w:val="18"/>
        </w:rPr>
      </w:pPr>
      <w:r>
        <w:tab/>
      </w:r>
      <w:r>
        <w:rPr>
          <w:rStyle w:val="FootnoteReference"/>
        </w:rPr>
        <w:footnoteRef/>
      </w:r>
      <w:r>
        <w:t xml:space="preserve"> </w:t>
      </w:r>
      <w:r>
        <w:tab/>
      </w:r>
      <w:r w:rsidRPr="00341F72">
        <w:rPr>
          <w:rFonts w:asciiTheme="majorBidi" w:eastAsia="Sylfaen" w:hAnsiTheme="majorBidi" w:cstheme="majorBidi"/>
          <w:szCs w:val="18"/>
        </w:rPr>
        <w:t>National</w:t>
      </w:r>
      <w:r w:rsidRPr="00341F72">
        <w:rPr>
          <w:rFonts w:eastAsia="Sylfaen" w:cstheme="minorHAnsi"/>
          <w:szCs w:val="18"/>
        </w:rPr>
        <w:t xml:space="preserve"> Research on Domestic Violence against Women in Georgia</w:t>
      </w:r>
      <w:proofErr w:type="gramStart"/>
      <w:r>
        <w:rPr>
          <w:rFonts w:asciiTheme="majorBidi" w:hAnsiTheme="majorBidi" w:cstheme="majorBidi"/>
          <w:szCs w:val="18"/>
          <w:lang w:eastAsia="en-GB"/>
        </w:rPr>
        <w:t>,</w:t>
      </w:r>
      <w:r>
        <w:rPr>
          <w:rFonts w:eastAsia="Sylfaen" w:cstheme="minorHAnsi"/>
          <w:szCs w:val="18"/>
        </w:rPr>
        <w:t>2009,pp.33</w:t>
      </w:r>
      <w:proofErr w:type="gramEnd"/>
      <w:r>
        <w:rPr>
          <w:rFonts w:eastAsia="Sylfaen" w:cstheme="minorHAnsi"/>
          <w:szCs w:val="18"/>
        </w:rPr>
        <w:t xml:space="preserve"> and 44.</w:t>
      </w:r>
    </w:p>
  </w:footnote>
  <w:footnote w:id="10">
    <w:p w:rsidR="002B445B" w:rsidRPr="00B170BC" w:rsidRDefault="002B445B" w:rsidP="0039056B">
      <w:pPr>
        <w:pStyle w:val="FootnoteText"/>
      </w:pPr>
      <w:r>
        <w:tab/>
      </w:r>
      <w:r>
        <w:rPr>
          <w:rStyle w:val="FootnoteReference"/>
        </w:rPr>
        <w:footnoteRef/>
      </w:r>
      <w:r>
        <w:t xml:space="preserve"> </w:t>
      </w:r>
      <w:r>
        <w:tab/>
        <w:t>In 2015, 2,</w:t>
      </w:r>
      <w:r w:rsidRPr="0039056B">
        <w:rPr>
          <w:szCs w:val="18"/>
        </w:rPr>
        <w:t>726 restraining</w:t>
      </w:r>
      <w:r w:rsidRPr="00F12479">
        <w:rPr>
          <w:sz w:val="20"/>
          <w:szCs w:val="20"/>
        </w:rPr>
        <w:t xml:space="preserve"> </w:t>
      </w:r>
      <w:r>
        <w:t>orders were issued.</w:t>
      </w:r>
    </w:p>
  </w:footnote>
  <w:footnote w:id="11">
    <w:p w:rsidR="002B445B" w:rsidRPr="008A1A3D" w:rsidRDefault="002B445B" w:rsidP="004603BE">
      <w:pPr>
        <w:pStyle w:val="FootnoteText"/>
      </w:pPr>
      <w:r>
        <w:tab/>
      </w:r>
      <w:r>
        <w:rPr>
          <w:rStyle w:val="FootnoteReference"/>
        </w:rPr>
        <w:footnoteRef/>
      </w:r>
      <w:r>
        <w:t xml:space="preserve"> </w:t>
      </w:r>
      <w:r>
        <w:tab/>
        <w:t>Background note provided by the Public Defender’s Office.</w:t>
      </w:r>
    </w:p>
  </w:footnote>
  <w:footnote w:id="12">
    <w:p w:rsidR="002B445B" w:rsidRPr="009E58EE" w:rsidRDefault="002B445B" w:rsidP="0022523E">
      <w:pPr>
        <w:pStyle w:val="FootnoteText"/>
      </w:pPr>
      <w:r>
        <w:rPr>
          <w:rFonts w:eastAsia="Sylfaen" w:cstheme="minorHAnsi"/>
          <w:szCs w:val="18"/>
        </w:rPr>
        <w:tab/>
      </w:r>
      <w:r>
        <w:rPr>
          <w:rStyle w:val="FootnoteReference"/>
        </w:rPr>
        <w:footnoteRef/>
      </w:r>
      <w:r>
        <w:rPr>
          <w:rFonts w:eastAsia="Sylfaen" w:cstheme="minorHAnsi"/>
          <w:szCs w:val="18"/>
        </w:rPr>
        <w:t xml:space="preserve"> </w:t>
      </w:r>
      <w:r>
        <w:rPr>
          <w:rFonts w:eastAsia="Sylfaen" w:cstheme="minorHAnsi"/>
          <w:szCs w:val="18"/>
        </w:rPr>
        <w:tab/>
      </w:r>
      <w:proofErr w:type="spellStart"/>
      <w:r>
        <w:rPr>
          <w:rFonts w:eastAsia="Sylfaen" w:cstheme="minorHAnsi"/>
          <w:szCs w:val="18"/>
        </w:rPr>
        <w:t>op.cit.note</w:t>
      </w:r>
      <w:proofErr w:type="spellEnd"/>
      <w:r>
        <w:rPr>
          <w:rFonts w:eastAsia="Sylfaen" w:cstheme="minorHAnsi"/>
          <w:szCs w:val="18"/>
        </w:rPr>
        <w:t xml:space="preserve"> 6</w:t>
      </w:r>
      <w:proofErr w:type="gramStart"/>
      <w:r>
        <w:rPr>
          <w:rFonts w:eastAsia="Sylfaen" w:cstheme="minorHAnsi"/>
          <w:szCs w:val="18"/>
        </w:rPr>
        <w:t>,p.36</w:t>
      </w:r>
      <w:proofErr w:type="gramEnd"/>
      <w:r>
        <w:rPr>
          <w:rFonts w:eastAsia="Sylfaen" w:cstheme="minorHAnsi"/>
          <w:szCs w:val="18"/>
        </w:rPr>
        <w:t>.</w:t>
      </w:r>
    </w:p>
  </w:footnote>
  <w:footnote w:id="13">
    <w:p w:rsidR="002B445B" w:rsidRPr="00863080" w:rsidRDefault="002B445B" w:rsidP="0022523E">
      <w:pPr>
        <w:pStyle w:val="FootnoteText"/>
      </w:pPr>
      <w:r>
        <w:tab/>
      </w:r>
      <w:r>
        <w:rPr>
          <w:rStyle w:val="FootnoteReference"/>
        </w:rPr>
        <w:footnoteRef/>
      </w:r>
      <w:r>
        <w:tab/>
        <w:t xml:space="preserve"> </w:t>
      </w:r>
      <w:r>
        <w:rPr>
          <w:rFonts w:asciiTheme="majorBidi" w:hAnsiTheme="majorBidi" w:cstheme="majorBidi"/>
          <w:szCs w:val="18"/>
          <w:lang w:eastAsia="en-GB"/>
        </w:rPr>
        <w:t>Ibid.</w:t>
      </w:r>
    </w:p>
  </w:footnote>
  <w:footnote w:id="14">
    <w:p w:rsidR="002B445B" w:rsidRPr="005045FB" w:rsidRDefault="002B445B" w:rsidP="005045FB">
      <w:pPr>
        <w:pStyle w:val="FootnoteText"/>
      </w:pPr>
      <w:r>
        <w:tab/>
      </w:r>
      <w:r>
        <w:rPr>
          <w:rStyle w:val="FootnoteReference"/>
        </w:rPr>
        <w:footnoteRef/>
      </w:r>
      <w:r>
        <w:t xml:space="preserve"> </w:t>
      </w:r>
      <w:r>
        <w:tab/>
      </w:r>
      <w:r w:rsidRPr="005045FB">
        <w:t>Cases of violence conducted by mother</w:t>
      </w:r>
      <w:r>
        <w:t>s in law were also reported.</w:t>
      </w:r>
    </w:p>
  </w:footnote>
  <w:footnote w:id="15">
    <w:p w:rsidR="002B445B" w:rsidRPr="001A0D74" w:rsidRDefault="002B445B" w:rsidP="0022523E">
      <w:pPr>
        <w:pStyle w:val="FootnoteText"/>
      </w:pPr>
      <w:r>
        <w:tab/>
      </w:r>
      <w:r>
        <w:rPr>
          <w:rStyle w:val="FootnoteReference"/>
        </w:rPr>
        <w:footnoteRef/>
      </w:r>
      <w:r>
        <w:t xml:space="preserve"> </w:t>
      </w:r>
      <w:r>
        <w:tab/>
      </w:r>
      <w:proofErr w:type="spellStart"/>
      <w:r>
        <w:rPr>
          <w:rFonts w:eastAsia="Sylfaen" w:cstheme="minorHAnsi"/>
          <w:szCs w:val="18"/>
        </w:rPr>
        <w:t>op.cit.note</w:t>
      </w:r>
      <w:proofErr w:type="spellEnd"/>
      <w:r>
        <w:rPr>
          <w:rFonts w:eastAsia="Sylfaen" w:cstheme="minorHAnsi"/>
          <w:szCs w:val="18"/>
        </w:rPr>
        <w:t xml:space="preserve"> 6</w:t>
      </w:r>
      <w:proofErr w:type="gramStart"/>
      <w:r>
        <w:rPr>
          <w:rFonts w:eastAsia="Sylfaen" w:cstheme="minorHAnsi"/>
          <w:szCs w:val="18"/>
        </w:rPr>
        <w:t>,</w:t>
      </w:r>
      <w:r>
        <w:t>pp.36</w:t>
      </w:r>
      <w:proofErr w:type="gramEnd"/>
      <w:r>
        <w:t xml:space="preserve"> and</w:t>
      </w:r>
      <w:r>
        <w:rPr>
          <w:rFonts w:eastAsia="Sylfaen" w:cstheme="minorHAnsi"/>
          <w:szCs w:val="18"/>
        </w:rPr>
        <w:t xml:space="preserve"> 51.</w:t>
      </w:r>
    </w:p>
  </w:footnote>
  <w:footnote w:id="16">
    <w:p w:rsidR="002B445B" w:rsidRPr="00D17D27" w:rsidRDefault="002B445B" w:rsidP="0022523E">
      <w:pPr>
        <w:pStyle w:val="FootnoteText"/>
      </w:pPr>
      <w:r>
        <w:tab/>
      </w:r>
      <w:r>
        <w:rPr>
          <w:rStyle w:val="FootnoteReference"/>
        </w:rPr>
        <w:footnoteRef/>
      </w:r>
      <w:r>
        <w:t xml:space="preserve"> </w:t>
      </w:r>
      <w:r>
        <w:tab/>
      </w:r>
      <w:proofErr w:type="gramStart"/>
      <w:r>
        <w:rPr>
          <w:rFonts w:asciiTheme="majorBidi" w:hAnsiTheme="majorBidi" w:cstheme="majorBidi"/>
          <w:szCs w:val="18"/>
          <w:lang w:eastAsia="en-GB"/>
        </w:rPr>
        <w:t>Ibid.</w:t>
      </w:r>
      <w:r>
        <w:rPr>
          <w:rFonts w:eastAsia="Sylfaen" w:cstheme="minorHAnsi"/>
          <w:szCs w:val="18"/>
        </w:rPr>
        <w:t>p.37.</w:t>
      </w:r>
      <w:proofErr w:type="gramEnd"/>
    </w:p>
  </w:footnote>
  <w:footnote w:id="17">
    <w:p w:rsidR="002B445B" w:rsidRPr="00FE4CAF" w:rsidRDefault="002B445B" w:rsidP="002B445B">
      <w:pPr>
        <w:pStyle w:val="FootnoteText"/>
      </w:pPr>
      <w:r>
        <w:tab/>
      </w:r>
      <w:r>
        <w:rPr>
          <w:rStyle w:val="FootnoteReference"/>
        </w:rPr>
        <w:footnoteRef/>
      </w:r>
      <w:r>
        <w:t xml:space="preserve"> </w:t>
      </w:r>
      <w:r>
        <w:tab/>
      </w:r>
      <w:proofErr w:type="gramStart"/>
      <w:r>
        <w:rPr>
          <w:rFonts w:asciiTheme="majorBidi" w:eastAsia="Sylfaen" w:hAnsiTheme="majorBidi" w:cstheme="majorBidi"/>
          <w:szCs w:val="18"/>
        </w:rPr>
        <w:t>Ibid</w:t>
      </w:r>
      <w:r>
        <w:rPr>
          <w:rFonts w:eastAsia="Sylfaen" w:cstheme="minorHAnsi"/>
          <w:szCs w:val="18"/>
        </w:rPr>
        <w:t>.</w:t>
      </w:r>
      <w:r>
        <w:t>pp.36 and</w:t>
      </w:r>
      <w:r>
        <w:rPr>
          <w:rFonts w:eastAsia="Sylfaen" w:cstheme="minorHAnsi"/>
          <w:szCs w:val="18"/>
        </w:rPr>
        <w:t xml:space="preserve"> 51.</w:t>
      </w:r>
      <w:proofErr w:type="gramEnd"/>
    </w:p>
  </w:footnote>
  <w:footnote w:id="18">
    <w:p w:rsidR="002B445B" w:rsidRPr="00E20BE2" w:rsidRDefault="002B445B" w:rsidP="002B445B">
      <w:pPr>
        <w:pStyle w:val="FootnoteText"/>
      </w:pPr>
      <w:r>
        <w:tab/>
      </w:r>
      <w:r>
        <w:rPr>
          <w:rStyle w:val="FootnoteReference"/>
        </w:rPr>
        <w:footnoteRef/>
      </w:r>
      <w:r>
        <w:t xml:space="preserve"> </w:t>
      </w:r>
      <w:r>
        <w:tab/>
      </w:r>
      <w:r>
        <w:rPr>
          <w:rFonts w:asciiTheme="majorBidi" w:hAnsiTheme="majorBidi" w:cstheme="majorBidi"/>
          <w:szCs w:val="18"/>
          <w:lang w:eastAsia="en-GB"/>
        </w:rPr>
        <w:t>Ibid</w:t>
      </w:r>
      <w:r>
        <w:rPr>
          <w:rFonts w:eastAsia="Sylfaen" w:cstheme="minorHAnsi"/>
          <w:szCs w:val="18"/>
        </w:rPr>
        <w:t>.</w:t>
      </w:r>
    </w:p>
  </w:footnote>
  <w:footnote w:id="19">
    <w:p w:rsidR="002B445B" w:rsidRPr="006042F2" w:rsidRDefault="002B445B" w:rsidP="002B445B">
      <w:pPr>
        <w:pStyle w:val="FootnoteText"/>
        <w:rPr>
          <w:rFonts w:asciiTheme="majorBidi" w:hAnsiTheme="majorBidi" w:cstheme="majorBidi"/>
          <w:szCs w:val="18"/>
        </w:rPr>
      </w:pPr>
      <w:r>
        <w:rPr>
          <w:rFonts w:asciiTheme="majorBidi" w:hAnsiTheme="majorBidi" w:cstheme="majorBidi"/>
          <w:szCs w:val="18"/>
        </w:rPr>
        <w:tab/>
      </w:r>
      <w:r w:rsidRPr="006042F2">
        <w:rPr>
          <w:rStyle w:val="FootnoteReference"/>
          <w:rFonts w:asciiTheme="majorBidi" w:hAnsiTheme="majorBidi" w:cstheme="majorBidi"/>
          <w:szCs w:val="18"/>
        </w:rPr>
        <w:footnoteRef/>
      </w:r>
      <w:r w:rsidRPr="006042F2">
        <w:rPr>
          <w:rFonts w:asciiTheme="majorBidi" w:hAnsiTheme="majorBidi" w:cstheme="majorBidi"/>
          <w:szCs w:val="18"/>
        </w:rPr>
        <w:t xml:space="preserve"> </w:t>
      </w:r>
      <w:r>
        <w:rPr>
          <w:rFonts w:asciiTheme="majorBidi" w:hAnsiTheme="majorBidi" w:cstheme="majorBidi"/>
          <w:szCs w:val="18"/>
        </w:rPr>
        <w:tab/>
      </w:r>
      <w:r w:rsidRPr="006042F2">
        <w:rPr>
          <w:rFonts w:asciiTheme="majorBidi" w:hAnsiTheme="majorBidi" w:cstheme="majorBidi"/>
          <w:szCs w:val="18"/>
        </w:rPr>
        <w:t xml:space="preserve">Reproductive Health Survey Georgia, final report, </w:t>
      </w:r>
      <w:r w:rsidRPr="006042F2">
        <w:rPr>
          <w:rFonts w:asciiTheme="majorBidi" w:hAnsiTheme="majorBidi" w:cstheme="majorBidi"/>
          <w:szCs w:val="18"/>
          <w:lang w:eastAsia="en-GB"/>
        </w:rPr>
        <w:t xml:space="preserve">National </w:t>
      </w:r>
      <w:proofErr w:type="spellStart"/>
      <w:r w:rsidRPr="006042F2">
        <w:rPr>
          <w:rFonts w:asciiTheme="majorBidi" w:hAnsiTheme="majorBidi" w:cstheme="majorBidi"/>
          <w:szCs w:val="18"/>
          <w:lang w:eastAsia="en-GB"/>
        </w:rPr>
        <w:t>Center</w:t>
      </w:r>
      <w:proofErr w:type="spellEnd"/>
      <w:r w:rsidRPr="006042F2">
        <w:rPr>
          <w:rFonts w:asciiTheme="majorBidi" w:hAnsiTheme="majorBidi" w:cstheme="majorBidi"/>
          <w:szCs w:val="18"/>
          <w:lang w:eastAsia="en-GB"/>
        </w:rPr>
        <w:t xml:space="preserve"> for Disease Control and Public Health, Ministry of </w:t>
      </w:r>
      <w:proofErr w:type="spellStart"/>
      <w:r w:rsidRPr="006042F2">
        <w:rPr>
          <w:rFonts w:asciiTheme="majorBidi" w:hAnsiTheme="majorBidi" w:cstheme="majorBidi"/>
          <w:szCs w:val="18"/>
          <w:lang w:eastAsia="en-GB"/>
        </w:rPr>
        <w:t>Labor</w:t>
      </w:r>
      <w:proofErr w:type="spellEnd"/>
      <w:r w:rsidRPr="006042F2">
        <w:rPr>
          <w:rFonts w:asciiTheme="majorBidi" w:hAnsiTheme="majorBidi" w:cstheme="majorBidi"/>
          <w:szCs w:val="18"/>
          <w:lang w:eastAsia="en-GB"/>
        </w:rPr>
        <w:t>, Health, and Social Affairs, National Statist</w:t>
      </w:r>
      <w:r>
        <w:rPr>
          <w:rFonts w:asciiTheme="majorBidi" w:hAnsiTheme="majorBidi" w:cstheme="majorBidi"/>
          <w:szCs w:val="18"/>
          <w:lang w:eastAsia="en-GB"/>
        </w:rPr>
        <w:t>ics Office of Georgia,2010,p.</w:t>
      </w:r>
      <w:r w:rsidRPr="006042F2">
        <w:rPr>
          <w:rFonts w:asciiTheme="majorBidi" w:hAnsiTheme="majorBidi" w:cstheme="majorBidi"/>
          <w:szCs w:val="18"/>
          <w:lang w:eastAsia="en-GB"/>
        </w:rPr>
        <w:t>312.</w:t>
      </w:r>
    </w:p>
  </w:footnote>
  <w:footnote w:id="20">
    <w:p w:rsidR="002B445B" w:rsidRPr="00EC079E" w:rsidRDefault="002B445B" w:rsidP="002B445B">
      <w:pPr>
        <w:pStyle w:val="FootnoteText"/>
      </w:pPr>
      <w:r>
        <w:tab/>
      </w:r>
      <w:r>
        <w:rPr>
          <w:rStyle w:val="FootnoteReference"/>
        </w:rPr>
        <w:footnoteRef/>
      </w:r>
      <w:r>
        <w:t xml:space="preserve"> </w:t>
      </w:r>
      <w:r>
        <w:tab/>
      </w:r>
      <w:r w:rsidRPr="00EC079E">
        <w:t>Eth</w:t>
      </w:r>
      <w:r>
        <w:t>nic Minority Women in Georgia–</w:t>
      </w:r>
      <w:r w:rsidRPr="00EC079E">
        <w:t>Facing a Double Burden?, ECMI-European Centre for Minority Issues</w:t>
      </w:r>
      <w:r>
        <w:t>,</w:t>
      </w:r>
      <w:r w:rsidRPr="00EC079E">
        <w:t>2014</w:t>
      </w:r>
    </w:p>
  </w:footnote>
  <w:footnote w:id="21">
    <w:p w:rsidR="002B445B" w:rsidRPr="005F0D6D" w:rsidRDefault="002B445B" w:rsidP="0046042F">
      <w:pPr>
        <w:pStyle w:val="FootnoteText"/>
      </w:pPr>
      <w:r>
        <w:tab/>
      </w:r>
      <w:r>
        <w:rPr>
          <w:rStyle w:val="FootnoteReference"/>
        </w:rPr>
        <w:footnoteRef/>
      </w:r>
      <w:r>
        <w:t xml:space="preserve"> </w:t>
      </w:r>
      <w:r>
        <w:tab/>
      </w:r>
      <w:proofErr w:type="spellStart"/>
      <w:proofErr w:type="gramStart"/>
      <w:r>
        <w:rPr>
          <w:rFonts w:asciiTheme="majorBidi" w:hAnsiTheme="majorBidi" w:cstheme="majorBidi"/>
          <w:szCs w:val="18"/>
        </w:rPr>
        <w:t>Op.cit.note</w:t>
      </w:r>
      <w:proofErr w:type="spellEnd"/>
      <w:r>
        <w:rPr>
          <w:rFonts w:asciiTheme="majorBidi" w:hAnsiTheme="majorBidi" w:cstheme="majorBidi"/>
          <w:szCs w:val="18"/>
        </w:rPr>
        <w:t xml:space="preserve"> 5</w:t>
      </w:r>
      <w:r w:rsidRPr="006F75CB">
        <w:rPr>
          <w:rFonts w:asciiTheme="majorBidi" w:hAnsiTheme="majorBidi" w:cstheme="majorBidi"/>
          <w:szCs w:val="18"/>
        </w:rPr>
        <w:t>.</w:t>
      </w:r>
      <w:proofErr w:type="gramEnd"/>
    </w:p>
  </w:footnote>
  <w:footnote w:id="22">
    <w:p w:rsidR="002B445B" w:rsidRPr="00397811" w:rsidRDefault="002B445B" w:rsidP="006F7747">
      <w:pPr>
        <w:pStyle w:val="FootnoteText"/>
      </w:pPr>
      <w:r>
        <w:tab/>
      </w:r>
      <w:r>
        <w:rPr>
          <w:rStyle w:val="FootnoteReference"/>
        </w:rPr>
        <w:footnoteRef/>
      </w:r>
      <w:r w:rsidRPr="00397811">
        <w:t xml:space="preserve"> </w:t>
      </w:r>
      <w:r>
        <w:tab/>
      </w:r>
      <w:r>
        <w:rPr>
          <w:rFonts w:asciiTheme="majorBidi" w:hAnsiTheme="majorBidi" w:cstheme="majorBidi"/>
          <w:szCs w:val="18"/>
        </w:rPr>
        <w:t>Ibid.</w:t>
      </w:r>
    </w:p>
  </w:footnote>
  <w:footnote w:id="23">
    <w:p w:rsidR="002B445B" w:rsidRPr="00A6657D" w:rsidRDefault="002B445B" w:rsidP="00397811">
      <w:pPr>
        <w:pStyle w:val="FootnoteText"/>
      </w:pPr>
      <w:r>
        <w:tab/>
      </w:r>
      <w:r>
        <w:rPr>
          <w:rStyle w:val="FootnoteReference"/>
        </w:rPr>
        <w:footnoteRef/>
      </w:r>
      <w:r>
        <w:t xml:space="preserve"> </w:t>
      </w:r>
      <w:r>
        <w:tab/>
        <w:t xml:space="preserve">Annual Report, </w:t>
      </w:r>
      <w:r w:rsidRPr="00A6657D">
        <w:t>Public Defender of Georgia, 2014.</w:t>
      </w:r>
      <w:r w:rsidRPr="00A6657D">
        <w:tab/>
      </w:r>
    </w:p>
  </w:footnote>
  <w:footnote w:id="24">
    <w:p w:rsidR="002B445B" w:rsidRPr="00397811" w:rsidRDefault="002B445B" w:rsidP="002B445B">
      <w:pPr>
        <w:pStyle w:val="FootnoteText"/>
        <w:rPr>
          <w:szCs w:val="18"/>
        </w:rPr>
      </w:pPr>
      <w:r>
        <w:rPr>
          <w:szCs w:val="18"/>
        </w:rPr>
        <w:tab/>
      </w:r>
      <w:r w:rsidRPr="00397811">
        <w:rPr>
          <w:rStyle w:val="FootnoteReference"/>
          <w:szCs w:val="18"/>
        </w:rPr>
        <w:footnoteRef/>
      </w:r>
      <w:r w:rsidRPr="00397811">
        <w:rPr>
          <w:szCs w:val="18"/>
        </w:rPr>
        <w:t xml:space="preserve"> </w:t>
      </w:r>
      <w:r>
        <w:rPr>
          <w:szCs w:val="18"/>
        </w:rPr>
        <w:tab/>
      </w:r>
      <w:r w:rsidRPr="00397811">
        <w:rPr>
          <w:szCs w:val="18"/>
        </w:rPr>
        <w:t>Background note provided by the organization</w:t>
      </w:r>
      <w:r>
        <w:rPr>
          <w:szCs w:val="18"/>
        </w:rPr>
        <w:t xml:space="preserve"> Article 42 of the Constitution; and </w:t>
      </w:r>
      <w:r w:rsidRPr="0017757D">
        <w:t>CEDAW/C/GEO/CO/3.</w:t>
      </w:r>
    </w:p>
  </w:footnote>
  <w:footnote w:id="25">
    <w:p w:rsidR="002B445B" w:rsidRPr="0030658E" w:rsidRDefault="002B445B" w:rsidP="000933D7">
      <w:pPr>
        <w:pStyle w:val="FootnoteText"/>
      </w:pPr>
      <w:r>
        <w:tab/>
      </w:r>
      <w:r>
        <w:rPr>
          <w:rStyle w:val="FootnoteReference"/>
        </w:rPr>
        <w:footnoteRef/>
      </w:r>
      <w:r w:rsidRPr="0030658E">
        <w:t xml:space="preserve"> </w:t>
      </w:r>
      <w:r>
        <w:tab/>
      </w:r>
      <w:proofErr w:type="gramStart"/>
      <w:r w:rsidRPr="0017757D">
        <w:t>CEDAW/C/GEO/CO/4-5.</w:t>
      </w:r>
      <w:proofErr w:type="gramEnd"/>
    </w:p>
  </w:footnote>
  <w:footnote w:id="26">
    <w:p w:rsidR="002B445B" w:rsidRPr="00742CB9" w:rsidRDefault="002B445B">
      <w:pPr>
        <w:pStyle w:val="FootnoteText"/>
      </w:pPr>
      <w:r>
        <w:tab/>
      </w:r>
      <w:r>
        <w:rPr>
          <w:rStyle w:val="FootnoteReference"/>
        </w:rPr>
        <w:footnoteRef/>
      </w:r>
      <w:r>
        <w:t xml:space="preserve"> </w:t>
      </w:r>
      <w:r>
        <w:tab/>
      </w:r>
      <w:r w:rsidRPr="008B1B4C">
        <w:t>http://www.ombudsman.ge/uploads/other/3/3389.pdf</w:t>
      </w:r>
    </w:p>
  </w:footnote>
  <w:footnote w:id="27">
    <w:p w:rsidR="002B445B" w:rsidRPr="0030658E" w:rsidRDefault="002B445B">
      <w:pPr>
        <w:pStyle w:val="FootnoteText"/>
      </w:pPr>
      <w:r>
        <w:tab/>
      </w:r>
      <w:r w:rsidRPr="009A51E9">
        <w:rPr>
          <w:rStyle w:val="FootnoteReference"/>
        </w:rPr>
        <w:footnoteRef/>
      </w:r>
      <w:r w:rsidRPr="009A51E9">
        <w:t xml:space="preserve"> </w:t>
      </w:r>
      <w:r>
        <w:tab/>
      </w:r>
      <w:proofErr w:type="gramStart"/>
      <w:r w:rsidRPr="009A51E9">
        <w:t>Data from the Chief’s Prosecutor’s Office.</w:t>
      </w:r>
      <w:proofErr w:type="gramEnd"/>
    </w:p>
  </w:footnote>
  <w:footnote w:id="28">
    <w:p w:rsidR="002B445B" w:rsidRPr="006901EF" w:rsidRDefault="002B445B" w:rsidP="002B445B">
      <w:pPr>
        <w:pStyle w:val="FootnoteText"/>
      </w:pPr>
      <w:r>
        <w:tab/>
      </w:r>
      <w:r>
        <w:rPr>
          <w:rStyle w:val="FootnoteReference"/>
        </w:rPr>
        <w:footnoteRef/>
      </w:r>
      <w:r>
        <w:t xml:space="preserve"> </w:t>
      </w:r>
      <w:r>
        <w:tab/>
      </w:r>
      <w:r w:rsidRPr="006901EF">
        <w:t>In 2014, it was estimated that 36 women committed suicide.</w:t>
      </w:r>
      <w:r>
        <w:t xml:space="preserve"> </w:t>
      </w:r>
      <w:r w:rsidRPr="008B1B4C">
        <w:t>http://www.geostat.ge/cms/site_images/_files/english/health/Women%20and%20Men_2015.pdf</w:t>
      </w:r>
      <w:r>
        <w:t xml:space="preserve"> </w:t>
      </w:r>
    </w:p>
  </w:footnote>
  <w:footnote w:id="29">
    <w:p w:rsidR="002B445B" w:rsidRPr="00A37137" w:rsidRDefault="002B445B" w:rsidP="002B445B">
      <w:pPr>
        <w:pStyle w:val="FootnoteText"/>
      </w:pPr>
      <w:r>
        <w:tab/>
      </w:r>
      <w:r>
        <w:rPr>
          <w:rStyle w:val="FootnoteReference"/>
        </w:rPr>
        <w:footnoteRef/>
      </w:r>
      <w:r>
        <w:t xml:space="preserve"> </w:t>
      </w:r>
      <w:r>
        <w:tab/>
        <w:t xml:space="preserve">Background note provided by Union </w:t>
      </w:r>
      <w:proofErr w:type="spellStart"/>
      <w:r>
        <w:t>Sapari</w:t>
      </w:r>
      <w:proofErr w:type="spellEnd"/>
      <w:r>
        <w:t>. See also Violence against Women and Domestic Violence in Georgia, Special Report, Public Defender of Georgia</w:t>
      </w:r>
      <w:proofErr w:type="gramStart"/>
      <w:r>
        <w:t>,2015,p.40</w:t>
      </w:r>
      <w:proofErr w:type="gramEnd"/>
      <w:r>
        <w:t xml:space="preserve"> </w:t>
      </w:r>
      <w:r w:rsidRPr="004603BE">
        <w:t>and Public Defender of</w:t>
      </w:r>
      <w:r>
        <w:t xml:space="preserve"> Georgia, Parliamentary report,</w:t>
      </w:r>
      <w:r w:rsidRPr="004603BE">
        <w:t>2014.</w:t>
      </w:r>
    </w:p>
  </w:footnote>
  <w:footnote w:id="30">
    <w:p w:rsidR="002B445B" w:rsidRPr="00B64AB5" w:rsidRDefault="002B445B" w:rsidP="00452D03">
      <w:pPr>
        <w:pStyle w:val="FootnoteText"/>
        <w:rPr>
          <w:color w:val="FF0000"/>
        </w:rPr>
      </w:pPr>
      <w:r>
        <w:tab/>
      </w:r>
      <w:r w:rsidRPr="0001457A">
        <w:rPr>
          <w:rStyle w:val="FootnoteReference"/>
        </w:rPr>
        <w:footnoteRef/>
      </w:r>
      <w:r w:rsidRPr="0001457A">
        <w:t xml:space="preserve"> </w:t>
      </w:r>
      <w:r>
        <w:tab/>
      </w:r>
      <w:r w:rsidRPr="0001457A">
        <w:t>Data shared by the Public Defender’s Office.</w:t>
      </w:r>
    </w:p>
  </w:footnote>
  <w:footnote w:id="31">
    <w:p w:rsidR="002B445B" w:rsidRPr="00580C05" w:rsidRDefault="00EE4E3A" w:rsidP="00EE4E3A">
      <w:pPr>
        <w:pStyle w:val="FootnoteText"/>
        <w:rPr>
          <w:szCs w:val="18"/>
        </w:rPr>
      </w:pPr>
      <w:r>
        <w:rPr>
          <w:szCs w:val="18"/>
        </w:rPr>
        <w:tab/>
      </w:r>
      <w:r w:rsidR="002B445B" w:rsidRPr="00B61102">
        <w:rPr>
          <w:rStyle w:val="FootnoteReference"/>
          <w:szCs w:val="18"/>
        </w:rPr>
        <w:footnoteRef/>
      </w:r>
      <w:r w:rsidR="002B445B" w:rsidRPr="00B61102">
        <w:rPr>
          <w:szCs w:val="18"/>
        </w:rPr>
        <w:t xml:space="preserve"> </w:t>
      </w:r>
      <w:r>
        <w:rPr>
          <w:szCs w:val="18"/>
        </w:rPr>
        <w:tab/>
      </w:r>
      <w:r w:rsidR="002B445B" w:rsidRPr="00B61102">
        <w:rPr>
          <w:szCs w:val="18"/>
        </w:rPr>
        <w:t xml:space="preserve">In 2014, </w:t>
      </w:r>
      <w:r w:rsidR="002B445B">
        <w:rPr>
          <w:szCs w:val="18"/>
        </w:rPr>
        <w:t xml:space="preserve">it was estimated that </w:t>
      </w:r>
      <w:r w:rsidR="002B445B" w:rsidRPr="00B61102">
        <w:rPr>
          <w:szCs w:val="18"/>
        </w:rPr>
        <w:t xml:space="preserve">1,500 girls became mother: </w:t>
      </w:r>
      <w:r w:rsidR="002B445B" w:rsidRPr="008B1B4C">
        <w:rPr>
          <w:szCs w:val="18"/>
        </w:rPr>
        <w:t>https://iwpr.net/global-voices/georgia-tightens-early-marriage</w:t>
      </w:r>
      <w:r w:rsidR="002B445B">
        <w:rPr>
          <w:szCs w:val="18"/>
        </w:rPr>
        <w:t xml:space="preserve"> </w:t>
      </w:r>
      <w:r w:rsidR="002B445B" w:rsidRPr="00B61102">
        <w:rPr>
          <w:szCs w:val="18"/>
        </w:rPr>
        <w:t xml:space="preserve"> </w:t>
      </w:r>
    </w:p>
  </w:footnote>
  <w:footnote w:id="32">
    <w:p w:rsidR="002B445B" w:rsidRPr="00E43C4F" w:rsidRDefault="00EE4E3A" w:rsidP="00452D03">
      <w:pPr>
        <w:pStyle w:val="FootnoteText"/>
      </w:pPr>
      <w:r>
        <w:tab/>
      </w:r>
      <w:r w:rsidR="002B445B">
        <w:rPr>
          <w:rStyle w:val="FootnoteReference"/>
        </w:rPr>
        <w:footnoteRef/>
      </w:r>
      <w:r w:rsidR="002B445B">
        <w:t xml:space="preserve"> </w:t>
      </w:r>
      <w:r>
        <w:tab/>
      </w:r>
      <w:r w:rsidR="002B445B" w:rsidRPr="008B1B4C">
        <w:t>http://data.worldbank.org/indicator/SH.STA.MMRT</w:t>
      </w:r>
      <w:r w:rsidR="002B445B">
        <w:t xml:space="preserve"> </w:t>
      </w:r>
    </w:p>
  </w:footnote>
  <w:footnote w:id="33">
    <w:p w:rsidR="002B445B" w:rsidRPr="00E83EFF" w:rsidRDefault="00EE4E3A" w:rsidP="00EE4E3A">
      <w:pPr>
        <w:pStyle w:val="FootnoteText"/>
      </w:pPr>
      <w:r>
        <w:tab/>
      </w:r>
      <w:r w:rsidR="002B445B">
        <w:rPr>
          <w:rStyle w:val="FootnoteReference"/>
        </w:rPr>
        <w:footnoteRef/>
      </w:r>
      <w:r w:rsidR="002B445B">
        <w:t xml:space="preserve"> </w:t>
      </w:r>
      <w:r>
        <w:tab/>
      </w:r>
      <w:r w:rsidR="002B445B">
        <w:t xml:space="preserve">This phenomenon has decreased since its criminalization in 2004 under art. </w:t>
      </w:r>
      <w:proofErr w:type="gramStart"/>
      <w:r w:rsidR="002B445B">
        <w:t>143 of the Criminal Code on Deprivation of Liberty.</w:t>
      </w:r>
      <w:proofErr w:type="gramEnd"/>
      <w:r w:rsidR="002B445B">
        <w:t xml:space="preserve"> See: </w:t>
      </w:r>
      <w:proofErr w:type="spellStart"/>
      <w:r w:rsidR="002B445B">
        <w:t>op.cit</w:t>
      </w:r>
      <w:proofErr w:type="spellEnd"/>
      <w:r w:rsidR="002B445B">
        <w:t xml:space="preserve">. </w:t>
      </w:r>
      <w:proofErr w:type="gramStart"/>
      <w:r w:rsidR="002B445B">
        <w:t>note</w:t>
      </w:r>
      <w:proofErr w:type="gramEnd"/>
      <w:r w:rsidR="002B445B">
        <w:t xml:space="preserve"> 17,pp.11 and 19</w:t>
      </w:r>
      <w:r w:rsidR="002B445B" w:rsidRPr="00E83EFF">
        <w:t>.</w:t>
      </w:r>
    </w:p>
  </w:footnote>
  <w:footnote w:id="34">
    <w:p w:rsidR="002B445B" w:rsidRPr="00F94475" w:rsidRDefault="00EE4E3A" w:rsidP="00370DAF">
      <w:pPr>
        <w:pStyle w:val="FootnoteText"/>
      </w:pPr>
      <w:r>
        <w:tab/>
      </w:r>
      <w:r w:rsidR="002B445B">
        <w:rPr>
          <w:rStyle w:val="FootnoteReference"/>
        </w:rPr>
        <w:footnoteRef/>
      </w:r>
      <w:r w:rsidR="002B445B">
        <w:t xml:space="preserve"> </w:t>
      </w:r>
      <w:r>
        <w:tab/>
      </w:r>
      <w:r w:rsidR="002B445B">
        <w:t>Public Defender</w:t>
      </w:r>
      <w:r w:rsidR="002B445B" w:rsidRPr="00F94475">
        <w:t xml:space="preserve"> of Georgia, Special Report, Early Age Marriages: Challenges and Solutions.</w:t>
      </w:r>
    </w:p>
  </w:footnote>
  <w:footnote w:id="35">
    <w:p w:rsidR="002B445B" w:rsidRPr="000532F1" w:rsidRDefault="00806D68" w:rsidP="003D054B">
      <w:pPr>
        <w:pStyle w:val="FootnoteText"/>
      </w:pPr>
      <w:r>
        <w:tab/>
      </w:r>
      <w:r w:rsidR="002B445B" w:rsidRPr="003D054B">
        <w:rPr>
          <w:rStyle w:val="FootnoteReference"/>
        </w:rPr>
        <w:footnoteRef/>
      </w:r>
      <w:r w:rsidR="002B445B" w:rsidRPr="003D054B">
        <w:t xml:space="preserve"> </w:t>
      </w:r>
      <w:r>
        <w:tab/>
      </w:r>
      <w:r w:rsidR="002B445B" w:rsidRPr="008B1B4C">
        <w:t>https://iwpr.net/global-voices/georgia-tightens-early-marriage</w:t>
      </w:r>
      <w:r w:rsidR="002B445B">
        <w:t xml:space="preserve"> </w:t>
      </w:r>
      <w:r w:rsidR="002B445B" w:rsidRPr="003D054B">
        <w:t xml:space="preserve"> </w:t>
      </w:r>
    </w:p>
  </w:footnote>
  <w:footnote w:id="36">
    <w:p w:rsidR="002B445B" w:rsidRPr="00CF13D5" w:rsidRDefault="00806D68" w:rsidP="00F54567">
      <w:pPr>
        <w:pStyle w:val="FootnoteText"/>
      </w:pPr>
      <w:r>
        <w:tab/>
      </w:r>
      <w:r w:rsidR="002B445B">
        <w:rPr>
          <w:rStyle w:val="FootnoteReference"/>
        </w:rPr>
        <w:footnoteRef/>
      </w:r>
      <w:r w:rsidR="002B445B">
        <w:t xml:space="preserve"> </w:t>
      </w:r>
      <w:r>
        <w:tab/>
      </w:r>
      <w:proofErr w:type="gramStart"/>
      <w:r w:rsidR="002B445B" w:rsidRPr="00F54567">
        <w:t>I</w:t>
      </w:r>
      <w:r w:rsidR="002B445B">
        <w:t>bid.</w:t>
      </w:r>
      <w:proofErr w:type="gramEnd"/>
      <w:r w:rsidR="002B445B">
        <w:t xml:space="preserve"> </w:t>
      </w:r>
    </w:p>
  </w:footnote>
  <w:footnote w:id="37">
    <w:p w:rsidR="002B445B" w:rsidRPr="005E6176" w:rsidRDefault="00806D68" w:rsidP="00641DF2">
      <w:pPr>
        <w:pStyle w:val="FootnoteText"/>
      </w:pPr>
      <w:r>
        <w:tab/>
      </w:r>
      <w:r w:rsidR="002B445B">
        <w:rPr>
          <w:rStyle w:val="FootnoteReference"/>
        </w:rPr>
        <w:footnoteRef/>
      </w:r>
      <w:r w:rsidR="002B445B">
        <w:t xml:space="preserve"> </w:t>
      </w:r>
      <w:r>
        <w:tab/>
      </w:r>
      <w:proofErr w:type="spellStart"/>
      <w:r w:rsidR="002B445B">
        <w:t>Op.cit</w:t>
      </w:r>
      <w:proofErr w:type="spellEnd"/>
      <w:r w:rsidR="002B445B">
        <w:t>. note 8.</w:t>
      </w:r>
    </w:p>
  </w:footnote>
  <w:footnote w:id="38">
    <w:p w:rsidR="002B445B" w:rsidRPr="00F1164D" w:rsidRDefault="00806D68" w:rsidP="00C43307">
      <w:pPr>
        <w:pStyle w:val="FootnoteText"/>
      </w:pPr>
      <w:r>
        <w:tab/>
      </w:r>
      <w:r w:rsidR="002B445B">
        <w:rPr>
          <w:rStyle w:val="FootnoteReference"/>
        </w:rPr>
        <w:footnoteRef/>
      </w:r>
      <w:r w:rsidR="002B445B" w:rsidRPr="00F1164D">
        <w:t xml:space="preserve"> </w:t>
      </w:r>
      <w:r>
        <w:tab/>
      </w:r>
      <w:r w:rsidR="002B445B" w:rsidRPr="00F1164D">
        <w:t>Ibid.</w:t>
      </w:r>
    </w:p>
  </w:footnote>
  <w:footnote w:id="39">
    <w:p w:rsidR="002B445B" w:rsidRPr="00F1164D" w:rsidRDefault="00806D68" w:rsidP="0016640E">
      <w:pPr>
        <w:pStyle w:val="FootnoteText"/>
      </w:pPr>
      <w:r>
        <w:tab/>
      </w:r>
      <w:r w:rsidR="002B445B">
        <w:rPr>
          <w:rStyle w:val="FootnoteReference"/>
        </w:rPr>
        <w:footnoteRef/>
      </w:r>
      <w:r w:rsidR="002B445B" w:rsidRPr="00F1164D">
        <w:t xml:space="preserve"> </w:t>
      </w:r>
      <w:r>
        <w:tab/>
      </w:r>
      <w:r w:rsidR="002B445B" w:rsidRPr="008B1B4C">
        <w:t>http://georgia.unwomen.org/en/news/stories/2016/04/marriage-under-18-banned-in-the-pankisi-gorge</w:t>
      </w:r>
      <w:r w:rsidR="002B445B" w:rsidRPr="00F1164D">
        <w:t xml:space="preserve"> </w:t>
      </w:r>
    </w:p>
  </w:footnote>
  <w:footnote w:id="40">
    <w:p w:rsidR="002B445B" w:rsidRPr="008B1B4C" w:rsidRDefault="00806D68" w:rsidP="00806D68">
      <w:pPr>
        <w:pStyle w:val="FootnoteText"/>
        <w:rPr>
          <w:lang w:val="es-ES"/>
        </w:rPr>
      </w:pPr>
      <w:r>
        <w:tab/>
      </w:r>
      <w:r w:rsidR="002B445B">
        <w:rPr>
          <w:rStyle w:val="FootnoteReference"/>
        </w:rPr>
        <w:footnoteRef/>
      </w:r>
      <w:r w:rsidR="002B445B" w:rsidRPr="008B1B4C">
        <w:rPr>
          <w:lang w:val="es-ES"/>
        </w:rPr>
        <w:t xml:space="preserve"> </w:t>
      </w:r>
      <w:r w:rsidRPr="008B1B4C">
        <w:rPr>
          <w:lang w:val="es-ES"/>
        </w:rPr>
        <w:tab/>
        <w:t>http://tbinternet.ohchr.org/Treaties/CEDAW/Shared%20Documents/GEO/INT_CEDAW_ NGO_GEO_17610_E.pdf</w:t>
      </w:r>
    </w:p>
  </w:footnote>
  <w:footnote w:id="41">
    <w:p w:rsidR="002B445B" w:rsidRPr="00EB1197" w:rsidRDefault="00806D68" w:rsidP="004F4AD2">
      <w:pPr>
        <w:pStyle w:val="FootnoteText"/>
      </w:pPr>
      <w:r w:rsidRPr="008B1B4C">
        <w:rPr>
          <w:lang w:val="es-ES"/>
        </w:rPr>
        <w:tab/>
      </w:r>
      <w:r w:rsidR="002B445B">
        <w:rPr>
          <w:rStyle w:val="FootnoteReference"/>
        </w:rPr>
        <w:footnoteRef/>
      </w:r>
      <w:r w:rsidR="002B445B">
        <w:t xml:space="preserve"> </w:t>
      </w:r>
      <w:r>
        <w:tab/>
      </w:r>
      <w:r w:rsidR="002B445B">
        <w:t>Gender-biased Sex-Selection in Georgia, Context, Evidence and Implications, UNFPA</w:t>
      </w:r>
      <w:proofErr w:type="gramStart"/>
      <w:r w:rsidR="002B445B">
        <w:t>,2015,p.11</w:t>
      </w:r>
      <w:proofErr w:type="gramEnd"/>
      <w:r w:rsidR="002B445B">
        <w:t>.</w:t>
      </w:r>
    </w:p>
  </w:footnote>
  <w:footnote w:id="42">
    <w:p w:rsidR="002B445B" w:rsidRPr="008B1B4C" w:rsidRDefault="00806D68" w:rsidP="00F54567">
      <w:pPr>
        <w:pStyle w:val="FootnoteText"/>
        <w:rPr>
          <w:lang w:val="es-ES"/>
        </w:rPr>
      </w:pPr>
      <w:r>
        <w:tab/>
      </w:r>
      <w:r w:rsidR="002B445B" w:rsidRPr="008779AA">
        <w:rPr>
          <w:rStyle w:val="FootnoteReference"/>
        </w:rPr>
        <w:footnoteRef/>
      </w:r>
      <w:r w:rsidR="002B445B" w:rsidRPr="008B1B4C">
        <w:rPr>
          <w:lang w:val="es-ES"/>
        </w:rPr>
        <w:t xml:space="preserve"> </w:t>
      </w:r>
      <w:r w:rsidRPr="008B1B4C">
        <w:rPr>
          <w:lang w:val="es-ES"/>
        </w:rPr>
        <w:tab/>
      </w:r>
      <w:proofErr w:type="spellStart"/>
      <w:r w:rsidR="002B445B" w:rsidRPr="008B1B4C">
        <w:rPr>
          <w:lang w:val="es-ES"/>
        </w:rPr>
        <w:t>Ibid</w:t>
      </w:r>
      <w:proofErr w:type="spellEnd"/>
      <w:r w:rsidR="002B445B" w:rsidRPr="008B1B4C">
        <w:rPr>
          <w:lang w:val="es-ES"/>
        </w:rPr>
        <w:t>.</w:t>
      </w:r>
    </w:p>
  </w:footnote>
  <w:footnote w:id="43">
    <w:p w:rsidR="002B445B" w:rsidRPr="008B1B4C" w:rsidRDefault="00806D68" w:rsidP="00601DE0">
      <w:pPr>
        <w:pStyle w:val="FootnoteText"/>
        <w:rPr>
          <w:lang w:val="es-ES"/>
        </w:rPr>
      </w:pPr>
      <w:r w:rsidRPr="008B1B4C">
        <w:rPr>
          <w:lang w:val="es-ES"/>
        </w:rPr>
        <w:tab/>
      </w:r>
      <w:r w:rsidR="002B445B">
        <w:rPr>
          <w:rStyle w:val="FootnoteReference"/>
        </w:rPr>
        <w:footnoteRef/>
      </w:r>
      <w:r w:rsidRPr="008B1B4C">
        <w:rPr>
          <w:lang w:val="es-ES"/>
        </w:rPr>
        <w:tab/>
        <w:t>http://tbinternet.ohchr.org/Treaties/CEDAW/Shared%20Documents/GEO/INT_CEDAW_ NGO_GEO_17610_E.pdf</w:t>
      </w:r>
      <w:r w:rsidR="002B445B" w:rsidRPr="008B1B4C">
        <w:rPr>
          <w:lang w:val="es-ES"/>
        </w:rPr>
        <w:t xml:space="preserve"> </w:t>
      </w:r>
    </w:p>
  </w:footnote>
  <w:footnote w:id="44">
    <w:p w:rsidR="002B445B" w:rsidRPr="00EC079E" w:rsidRDefault="00806D68" w:rsidP="00641DF2">
      <w:pPr>
        <w:pStyle w:val="FootnoteText"/>
      </w:pPr>
      <w:r w:rsidRPr="008B1B4C">
        <w:rPr>
          <w:lang w:val="es-ES"/>
        </w:rPr>
        <w:tab/>
      </w:r>
      <w:r w:rsidR="002B445B">
        <w:rPr>
          <w:rStyle w:val="FootnoteReference"/>
        </w:rPr>
        <w:footnoteRef/>
      </w:r>
      <w:r w:rsidR="002B445B">
        <w:t xml:space="preserve"> </w:t>
      </w:r>
      <w:r>
        <w:tab/>
      </w:r>
      <w:proofErr w:type="spellStart"/>
      <w:r w:rsidR="002B445B">
        <w:t>Op.cit</w:t>
      </w:r>
      <w:proofErr w:type="spellEnd"/>
      <w:r w:rsidR="002B445B">
        <w:t>. note 17, p.3.</w:t>
      </w:r>
    </w:p>
  </w:footnote>
  <w:footnote w:id="45">
    <w:p w:rsidR="002B445B" w:rsidRPr="00351F6F" w:rsidRDefault="00806D68" w:rsidP="00C43307">
      <w:pPr>
        <w:pStyle w:val="FootnoteText"/>
      </w:pPr>
      <w:r>
        <w:tab/>
      </w:r>
      <w:r w:rsidR="002B445B">
        <w:rPr>
          <w:rStyle w:val="FootnoteReference"/>
        </w:rPr>
        <w:footnoteRef/>
      </w:r>
      <w:r w:rsidR="002B445B">
        <w:t xml:space="preserve"> </w:t>
      </w:r>
      <w:r>
        <w:tab/>
      </w:r>
      <w:r w:rsidR="002B445B">
        <w:t xml:space="preserve">Ibid, p. 5 and Reproductive Health Survey Georgia 2010, conducted by the Georgian </w:t>
      </w:r>
      <w:proofErr w:type="spellStart"/>
      <w:r w:rsidR="002B445B">
        <w:t>Center</w:t>
      </w:r>
      <w:proofErr w:type="spellEnd"/>
      <w:r w:rsidR="002B445B">
        <w:t xml:space="preserve"> for Disease Control and Public Health in collaboration with the Georgian Ministry of Labour, Health and Social Affairs.</w:t>
      </w:r>
    </w:p>
  </w:footnote>
  <w:footnote w:id="46">
    <w:p w:rsidR="002B445B" w:rsidRPr="005177BA" w:rsidRDefault="00806D68" w:rsidP="00641DF2">
      <w:pPr>
        <w:pStyle w:val="FootnoteText"/>
      </w:pPr>
      <w:r>
        <w:tab/>
      </w:r>
      <w:r w:rsidR="002B445B">
        <w:rPr>
          <w:rStyle w:val="FootnoteReference"/>
        </w:rPr>
        <w:footnoteRef/>
      </w:r>
      <w:r w:rsidR="002B445B">
        <w:t xml:space="preserve"> </w:t>
      </w:r>
      <w:r>
        <w:tab/>
      </w:r>
      <w:proofErr w:type="spellStart"/>
      <w:r w:rsidR="002B445B">
        <w:t>Op.cit</w:t>
      </w:r>
      <w:proofErr w:type="spellEnd"/>
      <w:r w:rsidR="002B445B">
        <w:t>. note 8</w:t>
      </w:r>
      <w:r w:rsidR="002B445B" w:rsidRPr="005177BA">
        <w:t>.</w:t>
      </w:r>
    </w:p>
  </w:footnote>
  <w:footnote w:id="47">
    <w:p w:rsidR="002B445B" w:rsidRPr="009078BA" w:rsidRDefault="00806D68" w:rsidP="00641DF2">
      <w:pPr>
        <w:pStyle w:val="FootnoteText"/>
      </w:pPr>
      <w:r>
        <w:tab/>
      </w:r>
      <w:r w:rsidR="002B445B">
        <w:rPr>
          <w:rStyle w:val="FootnoteReference"/>
        </w:rPr>
        <w:footnoteRef/>
      </w:r>
      <w:r w:rsidR="002B445B">
        <w:t xml:space="preserve"> </w:t>
      </w:r>
      <w:r>
        <w:tab/>
      </w:r>
      <w:proofErr w:type="spellStart"/>
      <w:proofErr w:type="gramStart"/>
      <w:r w:rsidR="002B445B">
        <w:t>op.cit</w:t>
      </w:r>
      <w:proofErr w:type="spellEnd"/>
      <w:r w:rsidR="002B445B">
        <w:t>. note17 p.24.</w:t>
      </w:r>
      <w:proofErr w:type="gramEnd"/>
    </w:p>
  </w:footnote>
  <w:footnote w:id="48">
    <w:p w:rsidR="002B445B" w:rsidRPr="00666B34" w:rsidRDefault="00806D68">
      <w:pPr>
        <w:pStyle w:val="FootnoteText"/>
      </w:pPr>
      <w:r>
        <w:tab/>
      </w:r>
      <w:r w:rsidR="002B445B">
        <w:rPr>
          <w:rStyle w:val="FootnoteReference"/>
        </w:rPr>
        <w:footnoteRef/>
      </w:r>
      <w:r w:rsidR="002B445B">
        <w:t xml:space="preserve"> </w:t>
      </w:r>
      <w:r>
        <w:tab/>
      </w:r>
      <w:r w:rsidR="002B445B">
        <w:t>Background note provided by UNHCR.</w:t>
      </w:r>
    </w:p>
  </w:footnote>
  <w:footnote w:id="49">
    <w:p w:rsidR="002B445B" w:rsidRPr="00B170BC" w:rsidRDefault="00806D68" w:rsidP="005E43B6">
      <w:pPr>
        <w:pStyle w:val="FootnoteText"/>
      </w:pPr>
      <w:r>
        <w:tab/>
      </w:r>
      <w:r w:rsidR="002B445B">
        <w:rPr>
          <w:rStyle w:val="FootnoteReference"/>
        </w:rPr>
        <w:footnoteRef/>
      </w:r>
      <w:r w:rsidR="002B445B">
        <w:t xml:space="preserve"> </w:t>
      </w:r>
      <w:r>
        <w:tab/>
      </w:r>
      <w:proofErr w:type="gramStart"/>
      <w:r w:rsidR="002B445B">
        <w:t>Taking into consideration the number of IDPs with whom UNHCR works.</w:t>
      </w:r>
      <w:proofErr w:type="gramEnd"/>
    </w:p>
  </w:footnote>
  <w:footnote w:id="50">
    <w:p w:rsidR="002B445B" w:rsidRPr="00A56D53" w:rsidRDefault="00806D68" w:rsidP="005E43B6">
      <w:pPr>
        <w:pStyle w:val="FootnoteText"/>
      </w:pPr>
      <w:r>
        <w:tab/>
      </w:r>
      <w:r w:rsidR="002B445B">
        <w:rPr>
          <w:rStyle w:val="FootnoteReference"/>
        </w:rPr>
        <w:footnoteRef/>
      </w:r>
      <w:r w:rsidR="002B445B">
        <w:t xml:space="preserve"> </w:t>
      </w:r>
      <w:r>
        <w:tab/>
      </w:r>
      <w:r w:rsidR="002B445B">
        <w:t xml:space="preserve">Background note provided by Association </w:t>
      </w:r>
      <w:proofErr w:type="spellStart"/>
      <w:r w:rsidR="002B445B">
        <w:t>Amagdari</w:t>
      </w:r>
      <w:proofErr w:type="spellEnd"/>
      <w:r w:rsidR="002B445B">
        <w:t>.</w:t>
      </w:r>
    </w:p>
  </w:footnote>
  <w:footnote w:id="51">
    <w:p w:rsidR="002B445B" w:rsidRPr="001763F6" w:rsidRDefault="00806D68" w:rsidP="00641DF2">
      <w:pPr>
        <w:pStyle w:val="FootnoteText"/>
      </w:pPr>
      <w:r>
        <w:tab/>
      </w:r>
      <w:r w:rsidR="002B445B">
        <w:rPr>
          <w:rStyle w:val="FootnoteReference"/>
        </w:rPr>
        <w:footnoteRef/>
      </w:r>
      <w:r w:rsidR="002B445B">
        <w:t xml:space="preserve"> </w:t>
      </w:r>
      <w:r>
        <w:tab/>
      </w:r>
      <w:proofErr w:type="spellStart"/>
      <w:proofErr w:type="gramStart"/>
      <w:r w:rsidR="002B445B">
        <w:t>Op.cit.note</w:t>
      </w:r>
      <w:proofErr w:type="spellEnd"/>
      <w:r w:rsidR="002B445B">
        <w:t xml:space="preserve"> 45.</w:t>
      </w:r>
      <w:proofErr w:type="gramEnd"/>
    </w:p>
  </w:footnote>
  <w:footnote w:id="52">
    <w:p w:rsidR="002B445B" w:rsidRPr="002975EB" w:rsidRDefault="00806D68" w:rsidP="005E43B6">
      <w:pPr>
        <w:pStyle w:val="FootnoteText"/>
      </w:pPr>
      <w:r>
        <w:tab/>
      </w:r>
      <w:r w:rsidR="002B445B">
        <w:rPr>
          <w:rStyle w:val="FootnoteReference"/>
        </w:rPr>
        <w:footnoteRef/>
      </w:r>
      <w:r w:rsidR="002B445B">
        <w:t xml:space="preserve"> </w:t>
      </w:r>
      <w:r>
        <w:tab/>
      </w:r>
      <w:r w:rsidR="002B445B" w:rsidRPr="002975EB">
        <w:t xml:space="preserve">UNHCR estimated that 200 </w:t>
      </w:r>
      <w:r w:rsidR="002B445B">
        <w:t>GEL (approximately 89 USD)</w:t>
      </w:r>
      <w:r w:rsidR="002B445B" w:rsidRPr="002975EB">
        <w:t xml:space="preserve"> </w:t>
      </w:r>
      <w:r w:rsidR="002B445B">
        <w:t>are</w:t>
      </w:r>
      <w:r w:rsidR="002B445B" w:rsidRPr="002975EB">
        <w:t xml:space="preserve"> </w:t>
      </w:r>
      <w:r w:rsidR="002B445B">
        <w:t>necessary</w:t>
      </w:r>
      <w:r w:rsidR="002B445B" w:rsidRPr="002975EB">
        <w:t xml:space="preserve"> to live.</w:t>
      </w:r>
    </w:p>
  </w:footnote>
  <w:footnote w:id="53">
    <w:p w:rsidR="002B445B" w:rsidRPr="00CC0F05" w:rsidRDefault="00806D68">
      <w:pPr>
        <w:pStyle w:val="FootnoteText"/>
      </w:pPr>
      <w:r>
        <w:tab/>
      </w:r>
      <w:r w:rsidR="002B445B">
        <w:rPr>
          <w:rStyle w:val="FootnoteReference"/>
        </w:rPr>
        <w:footnoteRef/>
      </w:r>
      <w:r w:rsidR="002B445B">
        <w:t xml:space="preserve"> </w:t>
      </w:r>
      <w:r>
        <w:tab/>
      </w:r>
      <w:r w:rsidR="002B445B">
        <w:t>Aging in Displacement: Assessing Health Status of Displaced Older Adults in the Republic of Georgia, John Hopkins Bloomberg School of Public Health</w:t>
      </w:r>
      <w:proofErr w:type="gramStart"/>
      <w:r w:rsidR="002B445B">
        <w:t>,p.1</w:t>
      </w:r>
      <w:proofErr w:type="gramEnd"/>
      <w:r w:rsidR="002B445B">
        <w:t>.</w:t>
      </w:r>
    </w:p>
  </w:footnote>
  <w:footnote w:id="54">
    <w:p w:rsidR="002B445B" w:rsidRPr="00D63DB2" w:rsidRDefault="00806D68" w:rsidP="00C43307">
      <w:pPr>
        <w:pStyle w:val="FootnoteText"/>
        <w:rPr>
          <w:lang w:val="es-ES"/>
        </w:rPr>
      </w:pPr>
      <w:r w:rsidRPr="008B1B4C">
        <w:tab/>
      </w:r>
      <w:r w:rsidR="002B445B">
        <w:rPr>
          <w:rStyle w:val="FootnoteReference"/>
        </w:rPr>
        <w:footnoteRef/>
      </w:r>
      <w:r w:rsidR="002B445B">
        <w:rPr>
          <w:lang w:val="es-ES"/>
        </w:rPr>
        <w:t xml:space="preserve"> </w:t>
      </w:r>
      <w:r>
        <w:rPr>
          <w:lang w:val="es-ES"/>
        </w:rPr>
        <w:tab/>
      </w:r>
      <w:r w:rsidR="002B445B">
        <w:rPr>
          <w:lang w:val="es-ES"/>
        </w:rPr>
        <w:t>Ibid</w:t>
      </w:r>
      <w:proofErr w:type="gramStart"/>
      <w:r w:rsidR="002B445B">
        <w:rPr>
          <w:lang w:val="es-ES"/>
        </w:rPr>
        <w:t>,p.</w:t>
      </w:r>
      <w:r w:rsidR="002B445B" w:rsidRPr="00D63DB2">
        <w:rPr>
          <w:lang w:val="es-ES"/>
        </w:rPr>
        <w:t>3</w:t>
      </w:r>
      <w:proofErr w:type="gramEnd"/>
      <w:r w:rsidR="002B445B" w:rsidRPr="00D63DB2">
        <w:rPr>
          <w:lang w:val="es-ES"/>
        </w:rPr>
        <w:t>.</w:t>
      </w:r>
    </w:p>
  </w:footnote>
  <w:footnote w:id="55">
    <w:p w:rsidR="002B445B" w:rsidRPr="00D63DB2" w:rsidRDefault="00806D68" w:rsidP="00D277C8">
      <w:pPr>
        <w:pStyle w:val="FootnoteText"/>
        <w:rPr>
          <w:lang w:val="es-ES"/>
        </w:rPr>
      </w:pPr>
      <w:r>
        <w:rPr>
          <w:lang w:val="es-ES"/>
        </w:rPr>
        <w:tab/>
      </w:r>
      <w:r w:rsidR="002B445B">
        <w:rPr>
          <w:rStyle w:val="FootnoteReference"/>
        </w:rPr>
        <w:footnoteRef/>
      </w:r>
      <w:r w:rsidR="002B445B" w:rsidRPr="00D63DB2">
        <w:rPr>
          <w:lang w:val="es-ES"/>
        </w:rPr>
        <w:t xml:space="preserve"> </w:t>
      </w:r>
      <w:r>
        <w:rPr>
          <w:lang w:val="es-ES"/>
        </w:rPr>
        <w:tab/>
      </w:r>
      <w:r w:rsidR="002B445B" w:rsidRPr="008B1B4C">
        <w:rPr>
          <w:lang w:val="es-ES"/>
        </w:rPr>
        <w:t>https://www.amnesty.org/en/latest/news/2013/05/georgia-homophobic-violence-mars-tbilisi-pride-event/</w:t>
      </w:r>
      <w:r w:rsidR="002B445B" w:rsidRPr="00D63DB2">
        <w:rPr>
          <w:lang w:val="es-ES"/>
        </w:rPr>
        <w:t xml:space="preserve"> </w:t>
      </w:r>
    </w:p>
  </w:footnote>
  <w:footnote w:id="56">
    <w:p w:rsidR="002B445B" w:rsidRPr="00C73DCC" w:rsidRDefault="00806D68" w:rsidP="00641DF2">
      <w:pPr>
        <w:pStyle w:val="FootnoteText"/>
      </w:pPr>
      <w:r w:rsidRPr="008B1B4C">
        <w:rPr>
          <w:lang w:val="es-ES"/>
        </w:rPr>
        <w:tab/>
      </w:r>
      <w:r w:rsidR="002B445B">
        <w:rPr>
          <w:rStyle w:val="FootnoteReference"/>
        </w:rPr>
        <w:footnoteRef/>
      </w:r>
      <w:r w:rsidR="002B445B">
        <w:t xml:space="preserve"> </w:t>
      </w:r>
      <w:r>
        <w:tab/>
      </w:r>
      <w:proofErr w:type="spellStart"/>
      <w:proofErr w:type="gramStart"/>
      <w:r w:rsidR="002B445B">
        <w:t>Op.cit.note</w:t>
      </w:r>
      <w:proofErr w:type="spellEnd"/>
      <w:r w:rsidR="002B445B">
        <w:t xml:space="preserve"> 8</w:t>
      </w:r>
      <w:r w:rsidR="002B445B" w:rsidRPr="00C73DCC">
        <w:t>.</w:t>
      </w:r>
      <w:proofErr w:type="gramEnd"/>
    </w:p>
  </w:footnote>
  <w:footnote w:id="57">
    <w:p w:rsidR="002B445B" w:rsidRPr="00AE7205" w:rsidRDefault="00806D68">
      <w:pPr>
        <w:pStyle w:val="FootnoteText"/>
      </w:pPr>
      <w:r>
        <w:tab/>
      </w:r>
      <w:r w:rsidR="002B445B">
        <w:rPr>
          <w:rStyle w:val="FootnoteReference"/>
        </w:rPr>
        <w:footnoteRef/>
      </w:r>
      <w:r w:rsidR="002B445B">
        <w:t xml:space="preserve"> </w:t>
      </w:r>
      <w:r>
        <w:tab/>
      </w:r>
      <w:proofErr w:type="gramStart"/>
      <w:r w:rsidR="002B445B" w:rsidRPr="00AE7205">
        <w:t>CCPR/C/GEO/CO/4.</w:t>
      </w:r>
      <w:proofErr w:type="gramEnd"/>
    </w:p>
  </w:footnote>
  <w:footnote w:id="58">
    <w:p w:rsidR="002B445B" w:rsidRPr="00B75CBC" w:rsidRDefault="00806D68" w:rsidP="00F54567">
      <w:pPr>
        <w:pStyle w:val="FootnoteText"/>
      </w:pPr>
      <w:r>
        <w:tab/>
      </w:r>
      <w:r w:rsidR="002B445B">
        <w:rPr>
          <w:rStyle w:val="FootnoteReference"/>
        </w:rPr>
        <w:footnoteRef/>
      </w:r>
      <w:r w:rsidR="002B445B">
        <w:t xml:space="preserve"> </w:t>
      </w:r>
      <w:r>
        <w:tab/>
      </w:r>
      <w:proofErr w:type="gramStart"/>
      <w:r w:rsidR="002B445B" w:rsidRPr="00806D68">
        <w:t>CEDAW/C/GEO/CO/4-5.</w:t>
      </w:r>
      <w:proofErr w:type="gramEnd"/>
    </w:p>
  </w:footnote>
  <w:footnote w:id="59">
    <w:p w:rsidR="002B445B" w:rsidRPr="006B61C7" w:rsidRDefault="00806D68" w:rsidP="00E06B9A">
      <w:pPr>
        <w:pStyle w:val="FootnoteText"/>
      </w:pPr>
      <w:r>
        <w:tab/>
      </w:r>
      <w:r w:rsidR="002B445B" w:rsidRPr="00017CAB">
        <w:rPr>
          <w:rStyle w:val="FootnoteReference"/>
        </w:rPr>
        <w:footnoteRef/>
      </w:r>
      <w:r w:rsidR="002B445B" w:rsidRPr="00017CAB">
        <w:t xml:space="preserve"> </w:t>
      </w:r>
      <w:r>
        <w:tab/>
      </w:r>
      <w:r w:rsidR="002B445B" w:rsidRPr="00017CAB">
        <w:t>A protective order is issued by a court (judge) or first instance through an administrative proceeding that determines temporary measures to protect a victim and valid for up to six months; a restraining order is issued by a police officer and must be approved by the court within 24 hours that determined temporary measures to protect a victim of domestic violence and is v</w:t>
      </w:r>
      <w:r w:rsidR="002B445B">
        <w:t>alid for up to one month (arts.</w:t>
      </w:r>
      <w:r w:rsidR="002B445B" w:rsidRPr="00017CAB">
        <w:t>10 and 12 of the Law on Domestic Violence).</w:t>
      </w:r>
    </w:p>
  </w:footnote>
  <w:footnote w:id="60">
    <w:p w:rsidR="002B445B" w:rsidRPr="00BE4FD1" w:rsidRDefault="00806D68" w:rsidP="000C6DAF">
      <w:pPr>
        <w:pStyle w:val="FootnoteText"/>
      </w:pPr>
      <w:r>
        <w:tab/>
      </w:r>
      <w:r w:rsidR="002B445B">
        <w:rPr>
          <w:rStyle w:val="FootnoteReference"/>
        </w:rPr>
        <w:footnoteRef/>
      </w:r>
      <w:r w:rsidR="002B445B">
        <w:t xml:space="preserve"> </w:t>
      </w:r>
      <w:r>
        <w:tab/>
      </w:r>
      <w:proofErr w:type="gramStart"/>
      <w:r w:rsidR="002B445B">
        <w:t>CCPR/C/GEO/CO/4.</w:t>
      </w:r>
      <w:proofErr w:type="gramEnd"/>
    </w:p>
  </w:footnote>
  <w:footnote w:id="61">
    <w:p w:rsidR="002B445B" w:rsidRPr="008C740B" w:rsidRDefault="00806D68" w:rsidP="00BF4BEB">
      <w:pPr>
        <w:pStyle w:val="FootnoteText"/>
      </w:pPr>
      <w:r>
        <w:tab/>
      </w:r>
      <w:r w:rsidR="002B445B">
        <w:rPr>
          <w:rStyle w:val="FootnoteReference"/>
        </w:rPr>
        <w:footnoteRef/>
      </w:r>
      <w:r w:rsidR="002B445B">
        <w:t xml:space="preserve"> </w:t>
      </w:r>
      <w:r>
        <w:tab/>
      </w:r>
      <w:proofErr w:type="gramStart"/>
      <w:r w:rsidR="002B445B">
        <w:t>CEDAW/C/61/D/24/2009.</w:t>
      </w:r>
      <w:proofErr w:type="gramEnd"/>
    </w:p>
  </w:footnote>
  <w:footnote w:id="62">
    <w:p w:rsidR="002B445B" w:rsidRPr="00F83E66" w:rsidRDefault="00806D68" w:rsidP="005E50C5">
      <w:pPr>
        <w:pStyle w:val="FootnoteText"/>
      </w:pPr>
      <w:r>
        <w:tab/>
      </w:r>
      <w:r w:rsidR="002B445B">
        <w:rPr>
          <w:rStyle w:val="FootnoteReference"/>
        </w:rPr>
        <w:footnoteRef/>
      </w:r>
      <w:r w:rsidR="002B445B">
        <w:t xml:space="preserve"> </w:t>
      </w:r>
      <w:r>
        <w:tab/>
      </w:r>
      <w:r w:rsidR="002B445B">
        <w:t>A/HRC/31/15</w:t>
      </w:r>
    </w:p>
  </w:footnote>
  <w:footnote w:id="63">
    <w:p w:rsidR="002B445B" w:rsidRPr="00CB76C0" w:rsidRDefault="00806D68" w:rsidP="00806D68">
      <w:pPr>
        <w:pStyle w:val="FootnoteText"/>
      </w:pPr>
      <w:r>
        <w:tab/>
      </w:r>
      <w:r w:rsidR="002B445B">
        <w:rPr>
          <w:rStyle w:val="FootnoteReference"/>
        </w:rPr>
        <w:footnoteRef/>
      </w:r>
      <w:r w:rsidR="002B445B">
        <w:t xml:space="preserve"> </w:t>
      </w:r>
      <w:r>
        <w:tab/>
      </w:r>
      <w:r w:rsidR="002B445B" w:rsidRPr="008B1B4C">
        <w:t>http://georgia.unwomen.org/en/news/stories/2016/01/interagency-council-finalizes-draft-national-action-plan-to-combat-violence-against-women</w:t>
      </w:r>
      <w:r w:rsidR="002B445B">
        <w:t xml:space="preserve"> </w:t>
      </w:r>
    </w:p>
  </w:footnote>
  <w:footnote w:id="64">
    <w:p w:rsidR="002B445B" w:rsidRPr="00DE1260" w:rsidRDefault="00806D68" w:rsidP="00C43307">
      <w:pPr>
        <w:pStyle w:val="FootnoteText"/>
      </w:pPr>
      <w:r>
        <w:tab/>
      </w:r>
      <w:r w:rsidR="002B445B">
        <w:rPr>
          <w:rStyle w:val="FootnoteReference"/>
        </w:rPr>
        <w:footnoteRef/>
      </w:r>
      <w:r w:rsidR="002B445B">
        <w:t xml:space="preserve"> </w:t>
      </w:r>
      <w:r>
        <w:tab/>
      </w:r>
      <w:r w:rsidR="002B445B" w:rsidRPr="008B1B4C">
        <w:t>http://www.ombudsman.ge/uploads/other/3/3566.pdf</w:t>
      </w:r>
      <w:r w:rsidR="002B445B">
        <w:t xml:space="preserve"> </w:t>
      </w:r>
    </w:p>
  </w:footnote>
  <w:footnote w:id="65">
    <w:p w:rsidR="002B445B" w:rsidRPr="0015040C" w:rsidRDefault="00B30249" w:rsidP="00641DF2">
      <w:pPr>
        <w:pStyle w:val="FootnoteText"/>
      </w:pPr>
      <w:r>
        <w:tab/>
      </w:r>
      <w:r w:rsidR="002B445B">
        <w:rPr>
          <w:rStyle w:val="FootnoteReference"/>
        </w:rPr>
        <w:footnoteRef/>
      </w:r>
      <w:r w:rsidR="002B445B">
        <w:t xml:space="preserve"> </w:t>
      </w:r>
      <w:r>
        <w:tab/>
      </w:r>
      <w:proofErr w:type="spellStart"/>
      <w:r w:rsidR="002B445B">
        <w:t>Op.cit</w:t>
      </w:r>
      <w:proofErr w:type="spellEnd"/>
      <w:r w:rsidR="002B445B">
        <w:t>. note 45.</w:t>
      </w:r>
    </w:p>
  </w:footnote>
  <w:footnote w:id="66">
    <w:p w:rsidR="002B445B" w:rsidRPr="00996401" w:rsidRDefault="00B30249" w:rsidP="00B30249">
      <w:pPr>
        <w:pStyle w:val="FootnoteText"/>
      </w:pPr>
      <w:r>
        <w:tab/>
      </w:r>
      <w:r w:rsidR="002B445B">
        <w:rPr>
          <w:rStyle w:val="FootnoteReference"/>
        </w:rPr>
        <w:footnoteRef/>
      </w:r>
      <w:r>
        <w:tab/>
      </w:r>
      <w:r w:rsidR="002B445B">
        <w:t>Annual Report of the Public Defender of Georgia, The Situation of Human Rights and Freedoms in Georgia</w:t>
      </w:r>
      <w:proofErr w:type="gramStart"/>
      <w:r w:rsidR="002B445B">
        <w:t>,2014,p</w:t>
      </w:r>
      <w:proofErr w:type="gramEnd"/>
      <w:r w:rsidR="002B445B">
        <w:t xml:space="preserve">. 419. See also: </w:t>
      </w:r>
      <w:r w:rsidR="002B445B" w:rsidRPr="00315171">
        <w:t>Women</w:t>
      </w:r>
      <w:r w:rsidR="002B445B">
        <w:t>, Business and the Law 2016.</w:t>
      </w:r>
    </w:p>
  </w:footnote>
  <w:footnote w:id="67">
    <w:p w:rsidR="002B445B" w:rsidRPr="00BD6B56" w:rsidRDefault="00B30249" w:rsidP="0017757D">
      <w:pPr>
        <w:pStyle w:val="FootnoteText"/>
      </w:pPr>
      <w:r>
        <w:tab/>
      </w:r>
      <w:r w:rsidR="002B445B">
        <w:rPr>
          <w:rStyle w:val="FootnoteReference"/>
        </w:rPr>
        <w:footnoteRef/>
      </w:r>
      <w:r w:rsidR="002B445B">
        <w:t xml:space="preserve"> </w:t>
      </w:r>
      <w:r>
        <w:tab/>
      </w:r>
      <w:r w:rsidR="002B445B">
        <w:t xml:space="preserve">The laws revised are the </w:t>
      </w:r>
      <w:r w:rsidR="002B445B" w:rsidRPr="00BD6B56">
        <w:rPr>
          <w:szCs w:val="18"/>
        </w:rPr>
        <w:t>following: Criminal Code; Civil Procedure Law; Law on Combatting D</w:t>
      </w:r>
      <w:r w:rsidR="002B445B">
        <w:rPr>
          <w:szCs w:val="18"/>
        </w:rPr>
        <w:t xml:space="preserve">omestic </w:t>
      </w:r>
      <w:r w:rsidR="002B445B" w:rsidRPr="00BD6B56">
        <w:rPr>
          <w:szCs w:val="18"/>
        </w:rPr>
        <w:t>V</w:t>
      </w:r>
      <w:r w:rsidR="002B445B">
        <w:rPr>
          <w:szCs w:val="18"/>
        </w:rPr>
        <w:t>iolence</w:t>
      </w:r>
      <w:r w:rsidR="002B445B" w:rsidRPr="00BD6B56">
        <w:rPr>
          <w:szCs w:val="18"/>
        </w:rPr>
        <w:t>; Administrative Procedure Code; Law on Lawyers; Law on Local Self-Government; Law on Arms; Law on Legal Aid; Law on the Rights of the Patients; Code on Imprisonment; Law on Police; Law on the Medical Practice; Law on Public Service; Labour Code; Law on Legal Status of Foreigners; Law on Higher Education; Law on Secondary Education.</w:t>
      </w:r>
    </w:p>
  </w:footnote>
  <w:footnote w:id="68">
    <w:p w:rsidR="002B445B" w:rsidRPr="00D1795D" w:rsidRDefault="00B30249">
      <w:pPr>
        <w:pStyle w:val="FootnoteText"/>
      </w:pPr>
      <w:r>
        <w:tab/>
      </w:r>
      <w:r w:rsidR="002B445B">
        <w:rPr>
          <w:rStyle w:val="FootnoteReference"/>
        </w:rPr>
        <w:footnoteRef/>
      </w:r>
      <w:r w:rsidR="002B445B">
        <w:t xml:space="preserve"> </w:t>
      </w:r>
      <w:r>
        <w:tab/>
      </w:r>
      <w:r w:rsidR="002B445B">
        <w:t>CEDAW/C/GEO/CO/4-5</w:t>
      </w:r>
    </w:p>
  </w:footnote>
  <w:footnote w:id="69">
    <w:p w:rsidR="002B445B" w:rsidRPr="00D1795D" w:rsidRDefault="00B30249" w:rsidP="005C232B">
      <w:pPr>
        <w:pStyle w:val="FootnoteText"/>
      </w:pPr>
      <w:r>
        <w:tab/>
      </w:r>
      <w:r w:rsidR="002B445B">
        <w:rPr>
          <w:rStyle w:val="FootnoteReference"/>
        </w:rPr>
        <w:footnoteRef/>
      </w:r>
      <w:r w:rsidR="002B445B">
        <w:t xml:space="preserve"> </w:t>
      </w:r>
      <w:r>
        <w:tab/>
      </w:r>
      <w:r w:rsidR="002B445B">
        <w:t>Ibid.</w:t>
      </w:r>
    </w:p>
  </w:footnote>
  <w:footnote w:id="70">
    <w:p w:rsidR="002B445B" w:rsidRPr="008B62C3" w:rsidRDefault="00A915E2" w:rsidP="0059786C">
      <w:pPr>
        <w:pStyle w:val="FootnoteText"/>
      </w:pPr>
      <w:r>
        <w:tab/>
      </w:r>
      <w:r w:rsidR="002B445B">
        <w:rPr>
          <w:rStyle w:val="FootnoteReference"/>
        </w:rPr>
        <w:footnoteRef/>
      </w:r>
      <w:r w:rsidR="002B445B">
        <w:t xml:space="preserve"> </w:t>
      </w:r>
      <w:r>
        <w:tab/>
      </w:r>
      <w:r w:rsidR="002B445B">
        <w:t>CEDAW/C/GEO/CO/4-5</w:t>
      </w:r>
    </w:p>
  </w:footnote>
  <w:footnote w:id="71">
    <w:p w:rsidR="002B445B" w:rsidRPr="00475211" w:rsidRDefault="00A915E2" w:rsidP="0059786C">
      <w:pPr>
        <w:pStyle w:val="FootnoteText"/>
      </w:pPr>
      <w:r>
        <w:tab/>
      </w:r>
      <w:r w:rsidR="002B445B">
        <w:rPr>
          <w:rStyle w:val="FootnoteReference"/>
        </w:rPr>
        <w:footnoteRef/>
      </w:r>
      <w:r w:rsidR="002B445B">
        <w:t xml:space="preserve"> </w:t>
      </w:r>
      <w:r>
        <w:tab/>
      </w:r>
      <w:r w:rsidR="002B445B" w:rsidRPr="008B1B4C">
        <w:t>http://www.ipu.org/wmn-e/classif.htm</w:t>
      </w:r>
      <w:r w:rsidR="002B445B">
        <w:t xml:space="preserve"> </w:t>
      </w:r>
    </w:p>
  </w:footnote>
  <w:footnote w:id="72">
    <w:p w:rsidR="002B445B" w:rsidRPr="008B1B4C" w:rsidRDefault="00A915E2" w:rsidP="005C232B">
      <w:pPr>
        <w:pStyle w:val="FootnoteText"/>
      </w:pPr>
      <w:r w:rsidRPr="008B1B4C">
        <w:tab/>
      </w:r>
      <w:r w:rsidR="002B445B">
        <w:rPr>
          <w:rStyle w:val="FootnoteReference"/>
        </w:rPr>
        <w:footnoteRef/>
      </w:r>
      <w:r w:rsidR="002B445B" w:rsidRPr="008B1B4C">
        <w:t xml:space="preserve"> </w:t>
      </w:r>
      <w:r w:rsidRPr="008B1B4C">
        <w:tab/>
      </w:r>
      <w:proofErr w:type="gramStart"/>
      <w:r w:rsidR="002B445B" w:rsidRPr="008B1B4C">
        <w:t>Ibid.</w:t>
      </w:r>
      <w:proofErr w:type="gramEnd"/>
      <w:r w:rsidR="002B445B" w:rsidRPr="008B1B4C">
        <w:t xml:space="preserve"> </w:t>
      </w:r>
    </w:p>
  </w:footnote>
  <w:footnote w:id="73">
    <w:p w:rsidR="002B445B" w:rsidRPr="008B1B4C" w:rsidRDefault="00A915E2" w:rsidP="00A915E2">
      <w:pPr>
        <w:pStyle w:val="FootnoteText"/>
      </w:pPr>
      <w:r>
        <w:tab/>
      </w:r>
      <w:r w:rsidR="002B445B">
        <w:rPr>
          <w:rStyle w:val="FootnoteReference"/>
        </w:rPr>
        <w:footnoteRef/>
      </w:r>
      <w:r>
        <w:rPr>
          <w:rStyle w:val="FootnoteReference"/>
        </w:rPr>
        <w:tab/>
      </w:r>
      <w:r w:rsidRPr="008B1B4C">
        <w:t>http://www.unwomen.org/~/media/headquarters/attachments/sections/csw/59/national_reviews /georgia_review_beijing20.ashx?v=1&amp;d=20140917T100730</w:t>
      </w:r>
      <w:r w:rsidR="002B445B" w:rsidRPr="008B1B4C">
        <w:t xml:space="preserve"> </w:t>
      </w:r>
    </w:p>
  </w:footnote>
  <w:footnote w:id="74">
    <w:p w:rsidR="002B445B" w:rsidRPr="008B1B4C" w:rsidRDefault="00A915E2" w:rsidP="00A915E2">
      <w:pPr>
        <w:pStyle w:val="FootnoteText"/>
      </w:pPr>
      <w:r w:rsidRPr="008B1B4C">
        <w:tab/>
      </w:r>
      <w:r w:rsidR="002B445B">
        <w:rPr>
          <w:rStyle w:val="FootnoteReference"/>
        </w:rPr>
        <w:footnoteRef/>
      </w:r>
      <w:r w:rsidRPr="008B1B4C">
        <w:t xml:space="preserve"> </w:t>
      </w:r>
      <w:r w:rsidRPr="008B1B4C">
        <w:tab/>
        <w:t>http://gov.ge/index.php?lang_id=ENG&amp;sec_id=124&amp;mod_id=0&amp;info_id=0&amp;new_ year=0&amp;limit=0&amp;date=&amp;</w:t>
      </w:r>
      <w:proofErr w:type="spellStart"/>
      <w:r w:rsidRPr="008B1B4C">
        <w:t>new_month</w:t>
      </w:r>
      <w:proofErr w:type="spellEnd"/>
      <w:r w:rsidRPr="008B1B4C">
        <w:t>=&amp;entrant=2</w:t>
      </w:r>
      <w:r w:rsidR="002B445B" w:rsidRPr="008B1B4C">
        <w:t xml:space="preserve"> </w:t>
      </w:r>
    </w:p>
  </w:footnote>
  <w:footnote w:id="75">
    <w:p w:rsidR="002B445B" w:rsidRPr="008B1B4C" w:rsidRDefault="00A915E2" w:rsidP="00A915E2">
      <w:pPr>
        <w:pStyle w:val="FootnoteText"/>
        <w:rPr>
          <w:szCs w:val="18"/>
        </w:rPr>
      </w:pPr>
      <w:r>
        <w:tab/>
      </w:r>
      <w:r w:rsidR="002B445B" w:rsidRPr="00DB37A1">
        <w:rPr>
          <w:rStyle w:val="FootnoteReference"/>
          <w:szCs w:val="18"/>
        </w:rPr>
        <w:footnoteRef/>
      </w:r>
      <w:r>
        <w:tab/>
        <w:t xml:space="preserve"> </w:t>
      </w:r>
      <w:r w:rsidR="002B445B" w:rsidRPr="008B1B4C">
        <w:rPr>
          <w:szCs w:val="18"/>
        </w:rPr>
        <w:t>hwww.ohchr.org%2FDocuments%2FIssues%2FEqualParticipation%2</w:t>
      </w:r>
      <w:r w:rsidRPr="008B1B4C">
        <w:rPr>
          <w:szCs w:val="18"/>
        </w:rPr>
        <w:t xml:space="preserve"> </w:t>
      </w:r>
      <w:proofErr w:type="spellStart"/>
      <w:r w:rsidR="002B445B" w:rsidRPr="008B1B4C">
        <w:rPr>
          <w:szCs w:val="18"/>
        </w:rPr>
        <w:t>Fcontributions</w:t>
      </w:r>
      <w:proofErr w:type="spellEnd"/>
      <w:r w:rsidR="002B445B" w:rsidRPr="008B1B4C">
        <w:rPr>
          <w:szCs w:val="18"/>
        </w:rPr>
        <w:t>%</w:t>
      </w:r>
      <w:r w:rsidR="00F17FD1" w:rsidRPr="008B1B4C">
        <w:rPr>
          <w:szCs w:val="18"/>
        </w:rPr>
        <w:t xml:space="preserve"> </w:t>
      </w:r>
      <w:r w:rsidR="002B445B" w:rsidRPr="008B1B4C">
        <w:rPr>
          <w:szCs w:val="18"/>
        </w:rPr>
        <w:t xml:space="preserve">2FGeorgiaNHRI.doc&amp;usg=AFQjCNHVortMZL-2kpi9PibPLVa0esgk-A&amp;bvm=bv.119745492,d.bGg </w:t>
      </w:r>
    </w:p>
  </w:footnote>
  <w:footnote w:id="76">
    <w:p w:rsidR="002B445B" w:rsidRPr="001E7B54" w:rsidRDefault="00F17FD1" w:rsidP="00641DF2">
      <w:pPr>
        <w:pStyle w:val="FootnoteText"/>
      </w:pPr>
      <w:r>
        <w:tab/>
      </w:r>
      <w:r w:rsidR="002B445B">
        <w:rPr>
          <w:rStyle w:val="FootnoteReference"/>
        </w:rPr>
        <w:footnoteRef/>
      </w:r>
      <w:r w:rsidR="002B445B">
        <w:t xml:space="preserve"> </w:t>
      </w:r>
      <w:r>
        <w:tab/>
      </w:r>
      <w:proofErr w:type="spellStart"/>
      <w:r w:rsidR="002B445B">
        <w:t>Op.cit</w:t>
      </w:r>
      <w:proofErr w:type="spellEnd"/>
      <w:r w:rsidR="002B445B">
        <w:t>. note 5.</w:t>
      </w:r>
    </w:p>
  </w:footnote>
  <w:footnote w:id="77">
    <w:p w:rsidR="002B445B" w:rsidRPr="002672BE" w:rsidRDefault="00F17FD1" w:rsidP="008C7D5E">
      <w:pPr>
        <w:pStyle w:val="FootnoteText"/>
      </w:pPr>
      <w:r>
        <w:tab/>
      </w:r>
      <w:r w:rsidR="002B445B">
        <w:rPr>
          <w:rStyle w:val="FootnoteReference"/>
        </w:rPr>
        <w:footnoteRef/>
      </w:r>
      <w:r w:rsidR="002B445B">
        <w:t xml:space="preserve"> </w:t>
      </w:r>
      <w:r>
        <w:tab/>
      </w:r>
      <w:r w:rsidR="002B445B">
        <w:t>Men and Gender Relations in Georgia, Institute of Social Studies and Analysis</w:t>
      </w:r>
      <w:proofErr w:type="gramStart"/>
      <w:r w:rsidR="002B445B">
        <w:t>,2014,p.12</w:t>
      </w:r>
      <w:proofErr w:type="gramEnd"/>
      <w:r w:rsidR="002B445B">
        <w:t>.</w:t>
      </w:r>
    </w:p>
  </w:footnote>
  <w:footnote w:id="78">
    <w:p w:rsidR="002B445B" w:rsidRPr="0054315D" w:rsidRDefault="00F17FD1" w:rsidP="00F17FD1">
      <w:pPr>
        <w:pStyle w:val="FootnoteText"/>
      </w:pPr>
      <w:r>
        <w:tab/>
      </w:r>
      <w:r w:rsidR="002B445B">
        <w:rPr>
          <w:rStyle w:val="FootnoteReference"/>
        </w:rPr>
        <w:footnoteRef/>
      </w:r>
      <w:r w:rsidR="002B445B">
        <w:t xml:space="preserve"> </w:t>
      </w:r>
      <w:r>
        <w:tab/>
      </w:r>
      <w:r w:rsidR="002B445B">
        <w:t>The Situation of Human Rights and Freedoms in Georgia</w:t>
      </w:r>
      <w:proofErr w:type="gramStart"/>
      <w:r w:rsidR="002B445B">
        <w:t>,op.cit.p.412</w:t>
      </w:r>
      <w:proofErr w:type="gramEnd"/>
      <w:r w:rsidR="002B445B">
        <w:t>.</w:t>
      </w:r>
    </w:p>
  </w:footnote>
  <w:footnote w:id="79">
    <w:p w:rsidR="002B445B" w:rsidRPr="00FB3E45" w:rsidRDefault="00F17FD1" w:rsidP="005C232B">
      <w:pPr>
        <w:pStyle w:val="FootnoteText"/>
      </w:pPr>
      <w:r>
        <w:tab/>
      </w:r>
      <w:r w:rsidR="002B445B">
        <w:rPr>
          <w:rStyle w:val="FootnoteReference"/>
        </w:rPr>
        <w:footnoteRef/>
      </w:r>
      <w:r w:rsidR="002B445B">
        <w:t xml:space="preserve"> </w:t>
      </w:r>
      <w:r>
        <w:tab/>
      </w:r>
      <w:r w:rsidR="002B445B">
        <w:t>Ibid</w:t>
      </w:r>
      <w:proofErr w:type="gramStart"/>
      <w:r w:rsidR="002B445B">
        <w:t>,p.425</w:t>
      </w:r>
      <w:proofErr w:type="gramEnd"/>
      <w:r w:rsidR="002B445B">
        <w:t>.</w:t>
      </w:r>
    </w:p>
  </w:footnote>
  <w:footnote w:id="80">
    <w:p w:rsidR="002B445B" w:rsidRPr="002F40D0" w:rsidRDefault="00F17FD1" w:rsidP="00624F9D">
      <w:pPr>
        <w:pStyle w:val="FootnoteText"/>
      </w:pPr>
      <w:r>
        <w:tab/>
      </w:r>
      <w:r w:rsidR="002B445B">
        <w:rPr>
          <w:rStyle w:val="FootnoteReference"/>
        </w:rPr>
        <w:footnoteRef/>
      </w:r>
      <w:r w:rsidR="002B445B">
        <w:t xml:space="preserve"> </w:t>
      </w:r>
      <w:r>
        <w:tab/>
      </w:r>
      <w:r w:rsidR="002B445B">
        <w:t>Women Against Violence Europe, Wave Report, 2014, p. 25  and The Advocates for Human Rights, Assessment of domestic Violence, Laws, Policies, &amp; Practices in Central &amp; Eastern Europe &amp; the Former Soviet Union,2016,p.79.</w:t>
      </w:r>
    </w:p>
  </w:footnote>
  <w:footnote w:id="81">
    <w:p w:rsidR="002B445B" w:rsidRPr="00010D38" w:rsidRDefault="00F17FD1" w:rsidP="00661B19">
      <w:pPr>
        <w:pStyle w:val="FootnoteText"/>
      </w:pPr>
      <w:r>
        <w:tab/>
      </w:r>
      <w:r w:rsidR="002B445B">
        <w:rPr>
          <w:rStyle w:val="FootnoteReference"/>
        </w:rPr>
        <w:footnoteRef/>
      </w:r>
      <w:r w:rsidR="002B445B">
        <w:t xml:space="preserve"> </w:t>
      </w:r>
      <w:r>
        <w:tab/>
      </w:r>
      <w:r w:rsidR="002B445B" w:rsidRPr="00FB3E45">
        <w:t>Annual report of the Public Defender, The situation of human rights</w:t>
      </w:r>
      <w:r w:rsidR="002B445B">
        <w:t xml:space="preserve"> and freedoms in Georgia</w:t>
      </w:r>
      <w:proofErr w:type="gramStart"/>
      <w:r w:rsidR="002B445B">
        <w:t>,2014,p.433</w:t>
      </w:r>
      <w:proofErr w:type="gramEnd"/>
      <w:r w:rsidR="002B445B">
        <w:t>.</w:t>
      </w:r>
    </w:p>
  </w:footnote>
  <w:footnote w:id="82">
    <w:p w:rsidR="002B445B" w:rsidRPr="00702BC1" w:rsidRDefault="00F17FD1" w:rsidP="00F17FD1">
      <w:pPr>
        <w:pStyle w:val="FootnoteText"/>
      </w:pPr>
      <w:r>
        <w:tab/>
      </w:r>
      <w:r w:rsidR="002B445B">
        <w:rPr>
          <w:rStyle w:val="FootnoteReference"/>
        </w:rPr>
        <w:footnoteRef/>
      </w:r>
      <w:r w:rsidR="002B445B">
        <w:t xml:space="preserve"> </w:t>
      </w:r>
      <w:r>
        <w:tab/>
      </w:r>
      <w:r w:rsidR="002B445B">
        <w:t xml:space="preserve">The fourth shelter opened early April in the </w:t>
      </w:r>
      <w:proofErr w:type="spellStart"/>
      <w:r w:rsidR="002B445B">
        <w:t>Kakheti</w:t>
      </w:r>
      <w:proofErr w:type="spellEnd"/>
      <w:r w:rsidR="002B445B">
        <w:t xml:space="preserve"> region: </w:t>
      </w:r>
      <w:r w:rsidRPr="008B1B4C">
        <w:t>http://georgia.unwomen.org/en/news/stories/2016/04/more-shelters-for-victims-of-domestic- violence-in-</w:t>
      </w:r>
      <w:proofErr w:type="spellStart"/>
      <w:r w:rsidRPr="008B1B4C">
        <w:t>georgia</w:t>
      </w:r>
      <w:proofErr w:type="spellEnd"/>
    </w:p>
  </w:footnote>
  <w:footnote w:id="83">
    <w:p w:rsidR="002B445B" w:rsidRPr="00B87920" w:rsidRDefault="00F17FD1" w:rsidP="00B45921">
      <w:pPr>
        <w:pStyle w:val="FootnoteText"/>
      </w:pPr>
      <w:r>
        <w:tab/>
      </w:r>
      <w:r w:rsidR="002B445B">
        <w:rPr>
          <w:rStyle w:val="FootnoteReference"/>
        </w:rPr>
        <w:footnoteRef/>
      </w:r>
      <w:r w:rsidR="002B445B" w:rsidRPr="00B87920">
        <w:t xml:space="preserve"> </w:t>
      </w:r>
      <w:r>
        <w:tab/>
      </w:r>
      <w:r w:rsidR="002B445B" w:rsidRPr="008B1B4C">
        <w:t>http://www.wave-network.org/sites/default/files/04%20Georgia_0.pdf</w:t>
      </w:r>
      <w:r w:rsidR="002B445B" w:rsidRPr="00B87920">
        <w:t xml:space="preserve"> </w:t>
      </w:r>
    </w:p>
  </w:footnote>
  <w:footnote w:id="84">
    <w:p w:rsidR="002B445B" w:rsidRPr="00C430F3" w:rsidRDefault="00F17FD1" w:rsidP="00641DF2">
      <w:pPr>
        <w:pStyle w:val="FootnoteText"/>
      </w:pPr>
      <w:r>
        <w:tab/>
      </w:r>
      <w:r w:rsidR="002B445B">
        <w:rPr>
          <w:rStyle w:val="FootnoteReference"/>
        </w:rPr>
        <w:footnoteRef/>
      </w:r>
      <w:r w:rsidR="002B445B">
        <w:t xml:space="preserve"> </w:t>
      </w:r>
      <w:r>
        <w:tab/>
      </w:r>
      <w:r w:rsidR="002B445B" w:rsidRPr="00FB3E45">
        <w:t>The situation of human rights</w:t>
      </w:r>
      <w:r w:rsidR="002B445B">
        <w:t xml:space="preserve"> and freedoms in Georgia, op.cit.</w:t>
      </w:r>
      <w:proofErr w:type="gramStart"/>
      <w:r w:rsidR="002B445B">
        <w:t>,p.431</w:t>
      </w:r>
      <w:proofErr w:type="gramEnd"/>
      <w:r w:rsidR="002B445B">
        <w:t>.</w:t>
      </w:r>
    </w:p>
  </w:footnote>
  <w:footnote w:id="85">
    <w:p w:rsidR="002B445B" w:rsidRPr="0069188F" w:rsidRDefault="00F17FD1" w:rsidP="003D7C2F">
      <w:pPr>
        <w:pStyle w:val="FootnoteText"/>
      </w:pPr>
      <w:r>
        <w:tab/>
      </w:r>
      <w:r w:rsidR="002B445B">
        <w:rPr>
          <w:rStyle w:val="FootnoteReference"/>
        </w:rPr>
        <w:footnoteRef/>
      </w:r>
      <w:r w:rsidR="002B445B">
        <w:t xml:space="preserve"> </w:t>
      </w:r>
      <w:r>
        <w:tab/>
      </w:r>
      <w:r w:rsidR="002B445B" w:rsidRPr="0069188F">
        <w:t xml:space="preserve">Background note provided by Union </w:t>
      </w:r>
      <w:proofErr w:type="spellStart"/>
      <w:r w:rsidR="002B445B" w:rsidRPr="0069188F">
        <w:t>Sapari</w:t>
      </w:r>
      <w:proofErr w:type="spellEnd"/>
      <w:r w:rsidR="002B445B" w:rsidRPr="0069188F">
        <w:t>.</w:t>
      </w:r>
    </w:p>
  </w:footnote>
  <w:footnote w:id="86">
    <w:p w:rsidR="002B445B" w:rsidRPr="002F40D0" w:rsidRDefault="00F17FD1" w:rsidP="00B36CA7">
      <w:pPr>
        <w:pStyle w:val="FootnoteText"/>
      </w:pPr>
      <w:r>
        <w:tab/>
      </w:r>
      <w:r w:rsidR="002B445B">
        <w:rPr>
          <w:rStyle w:val="FootnoteReference"/>
        </w:rPr>
        <w:footnoteRef/>
      </w:r>
      <w:r w:rsidR="002B445B">
        <w:t xml:space="preserve"> </w:t>
      </w:r>
      <w:r>
        <w:tab/>
      </w:r>
      <w:r w:rsidR="002B445B">
        <w:t>U.S. Department of State, Country Reports on Human Rights Practices for 2014: Georgia,2014, para.6 and The Advocates for Human Rights, Assessment of domestic Violence, Laws, Policies, &amp; Practices in Central &amp; Eastern Europe &amp; the Former Soviet Union,2016,p.79.</w:t>
      </w:r>
    </w:p>
  </w:footnote>
  <w:footnote w:id="87">
    <w:p w:rsidR="002B445B" w:rsidRPr="00FB3E45" w:rsidRDefault="00F17FD1" w:rsidP="00641DF2">
      <w:pPr>
        <w:pStyle w:val="FootnoteText"/>
      </w:pPr>
      <w:r>
        <w:tab/>
      </w:r>
      <w:r w:rsidR="002B445B">
        <w:rPr>
          <w:rStyle w:val="FootnoteReference"/>
        </w:rPr>
        <w:footnoteRef/>
      </w:r>
      <w:r w:rsidR="002B445B">
        <w:t xml:space="preserve"> </w:t>
      </w:r>
      <w:r>
        <w:tab/>
      </w:r>
      <w:r w:rsidR="002B445B" w:rsidRPr="00FB3E45">
        <w:t>The situation of human rights</w:t>
      </w:r>
      <w:r w:rsidR="002B445B">
        <w:t xml:space="preserve"> and freedoms in Georgia, op.cit</w:t>
      </w:r>
      <w:proofErr w:type="gramStart"/>
      <w:r w:rsidR="002B445B">
        <w:t>,p.427</w:t>
      </w:r>
      <w:proofErr w:type="gramEnd"/>
      <w:r w:rsidR="002B445B">
        <w:t>.</w:t>
      </w:r>
    </w:p>
  </w:footnote>
  <w:footnote w:id="88">
    <w:p w:rsidR="002B445B" w:rsidRPr="0069188F" w:rsidRDefault="00F17FD1" w:rsidP="008A7DAA">
      <w:pPr>
        <w:pStyle w:val="FootnoteText"/>
      </w:pPr>
      <w:r>
        <w:tab/>
      </w:r>
      <w:r w:rsidR="002B445B">
        <w:rPr>
          <w:rStyle w:val="FootnoteReference"/>
        </w:rPr>
        <w:footnoteRef/>
      </w:r>
      <w:r w:rsidR="002B445B">
        <w:t xml:space="preserve"> </w:t>
      </w:r>
      <w:r>
        <w:tab/>
      </w:r>
      <w:r w:rsidR="002B445B" w:rsidRPr="0069188F">
        <w:t xml:space="preserve">Background note provided by Union </w:t>
      </w:r>
      <w:proofErr w:type="spellStart"/>
      <w:r w:rsidR="002B445B" w:rsidRPr="0069188F">
        <w:t>Sapari</w:t>
      </w:r>
      <w:proofErr w:type="spellEnd"/>
      <w:r w:rsidR="002B445B" w:rsidRPr="0069188F">
        <w:t>.</w:t>
      </w:r>
    </w:p>
  </w:footnote>
  <w:footnote w:id="89">
    <w:p w:rsidR="002B445B" w:rsidRPr="0069188F" w:rsidRDefault="00F17FD1" w:rsidP="00510339">
      <w:pPr>
        <w:pStyle w:val="FootnoteText"/>
      </w:pPr>
      <w:r>
        <w:tab/>
      </w:r>
      <w:r w:rsidR="002B445B">
        <w:rPr>
          <w:rStyle w:val="FootnoteReference"/>
        </w:rPr>
        <w:footnoteRef/>
      </w:r>
      <w:r w:rsidR="002B445B">
        <w:t xml:space="preserve"> </w:t>
      </w:r>
      <w:r>
        <w:tab/>
      </w:r>
      <w:r w:rsidR="002B445B">
        <w:t>Ibid</w:t>
      </w:r>
      <w:r w:rsidR="002B445B" w:rsidRPr="0069188F">
        <w:t>.</w:t>
      </w:r>
    </w:p>
  </w:footnote>
  <w:footnote w:id="90">
    <w:p w:rsidR="002B445B" w:rsidRPr="0000534F" w:rsidRDefault="00F17FD1" w:rsidP="00641DF2">
      <w:pPr>
        <w:pStyle w:val="FootnoteText"/>
      </w:pPr>
      <w:r>
        <w:tab/>
      </w:r>
      <w:r w:rsidR="002B445B">
        <w:rPr>
          <w:rStyle w:val="FootnoteReference"/>
        </w:rPr>
        <w:footnoteRef/>
      </w:r>
      <w:r w:rsidR="002B445B">
        <w:t xml:space="preserve"> </w:t>
      </w:r>
      <w:r>
        <w:tab/>
      </w:r>
      <w:proofErr w:type="spellStart"/>
      <w:proofErr w:type="gramStart"/>
      <w:r w:rsidR="002B445B">
        <w:t>Op.cit</w:t>
      </w:r>
      <w:proofErr w:type="spellEnd"/>
      <w:r w:rsidR="002B445B">
        <w:t>.,</w:t>
      </w:r>
      <w:proofErr w:type="gramEnd"/>
      <w:r w:rsidR="002B445B">
        <w:t xml:space="preserve"> note 5.</w:t>
      </w:r>
    </w:p>
  </w:footnote>
  <w:footnote w:id="91">
    <w:p w:rsidR="002B445B" w:rsidRPr="00B845BA" w:rsidRDefault="00F17FD1" w:rsidP="004E0295">
      <w:pPr>
        <w:pStyle w:val="FootnoteText"/>
      </w:pPr>
      <w:r>
        <w:tab/>
      </w:r>
      <w:r w:rsidR="002B445B">
        <w:rPr>
          <w:rStyle w:val="FootnoteReference"/>
        </w:rPr>
        <w:footnoteRef/>
      </w:r>
      <w:r w:rsidR="002B445B">
        <w:t xml:space="preserve"> </w:t>
      </w:r>
      <w:r>
        <w:tab/>
      </w:r>
      <w:r w:rsidR="002B445B">
        <w:t xml:space="preserve">Study on </w:t>
      </w:r>
      <w:proofErr w:type="spellStart"/>
      <w:r w:rsidR="002B445B">
        <w:t>Femicide</w:t>
      </w:r>
      <w:proofErr w:type="spellEnd"/>
      <w:r w:rsidR="002B445B">
        <w:t xml:space="preserve"> conducted by Georgia Young Lawyers Association</w:t>
      </w:r>
      <w:r w:rsidR="002B445B" w:rsidRPr="00B845BA">
        <w:t>.</w:t>
      </w:r>
    </w:p>
  </w:footnote>
  <w:footnote w:id="92">
    <w:p w:rsidR="002B445B" w:rsidRPr="00B845BA" w:rsidRDefault="00F17FD1" w:rsidP="004224FF">
      <w:pPr>
        <w:pStyle w:val="FootnoteText"/>
      </w:pPr>
      <w:r>
        <w:tab/>
      </w:r>
      <w:r w:rsidR="002B445B">
        <w:rPr>
          <w:rStyle w:val="FootnoteReference"/>
        </w:rPr>
        <w:footnoteRef/>
      </w:r>
      <w:r w:rsidR="002B445B">
        <w:t xml:space="preserve"> </w:t>
      </w:r>
      <w:r>
        <w:tab/>
      </w:r>
      <w:r w:rsidR="002B445B">
        <w:t>Ibid</w:t>
      </w:r>
      <w:r w:rsidR="002B445B" w:rsidRPr="00B845BA">
        <w:t>.</w:t>
      </w:r>
    </w:p>
  </w:footnote>
  <w:footnote w:id="93">
    <w:p w:rsidR="002B445B" w:rsidRPr="00B845BA" w:rsidRDefault="00F17FD1" w:rsidP="004224FF">
      <w:pPr>
        <w:pStyle w:val="FootnoteText"/>
      </w:pPr>
      <w:r>
        <w:tab/>
      </w:r>
      <w:r w:rsidR="002B445B">
        <w:rPr>
          <w:rStyle w:val="FootnoteReference"/>
        </w:rPr>
        <w:footnoteRef/>
      </w:r>
      <w:r w:rsidR="002B445B">
        <w:t xml:space="preserve"> </w:t>
      </w:r>
      <w:r>
        <w:tab/>
      </w:r>
      <w:r w:rsidR="002B445B">
        <w:t>Ibid</w:t>
      </w:r>
      <w:r w:rsidR="002B445B" w:rsidRPr="00B845BA">
        <w:t>.</w:t>
      </w:r>
    </w:p>
  </w:footnote>
  <w:footnote w:id="94">
    <w:p w:rsidR="002B445B" w:rsidRPr="008C740B" w:rsidRDefault="00F17FD1">
      <w:pPr>
        <w:pStyle w:val="FootnoteText"/>
      </w:pPr>
      <w:r>
        <w:tab/>
      </w:r>
      <w:r w:rsidR="002B445B">
        <w:rPr>
          <w:rStyle w:val="FootnoteReference"/>
        </w:rPr>
        <w:footnoteRef/>
      </w:r>
      <w:r w:rsidR="002B445B">
        <w:t xml:space="preserve"> </w:t>
      </w:r>
      <w:r>
        <w:tab/>
      </w:r>
      <w:proofErr w:type="gramStart"/>
      <w:r w:rsidR="002B445B">
        <w:t>CEDAW/C/61/D/24/2009.</w:t>
      </w:r>
      <w:proofErr w:type="gramEnd"/>
    </w:p>
  </w:footnote>
  <w:footnote w:id="95">
    <w:p w:rsidR="002B445B" w:rsidRPr="00746B84" w:rsidRDefault="00F17FD1" w:rsidP="00641DF2">
      <w:pPr>
        <w:pStyle w:val="FootnoteText"/>
      </w:pPr>
      <w:r>
        <w:tab/>
      </w:r>
      <w:r w:rsidR="002B445B">
        <w:rPr>
          <w:rStyle w:val="FootnoteReference"/>
        </w:rPr>
        <w:footnoteRef/>
      </w:r>
      <w:r w:rsidR="002B445B">
        <w:t xml:space="preserve"> </w:t>
      </w:r>
      <w:r>
        <w:tab/>
      </w:r>
      <w:proofErr w:type="spellStart"/>
      <w:proofErr w:type="gramStart"/>
      <w:r w:rsidR="002B445B">
        <w:t>Op.cit.note</w:t>
      </w:r>
      <w:proofErr w:type="spellEnd"/>
      <w:r w:rsidR="002B445B">
        <w:t xml:space="preserve"> 5</w:t>
      </w:r>
      <w:r w:rsidR="002B445B" w:rsidRPr="00746B84">
        <w:t>.</w:t>
      </w:r>
      <w:proofErr w:type="gramEnd"/>
    </w:p>
  </w:footnote>
  <w:footnote w:id="96">
    <w:p w:rsidR="002B445B" w:rsidRPr="004E0295" w:rsidRDefault="00F17FD1" w:rsidP="00C70ED5">
      <w:pPr>
        <w:pStyle w:val="FootnoteText"/>
        <w:rPr>
          <w:lang w:val="es-ES"/>
        </w:rPr>
      </w:pPr>
      <w:r w:rsidRPr="008B1B4C">
        <w:tab/>
      </w:r>
      <w:r w:rsidR="002B445B">
        <w:rPr>
          <w:rStyle w:val="FootnoteReference"/>
        </w:rPr>
        <w:footnoteRef/>
      </w:r>
      <w:r w:rsidR="002B445B" w:rsidRPr="004E0295">
        <w:rPr>
          <w:lang w:val="es-ES"/>
        </w:rPr>
        <w:t xml:space="preserve"> </w:t>
      </w:r>
      <w:r>
        <w:rPr>
          <w:lang w:val="es-ES"/>
        </w:rPr>
        <w:tab/>
      </w:r>
      <w:proofErr w:type="spellStart"/>
      <w:r w:rsidR="002B445B" w:rsidRPr="004E0295">
        <w:rPr>
          <w:lang w:val="es-ES"/>
        </w:rPr>
        <w:t>Ibid</w:t>
      </w:r>
      <w:proofErr w:type="spellEnd"/>
      <w:r w:rsidR="002B445B" w:rsidRPr="004E0295">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45B" w:rsidRPr="00AF4876" w:rsidRDefault="002B445B" w:rsidP="00AF4876">
    <w:pPr>
      <w:pStyle w:val="Header"/>
    </w:pPr>
    <w:r w:rsidRPr="00AF4876">
      <w:t>A/HRC/</w:t>
    </w:r>
    <w:r>
      <w:t>32/42/Add.3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45B" w:rsidRPr="00AF4876" w:rsidRDefault="002B445B" w:rsidP="00612E61">
    <w:pPr>
      <w:pStyle w:val="Header"/>
      <w:jc w:val="right"/>
    </w:pPr>
    <w:r w:rsidRPr="00AF4876">
      <w:t>A/HRC/</w:t>
    </w:r>
    <w:r>
      <w:t>32/42/Add.3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E640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44622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9CF0E35"/>
    <w:multiLevelType w:val="hybridMultilevel"/>
    <w:tmpl w:val="5E08F758"/>
    <w:lvl w:ilvl="0" w:tplc="1FD6BF9C">
      <w:start w:val="10"/>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0B2828E3"/>
    <w:multiLevelType w:val="hybridMultilevel"/>
    <w:tmpl w:val="94B43F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220A74"/>
    <w:multiLevelType w:val="hybridMultilevel"/>
    <w:tmpl w:val="7388AAE2"/>
    <w:lvl w:ilvl="0" w:tplc="4EEC0228">
      <w:start w:val="1"/>
      <w:numFmt w:val="bullet"/>
      <w:lvlText w:val=""/>
      <w:lvlJc w:val="left"/>
      <w:pPr>
        <w:tabs>
          <w:tab w:val="num" w:pos="720"/>
        </w:tabs>
        <w:ind w:left="720" w:hanging="360"/>
      </w:pPr>
      <w:rPr>
        <w:rFonts w:ascii="Wingdings 2" w:hAnsi="Wingdings 2" w:hint="default"/>
      </w:rPr>
    </w:lvl>
    <w:lvl w:ilvl="1" w:tplc="0A56DF1A" w:tentative="1">
      <w:start w:val="1"/>
      <w:numFmt w:val="bullet"/>
      <w:lvlText w:val=""/>
      <w:lvlJc w:val="left"/>
      <w:pPr>
        <w:tabs>
          <w:tab w:val="num" w:pos="1440"/>
        </w:tabs>
        <w:ind w:left="1440" w:hanging="360"/>
      </w:pPr>
      <w:rPr>
        <w:rFonts w:ascii="Wingdings 2" w:hAnsi="Wingdings 2" w:hint="default"/>
      </w:rPr>
    </w:lvl>
    <w:lvl w:ilvl="2" w:tplc="95C2D0CA" w:tentative="1">
      <w:start w:val="1"/>
      <w:numFmt w:val="bullet"/>
      <w:lvlText w:val=""/>
      <w:lvlJc w:val="left"/>
      <w:pPr>
        <w:tabs>
          <w:tab w:val="num" w:pos="2160"/>
        </w:tabs>
        <w:ind w:left="2160" w:hanging="360"/>
      </w:pPr>
      <w:rPr>
        <w:rFonts w:ascii="Wingdings 2" w:hAnsi="Wingdings 2" w:hint="default"/>
      </w:rPr>
    </w:lvl>
    <w:lvl w:ilvl="3" w:tplc="7FCA07C4" w:tentative="1">
      <w:start w:val="1"/>
      <w:numFmt w:val="bullet"/>
      <w:lvlText w:val=""/>
      <w:lvlJc w:val="left"/>
      <w:pPr>
        <w:tabs>
          <w:tab w:val="num" w:pos="2880"/>
        </w:tabs>
        <w:ind w:left="2880" w:hanging="360"/>
      </w:pPr>
      <w:rPr>
        <w:rFonts w:ascii="Wingdings 2" w:hAnsi="Wingdings 2" w:hint="default"/>
      </w:rPr>
    </w:lvl>
    <w:lvl w:ilvl="4" w:tplc="44EA237E" w:tentative="1">
      <w:start w:val="1"/>
      <w:numFmt w:val="bullet"/>
      <w:lvlText w:val=""/>
      <w:lvlJc w:val="left"/>
      <w:pPr>
        <w:tabs>
          <w:tab w:val="num" w:pos="3600"/>
        </w:tabs>
        <w:ind w:left="3600" w:hanging="360"/>
      </w:pPr>
      <w:rPr>
        <w:rFonts w:ascii="Wingdings 2" w:hAnsi="Wingdings 2" w:hint="default"/>
      </w:rPr>
    </w:lvl>
    <w:lvl w:ilvl="5" w:tplc="FA3C9CD6" w:tentative="1">
      <w:start w:val="1"/>
      <w:numFmt w:val="bullet"/>
      <w:lvlText w:val=""/>
      <w:lvlJc w:val="left"/>
      <w:pPr>
        <w:tabs>
          <w:tab w:val="num" w:pos="4320"/>
        </w:tabs>
        <w:ind w:left="4320" w:hanging="360"/>
      </w:pPr>
      <w:rPr>
        <w:rFonts w:ascii="Wingdings 2" w:hAnsi="Wingdings 2" w:hint="default"/>
      </w:rPr>
    </w:lvl>
    <w:lvl w:ilvl="6" w:tplc="6C2ADE1C" w:tentative="1">
      <w:start w:val="1"/>
      <w:numFmt w:val="bullet"/>
      <w:lvlText w:val=""/>
      <w:lvlJc w:val="left"/>
      <w:pPr>
        <w:tabs>
          <w:tab w:val="num" w:pos="5040"/>
        </w:tabs>
        <w:ind w:left="5040" w:hanging="360"/>
      </w:pPr>
      <w:rPr>
        <w:rFonts w:ascii="Wingdings 2" w:hAnsi="Wingdings 2" w:hint="default"/>
      </w:rPr>
    </w:lvl>
    <w:lvl w:ilvl="7" w:tplc="60868BD6" w:tentative="1">
      <w:start w:val="1"/>
      <w:numFmt w:val="bullet"/>
      <w:lvlText w:val=""/>
      <w:lvlJc w:val="left"/>
      <w:pPr>
        <w:tabs>
          <w:tab w:val="num" w:pos="5760"/>
        </w:tabs>
        <w:ind w:left="5760" w:hanging="360"/>
      </w:pPr>
      <w:rPr>
        <w:rFonts w:ascii="Wingdings 2" w:hAnsi="Wingdings 2" w:hint="default"/>
      </w:rPr>
    </w:lvl>
    <w:lvl w:ilvl="8" w:tplc="1F267E42" w:tentative="1">
      <w:start w:val="1"/>
      <w:numFmt w:val="bullet"/>
      <w:lvlText w:val=""/>
      <w:lvlJc w:val="left"/>
      <w:pPr>
        <w:tabs>
          <w:tab w:val="num" w:pos="6480"/>
        </w:tabs>
        <w:ind w:left="6480" w:hanging="360"/>
      </w:pPr>
      <w:rPr>
        <w:rFonts w:ascii="Wingdings 2" w:hAnsi="Wingdings 2" w:hint="default"/>
      </w:rPr>
    </w:lvl>
  </w:abstractNum>
  <w:abstractNum w:abstractNumId="7">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884370E"/>
    <w:multiLevelType w:val="hybridMultilevel"/>
    <w:tmpl w:val="09E26F48"/>
    <w:lvl w:ilvl="0" w:tplc="19DED21C">
      <w:start w:val="8"/>
      <w:numFmt w:val="bullet"/>
      <w:lvlText w:val="-"/>
      <w:lvlJc w:val="left"/>
      <w:pPr>
        <w:ind w:left="405" w:hanging="360"/>
      </w:pPr>
      <w:rPr>
        <w:rFonts w:ascii="Calibri" w:eastAsia="Calibri"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
    <w:nsid w:val="191D1742"/>
    <w:multiLevelType w:val="hybridMultilevel"/>
    <w:tmpl w:val="A7D28DCE"/>
    <w:lvl w:ilvl="0" w:tplc="DE889828">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4E0F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0A62A2"/>
    <w:multiLevelType w:val="multilevel"/>
    <w:tmpl w:val="75CA26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D221F5E"/>
    <w:multiLevelType w:val="hybridMultilevel"/>
    <w:tmpl w:val="10CCA18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nsid w:val="2EB937F3"/>
    <w:multiLevelType w:val="multilevel"/>
    <w:tmpl w:val="6B7C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FC484B"/>
    <w:multiLevelType w:val="hybridMultilevel"/>
    <w:tmpl w:val="D570C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BE5296"/>
    <w:multiLevelType w:val="hybridMultilevel"/>
    <w:tmpl w:val="645235DC"/>
    <w:numStyleLink w:val="Dash"/>
  </w:abstractNum>
  <w:abstractNum w:abstractNumId="18">
    <w:nsid w:val="375B4C31"/>
    <w:multiLevelType w:val="hybridMultilevel"/>
    <w:tmpl w:val="F4364DE6"/>
    <w:lvl w:ilvl="0" w:tplc="04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nsid w:val="3A2C7753"/>
    <w:multiLevelType w:val="hybridMultilevel"/>
    <w:tmpl w:val="04A8E4C6"/>
    <w:lvl w:ilvl="0" w:tplc="20F0E69A">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0">
    <w:nsid w:val="3FBC4D35"/>
    <w:multiLevelType w:val="hybridMultilevel"/>
    <w:tmpl w:val="88BC2ED6"/>
    <w:lvl w:ilvl="0" w:tplc="5A6A2E82">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1">
    <w:nsid w:val="411039C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83855BD"/>
    <w:multiLevelType w:val="hybridMultilevel"/>
    <w:tmpl w:val="500C3024"/>
    <w:lvl w:ilvl="0" w:tplc="B544A110">
      <w:start w:val="1"/>
      <w:numFmt w:val="upperLetter"/>
      <w:lvlText w:val="%1."/>
      <w:lvlJc w:val="left"/>
      <w:pPr>
        <w:ind w:left="1376" w:hanging="52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nsid w:val="532029F7"/>
    <w:multiLevelType w:val="hybridMultilevel"/>
    <w:tmpl w:val="4636EF26"/>
    <w:lvl w:ilvl="0" w:tplc="03BEF5DA">
      <w:start w:val="1"/>
      <w:numFmt w:val="bullet"/>
      <w:lvlText w:val="•"/>
      <w:lvlJc w:val="left"/>
      <w:pPr>
        <w:tabs>
          <w:tab w:val="num" w:pos="720"/>
        </w:tabs>
        <w:ind w:left="720" w:hanging="360"/>
      </w:pPr>
      <w:rPr>
        <w:rFonts w:ascii="Arial" w:hAnsi="Arial" w:hint="default"/>
      </w:rPr>
    </w:lvl>
    <w:lvl w:ilvl="1" w:tplc="358A7C4A" w:tentative="1">
      <w:start w:val="1"/>
      <w:numFmt w:val="bullet"/>
      <w:lvlText w:val="•"/>
      <w:lvlJc w:val="left"/>
      <w:pPr>
        <w:tabs>
          <w:tab w:val="num" w:pos="1440"/>
        </w:tabs>
        <w:ind w:left="1440" w:hanging="360"/>
      </w:pPr>
      <w:rPr>
        <w:rFonts w:ascii="Arial" w:hAnsi="Arial" w:hint="default"/>
      </w:rPr>
    </w:lvl>
    <w:lvl w:ilvl="2" w:tplc="C388DDC0" w:tentative="1">
      <w:start w:val="1"/>
      <w:numFmt w:val="bullet"/>
      <w:lvlText w:val="•"/>
      <w:lvlJc w:val="left"/>
      <w:pPr>
        <w:tabs>
          <w:tab w:val="num" w:pos="2160"/>
        </w:tabs>
        <w:ind w:left="2160" w:hanging="360"/>
      </w:pPr>
      <w:rPr>
        <w:rFonts w:ascii="Arial" w:hAnsi="Arial" w:hint="default"/>
      </w:rPr>
    </w:lvl>
    <w:lvl w:ilvl="3" w:tplc="C074AF50" w:tentative="1">
      <w:start w:val="1"/>
      <w:numFmt w:val="bullet"/>
      <w:lvlText w:val="•"/>
      <w:lvlJc w:val="left"/>
      <w:pPr>
        <w:tabs>
          <w:tab w:val="num" w:pos="2880"/>
        </w:tabs>
        <w:ind w:left="2880" w:hanging="360"/>
      </w:pPr>
      <w:rPr>
        <w:rFonts w:ascii="Arial" w:hAnsi="Arial" w:hint="default"/>
      </w:rPr>
    </w:lvl>
    <w:lvl w:ilvl="4" w:tplc="174413F0" w:tentative="1">
      <w:start w:val="1"/>
      <w:numFmt w:val="bullet"/>
      <w:lvlText w:val="•"/>
      <w:lvlJc w:val="left"/>
      <w:pPr>
        <w:tabs>
          <w:tab w:val="num" w:pos="3600"/>
        </w:tabs>
        <w:ind w:left="3600" w:hanging="360"/>
      </w:pPr>
      <w:rPr>
        <w:rFonts w:ascii="Arial" w:hAnsi="Arial" w:hint="default"/>
      </w:rPr>
    </w:lvl>
    <w:lvl w:ilvl="5" w:tplc="2DD24C6A" w:tentative="1">
      <w:start w:val="1"/>
      <w:numFmt w:val="bullet"/>
      <w:lvlText w:val="•"/>
      <w:lvlJc w:val="left"/>
      <w:pPr>
        <w:tabs>
          <w:tab w:val="num" w:pos="4320"/>
        </w:tabs>
        <w:ind w:left="4320" w:hanging="360"/>
      </w:pPr>
      <w:rPr>
        <w:rFonts w:ascii="Arial" w:hAnsi="Arial" w:hint="default"/>
      </w:rPr>
    </w:lvl>
    <w:lvl w:ilvl="6" w:tplc="D1F0A32E" w:tentative="1">
      <w:start w:val="1"/>
      <w:numFmt w:val="bullet"/>
      <w:lvlText w:val="•"/>
      <w:lvlJc w:val="left"/>
      <w:pPr>
        <w:tabs>
          <w:tab w:val="num" w:pos="5040"/>
        </w:tabs>
        <w:ind w:left="5040" w:hanging="360"/>
      </w:pPr>
      <w:rPr>
        <w:rFonts w:ascii="Arial" w:hAnsi="Arial" w:hint="default"/>
      </w:rPr>
    </w:lvl>
    <w:lvl w:ilvl="7" w:tplc="8D08F984" w:tentative="1">
      <w:start w:val="1"/>
      <w:numFmt w:val="bullet"/>
      <w:lvlText w:val="•"/>
      <w:lvlJc w:val="left"/>
      <w:pPr>
        <w:tabs>
          <w:tab w:val="num" w:pos="5760"/>
        </w:tabs>
        <w:ind w:left="5760" w:hanging="360"/>
      </w:pPr>
      <w:rPr>
        <w:rFonts w:ascii="Arial" w:hAnsi="Arial" w:hint="default"/>
      </w:rPr>
    </w:lvl>
    <w:lvl w:ilvl="8" w:tplc="BDD41B94" w:tentative="1">
      <w:start w:val="1"/>
      <w:numFmt w:val="bullet"/>
      <w:lvlText w:val="•"/>
      <w:lvlJc w:val="left"/>
      <w:pPr>
        <w:tabs>
          <w:tab w:val="num" w:pos="6480"/>
        </w:tabs>
        <w:ind w:left="6480" w:hanging="360"/>
      </w:pPr>
      <w:rPr>
        <w:rFonts w:ascii="Arial" w:hAnsi="Arial" w:hint="default"/>
      </w:rPr>
    </w:lvl>
  </w:abstractNum>
  <w:abstractNum w:abstractNumId="24">
    <w:nsid w:val="5518425F"/>
    <w:multiLevelType w:val="multilevel"/>
    <w:tmpl w:val="0409001D"/>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6221F7E"/>
    <w:multiLevelType w:val="hybridMultilevel"/>
    <w:tmpl w:val="B7724068"/>
    <w:lvl w:ilvl="0" w:tplc="409CF91E">
      <w:start w:val="1"/>
      <w:numFmt w:val="bullet"/>
      <w:lvlText w:val=""/>
      <w:lvlJc w:val="left"/>
      <w:pPr>
        <w:tabs>
          <w:tab w:val="num" w:pos="720"/>
        </w:tabs>
        <w:ind w:left="720" w:hanging="360"/>
      </w:pPr>
      <w:rPr>
        <w:rFonts w:ascii="Wingdings" w:hAnsi="Wingdings" w:hint="default"/>
      </w:rPr>
    </w:lvl>
    <w:lvl w:ilvl="1" w:tplc="AE2AFD7E" w:tentative="1">
      <w:start w:val="1"/>
      <w:numFmt w:val="bullet"/>
      <w:lvlText w:val=""/>
      <w:lvlJc w:val="left"/>
      <w:pPr>
        <w:tabs>
          <w:tab w:val="num" w:pos="1440"/>
        </w:tabs>
        <w:ind w:left="1440" w:hanging="360"/>
      </w:pPr>
      <w:rPr>
        <w:rFonts w:ascii="Wingdings" w:hAnsi="Wingdings" w:hint="default"/>
      </w:rPr>
    </w:lvl>
    <w:lvl w:ilvl="2" w:tplc="86EC8214" w:tentative="1">
      <w:start w:val="1"/>
      <w:numFmt w:val="bullet"/>
      <w:lvlText w:val=""/>
      <w:lvlJc w:val="left"/>
      <w:pPr>
        <w:tabs>
          <w:tab w:val="num" w:pos="2160"/>
        </w:tabs>
        <w:ind w:left="2160" w:hanging="360"/>
      </w:pPr>
      <w:rPr>
        <w:rFonts w:ascii="Wingdings" w:hAnsi="Wingdings" w:hint="default"/>
      </w:rPr>
    </w:lvl>
    <w:lvl w:ilvl="3" w:tplc="A262015A" w:tentative="1">
      <w:start w:val="1"/>
      <w:numFmt w:val="bullet"/>
      <w:lvlText w:val=""/>
      <w:lvlJc w:val="left"/>
      <w:pPr>
        <w:tabs>
          <w:tab w:val="num" w:pos="2880"/>
        </w:tabs>
        <w:ind w:left="2880" w:hanging="360"/>
      </w:pPr>
      <w:rPr>
        <w:rFonts w:ascii="Wingdings" w:hAnsi="Wingdings" w:hint="default"/>
      </w:rPr>
    </w:lvl>
    <w:lvl w:ilvl="4" w:tplc="23DE6184" w:tentative="1">
      <w:start w:val="1"/>
      <w:numFmt w:val="bullet"/>
      <w:lvlText w:val=""/>
      <w:lvlJc w:val="left"/>
      <w:pPr>
        <w:tabs>
          <w:tab w:val="num" w:pos="3600"/>
        </w:tabs>
        <w:ind w:left="3600" w:hanging="360"/>
      </w:pPr>
      <w:rPr>
        <w:rFonts w:ascii="Wingdings" w:hAnsi="Wingdings" w:hint="default"/>
      </w:rPr>
    </w:lvl>
    <w:lvl w:ilvl="5" w:tplc="8E0256AE" w:tentative="1">
      <w:start w:val="1"/>
      <w:numFmt w:val="bullet"/>
      <w:lvlText w:val=""/>
      <w:lvlJc w:val="left"/>
      <w:pPr>
        <w:tabs>
          <w:tab w:val="num" w:pos="4320"/>
        </w:tabs>
        <w:ind w:left="4320" w:hanging="360"/>
      </w:pPr>
      <w:rPr>
        <w:rFonts w:ascii="Wingdings" w:hAnsi="Wingdings" w:hint="default"/>
      </w:rPr>
    </w:lvl>
    <w:lvl w:ilvl="6" w:tplc="EA52E144" w:tentative="1">
      <w:start w:val="1"/>
      <w:numFmt w:val="bullet"/>
      <w:lvlText w:val=""/>
      <w:lvlJc w:val="left"/>
      <w:pPr>
        <w:tabs>
          <w:tab w:val="num" w:pos="5040"/>
        </w:tabs>
        <w:ind w:left="5040" w:hanging="360"/>
      </w:pPr>
      <w:rPr>
        <w:rFonts w:ascii="Wingdings" w:hAnsi="Wingdings" w:hint="default"/>
      </w:rPr>
    </w:lvl>
    <w:lvl w:ilvl="7" w:tplc="87D0B2AA" w:tentative="1">
      <w:start w:val="1"/>
      <w:numFmt w:val="bullet"/>
      <w:lvlText w:val=""/>
      <w:lvlJc w:val="left"/>
      <w:pPr>
        <w:tabs>
          <w:tab w:val="num" w:pos="5760"/>
        </w:tabs>
        <w:ind w:left="5760" w:hanging="360"/>
      </w:pPr>
      <w:rPr>
        <w:rFonts w:ascii="Wingdings" w:hAnsi="Wingdings" w:hint="default"/>
      </w:rPr>
    </w:lvl>
    <w:lvl w:ilvl="8" w:tplc="D27A3A12" w:tentative="1">
      <w:start w:val="1"/>
      <w:numFmt w:val="bullet"/>
      <w:lvlText w:val=""/>
      <w:lvlJc w:val="left"/>
      <w:pPr>
        <w:tabs>
          <w:tab w:val="num" w:pos="6480"/>
        </w:tabs>
        <w:ind w:left="6480" w:hanging="360"/>
      </w:pPr>
      <w:rPr>
        <w:rFonts w:ascii="Wingdings" w:hAnsi="Wingdings" w:hint="default"/>
      </w:rPr>
    </w:lvl>
  </w:abstractNum>
  <w:abstractNum w:abstractNumId="26">
    <w:nsid w:val="56472B1A"/>
    <w:multiLevelType w:val="hybridMultilevel"/>
    <w:tmpl w:val="EF6CBDBC"/>
    <w:lvl w:ilvl="0" w:tplc="8AFC71CC">
      <w:start w:val="1"/>
      <w:numFmt w:val="lowerLetter"/>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9195117"/>
    <w:multiLevelType w:val="hybridMultilevel"/>
    <w:tmpl w:val="645235DC"/>
    <w:styleLink w:val="Dash"/>
    <w:lvl w:ilvl="0" w:tplc="C774613A">
      <w:start w:val="1"/>
      <w:numFmt w:val="bullet"/>
      <w:lvlText w:val="-"/>
      <w:lvlJc w:val="left"/>
      <w:pPr>
        <w:ind w:left="30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1" w:tplc="665C31D8">
      <w:start w:val="1"/>
      <w:numFmt w:val="bullet"/>
      <w:lvlText w:val="-"/>
      <w:lvlJc w:val="left"/>
      <w:pPr>
        <w:ind w:left="54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2" w:tplc="8AE0389A">
      <w:start w:val="1"/>
      <w:numFmt w:val="bullet"/>
      <w:lvlText w:val="-"/>
      <w:lvlJc w:val="left"/>
      <w:pPr>
        <w:ind w:left="78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3" w:tplc="D1A8960A">
      <w:start w:val="1"/>
      <w:numFmt w:val="bullet"/>
      <w:lvlText w:val="-"/>
      <w:lvlJc w:val="left"/>
      <w:pPr>
        <w:ind w:left="102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4" w:tplc="696A999A">
      <w:start w:val="1"/>
      <w:numFmt w:val="bullet"/>
      <w:lvlText w:val="-"/>
      <w:lvlJc w:val="left"/>
      <w:pPr>
        <w:ind w:left="126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5" w:tplc="209C4D42">
      <w:start w:val="1"/>
      <w:numFmt w:val="bullet"/>
      <w:lvlText w:val="-"/>
      <w:lvlJc w:val="left"/>
      <w:pPr>
        <w:ind w:left="150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6" w:tplc="5A5E5238">
      <w:start w:val="1"/>
      <w:numFmt w:val="bullet"/>
      <w:lvlText w:val="-"/>
      <w:lvlJc w:val="left"/>
      <w:pPr>
        <w:ind w:left="174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7" w:tplc="BC06ACF0">
      <w:start w:val="1"/>
      <w:numFmt w:val="bullet"/>
      <w:lvlText w:val="-"/>
      <w:lvlJc w:val="left"/>
      <w:pPr>
        <w:ind w:left="198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8" w:tplc="1F1CF180">
      <w:start w:val="1"/>
      <w:numFmt w:val="bullet"/>
      <w:lvlText w:val="-"/>
      <w:lvlJc w:val="left"/>
      <w:pPr>
        <w:ind w:left="222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abstractNum>
  <w:abstractNum w:abstractNumId="28">
    <w:nsid w:val="5AB76775"/>
    <w:multiLevelType w:val="hybridMultilevel"/>
    <w:tmpl w:val="5C7C7CFA"/>
    <w:lvl w:ilvl="0" w:tplc="1C7C24AC">
      <w:start w:val="1"/>
      <w:numFmt w:val="decimal"/>
      <w:lvlText w:val="%1."/>
      <w:lvlJc w:val="left"/>
      <w:pPr>
        <w:tabs>
          <w:tab w:val="num" w:pos="2835"/>
        </w:tabs>
        <w:ind w:left="2268" w:firstLine="0"/>
      </w:pPr>
      <w:rPr>
        <w:rFonts w:hint="default"/>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9">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E553D22"/>
    <w:multiLevelType w:val="multilevel"/>
    <w:tmpl w:val="09CE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nsid w:val="61C1710D"/>
    <w:multiLevelType w:val="hybridMultilevel"/>
    <w:tmpl w:val="9B1600E8"/>
    <w:lvl w:ilvl="0" w:tplc="1854B36A">
      <w:start w:val="1"/>
      <w:numFmt w:val="decimal"/>
      <w:lvlText w:val="%1."/>
      <w:lvlJc w:val="left"/>
      <w:pPr>
        <w:ind w:left="1778" w:hanging="360"/>
      </w:pPr>
      <w:rPr>
        <w:rFonts w:ascii="Times New Roman" w:hAnsi="Times New Roman"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3">
    <w:nsid w:val="62680ABF"/>
    <w:multiLevelType w:val="hybridMultilevel"/>
    <w:tmpl w:val="9A788F04"/>
    <w:lvl w:ilvl="0" w:tplc="2A4AB5A8">
      <w:start w:val="1"/>
      <w:numFmt w:val="lowerLetter"/>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4">
    <w:nsid w:val="62A06AD5"/>
    <w:multiLevelType w:val="hybridMultilevel"/>
    <w:tmpl w:val="8ACC1750"/>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5">
    <w:nsid w:val="632D7ED6"/>
    <w:multiLevelType w:val="hybridMultilevel"/>
    <w:tmpl w:val="3F6C9B8A"/>
    <w:lvl w:ilvl="0" w:tplc="6E66CFD0">
      <w:start w:val="1"/>
      <w:numFmt w:val="bullet"/>
      <w:lvlText w:val="•"/>
      <w:lvlJc w:val="left"/>
      <w:pPr>
        <w:tabs>
          <w:tab w:val="num" w:pos="720"/>
        </w:tabs>
        <w:ind w:left="720" w:hanging="360"/>
      </w:pPr>
      <w:rPr>
        <w:rFonts w:ascii="Arial" w:hAnsi="Arial" w:hint="default"/>
      </w:rPr>
    </w:lvl>
    <w:lvl w:ilvl="1" w:tplc="E04C437E" w:tentative="1">
      <w:start w:val="1"/>
      <w:numFmt w:val="bullet"/>
      <w:lvlText w:val="•"/>
      <w:lvlJc w:val="left"/>
      <w:pPr>
        <w:tabs>
          <w:tab w:val="num" w:pos="1440"/>
        </w:tabs>
        <w:ind w:left="1440" w:hanging="360"/>
      </w:pPr>
      <w:rPr>
        <w:rFonts w:ascii="Arial" w:hAnsi="Arial" w:hint="default"/>
      </w:rPr>
    </w:lvl>
    <w:lvl w:ilvl="2" w:tplc="A5E8510E" w:tentative="1">
      <w:start w:val="1"/>
      <w:numFmt w:val="bullet"/>
      <w:lvlText w:val="•"/>
      <w:lvlJc w:val="left"/>
      <w:pPr>
        <w:tabs>
          <w:tab w:val="num" w:pos="2160"/>
        </w:tabs>
        <w:ind w:left="2160" w:hanging="360"/>
      </w:pPr>
      <w:rPr>
        <w:rFonts w:ascii="Arial" w:hAnsi="Arial" w:hint="default"/>
      </w:rPr>
    </w:lvl>
    <w:lvl w:ilvl="3" w:tplc="15887BA0" w:tentative="1">
      <w:start w:val="1"/>
      <w:numFmt w:val="bullet"/>
      <w:lvlText w:val="•"/>
      <w:lvlJc w:val="left"/>
      <w:pPr>
        <w:tabs>
          <w:tab w:val="num" w:pos="2880"/>
        </w:tabs>
        <w:ind w:left="2880" w:hanging="360"/>
      </w:pPr>
      <w:rPr>
        <w:rFonts w:ascii="Arial" w:hAnsi="Arial" w:hint="default"/>
      </w:rPr>
    </w:lvl>
    <w:lvl w:ilvl="4" w:tplc="3530E43E" w:tentative="1">
      <w:start w:val="1"/>
      <w:numFmt w:val="bullet"/>
      <w:lvlText w:val="•"/>
      <w:lvlJc w:val="left"/>
      <w:pPr>
        <w:tabs>
          <w:tab w:val="num" w:pos="3600"/>
        </w:tabs>
        <w:ind w:left="3600" w:hanging="360"/>
      </w:pPr>
      <w:rPr>
        <w:rFonts w:ascii="Arial" w:hAnsi="Arial" w:hint="default"/>
      </w:rPr>
    </w:lvl>
    <w:lvl w:ilvl="5" w:tplc="BF826322" w:tentative="1">
      <w:start w:val="1"/>
      <w:numFmt w:val="bullet"/>
      <w:lvlText w:val="•"/>
      <w:lvlJc w:val="left"/>
      <w:pPr>
        <w:tabs>
          <w:tab w:val="num" w:pos="4320"/>
        </w:tabs>
        <w:ind w:left="4320" w:hanging="360"/>
      </w:pPr>
      <w:rPr>
        <w:rFonts w:ascii="Arial" w:hAnsi="Arial" w:hint="default"/>
      </w:rPr>
    </w:lvl>
    <w:lvl w:ilvl="6" w:tplc="6BB0CC54" w:tentative="1">
      <w:start w:val="1"/>
      <w:numFmt w:val="bullet"/>
      <w:lvlText w:val="•"/>
      <w:lvlJc w:val="left"/>
      <w:pPr>
        <w:tabs>
          <w:tab w:val="num" w:pos="5040"/>
        </w:tabs>
        <w:ind w:left="5040" w:hanging="360"/>
      </w:pPr>
      <w:rPr>
        <w:rFonts w:ascii="Arial" w:hAnsi="Arial" w:hint="default"/>
      </w:rPr>
    </w:lvl>
    <w:lvl w:ilvl="7" w:tplc="6F1AD1A6" w:tentative="1">
      <w:start w:val="1"/>
      <w:numFmt w:val="bullet"/>
      <w:lvlText w:val="•"/>
      <w:lvlJc w:val="left"/>
      <w:pPr>
        <w:tabs>
          <w:tab w:val="num" w:pos="5760"/>
        </w:tabs>
        <w:ind w:left="5760" w:hanging="360"/>
      </w:pPr>
      <w:rPr>
        <w:rFonts w:ascii="Arial" w:hAnsi="Arial" w:hint="default"/>
      </w:rPr>
    </w:lvl>
    <w:lvl w:ilvl="8" w:tplc="4E36D7D6" w:tentative="1">
      <w:start w:val="1"/>
      <w:numFmt w:val="bullet"/>
      <w:lvlText w:val="•"/>
      <w:lvlJc w:val="left"/>
      <w:pPr>
        <w:tabs>
          <w:tab w:val="num" w:pos="6480"/>
        </w:tabs>
        <w:ind w:left="6480" w:hanging="360"/>
      </w:pPr>
      <w:rPr>
        <w:rFonts w:ascii="Arial" w:hAnsi="Arial" w:hint="default"/>
      </w:rPr>
    </w:lvl>
  </w:abstractNum>
  <w:abstractNum w:abstractNumId="36">
    <w:nsid w:val="6356169F"/>
    <w:multiLevelType w:val="hybridMultilevel"/>
    <w:tmpl w:val="EA508EF2"/>
    <w:lvl w:ilvl="0" w:tplc="65B89A4C">
      <w:start w:val="1"/>
      <w:numFmt w:val="bullet"/>
      <w:lvlText w:val=""/>
      <w:lvlJc w:val="left"/>
      <w:pPr>
        <w:tabs>
          <w:tab w:val="num" w:pos="720"/>
        </w:tabs>
        <w:ind w:left="720" w:hanging="360"/>
      </w:pPr>
      <w:rPr>
        <w:rFonts w:ascii="Wingdings" w:hAnsi="Wingdings" w:hint="default"/>
      </w:rPr>
    </w:lvl>
    <w:lvl w:ilvl="1" w:tplc="C2AAA8D2" w:tentative="1">
      <w:start w:val="1"/>
      <w:numFmt w:val="bullet"/>
      <w:lvlText w:val=""/>
      <w:lvlJc w:val="left"/>
      <w:pPr>
        <w:tabs>
          <w:tab w:val="num" w:pos="1440"/>
        </w:tabs>
        <w:ind w:left="1440" w:hanging="360"/>
      </w:pPr>
      <w:rPr>
        <w:rFonts w:ascii="Wingdings" w:hAnsi="Wingdings" w:hint="default"/>
      </w:rPr>
    </w:lvl>
    <w:lvl w:ilvl="2" w:tplc="F808E970" w:tentative="1">
      <w:start w:val="1"/>
      <w:numFmt w:val="bullet"/>
      <w:lvlText w:val=""/>
      <w:lvlJc w:val="left"/>
      <w:pPr>
        <w:tabs>
          <w:tab w:val="num" w:pos="2160"/>
        </w:tabs>
        <w:ind w:left="2160" w:hanging="360"/>
      </w:pPr>
      <w:rPr>
        <w:rFonts w:ascii="Wingdings" w:hAnsi="Wingdings" w:hint="default"/>
      </w:rPr>
    </w:lvl>
    <w:lvl w:ilvl="3" w:tplc="ECBCA226" w:tentative="1">
      <w:start w:val="1"/>
      <w:numFmt w:val="bullet"/>
      <w:lvlText w:val=""/>
      <w:lvlJc w:val="left"/>
      <w:pPr>
        <w:tabs>
          <w:tab w:val="num" w:pos="2880"/>
        </w:tabs>
        <w:ind w:left="2880" w:hanging="360"/>
      </w:pPr>
      <w:rPr>
        <w:rFonts w:ascii="Wingdings" w:hAnsi="Wingdings" w:hint="default"/>
      </w:rPr>
    </w:lvl>
    <w:lvl w:ilvl="4" w:tplc="242E7906" w:tentative="1">
      <w:start w:val="1"/>
      <w:numFmt w:val="bullet"/>
      <w:lvlText w:val=""/>
      <w:lvlJc w:val="left"/>
      <w:pPr>
        <w:tabs>
          <w:tab w:val="num" w:pos="3600"/>
        </w:tabs>
        <w:ind w:left="3600" w:hanging="360"/>
      </w:pPr>
      <w:rPr>
        <w:rFonts w:ascii="Wingdings" w:hAnsi="Wingdings" w:hint="default"/>
      </w:rPr>
    </w:lvl>
    <w:lvl w:ilvl="5" w:tplc="56322896" w:tentative="1">
      <w:start w:val="1"/>
      <w:numFmt w:val="bullet"/>
      <w:lvlText w:val=""/>
      <w:lvlJc w:val="left"/>
      <w:pPr>
        <w:tabs>
          <w:tab w:val="num" w:pos="4320"/>
        </w:tabs>
        <w:ind w:left="4320" w:hanging="360"/>
      </w:pPr>
      <w:rPr>
        <w:rFonts w:ascii="Wingdings" w:hAnsi="Wingdings" w:hint="default"/>
      </w:rPr>
    </w:lvl>
    <w:lvl w:ilvl="6" w:tplc="56381024" w:tentative="1">
      <w:start w:val="1"/>
      <w:numFmt w:val="bullet"/>
      <w:lvlText w:val=""/>
      <w:lvlJc w:val="left"/>
      <w:pPr>
        <w:tabs>
          <w:tab w:val="num" w:pos="5040"/>
        </w:tabs>
        <w:ind w:left="5040" w:hanging="360"/>
      </w:pPr>
      <w:rPr>
        <w:rFonts w:ascii="Wingdings" w:hAnsi="Wingdings" w:hint="default"/>
      </w:rPr>
    </w:lvl>
    <w:lvl w:ilvl="7" w:tplc="75968884" w:tentative="1">
      <w:start w:val="1"/>
      <w:numFmt w:val="bullet"/>
      <w:lvlText w:val=""/>
      <w:lvlJc w:val="left"/>
      <w:pPr>
        <w:tabs>
          <w:tab w:val="num" w:pos="5760"/>
        </w:tabs>
        <w:ind w:left="5760" w:hanging="360"/>
      </w:pPr>
      <w:rPr>
        <w:rFonts w:ascii="Wingdings" w:hAnsi="Wingdings" w:hint="default"/>
      </w:rPr>
    </w:lvl>
    <w:lvl w:ilvl="8" w:tplc="BCDE2F2A" w:tentative="1">
      <w:start w:val="1"/>
      <w:numFmt w:val="bullet"/>
      <w:lvlText w:val=""/>
      <w:lvlJc w:val="left"/>
      <w:pPr>
        <w:tabs>
          <w:tab w:val="num" w:pos="6480"/>
        </w:tabs>
        <w:ind w:left="6480" w:hanging="360"/>
      </w:pPr>
      <w:rPr>
        <w:rFonts w:ascii="Wingdings" w:hAnsi="Wingdings" w:hint="default"/>
      </w:rPr>
    </w:lvl>
  </w:abstractNum>
  <w:abstractNum w:abstractNumId="37">
    <w:nsid w:val="642E02EC"/>
    <w:multiLevelType w:val="hybridMultilevel"/>
    <w:tmpl w:val="8014F4A8"/>
    <w:lvl w:ilvl="0" w:tplc="67F21D8A">
      <w:start w:val="1"/>
      <w:numFmt w:val="bullet"/>
      <w:lvlText w:val=""/>
      <w:lvlJc w:val="left"/>
      <w:pPr>
        <w:tabs>
          <w:tab w:val="num" w:pos="720"/>
        </w:tabs>
        <w:ind w:left="720" w:hanging="360"/>
      </w:pPr>
      <w:rPr>
        <w:rFonts w:ascii="Wingdings 2" w:hAnsi="Wingdings 2" w:hint="default"/>
      </w:rPr>
    </w:lvl>
    <w:lvl w:ilvl="1" w:tplc="98022070" w:tentative="1">
      <w:start w:val="1"/>
      <w:numFmt w:val="bullet"/>
      <w:lvlText w:val=""/>
      <w:lvlJc w:val="left"/>
      <w:pPr>
        <w:tabs>
          <w:tab w:val="num" w:pos="1440"/>
        </w:tabs>
        <w:ind w:left="1440" w:hanging="360"/>
      </w:pPr>
      <w:rPr>
        <w:rFonts w:ascii="Wingdings 2" w:hAnsi="Wingdings 2" w:hint="default"/>
      </w:rPr>
    </w:lvl>
    <w:lvl w:ilvl="2" w:tplc="BBC2B762" w:tentative="1">
      <w:start w:val="1"/>
      <w:numFmt w:val="bullet"/>
      <w:lvlText w:val=""/>
      <w:lvlJc w:val="left"/>
      <w:pPr>
        <w:tabs>
          <w:tab w:val="num" w:pos="2160"/>
        </w:tabs>
        <w:ind w:left="2160" w:hanging="360"/>
      </w:pPr>
      <w:rPr>
        <w:rFonts w:ascii="Wingdings 2" w:hAnsi="Wingdings 2" w:hint="default"/>
      </w:rPr>
    </w:lvl>
    <w:lvl w:ilvl="3" w:tplc="C9F686C0" w:tentative="1">
      <w:start w:val="1"/>
      <w:numFmt w:val="bullet"/>
      <w:lvlText w:val=""/>
      <w:lvlJc w:val="left"/>
      <w:pPr>
        <w:tabs>
          <w:tab w:val="num" w:pos="2880"/>
        </w:tabs>
        <w:ind w:left="2880" w:hanging="360"/>
      </w:pPr>
      <w:rPr>
        <w:rFonts w:ascii="Wingdings 2" w:hAnsi="Wingdings 2" w:hint="default"/>
      </w:rPr>
    </w:lvl>
    <w:lvl w:ilvl="4" w:tplc="03C4F46E" w:tentative="1">
      <w:start w:val="1"/>
      <w:numFmt w:val="bullet"/>
      <w:lvlText w:val=""/>
      <w:lvlJc w:val="left"/>
      <w:pPr>
        <w:tabs>
          <w:tab w:val="num" w:pos="3600"/>
        </w:tabs>
        <w:ind w:left="3600" w:hanging="360"/>
      </w:pPr>
      <w:rPr>
        <w:rFonts w:ascii="Wingdings 2" w:hAnsi="Wingdings 2" w:hint="default"/>
      </w:rPr>
    </w:lvl>
    <w:lvl w:ilvl="5" w:tplc="D3808A5A" w:tentative="1">
      <w:start w:val="1"/>
      <w:numFmt w:val="bullet"/>
      <w:lvlText w:val=""/>
      <w:lvlJc w:val="left"/>
      <w:pPr>
        <w:tabs>
          <w:tab w:val="num" w:pos="4320"/>
        </w:tabs>
        <w:ind w:left="4320" w:hanging="360"/>
      </w:pPr>
      <w:rPr>
        <w:rFonts w:ascii="Wingdings 2" w:hAnsi="Wingdings 2" w:hint="default"/>
      </w:rPr>
    </w:lvl>
    <w:lvl w:ilvl="6" w:tplc="2CA89F72" w:tentative="1">
      <w:start w:val="1"/>
      <w:numFmt w:val="bullet"/>
      <w:lvlText w:val=""/>
      <w:lvlJc w:val="left"/>
      <w:pPr>
        <w:tabs>
          <w:tab w:val="num" w:pos="5040"/>
        </w:tabs>
        <w:ind w:left="5040" w:hanging="360"/>
      </w:pPr>
      <w:rPr>
        <w:rFonts w:ascii="Wingdings 2" w:hAnsi="Wingdings 2" w:hint="default"/>
      </w:rPr>
    </w:lvl>
    <w:lvl w:ilvl="7" w:tplc="5B0EAAB6" w:tentative="1">
      <w:start w:val="1"/>
      <w:numFmt w:val="bullet"/>
      <w:lvlText w:val=""/>
      <w:lvlJc w:val="left"/>
      <w:pPr>
        <w:tabs>
          <w:tab w:val="num" w:pos="5760"/>
        </w:tabs>
        <w:ind w:left="5760" w:hanging="360"/>
      </w:pPr>
      <w:rPr>
        <w:rFonts w:ascii="Wingdings 2" w:hAnsi="Wingdings 2" w:hint="default"/>
      </w:rPr>
    </w:lvl>
    <w:lvl w:ilvl="8" w:tplc="ACB40BA4" w:tentative="1">
      <w:start w:val="1"/>
      <w:numFmt w:val="bullet"/>
      <w:lvlText w:val=""/>
      <w:lvlJc w:val="left"/>
      <w:pPr>
        <w:tabs>
          <w:tab w:val="num" w:pos="6480"/>
        </w:tabs>
        <w:ind w:left="6480" w:hanging="360"/>
      </w:pPr>
      <w:rPr>
        <w:rFonts w:ascii="Wingdings 2" w:hAnsi="Wingdings 2" w:hint="default"/>
      </w:rPr>
    </w:lvl>
  </w:abstractNum>
  <w:abstractNum w:abstractNumId="38">
    <w:nsid w:val="655C3731"/>
    <w:multiLevelType w:val="hybridMultilevel"/>
    <w:tmpl w:val="FF18E6D0"/>
    <w:lvl w:ilvl="0" w:tplc="0809000F">
      <w:start w:val="1"/>
      <w:numFmt w:val="decimal"/>
      <w:lvlText w:val="%1."/>
      <w:lvlJc w:val="left"/>
      <w:pPr>
        <w:ind w:left="1637"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9">
    <w:nsid w:val="65F36CFC"/>
    <w:multiLevelType w:val="hybridMultilevel"/>
    <w:tmpl w:val="8662E318"/>
    <w:lvl w:ilvl="0" w:tplc="CEAAD046">
      <w:start w:val="1"/>
      <w:numFmt w:val="bullet"/>
      <w:lvlText w:val=""/>
      <w:lvlJc w:val="left"/>
      <w:pPr>
        <w:tabs>
          <w:tab w:val="num" w:pos="720"/>
        </w:tabs>
        <w:ind w:left="720" w:hanging="360"/>
      </w:pPr>
      <w:rPr>
        <w:rFonts w:ascii="Wingdings 2" w:hAnsi="Wingdings 2" w:hint="default"/>
      </w:rPr>
    </w:lvl>
    <w:lvl w:ilvl="1" w:tplc="92881312" w:tentative="1">
      <w:start w:val="1"/>
      <w:numFmt w:val="bullet"/>
      <w:lvlText w:val=""/>
      <w:lvlJc w:val="left"/>
      <w:pPr>
        <w:tabs>
          <w:tab w:val="num" w:pos="1440"/>
        </w:tabs>
        <w:ind w:left="1440" w:hanging="360"/>
      </w:pPr>
      <w:rPr>
        <w:rFonts w:ascii="Wingdings 2" w:hAnsi="Wingdings 2" w:hint="default"/>
      </w:rPr>
    </w:lvl>
    <w:lvl w:ilvl="2" w:tplc="DC903CFC" w:tentative="1">
      <w:start w:val="1"/>
      <w:numFmt w:val="bullet"/>
      <w:lvlText w:val=""/>
      <w:lvlJc w:val="left"/>
      <w:pPr>
        <w:tabs>
          <w:tab w:val="num" w:pos="2160"/>
        </w:tabs>
        <w:ind w:left="2160" w:hanging="360"/>
      </w:pPr>
      <w:rPr>
        <w:rFonts w:ascii="Wingdings 2" w:hAnsi="Wingdings 2" w:hint="default"/>
      </w:rPr>
    </w:lvl>
    <w:lvl w:ilvl="3" w:tplc="0BCAC86A" w:tentative="1">
      <w:start w:val="1"/>
      <w:numFmt w:val="bullet"/>
      <w:lvlText w:val=""/>
      <w:lvlJc w:val="left"/>
      <w:pPr>
        <w:tabs>
          <w:tab w:val="num" w:pos="2880"/>
        </w:tabs>
        <w:ind w:left="2880" w:hanging="360"/>
      </w:pPr>
      <w:rPr>
        <w:rFonts w:ascii="Wingdings 2" w:hAnsi="Wingdings 2" w:hint="default"/>
      </w:rPr>
    </w:lvl>
    <w:lvl w:ilvl="4" w:tplc="3D2E6124" w:tentative="1">
      <w:start w:val="1"/>
      <w:numFmt w:val="bullet"/>
      <w:lvlText w:val=""/>
      <w:lvlJc w:val="left"/>
      <w:pPr>
        <w:tabs>
          <w:tab w:val="num" w:pos="3600"/>
        </w:tabs>
        <w:ind w:left="3600" w:hanging="360"/>
      </w:pPr>
      <w:rPr>
        <w:rFonts w:ascii="Wingdings 2" w:hAnsi="Wingdings 2" w:hint="default"/>
      </w:rPr>
    </w:lvl>
    <w:lvl w:ilvl="5" w:tplc="FB4AF3C6" w:tentative="1">
      <w:start w:val="1"/>
      <w:numFmt w:val="bullet"/>
      <w:lvlText w:val=""/>
      <w:lvlJc w:val="left"/>
      <w:pPr>
        <w:tabs>
          <w:tab w:val="num" w:pos="4320"/>
        </w:tabs>
        <w:ind w:left="4320" w:hanging="360"/>
      </w:pPr>
      <w:rPr>
        <w:rFonts w:ascii="Wingdings 2" w:hAnsi="Wingdings 2" w:hint="default"/>
      </w:rPr>
    </w:lvl>
    <w:lvl w:ilvl="6" w:tplc="9F90E47E" w:tentative="1">
      <w:start w:val="1"/>
      <w:numFmt w:val="bullet"/>
      <w:lvlText w:val=""/>
      <w:lvlJc w:val="left"/>
      <w:pPr>
        <w:tabs>
          <w:tab w:val="num" w:pos="5040"/>
        </w:tabs>
        <w:ind w:left="5040" w:hanging="360"/>
      </w:pPr>
      <w:rPr>
        <w:rFonts w:ascii="Wingdings 2" w:hAnsi="Wingdings 2" w:hint="default"/>
      </w:rPr>
    </w:lvl>
    <w:lvl w:ilvl="7" w:tplc="7A0C9EEE" w:tentative="1">
      <w:start w:val="1"/>
      <w:numFmt w:val="bullet"/>
      <w:lvlText w:val=""/>
      <w:lvlJc w:val="left"/>
      <w:pPr>
        <w:tabs>
          <w:tab w:val="num" w:pos="5760"/>
        </w:tabs>
        <w:ind w:left="5760" w:hanging="360"/>
      </w:pPr>
      <w:rPr>
        <w:rFonts w:ascii="Wingdings 2" w:hAnsi="Wingdings 2" w:hint="default"/>
      </w:rPr>
    </w:lvl>
    <w:lvl w:ilvl="8" w:tplc="B1F227AA" w:tentative="1">
      <w:start w:val="1"/>
      <w:numFmt w:val="bullet"/>
      <w:lvlText w:val=""/>
      <w:lvlJc w:val="left"/>
      <w:pPr>
        <w:tabs>
          <w:tab w:val="num" w:pos="6480"/>
        </w:tabs>
        <w:ind w:left="6480" w:hanging="360"/>
      </w:pPr>
      <w:rPr>
        <w:rFonts w:ascii="Wingdings 2" w:hAnsi="Wingdings 2" w:hint="default"/>
      </w:rPr>
    </w:lvl>
  </w:abstractNum>
  <w:abstractNum w:abstractNumId="40">
    <w:nsid w:val="66D70FA1"/>
    <w:multiLevelType w:val="hybridMultilevel"/>
    <w:tmpl w:val="F4C4BB3C"/>
    <w:lvl w:ilvl="0" w:tplc="92289440">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68901F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6DF2287F"/>
    <w:multiLevelType w:val="hybridMultilevel"/>
    <w:tmpl w:val="AFB2B250"/>
    <w:lvl w:ilvl="0" w:tplc="11D6A3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3671A65"/>
    <w:multiLevelType w:val="hybridMultilevel"/>
    <w:tmpl w:val="62AA85C0"/>
    <w:lvl w:ilvl="0" w:tplc="A43613E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5">
    <w:nsid w:val="73763393"/>
    <w:multiLevelType w:val="hybridMultilevel"/>
    <w:tmpl w:val="500C3024"/>
    <w:lvl w:ilvl="0" w:tplc="B544A110">
      <w:start w:val="1"/>
      <w:numFmt w:val="upperLetter"/>
      <w:lvlText w:val="%1."/>
      <w:lvlJc w:val="left"/>
      <w:pPr>
        <w:ind w:left="1376" w:hanging="52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6">
    <w:nsid w:val="74105729"/>
    <w:multiLevelType w:val="hybridMultilevel"/>
    <w:tmpl w:val="016615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74305F7"/>
    <w:multiLevelType w:val="hybridMultilevel"/>
    <w:tmpl w:val="FF18E6D0"/>
    <w:lvl w:ilvl="0" w:tplc="0809000F">
      <w:start w:val="1"/>
      <w:numFmt w:val="decimal"/>
      <w:lvlText w:val="%1."/>
      <w:lvlJc w:val="left"/>
      <w:pPr>
        <w:ind w:left="1637"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8">
    <w:nsid w:val="778B50FF"/>
    <w:multiLevelType w:val="hybridMultilevel"/>
    <w:tmpl w:val="4D2E60E2"/>
    <w:lvl w:ilvl="0" w:tplc="E5987F76">
      <w:start w:val="1"/>
      <w:numFmt w:val="decimal"/>
      <w:lvlText w:val="%1."/>
      <w:lvlJc w:val="left"/>
      <w:pPr>
        <w:ind w:left="720" w:hanging="360"/>
      </w:pPr>
      <w:rPr>
        <w:rFonts w:hint="default"/>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8147256"/>
    <w:multiLevelType w:val="hybridMultilevel"/>
    <w:tmpl w:val="FF8EA534"/>
    <w:lvl w:ilvl="0" w:tplc="4BDE16C6">
      <w:start w:val="9"/>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0">
    <w:nsid w:val="785C3BDD"/>
    <w:multiLevelType w:val="multilevel"/>
    <w:tmpl w:val="0409001D"/>
    <w:numStyleLink w:val="Style1"/>
  </w:abstractNum>
  <w:abstractNum w:abstractNumId="51">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8EB10EB"/>
    <w:multiLevelType w:val="hybridMultilevel"/>
    <w:tmpl w:val="2B0A749E"/>
    <w:lvl w:ilvl="0" w:tplc="57EED5FA">
      <w:start w:val="1"/>
      <w:numFmt w:val="upperRoman"/>
      <w:lvlText w:val="%1."/>
      <w:lvlJc w:val="left"/>
      <w:pPr>
        <w:ind w:left="4123" w:hanging="72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7A9F6A31"/>
    <w:multiLevelType w:val="hybridMultilevel"/>
    <w:tmpl w:val="92C64210"/>
    <w:lvl w:ilvl="0" w:tplc="1A7EAB06">
      <w:start w:val="1"/>
      <w:numFmt w:val="lowerLetter"/>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num w:numId="1">
    <w:abstractNumId w:val="15"/>
  </w:num>
  <w:num w:numId="2">
    <w:abstractNumId w:val="10"/>
  </w:num>
  <w:num w:numId="3">
    <w:abstractNumId w:val="0"/>
  </w:num>
  <w:num w:numId="4">
    <w:abstractNumId w:val="29"/>
  </w:num>
  <w:num w:numId="5">
    <w:abstractNumId w:val="31"/>
  </w:num>
  <w:num w:numId="6">
    <w:abstractNumId w:val="51"/>
  </w:num>
  <w:num w:numId="7">
    <w:abstractNumId w:val="7"/>
  </w:num>
  <w:num w:numId="8">
    <w:abstractNumId w:val="2"/>
  </w:num>
  <w:num w:numId="9">
    <w:abstractNumId w:val="41"/>
  </w:num>
  <w:num w:numId="10">
    <w:abstractNumId w:val="2"/>
  </w:num>
  <w:num w:numId="11">
    <w:abstractNumId w:val="41"/>
  </w:num>
  <w:num w:numId="12">
    <w:abstractNumId w:val="48"/>
  </w:num>
  <w:num w:numId="13">
    <w:abstractNumId w:val="16"/>
  </w:num>
  <w:num w:numId="14">
    <w:abstractNumId w:val="38"/>
  </w:num>
  <w:num w:numId="15">
    <w:abstractNumId w:val="43"/>
  </w:num>
  <w:num w:numId="16">
    <w:abstractNumId w:val="47"/>
  </w:num>
  <w:num w:numId="17">
    <w:abstractNumId w:val="26"/>
  </w:num>
  <w:num w:numId="18">
    <w:abstractNumId w:val="9"/>
  </w:num>
  <w:num w:numId="19">
    <w:abstractNumId w:val="8"/>
  </w:num>
  <w:num w:numId="20">
    <w:abstractNumId w:val="27"/>
  </w:num>
  <w:num w:numId="21">
    <w:abstractNumId w:val="17"/>
  </w:num>
  <w:num w:numId="22">
    <w:abstractNumId w:val="23"/>
  </w:num>
  <w:num w:numId="23">
    <w:abstractNumId w:val="35"/>
  </w:num>
  <w:num w:numId="24">
    <w:abstractNumId w:val="6"/>
  </w:num>
  <w:num w:numId="25">
    <w:abstractNumId w:val="39"/>
  </w:num>
  <w:num w:numId="26">
    <w:abstractNumId w:val="25"/>
  </w:num>
  <w:num w:numId="27">
    <w:abstractNumId w:val="37"/>
  </w:num>
  <w:num w:numId="28">
    <w:abstractNumId w:val="36"/>
  </w:num>
  <w:num w:numId="29">
    <w:abstractNumId w:val="22"/>
  </w:num>
  <w:num w:numId="30">
    <w:abstractNumId w:val="45"/>
  </w:num>
  <w:num w:numId="31">
    <w:abstractNumId w:val="30"/>
  </w:num>
  <w:num w:numId="32">
    <w:abstractNumId w:val="14"/>
  </w:num>
  <w:num w:numId="33">
    <w:abstractNumId w:val="18"/>
  </w:num>
  <w:num w:numId="34">
    <w:abstractNumId w:val="28"/>
  </w:num>
  <w:num w:numId="35">
    <w:abstractNumId w:val="52"/>
  </w:num>
  <w:num w:numId="36">
    <w:abstractNumId w:val="20"/>
  </w:num>
  <w:num w:numId="37">
    <w:abstractNumId w:val="33"/>
  </w:num>
  <w:num w:numId="38">
    <w:abstractNumId w:val="19"/>
  </w:num>
  <w:num w:numId="39">
    <w:abstractNumId w:val="53"/>
  </w:num>
  <w:num w:numId="40">
    <w:abstractNumId w:val="44"/>
  </w:num>
  <w:num w:numId="41">
    <w:abstractNumId w:val="32"/>
  </w:num>
  <w:num w:numId="42">
    <w:abstractNumId w:val="4"/>
  </w:num>
  <w:num w:numId="43">
    <w:abstractNumId w:val="40"/>
  </w:num>
  <w:num w:numId="44">
    <w:abstractNumId w:val="13"/>
  </w:num>
  <w:num w:numId="45">
    <w:abstractNumId w:val="21"/>
  </w:num>
  <w:num w:numId="46">
    <w:abstractNumId w:val="42"/>
  </w:num>
  <w:num w:numId="47">
    <w:abstractNumId w:val="3"/>
  </w:num>
  <w:num w:numId="48">
    <w:abstractNumId w:val="1"/>
  </w:num>
  <w:num w:numId="49">
    <w:abstractNumId w:val="11"/>
  </w:num>
  <w:num w:numId="50">
    <w:abstractNumId w:val="24"/>
  </w:num>
  <w:num w:numId="51">
    <w:abstractNumId w:val="50"/>
  </w:num>
  <w:num w:numId="52">
    <w:abstractNumId w:val="49"/>
  </w:num>
  <w:num w:numId="53">
    <w:abstractNumId w:val="34"/>
  </w:num>
  <w:num w:numId="54">
    <w:abstractNumId w:val="12"/>
  </w:num>
  <w:num w:numId="55">
    <w:abstractNumId w:val="46"/>
  </w:num>
  <w:num w:numId="56">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evenAndOddHeaders/>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0D"/>
    <w:rsid w:val="0000000E"/>
    <w:rsid w:val="00001404"/>
    <w:rsid w:val="00001C5B"/>
    <w:rsid w:val="00002DB3"/>
    <w:rsid w:val="00003034"/>
    <w:rsid w:val="000046B2"/>
    <w:rsid w:val="000051C6"/>
    <w:rsid w:val="0000534F"/>
    <w:rsid w:val="00006CA4"/>
    <w:rsid w:val="0000793F"/>
    <w:rsid w:val="00010D38"/>
    <w:rsid w:val="000130CF"/>
    <w:rsid w:val="0001457A"/>
    <w:rsid w:val="000148DE"/>
    <w:rsid w:val="00015F63"/>
    <w:rsid w:val="00016483"/>
    <w:rsid w:val="00016E9C"/>
    <w:rsid w:val="00017CAB"/>
    <w:rsid w:val="00017E3D"/>
    <w:rsid w:val="00017FE5"/>
    <w:rsid w:val="00020694"/>
    <w:rsid w:val="00020732"/>
    <w:rsid w:val="00023803"/>
    <w:rsid w:val="00023EC7"/>
    <w:rsid w:val="0002640B"/>
    <w:rsid w:val="00030AF4"/>
    <w:rsid w:val="00033C5C"/>
    <w:rsid w:val="00040333"/>
    <w:rsid w:val="000413A2"/>
    <w:rsid w:val="00041C51"/>
    <w:rsid w:val="00042FC0"/>
    <w:rsid w:val="00043DE5"/>
    <w:rsid w:val="0004466F"/>
    <w:rsid w:val="000461D6"/>
    <w:rsid w:val="00046E92"/>
    <w:rsid w:val="00050406"/>
    <w:rsid w:val="00052580"/>
    <w:rsid w:val="00052F92"/>
    <w:rsid w:val="000532F1"/>
    <w:rsid w:val="0005337E"/>
    <w:rsid w:val="00054E52"/>
    <w:rsid w:val="0005638C"/>
    <w:rsid w:val="00056734"/>
    <w:rsid w:val="000626DD"/>
    <w:rsid w:val="000627C0"/>
    <w:rsid w:val="00062996"/>
    <w:rsid w:val="000635E1"/>
    <w:rsid w:val="00063C90"/>
    <w:rsid w:val="00064C0D"/>
    <w:rsid w:val="000669E6"/>
    <w:rsid w:val="00066DA7"/>
    <w:rsid w:val="00072BA5"/>
    <w:rsid w:val="000733BE"/>
    <w:rsid w:val="00075260"/>
    <w:rsid w:val="00080885"/>
    <w:rsid w:val="00080CC0"/>
    <w:rsid w:val="000812DF"/>
    <w:rsid w:val="00081824"/>
    <w:rsid w:val="00081FF1"/>
    <w:rsid w:val="000826A7"/>
    <w:rsid w:val="00082FE5"/>
    <w:rsid w:val="000839A4"/>
    <w:rsid w:val="000849F8"/>
    <w:rsid w:val="000871E0"/>
    <w:rsid w:val="0009027F"/>
    <w:rsid w:val="000907F9"/>
    <w:rsid w:val="0009094E"/>
    <w:rsid w:val="00091468"/>
    <w:rsid w:val="00091FD0"/>
    <w:rsid w:val="00092412"/>
    <w:rsid w:val="00092620"/>
    <w:rsid w:val="000933D7"/>
    <w:rsid w:val="00093430"/>
    <w:rsid w:val="00093F6D"/>
    <w:rsid w:val="00094D96"/>
    <w:rsid w:val="0009530D"/>
    <w:rsid w:val="00097D14"/>
    <w:rsid w:val="000A04F0"/>
    <w:rsid w:val="000A4DC4"/>
    <w:rsid w:val="000A5559"/>
    <w:rsid w:val="000A6E33"/>
    <w:rsid w:val="000B172A"/>
    <w:rsid w:val="000B2678"/>
    <w:rsid w:val="000B2977"/>
    <w:rsid w:val="000B47E6"/>
    <w:rsid w:val="000B7D81"/>
    <w:rsid w:val="000C1807"/>
    <w:rsid w:val="000C1EAA"/>
    <w:rsid w:val="000C1EEB"/>
    <w:rsid w:val="000C39E7"/>
    <w:rsid w:val="000C3ACF"/>
    <w:rsid w:val="000C401C"/>
    <w:rsid w:val="000C4E03"/>
    <w:rsid w:val="000C4E82"/>
    <w:rsid w:val="000C6DAF"/>
    <w:rsid w:val="000C7446"/>
    <w:rsid w:val="000C7C2E"/>
    <w:rsid w:val="000D05F3"/>
    <w:rsid w:val="000D0E8A"/>
    <w:rsid w:val="000D2D17"/>
    <w:rsid w:val="000D331F"/>
    <w:rsid w:val="000D4C41"/>
    <w:rsid w:val="000D4D82"/>
    <w:rsid w:val="000D7132"/>
    <w:rsid w:val="000E1C3A"/>
    <w:rsid w:val="000E2149"/>
    <w:rsid w:val="000E4219"/>
    <w:rsid w:val="000E6033"/>
    <w:rsid w:val="000E645C"/>
    <w:rsid w:val="000E6707"/>
    <w:rsid w:val="000E6DB7"/>
    <w:rsid w:val="000F1394"/>
    <w:rsid w:val="000F28BC"/>
    <w:rsid w:val="000F362C"/>
    <w:rsid w:val="000F37D7"/>
    <w:rsid w:val="000F60A1"/>
    <w:rsid w:val="001007D9"/>
    <w:rsid w:val="00101B98"/>
    <w:rsid w:val="00102226"/>
    <w:rsid w:val="00103EC6"/>
    <w:rsid w:val="00105532"/>
    <w:rsid w:val="0011715E"/>
    <w:rsid w:val="00117BE2"/>
    <w:rsid w:val="0012381F"/>
    <w:rsid w:val="0012456B"/>
    <w:rsid w:val="00124E2A"/>
    <w:rsid w:val="0012508E"/>
    <w:rsid w:val="00125686"/>
    <w:rsid w:val="00126A77"/>
    <w:rsid w:val="001273C6"/>
    <w:rsid w:val="00131B9B"/>
    <w:rsid w:val="00132A7A"/>
    <w:rsid w:val="00141276"/>
    <w:rsid w:val="001412F2"/>
    <w:rsid w:val="00141CD8"/>
    <w:rsid w:val="00142897"/>
    <w:rsid w:val="001428F5"/>
    <w:rsid w:val="00143808"/>
    <w:rsid w:val="001438CD"/>
    <w:rsid w:val="00146733"/>
    <w:rsid w:val="001471AE"/>
    <w:rsid w:val="001475CD"/>
    <w:rsid w:val="0015040C"/>
    <w:rsid w:val="00150FCC"/>
    <w:rsid w:val="00151347"/>
    <w:rsid w:val="00151A05"/>
    <w:rsid w:val="00152BD1"/>
    <w:rsid w:val="00152DBC"/>
    <w:rsid w:val="00153793"/>
    <w:rsid w:val="00153CD2"/>
    <w:rsid w:val="00155A35"/>
    <w:rsid w:val="001564B5"/>
    <w:rsid w:val="00157830"/>
    <w:rsid w:val="00161281"/>
    <w:rsid w:val="00162129"/>
    <w:rsid w:val="001647B9"/>
    <w:rsid w:val="001650D1"/>
    <w:rsid w:val="0016640E"/>
    <w:rsid w:val="00167CE6"/>
    <w:rsid w:val="00171EF7"/>
    <w:rsid w:val="00173AE2"/>
    <w:rsid w:val="00173C6B"/>
    <w:rsid w:val="00173D7F"/>
    <w:rsid w:val="001755B2"/>
    <w:rsid w:val="001763F6"/>
    <w:rsid w:val="0017757D"/>
    <w:rsid w:val="001779A4"/>
    <w:rsid w:val="00180D97"/>
    <w:rsid w:val="001814C5"/>
    <w:rsid w:val="001818A5"/>
    <w:rsid w:val="0018198A"/>
    <w:rsid w:val="00185544"/>
    <w:rsid w:val="00185699"/>
    <w:rsid w:val="001869DE"/>
    <w:rsid w:val="001870E6"/>
    <w:rsid w:val="00187790"/>
    <w:rsid w:val="001877C1"/>
    <w:rsid w:val="00191458"/>
    <w:rsid w:val="00191BDD"/>
    <w:rsid w:val="001923B4"/>
    <w:rsid w:val="0019276F"/>
    <w:rsid w:val="00192BD7"/>
    <w:rsid w:val="00194ABE"/>
    <w:rsid w:val="001958EA"/>
    <w:rsid w:val="00196570"/>
    <w:rsid w:val="001A0D74"/>
    <w:rsid w:val="001A16F4"/>
    <w:rsid w:val="001A42B5"/>
    <w:rsid w:val="001A4306"/>
    <w:rsid w:val="001A446B"/>
    <w:rsid w:val="001B1F12"/>
    <w:rsid w:val="001B249E"/>
    <w:rsid w:val="001B3177"/>
    <w:rsid w:val="001B75C1"/>
    <w:rsid w:val="001C1FCF"/>
    <w:rsid w:val="001C4A9C"/>
    <w:rsid w:val="001C4D22"/>
    <w:rsid w:val="001C5407"/>
    <w:rsid w:val="001C62E8"/>
    <w:rsid w:val="001C71BD"/>
    <w:rsid w:val="001C7770"/>
    <w:rsid w:val="001D02F8"/>
    <w:rsid w:val="001D072A"/>
    <w:rsid w:val="001D07E8"/>
    <w:rsid w:val="001D2671"/>
    <w:rsid w:val="001D2D2E"/>
    <w:rsid w:val="001D4CC4"/>
    <w:rsid w:val="001D539D"/>
    <w:rsid w:val="001D6818"/>
    <w:rsid w:val="001D7314"/>
    <w:rsid w:val="001D7840"/>
    <w:rsid w:val="001E078E"/>
    <w:rsid w:val="001E0E0E"/>
    <w:rsid w:val="001E3250"/>
    <w:rsid w:val="001E35A0"/>
    <w:rsid w:val="001E54FF"/>
    <w:rsid w:val="001E563D"/>
    <w:rsid w:val="001E7B54"/>
    <w:rsid w:val="001F0033"/>
    <w:rsid w:val="001F0DBE"/>
    <w:rsid w:val="001F14FA"/>
    <w:rsid w:val="001F2338"/>
    <w:rsid w:val="001F5779"/>
    <w:rsid w:val="001F5B5A"/>
    <w:rsid w:val="001F72FA"/>
    <w:rsid w:val="001F755F"/>
    <w:rsid w:val="001F7B11"/>
    <w:rsid w:val="0020002B"/>
    <w:rsid w:val="002013A9"/>
    <w:rsid w:val="00201CAC"/>
    <w:rsid w:val="0020285A"/>
    <w:rsid w:val="0020596F"/>
    <w:rsid w:val="002063FD"/>
    <w:rsid w:val="0020646E"/>
    <w:rsid w:val="00207B58"/>
    <w:rsid w:val="002100FC"/>
    <w:rsid w:val="00210A73"/>
    <w:rsid w:val="002151C2"/>
    <w:rsid w:val="00216AA6"/>
    <w:rsid w:val="002179F3"/>
    <w:rsid w:val="00220B77"/>
    <w:rsid w:val="00221DD4"/>
    <w:rsid w:val="0022346B"/>
    <w:rsid w:val="00223A58"/>
    <w:rsid w:val="00224A83"/>
    <w:rsid w:val="00224F37"/>
    <w:rsid w:val="0022523E"/>
    <w:rsid w:val="002252F9"/>
    <w:rsid w:val="00226109"/>
    <w:rsid w:val="002263AE"/>
    <w:rsid w:val="00227009"/>
    <w:rsid w:val="00227AB8"/>
    <w:rsid w:val="00227E26"/>
    <w:rsid w:val="0023069A"/>
    <w:rsid w:val="00231CF5"/>
    <w:rsid w:val="0023283B"/>
    <w:rsid w:val="00232C61"/>
    <w:rsid w:val="00235051"/>
    <w:rsid w:val="002402D8"/>
    <w:rsid w:val="00240C99"/>
    <w:rsid w:val="00242036"/>
    <w:rsid w:val="002425ED"/>
    <w:rsid w:val="00242BB4"/>
    <w:rsid w:val="00243194"/>
    <w:rsid w:val="0024358E"/>
    <w:rsid w:val="00243902"/>
    <w:rsid w:val="00244557"/>
    <w:rsid w:val="0024536E"/>
    <w:rsid w:val="002455AA"/>
    <w:rsid w:val="00245A50"/>
    <w:rsid w:val="00247370"/>
    <w:rsid w:val="00247E2C"/>
    <w:rsid w:val="00251395"/>
    <w:rsid w:val="002523FA"/>
    <w:rsid w:val="00252B34"/>
    <w:rsid w:val="00254398"/>
    <w:rsid w:val="002568BE"/>
    <w:rsid w:val="00261EA7"/>
    <w:rsid w:val="00262A64"/>
    <w:rsid w:val="00265B3B"/>
    <w:rsid w:val="00266AE1"/>
    <w:rsid w:val="002672BE"/>
    <w:rsid w:val="0026771A"/>
    <w:rsid w:val="00271274"/>
    <w:rsid w:val="002736B0"/>
    <w:rsid w:val="00273BB1"/>
    <w:rsid w:val="00274A0B"/>
    <w:rsid w:val="0027560E"/>
    <w:rsid w:val="002768F3"/>
    <w:rsid w:val="0028008E"/>
    <w:rsid w:val="002801DD"/>
    <w:rsid w:val="002810DE"/>
    <w:rsid w:val="002811A9"/>
    <w:rsid w:val="00281E61"/>
    <w:rsid w:val="0028202D"/>
    <w:rsid w:val="002843A2"/>
    <w:rsid w:val="0028554D"/>
    <w:rsid w:val="00285E0F"/>
    <w:rsid w:val="002867C0"/>
    <w:rsid w:val="0028680F"/>
    <w:rsid w:val="00290A7C"/>
    <w:rsid w:val="00291DA4"/>
    <w:rsid w:val="00292542"/>
    <w:rsid w:val="0029285A"/>
    <w:rsid w:val="0029446D"/>
    <w:rsid w:val="002959C5"/>
    <w:rsid w:val="00296747"/>
    <w:rsid w:val="002975EB"/>
    <w:rsid w:val="002A0C1C"/>
    <w:rsid w:val="002A20B7"/>
    <w:rsid w:val="002A32CB"/>
    <w:rsid w:val="002A3C3B"/>
    <w:rsid w:val="002A57B8"/>
    <w:rsid w:val="002A6DC1"/>
    <w:rsid w:val="002B0793"/>
    <w:rsid w:val="002B0CE8"/>
    <w:rsid w:val="002B19EE"/>
    <w:rsid w:val="002B445B"/>
    <w:rsid w:val="002B536A"/>
    <w:rsid w:val="002B53BB"/>
    <w:rsid w:val="002B637C"/>
    <w:rsid w:val="002B686C"/>
    <w:rsid w:val="002C09E0"/>
    <w:rsid w:val="002C1D8A"/>
    <w:rsid w:val="002C1E5F"/>
    <w:rsid w:val="002C7BBC"/>
    <w:rsid w:val="002D0F2D"/>
    <w:rsid w:val="002D1883"/>
    <w:rsid w:val="002D189B"/>
    <w:rsid w:val="002D2311"/>
    <w:rsid w:val="002D3DCC"/>
    <w:rsid w:val="002D45AF"/>
    <w:rsid w:val="002D5923"/>
    <w:rsid w:val="002D6C53"/>
    <w:rsid w:val="002D6D4A"/>
    <w:rsid w:val="002D721F"/>
    <w:rsid w:val="002E0536"/>
    <w:rsid w:val="002E0AA1"/>
    <w:rsid w:val="002E24D2"/>
    <w:rsid w:val="002E2F6E"/>
    <w:rsid w:val="002E546D"/>
    <w:rsid w:val="002E5CCC"/>
    <w:rsid w:val="002E6AA4"/>
    <w:rsid w:val="002E78E2"/>
    <w:rsid w:val="002F01E6"/>
    <w:rsid w:val="002F19AA"/>
    <w:rsid w:val="002F40D0"/>
    <w:rsid w:val="002F452B"/>
    <w:rsid w:val="002F5595"/>
    <w:rsid w:val="003001A7"/>
    <w:rsid w:val="00301FE9"/>
    <w:rsid w:val="0030226A"/>
    <w:rsid w:val="0030364C"/>
    <w:rsid w:val="00303FAD"/>
    <w:rsid w:val="00304227"/>
    <w:rsid w:val="00304581"/>
    <w:rsid w:val="00305B28"/>
    <w:rsid w:val="0030628D"/>
    <w:rsid w:val="0030658E"/>
    <w:rsid w:val="00310CB3"/>
    <w:rsid w:val="00311747"/>
    <w:rsid w:val="00311E4E"/>
    <w:rsid w:val="00312290"/>
    <w:rsid w:val="003124B1"/>
    <w:rsid w:val="00315171"/>
    <w:rsid w:val="003202B2"/>
    <w:rsid w:val="00323A1F"/>
    <w:rsid w:val="003272E6"/>
    <w:rsid w:val="0033030C"/>
    <w:rsid w:val="0033031F"/>
    <w:rsid w:val="00331C1D"/>
    <w:rsid w:val="0033342B"/>
    <w:rsid w:val="00333A91"/>
    <w:rsid w:val="00334F6A"/>
    <w:rsid w:val="0033580D"/>
    <w:rsid w:val="00336C76"/>
    <w:rsid w:val="00340FC0"/>
    <w:rsid w:val="0034157D"/>
    <w:rsid w:val="00341F72"/>
    <w:rsid w:val="003427A3"/>
    <w:rsid w:val="00342AAB"/>
    <w:rsid w:val="00342AC8"/>
    <w:rsid w:val="00342B03"/>
    <w:rsid w:val="00343D25"/>
    <w:rsid w:val="003457E1"/>
    <w:rsid w:val="003475D4"/>
    <w:rsid w:val="00347931"/>
    <w:rsid w:val="003503EE"/>
    <w:rsid w:val="00351BFC"/>
    <w:rsid w:val="00351C31"/>
    <w:rsid w:val="00351F6F"/>
    <w:rsid w:val="00355A6D"/>
    <w:rsid w:val="003579C9"/>
    <w:rsid w:val="003600C9"/>
    <w:rsid w:val="003605B8"/>
    <w:rsid w:val="003616F5"/>
    <w:rsid w:val="00361E2B"/>
    <w:rsid w:val="00362805"/>
    <w:rsid w:val="003636A5"/>
    <w:rsid w:val="00363722"/>
    <w:rsid w:val="003640C1"/>
    <w:rsid w:val="00366170"/>
    <w:rsid w:val="003677D0"/>
    <w:rsid w:val="00370DAF"/>
    <w:rsid w:val="00375524"/>
    <w:rsid w:val="00375F0B"/>
    <w:rsid w:val="00375FF4"/>
    <w:rsid w:val="003761EA"/>
    <w:rsid w:val="00377F08"/>
    <w:rsid w:val="00381776"/>
    <w:rsid w:val="00381FDB"/>
    <w:rsid w:val="00383313"/>
    <w:rsid w:val="0038338E"/>
    <w:rsid w:val="00384B98"/>
    <w:rsid w:val="0039056B"/>
    <w:rsid w:val="0039173D"/>
    <w:rsid w:val="00391F8D"/>
    <w:rsid w:val="00395E52"/>
    <w:rsid w:val="00397248"/>
    <w:rsid w:val="00397811"/>
    <w:rsid w:val="003A365A"/>
    <w:rsid w:val="003A537B"/>
    <w:rsid w:val="003A5A4C"/>
    <w:rsid w:val="003A7B3C"/>
    <w:rsid w:val="003B06AA"/>
    <w:rsid w:val="003B1919"/>
    <w:rsid w:val="003B31D5"/>
    <w:rsid w:val="003B4550"/>
    <w:rsid w:val="003B474C"/>
    <w:rsid w:val="003B4C14"/>
    <w:rsid w:val="003B539E"/>
    <w:rsid w:val="003B5522"/>
    <w:rsid w:val="003B63D2"/>
    <w:rsid w:val="003B6D80"/>
    <w:rsid w:val="003B7F13"/>
    <w:rsid w:val="003C0E98"/>
    <w:rsid w:val="003C0FF5"/>
    <w:rsid w:val="003C16F9"/>
    <w:rsid w:val="003C4632"/>
    <w:rsid w:val="003C4BB3"/>
    <w:rsid w:val="003D054B"/>
    <w:rsid w:val="003D34DB"/>
    <w:rsid w:val="003D3DC1"/>
    <w:rsid w:val="003D45CC"/>
    <w:rsid w:val="003D555F"/>
    <w:rsid w:val="003D5DCF"/>
    <w:rsid w:val="003D7C2F"/>
    <w:rsid w:val="003E0994"/>
    <w:rsid w:val="003E14EB"/>
    <w:rsid w:val="003E3EDE"/>
    <w:rsid w:val="003E45F9"/>
    <w:rsid w:val="003E6467"/>
    <w:rsid w:val="003E74DC"/>
    <w:rsid w:val="003F0972"/>
    <w:rsid w:val="003F0ACB"/>
    <w:rsid w:val="003F0AED"/>
    <w:rsid w:val="003F213B"/>
    <w:rsid w:val="003F2A35"/>
    <w:rsid w:val="003F34BC"/>
    <w:rsid w:val="003F66BB"/>
    <w:rsid w:val="00403274"/>
    <w:rsid w:val="0040363F"/>
    <w:rsid w:val="004068C2"/>
    <w:rsid w:val="00406A40"/>
    <w:rsid w:val="00410FBE"/>
    <w:rsid w:val="004134A3"/>
    <w:rsid w:val="00413570"/>
    <w:rsid w:val="00414F2A"/>
    <w:rsid w:val="0041541A"/>
    <w:rsid w:val="00415744"/>
    <w:rsid w:val="0042000A"/>
    <w:rsid w:val="004207C5"/>
    <w:rsid w:val="0042153B"/>
    <w:rsid w:val="00421B1A"/>
    <w:rsid w:val="00422076"/>
    <w:rsid w:val="004224FF"/>
    <w:rsid w:val="00422E88"/>
    <w:rsid w:val="00423199"/>
    <w:rsid w:val="004312AE"/>
    <w:rsid w:val="004317A2"/>
    <w:rsid w:val="00431C1A"/>
    <w:rsid w:val="00432254"/>
    <w:rsid w:val="0043375F"/>
    <w:rsid w:val="00433CB5"/>
    <w:rsid w:val="00434600"/>
    <w:rsid w:val="00435BB1"/>
    <w:rsid w:val="0043768C"/>
    <w:rsid w:val="004406A0"/>
    <w:rsid w:val="004421CC"/>
    <w:rsid w:val="004426A8"/>
    <w:rsid w:val="00445DE8"/>
    <w:rsid w:val="00447109"/>
    <w:rsid w:val="00447111"/>
    <w:rsid w:val="00450955"/>
    <w:rsid w:val="00450E2C"/>
    <w:rsid w:val="00452621"/>
    <w:rsid w:val="00452D03"/>
    <w:rsid w:val="0045472D"/>
    <w:rsid w:val="00455882"/>
    <w:rsid w:val="00456C03"/>
    <w:rsid w:val="004603BE"/>
    <w:rsid w:val="0046042F"/>
    <w:rsid w:val="00461253"/>
    <w:rsid w:val="004655DF"/>
    <w:rsid w:val="004668FF"/>
    <w:rsid w:val="00466E41"/>
    <w:rsid w:val="00467A14"/>
    <w:rsid w:val="00467EA4"/>
    <w:rsid w:val="00470BBF"/>
    <w:rsid w:val="0047222B"/>
    <w:rsid w:val="00472389"/>
    <w:rsid w:val="00472647"/>
    <w:rsid w:val="00475211"/>
    <w:rsid w:val="00475D65"/>
    <w:rsid w:val="0047753C"/>
    <w:rsid w:val="00481090"/>
    <w:rsid w:val="004855B3"/>
    <w:rsid w:val="00485A9F"/>
    <w:rsid w:val="00486AB0"/>
    <w:rsid w:val="00490FF8"/>
    <w:rsid w:val="004916E7"/>
    <w:rsid w:val="004947C5"/>
    <w:rsid w:val="004953A4"/>
    <w:rsid w:val="004954C4"/>
    <w:rsid w:val="00495AEA"/>
    <w:rsid w:val="00495D8A"/>
    <w:rsid w:val="00496D4D"/>
    <w:rsid w:val="004A1805"/>
    <w:rsid w:val="004A2814"/>
    <w:rsid w:val="004A2B08"/>
    <w:rsid w:val="004B0F72"/>
    <w:rsid w:val="004B1181"/>
    <w:rsid w:val="004B32CA"/>
    <w:rsid w:val="004B3D79"/>
    <w:rsid w:val="004B4F6B"/>
    <w:rsid w:val="004B5425"/>
    <w:rsid w:val="004C0622"/>
    <w:rsid w:val="004C1285"/>
    <w:rsid w:val="004C241D"/>
    <w:rsid w:val="004C2D45"/>
    <w:rsid w:val="004C6522"/>
    <w:rsid w:val="004C7FBC"/>
    <w:rsid w:val="004D2E71"/>
    <w:rsid w:val="004D4DB5"/>
    <w:rsid w:val="004D5530"/>
    <w:rsid w:val="004D7FA8"/>
    <w:rsid w:val="004E0295"/>
    <w:rsid w:val="004E20E5"/>
    <w:rsid w:val="004E357F"/>
    <w:rsid w:val="004E39C3"/>
    <w:rsid w:val="004E5BB6"/>
    <w:rsid w:val="004E7C3F"/>
    <w:rsid w:val="004F0118"/>
    <w:rsid w:val="004F08DF"/>
    <w:rsid w:val="004F0C4C"/>
    <w:rsid w:val="004F1828"/>
    <w:rsid w:val="004F3641"/>
    <w:rsid w:val="004F3A6B"/>
    <w:rsid w:val="004F3E75"/>
    <w:rsid w:val="004F4AD2"/>
    <w:rsid w:val="004F55DB"/>
    <w:rsid w:val="004F5D8E"/>
    <w:rsid w:val="004F66AD"/>
    <w:rsid w:val="004F691E"/>
    <w:rsid w:val="004F6BA9"/>
    <w:rsid w:val="00500125"/>
    <w:rsid w:val="00500452"/>
    <w:rsid w:val="005015AE"/>
    <w:rsid w:val="005042C2"/>
    <w:rsid w:val="00504485"/>
    <w:rsid w:val="005045FB"/>
    <w:rsid w:val="0050517C"/>
    <w:rsid w:val="0050531C"/>
    <w:rsid w:val="00510339"/>
    <w:rsid w:val="005106FD"/>
    <w:rsid w:val="00510F42"/>
    <w:rsid w:val="00512C36"/>
    <w:rsid w:val="005140D4"/>
    <w:rsid w:val="00514231"/>
    <w:rsid w:val="00516F4A"/>
    <w:rsid w:val="005177BA"/>
    <w:rsid w:val="00520862"/>
    <w:rsid w:val="005209D1"/>
    <w:rsid w:val="00521360"/>
    <w:rsid w:val="00523793"/>
    <w:rsid w:val="005250A5"/>
    <w:rsid w:val="00525AEA"/>
    <w:rsid w:val="00526F5D"/>
    <w:rsid w:val="005276ED"/>
    <w:rsid w:val="00530CBD"/>
    <w:rsid w:val="00532580"/>
    <w:rsid w:val="00533B3E"/>
    <w:rsid w:val="00533F2A"/>
    <w:rsid w:val="0053437C"/>
    <w:rsid w:val="00534458"/>
    <w:rsid w:val="0053447A"/>
    <w:rsid w:val="00534F5F"/>
    <w:rsid w:val="0053501A"/>
    <w:rsid w:val="005360B2"/>
    <w:rsid w:val="0053622C"/>
    <w:rsid w:val="00540810"/>
    <w:rsid w:val="0054315D"/>
    <w:rsid w:val="0054494A"/>
    <w:rsid w:val="00545DFF"/>
    <w:rsid w:val="00547B82"/>
    <w:rsid w:val="00550383"/>
    <w:rsid w:val="00550D42"/>
    <w:rsid w:val="00552B36"/>
    <w:rsid w:val="005534FA"/>
    <w:rsid w:val="00553795"/>
    <w:rsid w:val="00553925"/>
    <w:rsid w:val="00553FD6"/>
    <w:rsid w:val="005542B8"/>
    <w:rsid w:val="005542D3"/>
    <w:rsid w:val="0055611D"/>
    <w:rsid w:val="00560F1B"/>
    <w:rsid w:val="005627EF"/>
    <w:rsid w:val="00566B53"/>
    <w:rsid w:val="00570A58"/>
    <w:rsid w:val="005727C3"/>
    <w:rsid w:val="00580C05"/>
    <w:rsid w:val="00580F1F"/>
    <w:rsid w:val="00583BF8"/>
    <w:rsid w:val="00585566"/>
    <w:rsid w:val="00586A5A"/>
    <w:rsid w:val="00591BA7"/>
    <w:rsid w:val="005923A9"/>
    <w:rsid w:val="005923C1"/>
    <w:rsid w:val="00594804"/>
    <w:rsid w:val="00595351"/>
    <w:rsid w:val="005954CD"/>
    <w:rsid w:val="0059553B"/>
    <w:rsid w:val="005961CD"/>
    <w:rsid w:val="00596DB6"/>
    <w:rsid w:val="0059786C"/>
    <w:rsid w:val="005A09F3"/>
    <w:rsid w:val="005A3898"/>
    <w:rsid w:val="005A57ED"/>
    <w:rsid w:val="005A7198"/>
    <w:rsid w:val="005B06D1"/>
    <w:rsid w:val="005B1D0E"/>
    <w:rsid w:val="005B3A96"/>
    <w:rsid w:val="005B4D4A"/>
    <w:rsid w:val="005B5A3E"/>
    <w:rsid w:val="005B5AB4"/>
    <w:rsid w:val="005B6BF3"/>
    <w:rsid w:val="005C0F16"/>
    <w:rsid w:val="005C1538"/>
    <w:rsid w:val="005C232B"/>
    <w:rsid w:val="005C4B66"/>
    <w:rsid w:val="005C4EBC"/>
    <w:rsid w:val="005C7EE8"/>
    <w:rsid w:val="005D0128"/>
    <w:rsid w:val="005D5438"/>
    <w:rsid w:val="005D61D0"/>
    <w:rsid w:val="005D6DBF"/>
    <w:rsid w:val="005D7595"/>
    <w:rsid w:val="005E0AA0"/>
    <w:rsid w:val="005E0EDB"/>
    <w:rsid w:val="005E42BB"/>
    <w:rsid w:val="005E43B6"/>
    <w:rsid w:val="005E50C5"/>
    <w:rsid w:val="005E537F"/>
    <w:rsid w:val="005E6176"/>
    <w:rsid w:val="005E716E"/>
    <w:rsid w:val="005E71A4"/>
    <w:rsid w:val="005F0300"/>
    <w:rsid w:val="005F0D6D"/>
    <w:rsid w:val="005F0DF1"/>
    <w:rsid w:val="005F1D49"/>
    <w:rsid w:val="005F1E5C"/>
    <w:rsid w:val="005F31F5"/>
    <w:rsid w:val="005F7D0E"/>
    <w:rsid w:val="00601DE0"/>
    <w:rsid w:val="006042F2"/>
    <w:rsid w:val="00604F2A"/>
    <w:rsid w:val="006128F9"/>
    <w:rsid w:val="00612E61"/>
    <w:rsid w:val="00613657"/>
    <w:rsid w:val="00615550"/>
    <w:rsid w:val="006205A3"/>
    <w:rsid w:val="00622230"/>
    <w:rsid w:val="0062378F"/>
    <w:rsid w:val="00624BAC"/>
    <w:rsid w:val="00624F9D"/>
    <w:rsid w:val="00627E90"/>
    <w:rsid w:val="006308E6"/>
    <w:rsid w:val="00633209"/>
    <w:rsid w:val="00633FD7"/>
    <w:rsid w:val="006352B0"/>
    <w:rsid w:val="00641DF2"/>
    <w:rsid w:val="00642BAE"/>
    <w:rsid w:val="00642C90"/>
    <w:rsid w:val="00642CF5"/>
    <w:rsid w:val="0064624E"/>
    <w:rsid w:val="00646E71"/>
    <w:rsid w:val="00647959"/>
    <w:rsid w:val="0065242F"/>
    <w:rsid w:val="00656AE0"/>
    <w:rsid w:val="0065743C"/>
    <w:rsid w:val="0065771B"/>
    <w:rsid w:val="0066008F"/>
    <w:rsid w:val="00661B19"/>
    <w:rsid w:val="00662579"/>
    <w:rsid w:val="00664147"/>
    <w:rsid w:val="00665326"/>
    <w:rsid w:val="00666B34"/>
    <w:rsid w:val="00667CD2"/>
    <w:rsid w:val="00671529"/>
    <w:rsid w:val="00672BB0"/>
    <w:rsid w:val="00672C6C"/>
    <w:rsid w:val="00673C2C"/>
    <w:rsid w:val="00676E03"/>
    <w:rsid w:val="0067765C"/>
    <w:rsid w:val="00680AFA"/>
    <w:rsid w:val="00680C10"/>
    <w:rsid w:val="00680F68"/>
    <w:rsid w:val="00681468"/>
    <w:rsid w:val="00682765"/>
    <w:rsid w:val="006832C3"/>
    <w:rsid w:val="006849B5"/>
    <w:rsid w:val="00685420"/>
    <w:rsid w:val="006854BD"/>
    <w:rsid w:val="0068689A"/>
    <w:rsid w:val="006873FB"/>
    <w:rsid w:val="006901EF"/>
    <w:rsid w:val="00691446"/>
    <w:rsid w:val="0069188F"/>
    <w:rsid w:val="00694C17"/>
    <w:rsid w:val="00697917"/>
    <w:rsid w:val="00697F20"/>
    <w:rsid w:val="006A1195"/>
    <w:rsid w:val="006A184F"/>
    <w:rsid w:val="006A2CE8"/>
    <w:rsid w:val="006A4766"/>
    <w:rsid w:val="006A4C49"/>
    <w:rsid w:val="006A5127"/>
    <w:rsid w:val="006B1A40"/>
    <w:rsid w:val="006B33EA"/>
    <w:rsid w:val="006B61C7"/>
    <w:rsid w:val="006B7367"/>
    <w:rsid w:val="006C0CC5"/>
    <w:rsid w:val="006C102C"/>
    <w:rsid w:val="006C14B7"/>
    <w:rsid w:val="006C38F8"/>
    <w:rsid w:val="006C3B49"/>
    <w:rsid w:val="006C4B30"/>
    <w:rsid w:val="006D2212"/>
    <w:rsid w:val="006D3F29"/>
    <w:rsid w:val="006D459D"/>
    <w:rsid w:val="006D4D92"/>
    <w:rsid w:val="006D7672"/>
    <w:rsid w:val="006D7B93"/>
    <w:rsid w:val="006E1B89"/>
    <w:rsid w:val="006E224A"/>
    <w:rsid w:val="006E3414"/>
    <w:rsid w:val="006E3B95"/>
    <w:rsid w:val="006E746E"/>
    <w:rsid w:val="006E7CE1"/>
    <w:rsid w:val="006F3E70"/>
    <w:rsid w:val="006F42D1"/>
    <w:rsid w:val="006F48FB"/>
    <w:rsid w:val="006F5F10"/>
    <w:rsid w:val="006F71E3"/>
    <w:rsid w:val="006F75CB"/>
    <w:rsid w:val="006F7747"/>
    <w:rsid w:val="007008A9"/>
    <w:rsid w:val="007017F9"/>
    <w:rsid w:val="00701B84"/>
    <w:rsid w:val="007024D6"/>
    <w:rsid w:val="007029F0"/>
    <w:rsid w:val="00702BC1"/>
    <w:rsid w:val="0070489D"/>
    <w:rsid w:val="00704AA1"/>
    <w:rsid w:val="00704E77"/>
    <w:rsid w:val="007060F7"/>
    <w:rsid w:val="007115A8"/>
    <w:rsid w:val="00711E97"/>
    <w:rsid w:val="00715C39"/>
    <w:rsid w:val="00724107"/>
    <w:rsid w:val="0072450D"/>
    <w:rsid w:val="00724DDC"/>
    <w:rsid w:val="007261DF"/>
    <w:rsid w:val="007267CF"/>
    <w:rsid w:val="007268F9"/>
    <w:rsid w:val="00727B0A"/>
    <w:rsid w:val="007313D2"/>
    <w:rsid w:val="00731A87"/>
    <w:rsid w:val="00732692"/>
    <w:rsid w:val="00733498"/>
    <w:rsid w:val="00733625"/>
    <w:rsid w:val="00733FB6"/>
    <w:rsid w:val="00735CD6"/>
    <w:rsid w:val="00736FB1"/>
    <w:rsid w:val="007379CA"/>
    <w:rsid w:val="00740C2A"/>
    <w:rsid w:val="007410E0"/>
    <w:rsid w:val="007428AC"/>
    <w:rsid w:val="00742CB9"/>
    <w:rsid w:val="00742DBD"/>
    <w:rsid w:val="00744082"/>
    <w:rsid w:val="00745738"/>
    <w:rsid w:val="00745C90"/>
    <w:rsid w:val="00746B84"/>
    <w:rsid w:val="00747135"/>
    <w:rsid w:val="00747A80"/>
    <w:rsid w:val="00747FBE"/>
    <w:rsid w:val="007529A2"/>
    <w:rsid w:val="00753004"/>
    <w:rsid w:val="00753529"/>
    <w:rsid w:val="00754A1C"/>
    <w:rsid w:val="00754B93"/>
    <w:rsid w:val="007550AF"/>
    <w:rsid w:val="00756206"/>
    <w:rsid w:val="007575B6"/>
    <w:rsid w:val="00757986"/>
    <w:rsid w:val="007600E7"/>
    <w:rsid w:val="00760292"/>
    <w:rsid w:val="00760A35"/>
    <w:rsid w:val="00761525"/>
    <w:rsid w:val="00765369"/>
    <w:rsid w:val="007657B8"/>
    <w:rsid w:val="00765A66"/>
    <w:rsid w:val="00765F03"/>
    <w:rsid w:val="00767218"/>
    <w:rsid w:val="00770337"/>
    <w:rsid w:val="00770865"/>
    <w:rsid w:val="00771291"/>
    <w:rsid w:val="007757E2"/>
    <w:rsid w:val="00776DFA"/>
    <w:rsid w:val="0077740F"/>
    <w:rsid w:val="0078159D"/>
    <w:rsid w:val="00781B79"/>
    <w:rsid w:val="007828B4"/>
    <w:rsid w:val="00782C6E"/>
    <w:rsid w:val="00790153"/>
    <w:rsid w:val="007905D1"/>
    <w:rsid w:val="007916CE"/>
    <w:rsid w:val="00794BEB"/>
    <w:rsid w:val="00796001"/>
    <w:rsid w:val="00796997"/>
    <w:rsid w:val="00796C13"/>
    <w:rsid w:val="007A02BC"/>
    <w:rsid w:val="007A1B3B"/>
    <w:rsid w:val="007A3897"/>
    <w:rsid w:val="007A4285"/>
    <w:rsid w:val="007A57FF"/>
    <w:rsid w:val="007A62DD"/>
    <w:rsid w:val="007A6C20"/>
    <w:rsid w:val="007A73D3"/>
    <w:rsid w:val="007A751C"/>
    <w:rsid w:val="007B032D"/>
    <w:rsid w:val="007B05BD"/>
    <w:rsid w:val="007B52B2"/>
    <w:rsid w:val="007B54C6"/>
    <w:rsid w:val="007B59B4"/>
    <w:rsid w:val="007B6439"/>
    <w:rsid w:val="007B727E"/>
    <w:rsid w:val="007B7A79"/>
    <w:rsid w:val="007C0F27"/>
    <w:rsid w:val="007C14AA"/>
    <w:rsid w:val="007C24AB"/>
    <w:rsid w:val="007C332A"/>
    <w:rsid w:val="007C3BF3"/>
    <w:rsid w:val="007C44EA"/>
    <w:rsid w:val="007C5268"/>
    <w:rsid w:val="007C52B0"/>
    <w:rsid w:val="007C5D60"/>
    <w:rsid w:val="007C79BC"/>
    <w:rsid w:val="007D0E86"/>
    <w:rsid w:val="007D1839"/>
    <w:rsid w:val="007D2E43"/>
    <w:rsid w:val="007D4407"/>
    <w:rsid w:val="007D69BE"/>
    <w:rsid w:val="007D6CBB"/>
    <w:rsid w:val="007D794C"/>
    <w:rsid w:val="007D7E66"/>
    <w:rsid w:val="007E0F7E"/>
    <w:rsid w:val="007E1C10"/>
    <w:rsid w:val="007E2488"/>
    <w:rsid w:val="007E4186"/>
    <w:rsid w:val="007E47F6"/>
    <w:rsid w:val="007E488A"/>
    <w:rsid w:val="007E4CA5"/>
    <w:rsid w:val="007E54B8"/>
    <w:rsid w:val="007E6566"/>
    <w:rsid w:val="007E7D2D"/>
    <w:rsid w:val="007F3B17"/>
    <w:rsid w:val="007F4E8E"/>
    <w:rsid w:val="007F581A"/>
    <w:rsid w:val="007F761F"/>
    <w:rsid w:val="008024CC"/>
    <w:rsid w:val="00802794"/>
    <w:rsid w:val="00802CEB"/>
    <w:rsid w:val="008032F8"/>
    <w:rsid w:val="00806D68"/>
    <w:rsid w:val="0080709D"/>
    <w:rsid w:val="00813653"/>
    <w:rsid w:val="008166EE"/>
    <w:rsid w:val="0081727C"/>
    <w:rsid w:val="008175B1"/>
    <w:rsid w:val="00817694"/>
    <w:rsid w:val="00817B56"/>
    <w:rsid w:val="008213B5"/>
    <w:rsid w:val="008253B4"/>
    <w:rsid w:val="00825C7B"/>
    <w:rsid w:val="00825CC0"/>
    <w:rsid w:val="00827A61"/>
    <w:rsid w:val="0083276A"/>
    <w:rsid w:val="00832C1F"/>
    <w:rsid w:val="00834028"/>
    <w:rsid w:val="00834DC2"/>
    <w:rsid w:val="00835859"/>
    <w:rsid w:val="00840DC4"/>
    <w:rsid w:val="008420D7"/>
    <w:rsid w:val="008427A0"/>
    <w:rsid w:val="00842B4B"/>
    <w:rsid w:val="00843864"/>
    <w:rsid w:val="00843B28"/>
    <w:rsid w:val="00844E57"/>
    <w:rsid w:val="008461C1"/>
    <w:rsid w:val="008468C5"/>
    <w:rsid w:val="00847C54"/>
    <w:rsid w:val="00853C9B"/>
    <w:rsid w:val="0085633A"/>
    <w:rsid w:val="00857C96"/>
    <w:rsid w:val="008605AC"/>
    <w:rsid w:val="00860D34"/>
    <w:rsid w:val="0086210D"/>
    <w:rsid w:val="00862164"/>
    <w:rsid w:val="008623EB"/>
    <w:rsid w:val="00863080"/>
    <w:rsid w:val="008647A1"/>
    <w:rsid w:val="00864BD7"/>
    <w:rsid w:val="008708BA"/>
    <w:rsid w:val="0087133A"/>
    <w:rsid w:val="00871ADE"/>
    <w:rsid w:val="00871C9A"/>
    <w:rsid w:val="00875A9B"/>
    <w:rsid w:val="0087626C"/>
    <w:rsid w:val="0087793C"/>
    <w:rsid w:val="008779AA"/>
    <w:rsid w:val="00880021"/>
    <w:rsid w:val="0088034F"/>
    <w:rsid w:val="008804E1"/>
    <w:rsid w:val="0088080F"/>
    <w:rsid w:val="00881A03"/>
    <w:rsid w:val="00883D3B"/>
    <w:rsid w:val="008855C2"/>
    <w:rsid w:val="00885E50"/>
    <w:rsid w:val="0088660D"/>
    <w:rsid w:val="0088676B"/>
    <w:rsid w:val="00887B90"/>
    <w:rsid w:val="00892FD1"/>
    <w:rsid w:val="008931E3"/>
    <w:rsid w:val="008949C2"/>
    <w:rsid w:val="00895063"/>
    <w:rsid w:val="00897159"/>
    <w:rsid w:val="00897531"/>
    <w:rsid w:val="008A044E"/>
    <w:rsid w:val="008A0B5E"/>
    <w:rsid w:val="008A1A3D"/>
    <w:rsid w:val="008A3254"/>
    <w:rsid w:val="008A37B2"/>
    <w:rsid w:val="008A4C4D"/>
    <w:rsid w:val="008A57F1"/>
    <w:rsid w:val="008A7DAA"/>
    <w:rsid w:val="008B1B4C"/>
    <w:rsid w:val="008B37AA"/>
    <w:rsid w:val="008B4FC4"/>
    <w:rsid w:val="008B509B"/>
    <w:rsid w:val="008B62C3"/>
    <w:rsid w:val="008B6C4D"/>
    <w:rsid w:val="008B6CCB"/>
    <w:rsid w:val="008C0073"/>
    <w:rsid w:val="008C20F7"/>
    <w:rsid w:val="008C2B04"/>
    <w:rsid w:val="008C5674"/>
    <w:rsid w:val="008C62A9"/>
    <w:rsid w:val="008C73C1"/>
    <w:rsid w:val="008C740B"/>
    <w:rsid w:val="008C7D5E"/>
    <w:rsid w:val="008D1A0F"/>
    <w:rsid w:val="008D351D"/>
    <w:rsid w:val="008D3B3A"/>
    <w:rsid w:val="008D48D7"/>
    <w:rsid w:val="008D4D2A"/>
    <w:rsid w:val="008D5472"/>
    <w:rsid w:val="008D7944"/>
    <w:rsid w:val="008E1926"/>
    <w:rsid w:val="008E2BF1"/>
    <w:rsid w:val="008E43DA"/>
    <w:rsid w:val="008E65CF"/>
    <w:rsid w:val="008E6E8F"/>
    <w:rsid w:val="008E6F6D"/>
    <w:rsid w:val="008F0B6D"/>
    <w:rsid w:val="008F43D5"/>
    <w:rsid w:val="008F4ABA"/>
    <w:rsid w:val="008F4E9E"/>
    <w:rsid w:val="008F653A"/>
    <w:rsid w:val="008F6B9B"/>
    <w:rsid w:val="00900335"/>
    <w:rsid w:val="00900E02"/>
    <w:rsid w:val="00901442"/>
    <w:rsid w:val="00903408"/>
    <w:rsid w:val="0090484A"/>
    <w:rsid w:val="0090516D"/>
    <w:rsid w:val="00907478"/>
    <w:rsid w:val="009078BA"/>
    <w:rsid w:val="009119C6"/>
    <w:rsid w:val="00912164"/>
    <w:rsid w:val="00915411"/>
    <w:rsid w:val="00917C17"/>
    <w:rsid w:val="00922284"/>
    <w:rsid w:val="00922BF0"/>
    <w:rsid w:val="00924F7B"/>
    <w:rsid w:val="00924FD2"/>
    <w:rsid w:val="00925A9A"/>
    <w:rsid w:val="00926165"/>
    <w:rsid w:val="00926D2D"/>
    <w:rsid w:val="009278F2"/>
    <w:rsid w:val="00927CEA"/>
    <w:rsid w:val="00930F4C"/>
    <w:rsid w:val="00933827"/>
    <w:rsid w:val="009338C3"/>
    <w:rsid w:val="00933EB6"/>
    <w:rsid w:val="00937266"/>
    <w:rsid w:val="009404A4"/>
    <w:rsid w:val="00940FED"/>
    <w:rsid w:val="009411B4"/>
    <w:rsid w:val="00941BFF"/>
    <w:rsid w:val="009436DB"/>
    <w:rsid w:val="009439C2"/>
    <w:rsid w:val="00943CF6"/>
    <w:rsid w:val="00944893"/>
    <w:rsid w:val="0094737F"/>
    <w:rsid w:val="00947852"/>
    <w:rsid w:val="009518E7"/>
    <w:rsid w:val="00951F86"/>
    <w:rsid w:val="0095371D"/>
    <w:rsid w:val="00953778"/>
    <w:rsid w:val="00955F46"/>
    <w:rsid w:val="00956A68"/>
    <w:rsid w:val="00957852"/>
    <w:rsid w:val="00960E72"/>
    <w:rsid w:val="009613FF"/>
    <w:rsid w:val="00967149"/>
    <w:rsid w:val="00967653"/>
    <w:rsid w:val="00972566"/>
    <w:rsid w:val="00976C8D"/>
    <w:rsid w:val="00977320"/>
    <w:rsid w:val="00980DD8"/>
    <w:rsid w:val="00981D4A"/>
    <w:rsid w:val="00984821"/>
    <w:rsid w:val="00984A24"/>
    <w:rsid w:val="009857C3"/>
    <w:rsid w:val="00990877"/>
    <w:rsid w:val="00991EEC"/>
    <w:rsid w:val="009932D2"/>
    <w:rsid w:val="009954EB"/>
    <w:rsid w:val="00995708"/>
    <w:rsid w:val="00996401"/>
    <w:rsid w:val="0099697D"/>
    <w:rsid w:val="009A05A9"/>
    <w:rsid w:val="009A322B"/>
    <w:rsid w:val="009A3703"/>
    <w:rsid w:val="009A51E9"/>
    <w:rsid w:val="009A6476"/>
    <w:rsid w:val="009B003D"/>
    <w:rsid w:val="009B12D4"/>
    <w:rsid w:val="009B33DD"/>
    <w:rsid w:val="009B43A2"/>
    <w:rsid w:val="009B4845"/>
    <w:rsid w:val="009B5DE1"/>
    <w:rsid w:val="009B66C7"/>
    <w:rsid w:val="009B74D2"/>
    <w:rsid w:val="009C4391"/>
    <w:rsid w:val="009C557D"/>
    <w:rsid w:val="009C582B"/>
    <w:rsid w:val="009C596E"/>
    <w:rsid w:val="009C695F"/>
    <w:rsid w:val="009D0139"/>
    <w:rsid w:val="009D08DE"/>
    <w:rsid w:val="009D1A5F"/>
    <w:rsid w:val="009D3CDA"/>
    <w:rsid w:val="009D3DE7"/>
    <w:rsid w:val="009D4782"/>
    <w:rsid w:val="009D4DDC"/>
    <w:rsid w:val="009D5C3B"/>
    <w:rsid w:val="009D717D"/>
    <w:rsid w:val="009E05C5"/>
    <w:rsid w:val="009E12E4"/>
    <w:rsid w:val="009E1BE3"/>
    <w:rsid w:val="009E22A1"/>
    <w:rsid w:val="009E3088"/>
    <w:rsid w:val="009E3530"/>
    <w:rsid w:val="009E499E"/>
    <w:rsid w:val="009E4C93"/>
    <w:rsid w:val="009E4E06"/>
    <w:rsid w:val="009E58EE"/>
    <w:rsid w:val="009E65E9"/>
    <w:rsid w:val="009F1E4D"/>
    <w:rsid w:val="009F28A5"/>
    <w:rsid w:val="009F2BC6"/>
    <w:rsid w:val="009F44F7"/>
    <w:rsid w:val="009F52A2"/>
    <w:rsid w:val="009F5CDC"/>
    <w:rsid w:val="00A002C9"/>
    <w:rsid w:val="00A008DD"/>
    <w:rsid w:val="00A00C13"/>
    <w:rsid w:val="00A01FB7"/>
    <w:rsid w:val="00A02F50"/>
    <w:rsid w:val="00A0342B"/>
    <w:rsid w:val="00A03C2F"/>
    <w:rsid w:val="00A03CC0"/>
    <w:rsid w:val="00A03FA7"/>
    <w:rsid w:val="00A04333"/>
    <w:rsid w:val="00A067F4"/>
    <w:rsid w:val="00A07054"/>
    <w:rsid w:val="00A110D0"/>
    <w:rsid w:val="00A135F8"/>
    <w:rsid w:val="00A16040"/>
    <w:rsid w:val="00A17A2D"/>
    <w:rsid w:val="00A206D0"/>
    <w:rsid w:val="00A21923"/>
    <w:rsid w:val="00A22829"/>
    <w:rsid w:val="00A247A6"/>
    <w:rsid w:val="00A24BD6"/>
    <w:rsid w:val="00A3113C"/>
    <w:rsid w:val="00A31146"/>
    <w:rsid w:val="00A36547"/>
    <w:rsid w:val="00A37124"/>
    <w:rsid w:val="00A37137"/>
    <w:rsid w:val="00A40A1F"/>
    <w:rsid w:val="00A40B88"/>
    <w:rsid w:val="00A41A07"/>
    <w:rsid w:val="00A46468"/>
    <w:rsid w:val="00A471B6"/>
    <w:rsid w:val="00A509FE"/>
    <w:rsid w:val="00A52306"/>
    <w:rsid w:val="00A530BD"/>
    <w:rsid w:val="00A552B1"/>
    <w:rsid w:val="00A5575F"/>
    <w:rsid w:val="00A56850"/>
    <w:rsid w:val="00A56D53"/>
    <w:rsid w:val="00A571DE"/>
    <w:rsid w:val="00A601DB"/>
    <w:rsid w:val="00A63392"/>
    <w:rsid w:val="00A6457E"/>
    <w:rsid w:val="00A64E74"/>
    <w:rsid w:val="00A6657D"/>
    <w:rsid w:val="00A671CB"/>
    <w:rsid w:val="00A71701"/>
    <w:rsid w:val="00A73887"/>
    <w:rsid w:val="00A76146"/>
    <w:rsid w:val="00A775CF"/>
    <w:rsid w:val="00A81D19"/>
    <w:rsid w:val="00A8261F"/>
    <w:rsid w:val="00A82DC6"/>
    <w:rsid w:val="00A8525C"/>
    <w:rsid w:val="00A85386"/>
    <w:rsid w:val="00A90D89"/>
    <w:rsid w:val="00A915E2"/>
    <w:rsid w:val="00A91E7D"/>
    <w:rsid w:val="00A92CA3"/>
    <w:rsid w:val="00A932B5"/>
    <w:rsid w:val="00A933E2"/>
    <w:rsid w:val="00A93C3E"/>
    <w:rsid w:val="00A9410A"/>
    <w:rsid w:val="00A95CCA"/>
    <w:rsid w:val="00A95E46"/>
    <w:rsid w:val="00AA3DA3"/>
    <w:rsid w:val="00AA5B63"/>
    <w:rsid w:val="00AA5C9A"/>
    <w:rsid w:val="00AA6688"/>
    <w:rsid w:val="00AA7C7E"/>
    <w:rsid w:val="00AB0378"/>
    <w:rsid w:val="00AB1770"/>
    <w:rsid w:val="00AB24F9"/>
    <w:rsid w:val="00AB365C"/>
    <w:rsid w:val="00AB5AB8"/>
    <w:rsid w:val="00AB6D2F"/>
    <w:rsid w:val="00AB6DB7"/>
    <w:rsid w:val="00AC0EDB"/>
    <w:rsid w:val="00AC2526"/>
    <w:rsid w:val="00AC33D8"/>
    <w:rsid w:val="00AC4926"/>
    <w:rsid w:val="00AC59BC"/>
    <w:rsid w:val="00AC70F1"/>
    <w:rsid w:val="00AD0917"/>
    <w:rsid w:val="00AD48C2"/>
    <w:rsid w:val="00AD6674"/>
    <w:rsid w:val="00AD6AE9"/>
    <w:rsid w:val="00AD77F5"/>
    <w:rsid w:val="00AD7D00"/>
    <w:rsid w:val="00AE1416"/>
    <w:rsid w:val="00AE1A0D"/>
    <w:rsid w:val="00AE5C76"/>
    <w:rsid w:val="00AE5CC3"/>
    <w:rsid w:val="00AE7205"/>
    <w:rsid w:val="00AF14EA"/>
    <w:rsid w:val="00AF3217"/>
    <w:rsid w:val="00AF4876"/>
    <w:rsid w:val="00AF686D"/>
    <w:rsid w:val="00AF7B75"/>
    <w:rsid w:val="00AF7C64"/>
    <w:rsid w:val="00B00081"/>
    <w:rsid w:val="00B01C26"/>
    <w:rsid w:val="00B01C72"/>
    <w:rsid w:val="00B03439"/>
    <w:rsid w:val="00B04C84"/>
    <w:rsid w:val="00B05667"/>
    <w:rsid w:val="00B06045"/>
    <w:rsid w:val="00B06856"/>
    <w:rsid w:val="00B06AC6"/>
    <w:rsid w:val="00B134C9"/>
    <w:rsid w:val="00B144BB"/>
    <w:rsid w:val="00B14B5F"/>
    <w:rsid w:val="00B15DB1"/>
    <w:rsid w:val="00B170BC"/>
    <w:rsid w:val="00B24014"/>
    <w:rsid w:val="00B245D5"/>
    <w:rsid w:val="00B268BF"/>
    <w:rsid w:val="00B272C2"/>
    <w:rsid w:val="00B272FD"/>
    <w:rsid w:val="00B30249"/>
    <w:rsid w:val="00B317D8"/>
    <w:rsid w:val="00B327BF"/>
    <w:rsid w:val="00B33628"/>
    <w:rsid w:val="00B3388A"/>
    <w:rsid w:val="00B35B9D"/>
    <w:rsid w:val="00B3656D"/>
    <w:rsid w:val="00B36CA7"/>
    <w:rsid w:val="00B40D2D"/>
    <w:rsid w:val="00B41925"/>
    <w:rsid w:val="00B45921"/>
    <w:rsid w:val="00B45EE4"/>
    <w:rsid w:val="00B473C5"/>
    <w:rsid w:val="00B503BF"/>
    <w:rsid w:val="00B525B9"/>
    <w:rsid w:val="00B52EF4"/>
    <w:rsid w:val="00B5417A"/>
    <w:rsid w:val="00B54662"/>
    <w:rsid w:val="00B5497A"/>
    <w:rsid w:val="00B56591"/>
    <w:rsid w:val="00B5711A"/>
    <w:rsid w:val="00B571CC"/>
    <w:rsid w:val="00B57373"/>
    <w:rsid w:val="00B60FA2"/>
    <w:rsid w:val="00B61102"/>
    <w:rsid w:val="00B63014"/>
    <w:rsid w:val="00B64AB5"/>
    <w:rsid w:val="00B65DE1"/>
    <w:rsid w:val="00B702BB"/>
    <w:rsid w:val="00B7074C"/>
    <w:rsid w:val="00B719CA"/>
    <w:rsid w:val="00B71AA3"/>
    <w:rsid w:val="00B75076"/>
    <w:rsid w:val="00B75CBC"/>
    <w:rsid w:val="00B7746A"/>
    <w:rsid w:val="00B77814"/>
    <w:rsid w:val="00B81F20"/>
    <w:rsid w:val="00B821EE"/>
    <w:rsid w:val="00B83071"/>
    <w:rsid w:val="00B84175"/>
    <w:rsid w:val="00B845BA"/>
    <w:rsid w:val="00B8534A"/>
    <w:rsid w:val="00B859D0"/>
    <w:rsid w:val="00B85E1F"/>
    <w:rsid w:val="00B87920"/>
    <w:rsid w:val="00B920C2"/>
    <w:rsid w:val="00B92A38"/>
    <w:rsid w:val="00B971CB"/>
    <w:rsid w:val="00BA05C4"/>
    <w:rsid w:val="00BA1E54"/>
    <w:rsid w:val="00BA21FF"/>
    <w:rsid w:val="00BA3586"/>
    <w:rsid w:val="00BA43F8"/>
    <w:rsid w:val="00BA4DAA"/>
    <w:rsid w:val="00BA4F06"/>
    <w:rsid w:val="00BA55EA"/>
    <w:rsid w:val="00BA7D9B"/>
    <w:rsid w:val="00BB10DA"/>
    <w:rsid w:val="00BB12C5"/>
    <w:rsid w:val="00BB4321"/>
    <w:rsid w:val="00BB49BA"/>
    <w:rsid w:val="00BB5335"/>
    <w:rsid w:val="00BB5EA2"/>
    <w:rsid w:val="00BB60C0"/>
    <w:rsid w:val="00BB6CD5"/>
    <w:rsid w:val="00BB7FCA"/>
    <w:rsid w:val="00BC0032"/>
    <w:rsid w:val="00BC11BB"/>
    <w:rsid w:val="00BC1BAC"/>
    <w:rsid w:val="00BC2C24"/>
    <w:rsid w:val="00BC3340"/>
    <w:rsid w:val="00BC3574"/>
    <w:rsid w:val="00BC4231"/>
    <w:rsid w:val="00BC5264"/>
    <w:rsid w:val="00BC5C2C"/>
    <w:rsid w:val="00BC738D"/>
    <w:rsid w:val="00BD0DC2"/>
    <w:rsid w:val="00BD2205"/>
    <w:rsid w:val="00BD44A3"/>
    <w:rsid w:val="00BD4EF3"/>
    <w:rsid w:val="00BD5C81"/>
    <w:rsid w:val="00BD6B56"/>
    <w:rsid w:val="00BE37D0"/>
    <w:rsid w:val="00BE4A33"/>
    <w:rsid w:val="00BE4FD1"/>
    <w:rsid w:val="00BE586B"/>
    <w:rsid w:val="00BE5E84"/>
    <w:rsid w:val="00BF0321"/>
    <w:rsid w:val="00BF11C1"/>
    <w:rsid w:val="00BF19B9"/>
    <w:rsid w:val="00BF4BEB"/>
    <w:rsid w:val="00BF5932"/>
    <w:rsid w:val="00BF75C9"/>
    <w:rsid w:val="00C0127B"/>
    <w:rsid w:val="00C013AE"/>
    <w:rsid w:val="00C02AB1"/>
    <w:rsid w:val="00C03015"/>
    <w:rsid w:val="00C0358D"/>
    <w:rsid w:val="00C03C42"/>
    <w:rsid w:val="00C046DB"/>
    <w:rsid w:val="00C05371"/>
    <w:rsid w:val="00C103B2"/>
    <w:rsid w:val="00C138AD"/>
    <w:rsid w:val="00C14296"/>
    <w:rsid w:val="00C1481E"/>
    <w:rsid w:val="00C149FD"/>
    <w:rsid w:val="00C16D6E"/>
    <w:rsid w:val="00C17E87"/>
    <w:rsid w:val="00C200E8"/>
    <w:rsid w:val="00C20C05"/>
    <w:rsid w:val="00C22437"/>
    <w:rsid w:val="00C23027"/>
    <w:rsid w:val="00C23C7F"/>
    <w:rsid w:val="00C33900"/>
    <w:rsid w:val="00C35A27"/>
    <w:rsid w:val="00C36B7D"/>
    <w:rsid w:val="00C372A1"/>
    <w:rsid w:val="00C41E8B"/>
    <w:rsid w:val="00C430F3"/>
    <w:rsid w:val="00C43307"/>
    <w:rsid w:val="00C435E6"/>
    <w:rsid w:val="00C43F92"/>
    <w:rsid w:val="00C456B3"/>
    <w:rsid w:val="00C45739"/>
    <w:rsid w:val="00C46F98"/>
    <w:rsid w:val="00C47B2E"/>
    <w:rsid w:val="00C52DA3"/>
    <w:rsid w:val="00C531CF"/>
    <w:rsid w:val="00C5451F"/>
    <w:rsid w:val="00C54CC5"/>
    <w:rsid w:val="00C54F26"/>
    <w:rsid w:val="00C55C0A"/>
    <w:rsid w:val="00C62DB0"/>
    <w:rsid w:val="00C649AB"/>
    <w:rsid w:val="00C6517C"/>
    <w:rsid w:val="00C70ED5"/>
    <w:rsid w:val="00C72F0F"/>
    <w:rsid w:val="00C73A09"/>
    <w:rsid w:val="00C73DCC"/>
    <w:rsid w:val="00C74A47"/>
    <w:rsid w:val="00C76BD0"/>
    <w:rsid w:val="00C8064A"/>
    <w:rsid w:val="00C8111A"/>
    <w:rsid w:val="00C82210"/>
    <w:rsid w:val="00C83FB5"/>
    <w:rsid w:val="00C85F65"/>
    <w:rsid w:val="00C86350"/>
    <w:rsid w:val="00C87139"/>
    <w:rsid w:val="00C87A25"/>
    <w:rsid w:val="00C92886"/>
    <w:rsid w:val="00C9566F"/>
    <w:rsid w:val="00C95FB8"/>
    <w:rsid w:val="00C95FD6"/>
    <w:rsid w:val="00CA3C9F"/>
    <w:rsid w:val="00CA491F"/>
    <w:rsid w:val="00CA4A77"/>
    <w:rsid w:val="00CA4C03"/>
    <w:rsid w:val="00CA7728"/>
    <w:rsid w:val="00CA7D5C"/>
    <w:rsid w:val="00CB1827"/>
    <w:rsid w:val="00CB6BA7"/>
    <w:rsid w:val="00CB76C0"/>
    <w:rsid w:val="00CC0C6E"/>
    <w:rsid w:val="00CC0F05"/>
    <w:rsid w:val="00CC4BEA"/>
    <w:rsid w:val="00CC64D8"/>
    <w:rsid w:val="00CC7612"/>
    <w:rsid w:val="00CD0022"/>
    <w:rsid w:val="00CD185B"/>
    <w:rsid w:val="00CD4773"/>
    <w:rsid w:val="00CD5DA7"/>
    <w:rsid w:val="00CD60A6"/>
    <w:rsid w:val="00CD7D62"/>
    <w:rsid w:val="00CE2980"/>
    <w:rsid w:val="00CE410B"/>
    <w:rsid w:val="00CE6423"/>
    <w:rsid w:val="00CE6E6B"/>
    <w:rsid w:val="00CE7150"/>
    <w:rsid w:val="00CF0C15"/>
    <w:rsid w:val="00CF13D5"/>
    <w:rsid w:val="00CF33F5"/>
    <w:rsid w:val="00CF48D1"/>
    <w:rsid w:val="00CF617F"/>
    <w:rsid w:val="00CF66C0"/>
    <w:rsid w:val="00D05A59"/>
    <w:rsid w:val="00D07CA7"/>
    <w:rsid w:val="00D1007B"/>
    <w:rsid w:val="00D12650"/>
    <w:rsid w:val="00D12A9C"/>
    <w:rsid w:val="00D12BB2"/>
    <w:rsid w:val="00D12D0A"/>
    <w:rsid w:val="00D13934"/>
    <w:rsid w:val="00D15A65"/>
    <w:rsid w:val="00D17083"/>
    <w:rsid w:val="00D1795D"/>
    <w:rsid w:val="00D17D27"/>
    <w:rsid w:val="00D244DA"/>
    <w:rsid w:val="00D25C25"/>
    <w:rsid w:val="00D2661D"/>
    <w:rsid w:val="00D277C8"/>
    <w:rsid w:val="00D27B8C"/>
    <w:rsid w:val="00D3057B"/>
    <w:rsid w:val="00D30790"/>
    <w:rsid w:val="00D31E26"/>
    <w:rsid w:val="00D33A2D"/>
    <w:rsid w:val="00D33AA6"/>
    <w:rsid w:val="00D342E5"/>
    <w:rsid w:val="00D368AA"/>
    <w:rsid w:val="00D40B6A"/>
    <w:rsid w:val="00D40F89"/>
    <w:rsid w:val="00D422E4"/>
    <w:rsid w:val="00D42EAB"/>
    <w:rsid w:val="00D46592"/>
    <w:rsid w:val="00D4690E"/>
    <w:rsid w:val="00D46F40"/>
    <w:rsid w:val="00D46F63"/>
    <w:rsid w:val="00D4732D"/>
    <w:rsid w:val="00D52421"/>
    <w:rsid w:val="00D52BA6"/>
    <w:rsid w:val="00D52D47"/>
    <w:rsid w:val="00D546EC"/>
    <w:rsid w:val="00D54B90"/>
    <w:rsid w:val="00D603AD"/>
    <w:rsid w:val="00D612D9"/>
    <w:rsid w:val="00D61A1C"/>
    <w:rsid w:val="00D62DED"/>
    <w:rsid w:val="00D63712"/>
    <w:rsid w:val="00D63DB2"/>
    <w:rsid w:val="00D65A87"/>
    <w:rsid w:val="00D65F9E"/>
    <w:rsid w:val="00D66ADA"/>
    <w:rsid w:val="00D709F2"/>
    <w:rsid w:val="00D711F3"/>
    <w:rsid w:val="00D71AB4"/>
    <w:rsid w:val="00D7372E"/>
    <w:rsid w:val="00D74A8F"/>
    <w:rsid w:val="00D755D9"/>
    <w:rsid w:val="00D77530"/>
    <w:rsid w:val="00D77D94"/>
    <w:rsid w:val="00D80D68"/>
    <w:rsid w:val="00D80E41"/>
    <w:rsid w:val="00D80FF6"/>
    <w:rsid w:val="00D81CE0"/>
    <w:rsid w:val="00D8399D"/>
    <w:rsid w:val="00D84531"/>
    <w:rsid w:val="00D84559"/>
    <w:rsid w:val="00D87BF7"/>
    <w:rsid w:val="00D87C6A"/>
    <w:rsid w:val="00D91BED"/>
    <w:rsid w:val="00D91E46"/>
    <w:rsid w:val="00D9229B"/>
    <w:rsid w:val="00D92CE6"/>
    <w:rsid w:val="00D93CBC"/>
    <w:rsid w:val="00D9427B"/>
    <w:rsid w:val="00D943BA"/>
    <w:rsid w:val="00D95D6C"/>
    <w:rsid w:val="00D97903"/>
    <w:rsid w:val="00DA0062"/>
    <w:rsid w:val="00DA0067"/>
    <w:rsid w:val="00DA125F"/>
    <w:rsid w:val="00DA1F11"/>
    <w:rsid w:val="00DA3642"/>
    <w:rsid w:val="00DA44A8"/>
    <w:rsid w:val="00DA4CA0"/>
    <w:rsid w:val="00DA4F4B"/>
    <w:rsid w:val="00DA4F81"/>
    <w:rsid w:val="00DA562A"/>
    <w:rsid w:val="00DA65D9"/>
    <w:rsid w:val="00DA6D70"/>
    <w:rsid w:val="00DA741D"/>
    <w:rsid w:val="00DB2332"/>
    <w:rsid w:val="00DB37A1"/>
    <w:rsid w:val="00DB4E05"/>
    <w:rsid w:val="00DB575B"/>
    <w:rsid w:val="00DB6A29"/>
    <w:rsid w:val="00DC0CA4"/>
    <w:rsid w:val="00DC18BB"/>
    <w:rsid w:val="00DC2A36"/>
    <w:rsid w:val="00DC320C"/>
    <w:rsid w:val="00DC39C0"/>
    <w:rsid w:val="00DC4328"/>
    <w:rsid w:val="00DC660A"/>
    <w:rsid w:val="00DD1477"/>
    <w:rsid w:val="00DD273B"/>
    <w:rsid w:val="00DD3271"/>
    <w:rsid w:val="00DD6993"/>
    <w:rsid w:val="00DD6E86"/>
    <w:rsid w:val="00DD7A3B"/>
    <w:rsid w:val="00DE011E"/>
    <w:rsid w:val="00DE023E"/>
    <w:rsid w:val="00DE06AD"/>
    <w:rsid w:val="00DE0F8B"/>
    <w:rsid w:val="00DE1260"/>
    <w:rsid w:val="00DE20AF"/>
    <w:rsid w:val="00DE2458"/>
    <w:rsid w:val="00DE531B"/>
    <w:rsid w:val="00DE5B1B"/>
    <w:rsid w:val="00DE667A"/>
    <w:rsid w:val="00DE679D"/>
    <w:rsid w:val="00DE72D8"/>
    <w:rsid w:val="00DF069D"/>
    <w:rsid w:val="00DF1764"/>
    <w:rsid w:val="00DF17A4"/>
    <w:rsid w:val="00DF22A9"/>
    <w:rsid w:val="00DF517D"/>
    <w:rsid w:val="00DF5D2D"/>
    <w:rsid w:val="00DF65CA"/>
    <w:rsid w:val="00DF726C"/>
    <w:rsid w:val="00E00D51"/>
    <w:rsid w:val="00E0238E"/>
    <w:rsid w:val="00E02C2B"/>
    <w:rsid w:val="00E06B9A"/>
    <w:rsid w:val="00E06D22"/>
    <w:rsid w:val="00E072E4"/>
    <w:rsid w:val="00E07BFC"/>
    <w:rsid w:val="00E07E30"/>
    <w:rsid w:val="00E104F9"/>
    <w:rsid w:val="00E10CC2"/>
    <w:rsid w:val="00E1114D"/>
    <w:rsid w:val="00E120E8"/>
    <w:rsid w:val="00E1258B"/>
    <w:rsid w:val="00E12674"/>
    <w:rsid w:val="00E13264"/>
    <w:rsid w:val="00E1344C"/>
    <w:rsid w:val="00E13A56"/>
    <w:rsid w:val="00E163D1"/>
    <w:rsid w:val="00E17FB3"/>
    <w:rsid w:val="00E20A75"/>
    <w:rsid w:val="00E20BE2"/>
    <w:rsid w:val="00E20F16"/>
    <w:rsid w:val="00E25F51"/>
    <w:rsid w:val="00E26EE8"/>
    <w:rsid w:val="00E27BAF"/>
    <w:rsid w:val="00E3057C"/>
    <w:rsid w:val="00E35E9E"/>
    <w:rsid w:val="00E36A96"/>
    <w:rsid w:val="00E3719C"/>
    <w:rsid w:val="00E3747F"/>
    <w:rsid w:val="00E40106"/>
    <w:rsid w:val="00E40462"/>
    <w:rsid w:val="00E40618"/>
    <w:rsid w:val="00E406D7"/>
    <w:rsid w:val="00E41785"/>
    <w:rsid w:val="00E41A88"/>
    <w:rsid w:val="00E43C4F"/>
    <w:rsid w:val="00E447AE"/>
    <w:rsid w:val="00E46FB6"/>
    <w:rsid w:val="00E477E2"/>
    <w:rsid w:val="00E5019A"/>
    <w:rsid w:val="00E52109"/>
    <w:rsid w:val="00E527C4"/>
    <w:rsid w:val="00E53AD7"/>
    <w:rsid w:val="00E54180"/>
    <w:rsid w:val="00E54D4C"/>
    <w:rsid w:val="00E55022"/>
    <w:rsid w:val="00E566D5"/>
    <w:rsid w:val="00E60390"/>
    <w:rsid w:val="00E60F5A"/>
    <w:rsid w:val="00E64C64"/>
    <w:rsid w:val="00E657F0"/>
    <w:rsid w:val="00E66F96"/>
    <w:rsid w:val="00E67A6B"/>
    <w:rsid w:val="00E67D3C"/>
    <w:rsid w:val="00E74923"/>
    <w:rsid w:val="00E74BCE"/>
    <w:rsid w:val="00E75317"/>
    <w:rsid w:val="00E754DE"/>
    <w:rsid w:val="00E763C6"/>
    <w:rsid w:val="00E764A6"/>
    <w:rsid w:val="00E76B8C"/>
    <w:rsid w:val="00E76BFE"/>
    <w:rsid w:val="00E81A7E"/>
    <w:rsid w:val="00E83EFF"/>
    <w:rsid w:val="00E8599C"/>
    <w:rsid w:val="00E86303"/>
    <w:rsid w:val="00E86E8B"/>
    <w:rsid w:val="00E9043D"/>
    <w:rsid w:val="00E91FD9"/>
    <w:rsid w:val="00E941FB"/>
    <w:rsid w:val="00E94212"/>
    <w:rsid w:val="00E95F66"/>
    <w:rsid w:val="00E960CB"/>
    <w:rsid w:val="00EA0B49"/>
    <w:rsid w:val="00EA127F"/>
    <w:rsid w:val="00EA3A32"/>
    <w:rsid w:val="00EB0EC1"/>
    <w:rsid w:val="00EB1197"/>
    <w:rsid w:val="00EB3122"/>
    <w:rsid w:val="00EB5CCC"/>
    <w:rsid w:val="00EB637F"/>
    <w:rsid w:val="00EB7AA3"/>
    <w:rsid w:val="00EC05EB"/>
    <w:rsid w:val="00EC079E"/>
    <w:rsid w:val="00EC0846"/>
    <w:rsid w:val="00EC3E31"/>
    <w:rsid w:val="00EC57A7"/>
    <w:rsid w:val="00EC699E"/>
    <w:rsid w:val="00EC6E59"/>
    <w:rsid w:val="00ED26A4"/>
    <w:rsid w:val="00ED310F"/>
    <w:rsid w:val="00ED4C5A"/>
    <w:rsid w:val="00ED575F"/>
    <w:rsid w:val="00ED5A79"/>
    <w:rsid w:val="00ED6C48"/>
    <w:rsid w:val="00EE4E3A"/>
    <w:rsid w:val="00EE64B5"/>
    <w:rsid w:val="00EE6712"/>
    <w:rsid w:val="00EF07F9"/>
    <w:rsid w:val="00EF0AF2"/>
    <w:rsid w:val="00EF1529"/>
    <w:rsid w:val="00EF1752"/>
    <w:rsid w:val="00EF20C5"/>
    <w:rsid w:val="00EF2353"/>
    <w:rsid w:val="00EF463A"/>
    <w:rsid w:val="00EF5E0C"/>
    <w:rsid w:val="00EF77ED"/>
    <w:rsid w:val="00EF7C6A"/>
    <w:rsid w:val="00F00153"/>
    <w:rsid w:val="00F0102F"/>
    <w:rsid w:val="00F022E8"/>
    <w:rsid w:val="00F04A54"/>
    <w:rsid w:val="00F04FC7"/>
    <w:rsid w:val="00F05AEB"/>
    <w:rsid w:val="00F073CF"/>
    <w:rsid w:val="00F109E6"/>
    <w:rsid w:val="00F1164D"/>
    <w:rsid w:val="00F12479"/>
    <w:rsid w:val="00F125C1"/>
    <w:rsid w:val="00F12BCD"/>
    <w:rsid w:val="00F138F0"/>
    <w:rsid w:val="00F14399"/>
    <w:rsid w:val="00F14ECB"/>
    <w:rsid w:val="00F17008"/>
    <w:rsid w:val="00F17FD1"/>
    <w:rsid w:val="00F20492"/>
    <w:rsid w:val="00F20F34"/>
    <w:rsid w:val="00F21BE4"/>
    <w:rsid w:val="00F229F9"/>
    <w:rsid w:val="00F23A64"/>
    <w:rsid w:val="00F24BCC"/>
    <w:rsid w:val="00F24F0D"/>
    <w:rsid w:val="00F252E9"/>
    <w:rsid w:val="00F3097D"/>
    <w:rsid w:val="00F350BE"/>
    <w:rsid w:val="00F4091B"/>
    <w:rsid w:val="00F429F5"/>
    <w:rsid w:val="00F433A9"/>
    <w:rsid w:val="00F44298"/>
    <w:rsid w:val="00F46CF7"/>
    <w:rsid w:val="00F5103E"/>
    <w:rsid w:val="00F53001"/>
    <w:rsid w:val="00F54567"/>
    <w:rsid w:val="00F555C6"/>
    <w:rsid w:val="00F5598E"/>
    <w:rsid w:val="00F5764E"/>
    <w:rsid w:val="00F61C9F"/>
    <w:rsid w:val="00F61F2B"/>
    <w:rsid w:val="00F624A1"/>
    <w:rsid w:val="00F63606"/>
    <w:rsid w:val="00F657D3"/>
    <w:rsid w:val="00F65F5D"/>
    <w:rsid w:val="00F6693C"/>
    <w:rsid w:val="00F67A7F"/>
    <w:rsid w:val="00F7180B"/>
    <w:rsid w:val="00F739AA"/>
    <w:rsid w:val="00F7597B"/>
    <w:rsid w:val="00F7600F"/>
    <w:rsid w:val="00F81677"/>
    <w:rsid w:val="00F81A3F"/>
    <w:rsid w:val="00F82BC3"/>
    <w:rsid w:val="00F83E66"/>
    <w:rsid w:val="00F8489B"/>
    <w:rsid w:val="00F86A3A"/>
    <w:rsid w:val="00F93992"/>
    <w:rsid w:val="00F94475"/>
    <w:rsid w:val="00F94C68"/>
    <w:rsid w:val="00F96F40"/>
    <w:rsid w:val="00F975F4"/>
    <w:rsid w:val="00FA046C"/>
    <w:rsid w:val="00FA05B4"/>
    <w:rsid w:val="00FA0858"/>
    <w:rsid w:val="00FA180F"/>
    <w:rsid w:val="00FA3755"/>
    <w:rsid w:val="00FA4C3B"/>
    <w:rsid w:val="00FA52E4"/>
    <w:rsid w:val="00FA5645"/>
    <w:rsid w:val="00FA7C42"/>
    <w:rsid w:val="00FB2667"/>
    <w:rsid w:val="00FB3E45"/>
    <w:rsid w:val="00FB3E6B"/>
    <w:rsid w:val="00FB65EF"/>
    <w:rsid w:val="00FC053F"/>
    <w:rsid w:val="00FC1320"/>
    <w:rsid w:val="00FC2483"/>
    <w:rsid w:val="00FC2F7E"/>
    <w:rsid w:val="00FC45B1"/>
    <w:rsid w:val="00FC4A81"/>
    <w:rsid w:val="00FC4D7F"/>
    <w:rsid w:val="00FC5DF7"/>
    <w:rsid w:val="00FC70D6"/>
    <w:rsid w:val="00FD6429"/>
    <w:rsid w:val="00FD7FEC"/>
    <w:rsid w:val="00FE13E9"/>
    <w:rsid w:val="00FE1904"/>
    <w:rsid w:val="00FE2734"/>
    <w:rsid w:val="00FE4CAF"/>
    <w:rsid w:val="00FE5636"/>
    <w:rsid w:val="00FF0018"/>
    <w:rsid w:val="00FF12EE"/>
    <w:rsid w:val="00FF1310"/>
    <w:rsid w:val="00FF1818"/>
    <w:rsid w:val="00FF5A5F"/>
    <w:rsid w:val="00FF5C2B"/>
    <w:rsid w:val="00FF7340"/>
    <w:rsid w:val="00FF7EC6"/>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lsdException w:name="endnote reference" w:uiPriority="0" w:qFormat="1"/>
    <w:lsdException w:name="endnote text" w:qFormat="1"/>
    <w:lsdException w:name="Title" w:uiPriority="10" w:unhideWhenUsed="0"/>
    <w:lsdException w:name="Default Paragraph Font" w:uiPriority="1"/>
    <w:lsdException w:name="Subtitle" w:uiPriority="11" w:unhideWhenUsed="0"/>
    <w:lsdException w:name="Hyperlink" w:uiPriority="0" w:qFormat="1"/>
    <w:lsdException w:name="FollowedHyperlink" w:uiPriority="0" w:qFormat="1"/>
    <w:lsdException w:name="Strong" w:uiPriority="22" w:unhideWhenUsed="0" w:qFormat="1"/>
    <w:lsdException w:name="Emphasis" w:uiPriority="20" w:unhideWhenUsed="0" w:qFormat="1"/>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line="240" w:lineRule="atLeast"/>
    </w:pPr>
    <w:rPr>
      <w:rFonts w:ascii="Times New Roman" w:eastAsia="Calibri" w:hAnsi="Times New Roman" w:cs="Times New Roman"/>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link w:val="Header"/>
    <w:rsid w:val="003B4550"/>
    <w:rPr>
      <w:rFonts w:ascii="Times New Roman" w:eastAsia="Calibr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link w:val="Footer"/>
    <w:rsid w:val="00247E2C"/>
    <w:rPr>
      <w:rFonts w:ascii="Times New Roman" w:eastAsia="Calibr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character" w:styleId="FootnoteReference">
    <w:name w:val="footnote reference"/>
    <w:aliases w:val="4_G,16 Point,Superscript 6 Point, Char Char, Carattere Char1, Carattere Char Char Carattere Carattere Char Char,ftref,Char Char,Carattere Char1,Carattere Char Char Carattere Carattere Char Char, BVI fnr,BVI fnr, BVI fnr Car Car,Ref"/>
    <w:link w:val="Char2"/>
    <w:qFormat/>
    <w:rsid w:val="00AF4876"/>
    <w:rPr>
      <w:rFonts w:ascii="Times New Roman" w:hAnsi="Times New Roman"/>
      <w:sz w:val="18"/>
      <w:vertAlign w:val="superscript"/>
    </w:rPr>
  </w:style>
  <w:style w:type="paragraph" w:styleId="FootnoteText">
    <w:name w:val="footnote text"/>
    <w:aliases w:val="5_G,Footnote Text Char Char,Footnote Text Char1 Char Char,Footnote Text Char Char Char Char,Footnote Text Char1 Char Char Char Char,Footnote Text Char Char Char Char Char Char,Footnote Text Char Char1 Char Char,single space,footnote text"/>
    <w:basedOn w:val="Normal"/>
    <w:link w:val="FootnoteTextChar"/>
    <w:qFormat/>
    <w:rsid w:val="00AF4876"/>
    <w:pPr>
      <w:tabs>
        <w:tab w:val="right" w:pos="1021"/>
      </w:tabs>
      <w:kinsoku/>
      <w:overflowPunct/>
      <w:autoSpaceDE/>
      <w:autoSpaceDN/>
      <w:adjustRightInd/>
      <w:snapToGrid/>
      <w:spacing w:line="220" w:lineRule="exact"/>
      <w:ind w:left="1134" w:right="1134" w:hanging="1134"/>
    </w:pPr>
    <w:rPr>
      <w:rFonts w:eastAsia="SimSun"/>
      <w:sz w:val="18"/>
      <w:lang w:eastAsia="zh-CN"/>
    </w:rPr>
  </w:style>
  <w:style w:type="paragraph" w:styleId="EndnoteText">
    <w:name w:val="endnote text"/>
    <w:aliases w:val="2_G"/>
    <w:basedOn w:val="Normal"/>
    <w:link w:val="EndnoteTextChar"/>
    <w:uiPriority w:val="99"/>
    <w:qFormat/>
    <w:rsid w:val="00AF4876"/>
    <w:pPr>
      <w:tabs>
        <w:tab w:val="right" w:pos="1021"/>
      </w:tabs>
      <w:spacing w:line="220" w:lineRule="exact"/>
      <w:ind w:left="1134" w:right="1134" w:hanging="1134"/>
    </w:pPr>
    <w:rPr>
      <w:sz w:val="18"/>
    </w:rPr>
  </w:style>
  <w:style w:type="character" w:customStyle="1" w:styleId="EndnoteTextChar">
    <w:name w:val="Endnote Text Char"/>
    <w:aliases w:val="2_G Char"/>
    <w:link w:val="EndnoteText"/>
    <w:uiPriority w:val="99"/>
    <w:rsid w:val="007268F9"/>
    <w:rPr>
      <w:rFonts w:ascii="Times New Roman" w:eastAsia="Calibri" w:hAnsi="Times New Roman" w:cs="Times New Roman"/>
      <w:sz w:val="18"/>
      <w:szCs w:val="20"/>
      <w:lang w:eastAsia="en-US"/>
    </w:rPr>
  </w:style>
  <w:style w:type="character" w:customStyle="1" w:styleId="FootnoteTextChar">
    <w:name w:val="Footnote Text Char"/>
    <w:aliases w:val="5_G Char,Footnote Text Char Char Char,Footnote Text Char1 Char Char Char,Footnote Text Char Char Char Char Char,Footnote Text Char1 Char Char Char Char Char,Footnote Text Char Char Char Char Char Char Char,single space Char"/>
    <w:link w:val="FootnoteText"/>
    <w:rsid w:val="00AF4876"/>
    <w:rPr>
      <w:rFonts w:ascii="Times New Roman" w:hAnsi="Times New Roman" w:cs="Times New Roman"/>
      <w:sz w:val="18"/>
      <w:szCs w:val="20"/>
    </w:rPr>
  </w:style>
  <w:style w:type="character" w:customStyle="1" w:styleId="Heading1Char">
    <w:name w:val="Heading 1 Char"/>
    <w:aliases w:val="Table_G Char"/>
    <w:link w:val="Heading1"/>
    <w:uiPriority w:val="9"/>
    <w:rsid w:val="003B4550"/>
    <w:rPr>
      <w:rFonts w:ascii="Times New Roman" w:eastAsia="Calibri" w:hAnsi="Times New Roman" w:cs="Times New Roman"/>
      <w:sz w:val="20"/>
      <w:szCs w:val="20"/>
      <w:lang w:eastAsia="en-US"/>
    </w:rPr>
  </w:style>
  <w:style w:type="character" w:customStyle="1" w:styleId="Heading2Char">
    <w:name w:val="Heading 2 Char"/>
    <w:link w:val="Heading2"/>
    <w:semiHidden/>
    <w:rsid w:val="003B4550"/>
    <w:rPr>
      <w:rFonts w:ascii="Times New Roman" w:eastAsia="Calibri" w:hAnsi="Times New Roman" w:cs="Times New Roman"/>
      <w:sz w:val="20"/>
      <w:szCs w:val="20"/>
      <w:lang w:eastAsia="en-US"/>
    </w:rPr>
  </w:style>
  <w:style w:type="character" w:customStyle="1" w:styleId="Heading3Char">
    <w:name w:val="Heading 3 Char"/>
    <w:link w:val="Heading3"/>
    <w:semiHidden/>
    <w:rsid w:val="003B4550"/>
    <w:rPr>
      <w:rFonts w:ascii="Times New Roman" w:eastAsia="Calibri" w:hAnsi="Times New Roman" w:cs="Times New Roman"/>
      <w:sz w:val="20"/>
      <w:szCs w:val="20"/>
      <w:lang w:eastAsia="en-US"/>
    </w:rPr>
  </w:style>
  <w:style w:type="character" w:customStyle="1" w:styleId="Heading4Char">
    <w:name w:val="Heading 4 Char"/>
    <w:link w:val="Heading4"/>
    <w:semiHidden/>
    <w:rsid w:val="003B4550"/>
    <w:rPr>
      <w:rFonts w:ascii="Times New Roman" w:eastAsia="Calibri" w:hAnsi="Times New Roman" w:cs="Times New Roman"/>
      <w:sz w:val="20"/>
      <w:szCs w:val="20"/>
      <w:lang w:eastAsia="en-US"/>
    </w:rPr>
  </w:style>
  <w:style w:type="character" w:customStyle="1" w:styleId="Heading5Char">
    <w:name w:val="Heading 5 Char"/>
    <w:link w:val="Heading5"/>
    <w:semiHidden/>
    <w:rsid w:val="003B4550"/>
    <w:rPr>
      <w:rFonts w:ascii="Times New Roman" w:eastAsia="Calibri" w:hAnsi="Times New Roman" w:cs="Times New Roman"/>
      <w:sz w:val="20"/>
      <w:szCs w:val="20"/>
      <w:lang w:eastAsia="en-US"/>
    </w:rPr>
  </w:style>
  <w:style w:type="character" w:customStyle="1" w:styleId="Heading6Char">
    <w:name w:val="Heading 6 Char"/>
    <w:link w:val="Heading6"/>
    <w:semiHidden/>
    <w:rsid w:val="003B4550"/>
    <w:rPr>
      <w:rFonts w:ascii="Times New Roman" w:eastAsia="Calibri" w:hAnsi="Times New Roman" w:cs="Times New Roman"/>
      <w:sz w:val="20"/>
      <w:szCs w:val="20"/>
      <w:lang w:eastAsia="en-US"/>
    </w:rPr>
  </w:style>
  <w:style w:type="character" w:customStyle="1" w:styleId="Heading7Char">
    <w:name w:val="Heading 7 Char"/>
    <w:link w:val="Heading7"/>
    <w:semiHidden/>
    <w:rsid w:val="003B4550"/>
    <w:rPr>
      <w:rFonts w:ascii="Times New Roman" w:eastAsia="Calibri" w:hAnsi="Times New Roman" w:cs="Times New Roman"/>
      <w:sz w:val="20"/>
      <w:szCs w:val="20"/>
      <w:lang w:eastAsia="en-US"/>
    </w:rPr>
  </w:style>
  <w:style w:type="character" w:customStyle="1" w:styleId="Heading8Char">
    <w:name w:val="Heading 8 Char"/>
    <w:link w:val="Heading8"/>
    <w:semiHidden/>
    <w:rsid w:val="003B4550"/>
    <w:rPr>
      <w:rFonts w:ascii="Times New Roman" w:eastAsia="Calibri" w:hAnsi="Times New Roman" w:cs="Times New Roman"/>
      <w:sz w:val="20"/>
      <w:szCs w:val="20"/>
      <w:lang w:eastAsia="en-US"/>
    </w:rPr>
  </w:style>
  <w:style w:type="character" w:customStyle="1" w:styleId="Heading9Char">
    <w:name w:val="Heading 9 Char"/>
    <w:link w:val="Heading9"/>
    <w:semiHidden/>
    <w:rsid w:val="003B4550"/>
    <w:rPr>
      <w:rFonts w:ascii="Times New Roman" w:eastAsia="Calibr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paragraph" w:styleId="BalloonText">
    <w:name w:val="Balloon Text"/>
    <w:basedOn w:val="Normal"/>
    <w:link w:val="BalloonTextChar"/>
    <w:uiPriority w:val="99"/>
    <w:semiHidden/>
    <w:unhideWhenUsed/>
    <w:rsid w:val="00AF487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F4876"/>
    <w:rPr>
      <w:rFonts w:ascii="Tahoma" w:eastAsia="Calibri" w:hAnsi="Tahoma" w:cs="Tahoma"/>
      <w:sz w:val="16"/>
      <w:szCs w:val="16"/>
      <w:lang w:eastAsia="en-US"/>
    </w:rPr>
  </w:style>
  <w:style w:type="table" w:styleId="TableGrid">
    <w:name w:val="Table Grid"/>
    <w:basedOn w:val="TableNormal"/>
    <w:rsid w:val="004A2814"/>
    <w:pPr>
      <w:suppressAutoHyphens/>
      <w:spacing w:line="240" w:lineRule="atLeast"/>
    </w:pPr>
    <w:rPr>
      <w:rFonts w:ascii="Times New Roman" w:eastAsia="Calibri"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4068C2"/>
    <w:pPr>
      <w:suppressAutoHyphens w:val="0"/>
      <w:kinsoku/>
      <w:overflowPunct/>
      <w:autoSpaceDE/>
      <w:autoSpaceDN/>
      <w:adjustRightInd/>
      <w:snapToGrid/>
      <w:spacing w:line="240" w:lineRule="auto"/>
      <w:ind w:left="720"/>
      <w:contextualSpacing/>
    </w:pPr>
    <w:rPr>
      <w:rFonts w:asciiTheme="minorHAnsi" w:eastAsiaTheme="minorEastAsia" w:hAnsiTheme="minorHAnsi" w:cstheme="minorBidi"/>
      <w:noProof/>
      <w:lang w:val="fr-FR" w:eastAsia="da-DK"/>
    </w:rPr>
  </w:style>
  <w:style w:type="character" w:styleId="CommentReference">
    <w:name w:val="annotation reference"/>
    <w:basedOn w:val="DefaultParagraphFont"/>
    <w:uiPriority w:val="99"/>
    <w:semiHidden/>
    <w:unhideWhenUsed/>
    <w:rsid w:val="004068C2"/>
    <w:rPr>
      <w:sz w:val="16"/>
      <w:szCs w:val="16"/>
    </w:rPr>
  </w:style>
  <w:style w:type="paragraph" w:styleId="CommentText">
    <w:name w:val="annotation text"/>
    <w:basedOn w:val="Normal"/>
    <w:link w:val="CommentTextChar"/>
    <w:uiPriority w:val="99"/>
    <w:unhideWhenUsed/>
    <w:rsid w:val="00FC4D7F"/>
    <w:pPr>
      <w:spacing w:line="240" w:lineRule="auto"/>
    </w:pPr>
  </w:style>
  <w:style w:type="character" w:customStyle="1" w:styleId="CommentTextChar">
    <w:name w:val="Comment Text Char"/>
    <w:basedOn w:val="DefaultParagraphFont"/>
    <w:link w:val="CommentText"/>
    <w:uiPriority w:val="99"/>
    <w:rsid w:val="00FC4D7F"/>
    <w:rPr>
      <w:rFonts w:ascii="Times New Roman" w:eastAsia="Calibri"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FC4D7F"/>
    <w:rPr>
      <w:b/>
      <w:bCs/>
    </w:rPr>
  </w:style>
  <w:style w:type="character" w:customStyle="1" w:styleId="CommentSubjectChar">
    <w:name w:val="Comment Subject Char"/>
    <w:basedOn w:val="CommentTextChar"/>
    <w:link w:val="CommentSubject"/>
    <w:uiPriority w:val="99"/>
    <w:semiHidden/>
    <w:rsid w:val="00FC4D7F"/>
    <w:rPr>
      <w:rFonts w:ascii="Times New Roman" w:eastAsia="Calibri" w:hAnsi="Times New Roman" w:cs="Times New Roman"/>
      <w:b/>
      <w:bCs/>
      <w:lang w:eastAsia="en-US"/>
    </w:rPr>
  </w:style>
  <w:style w:type="paragraph" w:customStyle="1" w:styleId="Char2">
    <w:name w:val="Char2"/>
    <w:basedOn w:val="Normal"/>
    <w:link w:val="FootnoteReference"/>
    <w:rsid w:val="004F3641"/>
    <w:pPr>
      <w:suppressAutoHyphens w:val="0"/>
      <w:kinsoku/>
      <w:overflowPunct/>
      <w:autoSpaceDE/>
      <w:autoSpaceDN/>
      <w:adjustRightInd/>
      <w:snapToGrid/>
      <w:spacing w:after="160" w:line="240" w:lineRule="exact"/>
    </w:pPr>
    <w:rPr>
      <w:rFonts w:eastAsia="SimSun" w:cs="Arial"/>
      <w:sz w:val="18"/>
      <w:vertAlign w:val="superscript"/>
      <w:lang w:eastAsia="en-GB"/>
    </w:rPr>
  </w:style>
  <w:style w:type="paragraph" w:customStyle="1" w:styleId="s2">
    <w:name w:val="s2"/>
    <w:basedOn w:val="Normal"/>
    <w:rsid w:val="009D4782"/>
    <w:pPr>
      <w:suppressAutoHyphens w:val="0"/>
      <w:kinsoku/>
      <w:overflowPunct/>
      <w:autoSpaceDE/>
      <w:autoSpaceDN/>
      <w:adjustRightInd/>
      <w:snapToGrid/>
      <w:spacing w:before="100" w:beforeAutospacing="1" w:after="100" w:afterAutospacing="1" w:line="240" w:lineRule="auto"/>
    </w:pPr>
    <w:rPr>
      <w:rFonts w:eastAsia="Times New Roman"/>
    </w:rPr>
  </w:style>
  <w:style w:type="paragraph" w:customStyle="1" w:styleId="Body">
    <w:name w:val="Body"/>
    <w:rsid w:val="00A530B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customStyle="1" w:styleId="Default">
    <w:name w:val="Default"/>
    <w:rsid w:val="00A530B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customStyle="1" w:styleId="Footnote">
    <w:name w:val="Footnote"/>
    <w:rsid w:val="00A530BD"/>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 w:type="character" w:customStyle="1" w:styleId="Hyperlink0">
    <w:name w:val="Hyperlink.0"/>
    <w:basedOn w:val="Hyperlink"/>
    <w:rsid w:val="00A530BD"/>
    <w:rPr>
      <w:color w:val="0000FF" w:themeColor="hyperlink"/>
      <w:u w:val="single"/>
    </w:rPr>
  </w:style>
  <w:style w:type="character" w:styleId="Hyperlink">
    <w:name w:val="Hyperlink"/>
    <w:basedOn w:val="DefaultParagraphFont"/>
    <w:unhideWhenUsed/>
    <w:qFormat/>
    <w:rsid w:val="00A530BD"/>
    <w:rPr>
      <w:color w:val="0000FF" w:themeColor="hyperlink"/>
      <w:u w:val="single"/>
    </w:rPr>
  </w:style>
  <w:style w:type="numbering" w:customStyle="1" w:styleId="Dash">
    <w:name w:val="Dash"/>
    <w:rsid w:val="00A530BD"/>
    <w:pPr>
      <w:numPr>
        <w:numId w:val="20"/>
      </w:numPr>
    </w:pPr>
  </w:style>
  <w:style w:type="character" w:customStyle="1" w:styleId="hps">
    <w:name w:val="hps"/>
    <w:basedOn w:val="DefaultParagraphFont"/>
    <w:rsid w:val="00BD6B56"/>
  </w:style>
  <w:style w:type="paragraph" w:styleId="NormalWeb">
    <w:name w:val="Normal (Web)"/>
    <w:basedOn w:val="Normal"/>
    <w:uiPriority w:val="99"/>
    <w:unhideWhenUsed/>
    <w:rsid w:val="005106FD"/>
    <w:pPr>
      <w:suppressAutoHyphens w:val="0"/>
      <w:kinsoku/>
      <w:overflowPunct/>
      <w:autoSpaceDE/>
      <w:autoSpaceDN/>
      <w:adjustRightInd/>
      <w:snapToGrid/>
      <w:spacing w:before="100" w:beforeAutospacing="1" w:after="100" w:afterAutospacing="1" w:line="240" w:lineRule="auto"/>
    </w:pPr>
    <w:rPr>
      <w:rFonts w:eastAsia="Times New Roman"/>
      <w:lang w:eastAsia="en-GB"/>
    </w:rPr>
  </w:style>
  <w:style w:type="character" w:styleId="Strong">
    <w:name w:val="Strong"/>
    <w:basedOn w:val="DefaultParagraphFont"/>
    <w:uiPriority w:val="22"/>
    <w:qFormat/>
    <w:rsid w:val="005106FD"/>
    <w:rPr>
      <w:b/>
      <w:bCs/>
    </w:rPr>
  </w:style>
  <w:style w:type="character" w:styleId="Emphasis">
    <w:name w:val="Emphasis"/>
    <w:basedOn w:val="DefaultParagraphFont"/>
    <w:uiPriority w:val="20"/>
    <w:qFormat/>
    <w:rsid w:val="00F20F34"/>
    <w:rPr>
      <w:i/>
      <w:iCs/>
    </w:rPr>
  </w:style>
  <w:style w:type="paragraph" w:customStyle="1" w:styleId="Pa12">
    <w:name w:val="Pa12"/>
    <w:basedOn w:val="Default"/>
    <w:next w:val="Default"/>
    <w:uiPriority w:val="99"/>
    <w:rsid w:val="0024319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1" w:lineRule="atLeast"/>
    </w:pPr>
    <w:rPr>
      <w:rFonts w:ascii="Arial" w:eastAsia="SimSun" w:hAnsi="Arial" w:cs="Arial"/>
      <w:color w:val="auto"/>
      <w:sz w:val="24"/>
      <w:szCs w:val="24"/>
      <w:bdr w:val="none" w:sz="0" w:space="0" w:color="auto"/>
      <w:lang w:val="en-GB" w:eastAsia="en-GB"/>
    </w:rPr>
  </w:style>
  <w:style w:type="character" w:customStyle="1" w:styleId="A6">
    <w:name w:val="A6"/>
    <w:uiPriority w:val="99"/>
    <w:rsid w:val="00243194"/>
    <w:rPr>
      <w:color w:val="000000"/>
      <w:sz w:val="12"/>
      <w:szCs w:val="12"/>
    </w:rPr>
  </w:style>
  <w:style w:type="character" w:styleId="FollowedHyperlink">
    <w:name w:val="FollowedHyperlink"/>
    <w:basedOn w:val="DefaultParagraphFont"/>
    <w:semiHidden/>
    <w:unhideWhenUsed/>
    <w:qFormat/>
    <w:rsid w:val="009932D2"/>
    <w:rPr>
      <w:color w:val="800080" w:themeColor="followedHyperlink"/>
      <w:u w:val="single"/>
    </w:rPr>
  </w:style>
  <w:style w:type="paragraph" w:styleId="Revision">
    <w:name w:val="Revision"/>
    <w:hidden/>
    <w:uiPriority w:val="99"/>
    <w:semiHidden/>
    <w:rsid w:val="00BE5E84"/>
    <w:rPr>
      <w:rFonts w:ascii="Times New Roman" w:eastAsia="Calibri" w:hAnsi="Times New Roman" w:cs="Times New Roman"/>
      <w:lang w:eastAsia="en-US"/>
    </w:rPr>
  </w:style>
  <w:style w:type="character" w:customStyle="1" w:styleId="category1">
    <w:name w:val="category1"/>
    <w:basedOn w:val="DefaultParagraphFont"/>
    <w:rsid w:val="00E43C4F"/>
    <w:rPr>
      <w:rFonts w:ascii="Verdana" w:hAnsi="Verdana" w:hint="default"/>
      <w:b/>
      <w:bCs/>
      <w:caps w:val="0"/>
      <w:color w:val="666666"/>
      <w:spacing w:val="1"/>
      <w:sz w:val="17"/>
      <w:szCs w:val="17"/>
    </w:rPr>
  </w:style>
  <w:style w:type="character" w:customStyle="1" w:styleId="categorydata2">
    <w:name w:val="category_data2"/>
    <w:basedOn w:val="DefaultParagraphFont"/>
    <w:rsid w:val="00E43C4F"/>
    <w:rPr>
      <w:rFonts w:ascii="Arial" w:hAnsi="Arial" w:cs="Arial" w:hint="default"/>
      <w:color w:val="707070"/>
      <w:spacing w:val="15"/>
      <w:sz w:val="17"/>
      <w:szCs w:val="17"/>
    </w:rPr>
  </w:style>
  <w:style w:type="paragraph" w:customStyle="1" w:styleId="SingleTxt">
    <w:name w:val="__Single Txt"/>
    <w:basedOn w:val="Normal"/>
    <w:rsid w:val="00FC5DF7"/>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pPr>
    <w:rPr>
      <w:spacing w:val="4"/>
      <w:w w:val="103"/>
      <w:kern w:val="14"/>
    </w:rPr>
  </w:style>
  <w:style w:type="character" w:customStyle="1" w:styleId="SingleTxtGChar">
    <w:name w:val="_ Single Txt_G Char"/>
    <w:link w:val="SingleTxtG"/>
    <w:rsid w:val="005B4D4A"/>
    <w:rPr>
      <w:rFonts w:ascii="Times New Roman" w:eastAsia="Calibri" w:hAnsi="Times New Roman" w:cs="Times New Roman"/>
      <w:lang w:eastAsia="en-US"/>
    </w:rPr>
  </w:style>
  <w:style w:type="character" w:customStyle="1" w:styleId="apple-converted-space">
    <w:name w:val="apple-converted-space"/>
    <w:basedOn w:val="DefaultParagraphFont"/>
    <w:rsid w:val="00DA4F81"/>
  </w:style>
  <w:style w:type="paragraph" w:customStyle="1" w:styleId="singletxtg0">
    <w:name w:val="singletxtg"/>
    <w:basedOn w:val="Normal"/>
    <w:rsid w:val="00D63DB2"/>
    <w:pPr>
      <w:suppressAutoHyphens w:val="0"/>
      <w:kinsoku/>
      <w:overflowPunct/>
      <w:autoSpaceDE/>
      <w:autoSpaceDN/>
      <w:adjustRightInd/>
      <w:snapToGrid/>
      <w:spacing w:before="100" w:beforeAutospacing="1" w:after="100" w:afterAutospacing="1" w:line="240" w:lineRule="auto"/>
    </w:pPr>
    <w:rPr>
      <w:rFonts w:eastAsia="Times New Roman"/>
      <w:lang w:eastAsia="en-GB"/>
    </w:rPr>
  </w:style>
  <w:style w:type="numbering" w:customStyle="1" w:styleId="Style1">
    <w:name w:val="Style1"/>
    <w:uiPriority w:val="99"/>
    <w:rsid w:val="002568BE"/>
    <w:pPr>
      <w:numPr>
        <w:numId w:val="5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lsdException w:name="endnote reference" w:uiPriority="0" w:qFormat="1"/>
    <w:lsdException w:name="endnote text" w:qFormat="1"/>
    <w:lsdException w:name="Title" w:uiPriority="10" w:unhideWhenUsed="0"/>
    <w:lsdException w:name="Default Paragraph Font" w:uiPriority="1"/>
    <w:lsdException w:name="Subtitle" w:uiPriority="11" w:unhideWhenUsed="0"/>
    <w:lsdException w:name="Hyperlink" w:uiPriority="0" w:qFormat="1"/>
    <w:lsdException w:name="FollowedHyperlink" w:uiPriority="0" w:qFormat="1"/>
    <w:lsdException w:name="Strong" w:uiPriority="22" w:unhideWhenUsed="0" w:qFormat="1"/>
    <w:lsdException w:name="Emphasis" w:uiPriority="20" w:unhideWhenUsed="0" w:qFormat="1"/>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line="240" w:lineRule="atLeast"/>
    </w:pPr>
    <w:rPr>
      <w:rFonts w:ascii="Times New Roman" w:eastAsia="Calibri" w:hAnsi="Times New Roman" w:cs="Times New Roman"/>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link w:val="Header"/>
    <w:rsid w:val="003B4550"/>
    <w:rPr>
      <w:rFonts w:ascii="Times New Roman" w:eastAsia="Calibr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link w:val="Footer"/>
    <w:rsid w:val="00247E2C"/>
    <w:rPr>
      <w:rFonts w:ascii="Times New Roman" w:eastAsia="Calibr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character" w:styleId="FootnoteReference">
    <w:name w:val="footnote reference"/>
    <w:aliases w:val="4_G,16 Point,Superscript 6 Point, Char Char, Carattere Char1, Carattere Char Char Carattere Carattere Char Char,ftref,Char Char,Carattere Char1,Carattere Char Char Carattere Carattere Char Char, BVI fnr,BVI fnr, BVI fnr Car Car,Ref"/>
    <w:link w:val="Char2"/>
    <w:qFormat/>
    <w:rsid w:val="00AF4876"/>
    <w:rPr>
      <w:rFonts w:ascii="Times New Roman" w:hAnsi="Times New Roman"/>
      <w:sz w:val="18"/>
      <w:vertAlign w:val="superscript"/>
    </w:rPr>
  </w:style>
  <w:style w:type="paragraph" w:styleId="FootnoteText">
    <w:name w:val="footnote text"/>
    <w:aliases w:val="5_G,Footnote Text Char Char,Footnote Text Char1 Char Char,Footnote Text Char Char Char Char,Footnote Text Char1 Char Char Char Char,Footnote Text Char Char Char Char Char Char,Footnote Text Char Char1 Char Char,single space,footnote text"/>
    <w:basedOn w:val="Normal"/>
    <w:link w:val="FootnoteTextChar"/>
    <w:qFormat/>
    <w:rsid w:val="00AF4876"/>
    <w:pPr>
      <w:tabs>
        <w:tab w:val="right" w:pos="1021"/>
      </w:tabs>
      <w:kinsoku/>
      <w:overflowPunct/>
      <w:autoSpaceDE/>
      <w:autoSpaceDN/>
      <w:adjustRightInd/>
      <w:snapToGrid/>
      <w:spacing w:line="220" w:lineRule="exact"/>
      <w:ind w:left="1134" w:right="1134" w:hanging="1134"/>
    </w:pPr>
    <w:rPr>
      <w:rFonts w:eastAsia="SimSun"/>
      <w:sz w:val="18"/>
      <w:lang w:eastAsia="zh-CN"/>
    </w:rPr>
  </w:style>
  <w:style w:type="paragraph" w:styleId="EndnoteText">
    <w:name w:val="endnote text"/>
    <w:aliases w:val="2_G"/>
    <w:basedOn w:val="Normal"/>
    <w:link w:val="EndnoteTextChar"/>
    <w:uiPriority w:val="99"/>
    <w:qFormat/>
    <w:rsid w:val="00AF4876"/>
    <w:pPr>
      <w:tabs>
        <w:tab w:val="right" w:pos="1021"/>
      </w:tabs>
      <w:spacing w:line="220" w:lineRule="exact"/>
      <w:ind w:left="1134" w:right="1134" w:hanging="1134"/>
    </w:pPr>
    <w:rPr>
      <w:sz w:val="18"/>
    </w:rPr>
  </w:style>
  <w:style w:type="character" w:customStyle="1" w:styleId="EndnoteTextChar">
    <w:name w:val="Endnote Text Char"/>
    <w:aliases w:val="2_G Char"/>
    <w:link w:val="EndnoteText"/>
    <w:uiPriority w:val="99"/>
    <w:rsid w:val="007268F9"/>
    <w:rPr>
      <w:rFonts w:ascii="Times New Roman" w:eastAsia="Calibri" w:hAnsi="Times New Roman" w:cs="Times New Roman"/>
      <w:sz w:val="18"/>
      <w:szCs w:val="20"/>
      <w:lang w:eastAsia="en-US"/>
    </w:rPr>
  </w:style>
  <w:style w:type="character" w:customStyle="1" w:styleId="FootnoteTextChar">
    <w:name w:val="Footnote Text Char"/>
    <w:aliases w:val="5_G Char,Footnote Text Char Char Char,Footnote Text Char1 Char Char Char,Footnote Text Char Char Char Char Char,Footnote Text Char1 Char Char Char Char Char,Footnote Text Char Char Char Char Char Char Char,single space Char"/>
    <w:link w:val="FootnoteText"/>
    <w:rsid w:val="00AF4876"/>
    <w:rPr>
      <w:rFonts w:ascii="Times New Roman" w:hAnsi="Times New Roman" w:cs="Times New Roman"/>
      <w:sz w:val="18"/>
      <w:szCs w:val="20"/>
    </w:rPr>
  </w:style>
  <w:style w:type="character" w:customStyle="1" w:styleId="Heading1Char">
    <w:name w:val="Heading 1 Char"/>
    <w:aliases w:val="Table_G Char"/>
    <w:link w:val="Heading1"/>
    <w:uiPriority w:val="9"/>
    <w:rsid w:val="003B4550"/>
    <w:rPr>
      <w:rFonts w:ascii="Times New Roman" w:eastAsia="Calibri" w:hAnsi="Times New Roman" w:cs="Times New Roman"/>
      <w:sz w:val="20"/>
      <w:szCs w:val="20"/>
      <w:lang w:eastAsia="en-US"/>
    </w:rPr>
  </w:style>
  <w:style w:type="character" w:customStyle="1" w:styleId="Heading2Char">
    <w:name w:val="Heading 2 Char"/>
    <w:link w:val="Heading2"/>
    <w:semiHidden/>
    <w:rsid w:val="003B4550"/>
    <w:rPr>
      <w:rFonts w:ascii="Times New Roman" w:eastAsia="Calibri" w:hAnsi="Times New Roman" w:cs="Times New Roman"/>
      <w:sz w:val="20"/>
      <w:szCs w:val="20"/>
      <w:lang w:eastAsia="en-US"/>
    </w:rPr>
  </w:style>
  <w:style w:type="character" w:customStyle="1" w:styleId="Heading3Char">
    <w:name w:val="Heading 3 Char"/>
    <w:link w:val="Heading3"/>
    <w:semiHidden/>
    <w:rsid w:val="003B4550"/>
    <w:rPr>
      <w:rFonts w:ascii="Times New Roman" w:eastAsia="Calibri" w:hAnsi="Times New Roman" w:cs="Times New Roman"/>
      <w:sz w:val="20"/>
      <w:szCs w:val="20"/>
      <w:lang w:eastAsia="en-US"/>
    </w:rPr>
  </w:style>
  <w:style w:type="character" w:customStyle="1" w:styleId="Heading4Char">
    <w:name w:val="Heading 4 Char"/>
    <w:link w:val="Heading4"/>
    <w:semiHidden/>
    <w:rsid w:val="003B4550"/>
    <w:rPr>
      <w:rFonts w:ascii="Times New Roman" w:eastAsia="Calibri" w:hAnsi="Times New Roman" w:cs="Times New Roman"/>
      <w:sz w:val="20"/>
      <w:szCs w:val="20"/>
      <w:lang w:eastAsia="en-US"/>
    </w:rPr>
  </w:style>
  <w:style w:type="character" w:customStyle="1" w:styleId="Heading5Char">
    <w:name w:val="Heading 5 Char"/>
    <w:link w:val="Heading5"/>
    <w:semiHidden/>
    <w:rsid w:val="003B4550"/>
    <w:rPr>
      <w:rFonts w:ascii="Times New Roman" w:eastAsia="Calibri" w:hAnsi="Times New Roman" w:cs="Times New Roman"/>
      <w:sz w:val="20"/>
      <w:szCs w:val="20"/>
      <w:lang w:eastAsia="en-US"/>
    </w:rPr>
  </w:style>
  <w:style w:type="character" w:customStyle="1" w:styleId="Heading6Char">
    <w:name w:val="Heading 6 Char"/>
    <w:link w:val="Heading6"/>
    <w:semiHidden/>
    <w:rsid w:val="003B4550"/>
    <w:rPr>
      <w:rFonts w:ascii="Times New Roman" w:eastAsia="Calibri" w:hAnsi="Times New Roman" w:cs="Times New Roman"/>
      <w:sz w:val="20"/>
      <w:szCs w:val="20"/>
      <w:lang w:eastAsia="en-US"/>
    </w:rPr>
  </w:style>
  <w:style w:type="character" w:customStyle="1" w:styleId="Heading7Char">
    <w:name w:val="Heading 7 Char"/>
    <w:link w:val="Heading7"/>
    <w:semiHidden/>
    <w:rsid w:val="003B4550"/>
    <w:rPr>
      <w:rFonts w:ascii="Times New Roman" w:eastAsia="Calibri" w:hAnsi="Times New Roman" w:cs="Times New Roman"/>
      <w:sz w:val="20"/>
      <w:szCs w:val="20"/>
      <w:lang w:eastAsia="en-US"/>
    </w:rPr>
  </w:style>
  <w:style w:type="character" w:customStyle="1" w:styleId="Heading8Char">
    <w:name w:val="Heading 8 Char"/>
    <w:link w:val="Heading8"/>
    <w:semiHidden/>
    <w:rsid w:val="003B4550"/>
    <w:rPr>
      <w:rFonts w:ascii="Times New Roman" w:eastAsia="Calibri" w:hAnsi="Times New Roman" w:cs="Times New Roman"/>
      <w:sz w:val="20"/>
      <w:szCs w:val="20"/>
      <w:lang w:eastAsia="en-US"/>
    </w:rPr>
  </w:style>
  <w:style w:type="character" w:customStyle="1" w:styleId="Heading9Char">
    <w:name w:val="Heading 9 Char"/>
    <w:link w:val="Heading9"/>
    <w:semiHidden/>
    <w:rsid w:val="003B4550"/>
    <w:rPr>
      <w:rFonts w:ascii="Times New Roman" w:eastAsia="Calibr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paragraph" w:styleId="BalloonText">
    <w:name w:val="Balloon Text"/>
    <w:basedOn w:val="Normal"/>
    <w:link w:val="BalloonTextChar"/>
    <w:uiPriority w:val="99"/>
    <w:semiHidden/>
    <w:unhideWhenUsed/>
    <w:rsid w:val="00AF487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F4876"/>
    <w:rPr>
      <w:rFonts w:ascii="Tahoma" w:eastAsia="Calibri" w:hAnsi="Tahoma" w:cs="Tahoma"/>
      <w:sz w:val="16"/>
      <w:szCs w:val="16"/>
      <w:lang w:eastAsia="en-US"/>
    </w:rPr>
  </w:style>
  <w:style w:type="table" w:styleId="TableGrid">
    <w:name w:val="Table Grid"/>
    <w:basedOn w:val="TableNormal"/>
    <w:rsid w:val="004A2814"/>
    <w:pPr>
      <w:suppressAutoHyphens/>
      <w:spacing w:line="240" w:lineRule="atLeast"/>
    </w:pPr>
    <w:rPr>
      <w:rFonts w:ascii="Times New Roman" w:eastAsia="Calibri"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4068C2"/>
    <w:pPr>
      <w:suppressAutoHyphens w:val="0"/>
      <w:kinsoku/>
      <w:overflowPunct/>
      <w:autoSpaceDE/>
      <w:autoSpaceDN/>
      <w:adjustRightInd/>
      <w:snapToGrid/>
      <w:spacing w:line="240" w:lineRule="auto"/>
      <w:ind w:left="720"/>
      <w:contextualSpacing/>
    </w:pPr>
    <w:rPr>
      <w:rFonts w:asciiTheme="minorHAnsi" w:eastAsiaTheme="minorEastAsia" w:hAnsiTheme="minorHAnsi" w:cstheme="minorBidi"/>
      <w:noProof/>
      <w:lang w:val="fr-FR" w:eastAsia="da-DK"/>
    </w:rPr>
  </w:style>
  <w:style w:type="character" w:styleId="CommentReference">
    <w:name w:val="annotation reference"/>
    <w:basedOn w:val="DefaultParagraphFont"/>
    <w:uiPriority w:val="99"/>
    <w:semiHidden/>
    <w:unhideWhenUsed/>
    <w:rsid w:val="004068C2"/>
    <w:rPr>
      <w:sz w:val="16"/>
      <w:szCs w:val="16"/>
    </w:rPr>
  </w:style>
  <w:style w:type="paragraph" w:styleId="CommentText">
    <w:name w:val="annotation text"/>
    <w:basedOn w:val="Normal"/>
    <w:link w:val="CommentTextChar"/>
    <w:uiPriority w:val="99"/>
    <w:unhideWhenUsed/>
    <w:rsid w:val="00FC4D7F"/>
    <w:pPr>
      <w:spacing w:line="240" w:lineRule="auto"/>
    </w:pPr>
  </w:style>
  <w:style w:type="character" w:customStyle="1" w:styleId="CommentTextChar">
    <w:name w:val="Comment Text Char"/>
    <w:basedOn w:val="DefaultParagraphFont"/>
    <w:link w:val="CommentText"/>
    <w:uiPriority w:val="99"/>
    <w:rsid w:val="00FC4D7F"/>
    <w:rPr>
      <w:rFonts w:ascii="Times New Roman" w:eastAsia="Calibri"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FC4D7F"/>
    <w:rPr>
      <w:b/>
      <w:bCs/>
    </w:rPr>
  </w:style>
  <w:style w:type="character" w:customStyle="1" w:styleId="CommentSubjectChar">
    <w:name w:val="Comment Subject Char"/>
    <w:basedOn w:val="CommentTextChar"/>
    <w:link w:val="CommentSubject"/>
    <w:uiPriority w:val="99"/>
    <w:semiHidden/>
    <w:rsid w:val="00FC4D7F"/>
    <w:rPr>
      <w:rFonts w:ascii="Times New Roman" w:eastAsia="Calibri" w:hAnsi="Times New Roman" w:cs="Times New Roman"/>
      <w:b/>
      <w:bCs/>
      <w:lang w:eastAsia="en-US"/>
    </w:rPr>
  </w:style>
  <w:style w:type="paragraph" w:customStyle="1" w:styleId="Char2">
    <w:name w:val="Char2"/>
    <w:basedOn w:val="Normal"/>
    <w:link w:val="FootnoteReference"/>
    <w:rsid w:val="004F3641"/>
    <w:pPr>
      <w:suppressAutoHyphens w:val="0"/>
      <w:kinsoku/>
      <w:overflowPunct/>
      <w:autoSpaceDE/>
      <w:autoSpaceDN/>
      <w:adjustRightInd/>
      <w:snapToGrid/>
      <w:spacing w:after="160" w:line="240" w:lineRule="exact"/>
    </w:pPr>
    <w:rPr>
      <w:rFonts w:eastAsia="SimSun" w:cs="Arial"/>
      <w:sz w:val="18"/>
      <w:vertAlign w:val="superscript"/>
      <w:lang w:eastAsia="en-GB"/>
    </w:rPr>
  </w:style>
  <w:style w:type="paragraph" w:customStyle="1" w:styleId="s2">
    <w:name w:val="s2"/>
    <w:basedOn w:val="Normal"/>
    <w:rsid w:val="009D4782"/>
    <w:pPr>
      <w:suppressAutoHyphens w:val="0"/>
      <w:kinsoku/>
      <w:overflowPunct/>
      <w:autoSpaceDE/>
      <w:autoSpaceDN/>
      <w:adjustRightInd/>
      <w:snapToGrid/>
      <w:spacing w:before="100" w:beforeAutospacing="1" w:after="100" w:afterAutospacing="1" w:line="240" w:lineRule="auto"/>
    </w:pPr>
    <w:rPr>
      <w:rFonts w:eastAsia="Times New Roman"/>
    </w:rPr>
  </w:style>
  <w:style w:type="paragraph" w:customStyle="1" w:styleId="Body">
    <w:name w:val="Body"/>
    <w:rsid w:val="00A530B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customStyle="1" w:styleId="Default">
    <w:name w:val="Default"/>
    <w:rsid w:val="00A530B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customStyle="1" w:styleId="Footnote">
    <w:name w:val="Footnote"/>
    <w:rsid w:val="00A530BD"/>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 w:type="character" w:customStyle="1" w:styleId="Hyperlink0">
    <w:name w:val="Hyperlink.0"/>
    <w:basedOn w:val="Hyperlink"/>
    <w:rsid w:val="00A530BD"/>
    <w:rPr>
      <w:color w:val="0000FF" w:themeColor="hyperlink"/>
      <w:u w:val="single"/>
    </w:rPr>
  </w:style>
  <w:style w:type="character" w:styleId="Hyperlink">
    <w:name w:val="Hyperlink"/>
    <w:basedOn w:val="DefaultParagraphFont"/>
    <w:unhideWhenUsed/>
    <w:qFormat/>
    <w:rsid w:val="00A530BD"/>
    <w:rPr>
      <w:color w:val="0000FF" w:themeColor="hyperlink"/>
      <w:u w:val="single"/>
    </w:rPr>
  </w:style>
  <w:style w:type="numbering" w:customStyle="1" w:styleId="Dash">
    <w:name w:val="Dash"/>
    <w:rsid w:val="00A530BD"/>
    <w:pPr>
      <w:numPr>
        <w:numId w:val="20"/>
      </w:numPr>
    </w:pPr>
  </w:style>
  <w:style w:type="character" w:customStyle="1" w:styleId="hps">
    <w:name w:val="hps"/>
    <w:basedOn w:val="DefaultParagraphFont"/>
    <w:rsid w:val="00BD6B56"/>
  </w:style>
  <w:style w:type="paragraph" w:styleId="NormalWeb">
    <w:name w:val="Normal (Web)"/>
    <w:basedOn w:val="Normal"/>
    <w:uiPriority w:val="99"/>
    <w:unhideWhenUsed/>
    <w:rsid w:val="005106FD"/>
    <w:pPr>
      <w:suppressAutoHyphens w:val="0"/>
      <w:kinsoku/>
      <w:overflowPunct/>
      <w:autoSpaceDE/>
      <w:autoSpaceDN/>
      <w:adjustRightInd/>
      <w:snapToGrid/>
      <w:spacing w:before="100" w:beforeAutospacing="1" w:after="100" w:afterAutospacing="1" w:line="240" w:lineRule="auto"/>
    </w:pPr>
    <w:rPr>
      <w:rFonts w:eastAsia="Times New Roman"/>
      <w:lang w:eastAsia="en-GB"/>
    </w:rPr>
  </w:style>
  <w:style w:type="character" w:styleId="Strong">
    <w:name w:val="Strong"/>
    <w:basedOn w:val="DefaultParagraphFont"/>
    <w:uiPriority w:val="22"/>
    <w:qFormat/>
    <w:rsid w:val="005106FD"/>
    <w:rPr>
      <w:b/>
      <w:bCs/>
    </w:rPr>
  </w:style>
  <w:style w:type="character" w:styleId="Emphasis">
    <w:name w:val="Emphasis"/>
    <w:basedOn w:val="DefaultParagraphFont"/>
    <w:uiPriority w:val="20"/>
    <w:qFormat/>
    <w:rsid w:val="00F20F34"/>
    <w:rPr>
      <w:i/>
      <w:iCs/>
    </w:rPr>
  </w:style>
  <w:style w:type="paragraph" w:customStyle="1" w:styleId="Pa12">
    <w:name w:val="Pa12"/>
    <w:basedOn w:val="Default"/>
    <w:next w:val="Default"/>
    <w:uiPriority w:val="99"/>
    <w:rsid w:val="0024319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1" w:lineRule="atLeast"/>
    </w:pPr>
    <w:rPr>
      <w:rFonts w:ascii="Arial" w:eastAsia="SimSun" w:hAnsi="Arial" w:cs="Arial"/>
      <w:color w:val="auto"/>
      <w:sz w:val="24"/>
      <w:szCs w:val="24"/>
      <w:bdr w:val="none" w:sz="0" w:space="0" w:color="auto"/>
      <w:lang w:val="en-GB" w:eastAsia="en-GB"/>
    </w:rPr>
  </w:style>
  <w:style w:type="character" w:customStyle="1" w:styleId="A6">
    <w:name w:val="A6"/>
    <w:uiPriority w:val="99"/>
    <w:rsid w:val="00243194"/>
    <w:rPr>
      <w:color w:val="000000"/>
      <w:sz w:val="12"/>
      <w:szCs w:val="12"/>
    </w:rPr>
  </w:style>
  <w:style w:type="character" w:styleId="FollowedHyperlink">
    <w:name w:val="FollowedHyperlink"/>
    <w:basedOn w:val="DefaultParagraphFont"/>
    <w:semiHidden/>
    <w:unhideWhenUsed/>
    <w:qFormat/>
    <w:rsid w:val="009932D2"/>
    <w:rPr>
      <w:color w:val="800080" w:themeColor="followedHyperlink"/>
      <w:u w:val="single"/>
    </w:rPr>
  </w:style>
  <w:style w:type="paragraph" w:styleId="Revision">
    <w:name w:val="Revision"/>
    <w:hidden/>
    <w:uiPriority w:val="99"/>
    <w:semiHidden/>
    <w:rsid w:val="00BE5E84"/>
    <w:rPr>
      <w:rFonts w:ascii="Times New Roman" w:eastAsia="Calibri" w:hAnsi="Times New Roman" w:cs="Times New Roman"/>
      <w:lang w:eastAsia="en-US"/>
    </w:rPr>
  </w:style>
  <w:style w:type="character" w:customStyle="1" w:styleId="category1">
    <w:name w:val="category1"/>
    <w:basedOn w:val="DefaultParagraphFont"/>
    <w:rsid w:val="00E43C4F"/>
    <w:rPr>
      <w:rFonts w:ascii="Verdana" w:hAnsi="Verdana" w:hint="default"/>
      <w:b/>
      <w:bCs/>
      <w:caps w:val="0"/>
      <w:color w:val="666666"/>
      <w:spacing w:val="1"/>
      <w:sz w:val="17"/>
      <w:szCs w:val="17"/>
    </w:rPr>
  </w:style>
  <w:style w:type="character" w:customStyle="1" w:styleId="categorydata2">
    <w:name w:val="category_data2"/>
    <w:basedOn w:val="DefaultParagraphFont"/>
    <w:rsid w:val="00E43C4F"/>
    <w:rPr>
      <w:rFonts w:ascii="Arial" w:hAnsi="Arial" w:cs="Arial" w:hint="default"/>
      <w:color w:val="707070"/>
      <w:spacing w:val="15"/>
      <w:sz w:val="17"/>
      <w:szCs w:val="17"/>
    </w:rPr>
  </w:style>
  <w:style w:type="paragraph" w:customStyle="1" w:styleId="SingleTxt">
    <w:name w:val="__Single Txt"/>
    <w:basedOn w:val="Normal"/>
    <w:rsid w:val="00FC5DF7"/>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pPr>
    <w:rPr>
      <w:spacing w:val="4"/>
      <w:w w:val="103"/>
      <w:kern w:val="14"/>
    </w:rPr>
  </w:style>
  <w:style w:type="character" w:customStyle="1" w:styleId="SingleTxtGChar">
    <w:name w:val="_ Single Txt_G Char"/>
    <w:link w:val="SingleTxtG"/>
    <w:rsid w:val="005B4D4A"/>
    <w:rPr>
      <w:rFonts w:ascii="Times New Roman" w:eastAsia="Calibri" w:hAnsi="Times New Roman" w:cs="Times New Roman"/>
      <w:lang w:eastAsia="en-US"/>
    </w:rPr>
  </w:style>
  <w:style w:type="character" w:customStyle="1" w:styleId="apple-converted-space">
    <w:name w:val="apple-converted-space"/>
    <w:basedOn w:val="DefaultParagraphFont"/>
    <w:rsid w:val="00DA4F81"/>
  </w:style>
  <w:style w:type="paragraph" w:customStyle="1" w:styleId="singletxtg0">
    <w:name w:val="singletxtg"/>
    <w:basedOn w:val="Normal"/>
    <w:rsid w:val="00D63DB2"/>
    <w:pPr>
      <w:suppressAutoHyphens w:val="0"/>
      <w:kinsoku/>
      <w:overflowPunct/>
      <w:autoSpaceDE/>
      <w:autoSpaceDN/>
      <w:adjustRightInd/>
      <w:snapToGrid/>
      <w:spacing w:before="100" w:beforeAutospacing="1" w:after="100" w:afterAutospacing="1" w:line="240" w:lineRule="auto"/>
    </w:pPr>
    <w:rPr>
      <w:rFonts w:eastAsia="Times New Roman"/>
      <w:lang w:eastAsia="en-GB"/>
    </w:rPr>
  </w:style>
  <w:style w:type="numbering" w:customStyle="1" w:styleId="Style1">
    <w:name w:val="Style1"/>
    <w:uiPriority w:val="99"/>
    <w:rsid w:val="002568BE"/>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6132">
      <w:bodyDiv w:val="1"/>
      <w:marLeft w:val="0"/>
      <w:marRight w:val="0"/>
      <w:marTop w:val="0"/>
      <w:marBottom w:val="0"/>
      <w:divBdr>
        <w:top w:val="none" w:sz="0" w:space="0" w:color="auto"/>
        <w:left w:val="none" w:sz="0" w:space="0" w:color="auto"/>
        <w:bottom w:val="none" w:sz="0" w:space="0" w:color="auto"/>
        <w:right w:val="none" w:sz="0" w:space="0" w:color="auto"/>
      </w:divBdr>
      <w:divsChild>
        <w:div w:id="632751391">
          <w:marLeft w:val="0"/>
          <w:marRight w:val="0"/>
          <w:marTop w:val="0"/>
          <w:marBottom w:val="0"/>
          <w:divBdr>
            <w:top w:val="none" w:sz="0" w:space="0" w:color="auto"/>
            <w:left w:val="none" w:sz="0" w:space="0" w:color="auto"/>
            <w:bottom w:val="none" w:sz="0" w:space="0" w:color="auto"/>
            <w:right w:val="none" w:sz="0" w:space="0" w:color="auto"/>
          </w:divBdr>
          <w:divsChild>
            <w:div w:id="1607691793">
              <w:marLeft w:val="0"/>
              <w:marRight w:val="0"/>
              <w:marTop w:val="0"/>
              <w:marBottom w:val="0"/>
              <w:divBdr>
                <w:top w:val="none" w:sz="0" w:space="0" w:color="auto"/>
                <w:left w:val="none" w:sz="0" w:space="0" w:color="auto"/>
                <w:bottom w:val="none" w:sz="0" w:space="0" w:color="auto"/>
                <w:right w:val="none" w:sz="0" w:space="0" w:color="auto"/>
              </w:divBdr>
              <w:divsChild>
                <w:div w:id="517816637">
                  <w:marLeft w:val="0"/>
                  <w:marRight w:val="0"/>
                  <w:marTop w:val="0"/>
                  <w:marBottom w:val="0"/>
                  <w:divBdr>
                    <w:top w:val="none" w:sz="0" w:space="0" w:color="auto"/>
                    <w:left w:val="none" w:sz="0" w:space="0" w:color="auto"/>
                    <w:bottom w:val="none" w:sz="0" w:space="0" w:color="auto"/>
                    <w:right w:val="none" w:sz="0" w:space="0" w:color="auto"/>
                  </w:divBdr>
                  <w:divsChild>
                    <w:div w:id="1946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57601">
      <w:bodyDiv w:val="1"/>
      <w:marLeft w:val="0"/>
      <w:marRight w:val="0"/>
      <w:marTop w:val="0"/>
      <w:marBottom w:val="0"/>
      <w:divBdr>
        <w:top w:val="none" w:sz="0" w:space="0" w:color="auto"/>
        <w:left w:val="none" w:sz="0" w:space="0" w:color="auto"/>
        <w:bottom w:val="none" w:sz="0" w:space="0" w:color="auto"/>
        <w:right w:val="none" w:sz="0" w:space="0" w:color="auto"/>
      </w:divBdr>
      <w:divsChild>
        <w:div w:id="951013261">
          <w:marLeft w:val="432"/>
          <w:marRight w:val="0"/>
          <w:marTop w:val="115"/>
          <w:marBottom w:val="0"/>
          <w:divBdr>
            <w:top w:val="none" w:sz="0" w:space="0" w:color="auto"/>
            <w:left w:val="none" w:sz="0" w:space="0" w:color="auto"/>
            <w:bottom w:val="none" w:sz="0" w:space="0" w:color="auto"/>
            <w:right w:val="none" w:sz="0" w:space="0" w:color="auto"/>
          </w:divBdr>
        </w:div>
        <w:div w:id="1081101887">
          <w:marLeft w:val="432"/>
          <w:marRight w:val="0"/>
          <w:marTop w:val="115"/>
          <w:marBottom w:val="0"/>
          <w:divBdr>
            <w:top w:val="none" w:sz="0" w:space="0" w:color="auto"/>
            <w:left w:val="none" w:sz="0" w:space="0" w:color="auto"/>
            <w:bottom w:val="none" w:sz="0" w:space="0" w:color="auto"/>
            <w:right w:val="none" w:sz="0" w:space="0" w:color="auto"/>
          </w:divBdr>
        </w:div>
        <w:div w:id="2081054125">
          <w:marLeft w:val="432"/>
          <w:marRight w:val="0"/>
          <w:marTop w:val="115"/>
          <w:marBottom w:val="0"/>
          <w:divBdr>
            <w:top w:val="none" w:sz="0" w:space="0" w:color="auto"/>
            <w:left w:val="none" w:sz="0" w:space="0" w:color="auto"/>
            <w:bottom w:val="none" w:sz="0" w:space="0" w:color="auto"/>
            <w:right w:val="none" w:sz="0" w:space="0" w:color="auto"/>
          </w:divBdr>
        </w:div>
      </w:divsChild>
    </w:div>
    <w:div w:id="207232030">
      <w:bodyDiv w:val="1"/>
      <w:marLeft w:val="0"/>
      <w:marRight w:val="0"/>
      <w:marTop w:val="0"/>
      <w:marBottom w:val="0"/>
      <w:divBdr>
        <w:top w:val="none" w:sz="0" w:space="0" w:color="auto"/>
        <w:left w:val="none" w:sz="0" w:space="0" w:color="auto"/>
        <w:bottom w:val="none" w:sz="0" w:space="0" w:color="auto"/>
        <w:right w:val="none" w:sz="0" w:space="0" w:color="auto"/>
      </w:divBdr>
    </w:div>
    <w:div w:id="242377768">
      <w:bodyDiv w:val="1"/>
      <w:marLeft w:val="0"/>
      <w:marRight w:val="0"/>
      <w:marTop w:val="0"/>
      <w:marBottom w:val="0"/>
      <w:divBdr>
        <w:top w:val="none" w:sz="0" w:space="0" w:color="auto"/>
        <w:left w:val="none" w:sz="0" w:space="0" w:color="auto"/>
        <w:bottom w:val="none" w:sz="0" w:space="0" w:color="auto"/>
        <w:right w:val="none" w:sz="0" w:space="0" w:color="auto"/>
      </w:divBdr>
    </w:div>
    <w:div w:id="425662696">
      <w:bodyDiv w:val="1"/>
      <w:marLeft w:val="0"/>
      <w:marRight w:val="0"/>
      <w:marTop w:val="0"/>
      <w:marBottom w:val="0"/>
      <w:divBdr>
        <w:top w:val="none" w:sz="0" w:space="0" w:color="auto"/>
        <w:left w:val="none" w:sz="0" w:space="0" w:color="auto"/>
        <w:bottom w:val="none" w:sz="0" w:space="0" w:color="auto"/>
        <w:right w:val="none" w:sz="0" w:space="0" w:color="auto"/>
      </w:divBdr>
      <w:divsChild>
        <w:div w:id="76178627">
          <w:marLeft w:val="432"/>
          <w:marRight w:val="0"/>
          <w:marTop w:val="115"/>
          <w:marBottom w:val="0"/>
          <w:divBdr>
            <w:top w:val="none" w:sz="0" w:space="0" w:color="auto"/>
            <w:left w:val="none" w:sz="0" w:space="0" w:color="auto"/>
            <w:bottom w:val="none" w:sz="0" w:space="0" w:color="auto"/>
            <w:right w:val="none" w:sz="0" w:space="0" w:color="auto"/>
          </w:divBdr>
        </w:div>
        <w:div w:id="561141088">
          <w:marLeft w:val="432"/>
          <w:marRight w:val="0"/>
          <w:marTop w:val="115"/>
          <w:marBottom w:val="0"/>
          <w:divBdr>
            <w:top w:val="none" w:sz="0" w:space="0" w:color="auto"/>
            <w:left w:val="none" w:sz="0" w:space="0" w:color="auto"/>
            <w:bottom w:val="none" w:sz="0" w:space="0" w:color="auto"/>
            <w:right w:val="none" w:sz="0" w:space="0" w:color="auto"/>
          </w:divBdr>
        </w:div>
        <w:div w:id="1295868290">
          <w:marLeft w:val="432"/>
          <w:marRight w:val="0"/>
          <w:marTop w:val="115"/>
          <w:marBottom w:val="0"/>
          <w:divBdr>
            <w:top w:val="none" w:sz="0" w:space="0" w:color="auto"/>
            <w:left w:val="none" w:sz="0" w:space="0" w:color="auto"/>
            <w:bottom w:val="none" w:sz="0" w:space="0" w:color="auto"/>
            <w:right w:val="none" w:sz="0" w:space="0" w:color="auto"/>
          </w:divBdr>
        </w:div>
        <w:div w:id="1595280796">
          <w:marLeft w:val="432"/>
          <w:marRight w:val="0"/>
          <w:marTop w:val="115"/>
          <w:marBottom w:val="0"/>
          <w:divBdr>
            <w:top w:val="none" w:sz="0" w:space="0" w:color="auto"/>
            <w:left w:val="none" w:sz="0" w:space="0" w:color="auto"/>
            <w:bottom w:val="none" w:sz="0" w:space="0" w:color="auto"/>
            <w:right w:val="none" w:sz="0" w:space="0" w:color="auto"/>
          </w:divBdr>
        </w:div>
        <w:div w:id="1894924238">
          <w:marLeft w:val="432"/>
          <w:marRight w:val="0"/>
          <w:marTop w:val="115"/>
          <w:marBottom w:val="0"/>
          <w:divBdr>
            <w:top w:val="none" w:sz="0" w:space="0" w:color="auto"/>
            <w:left w:val="none" w:sz="0" w:space="0" w:color="auto"/>
            <w:bottom w:val="none" w:sz="0" w:space="0" w:color="auto"/>
            <w:right w:val="none" w:sz="0" w:space="0" w:color="auto"/>
          </w:divBdr>
        </w:div>
      </w:divsChild>
    </w:div>
    <w:div w:id="442573830">
      <w:bodyDiv w:val="1"/>
      <w:marLeft w:val="0"/>
      <w:marRight w:val="0"/>
      <w:marTop w:val="0"/>
      <w:marBottom w:val="0"/>
      <w:divBdr>
        <w:top w:val="none" w:sz="0" w:space="0" w:color="auto"/>
        <w:left w:val="none" w:sz="0" w:space="0" w:color="auto"/>
        <w:bottom w:val="none" w:sz="0" w:space="0" w:color="auto"/>
        <w:right w:val="none" w:sz="0" w:space="0" w:color="auto"/>
      </w:divBdr>
      <w:divsChild>
        <w:div w:id="1814759895">
          <w:marLeft w:val="0"/>
          <w:marRight w:val="0"/>
          <w:marTop w:val="0"/>
          <w:marBottom w:val="0"/>
          <w:divBdr>
            <w:top w:val="none" w:sz="0" w:space="0" w:color="auto"/>
            <w:left w:val="none" w:sz="0" w:space="0" w:color="auto"/>
            <w:bottom w:val="none" w:sz="0" w:space="0" w:color="auto"/>
            <w:right w:val="none" w:sz="0" w:space="0" w:color="auto"/>
          </w:divBdr>
          <w:divsChild>
            <w:div w:id="1508448687">
              <w:marLeft w:val="105"/>
              <w:marRight w:val="105"/>
              <w:marTop w:val="105"/>
              <w:marBottom w:val="105"/>
              <w:divBdr>
                <w:top w:val="none" w:sz="0" w:space="0" w:color="auto"/>
                <w:left w:val="none" w:sz="0" w:space="0" w:color="auto"/>
                <w:bottom w:val="none" w:sz="0" w:space="0" w:color="auto"/>
                <w:right w:val="none" w:sz="0" w:space="0" w:color="auto"/>
              </w:divBdr>
            </w:div>
          </w:divsChild>
        </w:div>
      </w:divsChild>
    </w:div>
    <w:div w:id="466051178">
      <w:bodyDiv w:val="1"/>
      <w:marLeft w:val="0"/>
      <w:marRight w:val="0"/>
      <w:marTop w:val="0"/>
      <w:marBottom w:val="0"/>
      <w:divBdr>
        <w:top w:val="none" w:sz="0" w:space="0" w:color="auto"/>
        <w:left w:val="none" w:sz="0" w:space="0" w:color="auto"/>
        <w:bottom w:val="none" w:sz="0" w:space="0" w:color="auto"/>
        <w:right w:val="none" w:sz="0" w:space="0" w:color="auto"/>
      </w:divBdr>
      <w:divsChild>
        <w:div w:id="632563899">
          <w:marLeft w:val="0"/>
          <w:marRight w:val="0"/>
          <w:marTop w:val="0"/>
          <w:marBottom w:val="0"/>
          <w:divBdr>
            <w:top w:val="none" w:sz="0" w:space="0" w:color="auto"/>
            <w:left w:val="none" w:sz="0" w:space="0" w:color="auto"/>
            <w:bottom w:val="none" w:sz="0" w:space="0" w:color="auto"/>
            <w:right w:val="none" w:sz="0" w:space="0" w:color="auto"/>
          </w:divBdr>
          <w:divsChild>
            <w:div w:id="1866014693">
              <w:marLeft w:val="0"/>
              <w:marRight w:val="0"/>
              <w:marTop w:val="0"/>
              <w:marBottom w:val="0"/>
              <w:divBdr>
                <w:top w:val="none" w:sz="0" w:space="0" w:color="auto"/>
                <w:left w:val="none" w:sz="0" w:space="0" w:color="auto"/>
                <w:bottom w:val="none" w:sz="0" w:space="0" w:color="auto"/>
                <w:right w:val="none" w:sz="0" w:space="0" w:color="auto"/>
              </w:divBdr>
              <w:divsChild>
                <w:div w:id="1053886200">
                  <w:marLeft w:val="0"/>
                  <w:marRight w:val="0"/>
                  <w:marTop w:val="0"/>
                  <w:marBottom w:val="0"/>
                  <w:divBdr>
                    <w:top w:val="none" w:sz="0" w:space="0" w:color="auto"/>
                    <w:left w:val="none" w:sz="0" w:space="0" w:color="auto"/>
                    <w:bottom w:val="none" w:sz="0" w:space="0" w:color="auto"/>
                    <w:right w:val="none" w:sz="0" w:space="0" w:color="auto"/>
                  </w:divBdr>
                  <w:divsChild>
                    <w:div w:id="1745489422">
                      <w:marLeft w:val="0"/>
                      <w:marRight w:val="0"/>
                      <w:marTop w:val="0"/>
                      <w:marBottom w:val="0"/>
                      <w:divBdr>
                        <w:top w:val="none" w:sz="0" w:space="0" w:color="auto"/>
                        <w:left w:val="none" w:sz="0" w:space="0" w:color="auto"/>
                        <w:bottom w:val="none" w:sz="0" w:space="0" w:color="auto"/>
                        <w:right w:val="none" w:sz="0" w:space="0" w:color="auto"/>
                      </w:divBdr>
                      <w:divsChild>
                        <w:div w:id="1539198861">
                          <w:marLeft w:val="0"/>
                          <w:marRight w:val="0"/>
                          <w:marTop w:val="0"/>
                          <w:marBottom w:val="0"/>
                          <w:divBdr>
                            <w:top w:val="none" w:sz="0" w:space="0" w:color="auto"/>
                            <w:left w:val="none" w:sz="0" w:space="0" w:color="auto"/>
                            <w:bottom w:val="none" w:sz="0" w:space="0" w:color="auto"/>
                            <w:right w:val="none" w:sz="0" w:space="0" w:color="auto"/>
                          </w:divBdr>
                          <w:divsChild>
                            <w:div w:id="504057310">
                              <w:marLeft w:val="0"/>
                              <w:marRight w:val="0"/>
                              <w:marTop w:val="0"/>
                              <w:marBottom w:val="0"/>
                              <w:divBdr>
                                <w:top w:val="none" w:sz="0" w:space="0" w:color="auto"/>
                                <w:left w:val="none" w:sz="0" w:space="0" w:color="auto"/>
                                <w:bottom w:val="none" w:sz="0" w:space="0" w:color="auto"/>
                                <w:right w:val="none" w:sz="0" w:space="0" w:color="auto"/>
                              </w:divBdr>
                              <w:divsChild>
                                <w:div w:id="566457541">
                                  <w:marLeft w:val="0"/>
                                  <w:marRight w:val="0"/>
                                  <w:marTop w:val="0"/>
                                  <w:marBottom w:val="0"/>
                                  <w:divBdr>
                                    <w:top w:val="none" w:sz="0" w:space="0" w:color="auto"/>
                                    <w:left w:val="none" w:sz="0" w:space="0" w:color="auto"/>
                                    <w:bottom w:val="none" w:sz="0" w:space="0" w:color="auto"/>
                                    <w:right w:val="none" w:sz="0" w:space="0" w:color="auto"/>
                                  </w:divBdr>
                                </w:div>
                                <w:div w:id="1303971882">
                                  <w:marLeft w:val="0"/>
                                  <w:marRight w:val="0"/>
                                  <w:marTop w:val="0"/>
                                  <w:marBottom w:val="0"/>
                                  <w:divBdr>
                                    <w:top w:val="none" w:sz="0" w:space="0" w:color="auto"/>
                                    <w:left w:val="none" w:sz="0" w:space="0" w:color="auto"/>
                                    <w:bottom w:val="none" w:sz="0" w:space="0" w:color="auto"/>
                                    <w:right w:val="none" w:sz="0" w:space="0" w:color="auto"/>
                                  </w:divBdr>
                                </w:div>
                                <w:div w:id="15449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369455">
      <w:bodyDiv w:val="1"/>
      <w:marLeft w:val="0"/>
      <w:marRight w:val="0"/>
      <w:marTop w:val="0"/>
      <w:marBottom w:val="0"/>
      <w:divBdr>
        <w:top w:val="none" w:sz="0" w:space="0" w:color="auto"/>
        <w:left w:val="none" w:sz="0" w:space="0" w:color="auto"/>
        <w:bottom w:val="none" w:sz="0" w:space="0" w:color="auto"/>
        <w:right w:val="none" w:sz="0" w:space="0" w:color="auto"/>
      </w:divBdr>
    </w:div>
    <w:div w:id="700782608">
      <w:bodyDiv w:val="1"/>
      <w:marLeft w:val="0"/>
      <w:marRight w:val="0"/>
      <w:marTop w:val="0"/>
      <w:marBottom w:val="0"/>
      <w:divBdr>
        <w:top w:val="none" w:sz="0" w:space="0" w:color="auto"/>
        <w:left w:val="none" w:sz="0" w:space="0" w:color="auto"/>
        <w:bottom w:val="none" w:sz="0" w:space="0" w:color="auto"/>
        <w:right w:val="none" w:sz="0" w:space="0" w:color="auto"/>
      </w:divBdr>
      <w:divsChild>
        <w:div w:id="520171416">
          <w:marLeft w:val="432"/>
          <w:marRight w:val="0"/>
          <w:marTop w:val="115"/>
          <w:marBottom w:val="0"/>
          <w:divBdr>
            <w:top w:val="none" w:sz="0" w:space="0" w:color="auto"/>
            <w:left w:val="none" w:sz="0" w:space="0" w:color="auto"/>
            <w:bottom w:val="none" w:sz="0" w:space="0" w:color="auto"/>
            <w:right w:val="none" w:sz="0" w:space="0" w:color="auto"/>
          </w:divBdr>
        </w:div>
        <w:div w:id="873691933">
          <w:marLeft w:val="432"/>
          <w:marRight w:val="0"/>
          <w:marTop w:val="115"/>
          <w:marBottom w:val="0"/>
          <w:divBdr>
            <w:top w:val="none" w:sz="0" w:space="0" w:color="auto"/>
            <w:left w:val="none" w:sz="0" w:space="0" w:color="auto"/>
            <w:bottom w:val="none" w:sz="0" w:space="0" w:color="auto"/>
            <w:right w:val="none" w:sz="0" w:space="0" w:color="auto"/>
          </w:divBdr>
        </w:div>
        <w:div w:id="935094318">
          <w:marLeft w:val="432"/>
          <w:marRight w:val="0"/>
          <w:marTop w:val="115"/>
          <w:marBottom w:val="0"/>
          <w:divBdr>
            <w:top w:val="none" w:sz="0" w:space="0" w:color="auto"/>
            <w:left w:val="none" w:sz="0" w:space="0" w:color="auto"/>
            <w:bottom w:val="none" w:sz="0" w:space="0" w:color="auto"/>
            <w:right w:val="none" w:sz="0" w:space="0" w:color="auto"/>
          </w:divBdr>
        </w:div>
        <w:div w:id="1050955415">
          <w:marLeft w:val="432"/>
          <w:marRight w:val="0"/>
          <w:marTop w:val="115"/>
          <w:marBottom w:val="0"/>
          <w:divBdr>
            <w:top w:val="none" w:sz="0" w:space="0" w:color="auto"/>
            <w:left w:val="none" w:sz="0" w:space="0" w:color="auto"/>
            <w:bottom w:val="none" w:sz="0" w:space="0" w:color="auto"/>
            <w:right w:val="none" w:sz="0" w:space="0" w:color="auto"/>
          </w:divBdr>
        </w:div>
        <w:div w:id="1849783645">
          <w:marLeft w:val="432"/>
          <w:marRight w:val="0"/>
          <w:marTop w:val="115"/>
          <w:marBottom w:val="0"/>
          <w:divBdr>
            <w:top w:val="none" w:sz="0" w:space="0" w:color="auto"/>
            <w:left w:val="none" w:sz="0" w:space="0" w:color="auto"/>
            <w:bottom w:val="none" w:sz="0" w:space="0" w:color="auto"/>
            <w:right w:val="none" w:sz="0" w:space="0" w:color="auto"/>
          </w:divBdr>
        </w:div>
        <w:div w:id="2141066144">
          <w:marLeft w:val="432"/>
          <w:marRight w:val="0"/>
          <w:marTop w:val="115"/>
          <w:marBottom w:val="0"/>
          <w:divBdr>
            <w:top w:val="none" w:sz="0" w:space="0" w:color="auto"/>
            <w:left w:val="none" w:sz="0" w:space="0" w:color="auto"/>
            <w:bottom w:val="none" w:sz="0" w:space="0" w:color="auto"/>
            <w:right w:val="none" w:sz="0" w:space="0" w:color="auto"/>
          </w:divBdr>
        </w:div>
      </w:divsChild>
    </w:div>
    <w:div w:id="792943613">
      <w:bodyDiv w:val="1"/>
      <w:marLeft w:val="0"/>
      <w:marRight w:val="0"/>
      <w:marTop w:val="0"/>
      <w:marBottom w:val="0"/>
      <w:divBdr>
        <w:top w:val="none" w:sz="0" w:space="0" w:color="auto"/>
        <w:left w:val="none" w:sz="0" w:space="0" w:color="auto"/>
        <w:bottom w:val="none" w:sz="0" w:space="0" w:color="auto"/>
        <w:right w:val="none" w:sz="0" w:space="0" w:color="auto"/>
      </w:divBdr>
      <w:divsChild>
        <w:div w:id="1886483292">
          <w:marLeft w:val="0"/>
          <w:marRight w:val="0"/>
          <w:marTop w:val="0"/>
          <w:marBottom w:val="0"/>
          <w:divBdr>
            <w:top w:val="none" w:sz="0" w:space="0" w:color="auto"/>
            <w:left w:val="none" w:sz="0" w:space="0" w:color="auto"/>
            <w:bottom w:val="none" w:sz="0" w:space="0" w:color="auto"/>
            <w:right w:val="none" w:sz="0" w:space="0" w:color="auto"/>
          </w:divBdr>
          <w:divsChild>
            <w:div w:id="1019353790">
              <w:marLeft w:val="1200"/>
              <w:marRight w:val="1200"/>
              <w:marTop w:val="150"/>
              <w:marBottom w:val="150"/>
              <w:divBdr>
                <w:top w:val="none" w:sz="0" w:space="0" w:color="auto"/>
                <w:left w:val="none" w:sz="0" w:space="0" w:color="auto"/>
                <w:bottom w:val="none" w:sz="0" w:space="0" w:color="auto"/>
                <w:right w:val="none" w:sz="0" w:space="0" w:color="auto"/>
              </w:divBdr>
              <w:divsChild>
                <w:div w:id="1043136730">
                  <w:marLeft w:val="0"/>
                  <w:marRight w:val="0"/>
                  <w:marTop w:val="0"/>
                  <w:marBottom w:val="0"/>
                  <w:divBdr>
                    <w:top w:val="none" w:sz="0" w:space="0" w:color="auto"/>
                    <w:left w:val="none" w:sz="0" w:space="0" w:color="auto"/>
                    <w:bottom w:val="none" w:sz="0" w:space="0" w:color="auto"/>
                    <w:right w:val="none" w:sz="0" w:space="0" w:color="auto"/>
                  </w:divBdr>
                  <w:divsChild>
                    <w:div w:id="108753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457355">
      <w:bodyDiv w:val="1"/>
      <w:marLeft w:val="0"/>
      <w:marRight w:val="0"/>
      <w:marTop w:val="0"/>
      <w:marBottom w:val="0"/>
      <w:divBdr>
        <w:top w:val="none" w:sz="0" w:space="0" w:color="auto"/>
        <w:left w:val="none" w:sz="0" w:space="0" w:color="auto"/>
        <w:bottom w:val="none" w:sz="0" w:space="0" w:color="auto"/>
        <w:right w:val="none" w:sz="0" w:space="0" w:color="auto"/>
      </w:divBdr>
      <w:divsChild>
        <w:div w:id="335615061">
          <w:marLeft w:val="0"/>
          <w:marRight w:val="0"/>
          <w:marTop w:val="0"/>
          <w:marBottom w:val="0"/>
          <w:divBdr>
            <w:top w:val="none" w:sz="0" w:space="0" w:color="auto"/>
            <w:left w:val="none" w:sz="0" w:space="0" w:color="auto"/>
            <w:bottom w:val="none" w:sz="0" w:space="0" w:color="auto"/>
            <w:right w:val="none" w:sz="0" w:space="0" w:color="auto"/>
          </w:divBdr>
        </w:div>
        <w:div w:id="327444561">
          <w:marLeft w:val="0"/>
          <w:marRight w:val="0"/>
          <w:marTop w:val="0"/>
          <w:marBottom w:val="0"/>
          <w:divBdr>
            <w:top w:val="none" w:sz="0" w:space="0" w:color="auto"/>
            <w:left w:val="none" w:sz="0" w:space="0" w:color="auto"/>
            <w:bottom w:val="none" w:sz="0" w:space="0" w:color="auto"/>
            <w:right w:val="none" w:sz="0" w:space="0" w:color="auto"/>
          </w:divBdr>
        </w:div>
        <w:div w:id="458038617">
          <w:marLeft w:val="0"/>
          <w:marRight w:val="0"/>
          <w:marTop w:val="0"/>
          <w:marBottom w:val="0"/>
          <w:divBdr>
            <w:top w:val="none" w:sz="0" w:space="0" w:color="auto"/>
            <w:left w:val="none" w:sz="0" w:space="0" w:color="auto"/>
            <w:bottom w:val="none" w:sz="0" w:space="0" w:color="auto"/>
            <w:right w:val="none" w:sz="0" w:space="0" w:color="auto"/>
          </w:divBdr>
        </w:div>
        <w:div w:id="1874657402">
          <w:marLeft w:val="0"/>
          <w:marRight w:val="0"/>
          <w:marTop w:val="0"/>
          <w:marBottom w:val="0"/>
          <w:divBdr>
            <w:top w:val="none" w:sz="0" w:space="0" w:color="auto"/>
            <w:left w:val="none" w:sz="0" w:space="0" w:color="auto"/>
            <w:bottom w:val="none" w:sz="0" w:space="0" w:color="auto"/>
            <w:right w:val="none" w:sz="0" w:space="0" w:color="auto"/>
          </w:divBdr>
        </w:div>
        <w:div w:id="1075930871">
          <w:marLeft w:val="0"/>
          <w:marRight w:val="0"/>
          <w:marTop w:val="0"/>
          <w:marBottom w:val="0"/>
          <w:divBdr>
            <w:top w:val="none" w:sz="0" w:space="0" w:color="auto"/>
            <w:left w:val="none" w:sz="0" w:space="0" w:color="auto"/>
            <w:bottom w:val="none" w:sz="0" w:space="0" w:color="auto"/>
            <w:right w:val="none" w:sz="0" w:space="0" w:color="auto"/>
          </w:divBdr>
        </w:div>
      </w:divsChild>
    </w:div>
    <w:div w:id="977145990">
      <w:bodyDiv w:val="1"/>
      <w:marLeft w:val="0"/>
      <w:marRight w:val="0"/>
      <w:marTop w:val="0"/>
      <w:marBottom w:val="0"/>
      <w:divBdr>
        <w:top w:val="none" w:sz="0" w:space="0" w:color="auto"/>
        <w:left w:val="none" w:sz="0" w:space="0" w:color="auto"/>
        <w:bottom w:val="none" w:sz="0" w:space="0" w:color="auto"/>
        <w:right w:val="none" w:sz="0" w:space="0" w:color="auto"/>
      </w:divBdr>
    </w:div>
    <w:div w:id="1052264320">
      <w:bodyDiv w:val="1"/>
      <w:marLeft w:val="0"/>
      <w:marRight w:val="0"/>
      <w:marTop w:val="0"/>
      <w:marBottom w:val="0"/>
      <w:divBdr>
        <w:top w:val="none" w:sz="0" w:space="0" w:color="auto"/>
        <w:left w:val="none" w:sz="0" w:space="0" w:color="auto"/>
        <w:bottom w:val="none" w:sz="0" w:space="0" w:color="auto"/>
        <w:right w:val="none" w:sz="0" w:space="0" w:color="auto"/>
      </w:divBdr>
    </w:div>
    <w:div w:id="1168718185">
      <w:bodyDiv w:val="1"/>
      <w:marLeft w:val="0"/>
      <w:marRight w:val="0"/>
      <w:marTop w:val="0"/>
      <w:marBottom w:val="0"/>
      <w:divBdr>
        <w:top w:val="none" w:sz="0" w:space="0" w:color="auto"/>
        <w:left w:val="none" w:sz="0" w:space="0" w:color="auto"/>
        <w:bottom w:val="none" w:sz="0" w:space="0" w:color="auto"/>
        <w:right w:val="none" w:sz="0" w:space="0" w:color="auto"/>
      </w:divBdr>
    </w:div>
    <w:div w:id="1554851892">
      <w:bodyDiv w:val="1"/>
      <w:marLeft w:val="0"/>
      <w:marRight w:val="0"/>
      <w:marTop w:val="0"/>
      <w:marBottom w:val="0"/>
      <w:divBdr>
        <w:top w:val="none" w:sz="0" w:space="0" w:color="auto"/>
        <w:left w:val="none" w:sz="0" w:space="0" w:color="auto"/>
        <w:bottom w:val="none" w:sz="0" w:space="0" w:color="auto"/>
        <w:right w:val="none" w:sz="0" w:space="0" w:color="auto"/>
      </w:divBdr>
    </w:div>
    <w:div w:id="1570723026">
      <w:bodyDiv w:val="1"/>
      <w:marLeft w:val="0"/>
      <w:marRight w:val="0"/>
      <w:marTop w:val="0"/>
      <w:marBottom w:val="0"/>
      <w:divBdr>
        <w:top w:val="none" w:sz="0" w:space="0" w:color="auto"/>
        <w:left w:val="none" w:sz="0" w:space="0" w:color="auto"/>
        <w:bottom w:val="none" w:sz="0" w:space="0" w:color="auto"/>
        <w:right w:val="none" w:sz="0" w:space="0" w:color="auto"/>
      </w:divBdr>
      <w:divsChild>
        <w:div w:id="1910456373">
          <w:marLeft w:val="0"/>
          <w:marRight w:val="0"/>
          <w:marTop w:val="0"/>
          <w:marBottom w:val="0"/>
          <w:divBdr>
            <w:top w:val="none" w:sz="0" w:space="0" w:color="auto"/>
            <w:left w:val="none" w:sz="0" w:space="0" w:color="auto"/>
            <w:bottom w:val="none" w:sz="0" w:space="0" w:color="auto"/>
            <w:right w:val="none" w:sz="0" w:space="0" w:color="auto"/>
          </w:divBdr>
          <w:divsChild>
            <w:div w:id="245263314">
              <w:marLeft w:val="1200"/>
              <w:marRight w:val="1200"/>
              <w:marTop w:val="150"/>
              <w:marBottom w:val="150"/>
              <w:divBdr>
                <w:top w:val="none" w:sz="0" w:space="0" w:color="auto"/>
                <w:left w:val="none" w:sz="0" w:space="0" w:color="auto"/>
                <w:bottom w:val="none" w:sz="0" w:space="0" w:color="auto"/>
                <w:right w:val="none" w:sz="0" w:space="0" w:color="auto"/>
              </w:divBdr>
              <w:divsChild>
                <w:div w:id="967665021">
                  <w:marLeft w:val="0"/>
                  <w:marRight w:val="0"/>
                  <w:marTop w:val="0"/>
                  <w:marBottom w:val="0"/>
                  <w:divBdr>
                    <w:top w:val="none" w:sz="0" w:space="0" w:color="auto"/>
                    <w:left w:val="none" w:sz="0" w:space="0" w:color="auto"/>
                    <w:bottom w:val="none" w:sz="0" w:space="0" w:color="auto"/>
                    <w:right w:val="none" w:sz="0" w:space="0" w:color="auto"/>
                  </w:divBdr>
                  <w:divsChild>
                    <w:div w:id="208117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72918">
      <w:bodyDiv w:val="1"/>
      <w:marLeft w:val="0"/>
      <w:marRight w:val="0"/>
      <w:marTop w:val="0"/>
      <w:marBottom w:val="0"/>
      <w:divBdr>
        <w:top w:val="none" w:sz="0" w:space="0" w:color="auto"/>
        <w:left w:val="none" w:sz="0" w:space="0" w:color="auto"/>
        <w:bottom w:val="none" w:sz="0" w:space="0" w:color="auto"/>
        <w:right w:val="none" w:sz="0" w:space="0" w:color="auto"/>
      </w:divBdr>
      <w:divsChild>
        <w:div w:id="1979266031">
          <w:marLeft w:val="0"/>
          <w:marRight w:val="0"/>
          <w:marTop w:val="0"/>
          <w:marBottom w:val="0"/>
          <w:divBdr>
            <w:top w:val="none" w:sz="0" w:space="0" w:color="auto"/>
            <w:left w:val="none" w:sz="0" w:space="0" w:color="auto"/>
            <w:bottom w:val="none" w:sz="0" w:space="0" w:color="auto"/>
            <w:right w:val="none" w:sz="0" w:space="0" w:color="auto"/>
          </w:divBdr>
          <w:divsChild>
            <w:div w:id="237136743">
              <w:marLeft w:val="0"/>
              <w:marRight w:val="0"/>
              <w:marTop w:val="0"/>
              <w:marBottom w:val="0"/>
              <w:divBdr>
                <w:top w:val="none" w:sz="0" w:space="0" w:color="auto"/>
                <w:left w:val="none" w:sz="0" w:space="0" w:color="auto"/>
                <w:bottom w:val="none" w:sz="0" w:space="0" w:color="auto"/>
                <w:right w:val="none" w:sz="0" w:space="0" w:color="auto"/>
              </w:divBdr>
              <w:divsChild>
                <w:div w:id="2013144240">
                  <w:marLeft w:val="0"/>
                  <w:marRight w:val="0"/>
                  <w:marTop w:val="0"/>
                  <w:marBottom w:val="0"/>
                  <w:divBdr>
                    <w:top w:val="none" w:sz="0" w:space="0" w:color="auto"/>
                    <w:left w:val="none" w:sz="0" w:space="0" w:color="auto"/>
                    <w:bottom w:val="none" w:sz="0" w:space="0" w:color="auto"/>
                    <w:right w:val="none" w:sz="0" w:space="0" w:color="auto"/>
                  </w:divBdr>
                  <w:divsChild>
                    <w:div w:id="131409115">
                      <w:marLeft w:val="0"/>
                      <w:marRight w:val="0"/>
                      <w:marTop w:val="0"/>
                      <w:marBottom w:val="0"/>
                      <w:divBdr>
                        <w:top w:val="none" w:sz="0" w:space="0" w:color="auto"/>
                        <w:left w:val="none" w:sz="0" w:space="0" w:color="auto"/>
                        <w:bottom w:val="none" w:sz="0" w:space="0" w:color="auto"/>
                        <w:right w:val="none" w:sz="0" w:space="0" w:color="auto"/>
                      </w:divBdr>
                      <w:divsChild>
                        <w:div w:id="1406762900">
                          <w:marLeft w:val="0"/>
                          <w:marRight w:val="0"/>
                          <w:marTop w:val="0"/>
                          <w:marBottom w:val="0"/>
                          <w:divBdr>
                            <w:top w:val="none" w:sz="0" w:space="0" w:color="auto"/>
                            <w:left w:val="none" w:sz="0" w:space="0" w:color="auto"/>
                            <w:bottom w:val="none" w:sz="0" w:space="0" w:color="auto"/>
                            <w:right w:val="none" w:sz="0" w:space="0" w:color="auto"/>
                          </w:divBdr>
                          <w:divsChild>
                            <w:div w:id="806170536">
                              <w:marLeft w:val="0"/>
                              <w:marRight w:val="0"/>
                              <w:marTop w:val="0"/>
                              <w:marBottom w:val="0"/>
                              <w:divBdr>
                                <w:top w:val="none" w:sz="0" w:space="0" w:color="auto"/>
                                <w:left w:val="none" w:sz="0" w:space="0" w:color="auto"/>
                                <w:bottom w:val="none" w:sz="0" w:space="0" w:color="auto"/>
                                <w:right w:val="none" w:sz="0" w:space="0" w:color="auto"/>
                              </w:divBdr>
                              <w:divsChild>
                                <w:div w:id="1166286965">
                                  <w:marLeft w:val="0"/>
                                  <w:marRight w:val="0"/>
                                  <w:marTop w:val="0"/>
                                  <w:marBottom w:val="0"/>
                                  <w:divBdr>
                                    <w:top w:val="none" w:sz="0" w:space="0" w:color="auto"/>
                                    <w:left w:val="none" w:sz="0" w:space="0" w:color="auto"/>
                                    <w:bottom w:val="none" w:sz="0" w:space="0" w:color="auto"/>
                                    <w:right w:val="none" w:sz="0" w:space="0" w:color="auto"/>
                                  </w:divBdr>
                                </w:div>
                                <w:div w:id="122390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816251">
      <w:bodyDiv w:val="1"/>
      <w:marLeft w:val="0"/>
      <w:marRight w:val="0"/>
      <w:marTop w:val="0"/>
      <w:marBottom w:val="0"/>
      <w:divBdr>
        <w:top w:val="none" w:sz="0" w:space="0" w:color="auto"/>
        <w:left w:val="none" w:sz="0" w:space="0" w:color="auto"/>
        <w:bottom w:val="none" w:sz="0" w:space="0" w:color="auto"/>
        <w:right w:val="none" w:sz="0" w:space="0" w:color="auto"/>
      </w:divBdr>
    </w:div>
    <w:div w:id="1716659574">
      <w:bodyDiv w:val="1"/>
      <w:marLeft w:val="0"/>
      <w:marRight w:val="0"/>
      <w:marTop w:val="0"/>
      <w:marBottom w:val="0"/>
      <w:divBdr>
        <w:top w:val="none" w:sz="0" w:space="0" w:color="auto"/>
        <w:left w:val="none" w:sz="0" w:space="0" w:color="auto"/>
        <w:bottom w:val="none" w:sz="0" w:space="0" w:color="auto"/>
        <w:right w:val="none" w:sz="0" w:space="0" w:color="auto"/>
      </w:divBdr>
      <w:divsChild>
        <w:div w:id="235362963">
          <w:marLeft w:val="0"/>
          <w:marRight w:val="0"/>
          <w:marTop w:val="0"/>
          <w:marBottom w:val="0"/>
          <w:divBdr>
            <w:top w:val="none" w:sz="0" w:space="0" w:color="auto"/>
            <w:left w:val="none" w:sz="0" w:space="0" w:color="auto"/>
            <w:bottom w:val="none" w:sz="0" w:space="0" w:color="auto"/>
            <w:right w:val="none" w:sz="0" w:space="0" w:color="auto"/>
          </w:divBdr>
          <w:divsChild>
            <w:div w:id="1877082276">
              <w:marLeft w:val="1200"/>
              <w:marRight w:val="1200"/>
              <w:marTop w:val="150"/>
              <w:marBottom w:val="150"/>
              <w:divBdr>
                <w:top w:val="none" w:sz="0" w:space="0" w:color="auto"/>
                <w:left w:val="none" w:sz="0" w:space="0" w:color="auto"/>
                <w:bottom w:val="none" w:sz="0" w:space="0" w:color="auto"/>
                <w:right w:val="none" w:sz="0" w:space="0" w:color="auto"/>
              </w:divBdr>
              <w:divsChild>
                <w:div w:id="1905218178">
                  <w:marLeft w:val="0"/>
                  <w:marRight w:val="0"/>
                  <w:marTop w:val="0"/>
                  <w:marBottom w:val="0"/>
                  <w:divBdr>
                    <w:top w:val="none" w:sz="0" w:space="0" w:color="auto"/>
                    <w:left w:val="none" w:sz="0" w:space="0" w:color="auto"/>
                    <w:bottom w:val="none" w:sz="0" w:space="0" w:color="auto"/>
                    <w:right w:val="none" w:sz="0" w:space="0" w:color="auto"/>
                  </w:divBdr>
                  <w:divsChild>
                    <w:div w:id="4755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484731">
      <w:bodyDiv w:val="1"/>
      <w:marLeft w:val="0"/>
      <w:marRight w:val="0"/>
      <w:marTop w:val="0"/>
      <w:marBottom w:val="0"/>
      <w:divBdr>
        <w:top w:val="none" w:sz="0" w:space="0" w:color="auto"/>
        <w:left w:val="none" w:sz="0" w:space="0" w:color="auto"/>
        <w:bottom w:val="none" w:sz="0" w:space="0" w:color="auto"/>
        <w:right w:val="none" w:sz="0" w:space="0" w:color="auto"/>
      </w:divBdr>
    </w:div>
    <w:div w:id="1814173528">
      <w:bodyDiv w:val="1"/>
      <w:marLeft w:val="0"/>
      <w:marRight w:val="0"/>
      <w:marTop w:val="0"/>
      <w:marBottom w:val="0"/>
      <w:divBdr>
        <w:top w:val="none" w:sz="0" w:space="0" w:color="auto"/>
        <w:left w:val="none" w:sz="0" w:space="0" w:color="auto"/>
        <w:bottom w:val="none" w:sz="0" w:space="0" w:color="auto"/>
        <w:right w:val="none" w:sz="0" w:space="0" w:color="auto"/>
      </w:divBdr>
      <w:divsChild>
        <w:div w:id="1809080556">
          <w:marLeft w:val="0"/>
          <w:marRight w:val="0"/>
          <w:marTop w:val="0"/>
          <w:marBottom w:val="0"/>
          <w:divBdr>
            <w:top w:val="none" w:sz="0" w:space="0" w:color="auto"/>
            <w:left w:val="none" w:sz="0" w:space="0" w:color="auto"/>
            <w:bottom w:val="none" w:sz="0" w:space="0" w:color="auto"/>
            <w:right w:val="none" w:sz="0" w:space="0" w:color="auto"/>
          </w:divBdr>
          <w:divsChild>
            <w:div w:id="1846045930">
              <w:marLeft w:val="1200"/>
              <w:marRight w:val="1200"/>
              <w:marTop w:val="150"/>
              <w:marBottom w:val="150"/>
              <w:divBdr>
                <w:top w:val="none" w:sz="0" w:space="0" w:color="auto"/>
                <w:left w:val="none" w:sz="0" w:space="0" w:color="auto"/>
                <w:bottom w:val="none" w:sz="0" w:space="0" w:color="auto"/>
                <w:right w:val="none" w:sz="0" w:space="0" w:color="auto"/>
              </w:divBdr>
              <w:divsChild>
                <w:div w:id="1970502614">
                  <w:marLeft w:val="0"/>
                  <w:marRight w:val="0"/>
                  <w:marTop w:val="0"/>
                  <w:marBottom w:val="0"/>
                  <w:divBdr>
                    <w:top w:val="none" w:sz="0" w:space="0" w:color="auto"/>
                    <w:left w:val="none" w:sz="0" w:space="0" w:color="auto"/>
                    <w:bottom w:val="none" w:sz="0" w:space="0" w:color="auto"/>
                    <w:right w:val="none" w:sz="0" w:space="0" w:color="auto"/>
                  </w:divBdr>
                  <w:divsChild>
                    <w:div w:id="13926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87098">
      <w:bodyDiv w:val="1"/>
      <w:marLeft w:val="0"/>
      <w:marRight w:val="0"/>
      <w:marTop w:val="0"/>
      <w:marBottom w:val="0"/>
      <w:divBdr>
        <w:top w:val="none" w:sz="0" w:space="0" w:color="auto"/>
        <w:left w:val="none" w:sz="0" w:space="0" w:color="auto"/>
        <w:bottom w:val="none" w:sz="0" w:space="0" w:color="auto"/>
        <w:right w:val="none" w:sz="0" w:space="0" w:color="auto"/>
      </w:divBdr>
    </w:div>
    <w:div w:id="2103910821">
      <w:bodyDiv w:val="1"/>
      <w:marLeft w:val="0"/>
      <w:marRight w:val="0"/>
      <w:marTop w:val="0"/>
      <w:marBottom w:val="0"/>
      <w:divBdr>
        <w:top w:val="none" w:sz="0" w:space="0" w:color="auto"/>
        <w:left w:val="none" w:sz="0" w:space="0" w:color="auto"/>
        <w:bottom w:val="none" w:sz="0" w:space="0" w:color="auto"/>
        <w:right w:val="none" w:sz="0" w:space="0" w:color="auto"/>
      </w:divBdr>
    </w:div>
    <w:div w:id="2139714044">
      <w:bodyDiv w:val="1"/>
      <w:marLeft w:val="0"/>
      <w:marRight w:val="0"/>
      <w:marTop w:val="0"/>
      <w:marBottom w:val="0"/>
      <w:divBdr>
        <w:top w:val="none" w:sz="0" w:space="0" w:color="auto"/>
        <w:left w:val="none" w:sz="0" w:space="0" w:color="auto"/>
        <w:bottom w:val="none" w:sz="0" w:space="0" w:color="auto"/>
        <w:right w:val="none" w:sz="0" w:space="0" w:color="auto"/>
      </w:divBdr>
      <w:divsChild>
        <w:div w:id="1066612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4E9C6E568633448D1B78C8F03F24BD" ma:contentTypeVersion="2" ma:contentTypeDescription="Create a new document." ma:contentTypeScope="" ma:versionID="3465e2a3d8e381f710bdebfc44a6c24b">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58B408-8F83-4952-BE66-BCCB1A90E83F}"/>
</file>

<file path=customXml/itemProps2.xml><?xml version="1.0" encoding="utf-8"?>
<ds:datastoreItem xmlns:ds="http://schemas.openxmlformats.org/officeDocument/2006/customXml" ds:itemID="{EE2585BF-4EC5-4549-9EF9-994F27A1B0B8}"/>
</file>

<file path=customXml/itemProps3.xml><?xml version="1.0" encoding="utf-8"?>
<ds:datastoreItem xmlns:ds="http://schemas.openxmlformats.org/officeDocument/2006/customXml" ds:itemID="{DE1C3707-E46C-424F-9081-3219F732D156}"/>
</file>

<file path=customXml/itemProps4.xml><?xml version="1.0" encoding="utf-8"?>
<ds:datastoreItem xmlns:ds="http://schemas.openxmlformats.org/officeDocument/2006/customXml" ds:itemID="{A239E2D7-047C-4286-904F-5C75161C2898}"/>
</file>

<file path=customXml/itemProps5.xml><?xml version="1.0" encoding="utf-8"?>
<ds:datastoreItem xmlns:ds="http://schemas.openxmlformats.org/officeDocument/2006/customXml" ds:itemID="{804F76F6-BC93-4C21-975C-C74603D45DDC}"/>
</file>

<file path=docProps/app.xml><?xml version="1.0" encoding="utf-8"?>
<Properties xmlns="http://schemas.openxmlformats.org/officeDocument/2006/extended-properties" xmlns:vt="http://schemas.openxmlformats.org/officeDocument/2006/docPropsVTypes">
  <Template>A4493E55.dotm</Template>
  <TotalTime>0</TotalTime>
  <Pages>23</Pages>
  <Words>9604</Words>
  <Characters>54745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Report of the Special Rapporteur on torture and other cruel, inhuman or degrading treatment of punishment, Juan Ernesto Mendez, Addendum - Mission to Mexico in English</vt:lpstr>
    </vt:vector>
  </TitlesOfParts>
  <Company>DCM</Company>
  <LinksUpToDate>false</LinksUpToDate>
  <CharactersWithSpaces>64221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torture and other Report of the Special Rapporteur on violence against women, its causes and consequences on her mission to Georgia in English</dc:title>
  <dc:creator>Brigoli</dc:creator>
  <cp:keywords>A/HRC/28/68/Add.3</cp:keywords>
  <cp:lastModifiedBy>Iuliia Somova</cp:lastModifiedBy>
  <cp:revision>2</cp:revision>
  <cp:lastPrinted>2016-06-07T14:20:00Z</cp:lastPrinted>
  <dcterms:created xsi:type="dcterms:W3CDTF">2016-06-09T10:10:00Z</dcterms:created>
  <dcterms:modified xsi:type="dcterms:W3CDTF">2016-06-09T10:10:00Z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0x0101005A4E9C6E568633448D1B78C8F03F24BD</vt:lpwstr>
  </property>
  <property fmtid="{D5CDD505-2E9C-101B-9397-08002B2CF9AE}" pid="11" name="Order">
    <vt:r8>2300</vt:r8>
  </property>
</Properties>
</file>