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trPr>
          <w:trHeight w:val="851"/>
        </w:trPr>
        <w:tc>
          <w:tcPr>
            <w:tcW w:w="1259" w:type="dxa"/>
            <w:tcBorders>
              <w:top w:val="nil"/>
              <w:left w:val="nil"/>
              <w:bottom w:val="single" w:sz="4" w:space="0" w:color="auto"/>
              <w:right w:val="nil"/>
            </w:tcBorders>
          </w:tcPr>
          <w:p w:rsidR="00446DE4" w:rsidRPr="00AA27FF" w:rsidRDefault="00446DE4" w:rsidP="00E806EE">
            <w:pPr>
              <w:tabs>
                <w:tab w:val="right" w:pos="850"/>
                <w:tab w:val="left" w:pos="1134"/>
                <w:tab w:val="right" w:leader="dot" w:pos="8504"/>
              </w:tabs>
              <w:spacing w:before="360" w:after="240"/>
              <w:ind w:left="1134"/>
              <w:outlineLvl w:val="0"/>
              <w:rPr>
                <w:lang w:val="en-US"/>
              </w:rPr>
            </w:pPr>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B64CC9" w:rsidP="00B64CC9">
            <w:pPr>
              <w:jc w:val="right"/>
            </w:pPr>
            <w:r w:rsidRPr="00B64CC9">
              <w:rPr>
                <w:sz w:val="40"/>
              </w:rPr>
              <w:t>A</w:t>
            </w:r>
            <w:r w:rsidRPr="00AA27FF">
              <w:rPr>
                <w:sz w:val="20"/>
                <w:szCs w:val="20"/>
              </w:rPr>
              <w:t>/HRC/34/63</w:t>
            </w:r>
          </w:p>
        </w:tc>
      </w:tr>
      <w:tr w:rsidR="003107FA">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E70598" w:rsidP="00EF5BDB">
            <w:pPr>
              <w:spacing w:before="120" w:line="420" w:lineRule="exact"/>
              <w:rPr>
                <w:b/>
                <w:sz w:val="40"/>
                <w:szCs w:val="40"/>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rsidR="003107FA" w:rsidRPr="00AA27FF" w:rsidRDefault="00B64CC9" w:rsidP="00B64CC9">
            <w:pPr>
              <w:spacing w:before="240" w:line="240" w:lineRule="exact"/>
              <w:rPr>
                <w:sz w:val="20"/>
                <w:szCs w:val="20"/>
              </w:rPr>
            </w:pPr>
            <w:r w:rsidRPr="00AA27FF">
              <w:rPr>
                <w:sz w:val="20"/>
                <w:szCs w:val="20"/>
              </w:rPr>
              <w:t>Distr.: General</w:t>
            </w:r>
          </w:p>
          <w:p w:rsidR="00B64CC9" w:rsidRPr="00AA27FF" w:rsidRDefault="00382DC0" w:rsidP="00B64CC9">
            <w:pPr>
              <w:spacing w:line="240" w:lineRule="exact"/>
              <w:rPr>
                <w:sz w:val="20"/>
                <w:szCs w:val="20"/>
              </w:rPr>
            </w:pPr>
            <w:r>
              <w:rPr>
                <w:sz w:val="20"/>
                <w:szCs w:val="20"/>
              </w:rPr>
              <w:t>6</w:t>
            </w:r>
            <w:r w:rsidR="00540A7D">
              <w:rPr>
                <w:sz w:val="20"/>
                <w:szCs w:val="20"/>
              </w:rPr>
              <w:t xml:space="preserve"> March</w:t>
            </w:r>
            <w:r w:rsidR="00B64CC9" w:rsidRPr="00AA27FF">
              <w:rPr>
                <w:sz w:val="20"/>
                <w:szCs w:val="20"/>
              </w:rPr>
              <w:t xml:space="preserve"> 2017</w:t>
            </w:r>
          </w:p>
          <w:p w:rsidR="00B64CC9" w:rsidRPr="00AA27FF" w:rsidRDefault="00B64CC9" w:rsidP="00B64CC9">
            <w:pPr>
              <w:spacing w:line="240" w:lineRule="exact"/>
              <w:rPr>
                <w:sz w:val="20"/>
                <w:szCs w:val="20"/>
              </w:rPr>
            </w:pPr>
          </w:p>
          <w:p w:rsidR="00B64CC9" w:rsidRDefault="00B64CC9" w:rsidP="00B64CC9">
            <w:pPr>
              <w:spacing w:line="240" w:lineRule="exact"/>
            </w:pPr>
            <w:r w:rsidRPr="00AA27FF">
              <w:rPr>
                <w:sz w:val="20"/>
                <w:szCs w:val="20"/>
              </w:rPr>
              <w:t>Original: English</w:t>
            </w:r>
          </w:p>
        </w:tc>
      </w:tr>
    </w:tbl>
    <w:p w:rsidR="00E16192" w:rsidRPr="00AA27FF" w:rsidRDefault="00507944" w:rsidP="00E16192">
      <w:pPr>
        <w:suppressAutoHyphens w:val="0"/>
        <w:spacing w:before="120"/>
        <w:jc w:val="both"/>
        <w:rPr>
          <w:b/>
          <w:sz w:val="20"/>
          <w:szCs w:val="20"/>
        </w:rPr>
      </w:pPr>
      <w:r w:rsidRPr="00AA27FF">
        <w:rPr>
          <w:b/>
          <w:sz w:val="20"/>
          <w:szCs w:val="20"/>
        </w:rPr>
        <w:t>Human Rights Council</w:t>
      </w:r>
    </w:p>
    <w:p w:rsidR="00E16192" w:rsidRDefault="00507944" w:rsidP="00E16192">
      <w:pPr>
        <w:suppressAutoHyphens w:val="0"/>
        <w:jc w:val="both"/>
        <w:rPr>
          <w:b/>
          <w:sz w:val="20"/>
          <w:szCs w:val="20"/>
        </w:rPr>
      </w:pPr>
      <w:r w:rsidRPr="00AA27FF">
        <w:rPr>
          <w:b/>
          <w:sz w:val="20"/>
          <w:szCs w:val="20"/>
        </w:rPr>
        <w:t xml:space="preserve">Thirty-fourth </w:t>
      </w:r>
      <w:proofErr w:type="gramStart"/>
      <w:r w:rsidRPr="00AA27FF">
        <w:rPr>
          <w:b/>
          <w:sz w:val="20"/>
          <w:szCs w:val="20"/>
        </w:rPr>
        <w:t>session</w:t>
      </w:r>
      <w:proofErr w:type="gramEnd"/>
    </w:p>
    <w:p w:rsidR="00C44ADA" w:rsidRPr="00AA27FF" w:rsidRDefault="00C44ADA" w:rsidP="00E16192">
      <w:pPr>
        <w:suppressAutoHyphens w:val="0"/>
        <w:jc w:val="both"/>
        <w:rPr>
          <w:b/>
          <w:sz w:val="20"/>
          <w:szCs w:val="20"/>
        </w:rPr>
      </w:pPr>
      <w:r w:rsidRPr="00AA27FF">
        <w:rPr>
          <w:sz w:val="20"/>
          <w:szCs w:val="20"/>
        </w:rPr>
        <w:t>27 February-24 March 2017</w:t>
      </w:r>
    </w:p>
    <w:p w:rsidR="00E16192" w:rsidRPr="00AA27FF" w:rsidRDefault="00507944" w:rsidP="00E16192">
      <w:pPr>
        <w:suppressAutoHyphens w:val="0"/>
        <w:jc w:val="both"/>
        <w:rPr>
          <w:sz w:val="20"/>
          <w:szCs w:val="20"/>
        </w:rPr>
      </w:pPr>
      <w:r w:rsidRPr="00AA27FF">
        <w:rPr>
          <w:sz w:val="20"/>
          <w:szCs w:val="20"/>
        </w:rPr>
        <w:t xml:space="preserve">Agenda item </w:t>
      </w:r>
      <w:proofErr w:type="gramStart"/>
      <w:r w:rsidRPr="00AA27FF">
        <w:rPr>
          <w:sz w:val="20"/>
          <w:szCs w:val="20"/>
        </w:rPr>
        <w:t>4</w:t>
      </w:r>
      <w:proofErr w:type="gramEnd"/>
    </w:p>
    <w:p w:rsidR="00E16192" w:rsidRPr="00AA27FF" w:rsidRDefault="00507944" w:rsidP="00E16192">
      <w:pPr>
        <w:suppressAutoHyphens w:val="0"/>
        <w:jc w:val="both"/>
        <w:rPr>
          <w:sz w:val="20"/>
          <w:szCs w:val="20"/>
        </w:rPr>
      </w:pPr>
      <w:r w:rsidRPr="00AA27FF">
        <w:rPr>
          <w:rFonts w:eastAsia="Malgun Gothic"/>
          <w:b/>
          <w:bCs/>
          <w:sz w:val="20"/>
          <w:szCs w:val="20"/>
        </w:rPr>
        <w:t>Human rights situation that require the attention of the Council</w:t>
      </w:r>
    </w:p>
    <w:p w:rsidR="00CC4C34" w:rsidRDefault="00CC4C34" w:rsidP="00CC4C34">
      <w:pPr>
        <w:pStyle w:val="HChG"/>
      </w:pPr>
      <w:r>
        <w:tab/>
      </w:r>
      <w:r>
        <w:tab/>
      </w:r>
      <w:r w:rsidRPr="00443806">
        <w:t xml:space="preserve">Report of the </w:t>
      </w:r>
      <w:r>
        <w:t>Commission</w:t>
      </w:r>
      <w:r w:rsidRPr="00443806">
        <w:t xml:space="preserve"> on Human Rights in South Sudan</w:t>
      </w:r>
      <w:r w:rsidRPr="00CC4C34">
        <w:rPr>
          <w:rStyle w:val="FootnoteReference"/>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CC4C34" w:rsidRPr="005D49DD" w:rsidTr="00710738">
        <w:trPr>
          <w:jc w:val="center"/>
        </w:trPr>
        <w:tc>
          <w:tcPr>
            <w:tcW w:w="9637" w:type="dxa"/>
            <w:shd w:val="clear" w:color="auto" w:fill="auto"/>
          </w:tcPr>
          <w:p w:rsidR="00CC4C34" w:rsidRPr="00CC4C34" w:rsidRDefault="00CC4C34" w:rsidP="00710738">
            <w:pPr>
              <w:spacing w:before="240" w:after="120"/>
              <w:ind w:left="255"/>
              <w:rPr>
                <w:i/>
                <w:sz w:val="20"/>
                <w:szCs w:val="20"/>
              </w:rPr>
            </w:pPr>
            <w:r w:rsidRPr="00CC4C34">
              <w:rPr>
                <w:i/>
                <w:sz w:val="20"/>
                <w:szCs w:val="20"/>
              </w:rPr>
              <w:t>Summary</w:t>
            </w:r>
          </w:p>
        </w:tc>
      </w:tr>
      <w:tr w:rsidR="00CC4C34" w:rsidRPr="005D49DD" w:rsidTr="00710738">
        <w:trPr>
          <w:jc w:val="center"/>
        </w:trPr>
        <w:tc>
          <w:tcPr>
            <w:tcW w:w="9637" w:type="dxa"/>
            <w:shd w:val="clear" w:color="auto" w:fill="auto"/>
          </w:tcPr>
          <w:p w:rsidR="00CC4C34" w:rsidRDefault="00CC4C34" w:rsidP="00CC4C34">
            <w:pPr>
              <w:pStyle w:val="SingleTxtG"/>
              <w:rPr>
                <w:sz w:val="20"/>
              </w:rPr>
            </w:pPr>
            <w:r w:rsidRPr="00CC4C34">
              <w:rPr>
                <w:sz w:val="20"/>
                <w:szCs w:val="20"/>
                <w:lang w:eastAsia="en-GB"/>
              </w:rPr>
              <w:tab/>
            </w:r>
            <w:proofErr w:type="gramStart"/>
            <w:r w:rsidRPr="00AA27FF">
              <w:rPr>
                <w:sz w:val="20"/>
              </w:rPr>
              <w:t>In the present report, submitted to Human Rights Council pursuant to its resolution 31/20, the Commission on Human Rights in South Sudan gives an overview of the situation of human rights in South Sudan, and assesses the implementation of the provisions on transitional justice of the Agreement on the Resolution of the Conflict in the Republic of South Sudan signed by the parties to the conflict in August 2015</w:t>
            </w:r>
            <w:r>
              <w:rPr>
                <w:sz w:val="20"/>
              </w:rPr>
              <w:t>.</w:t>
            </w:r>
            <w:proofErr w:type="gramEnd"/>
          </w:p>
          <w:p w:rsidR="00CC4C34" w:rsidRPr="00CC4C34" w:rsidRDefault="00CC4C34" w:rsidP="00C20EC4">
            <w:pPr>
              <w:pStyle w:val="SingleTxtG"/>
              <w:ind w:firstLine="566"/>
              <w:rPr>
                <w:sz w:val="20"/>
                <w:szCs w:val="20"/>
              </w:rPr>
            </w:pPr>
            <w:r w:rsidRPr="00AA27FF">
              <w:rPr>
                <w:sz w:val="20"/>
              </w:rPr>
              <w:t xml:space="preserve">The Commission recommends that the Government of South Sudan, with immediate effect, cease hostilities, conclude a permanent ceasefire and renew publicly its commitment to the implementation of the Agreement on the Resolution of the Conflict in Republic South Sudan, including cooperation with the African Union, for the speedy establishment of a hybrid court for South Sudan. </w:t>
            </w:r>
            <w:proofErr w:type="gramStart"/>
            <w:r w:rsidRPr="00AA27FF">
              <w:rPr>
                <w:sz w:val="20"/>
              </w:rPr>
              <w:t xml:space="preserve">The Commission also recommends the immediate establishment of an international, independent </w:t>
            </w:r>
            <w:r w:rsidR="00C20EC4">
              <w:rPr>
                <w:sz w:val="20"/>
              </w:rPr>
              <w:t>investigation</w:t>
            </w:r>
            <w:r w:rsidRPr="00AA27FF">
              <w:rPr>
                <w:sz w:val="20"/>
              </w:rPr>
              <w:t xml:space="preserve">, under the auspices of the United Nations, </w:t>
            </w:r>
            <w:r w:rsidR="0056526A">
              <w:rPr>
                <w:sz w:val="20"/>
              </w:rPr>
              <w:t>into</w:t>
            </w:r>
            <w:r w:rsidRPr="00AA27FF">
              <w:rPr>
                <w:sz w:val="20"/>
              </w:rPr>
              <w:t xml:space="preserve"> the most serious crimes committed in South Sudan since December 2013</w:t>
            </w:r>
            <w:r>
              <w:rPr>
                <w:sz w:val="20"/>
              </w:rPr>
              <w:t xml:space="preserve"> </w:t>
            </w:r>
            <w:r>
              <w:rPr>
                <w:sz w:val="20"/>
                <w:szCs w:val="20"/>
              </w:rPr>
              <w:t>by, inter alia,</w:t>
            </w:r>
            <w:r w:rsidRPr="00AA27FF">
              <w:rPr>
                <w:sz w:val="20"/>
                <w:szCs w:val="20"/>
              </w:rPr>
              <w:t xml:space="preserve"> collecting and preserving evidence of human rights violations and abuses and violations of international humanitarian law</w:t>
            </w:r>
            <w:r w:rsidR="0056526A">
              <w:rPr>
                <w:sz w:val="20"/>
                <w:szCs w:val="20"/>
              </w:rPr>
              <w:t>,</w:t>
            </w:r>
            <w:r w:rsidRPr="00AA27FF">
              <w:rPr>
                <w:sz w:val="20"/>
                <w:szCs w:val="20"/>
              </w:rPr>
              <w:t xml:space="preserve"> </w:t>
            </w:r>
            <w:r w:rsidR="0056526A">
              <w:rPr>
                <w:sz w:val="20"/>
                <w:szCs w:val="20"/>
              </w:rPr>
              <w:t>and by</w:t>
            </w:r>
            <w:r w:rsidRPr="00AA27FF">
              <w:rPr>
                <w:sz w:val="20"/>
                <w:szCs w:val="20"/>
              </w:rPr>
              <w:t xml:space="preserve"> support</w:t>
            </w:r>
            <w:r w:rsidR="0056526A">
              <w:rPr>
                <w:sz w:val="20"/>
                <w:szCs w:val="20"/>
              </w:rPr>
              <w:t>ing</w:t>
            </w:r>
            <w:r w:rsidRPr="00AA27FF">
              <w:rPr>
                <w:sz w:val="20"/>
                <w:szCs w:val="20"/>
              </w:rPr>
              <w:t xml:space="preserve"> criminal proceedings before the </w:t>
            </w:r>
            <w:r>
              <w:rPr>
                <w:sz w:val="20"/>
                <w:szCs w:val="20"/>
              </w:rPr>
              <w:t>h</w:t>
            </w:r>
            <w:r w:rsidRPr="00AA27FF">
              <w:rPr>
                <w:sz w:val="20"/>
                <w:szCs w:val="20"/>
              </w:rPr>
              <w:t xml:space="preserve">ybrid </w:t>
            </w:r>
            <w:r>
              <w:rPr>
                <w:sz w:val="20"/>
                <w:szCs w:val="20"/>
              </w:rPr>
              <w:t>c</w:t>
            </w:r>
            <w:r w:rsidRPr="00AA27FF">
              <w:rPr>
                <w:sz w:val="20"/>
                <w:szCs w:val="20"/>
              </w:rPr>
              <w:t>ourt and national, regional and internati</w:t>
            </w:r>
            <w:r w:rsidRPr="00D872B5">
              <w:rPr>
                <w:sz w:val="20"/>
                <w:szCs w:val="20"/>
              </w:rPr>
              <w:t>onal tribunals with juri</w:t>
            </w:r>
            <w:r>
              <w:rPr>
                <w:sz w:val="20"/>
                <w:szCs w:val="20"/>
              </w:rPr>
              <w:t>s</w:t>
            </w:r>
            <w:r w:rsidRPr="00D872B5">
              <w:rPr>
                <w:sz w:val="20"/>
                <w:szCs w:val="20"/>
              </w:rPr>
              <w:t>diction</w:t>
            </w:r>
            <w:r w:rsidRPr="00AA27FF">
              <w:rPr>
                <w:sz w:val="20"/>
                <w:szCs w:val="20"/>
              </w:rPr>
              <w:t xml:space="preserve"> </w:t>
            </w:r>
            <w:r>
              <w:rPr>
                <w:sz w:val="20"/>
                <w:szCs w:val="20"/>
              </w:rPr>
              <w:t>over such</w:t>
            </w:r>
            <w:r w:rsidR="00B531AB">
              <w:rPr>
                <w:sz w:val="20"/>
                <w:szCs w:val="20"/>
              </w:rPr>
              <w:t xml:space="preserve"> </w:t>
            </w:r>
            <w:r w:rsidRPr="00AA27FF">
              <w:rPr>
                <w:sz w:val="20"/>
                <w:szCs w:val="20"/>
              </w:rPr>
              <w:t>crimes</w:t>
            </w:r>
            <w:r>
              <w:rPr>
                <w:sz w:val="20"/>
                <w:szCs w:val="20"/>
              </w:rPr>
              <w:t>.</w:t>
            </w:r>
            <w:proofErr w:type="gramEnd"/>
          </w:p>
        </w:tc>
      </w:tr>
      <w:tr w:rsidR="00CC4C34" w:rsidRPr="005D49DD" w:rsidTr="00710738">
        <w:trPr>
          <w:jc w:val="center"/>
        </w:trPr>
        <w:tc>
          <w:tcPr>
            <w:tcW w:w="9637" w:type="dxa"/>
            <w:shd w:val="clear" w:color="auto" w:fill="auto"/>
          </w:tcPr>
          <w:p w:rsidR="00CC4C34" w:rsidRPr="00CC4C34" w:rsidRDefault="00CC4C34" w:rsidP="00710738">
            <w:pPr>
              <w:rPr>
                <w:sz w:val="20"/>
                <w:szCs w:val="20"/>
              </w:rPr>
            </w:pPr>
          </w:p>
        </w:tc>
      </w:tr>
    </w:tbl>
    <w:p w:rsidR="00E16192" w:rsidRDefault="00E16192" w:rsidP="00E16192"/>
    <w:p w:rsidR="00E16192" w:rsidRDefault="00E16192">
      <w:pPr>
        <w:suppressAutoHyphens w:val="0"/>
        <w:spacing w:line="240" w:lineRule="auto"/>
      </w:pPr>
      <w:r>
        <w:br w:type="page"/>
      </w:r>
    </w:p>
    <w:p w:rsidR="00E16192" w:rsidRPr="00625AD6" w:rsidRDefault="00E16192" w:rsidP="00E16192">
      <w:pPr>
        <w:suppressAutoHyphens w:val="0"/>
        <w:spacing w:after="120"/>
        <w:rPr>
          <w:sz w:val="28"/>
          <w:lang w:val="fr-CH"/>
        </w:rPr>
      </w:pPr>
      <w:r w:rsidRPr="00625AD6">
        <w:rPr>
          <w:sz w:val="28"/>
          <w:lang w:val="fr-CH"/>
        </w:rPr>
        <w:lastRenderedPageBreak/>
        <w:t>Contents</w:t>
      </w:r>
    </w:p>
    <w:p w:rsidR="00E16192" w:rsidRPr="00625AD6" w:rsidRDefault="00E16192" w:rsidP="00E16192">
      <w:pPr>
        <w:tabs>
          <w:tab w:val="right" w:pos="9638"/>
        </w:tabs>
        <w:suppressAutoHyphens w:val="0"/>
        <w:spacing w:after="120"/>
        <w:ind w:left="283"/>
        <w:rPr>
          <w:sz w:val="18"/>
          <w:lang w:val="fr-CH"/>
        </w:rPr>
      </w:pPr>
      <w:r w:rsidRPr="00625AD6">
        <w:rPr>
          <w:i/>
          <w:sz w:val="18"/>
          <w:lang w:val="fr-CH"/>
        </w:rPr>
        <w:tab/>
        <w:t>Page</w:t>
      </w:r>
    </w:p>
    <w:p w:rsidR="00E16192" w:rsidRPr="00625AD6" w:rsidRDefault="00E16192" w:rsidP="00E16192">
      <w:pPr>
        <w:tabs>
          <w:tab w:val="right" w:pos="850"/>
          <w:tab w:val="left" w:pos="1134"/>
          <w:tab w:val="left" w:pos="1559"/>
          <w:tab w:val="left" w:pos="1984"/>
          <w:tab w:val="left" w:leader="dot" w:pos="8929"/>
          <w:tab w:val="right" w:pos="9638"/>
        </w:tabs>
        <w:spacing w:after="120"/>
        <w:rPr>
          <w:sz w:val="20"/>
          <w:szCs w:val="20"/>
          <w:lang w:val="fr-CH"/>
        </w:rPr>
      </w:pPr>
      <w:r w:rsidRPr="00625AD6">
        <w:rPr>
          <w:lang w:val="fr-CH"/>
        </w:rPr>
        <w:tab/>
      </w:r>
      <w:r w:rsidRPr="00625AD6">
        <w:rPr>
          <w:sz w:val="20"/>
          <w:szCs w:val="20"/>
          <w:lang w:val="fr-CH"/>
        </w:rPr>
        <w:t>I.</w:t>
      </w:r>
      <w:r w:rsidRPr="00625AD6">
        <w:rPr>
          <w:sz w:val="20"/>
          <w:szCs w:val="20"/>
          <w:lang w:val="fr-CH"/>
        </w:rPr>
        <w:tab/>
        <w:t xml:space="preserve">Introduction </w:t>
      </w:r>
      <w:r w:rsidRPr="00625AD6">
        <w:rPr>
          <w:sz w:val="20"/>
          <w:szCs w:val="20"/>
          <w:lang w:val="fr-CH"/>
        </w:rPr>
        <w:tab/>
      </w:r>
      <w:r w:rsidRPr="00625AD6">
        <w:rPr>
          <w:sz w:val="20"/>
          <w:szCs w:val="20"/>
          <w:lang w:val="fr-CH"/>
        </w:rPr>
        <w:tab/>
      </w:r>
      <w:r w:rsidR="00625AD6">
        <w:rPr>
          <w:sz w:val="20"/>
          <w:szCs w:val="20"/>
          <w:lang w:val="fr-CH"/>
        </w:rPr>
        <w:t>3</w:t>
      </w:r>
    </w:p>
    <w:p w:rsidR="00E16192" w:rsidRPr="00625AD6" w:rsidRDefault="00E16192" w:rsidP="00E16192">
      <w:pPr>
        <w:tabs>
          <w:tab w:val="right" w:pos="850"/>
          <w:tab w:val="left" w:pos="1134"/>
          <w:tab w:val="left" w:pos="1559"/>
          <w:tab w:val="left" w:pos="1984"/>
          <w:tab w:val="left" w:leader="dot" w:pos="8929"/>
          <w:tab w:val="right" w:pos="9638"/>
        </w:tabs>
        <w:spacing w:after="120"/>
        <w:rPr>
          <w:sz w:val="20"/>
          <w:szCs w:val="20"/>
        </w:rPr>
      </w:pPr>
      <w:r w:rsidRPr="00625AD6">
        <w:rPr>
          <w:sz w:val="20"/>
          <w:szCs w:val="20"/>
          <w:lang w:val="fr-CH"/>
        </w:rPr>
        <w:tab/>
        <w:t xml:space="preserve">II. </w:t>
      </w:r>
      <w:r w:rsidRPr="00625AD6">
        <w:rPr>
          <w:sz w:val="20"/>
          <w:szCs w:val="20"/>
          <w:lang w:val="fr-CH"/>
        </w:rPr>
        <w:tab/>
      </w:r>
      <w:r w:rsidRPr="00625AD6">
        <w:rPr>
          <w:sz w:val="20"/>
          <w:szCs w:val="20"/>
        </w:rPr>
        <w:t>Methodology</w:t>
      </w:r>
      <w:r w:rsidRPr="00625AD6">
        <w:rPr>
          <w:sz w:val="20"/>
          <w:szCs w:val="20"/>
        </w:rPr>
        <w:tab/>
      </w:r>
      <w:r w:rsidRPr="00625AD6">
        <w:rPr>
          <w:sz w:val="20"/>
          <w:szCs w:val="20"/>
        </w:rPr>
        <w:tab/>
      </w:r>
      <w:r w:rsidR="00625AD6">
        <w:rPr>
          <w:sz w:val="20"/>
          <w:szCs w:val="20"/>
        </w:rPr>
        <w:t>4</w:t>
      </w:r>
    </w:p>
    <w:p w:rsidR="00E16192" w:rsidRPr="00625AD6" w:rsidRDefault="00E16192" w:rsidP="00E16192">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t>III.</w:t>
      </w:r>
      <w:r w:rsidRPr="00625AD6">
        <w:rPr>
          <w:sz w:val="20"/>
          <w:szCs w:val="20"/>
        </w:rPr>
        <w:tab/>
        <w:t>Context and background</w:t>
      </w:r>
      <w:r w:rsidRPr="00625AD6">
        <w:rPr>
          <w:sz w:val="20"/>
          <w:szCs w:val="20"/>
        </w:rPr>
        <w:tab/>
      </w:r>
      <w:r w:rsidRPr="00625AD6">
        <w:rPr>
          <w:sz w:val="20"/>
          <w:szCs w:val="20"/>
        </w:rPr>
        <w:tab/>
      </w:r>
      <w:r w:rsidR="00625AD6">
        <w:rPr>
          <w:sz w:val="20"/>
          <w:szCs w:val="20"/>
        </w:rPr>
        <w:t>4</w:t>
      </w:r>
    </w:p>
    <w:p w:rsidR="00E16192" w:rsidRPr="00625AD6" w:rsidRDefault="00E16192" w:rsidP="00E16192">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r>
      <w:r w:rsidRPr="00625AD6">
        <w:rPr>
          <w:sz w:val="20"/>
          <w:szCs w:val="20"/>
        </w:rPr>
        <w:tab/>
      </w:r>
      <w:proofErr w:type="gramStart"/>
      <w:r w:rsidRPr="00625AD6">
        <w:rPr>
          <w:sz w:val="20"/>
          <w:szCs w:val="20"/>
        </w:rPr>
        <w:t>A.</w:t>
      </w:r>
      <w:r w:rsidRPr="00625AD6">
        <w:rPr>
          <w:sz w:val="20"/>
          <w:szCs w:val="20"/>
        </w:rPr>
        <w:tab/>
        <w:t>Political and security context.</w:t>
      </w:r>
      <w:proofErr w:type="gramEnd"/>
      <w:r w:rsidRPr="00625AD6">
        <w:rPr>
          <w:sz w:val="20"/>
          <w:szCs w:val="20"/>
        </w:rPr>
        <w:tab/>
      </w:r>
      <w:r w:rsidRPr="00625AD6">
        <w:rPr>
          <w:sz w:val="20"/>
          <w:szCs w:val="20"/>
        </w:rPr>
        <w:tab/>
      </w:r>
      <w:r w:rsidR="00625AD6">
        <w:rPr>
          <w:sz w:val="20"/>
          <w:szCs w:val="20"/>
        </w:rPr>
        <w:t>4</w:t>
      </w:r>
    </w:p>
    <w:p w:rsidR="00E16192" w:rsidRPr="00625AD6" w:rsidRDefault="00E16192" w:rsidP="00E16192">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r>
      <w:r w:rsidRPr="00625AD6">
        <w:rPr>
          <w:sz w:val="20"/>
          <w:szCs w:val="20"/>
        </w:rPr>
        <w:tab/>
        <w:t>B.</w:t>
      </w:r>
      <w:r w:rsidRPr="00625AD6">
        <w:rPr>
          <w:sz w:val="20"/>
          <w:szCs w:val="20"/>
        </w:rPr>
        <w:tab/>
        <w:t>Humanitarian situation</w:t>
      </w:r>
      <w:r w:rsidRPr="00625AD6">
        <w:rPr>
          <w:sz w:val="20"/>
          <w:szCs w:val="20"/>
        </w:rPr>
        <w:tab/>
      </w:r>
      <w:r w:rsidRPr="00625AD6">
        <w:rPr>
          <w:sz w:val="20"/>
          <w:szCs w:val="20"/>
        </w:rPr>
        <w:tab/>
      </w:r>
      <w:r w:rsidR="00625AD6">
        <w:rPr>
          <w:sz w:val="20"/>
          <w:szCs w:val="20"/>
        </w:rPr>
        <w:t>5</w:t>
      </w:r>
    </w:p>
    <w:p w:rsidR="00E16192" w:rsidRPr="00625AD6" w:rsidRDefault="00E16192" w:rsidP="00E16192">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t xml:space="preserve">IV. </w:t>
      </w:r>
      <w:r w:rsidRPr="00625AD6">
        <w:rPr>
          <w:sz w:val="20"/>
          <w:szCs w:val="20"/>
        </w:rPr>
        <w:tab/>
        <w:t xml:space="preserve">Overview of the </w:t>
      </w:r>
      <w:r w:rsidR="00530894" w:rsidRPr="00625AD6">
        <w:rPr>
          <w:sz w:val="20"/>
          <w:szCs w:val="20"/>
        </w:rPr>
        <w:t xml:space="preserve">situation of </w:t>
      </w:r>
      <w:r w:rsidRPr="00625AD6">
        <w:rPr>
          <w:sz w:val="20"/>
          <w:szCs w:val="20"/>
        </w:rPr>
        <w:t>human rights</w:t>
      </w:r>
      <w:r w:rsidRPr="00625AD6">
        <w:rPr>
          <w:sz w:val="20"/>
          <w:szCs w:val="20"/>
        </w:rPr>
        <w:tab/>
      </w:r>
      <w:r w:rsidRPr="00625AD6">
        <w:rPr>
          <w:sz w:val="20"/>
          <w:szCs w:val="20"/>
        </w:rPr>
        <w:tab/>
      </w:r>
      <w:proofErr w:type="gramStart"/>
      <w:r w:rsidR="00625AD6">
        <w:rPr>
          <w:sz w:val="20"/>
          <w:szCs w:val="20"/>
        </w:rPr>
        <w:t>7</w:t>
      </w:r>
      <w:proofErr w:type="gramEnd"/>
    </w:p>
    <w:p w:rsidR="00E16192" w:rsidRPr="00625AD6" w:rsidRDefault="00E16192" w:rsidP="00E16192">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r>
      <w:r w:rsidRPr="00625AD6">
        <w:rPr>
          <w:sz w:val="20"/>
          <w:szCs w:val="20"/>
        </w:rPr>
        <w:tab/>
        <w:t>A.</w:t>
      </w:r>
      <w:r w:rsidRPr="00625AD6">
        <w:rPr>
          <w:sz w:val="20"/>
          <w:szCs w:val="20"/>
        </w:rPr>
        <w:tab/>
        <w:t xml:space="preserve">Violations of the </w:t>
      </w:r>
      <w:r w:rsidR="00530894" w:rsidRPr="00625AD6">
        <w:rPr>
          <w:sz w:val="20"/>
          <w:szCs w:val="20"/>
        </w:rPr>
        <w:t>r</w:t>
      </w:r>
      <w:r w:rsidRPr="00625AD6">
        <w:rPr>
          <w:sz w:val="20"/>
          <w:szCs w:val="20"/>
        </w:rPr>
        <w:t xml:space="preserve">ight to </w:t>
      </w:r>
      <w:r w:rsidR="00530894" w:rsidRPr="00625AD6">
        <w:rPr>
          <w:sz w:val="20"/>
          <w:szCs w:val="20"/>
        </w:rPr>
        <w:t>l</w:t>
      </w:r>
      <w:r w:rsidRPr="00625AD6">
        <w:rPr>
          <w:sz w:val="20"/>
          <w:szCs w:val="20"/>
        </w:rPr>
        <w:t xml:space="preserve">ife and </w:t>
      </w:r>
      <w:r w:rsidR="00530894" w:rsidRPr="00625AD6">
        <w:rPr>
          <w:sz w:val="20"/>
          <w:szCs w:val="20"/>
        </w:rPr>
        <w:t>b</w:t>
      </w:r>
      <w:r w:rsidRPr="00625AD6">
        <w:rPr>
          <w:sz w:val="20"/>
          <w:szCs w:val="20"/>
        </w:rPr>
        <w:t xml:space="preserve">odily </w:t>
      </w:r>
      <w:r w:rsidR="00530894" w:rsidRPr="00625AD6">
        <w:rPr>
          <w:sz w:val="20"/>
          <w:szCs w:val="20"/>
        </w:rPr>
        <w:t>i</w:t>
      </w:r>
      <w:r w:rsidRPr="00625AD6">
        <w:rPr>
          <w:sz w:val="20"/>
          <w:szCs w:val="20"/>
        </w:rPr>
        <w:t>ntegrity</w:t>
      </w:r>
      <w:r w:rsidRPr="00625AD6">
        <w:rPr>
          <w:sz w:val="20"/>
          <w:szCs w:val="20"/>
        </w:rPr>
        <w:tab/>
      </w:r>
      <w:r w:rsidRPr="00625AD6">
        <w:rPr>
          <w:sz w:val="20"/>
          <w:szCs w:val="20"/>
        </w:rPr>
        <w:tab/>
      </w:r>
      <w:r w:rsidR="00625AD6">
        <w:rPr>
          <w:sz w:val="20"/>
          <w:szCs w:val="20"/>
        </w:rPr>
        <w:t>7</w:t>
      </w:r>
    </w:p>
    <w:p w:rsidR="00E16192" w:rsidRPr="00625AD6" w:rsidRDefault="00E16192" w:rsidP="00E16192">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r>
      <w:r w:rsidRPr="00625AD6">
        <w:rPr>
          <w:sz w:val="20"/>
          <w:szCs w:val="20"/>
        </w:rPr>
        <w:tab/>
        <w:t>B.</w:t>
      </w:r>
      <w:r w:rsidRPr="00625AD6">
        <w:rPr>
          <w:sz w:val="20"/>
          <w:szCs w:val="20"/>
        </w:rPr>
        <w:tab/>
        <w:t>Sexual and gender</w:t>
      </w:r>
      <w:r w:rsidR="00530894" w:rsidRPr="00625AD6">
        <w:rPr>
          <w:sz w:val="20"/>
          <w:szCs w:val="20"/>
        </w:rPr>
        <w:t>-</w:t>
      </w:r>
      <w:r w:rsidRPr="00625AD6">
        <w:rPr>
          <w:sz w:val="20"/>
          <w:szCs w:val="20"/>
        </w:rPr>
        <w:t>based violence</w:t>
      </w:r>
      <w:r w:rsidRPr="00625AD6">
        <w:rPr>
          <w:sz w:val="20"/>
          <w:szCs w:val="20"/>
        </w:rPr>
        <w:tab/>
      </w:r>
      <w:r w:rsidRPr="00625AD6">
        <w:rPr>
          <w:sz w:val="20"/>
          <w:szCs w:val="20"/>
        </w:rPr>
        <w:tab/>
      </w:r>
      <w:r w:rsidR="00625AD6">
        <w:rPr>
          <w:sz w:val="20"/>
          <w:szCs w:val="20"/>
        </w:rPr>
        <w:t>8</w:t>
      </w:r>
    </w:p>
    <w:p w:rsidR="00E16192" w:rsidRPr="00625AD6" w:rsidRDefault="00E16192" w:rsidP="00E16192">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r>
      <w:r w:rsidRPr="00625AD6">
        <w:rPr>
          <w:sz w:val="20"/>
          <w:szCs w:val="20"/>
        </w:rPr>
        <w:tab/>
        <w:t>C.</w:t>
      </w:r>
      <w:r w:rsidRPr="00625AD6">
        <w:rPr>
          <w:sz w:val="20"/>
          <w:szCs w:val="20"/>
        </w:rPr>
        <w:tab/>
        <w:t xml:space="preserve">Violations of the </w:t>
      </w:r>
      <w:r w:rsidR="00530894" w:rsidRPr="00625AD6">
        <w:rPr>
          <w:sz w:val="20"/>
          <w:szCs w:val="20"/>
        </w:rPr>
        <w:t>r</w:t>
      </w:r>
      <w:r w:rsidRPr="00625AD6">
        <w:rPr>
          <w:sz w:val="20"/>
          <w:szCs w:val="20"/>
        </w:rPr>
        <w:t xml:space="preserve">ights of the </w:t>
      </w:r>
      <w:r w:rsidR="00530894" w:rsidRPr="00625AD6">
        <w:rPr>
          <w:sz w:val="20"/>
          <w:szCs w:val="20"/>
        </w:rPr>
        <w:t>c</w:t>
      </w:r>
      <w:r w:rsidRPr="00625AD6">
        <w:rPr>
          <w:sz w:val="20"/>
          <w:szCs w:val="20"/>
        </w:rPr>
        <w:t>hild</w:t>
      </w:r>
      <w:r w:rsidRPr="00625AD6">
        <w:rPr>
          <w:sz w:val="20"/>
          <w:szCs w:val="20"/>
        </w:rPr>
        <w:tab/>
      </w:r>
      <w:r w:rsidRPr="00625AD6">
        <w:rPr>
          <w:sz w:val="20"/>
          <w:szCs w:val="20"/>
        </w:rPr>
        <w:tab/>
      </w:r>
      <w:r w:rsidR="00625AD6">
        <w:rPr>
          <w:sz w:val="20"/>
          <w:szCs w:val="20"/>
        </w:rPr>
        <w:t>10</w:t>
      </w:r>
    </w:p>
    <w:p w:rsidR="00E16192" w:rsidRPr="00625AD6" w:rsidRDefault="00E16192" w:rsidP="00E16192">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r>
      <w:r w:rsidRPr="00625AD6">
        <w:rPr>
          <w:sz w:val="20"/>
          <w:szCs w:val="20"/>
        </w:rPr>
        <w:tab/>
        <w:t>D.</w:t>
      </w:r>
      <w:r w:rsidRPr="00625AD6">
        <w:rPr>
          <w:sz w:val="20"/>
          <w:szCs w:val="20"/>
        </w:rPr>
        <w:tab/>
        <w:t xml:space="preserve">Violations of the </w:t>
      </w:r>
      <w:r w:rsidR="00530894" w:rsidRPr="00625AD6">
        <w:rPr>
          <w:sz w:val="20"/>
          <w:szCs w:val="20"/>
        </w:rPr>
        <w:t>r</w:t>
      </w:r>
      <w:r w:rsidRPr="00625AD6">
        <w:rPr>
          <w:sz w:val="20"/>
          <w:szCs w:val="20"/>
        </w:rPr>
        <w:t xml:space="preserve">ight to </w:t>
      </w:r>
      <w:r w:rsidR="00530894" w:rsidRPr="00625AD6">
        <w:rPr>
          <w:sz w:val="20"/>
          <w:szCs w:val="20"/>
        </w:rPr>
        <w:t>f</w:t>
      </w:r>
      <w:r w:rsidRPr="00625AD6">
        <w:rPr>
          <w:sz w:val="20"/>
          <w:szCs w:val="20"/>
        </w:rPr>
        <w:t xml:space="preserve">reedom of </w:t>
      </w:r>
      <w:r w:rsidR="00530894" w:rsidRPr="00625AD6">
        <w:rPr>
          <w:sz w:val="20"/>
          <w:szCs w:val="20"/>
        </w:rPr>
        <w:t>e</w:t>
      </w:r>
      <w:r w:rsidRPr="00625AD6">
        <w:rPr>
          <w:sz w:val="20"/>
          <w:szCs w:val="20"/>
        </w:rPr>
        <w:t xml:space="preserve">xpression and </w:t>
      </w:r>
      <w:r w:rsidR="00530894" w:rsidRPr="00625AD6">
        <w:rPr>
          <w:sz w:val="20"/>
          <w:szCs w:val="20"/>
        </w:rPr>
        <w:t>o</w:t>
      </w:r>
      <w:r w:rsidRPr="00625AD6">
        <w:rPr>
          <w:sz w:val="20"/>
          <w:szCs w:val="20"/>
        </w:rPr>
        <w:t>pinion</w:t>
      </w:r>
      <w:r w:rsidRPr="00625AD6">
        <w:rPr>
          <w:sz w:val="20"/>
          <w:szCs w:val="20"/>
        </w:rPr>
        <w:tab/>
      </w:r>
      <w:r w:rsidRPr="00625AD6">
        <w:rPr>
          <w:sz w:val="20"/>
          <w:szCs w:val="20"/>
        </w:rPr>
        <w:tab/>
      </w:r>
      <w:r w:rsidR="00625AD6">
        <w:rPr>
          <w:sz w:val="20"/>
          <w:szCs w:val="20"/>
        </w:rPr>
        <w:t>10</w:t>
      </w:r>
    </w:p>
    <w:p w:rsidR="00E16192" w:rsidRPr="00625AD6" w:rsidRDefault="00E16192" w:rsidP="00E16192">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t>V.</w:t>
      </w:r>
      <w:r w:rsidRPr="00625AD6">
        <w:rPr>
          <w:sz w:val="20"/>
          <w:szCs w:val="20"/>
        </w:rPr>
        <w:tab/>
        <w:t xml:space="preserve">Accountability and </w:t>
      </w:r>
      <w:r w:rsidR="00530894" w:rsidRPr="00625AD6">
        <w:rPr>
          <w:sz w:val="20"/>
          <w:szCs w:val="20"/>
        </w:rPr>
        <w:t>t</w:t>
      </w:r>
      <w:r w:rsidRPr="00625AD6">
        <w:rPr>
          <w:sz w:val="20"/>
          <w:szCs w:val="20"/>
        </w:rPr>
        <w:t xml:space="preserve">ransitional </w:t>
      </w:r>
      <w:r w:rsidR="00530894" w:rsidRPr="00625AD6">
        <w:rPr>
          <w:sz w:val="20"/>
          <w:szCs w:val="20"/>
        </w:rPr>
        <w:t>j</w:t>
      </w:r>
      <w:r w:rsidRPr="00625AD6">
        <w:rPr>
          <w:sz w:val="20"/>
          <w:szCs w:val="20"/>
        </w:rPr>
        <w:t xml:space="preserve">ustice </w:t>
      </w:r>
      <w:r w:rsidRPr="00625AD6">
        <w:rPr>
          <w:sz w:val="20"/>
          <w:szCs w:val="20"/>
        </w:rPr>
        <w:tab/>
      </w:r>
      <w:r w:rsidR="005D6B8F" w:rsidRPr="00625AD6">
        <w:rPr>
          <w:sz w:val="20"/>
          <w:szCs w:val="20"/>
        </w:rPr>
        <w:tab/>
      </w:r>
      <w:r w:rsidR="00625AD6">
        <w:rPr>
          <w:sz w:val="20"/>
          <w:szCs w:val="20"/>
        </w:rPr>
        <w:t>12</w:t>
      </w:r>
    </w:p>
    <w:p w:rsidR="00E16192" w:rsidRPr="00625AD6" w:rsidRDefault="00E16192" w:rsidP="00E16192">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r>
      <w:r w:rsidRPr="00625AD6">
        <w:rPr>
          <w:sz w:val="20"/>
          <w:szCs w:val="20"/>
        </w:rPr>
        <w:tab/>
      </w:r>
      <w:proofErr w:type="gramStart"/>
      <w:r w:rsidRPr="00625AD6">
        <w:rPr>
          <w:sz w:val="20"/>
          <w:szCs w:val="20"/>
        </w:rPr>
        <w:t>A.</w:t>
      </w:r>
      <w:r w:rsidRPr="00625AD6">
        <w:rPr>
          <w:sz w:val="20"/>
          <w:szCs w:val="20"/>
        </w:rPr>
        <w:tab/>
        <w:t xml:space="preserve">Hybrid </w:t>
      </w:r>
      <w:r w:rsidR="00863F1A" w:rsidRPr="00625AD6">
        <w:rPr>
          <w:sz w:val="20"/>
          <w:szCs w:val="20"/>
        </w:rPr>
        <w:t>c</w:t>
      </w:r>
      <w:r w:rsidRPr="00625AD6">
        <w:rPr>
          <w:sz w:val="20"/>
          <w:szCs w:val="20"/>
        </w:rPr>
        <w:t>ourt for South Sudan.</w:t>
      </w:r>
      <w:proofErr w:type="gramEnd"/>
      <w:r w:rsidRPr="00625AD6">
        <w:rPr>
          <w:sz w:val="20"/>
          <w:szCs w:val="20"/>
        </w:rPr>
        <w:tab/>
      </w:r>
      <w:r w:rsidRPr="00625AD6">
        <w:rPr>
          <w:sz w:val="20"/>
          <w:szCs w:val="20"/>
        </w:rPr>
        <w:tab/>
      </w:r>
      <w:r w:rsidR="00625AD6">
        <w:rPr>
          <w:sz w:val="20"/>
          <w:szCs w:val="20"/>
        </w:rPr>
        <w:t>13</w:t>
      </w:r>
    </w:p>
    <w:p w:rsidR="008B4D0A" w:rsidRPr="00625AD6" w:rsidRDefault="00E16192" w:rsidP="008B4D0A">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r>
      <w:r w:rsidR="008B4D0A" w:rsidRPr="00625AD6">
        <w:rPr>
          <w:sz w:val="20"/>
          <w:szCs w:val="20"/>
        </w:rPr>
        <w:tab/>
      </w:r>
      <w:r w:rsidRPr="00625AD6">
        <w:rPr>
          <w:sz w:val="20"/>
          <w:szCs w:val="20"/>
        </w:rPr>
        <w:t>B.</w:t>
      </w:r>
      <w:r w:rsidRPr="00625AD6">
        <w:rPr>
          <w:sz w:val="20"/>
          <w:szCs w:val="20"/>
        </w:rPr>
        <w:tab/>
        <w:t xml:space="preserve">Commission </w:t>
      </w:r>
      <w:r w:rsidR="00863F1A" w:rsidRPr="00625AD6">
        <w:rPr>
          <w:sz w:val="20"/>
          <w:szCs w:val="20"/>
        </w:rPr>
        <w:t>for t</w:t>
      </w:r>
      <w:r w:rsidRPr="00625AD6">
        <w:rPr>
          <w:sz w:val="20"/>
          <w:szCs w:val="20"/>
        </w:rPr>
        <w:t xml:space="preserve">ruth, </w:t>
      </w:r>
      <w:r w:rsidR="00863F1A" w:rsidRPr="00625AD6">
        <w:rPr>
          <w:sz w:val="20"/>
          <w:szCs w:val="20"/>
        </w:rPr>
        <w:t>reconciliation and h</w:t>
      </w:r>
      <w:r w:rsidRPr="00625AD6">
        <w:rPr>
          <w:sz w:val="20"/>
          <w:szCs w:val="20"/>
        </w:rPr>
        <w:t xml:space="preserve">ealing </w:t>
      </w:r>
      <w:r w:rsidR="00B67DBF" w:rsidRPr="00625AD6">
        <w:rPr>
          <w:sz w:val="20"/>
          <w:szCs w:val="20"/>
        </w:rPr>
        <w:tab/>
      </w:r>
      <w:r w:rsidR="0032253A" w:rsidRPr="00625AD6">
        <w:rPr>
          <w:sz w:val="20"/>
          <w:szCs w:val="20"/>
        </w:rPr>
        <w:tab/>
      </w:r>
      <w:r w:rsidR="00625AD6">
        <w:rPr>
          <w:sz w:val="20"/>
          <w:szCs w:val="20"/>
        </w:rPr>
        <w:t>14</w:t>
      </w:r>
    </w:p>
    <w:p w:rsidR="00E16192" w:rsidRPr="00625AD6" w:rsidRDefault="00B67DBF" w:rsidP="008B4D0A">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r>
      <w:r w:rsidRPr="00625AD6">
        <w:rPr>
          <w:sz w:val="20"/>
          <w:szCs w:val="20"/>
        </w:rPr>
        <w:tab/>
      </w:r>
      <w:r w:rsidR="00E16192" w:rsidRPr="00625AD6">
        <w:rPr>
          <w:sz w:val="20"/>
          <w:szCs w:val="20"/>
        </w:rPr>
        <w:t>C.</w:t>
      </w:r>
      <w:r w:rsidR="00E16192" w:rsidRPr="00625AD6">
        <w:rPr>
          <w:sz w:val="20"/>
          <w:szCs w:val="20"/>
        </w:rPr>
        <w:tab/>
      </w:r>
      <w:r w:rsidR="0032253A" w:rsidRPr="00625AD6">
        <w:rPr>
          <w:sz w:val="20"/>
          <w:szCs w:val="20"/>
        </w:rPr>
        <w:t xml:space="preserve">Compensation and </w:t>
      </w:r>
      <w:r w:rsidR="00863F1A" w:rsidRPr="00625AD6">
        <w:rPr>
          <w:sz w:val="20"/>
          <w:szCs w:val="20"/>
        </w:rPr>
        <w:t>r</w:t>
      </w:r>
      <w:r w:rsidR="0032253A" w:rsidRPr="00625AD6">
        <w:rPr>
          <w:sz w:val="20"/>
          <w:szCs w:val="20"/>
        </w:rPr>
        <w:t xml:space="preserve">eparations </w:t>
      </w:r>
      <w:r w:rsidR="00863F1A" w:rsidRPr="00625AD6">
        <w:rPr>
          <w:sz w:val="20"/>
          <w:szCs w:val="20"/>
        </w:rPr>
        <w:t>a</w:t>
      </w:r>
      <w:r w:rsidR="0032253A" w:rsidRPr="00625AD6">
        <w:rPr>
          <w:sz w:val="20"/>
          <w:szCs w:val="20"/>
        </w:rPr>
        <w:t>uthority</w:t>
      </w:r>
      <w:r w:rsidR="00E16192" w:rsidRPr="00625AD6">
        <w:rPr>
          <w:sz w:val="20"/>
          <w:szCs w:val="20"/>
        </w:rPr>
        <w:tab/>
      </w:r>
      <w:r w:rsidR="00E16192" w:rsidRPr="00625AD6">
        <w:rPr>
          <w:sz w:val="20"/>
          <w:szCs w:val="20"/>
        </w:rPr>
        <w:tab/>
      </w:r>
      <w:r w:rsidR="00625AD6">
        <w:rPr>
          <w:sz w:val="20"/>
          <w:szCs w:val="20"/>
        </w:rPr>
        <w:t>15</w:t>
      </w:r>
    </w:p>
    <w:p w:rsidR="00E16192" w:rsidRPr="00625AD6" w:rsidRDefault="00E16192" w:rsidP="00B67DBF">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r>
      <w:r w:rsidRPr="00625AD6">
        <w:rPr>
          <w:sz w:val="20"/>
          <w:szCs w:val="20"/>
        </w:rPr>
        <w:tab/>
        <w:t>D.</w:t>
      </w:r>
      <w:r w:rsidRPr="00625AD6">
        <w:rPr>
          <w:sz w:val="20"/>
          <w:szCs w:val="20"/>
        </w:rPr>
        <w:tab/>
      </w:r>
      <w:r w:rsidR="0032253A" w:rsidRPr="00625AD6">
        <w:rPr>
          <w:sz w:val="20"/>
          <w:szCs w:val="20"/>
        </w:rPr>
        <w:t xml:space="preserve">Proposed </w:t>
      </w:r>
      <w:r w:rsidR="00530894" w:rsidRPr="00625AD6">
        <w:rPr>
          <w:sz w:val="20"/>
          <w:szCs w:val="20"/>
        </w:rPr>
        <w:t>n</w:t>
      </w:r>
      <w:r w:rsidR="0032253A" w:rsidRPr="00625AD6">
        <w:rPr>
          <w:sz w:val="20"/>
          <w:szCs w:val="20"/>
        </w:rPr>
        <w:t xml:space="preserve">ational </w:t>
      </w:r>
      <w:r w:rsidR="00530894" w:rsidRPr="00625AD6">
        <w:rPr>
          <w:sz w:val="20"/>
          <w:szCs w:val="20"/>
        </w:rPr>
        <w:t>d</w:t>
      </w:r>
      <w:r w:rsidR="0032253A" w:rsidRPr="00625AD6">
        <w:rPr>
          <w:sz w:val="20"/>
          <w:szCs w:val="20"/>
        </w:rPr>
        <w:t>ialogue</w:t>
      </w:r>
      <w:r w:rsidRPr="00625AD6">
        <w:rPr>
          <w:sz w:val="20"/>
          <w:szCs w:val="20"/>
        </w:rPr>
        <w:tab/>
      </w:r>
      <w:r w:rsidR="0032253A" w:rsidRPr="00625AD6">
        <w:rPr>
          <w:sz w:val="20"/>
          <w:szCs w:val="20"/>
        </w:rPr>
        <w:tab/>
      </w:r>
      <w:r w:rsidR="00625AD6">
        <w:rPr>
          <w:sz w:val="20"/>
          <w:szCs w:val="20"/>
        </w:rPr>
        <w:t>16</w:t>
      </w:r>
    </w:p>
    <w:p w:rsidR="00E16192" w:rsidRPr="00625AD6" w:rsidRDefault="00E16192" w:rsidP="008B4D0A">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r>
      <w:r w:rsidRPr="00625AD6">
        <w:rPr>
          <w:sz w:val="20"/>
          <w:szCs w:val="20"/>
        </w:rPr>
        <w:tab/>
        <w:t>E.</w:t>
      </w:r>
      <w:r w:rsidRPr="00625AD6">
        <w:rPr>
          <w:sz w:val="20"/>
          <w:szCs w:val="20"/>
        </w:rPr>
        <w:tab/>
        <w:t xml:space="preserve">The </w:t>
      </w:r>
      <w:r w:rsidR="00530894" w:rsidRPr="00625AD6">
        <w:rPr>
          <w:sz w:val="20"/>
          <w:szCs w:val="20"/>
        </w:rPr>
        <w:t>w</w:t>
      </w:r>
      <w:r w:rsidRPr="00625AD6">
        <w:rPr>
          <w:sz w:val="20"/>
          <w:szCs w:val="20"/>
        </w:rPr>
        <w:t xml:space="preserve">ay </w:t>
      </w:r>
      <w:r w:rsidR="00530894" w:rsidRPr="00625AD6">
        <w:rPr>
          <w:sz w:val="20"/>
          <w:szCs w:val="20"/>
        </w:rPr>
        <w:t>f</w:t>
      </w:r>
      <w:r w:rsidRPr="00625AD6">
        <w:rPr>
          <w:sz w:val="20"/>
          <w:szCs w:val="20"/>
        </w:rPr>
        <w:t>orward</w:t>
      </w:r>
      <w:r w:rsidRPr="00625AD6">
        <w:rPr>
          <w:sz w:val="20"/>
          <w:szCs w:val="20"/>
        </w:rPr>
        <w:tab/>
      </w:r>
      <w:r w:rsidR="0032253A" w:rsidRPr="00625AD6">
        <w:rPr>
          <w:sz w:val="20"/>
          <w:szCs w:val="20"/>
        </w:rPr>
        <w:tab/>
      </w:r>
      <w:r w:rsidR="00625AD6">
        <w:rPr>
          <w:sz w:val="20"/>
          <w:szCs w:val="20"/>
        </w:rPr>
        <w:t>1</w:t>
      </w:r>
      <w:r w:rsidR="0095023C">
        <w:rPr>
          <w:sz w:val="20"/>
          <w:szCs w:val="20"/>
        </w:rPr>
        <w:t>6</w:t>
      </w:r>
    </w:p>
    <w:p w:rsidR="00E16192" w:rsidRPr="00625AD6" w:rsidRDefault="00E16192" w:rsidP="008B4D0A">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t>VI.</w:t>
      </w:r>
      <w:r w:rsidRPr="00625AD6">
        <w:rPr>
          <w:sz w:val="20"/>
          <w:szCs w:val="20"/>
        </w:rPr>
        <w:tab/>
        <w:t>Conclusion and recommendations</w:t>
      </w:r>
      <w:r w:rsidR="00974932" w:rsidRPr="00625AD6">
        <w:rPr>
          <w:sz w:val="20"/>
          <w:szCs w:val="20"/>
        </w:rPr>
        <w:t xml:space="preserve"> </w:t>
      </w:r>
      <w:r w:rsidRPr="00625AD6">
        <w:rPr>
          <w:sz w:val="20"/>
          <w:szCs w:val="20"/>
        </w:rPr>
        <w:tab/>
      </w:r>
      <w:r w:rsidR="0032253A" w:rsidRPr="00625AD6">
        <w:rPr>
          <w:sz w:val="20"/>
          <w:szCs w:val="20"/>
        </w:rPr>
        <w:tab/>
      </w:r>
      <w:r w:rsidR="00625AD6">
        <w:rPr>
          <w:sz w:val="20"/>
          <w:szCs w:val="20"/>
        </w:rPr>
        <w:t>17</w:t>
      </w:r>
    </w:p>
    <w:p w:rsidR="00E16192" w:rsidRPr="00625AD6" w:rsidRDefault="00E16192" w:rsidP="008B4D0A">
      <w:pPr>
        <w:tabs>
          <w:tab w:val="right" w:pos="850"/>
          <w:tab w:val="left" w:pos="1134"/>
          <w:tab w:val="left" w:pos="1559"/>
          <w:tab w:val="left" w:pos="1984"/>
          <w:tab w:val="left" w:leader="dot" w:pos="8929"/>
          <w:tab w:val="right" w:pos="9638"/>
        </w:tabs>
        <w:spacing w:after="120"/>
        <w:rPr>
          <w:sz w:val="20"/>
          <w:szCs w:val="20"/>
        </w:rPr>
      </w:pPr>
      <w:r w:rsidRPr="00625AD6">
        <w:rPr>
          <w:sz w:val="20"/>
          <w:szCs w:val="20"/>
        </w:rPr>
        <w:tab/>
      </w:r>
      <w:r w:rsidRPr="00625AD6">
        <w:rPr>
          <w:sz w:val="20"/>
          <w:szCs w:val="20"/>
        </w:rPr>
        <w:tab/>
        <w:t>A.</w:t>
      </w:r>
      <w:r w:rsidRPr="00625AD6">
        <w:rPr>
          <w:sz w:val="20"/>
          <w:szCs w:val="20"/>
        </w:rPr>
        <w:tab/>
        <w:t>Conclusions</w:t>
      </w:r>
      <w:r w:rsidRPr="00625AD6">
        <w:rPr>
          <w:sz w:val="20"/>
          <w:szCs w:val="20"/>
        </w:rPr>
        <w:tab/>
      </w:r>
      <w:r w:rsidRPr="00625AD6">
        <w:rPr>
          <w:sz w:val="20"/>
          <w:szCs w:val="20"/>
        </w:rPr>
        <w:tab/>
      </w:r>
      <w:r w:rsidR="00625AD6">
        <w:rPr>
          <w:sz w:val="20"/>
          <w:szCs w:val="20"/>
        </w:rPr>
        <w:t>17</w:t>
      </w:r>
    </w:p>
    <w:p w:rsidR="00E16192" w:rsidRPr="00625AD6" w:rsidRDefault="00E16192" w:rsidP="0032253A">
      <w:pPr>
        <w:tabs>
          <w:tab w:val="right" w:pos="850"/>
          <w:tab w:val="left" w:pos="1134"/>
          <w:tab w:val="left" w:pos="1559"/>
          <w:tab w:val="left" w:pos="1984"/>
          <w:tab w:val="left" w:leader="dot" w:pos="8929"/>
          <w:tab w:val="right" w:pos="9639"/>
        </w:tabs>
        <w:spacing w:after="120"/>
        <w:rPr>
          <w:sz w:val="20"/>
          <w:szCs w:val="20"/>
        </w:rPr>
      </w:pPr>
      <w:r w:rsidRPr="00625AD6">
        <w:rPr>
          <w:sz w:val="20"/>
          <w:szCs w:val="20"/>
        </w:rPr>
        <w:tab/>
      </w:r>
      <w:r w:rsidRPr="00625AD6">
        <w:rPr>
          <w:sz w:val="20"/>
          <w:szCs w:val="20"/>
        </w:rPr>
        <w:tab/>
        <w:t>B.</w:t>
      </w:r>
      <w:r w:rsidRPr="00625AD6">
        <w:rPr>
          <w:sz w:val="20"/>
          <w:szCs w:val="20"/>
        </w:rPr>
        <w:tab/>
        <w:t xml:space="preserve">Recommendations </w:t>
      </w:r>
      <w:r w:rsidRPr="00625AD6">
        <w:rPr>
          <w:sz w:val="20"/>
          <w:szCs w:val="20"/>
        </w:rPr>
        <w:tab/>
      </w:r>
      <w:r w:rsidR="0032253A" w:rsidRPr="00625AD6">
        <w:tab/>
      </w:r>
      <w:r w:rsidR="00625AD6" w:rsidRPr="00625AD6">
        <w:rPr>
          <w:sz w:val="20"/>
          <w:szCs w:val="20"/>
        </w:rPr>
        <w:t>19</w:t>
      </w:r>
    </w:p>
    <w:p w:rsidR="008E66DA" w:rsidRPr="00625AD6" w:rsidRDefault="008E66DA">
      <w:pPr>
        <w:suppressAutoHyphens w:val="0"/>
        <w:spacing w:line="240" w:lineRule="auto"/>
        <w:rPr>
          <w:rFonts w:asciiTheme="majorHAnsi" w:eastAsiaTheme="majorEastAsia" w:hAnsiTheme="majorHAnsi" w:cstheme="majorBidi"/>
          <w:b/>
          <w:bCs/>
          <w:color w:val="365F91" w:themeColor="accent1" w:themeShade="BF"/>
          <w:sz w:val="28"/>
          <w:szCs w:val="28"/>
          <w:lang w:val="en-US" w:eastAsia="ja-JP"/>
        </w:rPr>
      </w:pPr>
      <w:r w:rsidRPr="00625AD6">
        <w:rPr>
          <w:rFonts w:asciiTheme="majorHAnsi" w:eastAsiaTheme="majorEastAsia" w:hAnsiTheme="majorHAnsi" w:cstheme="majorBidi"/>
          <w:b/>
          <w:bCs/>
          <w:color w:val="365F91" w:themeColor="accent1" w:themeShade="BF"/>
          <w:sz w:val="28"/>
          <w:szCs w:val="28"/>
          <w:lang w:val="en-US" w:eastAsia="ja-JP"/>
        </w:rPr>
        <w:br w:type="page"/>
      </w:r>
    </w:p>
    <w:p w:rsidR="008E66DA" w:rsidRPr="00DF202E" w:rsidRDefault="00DF202E" w:rsidP="00DF202E">
      <w:pPr>
        <w:pStyle w:val="HChG"/>
      </w:pPr>
      <w:r>
        <w:tab/>
      </w:r>
      <w:r w:rsidR="00625AD6" w:rsidRPr="00DF202E">
        <w:t>I.</w:t>
      </w:r>
      <w:r w:rsidR="00625AD6" w:rsidRPr="00DF202E">
        <w:tab/>
      </w:r>
      <w:r w:rsidR="008E66DA" w:rsidRPr="00DF202E">
        <w:t xml:space="preserve">Introduction </w:t>
      </w:r>
    </w:p>
    <w:p w:rsidR="00507944" w:rsidRPr="00625AD6" w:rsidRDefault="00625AD6" w:rsidP="00625AD6">
      <w:pPr>
        <w:pStyle w:val="SingleTxtG"/>
        <w:tabs>
          <w:tab w:val="left" w:pos="1701"/>
        </w:tabs>
        <w:rPr>
          <w:sz w:val="20"/>
        </w:rPr>
      </w:pPr>
      <w:proofErr w:type="gramStart"/>
      <w:r w:rsidRPr="00625AD6">
        <w:rPr>
          <w:sz w:val="20"/>
          <w:szCs w:val="20"/>
        </w:rPr>
        <w:t>1.</w:t>
      </w:r>
      <w:r w:rsidRPr="00625AD6">
        <w:rPr>
          <w:sz w:val="20"/>
          <w:szCs w:val="20"/>
        </w:rPr>
        <w:tab/>
      </w:r>
      <w:r w:rsidR="00644409" w:rsidRPr="00625AD6">
        <w:rPr>
          <w:sz w:val="20"/>
        </w:rPr>
        <w:t>In its resolution 31/20, the Human Rights Council established the Commission on Human Rights in South Sudan for a period of one year</w:t>
      </w:r>
      <w:r w:rsidR="00851EBA" w:rsidRPr="00625AD6">
        <w:rPr>
          <w:sz w:val="20"/>
        </w:rPr>
        <w:t>,</w:t>
      </w:r>
      <w:r w:rsidR="00644409" w:rsidRPr="00625AD6">
        <w:rPr>
          <w:sz w:val="20"/>
        </w:rPr>
        <w:t xml:space="preserve"> and requested the Commission to, </w:t>
      </w:r>
      <w:r w:rsidR="00851EBA" w:rsidRPr="00625AD6">
        <w:rPr>
          <w:sz w:val="20"/>
        </w:rPr>
        <w:t>inter alia</w:t>
      </w:r>
      <w:r w:rsidR="00644409" w:rsidRPr="00625AD6">
        <w:rPr>
          <w:sz w:val="20"/>
        </w:rPr>
        <w:t xml:space="preserve">, monitor and report on the situation of human rights in South Sudan and </w:t>
      </w:r>
      <w:r w:rsidR="00851EBA" w:rsidRPr="00625AD6">
        <w:rPr>
          <w:sz w:val="20"/>
        </w:rPr>
        <w:t xml:space="preserve">to </w:t>
      </w:r>
      <w:r w:rsidR="00644409" w:rsidRPr="00625AD6">
        <w:rPr>
          <w:sz w:val="20"/>
        </w:rPr>
        <w:t>make recommendations for its improvement</w:t>
      </w:r>
      <w:r w:rsidR="00851EBA" w:rsidRPr="00625AD6">
        <w:rPr>
          <w:sz w:val="20"/>
        </w:rPr>
        <w:t>,</w:t>
      </w:r>
      <w:r w:rsidR="00644409" w:rsidRPr="00625AD6">
        <w:rPr>
          <w:sz w:val="20"/>
        </w:rPr>
        <w:t xml:space="preserve"> and </w:t>
      </w:r>
      <w:r w:rsidR="00851EBA" w:rsidRPr="00625AD6">
        <w:rPr>
          <w:sz w:val="20"/>
        </w:rPr>
        <w:t xml:space="preserve">to </w:t>
      </w:r>
      <w:r w:rsidR="00644409" w:rsidRPr="00625AD6">
        <w:rPr>
          <w:sz w:val="20"/>
        </w:rPr>
        <w:t>assess past reports on the situation of human rights since December 2013 in order to establish a factual basis for transitional justice and reconciliation.</w:t>
      </w:r>
      <w:proofErr w:type="gramEnd"/>
      <w:r w:rsidR="00644409" w:rsidRPr="00625AD6">
        <w:rPr>
          <w:sz w:val="20"/>
        </w:rPr>
        <w:t xml:space="preserve"> </w:t>
      </w:r>
    </w:p>
    <w:p w:rsidR="00507944" w:rsidRPr="00625AD6" w:rsidRDefault="00625AD6" w:rsidP="00625AD6">
      <w:pPr>
        <w:pStyle w:val="SingleTxtG"/>
        <w:tabs>
          <w:tab w:val="left" w:pos="1701"/>
        </w:tabs>
        <w:rPr>
          <w:sz w:val="20"/>
        </w:rPr>
      </w:pPr>
      <w:bookmarkStart w:id="1" w:name="_Toc474703805"/>
      <w:bookmarkStart w:id="2" w:name="_Toc474703833"/>
      <w:bookmarkStart w:id="3" w:name="_Toc474703861"/>
      <w:bookmarkStart w:id="4" w:name="_Toc474703895"/>
      <w:bookmarkStart w:id="5" w:name="_Toc474703914"/>
      <w:bookmarkStart w:id="6" w:name="_Toc474703806"/>
      <w:bookmarkStart w:id="7" w:name="_Toc474703834"/>
      <w:bookmarkStart w:id="8" w:name="_Toc474703862"/>
      <w:bookmarkStart w:id="9" w:name="_Toc474703896"/>
      <w:bookmarkStart w:id="10" w:name="_Toc474703915"/>
      <w:bookmarkStart w:id="11" w:name="_Toc474703807"/>
      <w:bookmarkStart w:id="12" w:name="_Toc474703835"/>
      <w:bookmarkStart w:id="13" w:name="_Toc474703863"/>
      <w:bookmarkStart w:id="14" w:name="_Toc474703897"/>
      <w:bookmarkStart w:id="15" w:name="_Toc474703916"/>
      <w:bookmarkStart w:id="16" w:name="_Toc474703808"/>
      <w:bookmarkStart w:id="17" w:name="_Toc474703836"/>
      <w:bookmarkStart w:id="18" w:name="_Toc474703864"/>
      <w:bookmarkStart w:id="19" w:name="_Toc474703898"/>
      <w:bookmarkStart w:id="20" w:name="_Toc474703917"/>
      <w:bookmarkStart w:id="21" w:name="_Toc474703809"/>
      <w:bookmarkStart w:id="22" w:name="_Toc474703837"/>
      <w:bookmarkStart w:id="23" w:name="_Toc474703865"/>
      <w:bookmarkStart w:id="24" w:name="_Toc474703899"/>
      <w:bookmarkStart w:id="25" w:name="_Toc474703918"/>
      <w:bookmarkStart w:id="26" w:name="_Toc474703810"/>
      <w:bookmarkStart w:id="27" w:name="_Toc474703838"/>
      <w:bookmarkStart w:id="28" w:name="_Toc474703866"/>
      <w:bookmarkStart w:id="29" w:name="_Toc474703900"/>
      <w:bookmarkStart w:id="30" w:name="_Toc474703919"/>
      <w:bookmarkStart w:id="31" w:name="_Toc474703811"/>
      <w:bookmarkStart w:id="32" w:name="_Toc474703839"/>
      <w:bookmarkStart w:id="33" w:name="_Toc474703867"/>
      <w:bookmarkStart w:id="34" w:name="_Toc474703901"/>
      <w:bookmarkStart w:id="35" w:name="_Toc47470392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625AD6">
        <w:rPr>
          <w:sz w:val="20"/>
          <w:szCs w:val="20"/>
        </w:rPr>
        <w:t>2.</w:t>
      </w:r>
      <w:r w:rsidRPr="00625AD6">
        <w:rPr>
          <w:sz w:val="20"/>
          <w:szCs w:val="20"/>
        </w:rPr>
        <w:tab/>
      </w:r>
      <w:r w:rsidR="00644409" w:rsidRPr="00625AD6">
        <w:rPr>
          <w:sz w:val="20"/>
        </w:rPr>
        <w:t xml:space="preserve">On 14 June 2016, the President of the </w:t>
      </w:r>
      <w:r w:rsidR="00851EBA" w:rsidRPr="00625AD6">
        <w:rPr>
          <w:sz w:val="20"/>
        </w:rPr>
        <w:t xml:space="preserve">Human Rights </w:t>
      </w:r>
      <w:r w:rsidR="00644409" w:rsidRPr="00625AD6">
        <w:rPr>
          <w:sz w:val="20"/>
        </w:rPr>
        <w:t>Council appointed Yasmin Sooka, Kenneth R. Scott and Godfrey M. Musila to serve as the three members of the Commission, with Ms</w:t>
      </w:r>
      <w:r w:rsidR="00851EBA" w:rsidRPr="00625AD6">
        <w:rPr>
          <w:sz w:val="20"/>
        </w:rPr>
        <w:t>.</w:t>
      </w:r>
      <w:r w:rsidR="00644409" w:rsidRPr="00625AD6">
        <w:rPr>
          <w:sz w:val="20"/>
        </w:rPr>
        <w:t xml:space="preserve"> Sooka as its </w:t>
      </w:r>
      <w:r w:rsidR="002C2403" w:rsidRPr="00625AD6">
        <w:rPr>
          <w:sz w:val="20"/>
        </w:rPr>
        <w:t>C</w:t>
      </w:r>
      <w:r w:rsidR="00644409" w:rsidRPr="00625AD6">
        <w:rPr>
          <w:sz w:val="20"/>
        </w:rPr>
        <w:t>hair. The Commission began its work in July. It</w:t>
      </w:r>
      <w:r w:rsidR="00851EBA" w:rsidRPr="00625AD6">
        <w:rPr>
          <w:sz w:val="20"/>
        </w:rPr>
        <w:t xml:space="preserve"> conducted it</w:t>
      </w:r>
      <w:r w:rsidR="00644409" w:rsidRPr="00625AD6">
        <w:rPr>
          <w:sz w:val="20"/>
        </w:rPr>
        <w:t xml:space="preserve">s first mission to South Sudan and surrounding regions from </w:t>
      </w:r>
      <w:proofErr w:type="gramStart"/>
      <w:r w:rsidR="00644409" w:rsidRPr="00625AD6">
        <w:rPr>
          <w:sz w:val="20"/>
        </w:rPr>
        <w:t>8</w:t>
      </w:r>
      <w:proofErr w:type="gramEnd"/>
      <w:r w:rsidR="00851EBA" w:rsidRPr="00625AD6">
        <w:rPr>
          <w:sz w:val="20"/>
        </w:rPr>
        <w:t xml:space="preserve"> to </w:t>
      </w:r>
      <w:r w:rsidR="00644409" w:rsidRPr="00625AD6">
        <w:rPr>
          <w:sz w:val="20"/>
        </w:rPr>
        <w:t xml:space="preserve">15 September, and </w:t>
      </w:r>
      <w:r w:rsidR="00851EBA" w:rsidRPr="00625AD6">
        <w:rPr>
          <w:sz w:val="20"/>
        </w:rPr>
        <w:t>a</w:t>
      </w:r>
      <w:r w:rsidR="00644409" w:rsidRPr="00625AD6">
        <w:rPr>
          <w:sz w:val="20"/>
        </w:rPr>
        <w:t xml:space="preserve"> second mission from 21 November to 8 December. The </w:t>
      </w:r>
      <w:r w:rsidR="00D37CF1" w:rsidRPr="00625AD6">
        <w:rPr>
          <w:sz w:val="20"/>
        </w:rPr>
        <w:t>C</w:t>
      </w:r>
      <w:r w:rsidR="00644409" w:rsidRPr="00625AD6">
        <w:rPr>
          <w:sz w:val="20"/>
        </w:rPr>
        <w:t xml:space="preserve">ommission also visited Ethiopia, Kenya and Uganda. </w:t>
      </w:r>
    </w:p>
    <w:p w:rsidR="00507944" w:rsidRPr="00625AD6" w:rsidRDefault="00625AD6" w:rsidP="00625AD6">
      <w:pPr>
        <w:pStyle w:val="SingleTxtG"/>
        <w:tabs>
          <w:tab w:val="left" w:pos="1701"/>
        </w:tabs>
        <w:rPr>
          <w:sz w:val="20"/>
        </w:rPr>
      </w:pPr>
      <w:r w:rsidRPr="00625AD6">
        <w:rPr>
          <w:sz w:val="20"/>
          <w:szCs w:val="20"/>
        </w:rPr>
        <w:t>3.</w:t>
      </w:r>
      <w:r w:rsidRPr="00625AD6">
        <w:rPr>
          <w:sz w:val="20"/>
          <w:szCs w:val="20"/>
        </w:rPr>
        <w:tab/>
      </w:r>
      <w:r w:rsidR="003F3E9E" w:rsidRPr="00625AD6">
        <w:rPr>
          <w:sz w:val="20"/>
        </w:rPr>
        <w:t xml:space="preserve">On 14 December 2016, the </w:t>
      </w:r>
      <w:r w:rsidR="0062294D" w:rsidRPr="00625AD6">
        <w:rPr>
          <w:sz w:val="20"/>
        </w:rPr>
        <w:t xml:space="preserve">Human Rights </w:t>
      </w:r>
      <w:r w:rsidR="003F3E9E" w:rsidRPr="00625AD6">
        <w:rPr>
          <w:sz w:val="20"/>
        </w:rPr>
        <w:t xml:space="preserve">Council convened a special session </w:t>
      </w:r>
      <w:r w:rsidR="00D034B8" w:rsidRPr="00625AD6">
        <w:rPr>
          <w:sz w:val="20"/>
        </w:rPr>
        <w:t xml:space="preserve">on South Sudan </w:t>
      </w:r>
      <w:r w:rsidR="003F3E9E" w:rsidRPr="00625AD6">
        <w:rPr>
          <w:sz w:val="20"/>
        </w:rPr>
        <w:t>to discuss the deteri</w:t>
      </w:r>
      <w:r w:rsidR="00D034B8" w:rsidRPr="00625AD6">
        <w:rPr>
          <w:sz w:val="20"/>
        </w:rPr>
        <w:t xml:space="preserve">orating </w:t>
      </w:r>
      <w:r w:rsidR="0062294D" w:rsidRPr="00625AD6">
        <w:rPr>
          <w:sz w:val="20"/>
        </w:rPr>
        <w:t xml:space="preserve">situation of </w:t>
      </w:r>
      <w:r w:rsidR="00D034B8" w:rsidRPr="00625AD6">
        <w:rPr>
          <w:sz w:val="20"/>
        </w:rPr>
        <w:t xml:space="preserve">human rights, </w:t>
      </w:r>
      <w:r w:rsidR="003F3E9E" w:rsidRPr="00625AD6">
        <w:rPr>
          <w:sz w:val="20"/>
        </w:rPr>
        <w:t xml:space="preserve">which </w:t>
      </w:r>
      <w:proofErr w:type="gramStart"/>
      <w:r w:rsidR="003F3E9E" w:rsidRPr="00625AD6">
        <w:rPr>
          <w:sz w:val="20"/>
        </w:rPr>
        <w:t>was attended</w:t>
      </w:r>
      <w:proofErr w:type="gramEnd"/>
      <w:r w:rsidR="003F3E9E" w:rsidRPr="00625AD6">
        <w:rPr>
          <w:sz w:val="20"/>
        </w:rPr>
        <w:t xml:space="preserve"> by the </w:t>
      </w:r>
      <w:r w:rsidR="002C2403" w:rsidRPr="00625AD6">
        <w:rPr>
          <w:sz w:val="20"/>
        </w:rPr>
        <w:t>C</w:t>
      </w:r>
      <w:r w:rsidR="003F3E9E" w:rsidRPr="00625AD6">
        <w:rPr>
          <w:sz w:val="20"/>
        </w:rPr>
        <w:t xml:space="preserve">hair of the Commission. At the conclusion of the </w:t>
      </w:r>
      <w:r w:rsidR="0062294D" w:rsidRPr="00625AD6">
        <w:rPr>
          <w:sz w:val="20"/>
        </w:rPr>
        <w:t xml:space="preserve">special </w:t>
      </w:r>
      <w:r w:rsidR="003F3E9E" w:rsidRPr="00625AD6">
        <w:rPr>
          <w:sz w:val="20"/>
        </w:rPr>
        <w:t>session, the</w:t>
      </w:r>
      <w:r w:rsidR="006C2B17" w:rsidRPr="00625AD6">
        <w:rPr>
          <w:sz w:val="20"/>
        </w:rPr>
        <w:t xml:space="preserve"> Council</w:t>
      </w:r>
      <w:r w:rsidR="0062294D" w:rsidRPr="00625AD6">
        <w:rPr>
          <w:sz w:val="20"/>
        </w:rPr>
        <w:t>, in its resolution S-26/1,</w:t>
      </w:r>
      <w:r w:rsidR="006C2B17" w:rsidRPr="00625AD6">
        <w:rPr>
          <w:sz w:val="20"/>
        </w:rPr>
        <w:t xml:space="preserve"> reaffirmed the mandate of the Commission</w:t>
      </w:r>
      <w:r w:rsidR="0062294D" w:rsidRPr="00625AD6">
        <w:rPr>
          <w:sz w:val="20"/>
        </w:rPr>
        <w:t>,</w:t>
      </w:r>
      <w:r w:rsidR="006C2B17" w:rsidRPr="00625AD6">
        <w:rPr>
          <w:sz w:val="20"/>
        </w:rPr>
        <w:t xml:space="preserve"> with renewed emphasis on the need to establish the facts and circumstances of alleged violations and abuses of human rights with a view to ensuring accountability. The Council requested the Commission to suggest priority recommendations for the Government of South Sudan to consider how to end sexual and gender</w:t>
      </w:r>
      <w:r w:rsidR="0062294D" w:rsidRPr="00625AD6">
        <w:rPr>
          <w:sz w:val="20"/>
        </w:rPr>
        <w:t>-</w:t>
      </w:r>
      <w:r w:rsidR="006C2B17" w:rsidRPr="00625AD6">
        <w:rPr>
          <w:sz w:val="20"/>
        </w:rPr>
        <w:t>based violence.</w:t>
      </w:r>
    </w:p>
    <w:p w:rsidR="00507944" w:rsidRPr="00625AD6" w:rsidRDefault="00625AD6" w:rsidP="00625AD6">
      <w:pPr>
        <w:pStyle w:val="SingleTxtG"/>
        <w:tabs>
          <w:tab w:val="left" w:pos="1701"/>
        </w:tabs>
        <w:rPr>
          <w:sz w:val="20"/>
        </w:rPr>
      </w:pPr>
      <w:proofErr w:type="gramStart"/>
      <w:r w:rsidRPr="00625AD6">
        <w:rPr>
          <w:sz w:val="20"/>
          <w:szCs w:val="20"/>
        </w:rPr>
        <w:t>4.</w:t>
      </w:r>
      <w:r w:rsidRPr="00625AD6">
        <w:rPr>
          <w:sz w:val="20"/>
          <w:szCs w:val="20"/>
        </w:rPr>
        <w:tab/>
      </w:r>
      <w:r w:rsidR="0062294D" w:rsidRPr="00625AD6">
        <w:rPr>
          <w:sz w:val="20"/>
        </w:rPr>
        <w:t xml:space="preserve">In the present </w:t>
      </w:r>
      <w:r w:rsidR="00644409" w:rsidRPr="00625AD6">
        <w:rPr>
          <w:sz w:val="20"/>
        </w:rPr>
        <w:t>report</w:t>
      </w:r>
      <w:r w:rsidR="0062294D" w:rsidRPr="00625AD6">
        <w:rPr>
          <w:sz w:val="20"/>
        </w:rPr>
        <w:t>, which</w:t>
      </w:r>
      <w:r w:rsidR="00644409" w:rsidRPr="00625AD6">
        <w:rPr>
          <w:sz w:val="20"/>
        </w:rPr>
        <w:t xml:space="preserve"> covers the period from July 2016 to February 2017</w:t>
      </w:r>
      <w:r w:rsidR="0062294D" w:rsidRPr="00625AD6">
        <w:rPr>
          <w:sz w:val="20"/>
        </w:rPr>
        <w:t xml:space="preserve">, the Commission </w:t>
      </w:r>
      <w:r w:rsidR="00644409" w:rsidRPr="00625AD6">
        <w:rPr>
          <w:sz w:val="20"/>
        </w:rPr>
        <w:t xml:space="preserve">assesses the </w:t>
      </w:r>
      <w:r w:rsidR="0062294D" w:rsidRPr="00625AD6">
        <w:rPr>
          <w:sz w:val="20"/>
        </w:rPr>
        <w:t xml:space="preserve">situation of </w:t>
      </w:r>
      <w:r w:rsidR="00644409" w:rsidRPr="00625AD6">
        <w:rPr>
          <w:sz w:val="20"/>
        </w:rPr>
        <w:t>human rights in South Sudan and the implementation of the provisions of</w:t>
      </w:r>
      <w:r w:rsidR="00974932" w:rsidRPr="00625AD6">
        <w:rPr>
          <w:sz w:val="20"/>
        </w:rPr>
        <w:t xml:space="preserve"> </w:t>
      </w:r>
      <w:r w:rsidR="0062294D" w:rsidRPr="00625AD6">
        <w:rPr>
          <w:sz w:val="20"/>
        </w:rPr>
        <w:t>chapter V of</w:t>
      </w:r>
      <w:r w:rsidR="00974932" w:rsidRPr="00625AD6">
        <w:rPr>
          <w:sz w:val="20"/>
        </w:rPr>
        <w:t xml:space="preserve"> </w:t>
      </w:r>
      <w:r w:rsidR="00644409" w:rsidRPr="00625AD6">
        <w:rPr>
          <w:sz w:val="20"/>
        </w:rPr>
        <w:t xml:space="preserve">the Agreement on the Resolution of the Conflict in </w:t>
      </w:r>
      <w:r w:rsidR="00876F59" w:rsidRPr="00625AD6">
        <w:rPr>
          <w:sz w:val="20"/>
        </w:rPr>
        <w:t xml:space="preserve">the </w:t>
      </w:r>
      <w:r w:rsidR="00644409" w:rsidRPr="00625AD6">
        <w:rPr>
          <w:sz w:val="20"/>
        </w:rPr>
        <w:t xml:space="preserve">Republic </w:t>
      </w:r>
      <w:r w:rsidR="00876F59" w:rsidRPr="00625AD6">
        <w:rPr>
          <w:sz w:val="20"/>
        </w:rPr>
        <w:t xml:space="preserve">of </w:t>
      </w:r>
      <w:r w:rsidR="00644409" w:rsidRPr="00625AD6">
        <w:rPr>
          <w:sz w:val="20"/>
        </w:rPr>
        <w:t xml:space="preserve">South Sudan, including </w:t>
      </w:r>
      <w:r w:rsidR="0062294D" w:rsidRPr="00625AD6">
        <w:rPr>
          <w:sz w:val="20"/>
        </w:rPr>
        <w:t xml:space="preserve">the </w:t>
      </w:r>
      <w:r w:rsidR="00644409" w:rsidRPr="00625AD6">
        <w:rPr>
          <w:sz w:val="20"/>
        </w:rPr>
        <w:t xml:space="preserve">prospects for the establishment of </w:t>
      </w:r>
      <w:r w:rsidR="0062294D" w:rsidRPr="00625AD6">
        <w:rPr>
          <w:sz w:val="20"/>
        </w:rPr>
        <w:t>a h</w:t>
      </w:r>
      <w:r w:rsidR="00644409" w:rsidRPr="00625AD6">
        <w:rPr>
          <w:sz w:val="20"/>
        </w:rPr>
        <w:t xml:space="preserve">ybrid </w:t>
      </w:r>
      <w:r w:rsidR="0062294D" w:rsidRPr="00625AD6">
        <w:rPr>
          <w:sz w:val="20"/>
        </w:rPr>
        <w:t>c</w:t>
      </w:r>
      <w:r w:rsidR="00644409" w:rsidRPr="00625AD6">
        <w:rPr>
          <w:sz w:val="20"/>
        </w:rPr>
        <w:t>ourt for South Sudan.</w:t>
      </w:r>
      <w:proofErr w:type="gramEnd"/>
      <w:r w:rsidR="00644409" w:rsidRPr="00625AD6">
        <w:rPr>
          <w:sz w:val="20"/>
        </w:rPr>
        <w:t xml:space="preserve"> </w:t>
      </w:r>
      <w:r w:rsidR="0062294D" w:rsidRPr="00625AD6">
        <w:rPr>
          <w:sz w:val="20"/>
        </w:rPr>
        <w:t xml:space="preserve">It </w:t>
      </w:r>
      <w:r w:rsidR="00644409" w:rsidRPr="00625AD6">
        <w:rPr>
          <w:sz w:val="20"/>
        </w:rPr>
        <w:t xml:space="preserve">also </w:t>
      </w:r>
      <w:r w:rsidR="0062294D" w:rsidRPr="00625AD6">
        <w:rPr>
          <w:sz w:val="20"/>
        </w:rPr>
        <w:t>addresses</w:t>
      </w:r>
      <w:r w:rsidR="00644409" w:rsidRPr="00625AD6">
        <w:rPr>
          <w:sz w:val="20"/>
        </w:rPr>
        <w:t xml:space="preserve"> recommendations to the Government of South Sudan and the international community </w:t>
      </w:r>
      <w:r w:rsidR="0062294D" w:rsidRPr="00625AD6">
        <w:rPr>
          <w:sz w:val="20"/>
        </w:rPr>
        <w:t>on</w:t>
      </w:r>
      <w:r w:rsidR="00644409" w:rsidRPr="00625AD6">
        <w:rPr>
          <w:sz w:val="20"/>
        </w:rPr>
        <w:t xml:space="preserve"> combating impunity and strengthening accountability for human rights violations and abuses.</w:t>
      </w:r>
    </w:p>
    <w:p w:rsidR="00507944" w:rsidRPr="00625AD6" w:rsidRDefault="00625AD6" w:rsidP="00625AD6">
      <w:pPr>
        <w:pStyle w:val="SingleTxtG"/>
        <w:tabs>
          <w:tab w:val="left" w:pos="1701"/>
        </w:tabs>
        <w:rPr>
          <w:sz w:val="20"/>
        </w:rPr>
      </w:pPr>
      <w:proofErr w:type="gramStart"/>
      <w:r w:rsidRPr="00625AD6">
        <w:rPr>
          <w:sz w:val="20"/>
          <w:szCs w:val="20"/>
        </w:rPr>
        <w:t>5.</w:t>
      </w:r>
      <w:r w:rsidRPr="00625AD6">
        <w:rPr>
          <w:sz w:val="20"/>
          <w:szCs w:val="20"/>
        </w:rPr>
        <w:tab/>
      </w:r>
      <w:r w:rsidR="004A4F8C" w:rsidRPr="00625AD6">
        <w:rPr>
          <w:sz w:val="20"/>
        </w:rPr>
        <w:t>During</w:t>
      </w:r>
      <w:r w:rsidR="000E5951" w:rsidRPr="00625AD6">
        <w:rPr>
          <w:sz w:val="20"/>
        </w:rPr>
        <w:t xml:space="preserve"> </w:t>
      </w:r>
      <w:r w:rsidR="00C312F9" w:rsidRPr="00625AD6">
        <w:rPr>
          <w:sz w:val="20"/>
        </w:rPr>
        <w:t>its two</w:t>
      </w:r>
      <w:r w:rsidR="004A4F8C" w:rsidRPr="00625AD6">
        <w:rPr>
          <w:sz w:val="20"/>
        </w:rPr>
        <w:t xml:space="preserve"> missions to South Sudan, the Commission was able to meet a wide range of senior government officials</w:t>
      </w:r>
      <w:r w:rsidR="00876F59" w:rsidRPr="00625AD6">
        <w:rPr>
          <w:sz w:val="20"/>
        </w:rPr>
        <w:t xml:space="preserve">, including </w:t>
      </w:r>
      <w:r w:rsidR="004A4F8C" w:rsidRPr="00625AD6">
        <w:rPr>
          <w:sz w:val="20"/>
        </w:rPr>
        <w:t>the First Vice</w:t>
      </w:r>
      <w:r w:rsidR="00876F59" w:rsidRPr="00625AD6">
        <w:rPr>
          <w:sz w:val="20"/>
        </w:rPr>
        <w:t>-</w:t>
      </w:r>
      <w:r w:rsidR="004A4F8C" w:rsidRPr="00625AD6">
        <w:rPr>
          <w:sz w:val="20"/>
        </w:rPr>
        <w:t xml:space="preserve">President of South Sudan, the Ministers </w:t>
      </w:r>
      <w:r w:rsidR="00876F59" w:rsidRPr="00625AD6">
        <w:rPr>
          <w:sz w:val="20"/>
        </w:rPr>
        <w:t>for</w:t>
      </w:r>
      <w:r w:rsidR="004A4F8C" w:rsidRPr="00625AD6">
        <w:rPr>
          <w:sz w:val="20"/>
        </w:rPr>
        <w:t xml:space="preserve"> Foreign Affairs, Defence and Justice, the Chief of General Staff of the S</w:t>
      </w:r>
      <w:r w:rsidR="003F3E9E" w:rsidRPr="00625AD6">
        <w:rPr>
          <w:sz w:val="20"/>
        </w:rPr>
        <w:t xml:space="preserve">udan </w:t>
      </w:r>
      <w:r w:rsidR="004A4F8C" w:rsidRPr="00625AD6">
        <w:rPr>
          <w:sz w:val="20"/>
        </w:rPr>
        <w:t>P</w:t>
      </w:r>
      <w:r w:rsidR="003F3E9E" w:rsidRPr="00625AD6">
        <w:rPr>
          <w:sz w:val="20"/>
        </w:rPr>
        <w:t>eople</w:t>
      </w:r>
      <w:r w:rsidR="00876F59" w:rsidRPr="00625AD6">
        <w:rPr>
          <w:sz w:val="20"/>
        </w:rPr>
        <w:t>’</w:t>
      </w:r>
      <w:r w:rsidR="003F3E9E" w:rsidRPr="00625AD6">
        <w:rPr>
          <w:sz w:val="20"/>
        </w:rPr>
        <w:t xml:space="preserve">s </w:t>
      </w:r>
      <w:r w:rsidR="004A4F8C" w:rsidRPr="00625AD6">
        <w:rPr>
          <w:sz w:val="20"/>
        </w:rPr>
        <w:t>L</w:t>
      </w:r>
      <w:r w:rsidR="003F3E9E" w:rsidRPr="00625AD6">
        <w:rPr>
          <w:sz w:val="20"/>
        </w:rPr>
        <w:t>iberation</w:t>
      </w:r>
      <w:r w:rsidR="004A4F8C" w:rsidRPr="00625AD6">
        <w:rPr>
          <w:sz w:val="20"/>
        </w:rPr>
        <w:t xml:space="preserve"> Army</w:t>
      </w:r>
      <w:r w:rsidR="003F3E9E" w:rsidRPr="00625AD6">
        <w:rPr>
          <w:sz w:val="20"/>
        </w:rPr>
        <w:t xml:space="preserve"> (SPLA)</w:t>
      </w:r>
      <w:r w:rsidR="004A4F8C" w:rsidRPr="00625AD6">
        <w:rPr>
          <w:sz w:val="20"/>
        </w:rPr>
        <w:t xml:space="preserve">, the Chief Justice, members of the </w:t>
      </w:r>
      <w:r w:rsidR="00876F59" w:rsidRPr="00625AD6">
        <w:rPr>
          <w:sz w:val="20"/>
        </w:rPr>
        <w:t>j</w:t>
      </w:r>
      <w:r w:rsidR="004A4F8C" w:rsidRPr="00625AD6">
        <w:rPr>
          <w:sz w:val="20"/>
        </w:rPr>
        <w:t xml:space="preserve">udiciary, the </w:t>
      </w:r>
      <w:r w:rsidR="003F3E9E" w:rsidRPr="00625AD6">
        <w:rPr>
          <w:sz w:val="20"/>
        </w:rPr>
        <w:t>l</w:t>
      </w:r>
      <w:r w:rsidR="004A4F8C" w:rsidRPr="00625AD6">
        <w:rPr>
          <w:sz w:val="20"/>
        </w:rPr>
        <w:t xml:space="preserve">eader of the South Sudan </w:t>
      </w:r>
      <w:r w:rsidR="00C312F9" w:rsidRPr="00625AD6">
        <w:rPr>
          <w:sz w:val="20"/>
        </w:rPr>
        <w:t>People’s</w:t>
      </w:r>
      <w:r w:rsidR="004A4F8C" w:rsidRPr="00625AD6">
        <w:rPr>
          <w:sz w:val="20"/>
        </w:rPr>
        <w:t xml:space="preserve"> Liberation </w:t>
      </w:r>
      <w:r w:rsidR="004F5206" w:rsidRPr="00625AD6">
        <w:rPr>
          <w:sz w:val="20"/>
        </w:rPr>
        <w:t>Movement/</w:t>
      </w:r>
      <w:r w:rsidR="004A4F8C" w:rsidRPr="00625AD6">
        <w:rPr>
          <w:sz w:val="20"/>
        </w:rPr>
        <w:t>Army in Opposition (SPL</w:t>
      </w:r>
      <w:r w:rsidR="004F5206" w:rsidRPr="00625AD6">
        <w:rPr>
          <w:sz w:val="20"/>
        </w:rPr>
        <w:t>M/</w:t>
      </w:r>
      <w:r w:rsidR="004A4F8C" w:rsidRPr="00625AD6">
        <w:rPr>
          <w:sz w:val="20"/>
        </w:rPr>
        <w:t>A</w:t>
      </w:r>
      <w:r w:rsidR="004F5206" w:rsidRPr="00625AD6">
        <w:rPr>
          <w:sz w:val="20"/>
        </w:rPr>
        <w:t xml:space="preserve"> in Opposition</w:t>
      </w:r>
      <w:r w:rsidR="004A4F8C" w:rsidRPr="00625AD6">
        <w:rPr>
          <w:sz w:val="20"/>
        </w:rPr>
        <w:t xml:space="preserve">) and </w:t>
      </w:r>
      <w:r w:rsidR="00876F59" w:rsidRPr="00625AD6">
        <w:rPr>
          <w:sz w:val="20"/>
        </w:rPr>
        <w:t>the f</w:t>
      </w:r>
      <w:r w:rsidR="004A4F8C" w:rsidRPr="00625AD6">
        <w:rPr>
          <w:sz w:val="20"/>
        </w:rPr>
        <w:t>ormer Vice</w:t>
      </w:r>
      <w:r w:rsidR="00876F59" w:rsidRPr="00625AD6">
        <w:rPr>
          <w:sz w:val="20"/>
        </w:rPr>
        <w:t>-</w:t>
      </w:r>
      <w:r w:rsidR="004A4F8C" w:rsidRPr="00625AD6">
        <w:rPr>
          <w:sz w:val="20"/>
        </w:rPr>
        <w:t>President,</w:t>
      </w:r>
      <w:r w:rsidR="00876F59" w:rsidRPr="00625AD6">
        <w:rPr>
          <w:sz w:val="20"/>
        </w:rPr>
        <w:t xml:space="preserve"> </w:t>
      </w:r>
      <w:proofErr w:type="spellStart"/>
      <w:r w:rsidR="004A4F8C" w:rsidRPr="00625AD6">
        <w:rPr>
          <w:sz w:val="20"/>
        </w:rPr>
        <w:t>Riek</w:t>
      </w:r>
      <w:proofErr w:type="spellEnd"/>
      <w:r w:rsidR="004A4F8C" w:rsidRPr="00625AD6">
        <w:rPr>
          <w:sz w:val="20"/>
        </w:rPr>
        <w:t xml:space="preserve"> Machar</w:t>
      </w:r>
      <w:r w:rsidR="00876F59" w:rsidRPr="00625AD6">
        <w:rPr>
          <w:sz w:val="20"/>
        </w:rPr>
        <w:t>,</w:t>
      </w:r>
      <w:r w:rsidR="004A4F8C" w:rsidRPr="00625AD6">
        <w:rPr>
          <w:sz w:val="20"/>
        </w:rPr>
        <w:t xml:space="preserve"> in South Africa.</w:t>
      </w:r>
      <w:proofErr w:type="gramEnd"/>
      <w:r w:rsidR="004A4F8C" w:rsidRPr="00625AD6">
        <w:rPr>
          <w:sz w:val="20"/>
        </w:rPr>
        <w:t xml:space="preserve"> The </w:t>
      </w:r>
      <w:r w:rsidR="00D37CF1" w:rsidRPr="00625AD6">
        <w:rPr>
          <w:sz w:val="20"/>
        </w:rPr>
        <w:t>C</w:t>
      </w:r>
      <w:r w:rsidR="004A4F8C" w:rsidRPr="00625AD6">
        <w:rPr>
          <w:sz w:val="20"/>
        </w:rPr>
        <w:t xml:space="preserve">ommission also met </w:t>
      </w:r>
      <w:r w:rsidR="00D37CF1" w:rsidRPr="00625AD6">
        <w:rPr>
          <w:sz w:val="20"/>
        </w:rPr>
        <w:t xml:space="preserve">with </w:t>
      </w:r>
      <w:r w:rsidR="004A4F8C" w:rsidRPr="00625AD6">
        <w:rPr>
          <w:sz w:val="20"/>
        </w:rPr>
        <w:t>members of the South Sudan Human Rights Commission and the Peace and Reconciliation Commission.</w:t>
      </w:r>
      <w:r w:rsidR="00EB30EC" w:rsidRPr="00625AD6">
        <w:rPr>
          <w:sz w:val="20"/>
        </w:rPr>
        <w:t xml:space="preserve"> I</w:t>
      </w:r>
      <w:r w:rsidR="00AF14C5" w:rsidRPr="00625AD6">
        <w:rPr>
          <w:sz w:val="20"/>
        </w:rPr>
        <w:t xml:space="preserve">n addition, it </w:t>
      </w:r>
      <w:r w:rsidR="00EB30EC" w:rsidRPr="00625AD6">
        <w:rPr>
          <w:sz w:val="20"/>
        </w:rPr>
        <w:t xml:space="preserve">visited </w:t>
      </w:r>
      <w:proofErr w:type="spellStart"/>
      <w:r w:rsidR="00EB30EC" w:rsidRPr="00625AD6">
        <w:rPr>
          <w:sz w:val="20"/>
        </w:rPr>
        <w:t>Bentiu</w:t>
      </w:r>
      <w:proofErr w:type="spellEnd"/>
      <w:r w:rsidR="00EB30EC" w:rsidRPr="00625AD6">
        <w:rPr>
          <w:sz w:val="20"/>
        </w:rPr>
        <w:t xml:space="preserve"> in Unity and Malakal in U</w:t>
      </w:r>
      <w:r w:rsidR="00A87D10" w:rsidRPr="00625AD6">
        <w:rPr>
          <w:sz w:val="20"/>
        </w:rPr>
        <w:t xml:space="preserve">pper Nile, </w:t>
      </w:r>
      <w:proofErr w:type="spellStart"/>
      <w:r w:rsidR="00EB30EC" w:rsidRPr="00625AD6">
        <w:rPr>
          <w:sz w:val="20"/>
        </w:rPr>
        <w:t>Wau</w:t>
      </w:r>
      <w:proofErr w:type="spellEnd"/>
      <w:r w:rsidR="00EB30EC" w:rsidRPr="00625AD6">
        <w:rPr>
          <w:sz w:val="20"/>
        </w:rPr>
        <w:t xml:space="preserve"> </w:t>
      </w:r>
      <w:proofErr w:type="spellStart"/>
      <w:r w:rsidR="00EB30EC" w:rsidRPr="00625AD6">
        <w:rPr>
          <w:sz w:val="20"/>
        </w:rPr>
        <w:t>Shilluk</w:t>
      </w:r>
      <w:proofErr w:type="spellEnd"/>
      <w:r w:rsidR="00EB30EC" w:rsidRPr="00625AD6">
        <w:rPr>
          <w:sz w:val="20"/>
        </w:rPr>
        <w:t xml:space="preserve"> in Upper Nile, </w:t>
      </w:r>
      <w:proofErr w:type="spellStart"/>
      <w:r w:rsidR="00EB30EC" w:rsidRPr="00625AD6">
        <w:rPr>
          <w:sz w:val="20"/>
        </w:rPr>
        <w:t>Wau</w:t>
      </w:r>
      <w:proofErr w:type="spellEnd"/>
      <w:r w:rsidR="00EB30EC" w:rsidRPr="00625AD6">
        <w:rPr>
          <w:sz w:val="20"/>
        </w:rPr>
        <w:t xml:space="preserve"> in Western </w:t>
      </w:r>
      <w:proofErr w:type="spellStart"/>
      <w:r w:rsidR="00EB30EC" w:rsidRPr="00625AD6">
        <w:rPr>
          <w:sz w:val="20"/>
        </w:rPr>
        <w:t>Bhar</w:t>
      </w:r>
      <w:proofErr w:type="spellEnd"/>
      <w:r w:rsidR="00EB30EC" w:rsidRPr="00625AD6">
        <w:rPr>
          <w:sz w:val="20"/>
        </w:rPr>
        <w:t xml:space="preserve"> el Ghazal, Aweil in Northern Bahr el Ghazal, Juba and </w:t>
      </w:r>
      <w:proofErr w:type="spellStart"/>
      <w:r w:rsidR="00EB30EC" w:rsidRPr="00625AD6">
        <w:rPr>
          <w:sz w:val="20"/>
        </w:rPr>
        <w:t>Kuda</w:t>
      </w:r>
      <w:proofErr w:type="spellEnd"/>
      <w:r w:rsidR="00EB30EC" w:rsidRPr="00625AD6">
        <w:rPr>
          <w:sz w:val="20"/>
        </w:rPr>
        <w:t xml:space="preserve"> in Central </w:t>
      </w:r>
      <w:proofErr w:type="spellStart"/>
      <w:r w:rsidR="00EB30EC" w:rsidRPr="00625AD6">
        <w:rPr>
          <w:sz w:val="20"/>
        </w:rPr>
        <w:t>Equatoria</w:t>
      </w:r>
      <w:proofErr w:type="spellEnd"/>
      <w:r w:rsidR="00EB30EC" w:rsidRPr="00625AD6">
        <w:rPr>
          <w:sz w:val="20"/>
        </w:rPr>
        <w:t xml:space="preserve">, and Torit in Eastern </w:t>
      </w:r>
      <w:proofErr w:type="spellStart"/>
      <w:r w:rsidR="00EB30EC" w:rsidRPr="00625AD6">
        <w:rPr>
          <w:sz w:val="20"/>
        </w:rPr>
        <w:t>Equatoria</w:t>
      </w:r>
      <w:proofErr w:type="spellEnd"/>
      <w:r w:rsidR="00EB30EC" w:rsidRPr="00625AD6">
        <w:rPr>
          <w:sz w:val="20"/>
        </w:rPr>
        <w:t>.</w:t>
      </w:r>
    </w:p>
    <w:p w:rsidR="00507944" w:rsidRPr="00625AD6" w:rsidRDefault="00625AD6" w:rsidP="00625AD6">
      <w:pPr>
        <w:pStyle w:val="SingleTxtG"/>
        <w:tabs>
          <w:tab w:val="left" w:pos="1701"/>
        </w:tabs>
        <w:rPr>
          <w:sz w:val="20"/>
        </w:rPr>
      </w:pPr>
      <w:proofErr w:type="gramStart"/>
      <w:r w:rsidRPr="00625AD6">
        <w:rPr>
          <w:sz w:val="20"/>
          <w:szCs w:val="20"/>
        </w:rPr>
        <w:t>6.</w:t>
      </w:r>
      <w:r w:rsidRPr="00625AD6">
        <w:rPr>
          <w:sz w:val="20"/>
          <w:szCs w:val="20"/>
        </w:rPr>
        <w:tab/>
      </w:r>
      <w:r w:rsidR="004A4F8C" w:rsidRPr="00625AD6">
        <w:rPr>
          <w:sz w:val="20"/>
        </w:rPr>
        <w:t>The Commission held extensive discussions with U</w:t>
      </w:r>
      <w:r w:rsidR="009A3D39" w:rsidRPr="00625AD6">
        <w:rPr>
          <w:sz w:val="20"/>
        </w:rPr>
        <w:t xml:space="preserve">nited </w:t>
      </w:r>
      <w:r w:rsidR="004A4F8C" w:rsidRPr="00625AD6">
        <w:rPr>
          <w:sz w:val="20"/>
        </w:rPr>
        <w:t>N</w:t>
      </w:r>
      <w:r w:rsidR="009A3D39" w:rsidRPr="00625AD6">
        <w:rPr>
          <w:sz w:val="20"/>
        </w:rPr>
        <w:t>ations</w:t>
      </w:r>
      <w:r w:rsidR="004A4F8C" w:rsidRPr="00625AD6">
        <w:rPr>
          <w:sz w:val="20"/>
        </w:rPr>
        <w:t xml:space="preserve"> and humanitarian workers, including the senior leadership of </w:t>
      </w:r>
      <w:r w:rsidR="009A3D39" w:rsidRPr="00625AD6">
        <w:rPr>
          <w:sz w:val="20"/>
        </w:rPr>
        <w:t xml:space="preserve">the </w:t>
      </w:r>
      <w:r w:rsidR="004A4F8C" w:rsidRPr="00625AD6">
        <w:rPr>
          <w:sz w:val="20"/>
        </w:rPr>
        <w:t>U</w:t>
      </w:r>
      <w:r w:rsidR="00A13834" w:rsidRPr="00625AD6">
        <w:rPr>
          <w:sz w:val="20"/>
        </w:rPr>
        <w:t xml:space="preserve">nited </w:t>
      </w:r>
      <w:r w:rsidR="004A4F8C" w:rsidRPr="00625AD6">
        <w:rPr>
          <w:sz w:val="20"/>
        </w:rPr>
        <w:t>N</w:t>
      </w:r>
      <w:r w:rsidR="00A13834" w:rsidRPr="00625AD6">
        <w:rPr>
          <w:sz w:val="20"/>
        </w:rPr>
        <w:t xml:space="preserve">ations </w:t>
      </w:r>
      <w:r w:rsidR="004A4F8C" w:rsidRPr="00625AD6">
        <w:rPr>
          <w:sz w:val="20"/>
        </w:rPr>
        <w:t>M</w:t>
      </w:r>
      <w:r w:rsidR="00A13834" w:rsidRPr="00625AD6">
        <w:rPr>
          <w:sz w:val="20"/>
        </w:rPr>
        <w:t>ission in South Sudan (UNM</w:t>
      </w:r>
      <w:r w:rsidR="004A4F8C" w:rsidRPr="00625AD6">
        <w:rPr>
          <w:sz w:val="20"/>
        </w:rPr>
        <w:t>ISS</w:t>
      </w:r>
      <w:r w:rsidR="00A13834" w:rsidRPr="00625AD6">
        <w:rPr>
          <w:sz w:val="20"/>
        </w:rPr>
        <w:t>)</w:t>
      </w:r>
      <w:r w:rsidR="004A4F8C" w:rsidRPr="00625AD6">
        <w:rPr>
          <w:sz w:val="20"/>
        </w:rPr>
        <w:t>, members of different humanitarian clusters</w:t>
      </w:r>
      <w:r w:rsidR="009A3D39" w:rsidRPr="00625AD6">
        <w:rPr>
          <w:sz w:val="20"/>
        </w:rPr>
        <w:t xml:space="preserve"> and</w:t>
      </w:r>
      <w:r w:rsidR="004A4F8C" w:rsidRPr="00625AD6">
        <w:rPr>
          <w:sz w:val="20"/>
        </w:rPr>
        <w:t xml:space="preserve"> </w:t>
      </w:r>
      <w:r w:rsidR="009A3D39" w:rsidRPr="00625AD6">
        <w:rPr>
          <w:sz w:val="20"/>
        </w:rPr>
        <w:t xml:space="preserve">of </w:t>
      </w:r>
      <w:r w:rsidR="004A4F8C" w:rsidRPr="00625AD6">
        <w:rPr>
          <w:sz w:val="20"/>
        </w:rPr>
        <w:t xml:space="preserve">specialized agencies of the United Nations, diplomats, </w:t>
      </w:r>
      <w:r w:rsidR="009A3D39" w:rsidRPr="00625AD6">
        <w:rPr>
          <w:sz w:val="20"/>
        </w:rPr>
        <w:t xml:space="preserve">representatives of </w:t>
      </w:r>
      <w:r w:rsidR="004A4F8C" w:rsidRPr="00625AD6">
        <w:rPr>
          <w:sz w:val="20"/>
        </w:rPr>
        <w:t>the African Union</w:t>
      </w:r>
      <w:r w:rsidR="00A87D10" w:rsidRPr="00625AD6">
        <w:rPr>
          <w:sz w:val="20"/>
        </w:rPr>
        <w:t xml:space="preserve">, </w:t>
      </w:r>
      <w:r w:rsidR="004A4F8C" w:rsidRPr="00625AD6">
        <w:rPr>
          <w:sz w:val="20"/>
        </w:rPr>
        <w:t>the Intergovernmental Authority on Development (IGAD)</w:t>
      </w:r>
      <w:r w:rsidR="00A87D10" w:rsidRPr="00625AD6">
        <w:rPr>
          <w:sz w:val="20"/>
        </w:rPr>
        <w:t xml:space="preserve">, the </w:t>
      </w:r>
      <w:r w:rsidR="002C2403" w:rsidRPr="00625AD6">
        <w:rPr>
          <w:sz w:val="20"/>
        </w:rPr>
        <w:t>C</w:t>
      </w:r>
      <w:r w:rsidR="003F3E9E" w:rsidRPr="00625AD6">
        <w:rPr>
          <w:sz w:val="20"/>
        </w:rPr>
        <w:t xml:space="preserve">hair and members of the </w:t>
      </w:r>
      <w:r w:rsidR="004A4F8C" w:rsidRPr="00625AD6">
        <w:rPr>
          <w:sz w:val="20"/>
        </w:rPr>
        <w:t>Joint Monitoring and Evaluation Commission</w:t>
      </w:r>
      <w:r w:rsidR="003F3E9E" w:rsidRPr="00625AD6">
        <w:rPr>
          <w:sz w:val="20"/>
        </w:rPr>
        <w:t xml:space="preserve"> </w:t>
      </w:r>
      <w:r w:rsidR="009A3D39" w:rsidRPr="00625AD6">
        <w:rPr>
          <w:sz w:val="20"/>
        </w:rPr>
        <w:t xml:space="preserve">overseeing </w:t>
      </w:r>
      <w:r w:rsidR="003F3E9E" w:rsidRPr="00625AD6">
        <w:rPr>
          <w:sz w:val="20"/>
        </w:rPr>
        <w:t xml:space="preserve">the Agreement on the Resolution of the Conflict in </w:t>
      </w:r>
      <w:r w:rsidR="009A3D39" w:rsidRPr="00625AD6">
        <w:rPr>
          <w:sz w:val="20"/>
        </w:rPr>
        <w:t xml:space="preserve">the Republic of </w:t>
      </w:r>
      <w:r w:rsidR="003F3E9E" w:rsidRPr="00625AD6">
        <w:rPr>
          <w:sz w:val="20"/>
        </w:rPr>
        <w:t>South Sudan</w:t>
      </w:r>
      <w:r w:rsidR="004A4F8C" w:rsidRPr="00625AD6">
        <w:rPr>
          <w:sz w:val="20"/>
        </w:rPr>
        <w:t xml:space="preserve">, the Special Envoy </w:t>
      </w:r>
      <w:r w:rsidR="009A3D39" w:rsidRPr="00625AD6">
        <w:rPr>
          <w:sz w:val="20"/>
        </w:rPr>
        <w:t xml:space="preserve">of the Secretary-General </w:t>
      </w:r>
      <w:r w:rsidR="004A4F8C" w:rsidRPr="00625AD6">
        <w:rPr>
          <w:sz w:val="20"/>
        </w:rPr>
        <w:t>for the Sudan and South Sudan, and the Special Representative of the Secretary</w:t>
      </w:r>
      <w:r w:rsidR="009A3D39" w:rsidRPr="00625AD6">
        <w:rPr>
          <w:sz w:val="20"/>
        </w:rPr>
        <w:t>-</w:t>
      </w:r>
      <w:r w:rsidR="004A4F8C" w:rsidRPr="00625AD6">
        <w:rPr>
          <w:sz w:val="20"/>
        </w:rPr>
        <w:t>General to the African Union.</w:t>
      </w:r>
      <w:proofErr w:type="gramEnd"/>
      <w:r w:rsidR="004A4F8C" w:rsidRPr="00625AD6">
        <w:rPr>
          <w:sz w:val="20"/>
        </w:rPr>
        <w:t xml:space="preserve"> In Addis Ababa, the Commission also met </w:t>
      </w:r>
      <w:r w:rsidR="009A3D39" w:rsidRPr="00625AD6">
        <w:rPr>
          <w:sz w:val="20"/>
        </w:rPr>
        <w:t xml:space="preserve">with </w:t>
      </w:r>
      <w:r w:rsidR="004A4F8C" w:rsidRPr="00625AD6">
        <w:rPr>
          <w:sz w:val="20"/>
        </w:rPr>
        <w:t>representatives of the Peace and Security Co</w:t>
      </w:r>
      <w:r w:rsidR="001154B0" w:rsidRPr="00625AD6">
        <w:rPr>
          <w:sz w:val="20"/>
        </w:rPr>
        <w:t>uncil</w:t>
      </w:r>
      <w:r w:rsidR="004A4F8C" w:rsidRPr="00625AD6">
        <w:rPr>
          <w:sz w:val="20"/>
        </w:rPr>
        <w:t xml:space="preserve"> and the Office of Legal Counsel of the African Union. In Nairobi and Addis Ababa</w:t>
      </w:r>
      <w:r w:rsidR="00CA455A" w:rsidRPr="00625AD6">
        <w:rPr>
          <w:sz w:val="20"/>
        </w:rPr>
        <w:t>,</w:t>
      </w:r>
      <w:r w:rsidR="004A4F8C" w:rsidRPr="00625AD6">
        <w:rPr>
          <w:sz w:val="20"/>
        </w:rPr>
        <w:t xml:space="preserve"> the Commission met </w:t>
      </w:r>
      <w:r w:rsidR="00CA455A" w:rsidRPr="00625AD6">
        <w:rPr>
          <w:sz w:val="20"/>
        </w:rPr>
        <w:t xml:space="preserve">with </w:t>
      </w:r>
      <w:r w:rsidR="004A4F8C" w:rsidRPr="00625AD6">
        <w:rPr>
          <w:sz w:val="20"/>
        </w:rPr>
        <w:t xml:space="preserve">government officials. </w:t>
      </w:r>
    </w:p>
    <w:p w:rsidR="00507944" w:rsidRPr="00625AD6" w:rsidRDefault="00625AD6" w:rsidP="00625AD6">
      <w:pPr>
        <w:pStyle w:val="SingleTxtG"/>
        <w:tabs>
          <w:tab w:val="left" w:pos="1701"/>
        </w:tabs>
        <w:rPr>
          <w:sz w:val="20"/>
        </w:rPr>
      </w:pPr>
      <w:r w:rsidRPr="00625AD6">
        <w:rPr>
          <w:sz w:val="20"/>
          <w:szCs w:val="20"/>
        </w:rPr>
        <w:t>7.</w:t>
      </w:r>
      <w:r w:rsidRPr="00625AD6">
        <w:rPr>
          <w:sz w:val="20"/>
          <w:szCs w:val="20"/>
        </w:rPr>
        <w:tab/>
      </w:r>
      <w:r w:rsidR="00644409" w:rsidRPr="00625AD6">
        <w:rPr>
          <w:sz w:val="20"/>
        </w:rPr>
        <w:t>The Commission thank</w:t>
      </w:r>
      <w:r w:rsidR="00CA455A" w:rsidRPr="00625AD6">
        <w:rPr>
          <w:sz w:val="20"/>
        </w:rPr>
        <w:t>s</w:t>
      </w:r>
      <w:r w:rsidR="00644409" w:rsidRPr="00625AD6">
        <w:rPr>
          <w:sz w:val="20"/>
        </w:rPr>
        <w:t xml:space="preserve"> the Government of South Sudan for facilitating its missions and responding to its requests for information. </w:t>
      </w:r>
      <w:r w:rsidR="00CA455A" w:rsidRPr="00625AD6">
        <w:rPr>
          <w:sz w:val="20"/>
        </w:rPr>
        <w:t>It</w:t>
      </w:r>
      <w:r w:rsidR="00644409" w:rsidRPr="00625AD6">
        <w:rPr>
          <w:sz w:val="20"/>
        </w:rPr>
        <w:t xml:space="preserve"> is grateful for the full cooperation it received from the Governments of Ethiopia, Kenya and Uganda during its missions to those </w:t>
      </w:r>
      <w:r w:rsidR="00CA455A" w:rsidRPr="00625AD6">
        <w:rPr>
          <w:sz w:val="20"/>
        </w:rPr>
        <w:t>States</w:t>
      </w:r>
      <w:r w:rsidR="00644409" w:rsidRPr="00625AD6">
        <w:rPr>
          <w:sz w:val="20"/>
        </w:rPr>
        <w:t xml:space="preserve">, </w:t>
      </w:r>
      <w:r w:rsidR="00CA455A" w:rsidRPr="00625AD6">
        <w:rPr>
          <w:sz w:val="20"/>
        </w:rPr>
        <w:t xml:space="preserve">and </w:t>
      </w:r>
      <w:r w:rsidR="00644409" w:rsidRPr="00625AD6">
        <w:rPr>
          <w:sz w:val="20"/>
        </w:rPr>
        <w:t xml:space="preserve">in particular for facilitating the Commission’s visits to refugee camps in </w:t>
      </w:r>
      <w:proofErr w:type="spellStart"/>
      <w:r w:rsidR="00644409" w:rsidRPr="00625AD6">
        <w:rPr>
          <w:sz w:val="20"/>
        </w:rPr>
        <w:t>Gambella</w:t>
      </w:r>
      <w:proofErr w:type="spellEnd"/>
      <w:r w:rsidR="00644409" w:rsidRPr="00625AD6">
        <w:rPr>
          <w:sz w:val="20"/>
        </w:rPr>
        <w:t xml:space="preserve"> in Ethiopia and </w:t>
      </w:r>
      <w:proofErr w:type="spellStart"/>
      <w:r w:rsidR="00644409" w:rsidRPr="00625AD6">
        <w:rPr>
          <w:sz w:val="20"/>
        </w:rPr>
        <w:t>Adjumani</w:t>
      </w:r>
      <w:proofErr w:type="spellEnd"/>
      <w:r w:rsidR="00644409" w:rsidRPr="00625AD6">
        <w:rPr>
          <w:sz w:val="20"/>
        </w:rPr>
        <w:t xml:space="preserve"> in Uganda.</w:t>
      </w:r>
    </w:p>
    <w:p w:rsidR="00507944" w:rsidRPr="00625AD6" w:rsidRDefault="00625AD6" w:rsidP="00625AD6">
      <w:pPr>
        <w:pStyle w:val="SingleTxtG"/>
        <w:tabs>
          <w:tab w:val="left" w:pos="1701"/>
        </w:tabs>
      </w:pPr>
      <w:r w:rsidRPr="00625AD6">
        <w:rPr>
          <w:sz w:val="20"/>
          <w:szCs w:val="20"/>
        </w:rPr>
        <w:t>8.</w:t>
      </w:r>
      <w:r w:rsidRPr="00625AD6">
        <w:rPr>
          <w:sz w:val="20"/>
          <w:szCs w:val="20"/>
        </w:rPr>
        <w:tab/>
      </w:r>
      <w:r w:rsidR="00644409" w:rsidRPr="00625AD6">
        <w:rPr>
          <w:sz w:val="20"/>
        </w:rPr>
        <w:t>The Commission also appreciated the valuable contributions made to its work by O</w:t>
      </w:r>
      <w:r w:rsidR="004A4F8C" w:rsidRPr="00625AD6">
        <w:rPr>
          <w:sz w:val="20"/>
        </w:rPr>
        <w:t xml:space="preserve">ffice of the </w:t>
      </w:r>
      <w:r w:rsidR="00CA455A" w:rsidRPr="00625AD6">
        <w:rPr>
          <w:sz w:val="20"/>
        </w:rPr>
        <w:t xml:space="preserve">United Nations </w:t>
      </w:r>
      <w:r w:rsidR="00644409" w:rsidRPr="00625AD6">
        <w:rPr>
          <w:sz w:val="20"/>
        </w:rPr>
        <w:t>H</w:t>
      </w:r>
      <w:r w:rsidR="004A4F8C" w:rsidRPr="00625AD6">
        <w:rPr>
          <w:sz w:val="20"/>
        </w:rPr>
        <w:t xml:space="preserve">igh </w:t>
      </w:r>
      <w:r w:rsidR="00644409" w:rsidRPr="00625AD6">
        <w:rPr>
          <w:sz w:val="20"/>
        </w:rPr>
        <w:t>C</w:t>
      </w:r>
      <w:r w:rsidR="004A4F8C" w:rsidRPr="00625AD6">
        <w:rPr>
          <w:sz w:val="20"/>
        </w:rPr>
        <w:t xml:space="preserve">ommissioner for </w:t>
      </w:r>
      <w:r w:rsidR="00644409" w:rsidRPr="00625AD6">
        <w:rPr>
          <w:sz w:val="20"/>
        </w:rPr>
        <w:t>H</w:t>
      </w:r>
      <w:r w:rsidR="004A4F8C" w:rsidRPr="00625AD6">
        <w:rPr>
          <w:sz w:val="20"/>
        </w:rPr>
        <w:t xml:space="preserve">uman </w:t>
      </w:r>
      <w:r w:rsidR="00644409" w:rsidRPr="00625AD6">
        <w:rPr>
          <w:sz w:val="20"/>
        </w:rPr>
        <w:t>R</w:t>
      </w:r>
      <w:r w:rsidR="004A4F8C" w:rsidRPr="00625AD6">
        <w:rPr>
          <w:sz w:val="20"/>
        </w:rPr>
        <w:t>ights (OHCHR)</w:t>
      </w:r>
      <w:r w:rsidR="00644409" w:rsidRPr="00625AD6">
        <w:rPr>
          <w:sz w:val="20"/>
        </w:rPr>
        <w:t xml:space="preserve">, </w:t>
      </w:r>
      <w:r w:rsidR="00CA455A" w:rsidRPr="00625AD6">
        <w:rPr>
          <w:sz w:val="20"/>
        </w:rPr>
        <w:t>UNMISS</w:t>
      </w:r>
      <w:r w:rsidR="00644409" w:rsidRPr="00625AD6">
        <w:rPr>
          <w:sz w:val="20"/>
        </w:rPr>
        <w:t xml:space="preserve">, non-governmental organizations and experts. It is grateful for </w:t>
      </w:r>
      <w:r w:rsidR="00CA455A" w:rsidRPr="00625AD6">
        <w:rPr>
          <w:sz w:val="20"/>
        </w:rPr>
        <w:t xml:space="preserve">the </w:t>
      </w:r>
      <w:r w:rsidR="00644409" w:rsidRPr="00625AD6">
        <w:rPr>
          <w:sz w:val="20"/>
        </w:rPr>
        <w:t>support received from U</w:t>
      </w:r>
      <w:r w:rsidR="00CA455A" w:rsidRPr="00625AD6">
        <w:rPr>
          <w:sz w:val="20"/>
        </w:rPr>
        <w:t xml:space="preserve">nited </w:t>
      </w:r>
      <w:r w:rsidR="00644409" w:rsidRPr="00625AD6">
        <w:rPr>
          <w:sz w:val="20"/>
        </w:rPr>
        <w:t>N</w:t>
      </w:r>
      <w:r w:rsidR="00CA455A" w:rsidRPr="00625AD6">
        <w:rPr>
          <w:sz w:val="20"/>
        </w:rPr>
        <w:t>ations</w:t>
      </w:r>
      <w:r w:rsidR="00644409" w:rsidRPr="00625AD6">
        <w:rPr>
          <w:sz w:val="20"/>
        </w:rPr>
        <w:t xml:space="preserve"> agencies and partners, including </w:t>
      </w:r>
      <w:r w:rsidR="00CA455A" w:rsidRPr="00625AD6">
        <w:rPr>
          <w:sz w:val="20"/>
        </w:rPr>
        <w:t xml:space="preserve">the Office of the </w:t>
      </w:r>
      <w:r w:rsidR="00644409" w:rsidRPr="00625AD6">
        <w:rPr>
          <w:sz w:val="20"/>
        </w:rPr>
        <w:t>U</w:t>
      </w:r>
      <w:r w:rsidR="004A4F8C" w:rsidRPr="00625AD6">
        <w:rPr>
          <w:sz w:val="20"/>
        </w:rPr>
        <w:t xml:space="preserve">nited </w:t>
      </w:r>
      <w:r w:rsidR="00644409" w:rsidRPr="00625AD6">
        <w:rPr>
          <w:sz w:val="20"/>
        </w:rPr>
        <w:t>N</w:t>
      </w:r>
      <w:r w:rsidR="004A4F8C" w:rsidRPr="00625AD6">
        <w:rPr>
          <w:sz w:val="20"/>
        </w:rPr>
        <w:t xml:space="preserve">ations </w:t>
      </w:r>
      <w:r w:rsidR="00644409" w:rsidRPr="00625AD6">
        <w:rPr>
          <w:sz w:val="20"/>
        </w:rPr>
        <w:t>H</w:t>
      </w:r>
      <w:r w:rsidR="004A4F8C" w:rsidRPr="00625AD6">
        <w:rPr>
          <w:sz w:val="20"/>
        </w:rPr>
        <w:t xml:space="preserve">igh </w:t>
      </w:r>
      <w:r w:rsidR="00644409" w:rsidRPr="00625AD6">
        <w:rPr>
          <w:sz w:val="20"/>
        </w:rPr>
        <w:t>C</w:t>
      </w:r>
      <w:r w:rsidR="004A4F8C" w:rsidRPr="00625AD6">
        <w:rPr>
          <w:sz w:val="20"/>
        </w:rPr>
        <w:t xml:space="preserve">ommissioner for </w:t>
      </w:r>
      <w:r w:rsidR="00644409" w:rsidRPr="00625AD6">
        <w:rPr>
          <w:sz w:val="20"/>
        </w:rPr>
        <w:t>R</w:t>
      </w:r>
      <w:r w:rsidR="004A4F8C" w:rsidRPr="00625AD6">
        <w:rPr>
          <w:sz w:val="20"/>
        </w:rPr>
        <w:t>efugees (UNHCR)</w:t>
      </w:r>
      <w:r w:rsidR="00644409" w:rsidRPr="00625AD6">
        <w:rPr>
          <w:sz w:val="20"/>
        </w:rPr>
        <w:t xml:space="preserve">, in </w:t>
      </w:r>
      <w:r w:rsidR="00CA455A" w:rsidRPr="00625AD6">
        <w:rPr>
          <w:sz w:val="20"/>
        </w:rPr>
        <w:t xml:space="preserve">Ethiopia </w:t>
      </w:r>
      <w:r w:rsidR="00644409" w:rsidRPr="00625AD6">
        <w:rPr>
          <w:sz w:val="20"/>
        </w:rPr>
        <w:t>and</w:t>
      </w:r>
      <w:r w:rsidR="00CA455A" w:rsidRPr="00625AD6">
        <w:rPr>
          <w:sz w:val="20"/>
        </w:rPr>
        <w:t xml:space="preserve"> Uganda</w:t>
      </w:r>
      <w:r w:rsidR="00644409" w:rsidRPr="00625AD6">
        <w:rPr>
          <w:sz w:val="20"/>
        </w:rPr>
        <w:t>.</w:t>
      </w:r>
    </w:p>
    <w:p w:rsidR="00507944" w:rsidRPr="00DF202E" w:rsidRDefault="00DF202E" w:rsidP="00DF202E">
      <w:pPr>
        <w:pStyle w:val="HChG"/>
      </w:pPr>
      <w:bookmarkStart w:id="36" w:name="_Toc474837210"/>
      <w:r>
        <w:tab/>
      </w:r>
      <w:r w:rsidR="00625AD6" w:rsidRPr="00DF202E">
        <w:t>II.</w:t>
      </w:r>
      <w:r w:rsidR="00625AD6" w:rsidRPr="00DF202E">
        <w:tab/>
      </w:r>
      <w:r w:rsidR="00644409" w:rsidRPr="00DF202E">
        <w:t>Methodology</w:t>
      </w:r>
      <w:bookmarkEnd w:id="36"/>
      <w:r w:rsidR="00644409" w:rsidRPr="00DF202E">
        <w:t xml:space="preserve"> </w:t>
      </w:r>
    </w:p>
    <w:p w:rsidR="00507944" w:rsidRPr="00625AD6" w:rsidRDefault="00625AD6" w:rsidP="00625AD6">
      <w:pPr>
        <w:pStyle w:val="SingleTxtG"/>
        <w:tabs>
          <w:tab w:val="left" w:pos="1701"/>
        </w:tabs>
        <w:rPr>
          <w:sz w:val="20"/>
        </w:rPr>
      </w:pPr>
      <w:r w:rsidRPr="00625AD6">
        <w:rPr>
          <w:sz w:val="20"/>
          <w:szCs w:val="20"/>
        </w:rPr>
        <w:t>9.</w:t>
      </w:r>
      <w:r w:rsidRPr="00625AD6">
        <w:rPr>
          <w:sz w:val="20"/>
          <w:szCs w:val="20"/>
        </w:rPr>
        <w:tab/>
      </w:r>
      <w:r w:rsidR="00644409" w:rsidRPr="00625AD6">
        <w:rPr>
          <w:sz w:val="20"/>
        </w:rPr>
        <w:t>The Commission interpreted its mandate as requiring it to monitor and report on the current situation of human rights in South Sudan</w:t>
      </w:r>
      <w:r w:rsidR="00CA455A" w:rsidRPr="00625AD6">
        <w:rPr>
          <w:sz w:val="20"/>
        </w:rPr>
        <w:t>.</w:t>
      </w:r>
      <w:r w:rsidR="00644409" w:rsidRPr="00625AD6">
        <w:rPr>
          <w:sz w:val="20"/>
        </w:rPr>
        <w:t xml:space="preserve"> </w:t>
      </w:r>
      <w:r w:rsidR="00CA455A" w:rsidRPr="00625AD6">
        <w:rPr>
          <w:sz w:val="20"/>
        </w:rPr>
        <w:t>I</w:t>
      </w:r>
      <w:r w:rsidR="00644409" w:rsidRPr="00625AD6">
        <w:rPr>
          <w:sz w:val="20"/>
        </w:rPr>
        <w:t>t did not have the mandate or resources to carry out investigations or fact-finding. The Commission therefore based its methodology on OHCHR and international standards for human rights monitoring.</w:t>
      </w:r>
      <w:r w:rsidR="00974932" w:rsidRPr="00625AD6">
        <w:rPr>
          <w:sz w:val="20"/>
        </w:rPr>
        <w:t xml:space="preserve"> </w:t>
      </w:r>
    </w:p>
    <w:p w:rsidR="00507944" w:rsidRPr="00625AD6" w:rsidRDefault="00625AD6" w:rsidP="00625AD6">
      <w:pPr>
        <w:pStyle w:val="SingleTxtG"/>
        <w:tabs>
          <w:tab w:val="left" w:pos="1701"/>
        </w:tabs>
        <w:rPr>
          <w:sz w:val="20"/>
        </w:rPr>
      </w:pPr>
      <w:r w:rsidRPr="00625AD6">
        <w:rPr>
          <w:sz w:val="20"/>
          <w:szCs w:val="20"/>
        </w:rPr>
        <w:t>10.</w:t>
      </w:r>
      <w:r w:rsidRPr="00625AD6">
        <w:rPr>
          <w:sz w:val="20"/>
          <w:szCs w:val="20"/>
        </w:rPr>
        <w:tab/>
      </w:r>
      <w:r w:rsidR="00644409" w:rsidRPr="00625AD6">
        <w:rPr>
          <w:sz w:val="20"/>
        </w:rPr>
        <w:t xml:space="preserve">The conclusions </w:t>
      </w:r>
      <w:r w:rsidR="00CA455A" w:rsidRPr="00625AD6">
        <w:rPr>
          <w:sz w:val="20"/>
        </w:rPr>
        <w:t xml:space="preserve">reached </w:t>
      </w:r>
      <w:r w:rsidR="00644409" w:rsidRPr="00625AD6">
        <w:rPr>
          <w:sz w:val="20"/>
        </w:rPr>
        <w:t xml:space="preserve">in </w:t>
      </w:r>
      <w:r w:rsidR="00CA455A" w:rsidRPr="00625AD6">
        <w:rPr>
          <w:sz w:val="20"/>
        </w:rPr>
        <w:t>the present</w:t>
      </w:r>
      <w:r w:rsidR="00644409" w:rsidRPr="00625AD6">
        <w:rPr>
          <w:sz w:val="20"/>
        </w:rPr>
        <w:t xml:space="preserve"> report are based on information received from rights</w:t>
      </w:r>
      <w:r w:rsidR="00CA455A" w:rsidRPr="00625AD6">
        <w:rPr>
          <w:sz w:val="20"/>
        </w:rPr>
        <w:t>-</w:t>
      </w:r>
      <w:r w:rsidR="00644409" w:rsidRPr="00625AD6">
        <w:rPr>
          <w:sz w:val="20"/>
        </w:rPr>
        <w:t>holders, victims and witnesses of violations of human rights violations and abuses, civil society actors and U</w:t>
      </w:r>
      <w:r w:rsidR="00CA455A" w:rsidRPr="00625AD6">
        <w:rPr>
          <w:sz w:val="20"/>
        </w:rPr>
        <w:t xml:space="preserve">nited </w:t>
      </w:r>
      <w:r w:rsidR="00644409" w:rsidRPr="00625AD6">
        <w:rPr>
          <w:sz w:val="20"/>
        </w:rPr>
        <w:t>N</w:t>
      </w:r>
      <w:r w:rsidR="00CA455A" w:rsidRPr="00625AD6">
        <w:rPr>
          <w:sz w:val="20"/>
        </w:rPr>
        <w:t>ations</w:t>
      </w:r>
      <w:r w:rsidR="00644409" w:rsidRPr="00625AD6">
        <w:rPr>
          <w:sz w:val="20"/>
        </w:rPr>
        <w:t xml:space="preserve"> and humanitarian agencies working in South Sudan, and the Government of South Sudan. The Commission also reviewed material </w:t>
      </w:r>
      <w:r w:rsidR="00CA455A" w:rsidRPr="00625AD6">
        <w:rPr>
          <w:sz w:val="20"/>
        </w:rPr>
        <w:t xml:space="preserve">received </w:t>
      </w:r>
      <w:r w:rsidR="00644409" w:rsidRPr="00625AD6">
        <w:rPr>
          <w:sz w:val="20"/>
        </w:rPr>
        <w:t>from secondary sources, including reports by the African Union Commission of Inquiry</w:t>
      </w:r>
      <w:r w:rsidR="00CA455A" w:rsidRPr="00625AD6">
        <w:rPr>
          <w:sz w:val="20"/>
        </w:rPr>
        <w:t xml:space="preserve"> on South Sudan</w:t>
      </w:r>
      <w:r w:rsidR="00644409" w:rsidRPr="00625AD6">
        <w:rPr>
          <w:sz w:val="20"/>
        </w:rPr>
        <w:t>, UNMISS, U</w:t>
      </w:r>
      <w:r w:rsidR="00CA455A" w:rsidRPr="00625AD6">
        <w:rPr>
          <w:sz w:val="20"/>
        </w:rPr>
        <w:t xml:space="preserve">nited </w:t>
      </w:r>
      <w:r w:rsidR="00644409" w:rsidRPr="00625AD6">
        <w:rPr>
          <w:sz w:val="20"/>
        </w:rPr>
        <w:t>N</w:t>
      </w:r>
      <w:r w:rsidR="00CA455A" w:rsidRPr="00625AD6">
        <w:rPr>
          <w:sz w:val="20"/>
        </w:rPr>
        <w:t>ations</w:t>
      </w:r>
      <w:r w:rsidR="00644409" w:rsidRPr="00625AD6">
        <w:rPr>
          <w:sz w:val="20"/>
        </w:rPr>
        <w:t xml:space="preserve"> </w:t>
      </w:r>
      <w:r w:rsidR="00CA455A" w:rsidRPr="00625AD6">
        <w:rPr>
          <w:sz w:val="20"/>
        </w:rPr>
        <w:t>a</w:t>
      </w:r>
      <w:r w:rsidR="00644409" w:rsidRPr="00625AD6">
        <w:rPr>
          <w:sz w:val="20"/>
        </w:rPr>
        <w:t>gencies</w:t>
      </w:r>
      <w:r w:rsidR="00CA455A" w:rsidRPr="00625AD6">
        <w:rPr>
          <w:sz w:val="20"/>
        </w:rPr>
        <w:t>, and</w:t>
      </w:r>
      <w:r w:rsidR="00644409" w:rsidRPr="00625AD6">
        <w:rPr>
          <w:sz w:val="20"/>
        </w:rPr>
        <w:t xml:space="preserve"> international and national human rights organizations.</w:t>
      </w:r>
    </w:p>
    <w:p w:rsidR="00507944" w:rsidRPr="00625AD6" w:rsidRDefault="00625AD6" w:rsidP="00625AD6">
      <w:pPr>
        <w:pStyle w:val="SingleTxtG"/>
        <w:tabs>
          <w:tab w:val="left" w:pos="1701"/>
        </w:tabs>
        <w:rPr>
          <w:sz w:val="20"/>
        </w:rPr>
      </w:pPr>
      <w:r w:rsidRPr="00625AD6">
        <w:rPr>
          <w:sz w:val="20"/>
          <w:szCs w:val="20"/>
        </w:rPr>
        <w:t>11.</w:t>
      </w:r>
      <w:r w:rsidRPr="00625AD6">
        <w:rPr>
          <w:sz w:val="20"/>
          <w:szCs w:val="20"/>
        </w:rPr>
        <w:tab/>
      </w:r>
      <w:r w:rsidR="00633795" w:rsidRPr="00625AD6">
        <w:rPr>
          <w:sz w:val="20"/>
        </w:rPr>
        <w:t>The Commission interviewed human rights defenders, journalists, editors, religious leaders, members of civil society organi</w:t>
      </w:r>
      <w:r w:rsidR="00CA455A" w:rsidRPr="00625AD6">
        <w:rPr>
          <w:sz w:val="20"/>
        </w:rPr>
        <w:t>z</w:t>
      </w:r>
      <w:r w:rsidR="00633795" w:rsidRPr="00625AD6">
        <w:rPr>
          <w:sz w:val="20"/>
        </w:rPr>
        <w:t>ations, former detainees and officials of the governing party</w:t>
      </w:r>
      <w:r w:rsidR="00CA455A" w:rsidRPr="00625AD6">
        <w:rPr>
          <w:sz w:val="20"/>
        </w:rPr>
        <w:t xml:space="preserve"> and</w:t>
      </w:r>
      <w:r w:rsidR="00633795" w:rsidRPr="00625AD6">
        <w:rPr>
          <w:sz w:val="20"/>
        </w:rPr>
        <w:t xml:space="preserve"> </w:t>
      </w:r>
      <w:r w:rsidR="004F5206" w:rsidRPr="00625AD6">
        <w:rPr>
          <w:sz w:val="20"/>
        </w:rPr>
        <w:t>SPLM/</w:t>
      </w:r>
      <w:proofErr w:type="gramStart"/>
      <w:r w:rsidR="004F5206" w:rsidRPr="00625AD6">
        <w:rPr>
          <w:sz w:val="20"/>
        </w:rPr>
        <w:t>A</w:t>
      </w:r>
      <w:proofErr w:type="gramEnd"/>
      <w:r w:rsidR="004F5206" w:rsidRPr="00625AD6">
        <w:rPr>
          <w:sz w:val="20"/>
        </w:rPr>
        <w:t xml:space="preserve"> in Opposition</w:t>
      </w:r>
      <w:r w:rsidR="00CA455A" w:rsidRPr="00625AD6">
        <w:rPr>
          <w:sz w:val="20"/>
        </w:rPr>
        <w:t>,</w:t>
      </w:r>
      <w:r w:rsidR="00633795" w:rsidRPr="00625AD6">
        <w:rPr>
          <w:sz w:val="20"/>
        </w:rPr>
        <w:t xml:space="preserve"> and former political detainees during its missions to South Sudan and neighbouring countries.</w:t>
      </w:r>
    </w:p>
    <w:p w:rsidR="00507944" w:rsidRPr="00625AD6" w:rsidRDefault="00625AD6" w:rsidP="00625AD6">
      <w:pPr>
        <w:pStyle w:val="SingleTxtG"/>
        <w:tabs>
          <w:tab w:val="left" w:pos="1701"/>
        </w:tabs>
      </w:pPr>
      <w:r w:rsidRPr="00625AD6">
        <w:rPr>
          <w:sz w:val="20"/>
          <w:szCs w:val="20"/>
        </w:rPr>
        <w:t>12.</w:t>
      </w:r>
      <w:r w:rsidRPr="00625AD6">
        <w:rPr>
          <w:sz w:val="20"/>
          <w:szCs w:val="20"/>
        </w:rPr>
        <w:tab/>
      </w:r>
      <w:r w:rsidR="00644409" w:rsidRPr="00625AD6">
        <w:rPr>
          <w:sz w:val="20"/>
        </w:rPr>
        <w:t>The Commission thank</w:t>
      </w:r>
      <w:r w:rsidR="00CA455A" w:rsidRPr="00625AD6">
        <w:rPr>
          <w:sz w:val="20"/>
        </w:rPr>
        <w:t>s</w:t>
      </w:r>
      <w:r w:rsidR="00644409" w:rsidRPr="00625AD6">
        <w:rPr>
          <w:sz w:val="20"/>
        </w:rPr>
        <w:t xml:space="preserve"> all the victims and witnesses who shared their experiences. </w:t>
      </w:r>
      <w:r w:rsidR="00CA455A" w:rsidRPr="00625AD6">
        <w:rPr>
          <w:sz w:val="20"/>
        </w:rPr>
        <w:t>The present</w:t>
      </w:r>
      <w:r w:rsidR="00644409" w:rsidRPr="00625AD6">
        <w:rPr>
          <w:sz w:val="20"/>
        </w:rPr>
        <w:t xml:space="preserve"> report includes information </w:t>
      </w:r>
      <w:r w:rsidR="00CA455A" w:rsidRPr="00625AD6">
        <w:rPr>
          <w:sz w:val="20"/>
        </w:rPr>
        <w:t xml:space="preserve">only </w:t>
      </w:r>
      <w:r w:rsidR="00644409" w:rsidRPr="00625AD6">
        <w:rPr>
          <w:sz w:val="20"/>
        </w:rPr>
        <w:t>where sources granted informed consent and where disclosure would not lead to any identification or result in harm.</w:t>
      </w:r>
      <w:r w:rsidR="004F5ECD" w:rsidRPr="00625AD6">
        <w:rPr>
          <w:sz w:val="20"/>
        </w:rPr>
        <w:t xml:space="preserve"> </w:t>
      </w:r>
      <w:r w:rsidR="00CA455A" w:rsidRPr="00625AD6">
        <w:rPr>
          <w:sz w:val="20"/>
        </w:rPr>
        <w:t>P</w:t>
      </w:r>
      <w:r w:rsidR="00644409" w:rsidRPr="00625AD6">
        <w:rPr>
          <w:sz w:val="20"/>
        </w:rPr>
        <w:t>rimary responsibility for protecting victims, witnesses and other persons cooperating with the Commission rests</w:t>
      </w:r>
      <w:r w:rsidR="00CA455A" w:rsidRPr="00625AD6">
        <w:rPr>
          <w:sz w:val="20"/>
        </w:rPr>
        <w:t>, however,</w:t>
      </w:r>
      <w:r w:rsidR="00644409" w:rsidRPr="00625AD6">
        <w:rPr>
          <w:sz w:val="20"/>
        </w:rPr>
        <w:t xml:space="preserve"> with their countries of residence and nationality.</w:t>
      </w:r>
    </w:p>
    <w:p w:rsidR="00507944" w:rsidRPr="00DF202E" w:rsidRDefault="00DF202E" w:rsidP="00DF202E">
      <w:pPr>
        <w:pStyle w:val="HChG"/>
      </w:pPr>
      <w:bookmarkStart w:id="37" w:name="_Toc474702796"/>
      <w:bookmarkStart w:id="38" w:name="_Toc474703284"/>
      <w:bookmarkStart w:id="39" w:name="_Toc474703358"/>
      <w:bookmarkStart w:id="40" w:name="_Toc474703432"/>
      <w:bookmarkStart w:id="41" w:name="_Toc474703503"/>
      <w:bookmarkStart w:id="42" w:name="_Toc474703815"/>
      <w:bookmarkStart w:id="43" w:name="_Toc474703843"/>
      <w:bookmarkStart w:id="44" w:name="_Toc474703871"/>
      <w:bookmarkStart w:id="45" w:name="_Toc474703905"/>
      <w:bookmarkStart w:id="46" w:name="_Toc474703924"/>
      <w:bookmarkStart w:id="47" w:name="_Toc474702797"/>
      <w:bookmarkStart w:id="48" w:name="_Toc474703285"/>
      <w:bookmarkStart w:id="49" w:name="_Toc474703359"/>
      <w:bookmarkStart w:id="50" w:name="_Toc474703433"/>
      <w:bookmarkStart w:id="51" w:name="_Toc474703504"/>
      <w:bookmarkStart w:id="52" w:name="_Toc474703816"/>
      <w:bookmarkStart w:id="53" w:name="_Toc474703844"/>
      <w:bookmarkStart w:id="54" w:name="_Toc474703872"/>
      <w:bookmarkStart w:id="55" w:name="_Toc474703906"/>
      <w:bookmarkStart w:id="56" w:name="_Toc474703925"/>
      <w:bookmarkStart w:id="57" w:name="_Toc474702798"/>
      <w:bookmarkStart w:id="58" w:name="_Toc474703286"/>
      <w:bookmarkStart w:id="59" w:name="_Toc474703360"/>
      <w:bookmarkStart w:id="60" w:name="_Toc474703434"/>
      <w:bookmarkStart w:id="61" w:name="_Toc474703505"/>
      <w:bookmarkStart w:id="62" w:name="_Toc474703817"/>
      <w:bookmarkStart w:id="63" w:name="_Toc474703845"/>
      <w:bookmarkStart w:id="64" w:name="_Toc474703873"/>
      <w:bookmarkStart w:id="65" w:name="_Toc474703907"/>
      <w:bookmarkStart w:id="66" w:name="_Toc474703926"/>
      <w:bookmarkStart w:id="67" w:name="_Toc474703927"/>
      <w:bookmarkStart w:id="68" w:name="_Toc47483721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ab/>
      </w:r>
      <w:r w:rsidR="00625AD6" w:rsidRPr="00DF202E">
        <w:t>III.</w:t>
      </w:r>
      <w:r w:rsidR="00625AD6" w:rsidRPr="00DF202E">
        <w:tab/>
      </w:r>
      <w:r w:rsidR="00644409" w:rsidRPr="00DF202E">
        <w:t>Context and background</w:t>
      </w:r>
      <w:bookmarkEnd w:id="67"/>
      <w:bookmarkEnd w:id="68"/>
    </w:p>
    <w:p w:rsidR="00507944" w:rsidRPr="00DF202E" w:rsidRDefault="00DF202E" w:rsidP="00DF202E">
      <w:pPr>
        <w:pStyle w:val="H1G"/>
      </w:pPr>
      <w:r>
        <w:tab/>
      </w:r>
      <w:r w:rsidR="00625AD6" w:rsidRPr="00DF202E">
        <w:t>A.</w:t>
      </w:r>
      <w:r w:rsidR="00625AD6" w:rsidRPr="00DF202E">
        <w:tab/>
      </w:r>
      <w:r w:rsidR="00644409" w:rsidRPr="00DF202E">
        <w:t xml:space="preserve">Political and security context </w:t>
      </w:r>
    </w:p>
    <w:p w:rsidR="00507944" w:rsidRPr="00625AD6" w:rsidRDefault="00625AD6" w:rsidP="00625AD6">
      <w:pPr>
        <w:pStyle w:val="SingleTxtG"/>
        <w:tabs>
          <w:tab w:val="left" w:pos="1701"/>
        </w:tabs>
        <w:rPr>
          <w:sz w:val="20"/>
        </w:rPr>
      </w:pPr>
      <w:r w:rsidRPr="00625AD6">
        <w:rPr>
          <w:sz w:val="20"/>
          <w:szCs w:val="20"/>
        </w:rPr>
        <w:t>13.</w:t>
      </w:r>
      <w:r w:rsidRPr="00625AD6">
        <w:rPr>
          <w:sz w:val="20"/>
          <w:szCs w:val="20"/>
        </w:rPr>
        <w:tab/>
      </w:r>
      <w:r w:rsidR="00644409" w:rsidRPr="00625AD6">
        <w:rPr>
          <w:sz w:val="20"/>
        </w:rPr>
        <w:t xml:space="preserve">Following the signing of the Agreement for the Resolution of the Conflict in </w:t>
      </w:r>
      <w:r w:rsidR="00CA455A" w:rsidRPr="00625AD6">
        <w:rPr>
          <w:sz w:val="20"/>
        </w:rPr>
        <w:t xml:space="preserve">the Republic of </w:t>
      </w:r>
      <w:r w:rsidR="00644409" w:rsidRPr="00625AD6">
        <w:rPr>
          <w:sz w:val="20"/>
        </w:rPr>
        <w:t xml:space="preserve">South Sudan in August 2015, </w:t>
      </w:r>
      <w:proofErr w:type="spellStart"/>
      <w:r w:rsidR="00644409" w:rsidRPr="00625AD6">
        <w:rPr>
          <w:sz w:val="20"/>
        </w:rPr>
        <w:t>Dr.</w:t>
      </w:r>
      <w:proofErr w:type="spellEnd"/>
      <w:r w:rsidR="00644409" w:rsidRPr="00625AD6">
        <w:rPr>
          <w:sz w:val="20"/>
        </w:rPr>
        <w:t xml:space="preserve"> </w:t>
      </w:r>
      <w:proofErr w:type="spellStart"/>
      <w:r w:rsidR="00644409" w:rsidRPr="00625AD6">
        <w:rPr>
          <w:sz w:val="20"/>
        </w:rPr>
        <w:t>Riek</w:t>
      </w:r>
      <w:proofErr w:type="spellEnd"/>
      <w:r w:rsidR="00644409" w:rsidRPr="00625AD6">
        <w:rPr>
          <w:sz w:val="20"/>
        </w:rPr>
        <w:t xml:space="preserve"> Machar returned to Juba on 26 April 2016 to take up the position of First Vice</w:t>
      </w:r>
      <w:r w:rsidR="00CA455A" w:rsidRPr="00625AD6">
        <w:rPr>
          <w:sz w:val="20"/>
        </w:rPr>
        <w:t>-</w:t>
      </w:r>
      <w:r w:rsidR="00644409" w:rsidRPr="00625AD6">
        <w:rPr>
          <w:sz w:val="20"/>
        </w:rPr>
        <w:t xml:space="preserve">President in the Transitional Government of National Unity. The delay in his return held up implementation of the </w:t>
      </w:r>
      <w:r w:rsidR="00CA455A" w:rsidRPr="00625AD6">
        <w:rPr>
          <w:sz w:val="20"/>
        </w:rPr>
        <w:t>A</w:t>
      </w:r>
      <w:r w:rsidR="00644409" w:rsidRPr="00625AD6">
        <w:rPr>
          <w:sz w:val="20"/>
        </w:rPr>
        <w:t xml:space="preserve">greement for nearly </w:t>
      </w:r>
      <w:r w:rsidR="00CA455A" w:rsidRPr="00625AD6">
        <w:rPr>
          <w:sz w:val="20"/>
        </w:rPr>
        <w:t>eight</w:t>
      </w:r>
      <w:r w:rsidR="00644409" w:rsidRPr="00625AD6">
        <w:rPr>
          <w:sz w:val="20"/>
        </w:rPr>
        <w:t xml:space="preserve"> months. Nevertheless, </w:t>
      </w:r>
      <w:proofErr w:type="spellStart"/>
      <w:r w:rsidR="00644409" w:rsidRPr="00625AD6">
        <w:rPr>
          <w:sz w:val="20"/>
        </w:rPr>
        <w:t>Dr.</w:t>
      </w:r>
      <w:proofErr w:type="spellEnd"/>
      <w:r w:rsidR="00644409" w:rsidRPr="00625AD6">
        <w:rPr>
          <w:sz w:val="20"/>
        </w:rPr>
        <w:t xml:space="preserve"> Machar’s return resulted in some steps being taken to </w:t>
      </w:r>
      <w:r w:rsidR="00CA455A" w:rsidRPr="00625AD6">
        <w:rPr>
          <w:sz w:val="20"/>
        </w:rPr>
        <w:t xml:space="preserve">complete </w:t>
      </w:r>
      <w:r w:rsidR="00644409" w:rsidRPr="00625AD6">
        <w:rPr>
          <w:sz w:val="20"/>
        </w:rPr>
        <w:t xml:space="preserve">the </w:t>
      </w:r>
      <w:r w:rsidR="00CA455A" w:rsidRPr="00625AD6">
        <w:rPr>
          <w:sz w:val="20"/>
        </w:rPr>
        <w:t xml:space="preserve">arrangements </w:t>
      </w:r>
      <w:r w:rsidR="00644409" w:rsidRPr="00625AD6">
        <w:rPr>
          <w:sz w:val="20"/>
        </w:rPr>
        <w:t xml:space="preserve">enshrined in the </w:t>
      </w:r>
      <w:r w:rsidR="00CA455A" w:rsidRPr="00625AD6">
        <w:rPr>
          <w:sz w:val="20"/>
        </w:rPr>
        <w:t>A</w:t>
      </w:r>
      <w:r w:rsidR="00644409" w:rsidRPr="00625AD6">
        <w:rPr>
          <w:sz w:val="20"/>
        </w:rPr>
        <w:t>greement, including the establishment of a Transitional Government of National Unity and power</w:t>
      </w:r>
      <w:r w:rsidR="00DA3814" w:rsidRPr="00625AD6">
        <w:rPr>
          <w:sz w:val="20"/>
        </w:rPr>
        <w:t>-</w:t>
      </w:r>
      <w:r w:rsidR="00644409" w:rsidRPr="00625AD6">
        <w:rPr>
          <w:sz w:val="20"/>
        </w:rPr>
        <w:t xml:space="preserve">sharing arrangements between the </w:t>
      </w:r>
      <w:r w:rsidR="00265264" w:rsidRPr="00625AD6">
        <w:rPr>
          <w:sz w:val="20"/>
        </w:rPr>
        <w:t xml:space="preserve">signatories to the Agreement, namely </w:t>
      </w:r>
      <w:r w:rsidR="004A4F8C" w:rsidRPr="00625AD6">
        <w:rPr>
          <w:sz w:val="20"/>
        </w:rPr>
        <w:t>SPLA</w:t>
      </w:r>
      <w:r w:rsidR="00644409" w:rsidRPr="00625AD6">
        <w:rPr>
          <w:sz w:val="20"/>
        </w:rPr>
        <w:t xml:space="preserve">, </w:t>
      </w:r>
      <w:r w:rsidR="004F5206" w:rsidRPr="00625AD6">
        <w:rPr>
          <w:sz w:val="20"/>
        </w:rPr>
        <w:t>SPLM/A in Opposition</w:t>
      </w:r>
      <w:r w:rsidR="00644409" w:rsidRPr="00625AD6">
        <w:rPr>
          <w:sz w:val="20"/>
        </w:rPr>
        <w:t xml:space="preserve">, the Group of Former Political Detainees and </w:t>
      </w:r>
      <w:r w:rsidR="004A4F8C" w:rsidRPr="00625AD6">
        <w:rPr>
          <w:sz w:val="20"/>
        </w:rPr>
        <w:t>the Group of O</w:t>
      </w:r>
      <w:r w:rsidR="00644409" w:rsidRPr="00625AD6">
        <w:rPr>
          <w:sz w:val="20"/>
        </w:rPr>
        <w:t xml:space="preserve">ther </w:t>
      </w:r>
      <w:r w:rsidR="004A4F8C" w:rsidRPr="00625AD6">
        <w:rPr>
          <w:sz w:val="20"/>
        </w:rPr>
        <w:t>P</w:t>
      </w:r>
      <w:r w:rsidR="00644409" w:rsidRPr="00625AD6">
        <w:rPr>
          <w:sz w:val="20"/>
        </w:rPr>
        <w:t xml:space="preserve">olitical </w:t>
      </w:r>
      <w:r w:rsidR="004A4F8C" w:rsidRPr="00625AD6">
        <w:rPr>
          <w:sz w:val="20"/>
        </w:rPr>
        <w:t>P</w:t>
      </w:r>
      <w:r w:rsidR="00644409" w:rsidRPr="00625AD6">
        <w:rPr>
          <w:sz w:val="20"/>
        </w:rPr>
        <w:t xml:space="preserve">arties. </w:t>
      </w:r>
    </w:p>
    <w:p w:rsidR="00507944" w:rsidRPr="00625AD6" w:rsidRDefault="00625AD6" w:rsidP="00625AD6">
      <w:pPr>
        <w:pStyle w:val="SingleTxtG"/>
        <w:tabs>
          <w:tab w:val="left" w:pos="1701"/>
        </w:tabs>
        <w:rPr>
          <w:sz w:val="20"/>
        </w:rPr>
      </w:pPr>
      <w:r w:rsidRPr="00625AD6">
        <w:rPr>
          <w:sz w:val="20"/>
          <w:szCs w:val="20"/>
        </w:rPr>
        <w:t>14.</w:t>
      </w:r>
      <w:r w:rsidRPr="00625AD6">
        <w:rPr>
          <w:sz w:val="20"/>
          <w:szCs w:val="20"/>
        </w:rPr>
        <w:tab/>
      </w:r>
      <w:r w:rsidR="00644409" w:rsidRPr="00625AD6">
        <w:rPr>
          <w:sz w:val="20"/>
        </w:rPr>
        <w:t xml:space="preserve">On </w:t>
      </w:r>
      <w:r w:rsidR="00723E42" w:rsidRPr="00625AD6">
        <w:rPr>
          <w:sz w:val="20"/>
        </w:rPr>
        <w:t>2 October</w:t>
      </w:r>
      <w:r w:rsidR="00644409" w:rsidRPr="00625AD6">
        <w:rPr>
          <w:sz w:val="20"/>
        </w:rPr>
        <w:t xml:space="preserve"> 201</w:t>
      </w:r>
      <w:r w:rsidR="00723E42" w:rsidRPr="00625AD6">
        <w:rPr>
          <w:sz w:val="20"/>
        </w:rPr>
        <w:t>5</w:t>
      </w:r>
      <w:r w:rsidR="00644409" w:rsidRPr="00625AD6">
        <w:rPr>
          <w:sz w:val="20"/>
        </w:rPr>
        <w:t xml:space="preserve">, President </w:t>
      </w:r>
      <w:r w:rsidR="004F5ECD" w:rsidRPr="00625AD6">
        <w:rPr>
          <w:sz w:val="20"/>
        </w:rPr>
        <w:t xml:space="preserve">Salva </w:t>
      </w:r>
      <w:r w:rsidR="00644409" w:rsidRPr="00625AD6">
        <w:rPr>
          <w:sz w:val="20"/>
        </w:rPr>
        <w:t xml:space="preserve">Kiir announced </w:t>
      </w:r>
      <w:r w:rsidR="00DC26B0" w:rsidRPr="00625AD6">
        <w:rPr>
          <w:sz w:val="20"/>
        </w:rPr>
        <w:t xml:space="preserve">the demarcation of 28 States (establishment order 36/2015), </w:t>
      </w:r>
      <w:r w:rsidR="00DA3814" w:rsidRPr="00625AD6">
        <w:rPr>
          <w:sz w:val="20"/>
        </w:rPr>
        <w:t>a decision</w:t>
      </w:r>
      <w:r w:rsidR="00644409" w:rsidRPr="00625AD6">
        <w:rPr>
          <w:sz w:val="20"/>
        </w:rPr>
        <w:t xml:space="preserve"> perceived by many as an attempt to reconfigure existing </w:t>
      </w:r>
      <w:r w:rsidR="00DA3814" w:rsidRPr="00625AD6">
        <w:rPr>
          <w:sz w:val="20"/>
        </w:rPr>
        <w:t>S</w:t>
      </w:r>
      <w:r w:rsidR="00644409" w:rsidRPr="00625AD6">
        <w:rPr>
          <w:sz w:val="20"/>
        </w:rPr>
        <w:t xml:space="preserve">tate boundaries </w:t>
      </w:r>
      <w:r w:rsidR="00DA3814" w:rsidRPr="00625AD6">
        <w:rPr>
          <w:sz w:val="20"/>
        </w:rPr>
        <w:t>to</w:t>
      </w:r>
      <w:r w:rsidR="00644409" w:rsidRPr="00625AD6">
        <w:rPr>
          <w:sz w:val="20"/>
        </w:rPr>
        <w:t xml:space="preserve"> the benefit of the Dinka majority tribe and </w:t>
      </w:r>
      <w:r w:rsidR="00DA3814" w:rsidRPr="00625AD6">
        <w:rPr>
          <w:sz w:val="20"/>
        </w:rPr>
        <w:t xml:space="preserve">that </w:t>
      </w:r>
      <w:r w:rsidR="00644409" w:rsidRPr="00625AD6">
        <w:rPr>
          <w:sz w:val="20"/>
        </w:rPr>
        <w:t>has undermined the peace agreement significantly.</w:t>
      </w:r>
      <w:r w:rsidR="00974932" w:rsidRPr="00625AD6">
        <w:rPr>
          <w:sz w:val="20"/>
        </w:rPr>
        <w:t xml:space="preserve"> </w:t>
      </w:r>
      <w:r w:rsidR="00644409" w:rsidRPr="00625AD6">
        <w:rPr>
          <w:sz w:val="20"/>
        </w:rPr>
        <w:t xml:space="preserve">The decision has also been challenged </w:t>
      </w:r>
      <w:proofErr w:type="gramStart"/>
      <w:r w:rsidR="00644409" w:rsidRPr="00625AD6">
        <w:rPr>
          <w:sz w:val="20"/>
        </w:rPr>
        <w:t xml:space="preserve">on the </w:t>
      </w:r>
      <w:r w:rsidR="00F32881" w:rsidRPr="00625AD6">
        <w:rPr>
          <w:sz w:val="20"/>
        </w:rPr>
        <w:t xml:space="preserve">grounds </w:t>
      </w:r>
      <w:r w:rsidR="00644409" w:rsidRPr="00625AD6">
        <w:rPr>
          <w:sz w:val="20"/>
        </w:rPr>
        <w:t>that</w:t>
      </w:r>
      <w:proofErr w:type="gramEnd"/>
      <w:r w:rsidR="00644409" w:rsidRPr="00625AD6">
        <w:rPr>
          <w:sz w:val="20"/>
        </w:rPr>
        <w:t xml:space="preserve"> it violates the peace agreement and the Transitional Constitution of South Sudan</w:t>
      </w:r>
      <w:r w:rsidR="00DA3814" w:rsidRPr="00625AD6">
        <w:rPr>
          <w:sz w:val="20"/>
        </w:rPr>
        <w:t>,</w:t>
      </w:r>
      <w:r w:rsidR="00644409" w:rsidRPr="00625AD6">
        <w:rPr>
          <w:sz w:val="20"/>
        </w:rPr>
        <w:t xml:space="preserve"> which officially recognizes </w:t>
      </w:r>
      <w:r w:rsidR="00DA3814" w:rsidRPr="00625AD6">
        <w:rPr>
          <w:sz w:val="20"/>
        </w:rPr>
        <w:t xml:space="preserve">10 States in </w:t>
      </w:r>
      <w:r w:rsidR="00644409" w:rsidRPr="00625AD6">
        <w:rPr>
          <w:sz w:val="20"/>
        </w:rPr>
        <w:t xml:space="preserve">South Sudan. </w:t>
      </w:r>
      <w:r w:rsidR="00DA3814" w:rsidRPr="00625AD6">
        <w:rPr>
          <w:sz w:val="20"/>
        </w:rPr>
        <w:t xml:space="preserve">The demarcation </w:t>
      </w:r>
      <w:r w:rsidR="00644409" w:rsidRPr="00625AD6">
        <w:rPr>
          <w:sz w:val="20"/>
        </w:rPr>
        <w:t>has caused a great deal of resentment among minority ethnic communities</w:t>
      </w:r>
      <w:r w:rsidR="00DA3814" w:rsidRPr="00625AD6">
        <w:rPr>
          <w:sz w:val="20"/>
        </w:rPr>
        <w:t>,</w:t>
      </w:r>
      <w:r w:rsidR="00644409" w:rsidRPr="00625AD6">
        <w:rPr>
          <w:sz w:val="20"/>
        </w:rPr>
        <w:t xml:space="preserve"> who </w:t>
      </w:r>
      <w:r w:rsidR="00DA3814" w:rsidRPr="00625AD6">
        <w:rPr>
          <w:sz w:val="20"/>
        </w:rPr>
        <w:t>describe it as</w:t>
      </w:r>
      <w:r w:rsidR="00644409" w:rsidRPr="00625AD6">
        <w:rPr>
          <w:sz w:val="20"/>
        </w:rPr>
        <w:t xml:space="preserve"> a land</w:t>
      </w:r>
      <w:r w:rsidR="00F32881" w:rsidRPr="00625AD6">
        <w:rPr>
          <w:sz w:val="20"/>
        </w:rPr>
        <w:t>-</w:t>
      </w:r>
      <w:r w:rsidR="00644409" w:rsidRPr="00625AD6">
        <w:rPr>
          <w:sz w:val="20"/>
        </w:rPr>
        <w:t>grabbing measure aimed at increasing the control of the Dinka ethnic group over vital resources</w:t>
      </w:r>
      <w:r w:rsidR="004F5ECD" w:rsidRPr="00625AD6">
        <w:rPr>
          <w:sz w:val="20"/>
        </w:rPr>
        <w:t>, such as</w:t>
      </w:r>
      <w:r w:rsidR="00644409" w:rsidRPr="00625AD6">
        <w:rPr>
          <w:sz w:val="20"/>
        </w:rPr>
        <w:t xml:space="preserve"> oil. On 14 January 2017, President Kiir further exacerbated the situation by creating an additional </w:t>
      </w:r>
      <w:r w:rsidR="00F32881" w:rsidRPr="00625AD6">
        <w:rPr>
          <w:sz w:val="20"/>
        </w:rPr>
        <w:t>four</w:t>
      </w:r>
      <w:r w:rsidR="00644409" w:rsidRPr="00625AD6">
        <w:rPr>
          <w:sz w:val="20"/>
        </w:rPr>
        <w:t xml:space="preserve"> </w:t>
      </w:r>
      <w:r w:rsidR="004F5ECD" w:rsidRPr="00625AD6">
        <w:rPr>
          <w:sz w:val="20"/>
        </w:rPr>
        <w:t>S</w:t>
      </w:r>
      <w:r w:rsidR="00644409" w:rsidRPr="00625AD6">
        <w:rPr>
          <w:sz w:val="20"/>
        </w:rPr>
        <w:t xml:space="preserve">tates by decree, bringing the total to 32. </w:t>
      </w:r>
    </w:p>
    <w:p w:rsidR="00507944" w:rsidRPr="00625AD6" w:rsidRDefault="00625AD6" w:rsidP="00625AD6">
      <w:pPr>
        <w:pStyle w:val="SingleTxtG"/>
        <w:tabs>
          <w:tab w:val="left" w:pos="1701"/>
        </w:tabs>
      </w:pPr>
      <w:r w:rsidRPr="00625AD6">
        <w:rPr>
          <w:sz w:val="20"/>
          <w:szCs w:val="20"/>
        </w:rPr>
        <w:t>15.</w:t>
      </w:r>
      <w:r w:rsidRPr="00625AD6">
        <w:rPr>
          <w:sz w:val="20"/>
          <w:szCs w:val="20"/>
        </w:rPr>
        <w:tab/>
      </w:r>
      <w:r w:rsidR="00644409" w:rsidRPr="00625AD6">
        <w:rPr>
          <w:sz w:val="20"/>
        </w:rPr>
        <w:t xml:space="preserve">Intense fighting broke out in Juba from </w:t>
      </w:r>
      <w:proofErr w:type="gramStart"/>
      <w:r w:rsidR="00644409" w:rsidRPr="00625AD6">
        <w:rPr>
          <w:sz w:val="20"/>
        </w:rPr>
        <w:t>7</w:t>
      </w:r>
      <w:proofErr w:type="gramEnd"/>
      <w:r w:rsidR="00644409" w:rsidRPr="00625AD6">
        <w:rPr>
          <w:sz w:val="20"/>
        </w:rPr>
        <w:t xml:space="preserve"> </w:t>
      </w:r>
      <w:r w:rsidR="004F5ECD" w:rsidRPr="00625AD6">
        <w:rPr>
          <w:sz w:val="20"/>
        </w:rPr>
        <w:t xml:space="preserve">to </w:t>
      </w:r>
      <w:r w:rsidR="00644409" w:rsidRPr="00625AD6">
        <w:rPr>
          <w:sz w:val="20"/>
        </w:rPr>
        <w:t>11 July 2016 between forces loyal to President Kiir and those supporting the former First Vice</w:t>
      </w:r>
      <w:r w:rsidR="004F5ECD" w:rsidRPr="00625AD6">
        <w:rPr>
          <w:sz w:val="20"/>
        </w:rPr>
        <w:t>-</w:t>
      </w:r>
      <w:r w:rsidR="00644409" w:rsidRPr="00625AD6">
        <w:rPr>
          <w:sz w:val="20"/>
        </w:rPr>
        <w:t xml:space="preserve">President, </w:t>
      </w:r>
      <w:proofErr w:type="spellStart"/>
      <w:r w:rsidR="00644409" w:rsidRPr="00625AD6">
        <w:rPr>
          <w:sz w:val="20"/>
        </w:rPr>
        <w:t>Dr.</w:t>
      </w:r>
      <w:proofErr w:type="spellEnd"/>
      <w:r w:rsidR="00644409" w:rsidRPr="00625AD6">
        <w:rPr>
          <w:sz w:val="20"/>
        </w:rPr>
        <w:t xml:space="preserve"> Machar. In the aftermath of the fighting, more than 36,000 civilians sought refuge in U</w:t>
      </w:r>
      <w:r w:rsidR="004F5ECD" w:rsidRPr="00625AD6">
        <w:rPr>
          <w:sz w:val="20"/>
        </w:rPr>
        <w:t xml:space="preserve">nited </w:t>
      </w:r>
      <w:r w:rsidR="00644409" w:rsidRPr="00625AD6">
        <w:rPr>
          <w:sz w:val="20"/>
        </w:rPr>
        <w:t>N</w:t>
      </w:r>
      <w:r w:rsidR="004F5ECD" w:rsidRPr="00625AD6">
        <w:rPr>
          <w:sz w:val="20"/>
        </w:rPr>
        <w:t>ations</w:t>
      </w:r>
      <w:r w:rsidR="00644409" w:rsidRPr="00625AD6">
        <w:rPr>
          <w:sz w:val="20"/>
        </w:rPr>
        <w:t xml:space="preserve"> and aid organization compounds</w:t>
      </w:r>
      <w:r w:rsidR="004F5ECD" w:rsidRPr="00625AD6">
        <w:rPr>
          <w:sz w:val="20"/>
        </w:rPr>
        <w:t>;</w:t>
      </w:r>
      <w:r w:rsidR="00644409" w:rsidRPr="00625AD6">
        <w:rPr>
          <w:sz w:val="20"/>
        </w:rPr>
        <w:t xml:space="preserve"> </w:t>
      </w:r>
      <w:r w:rsidR="00B9399F">
        <w:rPr>
          <w:sz w:val="20"/>
        </w:rPr>
        <w:t>hundreds</w:t>
      </w:r>
      <w:r w:rsidR="00644409" w:rsidRPr="00625AD6">
        <w:rPr>
          <w:sz w:val="20"/>
        </w:rPr>
        <w:t xml:space="preserve"> of people </w:t>
      </w:r>
      <w:proofErr w:type="gramStart"/>
      <w:r w:rsidR="004F5ECD" w:rsidRPr="00625AD6">
        <w:rPr>
          <w:sz w:val="20"/>
        </w:rPr>
        <w:t xml:space="preserve">were </w:t>
      </w:r>
      <w:r w:rsidR="00644409" w:rsidRPr="00625AD6">
        <w:rPr>
          <w:sz w:val="20"/>
        </w:rPr>
        <w:t>killed</w:t>
      </w:r>
      <w:proofErr w:type="gramEnd"/>
      <w:r w:rsidR="004F5ECD" w:rsidRPr="00625AD6">
        <w:rPr>
          <w:sz w:val="20"/>
        </w:rPr>
        <w:t>,</w:t>
      </w:r>
      <w:r w:rsidR="00644409" w:rsidRPr="00625AD6">
        <w:rPr>
          <w:sz w:val="20"/>
        </w:rPr>
        <w:t xml:space="preserve"> including civilians and two U</w:t>
      </w:r>
      <w:r w:rsidR="004F5ECD" w:rsidRPr="00625AD6">
        <w:rPr>
          <w:sz w:val="20"/>
        </w:rPr>
        <w:t xml:space="preserve">nited </w:t>
      </w:r>
      <w:r w:rsidR="00644409" w:rsidRPr="00625AD6">
        <w:rPr>
          <w:sz w:val="20"/>
        </w:rPr>
        <w:t>N</w:t>
      </w:r>
      <w:r w:rsidR="004F5ECD" w:rsidRPr="00625AD6">
        <w:rPr>
          <w:sz w:val="20"/>
        </w:rPr>
        <w:t>ations</w:t>
      </w:r>
      <w:r w:rsidR="00644409" w:rsidRPr="00625AD6">
        <w:rPr>
          <w:sz w:val="20"/>
        </w:rPr>
        <w:t xml:space="preserve"> peacekeepers.</w:t>
      </w:r>
      <w:r w:rsidR="000752ED" w:rsidRPr="00625AD6">
        <w:rPr>
          <w:sz w:val="20"/>
        </w:rPr>
        <w:t xml:space="preserve"> UNMISS reported</w:t>
      </w:r>
      <w:r w:rsidR="00974932" w:rsidRPr="00625AD6">
        <w:rPr>
          <w:sz w:val="20"/>
        </w:rPr>
        <w:t xml:space="preserve"> </w:t>
      </w:r>
      <w:r w:rsidR="000752ED" w:rsidRPr="00625AD6">
        <w:rPr>
          <w:sz w:val="20"/>
        </w:rPr>
        <w:t>m</w:t>
      </w:r>
      <w:r w:rsidR="00644409" w:rsidRPr="00625AD6">
        <w:rPr>
          <w:sz w:val="20"/>
        </w:rPr>
        <w:t xml:space="preserve">ore than 217 incidents of sexual violence perpetrated by the warring parties during the four days of fighting. On 11 July, </w:t>
      </w:r>
      <w:r w:rsidR="004F5ECD" w:rsidRPr="00625AD6">
        <w:rPr>
          <w:sz w:val="20"/>
        </w:rPr>
        <w:t xml:space="preserve">in Juba, </w:t>
      </w:r>
      <w:r w:rsidR="00644409" w:rsidRPr="00625AD6">
        <w:rPr>
          <w:sz w:val="20"/>
        </w:rPr>
        <w:t xml:space="preserve">SPLA forces attacked the Terrain Hotel housing international humanitarian workers, killing a Nuer </w:t>
      </w:r>
      <w:proofErr w:type="gramStart"/>
      <w:r w:rsidR="00644409" w:rsidRPr="00625AD6">
        <w:rPr>
          <w:sz w:val="20"/>
        </w:rPr>
        <w:t>journalist and beating</w:t>
      </w:r>
      <w:proofErr w:type="gramEnd"/>
      <w:r w:rsidR="00644409" w:rsidRPr="00625AD6">
        <w:rPr>
          <w:sz w:val="20"/>
        </w:rPr>
        <w:t xml:space="preserve"> and raping several foreign aid workers.</w:t>
      </w:r>
    </w:p>
    <w:p w:rsidR="00507944" w:rsidRPr="00625AD6" w:rsidRDefault="00625AD6" w:rsidP="00625AD6">
      <w:pPr>
        <w:pStyle w:val="SingleTxtG"/>
        <w:tabs>
          <w:tab w:val="left" w:pos="1701"/>
        </w:tabs>
        <w:rPr>
          <w:sz w:val="20"/>
        </w:rPr>
      </w:pPr>
      <w:r w:rsidRPr="00625AD6">
        <w:rPr>
          <w:sz w:val="20"/>
          <w:szCs w:val="20"/>
        </w:rPr>
        <w:t>16.</w:t>
      </w:r>
      <w:r w:rsidRPr="00625AD6">
        <w:rPr>
          <w:sz w:val="20"/>
          <w:szCs w:val="20"/>
        </w:rPr>
        <w:tab/>
      </w:r>
      <w:r w:rsidR="00644409" w:rsidRPr="00625AD6">
        <w:rPr>
          <w:sz w:val="20"/>
        </w:rPr>
        <w:t>The violence in Juba quickly spread to other parts of the Equatoria</w:t>
      </w:r>
      <w:r w:rsidR="00633795" w:rsidRPr="00625AD6">
        <w:rPr>
          <w:sz w:val="20"/>
        </w:rPr>
        <w:t xml:space="preserve"> region</w:t>
      </w:r>
      <w:r w:rsidR="00644409" w:rsidRPr="00625AD6">
        <w:rPr>
          <w:sz w:val="20"/>
        </w:rPr>
        <w:t xml:space="preserve"> as SPLA carried out intense military operations in pursuit of suspected opposition </w:t>
      </w:r>
      <w:r w:rsidR="004F5ECD" w:rsidRPr="00625AD6">
        <w:rPr>
          <w:sz w:val="20"/>
        </w:rPr>
        <w:t xml:space="preserve">members </w:t>
      </w:r>
      <w:r w:rsidR="00644409" w:rsidRPr="00625AD6">
        <w:rPr>
          <w:sz w:val="20"/>
        </w:rPr>
        <w:t xml:space="preserve">believed to have fled through the region en route to neighbouring Uganda and </w:t>
      </w:r>
      <w:r w:rsidR="004F5ECD" w:rsidRPr="00625AD6">
        <w:rPr>
          <w:sz w:val="20"/>
        </w:rPr>
        <w:t xml:space="preserve">the </w:t>
      </w:r>
      <w:r w:rsidR="00644409" w:rsidRPr="00625AD6">
        <w:rPr>
          <w:sz w:val="20"/>
        </w:rPr>
        <w:t>D</w:t>
      </w:r>
      <w:r w:rsidR="00633795" w:rsidRPr="00625AD6">
        <w:rPr>
          <w:sz w:val="20"/>
        </w:rPr>
        <w:t xml:space="preserve">emocratic </w:t>
      </w:r>
      <w:r w:rsidR="00644409" w:rsidRPr="00625AD6">
        <w:rPr>
          <w:sz w:val="20"/>
        </w:rPr>
        <w:t>R</w:t>
      </w:r>
      <w:r w:rsidR="00633795" w:rsidRPr="00625AD6">
        <w:rPr>
          <w:sz w:val="20"/>
        </w:rPr>
        <w:t xml:space="preserve">epublic of </w:t>
      </w:r>
      <w:r w:rsidR="004F5ECD" w:rsidRPr="00625AD6">
        <w:rPr>
          <w:sz w:val="20"/>
        </w:rPr>
        <w:t xml:space="preserve">the </w:t>
      </w:r>
      <w:r w:rsidR="00644409" w:rsidRPr="00625AD6">
        <w:rPr>
          <w:sz w:val="20"/>
        </w:rPr>
        <w:t>C</w:t>
      </w:r>
      <w:r w:rsidR="00633795" w:rsidRPr="00625AD6">
        <w:rPr>
          <w:sz w:val="20"/>
        </w:rPr>
        <w:t>ongo</w:t>
      </w:r>
      <w:r w:rsidR="00644409" w:rsidRPr="00625AD6">
        <w:rPr>
          <w:sz w:val="20"/>
        </w:rPr>
        <w:t xml:space="preserve">. </w:t>
      </w:r>
      <w:proofErr w:type="gramStart"/>
      <w:r w:rsidR="00644409" w:rsidRPr="00625AD6">
        <w:rPr>
          <w:sz w:val="20"/>
        </w:rPr>
        <w:t>The Government’s military operations, c</w:t>
      </w:r>
      <w:r w:rsidR="004F5ECD" w:rsidRPr="00625AD6">
        <w:rPr>
          <w:sz w:val="20"/>
        </w:rPr>
        <w:t>onducted</w:t>
      </w:r>
      <w:r w:rsidR="00644409" w:rsidRPr="00625AD6">
        <w:rPr>
          <w:sz w:val="20"/>
        </w:rPr>
        <w:t xml:space="preserve"> predominantly by Dinka troops, reignited long</w:t>
      </w:r>
      <w:r w:rsidR="004F5ECD" w:rsidRPr="00625AD6">
        <w:rPr>
          <w:sz w:val="20"/>
        </w:rPr>
        <w:t>-</w:t>
      </w:r>
      <w:r w:rsidR="00644409" w:rsidRPr="00625AD6">
        <w:rPr>
          <w:sz w:val="20"/>
        </w:rPr>
        <w:t xml:space="preserve">standing fears and mistrust between the </w:t>
      </w:r>
      <w:proofErr w:type="spellStart"/>
      <w:r w:rsidR="00644409" w:rsidRPr="00625AD6">
        <w:rPr>
          <w:sz w:val="20"/>
        </w:rPr>
        <w:t>Equatoria</w:t>
      </w:r>
      <w:proofErr w:type="spellEnd"/>
      <w:r w:rsidR="00644409" w:rsidRPr="00625AD6">
        <w:rPr>
          <w:sz w:val="20"/>
        </w:rPr>
        <w:t xml:space="preserve"> communities and </w:t>
      </w:r>
      <w:proofErr w:type="spellStart"/>
      <w:r w:rsidR="00644409" w:rsidRPr="00625AD6">
        <w:rPr>
          <w:sz w:val="20"/>
        </w:rPr>
        <w:t>Dinkas</w:t>
      </w:r>
      <w:proofErr w:type="spellEnd"/>
      <w:r w:rsidR="00644409" w:rsidRPr="00625AD6">
        <w:rPr>
          <w:sz w:val="20"/>
        </w:rPr>
        <w:t>.</w:t>
      </w:r>
      <w:proofErr w:type="gramEnd"/>
      <w:r w:rsidR="00644409" w:rsidRPr="00625AD6">
        <w:rPr>
          <w:sz w:val="20"/>
        </w:rPr>
        <w:t xml:space="preserve"> The increasingly strained relations between the two communities </w:t>
      </w:r>
      <w:proofErr w:type="gramStart"/>
      <w:r w:rsidR="0085107C" w:rsidRPr="00625AD6">
        <w:rPr>
          <w:sz w:val="20"/>
        </w:rPr>
        <w:t xml:space="preserve">has been </w:t>
      </w:r>
      <w:r w:rsidR="00644409" w:rsidRPr="00625AD6">
        <w:rPr>
          <w:sz w:val="20"/>
        </w:rPr>
        <w:t xml:space="preserve">exemplified by an upsurge in hate speech and </w:t>
      </w:r>
      <w:r w:rsidR="0085107C" w:rsidRPr="00625AD6">
        <w:rPr>
          <w:sz w:val="20"/>
        </w:rPr>
        <w:t xml:space="preserve">in </w:t>
      </w:r>
      <w:r w:rsidR="00644409" w:rsidRPr="00625AD6">
        <w:rPr>
          <w:sz w:val="20"/>
        </w:rPr>
        <w:t>incitement to violence</w:t>
      </w:r>
      <w:r w:rsidR="0085107C" w:rsidRPr="00625AD6">
        <w:rPr>
          <w:sz w:val="20"/>
        </w:rPr>
        <w:t>,</w:t>
      </w:r>
      <w:r w:rsidR="00644409" w:rsidRPr="00625AD6">
        <w:rPr>
          <w:sz w:val="20"/>
        </w:rPr>
        <w:t xml:space="preserve"> as well as </w:t>
      </w:r>
      <w:r w:rsidR="0085107C" w:rsidRPr="00625AD6">
        <w:rPr>
          <w:sz w:val="20"/>
        </w:rPr>
        <w:t xml:space="preserve">in </w:t>
      </w:r>
      <w:r w:rsidR="00644409" w:rsidRPr="00625AD6">
        <w:rPr>
          <w:sz w:val="20"/>
        </w:rPr>
        <w:t>incidents targeting individuals and communities based on ethnicity</w:t>
      </w:r>
      <w:proofErr w:type="gramEnd"/>
      <w:r w:rsidR="00644409" w:rsidRPr="00625AD6">
        <w:rPr>
          <w:sz w:val="20"/>
        </w:rPr>
        <w:t>.</w:t>
      </w:r>
    </w:p>
    <w:p w:rsidR="00507944" w:rsidRPr="00625AD6" w:rsidRDefault="00625AD6" w:rsidP="00625AD6">
      <w:pPr>
        <w:pStyle w:val="SingleTxtG"/>
        <w:tabs>
          <w:tab w:val="left" w:pos="1701"/>
        </w:tabs>
        <w:rPr>
          <w:sz w:val="20"/>
        </w:rPr>
      </w:pPr>
      <w:r w:rsidRPr="00625AD6">
        <w:rPr>
          <w:sz w:val="20"/>
          <w:szCs w:val="20"/>
        </w:rPr>
        <w:t>17.</w:t>
      </w:r>
      <w:r w:rsidRPr="00625AD6">
        <w:rPr>
          <w:sz w:val="20"/>
          <w:szCs w:val="20"/>
        </w:rPr>
        <w:tab/>
      </w:r>
      <w:proofErr w:type="spellStart"/>
      <w:r w:rsidR="00644409" w:rsidRPr="00625AD6">
        <w:rPr>
          <w:sz w:val="20"/>
        </w:rPr>
        <w:t>Riek</w:t>
      </w:r>
      <w:proofErr w:type="spellEnd"/>
      <w:r w:rsidR="00644409" w:rsidRPr="00625AD6">
        <w:rPr>
          <w:sz w:val="20"/>
        </w:rPr>
        <w:t xml:space="preserve"> Machar escaped from Juba and resurfaced weeks later, injured</w:t>
      </w:r>
      <w:r w:rsidR="0085107C" w:rsidRPr="00625AD6">
        <w:rPr>
          <w:sz w:val="20"/>
        </w:rPr>
        <w:t>,</w:t>
      </w:r>
      <w:r w:rsidR="00644409" w:rsidRPr="00625AD6">
        <w:rPr>
          <w:sz w:val="20"/>
        </w:rPr>
        <w:t xml:space="preserve"> with 800 of his men in the D</w:t>
      </w:r>
      <w:r w:rsidR="0085107C" w:rsidRPr="00625AD6">
        <w:rPr>
          <w:sz w:val="20"/>
        </w:rPr>
        <w:t>emocratic Republic of the Congo</w:t>
      </w:r>
      <w:r w:rsidR="00644409" w:rsidRPr="00625AD6">
        <w:rPr>
          <w:sz w:val="20"/>
        </w:rPr>
        <w:t xml:space="preserve">. Citing fears for his life, he announced that he would only return to Juba when an international force </w:t>
      </w:r>
      <w:proofErr w:type="gramStart"/>
      <w:r w:rsidR="00644409" w:rsidRPr="00625AD6">
        <w:rPr>
          <w:sz w:val="20"/>
        </w:rPr>
        <w:t>was deployed</w:t>
      </w:r>
      <w:proofErr w:type="gramEnd"/>
      <w:r w:rsidR="00644409" w:rsidRPr="00625AD6">
        <w:rPr>
          <w:sz w:val="20"/>
        </w:rPr>
        <w:t xml:space="preserve"> there. </w:t>
      </w:r>
      <w:r w:rsidR="00C312F9" w:rsidRPr="00625AD6">
        <w:rPr>
          <w:sz w:val="20"/>
        </w:rPr>
        <w:t xml:space="preserve">President </w:t>
      </w:r>
      <w:proofErr w:type="spellStart"/>
      <w:r w:rsidR="00C312F9" w:rsidRPr="00625AD6">
        <w:rPr>
          <w:sz w:val="20"/>
        </w:rPr>
        <w:t>Kiir</w:t>
      </w:r>
      <w:proofErr w:type="spellEnd"/>
      <w:r w:rsidR="00C312F9" w:rsidRPr="00625AD6">
        <w:rPr>
          <w:sz w:val="20"/>
        </w:rPr>
        <w:t xml:space="preserve"> </w:t>
      </w:r>
      <w:r w:rsidR="0085107C" w:rsidRPr="00625AD6">
        <w:rPr>
          <w:sz w:val="20"/>
        </w:rPr>
        <w:t xml:space="preserve">declared that </w:t>
      </w:r>
      <w:proofErr w:type="spellStart"/>
      <w:r w:rsidR="0085107C" w:rsidRPr="00625AD6">
        <w:rPr>
          <w:sz w:val="20"/>
        </w:rPr>
        <w:t>Dr.</w:t>
      </w:r>
      <w:proofErr w:type="spellEnd"/>
      <w:r w:rsidR="0085107C" w:rsidRPr="00625AD6">
        <w:rPr>
          <w:sz w:val="20"/>
        </w:rPr>
        <w:t xml:space="preserve"> Machar had abandoned his position and subsequently </w:t>
      </w:r>
      <w:r w:rsidR="00C312F9" w:rsidRPr="00625AD6">
        <w:rPr>
          <w:sz w:val="20"/>
        </w:rPr>
        <w:t xml:space="preserve">issued a decree appointing </w:t>
      </w:r>
      <w:proofErr w:type="spellStart"/>
      <w:r w:rsidR="00C312F9" w:rsidRPr="00625AD6">
        <w:rPr>
          <w:sz w:val="20"/>
        </w:rPr>
        <w:t>Taban</w:t>
      </w:r>
      <w:proofErr w:type="spellEnd"/>
      <w:r w:rsidR="00C312F9" w:rsidRPr="00625AD6">
        <w:rPr>
          <w:sz w:val="20"/>
        </w:rPr>
        <w:t xml:space="preserve"> Deng </w:t>
      </w:r>
      <w:proofErr w:type="spellStart"/>
      <w:r w:rsidR="00C312F9" w:rsidRPr="00625AD6">
        <w:rPr>
          <w:sz w:val="20"/>
        </w:rPr>
        <w:t>Gai</w:t>
      </w:r>
      <w:proofErr w:type="spellEnd"/>
      <w:r w:rsidR="00C312F9" w:rsidRPr="00625AD6">
        <w:rPr>
          <w:sz w:val="20"/>
        </w:rPr>
        <w:t xml:space="preserve">, a former chief negotiator of </w:t>
      </w:r>
      <w:r w:rsidR="004F5206" w:rsidRPr="00625AD6">
        <w:rPr>
          <w:sz w:val="20"/>
        </w:rPr>
        <w:t>SPLM/</w:t>
      </w:r>
      <w:proofErr w:type="gramStart"/>
      <w:r w:rsidR="004F5206" w:rsidRPr="00625AD6">
        <w:rPr>
          <w:sz w:val="20"/>
        </w:rPr>
        <w:t>A</w:t>
      </w:r>
      <w:proofErr w:type="gramEnd"/>
      <w:r w:rsidR="004F5206" w:rsidRPr="00625AD6">
        <w:rPr>
          <w:sz w:val="20"/>
        </w:rPr>
        <w:t xml:space="preserve"> in Opposition</w:t>
      </w:r>
      <w:r w:rsidR="00C312F9" w:rsidRPr="00625AD6">
        <w:rPr>
          <w:sz w:val="20"/>
        </w:rPr>
        <w:t>, as First Vice</w:t>
      </w:r>
      <w:r w:rsidR="0085107C" w:rsidRPr="00625AD6">
        <w:rPr>
          <w:sz w:val="20"/>
        </w:rPr>
        <w:t>-</w:t>
      </w:r>
      <w:r w:rsidR="00C312F9" w:rsidRPr="00625AD6">
        <w:rPr>
          <w:sz w:val="20"/>
        </w:rPr>
        <w:t>President.</w:t>
      </w:r>
    </w:p>
    <w:p w:rsidR="00507944" w:rsidRPr="00625AD6" w:rsidRDefault="00625AD6" w:rsidP="00625AD6">
      <w:pPr>
        <w:pStyle w:val="SingleTxtG"/>
        <w:tabs>
          <w:tab w:val="left" w:pos="1701"/>
        </w:tabs>
      </w:pPr>
      <w:r w:rsidRPr="00625AD6">
        <w:rPr>
          <w:sz w:val="20"/>
          <w:szCs w:val="20"/>
        </w:rPr>
        <w:t>18.</w:t>
      </w:r>
      <w:r w:rsidRPr="00625AD6">
        <w:rPr>
          <w:sz w:val="20"/>
          <w:szCs w:val="20"/>
        </w:rPr>
        <w:tab/>
      </w:r>
      <w:r w:rsidR="00644409" w:rsidRPr="00625AD6">
        <w:rPr>
          <w:sz w:val="20"/>
        </w:rPr>
        <w:t xml:space="preserve">In the aftermath of the July violence, regional bodies, including IGAD and the African Union, called upon the Security Council to establish a regional protection force to stem the violence and </w:t>
      </w:r>
      <w:r w:rsidR="0085107C" w:rsidRPr="00625AD6">
        <w:rPr>
          <w:sz w:val="20"/>
        </w:rPr>
        <w:t xml:space="preserve">to </w:t>
      </w:r>
      <w:r w:rsidR="00644409" w:rsidRPr="00625AD6">
        <w:rPr>
          <w:sz w:val="20"/>
        </w:rPr>
        <w:t xml:space="preserve">protect civilians. On 12 August, the Council extended the mandate of UNMISS and authorized a regional protection force of 4,000 troops to bolster </w:t>
      </w:r>
      <w:r w:rsidR="0085107C" w:rsidRPr="00625AD6">
        <w:rPr>
          <w:sz w:val="20"/>
        </w:rPr>
        <w:t xml:space="preserve">its </w:t>
      </w:r>
      <w:r w:rsidR="00644409" w:rsidRPr="00625AD6">
        <w:rPr>
          <w:sz w:val="20"/>
        </w:rPr>
        <w:t xml:space="preserve">capacity. The newly authorized force is mandated </w:t>
      </w:r>
      <w:r w:rsidR="0085107C" w:rsidRPr="00625AD6">
        <w:rPr>
          <w:sz w:val="20"/>
        </w:rPr>
        <w:t>to, inter alia,</w:t>
      </w:r>
      <w:r w:rsidR="00644409" w:rsidRPr="00625AD6">
        <w:rPr>
          <w:sz w:val="20"/>
        </w:rPr>
        <w:t xml:space="preserve"> provide a safe and secure environment in and around Juba, and protect U</w:t>
      </w:r>
      <w:r w:rsidR="0085107C" w:rsidRPr="00625AD6">
        <w:rPr>
          <w:sz w:val="20"/>
        </w:rPr>
        <w:t xml:space="preserve">nited </w:t>
      </w:r>
      <w:r w:rsidR="00644409" w:rsidRPr="00625AD6">
        <w:rPr>
          <w:sz w:val="20"/>
        </w:rPr>
        <w:t>N</w:t>
      </w:r>
      <w:r w:rsidR="0085107C" w:rsidRPr="00625AD6">
        <w:rPr>
          <w:sz w:val="20"/>
        </w:rPr>
        <w:t>ations</w:t>
      </w:r>
      <w:r w:rsidR="00644409" w:rsidRPr="00625AD6">
        <w:rPr>
          <w:sz w:val="20"/>
        </w:rPr>
        <w:t xml:space="preserve"> staff, humanitarian actors and civilians. While the Government has in principle agreed to the new force, it has continued to delay its deployment</w:t>
      </w:r>
      <w:r w:rsidR="00C55243" w:rsidRPr="00625AD6">
        <w:rPr>
          <w:sz w:val="20"/>
        </w:rPr>
        <w:t xml:space="preserve">. </w:t>
      </w:r>
      <w:r w:rsidR="00644409" w:rsidRPr="00625AD6">
        <w:rPr>
          <w:sz w:val="20"/>
        </w:rPr>
        <w:t xml:space="preserve">Some government officials recently declared that the protection force </w:t>
      </w:r>
      <w:proofErr w:type="gramStart"/>
      <w:r w:rsidR="00644409" w:rsidRPr="00625AD6">
        <w:rPr>
          <w:sz w:val="20"/>
        </w:rPr>
        <w:t>is no longer needed</w:t>
      </w:r>
      <w:proofErr w:type="gramEnd"/>
      <w:r w:rsidR="00644409" w:rsidRPr="00625AD6">
        <w:rPr>
          <w:sz w:val="20"/>
        </w:rPr>
        <w:t xml:space="preserve"> because stability has returned to Juba</w:t>
      </w:r>
      <w:r w:rsidR="0085107C" w:rsidRPr="00625AD6">
        <w:rPr>
          <w:sz w:val="20"/>
        </w:rPr>
        <w:t>,</w:t>
      </w:r>
      <w:r w:rsidR="00C55243" w:rsidRPr="00625AD6">
        <w:rPr>
          <w:sz w:val="20"/>
        </w:rPr>
        <w:t xml:space="preserve"> which has raised concerns about the </w:t>
      </w:r>
      <w:r w:rsidR="0085107C" w:rsidRPr="00625AD6">
        <w:rPr>
          <w:sz w:val="20"/>
        </w:rPr>
        <w:t>G</w:t>
      </w:r>
      <w:r w:rsidR="00C55243" w:rsidRPr="00625AD6">
        <w:rPr>
          <w:sz w:val="20"/>
        </w:rPr>
        <w:t>overnment’s commitment to the force.</w:t>
      </w:r>
      <w:r w:rsidR="00644409" w:rsidRPr="00625AD6">
        <w:t xml:space="preserve"> </w:t>
      </w:r>
    </w:p>
    <w:p w:rsidR="00507944" w:rsidRPr="00DF202E" w:rsidRDefault="00DF202E" w:rsidP="00DF202E">
      <w:pPr>
        <w:pStyle w:val="H1G"/>
      </w:pPr>
      <w:r>
        <w:tab/>
      </w:r>
      <w:r w:rsidR="00625AD6" w:rsidRPr="00DF202E">
        <w:t>B.</w:t>
      </w:r>
      <w:r w:rsidR="00625AD6" w:rsidRPr="00DF202E">
        <w:tab/>
      </w:r>
      <w:r w:rsidR="00644409" w:rsidRPr="00DF202E">
        <w:t>Humanitarian situation</w:t>
      </w:r>
    </w:p>
    <w:p w:rsidR="00507944" w:rsidRPr="00625AD6" w:rsidRDefault="00625AD6" w:rsidP="00625AD6">
      <w:pPr>
        <w:pStyle w:val="SingleTxtG"/>
        <w:tabs>
          <w:tab w:val="left" w:pos="1701"/>
        </w:tabs>
        <w:rPr>
          <w:sz w:val="20"/>
        </w:rPr>
      </w:pPr>
      <w:r w:rsidRPr="00625AD6">
        <w:rPr>
          <w:sz w:val="20"/>
          <w:szCs w:val="20"/>
        </w:rPr>
        <w:t>19.</w:t>
      </w:r>
      <w:r w:rsidRPr="00625AD6">
        <w:rPr>
          <w:sz w:val="20"/>
          <w:szCs w:val="20"/>
        </w:rPr>
        <w:tab/>
      </w:r>
      <w:r w:rsidR="00644409" w:rsidRPr="00625AD6">
        <w:rPr>
          <w:sz w:val="20"/>
        </w:rPr>
        <w:t xml:space="preserve">The humanitarian situation continued to deteriorate during the period </w:t>
      </w:r>
      <w:r w:rsidR="00721665" w:rsidRPr="00625AD6">
        <w:rPr>
          <w:sz w:val="20"/>
        </w:rPr>
        <w:t xml:space="preserve">under review </w:t>
      </w:r>
      <w:r w:rsidR="00644409" w:rsidRPr="00625AD6">
        <w:rPr>
          <w:sz w:val="20"/>
        </w:rPr>
        <w:t xml:space="preserve">because of the ongoing conflict. Fighting between government and opposition forces intensified in the </w:t>
      </w:r>
      <w:proofErr w:type="spellStart"/>
      <w:r w:rsidR="00644409" w:rsidRPr="00625AD6">
        <w:rPr>
          <w:sz w:val="20"/>
        </w:rPr>
        <w:t>Equatoria</w:t>
      </w:r>
      <w:r w:rsidR="006C2B17" w:rsidRPr="00625AD6">
        <w:rPr>
          <w:sz w:val="20"/>
        </w:rPr>
        <w:t>s</w:t>
      </w:r>
      <w:proofErr w:type="spellEnd"/>
      <w:r w:rsidR="00644409" w:rsidRPr="00625AD6">
        <w:rPr>
          <w:sz w:val="20"/>
        </w:rPr>
        <w:t xml:space="preserve"> a</w:t>
      </w:r>
      <w:r w:rsidR="006C2B17" w:rsidRPr="00625AD6">
        <w:rPr>
          <w:sz w:val="20"/>
        </w:rPr>
        <w:t xml:space="preserve">s well as </w:t>
      </w:r>
      <w:r w:rsidR="00644409" w:rsidRPr="00625AD6">
        <w:rPr>
          <w:sz w:val="20"/>
        </w:rPr>
        <w:t>other parts of the country, including Western Bahr el Ghazal and the Upper Nile region. The country has been plunged into a severe economic crisis. It is dependent on oil revenues for its income</w:t>
      </w:r>
      <w:r w:rsidR="00721665" w:rsidRPr="00625AD6">
        <w:rPr>
          <w:sz w:val="20"/>
        </w:rPr>
        <w:t>;</w:t>
      </w:r>
      <w:r w:rsidR="00644409" w:rsidRPr="00625AD6">
        <w:rPr>
          <w:sz w:val="20"/>
        </w:rPr>
        <w:t xml:space="preserve"> current reserve estimates</w:t>
      </w:r>
      <w:r w:rsidR="00721665" w:rsidRPr="00625AD6">
        <w:rPr>
          <w:sz w:val="20"/>
        </w:rPr>
        <w:t xml:space="preserve"> indicate</w:t>
      </w:r>
      <w:r w:rsidR="00644409" w:rsidRPr="00625AD6">
        <w:rPr>
          <w:sz w:val="20"/>
        </w:rPr>
        <w:t>,</w:t>
      </w:r>
      <w:r w:rsidR="00721665" w:rsidRPr="00625AD6">
        <w:rPr>
          <w:sz w:val="20"/>
        </w:rPr>
        <w:t xml:space="preserve"> however, that</w:t>
      </w:r>
      <w:r w:rsidR="00644409" w:rsidRPr="00625AD6">
        <w:rPr>
          <w:sz w:val="20"/>
        </w:rPr>
        <w:t xml:space="preserve"> oil production will decline to negligible levels by 2035. Furthermore, the economic downturn has triggered inflation</w:t>
      </w:r>
      <w:r w:rsidR="00721665" w:rsidRPr="00625AD6">
        <w:rPr>
          <w:sz w:val="20"/>
        </w:rPr>
        <w:t>, which has</w:t>
      </w:r>
      <w:r w:rsidR="00644409" w:rsidRPr="00625AD6">
        <w:rPr>
          <w:sz w:val="20"/>
        </w:rPr>
        <w:t xml:space="preserve"> reportedly reach</w:t>
      </w:r>
      <w:r w:rsidR="00721665" w:rsidRPr="00625AD6">
        <w:rPr>
          <w:sz w:val="20"/>
        </w:rPr>
        <w:t>ed</w:t>
      </w:r>
      <w:r w:rsidR="00644409" w:rsidRPr="00625AD6">
        <w:rPr>
          <w:sz w:val="20"/>
        </w:rPr>
        <w:t xml:space="preserve"> </w:t>
      </w:r>
      <w:r w:rsidR="00721665" w:rsidRPr="00625AD6">
        <w:rPr>
          <w:sz w:val="20"/>
        </w:rPr>
        <w:t xml:space="preserve">a rate of </w:t>
      </w:r>
      <w:r w:rsidR="00644409" w:rsidRPr="00625AD6">
        <w:rPr>
          <w:sz w:val="20"/>
        </w:rPr>
        <w:t>900</w:t>
      </w:r>
      <w:r w:rsidR="00721665" w:rsidRPr="00625AD6">
        <w:rPr>
          <w:sz w:val="20"/>
        </w:rPr>
        <w:t xml:space="preserve"> per cent</w:t>
      </w:r>
      <w:r w:rsidR="00644409" w:rsidRPr="00625AD6">
        <w:rPr>
          <w:sz w:val="20"/>
        </w:rPr>
        <w:t xml:space="preserve"> on the black market.</w:t>
      </w:r>
    </w:p>
    <w:p w:rsidR="00507944" w:rsidRPr="00625AD6" w:rsidRDefault="00625AD6" w:rsidP="00625AD6">
      <w:pPr>
        <w:pStyle w:val="SingleTxtG"/>
        <w:tabs>
          <w:tab w:val="left" w:pos="1701"/>
        </w:tabs>
        <w:rPr>
          <w:sz w:val="20"/>
        </w:rPr>
      </w:pPr>
      <w:r w:rsidRPr="00625AD6">
        <w:rPr>
          <w:sz w:val="20"/>
          <w:szCs w:val="20"/>
        </w:rPr>
        <w:t>20.</w:t>
      </w:r>
      <w:r w:rsidRPr="00625AD6">
        <w:rPr>
          <w:sz w:val="20"/>
          <w:szCs w:val="20"/>
        </w:rPr>
        <w:tab/>
      </w:r>
      <w:r w:rsidR="00644409" w:rsidRPr="00625AD6">
        <w:rPr>
          <w:sz w:val="20"/>
        </w:rPr>
        <w:t xml:space="preserve">South Sudan has become </w:t>
      </w:r>
      <w:r w:rsidR="00721665" w:rsidRPr="00625AD6">
        <w:rPr>
          <w:sz w:val="20"/>
        </w:rPr>
        <w:t>the largest</w:t>
      </w:r>
      <w:r w:rsidR="00644409" w:rsidRPr="00625AD6">
        <w:rPr>
          <w:sz w:val="20"/>
        </w:rPr>
        <w:t xml:space="preserve"> source of displacement</w:t>
      </w:r>
      <w:r w:rsidR="00721665" w:rsidRPr="00625AD6">
        <w:rPr>
          <w:sz w:val="20"/>
        </w:rPr>
        <w:t xml:space="preserve"> in Africa</w:t>
      </w:r>
      <w:r w:rsidR="00644409" w:rsidRPr="00625AD6">
        <w:rPr>
          <w:sz w:val="20"/>
        </w:rPr>
        <w:t xml:space="preserve">. According to UNHCR, </w:t>
      </w:r>
      <w:r w:rsidR="00721665" w:rsidRPr="00625AD6">
        <w:rPr>
          <w:sz w:val="20"/>
        </w:rPr>
        <w:t>1.5</w:t>
      </w:r>
      <w:r w:rsidR="00644409" w:rsidRPr="00625AD6">
        <w:rPr>
          <w:sz w:val="20"/>
        </w:rPr>
        <w:t xml:space="preserve"> million South Sudanese refugees live in neighbouring </w:t>
      </w:r>
      <w:r w:rsidR="00721665" w:rsidRPr="00625AD6">
        <w:rPr>
          <w:sz w:val="20"/>
        </w:rPr>
        <w:t>States</w:t>
      </w:r>
      <w:r w:rsidR="00644409" w:rsidRPr="00625AD6">
        <w:rPr>
          <w:sz w:val="20"/>
        </w:rPr>
        <w:t xml:space="preserve">, half of them </w:t>
      </w:r>
      <w:r w:rsidR="00721665" w:rsidRPr="00625AD6">
        <w:rPr>
          <w:sz w:val="20"/>
        </w:rPr>
        <w:t>having fled</w:t>
      </w:r>
      <w:r w:rsidR="00644409" w:rsidRPr="00625AD6">
        <w:rPr>
          <w:sz w:val="20"/>
        </w:rPr>
        <w:t xml:space="preserve"> in 2016. The bulk of recent refugees have made their way to Uganda (52,600 in January alone)</w:t>
      </w:r>
      <w:r w:rsidR="00721665" w:rsidRPr="00625AD6">
        <w:rPr>
          <w:sz w:val="20"/>
        </w:rPr>
        <w:t>,</w:t>
      </w:r>
      <w:r w:rsidR="00644409" w:rsidRPr="00625AD6">
        <w:rPr>
          <w:sz w:val="20"/>
        </w:rPr>
        <w:t xml:space="preserve"> </w:t>
      </w:r>
      <w:r w:rsidR="00721665" w:rsidRPr="00625AD6">
        <w:rPr>
          <w:sz w:val="20"/>
        </w:rPr>
        <w:t>while others have fled to</w:t>
      </w:r>
      <w:r w:rsidR="00644409" w:rsidRPr="00625AD6">
        <w:rPr>
          <w:sz w:val="20"/>
        </w:rPr>
        <w:t xml:space="preserve"> the Sudan, </w:t>
      </w:r>
      <w:r w:rsidR="00721665" w:rsidRPr="00625AD6">
        <w:rPr>
          <w:sz w:val="20"/>
        </w:rPr>
        <w:t xml:space="preserve">the </w:t>
      </w:r>
      <w:r w:rsidR="00644409" w:rsidRPr="00625AD6">
        <w:rPr>
          <w:sz w:val="20"/>
        </w:rPr>
        <w:t>C</w:t>
      </w:r>
      <w:r w:rsidR="006C2B17" w:rsidRPr="00625AD6">
        <w:rPr>
          <w:sz w:val="20"/>
        </w:rPr>
        <w:t>entral African Republic</w:t>
      </w:r>
      <w:r w:rsidR="00644409" w:rsidRPr="00625AD6">
        <w:rPr>
          <w:sz w:val="20"/>
        </w:rPr>
        <w:t xml:space="preserve">, </w:t>
      </w:r>
      <w:r w:rsidR="00633795" w:rsidRPr="00625AD6">
        <w:rPr>
          <w:sz w:val="20"/>
        </w:rPr>
        <w:t>the D</w:t>
      </w:r>
      <w:r w:rsidR="00721665" w:rsidRPr="00625AD6">
        <w:rPr>
          <w:sz w:val="20"/>
        </w:rPr>
        <w:t>emocratic Republic of the Congo</w:t>
      </w:r>
      <w:r w:rsidR="00644409" w:rsidRPr="00625AD6">
        <w:rPr>
          <w:sz w:val="20"/>
        </w:rPr>
        <w:t>, Ethiopia and Kenya. Some 87</w:t>
      </w:r>
      <w:r w:rsidR="00721665" w:rsidRPr="00625AD6">
        <w:rPr>
          <w:sz w:val="20"/>
        </w:rPr>
        <w:t xml:space="preserve"> per cent </w:t>
      </w:r>
      <w:r w:rsidR="00644409" w:rsidRPr="00625AD6">
        <w:rPr>
          <w:sz w:val="20"/>
        </w:rPr>
        <w:t xml:space="preserve">of South Sudanese refugees in the region are women and children. As many as 36,000 South Sudanese refugee children are unaccompanied or separated from </w:t>
      </w:r>
      <w:r w:rsidR="00721665" w:rsidRPr="00625AD6">
        <w:rPr>
          <w:sz w:val="20"/>
        </w:rPr>
        <w:t xml:space="preserve">their </w:t>
      </w:r>
      <w:r w:rsidR="00644409" w:rsidRPr="00625AD6">
        <w:rPr>
          <w:sz w:val="20"/>
        </w:rPr>
        <w:t>parents</w:t>
      </w:r>
      <w:r w:rsidR="00721665" w:rsidRPr="00625AD6">
        <w:rPr>
          <w:sz w:val="20"/>
        </w:rPr>
        <w:t>, while</w:t>
      </w:r>
      <w:r w:rsidR="00644409" w:rsidRPr="00625AD6">
        <w:rPr>
          <w:sz w:val="20"/>
        </w:rPr>
        <w:t xml:space="preserve"> the majority </w:t>
      </w:r>
      <w:r w:rsidR="00721665" w:rsidRPr="00625AD6">
        <w:rPr>
          <w:sz w:val="20"/>
        </w:rPr>
        <w:t xml:space="preserve">of them </w:t>
      </w:r>
      <w:proofErr w:type="gramStart"/>
      <w:r w:rsidR="00644409" w:rsidRPr="00625AD6">
        <w:rPr>
          <w:sz w:val="20"/>
        </w:rPr>
        <w:t>are not enrolled</w:t>
      </w:r>
      <w:proofErr w:type="gramEnd"/>
      <w:r w:rsidR="00644409" w:rsidRPr="00625AD6">
        <w:rPr>
          <w:sz w:val="20"/>
        </w:rPr>
        <w:t xml:space="preserve"> in school, creating another “lost generation”. Inside South Sudan, nearly </w:t>
      </w:r>
      <w:r w:rsidR="00721665" w:rsidRPr="00625AD6">
        <w:rPr>
          <w:sz w:val="20"/>
        </w:rPr>
        <w:t>2</w:t>
      </w:r>
      <w:r w:rsidR="00644409" w:rsidRPr="00625AD6">
        <w:rPr>
          <w:sz w:val="20"/>
        </w:rPr>
        <w:t xml:space="preserve"> million people are internally displaced, including 223,994 people living in UNMISS </w:t>
      </w:r>
      <w:r w:rsidR="00721665" w:rsidRPr="00625AD6">
        <w:rPr>
          <w:sz w:val="20"/>
        </w:rPr>
        <w:t>p</w:t>
      </w:r>
      <w:r w:rsidR="00644409" w:rsidRPr="00625AD6">
        <w:rPr>
          <w:sz w:val="20"/>
        </w:rPr>
        <w:t xml:space="preserve">rotection of </w:t>
      </w:r>
      <w:r w:rsidR="00721665" w:rsidRPr="00625AD6">
        <w:rPr>
          <w:sz w:val="20"/>
        </w:rPr>
        <w:t>c</w:t>
      </w:r>
      <w:r w:rsidR="00644409" w:rsidRPr="00625AD6">
        <w:rPr>
          <w:sz w:val="20"/>
        </w:rPr>
        <w:t xml:space="preserve">ivilian sites who are desperate to return home and support themselves. </w:t>
      </w:r>
    </w:p>
    <w:p w:rsidR="00507944" w:rsidRPr="00625AD6" w:rsidRDefault="00625AD6" w:rsidP="00625AD6">
      <w:pPr>
        <w:pStyle w:val="SingleTxtG"/>
        <w:tabs>
          <w:tab w:val="left" w:pos="1701"/>
        </w:tabs>
        <w:rPr>
          <w:sz w:val="20"/>
        </w:rPr>
      </w:pPr>
      <w:r w:rsidRPr="00625AD6">
        <w:rPr>
          <w:sz w:val="20"/>
          <w:szCs w:val="20"/>
        </w:rPr>
        <w:t>21.</w:t>
      </w:r>
      <w:r w:rsidRPr="00625AD6">
        <w:rPr>
          <w:sz w:val="20"/>
          <w:szCs w:val="20"/>
        </w:rPr>
        <w:tab/>
      </w:r>
      <w:r w:rsidR="00E54F5D" w:rsidRPr="00625AD6">
        <w:rPr>
          <w:sz w:val="20"/>
        </w:rPr>
        <w:t>Diseases, protracted instability, the escalation of the conflict and widespread destruction have</w:t>
      </w:r>
      <w:r w:rsidR="00633795" w:rsidRPr="00625AD6">
        <w:rPr>
          <w:sz w:val="20"/>
        </w:rPr>
        <w:t xml:space="preserve"> </w:t>
      </w:r>
      <w:r w:rsidR="006558C2" w:rsidRPr="00625AD6">
        <w:rPr>
          <w:sz w:val="20"/>
        </w:rPr>
        <w:t xml:space="preserve">combined to generate </w:t>
      </w:r>
      <w:r w:rsidR="00633795" w:rsidRPr="00625AD6">
        <w:rPr>
          <w:sz w:val="20"/>
        </w:rPr>
        <w:t xml:space="preserve">unprecedented levels of </w:t>
      </w:r>
      <w:r w:rsidR="00137AD0" w:rsidRPr="00625AD6">
        <w:rPr>
          <w:sz w:val="20"/>
        </w:rPr>
        <w:t>hunger</w:t>
      </w:r>
      <w:r w:rsidR="00633795" w:rsidRPr="00625AD6">
        <w:rPr>
          <w:sz w:val="20"/>
        </w:rPr>
        <w:t>. </w:t>
      </w:r>
      <w:r w:rsidR="00721665" w:rsidRPr="00625AD6">
        <w:rPr>
          <w:bCs/>
          <w:sz w:val="20"/>
        </w:rPr>
        <w:t>On</w:t>
      </w:r>
      <w:r w:rsidR="00633795" w:rsidRPr="00625AD6">
        <w:rPr>
          <w:bCs/>
          <w:sz w:val="20"/>
        </w:rPr>
        <w:t xml:space="preserve"> 20 February 2017</w:t>
      </w:r>
      <w:r w:rsidR="00721665" w:rsidRPr="00625AD6">
        <w:rPr>
          <w:bCs/>
          <w:sz w:val="20"/>
        </w:rPr>
        <w:t>, the United Nations</w:t>
      </w:r>
      <w:r w:rsidR="00633795" w:rsidRPr="00625AD6">
        <w:rPr>
          <w:bCs/>
          <w:sz w:val="20"/>
        </w:rPr>
        <w:t xml:space="preserve"> officially declared</w:t>
      </w:r>
      <w:r w:rsidR="00721665" w:rsidRPr="00625AD6">
        <w:rPr>
          <w:bCs/>
          <w:sz w:val="20"/>
        </w:rPr>
        <w:t xml:space="preserve">, </w:t>
      </w:r>
      <w:proofErr w:type="gramStart"/>
      <w:r w:rsidR="00721665" w:rsidRPr="00625AD6">
        <w:rPr>
          <w:bCs/>
          <w:sz w:val="20"/>
        </w:rPr>
        <w:t>on the</w:t>
      </w:r>
      <w:r w:rsidR="00633795" w:rsidRPr="00625AD6">
        <w:rPr>
          <w:bCs/>
          <w:sz w:val="20"/>
        </w:rPr>
        <w:t xml:space="preserve"> </w:t>
      </w:r>
      <w:r w:rsidR="00721665" w:rsidRPr="00625AD6">
        <w:rPr>
          <w:bCs/>
          <w:sz w:val="20"/>
        </w:rPr>
        <w:t>basis of</w:t>
      </w:r>
      <w:proofErr w:type="gramEnd"/>
      <w:r w:rsidR="00721665" w:rsidRPr="00625AD6">
        <w:rPr>
          <w:bCs/>
          <w:sz w:val="20"/>
        </w:rPr>
        <w:t xml:space="preserve"> its latest food security analysis, </w:t>
      </w:r>
      <w:r w:rsidR="00633795" w:rsidRPr="00625AD6">
        <w:rPr>
          <w:bCs/>
          <w:sz w:val="20"/>
        </w:rPr>
        <w:t>a state of famine in two counties in Unity</w:t>
      </w:r>
      <w:r w:rsidR="00203182" w:rsidRPr="00625AD6">
        <w:rPr>
          <w:bCs/>
          <w:sz w:val="20"/>
        </w:rPr>
        <w:t xml:space="preserve"> State</w:t>
      </w:r>
      <w:r w:rsidR="00633795" w:rsidRPr="00625AD6">
        <w:rPr>
          <w:bCs/>
          <w:sz w:val="20"/>
        </w:rPr>
        <w:t xml:space="preserve">, and that two other counties </w:t>
      </w:r>
      <w:r w:rsidR="00995A55" w:rsidRPr="00625AD6">
        <w:rPr>
          <w:bCs/>
          <w:sz w:val="20"/>
        </w:rPr>
        <w:t>were</w:t>
      </w:r>
      <w:r w:rsidR="00633795" w:rsidRPr="00625AD6">
        <w:rPr>
          <w:bCs/>
          <w:sz w:val="20"/>
        </w:rPr>
        <w:t xml:space="preserve"> also at risk. U</w:t>
      </w:r>
      <w:r w:rsidR="00BA7AC9" w:rsidRPr="00625AD6">
        <w:rPr>
          <w:bCs/>
          <w:sz w:val="20"/>
        </w:rPr>
        <w:t xml:space="preserve">nited </w:t>
      </w:r>
      <w:r w:rsidR="00633795" w:rsidRPr="00625AD6">
        <w:rPr>
          <w:bCs/>
          <w:sz w:val="20"/>
        </w:rPr>
        <w:t>N</w:t>
      </w:r>
      <w:r w:rsidR="00BA7AC9" w:rsidRPr="00625AD6">
        <w:rPr>
          <w:bCs/>
          <w:sz w:val="20"/>
        </w:rPr>
        <w:t>ations</w:t>
      </w:r>
      <w:r w:rsidR="00633795" w:rsidRPr="00625AD6">
        <w:rPr>
          <w:bCs/>
          <w:sz w:val="20"/>
        </w:rPr>
        <w:t xml:space="preserve"> </w:t>
      </w:r>
      <w:r w:rsidR="00BA7AC9" w:rsidRPr="00625AD6">
        <w:rPr>
          <w:bCs/>
          <w:sz w:val="20"/>
        </w:rPr>
        <w:t>a</w:t>
      </w:r>
      <w:r w:rsidR="00633795" w:rsidRPr="00625AD6">
        <w:rPr>
          <w:bCs/>
          <w:sz w:val="20"/>
        </w:rPr>
        <w:t>gencies reported that food insecurity ha</w:t>
      </w:r>
      <w:r w:rsidR="00BA7AC9" w:rsidRPr="00625AD6">
        <w:rPr>
          <w:bCs/>
          <w:sz w:val="20"/>
        </w:rPr>
        <w:t>d</w:t>
      </w:r>
      <w:r w:rsidR="00633795" w:rsidRPr="00625AD6">
        <w:rPr>
          <w:bCs/>
          <w:sz w:val="20"/>
        </w:rPr>
        <w:t xml:space="preserve"> deteriorated to unprecedented levels in these areas owing to protracted violence arising from the ongoing conflict, displacement</w:t>
      </w:r>
      <w:r w:rsidR="00BA7AC9" w:rsidRPr="00625AD6">
        <w:rPr>
          <w:bCs/>
          <w:sz w:val="20"/>
        </w:rPr>
        <w:t>, and</w:t>
      </w:r>
      <w:r w:rsidR="00633795" w:rsidRPr="00625AD6">
        <w:rPr>
          <w:bCs/>
          <w:sz w:val="20"/>
        </w:rPr>
        <w:t xml:space="preserve"> the lack of access for humanitarian actors to deliver aid.</w:t>
      </w:r>
      <w:r w:rsidR="00633795" w:rsidRPr="00625AD6">
        <w:rPr>
          <w:sz w:val="20"/>
        </w:rPr>
        <w:t> </w:t>
      </w:r>
      <w:r w:rsidR="00644409" w:rsidRPr="00625AD6">
        <w:rPr>
          <w:sz w:val="20"/>
        </w:rPr>
        <w:t>A</w:t>
      </w:r>
      <w:r w:rsidR="006558C2" w:rsidRPr="00625AD6">
        <w:rPr>
          <w:sz w:val="20"/>
        </w:rPr>
        <w:t xml:space="preserve"> joint</w:t>
      </w:r>
      <w:r w:rsidR="00644409" w:rsidRPr="00625AD6">
        <w:rPr>
          <w:sz w:val="20"/>
        </w:rPr>
        <w:t xml:space="preserve"> </w:t>
      </w:r>
      <w:r w:rsidR="006558C2" w:rsidRPr="00625AD6">
        <w:rPr>
          <w:sz w:val="20"/>
        </w:rPr>
        <w:t xml:space="preserve">United Nations humanitarian food security assessment conducted in January 2017 </w:t>
      </w:r>
      <w:r w:rsidR="00930FE5" w:rsidRPr="00625AD6">
        <w:rPr>
          <w:sz w:val="20"/>
        </w:rPr>
        <w:t xml:space="preserve">found that </w:t>
      </w:r>
      <w:r w:rsidR="00644409" w:rsidRPr="00625AD6">
        <w:rPr>
          <w:sz w:val="20"/>
        </w:rPr>
        <w:t>more than 4.</w:t>
      </w:r>
      <w:r w:rsidR="00930FE5" w:rsidRPr="00625AD6">
        <w:rPr>
          <w:sz w:val="20"/>
        </w:rPr>
        <w:t>9</w:t>
      </w:r>
      <w:r w:rsidR="00644409" w:rsidRPr="00625AD6">
        <w:rPr>
          <w:sz w:val="20"/>
        </w:rPr>
        <w:t xml:space="preserve"> million people (approximately </w:t>
      </w:r>
      <w:r w:rsidR="00930FE5" w:rsidRPr="00625AD6">
        <w:rPr>
          <w:sz w:val="20"/>
        </w:rPr>
        <w:t xml:space="preserve">42 per cent of </w:t>
      </w:r>
      <w:r w:rsidR="00644409" w:rsidRPr="00625AD6">
        <w:rPr>
          <w:sz w:val="20"/>
        </w:rPr>
        <w:t xml:space="preserve">the population) </w:t>
      </w:r>
      <w:r w:rsidR="00930FE5" w:rsidRPr="00625AD6">
        <w:rPr>
          <w:sz w:val="20"/>
        </w:rPr>
        <w:t>were</w:t>
      </w:r>
      <w:r w:rsidR="00644409" w:rsidRPr="00625AD6">
        <w:rPr>
          <w:sz w:val="20"/>
        </w:rPr>
        <w:t xml:space="preserve"> severely food insecure</w:t>
      </w:r>
      <w:r w:rsidR="00930FE5" w:rsidRPr="00625AD6">
        <w:rPr>
          <w:sz w:val="20"/>
        </w:rPr>
        <w:t>; this number was expected to rise to 5.5 million (47 per cent of the population) from February to April 2017.</w:t>
      </w:r>
      <w:r w:rsidR="00930FE5" w:rsidRPr="00625AD6">
        <w:rPr>
          <w:rStyle w:val="FootnoteReference"/>
        </w:rPr>
        <w:footnoteReference w:id="3"/>
      </w:r>
      <w:r w:rsidR="00930FE5" w:rsidRPr="00625AD6">
        <w:rPr>
          <w:sz w:val="20"/>
        </w:rPr>
        <w:t xml:space="preserve"> </w:t>
      </w:r>
      <w:r w:rsidR="00F123D9" w:rsidRPr="00625AD6">
        <w:rPr>
          <w:sz w:val="20"/>
        </w:rPr>
        <w:t>In Greater Unity</w:t>
      </w:r>
      <w:r w:rsidR="00203182" w:rsidRPr="00625AD6">
        <w:rPr>
          <w:sz w:val="20"/>
        </w:rPr>
        <w:t xml:space="preserve"> State</w:t>
      </w:r>
      <w:r w:rsidR="00F123D9" w:rsidRPr="00625AD6">
        <w:rPr>
          <w:sz w:val="20"/>
        </w:rPr>
        <w:t xml:space="preserve">, the famine </w:t>
      </w:r>
      <w:proofErr w:type="gramStart"/>
      <w:r w:rsidR="00F123D9" w:rsidRPr="00625AD6">
        <w:rPr>
          <w:sz w:val="20"/>
        </w:rPr>
        <w:t>has been largely caused</w:t>
      </w:r>
      <w:proofErr w:type="gramEnd"/>
      <w:r w:rsidR="00F123D9" w:rsidRPr="00625AD6">
        <w:rPr>
          <w:sz w:val="20"/>
        </w:rPr>
        <w:t xml:space="preserve"> by insecurity and the conflict, which has prevented farmers from </w:t>
      </w:r>
      <w:r w:rsidR="00644409" w:rsidRPr="00625AD6">
        <w:rPr>
          <w:sz w:val="20"/>
        </w:rPr>
        <w:t>harvest</w:t>
      </w:r>
      <w:r w:rsidR="00F123D9" w:rsidRPr="00625AD6">
        <w:rPr>
          <w:sz w:val="20"/>
        </w:rPr>
        <w:t>ing</w:t>
      </w:r>
      <w:r w:rsidR="00644409" w:rsidRPr="00625AD6">
        <w:rPr>
          <w:sz w:val="20"/>
        </w:rPr>
        <w:t xml:space="preserve"> their crops.</w:t>
      </w:r>
      <w:r w:rsidR="00F123D9" w:rsidRPr="00625AD6">
        <w:rPr>
          <w:rStyle w:val="FootnoteReference"/>
        </w:rPr>
        <w:footnoteReference w:id="4"/>
      </w:r>
      <w:r w:rsidR="00644409" w:rsidRPr="00625AD6">
        <w:rPr>
          <w:sz w:val="20"/>
        </w:rPr>
        <w:t xml:space="preserve"> Food insecurity </w:t>
      </w:r>
      <w:proofErr w:type="gramStart"/>
      <w:r w:rsidR="00644409" w:rsidRPr="00625AD6">
        <w:rPr>
          <w:sz w:val="20"/>
        </w:rPr>
        <w:t>is expected</w:t>
      </w:r>
      <w:proofErr w:type="gramEnd"/>
      <w:r w:rsidR="00644409" w:rsidRPr="00625AD6">
        <w:rPr>
          <w:sz w:val="20"/>
        </w:rPr>
        <w:t xml:space="preserve"> to reach massive proportions</w:t>
      </w:r>
      <w:r w:rsidR="00BA7AC9" w:rsidRPr="00625AD6">
        <w:rPr>
          <w:sz w:val="20"/>
        </w:rPr>
        <w:t xml:space="preserve"> in 2017</w:t>
      </w:r>
      <w:r w:rsidR="00644409" w:rsidRPr="00625AD6">
        <w:rPr>
          <w:sz w:val="20"/>
        </w:rPr>
        <w:t xml:space="preserve">. </w:t>
      </w:r>
      <w:r w:rsidR="00BA7AC9" w:rsidRPr="00625AD6">
        <w:rPr>
          <w:sz w:val="20"/>
        </w:rPr>
        <w:t>The p</w:t>
      </w:r>
      <w:r w:rsidR="00644409" w:rsidRPr="00625AD6">
        <w:rPr>
          <w:sz w:val="20"/>
        </w:rPr>
        <w:t>rice of staples ha</w:t>
      </w:r>
      <w:r w:rsidR="00790A2E" w:rsidRPr="00625AD6">
        <w:rPr>
          <w:sz w:val="20"/>
        </w:rPr>
        <w:t>s</w:t>
      </w:r>
      <w:r w:rsidR="00644409" w:rsidRPr="00625AD6">
        <w:rPr>
          <w:sz w:val="20"/>
        </w:rPr>
        <w:t xml:space="preserve"> already reached record levels; in some areas</w:t>
      </w:r>
      <w:r w:rsidR="00BA7AC9" w:rsidRPr="00625AD6">
        <w:rPr>
          <w:sz w:val="20"/>
        </w:rPr>
        <w:t>,</w:t>
      </w:r>
      <w:r w:rsidR="00644409" w:rsidRPr="00625AD6">
        <w:rPr>
          <w:sz w:val="20"/>
        </w:rPr>
        <w:t xml:space="preserve"> four times the price of a year ago.</w:t>
      </w:r>
      <w:r w:rsidR="00974932" w:rsidRPr="00625AD6">
        <w:rPr>
          <w:sz w:val="20"/>
        </w:rPr>
        <w:t xml:space="preserve"> </w:t>
      </w:r>
      <w:r w:rsidR="00644409" w:rsidRPr="00625AD6">
        <w:rPr>
          <w:sz w:val="20"/>
        </w:rPr>
        <w:t>Population growth and infant mortality remain a challenge in South Sudan</w:t>
      </w:r>
      <w:r w:rsidR="00BA7AC9" w:rsidRPr="00625AD6">
        <w:rPr>
          <w:sz w:val="20"/>
        </w:rPr>
        <w:t>;</w:t>
      </w:r>
      <w:r w:rsidR="00644409" w:rsidRPr="00625AD6">
        <w:rPr>
          <w:sz w:val="20"/>
        </w:rPr>
        <w:t xml:space="preserve"> the country is </w:t>
      </w:r>
      <w:r w:rsidR="00BA7AC9" w:rsidRPr="00625AD6">
        <w:rPr>
          <w:sz w:val="20"/>
        </w:rPr>
        <w:t xml:space="preserve">also </w:t>
      </w:r>
      <w:r w:rsidR="00644409" w:rsidRPr="00625AD6">
        <w:rPr>
          <w:sz w:val="20"/>
        </w:rPr>
        <w:t>currently experiencing a cholera outbreak for the third consecutive year.</w:t>
      </w:r>
    </w:p>
    <w:p w:rsidR="00507944" w:rsidRPr="00625AD6" w:rsidRDefault="00625AD6" w:rsidP="00625AD6">
      <w:pPr>
        <w:pStyle w:val="SingleTxtG"/>
        <w:tabs>
          <w:tab w:val="left" w:pos="1701"/>
        </w:tabs>
        <w:rPr>
          <w:sz w:val="20"/>
        </w:rPr>
      </w:pPr>
      <w:r w:rsidRPr="00625AD6">
        <w:rPr>
          <w:sz w:val="20"/>
          <w:szCs w:val="20"/>
        </w:rPr>
        <w:t>22.</w:t>
      </w:r>
      <w:r w:rsidRPr="00625AD6">
        <w:rPr>
          <w:sz w:val="20"/>
          <w:szCs w:val="20"/>
        </w:rPr>
        <w:tab/>
      </w:r>
      <w:r w:rsidR="006E106A" w:rsidRPr="00625AD6">
        <w:rPr>
          <w:sz w:val="20"/>
        </w:rPr>
        <w:t>According to the Office for the Coordination of Humanitarian Affairs, more than 7 million people are now in need of urgent humanitarian assistance and protection</w:t>
      </w:r>
      <w:r w:rsidR="00644409" w:rsidRPr="00625AD6">
        <w:rPr>
          <w:sz w:val="20"/>
        </w:rPr>
        <w:t>.</w:t>
      </w:r>
      <w:r w:rsidR="006E106A" w:rsidRPr="00625AD6">
        <w:rPr>
          <w:rStyle w:val="FootnoteReference"/>
        </w:rPr>
        <w:footnoteReference w:id="5"/>
      </w:r>
      <w:r w:rsidR="00644409" w:rsidRPr="00625AD6">
        <w:rPr>
          <w:sz w:val="20"/>
        </w:rPr>
        <w:t xml:space="preserve"> South Sudan is one of the most logistically challeng</w:t>
      </w:r>
      <w:r w:rsidR="00633795" w:rsidRPr="00625AD6">
        <w:rPr>
          <w:sz w:val="20"/>
        </w:rPr>
        <w:t>ed</w:t>
      </w:r>
      <w:r w:rsidR="00644409" w:rsidRPr="00625AD6">
        <w:rPr>
          <w:sz w:val="20"/>
        </w:rPr>
        <w:t xml:space="preserve"> countries in the world in which to deliver aid</w:t>
      </w:r>
      <w:r w:rsidR="00B01672" w:rsidRPr="00625AD6">
        <w:rPr>
          <w:sz w:val="20"/>
        </w:rPr>
        <w:t xml:space="preserve"> owing to the lack of </w:t>
      </w:r>
      <w:r w:rsidR="00644409" w:rsidRPr="00625AD6">
        <w:rPr>
          <w:sz w:val="20"/>
        </w:rPr>
        <w:t>roads or viable airfields</w:t>
      </w:r>
      <w:r w:rsidR="00B01672" w:rsidRPr="00625AD6">
        <w:rPr>
          <w:sz w:val="20"/>
        </w:rPr>
        <w:t>,</w:t>
      </w:r>
      <w:r w:rsidR="00644409" w:rsidRPr="00625AD6">
        <w:rPr>
          <w:sz w:val="20"/>
        </w:rPr>
        <w:t xml:space="preserve"> and a rainy season </w:t>
      </w:r>
      <w:r w:rsidR="00B01672" w:rsidRPr="00625AD6">
        <w:rPr>
          <w:sz w:val="20"/>
        </w:rPr>
        <w:t xml:space="preserve">that can </w:t>
      </w:r>
      <w:r w:rsidR="00644409" w:rsidRPr="00625AD6">
        <w:rPr>
          <w:sz w:val="20"/>
        </w:rPr>
        <w:t xml:space="preserve">last up to eight months. In addition, the Government has imposed restrictions on movement of aid, including preventing aid delivery to civilians in opposition-controlled territories. </w:t>
      </w:r>
      <w:r w:rsidR="00C33214" w:rsidRPr="00625AD6">
        <w:rPr>
          <w:sz w:val="20"/>
        </w:rPr>
        <w:t>On 31 December 2016, t</w:t>
      </w:r>
      <w:r w:rsidR="00644409" w:rsidRPr="00625AD6">
        <w:rPr>
          <w:sz w:val="20"/>
        </w:rPr>
        <w:t>he National Security Service issued a directive to eight humanitarian organi</w:t>
      </w:r>
      <w:r w:rsidR="00B01672" w:rsidRPr="00625AD6">
        <w:rPr>
          <w:sz w:val="20"/>
        </w:rPr>
        <w:t>z</w:t>
      </w:r>
      <w:r w:rsidR="00644409" w:rsidRPr="00625AD6">
        <w:rPr>
          <w:sz w:val="20"/>
        </w:rPr>
        <w:t xml:space="preserve">ations to stop their operations, including </w:t>
      </w:r>
      <w:r w:rsidR="00C33214" w:rsidRPr="00625AD6">
        <w:rPr>
          <w:sz w:val="20"/>
        </w:rPr>
        <w:t xml:space="preserve">the dispatch of </w:t>
      </w:r>
      <w:r w:rsidR="00644409" w:rsidRPr="00625AD6">
        <w:rPr>
          <w:sz w:val="20"/>
        </w:rPr>
        <w:t xml:space="preserve">aid convoys by road and boat to </w:t>
      </w:r>
      <w:proofErr w:type="spellStart"/>
      <w:r w:rsidR="00644409" w:rsidRPr="00625AD6">
        <w:rPr>
          <w:sz w:val="20"/>
        </w:rPr>
        <w:t>Panyiyar</w:t>
      </w:r>
      <w:proofErr w:type="spellEnd"/>
      <w:r w:rsidR="00644409" w:rsidRPr="00625AD6">
        <w:rPr>
          <w:sz w:val="20"/>
        </w:rPr>
        <w:t xml:space="preserve">, </w:t>
      </w:r>
      <w:proofErr w:type="spellStart"/>
      <w:r w:rsidR="00644409" w:rsidRPr="00625AD6">
        <w:rPr>
          <w:sz w:val="20"/>
        </w:rPr>
        <w:t>Nyong</w:t>
      </w:r>
      <w:proofErr w:type="spellEnd"/>
      <w:r w:rsidR="00644409" w:rsidRPr="00625AD6">
        <w:rPr>
          <w:sz w:val="20"/>
        </w:rPr>
        <w:t xml:space="preserve"> and </w:t>
      </w:r>
      <w:proofErr w:type="spellStart"/>
      <w:r w:rsidR="00644409" w:rsidRPr="00625AD6">
        <w:rPr>
          <w:sz w:val="20"/>
        </w:rPr>
        <w:t>Ganyliel</w:t>
      </w:r>
      <w:proofErr w:type="spellEnd"/>
      <w:r w:rsidR="00644409" w:rsidRPr="00625AD6">
        <w:rPr>
          <w:sz w:val="20"/>
        </w:rPr>
        <w:t xml:space="preserve">, in effect preventing assistance to civilians living in those opposition-controlled territories. </w:t>
      </w:r>
    </w:p>
    <w:p w:rsidR="00507944" w:rsidRPr="00625AD6" w:rsidRDefault="00625AD6" w:rsidP="00625AD6">
      <w:pPr>
        <w:pStyle w:val="SingleTxtG"/>
        <w:tabs>
          <w:tab w:val="left" w:pos="1701"/>
        </w:tabs>
      </w:pPr>
      <w:r w:rsidRPr="00625AD6">
        <w:rPr>
          <w:sz w:val="20"/>
          <w:szCs w:val="20"/>
        </w:rPr>
        <w:t>23.</w:t>
      </w:r>
      <w:r w:rsidRPr="00625AD6">
        <w:rPr>
          <w:sz w:val="20"/>
          <w:szCs w:val="20"/>
        </w:rPr>
        <w:tab/>
      </w:r>
      <w:r w:rsidR="00644409" w:rsidRPr="00625AD6">
        <w:rPr>
          <w:sz w:val="20"/>
        </w:rPr>
        <w:t xml:space="preserve">Since December 2013, at least 67 aid workers, most of them South Sudanese, </w:t>
      </w:r>
      <w:proofErr w:type="gramStart"/>
      <w:r w:rsidR="00644409" w:rsidRPr="00625AD6">
        <w:rPr>
          <w:sz w:val="20"/>
        </w:rPr>
        <w:t>have reportedly been killed</w:t>
      </w:r>
      <w:proofErr w:type="gramEnd"/>
      <w:r w:rsidR="00644409" w:rsidRPr="00625AD6">
        <w:rPr>
          <w:sz w:val="20"/>
        </w:rPr>
        <w:t>. N</w:t>
      </w:r>
      <w:r w:rsidR="00C33214" w:rsidRPr="00625AD6">
        <w:rPr>
          <w:sz w:val="20"/>
        </w:rPr>
        <w:t>on-governmental organizations</w:t>
      </w:r>
      <w:r w:rsidR="00644409" w:rsidRPr="00625AD6">
        <w:rPr>
          <w:sz w:val="20"/>
        </w:rPr>
        <w:t xml:space="preserve"> account for the delivery of around 70</w:t>
      </w:r>
      <w:r w:rsidR="00C33214" w:rsidRPr="00625AD6">
        <w:rPr>
          <w:sz w:val="20"/>
        </w:rPr>
        <w:t xml:space="preserve"> per cent </w:t>
      </w:r>
      <w:r w:rsidR="00644409" w:rsidRPr="00625AD6">
        <w:rPr>
          <w:sz w:val="20"/>
        </w:rPr>
        <w:t>of all humanitarian assistance in South Sudan, providing a vital service for millions.</w:t>
      </w:r>
      <w:r w:rsidR="00C33214" w:rsidRPr="00625AD6">
        <w:rPr>
          <w:sz w:val="20"/>
        </w:rPr>
        <w:t xml:space="preserve"> T</w:t>
      </w:r>
      <w:r w:rsidR="00644409" w:rsidRPr="00625AD6">
        <w:rPr>
          <w:sz w:val="20"/>
        </w:rPr>
        <w:t>heir staff members</w:t>
      </w:r>
      <w:r w:rsidR="00C33214" w:rsidRPr="00625AD6">
        <w:rPr>
          <w:sz w:val="20"/>
        </w:rPr>
        <w:t>, however,</w:t>
      </w:r>
      <w:r w:rsidR="00644409" w:rsidRPr="00625AD6">
        <w:rPr>
          <w:sz w:val="20"/>
        </w:rPr>
        <w:t xml:space="preserve"> remain extremely vulnerable, without the same protection as employees</w:t>
      </w:r>
      <w:r w:rsidR="00C33214" w:rsidRPr="00625AD6">
        <w:rPr>
          <w:sz w:val="20"/>
        </w:rPr>
        <w:t xml:space="preserve"> of the United Nations</w:t>
      </w:r>
      <w:r w:rsidR="00644409" w:rsidRPr="00625AD6">
        <w:rPr>
          <w:sz w:val="20"/>
        </w:rPr>
        <w:t>. Overall</w:t>
      </w:r>
      <w:r w:rsidR="00C33214" w:rsidRPr="00625AD6">
        <w:rPr>
          <w:sz w:val="20"/>
        </w:rPr>
        <w:t>,</w:t>
      </w:r>
      <w:r w:rsidR="00644409" w:rsidRPr="00625AD6">
        <w:rPr>
          <w:sz w:val="20"/>
        </w:rPr>
        <w:t xml:space="preserve"> 831 humanitarian access incidents </w:t>
      </w:r>
      <w:r w:rsidR="00C33214" w:rsidRPr="00625AD6">
        <w:rPr>
          <w:sz w:val="20"/>
        </w:rPr>
        <w:t xml:space="preserve">were </w:t>
      </w:r>
      <w:r w:rsidR="00644409" w:rsidRPr="00625AD6">
        <w:rPr>
          <w:sz w:val="20"/>
        </w:rPr>
        <w:t>reported from January to November 2016</w:t>
      </w:r>
      <w:r w:rsidR="00C33214" w:rsidRPr="00625AD6">
        <w:rPr>
          <w:sz w:val="20"/>
        </w:rPr>
        <w:t xml:space="preserve">; they </w:t>
      </w:r>
      <w:r w:rsidR="00644409" w:rsidRPr="00625AD6">
        <w:rPr>
          <w:sz w:val="20"/>
        </w:rPr>
        <w:t xml:space="preserve">included assaults, ambushes and armed attacks on aid workers in Eastern Equatoria, Central Equatoria, Western Equatoria, Lakes and Western Bahr el Ghazal, for which nobody has been held accountable. </w:t>
      </w:r>
      <w:r w:rsidR="00C33214" w:rsidRPr="00625AD6">
        <w:rPr>
          <w:sz w:val="20"/>
        </w:rPr>
        <w:t>In December 2016, a</w:t>
      </w:r>
      <w:r w:rsidR="00644409" w:rsidRPr="00625AD6">
        <w:rPr>
          <w:sz w:val="20"/>
        </w:rPr>
        <w:t xml:space="preserve">t least 116 aid workers </w:t>
      </w:r>
      <w:proofErr w:type="gramStart"/>
      <w:r w:rsidR="00644409" w:rsidRPr="00625AD6">
        <w:rPr>
          <w:sz w:val="20"/>
        </w:rPr>
        <w:t>were relocated</w:t>
      </w:r>
      <w:proofErr w:type="gramEnd"/>
      <w:r w:rsidR="00644409" w:rsidRPr="00625AD6">
        <w:rPr>
          <w:sz w:val="20"/>
        </w:rPr>
        <w:t xml:space="preserve"> from Central Equatoria, Upper Nile and Unity. Millions of </w:t>
      </w:r>
      <w:proofErr w:type="spellStart"/>
      <w:r w:rsidR="00644409" w:rsidRPr="00625AD6">
        <w:rPr>
          <w:sz w:val="20"/>
        </w:rPr>
        <w:t>dollars worth</w:t>
      </w:r>
      <w:proofErr w:type="spellEnd"/>
      <w:r w:rsidR="00644409" w:rsidRPr="00625AD6">
        <w:rPr>
          <w:sz w:val="20"/>
        </w:rPr>
        <w:t xml:space="preserve"> of aid </w:t>
      </w:r>
      <w:proofErr w:type="gramStart"/>
      <w:r w:rsidR="00644409" w:rsidRPr="00625AD6">
        <w:rPr>
          <w:sz w:val="20"/>
        </w:rPr>
        <w:t>has also been looted</w:t>
      </w:r>
      <w:proofErr w:type="gramEnd"/>
      <w:r w:rsidR="00644409" w:rsidRPr="00625AD6">
        <w:rPr>
          <w:sz w:val="20"/>
        </w:rPr>
        <w:t xml:space="preserve"> throughout the country. Humanitarian vehicles </w:t>
      </w:r>
      <w:proofErr w:type="gramStart"/>
      <w:r w:rsidR="00644409" w:rsidRPr="00625AD6">
        <w:rPr>
          <w:sz w:val="20"/>
        </w:rPr>
        <w:t xml:space="preserve">have been </w:t>
      </w:r>
      <w:r w:rsidR="00C33214" w:rsidRPr="00625AD6">
        <w:rPr>
          <w:sz w:val="20"/>
        </w:rPr>
        <w:t>targeted</w:t>
      </w:r>
      <w:r w:rsidR="00644409" w:rsidRPr="00625AD6">
        <w:rPr>
          <w:sz w:val="20"/>
        </w:rPr>
        <w:t xml:space="preserve"> and damaged</w:t>
      </w:r>
      <w:r w:rsidR="00C33214" w:rsidRPr="00625AD6">
        <w:rPr>
          <w:sz w:val="20"/>
        </w:rPr>
        <w:t>,</w:t>
      </w:r>
      <w:proofErr w:type="gramEnd"/>
      <w:r w:rsidR="00644409" w:rsidRPr="00625AD6">
        <w:rPr>
          <w:sz w:val="20"/>
        </w:rPr>
        <w:t xml:space="preserve"> and staff members robbed. Despite the growing humanitarian crisis, </w:t>
      </w:r>
      <w:r w:rsidR="00C33214" w:rsidRPr="00625AD6">
        <w:rPr>
          <w:sz w:val="20"/>
        </w:rPr>
        <w:t xml:space="preserve">in December 2016, the Government ordered </w:t>
      </w:r>
      <w:r w:rsidR="00644409" w:rsidRPr="00625AD6">
        <w:rPr>
          <w:sz w:val="20"/>
        </w:rPr>
        <w:t>senior staff members of an international humanitarian organization to leave South Sudan</w:t>
      </w:r>
      <w:r w:rsidR="00C33214" w:rsidRPr="00625AD6">
        <w:rPr>
          <w:sz w:val="20"/>
        </w:rPr>
        <w:t>,</w:t>
      </w:r>
      <w:r w:rsidR="00644409" w:rsidRPr="00625AD6">
        <w:rPr>
          <w:sz w:val="20"/>
        </w:rPr>
        <w:t xml:space="preserve"> without any explanation.</w:t>
      </w:r>
      <w:r w:rsidR="00644409" w:rsidRPr="00625AD6">
        <w:t xml:space="preserve"> </w:t>
      </w:r>
    </w:p>
    <w:p w:rsidR="00507944" w:rsidRPr="00DF202E" w:rsidRDefault="00DF202E" w:rsidP="00DF202E">
      <w:pPr>
        <w:pStyle w:val="HChG"/>
      </w:pPr>
      <w:bookmarkStart w:id="69" w:name="_Toc474837212"/>
      <w:bookmarkStart w:id="70" w:name="_Toc474837213"/>
      <w:bookmarkEnd w:id="69"/>
      <w:r>
        <w:tab/>
      </w:r>
      <w:r w:rsidR="00625AD6" w:rsidRPr="00DF202E">
        <w:t>IV.</w:t>
      </w:r>
      <w:r w:rsidR="00625AD6" w:rsidRPr="00DF202E">
        <w:tab/>
      </w:r>
      <w:r w:rsidR="00644409" w:rsidRPr="00DF202E">
        <w:t xml:space="preserve">Overview of the </w:t>
      </w:r>
      <w:r w:rsidR="008820CE" w:rsidRPr="00DF202E">
        <w:t xml:space="preserve">situation of </w:t>
      </w:r>
      <w:r w:rsidR="00644409" w:rsidRPr="00DF202E">
        <w:t xml:space="preserve">human rights </w:t>
      </w:r>
      <w:bookmarkEnd w:id="70"/>
    </w:p>
    <w:p w:rsidR="00507944" w:rsidRPr="00625AD6" w:rsidRDefault="00625AD6" w:rsidP="00625AD6">
      <w:pPr>
        <w:pStyle w:val="SingleTxtG"/>
        <w:tabs>
          <w:tab w:val="left" w:pos="1701"/>
        </w:tabs>
        <w:rPr>
          <w:sz w:val="20"/>
        </w:rPr>
      </w:pPr>
      <w:r w:rsidRPr="00625AD6">
        <w:rPr>
          <w:sz w:val="20"/>
          <w:szCs w:val="20"/>
        </w:rPr>
        <w:t>24.</w:t>
      </w:r>
      <w:r w:rsidRPr="00625AD6">
        <w:rPr>
          <w:sz w:val="20"/>
          <w:szCs w:val="20"/>
        </w:rPr>
        <w:tab/>
      </w:r>
      <w:r w:rsidR="00644409" w:rsidRPr="00625AD6">
        <w:rPr>
          <w:sz w:val="20"/>
        </w:rPr>
        <w:t xml:space="preserve">The Commission notes how difficult it is to illustrate the sheer scale and increase in violations being committed throughout the country without being able to list hundreds of reported incidents, which would go beyond the scope of </w:t>
      </w:r>
      <w:r w:rsidR="008820CE" w:rsidRPr="00625AD6">
        <w:rPr>
          <w:sz w:val="20"/>
        </w:rPr>
        <w:t xml:space="preserve">the present </w:t>
      </w:r>
      <w:r w:rsidR="00644409" w:rsidRPr="00625AD6">
        <w:rPr>
          <w:sz w:val="20"/>
        </w:rPr>
        <w:t xml:space="preserve">report. The events </w:t>
      </w:r>
      <w:r w:rsidR="008820CE" w:rsidRPr="00625AD6">
        <w:rPr>
          <w:sz w:val="20"/>
        </w:rPr>
        <w:t xml:space="preserve">described </w:t>
      </w:r>
      <w:r w:rsidR="00644409" w:rsidRPr="00625AD6">
        <w:rPr>
          <w:sz w:val="20"/>
        </w:rPr>
        <w:t xml:space="preserve">below are emblematic of the kinds of incidents </w:t>
      </w:r>
      <w:proofErr w:type="gramStart"/>
      <w:r w:rsidR="00644409" w:rsidRPr="00625AD6">
        <w:rPr>
          <w:sz w:val="20"/>
        </w:rPr>
        <w:t>being reported</w:t>
      </w:r>
      <w:proofErr w:type="gramEnd"/>
      <w:r w:rsidR="00644409" w:rsidRPr="00625AD6">
        <w:rPr>
          <w:sz w:val="20"/>
        </w:rPr>
        <w:t xml:space="preserve"> every month in various </w:t>
      </w:r>
      <w:r w:rsidR="008820CE" w:rsidRPr="00625AD6">
        <w:rPr>
          <w:sz w:val="20"/>
        </w:rPr>
        <w:t>S</w:t>
      </w:r>
      <w:r w:rsidR="00644409" w:rsidRPr="00625AD6">
        <w:rPr>
          <w:sz w:val="20"/>
        </w:rPr>
        <w:t>tates, including</w:t>
      </w:r>
      <w:r w:rsidR="008820CE" w:rsidRPr="00625AD6">
        <w:rPr>
          <w:sz w:val="20"/>
        </w:rPr>
        <w:t>,</w:t>
      </w:r>
      <w:r w:rsidR="00644409" w:rsidRPr="00625AD6">
        <w:rPr>
          <w:sz w:val="20"/>
        </w:rPr>
        <w:t xml:space="preserve"> most worryingly</w:t>
      </w:r>
      <w:r w:rsidR="008820CE" w:rsidRPr="00625AD6">
        <w:rPr>
          <w:sz w:val="20"/>
        </w:rPr>
        <w:t>,</w:t>
      </w:r>
      <w:r w:rsidR="00644409" w:rsidRPr="00625AD6">
        <w:rPr>
          <w:sz w:val="20"/>
        </w:rPr>
        <w:t xml:space="preserve"> those that were peaceful a year ago. </w:t>
      </w:r>
    </w:p>
    <w:p w:rsidR="00507944" w:rsidRPr="00DF202E" w:rsidRDefault="00DF202E" w:rsidP="00DF202E">
      <w:pPr>
        <w:pStyle w:val="H1G"/>
      </w:pPr>
      <w:bookmarkStart w:id="71" w:name="_Toc474703292"/>
      <w:bookmarkStart w:id="72" w:name="_Toc474703366"/>
      <w:bookmarkStart w:id="73" w:name="_Toc474703440"/>
      <w:bookmarkStart w:id="74" w:name="_Toc474703511"/>
      <w:bookmarkStart w:id="75" w:name="_Toc474703932"/>
      <w:bookmarkStart w:id="76" w:name="_Toc474703293"/>
      <w:bookmarkStart w:id="77" w:name="_Toc474703367"/>
      <w:bookmarkStart w:id="78" w:name="_Toc474703441"/>
      <w:bookmarkStart w:id="79" w:name="_Toc474703512"/>
      <w:bookmarkStart w:id="80" w:name="_Toc474703933"/>
      <w:bookmarkStart w:id="81" w:name="_Toc474703294"/>
      <w:bookmarkStart w:id="82" w:name="_Toc474703368"/>
      <w:bookmarkStart w:id="83" w:name="_Toc474703442"/>
      <w:bookmarkStart w:id="84" w:name="_Toc474703513"/>
      <w:bookmarkStart w:id="85" w:name="_Toc474703934"/>
      <w:bookmarkStart w:id="86" w:name="_Toc474703295"/>
      <w:bookmarkStart w:id="87" w:name="_Toc474703369"/>
      <w:bookmarkStart w:id="88" w:name="_Toc474703443"/>
      <w:bookmarkStart w:id="89" w:name="_Toc474703514"/>
      <w:bookmarkStart w:id="90" w:name="_Toc474703935"/>
      <w:bookmarkStart w:id="91" w:name="_Toc474703296"/>
      <w:bookmarkStart w:id="92" w:name="_Toc474703370"/>
      <w:bookmarkStart w:id="93" w:name="_Toc474703444"/>
      <w:bookmarkStart w:id="94" w:name="_Toc474703515"/>
      <w:bookmarkStart w:id="95" w:name="_Toc474703936"/>
      <w:bookmarkStart w:id="96" w:name="_Toc474703297"/>
      <w:bookmarkStart w:id="97" w:name="_Toc474703371"/>
      <w:bookmarkStart w:id="98" w:name="_Toc474703445"/>
      <w:bookmarkStart w:id="99" w:name="_Toc474703516"/>
      <w:bookmarkStart w:id="100" w:name="_Toc474703937"/>
      <w:bookmarkStart w:id="101" w:name="_Toc474703298"/>
      <w:bookmarkStart w:id="102" w:name="_Toc474703372"/>
      <w:bookmarkStart w:id="103" w:name="_Toc474703446"/>
      <w:bookmarkStart w:id="104" w:name="_Toc474703517"/>
      <w:bookmarkStart w:id="105" w:name="_Toc474703938"/>
      <w:bookmarkStart w:id="106" w:name="_Toc474703299"/>
      <w:bookmarkStart w:id="107" w:name="_Toc474703373"/>
      <w:bookmarkStart w:id="108" w:name="_Toc474703447"/>
      <w:bookmarkStart w:id="109" w:name="_Toc474703518"/>
      <w:bookmarkStart w:id="110" w:name="_Toc474703939"/>
      <w:bookmarkStart w:id="111" w:name="_Toc474703300"/>
      <w:bookmarkStart w:id="112" w:name="_Toc474703374"/>
      <w:bookmarkStart w:id="113" w:name="_Toc474703448"/>
      <w:bookmarkStart w:id="114" w:name="_Toc474703519"/>
      <w:bookmarkStart w:id="115" w:name="_Toc474703940"/>
      <w:bookmarkStart w:id="116" w:name="_Toc474703301"/>
      <w:bookmarkStart w:id="117" w:name="_Toc474703375"/>
      <w:bookmarkStart w:id="118" w:name="_Toc474703449"/>
      <w:bookmarkStart w:id="119" w:name="_Toc474703520"/>
      <w:bookmarkStart w:id="120" w:name="_Toc474703941"/>
      <w:bookmarkStart w:id="121" w:name="_Toc474703302"/>
      <w:bookmarkStart w:id="122" w:name="_Toc474703376"/>
      <w:bookmarkStart w:id="123" w:name="_Toc474703450"/>
      <w:bookmarkStart w:id="124" w:name="_Toc474703521"/>
      <w:bookmarkStart w:id="125" w:name="_Toc474703942"/>
      <w:bookmarkStart w:id="126" w:name="_Toc474703303"/>
      <w:bookmarkStart w:id="127" w:name="_Toc474703377"/>
      <w:bookmarkStart w:id="128" w:name="_Toc474703451"/>
      <w:bookmarkStart w:id="129" w:name="_Toc474703522"/>
      <w:bookmarkStart w:id="130" w:name="_Toc474703943"/>
      <w:bookmarkStart w:id="131" w:name="_Toc474703304"/>
      <w:bookmarkStart w:id="132" w:name="_Toc474703378"/>
      <w:bookmarkStart w:id="133" w:name="_Toc474703452"/>
      <w:bookmarkStart w:id="134" w:name="_Toc474703523"/>
      <w:bookmarkStart w:id="135" w:name="_Toc474703944"/>
      <w:bookmarkStart w:id="136" w:name="_Toc474703305"/>
      <w:bookmarkStart w:id="137" w:name="_Toc474703379"/>
      <w:bookmarkStart w:id="138" w:name="_Toc474703453"/>
      <w:bookmarkStart w:id="139" w:name="_Toc474703524"/>
      <w:bookmarkStart w:id="140" w:name="_Toc474703945"/>
      <w:bookmarkStart w:id="141" w:name="_Toc474703306"/>
      <w:bookmarkStart w:id="142" w:name="_Toc474703380"/>
      <w:bookmarkStart w:id="143" w:name="_Toc474703454"/>
      <w:bookmarkStart w:id="144" w:name="_Toc474703525"/>
      <w:bookmarkStart w:id="145" w:name="_Toc474703946"/>
      <w:bookmarkStart w:id="146" w:name="_Toc474703307"/>
      <w:bookmarkStart w:id="147" w:name="_Toc474703381"/>
      <w:bookmarkStart w:id="148" w:name="_Toc474703455"/>
      <w:bookmarkStart w:id="149" w:name="_Toc474703526"/>
      <w:bookmarkStart w:id="150" w:name="_Toc474703947"/>
      <w:bookmarkStart w:id="151" w:name="_Toc474703308"/>
      <w:bookmarkStart w:id="152" w:name="_Toc474703382"/>
      <w:bookmarkStart w:id="153" w:name="_Toc474703456"/>
      <w:bookmarkStart w:id="154" w:name="_Toc474703527"/>
      <w:bookmarkStart w:id="155" w:name="_Toc474703948"/>
      <w:bookmarkStart w:id="156" w:name="_Toc474703309"/>
      <w:bookmarkStart w:id="157" w:name="_Toc474703383"/>
      <w:bookmarkStart w:id="158" w:name="_Toc474703457"/>
      <w:bookmarkStart w:id="159" w:name="_Toc474703528"/>
      <w:bookmarkStart w:id="160" w:name="_Toc474703949"/>
      <w:bookmarkStart w:id="161" w:name="_Toc474703310"/>
      <w:bookmarkStart w:id="162" w:name="_Toc474703384"/>
      <w:bookmarkStart w:id="163" w:name="_Toc474703458"/>
      <w:bookmarkStart w:id="164" w:name="_Toc474703529"/>
      <w:bookmarkStart w:id="165" w:name="_Toc474703950"/>
      <w:bookmarkStart w:id="166" w:name="_Toc474703311"/>
      <w:bookmarkStart w:id="167" w:name="_Toc474703385"/>
      <w:bookmarkStart w:id="168" w:name="_Toc474703459"/>
      <w:bookmarkStart w:id="169" w:name="_Toc474703530"/>
      <w:bookmarkStart w:id="170" w:name="_Toc474703951"/>
      <w:bookmarkStart w:id="171" w:name="_Toc474703314"/>
      <w:bookmarkStart w:id="172" w:name="_Toc474703388"/>
      <w:bookmarkStart w:id="173" w:name="_Toc474703462"/>
      <w:bookmarkStart w:id="174" w:name="_Toc474703533"/>
      <w:bookmarkStart w:id="175" w:name="_Toc474703954"/>
      <w:bookmarkStart w:id="176" w:name="_Toc474703315"/>
      <w:bookmarkStart w:id="177" w:name="_Toc474703389"/>
      <w:bookmarkStart w:id="178" w:name="_Toc474703463"/>
      <w:bookmarkStart w:id="179" w:name="_Toc474703534"/>
      <w:bookmarkStart w:id="180" w:name="_Toc474703955"/>
      <w:bookmarkStart w:id="181" w:name="_Toc474703316"/>
      <w:bookmarkStart w:id="182" w:name="_Toc474703390"/>
      <w:bookmarkStart w:id="183" w:name="_Toc474703464"/>
      <w:bookmarkStart w:id="184" w:name="_Toc474703535"/>
      <w:bookmarkStart w:id="185" w:name="_Toc474703956"/>
      <w:bookmarkStart w:id="186" w:name="_Toc474703317"/>
      <w:bookmarkStart w:id="187" w:name="_Toc474703391"/>
      <w:bookmarkStart w:id="188" w:name="_Toc474703465"/>
      <w:bookmarkStart w:id="189" w:name="_Toc474703536"/>
      <w:bookmarkStart w:id="190" w:name="_Toc474703957"/>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tab/>
      </w:r>
      <w:r w:rsidR="00625AD6" w:rsidRPr="00DF202E">
        <w:t>A.</w:t>
      </w:r>
      <w:r w:rsidR="00625AD6" w:rsidRPr="00DF202E">
        <w:tab/>
      </w:r>
      <w:r w:rsidR="00644409" w:rsidRPr="00DF202E">
        <w:t xml:space="preserve">Violations of the </w:t>
      </w:r>
      <w:r w:rsidR="008820CE" w:rsidRPr="00DF202E">
        <w:t>r</w:t>
      </w:r>
      <w:r w:rsidR="00644409" w:rsidRPr="00DF202E">
        <w:t xml:space="preserve">ight to </w:t>
      </w:r>
      <w:r w:rsidR="008820CE" w:rsidRPr="00DF202E">
        <w:t>l</w:t>
      </w:r>
      <w:r w:rsidR="00644409" w:rsidRPr="00DF202E">
        <w:t xml:space="preserve">ife and </w:t>
      </w:r>
      <w:r w:rsidR="008820CE" w:rsidRPr="00DF202E">
        <w:t>b</w:t>
      </w:r>
      <w:r w:rsidR="00644409" w:rsidRPr="00DF202E">
        <w:t xml:space="preserve">odily </w:t>
      </w:r>
      <w:r w:rsidR="008820CE" w:rsidRPr="00DF202E">
        <w:t>i</w:t>
      </w:r>
      <w:r w:rsidR="00644409" w:rsidRPr="00DF202E">
        <w:t>ntegrity</w:t>
      </w:r>
    </w:p>
    <w:p w:rsidR="00507944" w:rsidRPr="00625AD6" w:rsidRDefault="00625AD6" w:rsidP="00625AD6">
      <w:pPr>
        <w:pStyle w:val="SingleTxtG"/>
        <w:tabs>
          <w:tab w:val="left" w:pos="1701"/>
        </w:tabs>
        <w:rPr>
          <w:sz w:val="20"/>
        </w:rPr>
      </w:pPr>
      <w:r w:rsidRPr="00625AD6">
        <w:rPr>
          <w:sz w:val="20"/>
          <w:szCs w:val="20"/>
        </w:rPr>
        <w:t>25.</w:t>
      </w:r>
      <w:r w:rsidRPr="00625AD6">
        <w:rPr>
          <w:sz w:val="20"/>
          <w:szCs w:val="20"/>
        </w:rPr>
        <w:tab/>
      </w:r>
      <w:r w:rsidR="00644409" w:rsidRPr="00625AD6">
        <w:rPr>
          <w:sz w:val="20"/>
        </w:rPr>
        <w:t xml:space="preserve">Since the outbreak of violence in 2013, civilians have been deliberately and systematically targeted </w:t>
      </w:r>
      <w:proofErr w:type="gramStart"/>
      <w:r w:rsidR="00644409" w:rsidRPr="00625AD6">
        <w:rPr>
          <w:sz w:val="20"/>
        </w:rPr>
        <w:t>on the basis of</w:t>
      </w:r>
      <w:proofErr w:type="gramEnd"/>
      <w:r w:rsidR="00644409" w:rsidRPr="00625AD6">
        <w:rPr>
          <w:sz w:val="20"/>
        </w:rPr>
        <w:t xml:space="preserve"> their ethnicity by armed forces and groups</w:t>
      </w:r>
      <w:r w:rsidR="00B50F8F" w:rsidRPr="00625AD6">
        <w:rPr>
          <w:sz w:val="20"/>
        </w:rPr>
        <w:t>,</w:t>
      </w:r>
      <w:r w:rsidR="00644409" w:rsidRPr="00625AD6">
        <w:rPr>
          <w:sz w:val="20"/>
        </w:rPr>
        <w:t xml:space="preserve"> including SPLA and </w:t>
      </w:r>
      <w:r w:rsidR="004F5206" w:rsidRPr="00625AD6">
        <w:rPr>
          <w:sz w:val="20"/>
        </w:rPr>
        <w:t>SPLM/A in Opposition,</w:t>
      </w:r>
      <w:r w:rsidR="004F5206" w:rsidRPr="00625AD6" w:rsidDel="004F5206">
        <w:rPr>
          <w:sz w:val="20"/>
        </w:rPr>
        <w:t xml:space="preserve"> </w:t>
      </w:r>
      <w:r w:rsidR="00B50F8F" w:rsidRPr="00625AD6">
        <w:rPr>
          <w:sz w:val="20"/>
        </w:rPr>
        <w:t xml:space="preserve">and also by </w:t>
      </w:r>
      <w:r w:rsidR="00644409" w:rsidRPr="00625AD6">
        <w:rPr>
          <w:sz w:val="20"/>
        </w:rPr>
        <w:t xml:space="preserve">groups aligned </w:t>
      </w:r>
      <w:r w:rsidR="00B50F8F" w:rsidRPr="00625AD6">
        <w:rPr>
          <w:sz w:val="20"/>
        </w:rPr>
        <w:t xml:space="preserve">with </w:t>
      </w:r>
      <w:r w:rsidR="00644409" w:rsidRPr="00625AD6">
        <w:rPr>
          <w:sz w:val="20"/>
        </w:rPr>
        <w:t xml:space="preserve">them. Individuals have been targeted for killing, arbitrary arrest and detention, sexual violence, sexual slavery and forced marriage. Communities </w:t>
      </w:r>
      <w:proofErr w:type="gramStart"/>
      <w:r w:rsidR="00644409" w:rsidRPr="00625AD6">
        <w:rPr>
          <w:sz w:val="20"/>
        </w:rPr>
        <w:t>have been subjected</w:t>
      </w:r>
      <w:proofErr w:type="gramEnd"/>
      <w:r w:rsidR="00644409" w:rsidRPr="00625AD6">
        <w:rPr>
          <w:sz w:val="20"/>
        </w:rPr>
        <w:t xml:space="preserve"> to scorched-earth policies that result in the destruction of their homes and means of livelihood. </w:t>
      </w:r>
      <w:proofErr w:type="gramStart"/>
      <w:r w:rsidR="00644409" w:rsidRPr="00625AD6">
        <w:rPr>
          <w:sz w:val="20"/>
        </w:rPr>
        <w:t>Many of the attacks have been carried out by SPLA soldiers</w:t>
      </w:r>
      <w:proofErr w:type="gramEnd"/>
      <w:r w:rsidR="00644409" w:rsidRPr="00625AD6">
        <w:rPr>
          <w:sz w:val="20"/>
        </w:rPr>
        <w:t xml:space="preserve"> and the militias affiliated with them. Armed groups attack villages, burn homes, kill and rape. Interviewees described seeing corpses with their hands tied behind their backs and their mouths taped closed. </w:t>
      </w:r>
    </w:p>
    <w:p w:rsidR="00507944" w:rsidRPr="00625AD6" w:rsidRDefault="00625AD6" w:rsidP="00625AD6">
      <w:pPr>
        <w:pStyle w:val="SingleTxtG"/>
        <w:tabs>
          <w:tab w:val="left" w:pos="1701"/>
        </w:tabs>
        <w:rPr>
          <w:sz w:val="20"/>
        </w:rPr>
      </w:pPr>
      <w:r w:rsidRPr="00625AD6">
        <w:rPr>
          <w:sz w:val="20"/>
          <w:szCs w:val="20"/>
        </w:rPr>
        <w:t>26.</w:t>
      </w:r>
      <w:r w:rsidRPr="00625AD6">
        <w:rPr>
          <w:sz w:val="20"/>
          <w:szCs w:val="20"/>
        </w:rPr>
        <w:tab/>
      </w:r>
      <w:r w:rsidR="00644409" w:rsidRPr="00625AD6">
        <w:rPr>
          <w:sz w:val="20"/>
        </w:rPr>
        <w:t>The Commission notes that</w:t>
      </w:r>
      <w:r w:rsidR="00CF7190" w:rsidRPr="00625AD6">
        <w:rPr>
          <w:sz w:val="20"/>
        </w:rPr>
        <w:t>,</w:t>
      </w:r>
      <w:r w:rsidR="00974932" w:rsidRPr="00625AD6">
        <w:rPr>
          <w:sz w:val="20"/>
        </w:rPr>
        <w:t xml:space="preserve"> </w:t>
      </w:r>
      <w:r w:rsidR="00644409" w:rsidRPr="00625AD6">
        <w:rPr>
          <w:sz w:val="20"/>
        </w:rPr>
        <w:t xml:space="preserve">in many instances, the Dinka-dominated Government, through its National Security </w:t>
      </w:r>
      <w:r w:rsidR="00CF7190" w:rsidRPr="00625AD6">
        <w:rPr>
          <w:sz w:val="20"/>
        </w:rPr>
        <w:t>S</w:t>
      </w:r>
      <w:r w:rsidR="00644409" w:rsidRPr="00625AD6">
        <w:rPr>
          <w:sz w:val="20"/>
        </w:rPr>
        <w:t>ervice and SPLA, intentionally targets non-Dinka ethnic groups. Government leaders and politicians, including the President, have engaged in hate speech and ethnically divisive rhetoric on social media. There have been numerous reports of SPLA soldiers targeting Nuer civilians and raping Nuer women, while accusing the women or their families of “supporting the rebels”. The killings, disappearance and rape of Nuer pe</w:t>
      </w:r>
      <w:r w:rsidR="008861E9" w:rsidRPr="00625AD6">
        <w:rPr>
          <w:sz w:val="20"/>
        </w:rPr>
        <w:t>rsons</w:t>
      </w:r>
      <w:r w:rsidR="00644409" w:rsidRPr="00625AD6">
        <w:rPr>
          <w:sz w:val="20"/>
        </w:rPr>
        <w:t xml:space="preserve"> by SPLA during the July violence in Juba also indicate a deliberate attempt by government forces to target this ethnic group</w:t>
      </w:r>
      <w:r w:rsidR="007F021E" w:rsidRPr="00625AD6">
        <w:rPr>
          <w:sz w:val="20"/>
        </w:rPr>
        <w:t>.</w:t>
      </w:r>
      <w:r w:rsidR="00644409" w:rsidRPr="00625AD6">
        <w:rPr>
          <w:sz w:val="20"/>
        </w:rPr>
        <w:t xml:space="preserve"> </w:t>
      </w:r>
    </w:p>
    <w:p w:rsidR="00507944" w:rsidRPr="00625AD6" w:rsidRDefault="00625AD6" w:rsidP="00625AD6">
      <w:pPr>
        <w:pStyle w:val="SingleTxtG"/>
        <w:tabs>
          <w:tab w:val="left" w:pos="1701"/>
        </w:tabs>
        <w:rPr>
          <w:sz w:val="20"/>
        </w:rPr>
      </w:pPr>
      <w:r w:rsidRPr="00625AD6">
        <w:rPr>
          <w:sz w:val="20"/>
          <w:szCs w:val="20"/>
        </w:rPr>
        <w:t>27.</w:t>
      </w:r>
      <w:r w:rsidRPr="00625AD6">
        <w:rPr>
          <w:sz w:val="20"/>
          <w:szCs w:val="20"/>
        </w:rPr>
        <w:tab/>
      </w:r>
      <w:r w:rsidR="00644409" w:rsidRPr="00625AD6">
        <w:rPr>
          <w:sz w:val="20"/>
        </w:rPr>
        <w:t xml:space="preserve"> </w:t>
      </w:r>
      <w:r w:rsidR="001154B0" w:rsidRPr="00625AD6">
        <w:rPr>
          <w:sz w:val="20"/>
        </w:rPr>
        <w:t xml:space="preserve">According to UNMISS internal situation </w:t>
      </w:r>
      <w:r w:rsidR="00644409" w:rsidRPr="00625AD6">
        <w:rPr>
          <w:sz w:val="20"/>
        </w:rPr>
        <w:t>reports</w:t>
      </w:r>
      <w:r w:rsidR="001154B0" w:rsidRPr="00625AD6">
        <w:rPr>
          <w:sz w:val="20"/>
        </w:rPr>
        <w:t>,</w:t>
      </w:r>
      <w:r w:rsidR="00644409" w:rsidRPr="00625AD6">
        <w:rPr>
          <w:sz w:val="20"/>
        </w:rPr>
        <w:t xml:space="preserve"> SPLA soldiers were also responsible for numerous </w:t>
      </w:r>
      <w:r w:rsidR="008861E9" w:rsidRPr="00625AD6">
        <w:rPr>
          <w:sz w:val="20"/>
        </w:rPr>
        <w:t xml:space="preserve">cases </w:t>
      </w:r>
      <w:r w:rsidR="00644409" w:rsidRPr="00625AD6">
        <w:rPr>
          <w:sz w:val="20"/>
        </w:rPr>
        <w:t>of killings, torture, rape and beatings in Western Equatoria</w:t>
      </w:r>
      <w:r w:rsidR="008861E9" w:rsidRPr="00625AD6">
        <w:rPr>
          <w:sz w:val="20"/>
        </w:rPr>
        <w:t>, where</w:t>
      </w:r>
      <w:r w:rsidR="00644409" w:rsidRPr="00625AD6">
        <w:rPr>
          <w:sz w:val="20"/>
        </w:rPr>
        <w:t xml:space="preserve"> more than 18 incidents </w:t>
      </w:r>
      <w:r w:rsidR="008861E9" w:rsidRPr="00625AD6">
        <w:rPr>
          <w:sz w:val="20"/>
        </w:rPr>
        <w:t xml:space="preserve">were </w:t>
      </w:r>
      <w:r w:rsidR="00644409" w:rsidRPr="00625AD6">
        <w:rPr>
          <w:sz w:val="20"/>
        </w:rPr>
        <w:t xml:space="preserve">reported between December 2016 and January 2017. SPLA </w:t>
      </w:r>
      <w:proofErr w:type="gramStart"/>
      <w:r w:rsidR="00644409" w:rsidRPr="00625AD6">
        <w:rPr>
          <w:sz w:val="20"/>
        </w:rPr>
        <w:t>was also alleged</w:t>
      </w:r>
      <w:proofErr w:type="gramEnd"/>
      <w:r w:rsidR="00644409" w:rsidRPr="00625AD6">
        <w:rPr>
          <w:sz w:val="20"/>
        </w:rPr>
        <w:t xml:space="preserve"> to be responsible for the displacement </w:t>
      </w:r>
      <w:r w:rsidR="008861E9" w:rsidRPr="00625AD6">
        <w:rPr>
          <w:sz w:val="20"/>
        </w:rPr>
        <w:t xml:space="preserve">in January 2017 </w:t>
      </w:r>
      <w:r w:rsidR="00644409" w:rsidRPr="00625AD6">
        <w:rPr>
          <w:sz w:val="20"/>
        </w:rPr>
        <w:t xml:space="preserve">of more than 700 civilians </w:t>
      </w:r>
      <w:r w:rsidR="008861E9" w:rsidRPr="00625AD6">
        <w:rPr>
          <w:sz w:val="20"/>
        </w:rPr>
        <w:t>fleeing</w:t>
      </w:r>
      <w:r w:rsidR="00644409" w:rsidRPr="00625AD6">
        <w:rPr>
          <w:sz w:val="20"/>
        </w:rPr>
        <w:t xml:space="preserve"> violence in </w:t>
      </w:r>
      <w:proofErr w:type="spellStart"/>
      <w:r w:rsidR="00644409" w:rsidRPr="00625AD6">
        <w:rPr>
          <w:sz w:val="20"/>
        </w:rPr>
        <w:t>Bazumburu</w:t>
      </w:r>
      <w:proofErr w:type="spellEnd"/>
      <w:r w:rsidR="00644409" w:rsidRPr="00625AD6">
        <w:rPr>
          <w:sz w:val="20"/>
        </w:rPr>
        <w:t xml:space="preserve">, </w:t>
      </w:r>
      <w:proofErr w:type="spellStart"/>
      <w:r w:rsidR="00644409" w:rsidRPr="00625AD6">
        <w:rPr>
          <w:sz w:val="20"/>
        </w:rPr>
        <w:t>Rimenze</w:t>
      </w:r>
      <w:proofErr w:type="spellEnd"/>
      <w:r w:rsidR="00644409" w:rsidRPr="00625AD6">
        <w:rPr>
          <w:sz w:val="20"/>
        </w:rPr>
        <w:t xml:space="preserve">, Bodo, </w:t>
      </w:r>
      <w:proofErr w:type="spellStart"/>
      <w:r w:rsidR="00644409" w:rsidRPr="00625AD6">
        <w:rPr>
          <w:sz w:val="20"/>
        </w:rPr>
        <w:t>Gitikiri</w:t>
      </w:r>
      <w:proofErr w:type="spellEnd"/>
      <w:r w:rsidR="00644409" w:rsidRPr="00625AD6">
        <w:rPr>
          <w:sz w:val="20"/>
        </w:rPr>
        <w:t xml:space="preserve"> and surrounding villages</w:t>
      </w:r>
      <w:r w:rsidR="008861E9" w:rsidRPr="00625AD6">
        <w:rPr>
          <w:sz w:val="20"/>
        </w:rPr>
        <w:t>.</w:t>
      </w:r>
      <w:r w:rsidR="00644409" w:rsidRPr="00625AD6">
        <w:rPr>
          <w:sz w:val="20"/>
        </w:rPr>
        <w:t xml:space="preserve"> UNMISS patrols reported having found </w:t>
      </w:r>
      <w:r w:rsidR="008861E9" w:rsidRPr="00625AD6">
        <w:rPr>
          <w:sz w:val="20"/>
        </w:rPr>
        <w:t>six</w:t>
      </w:r>
      <w:r w:rsidR="00644409" w:rsidRPr="00625AD6">
        <w:rPr>
          <w:sz w:val="20"/>
        </w:rPr>
        <w:t xml:space="preserve"> corpses alongside the road between </w:t>
      </w:r>
      <w:proofErr w:type="spellStart"/>
      <w:r w:rsidR="00644409" w:rsidRPr="00625AD6">
        <w:rPr>
          <w:sz w:val="20"/>
        </w:rPr>
        <w:t>Madebe</w:t>
      </w:r>
      <w:proofErr w:type="spellEnd"/>
      <w:r w:rsidR="00644409" w:rsidRPr="00625AD6">
        <w:rPr>
          <w:sz w:val="20"/>
        </w:rPr>
        <w:t xml:space="preserve"> and </w:t>
      </w:r>
      <w:proofErr w:type="spellStart"/>
      <w:r w:rsidR="00644409" w:rsidRPr="00625AD6">
        <w:rPr>
          <w:sz w:val="20"/>
        </w:rPr>
        <w:t>Bangusu</w:t>
      </w:r>
      <w:proofErr w:type="spellEnd"/>
      <w:r w:rsidR="008861E9" w:rsidRPr="00625AD6">
        <w:rPr>
          <w:sz w:val="20"/>
        </w:rPr>
        <w:t>,</w:t>
      </w:r>
      <w:r w:rsidR="00644409" w:rsidRPr="00625AD6">
        <w:rPr>
          <w:sz w:val="20"/>
        </w:rPr>
        <w:t xml:space="preserve"> approximately 70 km from Yambio town in Western Equatoria. The corpses, said to be members of the Zande tribe, </w:t>
      </w:r>
      <w:proofErr w:type="gramStart"/>
      <w:r w:rsidR="00644409" w:rsidRPr="00625AD6">
        <w:rPr>
          <w:sz w:val="20"/>
        </w:rPr>
        <w:t>were reportedly found</w:t>
      </w:r>
      <w:proofErr w:type="gramEnd"/>
      <w:r w:rsidR="00644409" w:rsidRPr="00625AD6">
        <w:rPr>
          <w:sz w:val="20"/>
        </w:rPr>
        <w:t xml:space="preserve"> </w:t>
      </w:r>
      <w:r w:rsidR="008861E9" w:rsidRPr="00625AD6">
        <w:rPr>
          <w:sz w:val="20"/>
        </w:rPr>
        <w:t xml:space="preserve">blindfolded and </w:t>
      </w:r>
      <w:r w:rsidR="00644409" w:rsidRPr="00625AD6">
        <w:rPr>
          <w:sz w:val="20"/>
        </w:rPr>
        <w:t xml:space="preserve">with their hands tied. </w:t>
      </w:r>
    </w:p>
    <w:p w:rsidR="00507944" w:rsidRPr="00625AD6" w:rsidRDefault="00625AD6" w:rsidP="00625AD6">
      <w:pPr>
        <w:pStyle w:val="SingleTxtG"/>
        <w:tabs>
          <w:tab w:val="left" w:pos="1701"/>
        </w:tabs>
        <w:rPr>
          <w:sz w:val="20"/>
        </w:rPr>
      </w:pPr>
      <w:r w:rsidRPr="00625AD6">
        <w:rPr>
          <w:sz w:val="20"/>
          <w:szCs w:val="20"/>
        </w:rPr>
        <w:t>28.</w:t>
      </w:r>
      <w:r w:rsidRPr="00625AD6">
        <w:rPr>
          <w:sz w:val="20"/>
          <w:szCs w:val="20"/>
        </w:rPr>
        <w:tab/>
      </w:r>
      <w:r w:rsidR="008861E9" w:rsidRPr="00625AD6">
        <w:rPr>
          <w:sz w:val="20"/>
        </w:rPr>
        <w:t xml:space="preserve">On 8 October 2016, </w:t>
      </w:r>
      <w:r w:rsidR="00644409" w:rsidRPr="00625AD6">
        <w:rPr>
          <w:sz w:val="20"/>
        </w:rPr>
        <w:t xml:space="preserve">20 civilians </w:t>
      </w:r>
      <w:proofErr w:type="gramStart"/>
      <w:r w:rsidR="00644409" w:rsidRPr="00625AD6">
        <w:rPr>
          <w:sz w:val="20"/>
        </w:rPr>
        <w:t>were found</w:t>
      </w:r>
      <w:proofErr w:type="gramEnd"/>
      <w:r w:rsidR="00644409" w:rsidRPr="00625AD6">
        <w:rPr>
          <w:sz w:val="20"/>
        </w:rPr>
        <w:t xml:space="preserve"> dead </w:t>
      </w:r>
      <w:r w:rsidR="008861E9" w:rsidRPr="00625AD6">
        <w:rPr>
          <w:sz w:val="20"/>
        </w:rPr>
        <w:t xml:space="preserve">in Central </w:t>
      </w:r>
      <w:proofErr w:type="spellStart"/>
      <w:r w:rsidR="008861E9" w:rsidRPr="00625AD6">
        <w:rPr>
          <w:sz w:val="20"/>
        </w:rPr>
        <w:t>Equatoria</w:t>
      </w:r>
      <w:proofErr w:type="spellEnd"/>
      <w:r w:rsidR="008861E9" w:rsidRPr="00625AD6">
        <w:rPr>
          <w:sz w:val="20"/>
        </w:rPr>
        <w:t xml:space="preserve">, </w:t>
      </w:r>
      <w:r w:rsidR="00644409" w:rsidRPr="00625AD6">
        <w:rPr>
          <w:sz w:val="20"/>
        </w:rPr>
        <w:t>on the Yei to Juba road</w:t>
      </w:r>
      <w:r w:rsidR="008861E9" w:rsidRPr="00625AD6">
        <w:rPr>
          <w:sz w:val="20"/>
        </w:rPr>
        <w:t>; most were internally displaced persons</w:t>
      </w:r>
      <w:r w:rsidR="00644409" w:rsidRPr="00625AD6">
        <w:rPr>
          <w:sz w:val="20"/>
        </w:rPr>
        <w:t xml:space="preserve">. </w:t>
      </w:r>
      <w:r w:rsidR="005D6764" w:rsidRPr="00625AD6">
        <w:rPr>
          <w:sz w:val="20"/>
        </w:rPr>
        <w:t xml:space="preserve">According to </w:t>
      </w:r>
      <w:r w:rsidR="00644409" w:rsidRPr="00625AD6">
        <w:rPr>
          <w:sz w:val="20"/>
        </w:rPr>
        <w:t>U</w:t>
      </w:r>
      <w:r w:rsidR="008861E9" w:rsidRPr="00625AD6">
        <w:rPr>
          <w:sz w:val="20"/>
        </w:rPr>
        <w:t xml:space="preserve">nited </w:t>
      </w:r>
      <w:r w:rsidR="00644409" w:rsidRPr="00625AD6">
        <w:rPr>
          <w:sz w:val="20"/>
        </w:rPr>
        <w:t>N</w:t>
      </w:r>
      <w:r w:rsidR="008861E9" w:rsidRPr="00625AD6">
        <w:rPr>
          <w:sz w:val="20"/>
        </w:rPr>
        <w:t>ations</w:t>
      </w:r>
      <w:r w:rsidR="00644409" w:rsidRPr="00625AD6">
        <w:rPr>
          <w:sz w:val="20"/>
        </w:rPr>
        <w:t xml:space="preserve"> reports</w:t>
      </w:r>
      <w:r w:rsidR="005D6764" w:rsidRPr="00625AD6">
        <w:rPr>
          <w:sz w:val="20"/>
        </w:rPr>
        <w:t>,</w:t>
      </w:r>
      <w:r w:rsidR="00644409" w:rsidRPr="00625AD6">
        <w:rPr>
          <w:sz w:val="20"/>
        </w:rPr>
        <w:t xml:space="preserve"> the killings were ethnically motivated</w:t>
      </w:r>
      <w:r w:rsidR="005D6764" w:rsidRPr="00625AD6">
        <w:rPr>
          <w:sz w:val="20"/>
        </w:rPr>
        <w:t xml:space="preserve"> (S/2016/950, para. 41)</w:t>
      </w:r>
      <w:r w:rsidR="00644409" w:rsidRPr="00625AD6">
        <w:rPr>
          <w:sz w:val="20"/>
        </w:rPr>
        <w:t xml:space="preserve">. </w:t>
      </w:r>
    </w:p>
    <w:p w:rsidR="00507944" w:rsidRPr="00625AD6" w:rsidRDefault="00625AD6" w:rsidP="00625AD6">
      <w:pPr>
        <w:pStyle w:val="SingleTxtG"/>
        <w:tabs>
          <w:tab w:val="left" w:pos="1701"/>
        </w:tabs>
        <w:rPr>
          <w:sz w:val="20"/>
        </w:rPr>
      </w:pPr>
      <w:r w:rsidRPr="00625AD6">
        <w:rPr>
          <w:sz w:val="20"/>
          <w:szCs w:val="20"/>
        </w:rPr>
        <w:t>29.</w:t>
      </w:r>
      <w:r w:rsidRPr="00625AD6">
        <w:rPr>
          <w:sz w:val="20"/>
          <w:szCs w:val="20"/>
        </w:rPr>
        <w:tab/>
      </w:r>
      <w:r w:rsidR="00644409" w:rsidRPr="00625AD6">
        <w:rPr>
          <w:sz w:val="20"/>
        </w:rPr>
        <w:t xml:space="preserve">In </w:t>
      </w:r>
      <w:r w:rsidR="00761641" w:rsidRPr="00625AD6">
        <w:rPr>
          <w:sz w:val="20"/>
        </w:rPr>
        <w:t xml:space="preserve">October 2016, in </w:t>
      </w:r>
      <w:r w:rsidR="00644409" w:rsidRPr="00625AD6">
        <w:rPr>
          <w:sz w:val="20"/>
        </w:rPr>
        <w:t xml:space="preserve">Upper Nile </w:t>
      </w:r>
      <w:r w:rsidR="00761641" w:rsidRPr="00625AD6">
        <w:rPr>
          <w:sz w:val="20"/>
        </w:rPr>
        <w:t>S</w:t>
      </w:r>
      <w:r w:rsidR="00644409" w:rsidRPr="00625AD6">
        <w:rPr>
          <w:sz w:val="20"/>
        </w:rPr>
        <w:t xml:space="preserve">tate, 33 civilians were injured in clashes between SPLA and </w:t>
      </w:r>
      <w:r w:rsidR="004F5206" w:rsidRPr="00625AD6">
        <w:rPr>
          <w:sz w:val="20"/>
        </w:rPr>
        <w:t>SPLM/</w:t>
      </w:r>
      <w:proofErr w:type="gramStart"/>
      <w:r w:rsidR="004F5206" w:rsidRPr="00625AD6">
        <w:rPr>
          <w:sz w:val="20"/>
        </w:rPr>
        <w:t>A</w:t>
      </w:r>
      <w:proofErr w:type="gramEnd"/>
      <w:r w:rsidR="004F5206" w:rsidRPr="00625AD6">
        <w:rPr>
          <w:sz w:val="20"/>
        </w:rPr>
        <w:t xml:space="preserve"> in Opposition</w:t>
      </w:r>
      <w:r w:rsidR="00644409" w:rsidRPr="00625AD6">
        <w:rPr>
          <w:sz w:val="20"/>
        </w:rPr>
        <w:t xml:space="preserve">, involving repeated firing of mortar shells into </w:t>
      </w:r>
      <w:proofErr w:type="spellStart"/>
      <w:r w:rsidR="00644409" w:rsidRPr="00625AD6">
        <w:rPr>
          <w:sz w:val="20"/>
        </w:rPr>
        <w:t>Wau</w:t>
      </w:r>
      <w:proofErr w:type="spellEnd"/>
      <w:r w:rsidR="00644409" w:rsidRPr="00625AD6">
        <w:rPr>
          <w:sz w:val="20"/>
        </w:rPr>
        <w:t xml:space="preserve"> </w:t>
      </w:r>
      <w:proofErr w:type="spellStart"/>
      <w:r w:rsidR="00644409" w:rsidRPr="00625AD6">
        <w:rPr>
          <w:sz w:val="20"/>
        </w:rPr>
        <w:t>Shilluk</w:t>
      </w:r>
      <w:proofErr w:type="spellEnd"/>
      <w:r w:rsidR="00644409" w:rsidRPr="00625AD6">
        <w:rPr>
          <w:sz w:val="20"/>
        </w:rPr>
        <w:t xml:space="preserve">. The Commission visited the makeshift hospital in </w:t>
      </w:r>
      <w:proofErr w:type="spellStart"/>
      <w:r w:rsidR="00644409" w:rsidRPr="00625AD6">
        <w:rPr>
          <w:sz w:val="20"/>
        </w:rPr>
        <w:t>Wau</w:t>
      </w:r>
      <w:proofErr w:type="spellEnd"/>
      <w:r w:rsidR="00644409" w:rsidRPr="00625AD6">
        <w:rPr>
          <w:sz w:val="20"/>
        </w:rPr>
        <w:t xml:space="preserve"> </w:t>
      </w:r>
      <w:proofErr w:type="spellStart"/>
      <w:r w:rsidR="00644409" w:rsidRPr="00625AD6">
        <w:rPr>
          <w:sz w:val="20"/>
        </w:rPr>
        <w:t>Shilluk</w:t>
      </w:r>
      <w:proofErr w:type="spellEnd"/>
      <w:r w:rsidR="00644409" w:rsidRPr="00625AD6">
        <w:rPr>
          <w:sz w:val="20"/>
        </w:rPr>
        <w:t xml:space="preserve"> after th</w:t>
      </w:r>
      <w:r w:rsidR="00761641" w:rsidRPr="00625AD6">
        <w:rPr>
          <w:sz w:val="20"/>
        </w:rPr>
        <w:t>e</w:t>
      </w:r>
      <w:r w:rsidR="00644409" w:rsidRPr="00625AD6">
        <w:rPr>
          <w:sz w:val="20"/>
        </w:rPr>
        <w:t xml:space="preserve"> incident and interviewed victims, including young children. In January 2017, clashes </w:t>
      </w:r>
      <w:r w:rsidR="00761641" w:rsidRPr="00625AD6">
        <w:rPr>
          <w:sz w:val="20"/>
        </w:rPr>
        <w:t xml:space="preserve">broke out again </w:t>
      </w:r>
      <w:r w:rsidR="00644409" w:rsidRPr="00625AD6">
        <w:rPr>
          <w:sz w:val="20"/>
        </w:rPr>
        <w:t xml:space="preserve">in Upper Nile </w:t>
      </w:r>
      <w:r w:rsidR="00761641" w:rsidRPr="00625AD6">
        <w:rPr>
          <w:sz w:val="20"/>
        </w:rPr>
        <w:t xml:space="preserve">State, </w:t>
      </w:r>
      <w:r w:rsidR="00644409" w:rsidRPr="00625AD6">
        <w:rPr>
          <w:sz w:val="20"/>
        </w:rPr>
        <w:t xml:space="preserve">with fighting intensifying towards </w:t>
      </w:r>
      <w:r w:rsidR="00761641" w:rsidRPr="00625AD6">
        <w:rPr>
          <w:sz w:val="20"/>
        </w:rPr>
        <w:t xml:space="preserve">the </w:t>
      </w:r>
      <w:proofErr w:type="spellStart"/>
      <w:r w:rsidR="00644409" w:rsidRPr="00625AD6">
        <w:rPr>
          <w:sz w:val="20"/>
        </w:rPr>
        <w:t>Paloch</w:t>
      </w:r>
      <w:proofErr w:type="spellEnd"/>
      <w:r w:rsidR="00644409" w:rsidRPr="00625AD6">
        <w:rPr>
          <w:sz w:val="20"/>
        </w:rPr>
        <w:t xml:space="preserve"> </w:t>
      </w:r>
      <w:r w:rsidR="00761641" w:rsidRPr="00625AD6">
        <w:rPr>
          <w:sz w:val="20"/>
        </w:rPr>
        <w:t>o</w:t>
      </w:r>
      <w:r w:rsidR="00644409" w:rsidRPr="00625AD6">
        <w:rPr>
          <w:sz w:val="20"/>
        </w:rPr>
        <w:t xml:space="preserve">il fields, </w:t>
      </w:r>
      <w:proofErr w:type="spellStart"/>
      <w:r w:rsidR="00644409" w:rsidRPr="00625AD6">
        <w:rPr>
          <w:sz w:val="20"/>
        </w:rPr>
        <w:t>Renk</w:t>
      </w:r>
      <w:proofErr w:type="spellEnd"/>
      <w:r w:rsidR="00644409" w:rsidRPr="00625AD6">
        <w:rPr>
          <w:sz w:val="20"/>
        </w:rPr>
        <w:t xml:space="preserve"> and Malakal. As a result</w:t>
      </w:r>
      <w:r w:rsidR="00761641" w:rsidRPr="00625AD6">
        <w:rPr>
          <w:sz w:val="20"/>
        </w:rPr>
        <w:t>,</w:t>
      </w:r>
      <w:r w:rsidR="00644409" w:rsidRPr="00625AD6">
        <w:rPr>
          <w:sz w:val="20"/>
        </w:rPr>
        <w:t xml:space="preserve"> members of the </w:t>
      </w:r>
      <w:proofErr w:type="spellStart"/>
      <w:r w:rsidR="00644409" w:rsidRPr="00625AD6">
        <w:rPr>
          <w:sz w:val="20"/>
        </w:rPr>
        <w:t>Shilluk</w:t>
      </w:r>
      <w:proofErr w:type="spellEnd"/>
      <w:r w:rsidR="00644409" w:rsidRPr="00625AD6">
        <w:rPr>
          <w:sz w:val="20"/>
        </w:rPr>
        <w:t xml:space="preserve"> ethnic community </w:t>
      </w:r>
      <w:proofErr w:type="gramStart"/>
      <w:r w:rsidR="00644409" w:rsidRPr="00625AD6">
        <w:rPr>
          <w:sz w:val="20"/>
        </w:rPr>
        <w:t>were forced</w:t>
      </w:r>
      <w:proofErr w:type="gramEnd"/>
      <w:r w:rsidR="00644409" w:rsidRPr="00625AD6">
        <w:rPr>
          <w:sz w:val="20"/>
        </w:rPr>
        <w:t xml:space="preserve"> out of their homes. The town of </w:t>
      </w:r>
      <w:proofErr w:type="spellStart"/>
      <w:r w:rsidR="00644409" w:rsidRPr="00625AD6">
        <w:rPr>
          <w:sz w:val="20"/>
        </w:rPr>
        <w:t>Wau</w:t>
      </w:r>
      <w:proofErr w:type="spellEnd"/>
      <w:r w:rsidR="00644409" w:rsidRPr="00625AD6">
        <w:rPr>
          <w:sz w:val="20"/>
        </w:rPr>
        <w:t xml:space="preserve"> </w:t>
      </w:r>
      <w:proofErr w:type="spellStart"/>
      <w:r w:rsidR="00644409" w:rsidRPr="00625AD6">
        <w:rPr>
          <w:sz w:val="20"/>
        </w:rPr>
        <w:t>Shilluk</w:t>
      </w:r>
      <w:proofErr w:type="spellEnd"/>
      <w:r w:rsidR="00644409" w:rsidRPr="00625AD6">
        <w:rPr>
          <w:sz w:val="20"/>
        </w:rPr>
        <w:t xml:space="preserve"> </w:t>
      </w:r>
      <w:proofErr w:type="gramStart"/>
      <w:r w:rsidR="00644409" w:rsidRPr="00625AD6">
        <w:rPr>
          <w:sz w:val="20"/>
        </w:rPr>
        <w:t>is now reported</w:t>
      </w:r>
      <w:proofErr w:type="gramEnd"/>
      <w:r w:rsidR="00644409" w:rsidRPr="00625AD6">
        <w:rPr>
          <w:sz w:val="20"/>
        </w:rPr>
        <w:t xml:space="preserve"> by UNMISS to be deserted after intense fighting displaced </w:t>
      </w:r>
      <w:r w:rsidR="00E54F5D" w:rsidRPr="00625AD6">
        <w:rPr>
          <w:sz w:val="20"/>
        </w:rPr>
        <w:t>more than 20,</w:t>
      </w:r>
      <w:r w:rsidR="00C55243" w:rsidRPr="00625AD6">
        <w:rPr>
          <w:sz w:val="20"/>
        </w:rPr>
        <w:t xml:space="preserve">000 </w:t>
      </w:r>
      <w:r w:rsidR="00644409" w:rsidRPr="00625AD6">
        <w:rPr>
          <w:sz w:val="20"/>
        </w:rPr>
        <w:t>inhabitants.</w:t>
      </w:r>
    </w:p>
    <w:p w:rsidR="00507944" w:rsidRPr="00625AD6" w:rsidRDefault="00625AD6" w:rsidP="00625AD6">
      <w:pPr>
        <w:pStyle w:val="SingleTxtG"/>
        <w:tabs>
          <w:tab w:val="left" w:pos="1701"/>
        </w:tabs>
        <w:rPr>
          <w:sz w:val="20"/>
        </w:rPr>
      </w:pPr>
      <w:r w:rsidRPr="00625AD6">
        <w:rPr>
          <w:sz w:val="20"/>
          <w:szCs w:val="20"/>
        </w:rPr>
        <w:t>30.</w:t>
      </w:r>
      <w:r w:rsidRPr="00625AD6">
        <w:rPr>
          <w:sz w:val="20"/>
          <w:szCs w:val="20"/>
        </w:rPr>
        <w:tab/>
      </w:r>
      <w:r w:rsidR="00644409" w:rsidRPr="00625AD6">
        <w:rPr>
          <w:sz w:val="20"/>
        </w:rPr>
        <w:t xml:space="preserve">In </w:t>
      </w:r>
      <w:r w:rsidR="00137AD0" w:rsidRPr="00625AD6">
        <w:rPr>
          <w:sz w:val="20"/>
        </w:rPr>
        <w:t>c</w:t>
      </w:r>
      <w:r w:rsidR="00644409" w:rsidRPr="00625AD6">
        <w:rPr>
          <w:sz w:val="20"/>
        </w:rPr>
        <w:t xml:space="preserve">entral and </w:t>
      </w:r>
      <w:r w:rsidR="00137AD0" w:rsidRPr="00625AD6">
        <w:rPr>
          <w:sz w:val="20"/>
        </w:rPr>
        <w:t>s</w:t>
      </w:r>
      <w:r w:rsidR="00644409" w:rsidRPr="00625AD6">
        <w:rPr>
          <w:sz w:val="20"/>
        </w:rPr>
        <w:t>outhern Unity State, a combination of drought and lost opportunities for cultivation, the ongoing conflict</w:t>
      </w:r>
      <w:r w:rsidR="00761641" w:rsidRPr="00625AD6">
        <w:rPr>
          <w:sz w:val="20"/>
        </w:rPr>
        <w:t>, and</w:t>
      </w:r>
      <w:r w:rsidR="00644409" w:rsidRPr="00625AD6">
        <w:rPr>
          <w:sz w:val="20"/>
        </w:rPr>
        <w:t xml:space="preserve"> looting and insecurity have led to </w:t>
      </w:r>
      <w:proofErr w:type="gramStart"/>
      <w:r w:rsidR="00761641" w:rsidRPr="00625AD6">
        <w:rPr>
          <w:sz w:val="20"/>
        </w:rPr>
        <w:t>a deterioration</w:t>
      </w:r>
      <w:proofErr w:type="gramEnd"/>
      <w:r w:rsidR="00761641" w:rsidRPr="00625AD6">
        <w:rPr>
          <w:sz w:val="20"/>
        </w:rPr>
        <w:t xml:space="preserve"> in </w:t>
      </w:r>
      <w:r w:rsidR="00644409" w:rsidRPr="00625AD6">
        <w:rPr>
          <w:sz w:val="20"/>
        </w:rPr>
        <w:t xml:space="preserve">living conditions. SPLA </w:t>
      </w:r>
      <w:proofErr w:type="gramStart"/>
      <w:r w:rsidR="00761641" w:rsidRPr="00625AD6">
        <w:rPr>
          <w:sz w:val="20"/>
        </w:rPr>
        <w:t xml:space="preserve">is </w:t>
      </w:r>
      <w:r w:rsidR="00644409" w:rsidRPr="00625AD6">
        <w:rPr>
          <w:sz w:val="20"/>
        </w:rPr>
        <w:t>alleged</w:t>
      </w:r>
      <w:proofErr w:type="gramEnd"/>
      <w:r w:rsidR="00644409" w:rsidRPr="00625AD6">
        <w:rPr>
          <w:sz w:val="20"/>
        </w:rPr>
        <w:t xml:space="preserve"> to have attacked six villages on 13 and 14 October 2016 in Unity</w:t>
      </w:r>
      <w:r w:rsidR="00761641" w:rsidRPr="00625AD6">
        <w:rPr>
          <w:sz w:val="20"/>
        </w:rPr>
        <w:t xml:space="preserve"> State</w:t>
      </w:r>
      <w:r w:rsidR="00644409" w:rsidRPr="00625AD6">
        <w:rPr>
          <w:sz w:val="20"/>
        </w:rPr>
        <w:t xml:space="preserve">. During the attacks, SPLA soldiers </w:t>
      </w:r>
      <w:r w:rsidR="00761641" w:rsidRPr="00625AD6">
        <w:rPr>
          <w:sz w:val="20"/>
        </w:rPr>
        <w:t xml:space="preserve">allegedly </w:t>
      </w:r>
      <w:r w:rsidR="00644409" w:rsidRPr="00625AD6">
        <w:rPr>
          <w:sz w:val="20"/>
        </w:rPr>
        <w:t xml:space="preserve">fired at civilians indiscriminately, pillaged private property and burned down at least 40 houses. Further clashes </w:t>
      </w:r>
      <w:r w:rsidR="00761641" w:rsidRPr="00625AD6">
        <w:rPr>
          <w:sz w:val="20"/>
        </w:rPr>
        <w:t xml:space="preserve">in January 2017 </w:t>
      </w:r>
      <w:r w:rsidR="00644409" w:rsidRPr="00625AD6">
        <w:rPr>
          <w:sz w:val="20"/>
        </w:rPr>
        <w:t xml:space="preserve">between SPLA and </w:t>
      </w:r>
      <w:r w:rsidR="004F5206" w:rsidRPr="00625AD6">
        <w:rPr>
          <w:sz w:val="20"/>
        </w:rPr>
        <w:t>SPLM/</w:t>
      </w:r>
      <w:proofErr w:type="gramStart"/>
      <w:r w:rsidR="004F5206" w:rsidRPr="00625AD6">
        <w:rPr>
          <w:sz w:val="20"/>
        </w:rPr>
        <w:t>A</w:t>
      </w:r>
      <w:proofErr w:type="gramEnd"/>
      <w:r w:rsidR="004F5206" w:rsidRPr="00625AD6">
        <w:rPr>
          <w:sz w:val="20"/>
        </w:rPr>
        <w:t xml:space="preserve"> in Opposition</w:t>
      </w:r>
      <w:r w:rsidR="00761641" w:rsidRPr="00625AD6">
        <w:rPr>
          <w:sz w:val="20"/>
        </w:rPr>
        <w:t xml:space="preserve"> </w:t>
      </w:r>
      <w:r w:rsidR="00644409" w:rsidRPr="00625AD6">
        <w:rPr>
          <w:sz w:val="20"/>
        </w:rPr>
        <w:t xml:space="preserve">left five civilians dead. </w:t>
      </w:r>
    </w:p>
    <w:p w:rsidR="00507944" w:rsidRPr="00625AD6" w:rsidRDefault="00625AD6" w:rsidP="00625AD6">
      <w:pPr>
        <w:pStyle w:val="SingleTxtG"/>
        <w:tabs>
          <w:tab w:val="left" w:pos="1701"/>
        </w:tabs>
        <w:rPr>
          <w:sz w:val="20"/>
        </w:rPr>
      </w:pPr>
      <w:r w:rsidRPr="00625AD6">
        <w:rPr>
          <w:sz w:val="20"/>
          <w:szCs w:val="20"/>
        </w:rPr>
        <w:t>31.</w:t>
      </w:r>
      <w:r w:rsidRPr="00625AD6">
        <w:rPr>
          <w:sz w:val="20"/>
          <w:szCs w:val="20"/>
        </w:rPr>
        <w:tab/>
      </w:r>
      <w:r w:rsidR="00644409" w:rsidRPr="00625AD6">
        <w:rPr>
          <w:sz w:val="20"/>
        </w:rPr>
        <w:t xml:space="preserve">In November 2016, </w:t>
      </w:r>
      <w:r w:rsidR="00761641" w:rsidRPr="00625AD6">
        <w:rPr>
          <w:sz w:val="20"/>
        </w:rPr>
        <w:t xml:space="preserve">on the road from </w:t>
      </w:r>
      <w:proofErr w:type="spellStart"/>
      <w:r w:rsidR="00761641" w:rsidRPr="00625AD6">
        <w:rPr>
          <w:sz w:val="20"/>
        </w:rPr>
        <w:t>Lankien</w:t>
      </w:r>
      <w:proofErr w:type="spellEnd"/>
      <w:r w:rsidR="00990E3E" w:rsidRPr="00625AD6">
        <w:rPr>
          <w:sz w:val="20"/>
        </w:rPr>
        <w:t xml:space="preserve"> (northern </w:t>
      </w:r>
      <w:proofErr w:type="spellStart"/>
      <w:r w:rsidR="00990E3E" w:rsidRPr="00625AD6">
        <w:rPr>
          <w:sz w:val="20"/>
        </w:rPr>
        <w:t>Jonglei</w:t>
      </w:r>
      <w:proofErr w:type="spellEnd"/>
      <w:r w:rsidR="00990E3E" w:rsidRPr="00625AD6">
        <w:rPr>
          <w:sz w:val="20"/>
        </w:rPr>
        <w:t xml:space="preserve"> State)</w:t>
      </w:r>
      <w:r w:rsidR="00761641" w:rsidRPr="00625AD6">
        <w:rPr>
          <w:sz w:val="20"/>
        </w:rPr>
        <w:t xml:space="preserve">, </w:t>
      </w:r>
      <w:r w:rsidR="00644409" w:rsidRPr="00625AD6">
        <w:rPr>
          <w:sz w:val="20"/>
        </w:rPr>
        <w:t xml:space="preserve">armed </w:t>
      </w:r>
      <w:proofErr w:type="spellStart"/>
      <w:r w:rsidR="00644409" w:rsidRPr="00625AD6">
        <w:rPr>
          <w:sz w:val="20"/>
        </w:rPr>
        <w:t>Murle</w:t>
      </w:r>
      <w:proofErr w:type="spellEnd"/>
      <w:r w:rsidR="00644409" w:rsidRPr="00625AD6">
        <w:rPr>
          <w:sz w:val="20"/>
        </w:rPr>
        <w:t xml:space="preserve"> tribesmen in green military uniforms with the South Sudan flag </w:t>
      </w:r>
      <w:proofErr w:type="gramStart"/>
      <w:r w:rsidR="00761641" w:rsidRPr="00625AD6">
        <w:rPr>
          <w:sz w:val="20"/>
        </w:rPr>
        <w:t xml:space="preserve">are </w:t>
      </w:r>
      <w:r w:rsidR="00644409" w:rsidRPr="00625AD6">
        <w:rPr>
          <w:sz w:val="20"/>
        </w:rPr>
        <w:t>alleged</w:t>
      </w:r>
      <w:proofErr w:type="gramEnd"/>
      <w:r w:rsidR="00644409" w:rsidRPr="00625AD6">
        <w:rPr>
          <w:sz w:val="20"/>
        </w:rPr>
        <w:t xml:space="preserve"> to have killed five civilians and abducted </w:t>
      </w:r>
      <w:r w:rsidR="00761641" w:rsidRPr="00625AD6">
        <w:rPr>
          <w:sz w:val="20"/>
        </w:rPr>
        <w:t xml:space="preserve">a </w:t>
      </w:r>
      <w:r w:rsidR="00644409" w:rsidRPr="00625AD6">
        <w:rPr>
          <w:sz w:val="20"/>
        </w:rPr>
        <w:t>child. The perpetrators were alleged</w:t>
      </w:r>
      <w:r w:rsidR="00761641" w:rsidRPr="00625AD6">
        <w:rPr>
          <w:sz w:val="20"/>
        </w:rPr>
        <w:t>ly</w:t>
      </w:r>
      <w:r w:rsidR="00644409" w:rsidRPr="00625AD6">
        <w:rPr>
          <w:sz w:val="20"/>
        </w:rPr>
        <w:t xml:space="preserve"> in possession of AK</w:t>
      </w:r>
      <w:r w:rsidR="00FD6C31" w:rsidRPr="00625AD6">
        <w:rPr>
          <w:sz w:val="20"/>
        </w:rPr>
        <w:t>-</w:t>
      </w:r>
      <w:r w:rsidR="00644409" w:rsidRPr="00625AD6">
        <w:rPr>
          <w:sz w:val="20"/>
        </w:rPr>
        <w:t xml:space="preserve">47 rifles, which </w:t>
      </w:r>
      <w:r w:rsidR="00FD6C31" w:rsidRPr="00625AD6">
        <w:rPr>
          <w:sz w:val="20"/>
        </w:rPr>
        <w:t xml:space="preserve">were </w:t>
      </w:r>
      <w:r w:rsidR="00644409" w:rsidRPr="00625AD6">
        <w:rPr>
          <w:sz w:val="20"/>
        </w:rPr>
        <w:t xml:space="preserve">reportedly </w:t>
      </w:r>
      <w:r w:rsidR="00FD6C31" w:rsidRPr="00625AD6">
        <w:rPr>
          <w:sz w:val="20"/>
        </w:rPr>
        <w:t>marked</w:t>
      </w:r>
      <w:r w:rsidR="00644409" w:rsidRPr="00625AD6">
        <w:rPr>
          <w:sz w:val="20"/>
        </w:rPr>
        <w:t xml:space="preserve"> “South Sudan Police”. In </w:t>
      </w:r>
      <w:proofErr w:type="gramStart"/>
      <w:r w:rsidR="00FD6C31" w:rsidRPr="00625AD6">
        <w:rPr>
          <w:sz w:val="20"/>
        </w:rPr>
        <w:t>November</w:t>
      </w:r>
      <w:r w:rsidR="00644409" w:rsidRPr="00625AD6">
        <w:rPr>
          <w:sz w:val="20"/>
        </w:rPr>
        <w:t>,</w:t>
      </w:r>
      <w:proofErr w:type="gramEnd"/>
      <w:r w:rsidR="00644409" w:rsidRPr="00625AD6">
        <w:rPr>
          <w:sz w:val="20"/>
        </w:rPr>
        <w:t xml:space="preserve"> 300 cattle were also taken, allegedly by armed </w:t>
      </w:r>
      <w:proofErr w:type="spellStart"/>
      <w:r w:rsidR="00644409" w:rsidRPr="00625AD6">
        <w:rPr>
          <w:sz w:val="20"/>
        </w:rPr>
        <w:t>Murle</w:t>
      </w:r>
      <w:proofErr w:type="spellEnd"/>
      <w:r w:rsidR="00644409" w:rsidRPr="00625AD6">
        <w:rPr>
          <w:sz w:val="20"/>
        </w:rPr>
        <w:t xml:space="preserve"> tribesmen. In January 2017, 11 people </w:t>
      </w:r>
      <w:proofErr w:type="gramStart"/>
      <w:r w:rsidR="00644409" w:rsidRPr="00625AD6">
        <w:rPr>
          <w:sz w:val="20"/>
        </w:rPr>
        <w:t>were killed</w:t>
      </w:r>
      <w:proofErr w:type="gramEnd"/>
      <w:r w:rsidR="00644409" w:rsidRPr="00625AD6">
        <w:rPr>
          <w:sz w:val="20"/>
        </w:rPr>
        <w:t xml:space="preserve"> and 13 wounded in a cattle raid by </w:t>
      </w:r>
      <w:proofErr w:type="spellStart"/>
      <w:r w:rsidR="00644409" w:rsidRPr="00625AD6">
        <w:rPr>
          <w:sz w:val="20"/>
        </w:rPr>
        <w:t>Murle</w:t>
      </w:r>
      <w:proofErr w:type="spellEnd"/>
      <w:r w:rsidR="00644409" w:rsidRPr="00625AD6">
        <w:rPr>
          <w:sz w:val="20"/>
        </w:rPr>
        <w:t xml:space="preserve"> tribesmen.</w:t>
      </w:r>
    </w:p>
    <w:p w:rsidR="00507944" w:rsidRPr="00625AD6" w:rsidRDefault="00625AD6" w:rsidP="00625AD6">
      <w:pPr>
        <w:pStyle w:val="SingleTxtG"/>
        <w:tabs>
          <w:tab w:val="left" w:pos="1701"/>
        </w:tabs>
      </w:pPr>
      <w:r w:rsidRPr="00625AD6">
        <w:rPr>
          <w:sz w:val="20"/>
          <w:szCs w:val="20"/>
        </w:rPr>
        <w:t>32.</w:t>
      </w:r>
      <w:r w:rsidRPr="00625AD6">
        <w:rPr>
          <w:sz w:val="20"/>
          <w:szCs w:val="20"/>
        </w:rPr>
        <w:tab/>
      </w:r>
      <w:r w:rsidR="00644409" w:rsidRPr="00625AD6" w:rsidDel="00955732">
        <w:rPr>
          <w:sz w:val="20"/>
        </w:rPr>
        <w:t xml:space="preserve"> </w:t>
      </w:r>
      <w:r w:rsidR="00AA3954" w:rsidRPr="00625AD6">
        <w:rPr>
          <w:bCs/>
          <w:color w:val="000000"/>
          <w:sz w:val="20"/>
          <w:szCs w:val="20"/>
          <w:lang w:eastAsia="en-GB"/>
        </w:rPr>
        <w:t xml:space="preserve">Violent acts </w:t>
      </w:r>
      <w:proofErr w:type="gramStart"/>
      <w:r w:rsidR="006558C2" w:rsidRPr="00625AD6">
        <w:rPr>
          <w:bCs/>
          <w:color w:val="000000"/>
          <w:sz w:val="20"/>
          <w:szCs w:val="20"/>
          <w:lang w:eastAsia="en-GB"/>
        </w:rPr>
        <w:t>have also be</w:t>
      </w:r>
      <w:r w:rsidR="007337A0" w:rsidRPr="00625AD6">
        <w:rPr>
          <w:bCs/>
          <w:color w:val="000000"/>
          <w:sz w:val="20"/>
          <w:szCs w:val="20"/>
          <w:lang w:eastAsia="en-GB"/>
        </w:rPr>
        <w:t>en</w:t>
      </w:r>
      <w:r w:rsidR="006558C2" w:rsidRPr="00625AD6">
        <w:rPr>
          <w:bCs/>
          <w:color w:val="000000"/>
          <w:sz w:val="20"/>
          <w:szCs w:val="20"/>
          <w:lang w:eastAsia="en-GB"/>
        </w:rPr>
        <w:t xml:space="preserve"> directed</w:t>
      </w:r>
      <w:proofErr w:type="gramEnd"/>
      <w:r w:rsidR="006558C2" w:rsidRPr="00625AD6">
        <w:rPr>
          <w:bCs/>
          <w:color w:val="000000"/>
          <w:sz w:val="20"/>
          <w:szCs w:val="20"/>
          <w:lang w:eastAsia="en-GB"/>
        </w:rPr>
        <w:t xml:space="preserve"> </w:t>
      </w:r>
      <w:r w:rsidR="00AA3954" w:rsidRPr="00625AD6">
        <w:rPr>
          <w:bCs/>
          <w:color w:val="000000"/>
          <w:sz w:val="20"/>
          <w:szCs w:val="20"/>
          <w:lang w:eastAsia="en-GB"/>
        </w:rPr>
        <w:t>against members of the Dinka tribe</w:t>
      </w:r>
      <w:r w:rsidR="006558C2" w:rsidRPr="00625AD6">
        <w:rPr>
          <w:bCs/>
          <w:color w:val="000000"/>
          <w:sz w:val="20"/>
          <w:szCs w:val="20"/>
          <w:lang w:eastAsia="en-GB"/>
        </w:rPr>
        <w:t>. These acts</w:t>
      </w:r>
      <w:r w:rsidR="00AA3954" w:rsidRPr="00625AD6">
        <w:rPr>
          <w:bCs/>
          <w:color w:val="000000"/>
          <w:sz w:val="20"/>
          <w:szCs w:val="20"/>
          <w:lang w:eastAsia="en-GB"/>
        </w:rPr>
        <w:t xml:space="preserve"> were blamed by the Government on </w:t>
      </w:r>
      <w:r w:rsidR="004F5206" w:rsidRPr="00625AD6">
        <w:rPr>
          <w:sz w:val="20"/>
        </w:rPr>
        <w:t>SPLM/A in Opposition</w:t>
      </w:r>
      <w:r w:rsidR="00AA3954" w:rsidRPr="00625AD6">
        <w:rPr>
          <w:bCs/>
          <w:color w:val="000000"/>
          <w:sz w:val="20"/>
          <w:szCs w:val="20"/>
          <w:lang w:eastAsia="en-GB"/>
        </w:rPr>
        <w:t xml:space="preserve">, which in turn denied </w:t>
      </w:r>
      <w:proofErr w:type="gramStart"/>
      <w:r w:rsidR="00AA3954" w:rsidRPr="00625AD6">
        <w:rPr>
          <w:bCs/>
          <w:color w:val="000000"/>
          <w:sz w:val="20"/>
          <w:szCs w:val="20"/>
          <w:lang w:eastAsia="en-GB"/>
        </w:rPr>
        <w:t>having any</w:t>
      </w:r>
      <w:r w:rsidR="007337A0" w:rsidRPr="00625AD6">
        <w:rPr>
          <w:bCs/>
          <w:color w:val="000000"/>
          <w:sz w:val="20"/>
          <w:szCs w:val="20"/>
          <w:lang w:eastAsia="en-GB"/>
        </w:rPr>
        <w:t xml:space="preserve"> </w:t>
      </w:r>
      <w:r w:rsidR="00AA3954" w:rsidRPr="00625AD6">
        <w:rPr>
          <w:bCs/>
          <w:color w:val="000000"/>
          <w:sz w:val="20"/>
          <w:szCs w:val="20"/>
          <w:lang w:eastAsia="en-GB"/>
        </w:rPr>
        <w:t>involvement</w:t>
      </w:r>
      <w:proofErr w:type="gramEnd"/>
      <w:r w:rsidR="00AA3954" w:rsidRPr="00625AD6">
        <w:rPr>
          <w:bCs/>
          <w:color w:val="000000"/>
          <w:sz w:val="20"/>
          <w:szCs w:val="20"/>
          <w:lang w:eastAsia="en-GB"/>
        </w:rPr>
        <w:t xml:space="preserve"> in them. In the aftermath of the violence in Juba in July 2016, several attacks </w:t>
      </w:r>
      <w:proofErr w:type="gramStart"/>
      <w:r w:rsidR="00AA3954" w:rsidRPr="00625AD6">
        <w:rPr>
          <w:bCs/>
          <w:color w:val="000000"/>
          <w:sz w:val="20"/>
          <w:szCs w:val="20"/>
          <w:lang w:eastAsia="en-GB"/>
        </w:rPr>
        <w:t>were made</w:t>
      </w:r>
      <w:proofErr w:type="gramEnd"/>
      <w:r w:rsidR="00AA3954" w:rsidRPr="00625AD6">
        <w:rPr>
          <w:bCs/>
          <w:color w:val="000000"/>
          <w:sz w:val="20"/>
          <w:szCs w:val="20"/>
          <w:lang w:eastAsia="en-GB"/>
        </w:rPr>
        <w:t xml:space="preserve"> on the main roads linking the capital to Central Equatoria, resulting in the targeted killing of Dinka women and children.</w:t>
      </w:r>
      <w:r w:rsidR="00AA3954" w:rsidRPr="00625AD6">
        <w:rPr>
          <w:b/>
          <w:bCs/>
          <w:color w:val="000000"/>
          <w:lang w:eastAsia="en-GB"/>
        </w:rPr>
        <w:t xml:space="preserve"> </w:t>
      </w:r>
      <w:r w:rsidR="004F5206" w:rsidRPr="00625AD6">
        <w:rPr>
          <w:sz w:val="20"/>
        </w:rPr>
        <w:t xml:space="preserve">SPLM/A in Opposition </w:t>
      </w:r>
      <w:r w:rsidR="00644409" w:rsidRPr="00625AD6">
        <w:rPr>
          <w:sz w:val="20"/>
        </w:rPr>
        <w:t xml:space="preserve">has </w:t>
      </w:r>
      <w:r w:rsidR="00FD6C31" w:rsidRPr="00625AD6">
        <w:rPr>
          <w:sz w:val="20"/>
        </w:rPr>
        <w:t xml:space="preserve">allegedly </w:t>
      </w:r>
      <w:r w:rsidR="00AA3954" w:rsidRPr="00625AD6">
        <w:rPr>
          <w:sz w:val="20"/>
        </w:rPr>
        <w:t xml:space="preserve">also </w:t>
      </w:r>
      <w:r w:rsidR="00644409" w:rsidRPr="00625AD6">
        <w:rPr>
          <w:sz w:val="20"/>
        </w:rPr>
        <w:t>attacked hospitals and religious sites in South Sudan</w:t>
      </w:r>
      <w:r w:rsidR="00FD6C31" w:rsidRPr="00625AD6">
        <w:rPr>
          <w:sz w:val="20"/>
        </w:rPr>
        <w:t>;</w:t>
      </w:r>
      <w:r w:rsidR="00644409" w:rsidRPr="00625AD6">
        <w:rPr>
          <w:sz w:val="20"/>
        </w:rPr>
        <w:t xml:space="preserve"> </w:t>
      </w:r>
      <w:r w:rsidR="00FD6C31" w:rsidRPr="00625AD6">
        <w:rPr>
          <w:sz w:val="20"/>
        </w:rPr>
        <w:t>given the</w:t>
      </w:r>
      <w:r w:rsidR="00644409" w:rsidRPr="00625AD6">
        <w:rPr>
          <w:sz w:val="20"/>
        </w:rPr>
        <w:t xml:space="preserve"> difficult</w:t>
      </w:r>
      <w:r w:rsidR="00FD6C31" w:rsidRPr="00625AD6">
        <w:rPr>
          <w:sz w:val="20"/>
        </w:rPr>
        <w:t xml:space="preserve">y of </w:t>
      </w:r>
      <w:r w:rsidR="00644409" w:rsidRPr="00625AD6">
        <w:rPr>
          <w:sz w:val="20"/>
        </w:rPr>
        <w:t xml:space="preserve">access </w:t>
      </w:r>
      <w:r w:rsidR="00FD6C31" w:rsidRPr="00625AD6">
        <w:rPr>
          <w:sz w:val="20"/>
        </w:rPr>
        <w:t xml:space="preserve">to the </w:t>
      </w:r>
      <w:r w:rsidR="00644409" w:rsidRPr="00625AD6">
        <w:rPr>
          <w:sz w:val="20"/>
        </w:rPr>
        <w:t xml:space="preserve">areas </w:t>
      </w:r>
      <w:r w:rsidR="00FD6C31" w:rsidRPr="00625AD6">
        <w:rPr>
          <w:sz w:val="20"/>
        </w:rPr>
        <w:t xml:space="preserve">it </w:t>
      </w:r>
      <w:r w:rsidR="00644409" w:rsidRPr="00625AD6">
        <w:rPr>
          <w:sz w:val="20"/>
        </w:rPr>
        <w:t>control</w:t>
      </w:r>
      <w:r w:rsidR="00FD6C31" w:rsidRPr="00625AD6">
        <w:rPr>
          <w:sz w:val="20"/>
        </w:rPr>
        <w:t>s,</w:t>
      </w:r>
      <w:r w:rsidR="00644409" w:rsidRPr="00625AD6">
        <w:rPr>
          <w:sz w:val="20"/>
        </w:rPr>
        <w:t xml:space="preserve"> </w:t>
      </w:r>
      <w:r w:rsidR="00FD6C31" w:rsidRPr="00625AD6">
        <w:rPr>
          <w:sz w:val="20"/>
        </w:rPr>
        <w:t xml:space="preserve">reliable </w:t>
      </w:r>
      <w:r w:rsidR="00644409" w:rsidRPr="00625AD6">
        <w:rPr>
          <w:sz w:val="20"/>
        </w:rPr>
        <w:t xml:space="preserve">information is hard to </w:t>
      </w:r>
      <w:r w:rsidR="00FD6C31" w:rsidRPr="00625AD6">
        <w:rPr>
          <w:sz w:val="20"/>
        </w:rPr>
        <w:t>obtain</w:t>
      </w:r>
      <w:r w:rsidR="00644409" w:rsidRPr="00625AD6">
        <w:rPr>
          <w:sz w:val="20"/>
        </w:rPr>
        <w:t xml:space="preserve">. </w:t>
      </w:r>
      <w:r w:rsidR="00605581" w:rsidRPr="00625AD6">
        <w:rPr>
          <w:sz w:val="20"/>
        </w:rPr>
        <w:t>It</w:t>
      </w:r>
      <w:r w:rsidR="00644409" w:rsidRPr="00625AD6">
        <w:rPr>
          <w:sz w:val="20"/>
        </w:rPr>
        <w:t xml:space="preserve"> was allegedly responsible for the abduction of 20 </w:t>
      </w:r>
      <w:r w:rsidR="00FD6C31" w:rsidRPr="00625AD6">
        <w:rPr>
          <w:sz w:val="20"/>
        </w:rPr>
        <w:t xml:space="preserve">staff members of </w:t>
      </w:r>
      <w:r w:rsidR="00644409" w:rsidRPr="00625AD6">
        <w:rPr>
          <w:sz w:val="20"/>
        </w:rPr>
        <w:t>international non-governmental organization</w:t>
      </w:r>
      <w:r w:rsidR="00FD6C31" w:rsidRPr="00625AD6">
        <w:rPr>
          <w:sz w:val="20"/>
        </w:rPr>
        <w:t>s,</w:t>
      </w:r>
      <w:r w:rsidR="00644409" w:rsidRPr="00625AD6">
        <w:rPr>
          <w:sz w:val="20"/>
        </w:rPr>
        <w:t xml:space="preserve"> who were unlawfully detained, threatened, interrogated, </w:t>
      </w:r>
      <w:proofErr w:type="gramStart"/>
      <w:r w:rsidR="00644409" w:rsidRPr="00625AD6">
        <w:rPr>
          <w:sz w:val="20"/>
        </w:rPr>
        <w:t>severely</w:t>
      </w:r>
      <w:proofErr w:type="gramEnd"/>
      <w:r w:rsidR="00644409" w:rsidRPr="00625AD6">
        <w:rPr>
          <w:sz w:val="20"/>
        </w:rPr>
        <w:t xml:space="preserve"> beaten </w:t>
      </w:r>
      <w:r w:rsidR="00FD6C31" w:rsidRPr="00625AD6">
        <w:rPr>
          <w:sz w:val="20"/>
        </w:rPr>
        <w:t>and</w:t>
      </w:r>
      <w:r w:rsidR="00644409" w:rsidRPr="00625AD6">
        <w:rPr>
          <w:sz w:val="20"/>
        </w:rPr>
        <w:t xml:space="preserve"> subject to extortion.</w:t>
      </w:r>
    </w:p>
    <w:p w:rsidR="00507944" w:rsidRPr="00625AD6" w:rsidRDefault="00625AD6" w:rsidP="00625AD6">
      <w:pPr>
        <w:pStyle w:val="SingleTxtG"/>
        <w:tabs>
          <w:tab w:val="left" w:pos="1701"/>
        </w:tabs>
        <w:rPr>
          <w:sz w:val="20"/>
        </w:rPr>
      </w:pPr>
      <w:r w:rsidRPr="00625AD6">
        <w:rPr>
          <w:sz w:val="20"/>
          <w:szCs w:val="20"/>
        </w:rPr>
        <w:t>33.</w:t>
      </w:r>
      <w:r w:rsidRPr="00625AD6">
        <w:rPr>
          <w:sz w:val="20"/>
          <w:szCs w:val="20"/>
        </w:rPr>
        <w:tab/>
      </w:r>
      <w:r w:rsidR="001C5652" w:rsidRPr="00625AD6">
        <w:rPr>
          <w:sz w:val="20"/>
        </w:rPr>
        <w:t xml:space="preserve">The Commission raised the issue of denial of humanitarian access with the Chief of Staff of the </w:t>
      </w:r>
      <w:r w:rsidR="007337A0" w:rsidRPr="00625AD6">
        <w:rPr>
          <w:sz w:val="20"/>
        </w:rPr>
        <w:t xml:space="preserve">South Sudan </w:t>
      </w:r>
      <w:r w:rsidR="001C5652" w:rsidRPr="00625AD6">
        <w:rPr>
          <w:sz w:val="20"/>
        </w:rPr>
        <w:t>Army</w:t>
      </w:r>
      <w:r w:rsidR="00FD6C31" w:rsidRPr="00625AD6">
        <w:rPr>
          <w:sz w:val="20"/>
        </w:rPr>
        <w:t>,</w:t>
      </w:r>
      <w:r w:rsidR="001C5652" w:rsidRPr="00625AD6">
        <w:rPr>
          <w:sz w:val="20"/>
        </w:rPr>
        <w:t xml:space="preserve"> who denied the allegations. </w:t>
      </w:r>
      <w:r w:rsidR="00FD6C31" w:rsidRPr="00625AD6">
        <w:rPr>
          <w:sz w:val="20"/>
        </w:rPr>
        <w:t>T</w:t>
      </w:r>
      <w:r w:rsidR="001C5652" w:rsidRPr="00625AD6">
        <w:rPr>
          <w:sz w:val="20"/>
        </w:rPr>
        <w:t xml:space="preserve">he reality on the ground </w:t>
      </w:r>
      <w:r w:rsidR="00FD6C31" w:rsidRPr="00625AD6">
        <w:rPr>
          <w:sz w:val="20"/>
        </w:rPr>
        <w:t xml:space="preserve">nonetheless </w:t>
      </w:r>
      <w:r w:rsidR="001C5652" w:rsidRPr="00625AD6">
        <w:rPr>
          <w:sz w:val="20"/>
        </w:rPr>
        <w:t>remains challenging</w:t>
      </w:r>
      <w:r w:rsidR="00FD6C31" w:rsidRPr="00625AD6">
        <w:rPr>
          <w:sz w:val="20"/>
        </w:rPr>
        <w:t>,</w:t>
      </w:r>
      <w:r w:rsidR="001C5652" w:rsidRPr="00625AD6">
        <w:rPr>
          <w:sz w:val="20"/>
        </w:rPr>
        <w:t xml:space="preserve"> as </w:t>
      </w:r>
      <w:proofErr w:type="gramStart"/>
      <w:r w:rsidR="001C5652" w:rsidRPr="00625AD6">
        <w:rPr>
          <w:sz w:val="20"/>
        </w:rPr>
        <w:t>SPLA</w:t>
      </w:r>
      <w:proofErr w:type="gramEnd"/>
      <w:r w:rsidR="001C5652" w:rsidRPr="00625AD6">
        <w:rPr>
          <w:sz w:val="20"/>
        </w:rPr>
        <w:t xml:space="preserve"> soldiers and members of the security services often deny access </w:t>
      </w:r>
      <w:r w:rsidR="00FD6C31" w:rsidRPr="00625AD6">
        <w:rPr>
          <w:sz w:val="20"/>
        </w:rPr>
        <w:t>arbitrarily</w:t>
      </w:r>
      <w:r w:rsidR="001C5652" w:rsidRPr="00625AD6">
        <w:rPr>
          <w:sz w:val="20"/>
        </w:rPr>
        <w:t>.</w:t>
      </w:r>
    </w:p>
    <w:p w:rsidR="00507944" w:rsidRPr="00DF202E" w:rsidRDefault="00DF202E" w:rsidP="00DF202E">
      <w:pPr>
        <w:pStyle w:val="H1G"/>
      </w:pPr>
      <w:r>
        <w:tab/>
      </w:r>
      <w:r w:rsidR="00625AD6" w:rsidRPr="00DF202E">
        <w:t>B.</w:t>
      </w:r>
      <w:r w:rsidR="00625AD6" w:rsidRPr="00DF202E">
        <w:tab/>
      </w:r>
      <w:r w:rsidR="00644409" w:rsidRPr="00DF202E">
        <w:t>Sexual and gender</w:t>
      </w:r>
      <w:r w:rsidR="00FD6C31" w:rsidRPr="00DF202E">
        <w:t>-</w:t>
      </w:r>
      <w:r w:rsidR="00644409" w:rsidRPr="00DF202E">
        <w:t>based violence</w:t>
      </w:r>
    </w:p>
    <w:p w:rsidR="00507944" w:rsidRPr="00625AD6" w:rsidRDefault="00625AD6" w:rsidP="00625AD6">
      <w:pPr>
        <w:pStyle w:val="SingleTxtG"/>
        <w:tabs>
          <w:tab w:val="left" w:pos="1701"/>
        </w:tabs>
        <w:rPr>
          <w:sz w:val="20"/>
        </w:rPr>
      </w:pPr>
      <w:r w:rsidRPr="00625AD6">
        <w:rPr>
          <w:sz w:val="20"/>
          <w:szCs w:val="20"/>
        </w:rPr>
        <w:t>34.</w:t>
      </w:r>
      <w:r w:rsidRPr="00625AD6">
        <w:rPr>
          <w:sz w:val="20"/>
          <w:szCs w:val="20"/>
        </w:rPr>
        <w:tab/>
      </w:r>
      <w:r w:rsidR="00644409" w:rsidRPr="00625AD6">
        <w:rPr>
          <w:sz w:val="20"/>
        </w:rPr>
        <w:t xml:space="preserve">In 2014, the Special Representative </w:t>
      </w:r>
      <w:r w:rsidR="00E879F6" w:rsidRPr="00625AD6">
        <w:rPr>
          <w:sz w:val="20"/>
        </w:rPr>
        <w:t xml:space="preserve">of the Secretary-General </w:t>
      </w:r>
      <w:r w:rsidR="00644409" w:rsidRPr="00625AD6">
        <w:rPr>
          <w:sz w:val="20"/>
        </w:rPr>
        <w:t xml:space="preserve">on Sexual Violence in Conflict </w:t>
      </w:r>
      <w:r w:rsidR="007D3302" w:rsidRPr="00625AD6">
        <w:rPr>
          <w:sz w:val="20"/>
        </w:rPr>
        <w:t xml:space="preserve">stated that sexual violence was a consistent characteristic of the conflict in </w:t>
      </w:r>
      <w:r w:rsidR="00644409" w:rsidRPr="00625AD6">
        <w:rPr>
          <w:sz w:val="20"/>
        </w:rPr>
        <w:t>South Sudan.</w:t>
      </w:r>
      <w:r w:rsidR="007D3302" w:rsidRPr="00625AD6">
        <w:rPr>
          <w:rStyle w:val="FootnoteReference"/>
        </w:rPr>
        <w:footnoteReference w:id="6"/>
      </w:r>
      <w:r w:rsidR="00644409" w:rsidRPr="00625AD6">
        <w:rPr>
          <w:sz w:val="20"/>
        </w:rPr>
        <w:t xml:space="preserve"> With the recent </w:t>
      </w:r>
      <w:r w:rsidR="006C47E1" w:rsidRPr="00625AD6">
        <w:rPr>
          <w:sz w:val="20"/>
        </w:rPr>
        <w:t xml:space="preserve">spread </w:t>
      </w:r>
      <w:r w:rsidR="00644409" w:rsidRPr="00625AD6">
        <w:rPr>
          <w:sz w:val="20"/>
        </w:rPr>
        <w:t xml:space="preserve">of the conflict to the </w:t>
      </w:r>
      <w:proofErr w:type="spellStart"/>
      <w:r w:rsidR="00644409" w:rsidRPr="00625AD6">
        <w:rPr>
          <w:sz w:val="20"/>
        </w:rPr>
        <w:t>Equatorias</w:t>
      </w:r>
      <w:proofErr w:type="spellEnd"/>
      <w:r w:rsidR="00D27C49" w:rsidRPr="00625AD6">
        <w:rPr>
          <w:sz w:val="20"/>
        </w:rPr>
        <w:t xml:space="preserve"> and</w:t>
      </w:r>
      <w:r w:rsidR="00644409" w:rsidRPr="00625AD6">
        <w:rPr>
          <w:sz w:val="20"/>
        </w:rPr>
        <w:t xml:space="preserve"> Unity, Upper Nile and Western Bahr el Ghazal</w:t>
      </w:r>
      <w:r w:rsidR="00E879F6" w:rsidRPr="00625AD6">
        <w:rPr>
          <w:sz w:val="20"/>
        </w:rPr>
        <w:t xml:space="preserve"> State</w:t>
      </w:r>
      <w:r w:rsidR="009C2F2D" w:rsidRPr="00625AD6">
        <w:rPr>
          <w:sz w:val="20"/>
        </w:rPr>
        <w:t>s</w:t>
      </w:r>
      <w:r w:rsidR="00644409" w:rsidRPr="00625AD6">
        <w:rPr>
          <w:sz w:val="20"/>
        </w:rPr>
        <w:t xml:space="preserve">, sexual violence has </w:t>
      </w:r>
      <w:r w:rsidR="00D27C49" w:rsidRPr="00625AD6">
        <w:rPr>
          <w:sz w:val="20"/>
        </w:rPr>
        <w:t xml:space="preserve">increased even </w:t>
      </w:r>
      <w:r w:rsidR="00644409" w:rsidRPr="00625AD6">
        <w:rPr>
          <w:sz w:val="20"/>
        </w:rPr>
        <w:t xml:space="preserve">further. </w:t>
      </w:r>
      <w:r w:rsidR="00D27C49" w:rsidRPr="00625AD6">
        <w:rPr>
          <w:sz w:val="20"/>
        </w:rPr>
        <w:t xml:space="preserve">In </w:t>
      </w:r>
      <w:r w:rsidR="00644409" w:rsidRPr="00625AD6">
        <w:rPr>
          <w:sz w:val="20"/>
        </w:rPr>
        <w:t>February 2017</w:t>
      </w:r>
      <w:r w:rsidR="00D27C49" w:rsidRPr="00625AD6">
        <w:rPr>
          <w:sz w:val="20"/>
        </w:rPr>
        <w:t>, the</w:t>
      </w:r>
      <w:r w:rsidR="00644409" w:rsidRPr="00625AD6">
        <w:rPr>
          <w:sz w:val="20"/>
        </w:rPr>
        <w:t xml:space="preserve"> </w:t>
      </w:r>
      <w:r w:rsidR="00D27C49" w:rsidRPr="00625AD6">
        <w:rPr>
          <w:sz w:val="20"/>
        </w:rPr>
        <w:t xml:space="preserve">South Sudan </w:t>
      </w:r>
      <w:r w:rsidR="00644409" w:rsidRPr="00625AD6">
        <w:rPr>
          <w:sz w:val="20"/>
        </w:rPr>
        <w:t xml:space="preserve">Protection </w:t>
      </w:r>
      <w:r w:rsidR="00D27C49" w:rsidRPr="00625AD6">
        <w:rPr>
          <w:sz w:val="20"/>
        </w:rPr>
        <w:t xml:space="preserve">Cluster </w:t>
      </w:r>
      <w:r w:rsidR="00644409" w:rsidRPr="00625AD6">
        <w:rPr>
          <w:sz w:val="20"/>
        </w:rPr>
        <w:t>report</w:t>
      </w:r>
      <w:r w:rsidR="00D27C49" w:rsidRPr="00625AD6">
        <w:rPr>
          <w:sz w:val="20"/>
        </w:rPr>
        <w:t>ed</w:t>
      </w:r>
      <w:r w:rsidR="00644409" w:rsidRPr="00625AD6">
        <w:rPr>
          <w:sz w:val="20"/>
        </w:rPr>
        <w:t xml:space="preserve"> a staggering 61</w:t>
      </w:r>
      <w:r w:rsidR="00D27C49" w:rsidRPr="00625AD6">
        <w:rPr>
          <w:sz w:val="20"/>
        </w:rPr>
        <w:t xml:space="preserve"> per cent</w:t>
      </w:r>
      <w:r w:rsidR="00644409" w:rsidRPr="00625AD6">
        <w:rPr>
          <w:sz w:val="20"/>
        </w:rPr>
        <w:t xml:space="preserve"> increase in </w:t>
      </w:r>
      <w:r w:rsidR="00D27C49" w:rsidRPr="00625AD6">
        <w:rPr>
          <w:sz w:val="20"/>
        </w:rPr>
        <w:t xml:space="preserve">the number of cases of </w:t>
      </w:r>
      <w:r w:rsidR="00644409" w:rsidRPr="00625AD6">
        <w:rPr>
          <w:sz w:val="20"/>
        </w:rPr>
        <w:t xml:space="preserve">sexual </w:t>
      </w:r>
      <w:r w:rsidR="00D27C49" w:rsidRPr="00625AD6">
        <w:rPr>
          <w:sz w:val="20"/>
        </w:rPr>
        <w:t xml:space="preserve">or </w:t>
      </w:r>
      <w:r w:rsidR="00644409" w:rsidRPr="00625AD6">
        <w:rPr>
          <w:sz w:val="20"/>
        </w:rPr>
        <w:t>gender</w:t>
      </w:r>
      <w:r w:rsidR="00D27C49" w:rsidRPr="00625AD6">
        <w:rPr>
          <w:sz w:val="20"/>
        </w:rPr>
        <w:t>-</w:t>
      </w:r>
      <w:r w:rsidR="00644409" w:rsidRPr="00625AD6">
        <w:rPr>
          <w:sz w:val="20"/>
        </w:rPr>
        <w:t>based violence reported between 2015 and 2016.</w:t>
      </w:r>
      <w:r w:rsidR="00D27C49" w:rsidRPr="00625AD6">
        <w:rPr>
          <w:rStyle w:val="FootnoteReference"/>
          <w:szCs w:val="18"/>
        </w:rPr>
        <w:footnoteReference w:id="7"/>
      </w:r>
    </w:p>
    <w:p w:rsidR="00507944" w:rsidRPr="00625AD6" w:rsidRDefault="00625AD6" w:rsidP="00625AD6">
      <w:pPr>
        <w:pStyle w:val="SingleTxtG"/>
        <w:tabs>
          <w:tab w:val="left" w:pos="1701"/>
        </w:tabs>
        <w:rPr>
          <w:sz w:val="20"/>
        </w:rPr>
      </w:pPr>
      <w:proofErr w:type="gramStart"/>
      <w:r w:rsidRPr="00625AD6">
        <w:rPr>
          <w:sz w:val="20"/>
          <w:szCs w:val="20"/>
        </w:rPr>
        <w:t>35.</w:t>
      </w:r>
      <w:r w:rsidRPr="00625AD6">
        <w:rPr>
          <w:sz w:val="20"/>
          <w:szCs w:val="20"/>
        </w:rPr>
        <w:tab/>
      </w:r>
      <w:r w:rsidR="00644409" w:rsidRPr="00625AD6">
        <w:rPr>
          <w:sz w:val="20"/>
        </w:rPr>
        <w:t xml:space="preserve">In the </w:t>
      </w:r>
      <w:r w:rsidR="00C65107" w:rsidRPr="00625AD6">
        <w:rPr>
          <w:sz w:val="20"/>
        </w:rPr>
        <w:t xml:space="preserve">Protection Strategy baseline survey conducted by the United Nations Population Fund (UNFPA) on behalf of the humanitarian country team in October and November 2015 in four protection-of-civilians sites in </w:t>
      </w:r>
      <w:r w:rsidR="00644409" w:rsidRPr="00625AD6">
        <w:rPr>
          <w:sz w:val="20"/>
        </w:rPr>
        <w:t xml:space="preserve">Juba, </w:t>
      </w:r>
      <w:r w:rsidR="00C65107" w:rsidRPr="00625AD6">
        <w:rPr>
          <w:sz w:val="20"/>
        </w:rPr>
        <w:t>it was</w:t>
      </w:r>
      <w:r w:rsidR="00644409" w:rsidRPr="00625AD6">
        <w:rPr>
          <w:sz w:val="20"/>
        </w:rPr>
        <w:t xml:space="preserve"> found </w:t>
      </w:r>
      <w:r w:rsidR="00C65107" w:rsidRPr="00625AD6">
        <w:rPr>
          <w:sz w:val="20"/>
        </w:rPr>
        <w:t xml:space="preserve">that </w:t>
      </w:r>
      <w:r w:rsidR="00644409" w:rsidRPr="00625AD6">
        <w:rPr>
          <w:sz w:val="20"/>
        </w:rPr>
        <w:t>72</w:t>
      </w:r>
      <w:r w:rsidR="00C65107" w:rsidRPr="00625AD6">
        <w:rPr>
          <w:sz w:val="20"/>
        </w:rPr>
        <w:t xml:space="preserve"> per cent</w:t>
      </w:r>
      <w:r w:rsidR="00644409" w:rsidRPr="00625AD6">
        <w:rPr>
          <w:sz w:val="20"/>
        </w:rPr>
        <w:t xml:space="preserve"> of women </w:t>
      </w:r>
      <w:r w:rsidR="00C65107" w:rsidRPr="00625AD6">
        <w:rPr>
          <w:sz w:val="20"/>
        </w:rPr>
        <w:t xml:space="preserve">had </w:t>
      </w:r>
      <w:r w:rsidR="00644409" w:rsidRPr="00625AD6">
        <w:rPr>
          <w:sz w:val="20"/>
        </w:rPr>
        <w:t xml:space="preserve">reported having been raped since the conflict </w:t>
      </w:r>
      <w:r w:rsidR="00C65107" w:rsidRPr="00625AD6">
        <w:rPr>
          <w:sz w:val="20"/>
        </w:rPr>
        <w:t xml:space="preserve">broke out </w:t>
      </w:r>
      <w:r w:rsidR="00644409" w:rsidRPr="00625AD6">
        <w:rPr>
          <w:sz w:val="20"/>
        </w:rPr>
        <w:t>– the vast majority of the</w:t>
      </w:r>
      <w:r w:rsidR="00C65107" w:rsidRPr="00625AD6">
        <w:rPr>
          <w:sz w:val="20"/>
        </w:rPr>
        <w:t xml:space="preserve"> cases</w:t>
      </w:r>
      <w:r w:rsidR="00644409" w:rsidRPr="00625AD6">
        <w:rPr>
          <w:sz w:val="20"/>
        </w:rPr>
        <w:t xml:space="preserve"> committed by police or soldiers </w:t>
      </w:r>
      <w:r w:rsidR="00C65107" w:rsidRPr="00625AD6">
        <w:rPr>
          <w:sz w:val="20"/>
        </w:rPr>
        <w:t>–</w:t>
      </w:r>
      <w:r w:rsidR="00644409" w:rsidRPr="00625AD6">
        <w:rPr>
          <w:sz w:val="20"/>
        </w:rPr>
        <w:t xml:space="preserve"> and</w:t>
      </w:r>
      <w:r w:rsidR="00C65107" w:rsidRPr="00625AD6">
        <w:rPr>
          <w:sz w:val="20"/>
        </w:rPr>
        <w:t xml:space="preserve"> that</w:t>
      </w:r>
      <w:r w:rsidR="00644409" w:rsidRPr="00625AD6">
        <w:rPr>
          <w:sz w:val="20"/>
        </w:rPr>
        <w:t xml:space="preserve"> a staggering 75</w:t>
      </w:r>
      <w:r w:rsidR="00C65107" w:rsidRPr="00625AD6">
        <w:rPr>
          <w:sz w:val="20"/>
        </w:rPr>
        <w:t xml:space="preserve"> per cent</w:t>
      </w:r>
      <w:r w:rsidR="00644409" w:rsidRPr="00625AD6">
        <w:rPr>
          <w:sz w:val="20"/>
        </w:rPr>
        <w:t xml:space="preserve"> had been forced to watch someone else being sexually violated</w:t>
      </w:r>
      <w:r w:rsidR="001E6AA0" w:rsidRPr="00625AD6">
        <w:rPr>
          <w:sz w:val="20"/>
        </w:rPr>
        <w:t>.</w:t>
      </w:r>
      <w:proofErr w:type="gramEnd"/>
      <w:r w:rsidR="00644409" w:rsidRPr="00625AD6">
        <w:rPr>
          <w:sz w:val="20"/>
        </w:rPr>
        <w:t xml:space="preserve"> In July 2016</w:t>
      </w:r>
      <w:r w:rsidR="001E6AA0" w:rsidRPr="00625AD6">
        <w:rPr>
          <w:sz w:val="20"/>
        </w:rPr>
        <w:t>, in Juba</w:t>
      </w:r>
      <w:r w:rsidR="00644409" w:rsidRPr="00625AD6">
        <w:rPr>
          <w:sz w:val="20"/>
        </w:rPr>
        <w:t xml:space="preserve">, UNMISS documented 217 </w:t>
      </w:r>
      <w:r w:rsidR="00A4044E" w:rsidRPr="00625AD6">
        <w:rPr>
          <w:sz w:val="20"/>
        </w:rPr>
        <w:t xml:space="preserve">cases </w:t>
      </w:r>
      <w:r w:rsidR="00644409" w:rsidRPr="00625AD6">
        <w:rPr>
          <w:sz w:val="20"/>
        </w:rPr>
        <w:t>of rape, including gang</w:t>
      </w:r>
      <w:r w:rsidR="006C6664" w:rsidRPr="00625AD6">
        <w:rPr>
          <w:sz w:val="20"/>
        </w:rPr>
        <w:t xml:space="preserve"> </w:t>
      </w:r>
      <w:r w:rsidR="00644409" w:rsidRPr="00625AD6">
        <w:rPr>
          <w:sz w:val="20"/>
        </w:rPr>
        <w:t xml:space="preserve">rape, </w:t>
      </w:r>
      <w:r w:rsidR="00A4044E" w:rsidRPr="00625AD6">
        <w:rPr>
          <w:sz w:val="20"/>
        </w:rPr>
        <w:t>committed</w:t>
      </w:r>
      <w:r w:rsidR="00644409" w:rsidRPr="00625AD6">
        <w:rPr>
          <w:sz w:val="20"/>
        </w:rPr>
        <w:t xml:space="preserve"> at government checkpoints erected across the city and during house-to-house searches by SPLA soldiers.</w:t>
      </w:r>
      <w:r w:rsidR="00D345C0" w:rsidRPr="00625AD6">
        <w:rPr>
          <w:rStyle w:val="FootnoteReference"/>
          <w:szCs w:val="18"/>
        </w:rPr>
        <w:footnoteReference w:id="8"/>
      </w:r>
      <w:r w:rsidR="00644409" w:rsidRPr="00625AD6">
        <w:rPr>
          <w:sz w:val="20"/>
        </w:rPr>
        <w:t xml:space="preserve"> On 16 January 2017, UNMISS and OHCHR published a report on the violations perpetrated during the fighting in Juba</w:t>
      </w:r>
      <w:r w:rsidR="004027F5" w:rsidRPr="00625AD6">
        <w:rPr>
          <w:sz w:val="20"/>
        </w:rPr>
        <w:t>, in which they noted</w:t>
      </w:r>
      <w:r w:rsidR="00644409" w:rsidRPr="00625AD6">
        <w:rPr>
          <w:sz w:val="20"/>
        </w:rPr>
        <w:t xml:space="preserve"> that sexual violence </w:t>
      </w:r>
      <w:r w:rsidR="004027F5" w:rsidRPr="00625AD6">
        <w:rPr>
          <w:sz w:val="20"/>
        </w:rPr>
        <w:t xml:space="preserve">had been </w:t>
      </w:r>
      <w:r w:rsidR="00644409" w:rsidRPr="00625AD6">
        <w:rPr>
          <w:sz w:val="20"/>
        </w:rPr>
        <w:t xml:space="preserve">mainly perpetrated by SPLA, </w:t>
      </w:r>
      <w:r w:rsidR="004F5206" w:rsidRPr="00625AD6">
        <w:rPr>
          <w:sz w:val="20"/>
        </w:rPr>
        <w:t xml:space="preserve">SPLM/A in Opposition </w:t>
      </w:r>
      <w:r w:rsidR="00644409" w:rsidRPr="00625AD6">
        <w:rPr>
          <w:sz w:val="20"/>
        </w:rPr>
        <w:t>and armed groups aligned to them, members of the National Security Services and the police</w:t>
      </w:r>
      <w:r w:rsidR="004027F5" w:rsidRPr="00625AD6">
        <w:rPr>
          <w:sz w:val="20"/>
        </w:rPr>
        <w:t>.</w:t>
      </w:r>
      <w:r w:rsidR="008C6EE5" w:rsidRPr="00625AD6">
        <w:rPr>
          <w:rStyle w:val="FootnoteReference"/>
          <w:szCs w:val="18"/>
        </w:rPr>
        <w:footnoteReference w:id="9"/>
      </w:r>
      <w:r w:rsidR="00644409" w:rsidRPr="00625AD6">
        <w:rPr>
          <w:sz w:val="20"/>
        </w:rPr>
        <w:t xml:space="preserve"> </w:t>
      </w:r>
    </w:p>
    <w:p w:rsidR="00507944" w:rsidRPr="00625AD6" w:rsidRDefault="00625AD6" w:rsidP="00625AD6">
      <w:pPr>
        <w:pStyle w:val="SingleTxtG"/>
        <w:tabs>
          <w:tab w:val="left" w:pos="1701"/>
        </w:tabs>
        <w:rPr>
          <w:sz w:val="20"/>
        </w:rPr>
      </w:pPr>
      <w:r w:rsidRPr="00625AD6">
        <w:rPr>
          <w:sz w:val="20"/>
          <w:szCs w:val="20"/>
        </w:rPr>
        <w:t>36.</w:t>
      </w:r>
      <w:r w:rsidRPr="00625AD6">
        <w:rPr>
          <w:sz w:val="20"/>
          <w:szCs w:val="20"/>
        </w:rPr>
        <w:tab/>
      </w:r>
      <w:r w:rsidR="00644409" w:rsidRPr="00625AD6">
        <w:rPr>
          <w:sz w:val="20"/>
        </w:rPr>
        <w:t xml:space="preserve">Women described to the Commission how </w:t>
      </w:r>
      <w:r w:rsidR="004027F5" w:rsidRPr="00625AD6">
        <w:rPr>
          <w:sz w:val="20"/>
        </w:rPr>
        <w:t xml:space="preserve">they were attacked and in many cases raped </w:t>
      </w:r>
      <w:r w:rsidR="00644409" w:rsidRPr="00625AD6">
        <w:rPr>
          <w:sz w:val="20"/>
        </w:rPr>
        <w:t xml:space="preserve">when they went outside the UNMISS </w:t>
      </w:r>
      <w:r w:rsidR="004027F5" w:rsidRPr="00625AD6">
        <w:rPr>
          <w:sz w:val="20"/>
        </w:rPr>
        <w:t xml:space="preserve">protection-of-civilians </w:t>
      </w:r>
      <w:r w:rsidR="00644409" w:rsidRPr="00625AD6">
        <w:rPr>
          <w:sz w:val="20"/>
        </w:rPr>
        <w:t xml:space="preserve">site in Juba. </w:t>
      </w:r>
      <w:r w:rsidR="004027F5" w:rsidRPr="00625AD6">
        <w:rPr>
          <w:sz w:val="20"/>
        </w:rPr>
        <w:t xml:space="preserve">One </w:t>
      </w:r>
      <w:r w:rsidR="00644409" w:rsidRPr="00625AD6">
        <w:rPr>
          <w:sz w:val="20"/>
        </w:rPr>
        <w:t xml:space="preserve">survivor </w:t>
      </w:r>
      <w:r w:rsidR="004027F5" w:rsidRPr="00625AD6">
        <w:rPr>
          <w:sz w:val="20"/>
        </w:rPr>
        <w:t xml:space="preserve">recounted to </w:t>
      </w:r>
      <w:r w:rsidR="00644409" w:rsidRPr="00625AD6">
        <w:rPr>
          <w:sz w:val="20"/>
        </w:rPr>
        <w:t xml:space="preserve">the Commission how she </w:t>
      </w:r>
      <w:r w:rsidR="004027F5" w:rsidRPr="00625AD6">
        <w:rPr>
          <w:sz w:val="20"/>
        </w:rPr>
        <w:t xml:space="preserve">had </w:t>
      </w:r>
      <w:r w:rsidR="00644409" w:rsidRPr="00625AD6">
        <w:rPr>
          <w:sz w:val="20"/>
        </w:rPr>
        <w:t>witnessed the rape of a woman</w:t>
      </w:r>
      <w:r w:rsidR="004027F5" w:rsidRPr="00625AD6">
        <w:rPr>
          <w:sz w:val="20"/>
        </w:rPr>
        <w:t>,</w:t>
      </w:r>
      <w:r w:rsidR="00644409" w:rsidRPr="00625AD6">
        <w:rPr>
          <w:sz w:val="20"/>
        </w:rPr>
        <w:t xml:space="preserve"> who begged the perpetrators to kill her instead. After raping the woman, soldiers cut her genitalia and left her for dead as punishment for </w:t>
      </w:r>
      <w:r w:rsidR="004027F5" w:rsidRPr="00625AD6">
        <w:rPr>
          <w:sz w:val="20"/>
        </w:rPr>
        <w:t>“</w:t>
      </w:r>
      <w:r w:rsidR="00644409" w:rsidRPr="00625AD6">
        <w:rPr>
          <w:sz w:val="20"/>
        </w:rPr>
        <w:t xml:space="preserve">being stubborn”. The same survivor told the Commission she had suffered anal rape in July 2016 that left her </w:t>
      </w:r>
      <w:r w:rsidR="004027F5" w:rsidRPr="00625AD6">
        <w:rPr>
          <w:sz w:val="20"/>
        </w:rPr>
        <w:t>incontinent</w:t>
      </w:r>
      <w:r w:rsidR="00644409" w:rsidRPr="00625AD6">
        <w:rPr>
          <w:sz w:val="20"/>
        </w:rPr>
        <w:t xml:space="preserve">. When the Commission met her in December 2016, she still had not </w:t>
      </w:r>
      <w:r w:rsidR="004027F5" w:rsidRPr="00625AD6">
        <w:rPr>
          <w:sz w:val="20"/>
        </w:rPr>
        <w:t xml:space="preserve">had </w:t>
      </w:r>
      <w:r w:rsidR="00644409" w:rsidRPr="00625AD6">
        <w:rPr>
          <w:sz w:val="20"/>
        </w:rPr>
        <w:t xml:space="preserve">access </w:t>
      </w:r>
      <w:r w:rsidR="004027F5" w:rsidRPr="00625AD6">
        <w:rPr>
          <w:sz w:val="20"/>
        </w:rPr>
        <w:t xml:space="preserve">to </w:t>
      </w:r>
      <w:r w:rsidR="00644409" w:rsidRPr="00625AD6">
        <w:rPr>
          <w:sz w:val="20"/>
        </w:rPr>
        <w:t>medical attention.</w:t>
      </w:r>
    </w:p>
    <w:p w:rsidR="00507944" w:rsidRPr="00625AD6" w:rsidRDefault="00625AD6" w:rsidP="00625AD6">
      <w:pPr>
        <w:pStyle w:val="SingleTxtG"/>
        <w:tabs>
          <w:tab w:val="left" w:pos="1701"/>
        </w:tabs>
        <w:rPr>
          <w:sz w:val="20"/>
        </w:rPr>
      </w:pPr>
      <w:r w:rsidRPr="00625AD6">
        <w:rPr>
          <w:sz w:val="20"/>
          <w:szCs w:val="20"/>
        </w:rPr>
        <w:t>37.</w:t>
      </w:r>
      <w:r w:rsidRPr="00625AD6">
        <w:rPr>
          <w:sz w:val="20"/>
          <w:szCs w:val="20"/>
        </w:rPr>
        <w:tab/>
      </w:r>
      <w:r w:rsidR="00644409" w:rsidRPr="00625AD6">
        <w:rPr>
          <w:sz w:val="20"/>
        </w:rPr>
        <w:t>SPLA soldiers and militia also raped foreign aid workers during the clashes in Juba</w:t>
      </w:r>
      <w:r w:rsidR="004027F5" w:rsidRPr="00625AD6">
        <w:rPr>
          <w:sz w:val="20"/>
        </w:rPr>
        <w:t xml:space="preserve"> in July 2016</w:t>
      </w:r>
      <w:r w:rsidR="00644409" w:rsidRPr="00625AD6">
        <w:rPr>
          <w:sz w:val="20"/>
        </w:rPr>
        <w:t xml:space="preserve">. </w:t>
      </w:r>
      <w:r w:rsidR="004027F5" w:rsidRPr="00625AD6">
        <w:rPr>
          <w:sz w:val="20"/>
        </w:rPr>
        <w:t xml:space="preserve">One </w:t>
      </w:r>
      <w:r w:rsidR="00644409" w:rsidRPr="00625AD6">
        <w:rPr>
          <w:sz w:val="20"/>
        </w:rPr>
        <w:t>victim told the Commission how</w:t>
      </w:r>
      <w:r w:rsidR="004027F5" w:rsidRPr="00625AD6">
        <w:rPr>
          <w:sz w:val="20"/>
        </w:rPr>
        <w:t>,</w:t>
      </w:r>
      <w:r w:rsidR="00644409" w:rsidRPr="00625AD6">
        <w:rPr>
          <w:sz w:val="20"/>
        </w:rPr>
        <w:t xml:space="preserve"> </w:t>
      </w:r>
      <w:r w:rsidR="004027F5" w:rsidRPr="00625AD6">
        <w:rPr>
          <w:sz w:val="20"/>
        </w:rPr>
        <w:t xml:space="preserve">on 11 July 2016, </w:t>
      </w:r>
      <w:r w:rsidR="00644409" w:rsidRPr="00625AD6">
        <w:rPr>
          <w:sz w:val="20"/>
        </w:rPr>
        <w:t xml:space="preserve">she and other women </w:t>
      </w:r>
      <w:r w:rsidR="004027F5" w:rsidRPr="00625AD6">
        <w:rPr>
          <w:sz w:val="20"/>
        </w:rPr>
        <w:t xml:space="preserve">had been </w:t>
      </w:r>
      <w:r w:rsidR="00644409" w:rsidRPr="00625AD6">
        <w:rPr>
          <w:sz w:val="20"/>
        </w:rPr>
        <w:t>dragged from their hiding places in the Terrain Hotel</w:t>
      </w:r>
      <w:r w:rsidR="004027F5" w:rsidRPr="00625AD6">
        <w:rPr>
          <w:sz w:val="20"/>
        </w:rPr>
        <w:t>,</w:t>
      </w:r>
      <w:r w:rsidR="00644409" w:rsidRPr="00625AD6">
        <w:rPr>
          <w:sz w:val="20"/>
        </w:rPr>
        <w:t xml:space="preserve"> </w:t>
      </w:r>
      <w:proofErr w:type="gramStart"/>
      <w:r w:rsidR="00644409" w:rsidRPr="00625AD6">
        <w:rPr>
          <w:sz w:val="20"/>
        </w:rPr>
        <w:t>separated and taken to different rooms by SPLA soldiers</w:t>
      </w:r>
      <w:proofErr w:type="gramEnd"/>
      <w:r w:rsidR="00644409" w:rsidRPr="00625AD6">
        <w:rPr>
          <w:sz w:val="20"/>
        </w:rPr>
        <w:t xml:space="preserve"> and gang</w:t>
      </w:r>
      <w:r w:rsidR="006C6664" w:rsidRPr="00625AD6">
        <w:rPr>
          <w:sz w:val="20"/>
        </w:rPr>
        <w:t>-</w:t>
      </w:r>
      <w:r w:rsidR="00644409" w:rsidRPr="00625AD6">
        <w:rPr>
          <w:sz w:val="20"/>
        </w:rPr>
        <w:t xml:space="preserve">raped. </w:t>
      </w:r>
      <w:proofErr w:type="gramStart"/>
      <w:r w:rsidR="00644409" w:rsidRPr="00625AD6">
        <w:rPr>
          <w:sz w:val="20"/>
        </w:rPr>
        <w:t>No-one</w:t>
      </w:r>
      <w:proofErr w:type="gramEnd"/>
      <w:r w:rsidR="00644409" w:rsidRPr="00625AD6">
        <w:rPr>
          <w:sz w:val="20"/>
        </w:rPr>
        <w:t xml:space="preserve"> responded to their calls for assistance</w:t>
      </w:r>
      <w:r w:rsidR="00AB6732" w:rsidRPr="00625AD6">
        <w:rPr>
          <w:sz w:val="20"/>
        </w:rPr>
        <w:t>;</w:t>
      </w:r>
      <w:r w:rsidR="00644409" w:rsidRPr="00625AD6">
        <w:rPr>
          <w:sz w:val="20"/>
        </w:rPr>
        <w:t xml:space="preserve"> they were </w:t>
      </w:r>
      <w:r w:rsidR="00AB6732" w:rsidRPr="00625AD6">
        <w:rPr>
          <w:sz w:val="20"/>
        </w:rPr>
        <w:t>eventually rescued the following day</w:t>
      </w:r>
      <w:r w:rsidR="00644409" w:rsidRPr="00625AD6">
        <w:rPr>
          <w:sz w:val="20"/>
        </w:rPr>
        <w:t>.</w:t>
      </w:r>
      <w:r w:rsidR="00974932" w:rsidRPr="00625AD6">
        <w:rPr>
          <w:sz w:val="20"/>
        </w:rPr>
        <w:t xml:space="preserve"> </w:t>
      </w:r>
    </w:p>
    <w:p w:rsidR="00507944" w:rsidRPr="00625AD6" w:rsidRDefault="00625AD6" w:rsidP="00625AD6">
      <w:pPr>
        <w:pStyle w:val="SingleTxtG"/>
        <w:tabs>
          <w:tab w:val="left" w:pos="1701"/>
        </w:tabs>
        <w:rPr>
          <w:sz w:val="20"/>
        </w:rPr>
      </w:pPr>
      <w:r w:rsidRPr="00625AD6">
        <w:rPr>
          <w:sz w:val="20"/>
          <w:szCs w:val="20"/>
        </w:rPr>
        <w:t>38.</w:t>
      </w:r>
      <w:r w:rsidRPr="00625AD6">
        <w:rPr>
          <w:sz w:val="20"/>
          <w:szCs w:val="20"/>
        </w:rPr>
        <w:tab/>
      </w:r>
      <w:r w:rsidR="00644409" w:rsidRPr="00625AD6">
        <w:rPr>
          <w:sz w:val="20"/>
        </w:rPr>
        <w:t>Women continue to face enormous risk of sexual violence</w:t>
      </w:r>
      <w:r w:rsidR="004027F5" w:rsidRPr="00625AD6">
        <w:rPr>
          <w:sz w:val="20"/>
        </w:rPr>
        <w:t>,</w:t>
      </w:r>
      <w:r w:rsidR="00644409" w:rsidRPr="00625AD6">
        <w:rPr>
          <w:sz w:val="20"/>
        </w:rPr>
        <w:t xml:space="preserve"> including gang rape. The Commission heard testimon</w:t>
      </w:r>
      <w:r w:rsidR="004027F5" w:rsidRPr="00625AD6">
        <w:rPr>
          <w:sz w:val="20"/>
        </w:rPr>
        <w:t>y</w:t>
      </w:r>
      <w:r w:rsidR="00644409" w:rsidRPr="00625AD6">
        <w:rPr>
          <w:sz w:val="20"/>
        </w:rPr>
        <w:t xml:space="preserve"> of rape and gang rape in the Greater Upper Nile and Equatoria regions, including how rape </w:t>
      </w:r>
      <w:proofErr w:type="gramStart"/>
      <w:r w:rsidR="00644409" w:rsidRPr="00625AD6">
        <w:rPr>
          <w:sz w:val="20"/>
        </w:rPr>
        <w:t>had become linked</w:t>
      </w:r>
      <w:proofErr w:type="gramEnd"/>
      <w:r w:rsidR="00644409" w:rsidRPr="00625AD6">
        <w:rPr>
          <w:sz w:val="20"/>
        </w:rPr>
        <w:t xml:space="preserve"> to robbery, looting</w:t>
      </w:r>
      <w:r w:rsidR="004027F5" w:rsidRPr="00625AD6">
        <w:rPr>
          <w:sz w:val="20"/>
        </w:rPr>
        <w:t xml:space="preserve"> and</w:t>
      </w:r>
      <w:r w:rsidR="00644409" w:rsidRPr="00625AD6">
        <w:rPr>
          <w:sz w:val="20"/>
        </w:rPr>
        <w:t xml:space="preserve"> killing</w:t>
      </w:r>
      <w:r w:rsidR="004027F5" w:rsidRPr="00625AD6">
        <w:rPr>
          <w:sz w:val="20"/>
        </w:rPr>
        <w:t>,</w:t>
      </w:r>
      <w:r w:rsidR="00644409" w:rsidRPr="00625AD6">
        <w:rPr>
          <w:sz w:val="20"/>
        </w:rPr>
        <w:t xml:space="preserve"> and </w:t>
      </w:r>
      <w:r w:rsidR="004027F5" w:rsidRPr="00625AD6">
        <w:rPr>
          <w:sz w:val="20"/>
        </w:rPr>
        <w:t xml:space="preserve">the </w:t>
      </w:r>
      <w:r w:rsidR="00644409" w:rsidRPr="00625AD6">
        <w:rPr>
          <w:sz w:val="20"/>
        </w:rPr>
        <w:t xml:space="preserve">destruction of property. </w:t>
      </w:r>
      <w:r w:rsidR="004027F5" w:rsidRPr="00625AD6">
        <w:rPr>
          <w:sz w:val="20"/>
        </w:rPr>
        <w:t xml:space="preserve">One </w:t>
      </w:r>
      <w:r w:rsidR="00644409" w:rsidRPr="00625AD6">
        <w:rPr>
          <w:sz w:val="20"/>
        </w:rPr>
        <w:t xml:space="preserve">woman described how she and five others </w:t>
      </w:r>
      <w:proofErr w:type="gramStart"/>
      <w:r w:rsidR="004027F5" w:rsidRPr="00625AD6">
        <w:rPr>
          <w:sz w:val="20"/>
        </w:rPr>
        <w:t>had been seized</w:t>
      </w:r>
      <w:proofErr w:type="gramEnd"/>
      <w:r w:rsidR="00644409" w:rsidRPr="00625AD6">
        <w:rPr>
          <w:sz w:val="20"/>
        </w:rPr>
        <w:t>, dragged to the bushes, violently beaten and gang</w:t>
      </w:r>
      <w:r w:rsidR="006C6664" w:rsidRPr="00625AD6">
        <w:rPr>
          <w:sz w:val="20"/>
        </w:rPr>
        <w:t>-</w:t>
      </w:r>
      <w:r w:rsidR="00644409" w:rsidRPr="00625AD6">
        <w:rPr>
          <w:sz w:val="20"/>
        </w:rPr>
        <w:t>raped by seven SPLA soldiers</w:t>
      </w:r>
      <w:r w:rsidR="004027F5" w:rsidRPr="00625AD6">
        <w:rPr>
          <w:sz w:val="20"/>
        </w:rPr>
        <w:t>,</w:t>
      </w:r>
      <w:r w:rsidR="00644409" w:rsidRPr="00625AD6">
        <w:rPr>
          <w:sz w:val="20"/>
        </w:rPr>
        <w:t xml:space="preserve"> who tied them to a tree during the ordeal. One </w:t>
      </w:r>
      <w:r w:rsidR="004027F5" w:rsidRPr="00625AD6">
        <w:rPr>
          <w:sz w:val="20"/>
        </w:rPr>
        <w:t xml:space="preserve">of the women </w:t>
      </w:r>
      <w:r w:rsidR="00644409" w:rsidRPr="00625AD6">
        <w:rPr>
          <w:sz w:val="20"/>
        </w:rPr>
        <w:t xml:space="preserve">was five months pregnant </w:t>
      </w:r>
      <w:r w:rsidR="004027F5" w:rsidRPr="00625AD6">
        <w:rPr>
          <w:sz w:val="20"/>
        </w:rPr>
        <w:t xml:space="preserve">at the time, and consequently </w:t>
      </w:r>
      <w:r w:rsidR="00644409" w:rsidRPr="00625AD6">
        <w:rPr>
          <w:sz w:val="20"/>
        </w:rPr>
        <w:t xml:space="preserve">miscarried three weeks later. </w:t>
      </w:r>
    </w:p>
    <w:p w:rsidR="00507944" w:rsidRPr="00625AD6" w:rsidRDefault="00625AD6" w:rsidP="00625AD6">
      <w:pPr>
        <w:pStyle w:val="SingleTxtG"/>
        <w:tabs>
          <w:tab w:val="left" w:pos="1701"/>
        </w:tabs>
        <w:rPr>
          <w:sz w:val="20"/>
        </w:rPr>
      </w:pPr>
      <w:r w:rsidRPr="00625AD6">
        <w:rPr>
          <w:sz w:val="20"/>
          <w:szCs w:val="20"/>
        </w:rPr>
        <w:t>39.</w:t>
      </w:r>
      <w:r w:rsidRPr="00625AD6">
        <w:rPr>
          <w:sz w:val="20"/>
          <w:szCs w:val="20"/>
        </w:rPr>
        <w:tab/>
      </w:r>
      <w:r w:rsidR="00644409" w:rsidRPr="00625AD6">
        <w:rPr>
          <w:sz w:val="20"/>
        </w:rPr>
        <w:t xml:space="preserve">Post-rape medical assistance is </w:t>
      </w:r>
      <w:r w:rsidR="00C55243" w:rsidRPr="00625AD6">
        <w:rPr>
          <w:sz w:val="20"/>
        </w:rPr>
        <w:t xml:space="preserve">grossly </w:t>
      </w:r>
      <w:r w:rsidR="00644409" w:rsidRPr="00625AD6">
        <w:rPr>
          <w:sz w:val="20"/>
        </w:rPr>
        <w:t xml:space="preserve">inadequate. Several women the Commission met had not received essential medical assistance for the </w:t>
      </w:r>
      <w:r w:rsidR="00DB060F" w:rsidRPr="00625AD6">
        <w:rPr>
          <w:sz w:val="20"/>
        </w:rPr>
        <w:t xml:space="preserve">injuries that </w:t>
      </w:r>
      <w:r w:rsidR="00644409" w:rsidRPr="00625AD6">
        <w:rPr>
          <w:sz w:val="20"/>
        </w:rPr>
        <w:t xml:space="preserve">they </w:t>
      </w:r>
      <w:r w:rsidR="00DB060F" w:rsidRPr="00625AD6">
        <w:rPr>
          <w:sz w:val="20"/>
        </w:rPr>
        <w:t xml:space="preserve">had </w:t>
      </w:r>
      <w:r w:rsidR="00644409" w:rsidRPr="00625AD6">
        <w:rPr>
          <w:sz w:val="20"/>
        </w:rPr>
        <w:t xml:space="preserve">sustained </w:t>
      </w:r>
      <w:proofErr w:type="gramStart"/>
      <w:r w:rsidR="00644409" w:rsidRPr="00625AD6">
        <w:rPr>
          <w:sz w:val="20"/>
        </w:rPr>
        <w:t>as a result</w:t>
      </w:r>
      <w:proofErr w:type="gramEnd"/>
      <w:r w:rsidR="00644409" w:rsidRPr="00625AD6">
        <w:rPr>
          <w:sz w:val="20"/>
        </w:rPr>
        <w:t xml:space="preserve"> of rape, gang rape, beating, sexual assault </w:t>
      </w:r>
      <w:r w:rsidR="00DB060F" w:rsidRPr="00625AD6">
        <w:rPr>
          <w:sz w:val="20"/>
        </w:rPr>
        <w:t xml:space="preserve">or </w:t>
      </w:r>
      <w:r w:rsidR="00644409" w:rsidRPr="00625AD6">
        <w:rPr>
          <w:sz w:val="20"/>
        </w:rPr>
        <w:t>other violence</w:t>
      </w:r>
      <w:r w:rsidR="00DB060F" w:rsidRPr="00625AD6">
        <w:rPr>
          <w:sz w:val="20"/>
        </w:rPr>
        <w:t>;</w:t>
      </w:r>
      <w:r w:rsidR="00644409" w:rsidRPr="00625AD6">
        <w:rPr>
          <w:sz w:val="20"/>
        </w:rPr>
        <w:t xml:space="preserve"> many </w:t>
      </w:r>
      <w:r w:rsidR="00DB060F" w:rsidRPr="00625AD6">
        <w:rPr>
          <w:sz w:val="20"/>
        </w:rPr>
        <w:t xml:space="preserve">had </w:t>
      </w:r>
      <w:r w:rsidR="00644409" w:rsidRPr="00625AD6">
        <w:rPr>
          <w:sz w:val="20"/>
        </w:rPr>
        <w:t>suffer</w:t>
      </w:r>
      <w:r w:rsidR="00DB060F" w:rsidRPr="00625AD6">
        <w:rPr>
          <w:sz w:val="20"/>
        </w:rPr>
        <w:t>ed</w:t>
      </w:r>
      <w:r w:rsidR="00644409" w:rsidRPr="00625AD6">
        <w:rPr>
          <w:sz w:val="20"/>
        </w:rPr>
        <w:t xml:space="preserve"> significant damage to their reproductive organs. Many women do not </w:t>
      </w:r>
      <w:r w:rsidR="00DB060F" w:rsidRPr="00625AD6">
        <w:rPr>
          <w:sz w:val="20"/>
        </w:rPr>
        <w:t xml:space="preserve">report </w:t>
      </w:r>
      <w:r w:rsidR="00644409" w:rsidRPr="00625AD6">
        <w:rPr>
          <w:sz w:val="20"/>
        </w:rPr>
        <w:t xml:space="preserve">rape </w:t>
      </w:r>
      <w:r w:rsidR="00DB060F" w:rsidRPr="00625AD6">
        <w:rPr>
          <w:sz w:val="20"/>
        </w:rPr>
        <w:t xml:space="preserve">or </w:t>
      </w:r>
      <w:r w:rsidR="00644409" w:rsidRPr="00625AD6">
        <w:rPr>
          <w:sz w:val="20"/>
        </w:rPr>
        <w:t xml:space="preserve">sexual violence </w:t>
      </w:r>
      <w:r w:rsidR="00DB060F" w:rsidRPr="00625AD6">
        <w:rPr>
          <w:sz w:val="20"/>
        </w:rPr>
        <w:t xml:space="preserve">out of </w:t>
      </w:r>
      <w:r w:rsidR="00644409" w:rsidRPr="00625AD6">
        <w:rPr>
          <w:sz w:val="20"/>
        </w:rPr>
        <w:t xml:space="preserve">fear of </w:t>
      </w:r>
      <w:proofErr w:type="gramStart"/>
      <w:r w:rsidR="00644409" w:rsidRPr="00625AD6">
        <w:rPr>
          <w:sz w:val="20"/>
        </w:rPr>
        <w:t>stigmatization</w:t>
      </w:r>
      <w:r w:rsidR="00DB060F" w:rsidRPr="00625AD6">
        <w:rPr>
          <w:sz w:val="20"/>
        </w:rPr>
        <w:t>,</w:t>
      </w:r>
      <w:proofErr w:type="gramEnd"/>
      <w:r w:rsidR="00DB060F" w:rsidRPr="00625AD6">
        <w:rPr>
          <w:sz w:val="20"/>
        </w:rPr>
        <w:t xml:space="preserve"> although</w:t>
      </w:r>
      <w:r w:rsidR="00644409" w:rsidRPr="00625AD6">
        <w:rPr>
          <w:sz w:val="20"/>
        </w:rPr>
        <w:t xml:space="preserve"> some did </w:t>
      </w:r>
      <w:r w:rsidR="00DB060F" w:rsidRPr="00625AD6">
        <w:rPr>
          <w:sz w:val="20"/>
        </w:rPr>
        <w:t>out</w:t>
      </w:r>
      <w:r w:rsidR="00644409" w:rsidRPr="00625AD6">
        <w:rPr>
          <w:sz w:val="20"/>
        </w:rPr>
        <w:t xml:space="preserve"> of fear that they might have contracted sexually transmitted infections. A number of rape victims </w:t>
      </w:r>
      <w:proofErr w:type="gramStart"/>
      <w:r w:rsidR="00644409" w:rsidRPr="00625AD6">
        <w:rPr>
          <w:sz w:val="20"/>
        </w:rPr>
        <w:t>ha</w:t>
      </w:r>
      <w:r w:rsidR="00573EEF" w:rsidRPr="00625AD6">
        <w:rPr>
          <w:sz w:val="20"/>
        </w:rPr>
        <w:t>d</w:t>
      </w:r>
      <w:r w:rsidR="00644409" w:rsidRPr="00625AD6">
        <w:rPr>
          <w:sz w:val="20"/>
        </w:rPr>
        <w:t xml:space="preserve"> been accused of dishonouring their families</w:t>
      </w:r>
      <w:r w:rsidR="00573EEF" w:rsidRPr="00625AD6">
        <w:rPr>
          <w:sz w:val="20"/>
        </w:rPr>
        <w:t>,</w:t>
      </w:r>
      <w:r w:rsidR="00644409" w:rsidRPr="00625AD6">
        <w:rPr>
          <w:sz w:val="20"/>
        </w:rPr>
        <w:t xml:space="preserve"> and therefore abandoned by their husbands and </w:t>
      </w:r>
      <w:r w:rsidR="00573EEF" w:rsidRPr="00625AD6">
        <w:rPr>
          <w:sz w:val="20"/>
        </w:rPr>
        <w:t xml:space="preserve">outcast </w:t>
      </w:r>
      <w:r w:rsidR="00644409" w:rsidRPr="00625AD6">
        <w:rPr>
          <w:sz w:val="20"/>
        </w:rPr>
        <w:t>by their communities once</w:t>
      </w:r>
      <w:proofErr w:type="gramEnd"/>
      <w:r w:rsidR="00644409" w:rsidRPr="00625AD6">
        <w:rPr>
          <w:sz w:val="20"/>
        </w:rPr>
        <w:t xml:space="preserve"> the rape became known. In some instances, their communities have forced them to leave their huts and live alone on the outskirts of the village because of the stigma</w:t>
      </w:r>
      <w:r w:rsidR="00573EEF" w:rsidRPr="00625AD6">
        <w:rPr>
          <w:sz w:val="20"/>
        </w:rPr>
        <w:t xml:space="preserve"> associated with rape</w:t>
      </w:r>
      <w:r w:rsidR="00644409" w:rsidRPr="00625AD6">
        <w:rPr>
          <w:sz w:val="20"/>
        </w:rPr>
        <w:t>. Survivors of sexual violence also complain</w:t>
      </w:r>
      <w:r w:rsidR="00573EEF" w:rsidRPr="00625AD6">
        <w:rPr>
          <w:sz w:val="20"/>
        </w:rPr>
        <w:t>ed that</w:t>
      </w:r>
      <w:r w:rsidR="00644409" w:rsidRPr="00625AD6">
        <w:rPr>
          <w:sz w:val="20"/>
        </w:rPr>
        <w:t xml:space="preserve"> they </w:t>
      </w:r>
      <w:r w:rsidR="00573EEF" w:rsidRPr="00625AD6">
        <w:rPr>
          <w:sz w:val="20"/>
        </w:rPr>
        <w:t>had received no</w:t>
      </w:r>
      <w:r w:rsidR="00644409" w:rsidRPr="00625AD6">
        <w:rPr>
          <w:sz w:val="20"/>
        </w:rPr>
        <w:t xml:space="preserve"> psychosocial support </w:t>
      </w:r>
      <w:r w:rsidR="00573EEF" w:rsidRPr="00625AD6">
        <w:rPr>
          <w:sz w:val="20"/>
        </w:rPr>
        <w:t xml:space="preserve">or </w:t>
      </w:r>
      <w:r w:rsidR="00644409" w:rsidRPr="00625AD6">
        <w:rPr>
          <w:sz w:val="20"/>
        </w:rPr>
        <w:t>access to justice in the country.</w:t>
      </w:r>
    </w:p>
    <w:p w:rsidR="00507944" w:rsidRPr="00625AD6" w:rsidRDefault="00625AD6" w:rsidP="00625AD6">
      <w:pPr>
        <w:pStyle w:val="SingleTxtG"/>
        <w:tabs>
          <w:tab w:val="left" w:pos="1701"/>
        </w:tabs>
        <w:rPr>
          <w:sz w:val="20"/>
        </w:rPr>
      </w:pPr>
      <w:r w:rsidRPr="00625AD6">
        <w:rPr>
          <w:sz w:val="20"/>
          <w:szCs w:val="20"/>
        </w:rPr>
        <w:t>40.</w:t>
      </w:r>
      <w:r w:rsidRPr="00625AD6">
        <w:rPr>
          <w:sz w:val="20"/>
          <w:szCs w:val="20"/>
        </w:rPr>
        <w:tab/>
      </w:r>
      <w:r w:rsidR="00644409" w:rsidRPr="00625AD6">
        <w:rPr>
          <w:sz w:val="20"/>
        </w:rPr>
        <w:t xml:space="preserve">Despite the </w:t>
      </w:r>
      <w:r w:rsidR="00573EEF" w:rsidRPr="00625AD6">
        <w:rPr>
          <w:sz w:val="20"/>
        </w:rPr>
        <w:t xml:space="preserve">commitment made </w:t>
      </w:r>
      <w:r w:rsidR="00654DB5" w:rsidRPr="00625AD6">
        <w:rPr>
          <w:sz w:val="20"/>
        </w:rPr>
        <w:t xml:space="preserve">on 12 October 2014 </w:t>
      </w:r>
      <w:r w:rsidR="00573EEF" w:rsidRPr="00625AD6">
        <w:rPr>
          <w:sz w:val="20"/>
        </w:rPr>
        <w:t>b</w:t>
      </w:r>
      <w:r w:rsidR="00654DB5" w:rsidRPr="00625AD6">
        <w:rPr>
          <w:sz w:val="20"/>
        </w:rPr>
        <w:t>y</w:t>
      </w:r>
      <w:r w:rsidR="00573EEF" w:rsidRPr="00625AD6">
        <w:rPr>
          <w:sz w:val="20"/>
        </w:rPr>
        <w:t xml:space="preserve"> the </w:t>
      </w:r>
      <w:r w:rsidR="00644409" w:rsidRPr="00625AD6">
        <w:rPr>
          <w:sz w:val="20"/>
        </w:rPr>
        <w:t>Government of South Sudan</w:t>
      </w:r>
      <w:r w:rsidR="00654DB5" w:rsidRPr="00625AD6">
        <w:rPr>
          <w:sz w:val="20"/>
        </w:rPr>
        <w:t>,</w:t>
      </w:r>
      <w:r w:rsidR="00644409" w:rsidRPr="00625AD6">
        <w:rPr>
          <w:sz w:val="20"/>
        </w:rPr>
        <w:t xml:space="preserve"> </w:t>
      </w:r>
      <w:proofErr w:type="gramStart"/>
      <w:r w:rsidR="00644409" w:rsidRPr="00625AD6">
        <w:rPr>
          <w:sz w:val="20"/>
        </w:rPr>
        <w:t>in a joint communiqu</w:t>
      </w:r>
      <w:r w:rsidR="00654DB5" w:rsidRPr="00625AD6">
        <w:rPr>
          <w:sz w:val="20"/>
        </w:rPr>
        <w:t>é</w:t>
      </w:r>
      <w:r w:rsidR="00644409" w:rsidRPr="00625AD6">
        <w:rPr>
          <w:sz w:val="20"/>
        </w:rPr>
        <w:t xml:space="preserve"> with the Special Representative on Sexual Violence in Conflict, </w:t>
      </w:r>
      <w:r w:rsidR="00654DB5" w:rsidRPr="00625AD6">
        <w:rPr>
          <w:sz w:val="20"/>
        </w:rPr>
        <w:t>to address conflict-related sexual violence</w:t>
      </w:r>
      <w:proofErr w:type="gramEnd"/>
      <w:r w:rsidR="00654DB5" w:rsidRPr="00625AD6">
        <w:rPr>
          <w:sz w:val="20"/>
        </w:rPr>
        <w:t xml:space="preserve"> </w:t>
      </w:r>
      <w:r w:rsidR="00644409" w:rsidRPr="00625AD6">
        <w:rPr>
          <w:sz w:val="20"/>
        </w:rPr>
        <w:t xml:space="preserve">no action has been taken. The Commission </w:t>
      </w:r>
      <w:proofErr w:type="gramStart"/>
      <w:r w:rsidR="00644409" w:rsidRPr="00625AD6">
        <w:rPr>
          <w:sz w:val="20"/>
        </w:rPr>
        <w:t>was informed</w:t>
      </w:r>
      <w:proofErr w:type="gramEnd"/>
      <w:r w:rsidR="00644409" w:rsidRPr="00625AD6">
        <w:rPr>
          <w:sz w:val="20"/>
        </w:rPr>
        <w:t xml:space="preserve"> that a focal point on sexual violence ha</w:t>
      </w:r>
      <w:r w:rsidR="00654DB5" w:rsidRPr="00625AD6">
        <w:rPr>
          <w:sz w:val="20"/>
        </w:rPr>
        <w:t>d</w:t>
      </w:r>
      <w:r w:rsidR="00644409" w:rsidRPr="00625AD6">
        <w:rPr>
          <w:sz w:val="20"/>
        </w:rPr>
        <w:t xml:space="preserve"> been established within the Presidency</w:t>
      </w:r>
      <w:r w:rsidR="00654DB5" w:rsidRPr="00625AD6">
        <w:rPr>
          <w:sz w:val="20"/>
        </w:rPr>
        <w:t>,</w:t>
      </w:r>
      <w:r w:rsidR="00644409" w:rsidRPr="00625AD6">
        <w:rPr>
          <w:sz w:val="20"/>
        </w:rPr>
        <w:t xml:space="preserve"> but no other steps appear</w:t>
      </w:r>
      <w:r w:rsidR="00654DB5" w:rsidRPr="00625AD6">
        <w:rPr>
          <w:sz w:val="20"/>
        </w:rPr>
        <w:t>ed</w:t>
      </w:r>
      <w:r w:rsidR="00644409" w:rsidRPr="00625AD6">
        <w:rPr>
          <w:sz w:val="20"/>
        </w:rPr>
        <w:t xml:space="preserve"> to have been taken to </w:t>
      </w:r>
      <w:r w:rsidR="00654DB5" w:rsidRPr="00625AD6">
        <w:rPr>
          <w:sz w:val="20"/>
        </w:rPr>
        <w:t>address</w:t>
      </w:r>
      <w:r w:rsidR="00644409" w:rsidRPr="00625AD6">
        <w:rPr>
          <w:sz w:val="20"/>
        </w:rPr>
        <w:t xml:space="preserve"> this issue. </w:t>
      </w:r>
      <w:r w:rsidR="004F5206" w:rsidRPr="00625AD6">
        <w:rPr>
          <w:sz w:val="20"/>
        </w:rPr>
        <w:t>SPLM/</w:t>
      </w:r>
      <w:proofErr w:type="gramStart"/>
      <w:r w:rsidR="004F5206" w:rsidRPr="00625AD6">
        <w:rPr>
          <w:sz w:val="20"/>
        </w:rPr>
        <w:t>A</w:t>
      </w:r>
      <w:proofErr w:type="gramEnd"/>
      <w:r w:rsidR="004F5206" w:rsidRPr="00625AD6">
        <w:rPr>
          <w:sz w:val="20"/>
        </w:rPr>
        <w:t xml:space="preserve"> in Opposition </w:t>
      </w:r>
      <w:r w:rsidR="00644409" w:rsidRPr="00625AD6">
        <w:rPr>
          <w:sz w:val="20"/>
        </w:rPr>
        <w:t xml:space="preserve">also </w:t>
      </w:r>
      <w:r w:rsidR="00654DB5" w:rsidRPr="00625AD6">
        <w:rPr>
          <w:sz w:val="20"/>
        </w:rPr>
        <w:t>pledged</w:t>
      </w:r>
      <w:r w:rsidR="00644409" w:rsidRPr="00625AD6">
        <w:rPr>
          <w:sz w:val="20"/>
        </w:rPr>
        <w:t xml:space="preserve"> to </w:t>
      </w:r>
      <w:r w:rsidR="00654DB5" w:rsidRPr="00625AD6">
        <w:rPr>
          <w:sz w:val="20"/>
        </w:rPr>
        <w:t xml:space="preserve">implement </w:t>
      </w:r>
      <w:r w:rsidR="00644409" w:rsidRPr="00625AD6">
        <w:rPr>
          <w:sz w:val="20"/>
        </w:rPr>
        <w:t xml:space="preserve">a </w:t>
      </w:r>
      <w:r w:rsidR="00863F1A" w:rsidRPr="00625AD6">
        <w:rPr>
          <w:sz w:val="20"/>
        </w:rPr>
        <w:t xml:space="preserve">plan of </w:t>
      </w:r>
      <w:r w:rsidR="00644409" w:rsidRPr="00625AD6">
        <w:rPr>
          <w:sz w:val="20"/>
        </w:rPr>
        <w:t>action with the Special Representative</w:t>
      </w:r>
      <w:r w:rsidR="00654DB5" w:rsidRPr="00625AD6">
        <w:rPr>
          <w:sz w:val="20"/>
        </w:rPr>
        <w:t>;</w:t>
      </w:r>
      <w:r w:rsidR="00654DB5" w:rsidRPr="00625AD6">
        <w:rPr>
          <w:rStyle w:val="FootnoteReference"/>
          <w:szCs w:val="18"/>
        </w:rPr>
        <w:footnoteReference w:id="10"/>
      </w:r>
      <w:r w:rsidR="00644409" w:rsidRPr="00625AD6">
        <w:rPr>
          <w:sz w:val="20"/>
        </w:rPr>
        <w:t xml:space="preserve"> </w:t>
      </w:r>
      <w:r w:rsidR="00654DB5" w:rsidRPr="00625AD6">
        <w:rPr>
          <w:sz w:val="20"/>
        </w:rPr>
        <w:t>no</w:t>
      </w:r>
      <w:r w:rsidR="00644409" w:rsidRPr="00625AD6">
        <w:rPr>
          <w:sz w:val="20"/>
        </w:rPr>
        <w:t xml:space="preserve"> progress </w:t>
      </w:r>
      <w:r w:rsidR="00654DB5" w:rsidRPr="00625AD6">
        <w:rPr>
          <w:sz w:val="20"/>
        </w:rPr>
        <w:t>thereon</w:t>
      </w:r>
      <w:r w:rsidR="00863F1A" w:rsidRPr="00625AD6">
        <w:rPr>
          <w:sz w:val="20"/>
        </w:rPr>
        <w:t xml:space="preserve"> </w:t>
      </w:r>
      <w:r w:rsidR="00654DB5" w:rsidRPr="00625AD6">
        <w:rPr>
          <w:sz w:val="20"/>
        </w:rPr>
        <w:t xml:space="preserve">has </w:t>
      </w:r>
      <w:r w:rsidR="00863F1A" w:rsidRPr="00625AD6">
        <w:rPr>
          <w:sz w:val="20"/>
        </w:rPr>
        <w:t xml:space="preserve">yet been </w:t>
      </w:r>
      <w:r w:rsidR="00644409" w:rsidRPr="00625AD6">
        <w:rPr>
          <w:sz w:val="20"/>
        </w:rPr>
        <w:t>reported</w:t>
      </w:r>
      <w:r w:rsidR="00654DB5" w:rsidRPr="00625AD6">
        <w:rPr>
          <w:sz w:val="20"/>
        </w:rPr>
        <w:t>.</w:t>
      </w:r>
      <w:r w:rsidR="00644409" w:rsidRPr="00625AD6">
        <w:rPr>
          <w:sz w:val="20"/>
        </w:rPr>
        <w:t xml:space="preserve"> </w:t>
      </w:r>
    </w:p>
    <w:p w:rsidR="00507944" w:rsidRPr="00625AD6" w:rsidRDefault="00625AD6" w:rsidP="00625AD6">
      <w:pPr>
        <w:pStyle w:val="SingleTxtG"/>
        <w:tabs>
          <w:tab w:val="left" w:pos="1701"/>
        </w:tabs>
      </w:pPr>
      <w:r w:rsidRPr="00625AD6">
        <w:rPr>
          <w:sz w:val="20"/>
          <w:szCs w:val="20"/>
        </w:rPr>
        <w:t>41.</w:t>
      </w:r>
      <w:r w:rsidRPr="00625AD6">
        <w:rPr>
          <w:sz w:val="20"/>
          <w:szCs w:val="20"/>
        </w:rPr>
        <w:tab/>
      </w:r>
      <w:r w:rsidR="00612A71" w:rsidRPr="00625AD6">
        <w:rPr>
          <w:sz w:val="20"/>
        </w:rPr>
        <w:t>Even though, o</w:t>
      </w:r>
      <w:r w:rsidR="00644409" w:rsidRPr="00625AD6">
        <w:rPr>
          <w:sz w:val="20"/>
        </w:rPr>
        <w:t xml:space="preserve">n 1 December 2016, the SPLA Chief of General Staff issued a directive </w:t>
      </w:r>
      <w:r w:rsidR="00612A71" w:rsidRPr="00625AD6">
        <w:rPr>
          <w:sz w:val="20"/>
        </w:rPr>
        <w:t xml:space="preserve">on the </w:t>
      </w:r>
      <w:r w:rsidR="00644409" w:rsidRPr="00625AD6">
        <w:rPr>
          <w:sz w:val="20"/>
        </w:rPr>
        <w:t>prevent</w:t>
      </w:r>
      <w:r w:rsidR="00612A71" w:rsidRPr="00625AD6">
        <w:rPr>
          <w:sz w:val="20"/>
        </w:rPr>
        <w:t>ion of</w:t>
      </w:r>
      <w:r w:rsidR="00644409" w:rsidRPr="00625AD6">
        <w:rPr>
          <w:sz w:val="20"/>
        </w:rPr>
        <w:t xml:space="preserve"> and respond</w:t>
      </w:r>
      <w:r w:rsidR="00612A71" w:rsidRPr="00625AD6">
        <w:rPr>
          <w:sz w:val="20"/>
        </w:rPr>
        <w:t>ing</w:t>
      </w:r>
      <w:r w:rsidR="00644409" w:rsidRPr="00625AD6">
        <w:rPr>
          <w:sz w:val="20"/>
        </w:rPr>
        <w:t xml:space="preserve"> to sexual violence</w:t>
      </w:r>
      <w:r w:rsidR="00612A71" w:rsidRPr="00625AD6">
        <w:rPr>
          <w:sz w:val="20"/>
        </w:rPr>
        <w:t xml:space="preserve">, </w:t>
      </w:r>
      <w:r w:rsidR="00644409" w:rsidRPr="00625AD6">
        <w:rPr>
          <w:sz w:val="20"/>
        </w:rPr>
        <w:t xml:space="preserve">the patterns of sexual violence </w:t>
      </w:r>
      <w:r w:rsidR="00612A71" w:rsidRPr="00625AD6">
        <w:rPr>
          <w:sz w:val="20"/>
        </w:rPr>
        <w:t xml:space="preserve">observed </w:t>
      </w:r>
      <w:r w:rsidR="00644409" w:rsidRPr="00625AD6">
        <w:rPr>
          <w:sz w:val="20"/>
        </w:rPr>
        <w:t xml:space="preserve">in South Sudan raise important questions </w:t>
      </w:r>
      <w:r w:rsidR="00612A71" w:rsidRPr="00625AD6">
        <w:rPr>
          <w:sz w:val="20"/>
        </w:rPr>
        <w:t>with regard</w:t>
      </w:r>
      <w:r w:rsidR="00644409" w:rsidRPr="00625AD6">
        <w:rPr>
          <w:sz w:val="20"/>
        </w:rPr>
        <w:t xml:space="preserve"> to command responsibility within SP</w:t>
      </w:r>
      <w:r w:rsidR="001C5652" w:rsidRPr="00625AD6">
        <w:rPr>
          <w:sz w:val="20"/>
        </w:rPr>
        <w:t>L</w:t>
      </w:r>
      <w:r w:rsidR="00644409" w:rsidRPr="00625AD6">
        <w:rPr>
          <w:sz w:val="20"/>
        </w:rPr>
        <w:t>A that warrant further investigation and examination.</w:t>
      </w:r>
      <w:r w:rsidR="00644409" w:rsidRPr="00625AD6">
        <w:t xml:space="preserve"> </w:t>
      </w:r>
    </w:p>
    <w:p w:rsidR="00507944" w:rsidRPr="00DF202E" w:rsidRDefault="00DF202E" w:rsidP="00DF202E">
      <w:pPr>
        <w:pStyle w:val="H1G"/>
      </w:pPr>
      <w:r>
        <w:tab/>
      </w:r>
      <w:r w:rsidR="00625AD6" w:rsidRPr="00DF202E">
        <w:t>C.</w:t>
      </w:r>
      <w:r w:rsidR="00625AD6" w:rsidRPr="00DF202E">
        <w:tab/>
      </w:r>
      <w:r w:rsidR="00644409" w:rsidRPr="00DF202E">
        <w:t xml:space="preserve">Violations of the </w:t>
      </w:r>
      <w:r w:rsidR="00654DB5" w:rsidRPr="00DF202E">
        <w:t>r</w:t>
      </w:r>
      <w:r w:rsidR="00644409" w:rsidRPr="00DF202E">
        <w:t xml:space="preserve">ights of the </w:t>
      </w:r>
      <w:r w:rsidR="00654DB5" w:rsidRPr="00DF202E">
        <w:t>c</w:t>
      </w:r>
      <w:r w:rsidR="00644409" w:rsidRPr="00DF202E">
        <w:t>hild</w:t>
      </w:r>
    </w:p>
    <w:p w:rsidR="00507944" w:rsidRPr="00625AD6" w:rsidRDefault="00625AD6" w:rsidP="00625AD6">
      <w:pPr>
        <w:pStyle w:val="SingleTxtG"/>
        <w:tabs>
          <w:tab w:val="left" w:pos="1701"/>
        </w:tabs>
        <w:rPr>
          <w:sz w:val="20"/>
        </w:rPr>
      </w:pPr>
      <w:r w:rsidRPr="00625AD6">
        <w:rPr>
          <w:sz w:val="20"/>
          <w:szCs w:val="20"/>
        </w:rPr>
        <w:t>42.</w:t>
      </w:r>
      <w:r w:rsidRPr="00625AD6">
        <w:rPr>
          <w:sz w:val="20"/>
          <w:szCs w:val="20"/>
        </w:rPr>
        <w:tab/>
      </w:r>
      <w:r w:rsidR="00644409" w:rsidRPr="00625AD6">
        <w:rPr>
          <w:sz w:val="20"/>
        </w:rPr>
        <w:t xml:space="preserve">Children continue to be associated with armed groups and forces in the conflict in South Sudan. </w:t>
      </w:r>
      <w:r w:rsidR="00050018" w:rsidRPr="00625AD6">
        <w:rPr>
          <w:sz w:val="20"/>
        </w:rPr>
        <w:t>The United Nations Children’s Fund (</w:t>
      </w:r>
      <w:r w:rsidR="00644409" w:rsidRPr="00625AD6">
        <w:rPr>
          <w:sz w:val="20"/>
        </w:rPr>
        <w:t>UNICEF</w:t>
      </w:r>
      <w:r w:rsidR="00050018" w:rsidRPr="00625AD6">
        <w:rPr>
          <w:sz w:val="20"/>
        </w:rPr>
        <w:t>)</w:t>
      </w:r>
      <w:r w:rsidR="00644409" w:rsidRPr="00625AD6">
        <w:rPr>
          <w:sz w:val="20"/>
        </w:rPr>
        <w:t xml:space="preserve"> estimates that 17,000 children </w:t>
      </w:r>
      <w:proofErr w:type="gramStart"/>
      <w:r w:rsidR="00644409" w:rsidRPr="00625AD6">
        <w:rPr>
          <w:sz w:val="20"/>
        </w:rPr>
        <w:t>have been recruited</w:t>
      </w:r>
      <w:proofErr w:type="gramEnd"/>
      <w:r w:rsidR="00644409" w:rsidRPr="00625AD6">
        <w:rPr>
          <w:sz w:val="20"/>
        </w:rPr>
        <w:t xml:space="preserve"> as child soldiers since December 2013</w:t>
      </w:r>
      <w:r w:rsidR="00050018" w:rsidRPr="00625AD6">
        <w:rPr>
          <w:sz w:val="20"/>
        </w:rPr>
        <w:t>,</w:t>
      </w:r>
      <w:r w:rsidR="00644409" w:rsidRPr="00625AD6">
        <w:rPr>
          <w:sz w:val="20"/>
        </w:rPr>
        <w:t xml:space="preserve"> </w:t>
      </w:r>
      <w:r w:rsidR="00050018" w:rsidRPr="00625AD6">
        <w:rPr>
          <w:sz w:val="20"/>
        </w:rPr>
        <w:t>mostly by</w:t>
      </w:r>
      <w:r w:rsidR="00644409" w:rsidRPr="00625AD6">
        <w:rPr>
          <w:sz w:val="20"/>
        </w:rPr>
        <w:t xml:space="preserve"> opposition and self-protection forces. </w:t>
      </w:r>
      <w:r w:rsidR="00050018" w:rsidRPr="00625AD6">
        <w:rPr>
          <w:sz w:val="20"/>
        </w:rPr>
        <w:t xml:space="preserve">It </w:t>
      </w:r>
      <w:r w:rsidR="005E405F" w:rsidRPr="00625AD6">
        <w:rPr>
          <w:sz w:val="20"/>
        </w:rPr>
        <w:t xml:space="preserve">also </w:t>
      </w:r>
      <w:r w:rsidR="00644409" w:rsidRPr="00625AD6">
        <w:rPr>
          <w:sz w:val="20"/>
        </w:rPr>
        <w:t xml:space="preserve">reported that </w:t>
      </w:r>
      <w:proofErr w:type="gramStart"/>
      <w:r w:rsidR="00644409" w:rsidRPr="00625AD6">
        <w:rPr>
          <w:sz w:val="20"/>
        </w:rPr>
        <w:t xml:space="preserve">1,300 children </w:t>
      </w:r>
      <w:r w:rsidR="00050018" w:rsidRPr="00625AD6">
        <w:rPr>
          <w:sz w:val="20"/>
        </w:rPr>
        <w:t xml:space="preserve">had been </w:t>
      </w:r>
      <w:r w:rsidR="00644409" w:rsidRPr="00625AD6">
        <w:rPr>
          <w:sz w:val="20"/>
        </w:rPr>
        <w:t>recruited in 2016 by the Government and their militia allies</w:t>
      </w:r>
      <w:proofErr w:type="gramEnd"/>
      <w:r w:rsidR="00644409" w:rsidRPr="00625AD6">
        <w:rPr>
          <w:sz w:val="20"/>
        </w:rPr>
        <w:t>.</w:t>
      </w:r>
      <w:r w:rsidR="005E405F" w:rsidRPr="00625AD6">
        <w:rPr>
          <w:rStyle w:val="FootnoteReference"/>
        </w:rPr>
        <w:footnoteReference w:id="11"/>
      </w:r>
      <w:r w:rsidR="00644409" w:rsidRPr="00625AD6">
        <w:rPr>
          <w:sz w:val="20"/>
        </w:rPr>
        <w:t xml:space="preserve"> During its field visits to Upper Nile and Unity States, the </w:t>
      </w:r>
      <w:proofErr w:type="gramStart"/>
      <w:r w:rsidR="00644409" w:rsidRPr="00625AD6">
        <w:rPr>
          <w:sz w:val="20"/>
        </w:rPr>
        <w:t>Commission was informed by the humanitarian cluster and child protection officers about large-scale child recruitment</w:t>
      </w:r>
      <w:proofErr w:type="gramEnd"/>
      <w:r w:rsidR="00644409" w:rsidRPr="00625AD6">
        <w:rPr>
          <w:sz w:val="20"/>
        </w:rPr>
        <w:t xml:space="preserve">. </w:t>
      </w:r>
      <w:r w:rsidR="00050018" w:rsidRPr="00625AD6">
        <w:rPr>
          <w:sz w:val="20"/>
        </w:rPr>
        <w:t>This issue</w:t>
      </w:r>
      <w:r w:rsidR="00644409" w:rsidRPr="00625AD6">
        <w:rPr>
          <w:sz w:val="20"/>
        </w:rPr>
        <w:t xml:space="preserve"> </w:t>
      </w:r>
      <w:r w:rsidR="00050018" w:rsidRPr="00625AD6">
        <w:rPr>
          <w:sz w:val="20"/>
        </w:rPr>
        <w:t xml:space="preserve">warrants </w:t>
      </w:r>
      <w:r w:rsidR="00644409" w:rsidRPr="00625AD6">
        <w:rPr>
          <w:sz w:val="20"/>
        </w:rPr>
        <w:t>further focus and resources.</w:t>
      </w:r>
    </w:p>
    <w:p w:rsidR="00507944" w:rsidRPr="00625AD6" w:rsidRDefault="00625AD6" w:rsidP="00625AD6">
      <w:pPr>
        <w:pStyle w:val="SingleTxtG"/>
        <w:tabs>
          <w:tab w:val="left" w:pos="1701"/>
        </w:tabs>
        <w:rPr>
          <w:sz w:val="20"/>
        </w:rPr>
      </w:pPr>
      <w:r w:rsidRPr="00625AD6">
        <w:rPr>
          <w:sz w:val="20"/>
          <w:szCs w:val="20"/>
        </w:rPr>
        <w:t>43.</w:t>
      </w:r>
      <w:r w:rsidRPr="00625AD6">
        <w:rPr>
          <w:sz w:val="20"/>
          <w:szCs w:val="20"/>
        </w:rPr>
        <w:tab/>
      </w:r>
      <w:r w:rsidR="00633795" w:rsidRPr="00625AD6">
        <w:rPr>
          <w:sz w:val="20"/>
        </w:rPr>
        <w:t xml:space="preserve">UNICEF also reported that 1,130 children </w:t>
      </w:r>
      <w:proofErr w:type="gramStart"/>
      <w:r w:rsidR="00633795" w:rsidRPr="00625AD6">
        <w:rPr>
          <w:sz w:val="20"/>
        </w:rPr>
        <w:t>ha</w:t>
      </w:r>
      <w:r w:rsidR="00050018" w:rsidRPr="00625AD6">
        <w:rPr>
          <w:sz w:val="20"/>
        </w:rPr>
        <w:t>d</w:t>
      </w:r>
      <w:r w:rsidR="00633795" w:rsidRPr="00625AD6">
        <w:rPr>
          <w:sz w:val="20"/>
        </w:rPr>
        <w:t xml:space="preserve"> been sexually assaulted</w:t>
      </w:r>
      <w:proofErr w:type="gramEnd"/>
      <w:r w:rsidR="00633795" w:rsidRPr="00625AD6">
        <w:rPr>
          <w:sz w:val="20"/>
        </w:rPr>
        <w:t xml:space="preserve"> since 2013</w:t>
      </w:r>
      <w:r w:rsidR="00050018" w:rsidRPr="00625AD6">
        <w:rPr>
          <w:sz w:val="20"/>
        </w:rPr>
        <w:t>,</w:t>
      </w:r>
      <w:r w:rsidR="00633795" w:rsidRPr="00625AD6">
        <w:rPr>
          <w:sz w:val="20"/>
        </w:rPr>
        <w:t xml:space="preserve"> </w:t>
      </w:r>
      <w:r w:rsidR="00050018" w:rsidRPr="00625AD6">
        <w:rPr>
          <w:sz w:val="20"/>
        </w:rPr>
        <w:t xml:space="preserve">while </w:t>
      </w:r>
      <w:r w:rsidR="00633795" w:rsidRPr="00625AD6">
        <w:rPr>
          <w:sz w:val="20"/>
        </w:rPr>
        <w:t xml:space="preserve">2,342 </w:t>
      </w:r>
      <w:r w:rsidR="00050018" w:rsidRPr="00625AD6">
        <w:rPr>
          <w:sz w:val="20"/>
        </w:rPr>
        <w:t xml:space="preserve">had been </w:t>
      </w:r>
      <w:r w:rsidR="00633795" w:rsidRPr="00625AD6">
        <w:rPr>
          <w:sz w:val="20"/>
        </w:rPr>
        <w:t>killed or maimed.</w:t>
      </w:r>
      <w:r w:rsidR="00514DCB" w:rsidRPr="00625AD6">
        <w:rPr>
          <w:rStyle w:val="FootnoteReference"/>
        </w:rPr>
        <w:footnoteReference w:id="12"/>
      </w:r>
      <w:r w:rsidR="00633795" w:rsidRPr="00625AD6">
        <w:rPr>
          <w:sz w:val="20"/>
        </w:rPr>
        <w:t xml:space="preserve"> </w:t>
      </w:r>
      <w:r w:rsidR="00050018" w:rsidRPr="00625AD6">
        <w:rPr>
          <w:sz w:val="20"/>
        </w:rPr>
        <w:t>As s</w:t>
      </w:r>
      <w:r w:rsidR="00633795" w:rsidRPr="00625AD6">
        <w:rPr>
          <w:sz w:val="20"/>
        </w:rPr>
        <w:t xml:space="preserve">hocking as these numbers </w:t>
      </w:r>
      <w:r w:rsidR="00050018" w:rsidRPr="00625AD6">
        <w:rPr>
          <w:sz w:val="20"/>
        </w:rPr>
        <w:t>may be</w:t>
      </w:r>
      <w:r w:rsidR="00633795" w:rsidRPr="00625AD6">
        <w:rPr>
          <w:sz w:val="20"/>
        </w:rPr>
        <w:t xml:space="preserve">, they </w:t>
      </w:r>
      <w:r w:rsidR="00050018" w:rsidRPr="00625AD6">
        <w:rPr>
          <w:sz w:val="20"/>
        </w:rPr>
        <w:t>probably</w:t>
      </w:r>
      <w:r w:rsidR="00633795" w:rsidRPr="00625AD6">
        <w:rPr>
          <w:sz w:val="20"/>
        </w:rPr>
        <w:t xml:space="preserve"> underestimate the </w:t>
      </w:r>
      <w:r w:rsidR="00050018" w:rsidRPr="00625AD6">
        <w:rPr>
          <w:sz w:val="20"/>
        </w:rPr>
        <w:t xml:space="preserve">actual </w:t>
      </w:r>
      <w:r w:rsidR="00633795" w:rsidRPr="00625AD6">
        <w:rPr>
          <w:sz w:val="20"/>
        </w:rPr>
        <w:t xml:space="preserve">extent of grave violations </w:t>
      </w:r>
      <w:r w:rsidR="00050018" w:rsidRPr="00625AD6">
        <w:rPr>
          <w:sz w:val="20"/>
        </w:rPr>
        <w:t xml:space="preserve">endured </w:t>
      </w:r>
      <w:r w:rsidR="00633795" w:rsidRPr="00625AD6">
        <w:rPr>
          <w:sz w:val="20"/>
        </w:rPr>
        <w:t xml:space="preserve">by children. </w:t>
      </w:r>
    </w:p>
    <w:p w:rsidR="001E636B" w:rsidRPr="00625AD6" w:rsidRDefault="00625AD6" w:rsidP="00625AD6">
      <w:pPr>
        <w:pStyle w:val="SingleTxtG"/>
        <w:tabs>
          <w:tab w:val="left" w:pos="1701"/>
        </w:tabs>
        <w:spacing w:before="2" w:after="2"/>
      </w:pPr>
      <w:r w:rsidRPr="00625AD6">
        <w:rPr>
          <w:sz w:val="20"/>
          <w:szCs w:val="20"/>
        </w:rPr>
        <w:t>44.</w:t>
      </w:r>
      <w:r w:rsidRPr="00625AD6">
        <w:rPr>
          <w:sz w:val="20"/>
          <w:szCs w:val="20"/>
        </w:rPr>
        <w:tab/>
      </w:r>
      <w:r w:rsidR="00644409" w:rsidRPr="00625AD6">
        <w:rPr>
          <w:sz w:val="20"/>
        </w:rPr>
        <w:t xml:space="preserve">On 24 June 2014, the United Nations and </w:t>
      </w:r>
      <w:r w:rsidR="001E636B" w:rsidRPr="00625AD6">
        <w:rPr>
          <w:sz w:val="20"/>
        </w:rPr>
        <w:t>SPLA</w:t>
      </w:r>
      <w:r w:rsidR="00644409" w:rsidRPr="00625AD6">
        <w:rPr>
          <w:sz w:val="20"/>
        </w:rPr>
        <w:t xml:space="preserve"> </w:t>
      </w:r>
      <w:r w:rsidR="001E636B" w:rsidRPr="00625AD6">
        <w:rPr>
          <w:sz w:val="20"/>
        </w:rPr>
        <w:t xml:space="preserve">signed an agreement for </w:t>
      </w:r>
      <w:r w:rsidR="00644409" w:rsidRPr="00625AD6">
        <w:rPr>
          <w:sz w:val="20"/>
        </w:rPr>
        <w:t xml:space="preserve">the implementation of </w:t>
      </w:r>
      <w:r w:rsidR="001E636B" w:rsidRPr="00625AD6">
        <w:rPr>
          <w:sz w:val="20"/>
        </w:rPr>
        <w:t>a r</w:t>
      </w:r>
      <w:r w:rsidR="00644409" w:rsidRPr="00625AD6">
        <w:rPr>
          <w:sz w:val="20"/>
        </w:rPr>
        <w:t xml:space="preserve">evised </w:t>
      </w:r>
      <w:r w:rsidR="001E636B" w:rsidRPr="00625AD6">
        <w:rPr>
          <w:sz w:val="20"/>
        </w:rPr>
        <w:t>plan of action to end</w:t>
      </w:r>
      <w:r w:rsidR="00644409" w:rsidRPr="00625AD6">
        <w:rPr>
          <w:sz w:val="20"/>
        </w:rPr>
        <w:t xml:space="preserve"> the recruitment and use of children </w:t>
      </w:r>
      <w:r w:rsidR="001E636B" w:rsidRPr="00625AD6">
        <w:rPr>
          <w:sz w:val="20"/>
        </w:rPr>
        <w:t>and other grave violations against children (A/HRC/27/74, para. 39)</w:t>
      </w:r>
      <w:r w:rsidR="00644409" w:rsidRPr="00625AD6">
        <w:rPr>
          <w:sz w:val="20"/>
        </w:rPr>
        <w:t>.</w:t>
      </w:r>
      <w:r w:rsidR="001E636B" w:rsidRPr="00625AD6">
        <w:rPr>
          <w:sz w:val="20"/>
          <w:szCs w:val="20"/>
          <w:lang w:val="en-US"/>
        </w:rPr>
        <w:t xml:space="preserve"> </w:t>
      </w:r>
    </w:p>
    <w:p w:rsidR="00507944" w:rsidRPr="00DF202E" w:rsidRDefault="00DF202E" w:rsidP="00DF202E">
      <w:pPr>
        <w:pStyle w:val="H1G"/>
      </w:pPr>
      <w:r>
        <w:tab/>
      </w:r>
      <w:r w:rsidR="00625AD6" w:rsidRPr="00DF202E">
        <w:t>D.</w:t>
      </w:r>
      <w:r w:rsidR="00625AD6" w:rsidRPr="00DF202E">
        <w:tab/>
      </w:r>
      <w:r w:rsidR="00644409" w:rsidRPr="00DF202E">
        <w:t xml:space="preserve">Violations of the </w:t>
      </w:r>
      <w:r w:rsidR="001E636B" w:rsidRPr="00DF202E">
        <w:t>r</w:t>
      </w:r>
      <w:r w:rsidR="00644409" w:rsidRPr="00DF202E">
        <w:t xml:space="preserve">ight to </w:t>
      </w:r>
      <w:r w:rsidR="001E636B" w:rsidRPr="00DF202E">
        <w:t>f</w:t>
      </w:r>
      <w:r w:rsidR="00644409" w:rsidRPr="00DF202E">
        <w:t xml:space="preserve">reedom of </w:t>
      </w:r>
      <w:r w:rsidR="001E636B" w:rsidRPr="00DF202E">
        <w:t>e</w:t>
      </w:r>
      <w:r w:rsidR="00644409" w:rsidRPr="00DF202E">
        <w:t xml:space="preserve">xpression and </w:t>
      </w:r>
      <w:r w:rsidR="001E636B" w:rsidRPr="00DF202E">
        <w:t>o</w:t>
      </w:r>
      <w:r w:rsidR="00644409" w:rsidRPr="00DF202E">
        <w:t>pinion</w:t>
      </w:r>
    </w:p>
    <w:p w:rsidR="00507944" w:rsidRPr="00625AD6" w:rsidRDefault="00625AD6" w:rsidP="00625AD6">
      <w:pPr>
        <w:pStyle w:val="SingleTxtG"/>
        <w:tabs>
          <w:tab w:val="left" w:pos="1701"/>
        </w:tabs>
        <w:rPr>
          <w:sz w:val="20"/>
        </w:rPr>
      </w:pPr>
      <w:r w:rsidRPr="00625AD6">
        <w:rPr>
          <w:sz w:val="20"/>
          <w:szCs w:val="20"/>
        </w:rPr>
        <w:t>45.</w:t>
      </w:r>
      <w:r w:rsidRPr="00625AD6">
        <w:rPr>
          <w:sz w:val="20"/>
          <w:szCs w:val="20"/>
        </w:rPr>
        <w:tab/>
      </w:r>
      <w:r w:rsidR="00644409" w:rsidRPr="00625AD6">
        <w:rPr>
          <w:sz w:val="20"/>
        </w:rPr>
        <w:t xml:space="preserve">In the context of the ongoing conflict, the enjoyment of fundamental freedoms and civil liberties has been severely restricted. The Commission received reports of many people who </w:t>
      </w:r>
      <w:proofErr w:type="gramStart"/>
      <w:r w:rsidR="00644409" w:rsidRPr="00625AD6">
        <w:rPr>
          <w:sz w:val="20"/>
        </w:rPr>
        <w:t>ha</w:t>
      </w:r>
      <w:r w:rsidR="00840567" w:rsidRPr="00625AD6">
        <w:rPr>
          <w:sz w:val="20"/>
        </w:rPr>
        <w:t>d</w:t>
      </w:r>
      <w:r w:rsidR="00644409" w:rsidRPr="00625AD6">
        <w:rPr>
          <w:sz w:val="20"/>
        </w:rPr>
        <w:t xml:space="preserve"> been arbitrarily arrested, detained, tortured </w:t>
      </w:r>
      <w:r w:rsidR="00840567" w:rsidRPr="00625AD6">
        <w:rPr>
          <w:sz w:val="20"/>
        </w:rPr>
        <w:t xml:space="preserve">or </w:t>
      </w:r>
      <w:r w:rsidR="00644409" w:rsidRPr="00625AD6">
        <w:rPr>
          <w:sz w:val="20"/>
        </w:rPr>
        <w:t xml:space="preserve">subjected to inhuman </w:t>
      </w:r>
      <w:r w:rsidR="00840567" w:rsidRPr="00625AD6">
        <w:rPr>
          <w:sz w:val="20"/>
        </w:rPr>
        <w:t xml:space="preserve">or </w:t>
      </w:r>
      <w:r w:rsidR="00644409" w:rsidRPr="00625AD6">
        <w:rPr>
          <w:sz w:val="20"/>
        </w:rPr>
        <w:t xml:space="preserve">degrading treatment </w:t>
      </w:r>
      <w:r w:rsidR="00840567" w:rsidRPr="00625AD6">
        <w:rPr>
          <w:sz w:val="20"/>
        </w:rPr>
        <w:t xml:space="preserve">after having expressed </w:t>
      </w:r>
      <w:r w:rsidR="00644409" w:rsidRPr="00625AD6">
        <w:rPr>
          <w:sz w:val="20"/>
        </w:rPr>
        <w:t>critic</w:t>
      </w:r>
      <w:r w:rsidR="00840567" w:rsidRPr="00625AD6">
        <w:rPr>
          <w:sz w:val="20"/>
        </w:rPr>
        <w:t>ism</w:t>
      </w:r>
      <w:r w:rsidR="00644409" w:rsidRPr="00625AD6">
        <w:rPr>
          <w:sz w:val="20"/>
        </w:rPr>
        <w:t xml:space="preserve"> of the </w:t>
      </w:r>
      <w:r w:rsidR="00840567" w:rsidRPr="00625AD6">
        <w:rPr>
          <w:sz w:val="20"/>
        </w:rPr>
        <w:t>G</w:t>
      </w:r>
      <w:r w:rsidR="00644409" w:rsidRPr="00625AD6">
        <w:rPr>
          <w:sz w:val="20"/>
        </w:rPr>
        <w:t>overnment</w:t>
      </w:r>
      <w:proofErr w:type="gramEnd"/>
      <w:r w:rsidR="00644409" w:rsidRPr="00625AD6">
        <w:rPr>
          <w:sz w:val="20"/>
        </w:rPr>
        <w:t xml:space="preserve">. Journalists have come under direct attack from </w:t>
      </w:r>
      <w:r w:rsidR="00840567" w:rsidRPr="00625AD6">
        <w:rPr>
          <w:sz w:val="20"/>
        </w:rPr>
        <w:t>S</w:t>
      </w:r>
      <w:r w:rsidR="00644409" w:rsidRPr="00625AD6">
        <w:rPr>
          <w:sz w:val="20"/>
        </w:rPr>
        <w:t xml:space="preserve">tate security agencies, and political leaders have publicly expressed hostility towards the media. </w:t>
      </w:r>
    </w:p>
    <w:p w:rsidR="00507944" w:rsidRPr="00625AD6" w:rsidRDefault="00625AD6" w:rsidP="00625AD6">
      <w:pPr>
        <w:pStyle w:val="SingleTxtG"/>
        <w:tabs>
          <w:tab w:val="left" w:pos="1701"/>
        </w:tabs>
      </w:pPr>
      <w:r w:rsidRPr="00625AD6">
        <w:rPr>
          <w:sz w:val="20"/>
          <w:szCs w:val="20"/>
        </w:rPr>
        <w:t>46.</w:t>
      </w:r>
      <w:r w:rsidRPr="00625AD6">
        <w:rPr>
          <w:sz w:val="20"/>
          <w:szCs w:val="20"/>
        </w:rPr>
        <w:tab/>
      </w:r>
      <w:r w:rsidR="00840567" w:rsidRPr="00625AD6">
        <w:rPr>
          <w:sz w:val="20"/>
        </w:rPr>
        <w:t>Although t</w:t>
      </w:r>
      <w:r w:rsidR="00644409" w:rsidRPr="00625AD6">
        <w:rPr>
          <w:sz w:val="20"/>
        </w:rPr>
        <w:t xml:space="preserve">he Transitional Constitution of South Sudan guarantees freedom of expression and press freedom </w:t>
      </w:r>
      <w:r w:rsidR="00840567" w:rsidRPr="00625AD6">
        <w:rPr>
          <w:sz w:val="20"/>
        </w:rPr>
        <w:t>(</w:t>
      </w:r>
      <w:r w:rsidR="00644409" w:rsidRPr="00625AD6">
        <w:rPr>
          <w:sz w:val="20"/>
        </w:rPr>
        <w:t xml:space="preserve">with limitations </w:t>
      </w:r>
      <w:r w:rsidR="00840567" w:rsidRPr="00625AD6">
        <w:rPr>
          <w:sz w:val="20"/>
        </w:rPr>
        <w:t xml:space="preserve">with regard to </w:t>
      </w:r>
      <w:r w:rsidR="00644409" w:rsidRPr="00625AD6">
        <w:rPr>
          <w:sz w:val="20"/>
        </w:rPr>
        <w:t>public order, safety and morality</w:t>
      </w:r>
      <w:r w:rsidR="00840567" w:rsidRPr="00625AD6">
        <w:rPr>
          <w:sz w:val="20"/>
        </w:rPr>
        <w:t>)</w:t>
      </w:r>
      <w:r w:rsidR="00644409" w:rsidRPr="00625AD6">
        <w:rPr>
          <w:sz w:val="20"/>
        </w:rPr>
        <w:t xml:space="preserve">, </w:t>
      </w:r>
      <w:r w:rsidR="00840567" w:rsidRPr="00625AD6">
        <w:rPr>
          <w:sz w:val="20"/>
        </w:rPr>
        <w:t xml:space="preserve">and the Media Authority Act (2013) provides </w:t>
      </w:r>
      <w:r w:rsidR="00E57BD9" w:rsidRPr="00625AD6">
        <w:rPr>
          <w:sz w:val="20"/>
        </w:rPr>
        <w:t xml:space="preserve">for </w:t>
      </w:r>
      <w:r w:rsidR="00840567" w:rsidRPr="00625AD6">
        <w:rPr>
          <w:sz w:val="20"/>
        </w:rPr>
        <w:t>a number of safeguards for media freedom,</w:t>
      </w:r>
      <w:r w:rsidR="00840567" w:rsidRPr="00625AD6">
        <w:t xml:space="preserve"> </w:t>
      </w:r>
      <w:r w:rsidR="00644409" w:rsidRPr="00625AD6">
        <w:rPr>
          <w:sz w:val="20"/>
        </w:rPr>
        <w:t xml:space="preserve">the </w:t>
      </w:r>
      <w:r w:rsidR="00840567" w:rsidRPr="00625AD6">
        <w:rPr>
          <w:sz w:val="20"/>
        </w:rPr>
        <w:t xml:space="preserve">situation </w:t>
      </w:r>
      <w:r w:rsidR="00644409" w:rsidRPr="00625AD6">
        <w:rPr>
          <w:sz w:val="20"/>
        </w:rPr>
        <w:t>on the ground</w:t>
      </w:r>
      <w:r w:rsidR="00840567" w:rsidRPr="00625AD6">
        <w:rPr>
          <w:sz w:val="20"/>
        </w:rPr>
        <w:t xml:space="preserve"> is very different</w:t>
      </w:r>
      <w:r w:rsidR="00644409" w:rsidRPr="00625AD6">
        <w:rPr>
          <w:sz w:val="20"/>
        </w:rPr>
        <w:t xml:space="preserve">. The National Security Service Law, which took effect in early 2015, grants the </w:t>
      </w:r>
      <w:r w:rsidR="00840567" w:rsidRPr="00625AD6">
        <w:rPr>
          <w:sz w:val="20"/>
        </w:rPr>
        <w:t xml:space="preserve">National Security </w:t>
      </w:r>
      <w:r w:rsidR="00B01672" w:rsidRPr="00625AD6">
        <w:rPr>
          <w:sz w:val="20"/>
        </w:rPr>
        <w:t xml:space="preserve">Service </w:t>
      </w:r>
      <w:r w:rsidR="00644409" w:rsidRPr="00625AD6">
        <w:rPr>
          <w:sz w:val="20"/>
        </w:rPr>
        <w:t xml:space="preserve">virtually unfettered powers to arrest and detain suspects, monitor communications, conduct searches and seize property without </w:t>
      </w:r>
      <w:r w:rsidR="00840567" w:rsidRPr="00625AD6">
        <w:rPr>
          <w:sz w:val="20"/>
        </w:rPr>
        <w:t xml:space="preserve">any </w:t>
      </w:r>
      <w:r w:rsidR="00644409" w:rsidRPr="00625AD6">
        <w:rPr>
          <w:sz w:val="20"/>
        </w:rPr>
        <w:t xml:space="preserve">clear judicial oversight. Threats of criminal defamation charges are also frequently </w:t>
      </w:r>
      <w:r w:rsidR="00840567" w:rsidRPr="00625AD6">
        <w:rPr>
          <w:sz w:val="20"/>
        </w:rPr>
        <w:t xml:space="preserve">made </w:t>
      </w:r>
      <w:r w:rsidR="00644409" w:rsidRPr="00625AD6">
        <w:rPr>
          <w:sz w:val="20"/>
        </w:rPr>
        <w:t>by the</w:t>
      </w:r>
      <w:r w:rsidR="00B01672" w:rsidRPr="00625AD6">
        <w:rPr>
          <w:sz w:val="20"/>
        </w:rPr>
        <w:t xml:space="preserve"> Service</w:t>
      </w:r>
      <w:r w:rsidR="00644409" w:rsidRPr="00625AD6">
        <w:rPr>
          <w:sz w:val="20"/>
        </w:rPr>
        <w:t xml:space="preserve"> to silence opponents, </w:t>
      </w:r>
      <w:r w:rsidR="00840567" w:rsidRPr="00625AD6">
        <w:rPr>
          <w:sz w:val="20"/>
        </w:rPr>
        <w:t xml:space="preserve">even though </w:t>
      </w:r>
      <w:proofErr w:type="gramStart"/>
      <w:r w:rsidR="00644409" w:rsidRPr="00625AD6">
        <w:rPr>
          <w:sz w:val="20"/>
        </w:rPr>
        <w:t xml:space="preserve">claims </w:t>
      </w:r>
      <w:r w:rsidR="00840567" w:rsidRPr="00625AD6">
        <w:rPr>
          <w:sz w:val="20"/>
        </w:rPr>
        <w:t xml:space="preserve">of defamation are </w:t>
      </w:r>
      <w:r w:rsidR="00644409" w:rsidRPr="00625AD6">
        <w:rPr>
          <w:sz w:val="20"/>
        </w:rPr>
        <w:t xml:space="preserve">adjudicated by </w:t>
      </w:r>
      <w:r w:rsidR="00840567" w:rsidRPr="00625AD6">
        <w:rPr>
          <w:sz w:val="20"/>
        </w:rPr>
        <w:t xml:space="preserve">the </w:t>
      </w:r>
      <w:r w:rsidR="00644409" w:rsidRPr="00625AD6">
        <w:rPr>
          <w:sz w:val="20"/>
        </w:rPr>
        <w:t>Press and Broadcast Complaints Council</w:t>
      </w:r>
      <w:proofErr w:type="gramEnd"/>
      <w:r w:rsidR="00840567" w:rsidRPr="00625AD6">
        <w:rPr>
          <w:sz w:val="20"/>
        </w:rPr>
        <w:t>.</w:t>
      </w:r>
      <w:r w:rsidR="00644409" w:rsidRPr="00625AD6">
        <w:rPr>
          <w:sz w:val="20"/>
        </w:rPr>
        <w:t xml:space="preserve"> </w:t>
      </w:r>
      <w:r w:rsidR="00840567" w:rsidRPr="00625AD6">
        <w:rPr>
          <w:sz w:val="20"/>
        </w:rPr>
        <w:t>In July 2016, t</w:t>
      </w:r>
      <w:r w:rsidR="00644409" w:rsidRPr="00625AD6">
        <w:rPr>
          <w:sz w:val="20"/>
        </w:rPr>
        <w:t xml:space="preserve">he </w:t>
      </w:r>
      <w:r w:rsidR="00B01672" w:rsidRPr="00625AD6">
        <w:rPr>
          <w:sz w:val="20"/>
        </w:rPr>
        <w:t>Service</w:t>
      </w:r>
      <w:r w:rsidR="00644409" w:rsidRPr="00625AD6">
        <w:rPr>
          <w:sz w:val="20"/>
        </w:rPr>
        <w:t xml:space="preserve"> confiscated </w:t>
      </w:r>
      <w:r w:rsidR="00840567" w:rsidRPr="00625AD6">
        <w:rPr>
          <w:sz w:val="20"/>
        </w:rPr>
        <w:t xml:space="preserve">the print runs of one </w:t>
      </w:r>
      <w:r w:rsidR="00644409" w:rsidRPr="00625AD6">
        <w:rPr>
          <w:sz w:val="20"/>
        </w:rPr>
        <w:t>newspaper and arrested the editor</w:t>
      </w:r>
      <w:r w:rsidR="00840567" w:rsidRPr="00625AD6">
        <w:rPr>
          <w:sz w:val="20"/>
        </w:rPr>
        <w:t>,</w:t>
      </w:r>
      <w:r w:rsidR="00644409" w:rsidRPr="00625AD6">
        <w:rPr>
          <w:sz w:val="20"/>
        </w:rPr>
        <w:t xml:space="preserve"> threatening him with criminal action for defamation for publishing an article critical of the </w:t>
      </w:r>
      <w:r w:rsidR="00840567" w:rsidRPr="00625AD6">
        <w:rPr>
          <w:sz w:val="20"/>
        </w:rPr>
        <w:t>G</w:t>
      </w:r>
      <w:r w:rsidR="00644409" w:rsidRPr="00625AD6">
        <w:rPr>
          <w:sz w:val="20"/>
        </w:rPr>
        <w:t>overnment.</w:t>
      </w:r>
      <w:r w:rsidR="00644409" w:rsidRPr="00625AD6">
        <w:t xml:space="preserve"> </w:t>
      </w:r>
    </w:p>
    <w:p w:rsidR="00507944" w:rsidRPr="00625AD6" w:rsidRDefault="00625AD6" w:rsidP="00625AD6">
      <w:pPr>
        <w:pStyle w:val="SingleTxtG"/>
        <w:tabs>
          <w:tab w:val="left" w:pos="1701"/>
        </w:tabs>
        <w:rPr>
          <w:sz w:val="20"/>
        </w:rPr>
      </w:pPr>
      <w:r w:rsidRPr="00625AD6">
        <w:rPr>
          <w:sz w:val="20"/>
          <w:szCs w:val="20"/>
        </w:rPr>
        <w:t>47.</w:t>
      </w:r>
      <w:r w:rsidRPr="00625AD6">
        <w:rPr>
          <w:sz w:val="20"/>
          <w:szCs w:val="20"/>
        </w:rPr>
        <w:tab/>
      </w:r>
      <w:r w:rsidR="00644409" w:rsidRPr="00625AD6">
        <w:rPr>
          <w:sz w:val="20"/>
        </w:rPr>
        <w:t xml:space="preserve">South Sudan </w:t>
      </w:r>
      <w:r w:rsidR="00840567" w:rsidRPr="00625AD6">
        <w:rPr>
          <w:sz w:val="20"/>
        </w:rPr>
        <w:t>is today</w:t>
      </w:r>
      <w:r w:rsidR="00644409" w:rsidRPr="00625AD6">
        <w:rPr>
          <w:sz w:val="20"/>
        </w:rPr>
        <w:t xml:space="preserve"> one of the most dangerous places in the world for journalists to work</w:t>
      </w:r>
      <w:r w:rsidR="004858EB" w:rsidRPr="00625AD6">
        <w:rPr>
          <w:sz w:val="20"/>
        </w:rPr>
        <w:t xml:space="preserve">; in recent years, </w:t>
      </w:r>
      <w:r w:rsidR="00644409" w:rsidRPr="00625AD6">
        <w:rPr>
          <w:sz w:val="20"/>
        </w:rPr>
        <w:t>a number of journalists have been killed, disappeared or forced into exile</w:t>
      </w:r>
      <w:r w:rsidR="00840567" w:rsidRPr="00625AD6">
        <w:rPr>
          <w:sz w:val="20"/>
        </w:rPr>
        <w:t>.</w:t>
      </w:r>
      <w:r w:rsidR="005534A5" w:rsidRPr="00625AD6">
        <w:rPr>
          <w:rStyle w:val="FootnoteReference"/>
        </w:rPr>
        <w:footnoteReference w:id="13"/>
      </w:r>
      <w:r w:rsidR="00840567" w:rsidRPr="00625AD6">
        <w:rPr>
          <w:sz w:val="20"/>
        </w:rPr>
        <w:t xml:space="preserve"> </w:t>
      </w:r>
      <w:r w:rsidR="00644409" w:rsidRPr="00625AD6">
        <w:rPr>
          <w:sz w:val="20"/>
        </w:rPr>
        <w:t xml:space="preserve">The security establishment has relentlessly pursued a policy of harassment and intimidation against journalists and media outlets in </w:t>
      </w:r>
      <w:r w:rsidR="00395853" w:rsidRPr="00625AD6">
        <w:rPr>
          <w:sz w:val="20"/>
        </w:rPr>
        <w:t>order</w:t>
      </w:r>
      <w:r w:rsidR="00644409" w:rsidRPr="00625AD6">
        <w:rPr>
          <w:sz w:val="20"/>
        </w:rPr>
        <w:t xml:space="preserve"> to censor any </w:t>
      </w:r>
      <w:r w:rsidR="00395853" w:rsidRPr="00625AD6">
        <w:rPr>
          <w:sz w:val="20"/>
        </w:rPr>
        <w:t xml:space="preserve">negative criticism </w:t>
      </w:r>
      <w:r w:rsidR="00644409" w:rsidRPr="00625AD6">
        <w:rPr>
          <w:sz w:val="20"/>
        </w:rPr>
        <w:t xml:space="preserve">about the </w:t>
      </w:r>
      <w:r w:rsidR="00395853" w:rsidRPr="00625AD6">
        <w:rPr>
          <w:sz w:val="20"/>
        </w:rPr>
        <w:t>S</w:t>
      </w:r>
      <w:r w:rsidR="00644409" w:rsidRPr="00625AD6">
        <w:rPr>
          <w:sz w:val="20"/>
        </w:rPr>
        <w:t xml:space="preserve">tate. UNMISS </w:t>
      </w:r>
      <w:r w:rsidR="00FE0EAB" w:rsidRPr="00625AD6">
        <w:rPr>
          <w:sz w:val="20"/>
        </w:rPr>
        <w:t xml:space="preserve">found </w:t>
      </w:r>
      <w:r w:rsidR="00644409" w:rsidRPr="00625AD6">
        <w:rPr>
          <w:sz w:val="20"/>
        </w:rPr>
        <w:t xml:space="preserve">that the </w:t>
      </w:r>
      <w:r w:rsidR="00633795" w:rsidRPr="00625AD6">
        <w:rPr>
          <w:sz w:val="20"/>
        </w:rPr>
        <w:t xml:space="preserve">South Sudan </w:t>
      </w:r>
      <w:r w:rsidR="00644409" w:rsidRPr="00625AD6">
        <w:rPr>
          <w:sz w:val="20"/>
        </w:rPr>
        <w:t xml:space="preserve">Directorate of Information </w:t>
      </w:r>
      <w:r w:rsidR="00FE0EAB" w:rsidRPr="00625AD6">
        <w:rPr>
          <w:sz w:val="20"/>
        </w:rPr>
        <w:t xml:space="preserve">had </w:t>
      </w:r>
      <w:r w:rsidR="00644409" w:rsidRPr="00625AD6">
        <w:rPr>
          <w:sz w:val="20"/>
        </w:rPr>
        <w:t xml:space="preserve">ordered journalists not to report on “negative stories” and to submit all news stories to the Government for approval before publication. In the wake of the </w:t>
      </w:r>
      <w:r w:rsidR="00FE0EAB" w:rsidRPr="00625AD6">
        <w:rPr>
          <w:sz w:val="20"/>
        </w:rPr>
        <w:t xml:space="preserve">outbreak of </w:t>
      </w:r>
      <w:r w:rsidR="00644409" w:rsidRPr="00625AD6">
        <w:rPr>
          <w:sz w:val="20"/>
        </w:rPr>
        <w:t xml:space="preserve">violence in Juba, </w:t>
      </w:r>
      <w:r w:rsidR="00FE0EAB" w:rsidRPr="00625AD6">
        <w:rPr>
          <w:sz w:val="20"/>
        </w:rPr>
        <w:t>on 19 July 2016</w:t>
      </w:r>
      <w:r w:rsidR="003542E7" w:rsidRPr="00625AD6">
        <w:rPr>
          <w:sz w:val="20"/>
        </w:rPr>
        <w:t xml:space="preserve"> </w:t>
      </w:r>
      <w:r w:rsidR="00644409" w:rsidRPr="00625AD6">
        <w:rPr>
          <w:sz w:val="20"/>
        </w:rPr>
        <w:t xml:space="preserve">the </w:t>
      </w:r>
      <w:proofErr w:type="gramStart"/>
      <w:r w:rsidR="00644409" w:rsidRPr="00625AD6">
        <w:rPr>
          <w:sz w:val="20"/>
        </w:rPr>
        <w:t xml:space="preserve">editor of the </w:t>
      </w:r>
      <w:r w:rsidR="00644409" w:rsidRPr="00625AD6">
        <w:rPr>
          <w:i/>
          <w:sz w:val="20"/>
        </w:rPr>
        <w:t>Juba Monitor</w:t>
      </w:r>
      <w:r w:rsidR="00644409" w:rsidRPr="00625AD6">
        <w:rPr>
          <w:sz w:val="20"/>
        </w:rPr>
        <w:t xml:space="preserve"> was detained by the National Security Services </w:t>
      </w:r>
      <w:r w:rsidR="003542E7" w:rsidRPr="00625AD6">
        <w:rPr>
          <w:sz w:val="20"/>
        </w:rPr>
        <w:t>for having</w:t>
      </w:r>
      <w:r w:rsidR="00644409" w:rsidRPr="00625AD6">
        <w:rPr>
          <w:sz w:val="20"/>
        </w:rPr>
        <w:t xml:space="preserve"> published an article critical of the </w:t>
      </w:r>
      <w:r w:rsidR="003542E7" w:rsidRPr="00625AD6">
        <w:rPr>
          <w:sz w:val="20"/>
        </w:rPr>
        <w:t>G</w:t>
      </w:r>
      <w:r w:rsidR="00644409" w:rsidRPr="00625AD6">
        <w:rPr>
          <w:sz w:val="20"/>
        </w:rPr>
        <w:t>overnment</w:t>
      </w:r>
      <w:proofErr w:type="gramEnd"/>
      <w:r w:rsidR="00395853" w:rsidRPr="00625AD6">
        <w:rPr>
          <w:sz w:val="20"/>
        </w:rPr>
        <w:t>.</w:t>
      </w:r>
      <w:r w:rsidR="00F45228" w:rsidRPr="00625AD6">
        <w:rPr>
          <w:rStyle w:val="FootnoteReference"/>
        </w:rPr>
        <w:footnoteReference w:id="14"/>
      </w:r>
      <w:r w:rsidR="00644409" w:rsidRPr="00625AD6">
        <w:rPr>
          <w:sz w:val="20"/>
        </w:rPr>
        <w:t xml:space="preserve"> The editor of the </w:t>
      </w:r>
      <w:r w:rsidR="00644409" w:rsidRPr="00625AD6">
        <w:rPr>
          <w:i/>
          <w:sz w:val="20"/>
        </w:rPr>
        <w:t>Nation Mirror</w:t>
      </w:r>
      <w:r w:rsidR="00644409" w:rsidRPr="00625AD6">
        <w:rPr>
          <w:sz w:val="20"/>
        </w:rPr>
        <w:t xml:space="preserve"> </w:t>
      </w:r>
      <w:proofErr w:type="gramStart"/>
      <w:r w:rsidR="00644409" w:rsidRPr="00625AD6">
        <w:rPr>
          <w:sz w:val="20"/>
        </w:rPr>
        <w:t>was also ordered</w:t>
      </w:r>
      <w:proofErr w:type="gramEnd"/>
      <w:r w:rsidR="00644409" w:rsidRPr="00625AD6">
        <w:rPr>
          <w:sz w:val="20"/>
        </w:rPr>
        <w:t xml:space="preserve"> to shut down his newspaper after he published details of a report released by a group </w:t>
      </w:r>
      <w:r w:rsidR="00A25BCB" w:rsidRPr="00625AD6">
        <w:rPr>
          <w:sz w:val="20"/>
        </w:rPr>
        <w:t xml:space="preserve">based in the United States of America </w:t>
      </w:r>
      <w:r w:rsidR="00644409" w:rsidRPr="00625AD6">
        <w:rPr>
          <w:sz w:val="20"/>
        </w:rPr>
        <w:t xml:space="preserve">alleging misuse of </w:t>
      </w:r>
      <w:r w:rsidR="00A25BCB" w:rsidRPr="00625AD6">
        <w:rPr>
          <w:sz w:val="20"/>
        </w:rPr>
        <w:t>S</w:t>
      </w:r>
      <w:r w:rsidR="00644409" w:rsidRPr="00625AD6">
        <w:rPr>
          <w:sz w:val="20"/>
        </w:rPr>
        <w:t>tate funds by the nation</w:t>
      </w:r>
      <w:r w:rsidR="00A25BCB" w:rsidRPr="00625AD6">
        <w:rPr>
          <w:sz w:val="20"/>
        </w:rPr>
        <w:t>’</w:t>
      </w:r>
      <w:r w:rsidR="00644409" w:rsidRPr="00625AD6">
        <w:rPr>
          <w:sz w:val="20"/>
        </w:rPr>
        <w:t>s leaders</w:t>
      </w:r>
      <w:r w:rsidR="00A25BCB" w:rsidRPr="00625AD6">
        <w:rPr>
          <w:sz w:val="20"/>
        </w:rPr>
        <w:t>.</w:t>
      </w:r>
      <w:r w:rsidR="00F45228" w:rsidRPr="00625AD6">
        <w:rPr>
          <w:rStyle w:val="FootnoteReference"/>
        </w:rPr>
        <w:footnoteReference w:id="15"/>
      </w:r>
      <w:r w:rsidR="00644409" w:rsidRPr="00625AD6">
        <w:rPr>
          <w:sz w:val="20"/>
        </w:rPr>
        <w:t xml:space="preserve"> On 24 January</w:t>
      </w:r>
      <w:r w:rsidR="0055779F" w:rsidRPr="00625AD6">
        <w:rPr>
          <w:sz w:val="20"/>
        </w:rPr>
        <w:t xml:space="preserve"> 2017</w:t>
      </w:r>
      <w:r w:rsidR="00644409" w:rsidRPr="00625AD6">
        <w:rPr>
          <w:sz w:val="20"/>
        </w:rPr>
        <w:t>, SPLA soldiers arrested four journalists in Juba, including one from UNMISS radio, and accused them of broadcasts critical of the Government.</w:t>
      </w:r>
    </w:p>
    <w:p w:rsidR="00507944" w:rsidRPr="00625AD6" w:rsidRDefault="00625AD6" w:rsidP="00625AD6">
      <w:pPr>
        <w:pStyle w:val="SingleTxtG"/>
        <w:tabs>
          <w:tab w:val="left" w:pos="1701"/>
        </w:tabs>
        <w:rPr>
          <w:sz w:val="20"/>
        </w:rPr>
      </w:pPr>
      <w:r w:rsidRPr="00625AD6">
        <w:rPr>
          <w:sz w:val="20"/>
          <w:szCs w:val="20"/>
        </w:rPr>
        <w:t>48.</w:t>
      </w:r>
      <w:r w:rsidRPr="00625AD6">
        <w:rPr>
          <w:sz w:val="20"/>
          <w:szCs w:val="20"/>
        </w:rPr>
        <w:tab/>
      </w:r>
      <w:r w:rsidR="00644409" w:rsidRPr="00625AD6">
        <w:rPr>
          <w:sz w:val="20"/>
        </w:rPr>
        <w:t xml:space="preserve"> Radio journalists who fled South Sudan</w:t>
      </w:r>
      <w:r w:rsidR="00633795" w:rsidRPr="00625AD6">
        <w:rPr>
          <w:sz w:val="20"/>
        </w:rPr>
        <w:t xml:space="preserve"> to neighbouring countries</w:t>
      </w:r>
      <w:r w:rsidR="00644409" w:rsidRPr="00625AD6">
        <w:rPr>
          <w:sz w:val="20"/>
        </w:rPr>
        <w:t xml:space="preserve"> told the Commission </w:t>
      </w:r>
      <w:r w:rsidR="0055779F" w:rsidRPr="00625AD6">
        <w:rPr>
          <w:sz w:val="20"/>
        </w:rPr>
        <w:t xml:space="preserve">that </w:t>
      </w:r>
      <w:proofErr w:type="gramStart"/>
      <w:r w:rsidR="00644409" w:rsidRPr="00625AD6">
        <w:rPr>
          <w:sz w:val="20"/>
        </w:rPr>
        <w:t xml:space="preserve">they had been threatened with arrest by the </w:t>
      </w:r>
      <w:r w:rsidR="00B01672" w:rsidRPr="00625AD6">
        <w:rPr>
          <w:sz w:val="20"/>
        </w:rPr>
        <w:t>National Security Service</w:t>
      </w:r>
      <w:r w:rsidR="00644409" w:rsidRPr="00625AD6">
        <w:rPr>
          <w:sz w:val="20"/>
        </w:rPr>
        <w:t xml:space="preserve"> officers</w:t>
      </w:r>
      <w:r w:rsidR="00BE7054" w:rsidRPr="00625AD6">
        <w:rPr>
          <w:sz w:val="20"/>
        </w:rPr>
        <w:t>,</w:t>
      </w:r>
      <w:r w:rsidR="00644409" w:rsidRPr="00625AD6">
        <w:rPr>
          <w:sz w:val="20"/>
        </w:rPr>
        <w:t xml:space="preserve"> who accused them of conspiring against the </w:t>
      </w:r>
      <w:r w:rsidR="00BE7054" w:rsidRPr="00625AD6">
        <w:rPr>
          <w:sz w:val="20"/>
        </w:rPr>
        <w:t>S</w:t>
      </w:r>
      <w:r w:rsidR="00644409" w:rsidRPr="00625AD6">
        <w:rPr>
          <w:sz w:val="20"/>
        </w:rPr>
        <w:t xml:space="preserve">tate and propagating </w:t>
      </w:r>
      <w:r w:rsidR="00633795" w:rsidRPr="00625AD6">
        <w:rPr>
          <w:sz w:val="20"/>
        </w:rPr>
        <w:t>“</w:t>
      </w:r>
      <w:r w:rsidR="00644409" w:rsidRPr="00625AD6">
        <w:rPr>
          <w:sz w:val="20"/>
        </w:rPr>
        <w:t>Western agendas</w:t>
      </w:r>
      <w:r w:rsidR="00633795" w:rsidRPr="00625AD6">
        <w:rPr>
          <w:sz w:val="20"/>
        </w:rPr>
        <w:t>”</w:t>
      </w:r>
      <w:proofErr w:type="gramEnd"/>
      <w:r w:rsidR="00644409" w:rsidRPr="00625AD6">
        <w:rPr>
          <w:sz w:val="20"/>
        </w:rPr>
        <w:t xml:space="preserve">. At least two journalists interviewed by the Commission alleged that they </w:t>
      </w:r>
      <w:proofErr w:type="gramStart"/>
      <w:r w:rsidR="00644409" w:rsidRPr="00625AD6">
        <w:rPr>
          <w:sz w:val="20"/>
        </w:rPr>
        <w:t xml:space="preserve">had been tortured and raped by </w:t>
      </w:r>
      <w:r w:rsidR="00BE7054" w:rsidRPr="00625AD6">
        <w:rPr>
          <w:sz w:val="20"/>
        </w:rPr>
        <w:t>members of the</w:t>
      </w:r>
      <w:r w:rsidR="00644409" w:rsidRPr="00625AD6">
        <w:rPr>
          <w:sz w:val="20"/>
        </w:rPr>
        <w:t xml:space="preserve"> </w:t>
      </w:r>
      <w:r w:rsidR="00B01672" w:rsidRPr="00625AD6">
        <w:rPr>
          <w:sz w:val="20"/>
        </w:rPr>
        <w:t>National Security Service</w:t>
      </w:r>
      <w:r w:rsidR="00644409" w:rsidRPr="00625AD6">
        <w:rPr>
          <w:sz w:val="20"/>
        </w:rPr>
        <w:t xml:space="preserve"> before they fled South Sudan</w:t>
      </w:r>
      <w:proofErr w:type="gramEnd"/>
      <w:r w:rsidR="00644409" w:rsidRPr="00625AD6">
        <w:rPr>
          <w:sz w:val="20"/>
        </w:rPr>
        <w:t>.</w:t>
      </w:r>
    </w:p>
    <w:p w:rsidR="00507944" w:rsidRPr="00625AD6" w:rsidRDefault="00625AD6" w:rsidP="00625AD6">
      <w:pPr>
        <w:pStyle w:val="SingleTxtG"/>
        <w:tabs>
          <w:tab w:val="left" w:pos="1701"/>
        </w:tabs>
        <w:rPr>
          <w:sz w:val="20"/>
        </w:rPr>
      </w:pPr>
      <w:r w:rsidRPr="00625AD6">
        <w:rPr>
          <w:sz w:val="20"/>
          <w:szCs w:val="20"/>
        </w:rPr>
        <w:t>49.</w:t>
      </w:r>
      <w:r w:rsidRPr="00625AD6">
        <w:rPr>
          <w:sz w:val="20"/>
          <w:szCs w:val="20"/>
        </w:rPr>
        <w:tab/>
      </w:r>
      <w:r w:rsidR="00644409" w:rsidRPr="00625AD6">
        <w:rPr>
          <w:sz w:val="20"/>
        </w:rPr>
        <w:t xml:space="preserve">The Commission met human rights defenders and </w:t>
      </w:r>
      <w:r w:rsidR="00BE7054" w:rsidRPr="00625AD6">
        <w:rPr>
          <w:sz w:val="20"/>
        </w:rPr>
        <w:t xml:space="preserve">representatives of </w:t>
      </w:r>
      <w:r w:rsidR="00644409" w:rsidRPr="00625AD6">
        <w:rPr>
          <w:sz w:val="20"/>
        </w:rPr>
        <w:t xml:space="preserve">civil society organizations, including faith-based representatives, who spoke of pervasive surveillance and monitoring by the </w:t>
      </w:r>
      <w:r w:rsidR="00B01672" w:rsidRPr="00625AD6">
        <w:rPr>
          <w:sz w:val="20"/>
        </w:rPr>
        <w:t>National Security Service</w:t>
      </w:r>
      <w:r w:rsidR="00644409" w:rsidRPr="00625AD6">
        <w:rPr>
          <w:sz w:val="20"/>
        </w:rPr>
        <w:t xml:space="preserve">, </w:t>
      </w:r>
      <w:r w:rsidR="00BE7054" w:rsidRPr="00625AD6">
        <w:rPr>
          <w:sz w:val="20"/>
        </w:rPr>
        <w:t>and of</w:t>
      </w:r>
      <w:r w:rsidR="00644409" w:rsidRPr="00625AD6">
        <w:rPr>
          <w:sz w:val="20"/>
        </w:rPr>
        <w:t xml:space="preserve"> threats of arrest and detention</w:t>
      </w:r>
      <w:r w:rsidR="00BE7054" w:rsidRPr="00625AD6">
        <w:rPr>
          <w:sz w:val="20"/>
        </w:rPr>
        <w:t>,</w:t>
      </w:r>
      <w:r w:rsidR="00644409" w:rsidRPr="00625AD6">
        <w:rPr>
          <w:sz w:val="20"/>
        </w:rPr>
        <w:t xml:space="preserve"> forcing many of them to flee the country. They reported that the </w:t>
      </w:r>
      <w:r w:rsidR="00B01672" w:rsidRPr="00625AD6">
        <w:rPr>
          <w:sz w:val="20"/>
        </w:rPr>
        <w:t>Service</w:t>
      </w:r>
      <w:r w:rsidR="00644409" w:rsidRPr="00625AD6">
        <w:rPr>
          <w:sz w:val="20"/>
        </w:rPr>
        <w:t xml:space="preserve"> had infiltrated civil society groups</w:t>
      </w:r>
      <w:r w:rsidR="00BE7054" w:rsidRPr="00625AD6">
        <w:rPr>
          <w:sz w:val="20"/>
        </w:rPr>
        <w:t>, thereby</w:t>
      </w:r>
      <w:r w:rsidR="00644409" w:rsidRPr="00625AD6">
        <w:rPr>
          <w:sz w:val="20"/>
        </w:rPr>
        <w:t xml:space="preserve"> contributing to a toxic environment of mistrust among former colleagues. </w:t>
      </w:r>
    </w:p>
    <w:p w:rsidR="00507944" w:rsidRPr="00625AD6" w:rsidRDefault="00625AD6" w:rsidP="00625AD6">
      <w:pPr>
        <w:pStyle w:val="SingleTxtG"/>
        <w:tabs>
          <w:tab w:val="left" w:pos="1701"/>
        </w:tabs>
        <w:rPr>
          <w:sz w:val="20"/>
        </w:rPr>
      </w:pPr>
      <w:r w:rsidRPr="00625AD6">
        <w:rPr>
          <w:sz w:val="20"/>
          <w:szCs w:val="20"/>
        </w:rPr>
        <w:t>50.</w:t>
      </w:r>
      <w:r w:rsidRPr="00625AD6">
        <w:rPr>
          <w:sz w:val="20"/>
          <w:szCs w:val="20"/>
        </w:rPr>
        <w:tab/>
      </w:r>
      <w:r w:rsidR="00644409" w:rsidRPr="00625AD6">
        <w:rPr>
          <w:sz w:val="20"/>
        </w:rPr>
        <w:t xml:space="preserve">Donors and non-governmental organizations expressed concern about the restrictive law passed </w:t>
      </w:r>
      <w:r w:rsidR="00BE7054" w:rsidRPr="00625AD6">
        <w:rPr>
          <w:sz w:val="20"/>
        </w:rPr>
        <w:t>by the National Legislative Assembly</w:t>
      </w:r>
      <w:r w:rsidR="00BE7054" w:rsidRPr="00625AD6">
        <w:t xml:space="preserve"> </w:t>
      </w:r>
      <w:r w:rsidR="00BE7054" w:rsidRPr="00625AD6">
        <w:rPr>
          <w:sz w:val="20"/>
        </w:rPr>
        <w:t xml:space="preserve">on 2 </w:t>
      </w:r>
      <w:r w:rsidR="00644409" w:rsidRPr="00625AD6">
        <w:rPr>
          <w:sz w:val="20"/>
        </w:rPr>
        <w:t xml:space="preserve">February 2016 requiring any </w:t>
      </w:r>
      <w:r w:rsidR="00BE7054" w:rsidRPr="00625AD6">
        <w:rPr>
          <w:sz w:val="20"/>
        </w:rPr>
        <w:t xml:space="preserve">non-governmental organization </w:t>
      </w:r>
      <w:r w:rsidR="00644409" w:rsidRPr="00625AD6">
        <w:rPr>
          <w:sz w:val="20"/>
        </w:rPr>
        <w:t>operating in South Sudan to employ at least 80</w:t>
      </w:r>
      <w:r w:rsidR="002C698A" w:rsidRPr="00625AD6">
        <w:rPr>
          <w:sz w:val="20"/>
        </w:rPr>
        <w:t xml:space="preserve"> per cent</w:t>
      </w:r>
      <w:r w:rsidR="00644409" w:rsidRPr="00625AD6">
        <w:rPr>
          <w:sz w:val="20"/>
        </w:rPr>
        <w:t xml:space="preserve"> South Sudanese nationals </w:t>
      </w:r>
      <w:r w:rsidR="00633795" w:rsidRPr="00625AD6">
        <w:rPr>
          <w:sz w:val="20"/>
        </w:rPr>
        <w:t>at</w:t>
      </w:r>
      <w:r w:rsidR="00644409" w:rsidRPr="00625AD6">
        <w:rPr>
          <w:sz w:val="20"/>
        </w:rPr>
        <w:t xml:space="preserve"> </w:t>
      </w:r>
      <w:r w:rsidR="002C698A" w:rsidRPr="00625AD6">
        <w:rPr>
          <w:sz w:val="20"/>
        </w:rPr>
        <w:t xml:space="preserve">the </w:t>
      </w:r>
      <w:r w:rsidR="00644409" w:rsidRPr="00625AD6">
        <w:rPr>
          <w:sz w:val="20"/>
        </w:rPr>
        <w:t>managerial, middle and junior levels</w:t>
      </w:r>
      <w:r w:rsidR="00323626" w:rsidRPr="00625AD6">
        <w:rPr>
          <w:sz w:val="20"/>
        </w:rPr>
        <w:t>.</w:t>
      </w:r>
      <w:r w:rsidR="00644409" w:rsidRPr="00625AD6">
        <w:rPr>
          <w:sz w:val="20"/>
        </w:rPr>
        <w:t xml:space="preserve"> It also require</w:t>
      </w:r>
      <w:r w:rsidR="002C698A" w:rsidRPr="00625AD6">
        <w:rPr>
          <w:sz w:val="20"/>
        </w:rPr>
        <w:t>s</w:t>
      </w:r>
      <w:r w:rsidR="00644409" w:rsidRPr="00625AD6">
        <w:rPr>
          <w:sz w:val="20"/>
        </w:rPr>
        <w:t xml:space="preserve"> </w:t>
      </w:r>
      <w:r w:rsidR="002C698A" w:rsidRPr="00625AD6">
        <w:rPr>
          <w:sz w:val="20"/>
        </w:rPr>
        <w:t xml:space="preserve">non-governmental organizations to </w:t>
      </w:r>
      <w:r w:rsidR="00644409" w:rsidRPr="00625AD6">
        <w:rPr>
          <w:sz w:val="20"/>
        </w:rPr>
        <w:t xml:space="preserve">open a bank account in South Sudan </w:t>
      </w:r>
      <w:r w:rsidR="009C6362" w:rsidRPr="00625AD6">
        <w:rPr>
          <w:sz w:val="20"/>
        </w:rPr>
        <w:t>and</w:t>
      </w:r>
      <w:r w:rsidR="00644409" w:rsidRPr="00625AD6">
        <w:rPr>
          <w:sz w:val="20"/>
        </w:rPr>
        <w:t xml:space="preserve"> to conclude memoranda or agreements with the </w:t>
      </w:r>
      <w:r w:rsidR="002C698A" w:rsidRPr="00625AD6">
        <w:rPr>
          <w:sz w:val="20"/>
        </w:rPr>
        <w:t>G</w:t>
      </w:r>
      <w:r w:rsidR="00644409" w:rsidRPr="00625AD6">
        <w:rPr>
          <w:sz w:val="20"/>
        </w:rPr>
        <w:t xml:space="preserve">overnment in order to </w:t>
      </w:r>
      <w:r w:rsidR="009C6362" w:rsidRPr="00625AD6">
        <w:rPr>
          <w:sz w:val="20"/>
        </w:rPr>
        <w:t xml:space="preserve">operate or to </w:t>
      </w:r>
      <w:r w:rsidR="00644409" w:rsidRPr="00625AD6">
        <w:rPr>
          <w:sz w:val="20"/>
        </w:rPr>
        <w:t>continue their operations. These provisions have</w:t>
      </w:r>
      <w:r w:rsidR="002C698A" w:rsidRPr="00625AD6">
        <w:rPr>
          <w:sz w:val="20"/>
        </w:rPr>
        <w:t xml:space="preserve"> had a</w:t>
      </w:r>
      <w:r w:rsidR="00644409" w:rsidRPr="00625AD6">
        <w:rPr>
          <w:sz w:val="20"/>
        </w:rPr>
        <w:t xml:space="preserve"> severe impact</w:t>
      </w:r>
      <w:r w:rsidR="002C698A" w:rsidRPr="00625AD6">
        <w:rPr>
          <w:sz w:val="20"/>
        </w:rPr>
        <w:t xml:space="preserve"> on</w:t>
      </w:r>
      <w:r w:rsidR="00644409" w:rsidRPr="00625AD6">
        <w:rPr>
          <w:sz w:val="20"/>
        </w:rPr>
        <w:t xml:space="preserve"> the work of </w:t>
      </w:r>
      <w:r w:rsidR="00E40AB2" w:rsidRPr="00625AD6">
        <w:rPr>
          <w:sz w:val="20"/>
        </w:rPr>
        <w:t>organi</w:t>
      </w:r>
      <w:r w:rsidR="009C6362" w:rsidRPr="00625AD6">
        <w:rPr>
          <w:sz w:val="20"/>
        </w:rPr>
        <w:t>z</w:t>
      </w:r>
      <w:r w:rsidR="00E40AB2" w:rsidRPr="00625AD6">
        <w:rPr>
          <w:sz w:val="20"/>
        </w:rPr>
        <w:t>ations</w:t>
      </w:r>
      <w:r w:rsidR="00644409" w:rsidRPr="00625AD6">
        <w:rPr>
          <w:sz w:val="20"/>
        </w:rPr>
        <w:t xml:space="preserve"> working </w:t>
      </w:r>
      <w:r w:rsidR="009C6362" w:rsidRPr="00625AD6">
        <w:rPr>
          <w:sz w:val="20"/>
        </w:rPr>
        <w:t>o</w:t>
      </w:r>
      <w:r w:rsidR="00644409" w:rsidRPr="00625AD6">
        <w:rPr>
          <w:sz w:val="20"/>
        </w:rPr>
        <w:t>n human rights</w:t>
      </w:r>
      <w:r w:rsidR="009C6362" w:rsidRPr="00625AD6">
        <w:rPr>
          <w:sz w:val="20"/>
        </w:rPr>
        <w:t>;</w:t>
      </w:r>
      <w:r w:rsidR="00644409" w:rsidRPr="00625AD6">
        <w:rPr>
          <w:sz w:val="20"/>
        </w:rPr>
        <w:t xml:space="preserve"> humanitarian agencies hav</w:t>
      </w:r>
      <w:r w:rsidR="009C6362" w:rsidRPr="00625AD6">
        <w:rPr>
          <w:sz w:val="20"/>
        </w:rPr>
        <w:t xml:space="preserve">e had </w:t>
      </w:r>
      <w:r w:rsidR="00644409" w:rsidRPr="00625AD6">
        <w:rPr>
          <w:sz w:val="20"/>
        </w:rPr>
        <w:t xml:space="preserve">to </w:t>
      </w:r>
      <w:r w:rsidR="009C6362" w:rsidRPr="00625AD6">
        <w:rPr>
          <w:sz w:val="20"/>
        </w:rPr>
        <w:t xml:space="preserve">request </w:t>
      </w:r>
      <w:r w:rsidR="00644409" w:rsidRPr="00625AD6">
        <w:rPr>
          <w:sz w:val="20"/>
        </w:rPr>
        <w:t xml:space="preserve">the permission of the Government and the military to </w:t>
      </w:r>
      <w:r w:rsidR="009C6362" w:rsidRPr="00625AD6">
        <w:rPr>
          <w:sz w:val="20"/>
        </w:rPr>
        <w:t xml:space="preserve">have </w:t>
      </w:r>
      <w:r w:rsidR="00644409" w:rsidRPr="00625AD6">
        <w:rPr>
          <w:sz w:val="20"/>
        </w:rPr>
        <w:t xml:space="preserve">access </w:t>
      </w:r>
      <w:r w:rsidR="009C6362" w:rsidRPr="00625AD6">
        <w:rPr>
          <w:sz w:val="20"/>
        </w:rPr>
        <w:t xml:space="preserve">to </w:t>
      </w:r>
      <w:r w:rsidR="00644409" w:rsidRPr="00625AD6">
        <w:rPr>
          <w:sz w:val="20"/>
        </w:rPr>
        <w:t xml:space="preserve">certain </w:t>
      </w:r>
      <w:r w:rsidR="009C6362" w:rsidRPr="00625AD6">
        <w:rPr>
          <w:sz w:val="20"/>
        </w:rPr>
        <w:t xml:space="preserve">restricted </w:t>
      </w:r>
      <w:r w:rsidR="00644409" w:rsidRPr="00625AD6">
        <w:rPr>
          <w:sz w:val="20"/>
        </w:rPr>
        <w:t xml:space="preserve">areas of the country. </w:t>
      </w:r>
    </w:p>
    <w:p w:rsidR="00507944" w:rsidRPr="00625AD6" w:rsidRDefault="00625AD6" w:rsidP="00625AD6">
      <w:pPr>
        <w:pStyle w:val="SingleTxtG"/>
        <w:tabs>
          <w:tab w:val="left" w:pos="1701"/>
        </w:tabs>
        <w:rPr>
          <w:sz w:val="20"/>
        </w:rPr>
      </w:pPr>
      <w:r w:rsidRPr="00625AD6">
        <w:rPr>
          <w:sz w:val="20"/>
          <w:szCs w:val="20"/>
        </w:rPr>
        <w:t>51.</w:t>
      </w:r>
      <w:r w:rsidRPr="00625AD6">
        <w:rPr>
          <w:sz w:val="20"/>
          <w:szCs w:val="20"/>
        </w:rPr>
        <w:tab/>
      </w:r>
      <w:r w:rsidR="00644409" w:rsidRPr="00625AD6">
        <w:rPr>
          <w:sz w:val="20"/>
        </w:rPr>
        <w:t xml:space="preserve">Several civil society groups informed the Commission that they </w:t>
      </w:r>
      <w:proofErr w:type="gramStart"/>
      <w:r w:rsidR="009C6362" w:rsidRPr="00625AD6">
        <w:rPr>
          <w:sz w:val="20"/>
        </w:rPr>
        <w:t xml:space="preserve">had been </w:t>
      </w:r>
      <w:r w:rsidR="00644409" w:rsidRPr="00625AD6">
        <w:rPr>
          <w:sz w:val="20"/>
        </w:rPr>
        <w:t>instructed</w:t>
      </w:r>
      <w:proofErr w:type="gramEnd"/>
      <w:r w:rsidR="00644409" w:rsidRPr="00625AD6">
        <w:rPr>
          <w:sz w:val="20"/>
        </w:rPr>
        <w:t xml:space="preserve"> to shut down their operations because their work was deemed “political” under the </w:t>
      </w:r>
      <w:r w:rsidR="009C6362" w:rsidRPr="00625AD6">
        <w:rPr>
          <w:sz w:val="20"/>
        </w:rPr>
        <w:t>new</w:t>
      </w:r>
      <w:r w:rsidR="00633795" w:rsidRPr="00625AD6">
        <w:rPr>
          <w:sz w:val="20"/>
        </w:rPr>
        <w:t xml:space="preserve"> </w:t>
      </w:r>
      <w:r w:rsidR="00644409" w:rsidRPr="00625AD6">
        <w:rPr>
          <w:sz w:val="20"/>
        </w:rPr>
        <w:t>law</w:t>
      </w:r>
      <w:r w:rsidR="009C6362" w:rsidRPr="00625AD6">
        <w:rPr>
          <w:sz w:val="20"/>
        </w:rPr>
        <w:t xml:space="preserve"> on non-governmental organizations</w:t>
      </w:r>
      <w:r w:rsidR="00644409" w:rsidRPr="00625AD6">
        <w:rPr>
          <w:sz w:val="20"/>
        </w:rPr>
        <w:t xml:space="preserve">. A number of civil society activists </w:t>
      </w:r>
      <w:r w:rsidR="009C6362" w:rsidRPr="00625AD6">
        <w:rPr>
          <w:sz w:val="20"/>
        </w:rPr>
        <w:t xml:space="preserve">reported that they had </w:t>
      </w:r>
      <w:r w:rsidR="00644409" w:rsidRPr="00625AD6">
        <w:rPr>
          <w:sz w:val="20"/>
        </w:rPr>
        <w:t>receiv</w:t>
      </w:r>
      <w:r w:rsidR="009C6362" w:rsidRPr="00625AD6">
        <w:rPr>
          <w:sz w:val="20"/>
        </w:rPr>
        <w:t>ed</w:t>
      </w:r>
      <w:r w:rsidR="00644409" w:rsidRPr="00625AD6">
        <w:rPr>
          <w:sz w:val="20"/>
        </w:rPr>
        <w:t xml:space="preserve"> anonymous threats for </w:t>
      </w:r>
      <w:r w:rsidR="00E37091" w:rsidRPr="00625AD6">
        <w:rPr>
          <w:sz w:val="20"/>
        </w:rPr>
        <w:t>having “</w:t>
      </w:r>
      <w:r w:rsidR="00644409" w:rsidRPr="00625AD6">
        <w:rPr>
          <w:sz w:val="20"/>
        </w:rPr>
        <w:t>spread anti-government messages</w:t>
      </w:r>
      <w:r w:rsidR="00E37091" w:rsidRPr="00625AD6">
        <w:rPr>
          <w:sz w:val="20"/>
        </w:rPr>
        <w:t>”</w:t>
      </w:r>
      <w:r w:rsidR="00644409" w:rsidRPr="00625AD6">
        <w:rPr>
          <w:sz w:val="20"/>
        </w:rPr>
        <w:t xml:space="preserve"> following a visit by representatives of the Security Council in early September 2016. </w:t>
      </w:r>
    </w:p>
    <w:p w:rsidR="00507944" w:rsidRPr="00625AD6" w:rsidRDefault="00625AD6" w:rsidP="00625AD6">
      <w:pPr>
        <w:pStyle w:val="SingleTxtG"/>
        <w:tabs>
          <w:tab w:val="left" w:pos="1701"/>
        </w:tabs>
      </w:pPr>
      <w:r w:rsidRPr="00625AD6">
        <w:rPr>
          <w:sz w:val="20"/>
          <w:szCs w:val="20"/>
        </w:rPr>
        <w:t>52.</w:t>
      </w:r>
      <w:r w:rsidRPr="00625AD6">
        <w:rPr>
          <w:sz w:val="20"/>
          <w:szCs w:val="20"/>
        </w:rPr>
        <w:tab/>
      </w:r>
      <w:r w:rsidR="00644409" w:rsidRPr="00625AD6">
        <w:rPr>
          <w:sz w:val="20"/>
        </w:rPr>
        <w:t xml:space="preserve">A human rights activist whose organization supported the call for an arms embargo on South Sudan was arbitrarily detained and interrogated by the </w:t>
      </w:r>
      <w:r w:rsidR="00B01672" w:rsidRPr="00625AD6">
        <w:rPr>
          <w:sz w:val="20"/>
        </w:rPr>
        <w:t>National Security Service</w:t>
      </w:r>
      <w:r w:rsidR="00E37091" w:rsidRPr="00625AD6">
        <w:rPr>
          <w:sz w:val="20"/>
        </w:rPr>
        <w:t>,</w:t>
      </w:r>
      <w:r w:rsidR="00644409" w:rsidRPr="00625AD6">
        <w:rPr>
          <w:sz w:val="20"/>
        </w:rPr>
        <w:t xml:space="preserve"> </w:t>
      </w:r>
      <w:proofErr w:type="gramStart"/>
      <w:r w:rsidR="00644409" w:rsidRPr="00625AD6">
        <w:rPr>
          <w:sz w:val="20"/>
        </w:rPr>
        <w:t>and also</w:t>
      </w:r>
      <w:proofErr w:type="gramEnd"/>
      <w:r w:rsidR="00644409" w:rsidRPr="00625AD6">
        <w:rPr>
          <w:sz w:val="20"/>
        </w:rPr>
        <w:t xml:space="preserve"> had his organization blacklisted. The Commission learned that he </w:t>
      </w:r>
      <w:r w:rsidR="00E37091" w:rsidRPr="00625AD6">
        <w:rPr>
          <w:sz w:val="20"/>
        </w:rPr>
        <w:t xml:space="preserve">had been forced </w:t>
      </w:r>
      <w:r w:rsidR="00644409" w:rsidRPr="00625AD6">
        <w:rPr>
          <w:sz w:val="20"/>
        </w:rPr>
        <w:t xml:space="preserve">by </w:t>
      </w:r>
      <w:r w:rsidR="00B01672" w:rsidRPr="00625AD6">
        <w:rPr>
          <w:sz w:val="20"/>
        </w:rPr>
        <w:t>National Security Service</w:t>
      </w:r>
      <w:r w:rsidR="00644409" w:rsidRPr="00625AD6">
        <w:rPr>
          <w:sz w:val="20"/>
        </w:rPr>
        <w:t xml:space="preserve"> lawyers to amend the organization’s founding documents </w:t>
      </w:r>
      <w:proofErr w:type="gramStart"/>
      <w:r w:rsidR="00644409" w:rsidRPr="00625AD6">
        <w:rPr>
          <w:sz w:val="20"/>
        </w:rPr>
        <w:t>so as to</w:t>
      </w:r>
      <w:proofErr w:type="gramEnd"/>
      <w:r w:rsidR="00644409" w:rsidRPr="00625AD6">
        <w:rPr>
          <w:sz w:val="20"/>
        </w:rPr>
        <w:t xml:space="preserve"> ensure that the Government would become the recipient of the assets of the organization if it were forcibly closed down. On his release</w:t>
      </w:r>
      <w:r w:rsidR="00E37091" w:rsidRPr="00625AD6">
        <w:rPr>
          <w:sz w:val="20"/>
        </w:rPr>
        <w:t>,</w:t>
      </w:r>
      <w:r w:rsidR="00644409" w:rsidRPr="00625AD6">
        <w:rPr>
          <w:sz w:val="20"/>
        </w:rPr>
        <w:t xml:space="preserve"> </w:t>
      </w:r>
      <w:r w:rsidR="00E37091" w:rsidRPr="00625AD6">
        <w:rPr>
          <w:sz w:val="20"/>
        </w:rPr>
        <w:t xml:space="preserve">the activist </w:t>
      </w:r>
      <w:r w:rsidR="00644409" w:rsidRPr="00625AD6">
        <w:rPr>
          <w:sz w:val="20"/>
        </w:rPr>
        <w:t>fled to a neighbouring country.</w:t>
      </w:r>
    </w:p>
    <w:p w:rsidR="00507944" w:rsidRPr="00DF202E" w:rsidRDefault="00DF202E" w:rsidP="00DF202E">
      <w:pPr>
        <w:pStyle w:val="HChG"/>
      </w:pPr>
      <w:r>
        <w:tab/>
      </w:r>
      <w:r w:rsidR="002F2BC3" w:rsidRPr="00DF202E">
        <w:t>V.</w:t>
      </w:r>
      <w:r w:rsidR="002F2BC3" w:rsidRPr="00DF202E">
        <w:tab/>
      </w:r>
      <w:bookmarkStart w:id="191" w:name="_Toc474837214"/>
      <w:r w:rsidR="00644409" w:rsidRPr="00DF202E">
        <w:t xml:space="preserve">Accountability and </w:t>
      </w:r>
      <w:r w:rsidR="001E636B" w:rsidRPr="00DF202E">
        <w:t>t</w:t>
      </w:r>
      <w:r w:rsidR="00644409" w:rsidRPr="00DF202E">
        <w:t xml:space="preserve">ransitional </w:t>
      </w:r>
      <w:r w:rsidR="001E636B" w:rsidRPr="00DF202E">
        <w:t>j</w:t>
      </w:r>
      <w:r w:rsidR="00644409" w:rsidRPr="00DF202E">
        <w:t>ustice</w:t>
      </w:r>
      <w:bookmarkEnd w:id="191"/>
      <w:r w:rsidR="00644409" w:rsidRPr="00DF202E">
        <w:t xml:space="preserve"> </w:t>
      </w:r>
    </w:p>
    <w:p w:rsidR="00507944" w:rsidRPr="00625AD6" w:rsidRDefault="00625AD6" w:rsidP="00625AD6">
      <w:pPr>
        <w:pStyle w:val="SingleTxtG"/>
        <w:tabs>
          <w:tab w:val="left" w:pos="1701"/>
        </w:tabs>
        <w:rPr>
          <w:sz w:val="20"/>
        </w:rPr>
      </w:pPr>
      <w:r w:rsidRPr="00625AD6">
        <w:rPr>
          <w:sz w:val="20"/>
          <w:szCs w:val="20"/>
        </w:rPr>
        <w:t>53.</w:t>
      </w:r>
      <w:r w:rsidRPr="00625AD6">
        <w:rPr>
          <w:sz w:val="20"/>
          <w:szCs w:val="20"/>
        </w:rPr>
        <w:tab/>
      </w:r>
      <w:r w:rsidR="00644409" w:rsidRPr="00625AD6">
        <w:rPr>
          <w:sz w:val="20"/>
        </w:rPr>
        <w:t xml:space="preserve">The Commission </w:t>
      </w:r>
      <w:r w:rsidR="001C5652" w:rsidRPr="00625AD6">
        <w:rPr>
          <w:sz w:val="20"/>
        </w:rPr>
        <w:t xml:space="preserve">notes </w:t>
      </w:r>
      <w:r w:rsidR="00644409" w:rsidRPr="00625AD6">
        <w:rPr>
          <w:sz w:val="20"/>
        </w:rPr>
        <w:t xml:space="preserve">that the lack of accountability for decades of violence during </w:t>
      </w:r>
      <w:r w:rsidR="00F85C8C" w:rsidRPr="00625AD6">
        <w:rPr>
          <w:sz w:val="20"/>
        </w:rPr>
        <w:t>the</w:t>
      </w:r>
      <w:r w:rsidR="00644409" w:rsidRPr="00625AD6">
        <w:rPr>
          <w:sz w:val="20"/>
        </w:rPr>
        <w:t xml:space="preserve"> struggle for independence from </w:t>
      </w:r>
      <w:r w:rsidR="00F85C8C" w:rsidRPr="00625AD6">
        <w:rPr>
          <w:sz w:val="20"/>
        </w:rPr>
        <w:t xml:space="preserve">the </w:t>
      </w:r>
      <w:r w:rsidR="00644409" w:rsidRPr="00625AD6">
        <w:rPr>
          <w:sz w:val="20"/>
        </w:rPr>
        <w:t xml:space="preserve">Sudan has helped </w:t>
      </w:r>
      <w:r w:rsidR="00FF1C8C" w:rsidRPr="00625AD6">
        <w:rPr>
          <w:sz w:val="20"/>
        </w:rPr>
        <w:t xml:space="preserve">to </w:t>
      </w:r>
      <w:r w:rsidR="00644409" w:rsidRPr="00625AD6">
        <w:rPr>
          <w:sz w:val="20"/>
        </w:rPr>
        <w:t>fuel the current conflict</w:t>
      </w:r>
      <w:r w:rsidR="00F85C8C" w:rsidRPr="00625AD6">
        <w:rPr>
          <w:sz w:val="20"/>
        </w:rPr>
        <w:t xml:space="preserve"> in South Sudan</w:t>
      </w:r>
      <w:r w:rsidR="00644409" w:rsidRPr="00625AD6">
        <w:rPr>
          <w:sz w:val="20"/>
        </w:rPr>
        <w:t xml:space="preserve">. Since December 2013, tens of thousands of civilians have been killed in horrific attacks, often targeted </w:t>
      </w:r>
      <w:proofErr w:type="gramStart"/>
      <w:r w:rsidR="00644409" w:rsidRPr="00625AD6">
        <w:rPr>
          <w:sz w:val="20"/>
        </w:rPr>
        <w:t>on the basis of</w:t>
      </w:r>
      <w:proofErr w:type="gramEnd"/>
      <w:r w:rsidR="00644409" w:rsidRPr="00625AD6">
        <w:rPr>
          <w:sz w:val="20"/>
        </w:rPr>
        <w:t xml:space="preserve"> their ethnicity or perceived allegiances.</w:t>
      </w:r>
      <w:r w:rsidR="00974932" w:rsidRPr="00625AD6">
        <w:rPr>
          <w:sz w:val="20"/>
        </w:rPr>
        <w:t xml:space="preserve"> </w:t>
      </w:r>
    </w:p>
    <w:p w:rsidR="00507944" w:rsidRPr="00625AD6" w:rsidRDefault="00625AD6" w:rsidP="00625AD6">
      <w:pPr>
        <w:pStyle w:val="SingleTxtG"/>
        <w:tabs>
          <w:tab w:val="left" w:pos="567"/>
          <w:tab w:val="left" w:pos="1701"/>
        </w:tabs>
        <w:rPr>
          <w:sz w:val="20"/>
        </w:rPr>
      </w:pPr>
      <w:r w:rsidRPr="00625AD6">
        <w:rPr>
          <w:sz w:val="20"/>
          <w:szCs w:val="20"/>
        </w:rPr>
        <w:t>54.</w:t>
      </w:r>
      <w:r w:rsidRPr="00625AD6">
        <w:rPr>
          <w:sz w:val="20"/>
          <w:szCs w:val="20"/>
        </w:rPr>
        <w:tab/>
      </w:r>
      <w:r w:rsidR="00644409" w:rsidRPr="00625AD6">
        <w:rPr>
          <w:sz w:val="20"/>
        </w:rPr>
        <w:t>The Government has announced various measures to hold perpetrators to account, including the establishment of several investigation committees, court</w:t>
      </w:r>
      <w:r w:rsidR="0025662F" w:rsidRPr="00625AD6">
        <w:rPr>
          <w:sz w:val="20"/>
        </w:rPr>
        <w:t>s</w:t>
      </w:r>
      <w:r w:rsidR="00644409" w:rsidRPr="00625AD6">
        <w:rPr>
          <w:sz w:val="20"/>
        </w:rPr>
        <w:t xml:space="preserve"> martial and special courts</w:t>
      </w:r>
      <w:r w:rsidR="0025662F" w:rsidRPr="00625AD6">
        <w:rPr>
          <w:sz w:val="20"/>
        </w:rPr>
        <w:t>;</w:t>
      </w:r>
      <w:r w:rsidR="00644409" w:rsidRPr="00625AD6">
        <w:rPr>
          <w:sz w:val="20"/>
        </w:rPr>
        <w:t xml:space="preserve"> none of these measures ha</w:t>
      </w:r>
      <w:r w:rsidR="00FF1C8C" w:rsidRPr="00625AD6">
        <w:rPr>
          <w:sz w:val="20"/>
        </w:rPr>
        <w:t>s, however,</w:t>
      </w:r>
      <w:r w:rsidR="00644409" w:rsidRPr="00625AD6">
        <w:rPr>
          <w:sz w:val="20"/>
        </w:rPr>
        <w:t xml:space="preserve"> </w:t>
      </w:r>
      <w:r w:rsidR="00FF1C8C" w:rsidRPr="00625AD6">
        <w:rPr>
          <w:sz w:val="20"/>
        </w:rPr>
        <w:t xml:space="preserve">delivered </w:t>
      </w:r>
      <w:r w:rsidR="00644409" w:rsidRPr="00625AD6">
        <w:rPr>
          <w:sz w:val="20"/>
        </w:rPr>
        <w:t>any concrete result</w:t>
      </w:r>
      <w:r w:rsidR="00FF1C8C" w:rsidRPr="00625AD6">
        <w:rPr>
          <w:sz w:val="20"/>
        </w:rPr>
        <w:t>,</w:t>
      </w:r>
      <w:r w:rsidR="00644409" w:rsidRPr="00625AD6">
        <w:rPr>
          <w:sz w:val="20"/>
        </w:rPr>
        <w:t xml:space="preserve"> raising questions about the </w:t>
      </w:r>
      <w:r w:rsidR="00FF1C8C" w:rsidRPr="00625AD6">
        <w:rPr>
          <w:sz w:val="20"/>
        </w:rPr>
        <w:t>G</w:t>
      </w:r>
      <w:r w:rsidR="00644409" w:rsidRPr="00625AD6">
        <w:rPr>
          <w:sz w:val="20"/>
        </w:rPr>
        <w:t xml:space="preserve">overnment’s </w:t>
      </w:r>
      <w:r w:rsidR="00FF1C8C" w:rsidRPr="00625AD6">
        <w:rPr>
          <w:sz w:val="20"/>
        </w:rPr>
        <w:t xml:space="preserve">ability </w:t>
      </w:r>
      <w:r w:rsidR="00644409" w:rsidRPr="00625AD6">
        <w:rPr>
          <w:sz w:val="20"/>
        </w:rPr>
        <w:t xml:space="preserve">to </w:t>
      </w:r>
      <w:r w:rsidR="00FF1C8C" w:rsidRPr="00625AD6">
        <w:rPr>
          <w:sz w:val="20"/>
        </w:rPr>
        <w:t>address the issue of</w:t>
      </w:r>
      <w:r w:rsidR="00644409" w:rsidRPr="00625AD6">
        <w:rPr>
          <w:sz w:val="20"/>
        </w:rPr>
        <w:t xml:space="preserve"> accountability </w:t>
      </w:r>
      <w:r w:rsidR="001C5652" w:rsidRPr="00625AD6">
        <w:rPr>
          <w:sz w:val="20"/>
        </w:rPr>
        <w:t xml:space="preserve">at either </w:t>
      </w:r>
      <w:r w:rsidR="00FF1C8C" w:rsidRPr="00625AD6">
        <w:rPr>
          <w:sz w:val="20"/>
        </w:rPr>
        <w:t xml:space="preserve">the </w:t>
      </w:r>
      <w:r w:rsidR="001C5652" w:rsidRPr="00625AD6">
        <w:rPr>
          <w:sz w:val="20"/>
        </w:rPr>
        <w:t xml:space="preserve">domestic or </w:t>
      </w:r>
      <w:r w:rsidR="00FF1C8C" w:rsidRPr="00625AD6">
        <w:rPr>
          <w:sz w:val="20"/>
        </w:rPr>
        <w:t xml:space="preserve">the </w:t>
      </w:r>
      <w:r w:rsidR="00644409" w:rsidRPr="00625AD6">
        <w:rPr>
          <w:sz w:val="20"/>
        </w:rPr>
        <w:t xml:space="preserve">international </w:t>
      </w:r>
      <w:r w:rsidR="001C5652" w:rsidRPr="00625AD6">
        <w:rPr>
          <w:sz w:val="20"/>
        </w:rPr>
        <w:t>level.</w:t>
      </w:r>
      <w:r w:rsidR="00644409" w:rsidRPr="00625AD6">
        <w:rPr>
          <w:sz w:val="20"/>
        </w:rPr>
        <w:t xml:space="preserve"> In 2014, the Government took steps to establish several committees, including a </w:t>
      </w:r>
      <w:r w:rsidR="00372C49" w:rsidRPr="00625AD6">
        <w:rPr>
          <w:sz w:val="20"/>
        </w:rPr>
        <w:t>n</w:t>
      </w:r>
      <w:r w:rsidR="00644409" w:rsidRPr="00625AD6">
        <w:rPr>
          <w:sz w:val="20"/>
        </w:rPr>
        <w:t xml:space="preserve">ational </w:t>
      </w:r>
      <w:r w:rsidR="00372C49" w:rsidRPr="00625AD6">
        <w:rPr>
          <w:sz w:val="20"/>
        </w:rPr>
        <w:t>i</w:t>
      </w:r>
      <w:r w:rsidR="00644409" w:rsidRPr="00625AD6">
        <w:rPr>
          <w:sz w:val="20"/>
        </w:rPr>
        <w:t xml:space="preserve">nvestigation </w:t>
      </w:r>
      <w:r w:rsidR="00372C49" w:rsidRPr="00625AD6">
        <w:rPr>
          <w:sz w:val="20"/>
        </w:rPr>
        <w:t>c</w:t>
      </w:r>
      <w:r w:rsidR="00644409" w:rsidRPr="00625AD6">
        <w:rPr>
          <w:sz w:val="20"/>
        </w:rPr>
        <w:t xml:space="preserve">ommittee headed by a former Chief Justice of South Sudan, to inquire into human rights violations committed in the course of the conflict. The findings of the committees </w:t>
      </w:r>
      <w:proofErr w:type="gramStart"/>
      <w:r w:rsidR="00644409" w:rsidRPr="00625AD6">
        <w:rPr>
          <w:sz w:val="20"/>
        </w:rPr>
        <w:t>were allegedly consolidated</w:t>
      </w:r>
      <w:proofErr w:type="gramEnd"/>
      <w:r w:rsidR="00644409" w:rsidRPr="00625AD6">
        <w:rPr>
          <w:sz w:val="20"/>
        </w:rPr>
        <w:t xml:space="preserve"> in a report </w:t>
      </w:r>
      <w:r w:rsidR="00372C49" w:rsidRPr="00625AD6">
        <w:rPr>
          <w:sz w:val="20"/>
        </w:rPr>
        <w:t xml:space="preserve">submitted </w:t>
      </w:r>
      <w:r w:rsidR="00644409" w:rsidRPr="00625AD6">
        <w:rPr>
          <w:sz w:val="20"/>
        </w:rPr>
        <w:t xml:space="preserve">to the President at the end of 2014. To date, </w:t>
      </w:r>
      <w:r w:rsidR="00372C49" w:rsidRPr="00625AD6">
        <w:rPr>
          <w:sz w:val="20"/>
        </w:rPr>
        <w:t xml:space="preserve">the </w:t>
      </w:r>
      <w:r w:rsidR="00644409" w:rsidRPr="00625AD6">
        <w:rPr>
          <w:sz w:val="20"/>
        </w:rPr>
        <w:t xml:space="preserve">report </w:t>
      </w:r>
      <w:proofErr w:type="gramStart"/>
      <w:r w:rsidR="00644409" w:rsidRPr="00625AD6">
        <w:rPr>
          <w:sz w:val="20"/>
        </w:rPr>
        <w:t>has not been made</w:t>
      </w:r>
      <w:proofErr w:type="gramEnd"/>
      <w:r w:rsidR="00644409" w:rsidRPr="00625AD6">
        <w:rPr>
          <w:sz w:val="20"/>
        </w:rPr>
        <w:t xml:space="preserve"> public. </w:t>
      </w:r>
    </w:p>
    <w:p w:rsidR="00507944" w:rsidRPr="00625AD6" w:rsidRDefault="00625AD6" w:rsidP="00625AD6">
      <w:pPr>
        <w:pStyle w:val="SingleTxtG"/>
        <w:tabs>
          <w:tab w:val="left" w:pos="1701"/>
        </w:tabs>
        <w:rPr>
          <w:sz w:val="20"/>
        </w:rPr>
      </w:pPr>
      <w:r w:rsidRPr="00625AD6">
        <w:rPr>
          <w:sz w:val="20"/>
          <w:szCs w:val="20"/>
        </w:rPr>
        <w:t>55.</w:t>
      </w:r>
      <w:r w:rsidRPr="00625AD6">
        <w:rPr>
          <w:sz w:val="20"/>
          <w:szCs w:val="20"/>
        </w:rPr>
        <w:tab/>
      </w:r>
      <w:r w:rsidR="00EA3A30" w:rsidRPr="00625AD6">
        <w:rPr>
          <w:sz w:val="20"/>
        </w:rPr>
        <w:t>With regard to</w:t>
      </w:r>
      <w:r w:rsidR="00644409" w:rsidRPr="00625AD6">
        <w:rPr>
          <w:sz w:val="20"/>
        </w:rPr>
        <w:t xml:space="preserve"> the violence</w:t>
      </w:r>
      <w:r w:rsidR="00372C49" w:rsidRPr="00625AD6">
        <w:rPr>
          <w:sz w:val="20"/>
        </w:rPr>
        <w:t xml:space="preserve"> that broke out in July 2016</w:t>
      </w:r>
      <w:r w:rsidR="00644409" w:rsidRPr="00625AD6">
        <w:rPr>
          <w:sz w:val="20"/>
        </w:rPr>
        <w:t xml:space="preserve">, the Government reported that several soldiers </w:t>
      </w:r>
      <w:r w:rsidR="00EA3A30" w:rsidRPr="00625AD6">
        <w:rPr>
          <w:sz w:val="20"/>
        </w:rPr>
        <w:t xml:space="preserve">had been </w:t>
      </w:r>
      <w:r w:rsidR="00644409" w:rsidRPr="00625AD6">
        <w:rPr>
          <w:sz w:val="20"/>
        </w:rPr>
        <w:t>tried before military court</w:t>
      </w:r>
      <w:r w:rsidR="00374EFA" w:rsidRPr="00625AD6">
        <w:rPr>
          <w:sz w:val="20"/>
        </w:rPr>
        <w:t>s</w:t>
      </w:r>
      <w:r w:rsidR="00644409" w:rsidRPr="00625AD6">
        <w:rPr>
          <w:sz w:val="20"/>
        </w:rPr>
        <w:t xml:space="preserve"> martial for various offences</w:t>
      </w:r>
      <w:r w:rsidR="00DF5084" w:rsidRPr="00625AD6">
        <w:rPr>
          <w:sz w:val="20"/>
        </w:rPr>
        <w:t>,</w:t>
      </w:r>
      <w:r w:rsidR="00644409" w:rsidRPr="00625AD6">
        <w:rPr>
          <w:sz w:val="20"/>
        </w:rPr>
        <w:t xml:space="preserve"> including loitering, theft, </w:t>
      </w:r>
      <w:proofErr w:type="gramStart"/>
      <w:r w:rsidR="00644409" w:rsidRPr="00625AD6">
        <w:rPr>
          <w:sz w:val="20"/>
        </w:rPr>
        <w:t>loss</w:t>
      </w:r>
      <w:proofErr w:type="gramEnd"/>
      <w:r w:rsidR="00644409" w:rsidRPr="00625AD6">
        <w:rPr>
          <w:sz w:val="20"/>
        </w:rPr>
        <w:t xml:space="preserve"> of guns, random shooting and murder committed in different parts of Juba. </w:t>
      </w:r>
      <w:r w:rsidR="00DF5084" w:rsidRPr="00625AD6">
        <w:rPr>
          <w:sz w:val="20"/>
        </w:rPr>
        <w:t>M</w:t>
      </w:r>
      <w:r w:rsidR="00644409" w:rsidRPr="00625AD6">
        <w:rPr>
          <w:sz w:val="20"/>
        </w:rPr>
        <w:t>ost of these trials failed</w:t>
      </w:r>
      <w:r w:rsidR="00DF5084" w:rsidRPr="00625AD6">
        <w:rPr>
          <w:sz w:val="20"/>
        </w:rPr>
        <w:t>,</w:t>
      </w:r>
      <w:r w:rsidR="00644409" w:rsidRPr="00625AD6">
        <w:rPr>
          <w:sz w:val="20"/>
        </w:rPr>
        <w:t xml:space="preserve"> </w:t>
      </w:r>
      <w:r w:rsidR="00DF5084" w:rsidRPr="00625AD6">
        <w:rPr>
          <w:sz w:val="20"/>
        </w:rPr>
        <w:t xml:space="preserve">however, </w:t>
      </w:r>
      <w:r w:rsidR="00644409" w:rsidRPr="00625AD6">
        <w:rPr>
          <w:sz w:val="20"/>
        </w:rPr>
        <w:t xml:space="preserve">to meet international standards. </w:t>
      </w:r>
      <w:r w:rsidR="00C2514D" w:rsidRPr="00625AD6">
        <w:rPr>
          <w:sz w:val="20"/>
        </w:rPr>
        <w:t xml:space="preserve">Although </w:t>
      </w:r>
      <w:r w:rsidR="00644409" w:rsidRPr="00625AD6">
        <w:rPr>
          <w:sz w:val="20"/>
        </w:rPr>
        <w:t xml:space="preserve">the Government reported that two dozen soldiers </w:t>
      </w:r>
      <w:proofErr w:type="gramStart"/>
      <w:r w:rsidR="00DF5084" w:rsidRPr="00625AD6">
        <w:rPr>
          <w:sz w:val="20"/>
        </w:rPr>
        <w:t xml:space="preserve">had been </w:t>
      </w:r>
      <w:r w:rsidR="00644409" w:rsidRPr="00625AD6">
        <w:rPr>
          <w:sz w:val="20"/>
        </w:rPr>
        <w:t>tried</w:t>
      </w:r>
      <w:proofErr w:type="gramEnd"/>
      <w:r w:rsidR="00644409" w:rsidRPr="00625AD6">
        <w:rPr>
          <w:sz w:val="20"/>
        </w:rPr>
        <w:t xml:space="preserve"> for crimes committed in Wau and Juba in July and August</w:t>
      </w:r>
      <w:r w:rsidR="00F84D01" w:rsidRPr="00625AD6">
        <w:rPr>
          <w:sz w:val="20"/>
        </w:rPr>
        <w:t>,</w:t>
      </w:r>
      <w:r w:rsidR="00644409" w:rsidRPr="00625AD6">
        <w:rPr>
          <w:sz w:val="20"/>
        </w:rPr>
        <w:t xml:space="preserve"> it did not provide </w:t>
      </w:r>
      <w:r w:rsidR="00F84D01" w:rsidRPr="00625AD6">
        <w:rPr>
          <w:sz w:val="20"/>
        </w:rPr>
        <w:t xml:space="preserve">any </w:t>
      </w:r>
      <w:r w:rsidR="00644409" w:rsidRPr="00625AD6">
        <w:rPr>
          <w:sz w:val="20"/>
        </w:rPr>
        <w:t>details of the trials. Furthermore, UNMISS reported that the number and level of cases tried by the court</w:t>
      </w:r>
      <w:r w:rsidR="00F84D01" w:rsidRPr="00625AD6">
        <w:rPr>
          <w:sz w:val="20"/>
        </w:rPr>
        <w:t>s</w:t>
      </w:r>
      <w:r w:rsidR="00644409" w:rsidRPr="00625AD6">
        <w:rPr>
          <w:sz w:val="20"/>
        </w:rPr>
        <w:t xml:space="preserve"> martial did not </w:t>
      </w:r>
      <w:r w:rsidR="001C5652" w:rsidRPr="00625AD6">
        <w:rPr>
          <w:sz w:val="20"/>
        </w:rPr>
        <w:t xml:space="preserve">correlate with or </w:t>
      </w:r>
      <w:r w:rsidR="00644409" w:rsidRPr="00625AD6">
        <w:rPr>
          <w:sz w:val="20"/>
        </w:rPr>
        <w:t>reflect the gravity of the crimes and violations committed by SPLA soldiers during the violence</w:t>
      </w:r>
      <w:r w:rsidR="00F84D01" w:rsidRPr="00625AD6">
        <w:rPr>
          <w:sz w:val="20"/>
        </w:rPr>
        <w:t>,</w:t>
      </w:r>
      <w:r w:rsidR="00644409" w:rsidRPr="00625AD6">
        <w:rPr>
          <w:sz w:val="20"/>
        </w:rPr>
        <w:t xml:space="preserve"> as most of the soldiers were charged with administrative misconduct </w:t>
      </w:r>
      <w:r w:rsidR="00F84D01" w:rsidRPr="00625AD6">
        <w:rPr>
          <w:sz w:val="20"/>
        </w:rPr>
        <w:t xml:space="preserve">or </w:t>
      </w:r>
      <w:r w:rsidR="00644409" w:rsidRPr="00625AD6">
        <w:rPr>
          <w:sz w:val="20"/>
        </w:rPr>
        <w:t>petty offences</w:t>
      </w:r>
      <w:r w:rsidR="00F84D01" w:rsidRPr="00625AD6">
        <w:rPr>
          <w:sz w:val="20"/>
        </w:rPr>
        <w:t>,</w:t>
      </w:r>
      <w:r w:rsidR="00644409" w:rsidRPr="00625AD6">
        <w:rPr>
          <w:sz w:val="20"/>
        </w:rPr>
        <w:t xml:space="preserve"> such as theft and loss of weapons. The Government has also not prosecuted soldiers</w:t>
      </w:r>
      <w:r w:rsidR="00F84D01" w:rsidRPr="00625AD6">
        <w:rPr>
          <w:sz w:val="20"/>
        </w:rPr>
        <w:t>,</w:t>
      </w:r>
      <w:r w:rsidR="00644409" w:rsidRPr="00625AD6">
        <w:rPr>
          <w:sz w:val="20"/>
        </w:rPr>
        <w:t xml:space="preserve"> for crimes against civilians in civilian courts</w:t>
      </w:r>
      <w:r w:rsidR="006D240E" w:rsidRPr="00625AD6">
        <w:rPr>
          <w:sz w:val="20"/>
        </w:rPr>
        <w:t>, as would be required by</w:t>
      </w:r>
      <w:r w:rsidR="00644409" w:rsidRPr="00625AD6">
        <w:rPr>
          <w:sz w:val="20"/>
        </w:rPr>
        <w:t xml:space="preserve"> </w:t>
      </w:r>
      <w:r w:rsidR="006D240E" w:rsidRPr="00625AD6">
        <w:rPr>
          <w:sz w:val="20"/>
        </w:rPr>
        <w:t xml:space="preserve">national and </w:t>
      </w:r>
      <w:r w:rsidR="00644409" w:rsidRPr="00625AD6">
        <w:rPr>
          <w:sz w:val="20"/>
        </w:rPr>
        <w:t>international standards. The South Sudanese criminal and military justice system</w:t>
      </w:r>
      <w:r w:rsidR="001C5652" w:rsidRPr="00625AD6">
        <w:rPr>
          <w:sz w:val="20"/>
        </w:rPr>
        <w:t>s</w:t>
      </w:r>
      <w:r w:rsidR="00644409" w:rsidRPr="00625AD6">
        <w:rPr>
          <w:sz w:val="20"/>
        </w:rPr>
        <w:t xml:space="preserve"> lack the capacity to </w:t>
      </w:r>
      <w:r w:rsidR="00F84D01" w:rsidRPr="00625AD6">
        <w:rPr>
          <w:sz w:val="20"/>
        </w:rPr>
        <w:t>conduct</w:t>
      </w:r>
      <w:r w:rsidR="00644409" w:rsidRPr="00625AD6">
        <w:rPr>
          <w:sz w:val="20"/>
        </w:rPr>
        <w:t xml:space="preserve"> genuine investigations into allegations of serious violations, especially given the scale of the alleged violations </w:t>
      </w:r>
      <w:r w:rsidR="00F84D01" w:rsidRPr="00625AD6">
        <w:rPr>
          <w:sz w:val="20"/>
        </w:rPr>
        <w:t>reported</w:t>
      </w:r>
      <w:r w:rsidR="00644409" w:rsidRPr="00625AD6">
        <w:rPr>
          <w:sz w:val="20"/>
        </w:rPr>
        <w:t xml:space="preserve"> in the current conflict. </w:t>
      </w:r>
    </w:p>
    <w:p w:rsidR="00507944" w:rsidRPr="00625AD6" w:rsidRDefault="00625AD6" w:rsidP="00625AD6">
      <w:pPr>
        <w:pStyle w:val="SingleTxtG"/>
        <w:tabs>
          <w:tab w:val="left" w:pos="1701"/>
        </w:tabs>
        <w:rPr>
          <w:sz w:val="20"/>
        </w:rPr>
      </w:pPr>
      <w:r w:rsidRPr="00625AD6">
        <w:rPr>
          <w:sz w:val="20"/>
          <w:szCs w:val="20"/>
        </w:rPr>
        <w:t>56.</w:t>
      </w:r>
      <w:r w:rsidRPr="00625AD6">
        <w:rPr>
          <w:sz w:val="20"/>
          <w:szCs w:val="20"/>
        </w:rPr>
        <w:tab/>
      </w:r>
      <w:r w:rsidR="00644409" w:rsidRPr="00625AD6">
        <w:rPr>
          <w:sz w:val="20"/>
        </w:rPr>
        <w:t xml:space="preserve">In August 2015, the parties to the conflict signed the Agreement on the Resolution of the Conflict in </w:t>
      </w:r>
      <w:r w:rsidR="00F84D01" w:rsidRPr="00625AD6">
        <w:rPr>
          <w:sz w:val="20"/>
        </w:rPr>
        <w:t xml:space="preserve">the Republic of </w:t>
      </w:r>
      <w:r w:rsidR="00644409" w:rsidRPr="00625AD6">
        <w:rPr>
          <w:sz w:val="20"/>
        </w:rPr>
        <w:t>South Sudan, committ</w:t>
      </w:r>
      <w:r w:rsidR="00633E7E" w:rsidRPr="00625AD6">
        <w:rPr>
          <w:sz w:val="20"/>
        </w:rPr>
        <w:t>ing</w:t>
      </w:r>
      <w:r w:rsidR="00644409" w:rsidRPr="00625AD6">
        <w:rPr>
          <w:sz w:val="20"/>
        </w:rPr>
        <w:t xml:space="preserve"> to “national reconciliation, accountability, healing and combating impunity” as among the priorities </w:t>
      </w:r>
      <w:r w:rsidR="00633E7E" w:rsidRPr="00625AD6">
        <w:rPr>
          <w:sz w:val="20"/>
        </w:rPr>
        <w:t xml:space="preserve">for </w:t>
      </w:r>
      <w:r w:rsidR="00644409" w:rsidRPr="00625AD6">
        <w:rPr>
          <w:sz w:val="20"/>
        </w:rPr>
        <w:t xml:space="preserve">the Transitional Government of National Unity. </w:t>
      </w:r>
      <w:proofErr w:type="gramStart"/>
      <w:r w:rsidR="00644409" w:rsidRPr="00625AD6">
        <w:rPr>
          <w:sz w:val="20"/>
        </w:rPr>
        <w:t>Chapter V of the Agreement provide</w:t>
      </w:r>
      <w:r w:rsidR="001C5652" w:rsidRPr="00625AD6">
        <w:rPr>
          <w:sz w:val="20"/>
        </w:rPr>
        <w:t>s</w:t>
      </w:r>
      <w:r w:rsidR="00644409" w:rsidRPr="00625AD6">
        <w:rPr>
          <w:sz w:val="20"/>
        </w:rPr>
        <w:t xml:space="preserve"> for the establishment of three transitional justice institution</w:t>
      </w:r>
      <w:r w:rsidR="00A0580B">
        <w:rPr>
          <w:sz w:val="20"/>
        </w:rPr>
        <w:t>s</w:t>
      </w:r>
      <w:r w:rsidR="00F84D01" w:rsidRPr="00625AD6">
        <w:rPr>
          <w:sz w:val="20"/>
        </w:rPr>
        <w:t>:</w:t>
      </w:r>
      <w:r w:rsidR="00644409" w:rsidRPr="00625AD6">
        <w:rPr>
          <w:sz w:val="20"/>
        </w:rPr>
        <w:t xml:space="preserve"> a </w:t>
      </w:r>
      <w:r w:rsidR="00F84D01" w:rsidRPr="00625AD6">
        <w:rPr>
          <w:sz w:val="20"/>
        </w:rPr>
        <w:t>h</w:t>
      </w:r>
      <w:r w:rsidR="00644409" w:rsidRPr="00625AD6">
        <w:rPr>
          <w:sz w:val="20"/>
        </w:rPr>
        <w:t xml:space="preserve">ybrid </w:t>
      </w:r>
      <w:r w:rsidR="00F84D01" w:rsidRPr="00625AD6">
        <w:rPr>
          <w:sz w:val="20"/>
        </w:rPr>
        <w:t>c</w:t>
      </w:r>
      <w:r w:rsidR="00644409" w:rsidRPr="00625AD6">
        <w:rPr>
          <w:sz w:val="20"/>
        </w:rPr>
        <w:t>ourt for South Sudan</w:t>
      </w:r>
      <w:r w:rsidR="006D240E" w:rsidRPr="00625AD6">
        <w:rPr>
          <w:sz w:val="20"/>
        </w:rPr>
        <w:t>,</w:t>
      </w:r>
      <w:r w:rsidR="00644409" w:rsidRPr="00625AD6">
        <w:rPr>
          <w:sz w:val="20"/>
        </w:rPr>
        <w:t xml:space="preserve"> to investigate and prosecute individuals suspected of committing genocide, war crimes and crimes against humanity, and serious human rights violations and violations of international humanitarian law; a </w:t>
      </w:r>
      <w:r w:rsidR="00F84D01" w:rsidRPr="00625AD6">
        <w:rPr>
          <w:sz w:val="20"/>
        </w:rPr>
        <w:t>c</w:t>
      </w:r>
      <w:r w:rsidR="00644409" w:rsidRPr="00625AD6">
        <w:rPr>
          <w:sz w:val="20"/>
        </w:rPr>
        <w:t xml:space="preserve">ommission </w:t>
      </w:r>
      <w:r w:rsidR="00E3220C" w:rsidRPr="00625AD6">
        <w:rPr>
          <w:sz w:val="20"/>
        </w:rPr>
        <w:t>for</w:t>
      </w:r>
      <w:r w:rsidR="00644409" w:rsidRPr="00625AD6">
        <w:rPr>
          <w:sz w:val="20"/>
        </w:rPr>
        <w:t xml:space="preserve"> </w:t>
      </w:r>
      <w:r w:rsidR="00E3220C" w:rsidRPr="00625AD6">
        <w:rPr>
          <w:sz w:val="20"/>
        </w:rPr>
        <w:t>t</w:t>
      </w:r>
      <w:r w:rsidR="00644409" w:rsidRPr="00625AD6">
        <w:rPr>
          <w:sz w:val="20"/>
        </w:rPr>
        <w:t xml:space="preserve">ruth, </w:t>
      </w:r>
      <w:r w:rsidR="00E3220C" w:rsidRPr="00625AD6">
        <w:rPr>
          <w:sz w:val="20"/>
        </w:rPr>
        <w:t>r</w:t>
      </w:r>
      <w:r w:rsidR="00644409" w:rsidRPr="00625AD6">
        <w:rPr>
          <w:sz w:val="20"/>
        </w:rPr>
        <w:t xml:space="preserve">econciliation and </w:t>
      </w:r>
      <w:r w:rsidR="00E3220C" w:rsidRPr="00625AD6">
        <w:rPr>
          <w:sz w:val="20"/>
        </w:rPr>
        <w:t>h</w:t>
      </w:r>
      <w:r w:rsidR="00644409" w:rsidRPr="00625AD6">
        <w:rPr>
          <w:sz w:val="20"/>
        </w:rPr>
        <w:t>ealing to address the legac</w:t>
      </w:r>
      <w:r w:rsidR="00E3220C" w:rsidRPr="00625AD6">
        <w:rPr>
          <w:sz w:val="20"/>
        </w:rPr>
        <w:t>y</w:t>
      </w:r>
      <w:r w:rsidR="00644409" w:rsidRPr="00625AD6">
        <w:rPr>
          <w:sz w:val="20"/>
        </w:rPr>
        <w:t xml:space="preserve"> of past human rights abuses; and a </w:t>
      </w:r>
      <w:r w:rsidR="00E3220C" w:rsidRPr="00625AD6">
        <w:rPr>
          <w:sz w:val="20"/>
        </w:rPr>
        <w:t>c</w:t>
      </w:r>
      <w:r w:rsidR="00644409" w:rsidRPr="00625AD6">
        <w:rPr>
          <w:sz w:val="20"/>
        </w:rPr>
        <w:t xml:space="preserve">ompensation and </w:t>
      </w:r>
      <w:r w:rsidR="00E3220C" w:rsidRPr="00625AD6">
        <w:rPr>
          <w:sz w:val="20"/>
        </w:rPr>
        <w:t>r</w:t>
      </w:r>
      <w:r w:rsidR="00644409" w:rsidRPr="00625AD6">
        <w:rPr>
          <w:sz w:val="20"/>
        </w:rPr>
        <w:t xml:space="preserve">eparation </w:t>
      </w:r>
      <w:r w:rsidR="00E3220C" w:rsidRPr="00625AD6">
        <w:rPr>
          <w:sz w:val="20"/>
        </w:rPr>
        <w:t>authority</w:t>
      </w:r>
      <w:r w:rsidR="00644409" w:rsidRPr="00625AD6">
        <w:rPr>
          <w:sz w:val="20"/>
        </w:rPr>
        <w:t>.</w:t>
      </w:r>
      <w:proofErr w:type="gramEnd"/>
    </w:p>
    <w:p w:rsidR="00507944" w:rsidRPr="00625AD6" w:rsidRDefault="00625AD6" w:rsidP="00625AD6">
      <w:pPr>
        <w:pStyle w:val="SingleTxtG"/>
        <w:tabs>
          <w:tab w:val="left" w:pos="1701"/>
        </w:tabs>
        <w:rPr>
          <w:sz w:val="20"/>
        </w:rPr>
      </w:pPr>
      <w:r w:rsidRPr="00625AD6">
        <w:rPr>
          <w:sz w:val="20"/>
          <w:szCs w:val="20"/>
        </w:rPr>
        <w:t>57.</w:t>
      </w:r>
      <w:r w:rsidRPr="00625AD6">
        <w:rPr>
          <w:sz w:val="20"/>
          <w:szCs w:val="20"/>
        </w:rPr>
        <w:tab/>
      </w:r>
      <w:r w:rsidR="00644409" w:rsidRPr="00625AD6">
        <w:rPr>
          <w:sz w:val="20"/>
        </w:rPr>
        <w:t>South Sudanese human rights activists welcomed the incorporation of transitional justice into the peace agreement, hailing it as a victory for victims and a strong stand against impunity</w:t>
      </w:r>
      <w:r w:rsidR="006D240E" w:rsidRPr="00625AD6">
        <w:rPr>
          <w:sz w:val="20"/>
        </w:rPr>
        <w:t>, which</w:t>
      </w:r>
      <w:r w:rsidR="00644409" w:rsidRPr="00625AD6">
        <w:rPr>
          <w:sz w:val="20"/>
        </w:rPr>
        <w:t xml:space="preserve"> would discourage </w:t>
      </w:r>
      <w:r w:rsidR="006D240E" w:rsidRPr="00625AD6">
        <w:rPr>
          <w:sz w:val="20"/>
        </w:rPr>
        <w:t xml:space="preserve">the use of </w:t>
      </w:r>
      <w:r w:rsidR="00644409" w:rsidRPr="00625AD6">
        <w:rPr>
          <w:sz w:val="20"/>
        </w:rPr>
        <w:t xml:space="preserve">violence to gain political power. </w:t>
      </w:r>
      <w:r w:rsidR="009335E9" w:rsidRPr="00625AD6">
        <w:rPr>
          <w:sz w:val="20"/>
        </w:rPr>
        <w:t>The results of a</w:t>
      </w:r>
      <w:r w:rsidR="00644409" w:rsidRPr="00625AD6">
        <w:rPr>
          <w:sz w:val="20"/>
        </w:rPr>
        <w:t xml:space="preserve"> national survey carried out </w:t>
      </w:r>
      <w:r w:rsidR="009335E9" w:rsidRPr="00625AD6">
        <w:rPr>
          <w:sz w:val="20"/>
        </w:rPr>
        <w:t>from October 2014 to April 2015</w:t>
      </w:r>
      <w:r w:rsidR="00644409" w:rsidRPr="00625AD6">
        <w:rPr>
          <w:sz w:val="20"/>
        </w:rPr>
        <w:t xml:space="preserve"> </w:t>
      </w:r>
      <w:r w:rsidR="009335E9" w:rsidRPr="00625AD6">
        <w:rPr>
          <w:sz w:val="20"/>
        </w:rPr>
        <w:t>confirmed</w:t>
      </w:r>
      <w:r w:rsidR="00644409" w:rsidRPr="00625AD6">
        <w:rPr>
          <w:sz w:val="20"/>
        </w:rPr>
        <w:t xml:space="preserve"> the view that victims wanted perpetrators to </w:t>
      </w:r>
      <w:proofErr w:type="gramStart"/>
      <w:r w:rsidR="00644409" w:rsidRPr="00625AD6">
        <w:rPr>
          <w:sz w:val="20"/>
        </w:rPr>
        <w:t>be held</w:t>
      </w:r>
      <w:proofErr w:type="gramEnd"/>
      <w:r w:rsidR="00644409" w:rsidRPr="00625AD6">
        <w:rPr>
          <w:sz w:val="20"/>
        </w:rPr>
        <w:t xml:space="preserve"> criminally accountable</w:t>
      </w:r>
      <w:r w:rsidR="00096011" w:rsidRPr="00625AD6">
        <w:rPr>
          <w:sz w:val="20"/>
        </w:rPr>
        <w:t>.</w:t>
      </w:r>
      <w:r w:rsidR="007D056F" w:rsidRPr="00625AD6">
        <w:rPr>
          <w:rStyle w:val="FootnoteReference"/>
          <w:szCs w:val="18"/>
        </w:rPr>
        <w:footnoteReference w:id="16"/>
      </w:r>
      <w:r w:rsidR="00644409" w:rsidRPr="00625AD6">
        <w:rPr>
          <w:sz w:val="20"/>
        </w:rPr>
        <w:t xml:space="preserve"> </w:t>
      </w:r>
    </w:p>
    <w:p w:rsidR="00507944" w:rsidRPr="00625AD6" w:rsidRDefault="00625AD6" w:rsidP="00625AD6">
      <w:pPr>
        <w:pStyle w:val="SingleTxtG"/>
        <w:tabs>
          <w:tab w:val="left" w:pos="1701"/>
        </w:tabs>
        <w:rPr>
          <w:sz w:val="20"/>
        </w:rPr>
      </w:pPr>
      <w:r w:rsidRPr="00625AD6">
        <w:rPr>
          <w:sz w:val="20"/>
          <w:szCs w:val="20"/>
        </w:rPr>
        <w:t>58.</w:t>
      </w:r>
      <w:r w:rsidRPr="00625AD6">
        <w:rPr>
          <w:sz w:val="20"/>
          <w:szCs w:val="20"/>
        </w:rPr>
        <w:tab/>
      </w:r>
      <w:r w:rsidR="00644409" w:rsidRPr="00625AD6">
        <w:rPr>
          <w:sz w:val="20"/>
        </w:rPr>
        <w:t xml:space="preserve">The objective of any transitional justice policy in South Sudan should be to end the current culture of impunity and </w:t>
      </w:r>
      <w:r w:rsidR="009335E9" w:rsidRPr="00625AD6">
        <w:rPr>
          <w:sz w:val="20"/>
        </w:rPr>
        <w:t xml:space="preserve">to </w:t>
      </w:r>
      <w:r w:rsidR="00644409" w:rsidRPr="00625AD6">
        <w:rPr>
          <w:sz w:val="20"/>
        </w:rPr>
        <w:t>re-establish the rule of law. The current context is deeply troubling</w:t>
      </w:r>
      <w:r w:rsidR="009335E9" w:rsidRPr="00625AD6">
        <w:rPr>
          <w:sz w:val="20"/>
        </w:rPr>
        <w:t>,</w:t>
      </w:r>
      <w:r w:rsidR="00644409" w:rsidRPr="00625AD6">
        <w:rPr>
          <w:sz w:val="20"/>
        </w:rPr>
        <w:t xml:space="preserve"> given </w:t>
      </w:r>
      <w:r w:rsidR="009335E9" w:rsidRPr="00625AD6">
        <w:rPr>
          <w:sz w:val="20"/>
        </w:rPr>
        <w:t xml:space="preserve">the </w:t>
      </w:r>
      <w:r w:rsidR="00644409" w:rsidRPr="00625AD6">
        <w:rPr>
          <w:sz w:val="20"/>
        </w:rPr>
        <w:t xml:space="preserve">questions </w:t>
      </w:r>
      <w:r w:rsidR="009335E9" w:rsidRPr="00625AD6">
        <w:rPr>
          <w:sz w:val="20"/>
        </w:rPr>
        <w:t xml:space="preserve">surrounding </w:t>
      </w:r>
      <w:r w:rsidR="00644409" w:rsidRPr="00625AD6">
        <w:rPr>
          <w:sz w:val="20"/>
        </w:rPr>
        <w:t xml:space="preserve">the legitimacy of the peace agreement and </w:t>
      </w:r>
      <w:r w:rsidR="009335E9" w:rsidRPr="00625AD6">
        <w:rPr>
          <w:sz w:val="20"/>
        </w:rPr>
        <w:t xml:space="preserve">the </w:t>
      </w:r>
      <w:r w:rsidR="00644409" w:rsidRPr="00625AD6">
        <w:rPr>
          <w:sz w:val="20"/>
        </w:rPr>
        <w:t>power</w:t>
      </w:r>
      <w:r w:rsidR="009335E9" w:rsidRPr="00625AD6">
        <w:rPr>
          <w:sz w:val="20"/>
        </w:rPr>
        <w:t>-</w:t>
      </w:r>
      <w:r w:rsidR="00644409" w:rsidRPr="00625AD6">
        <w:rPr>
          <w:sz w:val="20"/>
        </w:rPr>
        <w:t>sharing model</w:t>
      </w:r>
      <w:r w:rsidR="0090570A" w:rsidRPr="00625AD6">
        <w:rPr>
          <w:sz w:val="20"/>
        </w:rPr>
        <w:t>; the fact that</w:t>
      </w:r>
      <w:r w:rsidR="00644409" w:rsidRPr="00625AD6">
        <w:rPr>
          <w:sz w:val="20"/>
        </w:rPr>
        <w:t xml:space="preserve"> large parts of the country are under the control of non-</w:t>
      </w:r>
      <w:r w:rsidR="0090570A" w:rsidRPr="00625AD6">
        <w:rPr>
          <w:sz w:val="20"/>
        </w:rPr>
        <w:t>S</w:t>
      </w:r>
      <w:r w:rsidR="00644409" w:rsidRPr="00625AD6">
        <w:rPr>
          <w:sz w:val="20"/>
        </w:rPr>
        <w:t>tate actors</w:t>
      </w:r>
      <w:r w:rsidR="0090570A" w:rsidRPr="00625AD6">
        <w:rPr>
          <w:sz w:val="20"/>
        </w:rPr>
        <w:t>;</w:t>
      </w:r>
      <w:r w:rsidR="00644409" w:rsidRPr="00625AD6">
        <w:rPr>
          <w:sz w:val="20"/>
        </w:rPr>
        <w:t xml:space="preserve"> and </w:t>
      </w:r>
      <w:r w:rsidR="0090570A" w:rsidRPr="00625AD6">
        <w:rPr>
          <w:sz w:val="20"/>
        </w:rPr>
        <w:t>that S</w:t>
      </w:r>
      <w:r w:rsidR="00644409" w:rsidRPr="00625AD6">
        <w:rPr>
          <w:sz w:val="20"/>
        </w:rPr>
        <w:t xml:space="preserve">tate institutions are largely absent or </w:t>
      </w:r>
      <w:proofErr w:type="gramStart"/>
      <w:r w:rsidR="0090570A" w:rsidRPr="00625AD6">
        <w:rPr>
          <w:sz w:val="20"/>
        </w:rPr>
        <w:t xml:space="preserve">have been </w:t>
      </w:r>
      <w:r w:rsidR="00644409" w:rsidRPr="00625AD6">
        <w:rPr>
          <w:sz w:val="20"/>
        </w:rPr>
        <w:t>displaced</w:t>
      </w:r>
      <w:proofErr w:type="gramEnd"/>
      <w:r w:rsidR="00644409" w:rsidRPr="00625AD6">
        <w:rPr>
          <w:sz w:val="20"/>
        </w:rPr>
        <w:t xml:space="preserve"> by non-</w:t>
      </w:r>
      <w:r w:rsidR="0090570A" w:rsidRPr="00625AD6">
        <w:rPr>
          <w:sz w:val="20"/>
        </w:rPr>
        <w:t>S</w:t>
      </w:r>
      <w:r w:rsidR="00644409" w:rsidRPr="00625AD6">
        <w:rPr>
          <w:sz w:val="20"/>
        </w:rPr>
        <w:t xml:space="preserve">tate groups. </w:t>
      </w:r>
    </w:p>
    <w:p w:rsidR="00507944" w:rsidRPr="00625AD6" w:rsidRDefault="00625AD6" w:rsidP="00625AD6">
      <w:pPr>
        <w:pStyle w:val="SingleTxtG"/>
        <w:tabs>
          <w:tab w:val="left" w:pos="1701"/>
        </w:tabs>
        <w:rPr>
          <w:sz w:val="20"/>
        </w:rPr>
      </w:pPr>
      <w:r w:rsidRPr="00625AD6">
        <w:rPr>
          <w:sz w:val="20"/>
          <w:szCs w:val="20"/>
        </w:rPr>
        <w:t>59.</w:t>
      </w:r>
      <w:r w:rsidRPr="00625AD6">
        <w:rPr>
          <w:sz w:val="20"/>
          <w:szCs w:val="20"/>
        </w:rPr>
        <w:tab/>
      </w:r>
      <w:r w:rsidR="0090570A" w:rsidRPr="00625AD6">
        <w:rPr>
          <w:sz w:val="20"/>
        </w:rPr>
        <w:t xml:space="preserve">One </w:t>
      </w:r>
      <w:r w:rsidR="00644409" w:rsidRPr="00625AD6">
        <w:rPr>
          <w:sz w:val="20"/>
        </w:rPr>
        <w:t xml:space="preserve">prerequisite to implementing any transitional justice mechanism is </w:t>
      </w:r>
      <w:r w:rsidR="0090570A" w:rsidRPr="00625AD6">
        <w:rPr>
          <w:sz w:val="20"/>
        </w:rPr>
        <w:t xml:space="preserve">the </w:t>
      </w:r>
      <w:r w:rsidR="00644409" w:rsidRPr="00625AD6">
        <w:rPr>
          <w:sz w:val="20"/>
        </w:rPr>
        <w:t>political will of the Government to create an environment allow</w:t>
      </w:r>
      <w:r w:rsidR="0090570A" w:rsidRPr="00625AD6">
        <w:rPr>
          <w:sz w:val="20"/>
        </w:rPr>
        <w:t>ing</w:t>
      </w:r>
      <w:r w:rsidR="00644409" w:rsidRPr="00625AD6">
        <w:rPr>
          <w:sz w:val="20"/>
        </w:rPr>
        <w:t xml:space="preserve"> for an honest and credible inquiry into the truth about past human rights violations and abuses. A </w:t>
      </w:r>
      <w:proofErr w:type="gramStart"/>
      <w:r w:rsidR="00644409" w:rsidRPr="00625AD6">
        <w:rPr>
          <w:sz w:val="20"/>
        </w:rPr>
        <w:t>conducive</w:t>
      </w:r>
      <w:proofErr w:type="gramEnd"/>
      <w:r w:rsidR="00644409" w:rsidRPr="00625AD6">
        <w:rPr>
          <w:sz w:val="20"/>
        </w:rPr>
        <w:t xml:space="preserve"> environment also requires </w:t>
      </w:r>
      <w:r w:rsidR="0090570A" w:rsidRPr="00625AD6">
        <w:rPr>
          <w:sz w:val="20"/>
        </w:rPr>
        <w:t>an end to</w:t>
      </w:r>
      <w:r w:rsidR="00644409" w:rsidRPr="00625AD6">
        <w:rPr>
          <w:sz w:val="20"/>
        </w:rPr>
        <w:t xml:space="preserve"> violent conflict and the massive insecurity </w:t>
      </w:r>
      <w:r w:rsidR="0090570A" w:rsidRPr="00625AD6">
        <w:rPr>
          <w:sz w:val="20"/>
        </w:rPr>
        <w:t>that it entails for</w:t>
      </w:r>
      <w:r w:rsidR="00644409" w:rsidRPr="00625AD6">
        <w:rPr>
          <w:sz w:val="20"/>
        </w:rPr>
        <w:t xml:space="preserve"> the country. Victims and witnesses should be able to engage with transitional justice mechanism</w:t>
      </w:r>
      <w:r w:rsidR="001C5652" w:rsidRPr="00625AD6">
        <w:rPr>
          <w:sz w:val="20"/>
        </w:rPr>
        <w:t>s</w:t>
      </w:r>
      <w:r w:rsidR="00644409" w:rsidRPr="00625AD6">
        <w:rPr>
          <w:sz w:val="20"/>
        </w:rPr>
        <w:t xml:space="preserve"> and speak without fear or threat of reprisal. Given the ongoing conflict, the growing insecurity and the large-scale polarization of communities, the conditions do not augur well for the establishment of an</w:t>
      </w:r>
      <w:r w:rsidR="001C5652" w:rsidRPr="00625AD6">
        <w:rPr>
          <w:sz w:val="20"/>
        </w:rPr>
        <w:t>y</w:t>
      </w:r>
      <w:r w:rsidR="00644409" w:rsidRPr="00625AD6">
        <w:rPr>
          <w:sz w:val="20"/>
        </w:rPr>
        <w:t xml:space="preserve"> effective transitional justice mechanism.</w:t>
      </w:r>
    </w:p>
    <w:p w:rsidR="00507944" w:rsidRPr="00625AD6" w:rsidRDefault="00625AD6" w:rsidP="00625AD6">
      <w:pPr>
        <w:pStyle w:val="SingleTxtG"/>
        <w:tabs>
          <w:tab w:val="left" w:pos="1701"/>
        </w:tabs>
        <w:rPr>
          <w:sz w:val="20"/>
        </w:rPr>
      </w:pPr>
      <w:proofErr w:type="gramStart"/>
      <w:r w:rsidRPr="00625AD6">
        <w:rPr>
          <w:sz w:val="20"/>
          <w:szCs w:val="20"/>
        </w:rPr>
        <w:t>60.</w:t>
      </w:r>
      <w:r w:rsidRPr="00625AD6">
        <w:rPr>
          <w:sz w:val="20"/>
          <w:szCs w:val="20"/>
        </w:rPr>
        <w:tab/>
      </w:r>
      <w:r w:rsidR="00644409" w:rsidRPr="00625AD6">
        <w:rPr>
          <w:sz w:val="20"/>
        </w:rPr>
        <w:t xml:space="preserve">The commitment of the Transitional Government of National Unity to criminal liability is also </w:t>
      </w:r>
      <w:r w:rsidR="0090570A" w:rsidRPr="00625AD6">
        <w:rPr>
          <w:sz w:val="20"/>
        </w:rPr>
        <w:t xml:space="preserve">a matter </w:t>
      </w:r>
      <w:r w:rsidR="00644409" w:rsidRPr="00625AD6">
        <w:rPr>
          <w:sz w:val="20"/>
        </w:rPr>
        <w:t>of great concern</w:t>
      </w:r>
      <w:r w:rsidR="0090570A" w:rsidRPr="00625AD6">
        <w:rPr>
          <w:sz w:val="20"/>
        </w:rPr>
        <w:t xml:space="preserve"> in the light of the</w:t>
      </w:r>
      <w:r w:rsidR="00644409" w:rsidRPr="00625AD6">
        <w:rPr>
          <w:sz w:val="20"/>
        </w:rPr>
        <w:t xml:space="preserve"> blanket amnesties </w:t>
      </w:r>
      <w:r w:rsidR="0090570A" w:rsidRPr="00625AD6">
        <w:rPr>
          <w:sz w:val="20"/>
        </w:rPr>
        <w:t xml:space="preserve">often </w:t>
      </w:r>
      <w:r w:rsidR="00644409" w:rsidRPr="00625AD6">
        <w:rPr>
          <w:sz w:val="20"/>
        </w:rPr>
        <w:t xml:space="preserve">granted </w:t>
      </w:r>
      <w:r w:rsidR="0090570A" w:rsidRPr="00625AD6">
        <w:rPr>
          <w:sz w:val="20"/>
        </w:rPr>
        <w:t xml:space="preserve">in the past </w:t>
      </w:r>
      <w:r w:rsidR="00644409" w:rsidRPr="00625AD6">
        <w:rPr>
          <w:sz w:val="20"/>
        </w:rPr>
        <w:t>for crimes committed during the conflict</w:t>
      </w:r>
      <w:r w:rsidR="0090570A" w:rsidRPr="00625AD6">
        <w:rPr>
          <w:sz w:val="20"/>
        </w:rPr>
        <w:t>;</w:t>
      </w:r>
      <w:r w:rsidR="00644409" w:rsidRPr="00625AD6">
        <w:rPr>
          <w:sz w:val="20"/>
        </w:rPr>
        <w:t xml:space="preserve"> </w:t>
      </w:r>
      <w:r w:rsidR="0090570A" w:rsidRPr="00625AD6">
        <w:rPr>
          <w:sz w:val="20"/>
        </w:rPr>
        <w:t>f</w:t>
      </w:r>
      <w:r w:rsidR="00644409" w:rsidRPr="00625AD6">
        <w:rPr>
          <w:sz w:val="20"/>
        </w:rPr>
        <w:t xml:space="preserve">or example, in February 2015, President Kiir issued an order granting amnesty to all those “waging war against the </w:t>
      </w:r>
      <w:r w:rsidR="0090570A" w:rsidRPr="00625AD6">
        <w:rPr>
          <w:sz w:val="20"/>
        </w:rPr>
        <w:t>S</w:t>
      </w:r>
      <w:r w:rsidR="00644409" w:rsidRPr="00625AD6">
        <w:rPr>
          <w:sz w:val="20"/>
        </w:rPr>
        <w:t xml:space="preserve">tate”, with no limitations </w:t>
      </w:r>
      <w:r w:rsidR="0090570A" w:rsidRPr="00625AD6">
        <w:rPr>
          <w:sz w:val="20"/>
        </w:rPr>
        <w:t>with regard</w:t>
      </w:r>
      <w:r w:rsidR="00644409" w:rsidRPr="00625AD6">
        <w:rPr>
          <w:sz w:val="20"/>
        </w:rPr>
        <w:t xml:space="preserve"> to </w:t>
      </w:r>
      <w:r w:rsidR="0090570A" w:rsidRPr="00625AD6">
        <w:rPr>
          <w:sz w:val="20"/>
        </w:rPr>
        <w:t xml:space="preserve">allegations of </w:t>
      </w:r>
      <w:r w:rsidR="00644409" w:rsidRPr="00625AD6">
        <w:rPr>
          <w:sz w:val="20"/>
        </w:rPr>
        <w:t>crimes against humanity, war crimes or genocide.</w:t>
      </w:r>
      <w:proofErr w:type="gramEnd"/>
      <w:r w:rsidR="00644409" w:rsidRPr="00625AD6">
        <w:rPr>
          <w:sz w:val="20"/>
        </w:rPr>
        <w:t xml:space="preserve"> The President also granted </w:t>
      </w:r>
      <w:r w:rsidR="00A67407" w:rsidRPr="00625AD6">
        <w:rPr>
          <w:sz w:val="20"/>
        </w:rPr>
        <w:t xml:space="preserve">an </w:t>
      </w:r>
      <w:r w:rsidR="00644409" w:rsidRPr="00625AD6">
        <w:rPr>
          <w:sz w:val="20"/>
        </w:rPr>
        <w:t>amnest</w:t>
      </w:r>
      <w:r w:rsidR="00A67407" w:rsidRPr="00625AD6">
        <w:rPr>
          <w:sz w:val="20"/>
        </w:rPr>
        <w:t>y</w:t>
      </w:r>
      <w:r w:rsidR="00644409" w:rsidRPr="00625AD6">
        <w:rPr>
          <w:sz w:val="20"/>
        </w:rPr>
        <w:t xml:space="preserve"> to the South Sudan National Liberation Movement/Army in </w:t>
      </w:r>
      <w:proofErr w:type="spellStart"/>
      <w:r w:rsidR="00644409" w:rsidRPr="00625AD6">
        <w:rPr>
          <w:sz w:val="20"/>
        </w:rPr>
        <w:t>Gbudue</w:t>
      </w:r>
      <w:proofErr w:type="spellEnd"/>
      <w:r w:rsidR="00644409" w:rsidRPr="00625AD6">
        <w:rPr>
          <w:sz w:val="20"/>
        </w:rPr>
        <w:t xml:space="preserve"> and </w:t>
      </w:r>
      <w:proofErr w:type="spellStart"/>
      <w:r w:rsidR="00644409" w:rsidRPr="00625AD6">
        <w:rPr>
          <w:sz w:val="20"/>
        </w:rPr>
        <w:t>Maridi</w:t>
      </w:r>
      <w:proofErr w:type="spellEnd"/>
      <w:r w:rsidR="00644409" w:rsidRPr="00625AD6">
        <w:rPr>
          <w:sz w:val="20"/>
        </w:rPr>
        <w:t xml:space="preserve"> States</w:t>
      </w:r>
      <w:r w:rsidR="00594159" w:rsidRPr="00625AD6">
        <w:rPr>
          <w:rStyle w:val="FootnoteReference"/>
        </w:rPr>
        <w:footnoteReference w:id="17"/>
      </w:r>
      <w:r w:rsidR="00644409" w:rsidRPr="00625AD6">
        <w:rPr>
          <w:sz w:val="20"/>
        </w:rPr>
        <w:t xml:space="preserve"> in an agreement signed on 2 April 2016. On 16 November, the President again announced an amnesty </w:t>
      </w:r>
      <w:r w:rsidR="00A67407" w:rsidRPr="00625AD6">
        <w:rPr>
          <w:sz w:val="20"/>
        </w:rPr>
        <w:t xml:space="preserve">for </w:t>
      </w:r>
      <w:r w:rsidR="00644409" w:rsidRPr="00625AD6">
        <w:rPr>
          <w:sz w:val="20"/>
        </w:rPr>
        <w:t xml:space="preserve">the 750 </w:t>
      </w:r>
      <w:r w:rsidR="004F5206" w:rsidRPr="00625AD6">
        <w:rPr>
          <w:sz w:val="20"/>
        </w:rPr>
        <w:t>SPLM/</w:t>
      </w:r>
      <w:proofErr w:type="gramStart"/>
      <w:r w:rsidR="004F5206" w:rsidRPr="00625AD6">
        <w:rPr>
          <w:sz w:val="20"/>
        </w:rPr>
        <w:t>A</w:t>
      </w:r>
      <w:proofErr w:type="gramEnd"/>
      <w:r w:rsidR="004F5206" w:rsidRPr="00625AD6">
        <w:rPr>
          <w:sz w:val="20"/>
        </w:rPr>
        <w:t xml:space="preserve"> in Opposition</w:t>
      </w:r>
      <w:r w:rsidR="00644409" w:rsidRPr="00625AD6">
        <w:rPr>
          <w:sz w:val="20"/>
        </w:rPr>
        <w:t xml:space="preserve"> soldiers in the D</w:t>
      </w:r>
      <w:r w:rsidR="008A6DFA" w:rsidRPr="00625AD6">
        <w:rPr>
          <w:sz w:val="20"/>
        </w:rPr>
        <w:t xml:space="preserve">emocratic </w:t>
      </w:r>
      <w:r w:rsidR="00644409" w:rsidRPr="00625AD6">
        <w:rPr>
          <w:sz w:val="20"/>
        </w:rPr>
        <w:t>R</w:t>
      </w:r>
      <w:r w:rsidR="008A6DFA" w:rsidRPr="00625AD6">
        <w:rPr>
          <w:sz w:val="20"/>
        </w:rPr>
        <w:t xml:space="preserve">epublic of the </w:t>
      </w:r>
      <w:r w:rsidR="00644409" w:rsidRPr="00625AD6">
        <w:rPr>
          <w:sz w:val="20"/>
        </w:rPr>
        <w:t>C</w:t>
      </w:r>
      <w:r w:rsidR="008A6DFA" w:rsidRPr="00625AD6">
        <w:rPr>
          <w:sz w:val="20"/>
        </w:rPr>
        <w:t>ongo</w:t>
      </w:r>
      <w:r w:rsidR="00644409" w:rsidRPr="00625AD6">
        <w:rPr>
          <w:sz w:val="20"/>
        </w:rPr>
        <w:t xml:space="preserve"> who were willing to </w:t>
      </w:r>
      <w:r w:rsidR="008A6DFA" w:rsidRPr="00625AD6">
        <w:rPr>
          <w:sz w:val="20"/>
        </w:rPr>
        <w:t>return</w:t>
      </w:r>
      <w:r w:rsidR="00644409" w:rsidRPr="00625AD6">
        <w:rPr>
          <w:sz w:val="20"/>
        </w:rPr>
        <w:t xml:space="preserve">. </w:t>
      </w:r>
      <w:r w:rsidR="005F70D5" w:rsidRPr="00625AD6">
        <w:rPr>
          <w:sz w:val="20"/>
        </w:rPr>
        <w:t>T</w:t>
      </w:r>
      <w:r w:rsidR="00644409" w:rsidRPr="00625AD6">
        <w:rPr>
          <w:sz w:val="20"/>
        </w:rPr>
        <w:t xml:space="preserve">he </w:t>
      </w:r>
      <w:r w:rsidR="000A550A" w:rsidRPr="00625AD6">
        <w:rPr>
          <w:sz w:val="20"/>
        </w:rPr>
        <w:t>people</w:t>
      </w:r>
      <w:r w:rsidR="00644409" w:rsidRPr="00625AD6">
        <w:rPr>
          <w:sz w:val="20"/>
        </w:rPr>
        <w:t xml:space="preserve"> who </w:t>
      </w:r>
      <w:r w:rsidR="005F70D5" w:rsidRPr="00625AD6">
        <w:rPr>
          <w:sz w:val="20"/>
        </w:rPr>
        <w:t xml:space="preserve">currently occupy leadership positions in the Transitional Government are the same who, under the terms of the peace agreement, </w:t>
      </w:r>
      <w:proofErr w:type="gramStart"/>
      <w:r w:rsidR="00644409" w:rsidRPr="00625AD6">
        <w:rPr>
          <w:sz w:val="20"/>
        </w:rPr>
        <w:t xml:space="preserve">should be </w:t>
      </w:r>
      <w:r w:rsidR="005F70D5" w:rsidRPr="00625AD6">
        <w:rPr>
          <w:sz w:val="20"/>
        </w:rPr>
        <w:t>brought</w:t>
      </w:r>
      <w:proofErr w:type="gramEnd"/>
      <w:r w:rsidR="00644409" w:rsidRPr="00625AD6">
        <w:rPr>
          <w:sz w:val="20"/>
        </w:rPr>
        <w:t xml:space="preserve"> </w:t>
      </w:r>
      <w:r w:rsidR="005F70D5" w:rsidRPr="00625AD6">
        <w:rPr>
          <w:sz w:val="20"/>
        </w:rPr>
        <w:t>to</w:t>
      </w:r>
      <w:r w:rsidR="00644409" w:rsidRPr="00625AD6">
        <w:rPr>
          <w:sz w:val="20"/>
        </w:rPr>
        <w:t xml:space="preserve"> trial </w:t>
      </w:r>
      <w:r w:rsidR="005F70D5" w:rsidRPr="00625AD6">
        <w:rPr>
          <w:sz w:val="20"/>
        </w:rPr>
        <w:t>before</w:t>
      </w:r>
      <w:r w:rsidR="00644409" w:rsidRPr="00625AD6">
        <w:rPr>
          <w:sz w:val="20"/>
        </w:rPr>
        <w:t xml:space="preserve"> the </w:t>
      </w:r>
      <w:r w:rsidR="008A6DFA" w:rsidRPr="00625AD6">
        <w:rPr>
          <w:sz w:val="20"/>
        </w:rPr>
        <w:t>h</w:t>
      </w:r>
      <w:r w:rsidR="00644409" w:rsidRPr="00625AD6">
        <w:rPr>
          <w:sz w:val="20"/>
        </w:rPr>
        <w:t xml:space="preserve">ybrid </w:t>
      </w:r>
      <w:r w:rsidR="008A6DFA" w:rsidRPr="00625AD6">
        <w:rPr>
          <w:sz w:val="20"/>
        </w:rPr>
        <w:t>c</w:t>
      </w:r>
      <w:r w:rsidR="00644409" w:rsidRPr="00625AD6">
        <w:rPr>
          <w:sz w:val="20"/>
        </w:rPr>
        <w:t xml:space="preserve">ourt. </w:t>
      </w:r>
      <w:r w:rsidR="008A6DFA" w:rsidRPr="00625AD6">
        <w:rPr>
          <w:sz w:val="20"/>
        </w:rPr>
        <w:t>I</w:t>
      </w:r>
      <w:r w:rsidR="00644409" w:rsidRPr="00625AD6">
        <w:rPr>
          <w:sz w:val="20"/>
        </w:rPr>
        <w:t xml:space="preserve">nternational law </w:t>
      </w:r>
      <w:r w:rsidR="008A6DFA" w:rsidRPr="00625AD6">
        <w:rPr>
          <w:sz w:val="20"/>
        </w:rPr>
        <w:t xml:space="preserve">prohibits </w:t>
      </w:r>
      <w:r w:rsidR="00644409" w:rsidRPr="00625AD6">
        <w:rPr>
          <w:sz w:val="20"/>
        </w:rPr>
        <w:t xml:space="preserve">amnesties </w:t>
      </w:r>
      <w:r w:rsidR="008A6DFA" w:rsidRPr="00625AD6">
        <w:rPr>
          <w:sz w:val="20"/>
        </w:rPr>
        <w:t xml:space="preserve">in the case of </w:t>
      </w:r>
      <w:r w:rsidR="00644409" w:rsidRPr="00625AD6">
        <w:rPr>
          <w:sz w:val="20"/>
        </w:rPr>
        <w:t xml:space="preserve">serious crimes. The President is </w:t>
      </w:r>
      <w:r w:rsidR="008A6DFA" w:rsidRPr="00625AD6">
        <w:rPr>
          <w:sz w:val="20"/>
        </w:rPr>
        <w:t xml:space="preserve">therefore </w:t>
      </w:r>
      <w:r w:rsidR="00644409" w:rsidRPr="00625AD6">
        <w:rPr>
          <w:sz w:val="20"/>
        </w:rPr>
        <w:t>fuel</w:t>
      </w:r>
      <w:r w:rsidR="008A6DFA" w:rsidRPr="00625AD6">
        <w:rPr>
          <w:sz w:val="20"/>
        </w:rPr>
        <w:t>l</w:t>
      </w:r>
      <w:r w:rsidR="00644409" w:rsidRPr="00625AD6">
        <w:rPr>
          <w:sz w:val="20"/>
        </w:rPr>
        <w:t xml:space="preserve">ing impunity </w:t>
      </w:r>
      <w:r w:rsidR="008A6DFA" w:rsidRPr="00625AD6">
        <w:rPr>
          <w:sz w:val="20"/>
        </w:rPr>
        <w:t>by</w:t>
      </w:r>
      <w:r w:rsidR="00644409" w:rsidRPr="00625AD6">
        <w:rPr>
          <w:sz w:val="20"/>
        </w:rPr>
        <w:t xml:space="preserve"> offer</w:t>
      </w:r>
      <w:r w:rsidR="008A6DFA" w:rsidRPr="00625AD6">
        <w:rPr>
          <w:sz w:val="20"/>
        </w:rPr>
        <w:t>ing</w:t>
      </w:r>
      <w:r w:rsidR="00644409" w:rsidRPr="00625AD6">
        <w:rPr>
          <w:sz w:val="20"/>
        </w:rPr>
        <w:t xml:space="preserve"> amnesty.</w:t>
      </w:r>
    </w:p>
    <w:p w:rsidR="00507944" w:rsidRPr="00625AD6" w:rsidRDefault="00625AD6" w:rsidP="00625AD6">
      <w:pPr>
        <w:pStyle w:val="SingleTxtG"/>
        <w:tabs>
          <w:tab w:val="left" w:pos="1701"/>
        </w:tabs>
      </w:pPr>
      <w:r w:rsidRPr="00625AD6">
        <w:rPr>
          <w:sz w:val="20"/>
          <w:szCs w:val="20"/>
        </w:rPr>
        <w:t>61.</w:t>
      </w:r>
      <w:r w:rsidRPr="00625AD6">
        <w:rPr>
          <w:sz w:val="20"/>
          <w:szCs w:val="20"/>
        </w:rPr>
        <w:tab/>
      </w:r>
      <w:r w:rsidR="00644409" w:rsidRPr="00625AD6">
        <w:rPr>
          <w:sz w:val="20"/>
        </w:rPr>
        <w:t>Nearly 60</w:t>
      </w:r>
      <w:r w:rsidR="008A6DFA" w:rsidRPr="00625AD6">
        <w:rPr>
          <w:sz w:val="20"/>
        </w:rPr>
        <w:t xml:space="preserve"> per cent</w:t>
      </w:r>
      <w:r w:rsidR="00644409" w:rsidRPr="00625AD6">
        <w:rPr>
          <w:sz w:val="20"/>
        </w:rPr>
        <w:t xml:space="preserve"> of South Sudanese respondents interviewed in the survey </w:t>
      </w:r>
      <w:r w:rsidR="008A6DFA" w:rsidRPr="00625AD6">
        <w:rPr>
          <w:sz w:val="20"/>
        </w:rPr>
        <w:t>conducted in 2014/15</w:t>
      </w:r>
      <w:r w:rsidR="00974932" w:rsidRPr="00625AD6">
        <w:rPr>
          <w:sz w:val="20"/>
        </w:rPr>
        <w:t xml:space="preserve"> </w:t>
      </w:r>
      <w:r w:rsidR="008A6DFA" w:rsidRPr="00625AD6">
        <w:rPr>
          <w:sz w:val="20"/>
        </w:rPr>
        <w:t xml:space="preserve">(see para. 57 above) </w:t>
      </w:r>
      <w:r w:rsidR="00644409" w:rsidRPr="00625AD6">
        <w:rPr>
          <w:sz w:val="20"/>
        </w:rPr>
        <w:t xml:space="preserve">opposed the </w:t>
      </w:r>
      <w:r w:rsidR="00C312F9" w:rsidRPr="00625AD6">
        <w:rPr>
          <w:sz w:val="20"/>
        </w:rPr>
        <w:t xml:space="preserve">offer and </w:t>
      </w:r>
      <w:r w:rsidR="00644409" w:rsidRPr="00625AD6">
        <w:rPr>
          <w:sz w:val="20"/>
        </w:rPr>
        <w:t>grant</w:t>
      </w:r>
      <w:r w:rsidR="008A6DFA" w:rsidRPr="00625AD6">
        <w:rPr>
          <w:sz w:val="20"/>
        </w:rPr>
        <w:t>ing</w:t>
      </w:r>
      <w:r w:rsidR="00644409" w:rsidRPr="00625AD6">
        <w:rPr>
          <w:sz w:val="20"/>
        </w:rPr>
        <w:t xml:space="preserve"> of amnesties to encourage the warring parties to adhere to the terms of a political settlement</w:t>
      </w:r>
      <w:r w:rsidR="008A6DFA" w:rsidRPr="00625AD6">
        <w:rPr>
          <w:sz w:val="20"/>
        </w:rPr>
        <w:t>.</w:t>
      </w:r>
      <w:r w:rsidR="007D056F" w:rsidRPr="00625AD6">
        <w:rPr>
          <w:rStyle w:val="FootnoteReference"/>
          <w:szCs w:val="18"/>
        </w:rPr>
        <w:footnoteReference w:id="18"/>
      </w:r>
      <w:r w:rsidR="00644409" w:rsidRPr="00625AD6">
        <w:rPr>
          <w:sz w:val="20"/>
        </w:rPr>
        <w:t xml:space="preserve"> Forty-eight percent of respondents would not support an amnesty even if it were necessary for peace.</w:t>
      </w:r>
    </w:p>
    <w:p w:rsidR="00507944" w:rsidRPr="00DF202E" w:rsidRDefault="00DF202E" w:rsidP="00DF202E">
      <w:pPr>
        <w:pStyle w:val="H1G"/>
      </w:pPr>
      <w:bookmarkStart w:id="192" w:name="_Toc474703323"/>
      <w:bookmarkStart w:id="193" w:name="_Toc474703397"/>
      <w:bookmarkStart w:id="194" w:name="_Toc474703471"/>
      <w:bookmarkStart w:id="195" w:name="_Toc474703542"/>
      <w:bookmarkStart w:id="196" w:name="_Toc474703963"/>
      <w:bookmarkStart w:id="197" w:name="_Toc474703324"/>
      <w:bookmarkStart w:id="198" w:name="_Toc474703398"/>
      <w:bookmarkStart w:id="199" w:name="_Toc474703472"/>
      <w:bookmarkStart w:id="200" w:name="_Toc474703543"/>
      <w:bookmarkStart w:id="201" w:name="_Toc474703964"/>
      <w:bookmarkStart w:id="202" w:name="_Toc474703325"/>
      <w:bookmarkStart w:id="203" w:name="_Toc474703399"/>
      <w:bookmarkStart w:id="204" w:name="_Toc474703473"/>
      <w:bookmarkStart w:id="205" w:name="_Toc474703544"/>
      <w:bookmarkStart w:id="206" w:name="_Toc474703965"/>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tab/>
      </w:r>
      <w:r w:rsidR="00625AD6" w:rsidRPr="00DF202E">
        <w:t>A.</w:t>
      </w:r>
      <w:r w:rsidR="00625AD6" w:rsidRPr="00DF202E">
        <w:tab/>
      </w:r>
      <w:r w:rsidR="00644409" w:rsidRPr="00DF202E">
        <w:t xml:space="preserve">Hybrid </w:t>
      </w:r>
      <w:r w:rsidR="008A6DFA" w:rsidRPr="00DF202E">
        <w:t>c</w:t>
      </w:r>
      <w:r w:rsidR="00644409" w:rsidRPr="00DF202E">
        <w:t>ourt for South Sudan</w:t>
      </w:r>
    </w:p>
    <w:p w:rsidR="00507944" w:rsidRPr="00625AD6" w:rsidRDefault="00625AD6" w:rsidP="00625AD6">
      <w:pPr>
        <w:pStyle w:val="SingleTxtG"/>
        <w:tabs>
          <w:tab w:val="left" w:pos="1701"/>
        </w:tabs>
        <w:rPr>
          <w:sz w:val="20"/>
        </w:rPr>
      </w:pPr>
      <w:r w:rsidRPr="00625AD6">
        <w:rPr>
          <w:sz w:val="20"/>
          <w:szCs w:val="20"/>
        </w:rPr>
        <w:t>62.</w:t>
      </w:r>
      <w:r w:rsidRPr="00625AD6">
        <w:rPr>
          <w:sz w:val="20"/>
          <w:szCs w:val="20"/>
        </w:rPr>
        <w:tab/>
      </w:r>
      <w:r w:rsidR="00644409" w:rsidRPr="00625AD6">
        <w:rPr>
          <w:sz w:val="20"/>
        </w:rPr>
        <w:t xml:space="preserve">The </w:t>
      </w:r>
      <w:r w:rsidR="008A6DFA" w:rsidRPr="00625AD6">
        <w:rPr>
          <w:sz w:val="20"/>
          <w:szCs w:val="20"/>
        </w:rPr>
        <w:t>Agreement on the Resolution of the Conflict in the Republic of South Sudan</w:t>
      </w:r>
      <w:r w:rsidR="008A6DFA" w:rsidRPr="00625AD6" w:rsidDel="008A6DFA">
        <w:rPr>
          <w:sz w:val="20"/>
        </w:rPr>
        <w:t xml:space="preserve"> </w:t>
      </w:r>
      <w:r w:rsidR="00644409" w:rsidRPr="00625AD6">
        <w:rPr>
          <w:sz w:val="20"/>
        </w:rPr>
        <w:t xml:space="preserve">provides for the establishment of </w:t>
      </w:r>
      <w:r w:rsidR="008A6DFA" w:rsidRPr="00625AD6">
        <w:rPr>
          <w:sz w:val="20"/>
        </w:rPr>
        <w:t>a h</w:t>
      </w:r>
      <w:r w:rsidR="00644409" w:rsidRPr="00625AD6">
        <w:rPr>
          <w:sz w:val="20"/>
        </w:rPr>
        <w:t xml:space="preserve">ybrid </w:t>
      </w:r>
      <w:r w:rsidR="008A6DFA" w:rsidRPr="00625AD6">
        <w:rPr>
          <w:sz w:val="20"/>
        </w:rPr>
        <w:t>c</w:t>
      </w:r>
      <w:r w:rsidR="00644409" w:rsidRPr="00625AD6">
        <w:rPr>
          <w:sz w:val="20"/>
        </w:rPr>
        <w:t xml:space="preserve">ourt for South Sudan to “investigate and prosecute individuals bearing criminal responsibility for violations of international law and/or applicable South Sudanese law committed between 15 December 2013 and the end of the transitional period”. In September 2015, the African Union Peace and Security Council authorized the African Union Commission to establish </w:t>
      </w:r>
      <w:r w:rsidR="008A6DFA" w:rsidRPr="00625AD6">
        <w:rPr>
          <w:sz w:val="20"/>
        </w:rPr>
        <w:t>a hybrid court</w:t>
      </w:r>
      <w:r w:rsidR="00072AB7" w:rsidRPr="00625AD6">
        <w:rPr>
          <w:sz w:val="20"/>
        </w:rPr>
        <w:t xml:space="preserve"> for South Sudan</w:t>
      </w:r>
      <w:r w:rsidR="00644409" w:rsidRPr="00625AD6">
        <w:rPr>
          <w:sz w:val="20"/>
        </w:rPr>
        <w:t xml:space="preserve">. </w:t>
      </w:r>
    </w:p>
    <w:p w:rsidR="00507944" w:rsidRPr="00625AD6" w:rsidRDefault="00625AD6" w:rsidP="00625AD6">
      <w:pPr>
        <w:pStyle w:val="SingleTxtG"/>
        <w:tabs>
          <w:tab w:val="left" w:pos="1701"/>
        </w:tabs>
        <w:rPr>
          <w:sz w:val="20"/>
        </w:rPr>
      </w:pPr>
      <w:r w:rsidRPr="00625AD6">
        <w:rPr>
          <w:sz w:val="20"/>
          <w:szCs w:val="20"/>
        </w:rPr>
        <w:t>63.</w:t>
      </w:r>
      <w:r w:rsidRPr="00625AD6">
        <w:rPr>
          <w:sz w:val="20"/>
          <w:szCs w:val="20"/>
        </w:rPr>
        <w:tab/>
      </w:r>
      <w:r w:rsidR="00644409" w:rsidRPr="00625AD6">
        <w:rPr>
          <w:sz w:val="20"/>
        </w:rPr>
        <w:t>The timelines and milestones for</w:t>
      </w:r>
      <w:r w:rsidR="003E4304" w:rsidRPr="00625AD6">
        <w:rPr>
          <w:sz w:val="20"/>
        </w:rPr>
        <w:t xml:space="preserve"> the</w:t>
      </w:r>
      <w:r w:rsidR="00644409" w:rsidRPr="00625AD6">
        <w:rPr>
          <w:sz w:val="20"/>
        </w:rPr>
        <w:t xml:space="preserve"> estab</w:t>
      </w:r>
      <w:r w:rsidR="00E54F5D" w:rsidRPr="00625AD6">
        <w:rPr>
          <w:sz w:val="20"/>
        </w:rPr>
        <w:t xml:space="preserve">lishment of the </w:t>
      </w:r>
      <w:r w:rsidR="003E4304" w:rsidRPr="00625AD6">
        <w:rPr>
          <w:sz w:val="20"/>
        </w:rPr>
        <w:t>h</w:t>
      </w:r>
      <w:r w:rsidR="00E54F5D" w:rsidRPr="00625AD6">
        <w:rPr>
          <w:sz w:val="20"/>
        </w:rPr>
        <w:t xml:space="preserve">ybrid </w:t>
      </w:r>
      <w:r w:rsidR="003E4304" w:rsidRPr="00625AD6">
        <w:rPr>
          <w:sz w:val="20"/>
        </w:rPr>
        <w:t>c</w:t>
      </w:r>
      <w:r w:rsidR="00E54F5D" w:rsidRPr="00625AD6">
        <w:rPr>
          <w:sz w:val="20"/>
        </w:rPr>
        <w:t>ourt were</w:t>
      </w:r>
      <w:r w:rsidR="00644409" w:rsidRPr="00625AD6">
        <w:rPr>
          <w:sz w:val="20"/>
        </w:rPr>
        <w:t xml:space="preserve"> removed from the final, signed </w:t>
      </w:r>
      <w:r w:rsidR="00E40AB2" w:rsidRPr="00625AD6">
        <w:rPr>
          <w:sz w:val="20"/>
        </w:rPr>
        <w:t>p</w:t>
      </w:r>
      <w:r w:rsidR="00644409" w:rsidRPr="00625AD6">
        <w:rPr>
          <w:sz w:val="20"/>
        </w:rPr>
        <w:t xml:space="preserve">eace </w:t>
      </w:r>
      <w:r w:rsidR="00E40AB2" w:rsidRPr="00625AD6">
        <w:rPr>
          <w:sz w:val="20"/>
        </w:rPr>
        <w:t>a</w:t>
      </w:r>
      <w:r w:rsidR="00644409" w:rsidRPr="00625AD6">
        <w:rPr>
          <w:sz w:val="20"/>
        </w:rPr>
        <w:t>greement, leaving the entire process open-ended, with no deadlines</w:t>
      </w:r>
      <w:r w:rsidR="003E4304" w:rsidRPr="00625AD6">
        <w:rPr>
          <w:sz w:val="20"/>
        </w:rPr>
        <w:t>; a</w:t>
      </w:r>
      <w:r w:rsidR="00644409" w:rsidRPr="00625AD6">
        <w:rPr>
          <w:sz w:val="20"/>
        </w:rPr>
        <w:t xml:space="preserve">s a result, </w:t>
      </w:r>
      <w:r w:rsidR="003E4304" w:rsidRPr="00625AD6">
        <w:rPr>
          <w:sz w:val="20"/>
        </w:rPr>
        <w:t>(</w:t>
      </w:r>
      <w:r w:rsidR="00644409" w:rsidRPr="00625AD6">
        <w:rPr>
          <w:sz w:val="20"/>
        </w:rPr>
        <w:t>few, if any</w:t>
      </w:r>
      <w:r w:rsidR="003E4304" w:rsidRPr="00625AD6">
        <w:rPr>
          <w:sz w:val="20"/>
        </w:rPr>
        <w:t>)</w:t>
      </w:r>
      <w:r w:rsidR="00644409" w:rsidRPr="00625AD6">
        <w:rPr>
          <w:sz w:val="20"/>
        </w:rPr>
        <w:t xml:space="preserve"> efforts were made to establish the </w:t>
      </w:r>
      <w:r w:rsidR="003E4304" w:rsidRPr="00625AD6">
        <w:rPr>
          <w:sz w:val="20"/>
        </w:rPr>
        <w:t>c</w:t>
      </w:r>
      <w:r w:rsidR="00644409" w:rsidRPr="00625AD6">
        <w:rPr>
          <w:sz w:val="20"/>
        </w:rPr>
        <w:t xml:space="preserve">ourt between August 2015 and the spring of 2016. Valuable time </w:t>
      </w:r>
      <w:r w:rsidR="003E4304" w:rsidRPr="00625AD6">
        <w:rPr>
          <w:sz w:val="20"/>
        </w:rPr>
        <w:t>was</w:t>
      </w:r>
      <w:r w:rsidR="00644409" w:rsidRPr="00625AD6">
        <w:rPr>
          <w:sz w:val="20"/>
        </w:rPr>
        <w:t xml:space="preserve"> lost, and possibly, important evidence of major war crimes and human rights abuses. The African Union informed the Commission that</w:t>
      </w:r>
      <w:r w:rsidR="003E4304" w:rsidRPr="00625AD6">
        <w:rPr>
          <w:sz w:val="20"/>
        </w:rPr>
        <w:t>,</w:t>
      </w:r>
      <w:r w:rsidR="00644409" w:rsidRPr="00625AD6">
        <w:rPr>
          <w:sz w:val="20"/>
        </w:rPr>
        <w:t xml:space="preserve"> </w:t>
      </w:r>
      <w:r w:rsidR="003E4304" w:rsidRPr="00625AD6">
        <w:rPr>
          <w:sz w:val="20"/>
        </w:rPr>
        <w:t xml:space="preserve">as at </w:t>
      </w:r>
      <w:r w:rsidR="00644409" w:rsidRPr="00625AD6">
        <w:rPr>
          <w:sz w:val="20"/>
        </w:rPr>
        <w:t xml:space="preserve">early October 2016, it had managed to raise the funds to </w:t>
      </w:r>
      <w:r w:rsidR="003E4304" w:rsidRPr="00625AD6">
        <w:rPr>
          <w:sz w:val="20"/>
        </w:rPr>
        <w:t>commence</w:t>
      </w:r>
      <w:r w:rsidR="00644409" w:rsidRPr="00625AD6">
        <w:rPr>
          <w:sz w:val="20"/>
        </w:rPr>
        <w:t xml:space="preserve"> work on the </w:t>
      </w:r>
      <w:r w:rsidR="003E4304" w:rsidRPr="00625AD6">
        <w:rPr>
          <w:sz w:val="20"/>
        </w:rPr>
        <w:t xml:space="preserve">establishment of the </w:t>
      </w:r>
      <w:r w:rsidR="00644409" w:rsidRPr="00625AD6">
        <w:rPr>
          <w:sz w:val="20"/>
        </w:rPr>
        <w:t xml:space="preserve">court. </w:t>
      </w:r>
      <w:r w:rsidR="003E4304" w:rsidRPr="00625AD6">
        <w:rPr>
          <w:sz w:val="20"/>
        </w:rPr>
        <w:t xml:space="preserve">It </w:t>
      </w:r>
      <w:r w:rsidR="00644409" w:rsidRPr="00625AD6">
        <w:rPr>
          <w:sz w:val="20"/>
        </w:rPr>
        <w:t xml:space="preserve">also </w:t>
      </w:r>
      <w:r w:rsidR="003E4304" w:rsidRPr="00625AD6">
        <w:rPr>
          <w:sz w:val="20"/>
        </w:rPr>
        <w:t>stated</w:t>
      </w:r>
      <w:r w:rsidR="00644409" w:rsidRPr="00625AD6">
        <w:rPr>
          <w:sz w:val="20"/>
        </w:rPr>
        <w:t xml:space="preserve"> that its timeline for operationalizing the court was approximately three years</w:t>
      </w:r>
      <w:r w:rsidR="003E4304" w:rsidRPr="00625AD6">
        <w:rPr>
          <w:sz w:val="20"/>
        </w:rPr>
        <w:t xml:space="preserve"> (</w:t>
      </w:r>
      <w:r w:rsidR="00644409" w:rsidRPr="00625AD6">
        <w:rPr>
          <w:sz w:val="20"/>
        </w:rPr>
        <w:t>autumn of 2019</w:t>
      </w:r>
      <w:r w:rsidR="003E4304" w:rsidRPr="00625AD6">
        <w:rPr>
          <w:sz w:val="20"/>
        </w:rPr>
        <w:t>)</w:t>
      </w:r>
      <w:r w:rsidR="00644409" w:rsidRPr="00625AD6">
        <w:rPr>
          <w:sz w:val="20"/>
        </w:rPr>
        <w:t xml:space="preserve">, more than four years after the signing of the </w:t>
      </w:r>
      <w:r w:rsidR="003E4304" w:rsidRPr="00625AD6">
        <w:rPr>
          <w:sz w:val="20"/>
        </w:rPr>
        <w:t>p</w:t>
      </w:r>
      <w:r w:rsidR="00644409" w:rsidRPr="00625AD6">
        <w:rPr>
          <w:sz w:val="20"/>
        </w:rPr>
        <w:t xml:space="preserve">eace </w:t>
      </w:r>
      <w:r w:rsidR="003E4304" w:rsidRPr="00625AD6">
        <w:rPr>
          <w:sz w:val="20"/>
        </w:rPr>
        <w:t>a</w:t>
      </w:r>
      <w:r w:rsidR="00644409" w:rsidRPr="00625AD6">
        <w:rPr>
          <w:sz w:val="20"/>
        </w:rPr>
        <w:t>greement.</w:t>
      </w:r>
      <w:r w:rsidR="00974932" w:rsidRPr="00625AD6">
        <w:rPr>
          <w:sz w:val="20"/>
        </w:rPr>
        <w:t xml:space="preserve"> </w:t>
      </w:r>
    </w:p>
    <w:p w:rsidR="00507944" w:rsidRPr="00625AD6" w:rsidRDefault="00625AD6" w:rsidP="00625AD6">
      <w:pPr>
        <w:pStyle w:val="SingleTxtG"/>
        <w:tabs>
          <w:tab w:val="left" w:pos="1701"/>
        </w:tabs>
        <w:rPr>
          <w:sz w:val="20"/>
        </w:rPr>
      </w:pPr>
      <w:r w:rsidRPr="00625AD6">
        <w:rPr>
          <w:sz w:val="20"/>
          <w:szCs w:val="20"/>
        </w:rPr>
        <w:t>64.</w:t>
      </w:r>
      <w:r w:rsidRPr="00625AD6">
        <w:rPr>
          <w:sz w:val="20"/>
          <w:szCs w:val="20"/>
        </w:rPr>
        <w:tab/>
      </w:r>
      <w:r w:rsidR="00644409" w:rsidRPr="00625AD6">
        <w:rPr>
          <w:sz w:val="20"/>
        </w:rPr>
        <w:t xml:space="preserve">The </w:t>
      </w:r>
      <w:r w:rsidR="001758D0" w:rsidRPr="00625AD6">
        <w:rPr>
          <w:sz w:val="20"/>
        </w:rPr>
        <w:t xml:space="preserve">Office of Legal Counsel of the </w:t>
      </w:r>
      <w:r w:rsidR="00644409" w:rsidRPr="00625AD6">
        <w:rPr>
          <w:sz w:val="20"/>
        </w:rPr>
        <w:t xml:space="preserve">African Union </w:t>
      </w:r>
      <w:r w:rsidR="001758D0" w:rsidRPr="00625AD6">
        <w:rPr>
          <w:sz w:val="20"/>
        </w:rPr>
        <w:t xml:space="preserve">Commission </w:t>
      </w:r>
      <w:r w:rsidR="00644409" w:rsidRPr="00625AD6">
        <w:rPr>
          <w:sz w:val="20"/>
        </w:rPr>
        <w:t xml:space="preserve">also informed </w:t>
      </w:r>
      <w:r w:rsidR="003E4304" w:rsidRPr="00625AD6">
        <w:rPr>
          <w:sz w:val="20"/>
        </w:rPr>
        <w:t xml:space="preserve">the </w:t>
      </w:r>
      <w:r w:rsidR="00644409" w:rsidRPr="00625AD6">
        <w:rPr>
          <w:sz w:val="20"/>
        </w:rPr>
        <w:t xml:space="preserve">Commission that a draft statute and </w:t>
      </w:r>
      <w:r w:rsidR="003E4304" w:rsidRPr="00625AD6">
        <w:rPr>
          <w:sz w:val="20"/>
        </w:rPr>
        <w:t>a m</w:t>
      </w:r>
      <w:r w:rsidR="00644409" w:rsidRPr="00625AD6">
        <w:rPr>
          <w:sz w:val="20"/>
        </w:rPr>
        <w:t xml:space="preserve">emorandum of </w:t>
      </w:r>
      <w:r w:rsidR="003E4304" w:rsidRPr="00625AD6">
        <w:rPr>
          <w:sz w:val="20"/>
        </w:rPr>
        <w:t>u</w:t>
      </w:r>
      <w:r w:rsidR="00644409" w:rsidRPr="00625AD6">
        <w:rPr>
          <w:sz w:val="20"/>
        </w:rPr>
        <w:t xml:space="preserve">nderstanding for the establishment of </w:t>
      </w:r>
      <w:r w:rsidR="00141205" w:rsidRPr="00625AD6">
        <w:rPr>
          <w:sz w:val="20"/>
        </w:rPr>
        <w:t>the</w:t>
      </w:r>
      <w:r w:rsidR="003E4304" w:rsidRPr="00625AD6">
        <w:rPr>
          <w:sz w:val="20"/>
        </w:rPr>
        <w:t xml:space="preserve"> h</w:t>
      </w:r>
      <w:r w:rsidR="00644409" w:rsidRPr="00625AD6">
        <w:rPr>
          <w:sz w:val="20"/>
        </w:rPr>
        <w:t xml:space="preserve">ybrid </w:t>
      </w:r>
      <w:r w:rsidR="003E4304" w:rsidRPr="00625AD6">
        <w:rPr>
          <w:sz w:val="20"/>
        </w:rPr>
        <w:t>c</w:t>
      </w:r>
      <w:r w:rsidR="00644409" w:rsidRPr="00625AD6">
        <w:rPr>
          <w:sz w:val="20"/>
        </w:rPr>
        <w:t xml:space="preserve">ourt </w:t>
      </w:r>
      <w:proofErr w:type="gramStart"/>
      <w:r w:rsidR="00644409" w:rsidRPr="00625AD6">
        <w:rPr>
          <w:sz w:val="20"/>
        </w:rPr>
        <w:t>ha</w:t>
      </w:r>
      <w:r w:rsidR="003E4304" w:rsidRPr="00625AD6">
        <w:rPr>
          <w:sz w:val="20"/>
        </w:rPr>
        <w:t>d</w:t>
      </w:r>
      <w:r w:rsidR="00644409" w:rsidRPr="00625AD6">
        <w:rPr>
          <w:sz w:val="20"/>
        </w:rPr>
        <w:t xml:space="preserve"> been submitted</w:t>
      </w:r>
      <w:proofErr w:type="gramEnd"/>
      <w:r w:rsidR="00644409" w:rsidRPr="00625AD6">
        <w:rPr>
          <w:sz w:val="20"/>
        </w:rPr>
        <w:t xml:space="preserve"> to the Government of South Sudan for its consideration. The </w:t>
      </w:r>
      <w:proofErr w:type="gramStart"/>
      <w:r w:rsidR="00644409" w:rsidRPr="00625AD6">
        <w:rPr>
          <w:sz w:val="20"/>
        </w:rPr>
        <w:t xml:space="preserve">Commission was informed by the Minister </w:t>
      </w:r>
      <w:r w:rsidR="003E4304" w:rsidRPr="00625AD6">
        <w:rPr>
          <w:sz w:val="20"/>
        </w:rPr>
        <w:t>for</w:t>
      </w:r>
      <w:r w:rsidR="00644409" w:rsidRPr="00625AD6">
        <w:rPr>
          <w:sz w:val="20"/>
        </w:rPr>
        <w:t xml:space="preserve"> Justice of South Sudan that the responsibility for the establishment of the court </w:t>
      </w:r>
      <w:r w:rsidR="003E4304" w:rsidRPr="00625AD6">
        <w:rPr>
          <w:sz w:val="20"/>
        </w:rPr>
        <w:t>lay</w:t>
      </w:r>
      <w:r w:rsidR="00644409" w:rsidRPr="00625AD6">
        <w:rPr>
          <w:sz w:val="20"/>
        </w:rPr>
        <w:t xml:space="preserve"> with the A</w:t>
      </w:r>
      <w:r w:rsidR="00DB65B7" w:rsidRPr="00625AD6">
        <w:rPr>
          <w:sz w:val="20"/>
        </w:rPr>
        <w:t xml:space="preserve">frican </w:t>
      </w:r>
      <w:r w:rsidR="00644409" w:rsidRPr="00625AD6">
        <w:rPr>
          <w:sz w:val="20"/>
        </w:rPr>
        <w:t>U</w:t>
      </w:r>
      <w:r w:rsidR="00DB65B7" w:rsidRPr="00625AD6">
        <w:rPr>
          <w:sz w:val="20"/>
        </w:rPr>
        <w:t>nion</w:t>
      </w:r>
      <w:proofErr w:type="gramEnd"/>
      <w:r w:rsidR="00644409" w:rsidRPr="00625AD6">
        <w:rPr>
          <w:sz w:val="20"/>
        </w:rPr>
        <w:t>.</w:t>
      </w:r>
    </w:p>
    <w:p w:rsidR="00507944" w:rsidRPr="00625AD6" w:rsidRDefault="00625AD6" w:rsidP="00625AD6">
      <w:pPr>
        <w:pStyle w:val="SingleTxtG"/>
        <w:tabs>
          <w:tab w:val="left" w:pos="1701"/>
        </w:tabs>
      </w:pPr>
      <w:r w:rsidRPr="00625AD6">
        <w:rPr>
          <w:sz w:val="20"/>
          <w:szCs w:val="20"/>
        </w:rPr>
        <w:t>65.</w:t>
      </w:r>
      <w:r w:rsidRPr="00625AD6">
        <w:rPr>
          <w:sz w:val="20"/>
          <w:szCs w:val="20"/>
        </w:rPr>
        <w:tab/>
      </w:r>
      <w:r w:rsidR="00644409" w:rsidRPr="00625AD6">
        <w:rPr>
          <w:sz w:val="20"/>
        </w:rPr>
        <w:t xml:space="preserve">A large number of </w:t>
      </w:r>
      <w:r w:rsidR="00DB65B7" w:rsidRPr="00625AD6">
        <w:rPr>
          <w:sz w:val="20"/>
        </w:rPr>
        <w:t>non-governmental organizations</w:t>
      </w:r>
      <w:r w:rsidR="00644409" w:rsidRPr="00625AD6">
        <w:rPr>
          <w:sz w:val="20"/>
        </w:rPr>
        <w:t xml:space="preserve"> have called for the establishment of an investigative mechanism before the </w:t>
      </w:r>
      <w:r w:rsidR="003E4304" w:rsidRPr="00625AD6">
        <w:rPr>
          <w:sz w:val="20"/>
        </w:rPr>
        <w:t>h</w:t>
      </w:r>
      <w:r w:rsidR="00644409" w:rsidRPr="00625AD6">
        <w:rPr>
          <w:sz w:val="20"/>
        </w:rPr>
        <w:t xml:space="preserve">ybrid </w:t>
      </w:r>
      <w:r w:rsidR="003E4304" w:rsidRPr="00625AD6">
        <w:rPr>
          <w:sz w:val="20"/>
        </w:rPr>
        <w:t>c</w:t>
      </w:r>
      <w:r w:rsidR="00644409" w:rsidRPr="00625AD6">
        <w:rPr>
          <w:sz w:val="20"/>
        </w:rPr>
        <w:t xml:space="preserve">ourt becomes </w:t>
      </w:r>
      <w:proofErr w:type="gramStart"/>
      <w:r w:rsidR="00E54F5D" w:rsidRPr="00625AD6">
        <w:rPr>
          <w:sz w:val="20"/>
        </w:rPr>
        <w:t>fully operational</w:t>
      </w:r>
      <w:proofErr w:type="gramEnd"/>
      <w:r w:rsidR="00644409" w:rsidRPr="00625AD6">
        <w:rPr>
          <w:sz w:val="20"/>
        </w:rPr>
        <w:t>, as well as the setting</w:t>
      </w:r>
      <w:r w:rsidR="003E4304" w:rsidRPr="00625AD6">
        <w:rPr>
          <w:sz w:val="20"/>
        </w:rPr>
        <w:t>-</w:t>
      </w:r>
      <w:r w:rsidR="00644409" w:rsidRPr="00625AD6">
        <w:rPr>
          <w:sz w:val="20"/>
        </w:rPr>
        <w:t xml:space="preserve">up </w:t>
      </w:r>
      <w:r w:rsidR="003E4304" w:rsidRPr="00625AD6">
        <w:rPr>
          <w:sz w:val="20"/>
        </w:rPr>
        <w:t xml:space="preserve">of </w:t>
      </w:r>
      <w:r w:rsidR="00644409" w:rsidRPr="00625AD6">
        <w:rPr>
          <w:sz w:val="20"/>
        </w:rPr>
        <w:t>a witness protection programme and a transparent and credible selection process for judges.</w:t>
      </w:r>
      <w:r w:rsidR="00E40AB2" w:rsidRPr="00625AD6">
        <w:rPr>
          <w:sz w:val="20"/>
        </w:rPr>
        <w:t xml:space="preserve"> </w:t>
      </w:r>
      <w:proofErr w:type="gramStart"/>
      <w:r w:rsidR="00E40AB2" w:rsidRPr="00625AD6">
        <w:rPr>
          <w:sz w:val="20"/>
        </w:rPr>
        <w:t xml:space="preserve">On 20 January 2017, </w:t>
      </w:r>
      <w:r w:rsidR="003E4304" w:rsidRPr="00625AD6">
        <w:rPr>
          <w:sz w:val="20"/>
          <w:szCs w:val="20"/>
        </w:rPr>
        <w:t>a coalition of civil society organizations engaged in transitional justice initiatives,</w:t>
      </w:r>
      <w:r w:rsidR="003E4304" w:rsidRPr="00625AD6">
        <w:rPr>
          <w:sz w:val="20"/>
        </w:rPr>
        <w:t xml:space="preserve"> </w:t>
      </w:r>
      <w:r w:rsidR="00E40AB2" w:rsidRPr="00625AD6">
        <w:rPr>
          <w:sz w:val="20"/>
        </w:rPr>
        <w:t>the Transitional Justice Working Group</w:t>
      </w:r>
      <w:r w:rsidR="00A87D10" w:rsidRPr="00625AD6">
        <w:rPr>
          <w:sz w:val="20"/>
        </w:rPr>
        <w:t xml:space="preserve"> </w:t>
      </w:r>
      <w:r w:rsidR="003E4304" w:rsidRPr="00625AD6">
        <w:rPr>
          <w:sz w:val="20"/>
        </w:rPr>
        <w:t xml:space="preserve">for </w:t>
      </w:r>
      <w:r w:rsidR="00A87D10" w:rsidRPr="00625AD6">
        <w:rPr>
          <w:sz w:val="20"/>
        </w:rPr>
        <w:t>South Sudan</w:t>
      </w:r>
      <w:r w:rsidR="003E4304" w:rsidRPr="00625AD6">
        <w:rPr>
          <w:sz w:val="20"/>
        </w:rPr>
        <w:t>,</w:t>
      </w:r>
      <w:r w:rsidR="00E40AB2" w:rsidRPr="00625AD6">
        <w:rPr>
          <w:sz w:val="20"/>
        </w:rPr>
        <w:t xml:space="preserve"> de</w:t>
      </w:r>
      <w:r w:rsidR="00A87D10" w:rsidRPr="00625AD6">
        <w:rPr>
          <w:sz w:val="20"/>
        </w:rPr>
        <w:t xml:space="preserve">livered a briefing paper to </w:t>
      </w:r>
      <w:r w:rsidR="00E40AB2" w:rsidRPr="00625AD6">
        <w:rPr>
          <w:sz w:val="20"/>
        </w:rPr>
        <w:t>A</w:t>
      </w:r>
      <w:r w:rsidR="00DB65B7" w:rsidRPr="00625AD6">
        <w:rPr>
          <w:sz w:val="20"/>
        </w:rPr>
        <w:t xml:space="preserve">frican </w:t>
      </w:r>
      <w:r w:rsidR="00E40AB2" w:rsidRPr="00625AD6">
        <w:rPr>
          <w:sz w:val="20"/>
        </w:rPr>
        <w:t>U</w:t>
      </w:r>
      <w:r w:rsidR="00DB65B7" w:rsidRPr="00625AD6">
        <w:rPr>
          <w:sz w:val="20"/>
        </w:rPr>
        <w:t>nion</w:t>
      </w:r>
      <w:r w:rsidR="00E40AB2" w:rsidRPr="00625AD6">
        <w:rPr>
          <w:sz w:val="20"/>
        </w:rPr>
        <w:t xml:space="preserve"> officials</w:t>
      </w:r>
      <w:r w:rsidR="003E4304" w:rsidRPr="00625AD6">
        <w:rPr>
          <w:sz w:val="20"/>
        </w:rPr>
        <w:t xml:space="preserve"> in which it</w:t>
      </w:r>
      <w:r w:rsidR="00E40AB2" w:rsidRPr="00625AD6">
        <w:rPr>
          <w:sz w:val="20"/>
        </w:rPr>
        <w:t xml:space="preserve"> </w:t>
      </w:r>
      <w:r w:rsidR="00A87D10" w:rsidRPr="00625AD6">
        <w:rPr>
          <w:sz w:val="20"/>
        </w:rPr>
        <w:t>argu</w:t>
      </w:r>
      <w:r w:rsidR="003E4304" w:rsidRPr="00625AD6">
        <w:rPr>
          <w:sz w:val="20"/>
        </w:rPr>
        <w:t>ed</w:t>
      </w:r>
      <w:r w:rsidR="00A87D10" w:rsidRPr="00625AD6">
        <w:rPr>
          <w:sz w:val="20"/>
        </w:rPr>
        <w:t xml:space="preserve"> </w:t>
      </w:r>
      <w:r w:rsidR="00E40AB2" w:rsidRPr="00625AD6">
        <w:rPr>
          <w:sz w:val="20"/>
        </w:rPr>
        <w:t xml:space="preserve">that the establishment of a </w:t>
      </w:r>
      <w:r w:rsidR="003E4304" w:rsidRPr="00625AD6">
        <w:rPr>
          <w:sz w:val="20"/>
        </w:rPr>
        <w:t>h</w:t>
      </w:r>
      <w:r w:rsidR="00E40AB2" w:rsidRPr="00625AD6">
        <w:rPr>
          <w:sz w:val="20"/>
        </w:rPr>
        <w:t xml:space="preserve">ybrid </w:t>
      </w:r>
      <w:r w:rsidR="003E4304" w:rsidRPr="00625AD6">
        <w:rPr>
          <w:sz w:val="20"/>
        </w:rPr>
        <w:t>c</w:t>
      </w:r>
      <w:r w:rsidR="00E40AB2" w:rsidRPr="00625AD6">
        <w:rPr>
          <w:sz w:val="20"/>
        </w:rPr>
        <w:t>ourt “</w:t>
      </w:r>
      <w:r w:rsidR="003E4304" w:rsidRPr="00625AD6">
        <w:rPr>
          <w:sz w:val="20"/>
        </w:rPr>
        <w:t>[could not]</w:t>
      </w:r>
      <w:r w:rsidR="00E40AB2" w:rsidRPr="00625AD6">
        <w:rPr>
          <w:sz w:val="20"/>
        </w:rPr>
        <w:t xml:space="preserve"> in and of itself resolve the ongoing conflict”, but </w:t>
      </w:r>
      <w:r w:rsidR="003E4304" w:rsidRPr="00625AD6">
        <w:rPr>
          <w:sz w:val="20"/>
        </w:rPr>
        <w:t>would</w:t>
      </w:r>
      <w:r w:rsidR="00E40AB2" w:rsidRPr="00625AD6">
        <w:rPr>
          <w:sz w:val="20"/>
        </w:rPr>
        <w:t xml:space="preserve"> contribute to breaking, or </w:t>
      </w:r>
      <w:r w:rsidR="003E4304" w:rsidRPr="00625AD6">
        <w:rPr>
          <w:sz w:val="20"/>
        </w:rPr>
        <w:t xml:space="preserve">at least </w:t>
      </w:r>
      <w:r w:rsidR="00E40AB2" w:rsidRPr="00625AD6">
        <w:rPr>
          <w:sz w:val="20"/>
        </w:rPr>
        <w:t>slowing, the cycle of violence and revenge.</w:t>
      </w:r>
      <w:r w:rsidR="00E40AB2" w:rsidRPr="00625AD6">
        <w:t> </w:t>
      </w:r>
      <w:proofErr w:type="gramEnd"/>
    </w:p>
    <w:p w:rsidR="00507944" w:rsidRPr="00DF202E" w:rsidRDefault="00DF202E" w:rsidP="00DF202E">
      <w:pPr>
        <w:pStyle w:val="H1G"/>
      </w:pPr>
      <w:r>
        <w:tab/>
      </w:r>
      <w:r w:rsidRPr="00DF202E">
        <w:t>B.</w:t>
      </w:r>
      <w:r w:rsidR="00417BFF" w:rsidRPr="00DF202E">
        <w:tab/>
      </w:r>
      <w:r w:rsidR="00644409" w:rsidRPr="00DF202E">
        <w:t xml:space="preserve">Commission </w:t>
      </w:r>
      <w:r w:rsidR="00E3220C" w:rsidRPr="00DF202E">
        <w:t>for t</w:t>
      </w:r>
      <w:r w:rsidR="00644409" w:rsidRPr="00DF202E">
        <w:t xml:space="preserve">ruth, </w:t>
      </w:r>
      <w:r w:rsidR="00E3220C" w:rsidRPr="00DF202E">
        <w:t>reconciliation and h</w:t>
      </w:r>
      <w:r w:rsidRPr="00DF202E">
        <w:t>ealing</w:t>
      </w:r>
    </w:p>
    <w:p w:rsidR="00507944" w:rsidRPr="00625AD6" w:rsidRDefault="00625AD6" w:rsidP="00625AD6">
      <w:pPr>
        <w:pStyle w:val="SingleTxtG"/>
        <w:tabs>
          <w:tab w:val="left" w:pos="1701"/>
        </w:tabs>
        <w:rPr>
          <w:sz w:val="20"/>
        </w:rPr>
      </w:pPr>
      <w:r w:rsidRPr="00625AD6">
        <w:rPr>
          <w:sz w:val="20"/>
          <w:szCs w:val="20"/>
        </w:rPr>
        <w:t>66.</w:t>
      </w:r>
      <w:r w:rsidRPr="00625AD6">
        <w:rPr>
          <w:sz w:val="20"/>
          <w:szCs w:val="20"/>
        </w:rPr>
        <w:tab/>
      </w:r>
      <w:r w:rsidR="00644409" w:rsidRPr="00625AD6">
        <w:rPr>
          <w:sz w:val="20"/>
        </w:rPr>
        <w:t xml:space="preserve">Chapter V of the </w:t>
      </w:r>
      <w:r w:rsidR="003E4304" w:rsidRPr="00625AD6">
        <w:rPr>
          <w:sz w:val="20"/>
          <w:szCs w:val="20"/>
        </w:rPr>
        <w:t>Agreement on the Resolution of the Conflict in the Republic of South Sudan</w:t>
      </w:r>
      <w:r w:rsidR="003E4304" w:rsidRPr="00625AD6" w:rsidDel="003E4304">
        <w:rPr>
          <w:sz w:val="20"/>
        </w:rPr>
        <w:t xml:space="preserve"> </w:t>
      </w:r>
      <w:r w:rsidR="00644409" w:rsidRPr="00625AD6">
        <w:rPr>
          <w:sz w:val="20"/>
        </w:rPr>
        <w:t xml:space="preserve">provides for the establishment of </w:t>
      </w:r>
      <w:r w:rsidR="00E3220C" w:rsidRPr="00625AD6">
        <w:rPr>
          <w:sz w:val="20"/>
        </w:rPr>
        <w:t>a c</w:t>
      </w:r>
      <w:r w:rsidR="00644409" w:rsidRPr="00625AD6">
        <w:rPr>
          <w:sz w:val="20"/>
        </w:rPr>
        <w:t xml:space="preserve">ommission </w:t>
      </w:r>
      <w:r w:rsidR="00E3220C" w:rsidRPr="00625AD6">
        <w:rPr>
          <w:sz w:val="20"/>
        </w:rPr>
        <w:t>for t</w:t>
      </w:r>
      <w:r w:rsidR="00644409" w:rsidRPr="00625AD6">
        <w:rPr>
          <w:sz w:val="20"/>
        </w:rPr>
        <w:t xml:space="preserve">ruth, </w:t>
      </w:r>
      <w:r w:rsidR="00E3220C" w:rsidRPr="00625AD6">
        <w:rPr>
          <w:sz w:val="20"/>
        </w:rPr>
        <w:t>reconciliation and h</w:t>
      </w:r>
      <w:r w:rsidR="00644409" w:rsidRPr="00625AD6">
        <w:rPr>
          <w:sz w:val="20"/>
        </w:rPr>
        <w:t>ealing. The Government of South Sudan</w:t>
      </w:r>
      <w:r w:rsidR="003E4304" w:rsidRPr="00625AD6">
        <w:rPr>
          <w:sz w:val="20"/>
        </w:rPr>
        <w:t>,</w:t>
      </w:r>
      <w:r w:rsidR="00644409" w:rsidRPr="00625AD6">
        <w:rPr>
          <w:sz w:val="20"/>
        </w:rPr>
        <w:t xml:space="preserve"> supported by</w:t>
      </w:r>
      <w:r w:rsidR="003E4304" w:rsidRPr="00625AD6">
        <w:rPr>
          <w:sz w:val="20"/>
        </w:rPr>
        <w:t xml:space="preserve"> the United Nations Development Programme</w:t>
      </w:r>
      <w:r w:rsidR="00644409" w:rsidRPr="00625AD6">
        <w:rPr>
          <w:sz w:val="20"/>
        </w:rPr>
        <w:t xml:space="preserve"> </w:t>
      </w:r>
      <w:r w:rsidR="003E4304" w:rsidRPr="00625AD6">
        <w:rPr>
          <w:sz w:val="20"/>
        </w:rPr>
        <w:t>(</w:t>
      </w:r>
      <w:r w:rsidR="00644409" w:rsidRPr="00625AD6">
        <w:rPr>
          <w:sz w:val="20"/>
        </w:rPr>
        <w:t>UNDP</w:t>
      </w:r>
      <w:r w:rsidR="003E4304" w:rsidRPr="00625AD6">
        <w:rPr>
          <w:sz w:val="20"/>
        </w:rPr>
        <w:t>),</w:t>
      </w:r>
      <w:r w:rsidR="00644409" w:rsidRPr="00625AD6">
        <w:rPr>
          <w:sz w:val="20"/>
        </w:rPr>
        <w:t xml:space="preserve"> has advanced the process of establishing the </w:t>
      </w:r>
      <w:r w:rsidR="003E4304" w:rsidRPr="00625AD6">
        <w:rPr>
          <w:sz w:val="20"/>
        </w:rPr>
        <w:t>commission</w:t>
      </w:r>
      <w:r w:rsidR="00644409" w:rsidRPr="00625AD6">
        <w:rPr>
          <w:sz w:val="20"/>
        </w:rPr>
        <w:t xml:space="preserve"> by compiling two papers</w:t>
      </w:r>
      <w:r w:rsidR="003E4304" w:rsidRPr="00625AD6">
        <w:rPr>
          <w:sz w:val="20"/>
        </w:rPr>
        <w:t>,</w:t>
      </w:r>
      <w:r w:rsidR="00644409" w:rsidRPr="00625AD6">
        <w:rPr>
          <w:sz w:val="20"/>
        </w:rPr>
        <w:t xml:space="preserve"> on the national consultation process required by the </w:t>
      </w:r>
      <w:r w:rsidR="003E4304" w:rsidRPr="00625AD6">
        <w:rPr>
          <w:sz w:val="20"/>
        </w:rPr>
        <w:t>peace agreement,</w:t>
      </w:r>
      <w:r w:rsidR="00644409" w:rsidRPr="00625AD6">
        <w:rPr>
          <w:sz w:val="20"/>
        </w:rPr>
        <w:t xml:space="preserve"> and on best practices for truth commissions. The survey conducted in </w:t>
      </w:r>
      <w:r w:rsidR="00FB31C3" w:rsidRPr="00625AD6">
        <w:rPr>
          <w:sz w:val="20"/>
        </w:rPr>
        <w:t>2014/</w:t>
      </w:r>
      <w:r w:rsidR="00644409" w:rsidRPr="00625AD6">
        <w:rPr>
          <w:sz w:val="20"/>
        </w:rPr>
        <w:t xml:space="preserve">15 </w:t>
      </w:r>
      <w:r w:rsidR="006669A3" w:rsidRPr="00625AD6">
        <w:rPr>
          <w:sz w:val="20"/>
        </w:rPr>
        <w:t xml:space="preserve">(see para. 57 above) </w:t>
      </w:r>
      <w:r w:rsidR="00644409" w:rsidRPr="00625AD6">
        <w:rPr>
          <w:sz w:val="20"/>
        </w:rPr>
        <w:t xml:space="preserve">found that </w:t>
      </w:r>
      <w:r w:rsidR="006669A3" w:rsidRPr="00625AD6">
        <w:rPr>
          <w:sz w:val="20"/>
        </w:rPr>
        <w:t>respondents</w:t>
      </w:r>
      <w:r w:rsidR="00644409" w:rsidRPr="00625AD6">
        <w:rPr>
          <w:sz w:val="20"/>
        </w:rPr>
        <w:t xml:space="preserve"> emphasized the importance of a nationally owned process for documenting human rights abuses and publicly acknowledging the role of </w:t>
      </w:r>
      <w:r w:rsidR="006669A3" w:rsidRPr="00625AD6">
        <w:rPr>
          <w:sz w:val="20"/>
        </w:rPr>
        <w:t>both S</w:t>
      </w:r>
      <w:r w:rsidR="00644409" w:rsidRPr="00625AD6">
        <w:rPr>
          <w:sz w:val="20"/>
        </w:rPr>
        <w:t>tate and non-</w:t>
      </w:r>
      <w:r w:rsidR="006669A3" w:rsidRPr="00625AD6">
        <w:rPr>
          <w:sz w:val="20"/>
        </w:rPr>
        <w:t>S</w:t>
      </w:r>
      <w:r w:rsidR="00644409" w:rsidRPr="00625AD6">
        <w:rPr>
          <w:sz w:val="20"/>
        </w:rPr>
        <w:t xml:space="preserve">tate actors in committing violent acts against civilians in the current and past conflicts. </w:t>
      </w:r>
      <w:proofErr w:type="gramStart"/>
      <w:r w:rsidR="00644409" w:rsidRPr="00625AD6">
        <w:rPr>
          <w:sz w:val="20"/>
        </w:rPr>
        <w:t xml:space="preserve">Proponents of the </w:t>
      </w:r>
      <w:r w:rsidR="006669A3" w:rsidRPr="00625AD6">
        <w:rPr>
          <w:sz w:val="20"/>
        </w:rPr>
        <w:t>commission</w:t>
      </w:r>
      <w:r w:rsidR="00644409" w:rsidRPr="00625AD6">
        <w:rPr>
          <w:sz w:val="20"/>
        </w:rPr>
        <w:t xml:space="preserve"> argued that a truth-seeking process could </w:t>
      </w:r>
      <w:r w:rsidR="006669A3" w:rsidRPr="00625AD6">
        <w:rPr>
          <w:sz w:val="20"/>
        </w:rPr>
        <w:t>be an opportunity for</w:t>
      </w:r>
      <w:r w:rsidR="00644409" w:rsidRPr="00625AD6">
        <w:rPr>
          <w:sz w:val="20"/>
        </w:rPr>
        <w:t xml:space="preserve"> the </w:t>
      </w:r>
      <w:r w:rsidR="006669A3" w:rsidRPr="00625AD6">
        <w:rPr>
          <w:sz w:val="20"/>
        </w:rPr>
        <w:t>S</w:t>
      </w:r>
      <w:r w:rsidR="00644409" w:rsidRPr="00625AD6">
        <w:rPr>
          <w:sz w:val="20"/>
        </w:rPr>
        <w:t xml:space="preserve">tate to demonstrate its commitment to building a culture of respect for human rights and </w:t>
      </w:r>
      <w:r w:rsidR="006669A3" w:rsidRPr="00625AD6">
        <w:rPr>
          <w:sz w:val="20"/>
        </w:rPr>
        <w:t xml:space="preserve">the </w:t>
      </w:r>
      <w:r w:rsidR="00644409" w:rsidRPr="00625AD6">
        <w:rPr>
          <w:sz w:val="20"/>
        </w:rPr>
        <w:t>rule of law in South Sudan, and that a public dialogue about the legacy of violence in the country could help to dispel the fear result</w:t>
      </w:r>
      <w:r w:rsidR="006669A3" w:rsidRPr="00625AD6">
        <w:rPr>
          <w:sz w:val="20"/>
        </w:rPr>
        <w:t>ing</w:t>
      </w:r>
      <w:r w:rsidR="00644409" w:rsidRPr="00625AD6">
        <w:rPr>
          <w:sz w:val="20"/>
        </w:rPr>
        <w:t xml:space="preserve"> from decades of civil conflict.</w:t>
      </w:r>
      <w:proofErr w:type="gramEnd"/>
    </w:p>
    <w:p w:rsidR="00507944" w:rsidRPr="00625AD6" w:rsidRDefault="00625AD6" w:rsidP="00625AD6">
      <w:pPr>
        <w:pStyle w:val="SingleTxtG"/>
        <w:tabs>
          <w:tab w:val="left" w:pos="1701"/>
        </w:tabs>
        <w:rPr>
          <w:sz w:val="20"/>
        </w:rPr>
      </w:pPr>
      <w:r w:rsidRPr="00625AD6">
        <w:rPr>
          <w:sz w:val="20"/>
          <w:szCs w:val="20"/>
        </w:rPr>
        <w:t>67.</w:t>
      </w:r>
      <w:r w:rsidRPr="00625AD6">
        <w:rPr>
          <w:sz w:val="20"/>
          <w:szCs w:val="20"/>
        </w:rPr>
        <w:tab/>
      </w:r>
      <w:r w:rsidR="00644409" w:rsidRPr="00625AD6">
        <w:rPr>
          <w:sz w:val="20"/>
        </w:rPr>
        <w:t>National consultations in the context of South Sudan are critical for incorporating the views of victims</w:t>
      </w:r>
      <w:r w:rsidR="006669A3" w:rsidRPr="00625AD6">
        <w:rPr>
          <w:sz w:val="20"/>
        </w:rPr>
        <w:t>,</w:t>
      </w:r>
      <w:r w:rsidR="00644409" w:rsidRPr="00625AD6">
        <w:rPr>
          <w:sz w:val="20"/>
        </w:rPr>
        <w:t xml:space="preserve"> and are an intrinsic component of a holistic transitional justice framework. A major challenge for the people of South Sudan lies in whether national consultations </w:t>
      </w:r>
      <w:proofErr w:type="gramStart"/>
      <w:r w:rsidR="006669A3" w:rsidRPr="00625AD6">
        <w:rPr>
          <w:sz w:val="20"/>
        </w:rPr>
        <w:t>can be held</w:t>
      </w:r>
      <w:proofErr w:type="gramEnd"/>
      <w:r w:rsidR="006669A3" w:rsidRPr="00625AD6">
        <w:rPr>
          <w:sz w:val="20"/>
        </w:rPr>
        <w:t xml:space="preserve"> or </w:t>
      </w:r>
      <w:r w:rsidR="00644409" w:rsidRPr="00625AD6">
        <w:rPr>
          <w:sz w:val="20"/>
        </w:rPr>
        <w:t>any truth</w:t>
      </w:r>
      <w:r w:rsidR="006669A3" w:rsidRPr="00625AD6">
        <w:rPr>
          <w:sz w:val="20"/>
        </w:rPr>
        <w:t>-</w:t>
      </w:r>
      <w:r w:rsidR="00AA27FF" w:rsidRPr="00625AD6">
        <w:rPr>
          <w:sz w:val="20"/>
        </w:rPr>
        <w:t>seeking</w:t>
      </w:r>
      <w:r w:rsidR="00644409" w:rsidRPr="00625AD6">
        <w:rPr>
          <w:sz w:val="20"/>
        </w:rPr>
        <w:t xml:space="preserve"> process </w:t>
      </w:r>
      <w:r w:rsidR="006669A3" w:rsidRPr="00625AD6">
        <w:rPr>
          <w:sz w:val="20"/>
        </w:rPr>
        <w:t xml:space="preserve">implemented, </w:t>
      </w:r>
      <w:r w:rsidR="00644409" w:rsidRPr="00625AD6">
        <w:rPr>
          <w:sz w:val="20"/>
        </w:rPr>
        <w:t xml:space="preserve">given that the country is in the midst of an ethnic civil war. </w:t>
      </w:r>
    </w:p>
    <w:p w:rsidR="00507944" w:rsidRPr="00625AD6" w:rsidRDefault="00625AD6" w:rsidP="00625AD6">
      <w:pPr>
        <w:pStyle w:val="SingleTxtG"/>
        <w:tabs>
          <w:tab w:val="left" w:pos="1701"/>
        </w:tabs>
        <w:rPr>
          <w:sz w:val="20"/>
        </w:rPr>
      </w:pPr>
      <w:r w:rsidRPr="00625AD6">
        <w:rPr>
          <w:sz w:val="20"/>
          <w:szCs w:val="20"/>
        </w:rPr>
        <w:t>68.</w:t>
      </w:r>
      <w:r w:rsidRPr="00625AD6">
        <w:rPr>
          <w:sz w:val="20"/>
          <w:szCs w:val="20"/>
        </w:rPr>
        <w:tab/>
      </w:r>
      <w:r w:rsidR="00854B83" w:rsidRPr="00625AD6">
        <w:rPr>
          <w:sz w:val="20"/>
        </w:rPr>
        <w:t xml:space="preserve">The Minister </w:t>
      </w:r>
      <w:r w:rsidR="006669A3" w:rsidRPr="00625AD6">
        <w:rPr>
          <w:sz w:val="20"/>
        </w:rPr>
        <w:t>for</w:t>
      </w:r>
      <w:r w:rsidR="00854B83" w:rsidRPr="00625AD6">
        <w:rPr>
          <w:sz w:val="20"/>
        </w:rPr>
        <w:t xml:space="preserve"> Justice established a </w:t>
      </w:r>
      <w:r w:rsidR="006669A3" w:rsidRPr="00625AD6">
        <w:rPr>
          <w:sz w:val="20"/>
        </w:rPr>
        <w:t>t</w:t>
      </w:r>
      <w:r w:rsidR="00854B83" w:rsidRPr="00625AD6">
        <w:rPr>
          <w:sz w:val="20"/>
        </w:rPr>
        <w:t xml:space="preserve">echnical </w:t>
      </w:r>
      <w:r w:rsidR="006669A3" w:rsidRPr="00625AD6">
        <w:rPr>
          <w:sz w:val="20"/>
        </w:rPr>
        <w:t>c</w:t>
      </w:r>
      <w:r w:rsidR="00854B83" w:rsidRPr="00625AD6">
        <w:rPr>
          <w:sz w:val="20"/>
        </w:rPr>
        <w:t>ommittee</w:t>
      </w:r>
      <w:r w:rsidR="006669A3" w:rsidRPr="00625AD6">
        <w:rPr>
          <w:sz w:val="20"/>
        </w:rPr>
        <w:t>, comprising</w:t>
      </w:r>
      <w:r w:rsidR="00854B83" w:rsidRPr="00625AD6">
        <w:rPr>
          <w:sz w:val="20"/>
        </w:rPr>
        <w:t xml:space="preserve"> representatives of diverse sectors including government, civil society and the faith communities, </w:t>
      </w:r>
      <w:r w:rsidR="006669A3" w:rsidRPr="00625AD6">
        <w:rPr>
          <w:sz w:val="20"/>
        </w:rPr>
        <w:t xml:space="preserve">that </w:t>
      </w:r>
      <w:r w:rsidR="00854B83" w:rsidRPr="00625AD6">
        <w:rPr>
          <w:sz w:val="20"/>
        </w:rPr>
        <w:t xml:space="preserve">is responsible for the process of establishing the </w:t>
      </w:r>
      <w:r w:rsidR="006669A3" w:rsidRPr="00625AD6">
        <w:rPr>
          <w:sz w:val="20"/>
        </w:rPr>
        <w:t>commission for truth, reconciliation and healing</w:t>
      </w:r>
      <w:r w:rsidR="00854B83" w:rsidRPr="00625AD6">
        <w:rPr>
          <w:sz w:val="20"/>
        </w:rPr>
        <w:t>. Th</w:t>
      </w:r>
      <w:r w:rsidR="006669A3" w:rsidRPr="00625AD6">
        <w:rPr>
          <w:sz w:val="20"/>
        </w:rPr>
        <w:t>e</w:t>
      </w:r>
      <w:r w:rsidR="00854B83" w:rsidRPr="00625AD6">
        <w:rPr>
          <w:sz w:val="20"/>
        </w:rPr>
        <w:t xml:space="preserve"> </w:t>
      </w:r>
      <w:r w:rsidR="006669A3" w:rsidRPr="00625AD6">
        <w:rPr>
          <w:sz w:val="20"/>
        </w:rPr>
        <w:t>c</w:t>
      </w:r>
      <w:r w:rsidR="00854B83" w:rsidRPr="00625AD6">
        <w:rPr>
          <w:sz w:val="20"/>
        </w:rPr>
        <w:t>ommittee</w:t>
      </w:r>
      <w:r w:rsidR="006669A3" w:rsidRPr="00625AD6">
        <w:rPr>
          <w:sz w:val="20"/>
        </w:rPr>
        <w:t>,</w:t>
      </w:r>
      <w:r w:rsidR="00854B83" w:rsidRPr="00625AD6">
        <w:rPr>
          <w:sz w:val="20"/>
        </w:rPr>
        <w:t xml:space="preserve"> launched by the First Vice</w:t>
      </w:r>
      <w:r w:rsidR="006669A3" w:rsidRPr="00625AD6">
        <w:rPr>
          <w:sz w:val="20"/>
        </w:rPr>
        <w:t>-</w:t>
      </w:r>
      <w:r w:rsidR="00854B83" w:rsidRPr="00625AD6">
        <w:rPr>
          <w:sz w:val="20"/>
        </w:rPr>
        <w:t xml:space="preserve">President on 15 December 2016, </w:t>
      </w:r>
      <w:r w:rsidR="006669A3" w:rsidRPr="00625AD6">
        <w:rPr>
          <w:sz w:val="20"/>
        </w:rPr>
        <w:t xml:space="preserve">had </w:t>
      </w:r>
      <w:r w:rsidR="00854B83" w:rsidRPr="00625AD6">
        <w:rPr>
          <w:sz w:val="20"/>
        </w:rPr>
        <w:t xml:space="preserve">the goal of hosting national consultations between February and March 2017 </w:t>
      </w:r>
      <w:r w:rsidR="00995149">
        <w:rPr>
          <w:sz w:val="20"/>
        </w:rPr>
        <w:t>to</w:t>
      </w:r>
      <w:r w:rsidR="00854B83" w:rsidRPr="00625AD6">
        <w:rPr>
          <w:sz w:val="20"/>
        </w:rPr>
        <w:t xml:space="preserve"> produc</w:t>
      </w:r>
      <w:r w:rsidR="00995149">
        <w:rPr>
          <w:sz w:val="20"/>
        </w:rPr>
        <w:t>e</w:t>
      </w:r>
      <w:r w:rsidR="00854B83" w:rsidRPr="00625AD6">
        <w:rPr>
          <w:sz w:val="20"/>
        </w:rPr>
        <w:t xml:space="preserve"> draft legislation </w:t>
      </w:r>
      <w:r w:rsidR="006669A3" w:rsidRPr="00625AD6">
        <w:rPr>
          <w:sz w:val="20"/>
        </w:rPr>
        <w:t>by</w:t>
      </w:r>
      <w:r w:rsidR="00854B83" w:rsidRPr="00625AD6">
        <w:rPr>
          <w:sz w:val="20"/>
        </w:rPr>
        <w:t xml:space="preserve"> April/May 2017. </w:t>
      </w:r>
    </w:p>
    <w:p w:rsidR="00507944" w:rsidRPr="00625AD6" w:rsidRDefault="00625AD6" w:rsidP="00625AD6">
      <w:pPr>
        <w:pStyle w:val="SingleTxtG"/>
        <w:tabs>
          <w:tab w:val="left" w:pos="1701"/>
        </w:tabs>
      </w:pPr>
      <w:r w:rsidRPr="00625AD6">
        <w:rPr>
          <w:sz w:val="20"/>
          <w:szCs w:val="20"/>
        </w:rPr>
        <w:t>69.</w:t>
      </w:r>
      <w:r w:rsidRPr="00625AD6">
        <w:rPr>
          <w:sz w:val="20"/>
          <w:szCs w:val="20"/>
        </w:rPr>
        <w:tab/>
      </w:r>
      <w:r w:rsidR="00644409" w:rsidRPr="00625AD6">
        <w:rPr>
          <w:sz w:val="20"/>
        </w:rPr>
        <w:t xml:space="preserve">While the establishment of the </w:t>
      </w:r>
      <w:r w:rsidR="006669A3" w:rsidRPr="00625AD6">
        <w:rPr>
          <w:sz w:val="20"/>
        </w:rPr>
        <w:t>t</w:t>
      </w:r>
      <w:r w:rsidR="00644409" w:rsidRPr="00625AD6">
        <w:rPr>
          <w:sz w:val="20"/>
        </w:rPr>
        <w:t xml:space="preserve">echnical </w:t>
      </w:r>
      <w:r w:rsidR="006669A3" w:rsidRPr="00625AD6">
        <w:rPr>
          <w:sz w:val="20"/>
        </w:rPr>
        <w:t>c</w:t>
      </w:r>
      <w:r w:rsidR="00644409" w:rsidRPr="00625AD6">
        <w:rPr>
          <w:sz w:val="20"/>
        </w:rPr>
        <w:t xml:space="preserve">ommittee is a major step forward, the Commission </w:t>
      </w:r>
      <w:proofErr w:type="gramStart"/>
      <w:r w:rsidR="00644409" w:rsidRPr="00625AD6">
        <w:rPr>
          <w:sz w:val="20"/>
        </w:rPr>
        <w:t xml:space="preserve">was </w:t>
      </w:r>
      <w:r w:rsidR="00C312F9" w:rsidRPr="00625AD6">
        <w:rPr>
          <w:sz w:val="20"/>
        </w:rPr>
        <w:t>informed</w:t>
      </w:r>
      <w:proofErr w:type="gramEnd"/>
      <w:r w:rsidR="00C312F9" w:rsidRPr="00625AD6">
        <w:rPr>
          <w:sz w:val="20"/>
        </w:rPr>
        <w:t xml:space="preserve"> </w:t>
      </w:r>
      <w:r w:rsidR="00644409" w:rsidRPr="00625AD6">
        <w:rPr>
          <w:sz w:val="20"/>
        </w:rPr>
        <w:t>that victims and victim communities are not adequately represented</w:t>
      </w:r>
      <w:r w:rsidR="006669A3" w:rsidRPr="00625AD6">
        <w:rPr>
          <w:sz w:val="20"/>
        </w:rPr>
        <w:t xml:space="preserve"> in it</w:t>
      </w:r>
      <w:r w:rsidR="00644409" w:rsidRPr="00625AD6">
        <w:rPr>
          <w:sz w:val="20"/>
        </w:rPr>
        <w:t xml:space="preserve">. In a </w:t>
      </w:r>
      <w:proofErr w:type="gramStart"/>
      <w:r w:rsidR="00644409" w:rsidRPr="00625AD6">
        <w:rPr>
          <w:sz w:val="20"/>
        </w:rPr>
        <w:t>country</w:t>
      </w:r>
      <w:proofErr w:type="gramEnd"/>
      <w:r w:rsidR="00644409" w:rsidRPr="00625AD6">
        <w:rPr>
          <w:sz w:val="20"/>
        </w:rPr>
        <w:t xml:space="preserve"> that has </w:t>
      </w:r>
      <w:r w:rsidR="006669A3" w:rsidRPr="00625AD6">
        <w:rPr>
          <w:sz w:val="20"/>
        </w:rPr>
        <w:t>endured</w:t>
      </w:r>
      <w:r w:rsidR="00644409" w:rsidRPr="00625AD6">
        <w:rPr>
          <w:sz w:val="20"/>
        </w:rPr>
        <w:t xml:space="preserve"> conflict </w:t>
      </w:r>
      <w:r w:rsidR="006669A3" w:rsidRPr="00625AD6">
        <w:rPr>
          <w:sz w:val="20"/>
        </w:rPr>
        <w:t>for</w:t>
      </w:r>
      <w:r w:rsidR="00644409" w:rsidRPr="00625AD6">
        <w:rPr>
          <w:sz w:val="20"/>
        </w:rPr>
        <w:t xml:space="preserve"> decades, the very notion of who is </w:t>
      </w:r>
      <w:r w:rsidR="006669A3" w:rsidRPr="00625AD6">
        <w:rPr>
          <w:sz w:val="20"/>
        </w:rPr>
        <w:t xml:space="preserve">to be </w:t>
      </w:r>
      <w:r w:rsidR="00644409" w:rsidRPr="00625AD6">
        <w:rPr>
          <w:sz w:val="20"/>
        </w:rPr>
        <w:t xml:space="preserve">considered a “victim” is </w:t>
      </w:r>
      <w:r w:rsidR="006669A3" w:rsidRPr="00625AD6">
        <w:rPr>
          <w:sz w:val="20"/>
        </w:rPr>
        <w:t>hotly disputed</w:t>
      </w:r>
      <w:r w:rsidR="00644409" w:rsidRPr="00625AD6">
        <w:rPr>
          <w:sz w:val="20"/>
        </w:rPr>
        <w:t xml:space="preserve">. The </w:t>
      </w:r>
      <w:r w:rsidR="006669A3" w:rsidRPr="00625AD6">
        <w:rPr>
          <w:sz w:val="20"/>
        </w:rPr>
        <w:t>c</w:t>
      </w:r>
      <w:r w:rsidR="00644409" w:rsidRPr="00625AD6">
        <w:rPr>
          <w:sz w:val="20"/>
        </w:rPr>
        <w:t xml:space="preserve">ommittee must </w:t>
      </w:r>
      <w:r w:rsidR="006669A3" w:rsidRPr="00625AD6">
        <w:rPr>
          <w:sz w:val="20"/>
        </w:rPr>
        <w:t xml:space="preserve">therefore </w:t>
      </w:r>
      <w:r w:rsidR="00644409" w:rsidRPr="00625AD6">
        <w:rPr>
          <w:sz w:val="20"/>
        </w:rPr>
        <w:t xml:space="preserve">be inclusive of all </w:t>
      </w:r>
      <w:r w:rsidR="006669A3" w:rsidRPr="00625AD6">
        <w:rPr>
          <w:sz w:val="20"/>
        </w:rPr>
        <w:t xml:space="preserve">those </w:t>
      </w:r>
      <w:r w:rsidR="00644409" w:rsidRPr="00625AD6">
        <w:rPr>
          <w:sz w:val="20"/>
        </w:rPr>
        <w:t>who have suffered.</w:t>
      </w:r>
      <w:r w:rsidR="00644409" w:rsidRPr="00625AD6">
        <w:t xml:space="preserve"> </w:t>
      </w:r>
    </w:p>
    <w:p w:rsidR="00507944" w:rsidRPr="00625AD6" w:rsidRDefault="00625AD6" w:rsidP="00625AD6">
      <w:pPr>
        <w:pStyle w:val="H1G"/>
      </w:pPr>
      <w:bookmarkStart w:id="207" w:name="_Toc474703328"/>
      <w:bookmarkStart w:id="208" w:name="_Toc474703402"/>
      <w:bookmarkStart w:id="209" w:name="_Toc474703476"/>
      <w:bookmarkStart w:id="210" w:name="_Toc474703547"/>
      <w:bookmarkStart w:id="211" w:name="_Toc474703968"/>
      <w:bookmarkStart w:id="212" w:name="_Toc474703329"/>
      <w:bookmarkStart w:id="213" w:name="_Toc474703403"/>
      <w:bookmarkStart w:id="214" w:name="_Toc474703477"/>
      <w:bookmarkStart w:id="215" w:name="_Toc474703548"/>
      <w:bookmarkStart w:id="216" w:name="_Toc474703969"/>
      <w:bookmarkStart w:id="217" w:name="_Toc474703330"/>
      <w:bookmarkStart w:id="218" w:name="_Toc474703404"/>
      <w:bookmarkStart w:id="219" w:name="_Toc474703478"/>
      <w:bookmarkStart w:id="220" w:name="_Toc474703549"/>
      <w:bookmarkStart w:id="221" w:name="_Toc474703970"/>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625AD6">
        <w:tab/>
        <w:t>C.</w:t>
      </w:r>
      <w:r w:rsidRPr="00625AD6">
        <w:tab/>
      </w:r>
      <w:r w:rsidR="00644409" w:rsidRPr="00625AD6">
        <w:t xml:space="preserve">Compensation and </w:t>
      </w:r>
      <w:r w:rsidR="001E636B" w:rsidRPr="00625AD6">
        <w:t>r</w:t>
      </w:r>
      <w:r w:rsidR="00644409" w:rsidRPr="00625AD6">
        <w:t xml:space="preserve">eparations </w:t>
      </w:r>
      <w:r w:rsidR="001E636B" w:rsidRPr="00625AD6">
        <w:t>a</w:t>
      </w:r>
      <w:r w:rsidR="00644409" w:rsidRPr="00625AD6">
        <w:t>uthority</w:t>
      </w:r>
    </w:p>
    <w:p w:rsidR="00507944" w:rsidRPr="00625AD6" w:rsidRDefault="00625AD6" w:rsidP="00625AD6">
      <w:pPr>
        <w:pStyle w:val="SingleTxtG"/>
        <w:tabs>
          <w:tab w:val="left" w:pos="1701"/>
        </w:tabs>
        <w:rPr>
          <w:sz w:val="20"/>
        </w:rPr>
      </w:pPr>
      <w:r w:rsidRPr="00625AD6">
        <w:rPr>
          <w:sz w:val="20"/>
          <w:szCs w:val="20"/>
        </w:rPr>
        <w:t>70.</w:t>
      </w:r>
      <w:r w:rsidRPr="00625AD6">
        <w:rPr>
          <w:sz w:val="20"/>
          <w:szCs w:val="20"/>
        </w:rPr>
        <w:tab/>
      </w:r>
      <w:r w:rsidR="00644409" w:rsidRPr="00625AD6">
        <w:rPr>
          <w:sz w:val="20"/>
        </w:rPr>
        <w:t xml:space="preserve">Chapter V of the </w:t>
      </w:r>
      <w:r w:rsidR="006669A3" w:rsidRPr="00625AD6">
        <w:rPr>
          <w:sz w:val="20"/>
          <w:szCs w:val="20"/>
        </w:rPr>
        <w:t>Agreement on the Resolution of the Conflict in the Republic of South Sudan</w:t>
      </w:r>
      <w:r w:rsidR="006669A3" w:rsidRPr="00625AD6" w:rsidDel="006669A3">
        <w:rPr>
          <w:sz w:val="20"/>
          <w:szCs w:val="20"/>
        </w:rPr>
        <w:t xml:space="preserve"> </w:t>
      </w:r>
      <w:r w:rsidR="00644409" w:rsidRPr="00625AD6">
        <w:rPr>
          <w:sz w:val="20"/>
        </w:rPr>
        <w:t xml:space="preserve">also proposes the establishment of a </w:t>
      </w:r>
      <w:r w:rsidR="006669A3" w:rsidRPr="00625AD6">
        <w:rPr>
          <w:sz w:val="20"/>
        </w:rPr>
        <w:t>c</w:t>
      </w:r>
      <w:r w:rsidR="00644409" w:rsidRPr="00625AD6">
        <w:rPr>
          <w:sz w:val="20"/>
        </w:rPr>
        <w:t xml:space="preserve">ompensation and </w:t>
      </w:r>
      <w:r w:rsidR="006669A3" w:rsidRPr="00625AD6">
        <w:rPr>
          <w:sz w:val="20"/>
        </w:rPr>
        <w:t>r</w:t>
      </w:r>
      <w:r w:rsidR="00644409" w:rsidRPr="00625AD6">
        <w:rPr>
          <w:sz w:val="20"/>
        </w:rPr>
        <w:t xml:space="preserve">eparations </w:t>
      </w:r>
      <w:r w:rsidR="006669A3" w:rsidRPr="00625AD6">
        <w:rPr>
          <w:sz w:val="20"/>
        </w:rPr>
        <w:t>a</w:t>
      </w:r>
      <w:r w:rsidR="00644409" w:rsidRPr="00625AD6">
        <w:rPr>
          <w:sz w:val="20"/>
        </w:rPr>
        <w:t xml:space="preserve">uthority. Given the nature and scope of the conflict in South Sudan, </w:t>
      </w:r>
      <w:r w:rsidR="006669A3" w:rsidRPr="00625AD6">
        <w:rPr>
          <w:sz w:val="20"/>
        </w:rPr>
        <w:t xml:space="preserve">the issues of </w:t>
      </w:r>
      <w:r w:rsidR="00644409" w:rsidRPr="00625AD6">
        <w:rPr>
          <w:sz w:val="20"/>
        </w:rPr>
        <w:t>reparations and compensation are critical</w:t>
      </w:r>
      <w:r w:rsidR="006669A3" w:rsidRPr="00625AD6">
        <w:rPr>
          <w:sz w:val="20"/>
        </w:rPr>
        <w:t>, given that the conflict has displaced</w:t>
      </w:r>
      <w:r w:rsidR="00644409" w:rsidRPr="00625AD6">
        <w:rPr>
          <w:sz w:val="20"/>
        </w:rPr>
        <w:t xml:space="preserve"> millions of South Sudanese and </w:t>
      </w:r>
      <w:r w:rsidR="004E00E3" w:rsidRPr="00625AD6">
        <w:rPr>
          <w:sz w:val="20"/>
        </w:rPr>
        <w:t xml:space="preserve">left many </w:t>
      </w:r>
      <w:r w:rsidR="00644409" w:rsidRPr="00625AD6">
        <w:rPr>
          <w:sz w:val="20"/>
        </w:rPr>
        <w:t xml:space="preserve">without </w:t>
      </w:r>
      <w:r w:rsidR="004E00E3" w:rsidRPr="00625AD6">
        <w:rPr>
          <w:sz w:val="20"/>
        </w:rPr>
        <w:t xml:space="preserve">a </w:t>
      </w:r>
      <w:r w:rsidR="00644409" w:rsidRPr="00625AD6">
        <w:rPr>
          <w:sz w:val="20"/>
        </w:rPr>
        <w:t>livelihood. In this context, reparations and compensation will need to focus on both material and non-material elements, includ</w:t>
      </w:r>
      <w:r w:rsidR="004E00E3" w:rsidRPr="00625AD6">
        <w:rPr>
          <w:sz w:val="20"/>
        </w:rPr>
        <w:t>ing</w:t>
      </w:r>
      <w:r w:rsidR="00644409" w:rsidRPr="00625AD6">
        <w:rPr>
          <w:sz w:val="20"/>
        </w:rPr>
        <w:t xml:space="preserve"> restitution, compensation, rehabilitation and guarantees of non-repetition. </w:t>
      </w:r>
      <w:r w:rsidR="004E00E3" w:rsidRPr="00625AD6">
        <w:rPr>
          <w:sz w:val="20"/>
        </w:rPr>
        <w:t>According to t</w:t>
      </w:r>
      <w:r w:rsidR="00644409" w:rsidRPr="00625AD6">
        <w:rPr>
          <w:sz w:val="20"/>
        </w:rPr>
        <w:t xml:space="preserve">he </w:t>
      </w:r>
      <w:r w:rsidR="004E00E3" w:rsidRPr="00625AD6">
        <w:rPr>
          <w:sz w:val="20"/>
        </w:rPr>
        <w:t>peace agreement,</w:t>
      </w:r>
      <w:r w:rsidR="00644409" w:rsidRPr="00625AD6">
        <w:rPr>
          <w:sz w:val="20"/>
        </w:rPr>
        <w:t xml:space="preserve"> the new </w:t>
      </w:r>
      <w:r w:rsidR="004E00E3" w:rsidRPr="00625AD6">
        <w:rPr>
          <w:sz w:val="20"/>
        </w:rPr>
        <w:t>c</w:t>
      </w:r>
      <w:r w:rsidR="00644409" w:rsidRPr="00625AD6">
        <w:rPr>
          <w:sz w:val="20"/>
        </w:rPr>
        <w:t xml:space="preserve">ompensation and </w:t>
      </w:r>
      <w:r w:rsidR="004E00E3" w:rsidRPr="00625AD6">
        <w:rPr>
          <w:sz w:val="20"/>
        </w:rPr>
        <w:t>r</w:t>
      </w:r>
      <w:r w:rsidR="00644409" w:rsidRPr="00625AD6">
        <w:rPr>
          <w:sz w:val="20"/>
        </w:rPr>
        <w:t xml:space="preserve">eparation </w:t>
      </w:r>
      <w:r w:rsidR="004E00E3" w:rsidRPr="00625AD6">
        <w:rPr>
          <w:sz w:val="20"/>
        </w:rPr>
        <w:t>a</w:t>
      </w:r>
      <w:r w:rsidR="00644409" w:rsidRPr="00625AD6">
        <w:rPr>
          <w:sz w:val="20"/>
        </w:rPr>
        <w:t>uthority “shall provide material and financial support to citizens whose property was destroyed by the conflict”. Surprisingly</w:t>
      </w:r>
      <w:r w:rsidR="00730709" w:rsidRPr="00625AD6">
        <w:rPr>
          <w:sz w:val="20"/>
        </w:rPr>
        <w:t>,</w:t>
      </w:r>
      <w:r w:rsidR="00644409" w:rsidRPr="00625AD6">
        <w:rPr>
          <w:sz w:val="20"/>
        </w:rPr>
        <w:t xml:space="preserve"> no mention is made of compensation for the loss of human lives or </w:t>
      </w:r>
      <w:r w:rsidR="00730709" w:rsidRPr="00625AD6">
        <w:rPr>
          <w:sz w:val="20"/>
        </w:rPr>
        <w:t xml:space="preserve">of </w:t>
      </w:r>
      <w:r w:rsidR="00644409" w:rsidRPr="00625AD6">
        <w:rPr>
          <w:sz w:val="20"/>
        </w:rPr>
        <w:t xml:space="preserve">compensation to </w:t>
      </w:r>
      <w:r w:rsidR="00730709" w:rsidRPr="00625AD6">
        <w:rPr>
          <w:sz w:val="20"/>
        </w:rPr>
        <w:t xml:space="preserve">which </w:t>
      </w:r>
      <w:r w:rsidR="00644409" w:rsidRPr="00625AD6">
        <w:rPr>
          <w:sz w:val="20"/>
        </w:rPr>
        <w:t>orphans and widows of victims of massacres or targeted killings</w:t>
      </w:r>
      <w:r w:rsidR="00730709" w:rsidRPr="00625AD6">
        <w:rPr>
          <w:sz w:val="20"/>
        </w:rPr>
        <w:t xml:space="preserve"> would be entitled</w:t>
      </w:r>
      <w:r w:rsidR="00644409" w:rsidRPr="00625AD6">
        <w:rPr>
          <w:sz w:val="20"/>
        </w:rPr>
        <w:t>. The payment of compensation to murder victims is customary in some South Sudanese cultures.</w:t>
      </w:r>
    </w:p>
    <w:p w:rsidR="00507944" w:rsidRPr="00625AD6" w:rsidRDefault="00625AD6" w:rsidP="00625AD6">
      <w:pPr>
        <w:pStyle w:val="SingleTxtG"/>
        <w:tabs>
          <w:tab w:val="left" w:pos="1701"/>
        </w:tabs>
        <w:rPr>
          <w:sz w:val="20"/>
        </w:rPr>
      </w:pPr>
      <w:r w:rsidRPr="00625AD6">
        <w:rPr>
          <w:sz w:val="20"/>
          <w:szCs w:val="20"/>
        </w:rPr>
        <w:t>71.</w:t>
      </w:r>
      <w:r w:rsidRPr="00625AD6">
        <w:rPr>
          <w:sz w:val="20"/>
          <w:szCs w:val="20"/>
        </w:rPr>
        <w:tab/>
      </w:r>
      <w:r w:rsidR="00644409" w:rsidRPr="00625AD6">
        <w:rPr>
          <w:sz w:val="20"/>
        </w:rPr>
        <w:t xml:space="preserve">The establishment of the </w:t>
      </w:r>
      <w:r w:rsidR="00730709" w:rsidRPr="00625AD6">
        <w:rPr>
          <w:sz w:val="20"/>
        </w:rPr>
        <w:t>compensation and reparations authority</w:t>
      </w:r>
      <w:r w:rsidR="00644409" w:rsidRPr="00625AD6">
        <w:rPr>
          <w:sz w:val="20"/>
        </w:rPr>
        <w:t xml:space="preserve"> </w:t>
      </w:r>
      <w:proofErr w:type="gramStart"/>
      <w:r w:rsidR="00644409" w:rsidRPr="00625AD6">
        <w:rPr>
          <w:sz w:val="20"/>
        </w:rPr>
        <w:t>has been hampered</w:t>
      </w:r>
      <w:proofErr w:type="gramEnd"/>
      <w:r w:rsidR="00644409" w:rsidRPr="00625AD6">
        <w:rPr>
          <w:sz w:val="20"/>
        </w:rPr>
        <w:t xml:space="preserve"> by </w:t>
      </w:r>
      <w:r w:rsidR="00730709" w:rsidRPr="00625AD6">
        <w:rPr>
          <w:sz w:val="20"/>
        </w:rPr>
        <w:t xml:space="preserve">the </w:t>
      </w:r>
      <w:r w:rsidR="00644409" w:rsidRPr="00625AD6">
        <w:rPr>
          <w:sz w:val="20"/>
        </w:rPr>
        <w:t>lack of political will of the Government</w:t>
      </w:r>
      <w:r w:rsidR="00730709" w:rsidRPr="00625AD6">
        <w:rPr>
          <w:sz w:val="20"/>
        </w:rPr>
        <w:t xml:space="preserve"> of South Sudan</w:t>
      </w:r>
      <w:r w:rsidR="00644409" w:rsidRPr="00625AD6">
        <w:rPr>
          <w:sz w:val="20"/>
        </w:rPr>
        <w:t xml:space="preserve">. </w:t>
      </w:r>
      <w:r w:rsidR="00730709" w:rsidRPr="00625AD6">
        <w:rPr>
          <w:sz w:val="20"/>
        </w:rPr>
        <w:t>A</w:t>
      </w:r>
      <w:r w:rsidR="00644409" w:rsidRPr="00625AD6">
        <w:rPr>
          <w:sz w:val="20"/>
        </w:rPr>
        <w:t xml:space="preserve">t the time of the signing the </w:t>
      </w:r>
      <w:r w:rsidR="00730709" w:rsidRPr="00625AD6">
        <w:rPr>
          <w:sz w:val="20"/>
          <w:szCs w:val="20"/>
        </w:rPr>
        <w:t>Agreement on the Resolution of the Conflict in the Republic of South Sudan</w:t>
      </w:r>
      <w:r w:rsidR="00644409" w:rsidRPr="00625AD6">
        <w:rPr>
          <w:sz w:val="20"/>
        </w:rPr>
        <w:t xml:space="preserve">, </w:t>
      </w:r>
      <w:r w:rsidR="00730709" w:rsidRPr="00625AD6">
        <w:rPr>
          <w:sz w:val="20"/>
        </w:rPr>
        <w:t xml:space="preserve">President Kiir </w:t>
      </w:r>
      <w:r w:rsidR="00644409" w:rsidRPr="00625AD6">
        <w:rPr>
          <w:sz w:val="20"/>
        </w:rPr>
        <w:t xml:space="preserve">expressed </w:t>
      </w:r>
      <w:r w:rsidR="00730709" w:rsidRPr="00625AD6">
        <w:rPr>
          <w:sz w:val="20"/>
        </w:rPr>
        <w:t xml:space="preserve">his </w:t>
      </w:r>
      <w:r w:rsidR="00644409" w:rsidRPr="00625AD6">
        <w:rPr>
          <w:sz w:val="20"/>
        </w:rPr>
        <w:t xml:space="preserve">reservations about the establishment of </w:t>
      </w:r>
      <w:r w:rsidR="00730709" w:rsidRPr="00625AD6">
        <w:rPr>
          <w:sz w:val="20"/>
        </w:rPr>
        <w:t>the</w:t>
      </w:r>
      <w:r w:rsidR="00644409" w:rsidRPr="00625AD6">
        <w:rPr>
          <w:sz w:val="20"/>
        </w:rPr>
        <w:t xml:space="preserve"> body</w:t>
      </w:r>
      <w:r w:rsidR="00730709" w:rsidRPr="00625AD6">
        <w:rPr>
          <w:sz w:val="20"/>
        </w:rPr>
        <w:t>,</w:t>
      </w:r>
      <w:r w:rsidR="00644409" w:rsidRPr="00625AD6">
        <w:rPr>
          <w:sz w:val="20"/>
        </w:rPr>
        <w:t xml:space="preserve"> and argued that funds </w:t>
      </w:r>
      <w:proofErr w:type="gramStart"/>
      <w:r w:rsidR="00644409" w:rsidRPr="00625AD6">
        <w:rPr>
          <w:sz w:val="20"/>
        </w:rPr>
        <w:t xml:space="preserve">should be </w:t>
      </w:r>
      <w:r w:rsidR="00730709" w:rsidRPr="00625AD6">
        <w:rPr>
          <w:sz w:val="20"/>
        </w:rPr>
        <w:t xml:space="preserve">instead </w:t>
      </w:r>
      <w:r w:rsidR="00644409" w:rsidRPr="00625AD6">
        <w:rPr>
          <w:sz w:val="20"/>
        </w:rPr>
        <w:t>channelled</w:t>
      </w:r>
      <w:proofErr w:type="gramEnd"/>
      <w:r w:rsidR="00644409" w:rsidRPr="00625AD6">
        <w:rPr>
          <w:sz w:val="20"/>
        </w:rPr>
        <w:t xml:space="preserve"> into “the reconstruction of infrastructure and </w:t>
      </w:r>
      <w:r w:rsidR="00730709" w:rsidRPr="00625AD6">
        <w:rPr>
          <w:sz w:val="20"/>
        </w:rPr>
        <w:t xml:space="preserve">the </w:t>
      </w:r>
      <w:r w:rsidR="00644409" w:rsidRPr="00625AD6">
        <w:rPr>
          <w:sz w:val="20"/>
        </w:rPr>
        <w:t xml:space="preserve">rebuilding of livelihoods of communities in the </w:t>
      </w:r>
      <w:r w:rsidR="00730709" w:rsidRPr="00625AD6">
        <w:rPr>
          <w:sz w:val="20"/>
        </w:rPr>
        <w:t>S</w:t>
      </w:r>
      <w:r w:rsidR="00644409" w:rsidRPr="00625AD6">
        <w:rPr>
          <w:sz w:val="20"/>
        </w:rPr>
        <w:t xml:space="preserve">tates most affected by the conflict”. Many </w:t>
      </w:r>
      <w:r w:rsidR="00730709" w:rsidRPr="00625AD6">
        <w:rPr>
          <w:sz w:val="20"/>
        </w:rPr>
        <w:t>G</w:t>
      </w:r>
      <w:r w:rsidR="00644409" w:rsidRPr="00625AD6">
        <w:rPr>
          <w:sz w:val="20"/>
        </w:rPr>
        <w:t>overnments argue that</w:t>
      </w:r>
      <w:r w:rsidR="00BE5FB1" w:rsidRPr="00625AD6">
        <w:rPr>
          <w:sz w:val="20"/>
        </w:rPr>
        <w:t>,</w:t>
      </w:r>
      <w:r w:rsidR="00644409" w:rsidRPr="00625AD6">
        <w:rPr>
          <w:sz w:val="20"/>
        </w:rPr>
        <w:t xml:space="preserve"> instead of paying for reparations and compensation, </w:t>
      </w:r>
      <w:r w:rsidR="00BE5FB1" w:rsidRPr="00625AD6">
        <w:rPr>
          <w:sz w:val="20"/>
        </w:rPr>
        <w:t xml:space="preserve">funds </w:t>
      </w:r>
      <w:proofErr w:type="gramStart"/>
      <w:r w:rsidR="00644409" w:rsidRPr="00625AD6">
        <w:rPr>
          <w:sz w:val="20"/>
        </w:rPr>
        <w:t>should be invest</w:t>
      </w:r>
      <w:r w:rsidR="00BE5FB1" w:rsidRPr="00625AD6">
        <w:rPr>
          <w:sz w:val="20"/>
        </w:rPr>
        <w:t>ed</w:t>
      </w:r>
      <w:proofErr w:type="gramEnd"/>
      <w:r w:rsidR="00644409" w:rsidRPr="00625AD6">
        <w:rPr>
          <w:sz w:val="20"/>
        </w:rPr>
        <w:t xml:space="preserve"> in development and infrastructure. </w:t>
      </w:r>
      <w:r w:rsidR="00BE5FB1" w:rsidRPr="00625AD6">
        <w:rPr>
          <w:sz w:val="20"/>
        </w:rPr>
        <w:t>In t</w:t>
      </w:r>
      <w:r w:rsidR="00C312F9" w:rsidRPr="00625AD6">
        <w:rPr>
          <w:sz w:val="20"/>
        </w:rPr>
        <w:t xml:space="preserve">he </w:t>
      </w:r>
      <w:r w:rsidR="00BE5FB1" w:rsidRPr="00625AD6">
        <w:rPr>
          <w:sz w:val="20"/>
        </w:rPr>
        <w:t xml:space="preserve">view of the </w:t>
      </w:r>
      <w:r w:rsidR="00C312F9" w:rsidRPr="00625AD6">
        <w:rPr>
          <w:sz w:val="20"/>
        </w:rPr>
        <w:t>Commission</w:t>
      </w:r>
      <w:r w:rsidR="00BE5FB1" w:rsidRPr="00625AD6">
        <w:rPr>
          <w:sz w:val="20"/>
        </w:rPr>
        <w:t>,</w:t>
      </w:r>
      <w:r w:rsidR="00C312F9" w:rsidRPr="00625AD6">
        <w:rPr>
          <w:sz w:val="20"/>
        </w:rPr>
        <w:t xml:space="preserve"> t</w:t>
      </w:r>
      <w:r w:rsidR="00644409" w:rsidRPr="00625AD6">
        <w:rPr>
          <w:sz w:val="20"/>
        </w:rPr>
        <w:t xml:space="preserve">his should never be an </w:t>
      </w:r>
      <w:r w:rsidR="00BE5FB1" w:rsidRPr="00625AD6">
        <w:rPr>
          <w:sz w:val="20"/>
        </w:rPr>
        <w:t>“</w:t>
      </w:r>
      <w:r w:rsidR="00644409" w:rsidRPr="00625AD6">
        <w:rPr>
          <w:sz w:val="20"/>
        </w:rPr>
        <w:t>either or</w:t>
      </w:r>
      <w:r w:rsidR="00BE5FB1" w:rsidRPr="00625AD6">
        <w:rPr>
          <w:sz w:val="20"/>
        </w:rPr>
        <w:t>”</w:t>
      </w:r>
      <w:r w:rsidR="00644409" w:rsidRPr="00625AD6">
        <w:rPr>
          <w:sz w:val="20"/>
        </w:rPr>
        <w:t xml:space="preserve"> situation, </w:t>
      </w:r>
      <w:r w:rsidR="00BE5FB1" w:rsidRPr="00625AD6">
        <w:rPr>
          <w:sz w:val="20"/>
        </w:rPr>
        <w:t>given that</w:t>
      </w:r>
      <w:r w:rsidR="00644409" w:rsidRPr="00625AD6">
        <w:rPr>
          <w:sz w:val="20"/>
        </w:rPr>
        <w:t xml:space="preserve"> every citizen is entitle</w:t>
      </w:r>
      <w:r w:rsidR="00C312F9" w:rsidRPr="00625AD6">
        <w:rPr>
          <w:sz w:val="20"/>
        </w:rPr>
        <w:t>d</w:t>
      </w:r>
      <w:r w:rsidR="00644409" w:rsidRPr="00625AD6">
        <w:rPr>
          <w:sz w:val="20"/>
        </w:rPr>
        <w:t xml:space="preserve"> to benefit from development funds. </w:t>
      </w:r>
      <w:r w:rsidR="00C312F9" w:rsidRPr="00625AD6">
        <w:rPr>
          <w:sz w:val="20"/>
        </w:rPr>
        <w:t>It</w:t>
      </w:r>
      <w:r w:rsidR="00E40AB2" w:rsidRPr="00625AD6">
        <w:rPr>
          <w:sz w:val="20"/>
        </w:rPr>
        <w:t xml:space="preserve"> </w:t>
      </w:r>
      <w:proofErr w:type="gramStart"/>
      <w:r w:rsidR="00E40AB2" w:rsidRPr="00625AD6">
        <w:rPr>
          <w:sz w:val="20"/>
        </w:rPr>
        <w:t>i</w:t>
      </w:r>
      <w:r w:rsidR="00C312F9" w:rsidRPr="00625AD6">
        <w:rPr>
          <w:sz w:val="20"/>
        </w:rPr>
        <w:t>s well established</w:t>
      </w:r>
      <w:proofErr w:type="gramEnd"/>
      <w:r w:rsidR="00C312F9" w:rsidRPr="00625AD6">
        <w:rPr>
          <w:sz w:val="20"/>
        </w:rPr>
        <w:t xml:space="preserve"> internationally that r</w:t>
      </w:r>
      <w:r w:rsidR="00644409" w:rsidRPr="00625AD6">
        <w:rPr>
          <w:sz w:val="20"/>
        </w:rPr>
        <w:t>eparations are an acknowledgement and recognition of the wrongdoin</w:t>
      </w:r>
      <w:r w:rsidR="00E54F5D" w:rsidRPr="00625AD6">
        <w:rPr>
          <w:sz w:val="20"/>
        </w:rPr>
        <w:t>g done to a victim, without which</w:t>
      </w:r>
      <w:r w:rsidR="00644409" w:rsidRPr="00625AD6">
        <w:rPr>
          <w:sz w:val="20"/>
        </w:rPr>
        <w:t xml:space="preserve"> many victims and survivors </w:t>
      </w:r>
      <w:r w:rsidR="00BE5FB1" w:rsidRPr="00625AD6">
        <w:rPr>
          <w:sz w:val="20"/>
        </w:rPr>
        <w:t>would</w:t>
      </w:r>
      <w:r w:rsidR="00644409" w:rsidRPr="00625AD6">
        <w:rPr>
          <w:sz w:val="20"/>
        </w:rPr>
        <w:t xml:space="preserve"> not be in a position to rebuild their lives. </w:t>
      </w:r>
    </w:p>
    <w:p w:rsidR="00507944" w:rsidRPr="00625AD6" w:rsidRDefault="00625AD6" w:rsidP="00625AD6">
      <w:pPr>
        <w:pStyle w:val="SingleTxtG"/>
        <w:tabs>
          <w:tab w:val="left" w:pos="1701"/>
        </w:tabs>
        <w:rPr>
          <w:sz w:val="20"/>
        </w:rPr>
      </w:pPr>
      <w:r w:rsidRPr="00625AD6">
        <w:rPr>
          <w:sz w:val="20"/>
          <w:szCs w:val="20"/>
        </w:rPr>
        <w:t>72.</w:t>
      </w:r>
      <w:r w:rsidRPr="00625AD6">
        <w:rPr>
          <w:sz w:val="20"/>
          <w:szCs w:val="20"/>
        </w:rPr>
        <w:tab/>
      </w:r>
      <w:r w:rsidR="00644409" w:rsidRPr="00625AD6">
        <w:rPr>
          <w:sz w:val="20"/>
        </w:rPr>
        <w:t xml:space="preserve">The survey </w:t>
      </w:r>
      <w:r w:rsidR="00F23360" w:rsidRPr="00625AD6">
        <w:rPr>
          <w:sz w:val="20"/>
        </w:rPr>
        <w:t xml:space="preserve">conducted in 2014/15 </w:t>
      </w:r>
      <w:r w:rsidR="00644409" w:rsidRPr="00625AD6">
        <w:rPr>
          <w:sz w:val="20"/>
        </w:rPr>
        <w:t>found that reparations for survivors enjoyed widespread support, with 81 per</w:t>
      </w:r>
      <w:r w:rsidR="00891DBB" w:rsidRPr="00625AD6">
        <w:rPr>
          <w:sz w:val="20"/>
        </w:rPr>
        <w:t xml:space="preserve"> </w:t>
      </w:r>
      <w:r w:rsidR="00644409" w:rsidRPr="00625AD6">
        <w:rPr>
          <w:sz w:val="20"/>
        </w:rPr>
        <w:t>cent of respondents agreeing that the Government should provide compensation to victims of human rights violations and abuses.</w:t>
      </w:r>
      <w:r w:rsidR="00F23360" w:rsidRPr="00625AD6">
        <w:rPr>
          <w:rStyle w:val="FootnoteReference"/>
        </w:rPr>
        <w:footnoteReference w:id="19"/>
      </w:r>
      <w:r w:rsidR="00644409" w:rsidRPr="00625AD6">
        <w:rPr>
          <w:sz w:val="20"/>
        </w:rPr>
        <w:t xml:space="preserve"> </w:t>
      </w:r>
      <w:r w:rsidR="00F23360" w:rsidRPr="00625AD6">
        <w:rPr>
          <w:sz w:val="20"/>
        </w:rPr>
        <w:t xml:space="preserve">One </w:t>
      </w:r>
      <w:r w:rsidR="00644409" w:rsidRPr="00625AD6">
        <w:rPr>
          <w:sz w:val="20"/>
        </w:rPr>
        <w:t xml:space="preserve">important element of the </w:t>
      </w:r>
      <w:r w:rsidR="00F23360" w:rsidRPr="00625AD6">
        <w:rPr>
          <w:sz w:val="20"/>
        </w:rPr>
        <w:t xml:space="preserve">compensation and reparations authority </w:t>
      </w:r>
      <w:r w:rsidR="00644409" w:rsidRPr="00625AD6">
        <w:rPr>
          <w:sz w:val="20"/>
        </w:rPr>
        <w:t xml:space="preserve">should be how to address socioeconomic grievances in South Sudan to avoid further conflicts. </w:t>
      </w:r>
    </w:p>
    <w:p w:rsidR="00507944" w:rsidRPr="00625AD6" w:rsidRDefault="00625AD6" w:rsidP="00625AD6">
      <w:pPr>
        <w:pStyle w:val="SingleTxtG"/>
        <w:tabs>
          <w:tab w:val="left" w:pos="1701"/>
        </w:tabs>
        <w:rPr>
          <w:sz w:val="20"/>
        </w:rPr>
      </w:pPr>
      <w:r w:rsidRPr="00625AD6">
        <w:rPr>
          <w:sz w:val="20"/>
          <w:szCs w:val="20"/>
        </w:rPr>
        <w:t>73.</w:t>
      </w:r>
      <w:r w:rsidRPr="00625AD6">
        <w:rPr>
          <w:sz w:val="20"/>
          <w:szCs w:val="20"/>
        </w:rPr>
        <w:tab/>
      </w:r>
      <w:r w:rsidR="00644409" w:rsidRPr="00625AD6">
        <w:rPr>
          <w:sz w:val="20"/>
        </w:rPr>
        <w:t>Traditional and customary dispute resolution mechanisms have played a key role in mediating disputes over grazing land</w:t>
      </w:r>
      <w:r w:rsidR="00F23360" w:rsidRPr="00625AD6">
        <w:rPr>
          <w:sz w:val="20"/>
        </w:rPr>
        <w:t xml:space="preserve"> and</w:t>
      </w:r>
      <w:r w:rsidR="00644409" w:rsidRPr="00625AD6">
        <w:rPr>
          <w:sz w:val="20"/>
        </w:rPr>
        <w:t xml:space="preserve"> cattle, and marriage disputes</w:t>
      </w:r>
      <w:r w:rsidR="00F23360" w:rsidRPr="00625AD6">
        <w:rPr>
          <w:sz w:val="20"/>
        </w:rPr>
        <w:t>,</w:t>
      </w:r>
      <w:r w:rsidR="00644409" w:rsidRPr="00625AD6">
        <w:rPr>
          <w:sz w:val="20"/>
        </w:rPr>
        <w:t xml:space="preserve"> even where they have resulted in killings</w:t>
      </w:r>
      <w:r w:rsidR="00891DBB" w:rsidRPr="00625AD6">
        <w:rPr>
          <w:sz w:val="20"/>
        </w:rPr>
        <w:t>.</w:t>
      </w:r>
      <w:r w:rsidR="00444FEE" w:rsidRPr="00625AD6">
        <w:rPr>
          <w:rStyle w:val="FootnoteReference"/>
          <w:szCs w:val="18"/>
        </w:rPr>
        <w:footnoteReference w:id="20"/>
      </w:r>
      <w:r w:rsidR="00644409" w:rsidRPr="00625AD6">
        <w:rPr>
          <w:sz w:val="20"/>
        </w:rPr>
        <w:t xml:space="preserve"> The </w:t>
      </w:r>
      <w:r w:rsidR="00591828" w:rsidRPr="00625AD6">
        <w:rPr>
          <w:sz w:val="20"/>
        </w:rPr>
        <w:t>t</w:t>
      </w:r>
      <w:r w:rsidR="00644409" w:rsidRPr="00625AD6">
        <w:rPr>
          <w:sz w:val="20"/>
        </w:rPr>
        <w:t xml:space="preserve">echnical </w:t>
      </w:r>
      <w:r w:rsidR="00591828" w:rsidRPr="00625AD6">
        <w:rPr>
          <w:sz w:val="20"/>
        </w:rPr>
        <w:t>c</w:t>
      </w:r>
      <w:r w:rsidR="00644409" w:rsidRPr="00625AD6">
        <w:rPr>
          <w:sz w:val="20"/>
        </w:rPr>
        <w:t xml:space="preserve">ommittee appointed to establish the </w:t>
      </w:r>
      <w:r w:rsidR="00591828" w:rsidRPr="00625AD6">
        <w:rPr>
          <w:sz w:val="20"/>
        </w:rPr>
        <w:t>commission for truth, reconciliation and healing</w:t>
      </w:r>
      <w:r w:rsidR="00591828" w:rsidRPr="00625AD6" w:rsidDel="00591828">
        <w:rPr>
          <w:sz w:val="20"/>
        </w:rPr>
        <w:t xml:space="preserve"> </w:t>
      </w:r>
      <w:r w:rsidR="00644409" w:rsidRPr="00625AD6">
        <w:rPr>
          <w:sz w:val="20"/>
        </w:rPr>
        <w:t xml:space="preserve">and the </w:t>
      </w:r>
      <w:r w:rsidR="00A824B5" w:rsidRPr="00625AD6">
        <w:rPr>
          <w:sz w:val="20"/>
        </w:rPr>
        <w:t>compensation and reparations authority</w:t>
      </w:r>
      <w:r w:rsidR="0056526A">
        <w:rPr>
          <w:sz w:val="20"/>
        </w:rPr>
        <w:t xml:space="preserve"> </w:t>
      </w:r>
      <w:r w:rsidR="00644409" w:rsidRPr="00625AD6">
        <w:rPr>
          <w:sz w:val="20"/>
        </w:rPr>
        <w:t xml:space="preserve">will need to consider whether and how to integrate traditional dispute mechanisms into transitional justice mechanisms in order to address conflicts at </w:t>
      </w:r>
      <w:r w:rsidR="00A824B5" w:rsidRPr="00625AD6">
        <w:rPr>
          <w:sz w:val="20"/>
        </w:rPr>
        <w:t xml:space="preserve">the </w:t>
      </w:r>
      <w:r w:rsidR="00644409" w:rsidRPr="00625AD6">
        <w:rPr>
          <w:sz w:val="20"/>
        </w:rPr>
        <w:t>local level.</w:t>
      </w:r>
    </w:p>
    <w:p w:rsidR="00507944" w:rsidRPr="00625AD6" w:rsidRDefault="00625AD6" w:rsidP="00625AD6">
      <w:pPr>
        <w:pStyle w:val="SingleTxtG"/>
        <w:tabs>
          <w:tab w:val="left" w:pos="1701"/>
        </w:tabs>
      </w:pPr>
      <w:r w:rsidRPr="00625AD6">
        <w:rPr>
          <w:sz w:val="20"/>
          <w:szCs w:val="20"/>
        </w:rPr>
        <w:t>74.</w:t>
      </w:r>
      <w:r w:rsidRPr="00625AD6">
        <w:rPr>
          <w:sz w:val="20"/>
          <w:szCs w:val="20"/>
        </w:rPr>
        <w:tab/>
      </w:r>
      <w:r w:rsidR="00A824B5" w:rsidRPr="00625AD6">
        <w:rPr>
          <w:sz w:val="20"/>
        </w:rPr>
        <w:t>Historically, t</w:t>
      </w:r>
      <w:r w:rsidR="00644409" w:rsidRPr="00625AD6">
        <w:rPr>
          <w:sz w:val="20"/>
        </w:rPr>
        <w:t>ransitional justice has addressed the rights of women and advanced their status in societies where patriarchy, tradition and custom have</w:t>
      </w:r>
      <w:r w:rsidR="00A824B5" w:rsidRPr="00625AD6">
        <w:rPr>
          <w:sz w:val="20"/>
        </w:rPr>
        <w:t xml:space="preserve"> often</w:t>
      </w:r>
      <w:r w:rsidR="00644409" w:rsidRPr="00625AD6">
        <w:rPr>
          <w:sz w:val="20"/>
        </w:rPr>
        <w:t xml:space="preserve"> discriminated against them and been a source for structural violence against women. The </w:t>
      </w:r>
      <w:r w:rsidR="00591828" w:rsidRPr="00625AD6">
        <w:rPr>
          <w:sz w:val="20"/>
        </w:rPr>
        <w:t>commission for truth, reconciliation and healing</w:t>
      </w:r>
      <w:r w:rsidR="00591828" w:rsidRPr="00625AD6" w:rsidDel="00591828">
        <w:rPr>
          <w:sz w:val="20"/>
        </w:rPr>
        <w:t xml:space="preserve"> </w:t>
      </w:r>
      <w:r w:rsidR="00644409" w:rsidRPr="00625AD6">
        <w:rPr>
          <w:sz w:val="20"/>
        </w:rPr>
        <w:t xml:space="preserve">and the </w:t>
      </w:r>
      <w:r w:rsidR="00591828" w:rsidRPr="00625AD6">
        <w:rPr>
          <w:sz w:val="20"/>
        </w:rPr>
        <w:t xml:space="preserve">compensation and reparations authority </w:t>
      </w:r>
      <w:r w:rsidR="00644409" w:rsidRPr="00625AD6">
        <w:rPr>
          <w:sz w:val="20"/>
        </w:rPr>
        <w:t xml:space="preserve">could be excellent vehicles to advance the rights of girls and women through legal and institutional reform, improving their status in society at all levels. </w:t>
      </w:r>
      <w:r w:rsidR="00A824B5" w:rsidRPr="00625AD6">
        <w:rPr>
          <w:sz w:val="20"/>
        </w:rPr>
        <w:t>In the view of the Commission, t</w:t>
      </w:r>
      <w:r w:rsidR="00644409" w:rsidRPr="00625AD6">
        <w:rPr>
          <w:sz w:val="20"/>
        </w:rPr>
        <w:t xml:space="preserve">he </w:t>
      </w:r>
      <w:r w:rsidR="00A824B5" w:rsidRPr="00625AD6">
        <w:rPr>
          <w:sz w:val="20"/>
        </w:rPr>
        <w:t>t</w:t>
      </w:r>
      <w:r w:rsidR="00644409" w:rsidRPr="00625AD6">
        <w:rPr>
          <w:sz w:val="20"/>
        </w:rPr>
        <w:t xml:space="preserve">echnical </w:t>
      </w:r>
      <w:r w:rsidR="00A824B5" w:rsidRPr="00625AD6">
        <w:rPr>
          <w:sz w:val="20"/>
        </w:rPr>
        <w:t>c</w:t>
      </w:r>
      <w:r w:rsidR="00644409" w:rsidRPr="00625AD6">
        <w:rPr>
          <w:sz w:val="20"/>
        </w:rPr>
        <w:t xml:space="preserve">ommittee </w:t>
      </w:r>
      <w:r w:rsidR="00A824B5" w:rsidRPr="00625AD6">
        <w:rPr>
          <w:sz w:val="20"/>
        </w:rPr>
        <w:t>should</w:t>
      </w:r>
      <w:r w:rsidR="00644409" w:rsidRPr="00625AD6">
        <w:rPr>
          <w:sz w:val="20"/>
        </w:rPr>
        <w:t xml:space="preserve"> ensure that a gender </w:t>
      </w:r>
      <w:r w:rsidR="00A824B5" w:rsidRPr="00625AD6">
        <w:rPr>
          <w:sz w:val="20"/>
        </w:rPr>
        <w:t xml:space="preserve">perspective </w:t>
      </w:r>
      <w:proofErr w:type="gramStart"/>
      <w:r w:rsidR="00644409" w:rsidRPr="00625AD6">
        <w:rPr>
          <w:sz w:val="20"/>
        </w:rPr>
        <w:t>is incorporated</w:t>
      </w:r>
      <w:proofErr w:type="gramEnd"/>
      <w:r w:rsidR="00644409" w:rsidRPr="00625AD6">
        <w:rPr>
          <w:sz w:val="20"/>
        </w:rPr>
        <w:t xml:space="preserve"> into the legislation establishing both the </w:t>
      </w:r>
      <w:r w:rsidR="00591828" w:rsidRPr="00625AD6">
        <w:rPr>
          <w:sz w:val="20"/>
        </w:rPr>
        <w:t>commission for truth, reconciliation and healing</w:t>
      </w:r>
      <w:r w:rsidR="00591828" w:rsidRPr="00625AD6" w:rsidDel="00591828">
        <w:rPr>
          <w:sz w:val="20"/>
        </w:rPr>
        <w:t xml:space="preserve"> </w:t>
      </w:r>
      <w:r w:rsidR="00644409" w:rsidRPr="00625AD6">
        <w:rPr>
          <w:sz w:val="20"/>
        </w:rPr>
        <w:t xml:space="preserve">and the </w:t>
      </w:r>
      <w:r w:rsidR="00591828" w:rsidRPr="00625AD6">
        <w:rPr>
          <w:sz w:val="20"/>
        </w:rPr>
        <w:t>compensation and reparations authority</w:t>
      </w:r>
      <w:r w:rsidR="00644409" w:rsidRPr="00625AD6">
        <w:rPr>
          <w:sz w:val="20"/>
        </w:rPr>
        <w:t>.</w:t>
      </w:r>
    </w:p>
    <w:p w:rsidR="00507944" w:rsidRPr="00625AD6" w:rsidRDefault="00625AD6" w:rsidP="00625AD6">
      <w:pPr>
        <w:pStyle w:val="H1G"/>
      </w:pPr>
      <w:r>
        <w:tab/>
      </w:r>
      <w:r w:rsidRPr="00625AD6">
        <w:t>D.</w:t>
      </w:r>
      <w:r w:rsidRPr="00625AD6">
        <w:tab/>
      </w:r>
      <w:r w:rsidR="00854B83" w:rsidRPr="00625AD6">
        <w:t xml:space="preserve">Proposed </w:t>
      </w:r>
      <w:r w:rsidR="00530894" w:rsidRPr="00625AD6">
        <w:t>n</w:t>
      </w:r>
      <w:r w:rsidR="00854B83" w:rsidRPr="00625AD6">
        <w:t xml:space="preserve">ational </w:t>
      </w:r>
      <w:r w:rsidR="00530894" w:rsidRPr="00625AD6">
        <w:t>d</w:t>
      </w:r>
      <w:r w:rsidR="00854B83" w:rsidRPr="00625AD6">
        <w:t xml:space="preserve">ialogue </w:t>
      </w:r>
    </w:p>
    <w:p w:rsidR="00507944" w:rsidRPr="00625AD6" w:rsidRDefault="00625AD6" w:rsidP="00625AD6">
      <w:pPr>
        <w:pStyle w:val="SingleTxtG"/>
        <w:tabs>
          <w:tab w:val="left" w:pos="1701"/>
        </w:tabs>
        <w:rPr>
          <w:sz w:val="20"/>
        </w:rPr>
      </w:pPr>
      <w:proofErr w:type="gramStart"/>
      <w:r w:rsidRPr="00625AD6">
        <w:rPr>
          <w:sz w:val="20"/>
          <w:szCs w:val="20"/>
        </w:rPr>
        <w:t>75.</w:t>
      </w:r>
      <w:r w:rsidRPr="00625AD6">
        <w:rPr>
          <w:sz w:val="20"/>
          <w:szCs w:val="20"/>
        </w:rPr>
        <w:tab/>
      </w:r>
      <w:r w:rsidR="00854B83" w:rsidRPr="00625AD6">
        <w:rPr>
          <w:sz w:val="20"/>
        </w:rPr>
        <w:t xml:space="preserve">On 14 December 2016, President Salva Kiir announced the launch of </w:t>
      </w:r>
      <w:r w:rsidR="003311CA" w:rsidRPr="00625AD6">
        <w:rPr>
          <w:sz w:val="20"/>
        </w:rPr>
        <w:t>a n</w:t>
      </w:r>
      <w:r w:rsidR="00854B83" w:rsidRPr="00625AD6">
        <w:rPr>
          <w:sz w:val="20"/>
        </w:rPr>
        <w:t xml:space="preserve">ational </w:t>
      </w:r>
      <w:r w:rsidR="003311CA" w:rsidRPr="00625AD6">
        <w:rPr>
          <w:sz w:val="20"/>
        </w:rPr>
        <w:t>d</w:t>
      </w:r>
      <w:r w:rsidR="00854B83" w:rsidRPr="00625AD6">
        <w:rPr>
          <w:sz w:val="20"/>
        </w:rPr>
        <w:t xml:space="preserve">ialogue as both </w:t>
      </w:r>
      <w:r w:rsidR="003311CA" w:rsidRPr="00625AD6">
        <w:rPr>
          <w:sz w:val="20"/>
        </w:rPr>
        <w:t>“</w:t>
      </w:r>
      <w:r w:rsidR="00854B83" w:rsidRPr="00625AD6">
        <w:rPr>
          <w:sz w:val="20"/>
        </w:rPr>
        <w:t xml:space="preserve">a forum and a process through which the people of South Sudan shall gather to redefine the basis of their unity as it relates to nationhood, redefine citizenship and belonging, restructure the </w:t>
      </w:r>
      <w:r w:rsidR="003311CA" w:rsidRPr="00625AD6">
        <w:rPr>
          <w:sz w:val="20"/>
        </w:rPr>
        <w:t>S</w:t>
      </w:r>
      <w:r w:rsidR="00854B83" w:rsidRPr="00625AD6">
        <w:rPr>
          <w:sz w:val="20"/>
        </w:rPr>
        <w:t>tate and renegotiate social contract</w:t>
      </w:r>
      <w:r w:rsidR="003311CA" w:rsidRPr="00625AD6">
        <w:rPr>
          <w:sz w:val="20"/>
        </w:rPr>
        <w:t>s</w:t>
      </w:r>
      <w:r w:rsidR="00854B83" w:rsidRPr="00625AD6">
        <w:rPr>
          <w:sz w:val="20"/>
        </w:rPr>
        <w:t xml:space="preserve"> and membership in the world of nations.”</w:t>
      </w:r>
      <w:proofErr w:type="gramEnd"/>
      <w:r w:rsidR="00854B83" w:rsidRPr="00625AD6">
        <w:rPr>
          <w:sz w:val="20"/>
        </w:rPr>
        <w:t xml:space="preserve"> The proposal </w:t>
      </w:r>
      <w:r w:rsidR="003311CA" w:rsidRPr="00625AD6">
        <w:rPr>
          <w:sz w:val="20"/>
        </w:rPr>
        <w:t>envisages</w:t>
      </w:r>
      <w:r w:rsidR="00854B83" w:rsidRPr="00625AD6">
        <w:rPr>
          <w:sz w:val="20"/>
        </w:rPr>
        <w:t xml:space="preserve"> three phases of consultation, from local to the national level</w:t>
      </w:r>
      <w:r w:rsidR="003311CA" w:rsidRPr="00625AD6">
        <w:rPr>
          <w:sz w:val="20"/>
        </w:rPr>
        <w:t>s</w:t>
      </w:r>
      <w:r w:rsidR="00854B83" w:rsidRPr="00625AD6">
        <w:rPr>
          <w:sz w:val="20"/>
        </w:rPr>
        <w:t xml:space="preserve">, for settling broad political, social and cultural grievances and intercommunal conflicts, </w:t>
      </w:r>
      <w:r w:rsidR="003311CA" w:rsidRPr="00625AD6">
        <w:rPr>
          <w:sz w:val="20"/>
        </w:rPr>
        <w:t>to achieve</w:t>
      </w:r>
      <w:r w:rsidR="00854B83" w:rsidRPr="00625AD6">
        <w:rPr>
          <w:sz w:val="20"/>
        </w:rPr>
        <w:t xml:space="preserve"> “peace, healing and reconciliation”.</w:t>
      </w:r>
    </w:p>
    <w:p w:rsidR="00507944" w:rsidRPr="00625AD6" w:rsidRDefault="00625AD6" w:rsidP="00625AD6">
      <w:pPr>
        <w:pStyle w:val="SingleTxtG"/>
        <w:tabs>
          <w:tab w:val="left" w:pos="1701"/>
        </w:tabs>
        <w:rPr>
          <w:sz w:val="20"/>
        </w:rPr>
      </w:pPr>
      <w:r w:rsidRPr="00625AD6">
        <w:rPr>
          <w:sz w:val="20"/>
          <w:szCs w:val="20"/>
        </w:rPr>
        <w:t>76.</w:t>
      </w:r>
      <w:r w:rsidRPr="00625AD6">
        <w:rPr>
          <w:sz w:val="20"/>
          <w:szCs w:val="20"/>
        </w:rPr>
        <w:tab/>
      </w:r>
      <w:r w:rsidR="00854B83" w:rsidRPr="00625AD6">
        <w:rPr>
          <w:sz w:val="20"/>
        </w:rPr>
        <w:t xml:space="preserve">While the Government suggests that the </w:t>
      </w:r>
      <w:r w:rsidR="003311CA" w:rsidRPr="00625AD6">
        <w:rPr>
          <w:sz w:val="20"/>
        </w:rPr>
        <w:t>n</w:t>
      </w:r>
      <w:r w:rsidR="00854B83" w:rsidRPr="00625AD6">
        <w:rPr>
          <w:sz w:val="20"/>
        </w:rPr>
        <w:t xml:space="preserve">ational </w:t>
      </w:r>
      <w:r w:rsidR="003311CA" w:rsidRPr="00625AD6">
        <w:rPr>
          <w:sz w:val="20"/>
        </w:rPr>
        <w:t>d</w:t>
      </w:r>
      <w:r w:rsidR="00854B83" w:rsidRPr="00625AD6">
        <w:rPr>
          <w:sz w:val="20"/>
        </w:rPr>
        <w:t xml:space="preserve">ialogue </w:t>
      </w:r>
      <w:proofErr w:type="gramStart"/>
      <w:r w:rsidR="00854B83" w:rsidRPr="00625AD6">
        <w:rPr>
          <w:sz w:val="20"/>
        </w:rPr>
        <w:t>is situated</w:t>
      </w:r>
      <w:proofErr w:type="gramEnd"/>
      <w:r w:rsidR="00854B83" w:rsidRPr="00625AD6">
        <w:rPr>
          <w:sz w:val="20"/>
        </w:rPr>
        <w:t xml:space="preserve"> within the framework of </w:t>
      </w:r>
      <w:r w:rsidR="003311CA" w:rsidRPr="00625AD6">
        <w:rPr>
          <w:sz w:val="20"/>
        </w:rPr>
        <w:t xml:space="preserve">the </w:t>
      </w:r>
      <w:r w:rsidR="003311CA" w:rsidRPr="00625AD6">
        <w:rPr>
          <w:sz w:val="20"/>
          <w:szCs w:val="20"/>
        </w:rPr>
        <w:t xml:space="preserve">Agreement on the Resolution of the Conflict in the Republic of South Sudan </w:t>
      </w:r>
      <w:r w:rsidR="00854B83" w:rsidRPr="00625AD6">
        <w:rPr>
          <w:sz w:val="20"/>
        </w:rPr>
        <w:t xml:space="preserve">and is not intended to contravene its terms, </w:t>
      </w:r>
      <w:r w:rsidR="003311CA" w:rsidRPr="00625AD6">
        <w:rPr>
          <w:sz w:val="20"/>
        </w:rPr>
        <w:t xml:space="preserve">it could lead to </w:t>
      </w:r>
      <w:r w:rsidR="00854B83" w:rsidRPr="00625AD6">
        <w:rPr>
          <w:sz w:val="20"/>
        </w:rPr>
        <w:t xml:space="preserve">potential overlap with the </w:t>
      </w:r>
      <w:r w:rsidR="00591828" w:rsidRPr="00625AD6">
        <w:rPr>
          <w:sz w:val="20"/>
        </w:rPr>
        <w:t>commission for truth, reconciliation and healing</w:t>
      </w:r>
      <w:r w:rsidR="00854B83" w:rsidRPr="00625AD6">
        <w:rPr>
          <w:sz w:val="20"/>
        </w:rPr>
        <w:t xml:space="preserve">. </w:t>
      </w:r>
      <w:r w:rsidR="000E5951" w:rsidRPr="00625AD6">
        <w:rPr>
          <w:sz w:val="20"/>
        </w:rPr>
        <w:t>Furthermore, o</w:t>
      </w:r>
      <w:r w:rsidR="00854B83" w:rsidRPr="00625AD6">
        <w:rPr>
          <w:sz w:val="20"/>
        </w:rPr>
        <w:t>bservers and stakeholders argue that</w:t>
      </w:r>
      <w:r w:rsidR="003311CA" w:rsidRPr="00625AD6">
        <w:rPr>
          <w:sz w:val="20"/>
        </w:rPr>
        <w:t>,</w:t>
      </w:r>
      <w:r w:rsidR="00854B83" w:rsidRPr="00625AD6">
        <w:rPr>
          <w:sz w:val="20"/>
        </w:rPr>
        <w:t xml:space="preserve"> to have any chance of success, any consultation, dialogue or truth-</w:t>
      </w:r>
      <w:r w:rsidR="00AA27FF" w:rsidRPr="00625AD6">
        <w:rPr>
          <w:sz w:val="20"/>
        </w:rPr>
        <w:t>seeking</w:t>
      </w:r>
      <w:r w:rsidR="00854B83" w:rsidRPr="00625AD6">
        <w:rPr>
          <w:sz w:val="20"/>
        </w:rPr>
        <w:t xml:space="preserve"> process must be truly inclusive of all political, ethnic and soci</w:t>
      </w:r>
      <w:r w:rsidR="003311CA" w:rsidRPr="00625AD6">
        <w:rPr>
          <w:sz w:val="20"/>
        </w:rPr>
        <w:t>al</w:t>
      </w:r>
      <w:r w:rsidR="00854B83" w:rsidRPr="00625AD6">
        <w:rPr>
          <w:sz w:val="20"/>
        </w:rPr>
        <w:t xml:space="preserve"> groups and </w:t>
      </w:r>
      <w:r w:rsidR="003311CA" w:rsidRPr="00625AD6">
        <w:rPr>
          <w:sz w:val="20"/>
        </w:rPr>
        <w:t xml:space="preserve">be </w:t>
      </w:r>
      <w:r w:rsidR="00854B83" w:rsidRPr="00625AD6">
        <w:rPr>
          <w:sz w:val="20"/>
        </w:rPr>
        <w:t>fully transparent and credible</w:t>
      </w:r>
      <w:r w:rsidR="003311CA" w:rsidRPr="00625AD6">
        <w:rPr>
          <w:sz w:val="20"/>
        </w:rPr>
        <w:t>;</w:t>
      </w:r>
      <w:r w:rsidR="000E5951" w:rsidRPr="00625AD6">
        <w:rPr>
          <w:sz w:val="20"/>
        </w:rPr>
        <w:t xml:space="preserve"> </w:t>
      </w:r>
      <w:r w:rsidR="00854B83" w:rsidRPr="00625AD6">
        <w:rPr>
          <w:sz w:val="20"/>
        </w:rPr>
        <w:t xml:space="preserve">serious doubts </w:t>
      </w:r>
      <w:r w:rsidR="003311CA" w:rsidRPr="00625AD6">
        <w:rPr>
          <w:sz w:val="20"/>
        </w:rPr>
        <w:t xml:space="preserve">persist </w:t>
      </w:r>
      <w:r w:rsidR="00854B83" w:rsidRPr="00625AD6">
        <w:rPr>
          <w:sz w:val="20"/>
        </w:rPr>
        <w:t>about whether this</w:t>
      </w:r>
      <w:r w:rsidR="003311CA" w:rsidRPr="00625AD6">
        <w:rPr>
          <w:sz w:val="20"/>
        </w:rPr>
        <w:t>, however,</w:t>
      </w:r>
      <w:r w:rsidR="00854B83" w:rsidRPr="00625AD6">
        <w:rPr>
          <w:sz w:val="20"/>
        </w:rPr>
        <w:t xml:space="preserve"> </w:t>
      </w:r>
      <w:proofErr w:type="gramStart"/>
      <w:r w:rsidR="00854B83" w:rsidRPr="00625AD6">
        <w:rPr>
          <w:sz w:val="20"/>
        </w:rPr>
        <w:t>can be accomplished</w:t>
      </w:r>
      <w:proofErr w:type="gramEnd"/>
      <w:r w:rsidR="00854B83" w:rsidRPr="00625AD6">
        <w:rPr>
          <w:sz w:val="20"/>
        </w:rPr>
        <w:t xml:space="preserve"> in the current political context. </w:t>
      </w:r>
      <w:r w:rsidR="003311CA" w:rsidRPr="00625AD6">
        <w:rPr>
          <w:sz w:val="20"/>
        </w:rPr>
        <w:t xml:space="preserve">According to </w:t>
      </w:r>
      <w:r w:rsidR="00854B83" w:rsidRPr="00625AD6">
        <w:rPr>
          <w:sz w:val="20"/>
        </w:rPr>
        <w:t>President Kiir</w:t>
      </w:r>
      <w:r w:rsidR="003311CA" w:rsidRPr="00625AD6">
        <w:rPr>
          <w:sz w:val="20"/>
        </w:rPr>
        <w:t>,</w:t>
      </w:r>
      <w:r w:rsidR="00854B83" w:rsidRPr="00625AD6">
        <w:rPr>
          <w:sz w:val="20"/>
        </w:rPr>
        <w:t xml:space="preserve"> the </w:t>
      </w:r>
      <w:r w:rsidR="003311CA" w:rsidRPr="00625AD6">
        <w:rPr>
          <w:sz w:val="20"/>
        </w:rPr>
        <w:t>n</w:t>
      </w:r>
      <w:r w:rsidR="00854B83" w:rsidRPr="00625AD6">
        <w:rPr>
          <w:sz w:val="20"/>
        </w:rPr>
        <w:t xml:space="preserve">ational </w:t>
      </w:r>
      <w:r w:rsidR="003311CA" w:rsidRPr="00625AD6">
        <w:rPr>
          <w:sz w:val="20"/>
        </w:rPr>
        <w:t>d</w:t>
      </w:r>
      <w:r w:rsidR="00854B83" w:rsidRPr="00625AD6">
        <w:rPr>
          <w:sz w:val="20"/>
        </w:rPr>
        <w:t xml:space="preserve">ialogue </w:t>
      </w:r>
      <w:r w:rsidR="003311CA" w:rsidRPr="00625AD6">
        <w:rPr>
          <w:sz w:val="20"/>
        </w:rPr>
        <w:t>should</w:t>
      </w:r>
      <w:r w:rsidR="00854B83" w:rsidRPr="00625AD6">
        <w:rPr>
          <w:sz w:val="20"/>
        </w:rPr>
        <w:t xml:space="preserve"> be seen as credible, genuine and open to all the people of South Sudan</w:t>
      </w:r>
      <w:r w:rsidR="003311CA" w:rsidRPr="00625AD6">
        <w:rPr>
          <w:sz w:val="20"/>
        </w:rPr>
        <w:t xml:space="preserve">, </w:t>
      </w:r>
      <w:proofErr w:type="gramStart"/>
      <w:r w:rsidR="003311CA" w:rsidRPr="00625AD6">
        <w:rPr>
          <w:sz w:val="20"/>
        </w:rPr>
        <w:t xml:space="preserve">adding </w:t>
      </w:r>
      <w:r w:rsidR="00854B83" w:rsidRPr="00625AD6">
        <w:rPr>
          <w:sz w:val="20"/>
        </w:rPr>
        <w:t>that</w:t>
      </w:r>
      <w:proofErr w:type="gramEnd"/>
      <w:r w:rsidR="00854B83" w:rsidRPr="00625AD6">
        <w:rPr>
          <w:sz w:val="20"/>
        </w:rPr>
        <w:t xml:space="preserve"> “the Government will not lead or control the process”. </w:t>
      </w:r>
      <w:r w:rsidR="003311CA" w:rsidRPr="00625AD6">
        <w:rPr>
          <w:sz w:val="20"/>
        </w:rPr>
        <w:t>G</w:t>
      </w:r>
      <w:r w:rsidR="000E5951" w:rsidRPr="00625AD6">
        <w:rPr>
          <w:sz w:val="20"/>
        </w:rPr>
        <w:t>iven</w:t>
      </w:r>
      <w:r w:rsidR="003311CA" w:rsidRPr="00625AD6">
        <w:rPr>
          <w:sz w:val="20"/>
        </w:rPr>
        <w:t xml:space="preserve"> however</w:t>
      </w:r>
      <w:r w:rsidR="000E5951" w:rsidRPr="00625AD6">
        <w:rPr>
          <w:sz w:val="20"/>
        </w:rPr>
        <w:t xml:space="preserve"> that </w:t>
      </w:r>
      <w:r w:rsidR="00854B83" w:rsidRPr="00625AD6">
        <w:rPr>
          <w:sz w:val="20"/>
        </w:rPr>
        <w:t xml:space="preserve">the President </w:t>
      </w:r>
      <w:r w:rsidR="000E5951" w:rsidRPr="00625AD6">
        <w:rPr>
          <w:sz w:val="20"/>
        </w:rPr>
        <w:t xml:space="preserve">has </w:t>
      </w:r>
      <w:r w:rsidR="00854B83" w:rsidRPr="00625AD6">
        <w:rPr>
          <w:sz w:val="20"/>
        </w:rPr>
        <w:t xml:space="preserve">designated himself </w:t>
      </w:r>
      <w:r w:rsidR="000E5951" w:rsidRPr="00625AD6">
        <w:rPr>
          <w:sz w:val="20"/>
        </w:rPr>
        <w:t xml:space="preserve">the </w:t>
      </w:r>
      <w:r w:rsidR="00854B83" w:rsidRPr="00625AD6">
        <w:rPr>
          <w:sz w:val="20"/>
        </w:rPr>
        <w:t>“patron</w:t>
      </w:r>
      <w:r w:rsidR="003311CA" w:rsidRPr="00625AD6">
        <w:rPr>
          <w:sz w:val="20"/>
        </w:rPr>
        <w:t>”</w:t>
      </w:r>
      <w:r w:rsidR="00854B83" w:rsidRPr="00625AD6">
        <w:rPr>
          <w:sz w:val="20"/>
        </w:rPr>
        <w:t xml:space="preserve"> of the </w:t>
      </w:r>
      <w:r w:rsidR="003311CA" w:rsidRPr="00625AD6">
        <w:rPr>
          <w:sz w:val="20"/>
        </w:rPr>
        <w:t>d</w:t>
      </w:r>
      <w:r w:rsidR="00854B83" w:rsidRPr="00625AD6">
        <w:rPr>
          <w:sz w:val="20"/>
        </w:rPr>
        <w:t>ialogue and</w:t>
      </w:r>
      <w:r w:rsidR="000E5951" w:rsidRPr="00625AD6">
        <w:rPr>
          <w:sz w:val="20"/>
        </w:rPr>
        <w:t xml:space="preserve"> </w:t>
      </w:r>
      <w:proofErr w:type="gramStart"/>
      <w:r w:rsidR="000E5951" w:rsidRPr="00625AD6">
        <w:rPr>
          <w:sz w:val="20"/>
        </w:rPr>
        <w:t xml:space="preserve">has </w:t>
      </w:r>
      <w:r w:rsidR="00854B83" w:rsidRPr="00625AD6">
        <w:rPr>
          <w:sz w:val="20"/>
        </w:rPr>
        <w:t>also</w:t>
      </w:r>
      <w:proofErr w:type="gramEnd"/>
      <w:r w:rsidR="00854B83" w:rsidRPr="00625AD6">
        <w:rPr>
          <w:sz w:val="20"/>
        </w:rPr>
        <w:t xml:space="preserve"> appointed the members of </w:t>
      </w:r>
      <w:r w:rsidR="003311CA" w:rsidRPr="00625AD6">
        <w:rPr>
          <w:sz w:val="20"/>
        </w:rPr>
        <w:t>its s</w:t>
      </w:r>
      <w:r w:rsidR="00854B83" w:rsidRPr="00625AD6">
        <w:rPr>
          <w:sz w:val="20"/>
        </w:rPr>
        <w:t xml:space="preserve">teering </w:t>
      </w:r>
      <w:r w:rsidR="003311CA" w:rsidRPr="00625AD6">
        <w:rPr>
          <w:sz w:val="20"/>
        </w:rPr>
        <w:t>c</w:t>
      </w:r>
      <w:r w:rsidR="00854B83" w:rsidRPr="00625AD6">
        <w:rPr>
          <w:sz w:val="20"/>
        </w:rPr>
        <w:t>ommittee</w:t>
      </w:r>
      <w:r w:rsidR="000E5951" w:rsidRPr="00625AD6">
        <w:rPr>
          <w:sz w:val="20"/>
        </w:rPr>
        <w:t xml:space="preserve">, it </w:t>
      </w:r>
      <w:r w:rsidR="00854B83" w:rsidRPr="00625AD6">
        <w:rPr>
          <w:sz w:val="20"/>
        </w:rPr>
        <w:t xml:space="preserve">is not surprising that the </w:t>
      </w:r>
      <w:r w:rsidR="003311CA" w:rsidRPr="00625AD6">
        <w:rPr>
          <w:sz w:val="20"/>
        </w:rPr>
        <w:t xml:space="preserve">initiative </w:t>
      </w:r>
      <w:r w:rsidR="00854B83" w:rsidRPr="00625AD6">
        <w:rPr>
          <w:sz w:val="20"/>
        </w:rPr>
        <w:t xml:space="preserve">has been </w:t>
      </w:r>
      <w:r w:rsidR="000E5951" w:rsidRPr="00625AD6">
        <w:rPr>
          <w:sz w:val="20"/>
        </w:rPr>
        <w:t xml:space="preserve">roundly </w:t>
      </w:r>
      <w:r w:rsidR="00854B83" w:rsidRPr="00625AD6">
        <w:rPr>
          <w:sz w:val="20"/>
        </w:rPr>
        <w:t xml:space="preserve">criticized. </w:t>
      </w:r>
      <w:r w:rsidR="00FA168C" w:rsidRPr="00625AD6">
        <w:rPr>
          <w:sz w:val="20"/>
        </w:rPr>
        <w:t>Led by a s</w:t>
      </w:r>
      <w:r w:rsidR="000E5951" w:rsidRPr="00625AD6">
        <w:rPr>
          <w:sz w:val="20"/>
        </w:rPr>
        <w:t xml:space="preserve">teering </w:t>
      </w:r>
      <w:r w:rsidR="00FA168C" w:rsidRPr="00625AD6">
        <w:rPr>
          <w:sz w:val="20"/>
        </w:rPr>
        <w:t>c</w:t>
      </w:r>
      <w:r w:rsidR="000E5951" w:rsidRPr="00625AD6">
        <w:rPr>
          <w:sz w:val="20"/>
        </w:rPr>
        <w:t xml:space="preserve">ommittee </w:t>
      </w:r>
      <w:r w:rsidR="00FA168C" w:rsidRPr="00625AD6">
        <w:rPr>
          <w:sz w:val="20"/>
        </w:rPr>
        <w:t>whose</w:t>
      </w:r>
      <w:r w:rsidR="000E5951" w:rsidRPr="00625AD6">
        <w:rPr>
          <w:sz w:val="20"/>
        </w:rPr>
        <w:t xml:space="preserve"> members </w:t>
      </w:r>
      <w:proofErr w:type="gramStart"/>
      <w:r w:rsidR="00FA168C" w:rsidRPr="00625AD6">
        <w:rPr>
          <w:sz w:val="20"/>
        </w:rPr>
        <w:t xml:space="preserve">have been </w:t>
      </w:r>
      <w:r w:rsidR="000E5951" w:rsidRPr="00625AD6">
        <w:rPr>
          <w:sz w:val="20"/>
        </w:rPr>
        <w:t>appointed</w:t>
      </w:r>
      <w:proofErr w:type="gramEnd"/>
      <w:r w:rsidR="000E5951" w:rsidRPr="00625AD6">
        <w:rPr>
          <w:sz w:val="20"/>
        </w:rPr>
        <w:t xml:space="preserve"> </w:t>
      </w:r>
      <w:r w:rsidR="00FA168C" w:rsidRPr="00625AD6">
        <w:rPr>
          <w:sz w:val="20"/>
        </w:rPr>
        <w:t xml:space="preserve">directly </w:t>
      </w:r>
      <w:r w:rsidR="000E5951" w:rsidRPr="00625AD6">
        <w:rPr>
          <w:sz w:val="20"/>
        </w:rPr>
        <w:t>by the President and which excludes other ethnic groups</w:t>
      </w:r>
      <w:r w:rsidR="00FA168C" w:rsidRPr="00625AD6">
        <w:rPr>
          <w:sz w:val="20"/>
        </w:rPr>
        <w:t>,</w:t>
      </w:r>
      <w:r w:rsidR="000E5951" w:rsidRPr="00625AD6">
        <w:rPr>
          <w:sz w:val="20"/>
        </w:rPr>
        <w:t xml:space="preserve"> </w:t>
      </w:r>
      <w:r w:rsidR="00C312F9" w:rsidRPr="00625AD6">
        <w:rPr>
          <w:sz w:val="20"/>
        </w:rPr>
        <w:t>including</w:t>
      </w:r>
      <w:r w:rsidR="000E5951" w:rsidRPr="00625AD6">
        <w:rPr>
          <w:sz w:val="20"/>
        </w:rPr>
        <w:t xml:space="preserve"> armed groups </w:t>
      </w:r>
      <w:r w:rsidR="00FA168C" w:rsidRPr="00625AD6">
        <w:rPr>
          <w:sz w:val="20"/>
        </w:rPr>
        <w:t xml:space="preserve">and </w:t>
      </w:r>
      <w:r w:rsidR="00854B83" w:rsidRPr="00625AD6">
        <w:rPr>
          <w:sz w:val="20"/>
        </w:rPr>
        <w:t>opposition</w:t>
      </w:r>
      <w:r w:rsidR="00FA168C" w:rsidRPr="00625AD6">
        <w:rPr>
          <w:sz w:val="20"/>
        </w:rPr>
        <w:t>,</w:t>
      </w:r>
      <w:r w:rsidR="00854B83" w:rsidRPr="00625AD6">
        <w:rPr>
          <w:sz w:val="20"/>
        </w:rPr>
        <w:t xml:space="preserve"> the </w:t>
      </w:r>
      <w:r w:rsidR="00FA168C" w:rsidRPr="00625AD6">
        <w:rPr>
          <w:sz w:val="20"/>
        </w:rPr>
        <w:t>n</w:t>
      </w:r>
      <w:r w:rsidR="00854B83" w:rsidRPr="00625AD6">
        <w:rPr>
          <w:sz w:val="20"/>
        </w:rPr>
        <w:t xml:space="preserve">ational </w:t>
      </w:r>
      <w:r w:rsidR="00FA168C" w:rsidRPr="00625AD6">
        <w:rPr>
          <w:sz w:val="20"/>
        </w:rPr>
        <w:t>d</w:t>
      </w:r>
      <w:r w:rsidR="00854B83" w:rsidRPr="00625AD6">
        <w:rPr>
          <w:sz w:val="20"/>
        </w:rPr>
        <w:t xml:space="preserve">ialogue </w:t>
      </w:r>
      <w:r w:rsidR="00FA168C" w:rsidRPr="00625AD6">
        <w:rPr>
          <w:sz w:val="20"/>
        </w:rPr>
        <w:t>would appear to have</w:t>
      </w:r>
      <w:r w:rsidR="00854B83" w:rsidRPr="00625AD6">
        <w:rPr>
          <w:sz w:val="20"/>
        </w:rPr>
        <w:t xml:space="preserve"> little chance of success.</w:t>
      </w:r>
    </w:p>
    <w:p w:rsidR="00507944" w:rsidRPr="00625AD6" w:rsidRDefault="00625AD6" w:rsidP="00625AD6">
      <w:pPr>
        <w:pStyle w:val="SingleTxtG"/>
        <w:tabs>
          <w:tab w:val="left" w:pos="1701"/>
        </w:tabs>
      </w:pPr>
      <w:proofErr w:type="gramStart"/>
      <w:r w:rsidRPr="00625AD6">
        <w:rPr>
          <w:sz w:val="20"/>
          <w:szCs w:val="20"/>
        </w:rPr>
        <w:t>77.</w:t>
      </w:r>
      <w:r w:rsidRPr="00625AD6">
        <w:rPr>
          <w:sz w:val="20"/>
          <w:szCs w:val="20"/>
        </w:rPr>
        <w:tab/>
      </w:r>
      <w:r w:rsidR="00854B83" w:rsidRPr="00625AD6">
        <w:rPr>
          <w:sz w:val="20"/>
        </w:rPr>
        <w:t xml:space="preserve">While President Kiir has </w:t>
      </w:r>
      <w:r w:rsidR="00FA168C" w:rsidRPr="00625AD6">
        <w:rPr>
          <w:sz w:val="20"/>
        </w:rPr>
        <w:t xml:space="preserve">stated </w:t>
      </w:r>
      <w:r w:rsidR="00854B83" w:rsidRPr="00625AD6">
        <w:rPr>
          <w:sz w:val="20"/>
        </w:rPr>
        <w:t xml:space="preserve">that his Government will guarantee </w:t>
      </w:r>
      <w:r w:rsidR="00FA168C" w:rsidRPr="00625AD6">
        <w:rPr>
          <w:sz w:val="20"/>
        </w:rPr>
        <w:t xml:space="preserve">the </w:t>
      </w:r>
      <w:r w:rsidR="00854B83" w:rsidRPr="00625AD6">
        <w:rPr>
          <w:sz w:val="20"/>
        </w:rPr>
        <w:t>safety and freedom of participa</w:t>
      </w:r>
      <w:r w:rsidR="00FA168C" w:rsidRPr="00625AD6">
        <w:rPr>
          <w:sz w:val="20"/>
        </w:rPr>
        <w:t>nts</w:t>
      </w:r>
      <w:r w:rsidR="00854B83" w:rsidRPr="00625AD6">
        <w:rPr>
          <w:sz w:val="20"/>
        </w:rPr>
        <w:t xml:space="preserve"> in the </w:t>
      </w:r>
      <w:r w:rsidR="00FA168C" w:rsidRPr="00625AD6">
        <w:rPr>
          <w:sz w:val="20"/>
        </w:rPr>
        <w:t>n</w:t>
      </w:r>
      <w:r w:rsidR="00854B83" w:rsidRPr="00625AD6">
        <w:rPr>
          <w:sz w:val="20"/>
        </w:rPr>
        <w:t xml:space="preserve">ational </w:t>
      </w:r>
      <w:r w:rsidR="00FA168C" w:rsidRPr="00625AD6">
        <w:rPr>
          <w:sz w:val="20"/>
        </w:rPr>
        <w:t>d</w:t>
      </w:r>
      <w:r w:rsidR="00854B83" w:rsidRPr="00625AD6">
        <w:rPr>
          <w:sz w:val="20"/>
        </w:rPr>
        <w:t>ialogue, including those who are currently out of the country,</w:t>
      </w:r>
      <w:r w:rsidR="00854B83" w:rsidRPr="00625AD6">
        <w:rPr>
          <w:rStyle w:val="FootnoteReference"/>
          <w:sz w:val="20"/>
        </w:rPr>
        <w:t xml:space="preserve"> </w:t>
      </w:r>
      <w:r w:rsidR="00854B83" w:rsidRPr="00625AD6">
        <w:rPr>
          <w:sz w:val="20"/>
        </w:rPr>
        <w:t xml:space="preserve">the fears expressed by many amid </w:t>
      </w:r>
      <w:r w:rsidR="00FA168C" w:rsidRPr="00625AD6">
        <w:rPr>
          <w:sz w:val="20"/>
        </w:rPr>
        <w:t xml:space="preserve">the </w:t>
      </w:r>
      <w:r w:rsidR="00854B83" w:rsidRPr="00625AD6">
        <w:rPr>
          <w:sz w:val="20"/>
        </w:rPr>
        <w:t xml:space="preserve">continuing government crackdowns on the media and </w:t>
      </w:r>
      <w:r w:rsidR="00FA168C" w:rsidRPr="00625AD6">
        <w:rPr>
          <w:sz w:val="20"/>
        </w:rPr>
        <w:t xml:space="preserve">on </w:t>
      </w:r>
      <w:r w:rsidR="00854B83" w:rsidRPr="00625AD6">
        <w:rPr>
          <w:sz w:val="20"/>
        </w:rPr>
        <w:t>free</w:t>
      </w:r>
      <w:r w:rsidR="00FA168C" w:rsidRPr="00625AD6">
        <w:rPr>
          <w:sz w:val="20"/>
        </w:rPr>
        <w:t>dom of</w:t>
      </w:r>
      <w:r w:rsidR="00854B83" w:rsidRPr="00625AD6">
        <w:rPr>
          <w:sz w:val="20"/>
        </w:rPr>
        <w:t xml:space="preserve"> speech and </w:t>
      </w:r>
      <w:r w:rsidR="00FA168C" w:rsidRPr="00625AD6">
        <w:rPr>
          <w:sz w:val="20"/>
        </w:rPr>
        <w:t xml:space="preserve">of </w:t>
      </w:r>
      <w:r w:rsidR="00854B83" w:rsidRPr="00625AD6">
        <w:rPr>
          <w:sz w:val="20"/>
        </w:rPr>
        <w:t xml:space="preserve">association, including the closing of media houses, the murder of journalists and </w:t>
      </w:r>
      <w:r w:rsidR="000C2347" w:rsidRPr="00625AD6">
        <w:rPr>
          <w:sz w:val="20"/>
        </w:rPr>
        <w:t xml:space="preserve">the indefinite detention of </w:t>
      </w:r>
      <w:r w:rsidR="00854B83" w:rsidRPr="00625AD6">
        <w:rPr>
          <w:sz w:val="20"/>
        </w:rPr>
        <w:t>activists and others without charge or due process, give cause for concern</w:t>
      </w:r>
      <w:r w:rsidR="00FA168C" w:rsidRPr="00625AD6">
        <w:rPr>
          <w:sz w:val="20"/>
        </w:rPr>
        <w:t>.</w:t>
      </w:r>
      <w:proofErr w:type="gramEnd"/>
      <w:r w:rsidR="00854B83" w:rsidRPr="00625AD6">
        <w:t xml:space="preserve"> </w:t>
      </w:r>
    </w:p>
    <w:p w:rsidR="00507944" w:rsidRPr="00625AD6" w:rsidRDefault="00625AD6" w:rsidP="00625AD6">
      <w:pPr>
        <w:pStyle w:val="H1G"/>
      </w:pPr>
      <w:bookmarkStart w:id="222" w:name="_Toc474703332"/>
      <w:bookmarkStart w:id="223" w:name="_Toc474703406"/>
      <w:bookmarkStart w:id="224" w:name="_Toc474703480"/>
      <w:bookmarkStart w:id="225" w:name="_Toc474703551"/>
      <w:bookmarkStart w:id="226" w:name="_Toc474703972"/>
      <w:bookmarkStart w:id="227" w:name="_Toc474703334"/>
      <w:bookmarkStart w:id="228" w:name="_Toc474703408"/>
      <w:bookmarkStart w:id="229" w:name="_Toc474703482"/>
      <w:bookmarkStart w:id="230" w:name="_Toc474703553"/>
      <w:bookmarkStart w:id="231" w:name="_Toc474703974"/>
      <w:bookmarkEnd w:id="222"/>
      <w:bookmarkEnd w:id="223"/>
      <w:bookmarkEnd w:id="224"/>
      <w:bookmarkEnd w:id="225"/>
      <w:bookmarkEnd w:id="226"/>
      <w:bookmarkEnd w:id="227"/>
      <w:bookmarkEnd w:id="228"/>
      <w:bookmarkEnd w:id="229"/>
      <w:bookmarkEnd w:id="230"/>
      <w:bookmarkEnd w:id="231"/>
      <w:r>
        <w:tab/>
      </w:r>
      <w:r w:rsidRPr="00625AD6">
        <w:t>E.</w:t>
      </w:r>
      <w:r w:rsidRPr="00625AD6">
        <w:tab/>
      </w:r>
      <w:r w:rsidR="00644409" w:rsidRPr="00625AD6">
        <w:t xml:space="preserve">The </w:t>
      </w:r>
      <w:r w:rsidR="00C35A27" w:rsidRPr="00625AD6">
        <w:t>w</w:t>
      </w:r>
      <w:r w:rsidR="00644409" w:rsidRPr="00625AD6">
        <w:t xml:space="preserve">ay </w:t>
      </w:r>
      <w:r w:rsidR="00C35A27" w:rsidRPr="00625AD6">
        <w:t>f</w:t>
      </w:r>
      <w:r w:rsidR="00644409" w:rsidRPr="00625AD6">
        <w:t xml:space="preserve">orward </w:t>
      </w:r>
    </w:p>
    <w:p w:rsidR="00507944" w:rsidRPr="00625AD6" w:rsidRDefault="00625AD6" w:rsidP="00625AD6">
      <w:pPr>
        <w:pStyle w:val="SingleTxtG"/>
        <w:tabs>
          <w:tab w:val="left" w:pos="1701"/>
        </w:tabs>
        <w:rPr>
          <w:sz w:val="20"/>
        </w:rPr>
      </w:pPr>
      <w:r w:rsidRPr="00625AD6">
        <w:rPr>
          <w:sz w:val="20"/>
          <w:szCs w:val="20"/>
        </w:rPr>
        <w:t>78.</w:t>
      </w:r>
      <w:r w:rsidRPr="00625AD6">
        <w:rPr>
          <w:sz w:val="20"/>
          <w:szCs w:val="20"/>
        </w:rPr>
        <w:tab/>
      </w:r>
      <w:r w:rsidR="00644409" w:rsidRPr="00625AD6">
        <w:rPr>
          <w:sz w:val="20"/>
        </w:rPr>
        <w:t>South Sudan</w:t>
      </w:r>
      <w:r w:rsidR="000C2347" w:rsidRPr="00625AD6">
        <w:rPr>
          <w:sz w:val="20"/>
        </w:rPr>
        <w:t>,</w:t>
      </w:r>
      <w:r w:rsidR="00644409" w:rsidRPr="00625AD6">
        <w:rPr>
          <w:sz w:val="20"/>
        </w:rPr>
        <w:t xml:space="preserve"> like many countries emerging from periods of protracted conflict</w:t>
      </w:r>
      <w:r w:rsidR="000C2347" w:rsidRPr="00625AD6">
        <w:rPr>
          <w:sz w:val="20"/>
        </w:rPr>
        <w:t>,</w:t>
      </w:r>
      <w:r w:rsidR="00644409" w:rsidRPr="00625AD6">
        <w:rPr>
          <w:sz w:val="20"/>
        </w:rPr>
        <w:t xml:space="preserve"> has to confront the political challenge of holding perpetrators to account. </w:t>
      </w:r>
      <w:r w:rsidR="000C2347" w:rsidRPr="00625AD6">
        <w:rPr>
          <w:sz w:val="20"/>
        </w:rPr>
        <w:t xml:space="preserve">One </w:t>
      </w:r>
      <w:r w:rsidR="00644409" w:rsidRPr="00625AD6">
        <w:rPr>
          <w:sz w:val="20"/>
        </w:rPr>
        <w:t xml:space="preserve">major difficulty </w:t>
      </w:r>
      <w:r w:rsidR="000C2347" w:rsidRPr="00625AD6">
        <w:rPr>
          <w:sz w:val="20"/>
        </w:rPr>
        <w:t>is</w:t>
      </w:r>
      <w:r w:rsidR="00644409" w:rsidRPr="00625AD6">
        <w:rPr>
          <w:sz w:val="20"/>
        </w:rPr>
        <w:t xml:space="preserve"> that </w:t>
      </w:r>
      <w:r w:rsidR="00E40AB2" w:rsidRPr="00625AD6">
        <w:rPr>
          <w:sz w:val="20"/>
        </w:rPr>
        <w:t xml:space="preserve">alleged </w:t>
      </w:r>
      <w:r w:rsidR="00644409" w:rsidRPr="00625AD6">
        <w:rPr>
          <w:sz w:val="20"/>
        </w:rPr>
        <w:t xml:space="preserve">perpetrators occupy senior political </w:t>
      </w:r>
      <w:r w:rsidR="000C2347" w:rsidRPr="00625AD6">
        <w:rPr>
          <w:sz w:val="20"/>
        </w:rPr>
        <w:t xml:space="preserve">and </w:t>
      </w:r>
      <w:r w:rsidR="00644409" w:rsidRPr="00625AD6">
        <w:rPr>
          <w:sz w:val="20"/>
        </w:rPr>
        <w:t xml:space="preserve">military positions in the post-conflict </w:t>
      </w:r>
      <w:r w:rsidR="000C2347" w:rsidRPr="00625AD6">
        <w:rPr>
          <w:sz w:val="20"/>
        </w:rPr>
        <w:t>S</w:t>
      </w:r>
      <w:r w:rsidR="00644409" w:rsidRPr="00625AD6">
        <w:rPr>
          <w:sz w:val="20"/>
        </w:rPr>
        <w:t>tate. Under international law</w:t>
      </w:r>
      <w:r w:rsidR="000C2347" w:rsidRPr="00625AD6">
        <w:rPr>
          <w:sz w:val="20"/>
        </w:rPr>
        <w:t>,</w:t>
      </w:r>
      <w:r w:rsidR="00644409" w:rsidRPr="00625AD6">
        <w:rPr>
          <w:sz w:val="20"/>
        </w:rPr>
        <w:t xml:space="preserve"> the </w:t>
      </w:r>
      <w:r w:rsidR="000C2347" w:rsidRPr="00625AD6">
        <w:rPr>
          <w:sz w:val="20"/>
        </w:rPr>
        <w:t xml:space="preserve">State has the </w:t>
      </w:r>
      <w:r w:rsidR="00644409" w:rsidRPr="00625AD6">
        <w:rPr>
          <w:sz w:val="20"/>
        </w:rPr>
        <w:t>primary obligation to investigate and prosecute those individuals responsible</w:t>
      </w:r>
      <w:r w:rsidR="00854B83" w:rsidRPr="00625AD6">
        <w:rPr>
          <w:sz w:val="20"/>
        </w:rPr>
        <w:t xml:space="preserve"> for human rights violations and abuses</w:t>
      </w:r>
      <w:r w:rsidR="000C2347" w:rsidRPr="00625AD6">
        <w:rPr>
          <w:sz w:val="20"/>
        </w:rPr>
        <w:t xml:space="preserve"> and for</w:t>
      </w:r>
      <w:r w:rsidR="00854B83" w:rsidRPr="00625AD6">
        <w:rPr>
          <w:sz w:val="20"/>
        </w:rPr>
        <w:t xml:space="preserve"> violations of international humanitarian law</w:t>
      </w:r>
      <w:r w:rsidR="00644409" w:rsidRPr="00625AD6">
        <w:rPr>
          <w:sz w:val="20"/>
        </w:rPr>
        <w:t>. In the case of South Sudan</w:t>
      </w:r>
      <w:r w:rsidR="000E5951" w:rsidRPr="00625AD6">
        <w:rPr>
          <w:sz w:val="20"/>
        </w:rPr>
        <w:t xml:space="preserve">, the </w:t>
      </w:r>
      <w:r w:rsidR="00644409" w:rsidRPr="00625AD6">
        <w:rPr>
          <w:sz w:val="20"/>
        </w:rPr>
        <w:t xml:space="preserve">African Union </w:t>
      </w:r>
      <w:proofErr w:type="gramStart"/>
      <w:r w:rsidR="00644409" w:rsidRPr="00625AD6">
        <w:rPr>
          <w:sz w:val="20"/>
        </w:rPr>
        <w:t xml:space="preserve">is </w:t>
      </w:r>
      <w:r w:rsidR="000E5951" w:rsidRPr="00625AD6">
        <w:rPr>
          <w:sz w:val="20"/>
        </w:rPr>
        <w:t>tasked</w:t>
      </w:r>
      <w:proofErr w:type="gramEnd"/>
      <w:r w:rsidR="000E5951" w:rsidRPr="00625AD6">
        <w:rPr>
          <w:sz w:val="20"/>
        </w:rPr>
        <w:t xml:space="preserve"> with the </w:t>
      </w:r>
      <w:r w:rsidR="00644409" w:rsidRPr="00625AD6">
        <w:rPr>
          <w:sz w:val="20"/>
        </w:rPr>
        <w:t>responsib</w:t>
      </w:r>
      <w:r w:rsidR="000E5951" w:rsidRPr="00625AD6">
        <w:rPr>
          <w:sz w:val="20"/>
        </w:rPr>
        <w:t xml:space="preserve">ility </w:t>
      </w:r>
      <w:r w:rsidR="00644409" w:rsidRPr="00625AD6">
        <w:rPr>
          <w:sz w:val="20"/>
        </w:rPr>
        <w:t xml:space="preserve">for establishing </w:t>
      </w:r>
      <w:r w:rsidR="000C2347" w:rsidRPr="00625AD6">
        <w:rPr>
          <w:sz w:val="20"/>
        </w:rPr>
        <w:t>a h</w:t>
      </w:r>
      <w:r w:rsidR="00644409" w:rsidRPr="00625AD6">
        <w:rPr>
          <w:sz w:val="20"/>
        </w:rPr>
        <w:t xml:space="preserve">ybrid </w:t>
      </w:r>
      <w:r w:rsidR="000C2347" w:rsidRPr="00625AD6">
        <w:rPr>
          <w:sz w:val="20"/>
        </w:rPr>
        <w:t>c</w:t>
      </w:r>
      <w:r w:rsidR="00644409" w:rsidRPr="00625AD6">
        <w:rPr>
          <w:sz w:val="20"/>
        </w:rPr>
        <w:t>ourt</w:t>
      </w:r>
      <w:r w:rsidR="00E40AB2" w:rsidRPr="00625AD6">
        <w:rPr>
          <w:sz w:val="20"/>
        </w:rPr>
        <w:t xml:space="preserve"> for South Sudan</w:t>
      </w:r>
      <w:r w:rsidR="00C312F9" w:rsidRPr="00625AD6">
        <w:rPr>
          <w:sz w:val="20"/>
        </w:rPr>
        <w:t xml:space="preserve"> and </w:t>
      </w:r>
      <w:r w:rsidR="000E5951" w:rsidRPr="00625AD6">
        <w:rPr>
          <w:sz w:val="20"/>
        </w:rPr>
        <w:t xml:space="preserve">has indicated </w:t>
      </w:r>
      <w:r w:rsidR="000C2347" w:rsidRPr="00625AD6">
        <w:rPr>
          <w:sz w:val="20"/>
        </w:rPr>
        <w:t xml:space="preserve">its </w:t>
      </w:r>
      <w:r w:rsidR="000E5951" w:rsidRPr="00625AD6">
        <w:rPr>
          <w:sz w:val="20"/>
        </w:rPr>
        <w:t>inten</w:t>
      </w:r>
      <w:r w:rsidR="000C2347" w:rsidRPr="00625AD6">
        <w:rPr>
          <w:sz w:val="20"/>
        </w:rPr>
        <w:t>tion</w:t>
      </w:r>
      <w:r w:rsidR="000E5951" w:rsidRPr="00625AD6">
        <w:rPr>
          <w:sz w:val="20"/>
        </w:rPr>
        <w:t xml:space="preserve"> to </w:t>
      </w:r>
      <w:r w:rsidR="00644409" w:rsidRPr="00625AD6">
        <w:rPr>
          <w:sz w:val="20"/>
        </w:rPr>
        <w:t>sign a cooperation agreement with the Government</w:t>
      </w:r>
      <w:r w:rsidR="000E5951" w:rsidRPr="00625AD6">
        <w:rPr>
          <w:sz w:val="20"/>
        </w:rPr>
        <w:t xml:space="preserve"> on matters relating to the </w:t>
      </w:r>
      <w:r w:rsidR="00E40AB2" w:rsidRPr="00625AD6">
        <w:rPr>
          <w:sz w:val="20"/>
        </w:rPr>
        <w:t>court</w:t>
      </w:r>
      <w:r w:rsidR="000E5951" w:rsidRPr="00625AD6">
        <w:rPr>
          <w:sz w:val="20"/>
        </w:rPr>
        <w:t>.</w:t>
      </w:r>
      <w:r w:rsidR="00974932" w:rsidRPr="00625AD6">
        <w:rPr>
          <w:sz w:val="20"/>
        </w:rPr>
        <w:t xml:space="preserve"> </w:t>
      </w:r>
    </w:p>
    <w:p w:rsidR="00507944" w:rsidRPr="00625AD6" w:rsidRDefault="00625AD6" w:rsidP="00625AD6">
      <w:pPr>
        <w:pStyle w:val="SingleTxtG"/>
        <w:tabs>
          <w:tab w:val="left" w:pos="1701"/>
        </w:tabs>
        <w:rPr>
          <w:sz w:val="20"/>
        </w:rPr>
      </w:pPr>
      <w:r w:rsidRPr="00625AD6">
        <w:rPr>
          <w:sz w:val="20"/>
          <w:szCs w:val="20"/>
        </w:rPr>
        <w:t>79.</w:t>
      </w:r>
      <w:r w:rsidRPr="00625AD6">
        <w:rPr>
          <w:sz w:val="20"/>
          <w:szCs w:val="20"/>
        </w:rPr>
        <w:tab/>
      </w:r>
      <w:r w:rsidR="00644409" w:rsidRPr="00625AD6">
        <w:rPr>
          <w:sz w:val="20"/>
        </w:rPr>
        <w:t xml:space="preserve">Recent statements by the Government of South Sudan </w:t>
      </w:r>
      <w:r w:rsidR="000C2347" w:rsidRPr="00625AD6">
        <w:rPr>
          <w:sz w:val="20"/>
        </w:rPr>
        <w:t xml:space="preserve">suggest </w:t>
      </w:r>
      <w:r w:rsidR="00644409" w:rsidRPr="00625AD6">
        <w:rPr>
          <w:sz w:val="20"/>
        </w:rPr>
        <w:t xml:space="preserve">that it is prioritizing peace over efforts to bring to justice those responsible for human rights violations and abuses in South Sudan. </w:t>
      </w:r>
      <w:r w:rsidR="000C2347" w:rsidRPr="00625AD6">
        <w:rPr>
          <w:sz w:val="20"/>
        </w:rPr>
        <w:t>It</w:t>
      </w:r>
      <w:r w:rsidR="00644409" w:rsidRPr="00625AD6">
        <w:rPr>
          <w:sz w:val="20"/>
        </w:rPr>
        <w:t xml:space="preserve"> appears to present justice and reconciliation as competing objectives in the process of building sustainable peace, arguing that the immediate end to th</w:t>
      </w:r>
      <w:r w:rsidR="000C2347" w:rsidRPr="00625AD6">
        <w:rPr>
          <w:sz w:val="20"/>
        </w:rPr>
        <w:t>is</w:t>
      </w:r>
      <w:r w:rsidR="00644409" w:rsidRPr="00625AD6">
        <w:rPr>
          <w:sz w:val="20"/>
        </w:rPr>
        <w:t xml:space="preserve"> violent conflict should take precedence over accountability for serious crimes, while those in favour of justice argue that ending impunity for human rights violations is crucial for </w:t>
      </w:r>
      <w:r w:rsidR="000C2347" w:rsidRPr="00625AD6">
        <w:rPr>
          <w:sz w:val="20"/>
        </w:rPr>
        <w:t xml:space="preserve">future </w:t>
      </w:r>
      <w:r w:rsidR="00644409" w:rsidRPr="00625AD6">
        <w:rPr>
          <w:sz w:val="20"/>
        </w:rPr>
        <w:t xml:space="preserve">deterrence. </w:t>
      </w:r>
    </w:p>
    <w:p w:rsidR="00507944" w:rsidRPr="00625AD6" w:rsidRDefault="00625AD6" w:rsidP="00625AD6">
      <w:pPr>
        <w:pStyle w:val="SingleTxtG"/>
        <w:tabs>
          <w:tab w:val="left" w:pos="1701"/>
        </w:tabs>
      </w:pPr>
      <w:r w:rsidRPr="00625AD6">
        <w:rPr>
          <w:sz w:val="20"/>
          <w:szCs w:val="20"/>
        </w:rPr>
        <w:t>80.</w:t>
      </w:r>
      <w:r w:rsidRPr="00625AD6">
        <w:rPr>
          <w:sz w:val="20"/>
          <w:szCs w:val="20"/>
        </w:rPr>
        <w:tab/>
      </w:r>
      <w:r w:rsidR="00644409" w:rsidRPr="00625AD6">
        <w:rPr>
          <w:sz w:val="20"/>
        </w:rPr>
        <w:t xml:space="preserve">The emphasis on peace first has failed to </w:t>
      </w:r>
      <w:r w:rsidR="008739D9" w:rsidRPr="00625AD6">
        <w:rPr>
          <w:sz w:val="20"/>
        </w:rPr>
        <w:t xml:space="preserve">deliver </w:t>
      </w:r>
      <w:r w:rsidR="00644409" w:rsidRPr="00625AD6">
        <w:rPr>
          <w:sz w:val="20"/>
        </w:rPr>
        <w:t>the “just</w:t>
      </w:r>
      <w:r w:rsidR="008739D9" w:rsidRPr="00625AD6">
        <w:rPr>
          <w:sz w:val="20"/>
        </w:rPr>
        <w:t>”</w:t>
      </w:r>
      <w:r w:rsidR="00644409" w:rsidRPr="00625AD6">
        <w:rPr>
          <w:sz w:val="20"/>
        </w:rPr>
        <w:t xml:space="preserve"> peace for which so many South Sudanese citizens yearn. </w:t>
      </w:r>
      <w:r w:rsidR="00644409" w:rsidRPr="00625AD6" w:rsidDel="0075418B">
        <w:rPr>
          <w:sz w:val="20"/>
        </w:rPr>
        <w:t xml:space="preserve">The delay </w:t>
      </w:r>
      <w:r w:rsidR="008739D9" w:rsidRPr="00625AD6">
        <w:rPr>
          <w:sz w:val="20"/>
        </w:rPr>
        <w:t>of</w:t>
      </w:r>
      <w:r w:rsidR="008739D9" w:rsidRPr="00625AD6" w:rsidDel="0075418B">
        <w:rPr>
          <w:sz w:val="20"/>
        </w:rPr>
        <w:t xml:space="preserve"> </w:t>
      </w:r>
      <w:r w:rsidR="00644409" w:rsidRPr="00625AD6" w:rsidDel="0075418B">
        <w:rPr>
          <w:sz w:val="20"/>
        </w:rPr>
        <w:t xml:space="preserve">the African Union in establishing </w:t>
      </w:r>
      <w:r w:rsidR="00637097" w:rsidRPr="00625AD6">
        <w:rPr>
          <w:sz w:val="20"/>
        </w:rPr>
        <w:t>the</w:t>
      </w:r>
      <w:r w:rsidR="008739D9" w:rsidRPr="00625AD6" w:rsidDel="0075418B">
        <w:rPr>
          <w:sz w:val="20"/>
        </w:rPr>
        <w:t xml:space="preserve"> </w:t>
      </w:r>
      <w:r w:rsidR="008739D9" w:rsidRPr="00625AD6">
        <w:rPr>
          <w:sz w:val="20"/>
        </w:rPr>
        <w:t>h</w:t>
      </w:r>
      <w:r w:rsidR="00644409" w:rsidRPr="00625AD6" w:rsidDel="0075418B">
        <w:rPr>
          <w:sz w:val="20"/>
        </w:rPr>
        <w:t xml:space="preserve">ybrid </w:t>
      </w:r>
      <w:r w:rsidR="008739D9" w:rsidRPr="00625AD6">
        <w:rPr>
          <w:sz w:val="20"/>
        </w:rPr>
        <w:t>c</w:t>
      </w:r>
      <w:r w:rsidR="00644409" w:rsidRPr="00625AD6" w:rsidDel="0075418B">
        <w:rPr>
          <w:sz w:val="20"/>
        </w:rPr>
        <w:t>ourt</w:t>
      </w:r>
      <w:r w:rsidR="00E40AB2" w:rsidRPr="00625AD6">
        <w:rPr>
          <w:sz w:val="20"/>
        </w:rPr>
        <w:t xml:space="preserve"> for South Sudan</w:t>
      </w:r>
      <w:r w:rsidR="00644409" w:rsidRPr="00625AD6" w:rsidDel="0075418B">
        <w:rPr>
          <w:sz w:val="20"/>
        </w:rPr>
        <w:t xml:space="preserve"> has led many to question whether these serious crimes</w:t>
      </w:r>
      <w:r w:rsidR="00E40AB2" w:rsidRPr="00625AD6">
        <w:rPr>
          <w:sz w:val="20"/>
        </w:rPr>
        <w:t xml:space="preserve"> and gross human rights violations and abuses</w:t>
      </w:r>
      <w:r w:rsidR="00644409" w:rsidRPr="00625AD6" w:rsidDel="0075418B">
        <w:rPr>
          <w:sz w:val="20"/>
        </w:rPr>
        <w:t xml:space="preserve"> </w:t>
      </w:r>
      <w:proofErr w:type="gramStart"/>
      <w:r w:rsidR="00644409" w:rsidRPr="00625AD6" w:rsidDel="0075418B">
        <w:rPr>
          <w:sz w:val="20"/>
        </w:rPr>
        <w:t>w</w:t>
      </w:r>
      <w:r w:rsidR="00E40AB2" w:rsidRPr="00625AD6">
        <w:rPr>
          <w:sz w:val="20"/>
        </w:rPr>
        <w:t>ould</w:t>
      </w:r>
      <w:r w:rsidR="00644409" w:rsidRPr="00625AD6" w:rsidDel="0075418B">
        <w:rPr>
          <w:sz w:val="20"/>
        </w:rPr>
        <w:t xml:space="preserve"> ever be prosecuted</w:t>
      </w:r>
      <w:proofErr w:type="gramEnd"/>
      <w:r w:rsidR="00644409" w:rsidRPr="00625AD6" w:rsidDel="0075418B">
        <w:rPr>
          <w:sz w:val="20"/>
        </w:rPr>
        <w:t xml:space="preserve">. </w:t>
      </w:r>
      <w:r w:rsidR="00644409" w:rsidRPr="00625AD6">
        <w:rPr>
          <w:sz w:val="20"/>
        </w:rPr>
        <w:t xml:space="preserve">As experiences in many </w:t>
      </w:r>
      <w:r w:rsidR="008739D9" w:rsidRPr="00625AD6">
        <w:rPr>
          <w:sz w:val="20"/>
        </w:rPr>
        <w:t xml:space="preserve">States </w:t>
      </w:r>
      <w:r w:rsidR="00644409" w:rsidRPr="00625AD6">
        <w:rPr>
          <w:sz w:val="20"/>
        </w:rPr>
        <w:t xml:space="preserve">in transition have demonstrated, peace and reconciliation </w:t>
      </w:r>
      <w:proofErr w:type="gramStart"/>
      <w:r w:rsidR="00644409" w:rsidRPr="00625AD6">
        <w:rPr>
          <w:sz w:val="20"/>
        </w:rPr>
        <w:t>can never be achieved</w:t>
      </w:r>
      <w:proofErr w:type="gramEnd"/>
      <w:r w:rsidR="00644409" w:rsidRPr="00625AD6">
        <w:rPr>
          <w:sz w:val="20"/>
        </w:rPr>
        <w:t xml:space="preserve"> without truth and justice. Any notion that peace comes first before justice </w:t>
      </w:r>
      <w:r w:rsidR="008739D9" w:rsidRPr="00625AD6">
        <w:rPr>
          <w:sz w:val="20"/>
        </w:rPr>
        <w:t xml:space="preserve">is to ignore </w:t>
      </w:r>
      <w:r w:rsidR="00644409" w:rsidRPr="00625AD6">
        <w:rPr>
          <w:sz w:val="20"/>
        </w:rPr>
        <w:t xml:space="preserve">the way they </w:t>
      </w:r>
      <w:proofErr w:type="gramStart"/>
      <w:r w:rsidR="00644409" w:rsidRPr="00625AD6">
        <w:rPr>
          <w:sz w:val="20"/>
        </w:rPr>
        <w:t>are linked</w:t>
      </w:r>
      <w:proofErr w:type="gramEnd"/>
      <w:r w:rsidR="00644409" w:rsidRPr="00625AD6">
        <w:rPr>
          <w:sz w:val="20"/>
        </w:rPr>
        <w:t xml:space="preserve">. Too many of those who </w:t>
      </w:r>
      <w:proofErr w:type="gramStart"/>
      <w:r w:rsidR="00644409" w:rsidRPr="00625AD6">
        <w:rPr>
          <w:sz w:val="20"/>
        </w:rPr>
        <w:t>say</w:t>
      </w:r>
      <w:proofErr w:type="gramEnd"/>
      <w:r w:rsidR="00644409" w:rsidRPr="00625AD6">
        <w:rPr>
          <w:sz w:val="20"/>
        </w:rPr>
        <w:t xml:space="preserve"> “justice should come later” really mean “justice should never come at all”, hoping that the passage of time leads to the elimination and degradation of evidence</w:t>
      </w:r>
      <w:r w:rsidR="008739D9" w:rsidRPr="00625AD6">
        <w:rPr>
          <w:sz w:val="20"/>
        </w:rPr>
        <w:t>,</w:t>
      </w:r>
      <w:r w:rsidR="00644409" w:rsidRPr="00625AD6">
        <w:rPr>
          <w:sz w:val="20"/>
        </w:rPr>
        <w:t xml:space="preserve"> and that international attention </w:t>
      </w:r>
      <w:r w:rsidR="008739D9" w:rsidRPr="00625AD6">
        <w:rPr>
          <w:sz w:val="20"/>
        </w:rPr>
        <w:t xml:space="preserve">will </w:t>
      </w:r>
      <w:r w:rsidR="00644409" w:rsidRPr="00625AD6">
        <w:rPr>
          <w:sz w:val="20"/>
        </w:rPr>
        <w:t>turn elsewhere.</w:t>
      </w:r>
    </w:p>
    <w:p w:rsidR="00507944" w:rsidRPr="00625AD6" w:rsidRDefault="00625AD6" w:rsidP="00625AD6">
      <w:pPr>
        <w:pStyle w:val="HChG"/>
      </w:pPr>
      <w:bookmarkStart w:id="232" w:name="_Toc474837215"/>
      <w:bookmarkStart w:id="233" w:name="_Toc474837216"/>
      <w:bookmarkEnd w:id="232"/>
      <w:r>
        <w:tab/>
      </w:r>
      <w:r w:rsidRPr="00625AD6">
        <w:t>VI.</w:t>
      </w:r>
      <w:r w:rsidRPr="00625AD6">
        <w:tab/>
      </w:r>
      <w:r w:rsidR="00644409" w:rsidRPr="00625AD6">
        <w:t>Conclusion and recommendations</w:t>
      </w:r>
      <w:bookmarkEnd w:id="233"/>
    </w:p>
    <w:p w:rsidR="00507944" w:rsidRPr="00DF202E" w:rsidRDefault="00625AD6" w:rsidP="00DF202E">
      <w:pPr>
        <w:pStyle w:val="H1G"/>
      </w:pPr>
      <w:bookmarkStart w:id="234" w:name="_Toc474703337"/>
      <w:bookmarkStart w:id="235" w:name="_Toc474703411"/>
      <w:bookmarkStart w:id="236" w:name="_Toc474703485"/>
      <w:bookmarkStart w:id="237" w:name="_Toc474703556"/>
      <w:bookmarkStart w:id="238" w:name="_Toc474703977"/>
      <w:bookmarkStart w:id="239" w:name="_Toc474703338"/>
      <w:bookmarkStart w:id="240" w:name="_Toc474703412"/>
      <w:bookmarkStart w:id="241" w:name="_Toc474703486"/>
      <w:bookmarkStart w:id="242" w:name="_Toc474703557"/>
      <w:bookmarkStart w:id="243" w:name="_Toc474703978"/>
      <w:bookmarkEnd w:id="234"/>
      <w:bookmarkEnd w:id="235"/>
      <w:bookmarkEnd w:id="236"/>
      <w:bookmarkEnd w:id="237"/>
      <w:bookmarkEnd w:id="238"/>
      <w:bookmarkEnd w:id="239"/>
      <w:bookmarkEnd w:id="240"/>
      <w:bookmarkEnd w:id="241"/>
      <w:bookmarkEnd w:id="242"/>
      <w:bookmarkEnd w:id="243"/>
      <w:r>
        <w:tab/>
      </w:r>
      <w:r w:rsidRPr="00DF202E">
        <w:t>A.</w:t>
      </w:r>
      <w:r w:rsidRPr="00DF202E">
        <w:tab/>
        <w:t>Conclusions</w:t>
      </w:r>
    </w:p>
    <w:p w:rsidR="00507944" w:rsidRPr="00625AD6" w:rsidRDefault="00625AD6" w:rsidP="00625AD6">
      <w:pPr>
        <w:pStyle w:val="SingleTxtG"/>
        <w:tabs>
          <w:tab w:val="left" w:pos="1701"/>
        </w:tabs>
        <w:rPr>
          <w:b/>
          <w:sz w:val="20"/>
        </w:rPr>
      </w:pPr>
      <w:r w:rsidRPr="00625AD6">
        <w:rPr>
          <w:sz w:val="20"/>
          <w:szCs w:val="20"/>
        </w:rPr>
        <w:t>81.</w:t>
      </w:r>
      <w:r w:rsidRPr="00625AD6">
        <w:rPr>
          <w:sz w:val="20"/>
          <w:szCs w:val="20"/>
        </w:rPr>
        <w:tab/>
      </w:r>
      <w:r w:rsidR="00644409" w:rsidRPr="00625AD6">
        <w:rPr>
          <w:b/>
          <w:sz w:val="20"/>
        </w:rPr>
        <w:t xml:space="preserve">Since the </w:t>
      </w:r>
      <w:r w:rsidR="008739D9" w:rsidRPr="00625AD6">
        <w:rPr>
          <w:b/>
          <w:sz w:val="20"/>
        </w:rPr>
        <w:t xml:space="preserve">outbreak of </w:t>
      </w:r>
      <w:r w:rsidR="00644409" w:rsidRPr="00625AD6">
        <w:rPr>
          <w:b/>
          <w:sz w:val="20"/>
        </w:rPr>
        <w:t>violence in July 2016, there has been a massive increase in gross human rights violations and abuses. Intense fighting and violence on a larger scale continued in February 2017, drawing renewed condemnation from the</w:t>
      </w:r>
      <w:r w:rsidR="00E40AB2" w:rsidRPr="00625AD6">
        <w:rPr>
          <w:b/>
          <w:sz w:val="20"/>
        </w:rPr>
        <w:t xml:space="preserve"> </w:t>
      </w:r>
      <w:r w:rsidR="00644409" w:rsidRPr="00625AD6">
        <w:rPr>
          <w:b/>
          <w:sz w:val="20"/>
        </w:rPr>
        <w:t xml:space="preserve">Security Council on 10 February and yet another call for those responsible to </w:t>
      </w:r>
      <w:proofErr w:type="gramStart"/>
      <w:r w:rsidR="00644409" w:rsidRPr="00625AD6">
        <w:rPr>
          <w:b/>
          <w:sz w:val="20"/>
        </w:rPr>
        <w:t>be held</w:t>
      </w:r>
      <w:proofErr w:type="gramEnd"/>
      <w:r w:rsidR="00644409" w:rsidRPr="00625AD6">
        <w:rPr>
          <w:b/>
          <w:sz w:val="20"/>
        </w:rPr>
        <w:t xml:space="preserve"> accountable. The conduct of the Government</w:t>
      </w:r>
      <w:r w:rsidR="006650BA" w:rsidRPr="00625AD6">
        <w:rPr>
          <w:b/>
          <w:sz w:val="20"/>
        </w:rPr>
        <w:t xml:space="preserve"> of South Sudan</w:t>
      </w:r>
      <w:r w:rsidR="00644409" w:rsidRPr="00625AD6">
        <w:rPr>
          <w:b/>
          <w:sz w:val="20"/>
        </w:rPr>
        <w:t xml:space="preserve"> and </w:t>
      </w:r>
      <w:r w:rsidR="00127214" w:rsidRPr="00625AD6">
        <w:rPr>
          <w:b/>
          <w:sz w:val="20"/>
        </w:rPr>
        <w:t xml:space="preserve">of </w:t>
      </w:r>
      <w:r w:rsidR="00644409" w:rsidRPr="00625AD6">
        <w:rPr>
          <w:b/>
          <w:sz w:val="20"/>
        </w:rPr>
        <w:t xml:space="preserve">other parties </w:t>
      </w:r>
      <w:r w:rsidR="005055E1" w:rsidRPr="00625AD6">
        <w:rPr>
          <w:b/>
          <w:sz w:val="20"/>
        </w:rPr>
        <w:t xml:space="preserve">to the conflict </w:t>
      </w:r>
      <w:r w:rsidR="00644409" w:rsidRPr="00625AD6">
        <w:rPr>
          <w:b/>
          <w:sz w:val="20"/>
        </w:rPr>
        <w:t xml:space="preserve">suggests </w:t>
      </w:r>
      <w:r w:rsidR="00127214" w:rsidRPr="00625AD6">
        <w:rPr>
          <w:b/>
          <w:sz w:val="20"/>
        </w:rPr>
        <w:t xml:space="preserve">the </w:t>
      </w:r>
      <w:r w:rsidR="00644409" w:rsidRPr="00625AD6">
        <w:rPr>
          <w:b/>
          <w:sz w:val="20"/>
        </w:rPr>
        <w:t xml:space="preserve">deliberate targeting of civilian populations </w:t>
      </w:r>
      <w:proofErr w:type="gramStart"/>
      <w:r w:rsidR="00644409" w:rsidRPr="00625AD6">
        <w:rPr>
          <w:b/>
          <w:sz w:val="20"/>
        </w:rPr>
        <w:t>on the basis of</w:t>
      </w:r>
      <w:proofErr w:type="gramEnd"/>
      <w:r w:rsidR="00644409" w:rsidRPr="00625AD6">
        <w:rPr>
          <w:b/>
          <w:sz w:val="20"/>
        </w:rPr>
        <w:t xml:space="preserve"> their ethnic identity </w:t>
      </w:r>
      <w:r w:rsidR="00127214" w:rsidRPr="00625AD6">
        <w:rPr>
          <w:b/>
          <w:sz w:val="20"/>
        </w:rPr>
        <w:t xml:space="preserve">by means of </w:t>
      </w:r>
      <w:r w:rsidR="00644409" w:rsidRPr="00625AD6">
        <w:rPr>
          <w:b/>
          <w:sz w:val="20"/>
        </w:rPr>
        <w:t>killings, abductions, unlawful detentions</w:t>
      </w:r>
      <w:r w:rsidR="005055E1" w:rsidRPr="00625AD6">
        <w:t xml:space="preserve"> </w:t>
      </w:r>
      <w:r w:rsidR="005055E1" w:rsidRPr="00625AD6">
        <w:rPr>
          <w:b/>
          <w:sz w:val="20"/>
          <w:szCs w:val="20"/>
        </w:rPr>
        <w:t>or deprivation of liberty</w:t>
      </w:r>
      <w:r w:rsidR="00644409" w:rsidRPr="00625AD6">
        <w:rPr>
          <w:b/>
          <w:sz w:val="20"/>
        </w:rPr>
        <w:t xml:space="preserve">, rape and sexual violence, </w:t>
      </w:r>
      <w:r w:rsidR="005055E1" w:rsidRPr="00625AD6">
        <w:rPr>
          <w:b/>
          <w:sz w:val="20"/>
        </w:rPr>
        <w:t xml:space="preserve">and </w:t>
      </w:r>
      <w:r w:rsidR="00644409" w:rsidRPr="00625AD6">
        <w:rPr>
          <w:b/>
          <w:sz w:val="20"/>
        </w:rPr>
        <w:t>the burning of villages and looting.</w:t>
      </w:r>
      <w:r w:rsidR="00974932" w:rsidRPr="00625AD6">
        <w:rPr>
          <w:b/>
          <w:sz w:val="20"/>
        </w:rPr>
        <w:t xml:space="preserve"> </w:t>
      </w:r>
    </w:p>
    <w:p w:rsidR="005055E1" w:rsidRPr="00625AD6" w:rsidRDefault="00625AD6" w:rsidP="00625AD6">
      <w:pPr>
        <w:pStyle w:val="SingleTxtG"/>
        <w:tabs>
          <w:tab w:val="left" w:pos="1701"/>
        </w:tabs>
        <w:rPr>
          <w:b/>
          <w:sz w:val="20"/>
        </w:rPr>
      </w:pPr>
      <w:r w:rsidRPr="00625AD6">
        <w:rPr>
          <w:sz w:val="20"/>
          <w:szCs w:val="20"/>
        </w:rPr>
        <w:t>82.</w:t>
      </w:r>
      <w:r w:rsidRPr="00625AD6">
        <w:rPr>
          <w:sz w:val="20"/>
          <w:szCs w:val="20"/>
        </w:rPr>
        <w:tab/>
      </w:r>
      <w:r w:rsidR="005055E1" w:rsidRPr="00625AD6">
        <w:rPr>
          <w:b/>
          <w:sz w:val="20"/>
        </w:rPr>
        <w:t xml:space="preserve">Following its two missions to South Sudan, the Commission warned that a process of ethnic cleansing was under way in the country. The Special Adviser on the Prevention of Genocide also warned that the indicators for genocide were in place, a warning he renewed on 7 February 2017. Warning signs and enablers for genocide and ethnic cleansing include the cover of an ongoing conflict to act as a “smoke screen”, several </w:t>
      </w:r>
      <w:r w:rsidR="00A63428" w:rsidRPr="00625AD6">
        <w:rPr>
          <w:b/>
          <w:sz w:val="20"/>
        </w:rPr>
        <w:t>low-level</w:t>
      </w:r>
      <w:r w:rsidR="005055E1" w:rsidRPr="00625AD6">
        <w:rPr>
          <w:b/>
          <w:sz w:val="20"/>
        </w:rPr>
        <w:t xml:space="preserve"> and isolated acts of violence to start the process, the dehumanization of others through hate speech, economic volatility and instability, deliberate starvation, the bombardment of and attacks against civilians, forced displacement and the burning of villages. </w:t>
      </w:r>
      <w:r w:rsidR="005055E1" w:rsidRPr="00625AD6">
        <w:rPr>
          <w:b/>
          <w:sz w:val="20"/>
          <w:szCs w:val="20"/>
        </w:rPr>
        <w:t xml:space="preserve">The targeting of civilians </w:t>
      </w:r>
      <w:proofErr w:type="gramStart"/>
      <w:r w:rsidR="005055E1" w:rsidRPr="00625AD6">
        <w:rPr>
          <w:b/>
          <w:sz w:val="20"/>
          <w:szCs w:val="20"/>
        </w:rPr>
        <w:t>on the basis of</w:t>
      </w:r>
      <w:proofErr w:type="gramEnd"/>
      <w:r w:rsidR="005055E1" w:rsidRPr="00625AD6">
        <w:rPr>
          <w:b/>
          <w:sz w:val="20"/>
          <w:szCs w:val="20"/>
        </w:rPr>
        <w:t xml:space="preserve"> their ethnic identity is unacceptable and amounts to ethnic cleansing.</w:t>
      </w:r>
    </w:p>
    <w:p w:rsidR="003B3292" w:rsidRPr="00625AD6" w:rsidRDefault="00625AD6" w:rsidP="00625AD6">
      <w:pPr>
        <w:pStyle w:val="SingleTxtG"/>
        <w:tabs>
          <w:tab w:val="left" w:pos="1701"/>
        </w:tabs>
        <w:rPr>
          <w:b/>
          <w:sz w:val="20"/>
        </w:rPr>
      </w:pPr>
      <w:r w:rsidRPr="00625AD6">
        <w:rPr>
          <w:sz w:val="20"/>
          <w:szCs w:val="20"/>
        </w:rPr>
        <w:t>83.</w:t>
      </w:r>
      <w:r w:rsidRPr="00625AD6">
        <w:rPr>
          <w:sz w:val="20"/>
          <w:szCs w:val="20"/>
        </w:rPr>
        <w:tab/>
      </w:r>
      <w:r w:rsidR="003B3292" w:rsidRPr="00625AD6">
        <w:rPr>
          <w:b/>
          <w:sz w:val="20"/>
          <w:szCs w:val="20"/>
        </w:rPr>
        <w:t xml:space="preserve">United Nations reports indicate that both government forces and non-State armed groups in South Sudan fail completely to uphold the principle of distinction </w:t>
      </w:r>
      <w:r w:rsidR="00D025DC" w:rsidRPr="00625AD6">
        <w:rPr>
          <w:b/>
          <w:sz w:val="20"/>
          <w:szCs w:val="20"/>
        </w:rPr>
        <w:t>between</w:t>
      </w:r>
      <w:r w:rsidR="003B3292" w:rsidRPr="00625AD6">
        <w:rPr>
          <w:b/>
          <w:sz w:val="20"/>
          <w:szCs w:val="20"/>
        </w:rPr>
        <w:t xml:space="preserve"> combatants, non-combatants and civilians. </w:t>
      </w:r>
    </w:p>
    <w:p w:rsidR="00507944" w:rsidRPr="00625AD6" w:rsidRDefault="00625AD6" w:rsidP="00625AD6">
      <w:pPr>
        <w:pStyle w:val="SingleTxtG"/>
        <w:tabs>
          <w:tab w:val="left" w:pos="1701"/>
        </w:tabs>
        <w:rPr>
          <w:b/>
          <w:sz w:val="20"/>
        </w:rPr>
      </w:pPr>
      <w:r w:rsidRPr="00625AD6">
        <w:rPr>
          <w:sz w:val="20"/>
          <w:szCs w:val="20"/>
        </w:rPr>
        <w:t>84.</w:t>
      </w:r>
      <w:r w:rsidRPr="00625AD6">
        <w:rPr>
          <w:sz w:val="20"/>
          <w:szCs w:val="20"/>
        </w:rPr>
        <w:tab/>
      </w:r>
      <w:r w:rsidR="00644409" w:rsidRPr="00625AD6">
        <w:rPr>
          <w:b/>
          <w:sz w:val="20"/>
        </w:rPr>
        <w:t xml:space="preserve">An abundance of </w:t>
      </w:r>
      <w:r w:rsidR="00127214" w:rsidRPr="00625AD6">
        <w:rPr>
          <w:b/>
          <w:sz w:val="20"/>
        </w:rPr>
        <w:t xml:space="preserve">reports prepared by the United Nations, the African Union and non-governmental organizations </w:t>
      </w:r>
      <w:r w:rsidR="00644409" w:rsidRPr="00625AD6">
        <w:rPr>
          <w:b/>
          <w:sz w:val="20"/>
        </w:rPr>
        <w:t xml:space="preserve">about the </w:t>
      </w:r>
      <w:r w:rsidR="00127214" w:rsidRPr="00625AD6">
        <w:rPr>
          <w:b/>
          <w:sz w:val="20"/>
        </w:rPr>
        <w:t xml:space="preserve">situation of </w:t>
      </w:r>
      <w:r w:rsidR="00644409" w:rsidRPr="00625AD6">
        <w:rPr>
          <w:b/>
          <w:sz w:val="20"/>
        </w:rPr>
        <w:t xml:space="preserve">human rights in South Sudan since December 2013 have </w:t>
      </w:r>
      <w:r w:rsidR="00D025DC" w:rsidRPr="00625AD6">
        <w:rPr>
          <w:b/>
          <w:sz w:val="20"/>
        </w:rPr>
        <w:t xml:space="preserve">documented credible allegations of widespread human rights violations and abuses, which if established before a court of law, may (depending on the circumstances) amount to war crimes. </w:t>
      </w:r>
      <w:r w:rsidR="00644409" w:rsidRPr="00625AD6">
        <w:rPr>
          <w:b/>
          <w:sz w:val="20"/>
        </w:rPr>
        <w:t xml:space="preserve">These reports and assessments are consistent and resonate with the Commission’s </w:t>
      </w:r>
      <w:r w:rsidR="00D025DC" w:rsidRPr="00625AD6">
        <w:rPr>
          <w:b/>
          <w:sz w:val="20"/>
        </w:rPr>
        <w:t xml:space="preserve">findings based on </w:t>
      </w:r>
      <w:r w:rsidR="00644409" w:rsidRPr="00625AD6">
        <w:rPr>
          <w:b/>
          <w:sz w:val="20"/>
        </w:rPr>
        <w:t>interviews with South Sudanese victims across the country</w:t>
      </w:r>
      <w:r w:rsidR="00127214" w:rsidRPr="00625AD6">
        <w:rPr>
          <w:b/>
          <w:sz w:val="20"/>
        </w:rPr>
        <w:t>,</w:t>
      </w:r>
      <w:r w:rsidR="00644409" w:rsidRPr="00625AD6">
        <w:rPr>
          <w:b/>
          <w:sz w:val="20"/>
        </w:rPr>
        <w:t xml:space="preserve"> and U</w:t>
      </w:r>
      <w:r w:rsidR="00127214" w:rsidRPr="00625AD6">
        <w:rPr>
          <w:b/>
          <w:sz w:val="20"/>
        </w:rPr>
        <w:t>nited Nations, African Union</w:t>
      </w:r>
      <w:r w:rsidR="003B3292" w:rsidRPr="00625AD6">
        <w:rPr>
          <w:b/>
          <w:sz w:val="20"/>
        </w:rPr>
        <w:t xml:space="preserve"> </w:t>
      </w:r>
      <w:r w:rsidR="00644409" w:rsidRPr="00625AD6">
        <w:rPr>
          <w:b/>
          <w:sz w:val="20"/>
        </w:rPr>
        <w:t xml:space="preserve">and other officials in the region. </w:t>
      </w:r>
    </w:p>
    <w:p w:rsidR="00507944" w:rsidRPr="00625AD6" w:rsidRDefault="00625AD6" w:rsidP="00625AD6">
      <w:pPr>
        <w:pStyle w:val="SingleTxtG"/>
        <w:tabs>
          <w:tab w:val="left" w:pos="1701"/>
        </w:tabs>
        <w:rPr>
          <w:b/>
          <w:sz w:val="20"/>
        </w:rPr>
      </w:pPr>
      <w:r w:rsidRPr="00625AD6">
        <w:rPr>
          <w:sz w:val="20"/>
          <w:szCs w:val="20"/>
        </w:rPr>
        <w:t>85.</w:t>
      </w:r>
      <w:r w:rsidRPr="00625AD6">
        <w:rPr>
          <w:sz w:val="20"/>
          <w:szCs w:val="20"/>
        </w:rPr>
        <w:tab/>
      </w:r>
      <w:r w:rsidR="00644409" w:rsidRPr="00625AD6">
        <w:rPr>
          <w:b/>
          <w:sz w:val="20"/>
        </w:rPr>
        <w:t xml:space="preserve">Reports indicate that </w:t>
      </w:r>
      <w:proofErr w:type="gramStart"/>
      <w:r w:rsidR="00644409" w:rsidRPr="00625AD6">
        <w:rPr>
          <w:b/>
          <w:sz w:val="20"/>
        </w:rPr>
        <w:t xml:space="preserve">these violations have mainly been committed by government soldiers, members of the National Security Service, police officers and militias aligned </w:t>
      </w:r>
      <w:r w:rsidR="00CC38BD" w:rsidRPr="00625AD6">
        <w:rPr>
          <w:b/>
          <w:sz w:val="20"/>
        </w:rPr>
        <w:t>with</w:t>
      </w:r>
      <w:r w:rsidR="00644409" w:rsidRPr="00625AD6">
        <w:rPr>
          <w:b/>
          <w:sz w:val="20"/>
        </w:rPr>
        <w:t xml:space="preserve"> SPLA</w:t>
      </w:r>
      <w:proofErr w:type="gramEnd"/>
      <w:r w:rsidR="00644409" w:rsidRPr="00625AD6">
        <w:rPr>
          <w:b/>
          <w:sz w:val="20"/>
        </w:rPr>
        <w:t xml:space="preserve">. Human rights violations and abuses have also been committed by </w:t>
      </w:r>
      <w:r w:rsidR="004F5206" w:rsidRPr="00625AD6">
        <w:rPr>
          <w:b/>
          <w:sz w:val="20"/>
        </w:rPr>
        <w:t>SPLM/</w:t>
      </w:r>
      <w:proofErr w:type="gramStart"/>
      <w:r w:rsidR="004F5206" w:rsidRPr="00625AD6">
        <w:rPr>
          <w:b/>
          <w:sz w:val="20"/>
        </w:rPr>
        <w:t>A</w:t>
      </w:r>
      <w:proofErr w:type="gramEnd"/>
      <w:r w:rsidR="004F5206" w:rsidRPr="00625AD6">
        <w:rPr>
          <w:b/>
          <w:sz w:val="20"/>
        </w:rPr>
        <w:t xml:space="preserve"> in Opposition</w:t>
      </w:r>
      <w:r w:rsidR="004F5206" w:rsidRPr="00625AD6">
        <w:rPr>
          <w:sz w:val="20"/>
        </w:rPr>
        <w:t xml:space="preserve"> </w:t>
      </w:r>
      <w:r w:rsidR="00644409" w:rsidRPr="00625AD6">
        <w:rPr>
          <w:b/>
          <w:sz w:val="20"/>
        </w:rPr>
        <w:t>and militia groups aligned with them, albeit on a smaller scale.</w:t>
      </w:r>
    </w:p>
    <w:p w:rsidR="00507944" w:rsidRPr="00625AD6" w:rsidRDefault="00625AD6" w:rsidP="00625AD6">
      <w:pPr>
        <w:pStyle w:val="SingleTxtG"/>
        <w:tabs>
          <w:tab w:val="left" w:pos="1701"/>
        </w:tabs>
        <w:rPr>
          <w:b/>
          <w:sz w:val="20"/>
        </w:rPr>
      </w:pPr>
      <w:r w:rsidRPr="00625AD6">
        <w:rPr>
          <w:sz w:val="20"/>
          <w:szCs w:val="20"/>
        </w:rPr>
        <w:t>86.</w:t>
      </w:r>
      <w:r w:rsidRPr="00625AD6">
        <w:rPr>
          <w:sz w:val="20"/>
          <w:szCs w:val="20"/>
        </w:rPr>
        <w:tab/>
      </w:r>
      <w:r w:rsidR="00644409" w:rsidRPr="00625AD6">
        <w:rPr>
          <w:b/>
          <w:sz w:val="20"/>
        </w:rPr>
        <w:t xml:space="preserve">The Commission deems the continued restrictions </w:t>
      </w:r>
      <w:r w:rsidR="00D025DC" w:rsidRPr="00625AD6">
        <w:rPr>
          <w:b/>
          <w:sz w:val="20"/>
        </w:rPr>
        <w:t xml:space="preserve">and impediments on access to vulnerable populations </w:t>
      </w:r>
      <w:r w:rsidR="00644409" w:rsidRPr="00625AD6">
        <w:rPr>
          <w:b/>
          <w:sz w:val="20"/>
        </w:rPr>
        <w:t>placed on the U</w:t>
      </w:r>
      <w:r w:rsidR="00CC38BD" w:rsidRPr="00625AD6">
        <w:rPr>
          <w:b/>
          <w:sz w:val="20"/>
        </w:rPr>
        <w:t xml:space="preserve">nited </w:t>
      </w:r>
      <w:r w:rsidR="00644409" w:rsidRPr="00625AD6">
        <w:rPr>
          <w:b/>
          <w:sz w:val="20"/>
        </w:rPr>
        <w:t>N</w:t>
      </w:r>
      <w:r w:rsidR="00CC38BD" w:rsidRPr="00625AD6">
        <w:rPr>
          <w:b/>
          <w:sz w:val="20"/>
        </w:rPr>
        <w:t>ations</w:t>
      </w:r>
      <w:r w:rsidR="00644409" w:rsidRPr="00625AD6">
        <w:rPr>
          <w:b/>
          <w:sz w:val="20"/>
        </w:rPr>
        <w:t xml:space="preserve"> and humanitarian agencies</w:t>
      </w:r>
      <w:r w:rsidR="006650BA" w:rsidRPr="00625AD6">
        <w:rPr>
          <w:b/>
          <w:sz w:val="20"/>
        </w:rPr>
        <w:t xml:space="preserve"> operating in </w:t>
      </w:r>
      <w:r w:rsidR="00CC38BD" w:rsidRPr="00625AD6">
        <w:rPr>
          <w:b/>
          <w:sz w:val="20"/>
        </w:rPr>
        <w:t>South Sudan</w:t>
      </w:r>
      <w:r w:rsidR="00D025DC" w:rsidRPr="00625AD6">
        <w:rPr>
          <w:b/>
          <w:sz w:val="20"/>
        </w:rPr>
        <w:t xml:space="preserve"> unlawful</w:t>
      </w:r>
      <w:r w:rsidR="00644409" w:rsidRPr="00625AD6">
        <w:rPr>
          <w:b/>
          <w:sz w:val="20"/>
        </w:rPr>
        <w:t xml:space="preserve">. The </w:t>
      </w:r>
      <w:r w:rsidR="00D025DC" w:rsidRPr="00625AD6">
        <w:rPr>
          <w:b/>
          <w:sz w:val="20"/>
        </w:rPr>
        <w:t xml:space="preserve">“scorched earth” policy may amount to </w:t>
      </w:r>
      <w:r w:rsidR="00644409" w:rsidRPr="00625AD6">
        <w:rPr>
          <w:b/>
          <w:sz w:val="20"/>
        </w:rPr>
        <w:t>starvation</w:t>
      </w:r>
      <w:r w:rsidR="00D025DC" w:rsidRPr="00625AD6">
        <w:rPr>
          <w:b/>
          <w:sz w:val="20"/>
        </w:rPr>
        <w:t xml:space="preserve">, which </w:t>
      </w:r>
      <w:proofErr w:type="gramStart"/>
      <w:r w:rsidR="00D025DC" w:rsidRPr="00625AD6">
        <w:rPr>
          <w:b/>
          <w:sz w:val="20"/>
        </w:rPr>
        <w:t>is prohibited</w:t>
      </w:r>
      <w:proofErr w:type="gramEnd"/>
      <w:r w:rsidR="00D025DC" w:rsidRPr="00625AD6">
        <w:rPr>
          <w:b/>
          <w:sz w:val="20"/>
        </w:rPr>
        <w:t xml:space="preserve"> by international law</w:t>
      </w:r>
      <w:r w:rsidR="00644409" w:rsidRPr="00625AD6">
        <w:rPr>
          <w:b/>
          <w:sz w:val="20"/>
        </w:rPr>
        <w:t xml:space="preserve"> as a method of warfare, as is denying civilians safe passage from besieged areas. </w:t>
      </w:r>
      <w:r w:rsidR="00D025DC" w:rsidRPr="00625AD6">
        <w:rPr>
          <w:b/>
          <w:sz w:val="20"/>
          <w:szCs w:val="20"/>
        </w:rPr>
        <w:t xml:space="preserve">The civilian population </w:t>
      </w:r>
      <w:proofErr w:type="gramStart"/>
      <w:r w:rsidR="00D025DC" w:rsidRPr="00625AD6">
        <w:rPr>
          <w:b/>
          <w:sz w:val="20"/>
          <w:szCs w:val="20"/>
        </w:rPr>
        <w:t>is not provided</w:t>
      </w:r>
      <w:proofErr w:type="gramEnd"/>
      <w:r w:rsidR="00D025DC" w:rsidRPr="00625AD6">
        <w:rPr>
          <w:b/>
          <w:sz w:val="20"/>
          <w:szCs w:val="20"/>
        </w:rPr>
        <w:t xml:space="preserve"> with adequate food or access to health care, and their right to life is often threatened or breached by all parties to the conflict throughout the country.</w:t>
      </w:r>
      <w:r w:rsidR="00D025DC" w:rsidRPr="00625AD6">
        <w:rPr>
          <w:b/>
        </w:rPr>
        <w:t xml:space="preserve"> </w:t>
      </w:r>
      <w:r w:rsidR="00D025DC" w:rsidRPr="00625AD6">
        <w:rPr>
          <w:b/>
          <w:sz w:val="20"/>
          <w:szCs w:val="20"/>
        </w:rPr>
        <w:t>Moreover,</w:t>
      </w:r>
      <w:r w:rsidR="00D025DC" w:rsidRPr="00625AD6">
        <w:rPr>
          <w:b/>
        </w:rPr>
        <w:t xml:space="preserve"> </w:t>
      </w:r>
      <w:r w:rsidR="00644409" w:rsidRPr="00625AD6">
        <w:rPr>
          <w:b/>
          <w:sz w:val="20"/>
        </w:rPr>
        <w:t xml:space="preserve">the special duty of care </w:t>
      </w:r>
      <w:r w:rsidR="00CC38BD" w:rsidRPr="00625AD6">
        <w:rPr>
          <w:b/>
          <w:sz w:val="20"/>
        </w:rPr>
        <w:t>for</w:t>
      </w:r>
      <w:r w:rsidR="00644409" w:rsidRPr="00625AD6">
        <w:rPr>
          <w:b/>
          <w:sz w:val="20"/>
        </w:rPr>
        <w:t xml:space="preserve"> the well</w:t>
      </w:r>
      <w:r w:rsidR="00CC38BD" w:rsidRPr="00625AD6">
        <w:rPr>
          <w:b/>
          <w:sz w:val="20"/>
        </w:rPr>
        <w:t>-</w:t>
      </w:r>
      <w:r w:rsidR="00644409" w:rsidRPr="00625AD6">
        <w:rPr>
          <w:b/>
          <w:sz w:val="20"/>
        </w:rPr>
        <w:t>being of children continue</w:t>
      </w:r>
      <w:r w:rsidR="00D025DC" w:rsidRPr="00625AD6">
        <w:rPr>
          <w:b/>
          <w:sz w:val="20"/>
        </w:rPr>
        <w:t>s</w:t>
      </w:r>
      <w:r w:rsidR="00644409" w:rsidRPr="00625AD6">
        <w:rPr>
          <w:b/>
          <w:sz w:val="20"/>
        </w:rPr>
        <w:t xml:space="preserve"> to </w:t>
      </w:r>
      <w:proofErr w:type="gramStart"/>
      <w:r w:rsidR="00644409" w:rsidRPr="00625AD6">
        <w:rPr>
          <w:b/>
          <w:sz w:val="20"/>
        </w:rPr>
        <w:t>be breached</w:t>
      </w:r>
      <w:proofErr w:type="gramEnd"/>
      <w:r w:rsidR="00644409" w:rsidRPr="00625AD6">
        <w:rPr>
          <w:b/>
          <w:sz w:val="20"/>
        </w:rPr>
        <w:t xml:space="preserve">. </w:t>
      </w:r>
    </w:p>
    <w:p w:rsidR="00507944" w:rsidRPr="00625AD6" w:rsidRDefault="00625AD6" w:rsidP="00625AD6">
      <w:pPr>
        <w:pStyle w:val="SingleTxtG"/>
        <w:tabs>
          <w:tab w:val="left" w:pos="1701"/>
        </w:tabs>
        <w:rPr>
          <w:b/>
          <w:sz w:val="20"/>
        </w:rPr>
      </w:pPr>
      <w:r w:rsidRPr="00625AD6">
        <w:rPr>
          <w:sz w:val="20"/>
          <w:szCs w:val="20"/>
        </w:rPr>
        <w:t>87.</w:t>
      </w:r>
      <w:r w:rsidRPr="00625AD6">
        <w:rPr>
          <w:sz w:val="20"/>
          <w:szCs w:val="20"/>
        </w:rPr>
        <w:tab/>
      </w:r>
      <w:r w:rsidR="00644409" w:rsidRPr="00625AD6">
        <w:rPr>
          <w:b/>
          <w:sz w:val="20"/>
        </w:rPr>
        <w:t xml:space="preserve">The </w:t>
      </w:r>
      <w:r w:rsidR="00D025DC" w:rsidRPr="00625AD6">
        <w:rPr>
          <w:b/>
          <w:sz w:val="20"/>
        </w:rPr>
        <w:t xml:space="preserve">continued </w:t>
      </w:r>
      <w:r w:rsidR="00644409" w:rsidRPr="00625AD6">
        <w:rPr>
          <w:b/>
          <w:sz w:val="20"/>
        </w:rPr>
        <w:t>denial of access by the Government of South Sudan to UNMISS and associated U</w:t>
      </w:r>
      <w:r w:rsidR="00CC38BD" w:rsidRPr="00625AD6">
        <w:rPr>
          <w:b/>
          <w:sz w:val="20"/>
        </w:rPr>
        <w:t xml:space="preserve">nited </w:t>
      </w:r>
      <w:r w:rsidR="00644409" w:rsidRPr="00625AD6">
        <w:rPr>
          <w:b/>
          <w:sz w:val="20"/>
        </w:rPr>
        <w:t>N</w:t>
      </w:r>
      <w:r w:rsidR="00CC38BD" w:rsidRPr="00625AD6">
        <w:rPr>
          <w:b/>
          <w:sz w:val="20"/>
        </w:rPr>
        <w:t>ations</w:t>
      </w:r>
      <w:r w:rsidR="00644409" w:rsidRPr="00625AD6">
        <w:rPr>
          <w:b/>
          <w:sz w:val="20"/>
        </w:rPr>
        <w:t xml:space="preserve"> agencies </w:t>
      </w:r>
      <w:r w:rsidR="00D025DC" w:rsidRPr="00625AD6">
        <w:rPr>
          <w:b/>
          <w:sz w:val="20"/>
        </w:rPr>
        <w:t xml:space="preserve">to conflict-affected areas </w:t>
      </w:r>
      <w:r w:rsidR="00644409" w:rsidRPr="00625AD6">
        <w:rPr>
          <w:b/>
          <w:sz w:val="20"/>
        </w:rPr>
        <w:t xml:space="preserve">also has a </w:t>
      </w:r>
      <w:r w:rsidR="00D025DC" w:rsidRPr="00625AD6">
        <w:rPr>
          <w:b/>
          <w:sz w:val="20"/>
        </w:rPr>
        <w:t xml:space="preserve">negative impact </w:t>
      </w:r>
      <w:r w:rsidR="00644409" w:rsidRPr="00625AD6">
        <w:rPr>
          <w:b/>
          <w:sz w:val="20"/>
        </w:rPr>
        <w:t xml:space="preserve">on the mandate </w:t>
      </w:r>
      <w:r w:rsidR="00CC38BD" w:rsidRPr="00625AD6">
        <w:rPr>
          <w:b/>
          <w:sz w:val="20"/>
        </w:rPr>
        <w:t xml:space="preserve">of the United Nations </w:t>
      </w:r>
      <w:r w:rsidR="00644409" w:rsidRPr="00625AD6">
        <w:rPr>
          <w:b/>
          <w:sz w:val="20"/>
        </w:rPr>
        <w:t>to monitor and report on human rights violations and abuses.</w:t>
      </w:r>
    </w:p>
    <w:p w:rsidR="00637097" w:rsidRPr="00625AD6" w:rsidRDefault="00625AD6" w:rsidP="00625AD6">
      <w:pPr>
        <w:pStyle w:val="SingleTxtG"/>
        <w:tabs>
          <w:tab w:val="left" w:pos="1701"/>
        </w:tabs>
        <w:rPr>
          <w:b/>
          <w:sz w:val="20"/>
        </w:rPr>
      </w:pPr>
      <w:r w:rsidRPr="00625AD6">
        <w:rPr>
          <w:sz w:val="20"/>
          <w:szCs w:val="20"/>
        </w:rPr>
        <w:t>88.</w:t>
      </w:r>
      <w:r w:rsidRPr="00625AD6">
        <w:rPr>
          <w:sz w:val="20"/>
          <w:szCs w:val="20"/>
        </w:rPr>
        <w:tab/>
      </w:r>
      <w:r w:rsidR="00644409" w:rsidRPr="00625AD6">
        <w:rPr>
          <w:b/>
          <w:sz w:val="20"/>
        </w:rPr>
        <w:t xml:space="preserve">The </w:t>
      </w:r>
      <w:r w:rsidR="00884DC1" w:rsidRPr="00625AD6">
        <w:rPr>
          <w:b/>
          <w:sz w:val="20"/>
        </w:rPr>
        <w:t xml:space="preserve">conflict in South Sudan has resulted in an </w:t>
      </w:r>
      <w:r w:rsidR="00644409" w:rsidRPr="00625AD6">
        <w:rPr>
          <w:b/>
          <w:sz w:val="20"/>
        </w:rPr>
        <w:t xml:space="preserve">extremely </w:t>
      </w:r>
      <w:r w:rsidR="003B3292" w:rsidRPr="00625AD6">
        <w:rPr>
          <w:b/>
          <w:sz w:val="20"/>
        </w:rPr>
        <w:t xml:space="preserve">large </w:t>
      </w:r>
      <w:r w:rsidR="00E61FDC" w:rsidRPr="00625AD6">
        <w:rPr>
          <w:b/>
          <w:sz w:val="20"/>
        </w:rPr>
        <w:t xml:space="preserve">number of cases </w:t>
      </w:r>
      <w:r w:rsidR="00644409" w:rsidRPr="00625AD6">
        <w:rPr>
          <w:b/>
          <w:sz w:val="20"/>
        </w:rPr>
        <w:t>of conflict-related sexual violence</w:t>
      </w:r>
      <w:r w:rsidR="00884DC1" w:rsidRPr="00625AD6">
        <w:rPr>
          <w:b/>
          <w:sz w:val="20"/>
        </w:rPr>
        <w:t>. Impunity for conflict-related sexual violence has become</w:t>
      </w:r>
      <w:r w:rsidR="00644409" w:rsidRPr="00625AD6">
        <w:rPr>
          <w:b/>
          <w:sz w:val="20"/>
        </w:rPr>
        <w:t xml:space="preserve"> entrenched</w:t>
      </w:r>
      <w:r w:rsidR="00884DC1" w:rsidRPr="00625AD6">
        <w:rPr>
          <w:b/>
          <w:sz w:val="20"/>
        </w:rPr>
        <w:t>, and is a direct consequence of</w:t>
      </w:r>
      <w:r w:rsidR="00644409" w:rsidRPr="00625AD6">
        <w:rPr>
          <w:b/>
          <w:sz w:val="20"/>
        </w:rPr>
        <w:t xml:space="preserve"> </w:t>
      </w:r>
      <w:r w:rsidR="00884DC1" w:rsidRPr="00625AD6">
        <w:rPr>
          <w:b/>
          <w:sz w:val="20"/>
        </w:rPr>
        <w:t xml:space="preserve">the </w:t>
      </w:r>
      <w:r w:rsidR="00644409" w:rsidRPr="00625AD6">
        <w:rPr>
          <w:b/>
          <w:sz w:val="20"/>
        </w:rPr>
        <w:t xml:space="preserve">failure </w:t>
      </w:r>
      <w:r w:rsidR="00884DC1" w:rsidRPr="00625AD6">
        <w:rPr>
          <w:b/>
          <w:sz w:val="20"/>
        </w:rPr>
        <w:t>of</w:t>
      </w:r>
      <w:r w:rsidR="00644409" w:rsidRPr="00625AD6">
        <w:rPr>
          <w:b/>
          <w:sz w:val="20"/>
        </w:rPr>
        <w:t xml:space="preserve"> the Government to </w:t>
      </w:r>
      <w:r w:rsidR="00884DC1" w:rsidRPr="00625AD6">
        <w:rPr>
          <w:b/>
          <w:sz w:val="20"/>
        </w:rPr>
        <w:t xml:space="preserve">take action against </w:t>
      </w:r>
      <w:r w:rsidR="00644409" w:rsidRPr="00625AD6">
        <w:rPr>
          <w:b/>
          <w:sz w:val="20"/>
        </w:rPr>
        <w:t>perpetrat</w:t>
      </w:r>
      <w:r w:rsidR="00884DC1" w:rsidRPr="00625AD6">
        <w:rPr>
          <w:b/>
          <w:sz w:val="20"/>
        </w:rPr>
        <w:t>ors</w:t>
      </w:r>
      <w:r w:rsidR="00644409" w:rsidRPr="00625AD6">
        <w:rPr>
          <w:b/>
          <w:sz w:val="20"/>
        </w:rPr>
        <w:t xml:space="preserve"> </w:t>
      </w:r>
      <w:r w:rsidR="00884DC1" w:rsidRPr="00625AD6">
        <w:rPr>
          <w:b/>
          <w:sz w:val="20"/>
        </w:rPr>
        <w:t xml:space="preserve">of </w:t>
      </w:r>
      <w:r w:rsidR="00644409" w:rsidRPr="00625AD6">
        <w:rPr>
          <w:b/>
          <w:sz w:val="20"/>
        </w:rPr>
        <w:t xml:space="preserve">such </w:t>
      </w:r>
      <w:proofErr w:type="gramStart"/>
      <w:r w:rsidR="00644409" w:rsidRPr="00625AD6">
        <w:rPr>
          <w:b/>
          <w:sz w:val="20"/>
        </w:rPr>
        <w:t>violations,</w:t>
      </w:r>
      <w:proofErr w:type="gramEnd"/>
      <w:r w:rsidR="00644409" w:rsidRPr="00625AD6">
        <w:rPr>
          <w:b/>
          <w:sz w:val="20"/>
        </w:rPr>
        <w:t xml:space="preserve"> and </w:t>
      </w:r>
      <w:r w:rsidR="00884DC1" w:rsidRPr="00625AD6">
        <w:rPr>
          <w:b/>
          <w:sz w:val="20"/>
        </w:rPr>
        <w:t xml:space="preserve">to hold </w:t>
      </w:r>
      <w:r w:rsidR="00644409" w:rsidRPr="00625AD6">
        <w:rPr>
          <w:b/>
          <w:sz w:val="20"/>
        </w:rPr>
        <w:t>their commanders and superiors</w:t>
      </w:r>
      <w:r w:rsidR="00884DC1" w:rsidRPr="00625AD6">
        <w:rPr>
          <w:b/>
          <w:sz w:val="20"/>
        </w:rPr>
        <w:t xml:space="preserve"> </w:t>
      </w:r>
      <w:r w:rsidR="00637097" w:rsidRPr="00625AD6">
        <w:rPr>
          <w:b/>
          <w:sz w:val="20"/>
        </w:rPr>
        <w:t xml:space="preserve">to </w:t>
      </w:r>
      <w:r w:rsidR="00644409" w:rsidRPr="00625AD6">
        <w:rPr>
          <w:b/>
          <w:sz w:val="20"/>
        </w:rPr>
        <w:t>account.</w:t>
      </w:r>
    </w:p>
    <w:p w:rsidR="00507944" w:rsidRPr="00625AD6" w:rsidRDefault="00625AD6" w:rsidP="00625AD6">
      <w:pPr>
        <w:pStyle w:val="SingleTxtG"/>
        <w:tabs>
          <w:tab w:val="left" w:pos="1701"/>
        </w:tabs>
        <w:rPr>
          <w:b/>
          <w:sz w:val="20"/>
        </w:rPr>
      </w:pPr>
      <w:r w:rsidRPr="00625AD6">
        <w:rPr>
          <w:sz w:val="20"/>
          <w:szCs w:val="20"/>
        </w:rPr>
        <w:t>89.</w:t>
      </w:r>
      <w:r w:rsidRPr="00625AD6">
        <w:rPr>
          <w:sz w:val="20"/>
          <w:szCs w:val="20"/>
        </w:rPr>
        <w:tab/>
      </w:r>
      <w:r w:rsidR="00644409" w:rsidRPr="00625AD6">
        <w:rPr>
          <w:b/>
          <w:sz w:val="20"/>
        </w:rPr>
        <w:t xml:space="preserve">The magnitude and intensity of the </w:t>
      </w:r>
      <w:r w:rsidR="00884DC1" w:rsidRPr="00625AD6">
        <w:rPr>
          <w:b/>
          <w:sz w:val="20"/>
          <w:szCs w:val="20"/>
        </w:rPr>
        <w:t>non-international armed conflict</w:t>
      </w:r>
      <w:r w:rsidR="00644409" w:rsidRPr="00625AD6">
        <w:rPr>
          <w:b/>
          <w:sz w:val="20"/>
        </w:rPr>
        <w:t xml:space="preserve">, the precarious economic situation, the deliberate denial of humanitarian assistance, </w:t>
      </w:r>
      <w:r w:rsidR="00A44872" w:rsidRPr="00625AD6">
        <w:rPr>
          <w:b/>
          <w:sz w:val="20"/>
        </w:rPr>
        <w:t xml:space="preserve">and the </w:t>
      </w:r>
      <w:r w:rsidR="00644409" w:rsidRPr="00625AD6">
        <w:rPr>
          <w:b/>
          <w:sz w:val="20"/>
        </w:rPr>
        <w:t>indiscriminate shelling and targeting of communities based on their ethnicity all attest to the gravity of the situation in South Sudan.</w:t>
      </w:r>
      <w:r w:rsidR="00974932" w:rsidRPr="00625AD6">
        <w:rPr>
          <w:b/>
          <w:sz w:val="20"/>
        </w:rPr>
        <w:t xml:space="preserve"> </w:t>
      </w:r>
      <w:r w:rsidR="00644409" w:rsidRPr="00625AD6">
        <w:rPr>
          <w:b/>
          <w:sz w:val="20"/>
        </w:rPr>
        <w:t>The international community, including IGAD</w:t>
      </w:r>
      <w:r w:rsidR="00884DC1" w:rsidRPr="00625AD6">
        <w:rPr>
          <w:b/>
          <w:sz w:val="20"/>
        </w:rPr>
        <w:t>,</w:t>
      </w:r>
      <w:r w:rsidR="00644409" w:rsidRPr="00625AD6">
        <w:rPr>
          <w:b/>
          <w:sz w:val="20"/>
        </w:rPr>
        <w:t xml:space="preserve"> the A</w:t>
      </w:r>
      <w:r w:rsidR="00A44872" w:rsidRPr="00625AD6">
        <w:rPr>
          <w:b/>
          <w:sz w:val="20"/>
        </w:rPr>
        <w:t xml:space="preserve">frican </w:t>
      </w:r>
      <w:r w:rsidR="00644409" w:rsidRPr="00625AD6">
        <w:rPr>
          <w:b/>
          <w:sz w:val="20"/>
        </w:rPr>
        <w:t>U</w:t>
      </w:r>
      <w:r w:rsidR="00A44872" w:rsidRPr="00625AD6">
        <w:rPr>
          <w:b/>
          <w:sz w:val="20"/>
        </w:rPr>
        <w:t>nion</w:t>
      </w:r>
      <w:r w:rsidR="00884DC1" w:rsidRPr="00625AD6">
        <w:rPr>
          <w:b/>
          <w:sz w:val="20"/>
        </w:rPr>
        <w:t xml:space="preserve"> and the United Nations</w:t>
      </w:r>
      <w:r w:rsidR="00644409" w:rsidRPr="00625AD6">
        <w:rPr>
          <w:b/>
          <w:sz w:val="20"/>
        </w:rPr>
        <w:t xml:space="preserve">, </w:t>
      </w:r>
      <w:r w:rsidR="00581A49" w:rsidRPr="00625AD6">
        <w:rPr>
          <w:b/>
          <w:sz w:val="20"/>
        </w:rPr>
        <w:t>should</w:t>
      </w:r>
      <w:r w:rsidR="00644409" w:rsidRPr="00625AD6">
        <w:rPr>
          <w:b/>
          <w:sz w:val="20"/>
        </w:rPr>
        <w:t xml:space="preserve"> act with utmost urgency to </w:t>
      </w:r>
      <w:r w:rsidR="00884DC1" w:rsidRPr="00625AD6">
        <w:rPr>
          <w:b/>
          <w:sz w:val="20"/>
        </w:rPr>
        <w:t xml:space="preserve">maintain the pressure on </w:t>
      </w:r>
      <w:r w:rsidR="00644409" w:rsidRPr="00625AD6">
        <w:rPr>
          <w:b/>
          <w:sz w:val="20"/>
        </w:rPr>
        <w:t xml:space="preserve">the Government of South Sudan </w:t>
      </w:r>
      <w:r w:rsidR="00884DC1" w:rsidRPr="00625AD6">
        <w:rPr>
          <w:b/>
          <w:sz w:val="20"/>
        </w:rPr>
        <w:t>and non-State actors to end the conflict</w:t>
      </w:r>
      <w:r w:rsidR="00884DC1" w:rsidRPr="00625AD6" w:rsidDel="00884DC1">
        <w:rPr>
          <w:b/>
          <w:sz w:val="20"/>
        </w:rPr>
        <w:t xml:space="preserve"> </w:t>
      </w:r>
      <w:r w:rsidR="00644409" w:rsidRPr="00625AD6">
        <w:rPr>
          <w:b/>
          <w:sz w:val="20"/>
        </w:rPr>
        <w:t>immediate</w:t>
      </w:r>
      <w:r w:rsidR="00884DC1" w:rsidRPr="00625AD6">
        <w:rPr>
          <w:b/>
          <w:sz w:val="20"/>
        </w:rPr>
        <w:t>ly.</w:t>
      </w:r>
      <w:r w:rsidR="00644409" w:rsidRPr="00625AD6">
        <w:rPr>
          <w:b/>
          <w:sz w:val="20"/>
        </w:rPr>
        <w:t xml:space="preserve"> </w:t>
      </w:r>
      <w:r w:rsidR="00884DC1" w:rsidRPr="00625AD6">
        <w:rPr>
          <w:b/>
          <w:sz w:val="20"/>
        </w:rPr>
        <w:t>U</w:t>
      </w:r>
      <w:r w:rsidR="00644409" w:rsidRPr="00625AD6">
        <w:rPr>
          <w:b/>
          <w:sz w:val="20"/>
        </w:rPr>
        <w:t xml:space="preserve">nless impunity </w:t>
      </w:r>
      <w:proofErr w:type="gramStart"/>
      <w:r w:rsidR="00644409" w:rsidRPr="00625AD6">
        <w:rPr>
          <w:b/>
          <w:sz w:val="20"/>
        </w:rPr>
        <w:t>is addressed</w:t>
      </w:r>
      <w:proofErr w:type="gramEnd"/>
      <w:r w:rsidR="00644409" w:rsidRPr="00625AD6">
        <w:rPr>
          <w:b/>
          <w:sz w:val="20"/>
        </w:rPr>
        <w:t xml:space="preserve"> and perpetrators of </w:t>
      </w:r>
      <w:r w:rsidR="00884DC1" w:rsidRPr="00625AD6">
        <w:rPr>
          <w:b/>
          <w:sz w:val="20"/>
        </w:rPr>
        <w:t>serious</w:t>
      </w:r>
      <w:r w:rsidR="00644409" w:rsidRPr="00625AD6">
        <w:rPr>
          <w:b/>
          <w:sz w:val="20"/>
        </w:rPr>
        <w:t xml:space="preserve"> violations are brought to account, </w:t>
      </w:r>
      <w:r w:rsidR="00581A49" w:rsidRPr="00625AD6">
        <w:rPr>
          <w:b/>
          <w:sz w:val="20"/>
        </w:rPr>
        <w:t xml:space="preserve">the viability of </w:t>
      </w:r>
      <w:r w:rsidR="00644409" w:rsidRPr="00625AD6">
        <w:rPr>
          <w:b/>
          <w:sz w:val="20"/>
        </w:rPr>
        <w:t xml:space="preserve">South Sudan as a new nation </w:t>
      </w:r>
      <w:r w:rsidR="00581A49" w:rsidRPr="00625AD6">
        <w:rPr>
          <w:b/>
          <w:sz w:val="20"/>
        </w:rPr>
        <w:t>S</w:t>
      </w:r>
      <w:r w:rsidR="00644409" w:rsidRPr="00625AD6">
        <w:rPr>
          <w:b/>
          <w:sz w:val="20"/>
        </w:rPr>
        <w:t xml:space="preserve">tate will be stymied, if it </w:t>
      </w:r>
      <w:r w:rsidR="00581A49" w:rsidRPr="00625AD6">
        <w:rPr>
          <w:b/>
          <w:sz w:val="20"/>
        </w:rPr>
        <w:t>has</w:t>
      </w:r>
      <w:r w:rsidR="00644409" w:rsidRPr="00625AD6">
        <w:rPr>
          <w:b/>
          <w:sz w:val="20"/>
        </w:rPr>
        <w:t xml:space="preserve"> not </w:t>
      </w:r>
      <w:r w:rsidR="00581A49" w:rsidRPr="00625AD6">
        <w:rPr>
          <w:b/>
          <w:sz w:val="20"/>
        </w:rPr>
        <w:t xml:space="preserve">been </w:t>
      </w:r>
      <w:r w:rsidR="00644409" w:rsidRPr="00625AD6">
        <w:rPr>
          <w:b/>
          <w:sz w:val="20"/>
        </w:rPr>
        <w:t xml:space="preserve">already. The President’s offers of amnesty to those who continue to perpetrate the most egregious violations in South Sudan are </w:t>
      </w:r>
      <w:r w:rsidR="00884DC1" w:rsidRPr="00625AD6">
        <w:rPr>
          <w:b/>
          <w:sz w:val="20"/>
        </w:rPr>
        <w:t xml:space="preserve">a clear breach of </w:t>
      </w:r>
      <w:r w:rsidR="00613D5C" w:rsidRPr="00625AD6">
        <w:rPr>
          <w:b/>
          <w:sz w:val="20"/>
        </w:rPr>
        <w:t>the State</w:t>
      </w:r>
      <w:r w:rsidR="00644409" w:rsidRPr="00625AD6">
        <w:rPr>
          <w:b/>
          <w:sz w:val="20"/>
        </w:rPr>
        <w:t>’s obligations under international law.</w:t>
      </w:r>
    </w:p>
    <w:p w:rsidR="00507944" w:rsidRPr="00625AD6" w:rsidRDefault="00625AD6" w:rsidP="00625AD6">
      <w:pPr>
        <w:pStyle w:val="SingleTxtG"/>
        <w:tabs>
          <w:tab w:val="left" w:pos="1701"/>
        </w:tabs>
        <w:rPr>
          <w:b/>
          <w:sz w:val="20"/>
        </w:rPr>
      </w:pPr>
      <w:proofErr w:type="gramStart"/>
      <w:r w:rsidRPr="00625AD6">
        <w:rPr>
          <w:sz w:val="20"/>
          <w:szCs w:val="20"/>
        </w:rPr>
        <w:t>90.</w:t>
      </w:r>
      <w:r w:rsidRPr="00625AD6">
        <w:rPr>
          <w:sz w:val="20"/>
          <w:szCs w:val="20"/>
        </w:rPr>
        <w:tab/>
      </w:r>
      <w:r w:rsidR="00884DC1" w:rsidRPr="00625AD6">
        <w:rPr>
          <w:b/>
          <w:sz w:val="20"/>
        </w:rPr>
        <w:t>While t</w:t>
      </w:r>
      <w:r w:rsidR="00644409" w:rsidRPr="00625AD6">
        <w:rPr>
          <w:b/>
          <w:sz w:val="20"/>
        </w:rPr>
        <w:t xml:space="preserve">he civilian and military justice systems do not have the capacity to address accountability for these violations and crimes </w:t>
      </w:r>
      <w:r w:rsidR="00D40B31" w:rsidRPr="00625AD6">
        <w:rPr>
          <w:b/>
          <w:sz w:val="20"/>
        </w:rPr>
        <w:t xml:space="preserve">in </w:t>
      </w:r>
      <w:r w:rsidR="00884DC1" w:rsidRPr="00625AD6">
        <w:rPr>
          <w:b/>
          <w:sz w:val="20"/>
        </w:rPr>
        <w:t>a manner consistent</w:t>
      </w:r>
      <w:r w:rsidR="00D40B31" w:rsidRPr="00625AD6">
        <w:rPr>
          <w:b/>
          <w:sz w:val="20"/>
        </w:rPr>
        <w:t xml:space="preserve"> </w:t>
      </w:r>
      <w:r w:rsidR="00644409" w:rsidRPr="00625AD6">
        <w:rPr>
          <w:b/>
          <w:sz w:val="20"/>
        </w:rPr>
        <w:t>with due process and other international norms</w:t>
      </w:r>
      <w:r w:rsidR="00D40B31" w:rsidRPr="00625AD6">
        <w:rPr>
          <w:b/>
          <w:sz w:val="20"/>
        </w:rPr>
        <w:t>,</w:t>
      </w:r>
      <w:r w:rsidR="00644409" w:rsidRPr="00625AD6">
        <w:rPr>
          <w:b/>
          <w:sz w:val="20"/>
        </w:rPr>
        <w:t xml:space="preserve"> </w:t>
      </w:r>
      <w:r w:rsidR="00D40B31" w:rsidRPr="00625AD6">
        <w:rPr>
          <w:b/>
          <w:sz w:val="20"/>
        </w:rPr>
        <w:t>or</w:t>
      </w:r>
      <w:r w:rsidR="00644409" w:rsidRPr="00625AD6">
        <w:rPr>
          <w:b/>
          <w:sz w:val="20"/>
        </w:rPr>
        <w:t xml:space="preserve"> within a reasonable time </w:t>
      </w:r>
      <w:r w:rsidR="00D40B31" w:rsidRPr="00625AD6">
        <w:rPr>
          <w:b/>
          <w:sz w:val="20"/>
        </w:rPr>
        <w:t>frame after their</w:t>
      </w:r>
      <w:r w:rsidR="00644409" w:rsidRPr="00625AD6">
        <w:rPr>
          <w:b/>
          <w:sz w:val="20"/>
        </w:rPr>
        <w:t xml:space="preserve"> commission</w:t>
      </w:r>
      <w:r w:rsidR="00884DC1" w:rsidRPr="00625AD6">
        <w:rPr>
          <w:b/>
          <w:sz w:val="20"/>
        </w:rPr>
        <w:t xml:space="preserve">, </w:t>
      </w:r>
      <w:r w:rsidR="00884DC1" w:rsidRPr="00625AD6">
        <w:rPr>
          <w:b/>
          <w:sz w:val="20"/>
          <w:szCs w:val="20"/>
        </w:rPr>
        <w:t>lack of capacity does not exonerate the Government of South Sudan of its primary responsibility for addressing such crimes and for promoting accountability</w:t>
      </w:r>
      <w:r w:rsidR="00644409" w:rsidRPr="00625AD6">
        <w:rPr>
          <w:b/>
          <w:sz w:val="20"/>
          <w:szCs w:val="20"/>
        </w:rPr>
        <w:t>.</w:t>
      </w:r>
      <w:proofErr w:type="gramEnd"/>
      <w:r w:rsidR="00644409" w:rsidRPr="00625AD6">
        <w:rPr>
          <w:b/>
          <w:sz w:val="20"/>
        </w:rPr>
        <w:t xml:space="preserve"> While national </w:t>
      </w:r>
      <w:proofErr w:type="gramStart"/>
      <w:r w:rsidR="00644409" w:rsidRPr="00625AD6">
        <w:rPr>
          <w:b/>
          <w:sz w:val="20"/>
        </w:rPr>
        <w:t>capacity</w:t>
      </w:r>
      <w:r w:rsidR="00D40B31" w:rsidRPr="00625AD6">
        <w:rPr>
          <w:b/>
          <w:sz w:val="20"/>
        </w:rPr>
        <w:t>-</w:t>
      </w:r>
      <w:r w:rsidR="00644409" w:rsidRPr="00625AD6">
        <w:rPr>
          <w:b/>
          <w:sz w:val="20"/>
        </w:rPr>
        <w:t>building</w:t>
      </w:r>
      <w:proofErr w:type="gramEnd"/>
      <w:r w:rsidR="00644409" w:rsidRPr="00625AD6">
        <w:rPr>
          <w:b/>
          <w:sz w:val="20"/>
        </w:rPr>
        <w:t xml:space="preserve"> should be a long-term goal, the </w:t>
      </w:r>
      <w:r w:rsidR="00D40B31" w:rsidRPr="00625AD6">
        <w:rPr>
          <w:b/>
          <w:sz w:val="20"/>
        </w:rPr>
        <w:t xml:space="preserve">current </w:t>
      </w:r>
      <w:r w:rsidR="00644409" w:rsidRPr="00625AD6">
        <w:rPr>
          <w:b/>
          <w:sz w:val="20"/>
        </w:rPr>
        <w:t xml:space="preserve">national system cannot be counted on to provide meaningful accountability for serious international (or national) crimes, </w:t>
      </w:r>
      <w:r w:rsidR="00F12DBC" w:rsidRPr="00625AD6">
        <w:rPr>
          <w:b/>
          <w:sz w:val="20"/>
        </w:rPr>
        <w:t xml:space="preserve">even if committed by </w:t>
      </w:r>
      <w:r w:rsidR="00644409" w:rsidRPr="00625AD6">
        <w:rPr>
          <w:b/>
          <w:sz w:val="20"/>
        </w:rPr>
        <w:t>senior political, governmental and military leaders.</w:t>
      </w:r>
    </w:p>
    <w:p w:rsidR="00507944" w:rsidRPr="00625AD6" w:rsidRDefault="00625AD6" w:rsidP="00625AD6">
      <w:pPr>
        <w:pStyle w:val="SingleTxtG"/>
        <w:tabs>
          <w:tab w:val="left" w:pos="1701"/>
        </w:tabs>
        <w:rPr>
          <w:b/>
          <w:sz w:val="20"/>
        </w:rPr>
      </w:pPr>
      <w:r w:rsidRPr="00625AD6">
        <w:rPr>
          <w:sz w:val="20"/>
          <w:szCs w:val="20"/>
        </w:rPr>
        <w:t>91.</w:t>
      </w:r>
      <w:r w:rsidRPr="00625AD6">
        <w:rPr>
          <w:sz w:val="20"/>
          <w:szCs w:val="20"/>
        </w:rPr>
        <w:tab/>
      </w:r>
      <w:r w:rsidR="00644409" w:rsidRPr="00625AD6">
        <w:rPr>
          <w:b/>
          <w:sz w:val="20"/>
        </w:rPr>
        <w:t xml:space="preserve">The Commission regrets the absence of political will, particularly on the </w:t>
      </w:r>
      <w:r w:rsidR="00D40B31" w:rsidRPr="00625AD6">
        <w:rPr>
          <w:b/>
          <w:sz w:val="20"/>
        </w:rPr>
        <w:t xml:space="preserve">part </w:t>
      </w:r>
      <w:r w:rsidR="00644409" w:rsidRPr="00625AD6">
        <w:rPr>
          <w:b/>
          <w:sz w:val="20"/>
        </w:rPr>
        <w:t xml:space="preserve">of the Government, to implement the </w:t>
      </w:r>
      <w:r w:rsidR="00D40B31" w:rsidRPr="00625AD6">
        <w:rPr>
          <w:b/>
          <w:sz w:val="20"/>
          <w:szCs w:val="20"/>
        </w:rPr>
        <w:t>Agreement on the Resolution of the Conflict in the Republic of South Sudan</w:t>
      </w:r>
      <w:r w:rsidR="00644409" w:rsidRPr="00625AD6">
        <w:rPr>
          <w:b/>
          <w:sz w:val="20"/>
        </w:rPr>
        <w:t xml:space="preserve">, </w:t>
      </w:r>
      <w:r w:rsidR="00D40B31" w:rsidRPr="00625AD6">
        <w:rPr>
          <w:b/>
          <w:sz w:val="20"/>
        </w:rPr>
        <w:t xml:space="preserve">and </w:t>
      </w:r>
      <w:r w:rsidR="00644409" w:rsidRPr="00625AD6">
        <w:rPr>
          <w:b/>
          <w:sz w:val="20"/>
        </w:rPr>
        <w:t xml:space="preserve">the disinterest of political leaders </w:t>
      </w:r>
      <w:r w:rsidR="00D40B31" w:rsidRPr="00625AD6">
        <w:rPr>
          <w:b/>
          <w:sz w:val="20"/>
        </w:rPr>
        <w:t xml:space="preserve">with regard to </w:t>
      </w:r>
      <w:r w:rsidR="00644409" w:rsidRPr="00625AD6">
        <w:rPr>
          <w:b/>
          <w:sz w:val="20"/>
        </w:rPr>
        <w:t xml:space="preserve">the </w:t>
      </w:r>
      <w:r w:rsidR="00D40B31" w:rsidRPr="00625AD6">
        <w:rPr>
          <w:b/>
          <w:sz w:val="20"/>
        </w:rPr>
        <w:t>plight</w:t>
      </w:r>
      <w:r w:rsidR="00644409" w:rsidRPr="00625AD6">
        <w:rPr>
          <w:b/>
          <w:sz w:val="20"/>
        </w:rPr>
        <w:t xml:space="preserve"> of their people.</w:t>
      </w:r>
      <w:r w:rsidR="00974932" w:rsidRPr="00625AD6">
        <w:rPr>
          <w:b/>
          <w:sz w:val="20"/>
        </w:rPr>
        <w:t xml:space="preserve"> </w:t>
      </w:r>
      <w:r w:rsidR="00644409" w:rsidRPr="00625AD6">
        <w:rPr>
          <w:b/>
          <w:sz w:val="20"/>
        </w:rPr>
        <w:t>On 7 February</w:t>
      </w:r>
      <w:r w:rsidR="00D40B31" w:rsidRPr="00625AD6">
        <w:rPr>
          <w:b/>
          <w:sz w:val="20"/>
        </w:rPr>
        <w:t xml:space="preserve"> 2017</w:t>
      </w:r>
      <w:r w:rsidR="00644409" w:rsidRPr="00625AD6">
        <w:rPr>
          <w:b/>
          <w:sz w:val="20"/>
        </w:rPr>
        <w:t xml:space="preserve">, the Special Adviser on the Prevention of Genocide condemned President </w:t>
      </w:r>
      <w:proofErr w:type="spellStart"/>
      <w:r w:rsidR="00644409" w:rsidRPr="00625AD6">
        <w:rPr>
          <w:b/>
          <w:sz w:val="20"/>
        </w:rPr>
        <w:t>Kiir’s</w:t>
      </w:r>
      <w:proofErr w:type="spellEnd"/>
      <w:r w:rsidR="00644409" w:rsidRPr="00625AD6">
        <w:rPr>
          <w:b/>
          <w:sz w:val="20"/>
        </w:rPr>
        <w:t xml:space="preserve"> lack of commitment to the peace process and </w:t>
      </w:r>
      <w:r w:rsidR="00D40B31" w:rsidRPr="00625AD6">
        <w:rPr>
          <w:b/>
          <w:sz w:val="20"/>
        </w:rPr>
        <w:t xml:space="preserve">to </w:t>
      </w:r>
      <w:r w:rsidR="00644409" w:rsidRPr="00625AD6">
        <w:rPr>
          <w:b/>
          <w:sz w:val="20"/>
        </w:rPr>
        <w:t xml:space="preserve">ending violence. Both regional and international actors seem unable to exert any substantial influence on the warring parties to stop the conflict, </w:t>
      </w:r>
      <w:r w:rsidR="00D40B31" w:rsidRPr="00625AD6">
        <w:rPr>
          <w:b/>
          <w:sz w:val="20"/>
        </w:rPr>
        <w:t xml:space="preserve">while </w:t>
      </w:r>
      <w:r w:rsidR="00644409" w:rsidRPr="00625AD6">
        <w:rPr>
          <w:b/>
          <w:sz w:val="20"/>
        </w:rPr>
        <w:t>regional national interests undermine collective action to save South Sudan.</w:t>
      </w:r>
      <w:r w:rsidR="00974932" w:rsidRPr="00625AD6">
        <w:rPr>
          <w:b/>
          <w:sz w:val="20"/>
        </w:rPr>
        <w:t xml:space="preserve"> </w:t>
      </w:r>
    </w:p>
    <w:p w:rsidR="00507944" w:rsidRPr="00625AD6" w:rsidRDefault="00625AD6" w:rsidP="00625AD6">
      <w:pPr>
        <w:pStyle w:val="SingleTxtG"/>
        <w:tabs>
          <w:tab w:val="left" w:pos="1701"/>
        </w:tabs>
        <w:rPr>
          <w:b/>
        </w:rPr>
      </w:pPr>
      <w:r w:rsidRPr="00625AD6">
        <w:rPr>
          <w:sz w:val="20"/>
          <w:szCs w:val="20"/>
        </w:rPr>
        <w:t>92.</w:t>
      </w:r>
      <w:r w:rsidRPr="00625AD6">
        <w:rPr>
          <w:sz w:val="20"/>
          <w:szCs w:val="20"/>
        </w:rPr>
        <w:tab/>
      </w:r>
      <w:r w:rsidR="00644409" w:rsidRPr="00625AD6">
        <w:rPr>
          <w:b/>
          <w:sz w:val="20"/>
        </w:rPr>
        <w:t xml:space="preserve">The Commission notes with concern that critical evidence is being lost every day as witnesses </w:t>
      </w:r>
      <w:proofErr w:type="gramStart"/>
      <w:r w:rsidR="00644409" w:rsidRPr="00625AD6">
        <w:rPr>
          <w:b/>
          <w:sz w:val="20"/>
        </w:rPr>
        <w:t>are killed or disappear</w:t>
      </w:r>
      <w:r w:rsidR="00884DC1" w:rsidRPr="00625AD6">
        <w:rPr>
          <w:b/>
          <w:sz w:val="20"/>
        </w:rPr>
        <w:t>ed</w:t>
      </w:r>
      <w:r w:rsidR="00644409" w:rsidRPr="00625AD6">
        <w:rPr>
          <w:b/>
          <w:sz w:val="20"/>
        </w:rPr>
        <w:t>,</w:t>
      </w:r>
      <w:proofErr w:type="gramEnd"/>
      <w:r w:rsidR="00644409" w:rsidRPr="00625AD6">
        <w:rPr>
          <w:b/>
          <w:sz w:val="20"/>
        </w:rPr>
        <w:t xml:space="preserve"> </w:t>
      </w:r>
      <w:r w:rsidR="00884DC1" w:rsidRPr="00625AD6">
        <w:rPr>
          <w:b/>
          <w:sz w:val="20"/>
        </w:rPr>
        <w:t xml:space="preserve">and </w:t>
      </w:r>
      <w:r w:rsidR="00644409" w:rsidRPr="00625AD6">
        <w:rPr>
          <w:b/>
          <w:sz w:val="20"/>
        </w:rPr>
        <w:t>the whereabouts of displaced witnesses become</w:t>
      </w:r>
      <w:r w:rsidR="00D40B31" w:rsidRPr="00625AD6">
        <w:rPr>
          <w:b/>
          <w:sz w:val="20"/>
        </w:rPr>
        <w:t>s</w:t>
      </w:r>
      <w:r w:rsidR="00644409" w:rsidRPr="00625AD6">
        <w:rPr>
          <w:b/>
          <w:sz w:val="20"/>
        </w:rPr>
        <w:t xml:space="preserve"> unknown</w:t>
      </w:r>
      <w:r w:rsidR="00884DC1" w:rsidRPr="00625AD6">
        <w:rPr>
          <w:b/>
          <w:sz w:val="20"/>
        </w:rPr>
        <w:t>.</w:t>
      </w:r>
      <w:r w:rsidR="00644409" w:rsidRPr="00625AD6">
        <w:rPr>
          <w:b/>
          <w:sz w:val="20"/>
        </w:rPr>
        <w:t xml:space="preserve"> </w:t>
      </w:r>
      <w:r w:rsidR="00884DC1" w:rsidRPr="00625AD6">
        <w:rPr>
          <w:b/>
          <w:sz w:val="20"/>
        </w:rPr>
        <w:t>P</w:t>
      </w:r>
      <w:r w:rsidR="00644409" w:rsidRPr="00625AD6">
        <w:rPr>
          <w:b/>
          <w:sz w:val="20"/>
        </w:rPr>
        <w:t>hysical evidence degrades</w:t>
      </w:r>
      <w:r w:rsidR="00884DC1" w:rsidRPr="00625AD6">
        <w:rPr>
          <w:b/>
          <w:sz w:val="20"/>
        </w:rPr>
        <w:t>,</w:t>
      </w:r>
      <w:r w:rsidR="00644409" w:rsidRPr="00625AD6">
        <w:rPr>
          <w:b/>
          <w:sz w:val="20"/>
        </w:rPr>
        <w:t xml:space="preserve"> and documentary and </w:t>
      </w:r>
      <w:r w:rsidR="00884DC1" w:rsidRPr="00625AD6">
        <w:rPr>
          <w:b/>
          <w:sz w:val="20"/>
        </w:rPr>
        <w:t xml:space="preserve">other </w:t>
      </w:r>
      <w:r w:rsidR="00644409" w:rsidRPr="00625AD6">
        <w:rPr>
          <w:b/>
          <w:sz w:val="20"/>
        </w:rPr>
        <w:t>similar evidence is lost, concealed or destroyed.</w:t>
      </w:r>
      <w:r w:rsidR="00644409" w:rsidRPr="00625AD6">
        <w:rPr>
          <w:b/>
        </w:rPr>
        <w:t xml:space="preserve"> </w:t>
      </w:r>
    </w:p>
    <w:p w:rsidR="00507944" w:rsidRPr="00625AD6" w:rsidRDefault="00625AD6" w:rsidP="00625AD6">
      <w:pPr>
        <w:pStyle w:val="H1G"/>
      </w:pPr>
      <w:bookmarkStart w:id="244" w:name="_Toc474703340"/>
      <w:bookmarkStart w:id="245" w:name="_Toc474703414"/>
      <w:bookmarkStart w:id="246" w:name="_Toc474703488"/>
      <w:bookmarkStart w:id="247" w:name="_Toc474703559"/>
      <w:bookmarkStart w:id="248" w:name="_Toc474703980"/>
      <w:bookmarkEnd w:id="244"/>
      <w:bookmarkEnd w:id="245"/>
      <w:bookmarkEnd w:id="246"/>
      <w:bookmarkEnd w:id="247"/>
      <w:bookmarkEnd w:id="248"/>
      <w:r>
        <w:tab/>
      </w:r>
      <w:r w:rsidRPr="00625AD6">
        <w:t>B.</w:t>
      </w:r>
      <w:r w:rsidRPr="00625AD6">
        <w:tab/>
      </w:r>
      <w:r w:rsidR="00644409" w:rsidRPr="00625AD6">
        <w:t xml:space="preserve">Recommendations </w:t>
      </w:r>
    </w:p>
    <w:p w:rsidR="00D40B31" w:rsidRPr="00625AD6" w:rsidRDefault="00625AD6" w:rsidP="00625AD6">
      <w:pPr>
        <w:pStyle w:val="H23G"/>
        <w:rPr>
          <w:sz w:val="20"/>
          <w:szCs w:val="20"/>
        </w:rPr>
      </w:pPr>
      <w:bookmarkStart w:id="249" w:name="_Toc474703342"/>
      <w:bookmarkStart w:id="250" w:name="_Toc474703416"/>
      <w:bookmarkStart w:id="251" w:name="_Toc474703490"/>
      <w:bookmarkStart w:id="252" w:name="_Toc474703561"/>
      <w:bookmarkEnd w:id="249"/>
      <w:bookmarkEnd w:id="250"/>
      <w:bookmarkEnd w:id="251"/>
      <w:bookmarkEnd w:id="252"/>
      <w:r>
        <w:rPr>
          <w:sz w:val="20"/>
          <w:szCs w:val="20"/>
        </w:rPr>
        <w:tab/>
      </w:r>
      <w:r w:rsidRPr="00625AD6">
        <w:rPr>
          <w:sz w:val="20"/>
          <w:szCs w:val="20"/>
        </w:rPr>
        <w:t>1.</w:t>
      </w:r>
      <w:r w:rsidRPr="00625AD6">
        <w:rPr>
          <w:sz w:val="20"/>
          <w:szCs w:val="20"/>
        </w:rPr>
        <w:tab/>
      </w:r>
      <w:r w:rsidR="00644409" w:rsidRPr="00625AD6">
        <w:rPr>
          <w:sz w:val="20"/>
          <w:szCs w:val="20"/>
        </w:rPr>
        <w:t>Government of South Sudan</w:t>
      </w:r>
    </w:p>
    <w:p w:rsidR="00507944" w:rsidRPr="002F398F" w:rsidRDefault="00625AD6" w:rsidP="002F398F">
      <w:pPr>
        <w:pStyle w:val="SingleTxtG"/>
        <w:rPr>
          <w:b/>
          <w:sz w:val="20"/>
          <w:szCs w:val="20"/>
        </w:rPr>
      </w:pPr>
      <w:r w:rsidRPr="002F398F">
        <w:rPr>
          <w:sz w:val="20"/>
          <w:szCs w:val="20"/>
        </w:rPr>
        <w:t>93.</w:t>
      </w:r>
      <w:r w:rsidR="002F398F">
        <w:rPr>
          <w:sz w:val="20"/>
          <w:szCs w:val="20"/>
        </w:rPr>
        <w:tab/>
      </w:r>
      <w:r w:rsidR="00D40B31" w:rsidRPr="002F398F">
        <w:rPr>
          <w:b/>
          <w:sz w:val="20"/>
          <w:szCs w:val="20"/>
        </w:rPr>
        <w:t>The Commission recommends that the Government of South Sudan</w:t>
      </w:r>
      <w:r w:rsidR="007B762F" w:rsidRPr="002F398F">
        <w:rPr>
          <w:b/>
          <w:sz w:val="20"/>
          <w:szCs w:val="20"/>
        </w:rPr>
        <w:t>:</w:t>
      </w:r>
      <w:r w:rsidR="00644409" w:rsidRPr="002F398F">
        <w:rPr>
          <w:b/>
          <w:sz w:val="20"/>
          <w:szCs w:val="20"/>
        </w:rPr>
        <w:t xml:space="preserve"> </w:t>
      </w:r>
    </w:p>
    <w:p w:rsidR="00507944" w:rsidRPr="00625AD6" w:rsidRDefault="00625AD6" w:rsidP="00625AD6">
      <w:pPr>
        <w:pStyle w:val="SingleTxtG"/>
        <w:tabs>
          <w:tab w:val="left" w:pos="1843"/>
        </w:tabs>
        <w:ind w:firstLine="567"/>
        <w:rPr>
          <w:b/>
          <w:sz w:val="20"/>
        </w:rPr>
      </w:pPr>
      <w:proofErr w:type="gramStart"/>
      <w:r w:rsidRPr="00625AD6">
        <w:rPr>
          <w:sz w:val="20"/>
          <w:szCs w:val="20"/>
        </w:rPr>
        <w:t>(a)</w:t>
      </w:r>
      <w:r w:rsidRPr="00625AD6">
        <w:rPr>
          <w:sz w:val="20"/>
          <w:szCs w:val="20"/>
        </w:rPr>
        <w:tab/>
      </w:r>
      <w:r w:rsidR="00644409" w:rsidRPr="00625AD6">
        <w:rPr>
          <w:b/>
          <w:sz w:val="20"/>
        </w:rPr>
        <w:t>Immediately</w:t>
      </w:r>
      <w:proofErr w:type="gramEnd"/>
      <w:r w:rsidR="00644409" w:rsidRPr="00625AD6">
        <w:rPr>
          <w:b/>
          <w:sz w:val="20"/>
        </w:rPr>
        <w:t xml:space="preserve"> cease hostilities and conclude a permanent ceasefire</w:t>
      </w:r>
      <w:r w:rsidR="000F2202" w:rsidRPr="00625AD6">
        <w:rPr>
          <w:b/>
          <w:sz w:val="20"/>
        </w:rPr>
        <w:t>.</w:t>
      </w:r>
      <w:r w:rsidR="00644409" w:rsidRPr="00625AD6">
        <w:rPr>
          <w:b/>
          <w:sz w:val="20"/>
        </w:rPr>
        <w:t xml:space="preserve"> </w:t>
      </w:r>
      <w:r w:rsidR="000F2202" w:rsidRPr="00625AD6">
        <w:rPr>
          <w:b/>
          <w:sz w:val="20"/>
        </w:rPr>
        <w:t xml:space="preserve">It should </w:t>
      </w:r>
      <w:r w:rsidR="00644409" w:rsidRPr="00625AD6">
        <w:rPr>
          <w:b/>
          <w:sz w:val="20"/>
        </w:rPr>
        <w:t xml:space="preserve">renew publicly its commitment to </w:t>
      </w:r>
      <w:r w:rsidR="007B762F" w:rsidRPr="00625AD6">
        <w:rPr>
          <w:b/>
          <w:sz w:val="20"/>
        </w:rPr>
        <w:t xml:space="preserve">the </w:t>
      </w:r>
      <w:r w:rsidR="00644409" w:rsidRPr="00625AD6">
        <w:rPr>
          <w:b/>
          <w:sz w:val="20"/>
        </w:rPr>
        <w:t xml:space="preserve">full implementation of the </w:t>
      </w:r>
      <w:r w:rsidR="007B762F" w:rsidRPr="00625AD6">
        <w:rPr>
          <w:b/>
          <w:sz w:val="20"/>
          <w:szCs w:val="20"/>
        </w:rPr>
        <w:t>Agreement on the Resolution of the Conflict in the Republic of South Sudan</w:t>
      </w:r>
      <w:r w:rsidR="00644409" w:rsidRPr="00625AD6">
        <w:rPr>
          <w:b/>
          <w:sz w:val="20"/>
        </w:rPr>
        <w:t xml:space="preserve">, including </w:t>
      </w:r>
      <w:r w:rsidR="007B762F" w:rsidRPr="00625AD6">
        <w:rPr>
          <w:b/>
          <w:sz w:val="20"/>
        </w:rPr>
        <w:t xml:space="preserve">by </w:t>
      </w:r>
      <w:r w:rsidR="00644409" w:rsidRPr="00625AD6">
        <w:rPr>
          <w:b/>
          <w:sz w:val="20"/>
        </w:rPr>
        <w:t xml:space="preserve">establishing and implementing all three </w:t>
      </w:r>
      <w:r w:rsidR="007B762F" w:rsidRPr="00625AD6">
        <w:rPr>
          <w:b/>
          <w:sz w:val="20"/>
        </w:rPr>
        <w:t>institutions described in c</w:t>
      </w:r>
      <w:r w:rsidR="00644409" w:rsidRPr="00625AD6">
        <w:rPr>
          <w:b/>
          <w:sz w:val="20"/>
        </w:rPr>
        <w:t>hapter V</w:t>
      </w:r>
      <w:r w:rsidR="0093648D" w:rsidRPr="00625AD6">
        <w:rPr>
          <w:b/>
          <w:sz w:val="20"/>
        </w:rPr>
        <w:t xml:space="preserve"> </w:t>
      </w:r>
      <w:r w:rsidR="007B762F" w:rsidRPr="00625AD6">
        <w:rPr>
          <w:b/>
          <w:sz w:val="20"/>
        </w:rPr>
        <w:t>thereof</w:t>
      </w:r>
      <w:r w:rsidR="00644409" w:rsidRPr="00625AD6">
        <w:rPr>
          <w:b/>
          <w:sz w:val="20"/>
        </w:rPr>
        <w:t xml:space="preserve">. The Government should cooperate with the African Union in the speedy establishment of the </w:t>
      </w:r>
      <w:r w:rsidR="007B762F" w:rsidRPr="00625AD6">
        <w:rPr>
          <w:b/>
          <w:sz w:val="20"/>
        </w:rPr>
        <w:t>h</w:t>
      </w:r>
      <w:r w:rsidR="00644409" w:rsidRPr="00625AD6">
        <w:rPr>
          <w:b/>
          <w:sz w:val="20"/>
        </w:rPr>
        <w:t xml:space="preserve">ybrid </w:t>
      </w:r>
      <w:r w:rsidR="007B762F" w:rsidRPr="00625AD6">
        <w:rPr>
          <w:b/>
          <w:sz w:val="20"/>
        </w:rPr>
        <w:t>c</w:t>
      </w:r>
      <w:r w:rsidR="00644409" w:rsidRPr="00625AD6">
        <w:rPr>
          <w:b/>
          <w:sz w:val="20"/>
        </w:rPr>
        <w:t>ourt</w:t>
      </w:r>
      <w:r w:rsidR="00854B83" w:rsidRPr="00625AD6">
        <w:rPr>
          <w:b/>
          <w:sz w:val="20"/>
        </w:rPr>
        <w:t xml:space="preserve"> for South Sudan</w:t>
      </w:r>
      <w:r w:rsidR="007B762F" w:rsidRPr="00625AD6">
        <w:rPr>
          <w:b/>
          <w:sz w:val="20"/>
        </w:rPr>
        <w:t>,</w:t>
      </w:r>
      <w:r w:rsidR="00644409" w:rsidRPr="00625AD6">
        <w:rPr>
          <w:b/>
          <w:sz w:val="20"/>
        </w:rPr>
        <w:t xml:space="preserve"> and set a timetable for </w:t>
      </w:r>
      <w:r w:rsidR="008054BB" w:rsidRPr="00625AD6">
        <w:rPr>
          <w:b/>
          <w:sz w:val="20"/>
        </w:rPr>
        <w:t xml:space="preserve">the prompt </w:t>
      </w:r>
      <w:r w:rsidR="00644409" w:rsidRPr="00625AD6">
        <w:rPr>
          <w:b/>
          <w:sz w:val="20"/>
        </w:rPr>
        <w:t>conclu</w:t>
      </w:r>
      <w:r w:rsidR="008054BB" w:rsidRPr="00625AD6">
        <w:rPr>
          <w:b/>
          <w:sz w:val="20"/>
        </w:rPr>
        <w:t>sion of</w:t>
      </w:r>
      <w:r w:rsidR="00644409" w:rsidRPr="00625AD6">
        <w:rPr>
          <w:b/>
          <w:sz w:val="20"/>
        </w:rPr>
        <w:t xml:space="preserve"> an agreement on cooperation</w:t>
      </w:r>
      <w:proofErr w:type="gramStart"/>
      <w:r w:rsidR="007B762F" w:rsidRPr="00625AD6">
        <w:rPr>
          <w:b/>
          <w:sz w:val="20"/>
        </w:rPr>
        <w:t>;</w:t>
      </w:r>
      <w:proofErr w:type="gramEnd"/>
    </w:p>
    <w:p w:rsidR="00507944" w:rsidRPr="00625AD6" w:rsidRDefault="00625AD6" w:rsidP="00625AD6">
      <w:pPr>
        <w:pStyle w:val="SingleTxtG"/>
        <w:tabs>
          <w:tab w:val="left" w:pos="1843"/>
        </w:tabs>
        <w:ind w:firstLine="567"/>
        <w:rPr>
          <w:b/>
          <w:sz w:val="20"/>
        </w:rPr>
      </w:pPr>
      <w:r w:rsidRPr="00625AD6">
        <w:rPr>
          <w:sz w:val="20"/>
          <w:szCs w:val="20"/>
        </w:rPr>
        <w:t>(b)</w:t>
      </w:r>
      <w:r w:rsidRPr="00625AD6">
        <w:rPr>
          <w:sz w:val="20"/>
          <w:szCs w:val="20"/>
        </w:rPr>
        <w:tab/>
      </w:r>
      <w:r w:rsidR="00644409" w:rsidRPr="00625AD6">
        <w:rPr>
          <w:b/>
          <w:sz w:val="20"/>
        </w:rPr>
        <w:t xml:space="preserve">As a priority, comply with its obligations under both </w:t>
      </w:r>
      <w:r w:rsidR="007B762F" w:rsidRPr="00625AD6">
        <w:rPr>
          <w:b/>
          <w:sz w:val="20"/>
        </w:rPr>
        <w:t xml:space="preserve">national </w:t>
      </w:r>
      <w:r w:rsidR="00644409" w:rsidRPr="00625AD6">
        <w:rPr>
          <w:b/>
          <w:sz w:val="20"/>
        </w:rPr>
        <w:t>and international law to promote and protect the rights of civilians</w:t>
      </w:r>
      <w:r w:rsidR="007B762F" w:rsidRPr="00625AD6">
        <w:rPr>
          <w:b/>
          <w:sz w:val="20"/>
        </w:rPr>
        <w:t>,</w:t>
      </w:r>
      <w:r w:rsidR="00644409" w:rsidRPr="00625AD6">
        <w:rPr>
          <w:b/>
          <w:sz w:val="20"/>
        </w:rPr>
        <w:t xml:space="preserve"> </w:t>
      </w:r>
      <w:r w:rsidR="007B762F" w:rsidRPr="00625AD6">
        <w:rPr>
          <w:b/>
          <w:sz w:val="20"/>
        </w:rPr>
        <w:t>take</w:t>
      </w:r>
      <w:r w:rsidR="00644409" w:rsidRPr="00625AD6">
        <w:rPr>
          <w:b/>
          <w:sz w:val="20"/>
        </w:rPr>
        <w:t xml:space="preserve"> measures to prevent future violations</w:t>
      </w:r>
      <w:r w:rsidR="007B762F" w:rsidRPr="00625AD6">
        <w:rPr>
          <w:b/>
          <w:sz w:val="20"/>
        </w:rPr>
        <w:t>,</w:t>
      </w:r>
      <w:r w:rsidR="00644409" w:rsidRPr="00625AD6">
        <w:rPr>
          <w:b/>
          <w:sz w:val="20"/>
        </w:rPr>
        <w:t xml:space="preserve"> including torture, rape and conflict-related sexual violence, arbitrary detention, abductions, </w:t>
      </w:r>
      <w:r w:rsidR="007B762F" w:rsidRPr="00625AD6">
        <w:rPr>
          <w:b/>
          <w:sz w:val="20"/>
        </w:rPr>
        <w:t xml:space="preserve">and </w:t>
      </w:r>
      <w:r w:rsidR="00644409" w:rsidRPr="00625AD6">
        <w:rPr>
          <w:b/>
          <w:sz w:val="20"/>
        </w:rPr>
        <w:t>killings by the security forces</w:t>
      </w:r>
      <w:r w:rsidR="007B762F" w:rsidRPr="00625AD6">
        <w:rPr>
          <w:b/>
          <w:sz w:val="20"/>
        </w:rPr>
        <w:t>,</w:t>
      </w:r>
      <w:r w:rsidR="00644409" w:rsidRPr="00625AD6">
        <w:rPr>
          <w:b/>
          <w:sz w:val="20"/>
        </w:rPr>
        <w:t xml:space="preserve"> and ensure that those responsible are held accountable</w:t>
      </w:r>
      <w:r w:rsidR="000F2202" w:rsidRPr="00625AD6">
        <w:rPr>
          <w:b/>
          <w:sz w:val="20"/>
        </w:rPr>
        <w:t>. Compliance with obligations</w:t>
      </w:r>
      <w:r w:rsidR="00644409" w:rsidRPr="00625AD6">
        <w:rPr>
          <w:b/>
          <w:sz w:val="20"/>
        </w:rPr>
        <w:t xml:space="preserve"> includes </w:t>
      </w:r>
      <w:r w:rsidR="000F2202" w:rsidRPr="00625AD6">
        <w:rPr>
          <w:b/>
          <w:sz w:val="20"/>
        </w:rPr>
        <w:t xml:space="preserve">the prohibition of </w:t>
      </w:r>
      <w:r w:rsidR="00644409" w:rsidRPr="00625AD6">
        <w:rPr>
          <w:b/>
          <w:sz w:val="20"/>
        </w:rPr>
        <w:t>amnesties for serious crimes</w:t>
      </w:r>
      <w:proofErr w:type="gramStart"/>
      <w:r w:rsidR="000E0B5C" w:rsidRPr="00625AD6">
        <w:rPr>
          <w:b/>
          <w:sz w:val="20"/>
        </w:rPr>
        <w:t>;</w:t>
      </w:r>
      <w:proofErr w:type="gramEnd"/>
      <w:r w:rsidR="00644409" w:rsidRPr="00625AD6">
        <w:rPr>
          <w:b/>
          <w:sz w:val="20"/>
        </w:rPr>
        <w:t xml:space="preserve"> </w:t>
      </w:r>
    </w:p>
    <w:p w:rsidR="00507944" w:rsidRPr="00625AD6" w:rsidRDefault="00625AD6" w:rsidP="00625AD6">
      <w:pPr>
        <w:pStyle w:val="SingleTxtG"/>
        <w:tabs>
          <w:tab w:val="left" w:pos="1843"/>
        </w:tabs>
        <w:ind w:firstLine="567"/>
        <w:rPr>
          <w:b/>
          <w:sz w:val="20"/>
        </w:rPr>
      </w:pPr>
      <w:proofErr w:type="gramStart"/>
      <w:r w:rsidRPr="00625AD6">
        <w:rPr>
          <w:sz w:val="20"/>
          <w:szCs w:val="20"/>
        </w:rPr>
        <w:t>(c)</w:t>
      </w:r>
      <w:r w:rsidRPr="00625AD6">
        <w:rPr>
          <w:sz w:val="20"/>
          <w:szCs w:val="20"/>
        </w:rPr>
        <w:tab/>
      </w:r>
      <w:r w:rsidR="00644409" w:rsidRPr="00625AD6">
        <w:rPr>
          <w:b/>
          <w:sz w:val="20"/>
        </w:rPr>
        <w:t>Prioritize security sector reform with a view to building a plural</w:t>
      </w:r>
      <w:r w:rsidR="000E0B5C" w:rsidRPr="00625AD6">
        <w:rPr>
          <w:b/>
          <w:sz w:val="20"/>
        </w:rPr>
        <w:t>istic</w:t>
      </w:r>
      <w:r w:rsidR="00644409" w:rsidRPr="00625AD6">
        <w:rPr>
          <w:b/>
          <w:sz w:val="20"/>
        </w:rPr>
        <w:t xml:space="preserve"> and </w:t>
      </w:r>
      <w:r w:rsidR="008054BB" w:rsidRPr="00625AD6">
        <w:rPr>
          <w:b/>
          <w:sz w:val="20"/>
        </w:rPr>
        <w:t xml:space="preserve">ethnically </w:t>
      </w:r>
      <w:r w:rsidR="00644409" w:rsidRPr="00625AD6">
        <w:rPr>
          <w:b/>
          <w:sz w:val="20"/>
        </w:rPr>
        <w:t>inclusive security sector.</w:t>
      </w:r>
      <w:proofErr w:type="gramEnd"/>
      <w:r w:rsidR="00644409" w:rsidRPr="00625AD6">
        <w:rPr>
          <w:b/>
          <w:sz w:val="20"/>
        </w:rPr>
        <w:t xml:space="preserve"> Trust in the security forces, including the military, police and national security services, has been eroded because of the role they have played in the conflict </w:t>
      </w:r>
      <w:r w:rsidR="008054BB" w:rsidRPr="00625AD6">
        <w:rPr>
          <w:b/>
          <w:sz w:val="20"/>
        </w:rPr>
        <w:t xml:space="preserve">and in the </w:t>
      </w:r>
      <w:r w:rsidR="00644409" w:rsidRPr="00625AD6">
        <w:rPr>
          <w:b/>
          <w:sz w:val="20"/>
        </w:rPr>
        <w:t>perpetrati</w:t>
      </w:r>
      <w:r w:rsidR="008054BB" w:rsidRPr="00625AD6">
        <w:rPr>
          <w:b/>
          <w:sz w:val="20"/>
        </w:rPr>
        <w:t>o</w:t>
      </w:r>
      <w:r w:rsidR="00644409" w:rsidRPr="00625AD6">
        <w:rPr>
          <w:b/>
          <w:sz w:val="20"/>
        </w:rPr>
        <w:t xml:space="preserve">n </w:t>
      </w:r>
      <w:r w:rsidR="008054BB" w:rsidRPr="00625AD6">
        <w:rPr>
          <w:b/>
          <w:sz w:val="20"/>
        </w:rPr>
        <w:t xml:space="preserve">of </w:t>
      </w:r>
      <w:r w:rsidR="00644409" w:rsidRPr="00625AD6">
        <w:rPr>
          <w:b/>
          <w:sz w:val="20"/>
        </w:rPr>
        <w:t>serious crimes</w:t>
      </w:r>
      <w:r w:rsidR="008054BB" w:rsidRPr="00625AD6">
        <w:rPr>
          <w:b/>
          <w:sz w:val="20"/>
        </w:rPr>
        <w:t>;</w:t>
      </w:r>
    </w:p>
    <w:p w:rsidR="00507944" w:rsidRPr="00625AD6" w:rsidRDefault="00625AD6" w:rsidP="00625AD6">
      <w:pPr>
        <w:pStyle w:val="SingleTxtG"/>
        <w:tabs>
          <w:tab w:val="left" w:pos="1843"/>
        </w:tabs>
        <w:ind w:firstLine="567"/>
        <w:rPr>
          <w:b/>
          <w:sz w:val="20"/>
        </w:rPr>
      </w:pPr>
      <w:r w:rsidRPr="00625AD6">
        <w:rPr>
          <w:sz w:val="20"/>
          <w:szCs w:val="20"/>
        </w:rPr>
        <w:t>(d)</w:t>
      </w:r>
      <w:r w:rsidRPr="00625AD6">
        <w:rPr>
          <w:sz w:val="20"/>
          <w:szCs w:val="20"/>
        </w:rPr>
        <w:tab/>
      </w:r>
      <w:r w:rsidR="008054BB" w:rsidRPr="00625AD6">
        <w:rPr>
          <w:b/>
          <w:sz w:val="20"/>
        </w:rPr>
        <w:t>Give</w:t>
      </w:r>
      <w:r w:rsidR="00644409" w:rsidRPr="00625AD6">
        <w:rPr>
          <w:b/>
          <w:sz w:val="20"/>
        </w:rPr>
        <w:t xml:space="preserve"> unfettered access to the U</w:t>
      </w:r>
      <w:r w:rsidR="008054BB" w:rsidRPr="00625AD6">
        <w:rPr>
          <w:b/>
          <w:sz w:val="20"/>
        </w:rPr>
        <w:t xml:space="preserve">nited </w:t>
      </w:r>
      <w:r w:rsidR="00644409" w:rsidRPr="00625AD6">
        <w:rPr>
          <w:b/>
          <w:sz w:val="20"/>
        </w:rPr>
        <w:t>N</w:t>
      </w:r>
      <w:r w:rsidR="008054BB" w:rsidRPr="00625AD6">
        <w:rPr>
          <w:b/>
          <w:sz w:val="20"/>
        </w:rPr>
        <w:t>ations</w:t>
      </w:r>
      <w:r w:rsidR="00644409" w:rsidRPr="00625AD6">
        <w:rPr>
          <w:b/>
          <w:sz w:val="20"/>
        </w:rPr>
        <w:t xml:space="preserve">, </w:t>
      </w:r>
      <w:r w:rsidR="008054BB" w:rsidRPr="00625AD6">
        <w:rPr>
          <w:b/>
          <w:sz w:val="20"/>
        </w:rPr>
        <w:t>the International Committee of the Red Cross</w:t>
      </w:r>
      <w:r w:rsidR="00644409" w:rsidRPr="00625AD6">
        <w:rPr>
          <w:b/>
          <w:sz w:val="20"/>
        </w:rPr>
        <w:t xml:space="preserve">, local human rights defenders and humanitarian workers to </w:t>
      </w:r>
      <w:r w:rsidR="008054BB" w:rsidRPr="00625AD6">
        <w:rPr>
          <w:b/>
          <w:sz w:val="20"/>
        </w:rPr>
        <w:t xml:space="preserve">allow </w:t>
      </w:r>
      <w:r w:rsidR="00644409" w:rsidRPr="00625AD6">
        <w:rPr>
          <w:b/>
          <w:sz w:val="20"/>
        </w:rPr>
        <w:t xml:space="preserve">them </w:t>
      </w:r>
      <w:r w:rsidR="008054BB" w:rsidRPr="00625AD6">
        <w:rPr>
          <w:b/>
          <w:sz w:val="20"/>
        </w:rPr>
        <w:t xml:space="preserve">to </w:t>
      </w:r>
      <w:r w:rsidR="00644409" w:rsidRPr="00625AD6">
        <w:rPr>
          <w:b/>
          <w:sz w:val="20"/>
        </w:rPr>
        <w:t xml:space="preserve">carry out their work in accordance with </w:t>
      </w:r>
      <w:r w:rsidR="000F2202" w:rsidRPr="00625AD6">
        <w:rPr>
          <w:b/>
          <w:sz w:val="20"/>
        </w:rPr>
        <w:t xml:space="preserve">international law and </w:t>
      </w:r>
      <w:r w:rsidR="00644409" w:rsidRPr="00625AD6">
        <w:rPr>
          <w:b/>
          <w:sz w:val="20"/>
        </w:rPr>
        <w:t>their mandate</w:t>
      </w:r>
      <w:r w:rsidR="008054BB" w:rsidRPr="00625AD6">
        <w:rPr>
          <w:b/>
          <w:sz w:val="20"/>
        </w:rPr>
        <w:t>s</w:t>
      </w:r>
      <w:proofErr w:type="gramStart"/>
      <w:r w:rsidR="008054BB" w:rsidRPr="00625AD6">
        <w:rPr>
          <w:b/>
          <w:sz w:val="20"/>
        </w:rPr>
        <w:t>;</w:t>
      </w:r>
      <w:proofErr w:type="gramEnd"/>
    </w:p>
    <w:p w:rsidR="00507944" w:rsidRPr="00625AD6" w:rsidRDefault="00625AD6" w:rsidP="00625AD6">
      <w:pPr>
        <w:pStyle w:val="SingleTxtG"/>
        <w:tabs>
          <w:tab w:val="left" w:pos="1843"/>
        </w:tabs>
        <w:ind w:firstLine="567"/>
        <w:rPr>
          <w:b/>
          <w:sz w:val="20"/>
        </w:rPr>
      </w:pPr>
      <w:r w:rsidRPr="00625AD6">
        <w:rPr>
          <w:sz w:val="20"/>
          <w:szCs w:val="20"/>
        </w:rPr>
        <w:t>(e)</w:t>
      </w:r>
      <w:r w:rsidRPr="00625AD6">
        <w:rPr>
          <w:sz w:val="20"/>
          <w:szCs w:val="20"/>
        </w:rPr>
        <w:tab/>
      </w:r>
      <w:r w:rsidR="00644409" w:rsidRPr="00625AD6">
        <w:rPr>
          <w:b/>
          <w:sz w:val="20"/>
        </w:rPr>
        <w:t xml:space="preserve">Establish conditions </w:t>
      </w:r>
      <w:r w:rsidR="008054BB" w:rsidRPr="00625AD6">
        <w:rPr>
          <w:b/>
          <w:sz w:val="20"/>
        </w:rPr>
        <w:t xml:space="preserve">that </w:t>
      </w:r>
      <w:r w:rsidR="00644409" w:rsidRPr="00625AD6">
        <w:rPr>
          <w:b/>
          <w:sz w:val="20"/>
        </w:rPr>
        <w:t xml:space="preserve">are conducive to the return of </w:t>
      </w:r>
      <w:r w:rsidR="008054BB" w:rsidRPr="00625AD6">
        <w:rPr>
          <w:b/>
          <w:sz w:val="20"/>
        </w:rPr>
        <w:t>internally displaced persons</w:t>
      </w:r>
      <w:r w:rsidR="00644409" w:rsidRPr="00625AD6">
        <w:rPr>
          <w:b/>
          <w:sz w:val="20"/>
        </w:rPr>
        <w:t xml:space="preserve"> and refugees to their homes, allowing them to live in freedom and dignity</w:t>
      </w:r>
      <w:proofErr w:type="gramStart"/>
      <w:r w:rsidR="008054BB" w:rsidRPr="00625AD6">
        <w:rPr>
          <w:b/>
          <w:sz w:val="20"/>
        </w:rPr>
        <w:t>;</w:t>
      </w:r>
      <w:proofErr w:type="gramEnd"/>
    </w:p>
    <w:p w:rsidR="00507944" w:rsidRPr="00625AD6" w:rsidRDefault="00625AD6" w:rsidP="00625AD6">
      <w:pPr>
        <w:pStyle w:val="SingleTxtG"/>
        <w:tabs>
          <w:tab w:val="left" w:pos="1843"/>
        </w:tabs>
        <w:ind w:firstLine="567"/>
        <w:rPr>
          <w:b/>
          <w:sz w:val="20"/>
        </w:rPr>
      </w:pPr>
      <w:r w:rsidRPr="00625AD6">
        <w:rPr>
          <w:sz w:val="20"/>
          <w:szCs w:val="20"/>
        </w:rPr>
        <w:t>(f)</w:t>
      </w:r>
      <w:r w:rsidRPr="00625AD6">
        <w:rPr>
          <w:sz w:val="20"/>
          <w:szCs w:val="20"/>
        </w:rPr>
        <w:tab/>
      </w:r>
      <w:r w:rsidR="00644409" w:rsidRPr="00625AD6">
        <w:rPr>
          <w:b/>
          <w:sz w:val="20"/>
        </w:rPr>
        <w:t>End its repressive campaign against the media and civil society actors</w:t>
      </w:r>
      <w:r w:rsidR="008054BB" w:rsidRPr="00625AD6">
        <w:rPr>
          <w:b/>
          <w:sz w:val="20"/>
        </w:rPr>
        <w:t>,</w:t>
      </w:r>
      <w:r w:rsidR="00644409" w:rsidRPr="00625AD6">
        <w:rPr>
          <w:b/>
          <w:sz w:val="20"/>
        </w:rPr>
        <w:t xml:space="preserve"> including those who cooperate with the </w:t>
      </w:r>
      <w:r w:rsidR="000E0B5C" w:rsidRPr="00625AD6">
        <w:rPr>
          <w:b/>
          <w:sz w:val="20"/>
        </w:rPr>
        <w:t>United Nations</w:t>
      </w:r>
      <w:r w:rsidR="00644409" w:rsidRPr="00625AD6">
        <w:rPr>
          <w:b/>
          <w:sz w:val="20"/>
        </w:rPr>
        <w:t>, and create an environment in which the rights to free</w:t>
      </w:r>
      <w:r w:rsidR="008054BB" w:rsidRPr="00625AD6">
        <w:rPr>
          <w:b/>
          <w:sz w:val="20"/>
        </w:rPr>
        <w:t>dom of</w:t>
      </w:r>
      <w:r w:rsidR="00644409" w:rsidRPr="00625AD6">
        <w:rPr>
          <w:b/>
          <w:sz w:val="20"/>
        </w:rPr>
        <w:t xml:space="preserve"> speech and </w:t>
      </w:r>
      <w:r w:rsidR="008054BB" w:rsidRPr="00625AD6">
        <w:rPr>
          <w:b/>
          <w:sz w:val="20"/>
        </w:rPr>
        <w:t xml:space="preserve">of </w:t>
      </w:r>
      <w:r w:rsidR="00644409" w:rsidRPr="00625AD6">
        <w:rPr>
          <w:b/>
          <w:sz w:val="20"/>
        </w:rPr>
        <w:t xml:space="preserve">association and </w:t>
      </w:r>
      <w:r w:rsidR="008054BB" w:rsidRPr="00625AD6">
        <w:rPr>
          <w:b/>
          <w:sz w:val="20"/>
        </w:rPr>
        <w:t xml:space="preserve">to </w:t>
      </w:r>
      <w:r w:rsidR="00644409" w:rsidRPr="00625AD6">
        <w:rPr>
          <w:b/>
          <w:sz w:val="20"/>
        </w:rPr>
        <w:t xml:space="preserve">freedom of the media </w:t>
      </w:r>
      <w:proofErr w:type="gramStart"/>
      <w:r w:rsidR="00644409" w:rsidRPr="00625AD6">
        <w:rPr>
          <w:b/>
          <w:sz w:val="20"/>
        </w:rPr>
        <w:t>are respected</w:t>
      </w:r>
      <w:proofErr w:type="gramEnd"/>
      <w:r w:rsidR="00644409" w:rsidRPr="00625AD6">
        <w:rPr>
          <w:b/>
          <w:sz w:val="20"/>
        </w:rPr>
        <w:t xml:space="preserve">. All senior political and government officials, including the President, </w:t>
      </w:r>
      <w:r w:rsidR="008054BB" w:rsidRPr="00625AD6">
        <w:rPr>
          <w:b/>
          <w:sz w:val="20"/>
        </w:rPr>
        <w:t xml:space="preserve">should </w:t>
      </w:r>
      <w:r w:rsidR="00644409" w:rsidRPr="00625AD6">
        <w:rPr>
          <w:b/>
          <w:sz w:val="20"/>
        </w:rPr>
        <w:t>refrain from hate speech and speech that fuels ethnic tensions</w:t>
      </w:r>
      <w:r w:rsidR="000F2202" w:rsidRPr="00625AD6">
        <w:rPr>
          <w:b/>
          <w:sz w:val="20"/>
        </w:rPr>
        <w:t xml:space="preserve">. </w:t>
      </w:r>
      <w:r w:rsidR="000F2202" w:rsidRPr="00625AD6">
        <w:rPr>
          <w:b/>
          <w:sz w:val="20"/>
          <w:szCs w:val="20"/>
        </w:rPr>
        <w:t>The President, senior government officials and politicians should commit publicly to a policy of ethnic plurality and diversity, and inclusiveness, upholding the principles of equality and non-discrimination</w:t>
      </w:r>
      <w:proofErr w:type="gramStart"/>
      <w:r w:rsidR="008054BB" w:rsidRPr="00625AD6">
        <w:rPr>
          <w:b/>
          <w:sz w:val="20"/>
        </w:rPr>
        <w:t>;</w:t>
      </w:r>
      <w:proofErr w:type="gramEnd"/>
    </w:p>
    <w:p w:rsidR="000F2202" w:rsidRPr="00625AD6" w:rsidRDefault="00625AD6" w:rsidP="00625AD6">
      <w:pPr>
        <w:pStyle w:val="SingleTxtG"/>
        <w:tabs>
          <w:tab w:val="left" w:pos="1843"/>
        </w:tabs>
        <w:ind w:firstLine="567"/>
        <w:rPr>
          <w:b/>
        </w:rPr>
      </w:pPr>
      <w:r w:rsidRPr="00625AD6">
        <w:rPr>
          <w:sz w:val="20"/>
          <w:szCs w:val="20"/>
        </w:rPr>
        <w:t>(g)</w:t>
      </w:r>
      <w:r w:rsidRPr="00625AD6">
        <w:rPr>
          <w:sz w:val="20"/>
          <w:szCs w:val="20"/>
        </w:rPr>
        <w:tab/>
      </w:r>
      <w:r w:rsidR="00644409" w:rsidRPr="00625AD6">
        <w:rPr>
          <w:b/>
          <w:sz w:val="20"/>
        </w:rPr>
        <w:t xml:space="preserve">Repeal laws that have the effect of restricting or weakening the activities of civil society and </w:t>
      </w:r>
      <w:r w:rsidR="008054BB" w:rsidRPr="00625AD6">
        <w:rPr>
          <w:b/>
          <w:sz w:val="20"/>
        </w:rPr>
        <w:t xml:space="preserve">non-governmental organizations, </w:t>
      </w:r>
      <w:r w:rsidR="00644409" w:rsidRPr="00625AD6">
        <w:rPr>
          <w:b/>
          <w:sz w:val="20"/>
        </w:rPr>
        <w:t xml:space="preserve">including activities </w:t>
      </w:r>
      <w:r w:rsidR="008054BB" w:rsidRPr="00625AD6">
        <w:rPr>
          <w:b/>
          <w:sz w:val="20"/>
        </w:rPr>
        <w:t xml:space="preserve">involving </w:t>
      </w:r>
      <w:r w:rsidR="00644409" w:rsidRPr="00625AD6">
        <w:rPr>
          <w:b/>
          <w:sz w:val="20"/>
        </w:rPr>
        <w:t>monitor</w:t>
      </w:r>
      <w:r w:rsidR="008054BB" w:rsidRPr="00625AD6">
        <w:rPr>
          <w:b/>
          <w:sz w:val="20"/>
        </w:rPr>
        <w:t>ing</w:t>
      </w:r>
      <w:r w:rsidR="00644409" w:rsidRPr="00625AD6">
        <w:rPr>
          <w:b/>
          <w:sz w:val="20"/>
        </w:rPr>
        <w:t xml:space="preserve"> and report</w:t>
      </w:r>
      <w:r w:rsidR="008054BB" w:rsidRPr="00625AD6">
        <w:rPr>
          <w:b/>
          <w:sz w:val="20"/>
        </w:rPr>
        <w:t>ing</w:t>
      </w:r>
      <w:r w:rsidR="00644409" w:rsidRPr="00625AD6">
        <w:rPr>
          <w:b/>
          <w:sz w:val="20"/>
        </w:rPr>
        <w:t xml:space="preserve"> on government policies and human rights violations</w:t>
      </w:r>
      <w:proofErr w:type="gramStart"/>
      <w:r w:rsidR="000F2202" w:rsidRPr="00625AD6">
        <w:rPr>
          <w:b/>
          <w:sz w:val="20"/>
        </w:rPr>
        <w:t>;</w:t>
      </w:r>
      <w:proofErr w:type="gramEnd"/>
    </w:p>
    <w:p w:rsidR="000F2202" w:rsidRPr="00625AD6" w:rsidRDefault="00625AD6" w:rsidP="00625AD6">
      <w:pPr>
        <w:pStyle w:val="SingleTxtG"/>
        <w:tabs>
          <w:tab w:val="left" w:pos="1843"/>
        </w:tabs>
        <w:ind w:firstLine="567"/>
        <w:rPr>
          <w:b/>
          <w:sz w:val="20"/>
          <w:szCs w:val="20"/>
        </w:rPr>
      </w:pPr>
      <w:r w:rsidRPr="00625AD6">
        <w:rPr>
          <w:sz w:val="20"/>
          <w:szCs w:val="20"/>
        </w:rPr>
        <w:t>(h)</w:t>
      </w:r>
      <w:r w:rsidRPr="00625AD6">
        <w:rPr>
          <w:sz w:val="20"/>
          <w:szCs w:val="20"/>
        </w:rPr>
        <w:tab/>
      </w:r>
      <w:r w:rsidR="000F2202" w:rsidRPr="00625AD6">
        <w:rPr>
          <w:b/>
          <w:sz w:val="20"/>
          <w:szCs w:val="20"/>
        </w:rPr>
        <w:t>With regard to criminal justice accountability measures, extend its full cooperation and support to the hybrid court for South Sudan by assisting its investigations and complying with its rulings</w:t>
      </w:r>
      <w:proofErr w:type="gramStart"/>
      <w:r w:rsidR="000F2202" w:rsidRPr="00625AD6">
        <w:rPr>
          <w:b/>
          <w:sz w:val="20"/>
          <w:szCs w:val="20"/>
        </w:rPr>
        <w:t>;</w:t>
      </w:r>
      <w:proofErr w:type="gramEnd"/>
    </w:p>
    <w:p w:rsidR="000F2202" w:rsidRPr="00625AD6" w:rsidRDefault="00625AD6" w:rsidP="00625AD6">
      <w:pPr>
        <w:pStyle w:val="SingleTxtG"/>
        <w:tabs>
          <w:tab w:val="left" w:pos="1843"/>
        </w:tabs>
        <w:ind w:firstLine="567"/>
        <w:rPr>
          <w:b/>
          <w:sz w:val="20"/>
          <w:szCs w:val="20"/>
        </w:rPr>
      </w:pPr>
      <w:r w:rsidRPr="00625AD6">
        <w:rPr>
          <w:sz w:val="20"/>
          <w:szCs w:val="20"/>
        </w:rPr>
        <w:t>(</w:t>
      </w:r>
      <w:proofErr w:type="spellStart"/>
      <w:r w:rsidRPr="00625AD6">
        <w:rPr>
          <w:sz w:val="20"/>
          <w:szCs w:val="20"/>
        </w:rPr>
        <w:t>i</w:t>
      </w:r>
      <w:proofErr w:type="spellEnd"/>
      <w:r w:rsidRPr="00625AD6">
        <w:rPr>
          <w:sz w:val="20"/>
          <w:szCs w:val="20"/>
        </w:rPr>
        <w:t>)</w:t>
      </w:r>
      <w:r w:rsidRPr="00625AD6">
        <w:rPr>
          <w:sz w:val="20"/>
          <w:szCs w:val="20"/>
        </w:rPr>
        <w:tab/>
      </w:r>
      <w:r w:rsidR="000F2202" w:rsidRPr="00625AD6">
        <w:rPr>
          <w:b/>
          <w:sz w:val="20"/>
          <w:szCs w:val="20"/>
        </w:rPr>
        <w:t xml:space="preserve">Support genuine national consultations, including through public education programmes, so as to ensure informed participation by victims, women’s groups and all stakeholders, and conduct a needs assessment to inform the mechanisms designed to facilitate truth recovery, reparations, reconciliation and the guarantee of non-recurrence; </w:t>
      </w:r>
    </w:p>
    <w:p w:rsidR="000F2202" w:rsidRPr="00625AD6" w:rsidRDefault="00625AD6" w:rsidP="00625AD6">
      <w:pPr>
        <w:pStyle w:val="SingleTxtG"/>
        <w:tabs>
          <w:tab w:val="left" w:pos="1843"/>
        </w:tabs>
        <w:ind w:firstLine="567"/>
        <w:rPr>
          <w:b/>
          <w:sz w:val="20"/>
          <w:szCs w:val="20"/>
        </w:rPr>
      </w:pPr>
      <w:r w:rsidRPr="00625AD6">
        <w:rPr>
          <w:sz w:val="20"/>
          <w:szCs w:val="20"/>
        </w:rPr>
        <w:t>(j)</w:t>
      </w:r>
      <w:r w:rsidRPr="00625AD6">
        <w:rPr>
          <w:sz w:val="20"/>
          <w:szCs w:val="20"/>
        </w:rPr>
        <w:tab/>
      </w:r>
      <w:r w:rsidR="000F2202" w:rsidRPr="00625AD6">
        <w:rPr>
          <w:b/>
          <w:sz w:val="20"/>
          <w:szCs w:val="20"/>
        </w:rPr>
        <w:t>Formulate the law establishing the commission on truth, reconciliation and healing in accordance with comparative international best practices, building on the provisions of the Agreement on the Resolution of the Conflict in the Republic of South Sudan</w:t>
      </w:r>
      <w:r w:rsidR="000F2202" w:rsidRPr="00625AD6">
        <w:rPr>
          <w:sz w:val="20"/>
          <w:szCs w:val="20"/>
        </w:rPr>
        <w:t xml:space="preserve"> </w:t>
      </w:r>
      <w:r w:rsidR="000F2202" w:rsidRPr="00625AD6">
        <w:rPr>
          <w:b/>
          <w:sz w:val="20"/>
          <w:szCs w:val="20"/>
        </w:rPr>
        <w:t xml:space="preserve">and taking into account </w:t>
      </w:r>
      <w:r w:rsidR="00E236A5" w:rsidRPr="00625AD6">
        <w:rPr>
          <w:b/>
          <w:sz w:val="20"/>
          <w:szCs w:val="20"/>
        </w:rPr>
        <w:t xml:space="preserve">the </w:t>
      </w:r>
      <w:r w:rsidR="000F2202" w:rsidRPr="00625AD6">
        <w:rPr>
          <w:b/>
          <w:sz w:val="20"/>
          <w:szCs w:val="20"/>
        </w:rPr>
        <w:t>local context</w:t>
      </w:r>
      <w:r w:rsidR="00E236A5" w:rsidRPr="00625AD6">
        <w:rPr>
          <w:b/>
          <w:sz w:val="20"/>
          <w:szCs w:val="20"/>
        </w:rPr>
        <w:t xml:space="preserve"> and</w:t>
      </w:r>
      <w:r w:rsidR="000F2202" w:rsidRPr="00625AD6">
        <w:rPr>
          <w:b/>
          <w:sz w:val="20"/>
          <w:szCs w:val="20"/>
        </w:rPr>
        <w:t xml:space="preserve"> resource constraints and capacity in South Sudan. The legislation should specifically include provisions that build substantive and procedural linkages between transitional justice institutions, including the hybrid court</w:t>
      </w:r>
      <w:proofErr w:type="gramStart"/>
      <w:r w:rsidR="00E236A5" w:rsidRPr="00625AD6">
        <w:rPr>
          <w:b/>
          <w:sz w:val="20"/>
          <w:szCs w:val="20"/>
        </w:rPr>
        <w:t>;</w:t>
      </w:r>
      <w:proofErr w:type="gramEnd"/>
    </w:p>
    <w:p w:rsidR="000F2202" w:rsidRPr="00625AD6" w:rsidRDefault="00625AD6" w:rsidP="00625AD6">
      <w:pPr>
        <w:pStyle w:val="SingleTxtG"/>
        <w:tabs>
          <w:tab w:val="left" w:pos="1843"/>
        </w:tabs>
        <w:ind w:firstLine="567"/>
        <w:rPr>
          <w:b/>
          <w:sz w:val="20"/>
          <w:szCs w:val="20"/>
        </w:rPr>
      </w:pPr>
      <w:r w:rsidRPr="00625AD6">
        <w:rPr>
          <w:sz w:val="20"/>
          <w:szCs w:val="20"/>
        </w:rPr>
        <w:t>(k)</w:t>
      </w:r>
      <w:r w:rsidRPr="00625AD6">
        <w:rPr>
          <w:sz w:val="20"/>
          <w:szCs w:val="20"/>
        </w:rPr>
        <w:tab/>
      </w:r>
      <w:r w:rsidR="00E236A5" w:rsidRPr="00625AD6">
        <w:rPr>
          <w:b/>
          <w:sz w:val="20"/>
          <w:szCs w:val="20"/>
        </w:rPr>
        <w:t>Determine t</w:t>
      </w:r>
      <w:r w:rsidR="000F2202" w:rsidRPr="00625AD6">
        <w:rPr>
          <w:b/>
          <w:sz w:val="20"/>
          <w:szCs w:val="20"/>
        </w:rPr>
        <w:t xml:space="preserve">he mandate, functions and powers of the </w:t>
      </w:r>
      <w:r w:rsidR="00E236A5" w:rsidRPr="00625AD6">
        <w:rPr>
          <w:b/>
          <w:sz w:val="20"/>
          <w:szCs w:val="20"/>
        </w:rPr>
        <w:t>c</w:t>
      </w:r>
      <w:r w:rsidR="000F2202" w:rsidRPr="00625AD6">
        <w:rPr>
          <w:b/>
          <w:sz w:val="20"/>
          <w:szCs w:val="20"/>
        </w:rPr>
        <w:t xml:space="preserve">ommission on </w:t>
      </w:r>
      <w:r w:rsidR="00E236A5" w:rsidRPr="00625AD6">
        <w:rPr>
          <w:b/>
          <w:sz w:val="20"/>
          <w:szCs w:val="20"/>
        </w:rPr>
        <w:t>t</w:t>
      </w:r>
      <w:r w:rsidR="000F2202" w:rsidRPr="00625AD6">
        <w:rPr>
          <w:b/>
          <w:sz w:val="20"/>
          <w:szCs w:val="20"/>
        </w:rPr>
        <w:t xml:space="preserve">ruth, </w:t>
      </w:r>
      <w:r w:rsidR="00E236A5" w:rsidRPr="00625AD6">
        <w:rPr>
          <w:b/>
          <w:sz w:val="20"/>
          <w:szCs w:val="20"/>
        </w:rPr>
        <w:t>reconciliation and h</w:t>
      </w:r>
      <w:r w:rsidR="000F2202" w:rsidRPr="00625AD6">
        <w:rPr>
          <w:b/>
          <w:sz w:val="20"/>
          <w:szCs w:val="20"/>
        </w:rPr>
        <w:t xml:space="preserve">ealing, including the temporal mandate, through public consultations in accordance with best international practices. The selection and appointment of </w:t>
      </w:r>
      <w:r w:rsidR="00E236A5" w:rsidRPr="00625AD6">
        <w:rPr>
          <w:b/>
          <w:sz w:val="20"/>
          <w:szCs w:val="20"/>
        </w:rPr>
        <w:t>c</w:t>
      </w:r>
      <w:r w:rsidR="000F2202" w:rsidRPr="00625AD6">
        <w:rPr>
          <w:b/>
          <w:sz w:val="20"/>
          <w:szCs w:val="20"/>
        </w:rPr>
        <w:t>ommission</w:t>
      </w:r>
      <w:r w:rsidR="00E236A5" w:rsidRPr="00625AD6">
        <w:rPr>
          <w:b/>
          <w:sz w:val="20"/>
          <w:szCs w:val="20"/>
        </w:rPr>
        <w:t xml:space="preserve"> memb</w:t>
      </w:r>
      <w:r w:rsidR="000F2202" w:rsidRPr="00625AD6">
        <w:rPr>
          <w:b/>
          <w:sz w:val="20"/>
          <w:szCs w:val="20"/>
        </w:rPr>
        <w:t>ers should be conducted in an open and transparent manner</w:t>
      </w:r>
      <w:r w:rsidR="00E236A5" w:rsidRPr="00625AD6">
        <w:rPr>
          <w:b/>
          <w:sz w:val="20"/>
          <w:szCs w:val="20"/>
        </w:rPr>
        <w:t>,</w:t>
      </w:r>
      <w:r w:rsidR="000F2202" w:rsidRPr="00625AD6">
        <w:rPr>
          <w:b/>
          <w:sz w:val="20"/>
          <w:szCs w:val="20"/>
        </w:rPr>
        <w:t xml:space="preserve"> with </w:t>
      </w:r>
      <w:r w:rsidR="00E236A5" w:rsidRPr="00625AD6">
        <w:rPr>
          <w:b/>
          <w:sz w:val="20"/>
          <w:szCs w:val="20"/>
        </w:rPr>
        <w:t>candidates</w:t>
      </w:r>
      <w:r w:rsidR="000F2202" w:rsidRPr="00625AD6">
        <w:rPr>
          <w:b/>
          <w:sz w:val="20"/>
          <w:szCs w:val="20"/>
        </w:rPr>
        <w:t xml:space="preserve"> subjected to an independent vetting and screening process so as to ensure that they are independent, credible and non-partisan</w:t>
      </w:r>
      <w:r w:rsidR="00E236A5" w:rsidRPr="00625AD6">
        <w:rPr>
          <w:b/>
          <w:sz w:val="20"/>
          <w:szCs w:val="20"/>
        </w:rPr>
        <w:t>;</w:t>
      </w:r>
      <w:r w:rsidR="000F2202" w:rsidRPr="00625AD6">
        <w:rPr>
          <w:b/>
          <w:sz w:val="20"/>
          <w:szCs w:val="20"/>
        </w:rPr>
        <w:t xml:space="preserve"> </w:t>
      </w:r>
    </w:p>
    <w:p w:rsidR="000F2202" w:rsidRPr="00625AD6" w:rsidRDefault="00625AD6" w:rsidP="00625AD6">
      <w:pPr>
        <w:pStyle w:val="SingleTxtG"/>
        <w:tabs>
          <w:tab w:val="left" w:pos="1843"/>
        </w:tabs>
        <w:ind w:firstLine="567"/>
        <w:rPr>
          <w:b/>
          <w:sz w:val="20"/>
          <w:szCs w:val="20"/>
        </w:rPr>
      </w:pPr>
      <w:r w:rsidRPr="00625AD6">
        <w:rPr>
          <w:sz w:val="20"/>
          <w:szCs w:val="20"/>
        </w:rPr>
        <w:t>(l)</w:t>
      </w:r>
      <w:r w:rsidRPr="00625AD6">
        <w:rPr>
          <w:sz w:val="20"/>
          <w:szCs w:val="20"/>
        </w:rPr>
        <w:tab/>
      </w:r>
      <w:r w:rsidR="00E236A5" w:rsidRPr="00625AD6">
        <w:rPr>
          <w:b/>
          <w:sz w:val="20"/>
          <w:szCs w:val="20"/>
        </w:rPr>
        <w:t>In the light of</w:t>
      </w:r>
      <w:r w:rsidR="000F2202" w:rsidRPr="00625AD6">
        <w:rPr>
          <w:b/>
          <w:sz w:val="20"/>
          <w:szCs w:val="20"/>
        </w:rPr>
        <w:t xml:space="preserve"> the deep injuries and trauma caused by the conflict, </w:t>
      </w:r>
      <w:r w:rsidR="00E236A5" w:rsidRPr="00625AD6">
        <w:rPr>
          <w:b/>
          <w:sz w:val="20"/>
          <w:szCs w:val="20"/>
        </w:rPr>
        <w:t xml:space="preserve">make </w:t>
      </w:r>
      <w:r w:rsidR="000F2202" w:rsidRPr="00625AD6">
        <w:rPr>
          <w:b/>
          <w:sz w:val="20"/>
          <w:szCs w:val="20"/>
        </w:rPr>
        <w:t xml:space="preserve">psychosocial support available for victims and witnesses from </w:t>
      </w:r>
      <w:r w:rsidR="00E236A5" w:rsidRPr="00625AD6">
        <w:rPr>
          <w:b/>
          <w:sz w:val="20"/>
          <w:szCs w:val="20"/>
        </w:rPr>
        <w:t>the commencement of the process</w:t>
      </w:r>
      <w:proofErr w:type="gramStart"/>
      <w:r w:rsidR="00E236A5" w:rsidRPr="00625AD6">
        <w:rPr>
          <w:b/>
          <w:sz w:val="20"/>
          <w:szCs w:val="20"/>
        </w:rPr>
        <w:t>;</w:t>
      </w:r>
      <w:proofErr w:type="gramEnd"/>
      <w:r w:rsidR="000F2202" w:rsidRPr="00625AD6">
        <w:rPr>
          <w:b/>
          <w:sz w:val="20"/>
          <w:szCs w:val="20"/>
        </w:rPr>
        <w:t xml:space="preserve"> </w:t>
      </w:r>
    </w:p>
    <w:p w:rsidR="00507944" w:rsidRPr="00625AD6" w:rsidRDefault="00625AD6" w:rsidP="00625AD6">
      <w:pPr>
        <w:pStyle w:val="SingleTxtG"/>
        <w:tabs>
          <w:tab w:val="left" w:pos="1843"/>
        </w:tabs>
        <w:ind w:firstLine="567"/>
        <w:rPr>
          <w:b/>
          <w:sz w:val="20"/>
          <w:szCs w:val="20"/>
        </w:rPr>
      </w:pPr>
      <w:r w:rsidRPr="00625AD6">
        <w:rPr>
          <w:sz w:val="20"/>
          <w:szCs w:val="20"/>
        </w:rPr>
        <w:t>(m)</w:t>
      </w:r>
      <w:r w:rsidRPr="00625AD6">
        <w:rPr>
          <w:sz w:val="20"/>
          <w:szCs w:val="20"/>
        </w:rPr>
        <w:tab/>
      </w:r>
      <w:r w:rsidR="00E236A5" w:rsidRPr="00625AD6">
        <w:rPr>
          <w:b/>
          <w:sz w:val="20"/>
          <w:szCs w:val="20"/>
        </w:rPr>
        <w:t xml:space="preserve">Include in the mandate of </w:t>
      </w:r>
      <w:r w:rsidR="000F2202" w:rsidRPr="00625AD6">
        <w:rPr>
          <w:b/>
          <w:sz w:val="20"/>
          <w:szCs w:val="20"/>
        </w:rPr>
        <w:t xml:space="preserve">the </w:t>
      </w:r>
      <w:r w:rsidR="00E236A5" w:rsidRPr="00625AD6">
        <w:rPr>
          <w:b/>
          <w:sz w:val="20"/>
          <w:szCs w:val="20"/>
        </w:rPr>
        <w:t>t</w:t>
      </w:r>
      <w:r w:rsidR="000F2202" w:rsidRPr="00625AD6">
        <w:rPr>
          <w:b/>
          <w:sz w:val="20"/>
          <w:szCs w:val="20"/>
        </w:rPr>
        <w:t xml:space="preserve">echnical </w:t>
      </w:r>
      <w:r w:rsidR="00E236A5" w:rsidRPr="00625AD6">
        <w:rPr>
          <w:b/>
          <w:sz w:val="20"/>
          <w:szCs w:val="20"/>
        </w:rPr>
        <w:t>c</w:t>
      </w:r>
      <w:r w:rsidR="000F2202" w:rsidRPr="00625AD6">
        <w:rPr>
          <w:b/>
          <w:sz w:val="20"/>
          <w:szCs w:val="20"/>
        </w:rPr>
        <w:t xml:space="preserve">ommittee established by the Government the establishment of </w:t>
      </w:r>
      <w:r w:rsidR="00E236A5" w:rsidRPr="00625AD6">
        <w:rPr>
          <w:b/>
          <w:sz w:val="20"/>
          <w:szCs w:val="20"/>
        </w:rPr>
        <w:t>a compensation and reparations authority, and consult</w:t>
      </w:r>
      <w:r w:rsidR="000F2202" w:rsidRPr="00625AD6">
        <w:rPr>
          <w:b/>
          <w:sz w:val="20"/>
          <w:szCs w:val="20"/>
        </w:rPr>
        <w:t xml:space="preserve"> with victims and survivors before drafting legislation, which should provide for compensation and reparations. </w:t>
      </w:r>
      <w:r w:rsidR="00E236A5" w:rsidRPr="00625AD6">
        <w:rPr>
          <w:b/>
          <w:sz w:val="20"/>
          <w:szCs w:val="20"/>
        </w:rPr>
        <w:t>C</w:t>
      </w:r>
      <w:r w:rsidR="000F2202" w:rsidRPr="00625AD6">
        <w:rPr>
          <w:b/>
          <w:sz w:val="20"/>
          <w:szCs w:val="20"/>
        </w:rPr>
        <w:t>ompensat</w:t>
      </w:r>
      <w:r w:rsidR="00E236A5" w:rsidRPr="00625AD6">
        <w:rPr>
          <w:b/>
          <w:sz w:val="20"/>
          <w:szCs w:val="20"/>
        </w:rPr>
        <w:t>ion</w:t>
      </w:r>
      <w:r w:rsidR="000F2202" w:rsidRPr="00625AD6">
        <w:rPr>
          <w:b/>
          <w:sz w:val="20"/>
          <w:szCs w:val="20"/>
        </w:rPr>
        <w:t xml:space="preserve"> </w:t>
      </w:r>
      <w:r w:rsidR="00E236A5" w:rsidRPr="00625AD6">
        <w:rPr>
          <w:b/>
          <w:sz w:val="20"/>
          <w:szCs w:val="20"/>
        </w:rPr>
        <w:t xml:space="preserve">should take </w:t>
      </w:r>
      <w:r w:rsidR="000F2202" w:rsidRPr="00625AD6">
        <w:rPr>
          <w:b/>
          <w:sz w:val="20"/>
          <w:szCs w:val="20"/>
        </w:rPr>
        <w:t xml:space="preserve">not only loss of property </w:t>
      </w:r>
      <w:r w:rsidR="00E236A5" w:rsidRPr="00625AD6">
        <w:rPr>
          <w:b/>
          <w:sz w:val="20"/>
          <w:szCs w:val="20"/>
        </w:rPr>
        <w:t xml:space="preserve">into account, </w:t>
      </w:r>
      <w:r w:rsidR="000F2202" w:rsidRPr="00625AD6">
        <w:rPr>
          <w:b/>
          <w:sz w:val="20"/>
          <w:szCs w:val="20"/>
        </w:rPr>
        <w:t>but also losses arising from gross violations such as killings, torture, sexual violence, abductions, forced displacement and enforced disappearances.</w:t>
      </w:r>
      <w:bookmarkStart w:id="253" w:name="_Toc474703345"/>
      <w:bookmarkStart w:id="254" w:name="_Toc474703419"/>
      <w:bookmarkStart w:id="255" w:name="_Toc474703493"/>
      <w:bookmarkStart w:id="256" w:name="_Toc474703564"/>
      <w:bookmarkEnd w:id="253"/>
      <w:bookmarkEnd w:id="254"/>
      <w:bookmarkEnd w:id="255"/>
      <w:bookmarkEnd w:id="256"/>
    </w:p>
    <w:p w:rsidR="00507944" w:rsidRPr="00625AD6" w:rsidRDefault="00625AD6" w:rsidP="00625AD6">
      <w:pPr>
        <w:pStyle w:val="H23G"/>
        <w:rPr>
          <w:sz w:val="20"/>
          <w:szCs w:val="20"/>
        </w:rPr>
      </w:pPr>
      <w:r w:rsidRPr="00625AD6">
        <w:rPr>
          <w:sz w:val="20"/>
          <w:szCs w:val="20"/>
        </w:rPr>
        <w:tab/>
        <w:t>2.</w:t>
      </w:r>
      <w:r w:rsidRPr="00625AD6">
        <w:rPr>
          <w:sz w:val="20"/>
          <w:szCs w:val="20"/>
        </w:rPr>
        <w:tab/>
      </w:r>
      <w:r w:rsidR="00644409" w:rsidRPr="00625AD6">
        <w:rPr>
          <w:sz w:val="20"/>
          <w:szCs w:val="20"/>
        </w:rPr>
        <w:t xml:space="preserve">Non-State </w:t>
      </w:r>
      <w:r w:rsidR="001E636B" w:rsidRPr="00625AD6">
        <w:rPr>
          <w:sz w:val="20"/>
          <w:szCs w:val="20"/>
        </w:rPr>
        <w:t>a</w:t>
      </w:r>
      <w:r w:rsidR="00644409" w:rsidRPr="00625AD6">
        <w:rPr>
          <w:sz w:val="20"/>
          <w:szCs w:val="20"/>
        </w:rPr>
        <w:t xml:space="preserve">rmed </w:t>
      </w:r>
      <w:r w:rsidR="001E636B" w:rsidRPr="00625AD6">
        <w:rPr>
          <w:sz w:val="20"/>
          <w:szCs w:val="20"/>
        </w:rPr>
        <w:t>g</w:t>
      </w:r>
      <w:r w:rsidR="00644409" w:rsidRPr="00625AD6">
        <w:rPr>
          <w:sz w:val="20"/>
          <w:szCs w:val="20"/>
        </w:rPr>
        <w:t xml:space="preserve">roups </w:t>
      </w:r>
    </w:p>
    <w:p w:rsidR="00E236A5" w:rsidRPr="00625AD6" w:rsidRDefault="00625AD6" w:rsidP="00625AD6">
      <w:pPr>
        <w:pStyle w:val="SingleTxtG"/>
        <w:tabs>
          <w:tab w:val="left" w:pos="1701"/>
        </w:tabs>
        <w:rPr>
          <w:b/>
          <w:sz w:val="20"/>
        </w:rPr>
      </w:pPr>
      <w:r w:rsidRPr="00625AD6">
        <w:rPr>
          <w:sz w:val="20"/>
          <w:szCs w:val="20"/>
        </w:rPr>
        <w:t>94.</w:t>
      </w:r>
      <w:r w:rsidRPr="00625AD6">
        <w:rPr>
          <w:sz w:val="20"/>
          <w:szCs w:val="20"/>
        </w:rPr>
        <w:tab/>
      </w:r>
      <w:r w:rsidR="00E236A5" w:rsidRPr="00625AD6">
        <w:rPr>
          <w:b/>
          <w:sz w:val="20"/>
        </w:rPr>
        <w:t>The Commission recommends that a</w:t>
      </w:r>
      <w:r w:rsidR="00644409" w:rsidRPr="00625AD6">
        <w:rPr>
          <w:b/>
          <w:sz w:val="20"/>
        </w:rPr>
        <w:t xml:space="preserve">ll non-State armed groups, including those aligned </w:t>
      </w:r>
      <w:r w:rsidR="00862D56" w:rsidRPr="00625AD6">
        <w:rPr>
          <w:b/>
          <w:sz w:val="20"/>
        </w:rPr>
        <w:t xml:space="preserve">with </w:t>
      </w:r>
      <w:r w:rsidR="00644409" w:rsidRPr="00625AD6">
        <w:rPr>
          <w:b/>
          <w:sz w:val="20"/>
        </w:rPr>
        <w:t>the opposition</w:t>
      </w:r>
      <w:r w:rsidR="00E236A5" w:rsidRPr="00625AD6">
        <w:rPr>
          <w:b/>
          <w:sz w:val="20"/>
        </w:rPr>
        <w:t>:</w:t>
      </w:r>
      <w:r w:rsidR="00644409" w:rsidRPr="00625AD6">
        <w:rPr>
          <w:b/>
          <w:sz w:val="20"/>
        </w:rPr>
        <w:t xml:space="preserve"> </w:t>
      </w:r>
    </w:p>
    <w:p w:rsidR="00E236A5" w:rsidRPr="00625AD6" w:rsidRDefault="00862D56" w:rsidP="00AA27FF">
      <w:pPr>
        <w:pStyle w:val="SingleTxtG"/>
        <w:tabs>
          <w:tab w:val="left" w:pos="1701"/>
        </w:tabs>
        <w:rPr>
          <w:b/>
        </w:rPr>
      </w:pPr>
      <w:r w:rsidRPr="00625AD6">
        <w:rPr>
          <w:sz w:val="20"/>
        </w:rPr>
        <w:tab/>
      </w:r>
      <w:r w:rsidR="00E236A5" w:rsidRPr="00625AD6">
        <w:rPr>
          <w:sz w:val="20"/>
        </w:rPr>
        <w:t>(a)</w:t>
      </w:r>
      <w:r w:rsidR="00E236A5" w:rsidRPr="00625AD6">
        <w:rPr>
          <w:b/>
          <w:sz w:val="20"/>
        </w:rPr>
        <w:tab/>
        <w:t>C</w:t>
      </w:r>
      <w:r w:rsidR="00644409" w:rsidRPr="00625AD6">
        <w:rPr>
          <w:b/>
          <w:sz w:val="20"/>
        </w:rPr>
        <w:t xml:space="preserve">ease </w:t>
      </w:r>
      <w:r w:rsidR="00E236A5" w:rsidRPr="00625AD6">
        <w:rPr>
          <w:b/>
          <w:sz w:val="20"/>
        </w:rPr>
        <w:t xml:space="preserve">hostilities immediately, </w:t>
      </w:r>
      <w:r w:rsidR="00E236A5" w:rsidRPr="00625AD6">
        <w:rPr>
          <w:b/>
          <w:sz w:val="20"/>
          <w:szCs w:val="20"/>
        </w:rPr>
        <w:t>conclude a permanent ceasefire, and ensure the protection of civilians under their control, preventing human rights abuses</w:t>
      </w:r>
      <w:proofErr w:type="gramStart"/>
      <w:r w:rsidR="00E236A5" w:rsidRPr="00625AD6">
        <w:rPr>
          <w:b/>
          <w:sz w:val="20"/>
          <w:szCs w:val="20"/>
        </w:rPr>
        <w:t>;</w:t>
      </w:r>
      <w:proofErr w:type="gramEnd"/>
    </w:p>
    <w:p w:rsidR="00E236A5" w:rsidRPr="00625AD6" w:rsidRDefault="00862D56" w:rsidP="00AA27FF">
      <w:pPr>
        <w:pStyle w:val="SingleTxtG"/>
        <w:tabs>
          <w:tab w:val="left" w:pos="1701"/>
        </w:tabs>
        <w:rPr>
          <w:b/>
        </w:rPr>
      </w:pPr>
      <w:r w:rsidRPr="00625AD6">
        <w:rPr>
          <w:sz w:val="20"/>
        </w:rPr>
        <w:tab/>
      </w:r>
      <w:r w:rsidR="00E236A5" w:rsidRPr="00625AD6">
        <w:rPr>
          <w:sz w:val="20"/>
        </w:rPr>
        <w:t>(b)</w:t>
      </w:r>
      <w:r w:rsidR="00E236A5" w:rsidRPr="00625AD6">
        <w:rPr>
          <w:b/>
          <w:sz w:val="20"/>
        </w:rPr>
        <w:tab/>
      </w:r>
      <w:r w:rsidR="00E236A5" w:rsidRPr="00625AD6">
        <w:rPr>
          <w:b/>
          <w:sz w:val="20"/>
          <w:szCs w:val="20"/>
        </w:rPr>
        <w:t xml:space="preserve"> Renew publicly their commitment to the full implementation of the Agreement on the Resolution of the Conflict in the Republic of South Sudan, including of the institutions envisaged in chapter V thereof</w:t>
      </w:r>
      <w:proofErr w:type="gramStart"/>
      <w:r w:rsidR="00E236A5" w:rsidRPr="00625AD6">
        <w:rPr>
          <w:b/>
          <w:sz w:val="20"/>
          <w:szCs w:val="20"/>
        </w:rPr>
        <w:t>;</w:t>
      </w:r>
      <w:proofErr w:type="gramEnd"/>
    </w:p>
    <w:p w:rsidR="00507944" w:rsidRPr="00625AD6" w:rsidRDefault="00862D56" w:rsidP="00AA27FF">
      <w:pPr>
        <w:pStyle w:val="SingleTxtG"/>
        <w:tabs>
          <w:tab w:val="left" w:pos="1701"/>
        </w:tabs>
        <w:rPr>
          <w:b/>
          <w:sz w:val="20"/>
        </w:rPr>
      </w:pPr>
      <w:r w:rsidRPr="00625AD6">
        <w:rPr>
          <w:sz w:val="20"/>
        </w:rPr>
        <w:tab/>
      </w:r>
      <w:r w:rsidR="00E236A5" w:rsidRPr="00625AD6">
        <w:rPr>
          <w:sz w:val="20"/>
        </w:rPr>
        <w:t>(c)</w:t>
      </w:r>
      <w:r w:rsidR="00E236A5" w:rsidRPr="00625AD6">
        <w:rPr>
          <w:b/>
          <w:sz w:val="20"/>
        </w:rPr>
        <w:t xml:space="preserve"> </w:t>
      </w:r>
      <w:r w:rsidR="00E236A5" w:rsidRPr="00625AD6">
        <w:rPr>
          <w:b/>
          <w:sz w:val="20"/>
        </w:rPr>
        <w:tab/>
        <w:t xml:space="preserve">Allow </w:t>
      </w:r>
      <w:r w:rsidR="00E236A5" w:rsidRPr="00625AD6">
        <w:rPr>
          <w:b/>
          <w:sz w:val="20"/>
          <w:szCs w:val="20"/>
        </w:rPr>
        <w:t>unfettered access to the United Nations, the International Committee of the Red Cross, local human rights defenders and humanitarian workers to areas under their control to enable them carry out their work in accordance with international law and their respective mandate</w:t>
      </w:r>
      <w:r w:rsidR="00644409" w:rsidRPr="00625AD6">
        <w:rPr>
          <w:b/>
          <w:sz w:val="20"/>
        </w:rPr>
        <w:t>.</w:t>
      </w:r>
      <w:r w:rsidR="00974932" w:rsidRPr="00625AD6">
        <w:rPr>
          <w:b/>
          <w:sz w:val="20"/>
        </w:rPr>
        <w:t xml:space="preserve"> </w:t>
      </w:r>
    </w:p>
    <w:p w:rsidR="00507944" w:rsidRPr="00625AD6" w:rsidRDefault="00625AD6" w:rsidP="00625AD6">
      <w:pPr>
        <w:pStyle w:val="H23G"/>
        <w:rPr>
          <w:sz w:val="20"/>
          <w:szCs w:val="20"/>
        </w:rPr>
      </w:pPr>
      <w:bookmarkStart w:id="257" w:name="_Toc474703347"/>
      <w:bookmarkStart w:id="258" w:name="_Toc474703421"/>
      <w:bookmarkStart w:id="259" w:name="_Toc474703495"/>
      <w:bookmarkStart w:id="260" w:name="_Toc474703566"/>
      <w:bookmarkEnd w:id="257"/>
      <w:bookmarkEnd w:id="258"/>
      <w:bookmarkEnd w:id="259"/>
      <w:bookmarkEnd w:id="260"/>
      <w:r>
        <w:rPr>
          <w:sz w:val="20"/>
          <w:szCs w:val="20"/>
        </w:rPr>
        <w:tab/>
      </w:r>
      <w:r w:rsidRPr="00625AD6">
        <w:rPr>
          <w:sz w:val="20"/>
          <w:szCs w:val="20"/>
        </w:rPr>
        <w:t>3.</w:t>
      </w:r>
      <w:r w:rsidRPr="00625AD6">
        <w:rPr>
          <w:sz w:val="20"/>
          <w:szCs w:val="20"/>
        </w:rPr>
        <w:tab/>
      </w:r>
      <w:r w:rsidR="00644409" w:rsidRPr="00625AD6">
        <w:rPr>
          <w:sz w:val="20"/>
          <w:szCs w:val="20"/>
        </w:rPr>
        <w:t>United Nations and African Union</w:t>
      </w:r>
    </w:p>
    <w:p w:rsidR="00B415FA" w:rsidRPr="00625AD6" w:rsidRDefault="00625AD6" w:rsidP="00625AD6">
      <w:pPr>
        <w:pStyle w:val="SingleTxtG"/>
        <w:tabs>
          <w:tab w:val="left" w:pos="1701"/>
        </w:tabs>
        <w:rPr>
          <w:b/>
          <w:sz w:val="20"/>
        </w:rPr>
      </w:pPr>
      <w:proofErr w:type="gramStart"/>
      <w:r w:rsidRPr="00625AD6">
        <w:rPr>
          <w:sz w:val="20"/>
          <w:szCs w:val="20"/>
        </w:rPr>
        <w:t>95.</w:t>
      </w:r>
      <w:r w:rsidRPr="00625AD6">
        <w:rPr>
          <w:sz w:val="20"/>
          <w:szCs w:val="20"/>
        </w:rPr>
        <w:tab/>
      </w:r>
      <w:r w:rsidR="00B415FA" w:rsidRPr="00625AD6">
        <w:rPr>
          <w:b/>
          <w:sz w:val="20"/>
        </w:rPr>
        <w:t>Noting that Chapter VII of the Charter</w:t>
      </w:r>
      <w:r w:rsidR="00B415FA" w:rsidRPr="00625AD6" w:rsidDel="000E0B5C">
        <w:rPr>
          <w:b/>
          <w:sz w:val="20"/>
        </w:rPr>
        <w:t xml:space="preserve"> </w:t>
      </w:r>
      <w:r w:rsidR="00B415FA" w:rsidRPr="00625AD6">
        <w:rPr>
          <w:b/>
          <w:sz w:val="20"/>
        </w:rPr>
        <w:t xml:space="preserve">of the United Nations, article 4(h) of the Constitutive Act of the African Union, and chapter V of the </w:t>
      </w:r>
      <w:r w:rsidR="00B415FA" w:rsidRPr="00625AD6">
        <w:rPr>
          <w:b/>
          <w:sz w:val="20"/>
          <w:szCs w:val="20"/>
        </w:rPr>
        <w:t>Agreement on the Resolution of the Conflict in the Republic of South Sudan</w:t>
      </w:r>
      <w:r w:rsidR="00B415FA" w:rsidRPr="00625AD6">
        <w:rPr>
          <w:sz w:val="20"/>
          <w:szCs w:val="20"/>
        </w:rPr>
        <w:t xml:space="preserve"> </w:t>
      </w:r>
      <w:r w:rsidR="00B415FA" w:rsidRPr="00625AD6">
        <w:rPr>
          <w:b/>
          <w:sz w:val="20"/>
        </w:rPr>
        <w:t xml:space="preserve">provide for full authority for the establishment of the </w:t>
      </w:r>
      <w:r w:rsidR="0056526A">
        <w:rPr>
          <w:b/>
          <w:sz w:val="20"/>
        </w:rPr>
        <w:t>h</w:t>
      </w:r>
      <w:r w:rsidR="00B415FA" w:rsidRPr="00625AD6">
        <w:rPr>
          <w:b/>
          <w:sz w:val="20"/>
        </w:rPr>
        <w:t xml:space="preserve">ybrid </w:t>
      </w:r>
      <w:r w:rsidR="0056526A">
        <w:rPr>
          <w:b/>
          <w:sz w:val="20"/>
        </w:rPr>
        <w:t>c</w:t>
      </w:r>
      <w:r w:rsidR="00B415FA" w:rsidRPr="00625AD6">
        <w:rPr>
          <w:b/>
          <w:sz w:val="20"/>
        </w:rPr>
        <w:t xml:space="preserve">ourt for South Sudan in lieu of an agreement with the Government if necessary, the African Union should act immediately to ensure that the </w:t>
      </w:r>
      <w:r w:rsidR="0056526A">
        <w:rPr>
          <w:b/>
          <w:sz w:val="20"/>
        </w:rPr>
        <w:t>h</w:t>
      </w:r>
      <w:r w:rsidR="00B415FA" w:rsidRPr="00625AD6">
        <w:rPr>
          <w:b/>
          <w:sz w:val="20"/>
        </w:rPr>
        <w:t xml:space="preserve">ybrid </w:t>
      </w:r>
      <w:r w:rsidR="0056526A">
        <w:rPr>
          <w:b/>
          <w:sz w:val="20"/>
        </w:rPr>
        <w:t>c</w:t>
      </w:r>
      <w:r w:rsidR="00B415FA" w:rsidRPr="00625AD6">
        <w:rPr>
          <w:b/>
          <w:sz w:val="20"/>
        </w:rPr>
        <w:t>ourt is operational within six to nine months of the present report</w:t>
      </w:r>
      <w:proofErr w:type="gramEnd"/>
    </w:p>
    <w:p w:rsidR="00507944" w:rsidRDefault="00625AD6" w:rsidP="00625AD6">
      <w:pPr>
        <w:pStyle w:val="SingleTxtG"/>
        <w:tabs>
          <w:tab w:val="left" w:pos="1701"/>
        </w:tabs>
        <w:rPr>
          <w:b/>
        </w:rPr>
      </w:pPr>
      <w:r w:rsidRPr="00625AD6">
        <w:rPr>
          <w:sz w:val="20"/>
          <w:szCs w:val="20"/>
        </w:rPr>
        <w:t>96.</w:t>
      </w:r>
      <w:r w:rsidRPr="00625AD6">
        <w:rPr>
          <w:sz w:val="20"/>
          <w:szCs w:val="20"/>
        </w:rPr>
        <w:tab/>
      </w:r>
      <w:r w:rsidR="00644409" w:rsidRPr="00625AD6">
        <w:rPr>
          <w:b/>
          <w:sz w:val="20"/>
        </w:rPr>
        <w:t xml:space="preserve">The Commission </w:t>
      </w:r>
      <w:r w:rsidR="0056526A">
        <w:rPr>
          <w:b/>
          <w:sz w:val="20"/>
        </w:rPr>
        <w:t>recommends</w:t>
      </w:r>
      <w:r w:rsidR="0056526A" w:rsidRPr="00625AD6">
        <w:rPr>
          <w:b/>
          <w:sz w:val="20"/>
        </w:rPr>
        <w:t xml:space="preserve"> </w:t>
      </w:r>
      <w:r w:rsidR="00644409" w:rsidRPr="00625AD6">
        <w:rPr>
          <w:b/>
          <w:sz w:val="20"/>
        </w:rPr>
        <w:t xml:space="preserve">the immediate establishment of an international impartial and independent </w:t>
      </w:r>
      <w:r w:rsidR="0056526A">
        <w:rPr>
          <w:b/>
          <w:sz w:val="20"/>
        </w:rPr>
        <w:t>investigation by</w:t>
      </w:r>
      <w:r w:rsidR="0056526A" w:rsidRPr="00625AD6">
        <w:rPr>
          <w:b/>
          <w:sz w:val="20"/>
        </w:rPr>
        <w:t xml:space="preserve"> the United Nations</w:t>
      </w:r>
      <w:r w:rsidR="0056526A">
        <w:rPr>
          <w:b/>
          <w:sz w:val="20"/>
        </w:rPr>
        <w:t xml:space="preserve"> in</w:t>
      </w:r>
      <w:r w:rsidR="00644409" w:rsidRPr="00625AD6">
        <w:rPr>
          <w:b/>
          <w:sz w:val="20"/>
        </w:rPr>
        <w:t>to the most serious crimes</w:t>
      </w:r>
      <w:r w:rsidR="00B415FA" w:rsidRPr="00625AD6">
        <w:rPr>
          <w:b/>
          <w:sz w:val="20"/>
        </w:rPr>
        <w:t>,</w:t>
      </w:r>
      <w:r w:rsidR="00B415FA" w:rsidRPr="00625AD6">
        <w:rPr>
          <w:b/>
        </w:rPr>
        <w:t xml:space="preserve"> </w:t>
      </w:r>
      <w:r w:rsidR="00B415FA" w:rsidRPr="00625AD6">
        <w:rPr>
          <w:b/>
          <w:sz w:val="20"/>
          <w:szCs w:val="20"/>
        </w:rPr>
        <w:t>including conflict-related sexual violence,</w:t>
      </w:r>
      <w:r w:rsidR="00644409" w:rsidRPr="00625AD6">
        <w:rPr>
          <w:b/>
          <w:sz w:val="20"/>
        </w:rPr>
        <w:t xml:space="preserve"> committed since December 2013</w:t>
      </w:r>
      <w:r w:rsidR="0056526A">
        <w:rPr>
          <w:b/>
          <w:sz w:val="20"/>
        </w:rPr>
        <w:t xml:space="preserve"> by, inter alia,</w:t>
      </w:r>
      <w:r w:rsidR="00644409" w:rsidRPr="00625AD6">
        <w:rPr>
          <w:b/>
          <w:sz w:val="20"/>
        </w:rPr>
        <w:t xml:space="preserve"> collect</w:t>
      </w:r>
      <w:r w:rsidR="00B415FA" w:rsidRPr="00625AD6">
        <w:rPr>
          <w:b/>
          <w:sz w:val="20"/>
        </w:rPr>
        <w:t>ing</w:t>
      </w:r>
      <w:r w:rsidR="00644409" w:rsidRPr="00625AD6">
        <w:rPr>
          <w:b/>
          <w:sz w:val="20"/>
        </w:rPr>
        <w:t>, preserv</w:t>
      </w:r>
      <w:r w:rsidR="00B415FA" w:rsidRPr="00625AD6">
        <w:rPr>
          <w:b/>
          <w:sz w:val="20"/>
        </w:rPr>
        <w:t>ing</w:t>
      </w:r>
      <w:r w:rsidR="00644409" w:rsidRPr="00625AD6">
        <w:rPr>
          <w:b/>
          <w:sz w:val="20"/>
        </w:rPr>
        <w:t xml:space="preserve"> and analy</w:t>
      </w:r>
      <w:r w:rsidR="00667A24" w:rsidRPr="00625AD6">
        <w:rPr>
          <w:b/>
          <w:sz w:val="20"/>
        </w:rPr>
        <w:t>s</w:t>
      </w:r>
      <w:r w:rsidR="00B415FA" w:rsidRPr="00625AD6">
        <w:rPr>
          <w:b/>
          <w:sz w:val="20"/>
        </w:rPr>
        <w:t>ing</w:t>
      </w:r>
      <w:r w:rsidR="00644409" w:rsidRPr="00625AD6">
        <w:rPr>
          <w:b/>
          <w:sz w:val="20"/>
        </w:rPr>
        <w:t xml:space="preserve"> evidence of </w:t>
      </w:r>
      <w:r w:rsidR="0056526A" w:rsidRPr="00625AD6">
        <w:rPr>
          <w:b/>
          <w:sz w:val="20"/>
        </w:rPr>
        <w:t xml:space="preserve">human rights </w:t>
      </w:r>
      <w:r w:rsidR="00644409" w:rsidRPr="00625AD6">
        <w:rPr>
          <w:b/>
          <w:sz w:val="20"/>
        </w:rPr>
        <w:t xml:space="preserve">violations </w:t>
      </w:r>
      <w:r w:rsidR="0056526A">
        <w:rPr>
          <w:b/>
          <w:sz w:val="20"/>
        </w:rPr>
        <w:t xml:space="preserve">and violations </w:t>
      </w:r>
      <w:r w:rsidR="00644409" w:rsidRPr="00625AD6">
        <w:rPr>
          <w:b/>
          <w:sz w:val="20"/>
        </w:rPr>
        <w:t>of international humanitarian law</w:t>
      </w:r>
      <w:r w:rsidR="0056526A">
        <w:rPr>
          <w:b/>
          <w:sz w:val="20"/>
        </w:rPr>
        <w:t>.</w:t>
      </w:r>
      <w:r w:rsidR="00644409" w:rsidRPr="00625AD6">
        <w:rPr>
          <w:b/>
          <w:sz w:val="20"/>
        </w:rPr>
        <w:t xml:space="preserve"> </w:t>
      </w:r>
      <w:r w:rsidR="0056526A">
        <w:rPr>
          <w:b/>
          <w:sz w:val="20"/>
        </w:rPr>
        <w:t>The aim of the investigation should be</w:t>
      </w:r>
      <w:r w:rsidR="00667A24" w:rsidRPr="00625AD6">
        <w:rPr>
          <w:sz w:val="20"/>
        </w:rPr>
        <w:t xml:space="preserve"> </w:t>
      </w:r>
      <w:r w:rsidR="00644409" w:rsidRPr="00625AD6">
        <w:rPr>
          <w:b/>
          <w:sz w:val="20"/>
        </w:rPr>
        <w:t xml:space="preserve">to facilitate and expedite fair and independent criminal proceedings in accordance with international law standards. </w:t>
      </w:r>
      <w:r w:rsidR="0056526A">
        <w:rPr>
          <w:b/>
          <w:sz w:val="20"/>
        </w:rPr>
        <w:t xml:space="preserve">It should also </w:t>
      </w:r>
      <w:r w:rsidR="00644409" w:rsidRPr="00625AD6">
        <w:rPr>
          <w:b/>
          <w:sz w:val="20"/>
        </w:rPr>
        <w:t xml:space="preserve">support criminal proceedings before the </w:t>
      </w:r>
      <w:r w:rsidR="0056526A">
        <w:rPr>
          <w:b/>
          <w:sz w:val="20"/>
        </w:rPr>
        <w:t>h</w:t>
      </w:r>
      <w:r w:rsidR="00644409" w:rsidRPr="00625AD6">
        <w:rPr>
          <w:b/>
          <w:sz w:val="20"/>
        </w:rPr>
        <w:t xml:space="preserve">ybrid </w:t>
      </w:r>
      <w:r w:rsidR="0056526A">
        <w:rPr>
          <w:b/>
          <w:sz w:val="20"/>
        </w:rPr>
        <w:t>c</w:t>
      </w:r>
      <w:r w:rsidR="00644409" w:rsidRPr="00625AD6">
        <w:rPr>
          <w:b/>
          <w:sz w:val="20"/>
        </w:rPr>
        <w:t>ourt for South Sudan and national, regional or international courts or tribunals that have</w:t>
      </w:r>
      <w:r w:rsidR="00667A24" w:rsidRPr="00625AD6">
        <w:rPr>
          <w:sz w:val="20"/>
        </w:rPr>
        <w:t>,</w:t>
      </w:r>
      <w:r w:rsidR="00644409" w:rsidRPr="00625AD6">
        <w:rPr>
          <w:b/>
          <w:sz w:val="20"/>
        </w:rPr>
        <w:t xml:space="preserve"> or in the future have</w:t>
      </w:r>
      <w:r w:rsidR="00667A24" w:rsidRPr="00625AD6">
        <w:rPr>
          <w:sz w:val="20"/>
        </w:rPr>
        <w:t>,</w:t>
      </w:r>
      <w:r w:rsidR="00644409" w:rsidRPr="00625AD6">
        <w:rPr>
          <w:b/>
          <w:sz w:val="20"/>
        </w:rPr>
        <w:t xml:space="preserve"> jurisdiction over these crimes.</w:t>
      </w:r>
      <w:r w:rsidR="00B415FA" w:rsidRPr="00625AD6">
        <w:t xml:space="preserve"> </w:t>
      </w:r>
      <w:r w:rsidR="00B415FA" w:rsidRPr="00625AD6">
        <w:rPr>
          <w:b/>
          <w:sz w:val="20"/>
          <w:szCs w:val="20"/>
        </w:rPr>
        <w:t>The Commission urges the parties concerned to prioritize</w:t>
      </w:r>
      <w:r w:rsidR="00B415FA" w:rsidRPr="00625AD6">
        <w:rPr>
          <w:sz w:val="20"/>
          <w:szCs w:val="20"/>
        </w:rPr>
        <w:t xml:space="preserve"> </w:t>
      </w:r>
      <w:r w:rsidR="00B415FA" w:rsidRPr="00625AD6">
        <w:rPr>
          <w:b/>
          <w:sz w:val="20"/>
          <w:szCs w:val="20"/>
        </w:rPr>
        <w:t>the investigation and documentation of conflict</w:t>
      </w:r>
      <w:r w:rsidR="00B415FA" w:rsidRPr="00625AD6">
        <w:rPr>
          <w:sz w:val="20"/>
          <w:szCs w:val="20"/>
        </w:rPr>
        <w:t>-</w:t>
      </w:r>
      <w:r w:rsidR="00B415FA" w:rsidRPr="00625AD6">
        <w:rPr>
          <w:b/>
          <w:sz w:val="20"/>
          <w:szCs w:val="20"/>
        </w:rPr>
        <w:t>related sexual violence</w:t>
      </w:r>
      <w:r w:rsidR="00B415FA" w:rsidRPr="00625AD6">
        <w:rPr>
          <w:sz w:val="20"/>
          <w:szCs w:val="20"/>
        </w:rPr>
        <w:t>.</w:t>
      </w:r>
    </w:p>
    <w:p w:rsidR="00665623" w:rsidRPr="00644409" w:rsidRDefault="00665623" w:rsidP="00665623">
      <w:pPr>
        <w:pStyle w:val="SingleTxtG"/>
        <w:spacing w:before="240" w:after="0"/>
        <w:jc w:val="center"/>
        <w:rPr>
          <w:u w:val="single"/>
        </w:rPr>
      </w:pPr>
      <w:r>
        <w:rPr>
          <w:u w:val="single"/>
        </w:rPr>
        <w:tab/>
      </w:r>
      <w:r>
        <w:rPr>
          <w:u w:val="single"/>
        </w:rPr>
        <w:tab/>
      </w:r>
      <w:r>
        <w:rPr>
          <w:u w:val="single"/>
        </w:rPr>
        <w:tab/>
      </w:r>
    </w:p>
    <w:sectPr w:rsidR="00665623" w:rsidRPr="00644409" w:rsidSect="00B64CC9">
      <w:headerReference w:type="even" r:id="rId9"/>
      <w:headerReference w:type="default" r:id="rId10"/>
      <w:footerReference w:type="even" r:id="rId11"/>
      <w:footerReference w:type="default" r:id="rId12"/>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8C2" w:rsidRDefault="006558C2"/>
  </w:endnote>
  <w:endnote w:type="continuationSeparator" w:id="0">
    <w:p w:rsidR="006558C2" w:rsidRDefault="006558C2"/>
  </w:endnote>
  <w:endnote w:type="continuationNotice" w:id="1">
    <w:p w:rsidR="006558C2" w:rsidRDefault="00655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C2" w:rsidRPr="00B64CC9" w:rsidRDefault="006558C2" w:rsidP="00B64CC9">
    <w:pPr>
      <w:pStyle w:val="Footer"/>
      <w:tabs>
        <w:tab w:val="right" w:pos="9638"/>
      </w:tabs>
    </w:pPr>
    <w:r>
      <w:fldChar w:fldCharType="begin"/>
    </w:r>
    <w:r>
      <w:instrText xml:space="preserve"> PAGE  \* MERGEFORMAT </w:instrText>
    </w:r>
    <w:r>
      <w:fldChar w:fldCharType="separate"/>
    </w:r>
    <w:r w:rsidR="002F398F" w:rsidRPr="002F398F">
      <w:rPr>
        <w:b/>
        <w:noProof/>
        <w:sz w:val="18"/>
      </w:rPr>
      <w:t>2</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C2" w:rsidRPr="00B64CC9" w:rsidRDefault="006558C2" w:rsidP="00B64CC9">
    <w:pPr>
      <w:pStyle w:val="Footer"/>
      <w:tabs>
        <w:tab w:val="right" w:pos="9638"/>
      </w:tabs>
      <w:rPr>
        <w:b/>
        <w:sz w:val="18"/>
      </w:rPr>
    </w:pPr>
    <w:r>
      <w:tab/>
    </w:r>
    <w:r>
      <w:fldChar w:fldCharType="begin"/>
    </w:r>
    <w:r>
      <w:instrText xml:space="preserve"> PAGE  \* MERGEFORMAT </w:instrText>
    </w:r>
    <w:r>
      <w:fldChar w:fldCharType="separate"/>
    </w:r>
    <w:r w:rsidR="002F398F" w:rsidRPr="002F398F">
      <w:rPr>
        <w:b/>
        <w:noProof/>
        <w:sz w:val="18"/>
      </w:rPr>
      <w:t>3</w:t>
    </w:r>
    <w:r>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8C2" w:rsidRPr="000B175B" w:rsidRDefault="006558C2" w:rsidP="000B175B">
      <w:pPr>
        <w:tabs>
          <w:tab w:val="right" w:pos="2155"/>
        </w:tabs>
        <w:spacing w:after="80"/>
        <w:ind w:left="680"/>
        <w:rPr>
          <w:u w:val="single"/>
        </w:rPr>
      </w:pPr>
      <w:r>
        <w:rPr>
          <w:u w:val="single"/>
        </w:rPr>
        <w:tab/>
      </w:r>
    </w:p>
  </w:footnote>
  <w:footnote w:type="continuationSeparator" w:id="0">
    <w:p w:rsidR="006558C2" w:rsidRPr="00FC68B7" w:rsidRDefault="006558C2" w:rsidP="00FC68B7">
      <w:pPr>
        <w:tabs>
          <w:tab w:val="left" w:pos="2155"/>
        </w:tabs>
        <w:spacing w:after="80"/>
        <w:ind w:left="680"/>
        <w:rPr>
          <w:u w:val="single"/>
        </w:rPr>
      </w:pPr>
      <w:r>
        <w:rPr>
          <w:u w:val="single"/>
        </w:rPr>
        <w:tab/>
      </w:r>
    </w:p>
  </w:footnote>
  <w:footnote w:type="continuationNotice" w:id="1">
    <w:p w:rsidR="006558C2" w:rsidRDefault="006558C2"/>
  </w:footnote>
  <w:footnote w:id="2">
    <w:p w:rsidR="00CC4C34" w:rsidRPr="00530894" w:rsidRDefault="00CC4C34" w:rsidP="00CC4C34">
      <w:pPr>
        <w:pStyle w:val="FootnoteText"/>
        <w:rPr>
          <w:szCs w:val="18"/>
        </w:rPr>
      </w:pPr>
      <w:r w:rsidRPr="00530894">
        <w:rPr>
          <w:rStyle w:val="FootnoteReference"/>
          <w:szCs w:val="18"/>
        </w:rPr>
        <w:tab/>
      </w:r>
      <w:r w:rsidRPr="00AA27FF">
        <w:rPr>
          <w:rStyle w:val="FootnoteReference"/>
          <w:szCs w:val="18"/>
          <w:vertAlign w:val="baseline"/>
        </w:rPr>
        <w:t>*</w:t>
      </w:r>
      <w:r w:rsidRPr="00AA27FF">
        <w:rPr>
          <w:rStyle w:val="FootnoteReference"/>
          <w:szCs w:val="18"/>
          <w:vertAlign w:val="baseline"/>
        </w:rPr>
        <w:tab/>
        <w:t xml:space="preserve">The present report was submitted late in order to reflect </w:t>
      </w:r>
      <w:r w:rsidRPr="00AA27FF">
        <w:rPr>
          <w:szCs w:val="18"/>
        </w:rPr>
        <w:t xml:space="preserve">the most </w:t>
      </w:r>
      <w:r w:rsidRPr="00AA27FF">
        <w:rPr>
          <w:rStyle w:val="FootnoteReference"/>
          <w:szCs w:val="18"/>
          <w:vertAlign w:val="baseline"/>
        </w:rPr>
        <w:t>recent developments.</w:t>
      </w:r>
    </w:p>
  </w:footnote>
  <w:footnote w:id="3">
    <w:p w:rsidR="00930FE5" w:rsidRPr="00AA27FF" w:rsidRDefault="00930FE5">
      <w:pPr>
        <w:pStyle w:val="FootnoteText"/>
        <w:rPr>
          <w:lang w:val="en-US"/>
        </w:rPr>
      </w:pPr>
      <w:r>
        <w:tab/>
      </w:r>
      <w:r>
        <w:rPr>
          <w:rStyle w:val="FootnoteReference"/>
        </w:rPr>
        <w:footnoteRef/>
      </w:r>
      <w:r>
        <w:t xml:space="preserve"> </w:t>
      </w:r>
      <w:r>
        <w:tab/>
      </w:r>
      <w:proofErr w:type="spellStart"/>
      <w:r>
        <w:rPr>
          <w:lang w:val="en-US"/>
        </w:rPr>
        <w:t>Reliefweb</w:t>
      </w:r>
      <w:proofErr w:type="spellEnd"/>
      <w:r>
        <w:rPr>
          <w:lang w:val="en-US"/>
        </w:rPr>
        <w:t>, IPC, Integrated Food Security Phase Classification: the Republic of South Sudan, Key IPC Findings: January-July 2017.</w:t>
      </w:r>
    </w:p>
  </w:footnote>
  <w:footnote w:id="4">
    <w:p w:rsidR="00F123D9" w:rsidRPr="00AA27FF" w:rsidRDefault="00F123D9">
      <w:pPr>
        <w:pStyle w:val="FootnoteText"/>
        <w:rPr>
          <w:lang w:val="en-US"/>
        </w:rPr>
      </w:pPr>
      <w:r>
        <w:rPr>
          <w:lang w:val="en-US"/>
        </w:rPr>
        <w:tab/>
      </w:r>
      <w:r>
        <w:rPr>
          <w:rStyle w:val="FootnoteReference"/>
        </w:rPr>
        <w:footnoteRef/>
      </w:r>
      <w:r>
        <w:t xml:space="preserve"> </w:t>
      </w:r>
      <w:r>
        <w:tab/>
      </w:r>
      <w:r>
        <w:rPr>
          <w:lang w:val="en-US"/>
        </w:rPr>
        <w:t>IPC in South Sudan, “Localized famine and unprecedented levels of acute malnutrition in Greater Unity”, IPC Alert, issue 6, 20 February 2017.</w:t>
      </w:r>
    </w:p>
  </w:footnote>
  <w:footnote w:id="5">
    <w:p w:rsidR="006E106A" w:rsidRPr="00AA27FF" w:rsidRDefault="006E106A">
      <w:pPr>
        <w:pStyle w:val="FootnoteText"/>
        <w:rPr>
          <w:lang w:val="en-US"/>
        </w:rPr>
      </w:pPr>
      <w:r>
        <w:tab/>
      </w:r>
      <w:r>
        <w:rPr>
          <w:rStyle w:val="FootnoteReference"/>
        </w:rPr>
        <w:footnoteRef/>
      </w:r>
      <w:r>
        <w:t xml:space="preserve"> </w:t>
      </w:r>
      <w:r>
        <w:tab/>
        <w:t xml:space="preserve">Office for the Coordination of Humanitarian Affairs, </w:t>
      </w:r>
      <w:r w:rsidRPr="00AA27FF">
        <w:rPr>
          <w:i/>
        </w:rPr>
        <w:t>Humanitarian Needs Overview 2017: South Sudan</w:t>
      </w:r>
      <w:r>
        <w:t>, December 2016.</w:t>
      </w:r>
    </w:p>
  </w:footnote>
  <w:footnote w:id="6">
    <w:p w:rsidR="006558C2" w:rsidRPr="00AA27FF" w:rsidRDefault="006558C2">
      <w:pPr>
        <w:pStyle w:val="FootnoteText"/>
        <w:rPr>
          <w:lang w:val="en-US"/>
        </w:rPr>
      </w:pPr>
      <w:r>
        <w:tab/>
      </w:r>
      <w:r>
        <w:rPr>
          <w:rStyle w:val="FootnoteReference"/>
        </w:rPr>
        <w:footnoteRef/>
      </w:r>
      <w:r>
        <w:t xml:space="preserve"> </w:t>
      </w:r>
      <w:r>
        <w:tab/>
      </w:r>
      <w:r>
        <w:rPr>
          <w:lang w:val="en-US"/>
        </w:rPr>
        <w:t>“UN Special Representative of the Secretary-General on Sexual Violence in Conflict concludes first mission to South Sudan with agreement with Government”, United Nations, press release, 13 October 2014.</w:t>
      </w:r>
    </w:p>
  </w:footnote>
  <w:footnote w:id="7">
    <w:p w:rsidR="006558C2" w:rsidRDefault="006558C2">
      <w:pPr>
        <w:pStyle w:val="FootnoteText"/>
      </w:pPr>
      <w:r>
        <w:tab/>
      </w:r>
      <w:r>
        <w:rPr>
          <w:rStyle w:val="FootnoteReference"/>
        </w:rPr>
        <w:footnoteRef/>
      </w:r>
      <w:r>
        <w:tab/>
        <w:t xml:space="preserve">South Sudan Protection Cluster, Protection Trends: South Sudan, 2015 – 2016, February 2017, p. 14. </w:t>
      </w:r>
    </w:p>
  </w:footnote>
  <w:footnote w:id="8">
    <w:p w:rsidR="00D345C0" w:rsidRPr="004A4F8C" w:rsidRDefault="00D345C0" w:rsidP="00D345C0">
      <w:pPr>
        <w:pStyle w:val="FootnoteText"/>
        <w:widowControl w:val="0"/>
        <w:tabs>
          <w:tab w:val="clear" w:pos="1021"/>
          <w:tab w:val="right" w:pos="1020"/>
        </w:tabs>
      </w:pPr>
      <w:r>
        <w:tab/>
      </w:r>
      <w:r>
        <w:rPr>
          <w:rStyle w:val="FootnoteReference"/>
        </w:rPr>
        <w:footnoteRef/>
      </w:r>
      <w:r>
        <w:tab/>
        <w:t xml:space="preserve">OHCHR and </w:t>
      </w:r>
      <w:r w:rsidRPr="007B5179">
        <w:t xml:space="preserve">UNMISS, </w:t>
      </w:r>
      <w:r>
        <w:t>“</w:t>
      </w:r>
      <w:r w:rsidRPr="007B5179">
        <w:t xml:space="preserve">Violations and </w:t>
      </w:r>
      <w:r>
        <w:t>a</w:t>
      </w:r>
      <w:r w:rsidRPr="007B5179">
        <w:t xml:space="preserve">buses of </w:t>
      </w:r>
      <w:r>
        <w:t>i</w:t>
      </w:r>
      <w:r w:rsidRPr="007B5179">
        <w:t xml:space="preserve">nternational </w:t>
      </w:r>
      <w:r>
        <w:t>h</w:t>
      </w:r>
      <w:r w:rsidRPr="007B5179">
        <w:t xml:space="preserve">uman </w:t>
      </w:r>
      <w:r>
        <w:t>r</w:t>
      </w:r>
      <w:r w:rsidRPr="007B5179">
        <w:t xml:space="preserve">ights </w:t>
      </w:r>
      <w:r>
        <w:t>l</w:t>
      </w:r>
      <w:r w:rsidRPr="007B5179">
        <w:t xml:space="preserve">aw and </w:t>
      </w:r>
      <w:r>
        <w:t>v</w:t>
      </w:r>
      <w:r w:rsidRPr="007B5179">
        <w:t xml:space="preserve">iolations of </w:t>
      </w:r>
      <w:r>
        <w:t>i</w:t>
      </w:r>
      <w:r w:rsidRPr="007B5179">
        <w:t xml:space="preserve">nternational </w:t>
      </w:r>
      <w:r>
        <w:t>h</w:t>
      </w:r>
      <w:r w:rsidRPr="007B5179">
        <w:t xml:space="preserve">umanitarian </w:t>
      </w:r>
      <w:r>
        <w:t>r</w:t>
      </w:r>
      <w:r w:rsidRPr="007B5179">
        <w:t xml:space="preserve">ights </w:t>
      </w:r>
      <w:r>
        <w:t>l</w:t>
      </w:r>
      <w:r w:rsidRPr="007B5179">
        <w:t xml:space="preserve">aw in the context of the </w:t>
      </w:r>
      <w:r>
        <w:t>f</w:t>
      </w:r>
      <w:r w:rsidRPr="007B5179">
        <w:t>ighting in Juba, South Sudan, in July 2016</w:t>
      </w:r>
      <w:r>
        <w:t>”, January 2017</w:t>
      </w:r>
      <w:r w:rsidRPr="00287756">
        <w:t>.</w:t>
      </w:r>
      <w:r>
        <w:t xml:space="preserve"> </w:t>
      </w:r>
    </w:p>
  </w:footnote>
  <w:footnote w:id="9">
    <w:p w:rsidR="006558C2" w:rsidRPr="004A4F8C" w:rsidRDefault="006558C2" w:rsidP="008C6EE5">
      <w:pPr>
        <w:pStyle w:val="FootnoteText"/>
        <w:widowControl w:val="0"/>
        <w:tabs>
          <w:tab w:val="clear" w:pos="1021"/>
          <w:tab w:val="right" w:pos="1020"/>
        </w:tabs>
      </w:pPr>
      <w:r>
        <w:tab/>
      </w:r>
      <w:r>
        <w:rPr>
          <w:rStyle w:val="FootnoteReference"/>
        </w:rPr>
        <w:footnoteRef/>
      </w:r>
      <w:r>
        <w:tab/>
      </w:r>
      <w:proofErr w:type="gramStart"/>
      <w:r>
        <w:t>Ibid.</w:t>
      </w:r>
      <w:proofErr w:type="gramEnd"/>
      <w:r>
        <w:t xml:space="preserve"> </w:t>
      </w:r>
    </w:p>
  </w:footnote>
  <w:footnote w:id="10">
    <w:p w:rsidR="006558C2" w:rsidRPr="004A4F8C" w:rsidRDefault="006558C2" w:rsidP="00654DB5">
      <w:pPr>
        <w:pStyle w:val="FootnoteText"/>
        <w:widowControl w:val="0"/>
        <w:tabs>
          <w:tab w:val="clear" w:pos="1021"/>
          <w:tab w:val="right" w:pos="1020"/>
        </w:tabs>
      </w:pPr>
      <w:r>
        <w:tab/>
      </w:r>
      <w:r>
        <w:rPr>
          <w:rStyle w:val="FootnoteReference"/>
        </w:rPr>
        <w:footnoteRef/>
      </w:r>
      <w:r>
        <w:tab/>
      </w:r>
      <w:r w:rsidRPr="007B5179">
        <w:t xml:space="preserve">Office of the Special Representative </w:t>
      </w:r>
      <w:r>
        <w:t xml:space="preserve">of the Secretary-General </w:t>
      </w:r>
      <w:r w:rsidRPr="007B5179">
        <w:t>on Sexual Violence in Conflict</w:t>
      </w:r>
      <w:r>
        <w:t>,</w:t>
      </w:r>
      <w:r w:rsidRPr="007B5179">
        <w:t xml:space="preserve"> </w:t>
      </w:r>
      <w:r>
        <w:t>“</w:t>
      </w:r>
      <w:r w:rsidRPr="007B5179">
        <w:t>South Sudan: UN Special Representative welcomes SPLA-IO action plan to combat rape in war and undertakings by Commanders</w:t>
      </w:r>
      <w:r>
        <w:t>”</w:t>
      </w:r>
      <w:r w:rsidRPr="007B5179">
        <w:t xml:space="preserve">, </w:t>
      </w:r>
      <w:r>
        <w:t>p</w:t>
      </w:r>
      <w:r w:rsidRPr="007B5179">
        <w:t xml:space="preserve">ress </w:t>
      </w:r>
      <w:r>
        <w:t>r</w:t>
      </w:r>
      <w:r w:rsidRPr="007B5179">
        <w:t xml:space="preserve">elease, </w:t>
      </w:r>
      <w:r>
        <w:t>10 November</w:t>
      </w:r>
      <w:r w:rsidRPr="007B5179">
        <w:t xml:space="preserve"> 2015.</w:t>
      </w:r>
      <w:r>
        <w:t xml:space="preserve"> </w:t>
      </w:r>
    </w:p>
  </w:footnote>
  <w:footnote w:id="11">
    <w:p w:rsidR="006558C2" w:rsidRPr="00AA27FF" w:rsidRDefault="006558C2">
      <w:pPr>
        <w:pStyle w:val="FootnoteText"/>
        <w:rPr>
          <w:lang w:val="en-US"/>
        </w:rPr>
      </w:pPr>
      <w:r>
        <w:tab/>
      </w:r>
      <w:r>
        <w:rPr>
          <w:rStyle w:val="FootnoteReference"/>
        </w:rPr>
        <w:footnoteRef/>
      </w:r>
      <w:r>
        <w:t xml:space="preserve"> </w:t>
      </w:r>
      <w:r>
        <w:tab/>
      </w:r>
      <w:r>
        <w:rPr>
          <w:lang w:val="en-US"/>
        </w:rPr>
        <w:t>UNICEF, “Rise in child recruitment as conflict in South Sudan enters fourth year”, news note, 15 December 2016.</w:t>
      </w:r>
    </w:p>
  </w:footnote>
  <w:footnote w:id="12">
    <w:p w:rsidR="006558C2" w:rsidRPr="00AA27FF" w:rsidRDefault="006558C2">
      <w:pPr>
        <w:pStyle w:val="FootnoteText"/>
        <w:rPr>
          <w:lang w:val="en-US"/>
        </w:rPr>
      </w:pPr>
      <w:r>
        <w:tab/>
      </w:r>
      <w:r>
        <w:rPr>
          <w:rStyle w:val="FootnoteReference"/>
        </w:rPr>
        <w:footnoteRef/>
      </w:r>
      <w:r>
        <w:t xml:space="preserve"> </w:t>
      </w:r>
      <w:r>
        <w:tab/>
      </w:r>
      <w:r>
        <w:rPr>
          <w:lang w:val="en-US"/>
        </w:rPr>
        <w:t>Ibid.</w:t>
      </w:r>
    </w:p>
  </w:footnote>
  <w:footnote w:id="13">
    <w:p w:rsidR="006558C2" w:rsidRPr="004A4F8C" w:rsidRDefault="006558C2" w:rsidP="005534A5">
      <w:pPr>
        <w:pStyle w:val="FootnoteText"/>
        <w:widowControl w:val="0"/>
        <w:tabs>
          <w:tab w:val="clear" w:pos="1021"/>
          <w:tab w:val="right" w:pos="1020"/>
        </w:tabs>
      </w:pPr>
      <w:r>
        <w:tab/>
      </w:r>
      <w:r>
        <w:rPr>
          <w:rStyle w:val="FootnoteReference"/>
        </w:rPr>
        <w:footnoteRef/>
      </w:r>
      <w:r>
        <w:tab/>
        <w:t xml:space="preserve">See </w:t>
      </w:r>
      <w:r w:rsidRPr="00B269A9">
        <w:t>Freedom in the World</w:t>
      </w:r>
      <w:r>
        <w:t xml:space="preserve">, </w:t>
      </w:r>
      <w:r w:rsidRPr="00B269A9">
        <w:t xml:space="preserve">Freedom House Report 2016, </w:t>
      </w:r>
      <w:r>
        <w:t>available from</w:t>
      </w:r>
      <w:r w:rsidRPr="00B269A9">
        <w:t xml:space="preserve"> https://freedomhouse.org/report/freedom-world/freedom-world-2016</w:t>
      </w:r>
      <w:r>
        <w:t xml:space="preserve">. </w:t>
      </w:r>
    </w:p>
  </w:footnote>
  <w:footnote w:id="14">
    <w:p w:rsidR="006558C2" w:rsidRPr="004A4F8C" w:rsidRDefault="006558C2">
      <w:pPr>
        <w:pStyle w:val="FootnoteText"/>
        <w:widowControl w:val="0"/>
        <w:tabs>
          <w:tab w:val="clear" w:pos="1021"/>
          <w:tab w:val="right" w:pos="1020"/>
        </w:tabs>
      </w:pPr>
      <w:r>
        <w:tab/>
      </w:r>
      <w:r>
        <w:rPr>
          <w:rStyle w:val="FootnoteReference"/>
        </w:rPr>
        <w:footnoteRef/>
      </w:r>
      <w:r>
        <w:tab/>
        <w:t xml:space="preserve">African Freedom of Expression Exchange, “Freedom of expression: AFEX Urges South Sudan to Protect Rights of Journalists”, 20 July 2016. </w:t>
      </w:r>
    </w:p>
  </w:footnote>
  <w:footnote w:id="15">
    <w:p w:rsidR="006558C2" w:rsidRPr="004A4F8C" w:rsidRDefault="006558C2">
      <w:pPr>
        <w:pStyle w:val="FootnoteText"/>
        <w:widowControl w:val="0"/>
        <w:tabs>
          <w:tab w:val="clear" w:pos="1021"/>
          <w:tab w:val="right" w:pos="1020"/>
        </w:tabs>
      </w:pPr>
      <w:r>
        <w:tab/>
      </w:r>
      <w:r>
        <w:rPr>
          <w:rStyle w:val="FootnoteReference"/>
        </w:rPr>
        <w:footnoteRef/>
      </w:r>
      <w:r>
        <w:tab/>
        <w:t xml:space="preserve">VOA News, “South Sudanese Authorities Close Prominent Newspaper”, 14 September 2016.l </w:t>
      </w:r>
    </w:p>
  </w:footnote>
  <w:footnote w:id="16">
    <w:p w:rsidR="006558C2" w:rsidRPr="004A4F8C" w:rsidRDefault="006558C2" w:rsidP="007D056F">
      <w:pPr>
        <w:pStyle w:val="FootnoteText"/>
        <w:widowControl w:val="0"/>
        <w:tabs>
          <w:tab w:val="clear" w:pos="1021"/>
          <w:tab w:val="right" w:pos="1020"/>
        </w:tabs>
      </w:pPr>
      <w:r>
        <w:tab/>
      </w:r>
      <w:r>
        <w:rPr>
          <w:rStyle w:val="FootnoteReference"/>
        </w:rPr>
        <w:footnoteRef/>
      </w:r>
      <w:r>
        <w:tab/>
      </w:r>
      <w:r w:rsidRPr="00DC3112">
        <w:t>South Sudan Law Society</w:t>
      </w:r>
      <w:r>
        <w:t>,</w:t>
      </w:r>
      <w:r w:rsidRPr="00DC3112">
        <w:t xml:space="preserve"> </w:t>
      </w:r>
      <w:r w:rsidRPr="00AA27FF">
        <w:rPr>
          <w:i/>
        </w:rPr>
        <w:t>Search for a New Beginning: Perceptions of Truth, Justice, Reconciliation and Healing in South Sudan</w:t>
      </w:r>
      <w:r>
        <w:t>,</w:t>
      </w:r>
      <w:r w:rsidRPr="00DC3112">
        <w:t xml:space="preserve"> June 2015.</w:t>
      </w:r>
      <w:r>
        <w:t xml:space="preserve"> </w:t>
      </w:r>
    </w:p>
  </w:footnote>
  <w:footnote w:id="17">
    <w:p w:rsidR="006558C2" w:rsidRPr="00AA27FF" w:rsidRDefault="006558C2">
      <w:pPr>
        <w:pStyle w:val="FootnoteText"/>
        <w:rPr>
          <w:lang w:val="en-US"/>
        </w:rPr>
      </w:pPr>
      <w:r>
        <w:tab/>
      </w:r>
      <w:r>
        <w:rPr>
          <w:rStyle w:val="FootnoteReference"/>
        </w:rPr>
        <w:footnoteRef/>
      </w:r>
      <w:r>
        <w:t xml:space="preserve"> </w:t>
      </w:r>
      <w:r>
        <w:tab/>
        <w:t xml:space="preserve">New </w:t>
      </w:r>
      <w:r>
        <w:rPr>
          <w:lang w:val="en-US"/>
        </w:rPr>
        <w:t xml:space="preserve">States created pursuant to </w:t>
      </w:r>
      <w:r w:rsidR="00DC26B0">
        <w:rPr>
          <w:lang w:val="en-US"/>
        </w:rPr>
        <w:t>establishment order</w:t>
      </w:r>
      <w:r>
        <w:rPr>
          <w:lang w:val="en-US"/>
        </w:rPr>
        <w:t xml:space="preserve"> No. 36/2015.</w:t>
      </w:r>
    </w:p>
  </w:footnote>
  <w:footnote w:id="18">
    <w:p w:rsidR="006558C2" w:rsidRPr="004A4F8C" w:rsidRDefault="006558C2" w:rsidP="007D056F">
      <w:pPr>
        <w:pStyle w:val="FootnoteText"/>
        <w:widowControl w:val="0"/>
        <w:tabs>
          <w:tab w:val="clear" w:pos="1021"/>
          <w:tab w:val="right" w:pos="1020"/>
        </w:tabs>
      </w:pPr>
      <w:r>
        <w:tab/>
      </w:r>
      <w:r>
        <w:rPr>
          <w:rStyle w:val="FootnoteReference"/>
        </w:rPr>
        <w:footnoteRef/>
      </w:r>
      <w:r>
        <w:tab/>
      </w:r>
      <w:proofErr w:type="gramStart"/>
      <w:r w:rsidRPr="00DC3112">
        <w:t>Ibid.</w:t>
      </w:r>
      <w:proofErr w:type="gramEnd"/>
      <w:r>
        <w:t xml:space="preserve"> </w:t>
      </w:r>
    </w:p>
  </w:footnote>
  <w:footnote w:id="19">
    <w:p w:rsidR="006558C2" w:rsidRPr="00AA27FF" w:rsidRDefault="006558C2">
      <w:pPr>
        <w:pStyle w:val="FootnoteText"/>
        <w:rPr>
          <w:lang w:val="en-US"/>
        </w:rPr>
      </w:pPr>
      <w:r>
        <w:tab/>
      </w:r>
      <w:r>
        <w:rPr>
          <w:rStyle w:val="FootnoteReference"/>
        </w:rPr>
        <w:footnoteRef/>
      </w:r>
      <w:r>
        <w:t xml:space="preserve"> </w:t>
      </w:r>
      <w:r>
        <w:tab/>
      </w:r>
      <w:r w:rsidRPr="00DC3112">
        <w:t>South Sudan Law Society</w:t>
      </w:r>
      <w:r>
        <w:t>,</w:t>
      </w:r>
      <w:r w:rsidRPr="00DC3112">
        <w:t xml:space="preserve"> </w:t>
      </w:r>
      <w:r w:rsidRPr="001954BD">
        <w:rPr>
          <w:i/>
        </w:rPr>
        <w:t xml:space="preserve">Search for a New </w:t>
      </w:r>
      <w:proofErr w:type="gramStart"/>
      <w:r w:rsidRPr="001954BD">
        <w:rPr>
          <w:i/>
        </w:rPr>
        <w:t>Beginning</w:t>
      </w:r>
      <w:proofErr w:type="gramEnd"/>
      <w:r>
        <w:rPr>
          <w:i/>
        </w:rPr>
        <w:t xml:space="preserve"> </w:t>
      </w:r>
      <w:r>
        <w:t>(see footnote</w:t>
      </w:r>
      <w:r w:rsidR="00AA27FF">
        <w:t xml:space="preserve"> 14</w:t>
      </w:r>
      <w:r>
        <w:t>).</w:t>
      </w:r>
    </w:p>
  </w:footnote>
  <w:footnote w:id="20">
    <w:p w:rsidR="006558C2" w:rsidRPr="004A4F8C" w:rsidRDefault="006558C2" w:rsidP="00444FEE">
      <w:pPr>
        <w:pStyle w:val="FootnoteText"/>
        <w:widowControl w:val="0"/>
        <w:tabs>
          <w:tab w:val="clear" w:pos="1021"/>
          <w:tab w:val="right" w:pos="1020"/>
        </w:tabs>
      </w:pPr>
      <w:r>
        <w:tab/>
      </w:r>
      <w:r>
        <w:rPr>
          <w:rStyle w:val="FootnoteReference"/>
        </w:rPr>
        <w:footnoteRef/>
      </w:r>
      <w:r>
        <w:tab/>
      </w:r>
      <w:proofErr w:type="spellStart"/>
      <w:r>
        <w:t>Nhial</w:t>
      </w:r>
      <w:proofErr w:type="spellEnd"/>
      <w:r>
        <w:t xml:space="preserve"> </w:t>
      </w:r>
      <w:proofErr w:type="spellStart"/>
      <w:r>
        <w:t>Tiitmamer</w:t>
      </w:r>
      <w:proofErr w:type="spellEnd"/>
      <w:r>
        <w:t xml:space="preserve">, “Transitional Justice for Stabilizing South Sudan: Lessons from Global and Local Contexts”, The </w:t>
      </w:r>
      <w:proofErr w:type="spellStart"/>
      <w:r>
        <w:t>Sudd</w:t>
      </w:r>
      <w:proofErr w:type="spellEnd"/>
      <w:r>
        <w:t xml:space="preserve"> Institute, policy brief, 21 July 2016.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C2" w:rsidRPr="00B64CC9" w:rsidRDefault="006558C2">
    <w:pPr>
      <w:pStyle w:val="Header"/>
    </w:pPr>
    <w:r>
      <w:t>A/HRC/34/63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C2" w:rsidRPr="00B64CC9" w:rsidRDefault="006558C2" w:rsidP="00B64CC9">
    <w:pPr>
      <w:pStyle w:val="Header"/>
      <w:jc w:val="right"/>
    </w:pPr>
    <w:r>
      <w:t>A/HRC/34/63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045123"/>
    <w:multiLevelType w:val="hybridMultilevel"/>
    <w:tmpl w:val="EAC2A2E6"/>
    <w:lvl w:ilvl="0" w:tplc="CBCAAB8E">
      <w:start w:val="1"/>
      <w:numFmt w:val="upperRoman"/>
      <w:lvlText w:val="%1."/>
      <w:lvlJc w:val="left"/>
      <w:pPr>
        <w:ind w:left="1571" w:hanging="72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6E8227F"/>
    <w:multiLevelType w:val="hybridMultilevel"/>
    <w:tmpl w:val="71AE9098"/>
    <w:lvl w:ilvl="0" w:tplc="100C000F">
      <w:start w:val="1"/>
      <w:numFmt w:val="decimal"/>
      <w:lvlText w:val="%1."/>
      <w:lvlJc w:val="left"/>
      <w:pPr>
        <w:ind w:left="1211" w:hanging="36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4">
    <w:nsid w:val="08705D91"/>
    <w:multiLevelType w:val="hybridMultilevel"/>
    <w:tmpl w:val="976C71E4"/>
    <w:lvl w:ilvl="0" w:tplc="6BC4C25A">
      <w:start w:val="1"/>
      <w:numFmt w:val="decimal"/>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5">
    <w:nsid w:val="09FE0A10"/>
    <w:multiLevelType w:val="hybridMultilevel"/>
    <w:tmpl w:val="6FA6C098"/>
    <w:lvl w:ilvl="0" w:tplc="100C0015">
      <w:start w:val="1"/>
      <w:numFmt w:val="upp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6">
    <w:nsid w:val="0ADC48D1"/>
    <w:multiLevelType w:val="hybridMultilevel"/>
    <w:tmpl w:val="ADC28C7A"/>
    <w:lvl w:ilvl="0" w:tplc="100C0015">
      <w:start w:val="1"/>
      <w:numFmt w:val="upp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63F2821"/>
    <w:multiLevelType w:val="hybridMultilevel"/>
    <w:tmpl w:val="5F686D9A"/>
    <w:lvl w:ilvl="0" w:tplc="0A14E0AA">
      <w:start w:val="1"/>
      <w:numFmt w:val="lowerLetter"/>
      <w:lvlText w:val="(%1)"/>
      <w:lvlJc w:val="left"/>
      <w:pPr>
        <w:ind w:left="2062" w:hanging="360"/>
      </w:pPr>
      <w:rPr>
        <w:rFonts w:ascii="Times New Roman" w:eastAsia="Times New Roman" w:hAnsi="Times New Roman" w:cs="Times New Roman"/>
        <w:b w:val="0"/>
      </w:rPr>
    </w:lvl>
    <w:lvl w:ilvl="1" w:tplc="040C0003" w:tentative="1">
      <w:start w:val="1"/>
      <w:numFmt w:val="bullet"/>
      <w:lvlText w:val="o"/>
      <w:lvlJc w:val="left"/>
      <w:pPr>
        <w:tabs>
          <w:tab w:val="num" w:pos="1611"/>
        </w:tabs>
        <w:ind w:left="1611" w:hanging="360"/>
      </w:pPr>
      <w:rPr>
        <w:rFonts w:ascii="Courier New" w:hAnsi="Courier New" w:cs="Symbol" w:hint="default"/>
      </w:rPr>
    </w:lvl>
    <w:lvl w:ilvl="2" w:tplc="040C0005" w:tentative="1">
      <w:start w:val="1"/>
      <w:numFmt w:val="bullet"/>
      <w:lvlText w:val=""/>
      <w:lvlJc w:val="left"/>
      <w:pPr>
        <w:tabs>
          <w:tab w:val="num" w:pos="2331"/>
        </w:tabs>
        <w:ind w:left="2331" w:hanging="360"/>
      </w:pPr>
      <w:rPr>
        <w:rFonts w:ascii="Wingdings" w:hAnsi="Wingdings" w:hint="default"/>
      </w:rPr>
    </w:lvl>
    <w:lvl w:ilvl="3" w:tplc="040C0001" w:tentative="1">
      <w:start w:val="1"/>
      <w:numFmt w:val="bullet"/>
      <w:lvlText w:val=""/>
      <w:lvlJc w:val="left"/>
      <w:pPr>
        <w:tabs>
          <w:tab w:val="num" w:pos="3051"/>
        </w:tabs>
        <w:ind w:left="3051" w:hanging="360"/>
      </w:pPr>
      <w:rPr>
        <w:rFonts w:ascii="Symbol" w:hAnsi="Symbol" w:hint="default"/>
      </w:rPr>
    </w:lvl>
    <w:lvl w:ilvl="4" w:tplc="040C0003" w:tentative="1">
      <w:start w:val="1"/>
      <w:numFmt w:val="bullet"/>
      <w:lvlText w:val="o"/>
      <w:lvlJc w:val="left"/>
      <w:pPr>
        <w:tabs>
          <w:tab w:val="num" w:pos="3771"/>
        </w:tabs>
        <w:ind w:left="3771" w:hanging="360"/>
      </w:pPr>
      <w:rPr>
        <w:rFonts w:ascii="Courier New" w:hAnsi="Courier New" w:cs="Symbol" w:hint="default"/>
      </w:rPr>
    </w:lvl>
    <w:lvl w:ilvl="5" w:tplc="040C0005" w:tentative="1">
      <w:start w:val="1"/>
      <w:numFmt w:val="bullet"/>
      <w:lvlText w:val=""/>
      <w:lvlJc w:val="left"/>
      <w:pPr>
        <w:tabs>
          <w:tab w:val="num" w:pos="4491"/>
        </w:tabs>
        <w:ind w:left="4491" w:hanging="360"/>
      </w:pPr>
      <w:rPr>
        <w:rFonts w:ascii="Wingdings" w:hAnsi="Wingdings" w:hint="default"/>
      </w:rPr>
    </w:lvl>
    <w:lvl w:ilvl="6" w:tplc="040C0001" w:tentative="1">
      <w:start w:val="1"/>
      <w:numFmt w:val="bullet"/>
      <w:lvlText w:val=""/>
      <w:lvlJc w:val="left"/>
      <w:pPr>
        <w:tabs>
          <w:tab w:val="num" w:pos="5211"/>
        </w:tabs>
        <w:ind w:left="5211" w:hanging="360"/>
      </w:pPr>
      <w:rPr>
        <w:rFonts w:ascii="Symbol" w:hAnsi="Symbol" w:hint="default"/>
      </w:rPr>
    </w:lvl>
    <w:lvl w:ilvl="7" w:tplc="040C0003" w:tentative="1">
      <w:start w:val="1"/>
      <w:numFmt w:val="bullet"/>
      <w:lvlText w:val="o"/>
      <w:lvlJc w:val="left"/>
      <w:pPr>
        <w:tabs>
          <w:tab w:val="num" w:pos="5931"/>
        </w:tabs>
        <w:ind w:left="5931" w:hanging="360"/>
      </w:pPr>
      <w:rPr>
        <w:rFonts w:ascii="Courier New" w:hAnsi="Courier New" w:cs="Symbol" w:hint="default"/>
      </w:rPr>
    </w:lvl>
    <w:lvl w:ilvl="8" w:tplc="040C0005" w:tentative="1">
      <w:start w:val="1"/>
      <w:numFmt w:val="bullet"/>
      <w:lvlText w:val=""/>
      <w:lvlJc w:val="left"/>
      <w:pPr>
        <w:tabs>
          <w:tab w:val="num" w:pos="6651"/>
        </w:tabs>
        <w:ind w:left="6651" w:hanging="360"/>
      </w:pPr>
      <w:rPr>
        <w:rFonts w:ascii="Wingdings" w:hAnsi="Wingdings" w:hint="default"/>
      </w:rPr>
    </w:lvl>
  </w:abstractNum>
  <w:abstractNum w:abstractNumId="9">
    <w:nsid w:val="17CF042E"/>
    <w:multiLevelType w:val="hybridMultilevel"/>
    <w:tmpl w:val="1CD6B04E"/>
    <w:lvl w:ilvl="0" w:tplc="36FCB98E">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1AE61277"/>
    <w:multiLevelType w:val="hybridMultilevel"/>
    <w:tmpl w:val="FE409A34"/>
    <w:lvl w:ilvl="0" w:tplc="4EB6EB64">
      <w:start w:val="1"/>
      <w:numFmt w:val="upperRoman"/>
      <w:lvlText w:val="%1."/>
      <w:lvlJc w:val="left"/>
      <w:pPr>
        <w:ind w:left="1571" w:hanging="72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11">
    <w:nsid w:val="1C1762DE"/>
    <w:multiLevelType w:val="hybridMultilevel"/>
    <w:tmpl w:val="B4D017F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1D766DFF"/>
    <w:multiLevelType w:val="hybridMultilevel"/>
    <w:tmpl w:val="30B4D5DE"/>
    <w:lvl w:ilvl="0" w:tplc="664029CE">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E65371"/>
    <w:multiLevelType w:val="hybridMultilevel"/>
    <w:tmpl w:val="DA3E3422"/>
    <w:lvl w:ilvl="0" w:tplc="0809000F">
      <w:start w:val="1"/>
      <w:numFmt w:val="decimal"/>
      <w:lvlText w:val="%1."/>
      <w:lvlJc w:val="left"/>
      <w:pPr>
        <w:ind w:left="1495" w:hanging="360"/>
      </w:pPr>
    </w:lvl>
    <w:lvl w:ilvl="1" w:tplc="100C0019" w:tentative="1">
      <w:start w:val="1"/>
      <w:numFmt w:val="lowerLetter"/>
      <w:lvlText w:val="%2."/>
      <w:lvlJc w:val="left"/>
      <w:pPr>
        <w:ind w:left="2215" w:hanging="360"/>
      </w:pPr>
    </w:lvl>
    <w:lvl w:ilvl="2" w:tplc="100C001B" w:tentative="1">
      <w:start w:val="1"/>
      <w:numFmt w:val="lowerRoman"/>
      <w:lvlText w:val="%3."/>
      <w:lvlJc w:val="right"/>
      <w:pPr>
        <w:ind w:left="2935" w:hanging="180"/>
      </w:pPr>
    </w:lvl>
    <w:lvl w:ilvl="3" w:tplc="100C000F" w:tentative="1">
      <w:start w:val="1"/>
      <w:numFmt w:val="decimal"/>
      <w:lvlText w:val="%4."/>
      <w:lvlJc w:val="left"/>
      <w:pPr>
        <w:ind w:left="3655" w:hanging="360"/>
      </w:pPr>
    </w:lvl>
    <w:lvl w:ilvl="4" w:tplc="100C0019" w:tentative="1">
      <w:start w:val="1"/>
      <w:numFmt w:val="lowerLetter"/>
      <w:lvlText w:val="%5."/>
      <w:lvlJc w:val="left"/>
      <w:pPr>
        <w:ind w:left="4375" w:hanging="360"/>
      </w:pPr>
    </w:lvl>
    <w:lvl w:ilvl="5" w:tplc="100C001B" w:tentative="1">
      <w:start w:val="1"/>
      <w:numFmt w:val="lowerRoman"/>
      <w:lvlText w:val="%6."/>
      <w:lvlJc w:val="right"/>
      <w:pPr>
        <w:ind w:left="5095" w:hanging="180"/>
      </w:pPr>
    </w:lvl>
    <w:lvl w:ilvl="6" w:tplc="100C000F" w:tentative="1">
      <w:start w:val="1"/>
      <w:numFmt w:val="decimal"/>
      <w:lvlText w:val="%7."/>
      <w:lvlJc w:val="left"/>
      <w:pPr>
        <w:ind w:left="5815" w:hanging="360"/>
      </w:pPr>
    </w:lvl>
    <w:lvl w:ilvl="7" w:tplc="100C0019" w:tentative="1">
      <w:start w:val="1"/>
      <w:numFmt w:val="lowerLetter"/>
      <w:lvlText w:val="%8."/>
      <w:lvlJc w:val="left"/>
      <w:pPr>
        <w:ind w:left="6535" w:hanging="360"/>
      </w:pPr>
    </w:lvl>
    <w:lvl w:ilvl="8" w:tplc="100C001B" w:tentative="1">
      <w:start w:val="1"/>
      <w:numFmt w:val="lowerRoman"/>
      <w:lvlText w:val="%9."/>
      <w:lvlJc w:val="right"/>
      <w:pPr>
        <w:ind w:left="7255" w:hanging="180"/>
      </w:pPr>
    </w:lvl>
  </w:abstractNum>
  <w:abstractNum w:abstractNumId="15">
    <w:nsid w:val="29490F71"/>
    <w:multiLevelType w:val="hybridMultilevel"/>
    <w:tmpl w:val="34AE6A0E"/>
    <w:lvl w:ilvl="0" w:tplc="100C0015">
      <w:start w:val="1"/>
      <w:numFmt w:val="upp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6">
    <w:nsid w:val="2A874B2F"/>
    <w:multiLevelType w:val="hybridMultilevel"/>
    <w:tmpl w:val="0DA83D06"/>
    <w:lvl w:ilvl="0" w:tplc="0809000F">
      <w:start w:val="1"/>
      <w:numFmt w:val="decimal"/>
      <w:lvlText w:val="%1."/>
      <w:lvlJc w:val="left"/>
      <w:pPr>
        <w:ind w:left="3567" w:hanging="360"/>
      </w:pPr>
    </w:lvl>
    <w:lvl w:ilvl="1" w:tplc="100C0019" w:tentative="1">
      <w:start w:val="1"/>
      <w:numFmt w:val="lowerLetter"/>
      <w:lvlText w:val="%2."/>
      <w:lvlJc w:val="left"/>
      <w:pPr>
        <w:ind w:left="4287" w:hanging="360"/>
      </w:pPr>
    </w:lvl>
    <w:lvl w:ilvl="2" w:tplc="100C001B" w:tentative="1">
      <w:start w:val="1"/>
      <w:numFmt w:val="lowerRoman"/>
      <w:lvlText w:val="%3."/>
      <w:lvlJc w:val="right"/>
      <w:pPr>
        <w:ind w:left="5007" w:hanging="180"/>
      </w:pPr>
    </w:lvl>
    <w:lvl w:ilvl="3" w:tplc="100C000F" w:tentative="1">
      <w:start w:val="1"/>
      <w:numFmt w:val="decimal"/>
      <w:lvlText w:val="%4."/>
      <w:lvlJc w:val="left"/>
      <w:pPr>
        <w:ind w:left="5727" w:hanging="360"/>
      </w:pPr>
    </w:lvl>
    <w:lvl w:ilvl="4" w:tplc="100C0019" w:tentative="1">
      <w:start w:val="1"/>
      <w:numFmt w:val="lowerLetter"/>
      <w:lvlText w:val="%5."/>
      <w:lvlJc w:val="left"/>
      <w:pPr>
        <w:ind w:left="6447" w:hanging="360"/>
      </w:pPr>
    </w:lvl>
    <w:lvl w:ilvl="5" w:tplc="100C001B" w:tentative="1">
      <w:start w:val="1"/>
      <w:numFmt w:val="lowerRoman"/>
      <w:lvlText w:val="%6."/>
      <w:lvlJc w:val="right"/>
      <w:pPr>
        <w:ind w:left="7167" w:hanging="180"/>
      </w:pPr>
    </w:lvl>
    <w:lvl w:ilvl="6" w:tplc="100C000F" w:tentative="1">
      <w:start w:val="1"/>
      <w:numFmt w:val="decimal"/>
      <w:lvlText w:val="%7."/>
      <w:lvlJc w:val="left"/>
      <w:pPr>
        <w:ind w:left="7887" w:hanging="360"/>
      </w:pPr>
    </w:lvl>
    <w:lvl w:ilvl="7" w:tplc="100C0019" w:tentative="1">
      <w:start w:val="1"/>
      <w:numFmt w:val="lowerLetter"/>
      <w:lvlText w:val="%8."/>
      <w:lvlJc w:val="left"/>
      <w:pPr>
        <w:ind w:left="8607" w:hanging="360"/>
      </w:pPr>
    </w:lvl>
    <w:lvl w:ilvl="8" w:tplc="100C001B" w:tentative="1">
      <w:start w:val="1"/>
      <w:numFmt w:val="lowerRoman"/>
      <w:lvlText w:val="%9."/>
      <w:lvlJc w:val="right"/>
      <w:pPr>
        <w:ind w:left="9327" w:hanging="180"/>
      </w:pPr>
    </w:lvl>
  </w:abstractNum>
  <w:abstractNum w:abstractNumId="17">
    <w:nsid w:val="2DEB4330"/>
    <w:multiLevelType w:val="hybridMultilevel"/>
    <w:tmpl w:val="D678344E"/>
    <w:lvl w:ilvl="0" w:tplc="BA9C789E">
      <w:start w:val="1"/>
      <w:numFmt w:val="upperRoman"/>
      <w:lvlText w:val="%1."/>
      <w:lvlJc w:val="left"/>
      <w:pPr>
        <w:ind w:left="1571" w:hanging="72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1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F26840"/>
    <w:multiLevelType w:val="hybridMultilevel"/>
    <w:tmpl w:val="A3383AA0"/>
    <w:lvl w:ilvl="0" w:tplc="100C0015">
      <w:start w:val="1"/>
      <w:numFmt w:val="upp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0">
    <w:nsid w:val="36691354"/>
    <w:multiLevelType w:val="hybridMultilevel"/>
    <w:tmpl w:val="8D9860F4"/>
    <w:lvl w:ilvl="0" w:tplc="100C0015">
      <w:start w:val="1"/>
      <w:numFmt w:val="upp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1">
    <w:nsid w:val="38DD2C28"/>
    <w:multiLevelType w:val="hybridMultilevel"/>
    <w:tmpl w:val="4F807A4A"/>
    <w:lvl w:ilvl="0" w:tplc="AAFE808E">
      <w:start w:val="6"/>
      <w:numFmt w:val="upperRoman"/>
      <w:lvlText w:val="%1."/>
      <w:lvlJc w:val="left"/>
      <w:pPr>
        <w:ind w:left="1430" w:hanging="720"/>
      </w:pPr>
      <w:rPr>
        <w:rFonts w:hint="default"/>
      </w:rPr>
    </w:lvl>
    <w:lvl w:ilvl="1" w:tplc="100C0019" w:tentative="1">
      <w:start w:val="1"/>
      <w:numFmt w:val="lowerLetter"/>
      <w:lvlText w:val="%2."/>
      <w:lvlJc w:val="left"/>
      <w:pPr>
        <w:ind w:left="1790" w:hanging="360"/>
      </w:pPr>
    </w:lvl>
    <w:lvl w:ilvl="2" w:tplc="100C001B" w:tentative="1">
      <w:start w:val="1"/>
      <w:numFmt w:val="lowerRoman"/>
      <w:lvlText w:val="%3."/>
      <w:lvlJc w:val="right"/>
      <w:pPr>
        <w:ind w:left="2510" w:hanging="180"/>
      </w:pPr>
    </w:lvl>
    <w:lvl w:ilvl="3" w:tplc="100C000F" w:tentative="1">
      <w:start w:val="1"/>
      <w:numFmt w:val="decimal"/>
      <w:lvlText w:val="%4."/>
      <w:lvlJc w:val="left"/>
      <w:pPr>
        <w:ind w:left="3230" w:hanging="360"/>
      </w:pPr>
    </w:lvl>
    <w:lvl w:ilvl="4" w:tplc="100C0019" w:tentative="1">
      <w:start w:val="1"/>
      <w:numFmt w:val="lowerLetter"/>
      <w:lvlText w:val="%5."/>
      <w:lvlJc w:val="left"/>
      <w:pPr>
        <w:ind w:left="3950" w:hanging="360"/>
      </w:pPr>
    </w:lvl>
    <w:lvl w:ilvl="5" w:tplc="100C001B" w:tentative="1">
      <w:start w:val="1"/>
      <w:numFmt w:val="lowerRoman"/>
      <w:lvlText w:val="%6."/>
      <w:lvlJc w:val="right"/>
      <w:pPr>
        <w:ind w:left="4670" w:hanging="180"/>
      </w:pPr>
    </w:lvl>
    <w:lvl w:ilvl="6" w:tplc="100C000F" w:tentative="1">
      <w:start w:val="1"/>
      <w:numFmt w:val="decimal"/>
      <w:lvlText w:val="%7."/>
      <w:lvlJc w:val="left"/>
      <w:pPr>
        <w:ind w:left="5390" w:hanging="360"/>
      </w:pPr>
    </w:lvl>
    <w:lvl w:ilvl="7" w:tplc="100C0019" w:tentative="1">
      <w:start w:val="1"/>
      <w:numFmt w:val="lowerLetter"/>
      <w:lvlText w:val="%8."/>
      <w:lvlJc w:val="left"/>
      <w:pPr>
        <w:ind w:left="6110" w:hanging="360"/>
      </w:pPr>
    </w:lvl>
    <w:lvl w:ilvl="8" w:tplc="100C001B" w:tentative="1">
      <w:start w:val="1"/>
      <w:numFmt w:val="lowerRoman"/>
      <w:lvlText w:val="%9."/>
      <w:lvlJc w:val="right"/>
      <w:pPr>
        <w:ind w:left="6830" w:hanging="180"/>
      </w:pPr>
    </w:lvl>
  </w:abstractNum>
  <w:abstractNum w:abstractNumId="22">
    <w:nsid w:val="3AB0228E"/>
    <w:multiLevelType w:val="hybridMultilevel"/>
    <w:tmpl w:val="4ECC698A"/>
    <w:lvl w:ilvl="0" w:tplc="7562AA72">
      <w:start w:val="1"/>
      <w:numFmt w:val="upperRoman"/>
      <w:pStyle w:val="TOC1"/>
      <w:lvlText w:val="%1."/>
      <w:lvlJc w:val="left"/>
      <w:pPr>
        <w:ind w:left="397" w:hanging="397"/>
      </w:pPr>
      <w:rPr>
        <w:rFonts w:ascii="Times New Roman" w:eastAsia="Times New Roman" w:hAnsi="Times New Roman" w:cs="Times New Roman" w:hint="default"/>
        <w:b/>
        <w:i/>
        <w:sz w:val="24"/>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nsid w:val="3E895098"/>
    <w:multiLevelType w:val="hybridMultilevel"/>
    <w:tmpl w:val="B6C2CCD8"/>
    <w:lvl w:ilvl="0" w:tplc="1F66E876">
      <w:start w:val="1"/>
      <w:numFmt w:val="decimal"/>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4">
    <w:nsid w:val="3FDA605F"/>
    <w:multiLevelType w:val="hybridMultilevel"/>
    <w:tmpl w:val="E57A0BD4"/>
    <w:lvl w:ilvl="0" w:tplc="0809000F">
      <w:start w:val="1"/>
      <w:numFmt w:val="decimal"/>
      <w:lvlText w:val="%1."/>
      <w:lvlJc w:val="left"/>
      <w:pPr>
        <w:ind w:left="2847" w:hanging="360"/>
      </w:pPr>
    </w:lvl>
    <w:lvl w:ilvl="1" w:tplc="100C0019">
      <w:start w:val="1"/>
      <w:numFmt w:val="lowerLetter"/>
      <w:lvlText w:val="%2."/>
      <w:lvlJc w:val="left"/>
      <w:pPr>
        <w:ind w:left="3567" w:hanging="360"/>
      </w:pPr>
    </w:lvl>
    <w:lvl w:ilvl="2" w:tplc="100C001B" w:tentative="1">
      <w:start w:val="1"/>
      <w:numFmt w:val="lowerRoman"/>
      <w:lvlText w:val="%3."/>
      <w:lvlJc w:val="right"/>
      <w:pPr>
        <w:ind w:left="4287" w:hanging="180"/>
      </w:pPr>
    </w:lvl>
    <w:lvl w:ilvl="3" w:tplc="100C000F" w:tentative="1">
      <w:start w:val="1"/>
      <w:numFmt w:val="decimal"/>
      <w:lvlText w:val="%4."/>
      <w:lvlJc w:val="left"/>
      <w:pPr>
        <w:ind w:left="5007" w:hanging="360"/>
      </w:pPr>
    </w:lvl>
    <w:lvl w:ilvl="4" w:tplc="100C0019" w:tentative="1">
      <w:start w:val="1"/>
      <w:numFmt w:val="lowerLetter"/>
      <w:lvlText w:val="%5."/>
      <w:lvlJc w:val="left"/>
      <w:pPr>
        <w:ind w:left="5727" w:hanging="360"/>
      </w:pPr>
    </w:lvl>
    <w:lvl w:ilvl="5" w:tplc="100C001B" w:tentative="1">
      <w:start w:val="1"/>
      <w:numFmt w:val="lowerRoman"/>
      <w:lvlText w:val="%6."/>
      <w:lvlJc w:val="right"/>
      <w:pPr>
        <w:ind w:left="6447" w:hanging="180"/>
      </w:pPr>
    </w:lvl>
    <w:lvl w:ilvl="6" w:tplc="100C000F" w:tentative="1">
      <w:start w:val="1"/>
      <w:numFmt w:val="decimal"/>
      <w:lvlText w:val="%7."/>
      <w:lvlJc w:val="left"/>
      <w:pPr>
        <w:ind w:left="7167" w:hanging="360"/>
      </w:pPr>
    </w:lvl>
    <w:lvl w:ilvl="7" w:tplc="100C0019" w:tentative="1">
      <w:start w:val="1"/>
      <w:numFmt w:val="lowerLetter"/>
      <w:lvlText w:val="%8."/>
      <w:lvlJc w:val="left"/>
      <w:pPr>
        <w:ind w:left="7887" w:hanging="360"/>
      </w:pPr>
    </w:lvl>
    <w:lvl w:ilvl="8" w:tplc="100C001B" w:tentative="1">
      <w:start w:val="1"/>
      <w:numFmt w:val="lowerRoman"/>
      <w:lvlText w:val="%9."/>
      <w:lvlJc w:val="right"/>
      <w:pPr>
        <w:ind w:left="8607" w:hanging="180"/>
      </w:pPr>
    </w:lvl>
  </w:abstractNum>
  <w:abstractNum w:abstractNumId="25">
    <w:nsid w:val="410171E5"/>
    <w:multiLevelType w:val="hybridMultilevel"/>
    <w:tmpl w:val="55E0CD8E"/>
    <w:lvl w:ilvl="0" w:tplc="CC626602">
      <w:start w:val="1"/>
      <w:numFmt w:val="upperRoman"/>
      <w:lvlText w:val="%1."/>
      <w:lvlJc w:val="left"/>
      <w:pPr>
        <w:ind w:left="2816" w:hanging="360"/>
      </w:pPr>
      <w:rPr>
        <w:rFonts w:hint="default"/>
        <w:b/>
      </w:rPr>
    </w:lvl>
    <w:lvl w:ilvl="1" w:tplc="100C0019">
      <w:start w:val="1"/>
      <w:numFmt w:val="lowerLetter"/>
      <w:lvlText w:val="%2."/>
      <w:lvlJc w:val="left"/>
      <w:pPr>
        <w:ind w:left="3536" w:hanging="360"/>
      </w:pPr>
    </w:lvl>
    <w:lvl w:ilvl="2" w:tplc="100C001B" w:tentative="1">
      <w:start w:val="1"/>
      <w:numFmt w:val="lowerRoman"/>
      <w:lvlText w:val="%3."/>
      <w:lvlJc w:val="right"/>
      <w:pPr>
        <w:ind w:left="4256" w:hanging="180"/>
      </w:pPr>
    </w:lvl>
    <w:lvl w:ilvl="3" w:tplc="100C000F" w:tentative="1">
      <w:start w:val="1"/>
      <w:numFmt w:val="decimal"/>
      <w:lvlText w:val="%4."/>
      <w:lvlJc w:val="left"/>
      <w:pPr>
        <w:ind w:left="4976" w:hanging="360"/>
      </w:pPr>
    </w:lvl>
    <w:lvl w:ilvl="4" w:tplc="100C0019" w:tentative="1">
      <w:start w:val="1"/>
      <w:numFmt w:val="lowerLetter"/>
      <w:lvlText w:val="%5."/>
      <w:lvlJc w:val="left"/>
      <w:pPr>
        <w:ind w:left="5696" w:hanging="360"/>
      </w:pPr>
    </w:lvl>
    <w:lvl w:ilvl="5" w:tplc="100C001B" w:tentative="1">
      <w:start w:val="1"/>
      <w:numFmt w:val="lowerRoman"/>
      <w:lvlText w:val="%6."/>
      <w:lvlJc w:val="right"/>
      <w:pPr>
        <w:ind w:left="6416" w:hanging="180"/>
      </w:pPr>
    </w:lvl>
    <w:lvl w:ilvl="6" w:tplc="100C000F" w:tentative="1">
      <w:start w:val="1"/>
      <w:numFmt w:val="decimal"/>
      <w:lvlText w:val="%7."/>
      <w:lvlJc w:val="left"/>
      <w:pPr>
        <w:ind w:left="7136" w:hanging="360"/>
      </w:pPr>
    </w:lvl>
    <w:lvl w:ilvl="7" w:tplc="100C0019" w:tentative="1">
      <w:start w:val="1"/>
      <w:numFmt w:val="lowerLetter"/>
      <w:lvlText w:val="%8."/>
      <w:lvlJc w:val="left"/>
      <w:pPr>
        <w:ind w:left="7856" w:hanging="360"/>
      </w:pPr>
    </w:lvl>
    <w:lvl w:ilvl="8" w:tplc="100C001B" w:tentative="1">
      <w:start w:val="1"/>
      <w:numFmt w:val="lowerRoman"/>
      <w:lvlText w:val="%9."/>
      <w:lvlJc w:val="right"/>
      <w:pPr>
        <w:ind w:left="8576" w:hanging="180"/>
      </w:pPr>
    </w:lvl>
  </w:abstractNum>
  <w:abstractNum w:abstractNumId="26">
    <w:nsid w:val="50702ABA"/>
    <w:multiLevelType w:val="hybridMultilevel"/>
    <w:tmpl w:val="B6AA38E0"/>
    <w:lvl w:ilvl="0" w:tplc="3A60F676">
      <w:start w:val="60"/>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35F11"/>
    <w:multiLevelType w:val="hybridMultilevel"/>
    <w:tmpl w:val="4912A27C"/>
    <w:lvl w:ilvl="0" w:tplc="DE84F5C0">
      <w:start w:val="1"/>
      <w:numFmt w:val="decimal"/>
      <w:lvlText w:val="%1."/>
      <w:lvlJc w:val="left"/>
      <w:pPr>
        <w:ind w:left="1854" w:hanging="360"/>
      </w:pPr>
      <w:rPr>
        <w:b w:val="0"/>
        <w:sz w:val="20"/>
        <w:szCs w:val="20"/>
      </w:rPr>
    </w:lvl>
    <w:lvl w:ilvl="1" w:tplc="6A5CD348">
      <w:start w:val="1"/>
      <w:numFmt w:val="lowerLetter"/>
      <w:lvlText w:val="(%2)"/>
      <w:lvlJc w:val="left"/>
      <w:pPr>
        <w:ind w:left="2574" w:hanging="360"/>
      </w:pPr>
      <w:rPr>
        <w:rFonts w:hint="default"/>
      </w:r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8">
    <w:nsid w:val="548372DB"/>
    <w:multiLevelType w:val="hybridMultilevel"/>
    <w:tmpl w:val="A7062C2A"/>
    <w:lvl w:ilvl="0" w:tplc="BE0EC8A2">
      <w:start w:val="1"/>
      <w:numFmt w:val="decimal"/>
      <w:lvlText w:val="%1"/>
      <w:lvlJc w:val="left"/>
      <w:pPr>
        <w:tabs>
          <w:tab w:val="num" w:pos="2487"/>
        </w:tabs>
        <w:ind w:left="2127" w:firstLine="0"/>
      </w:pPr>
      <w:rPr>
        <w:rFonts w:hint="default"/>
        <w:b w:val="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A455AED"/>
    <w:multiLevelType w:val="hybridMultilevel"/>
    <w:tmpl w:val="A0427AFC"/>
    <w:lvl w:ilvl="0" w:tplc="0809000F">
      <w:start w:val="1"/>
      <w:numFmt w:val="decimal"/>
      <w:lvlText w:val="%1."/>
      <w:lvlJc w:val="left"/>
      <w:pPr>
        <w:ind w:left="2421" w:hanging="360"/>
      </w:pPr>
      <w:rPr>
        <w:rFonts w:hint="default"/>
      </w:rPr>
    </w:lvl>
    <w:lvl w:ilvl="1" w:tplc="100C0019" w:tentative="1">
      <w:start w:val="1"/>
      <w:numFmt w:val="lowerLetter"/>
      <w:lvlText w:val="%2."/>
      <w:lvlJc w:val="left"/>
      <w:pPr>
        <w:ind w:left="3141" w:hanging="360"/>
      </w:pPr>
    </w:lvl>
    <w:lvl w:ilvl="2" w:tplc="100C001B" w:tentative="1">
      <w:start w:val="1"/>
      <w:numFmt w:val="lowerRoman"/>
      <w:lvlText w:val="%3."/>
      <w:lvlJc w:val="right"/>
      <w:pPr>
        <w:ind w:left="3861" w:hanging="180"/>
      </w:pPr>
    </w:lvl>
    <w:lvl w:ilvl="3" w:tplc="100C000F" w:tentative="1">
      <w:start w:val="1"/>
      <w:numFmt w:val="decimal"/>
      <w:lvlText w:val="%4."/>
      <w:lvlJc w:val="left"/>
      <w:pPr>
        <w:ind w:left="4581" w:hanging="360"/>
      </w:pPr>
    </w:lvl>
    <w:lvl w:ilvl="4" w:tplc="100C0019" w:tentative="1">
      <w:start w:val="1"/>
      <w:numFmt w:val="lowerLetter"/>
      <w:lvlText w:val="%5."/>
      <w:lvlJc w:val="left"/>
      <w:pPr>
        <w:ind w:left="5301" w:hanging="360"/>
      </w:pPr>
    </w:lvl>
    <w:lvl w:ilvl="5" w:tplc="100C001B" w:tentative="1">
      <w:start w:val="1"/>
      <w:numFmt w:val="lowerRoman"/>
      <w:lvlText w:val="%6."/>
      <w:lvlJc w:val="right"/>
      <w:pPr>
        <w:ind w:left="6021" w:hanging="180"/>
      </w:pPr>
    </w:lvl>
    <w:lvl w:ilvl="6" w:tplc="100C000F" w:tentative="1">
      <w:start w:val="1"/>
      <w:numFmt w:val="decimal"/>
      <w:lvlText w:val="%7."/>
      <w:lvlJc w:val="left"/>
      <w:pPr>
        <w:ind w:left="6741" w:hanging="360"/>
      </w:pPr>
    </w:lvl>
    <w:lvl w:ilvl="7" w:tplc="100C0019" w:tentative="1">
      <w:start w:val="1"/>
      <w:numFmt w:val="lowerLetter"/>
      <w:lvlText w:val="%8."/>
      <w:lvlJc w:val="left"/>
      <w:pPr>
        <w:ind w:left="7461" w:hanging="360"/>
      </w:pPr>
    </w:lvl>
    <w:lvl w:ilvl="8" w:tplc="100C001B" w:tentative="1">
      <w:start w:val="1"/>
      <w:numFmt w:val="lowerRoman"/>
      <w:lvlText w:val="%9."/>
      <w:lvlJc w:val="right"/>
      <w:pPr>
        <w:ind w:left="8181" w:hanging="180"/>
      </w:pPr>
    </w:lvl>
  </w:abstractNum>
  <w:abstractNum w:abstractNumId="30">
    <w:nsid w:val="63296D26"/>
    <w:multiLevelType w:val="hybridMultilevel"/>
    <w:tmpl w:val="F6744818"/>
    <w:lvl w:ilvl="0" w:tplc="054A3E12">
      <w:start w:val="1"/>
      <w:numFmt w:val="upperLetter"/>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66744F6B"/>
    <w:multiLevelType w:val="hybridMultilevel"/>
    <w:tmpl w:val="0D643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AD241F9"/>
    <w:multiLevelType w:val="hybridMultilevel"/>
    <w:tmpl w:val="B0868862"/>
    <w:lvl w:ilvl="0" w:tplc="653ADFDC">
      <w:start w:val="1"/>
      <w:numFmt w:val="upperLetter"/>
      <w:lvlText w:val="%1."/>
      <w:lvlJc w:val="left"/>
      <w:pPr>
        <w:ind w:left="927" w:hanging="360"/>
      </w:pPr>
      <w:rPr>
        <w:rFonts w:hint="default"/>
      </w:rPr>
    </w:lvl>
    <w:lvl w:ilvl="1" w:tplc="100C0019">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4">
    <w:nsid w:val="6B585AAC"/>
    <w:multiLevelType w:val="hybridMultilevel"/>
    <w:tmpl w:val="E0E2DA1E"/>
    <w:lvl w:ilvl="0" w:tplc="100C000F">
      <w:start w:val="1"/>
      <w:numFmt w:val="decimal"/>
      <w:lvlText w:val="%1."/>
      <w:lvlJc w:val="left"/>
      <w:pPr>
        <w:ind w:left="1211" w:hanging="36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35">
    <w:nsid w:val="6BC47C5A"/>
    <w:multiLevelType w:val="hybridMultilevel"/>
    <w:tmpl w:val="614AC466"/>
    <w:lvl w:ilvl="0" w:tplc="9D78B5C2">
      <w:start w:val="1"/>
      <w:numFmt w:val="upp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6D774A44"/>
    <w:multiLevelType w:val="hybridMultilevel"/>
    <w:tmpl w:val="89585EC4"/>
    <w:lvl w:ilvl="0" w:tplc="9B3E143E">
      <w:start w:val="1"/>
      <w:numFmt w:val="decimal"/>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8">
    <w:nsid w:val="6FAC6F8E"/>
    <w:multiLevelType w:val="hybridMultilevel"/>
    <w:tmpl w:val="7C80DEC8"/>
    <w:lvl w:ilvl="0" w:tplc="27F4371E">
      <w:start w:val="1"/>
      <w:numFmt w:val="lowerLetter"/>
      <w:lvlText w:val="(%1)"/>
      <w:lvlJc w:val="left"/>
      <w:pPr>
        <w:ind w:left="2062" w:hanging="360"/>
      </w:pPr>
      <w:rPr>
        <w:rFonts w:ascii="Times New Roman" w:eastAsia="Times New Roman" w:hAnsi="Times New Roman" w:cs="Times New Roman"/>
        <w:b w:val="0"/>
        <w:sz w:val="20"/>
        <w:szCs w:val="20"/>
      </w:rPr>
    </w:lvl>
    <w:lvl w:ilvl="1" w:tplc="040C0003" w:tentative="1">
      <w:start w:val="1"/>
      <w:numFmt w:val="bullet"/>
      <w:lvlText w:val="o"/>
      <w:lvlJc w:val="left"/>
      <w:pPr>
        <w:tabs>
          <w:tab w:val="num" w:pos="1611"/>
        </w:tabs>
        <w:ind w:left="1611" w:hanging="360"/>
      </w:pPr>
      <w:rPr>
        <w:rFonts w:ascii="Courier New" w:hAnsi="Courier New" w:cs="Symbol" w:hint="default"/>
      </w:rPr>
    </w:lvl>
    <w:lvl w:ilvl="2" w:tplc="040C0005" w:tentative="1">
      <w:start w:val="1"/>
      <w:numFmt w:val="bullet"/>
      <w:lvlText w:val=""/>
      <w:lvlJc w:val="left"/>
      <w:pPr>
        <w:tabs>
          <w:tab w:val="num" w:pos="2331"/>
        </w:tabs>
        <w:ind w:left="2331" w:hanging="360"/>
      </w:pPr>
      <w:rPr>
        <w:rFonts w:ascii="Wingdings" w:hAnsi="Wingdings" w:hint="default"/>
      </w:rPr>
    </w:lvl>
    <w:lvl w:ilvl="3" w:tplc="040C0001" w:tentative="1">
      <w:start w:val="1"/>
      <w:numFmt w:val="bullet"/>
      <w:lvlText w:val=""/>
      <w:lvlJc w:val="left"/>
      <w:pPr>
        <w:tabs>
          <w:tab w:val="num" w:pos="3051"/>
        </w:tabs>
        <w:ind w:left="3051" w:hanging="360"/>
      </w:pPr>
      <w:rPr>
        <w:rFonts w:ascii="Symbol" w:hAnsi="Symbol" w:hint="default"/>
      </w:rPr>
    </w:lvl>
    <w:lvl w:ilvl="4" w:tplc="040C0003" w:tentative="1">
      <w:start w:val="1"/>
      <w:numFmt w:val="bullet"/>
      <w:lvlText w:val="o"/>
      <w:lvlJc w:val="left"/>
      <w:pPr>
        <w:tabs>
          <w:tab w:val="num" w:pos="3771"/>
        </w:tabs>
        <w:ind w:left="3771" w:hanging="360"/>
      </w:pPr>
      <w:rPr>
        <w:rFonts w:ascii="Courier New" w:hAnsi="Courier New" w:cs="Symbol" w:hint="default"/>
      </w:rPr>
    </w:lvl>
    <w:lvl w:ilvl="5" w:tplc="040C0005" w:tentative="1">
      <w:start w:val="1"/>
      <w:numFmt w:val="bullet"/>
      <w:lvlText w:val=""/>
      <w:lvlJc w:val="left"/>
      <w:pPr>
        <w:tabs>
          <w:tab w:val="num" w:pos="4491"/>
        </w:tabs>
        <w:ind w:left="4491" w:hanging="360"/>
      </w:pPr>
      <w:rPr>
        <w:rFonts w:ascii="Wingdings" w:hAnsi="Wingdings" w:hint="default"/>
      </w:rPr>
    </w:lvl>
    <w:lvl w:ilvl="6" w:tplc="040C0001" w:tentative="1">
      <w:start w:val="1"/>
      <w:numFmt w:val="bullet"/>
      <w:lvlText w:val=""/>
      <w:lvlJc w:val="left"/>
      <w:pPr>
        <w:tabs>
          <w:tab w:val="num" w:pos="5211"/>
        </w:tabs>
        <w:ind w:left="5211" w:hanging="360"/>
      </w:pPr>
      <w:rPr>
        <w:rFonts w:ascii="Symbol" w:hAnsi="Symbol" w:hint="default"/>
      </w:rPr>
    </w:lvl>
    <w:lvl w:ilvl="7" w:tplc="040C0003" w:tentative="1">
      <w:start w:val="1"/>
      <w:numFmt w:val="bullet"/>
      <w:lvlText w:val="o"/>
      <w:lvlJc w:val="left"/>
      <w:pPr>
        <w:tabs>
          <w:tab w:val="num" w:pos="5931"/>
        </w:tabs>
        <w:ind w:left="5931" w:hanging="360"/>
      </w:pPr>
      <w:rPr>
        <w:rFonts w:ascii="Courier New" w:hAnsi="Courier New" w:cs="Symbol" w:hint="default"/>
      </w:rPr>
    </w:lvl>
    <w:lvl w:ilvl="8" w:tplc="040C0005" w:tentative="1">
      <w:start w:val="1"/>
      <w:numFmt w:val="bullet"/>
      <w:lvlText w:val=""/>
      <w:lvlJc w:val="left"/>
      <w:pPr>
        <w:tabs>
          <w:tab w:val="num" w:pos="6651"/>
        </w:tabs>
        <w:ind w:left="6651" w:hanging="360"/>
      </w:pPr>
      <w:rPr>
        <w:rFonts w:ascii="Wingdings" w:hAnsi="Wingdings" w:hint="default"/>
      </w:rPr>
    </w:lvl>
  </w:abstractNum>
  <w:abstractNum w:abstractNumId="39">
    <w:nsid w:val="776A5DB5"/>
    <w:multiLevelType w:val="hybridMultilevel"/>
    <w:tmpl w:val="35C66F52"/>
    <w:lvl w:ilvl="0" w:tplc="22D0EF44">
      <w:start w:val="1"/>
      <w:numFmt w:val="upperRoman"/>
      <w:lvlText w:val="%1."/>
      <w:lvlJc w:val="left"/>
      <w:pPr>
        <w:ind w:left="1287" w:hanging="720"/>
      </w:pPr>
      <w:rPr>
        <w:rFonts w:hint="default"/>
      </w:rPr>
    </w:lvl>
    <w:lvl w:ilvl="1" w:tplc="161693CE">
      <w:start w:val="1"/>
      <w:numFmt w:val="decimal"/>
      <w:lvlText w:val="%2."/>
      <w:lvlJc w:val="left"/>
      <w:pPr>
        <w:ind w:left="1647" w:hanging="360"/>
      </w:pPr>
      <w:rPr>
        <w:rFonts w:hint="default"/>
      </w:r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0">
    <w:nsid w:val="782D2970"/>
    <w:multiLevelType w:val="hybridMultilevel"/>
    <w:tmpl w:val="97922EB8"/>
    <w:lvl w:ilvl="0" w:tplc="4D80A230">
      <w:start w:val="1"/>
      <w:numFmt w:val="upperRoman"/>
      <w:lvlText w:val="%1."/>
      <w:lvlJc w:val="left"/>
      <w:pPr>
        <w:ind w:left="1571" w:hanging="72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41">
    <w:nsid w:val="78FD4CBB"/>
    <w:multiLevelType w:val="hybridMultilevel"/>
    <w:tmpl w:val="FA649C1C"/>
    <w:lvl w:ilvl="0" w:tplc="100C0015">
      <w:start w:val="1"/>
      <w:numFmt w:val="upp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8"/>
  </w:num>
  <w:num w:numId="2">
    <w:abstractNumId w:val="13"/>
  </w:num>
  <w:num w:numId="3">
    <w:abstractNumId w:val="36"/>
  </w:num>
  <w:num w:numId="4">
    <w:abstractNumId w:val="7"/>
  </w:num>
  <w:num w:numId="5">
    <w:abstractNumId w:val="0"/>
  </w:num>
  <w:num w:numId="6">
    <w:abstractNumId w:val="2"/>
  </w:num>
  <w:num w:numId="7">
    <w:abstractNumId w:val="32"/>
  </w:num>
  <w:num w:numId="8">
    <w:abstractNumId w:val="12"/>
  </w:num>
  <w:num w:numId="9">
    <w:abstractNumId w:val="30"/>
  </w:num>
  <w:num w:numId="10">
    <w:abstractNumId w:val="37"/>
  </w:num>
  <w:num w:numId="11">
    <w:abstractNumId w:val="37"/>
    <w:lvlOverride w:ilvl="0">
      <w:startOverride w:val="1"/>
    </w:lvlOverride>
  </w:num>
  <w:num w:numId="12">
    <w:abstractNumId w:val="9"/>
  </w:num>
  <w:num w:numId="13">
    <w:abstractNumId w:val="22"/>
  </w:num>
  <w:num w:numId="14">
    <w:abstractNumId w:val="26"/>
  </w:num>
  <w:num w:numId="15">
    <w:abstractNumId w:val="2"/>
    <w:lvlOverride w:ilvl="0">
      <w:startOverride w:val="1"/>
    </w:lvlOverride>
  </w:num>
  <w:num w:numId="16">
    <w:abstractNumId w:val="28"/>
  </w:num>
  <w:num w:numId="17">
    <w:abstractNumId w:val="31"/>
  </w:num>
  <w:num w:numId="18">
    <w:abstractNumId w:val="28"/>
    <w:lvlOverride w:ilvl="0">
      <w:startOverride w:val="1"/>
    </w:lvlOverride>
  </w:num>
  <w:num w:numId="19">
    <w:abstractNumId w:val="38"/>
  </w:num>
  <w:num w:numId="20">
    <w:abstractNumId w:val="28"/>
    <w:lvlOverride w:ilvl="0">
      <w:startOverride w:val="1"/>
    </w:lvlOverride>
  </w:num>
  <w:num w:numId="21">
    <w:abstractNumId w:val="28"/>
    <w:lvlOverride w:ilvl="0">
      <w:startOverride w:val="1"/>
    </w:lvlOverride>
  </w:num>
  <w:num w:numId="22">
    <w:abstractNumId w:val="40"/>
  </w:num>
  <w:num w:numId="23">
    <w:abstractNumId w:val="4"/>
  </w:num>
  <w:num w:numId="24">
    <w:abstractNumId w:val="17"/>
  </w:num>
  <w:num w:numId="25">
    <w:abstractNumId w:val="5"/>
  </w:num>
  <w:num w:numId="26">
    <w:abstractNumId w:val="41"/>
  </w:num>
  <w:num w:numId="27">
    <w:abstractNumId w:val="6"/>
  </w:num>
  <w:num w:numId="28">
    <w:abstractNumId w:val="28"/>
    <w:lvlOverride w:ilvl="0">
      <w:startOverride w:val="1"/>
    </w:lvlOverride>
  </w:num>
  <w:num w:numId="29">
    <w:abstractNumId w:val="15"/>
  </w:num>
  <w:num w:numId="30">
    <w:abstractNumId w:val="20"/>
  </w:num>
  <w:num w:numId="31">
    <w:abstractNumId w:val="34"/>
  </w:num>
  <w:num w:numId="32">
    <w:abstractNumId w:val="23"/>
  </w:num>
  <w:num w:numId="33">
    <w:abstractNumId w:val="3"/>
  </w:num>
  <w:num w:numId="34">
    <w:abstractNumId w:val="10"/>
  </w:num>
  <w:num w:numId="35">
    <w:abstractNumId w:val="39"/>
  </w:num>
  <w:num w:numId="36">
    <w:abstractNumId w:val="11"/>
  </w:num>
  <w:num w:numId="37">
    <w:abstractNumId w:val="24"/>
  </w:num>
  <w:num w:numId="38">
    <w:abstractNumId w:val="16"/>
  </w:num>
  <w:num w:numId="39">
    <w:abstractNumId w:val="14"/>
  </w:num>
  <w:num w:numId="40">
    <w:abstractNumId w:val="1"/>
  </w:num>
  <w:num w:numId="41">
    <w:abstractNumId w:val="27"/>
  </w:num>
  <w:num w:numId="42">
    <w:abstractNumId w:val="25"/>
  </w:num>
  <w:num w:numId="43">
    <w:abstractNumId w:val="19"/>
  </w:num>
  <w:num w:numId="44">
    <w:abstractNumId w:val="33"/>
  </w:num>
  <w:num w:numId="45">
    <w:abstractNumId w:val="35"/>
  </w:num>
  <w:num w:numId="46">
    <w:abstractNumId w:val="29"/>
  </w:num>
  <w:num w:numId="47">
    <w:abstractNumId w:val="21"/>
  </w:num>
  <w:num w:numId="4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C9"/>
    <w:rsid w:val="00007F7F"/>
    <w:rsid w:val="00022DB5"/>
    <w:rsid w:val="000403D1"/>
    <w:rsid w:val="000435F3"/>
    <w:rsid w:val="00043BA7"/>
    <w:rsid w:val="000449AA"/>
    <w:rsid w:val="00050018"/>
    <w:rsid w:val="00050F6B"/>
    <w:rsid w:val="00051BCD"/>
    <w:rsid w:val="00072AB7"/>
    <w:rsid w:val="00072C8C"/>
    <w:rsid w:val="00073E70"/>
    <w:rsid w:val="000752ED"/>
    <w:rsid w:val="00075A2E"/>
    <w:rsid w:val="000876EB"/>
    <w:rsid w:val="00091419"/>
    <w:rsid w:val="000931C0"/>
    <w:rsid w:val="00096011"/>
    <w:rsid w:val="000967C5"/>
    <w:rsid w:val="000A550A"/>
    <w:rsid w:val="000B175B"/>
    <w:rsid w:val="000B3A0F"/>
    <w:rsid w:val="000B4A3B"/>
    <w:rsid w:val="000C2347"/>
    <w:rsid w:val="000C331E"/>
    <w:rsid w:val="000D1851"/>
    <w:rsid w:val="000E0415"/>
    <w:rsid w:val="000E0B5C"/>
    <w:rsid w:val="000E4F32"/>
    <w:rsid w:val="000E5951"/>
    <w:rsid w:val="000F2202"/>
    <w:rsid w:val="001154B0"/>
    <w:rsid w:val="00116630"/>
    <w:rsid w:val="0011674B"/>
    <w:rsid w:val="00127214"/>
    <w:rsid w:val="001333E3"/>
    <w:rsid w:val="00137AD0"/>
    <w:rsid w:val="00141205"/>
    <w:rsid w:val="00146D32"/>
    <w:rsid w:val="001509BA"/>
    <w:rsid w:val="001758D0"/>
    <w:rsid w:val="001A22D8"/>
    <w:rsid w:val="001B4B04"/>
    <w:rsid w:val="001C0F87"/>
    <w:rsid w:val="001C5652"/>
    <w:rsid w:val="001C6663"/>
    <w:rsid w:val="001C7895"/>
    <w:rsid w:val="001D26DF"/>
    <w:rsid w:val="001D70DA"/>
    <w:rsid w:val="001D7D18"/>
    <w:rsid w:val="001E2790"/>
    <w:rsid w:val="001E636B"/>
    <w:rsid w:val="001E6AA0"/>
    <w:rsid w:val="001E7D38"/>
    <w:rsid w:val="00203182"/>
    <w:rsid w:val="00211E0B"/>
    <w:rsid w:val="00211E72"/>
    <w:rsid w:val="002123CA"/>
    <w:rsid w:val="00214047"/>
    <w:rsid w:val="0022130F"/>
    <w:rsid w:val="002235E1"/>
    <w:rsid w:val="00233EB0"/>
    <w:rsid w:val="00237785"/>
    <w:rsid w:val="002410DD"/>
    <w:rsid w:val="00241466"/>
    <w:rsid w:val="00253D58"/>
    <w:rsid w:val="0025662F"/>
    <w:rsid w:val="00265264"/>
    <w:rsid w:val="0027725F"/>
    <w:rsid w:val="00287756"/>
    <w:rsid w:val="002A0210"/>
    <w:rsid w:val="002B3AB7"/>
    <w:rsid w:val="002C21F0"/>
    <w:rsid w:val="002C2403"/>
    <w:rsid w:val="002C698A"/>
    <w:rsid w:val="002D11EA"/>
    <w:rsid w:val="002D6CDC"/>
    <w:rsid w:val="002E31C0"/>
    <w:rsid w:val="002E402C"/>
    <w:rsid w:val="002F1360"/>
    <w:rsid w:val="002F2BC3"/>
    <w:rsid w:val="002F398F"/>
    <w:rsid w:val="003107FA"/>
    <w:rsid w:val="00315F89"/>
    <w:rsid w:val="00317977"/>
    <w:rsid w:val="0032253A"/>
    <w:rsid w:val="003229D8"/>
    <w:rsid w:val="00323626"/>
    <w:rsid w:val="003311CA"/>
    <w:rsid w:val="003314D1"/>
    <w:rsid w:val="00335A2F"/>
    <w:rsid w:val="0034083F"/>
    <w:rsid w:val="00341937"/>
    <w:rsid w:val="003542E7"/>
    <w:rsid w:val="003562C9"/>
    <w:rsid w:val="00372C49"/>
    <w:rsid w:val="00374EFA"/>
    <w:rsid w:val="00382DC0"/>
    <w:rsid w:val="0039277A"/>
    <w:rsid w:val="00395853"/>
    <w:rsid w:val="003972E0"/>
    <w:rsid w:val="003975ED"/>
    <w:rsid w:val="003A2BCF"/>
    <w:rsid w:val="003B3292"/>
    <w:rsid w:val="003B6DA4"/>
    <w:rsid w:val="003C2CC4"/>
    <w:rsid w:val="003D0F26"/>
    <w:rsid w:val="003D4B23"/>
    <w:rsid w:val="003E4304"/>
    <w:rsid w:val="003F3D2F"/>
    <w:rsid w:val="003F3E9E"/>
    <w:rsid w:val="004027F5"/>
    <w:rsid w:val="00417BFF"/>
    <w:rsid w:val="00424C80"/>
    <w:rsid w:val="00431B41"/>
    <w:rsid w:val="004325CB"/>
    <w:rsid w:val="004348AF"/>
    <w:rsid w:val="00444FEE"/>
    <w:rsid w:val="0044503A"/>
    <w:rsid w:val="00446DE4"/>
    <w:rsid w:val="00447761"/>
    <w:rsid w:val="00451EC3"/>
    <w:rsid w:val="004721B1"/>
    <w:rsid w:val="004858EB"/>
    <w:rsid w:val="004859EC"/>
    <w:rsid w:val="00496A15"/>
    <w:rsid w:val="004A4F8C"/>
    <w:rsid w:val="004B75D2"/>
    <w:rsid w:val="004D1140"/>
    <w:rsid w:val="004E00E3"/>
    <w:rsid w:val="004F5206"/>
    <w:rsid w:val="004F55ED"/>
    <w:rsid w:val="004F5ECD"/>
    <w:rsid w:val="005055E1"/>
    <w:rsid w:val="00507944"/>
    <w:rsid w:val="00511FBA"/>
    <w:rsid w:val="00514DCB"/>
    <w:rsid w:val="0052176C"/>
    <w:rsid w:val="005261E5"/>
    <w:rsid w:val="00530894"/>
    <w:rsid w:val="00540A7D"/>
    <w:rsid w:val="005420F2"/>
    <w:rsid w:val="00542574"/>
    <w:rsid w:val="005436AB"/>
    <w:rsid w:val="00546DBF"/>
    <w:rsid w:val="005534A5"/>
    <w:rsid w:val="00553D76"/>
    <w:rsid w:val="005552B5"/>
    <w:rsid w:val="0055779F"/>
    <w:rsid w:val="0056117B"/>
    <w:rsid w:val="0056526A"/>
    <w:rsid w:val="00571365"/>
    <w:rsid w:val="00573EEF"/>
    <w:rsid w:val="00581A49"/>
    <w:rsid w:val="00591828"/>
    <w:rsid w:val="00594159"/>
    <w:rsid w:val="005A16DC"/>
    <w:rsid w:val="005A598F"/>
    <w:rsid w:val="005B3DB3"/>
    <w:rsid w:val="005B6E48"/>
    <w:rsid w:val="005C08C5"/>
    <w:rsid w:val="005D1261"/>
    <w:rsid w:val="005D6764"/>
    <w:rsid w:val="005D6B8F"/>
    <w:rsid w:val="005E1712"/>
    <w:rsid w:val="005E405F"/>
    <w:rsid w:val="005F70D5"/>
    <w:rsid w:val="00605581"/>
    <w:rsid w:val="00611FC4"/>
    <w:rsid w:val="00612A71"/>
    <w:rsid w:val="00613D5C"/>
    <w:rsid w:val="00614F3A"/>
    <w:rsid w:val="006176FB"/>
    <w:rsid w:val="0062294D"/>
    <w:rsid w:val="00625AD6"/>
    <w:rsid w:val="00633795"/>
    <w:rsid w:val="00633E7E"/>
    <w:rsid w:val="00637097"/>
    <w:rsid w:val="00640B26"/>
    <w:rsid w:val="00644409"/>
    <w:rsid w:val="00654DB5"/>
    <w:rsid w:val="006558C2"/>
    <w:rsid w:val="006610A5"/>
    <w:rsid w:val="006650BA"/>
    <w:rsid w:val="00665623"/>
    <w:rsid w:val="006669A3"/>
    <w:rsid w:val="00667A24"/>
    <w:rsid w:val="00670741"/>
    <w:rsid w:val="00680FF2"/>
    <w:rsid w:val="00695653"/>
    <w:rsid w:val="00696BD6"/>
    <w:rsid w:val="006A6B9D"/>
    <w:rsid w:val="006A7392"/>
    <w:rsid w:val="006B3189"/>
    <w:rsid w:val="006B7D65"/>
    <w:rsid w:val="006C2B17"/>
    <w:rsid w:val="006C34B8"/>
    <w:rsid w:val="006C47E1"/>
    <w:rsid w:val="006C6664"/>
    <w:rsid w:val="006D240E"/>
    <w:rsid w:val="006D6DA6"/>
    <w:rsid w:val="006E106A"/>
    <w:rsid w:val="006E4B1E"/>
    <w:rsid w:val="006E564B"/>
    <w:rsid w:val="006F13F0"/>
    <w:rsid w:val="006F5035"/>
    <w:rsid w:val="007016BB"/>
    <w:rsid w:val="007065EB"/>
    <w:rsid w:val="007112B4"/>
    <w:rsid w:val="00720183"/>
    <w:rsid w:val="00721665"/>
    <w:rsid w:val="00723E42"/>
    <w:rsid w:val="0072632A"/>
    <w:rsid w:val="00730709"/>
    <w:rsid w:val="007337A0"/>
    <w:rsid w:val="0073381F"/>
    <w:rsid w:val="00734625"/>
    <w:rsid w:val="00741A9B"/>
    <w:rsid w:val="0074200B"/>
    <w:rsid w:val="00761641"/>
    <w:rsid w:val="00790A2E"/>
    <w:rsid w:val="007A6296"/>
    <w:rsid w:val="007B443F"/>
    <w:rsid w:val="007B5179"/>
    <w:rsid w:val="007B6BA5"/>
    <w:rsid w:val="007B762F"/>
    <w:rsid w:val="007C1B62"/>
    <w:rsid w:val="007C3390"/>
    <w:rsid w:val="007C4F4B"/>
    <w:rsid w:val="007D056F"/>
    <w:rsid w:val="007D2CDC"/>
    <w:rsid w:val="007D3302"/>
    <w:rsid w:val="007D5327"/>
    <w:rsid w:val="007F021E"/>
    <w:rsid w:val="007F293D"/>
    <w:rsid w:val="007F6611"/>
    <w:rsid w:val="008054BB"/>
    <w:rsid w:val="008155C3"/>
    <w:rsid w:val="008175E9"/>
    <w:rsid w:val="0082243E"/>
    <w:rsid w:val="008242D7"/>
    <w:rsid w:val="00840567"/>
    <w:rsid w:val="00846B65"/>
    <w:rsid w:val="0085107C"/>
    <w:rsid w:val="00851EBA"/>
    <w:rsid w:val="00854B83"/>
    <w:rsid w:val="00856CD2"/>
    <w:rsid w:val="00861BC6"/>
    <w:rsid w:val="00862D56"/>
    <w:rsid w:val="00863F1A"/>
    <w:rsid w:val="00871FD5"/>
    <w:rsid w:val="008739D9"/>
    <w:rsid w:val="00876F59"/>
    <w:rsid w:val="008820CE"/>
    <w:rsid w:val="00884DC1"/>
    <w:rsid w:val="008861E9"/>
    <w:rsid w:val="00891DBB"/>
    <w:rsid w:val="008979B1"/>
    <w:rsid w:val="008A00F5"/>
    <w:rsid w:val="008A6B25"/>
    <w:rsid w:val="008A6C4F"/>
    <w:rsid w:val="008A6DFA"/>
    <w:rsid w:val="008B4D0A"/>
    <w:rsid w:val="008C1E4D"/>
    <w:rsid w:val="008C3187"/>
    <w:rsid w:val="008C6EE5"/>
    <w:rsid w:val="008D5176"/>
    <w:rsid w:val="008E0E46"/>
    <w:rsid w:val="008E66DA"/>
    <w:rsid w:val="008F2CCA"/>
    <w:rsid w:val="0090452C"/>
    <w:rsid w:val="0090570A"/>
    <w:rsid w:val="00907C3F"/>
    <w:rsid w:val="0092237C"/>
    <w:rsid w:val="00930FE5"/>
    <w:rsid w:val="009335E9"/>
    <w:rsid w:val="0093648D"/>
    <w:rsid w:val="0093707B"/>
    <w:rsid w:val="009400EB"/>
    <w:rsid w:val="009427E3"/>
    <w:rsid w:val="0094550D"/>
    <w:rsid w:val="0095023C"/>
    <w:rsid w:val="00953E50"/>
    <w:rsid w:val="00956D9B"/>
    <w:rsid w:val="00960D7D"/>
    <w:rsid w:val="00963CBA"/>
    <w:rsid w:val="009654B7"/>
    <w:rsid w:val="00974932"/>
    <w:rsid w:val="009824D9"/>
    <w:rsid w:val="00990E3E"/>
    <w:rsid w:val="00991261"/>
    <w:rsid w:val="00995149"/>
    <w:rsid w:val="00995A55"/>
    <w:rsid w:val="009A0B83"/>
    <w:rsid w:val="009A3D39"/>
    <w:rsid w:val="009B0EB3"/>
    <w:rsid w:val="009B3800"/>
    <w:rsid w:val="009C2F2D"/>
    <w:rsid w:val="009C6362"/>
    <w:rsid w:val="009D22AC"/>
    <w:rsid w:val="009D50DB"/>
    <w:rsid w:val="009D6CB8"/>
    <w:rsid w:val="009E1C4E"/>
    <w:rsid w:val="00A022E3"/>
    <w:rsid w:val="00A0580B"/>
    <w:rsid w:val="00A05E0B"/>
    <w:rsid w:val="00A074A0"/>
    <w:rsid w:val="00A07FF3"/>
    <w:rsid w:val="00A13834"/>
    <w:rsid w:val="00A1427D"/>
    <w:rsid w:val="00A25BCB"/>
    <w:rsid w:val="00A3387B"/>
    <w:rsid w:val="00A36678"/>
    <w:rsid w:val="00A4044E"/>
    <w:rsid w:val="00A44872"/>
    <w:rsid w:val="00A4634F"/>
    <w:rsid w:val="00A51CF3"/>
    <w:rsid w:val="00A63428"/>
    <w:rsid w:val="00A6402C"/>
    <w:rsid w:val="00A67407"/>
    <w:rsid w:val="00A72F22"/>
    <w:rsid w:val="00A748A6"/>
    <w:rsid w:val="00A824B5"/>
    <w:rsid w:val="00A879A4"/>
    <w:rsid w:val="00A87D10"/>
    <w:rsid w:val="00A87E95"/>
    <w:rsid w:val="00A91AF0"/>
    <w:rsid w:val="00A92E29"/>
    <w:rsid w:val="00A94161"/>
    <w:rsid w:val="00AA27FF"/>
    <w:rsid w:val="00AA3954"/>
    <w:rsid w:val="00AB6732"/>
    <w:rsid w:val="00AD09E9"/>
    <w:rsid w:val="00AF0576"/>
    <w:rsid w:val="00AF14C5"/>
    <w:rsid w:val="00AF3829"/>
    <w:rsid w:val="00B01672"/>
    <w:rsid w:val="00B037F0"/>
    <w:rsid w:val="00B20ECA"/>
    <w:rsid w:val="00B2327D"/>
    <w:rsid w:val="00B269A9"/>
    <w:rsid w:val="00B2718F"/>
    <w:rsid w:val="00B30179"/>
    <w:rsid w:val="00B3317B"/>
    <w:rsid w:val="00B334DC"/>
    <w:rsid w:val="00B3631A"/>
    <w:rsid w:val="00B415FA"/>
    <w:rsid w:val="00B50F8F"/>
    <w:rsid w:val="00B53013"/>
    <w:rsid w:val="00B531AB"/>
    <w:rsid w:val="00B64CC9"/>
    <w:rsid w:val="00B67DBF"/>
    <w:rsid w:val="00B67F5E"/>
    <w:rsid w:val="00B73E65"/>
    <w:rsid w:val="00B81E12"/>
    <w:rsid w:val="00B87110"/>
    <w:rsid w:val="00B9230C"/>
    <w:rsid w:val="00B9399F"/>
    <w:rsid w:val="00B93EBC"/>
    <w:rsid w:val="00B97FA8"/>
    <w:rsid w:val="00BA7AC9"/>
    <w:rsid w:val="00BB22CC"/>
    <w:rsid w:val="00BC1234"/>
    <w:rsid w:val="00BC1385"/>
    <w:rsid w:val="00BC1D78"/>
    <w:rsid w:val="00BC40CD"/>
    <w:rsid w:val="00BC74E9"/>
    <w:rsid w:val="00BE5FB1"/>
    <w:rsid w:val="00BE618E"/>
    <w:rsid w:val="00BE7054"/>
    <w:rsid w:val="00C20EC4"/>
    <w:rsid w:val="00C23539"/>
    <w:rsid w:val="00C24693"/>
    <w:rsid w:val="00C2514D"/>
    <w:rsid w:val="00C312F9"/>
    <w:rsid w:val="00C33214"/>
    <w:rsid w:val="00C35A27"/>
    <w:rsid w:val="00C35F0B"/>
    <w:rsid w:val="00C364B2"/>
    <w:rsid w:val="00C44ADA"/>
    <w:rsid w:val="00C463DD"/>
    <w:rsid w:val="00C50E85"/>
    <w:rsid w:val="00C55243"/>
    <w:rsid w:val="00C64458"/>
    <w:rsid w:val="00C65107"/>
    <w:rsid w:val="00C745C3"/>
    <w:rsid w:val="00C83876"/>
    <w:rsid w:val="00CA137D"/>
    <w:rsid w:val="00CA2A58"/>
    <w:rsid w:val="00CA455A"/>
    <w:rsid w:val="00CB31A1"/>
    <w:rsid w:val="00CB72E6"/>
    <w:rsid w:val="00CC0B55"/>
    <w:rsid w:val="00CC38BD"/>
    <w:rsid w:val="00CC4C34"/>
    <w:rsid w:val="00CC7DC5"/>
    <w:rsid w:val="00CD1B70"/>
    <w:rsid w:val="00CD6995"/>
    <w:rsid w:val="00CE4A8F"/>
    <w:rsid w:val="00CF0214"/>
    <w:rsid w:val="00CF586F"/>
    <w:rsid w:val="00CF7190"/>
    <w:rsid w:val="00CF7D43"/>
    <w:rsid w:val="00D025DC"/>
    <w:rsid w:val="00D034B8"/>
    <w:rsid w:val="00D04519"/>
    <w:rsid w:val="00D11129"/>
    <w:rsid w:val="00D2031B"/>
    <w:rsid w:val="00D22332"/>
    <w:rsid w:val="00D226FD"/>
    <w:rsid w:val="00D25FE2"/>
    <w:rsid w:val="00D27638"/>
    <w:rsid w:val="00D27C49"/>
    <w:rsid w:val="00D33713"/>
    <w:rsid w:val="00D345C0"/>
    <w:rsid w:val="00D34F5F"/>
    <w:rsid w:val="00D37CF1"/>
    <w:rsid w:val="00D40B31"/>
    <w:rsid w:val="00D43252"/>
    <w:rsid w:val="00D550F9"/>
    <w:rsid w:val="00D572B0"/>
    <w:rsid w:val="00D62E90"/>
    <w:rsid w:val="00D76BE5"/>
    <w:rsid w:val="00D872B5"/>
    <w:rsid w:val="00D906EB"/>
    <w:rsid w:val="00D93A60"/>
    <w:rsid w:val="00D978C6"/>
    <w:rsid w:val="00DA3814"/>
    <w:rsid w:val="00DA67AD"/>
    <w:rsid w:val="00DB060F"/>
    <w:rsid w:val="00DB18CE"/>
    <w:rsid w:val="00DB65B7"/>
    <w:rsid w:val="00DC17E5"/>
    <w:rsid w:val="00DC26B0"/>
    <w:rsid w:val="00DC3112"/>
    <w:rsid w:val="00DC3F0E"/>
    <w:rsid w:val="00DE3EC0"/>
    <w:rsid w:val="00DF202E"/>
    <w:rsid w:val="00DF5084"/>
    <w:rsid w:val="00E11593"/>
    <w:rsid w:val="00E12B6B"/>
    <w:rsid w:val="00E130AB"/>
    <w:rsid w:val="00E16192"/>
    <w:rsid w:val="00E236A5"/>
    <w:rsid w:val="00E3220C"/>
    <w:rsid w:val="00E37091"/>
    <w:rsid w:val="00E40AB2"/>
    <w:rsid w:val="00E438D9"/>
    <w:rsid w:val="00E54F5D"/>
    <w:rsid w:val="00E5644E"/>
    <w:rsid w:val="00E57BD9"/>
    <w:rsid w:val="00E61FDC"/>
    <w:rsid w:val="00E70598"/>
    <w:rsid w:val="00E7260F"/>
    <w:rsid w:val="00E806EE"/>
    <w:rsid w:val="00E835D7"/>
    <w:rsid w:val="00E8490A"/>
    <w:rsid w:val="00E879F6"/>
    <w:rsid w:val="00E96630"/>
    <w:rsid w:val="00EA3A30"/>
    <w:rsid w:val="00EB0FB9"/>
    <w:rsid w:val="00EB30EC"/>
    <w:rsid w:val="00ED0CA9"/>
    <w:rsid w:val="00ED7A2A"/>
    <w:rsid w:val="00EF1D7F"/>
    <w:rsid w:val="00EF5BDB"/>
    <w:rsid w:val="00F07FD9"/>
    <w:rsid w:val="00F123D9"/>
    <w:rsid w:val="00F12DBC"/>
    <w:rsid w:val="00F23360"/>
    <w:rsid w:val="00F23933"/>
    <w:rsid w:val="00F24119"/>
    <w:rsid w:val="00F3105E"/>
    <w:rsid w:val="00F32881"/>
    <w:rsid w:val="00F3725A"/>
    <w:rsid w:val="00F40E75"/>
    <w:rsid w:val="00F42CD9"/>
    <w:rsid w:val="00F45228"/>
    <w:rsid w:val="00F52936"/>
    <w:rsid w:val="00F677CB"/>
    <w:rsid w:val="00F84D01"/>
    <w:rsid w:val="00F8548A"/>
    <w:rsid w:val="00F85C8C"/>
    <w:rsid w:val="00FA168C"/>
    <w:rsid w:val="00FA7BDE"/>
    <w:rsid w:val="00FA7DF3"/>
    <w:rsid w:val="00FB31C3"/>
    <w:rsid w:val="00FC68B7"/>
    <w:rsid w:val="00FD08CE"/>
    <w:rsid w:val="00FD6C31"/>
    <w:rsid w:val="00FD7C12"/>
    <w:rsid w:val="00FE0EAB"/>
    <w:rsid w:val="00FE26A0"/>
    <w:rsid w:val="00FF1C8C"/>
    <w:rsid w:val="00FF4C20"/>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footnote text" w:uiPriority="99"/>
    <w:lsdException w:name="footnote reference" w:uiPriority="99"/>
    <w:lsdException w:name="Normal (Web)" w:uiPriority="99"/>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 Footnote Reference,FZ,Appel note de bas de page,Footnotes refss,Footnote Ref,16 Point,Superscript 6 Point,Appel note de bas de p.,Footnote Refernece,Footnote number"/>
    <w:uiPriority w:val="99"/>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E1619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16192"/>
    <w:rPr>
      <w:rFonts w:ascii="Tahoma" w:hAnsi="Tahoma" w:cs="Tahoma"/>
      <w:sz w:val="16"/>
      <w:szCs w:val="16"/>
      <w:lang w:eastAsia="en-US"/>
    </w:rPr>
  </w:style>
  <w:style w:type="numbering" w:customStyle="1" w:styleId="NoList1">
    <w:name w:val="No List1"/>
    <w:next w:val="NoList"/>
    <w:uiPriority w:val="99"/>
    <w:semiHidden/>
    <w:unhideWhenUsed/>
    <w:rsid w:val="00644409"/>
  </w:style>
  <w:style w:type="paragraph" w:styleId="CommentText">
    <w:name w:val="annotation text"/>
    <w:basedOn w:val="Normal"/>
    <w:link w:val="CommentTextChar"/>
    <w:uiPriority w:val="99"/>
    <w:rsid w:val="00644409"/>
    <w:pPr>
      <w:spacing w:line="240" w:lineRule="auto"/>
    </w:pPr>
  </w:style>
  <w:style w:type="character" w:customStyle="1" w:styleId="CommentTextChar">
    <w:name w:val="Comment Text Char"/>
    <w:basedOn w:val="DefaultParagraphFont"/>
    <w:link w:val="CommentText"/>
    <w:uiPriority w:val="99"/>
    <w:rsid w:val="00644409"/>
    <w:rPr>
      <w:sz w:val="24"/>
      <w:szCs w:val="24"/>
      <w:lang w:eastAsia="en-US"/>
    </w:rPr>
  </w:style>
  <w:style w:type="character" w:styleId="CommentReference">
    <w:name w:val="annotation reference"/>
    <w:basedOn w:val="DefaultParagraphFont"/>
    <w:uiPriority w:val="99"/>
    <w:unhideWhenUsed/>
    <w:rsid w:val="00644409"/>
    <w:rPr>
      <w:sz w:val="18"/>
      <w:szCs w:val="18"/>
    </w:rPr>
  </w:style>
  <w:style w:type="paragraph" w:styleId="Subtitle">
    <w:name w:val="Subtitle"/>
    <w:basedOn w:val="Normal"/>
    <w:next w:val="Normal"/>
    <w:link w:val="SubtitleChar"/>
    <w:qFormat/>
    <w:rsid w:val="0064440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44409"/>
    <w:rPr>
      <w:rFonts w:asciiTheme="majorHAnsi" w:eastAsiaTheme="majorEastAsia" w:hAnsiTheme="majorHAnsi" w:cstheme="majorBidi"/>
      <w:i/>
      <w:iCs/>
      <w:color w:val="4F81BD" w:themeColor="accent1"/>
      <w:spacing w:val="15"/>
      <w:sz w:val="24"/>
      <w:szCs w:val="24"/>
      <w:lang w:eastAsia="en-US"/>
    </w:rPr>
  </w:style>
  <w:style w:type="paragraph" w:styleId="CommentSubject">
    <w:name w:val="annotation subject"/>
    <w:basedOn w:val="CommentText"/>
    <w:next w:val="CommentText"/>
    <w:link w:val="CommentSubjectChar"/>
    <w:rsid w:val="00644409"/>
    <w:rPr>
      <w:b/>
      <w:bCs/>
      <w:sz w:val="20"/>
      <w:szCs w:val="20"/>
    </w:rPr>
  </w:style>
  <w:style w:type="character" w:customStyle="1" w:styleId="CommentSubjectChar">
    <w:name w:val="Comment Subject Char"/>
    <w:basedOn w:val="CommentTextChar"/>
    <w:link w:val="CommentSubject"/>
    <w:rsid w:val="00644409"/>
    <w:rPr>
      <w:b/>
      <w:bCs/>
      <w:sz w:val="24"/>
      <w:szCs w:val="24"/>
      <w:lang w:eastAsia="en-US"/>
    </w:rPr>
  </w:style>
  <w:style w:type="paragraph" w:styleId="NormalWeb">
    <w:name w:val="Normal (Web)"/>
    <w:basedOn w:val="Normal"/>
    <w:uiPriority w:val="99"/>
    <w:rsid w:val="00644409"/>
  </w:style>
  <w:style w:type="paragraph" w:styleId="ListParagraph">
    <w:name w:val="List Paragraph"/>
    <w:basedOn w:val="Normal"/>
    <w:uiPriority w:val="34"/>
    <w:qFormat/>
    <w:rsid w:val="00644409"/>
    <w:pPr>
      <w:suppressAutoHyphens w:val="0"/>
      <w:spacing w:line="240" w:lineRule="auto"/>
      <w:ind w:left="720"/>
      <w:contextualSpacing/>
    </w:pPr>
    <w:rPr>
      <w:rFonts w:asciiTheme="minorHAnsi" w:eastAsiaTheme="minorHAnsi" w:hAnsiTheme="minorHAnsi" w:cstheme="minorBidi"/>
      <w:lang w:val="en-US"/>
    </w:rPr>
  </w:style>
  <w:style w:type="paragraph" w:styleId="DocumentMap">
    <w:name w:val="Document Map"/>
    <w:basedOn w:val="Normal"/>
    <w:link w:val="DocumentMapChar"/>
    <w:unhideWhenUsed/>
    <w:rsid w:val="00644409"/>
    <w:pPr>
      <w:spacing w:line="240" w:lineRule="auto"/>
    </w:pPr>
  </w:style>
  <w:style w:type="character" w:customStyle="1" w:styleId="DocumentMapChar">
    <w:name w:val="Document Map Char"/>
    <w:basedOn w:val="DefaultParagraphFont"/>
    <w:link w:val="DocumentMap"/>
    <w:rsid w:val="00644409"/>
    <w:rPr>
      <w:sz w:val="24"/>
      <w:szCs w:val="24"/>
      <w:lang w:eastAsia="en-US"/>
    </w:rPr>
  </w:style>
  <w:style w:type="paragraph" w:styleId="Revision">
    <w:name w:val="Revision"/>
    <w:hidden/>
    <w:uiPriority w:val="99"/>
    <w:semiHidden/>
    <w:rsid w:val="00644409"/>
    <w:rPr>
      <w:lang w:eastAsia="en-US"/>
    </w:rPr>
  </w:style>
  <w:style w:type="character" w:customStyle="1" w:styleId="FootnoteTextChar">
    <w:name w:val="Footnote Text Char"/>
    <w:aliases w:val="5_G Char"/>
    <w:basedOn w:val="DefaultParagraphFont"/>
    <w:link w:val="FootnoteText"/>
    <w:uiPriority w:val="99"/>
    <w:rsid w:val="00644409"/>
    <w:rPr>
      <w:sz w:val="18"/>
      <w:lang w:eastAsia="en-US"/>
    </w:rPr>
  </w:style>
  <w:style w:type="character" w:customStyle="1" w:styleId="Heading1Char">
    <w:name w:val="Heading 1 Char"/>
    <w:aliases w:val="Table_G Char"/>
    <w:basedOn w:val="DefaultParagraphFont"/>
    <w:link w:val="Heading1"/>
    <w:uiPriority w:val="9"/>
    <w:rsid w:val="00644409"/>
    <w:rPr>
      <w:lang w:eastAsia="en-US"/>
    </w:rPr>
  </w:style>
  <w:style w:type="character" w:customStyle="1" w:styleId="apple-converted-space">
    <w:name w:val="apple-converted-space"/>
    <w:basedOn w:val="DefaultParagraphFont"/>
    <w:rsid w:val="00644409"/>
  </w:style>
  <w:style w:type="character" w:customStyle="1" w:styleId="SingleTxtGChar">
    <w:name w:val="_ Single Txt_G Char"/>
    <w:link w:val="SingleTxtG"/>
    <w:locked/>
    <w:rsid w:val="00644409"/>
    <w:rPr>
      <w:lang w:eastAsia="en-US"/>
    </w:rPr>
  </w:style>
  <w:style w:type="character" w:styleId="Emphasis">
    <w:name w:val="Emphasis"/>
    <w:basedOn w:val="DefaultParagraphFont"/>
    <w:uiPriority w:val="20"/>
    <w:qFormat/>
    <w:rsid w:val="00644409"/>
    <w:rPr>
      <w:i/>
      <w:iCs/>
    </w:rPr>
  </w:style>
  <w:style w:type="paragraph" w:styleId="TOC1">
    <w:name w:val="toc 1"/>
    <w:basedOn w:val="Normal"/>
    <w:next w:val="Normal"/>
    <w:autoRedefine/>
    <w:uiPriority w:val="39"/>
    <w:unhideWhenUsed/>
    <w:qFormat/>
    <w:rsid w:val="00644409"/>
    <w:pPr>
      <w:numPr>
        <w:numId w:val="13"/>
      </w:numPr>
      <w:tabs>
        <w:tab w:val="right" w:leader="dot" w:pos="9629"/>
      </w:tabs>
      <w:spacing w:before="120"/>
    </w:pPr>
    <w:rPr>
      <w:rFonts w:asciiTheme="minorHAnsi" w:hAnsiTheme="minorHAnsi" w:cstheme="minorHAnsi"/>
      <w:b/>
      <w:bCs/>
      <w:i/>
      <w:iCs/>
    </w:rPr>
  </w:style>
  <w:style w:type="paragraph" w:styleId="TOC3">
    <w:name w:val="toc 3"/>
    <w:basedOn w:val="Normal"/>
    <w:next w:val="Normal"/>
    <w:autoRedefine/>
    <w:uiPriority w:val="39"/>
    <w:unhideWhenUsed/>
    <w:qFormat/>
    <w:rsid w:val="00644409"/>
    <w:pPr>
      <w:ind w:left="400"/>
    </w:pPr>
    <w:rPr>
      <w:rFonts w:asciiTheme="minorHAnsi" w:hAnsiTheme="minorHAnsi" w:cstheme="minorHAnsi"/>
    </w:rPr>
  </w:style>
  <w:style w:type="paragraph" w:styleId="TOC4">
    <w:name w:val="toc 4"/>
    <w:basedOn w:val="Normal"/>
    <w:next w:val="Normal"/>
    <w:autoRedefine/>
    <w:uiPriority w:val="39"/>
    <w:unhideWhenUsed/>
    <w:rsid w:val="00644409"/>
    <w:pPr>
      <w:ind w:left="600"/>
    </w:pPr>
    <w:rPr>
      <w:rFonts w:asciiTheme="minorHAnsi" w:hAnsiTheme="minorHAnsi" w:cstheme="minorHAnsi"/>
    </w:rPr>
  </w:style>
  <w:style w:type="paragraph" w:styleId="TOC5">
    <w:name w:val="toc 5"/>
    <w:basedOn w:val="Normal"/>
    <w:next w:val="Normal"/>
    <w:autoRedefine/>
    <w:uiPriority w:val="39"/>
    <w:unhideWhenUsed/>
    <w:rsid w:val="00644409"/>
    <w:pPr>
      <w:ind w:left="800"/>
    </w:pPr>
    <w:rPr>
      <w:rFonts w:asciiTheme="minorHAnsi" w:hAnsiTheme="minorHAnsi" w:cstheme="minorHAnsi"/>
    </w:rPr>
  </w:style>
  <w:style w:type="paragraph" w:styleId="TOC6">
    <w:name w:val="toc 6"/>
    <w:basedOn w:val="Normal"/>
    <w:next w:val="Normal"/>
    <w:autoRedefine/>
    <w:unhideWhenUsed/>
    <w:rsid w:val="00644409"/>
    <w:pPr>
      <w:ind w:left="1000"/>
    </w:pPr>
    <w:rPr>
      <w:rFonts w:asciiTheme="minorHAnsi" w:hAnsiTheme="minorHAnsi" w:cstheme="minorHAnsi"/>
    </w:rPr>
  </w:style>
  <w:style w:type="paragraph" w:styleId="TOC2">
    <w:name w:val="toc 2"/>
    <w:basedOn w:val="Normal"/>
    <w:next w:val="Normal"/>
    <w:autoRedefine/>
    <w:uiPriority w:val="39"/>
    <w:unhideWhenUsed/>
    <w:qFormat/>
    <w:rsid w:val="00644409"/>
    <w:pPr>
      <w:spacing w:before="120"/>
      <w:ind w:left="200"/>
    </w:pPr>
    <w:rPr>
      <w:rFonts w:asciiTheme="minorHAnsi" w:hAnsiTheme="minorHAnsi" w:cstheme="minorHAnsi"/>
      <w:b/>
      <w:bCs/>
      <w:sz w:val="22"/>
      <w:szCs w:val="22"/>
    </w:rPr>
  </w:style>
  <w:style w:type="paragraph" w:styleId="TOC7">
    <w:name w:val="toc 7"/>
    <w:basedOn w:val="Normal"/>
    <w:next w:val="Normal"/>
    <w:autoRedefine/>
    <w:unhideWhenUsed/>
    <w:rsid w:val="00644409"/>
    <w:pPr>
      <w:ind w:left="1200"/>
    </w:pPr>
    <w:rPr>
      <w:rFonts w:asciiTheme="minorHAnsi" w:hAnsiTheme="minorHAnsi" w:cstheme="minorHAnsi"/>
    </w:rPr>
  </w:style>
  <w:style w:type="paragraph" w:styleId="TOC8">
    <w:name w:val="toc 8"/>
    <w:basedOn w:val="Normal"/>
    <w:next w:val="Normal"/>
    <w:autoRedefine/>
    <w:unhideWhenUsed/>
    <w:rsid w:val="00644409"/>
    <w:pPr>
      <w:ind w:left="1400"/>
    </w:pPr>
    <w:rPr>
      <w:rFonts w:asciiTheme="minorHAnsi" w:hAnsiTheme="minorHAnsi" w:cstheme="minorHAnsi"/>
    </w:rPr>
  </w:style>
  <w:style w:type="paragraph" w:styleId="TOC9">
    <w:name w:val="toc 9"/>
    <w:basedOn w:val="Normal"/>
    <w:next w:val="Normal"/>
    <w:autoRedefine/>
    <w:unhideWhenUsed/>
    <w:rsid w:val="00644409"/>
    <w:pPr>
      <w:ind w:left="1600"/>
    </w:pPr>
    <w:rPr>
      <w:rFonts w:asciiTheme="minorHAnsi" w:hAnsiTheme="minorHAnsi" w:cstheme="minorHAnsi"/>
    </w:rPr>
  </w:style>
  <w:style w:type="paragraph" w:styleId="TOCHeading">
    <w:name w:val="TOC Heading"/>
    <w:basedOn w:val="Heading1"/>
    <w:next w:val="Normal"/>
    <w:uiPriority w:val="39"/>
    <w:semiHidden/>
    <w:unhideWhenUsed/>
    <w:qFormat/>
    <w:rsid w:val="00644409"/>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character" w:customStyle="1" w:styleId="Heading4Char">
    <w:name w:val="Heading 4 Char"/>
    <w:basedOn w:val="DefaultParagraphFont"/>
    <w:link w:val="Heading4"/>
    <w:uiPriority w:val="9"/>
    <w:rsid w:val="00644409"/>
    <w:rPr>
      <w:lang w:eastAsia="en-US"/>
    </w:rPr>
  </w:style>
  <w:style w:type="character" w:styleId="Strong">
    <w:name w:val="Strong"/>
    <w:basedOn w:val="DefaultParagraphFont"/>
    <w:uiPriority w:val="22"/>
    <w:qFormat/>
    <w:rsid w:val="006444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footnote text" w:uiPriority="99"/>
    <w:lsdException w:name="footnote reference" w:uiPriority="99"/>
    <w:lsdException w:name="Normal (Web)" w:uiPriority="99"/>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 Footnote Reference,FZ,Appel note de bas de page,Footnotes refss,Footnote Ref,16 Point,Superscript 6 Point,Appel note de bas de p.,Footnote Refernece,Footnote number"/>
    <w:uiPriority w:val="99"/>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E1619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16192"/>
    <w:rPr>
      <w:rFonts w:ascii="Tahoma" w:hAnsi="Tahoma" w:cs="Tahoma"/>
      <w:sz w:val="16"/>
      <w:szCs w:val="16"/>
      <w:lang w:eastAsia="en-US"/>
    </w:rPr>
  </w:style>
  <w:style w:type="numbering" w:customStyle="1" w:styleId="NoList1">
    <w:name w:val="No List1"/>
    <w:next w:val="NoList"/>
    <w:uiPriority w:val="99"/>
    <w:semiHidden/>
    <w:unhideWhenUsed/>
    <w:rsid w:val="00644409"/>
  </w:style>
  <w:style w:type="paragraph" w:styleId="CommentText">
    <w:name w:val="annotation text"/>
    <w:basedOn w:val="Normal"/>
    <w:link w:val="CommentTextChar"/>
    <w:uiPriority w:val="99"/>
    <w:rsid w:val="00644409"/>
    <w:pPr>
      <w:spacing w:line="240" w:lineRule="auto"/>
    </w:pPr>
  </w:style>
  <w:style w:type="character" w:customStyle="1" w:styleId="CommentTextChar">
    <w:name w:val="Comment Text Char"/>
    <w:basedOn w:val="DefaultParagraphFont"/>
    <w:link w:val="CommentText"/>
    <w:uiPriority w:val="99"/>
    <w:rsid w:val="00644409"/>
    <w:rPr>
      <w:sz w:val="24"/>
      <w:szCs w:val="24"/>
      <w:lang w:eastAsia="en-US"/>
    </w:rPr>
  </w:style>
  <w:style w:type="character" w:styleId="CommentReference">
    <w:name w:val="annotation reference"/>
    <w:basedOn w:val="DefaultParagraphFont"/>
    <w:uiPriority w:val="99"/>
    <w:unhideWhenUsed/>
    <w:rsid w:val="00644409"/>
    <w:rPr>
      <w:sz w:val="18"/>
      <w:szCs w:val="18"/>
    </w:rPr>
  </w:style>
  <w:style w:type="paragraph" w:styleId="Subtitle">
    <w:name w:val="Subtitle"/>
    <w:basedOn w:val="Normal"/>
    <w:next w:val="Normal"/>
    <w:link w:val="SubtitleChar"/>
    <w:qFormat/>
    <w:rsid w:val="0064440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44409"/>
    <w:rPr>
      <w:rFonts w:asciiTheme="majorHAnsi" w:eastAsiaTheme="majorEastAsia" w:hAnsiTheme="majorHAnsi" w:cstheme="majorBidi"/>
      <w:i/>
      <w:iCs/>
      <w:color w:val="4F81BD" w:themeColor="accent1"/>
      <w:spacing w:val="15"/>
      <w:sz w:val="24"/>
      <w:szCs w:val="24"/>
      <w:lang w:eastAsia="en-US"/>
    </w:rPr>
  </w:style>
  <w:style w:type="paragraph" w:styleId="CommentSubject">
    <w:name w:val="annotation subject"/>
    <w:basedOn w:val="CommentText"/>
    <w:next w:val="CommentText"/>
    <w:link w:val="CommentSubjectChar"/>
    <w:rsid w:val="00644409"/>
    <w:rPr>
      <w:b/>
      <w:bCs/>
      <w:sz w:val="20"/>
      <w:szCs w:val="20"/>
    </w:rPr>
  </w:style>
  <w:style w:type="character" w:customStyle="1" w:styleId="CommentSubjectChar">
    <w:name w:val="Comment Subject Char"/>
    <w:basedOn w:val="CommentTextChar"/>
    <w:link w:val="CommentSubject"/>
    <w:rsid w:val="00644409"/>
    <w:rPr>
      <w:b/>
      <w:bCs/>
      <w:sz w:val="24"/>
      <w:szCs w:val="24"/>
      <w:lang w:eastAsia="en-US"/>
    </w:rPr>
  </w:style>
  <w:style w:type="paragraph" w:styleId="NormalWeb">
    <w:name w:val="Normal (Web)"/>
    <w:basedOn w:val="Normal"/>
    <w:uiPriority w:val="99"/>
    <w:rsid w:val="00644409"/>
  </w:style>
  <w:style w:type="paragraph" w:styleId="ListParagraph">
    <w:name w:val="List Paragraph"/>
    <w:basedOn w:val="Normal"/>
    <w:uiPriority w:val="34"/>
    <w:qFormat/>
    <w:rsid w:val="00644409"/>
    <w:pPr>
      <w:suppressAutoHyphens w:val="0"/>
      <w:spacing w:line="240" w:lineRule="auto"/>
      <w:ind w:left="720"/>
      <w:contextualSpacing/>
    </w:pPr>
    <w:rPr>
      <w:rFonts w:asciiTheme="minorHAnsi" w:eastAsiaTheme="minorHAnsi" w:hAnsiTheme="minorHAnsi" w:cstheme="minorBidi"/>
      <w:lang w:val="en-US"/>
    </w:rPr>
  </w:style>
  <w:style w:type="paragraph" w:styleId="DocumentMap">
    <w:name w:val="Document Map"/>
    <w:basedOn w:val="Normal"/>
    <w:link w:val="DocumentMapChar"/>
    <w:unhideWhenUsed/>
    <w:rsid w:val="00644409"/>
    <w:pPr>
      <w:spacing w:line="240" w:lineRule="auto"/>
    </w:pPr>
  </w:style>
  <w:style w:type="character" w:customStyle="1" w:styleId="DocumentMapChar">
    <w:name w:val="Document Map Char"/>
    <w:basedOn w:val="DefaultParagraphFont"/>
    <w:link w:val="DocumentMap"/>
    <w:rsid w:val="00644409"/>
    <w:rPr>
      <w:sz w:val="24"/>
      <w:szCs w:val="24"/>
      <w:lang w:eastAsia="en-US"/>
    </w:rPr>
  </w:style>
  <w:style w:type="paragraph" w:styleId="Revision">
    <w:name w:val="Revision"/>
    <w:hidden/>
    <w:uiPriority w:val="99"/>
    <w:semiHidden/>
    <w:rsid w:val="00644409"/>
    <w:rPr>
      <w:lang w:eastAsia="en-US"/>
    </w:rPr>
  </w:style>
  <w:style w:type="character" w:customStyle="1" w:styleId="FootnoteTextChar">
    <w:name w:val="Footnote Text Char"/>
    <w:aliases w:val="5_G Char"/>
    <w:basedOn w:val="DefaultParagraphFont"/>
    <w:link w:val="FootnoteText"/>
    <w:uiPriority w:val="99"/>
    <w:rsid w:val="00644409"/>
    <w:rPr>
      <w:sz w:val="18"/>
      <w:lang w:eastAsia="en-US"/>
    </w:rPr>
  </w:style>
  <w:style w:type="character" w:customStyle="1" w:styleId="Heading1Char">
    <w:name w:val="Heading 1 Char"/>
    <w:aliases w:val="Table_G Char"/>
    <w:basedOn w:val="DefaultParagraphFont"/>
    <w:link w:val="Heading1"/>
    <w:uiPriority w:val="9"/>
    <w:rsid w:val="00644409"/>
    <w:rPr>
      <w:lang w:eastAsia="en-US"/>
    </w:rPr>
  </w:style>
  <w:style w:type="character" w:customStyle="1" w:styleId="apple-converted-space">
    <w:name w:val="apple-converted-space"/>
    <w:basedOn w:val="DefaultParagraphFont"/>
    <w:rsid w:val="00644409"/>
  </w:style>
  <w:style w:type="character" w:customStyle="1" w:styleId="SingleTxtGChar">
    <w:name w:val="_ Single Txt_G Char"/>
    <w:link w:val="SingleTxtG"/>
    <w:locked/>
    <w:rsid w:val="00644409"/>
    <w:rPr>
      <w:lang w:eastAsia="en-US"/>
    </w:rPr>
  </w:style>
  <w:style w:type="character" w:styleId="Emphasis">
    <w:name w:val="Emphasis"/>
    <w:basedOn w:val="DefaultParagraphFont"/>
    <w:uiPriority w:val="20"/>
    <w:qFormat/>
    <w:rsid w:val="00644409"/>
    <w:rPr>
      <w:i/>
      <w:iCs/>
    </w:rPr>
  </w:style>
  <w:style w:type="paragraph" w:styleId="TOC1">
    <w:name w:val="toc 1"/>
    <w:basedOn w:val="Normal"/>
    <w:next w:val="Normal"/>
    <w:autoRedefine/>
    <w:uiPriority w:val="39"/>
    <w:unhideWhenUsed/>
    <w:qFormat/>
    <w:rsid w:val="00644409"/>
    <w:pPr>
      <w:numPr>
        <w:numId w:val="13"/>
      </w:numPr>
      <w:tabs>
        <w:tab w:val="right" w:leader="dot" w:pos="9629"/>
      </w:tabs>
      <w:spacing w:before="120"/>
    </w:pPr>
    <w:rPr>
      <w:rFonts w:asciiTheme="minorHAnsi" w:hAnsiTheme="minorHAnsi" w:cstheme="minorHAnsi"/>
      <w:b/>
      <w:bCs/>
      <w:i/>
      <w:iCs/>
    </w:rPr>
  </w:style>
  <w:style w:type="paragraph" w:styleId="TOC3">
    <w:name w:val="toc 3"/>
    <w:basedOn w:val="Normal"/>
    <w:next w:val="Normal"/>
    <w:autoRedefine/>
    <w:uiPriority w:val="39"/>
    <w:unhideWhenUsed/>
    <w:qFormat/>
    <w:rsid w:val="00644409"/>
    <w:pPr>
      <w:ind w:left="400"/>
    </w:pPr>
    <w:rPr>
      <w:rFonts w:asciiTheme="minorHAnsi" w:hAnsiTheme="minorHAnsi" w:cstheme="minorHAnsi"/>
    </w:rPr>
  </w:style>
  <w:style w:type="paragraph" w:styleId="TOC4">
    <w:name w:val="toc 4"/>
    <w:basedOn w:val="Normal"/>
    <w:next w:val="Normal"/>
    <w:autoRedefine/>
    <w:uiPriority w:val="39"/>
    <w:unhideWhenUsed/>
    <w:rsid w:val="00644409"/>
    <w:pPr>
      <w:ind w:left="600"/>
    </w:pPr>
    <w:rPr>
      <w:rFonts w:asciiTheme="minorHAnsi" w:hAnsiTheme="minorHAnsi" w:cstheme="minorHAnsi"/>
    </w:rPr>
  </w:style>
  <w:style w:type="paragraph" w:styleId="TOC5">
    <w:name w:val="toc 5"/>
    <w:basedOn w:val="Normal"/>
    <w:next w:val="Normal"/>
    <w:autoRedefine/>
    <w:uiPriority w:val="39"/>
    <w:unhideWhenUsed/>
    <w:rsid w:val="00644409"/>
    <w:pPr>
      <w:ind w:left="800"/>
    </w:pPr>
    <w:rPr>
      <w:rFonts w:asciiTheme="minorHAnsi" w:hAnsiTheme="minorHAnsi" w:cstheme="minorHAnsi"/>
    </w:rPr>
  </w:style>
  <w:style w:type="paragraph" w:styleId="TOC6">
    <w:name w:val="toc 6"/>
    <w:basedOn w:val="Normal"/>
    <w:next w:val="Normal"/>
    <w:autoRedefine/>
    <w:unhideWhenUsed/>
    <w:rsid w:val="00644409"/>
    <w:pPr>
      <w:ind w:left="1000"/>
    </w:pPr>
    <w:rPr>
      <w:rFonts w:asciiTheme="minorHAnsi" w:hAnsiTheme="minorHAnsi" w:cstheme="minorHAnsi"/>
    </w:rPr>
  </w:style>
  <w:style w:type="paragraph" w:styleId="TOC2">
    <w:name w:val="toc 2"/>
    <w:basedOn w:val="Normal"/>
    <w:next w:val="Normal"/>
    <w:autoRedefine/>
    <w:uiPriority w:val="39"/>
    <w:unhideWhenUsed/>
    <w:qFormat/>
    <w:rsid w:val="00644409"/>
    <w:pPr>
      <w:spacing w:before="120"/>
      <w:ind w:left="200"/>
    </w:pPr>
    <w:rPr>
      <w:rFonts w:asciiTheme="minorHAnsi" w:hAnsiTheme="minorHAnsi" w:cstheme="minorHAnsi"/>
      <w:b/>
      <w:bCs/>
      <w:sz w:val="22"/>
      <w:szCs w:val="22"/>
    </w:rPr>
  </w:style>
  <w:style w:type="paragraph" w:styleId="TOC7">
    <w:name w:val="toc 7"/>
    <w:basedOn w:val="Normal"/>
    <w:next w:val="Normal"/>
    <w:autoRedefine/>
    <w:unhideWhenUsed/>
    <w:rsid w:val="00644409"/>
    <w:pPr>
      <w:ind w:left="1200"/>
    </w:pPr>
    <w:rPr>
      <w:rFonts w:asciiTheme="minorHAnsi" w:hAnsiTheme="minorHAnsi" w:cstheme="minorHAnsi"/>
    </w:rPr>
  </w:style>
  <w:style w:type="paragraph" w:styleId="TOC8">
    <w:name w:val="toc 8"/>
    <w:basedOn w:val="Normal"/>
    <w:next w:val="Normal"/>
    <w:autoRedefine/>
    <w:unhideWhenUsed/>
    <w:rsid w:val="00644409"/>
    <w:pPr>
      <w:ind w:left="1400"/>
    </w:pPr>
    <w:rPr>
      <w:rFonts w:asciiTheme="minorHAnsi" w:hAnsiTheme="minorHAnsi" w:cstheme="minorHAnsi"/>
    </w:rPr>
  </w:style>
  <w:style w:type="paragraph" w:styleId="TOC9">
    <w:name w:val="toc 9"/>
    <w:basedOn w:val="Normal"/>
    <w:next w:val="Normal"/>
    <w:autoRedefine/>
    <w:unhideWhenUsed/>
    <w:rsid w:val="00644409"/>
    <w:pPr>
      <w:ind w:left="1600"/>
    </w:pPr>
    <w:rPr>
      <w:rFonts w:asciiTheme="minorHAnsi" w:hAnsiTheme="minorHAnsi" w:cstheme="minorHAnsi"/>
    </w:rPr>
  </w:style>
  <w:style w:type="paragraph" w:styleId="TOCHeading">
    <w:name w:val="TOC Heading"/>
    <w:basedOn w:val="Heading1"/>
    <w:next w:val="Normal"/>
    <w:uiPriority w:val="39"/>
    <w:semiHidden/>
    <w:unhideWhenUsed/>
    <w:qFormat/>
    <w:rsid w:val="00644409"/>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character" w:customStyle="1" w:styleId="Heading4Char">
    <w:name w:val="Heading 4 Char"/>
    <w:basedOn w:val="DefaultParagraphFont"/>
    <w:link w:val="Heading4"/>
    <w:uiPriority w:val="9"/>
    <w:rsid w:val="00644409"/>
    <w:rPr>
      <w:lang w:eastAsia="en-US"/>
    </w:rPr>
  </w:style>
  <w:style w:type="character" w:styleId="Strong">
    <w:name w:val="Strong"/>
    <w:basedOn w:val="DefaultParagraphFont"/>
    <w:uiPriority w:val="22"/>
    <w:qFormat/>
    <w:rsid w:val="006444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560">
      <w:bodyDiv w:val="1"/>
      <w:marLeft w:val="0"/>
      <w:marRight w:val="0"/>
      <w:marTop w:val="0"/>
      <w:marBottom w:val="0"/>
      <w:divBdr>
        <w:top w:val="none" w:sz="0" w:space="0" w:color="auto"/>
        <w:left w:val="none" w:sz="0" w:space="0" w:color="auto"/>
        <w:bottom w:val="none" w:sz="0" w:space="0" w:color="auto"/>
        <w:right w:val="none" w:sz="0" w:space="0" w:color="auto"/>
      </w:divBdr>
      <w:divsChild>
        <w:div w:id="621150648">
          <w:marLeft w:val="0"/>
          <w:marRight w:val="0"/>
          <w:marTop w:val="0"/>
          <w:marBottom w:val="0"/>
          <w:divBdr>
            <w:top w:val="none" w:sz="0" w:space="0" w:color="auto"/>
            <w:left w:val="none" w:sz="0" w:space="0" w:color="auto"/>
            <w:bottom w:val="none" w:sz="0" w:space="0" w:color="auto"/>
            <w:right w:val="none" w:sz="0" w:space="0" w:color="auto"/>
          </w:divBdr>
          <w:divsChild>
            <w:div w:id="977225223">
              <w:marLeft w:val="0"/>
              <w:marRight w:val="0"/>
              <w:marTop w:val="0"/>
              <w:marBottom w:val="0"/>
              <w:divBdr>
                <w:top w:val="none" w:sz="0" w:space="0" w:color="auto"/>
                <w:left w:val="none" w:sz="0" w:space="0" w:color="auto"/>
                <w:bottom w:val="none" w:sz="0" w:space="0" w:color="auto"/>
                <w:right w:val="none" w:sz="0" w:space="0" w:color="auto"/>
              </w:divBdr>
              <w:divsChild>
                <w:div w:id="6889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2506">
      <w:bodyDiv w:val="1"/>
      <w:marLeft w:val="0"/>
      <w:marRight w:val="0"/>
      <w:marTop w:val="0"/>
      <w:marBottom w:val="0"/>
      <w:divBdr>
        <w:top w:val="none" w:sz="0" w:space="0" w:color="auto"/>
        <w:left w:val="none" w:sz="0" w:space="0" w:color="auto"/>
        <w:bottom w:val="none" w:sz="0" w:space="0" w:color="auto"/>
        <w:right w:val="none" w:sz="0" w:space="0" w:color="auto"/>
      </w:divBdr>
      <w:divsChild>
        <w:div w:id="1680540429">
          <w:marLeft w:val="0"/>
          <w:marRight w:val="0"/>
          <w:marTop w:val="0"/>
          <w:marBottom w:val="0"/>
          <w:divBdr>
            <w:top w:val="none" w:sz="0" w:space="0" w:color="auto"/>
            <w:left w:val="none" w:sz="0" w:space="0" w:color="auto"/>
            <w:bottom w:val="none" w:sz="0" w:space="0" w:color="auto"/>
            <w:right w:val="none" w:sz="0" w:space="0" w:color="auto"/>
          </w:divBdr>
          <w:divsChild>
            <w:div w:id="2129929164">
              <w:marLeft w:val="0"/>
              <w:marRight w:val="0"/>
              <w:marTop w:val="0"/>
              <w:marBottom w:val="0"/>
              <w:divBdr>
                <w:top w:val="none" w:sz="0" w:space="0" w:color="auto"/>
                <w:left w:val="none" w:sz="0" w:space="0" w:color="auto"/>
                <w:bottom w:val="none" w:sz="0" w:space="0" w:color="auto"/>
                <w:right w:val="none" w:sz="0" w:space="0" w:color="auto"/>
              </w:divBdr>
              <w:divsChild>
                <w:div w:id="4883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2698">
      <w:bodyDiv w:val="1"/>
      <w:marLeft w:val="0"/>
      <w:marRight w:val="0"/>
      <w:marTop w:val="0"/>
      <w:marBottom w:val="0"/>
      <w:divBdr>
        <w:top w:val="none" w:sz="0" w:space="0" w:color="auto"/>
        <w:left w:val="none" w:sz="0" w:space="0" w:color="auto"/>
        <w:bottom w:val="none" w:sz="0" w:space="0" w:color="auto"/>
        <w:right w:val="none" w:sz="0" w:space="0" w:color="auto"/>
      </w:divBdr>
      <w:divsChild>
        <w:div w:id="661741914">
          <w:marLeft w:val="0"/>
          <w:marRight w:val="0"/>
          <w:marTop w:val="0"/>
          <w:marBottom w:val="0"/>
          <w:divBdr>
            <w:top w:val="none" w:sz="0" w:space="0" w:color="auto"/>
            <w:left w:val="none" w:sz="0" w:space="0" w:color="auto"/>
            <w:bottom w:val="none" w:sz="0" w:space="0" w:color="auto"/>
            <w:right w:val="none" w:sz="0" w:space="0" w:color="auto"/>
          </w:divBdr>
          <w:divsChild>
            <w:div w:id="737748802">
              <w:marLeft w:val="0"/>
              <w:marRight w:val="0"/>
              <w:marTop w:val="0"/>
              <w:marBottom w:val="0"/>
              <w:divBdr>
                <w:top w:val="none" w:sz="0" w:space="0" w:color="auto"/>
                <w:left w:val="none" w:sz="0" w:space="0" w:color="auto"/>
                <w:bottom w:val="none" w:sz="0" w:space="0" w:color="auto"/>
                <w:right w:val="none" w:sz="0" w:space="0" w:color="auto"/>
              </w:divBdr>
              <w:divsChild>
                <w:div w:id="15642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642A7CC5F6245ACA3FF0368802392" ma:contentTypeVersion="1" ma:contentTypeDescription="Create a new document." ma:contentTypeScope="" ma:versionID="3cc5c0ec787c8d209a030485571ab70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5E9D98-17FB-44BD-B11B-F32184FE616B}"/>
</file>

<file path=customXml/itemProps2.xml><?xml version="1.0" encoding="utf-8"?>
<ds:datastoreItem xmlns:ds="http://schemas.openxmlformats.org/officeDocument/2006/customXml" ds:itemID="{0A2417FF-11B6-41B5-A685-CE4358939606}"/>
</file>

<file path=customXml/itemProps3.xml><?xml version="1.0" encoding="utf-8"?>
<ds:datastoreItem xmlns:ds="http://schemas.openxmlformats.org/officeDocument/2006/customXml" ds:itemID="{0F1501A2-7FC1-48CD-B31E-D420863D2AE6}"/>
</file>

<file path=customXml/itemProps4.xml><?xml version="1.0" encoding="utf-8"?>
<ds:datastoreItem xmlns:ds="http://schemas.openxmlformats.org/officeDocument/2006/customXml" ds:itemID="{1FE71B0B-0D06-41C9-8779-874B1E8C430F}"/>
</file>

<file path=docProps/app.xml><?xml version="1.0" encoding="utf-8"?>
<Properties xmlns="http://schemas.openxmlformats.org/officeDocument/2006/extended-properties" xmlns:vt="http://schemas.openxmlformats.org/officeDocument/2006/docPropsVTypes">
  <Template>Normal.dotm</Template>
  <TotalTime>0</TotalTime>
  <Pages>21</Pages>
  <Words>10203</Words>
  <Characters>58158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68225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Commission on Human Rights in South Sudan A/HRC/34/63 in English</dc:title>
  <dc:creator>Jingping Wang</dc:creator>
  <cp:lastModifiedBy>Iuliia Somova</cp:lastModifiedBy>
  <cp:revision>2</cp:revision>
  <cp:lastPrinted>2017-02-22T14:56:00Z</cp:lastPrinted>
  <dcterms:created xsi:type="dcterms:W3CDTF">2017-03-06T10:57:00Z</dcterms:created>
  <dcterms:modified xsi:type="dcterms:W3CDTF">2017-03-06T10:57:00Z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0x010100271642A7CC5F6245ACA3FF0368802392</vt:lpwstr>
  </property>
  <property fmtid="{D5CDD505-2E9C-101B-9397-08002B2CF9AE}" pid="3" name="Order">
    <vt:r8>5400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