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DE73B1" w:rsidP="00DE73B1">
            <w:pPr>
              <w:jc w:val="right"/>
            </w:pPr>
            <w:r w:rsidRPr="00DE73B1">
              <w:rPr>
                <w:sz w:val="40"/>
              </w:rPr>
              <w:t>A</w:t>
            </w:r>
            <w:r>
              <w:t>/HRC/36/12/Add.1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6370B0"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DE73B1" w:rsidP="00DE73B1">
            <w:pPr>
              <w:spacing w:before="240" w:line="240" w:lineRule="exact"/>
            </w:pPr>
            <w:r>
              <w:t>Distr.: General</w:t>
            </w:r>
          </w:p>
          <w:p w:rsidR="00DE73B1" w:rsidRDefault="00DE73B1" w:rsidP="00DE73B1">
            <w:pPr>
              <w:spacing w:line="240" w:lineRule="exact"/>
            </w:pPr>
            <w:r>
              <w:t>1</w:t>
            </w:r>
            <w:r w:rsidR="00870EF6">
              <w:t>9</w:t>
            </w:r>
            <w:r>
              <w:t xml:space="preserve"> September 2017</w:t>
            </w:r>
          </w:p>
          <w:p w:rsidR="00DE73B1" w:rsidRDefault="00DE73B1" w:rsidP="00DE73B1">
            <w:pPr>
              <w:spacing w:line="240" w:lineRule="exact"/>
            </w:pPr>
          </w:p>
          <w:p w:rsidR="00DE73B1" w:rsidRDefault="00DE73B1" w:rsidP="00DE73B1">
            <w:pPr>
              <w:spacing w:line="240" w:lineRule="exact"/>
            </w:pPr>
            <w:r>
              <w:t>Original: English</w:t>
            </w:r>
          </w:p>
        </w:tc>
      </w:tr>
    </w:tbl>
    <w:p w:rsidR="00DE73B1" w:rsidRPr="00DE73B1" w:rsidRDefault="00DE73B1" w:rsidP="00DE73B1">
      <w:pPr>
        <w:rPr>
          <w:b/>
          <w:bCs/>
          <w:sz w:val="24"/>
          <w:szCs w:val="24"/>
        </w:rPr>
      </w:pPr>
      <w:r w:rsidRPr="00DE73B1">
        <w:rPr>
          <w:b/>
          <w:bCs/>
          <w:sz w:val="24"/>
          <w:szCs w:val="24"/>
        </w:rPr>
        <w:t>Human Rights Council</w:t>
      </w:r>
      <w:r w:rsidR="00D02925">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9525"/>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DE73B1" w:rsidRDefault="00DE73B1" w:rsidP="00DE73B1">
      <w:pPr>
        <w:rPr>
          <w:b/>
          <w:bCs/>
        </w:rPr>
      </w:pPr>
      <w:r w:rsidRPr="00DE73B1">
        <w:rPr>
          <w:b/>
          <w:bCs/>
        </w:rPr>
        <w:t>Thirty-sixth session</w:t>
      </w:r>
    </w:p>
    <w:p w:rsidR="00870EF6" w:rsidRPr="00D96DF6" w:rsidRDefault="00870EF6" w:rsidP="00870EF6">
      <w:r w:rsidRPr="00D96DF6">
        <w:t>11-29 September 2017</w:t>
      </w:r>
    </w:p>
    <w:p w:rsidR="00DE73B1" w:rsidRPr="00DE73B1" w:rsidRDefault="00DE73B1" w:rsidP="00DE73B1">
      <w:r w:rsidRPr="00DE73B1">
        <w:t>Agenda item 6</w:t>
      </w:r>
    </w:p>
    <w:p w:rsidR="00DE73B1" w:rsidRPr="00DE73B1" w:rsidRDefault="00DE73B1" w:rsidP="00DE73B1">
      <w:pPr>
        <w:rPr>
          <w:b/>
        </w:rPr>
      </w:pPr>
      <w:r w:rsidRPr="00DE73B1">
        <w:rPr>
          <w:b/>
        </w:rPr>
        <w:t>Universal Periodic Review</w:t>
      </w:r>
    </w:p>
    <w:p w:rsidR="00DE73B1" w:rsidRPr="00DE73B1" w:rsidRDefault="00DE73B1" w:rsidP="00DE73B1">
      <w:pPr>
        <w:keepNext/>
        <w:keepLines/>
        <w:tabs>
          <w:tab w:val="right" w:pos="851"/>
        </w:tabs>
        <w:spacing w:before="360" w:after="240" w:line="300" w:lineRule="exact"/>
        <w:ind w:left="1134" w:right="1134" w:hanging="1134"/>
        <w:rPr>
          <w:b/>
          <w:sz w:val="28"/>
        </w:rPr>
      </w:pPr>
      <w:r w:rsidRPr="00DE73B1">
        <w:rPr>
          <w:b/>
          <w:sz w:val="28"/>
        </w:rPr>
        <w:tab/>
      </w:r>
      <w:r w:rsidRPr="00DE73B1">
        <w:rPr>
          <w:b/>
          <w:sz w:val="28"/>
        </w:rPr>
        <w:tab/>
        <w:t>Report of the Working Group on the Universal Periodic Review</w:t>
      </w:r>
      <w:r w:rsidRPr="00DE73B1">
        <w:rPr>
          <w:vertAlign w:val="superscript"/>
        </w:rPr>
        <w:footnoteReference w:customMarkFollows="1" w:id="2"/>
        <w:t>*</w:t>
      </w:r>
    </w:p>
    <w:p w:rsidR="00DE73B1" w:rsidRPr="00DE73B1" w:rsidRDefault="00DE73B1" w:rsidP="00DE73B1">
      <w:pPr>
        <w:keepNext/>
        <w:keepLines/>
        <w:tabs>
          <w:tab w:val="right" w:pos="851"/>
        </w:tabs>
        <w:spacing w:before="360" w:after="240" w:line="300" w:lineRule="exact"/>
        <w:ind w:left="1134" w:right="1134" w:hanging="1134"/>
        <w:rPr>
          <w:b/>
          <w:sz w:val="28"/>
        </w:rPr>
      </w:pPr>
      <w:r>
        <w:rPr>
          <w:b/>
          <w:sz w:val="28"/>
        </w:rPr>
        <w:tab/>
      </w:r>
      <w:r>
        <w:rPr>
          <w:b/>
          <w:sz w:val="28"/>
        </w:rPr>
        <w:tab/>
        <w:t>Philippines</w:t>
      </w:r>
    </w:p>
    <w:p w:rsidR="00DE73B1" w:rsidRPr="00DE73B1" w:rsidRDefault="00DE73B1" w:rsidP="00DE73B1">
      <w:pPr>
        <w:keepNext/>
        <w:keepLines/>
        <w:tabs>
          <w:tab w:val="right" w:pos="851"/>
        </w:tabs>
        <w:spacing w:before="360" w:after="240" w:line="270" w:lineRule="exact"/>
        <w:ind w:left="1134" w:right="1134" w:hanging="1134"/>
        <w:rPr>
          <w:b/>
          <w:sz w:val="24"/>
        </w:rPr>
      </w:pPr>
      <w:r w:rsidRPr="00DE73B1">
        <w:rPr>
          <w:b/>
          <w:sz w:val="24"/>
        </w:rPr>
        <w:tab/>
      </w:r>
      <w:r w:rsidRPr="00DE73B1">
        <w:rPr>
          <w:b/>
          <w:sz w:val="24"/>
        </w:rPr>
        <w:tab/>
        <w:t>Addendum</w:t>
      </w:r>
    </w:p>
    <w:p w:rsidR="00DE73B1" w:rsidRPr="00DE73B1" w:rsidRDefault="00DE73B1" w:rsidP="00DE73B1">
      <w:pPr>
        <w:keepNext/>
        <w:keepLines/>
        <w:tabs>
          <w:tab w:val="right" w:pos="851"/>
        </w:tabs>
        <w:spacing w:before="360" w:after="240" w:line="270" w:lineRule="exact"/>
        <w:ind w:left="1134" w:right="1134" w:hanging="1134"/>
        <w:rPr>
          <w:b/>
          <w:sz w:val="24"/>
        </w:rPr>
      </w:pPr>
      <w:r w:rsidRPr="00DE73B1">
        <w:rPr>
          <w:b/>
          <w:sz w:val="24"/>
        </w:rPr>
        <w:tab/>
      </w:r>
      <w:r w:rsidRPr="00DE73B1">
        <w:rPr>
          <w:b/>
          <w:sz w:val="24"/>
        </w:rPr>
        <w:tab/>
        <w:t>Views on conclusions and/or recommendations, voluntary commitments and replies presented by the State under review</w:t>
      </w:r>
    </w:p>
    <w:p w:rsidR="00950831" w:rsidRDefault="00DE73B1" w:rsidP="00950831">
      <w:pPr>
        <w:pStyle w:val="HChG"/>
      </w:pPr>
      <w:r w:rsidRPr="00DE73B1">
        <w:br w:type="page"/>
      </w:r>
      <w:r w:rsidR="00950831">
        <w:lastRenderedPageBreak/>
        <w:tab/>
      </w:r>
      <w:r w:rsidR="00950831">
        <w:tab/>
        <w:t>Philippines response to UN Human Rights Council recommendations in the 3</w:t>
      </w:r>
      <w:r w:rsidR="00950831" w:rsidRPr="00950831">
        <w:rPr>
          <w:vertAlign w:val="superscript"/>
        </w:rPr>
        <w:t>rd</w:t>
      </w:r>
      <w:r w:rsidR="00950831">
        <w:t xml:space="preserve"> cycle of the Universal Periodic Review of the Ph</w:t>
      </w:r>
      <w:r w:rsidR="00FF5E09">
        <w:t>i</w:t>
      </w:r>
      <w:r w:rsidR="00950831">
        <w:t>lippines, 8 May 2017</w:t>
      </w:r>
    </w:p>
    <w:p w:rsidR="00950831" w:rsidRPr="00950831" w:rsidRDefault="00950831" w:rsidP="00950831">
      <w:pPr>
        <w:pStyle w:val="SingleTxtG"/>
        <w:rPr>
          <w:lang w:val="en-US"/>
        </w:rPr>
      </w:pPr>
      <w:r>
        <w:rPr>
          <w:lang w:val="en-US"/>
        </w:rPr>
        <w:t>1.</w:t>
      </w:r>
      <w:r>
        <w:rPr>
          <w:lang w:val="en-US"/>
        </w:rPr>
        <w:tab/>
      </w:r>
      <w:r w:rsidRPr="00950831">
        <w:rPr>
          <w:lang w:val="en-US"/>
        </w:rPr>
        <w:t>The Government of the Republic of the Philippines (GPH) presents its final actions on the recommendations arising from its 3</w:t>
      </w:r>
      <w:r w:rsidRPr="00950831">
        <w:rPr>
          <w:vertAlign w:val="superscript"/>
          <w:lang w:val="en-US"/>
        </w:rPr>
        <w:t>rd</w:t>
      </w:r>
      <w:r w:rsidRPr="00950831">
        <w:rPr>
          <w:lang w:val="en-US"/>
        </w:rPr>
        <w:t xml:space="preserve"> cycle Universal Periodic Review (UPR) on 8 May 2017. GPH underlines that its full participation in the UPR reflects the country’s desire to further strengthen it as a responsive monitoring and review mechanism for upholding human rights.</w:t>
      </w:r>
    </w:p>
    <w:p w:rsidR="00950831" w:rsidRPr="00950831" w:rsidRDefault="00950831" w:rsidP="00950831">
      <w:pPr>
        <w:pStyle w:val="SingleTxtG"/>
        <w:rPr>
          <w:lang w:val="en-US"/>
        </w:rPr>
      </w:pPr>
      <w:r>
        <w:rPr>
          <w:lang w:val="en-US"/>
        </w:rPr>
        <w:t>2.</w:t>
      </w:r>
      <w:r>
        <w:rPr>
          <w:lang w:val="en-US"/>
        </w:rPr>
        <w:tab/>
      </w:r>
      <w:r w:rsidRPr="00950831">
        <w:rPr>
          <w:lang w:val="en-US"/>
        </w:rPr>
        <w:t>GPH carefully reviewed the recommendations and considered inputs from various stakeholders, including representatives from the State’s Executive department</w:t>
      </w:r>
      <w:r w:rsidR="002012AC">
        <w:rPr>
          <w:rStyle w:val="FootnoteReference"/>
          <w:lang w:val="en-US"/>
        </w:rPr>
        <w:footnoteReference w:id="3"/>
      </w:r>
      <w:r w:rsidRPr="00950831">
        <w:rPr>
          <w:lang w:val="en-US"/>
        </w:rPr>
        <w:t xml:space="preserve">, the Legislature, i.e., the Senate and the House of Representatives, and the Supreme Court. The Presidential Human Rights Committee, in cooperation with the Department of Foreign Affairs, spearheaded the consultations and coordinated State actions on the recommendations. </w:t>
      </w:r>
      <w:r w:rsidRPr="00950831">
        <w:rPr>
          <w:lang w:val="en"/>
        </w:rPr>
        <w:t xml:space="preserve">Efforts were made to ensure that the State actions were reached in accordance </w:t>
      </w:r>
      <w:r>
        <w:rPr>
          <w:lang w:val="en"/>
        </w:rPr>
        <w:t>with UN guidelines.</w:t>
      </w:r>
    </w:p>
    <w:p w:rsidR="00950831" w:rsidRPr="00950831" w:rsidRDefault="00950831" w:rsidP="00950831">
      <w:pPr>
        <w:pStyle w:val="SingleTxtG"/>
        <w:rPr>
          <w:lang w:val="en-US"/>
        </w:rPr>
      </w:pPr>
      <w:r>
        <w:rPr>
          <w:lang w:val="en"/>
        </w:rPr>
        <w:t>3.</w:t>
      </w:r>
      <w:r>
        <w:rPr>
          <w:lang w:val="en"/>
        </w:rPr>
        <w:tab/>
      </w:r>
      <w:r w:rsidRPr="00950831">
        <w:rPr>
          <w:lang w:val="en"/>
        </w:rPr>
        <w:t>Of the 257 recommendations received by GPH, a total of 103 were accepted and fully supported, given that these recommendations clearly gave due recognition and respect to the State having implemented them or to its current efforts in implementing the same.</w:t>
      </w:r>
    </w:p>
    <w:p w:rsidR="00950831" w:rsidRPr="00950831" w:rsidRDefault="00950831" w:rsidP="00950831">
      <w:pPr>
        <w:pStyle w:val="SingleTxtG"/>
        <w:rPr>
          <w:lang w:val="en"/>
        </w:rPr>
      </w:pPr>
      <w:r>
        <w:rPr>
          <w:lang w:val="en"/>
        </w:rPr>
        <w:t>4.</w:t>
      </w:r>
      <w:r>
        <w:rPr>
          <w:lang w:val="en"/>
        </w:rPr>
        <w:tab/>
      </w:r>
      <w:r w:rsidRPr="00950831">
        <w:rPr>
          <w:lang w:val="en"/>
        </w:rPr>
        <w:t>A total of 154</w:t>
      </w:r>
      <w:r>
        <w:rPr>
          <w:lang w:val="en"/>
        </w:rPr>
        <w:t xml:space="preserve"> recommendations were noted.</w:t>
      </w:r>
    </w:p>
    <w:p w:rsidR="00950831" w:rsidRPr="00950831" w:rsidRDefault="00950831" w:rsidP="00950831">
      <w:pPr>
        <w:pStyle w:val="SingleTxtG"/>
        <w:rPr>
          <w:lang w:val="en"/>
        </w:rPr>
      </w:pPr>
      <w:r>
        <w:rPr>
          <w:lang w:val="en-US"/>
        </w:rPr>
        <w:tab/>
        <w:t>(a)</w:t>
      </w:r>
      <w:r>
        <w:rPr>
          <w:lang w:val="en-US"/>
        </w:rPr>
        <w:tab/>
      </w:r>
      <w:r w:rsidRPr="00950831">
        <w:rPr>
          <w:lang w:val="en-US"/>
        </w:rPr>
        <w:t>While GPH</w:t>
      </w:r>
      <w:r w:rsidRPr="00950831">
        <w:rPr>
          <w:lang w:val="en"/>
        </w:rPr>
        <w:t xml:space="preserve"> can essentially support an additional 99 recommendations, </w:t>
      </w:r>
      <w:r w:rsidRPr="00950831">
        <w:rPr>
          <w:lang w:val="en-US"/>
        </w:rPr>
        <w:t xml:space="preserve">the State </w:t>
      </w:r>
      <w:r w:rsidRPr="00950831">
        <w:rPr>
          <w:lang w:val="en"/>
        </w:rPr>
        <w:t>cannot guarantee or commit to their fruition given that the results of processes required to implement them are beyond the sole control of any of the branches of the government.</w:t>
      </w:r>
      <w:r w:rsidRPr="00950831">
        <w:rPr>
          <w:lang w:val="en-US"/>
        </w:rPr>
        <w:t xml:space="preserve"> </w:t>
      </w:r>
      <w:r w:rsidRPr="00950831">
        <w:rPr>
          <w:lang w:val="en"/>
        </w:rPr>
        <w:t xml:space="preserve">This is specifically true for recommendations that pertain to legislative action, which would require consultative processes with stakeholders. </w:t>
      </w:r>
      <w:r w:rsidRPr="00950831">
        <w:rPr>
          <w:lang w:val="en-US"/>
        </w:rPr>
        <w:t>GPH</w:t>
      </w:r>
      <w:r w:rsidRPr="00950831">
        <w:rPr>
          <w:lang w:val="en"/>
        </w:rPr>
        <w:t>, nonetheless, will strive to implement the aforementioned recommendations according to its national, cultural, and historical circumstances, and despite its constraints.</w:t>
      </w:r>
    </w:p>
    <w:p w:rsidR="00950831" w:rsidRPr="00950831" w:rsidRDefault="00950831" w:rsidP="00950831">
      <w:pPr>
        <w:pStyle w:val="SingleTxtG"/>
        <w:rPr>
          <w:lang w:val="en"/>
        </w:rPr>
      </w:pPr>
      <w:r>
        <w:rPr>
          <w:lang w:val="en"/>
        </w:rPr>
        <w:tab/>
      </w:r>
      <w:r>
        <w:rPr>
          <w:lang w:val="en"/>
        </w:rPr>
        <w:tab/>
      </w:r>
      <w:r w:rsidRPr="00950831">
        <w:rPr>
          <w:lang w:val="en"/>
        </w:rPr>
        <w:t>Moreover, among the 99 recommendations were those perceived to insinuate, advertently or inadvertently, that the State has not taken any action whatsoever on the concerns raised despite having substantially reported the same both in the National Report and during the interactive dialogue. Full acceptance of these recommendations would denigrate the State’s current serious efforts that already address the issues raised.</w:t>
      </w:r>
    </w:p>
    <w:p w:rsidR="00950831" w:rsidRPr="00950831" w:rsidRDefault="00950831" w:rsidP="00950831">
      <w:pPr>
        <w:pStyle w:val="SingleTxtG"/>
        <w:rPr>
          <w:lang w:val="en"/>
        </w:rPr>
      </w:pPr>
      <w:r>
        <w:rPr>
          <w:lang w:val="en"/>
        </w:rPr>
        <w:tab/>
        <w:t>(b)</w:t>
      </w:r>
      <w:r>
        <w:rPr>
          <w:lang w:val="en"/>
        </w:rPr>
        <w:tab/>
      </w:r>
      <w:r w:rsidRPr="00950831">
        <w:rPr>
          <w:lang w:val="en"/>
        </w:rPr>
        <w:t xml:space="preserve">The State could not support a total of 55 recommendations. While GPH continues to carry out its responsibilities in upholding respect, promotion, and protection of human rights, the State could not agree to the recommendations’ premises and contexts. Most of the recommendations were sweeping, vague and even contradictory, especially in the context of the Philippines’ democratic processes. A few of the recommendations, however, may merit future consideration by GPH depending </w:t>
      </w:r>
      <w:r w:rsidRPr="00950831">
        <w:rPr>
          <w:lang w:val="en-US"/>
        </w:rPr>
        <w:t xml:space="preserve">on the results of </w:t>
      </w:r>
      <w:r w:rsidRPr="00950831">
        <w:rPr>
          <w:lang w:val="en"/>
        </w:rPr>
        <w:t xml:space="preserve">internal </w:t>
      </w:r>
      <w:r w:rsidRPr="00950831">
        <w:rPr>
          <w:lang w:val="en"/>
        </w:rPr>
        <w:lastRenderedPageBreak/>
        <w:t>processes to be undertaken relative to the recommendations, including a review of specific treaties or conventions and mu</w:t>
      </w:r>
      <w:r>
        <w:rPr>
          <w:lang w:val="en"/>
        </w:rPr>
        <w:t>lti-stakeholder consultations.</w:t>
      </w:r>
    </w:p>
    <w:p w:rsidR="00950831" w:rsidRPr="00950831" w:rsidRDefault="00950831" w:rsidP="00950831">
      <w:pPr>
        <w:pStyle w:val="SingleTxtG"/>
        <w:rPr>
          <w:lang w:val="en-US"/>
        </w:rPr>
      </w:pPr>
      <w:r>
        <w:rPr>
          <w:lang w:val="en-US"/>
        </w:rPr>
        <w:t>5.</w:t>
      </w:r>
      <w:r>
        <w:rPr>
          <w:lang w:val="en-US"/>
        </w:rPr>
        <w:tab/>
      </w:r>
      <w:r w:rsidRPr="00950831">
        <w:rPr>
          <w:lang w:val="en-US"/>
        </w:rPr>
        <w:t>The following recommendations enjoy the support of GPH</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Scope of international obligations and cooperation with human rights mechanisms</w:t>
      </w:r>
    </w:p>
    <w:p w:rsidR="00950831" w:rsidRPr="00950831" w:rsidRDefault="00950831" w:rsidP="00950831">
      <w:pPr>
        <w:pStyle w:val="Bullet1G"/>
        <w:rPr>
          <w:lang w:val="en-US"/>
        </w:rPr>
      </w:pPr>
      <w:r w:rsidRPr="00950831">
        <w:rPr>
          <w:lang w:val="en-US"/>
        </w:rPr>
        <w:t>Recommendation 133.20</w:t>
      </w:r>
      <w:r>
        <w:rPr>
          <w:lang w:val="en-US"/>
        </w:rPr>
        <w:t>.</w:t>
      </w:r>
    </w:p>
    <w:p w:rsidR="00950831" w:rsidRPr="00950831" w:rsidRDefault="00950831" w:rsidP="00950831">
      <w:pPr>
        <w:pStyle w:val="H23G"/>
        <w:rPr>
          <w:lang w:val="en-US"/>
        </w:rPr>
      </w:pPr>
      <w:r>
        <w:rPr>
          <w:lang w:val="en-US"/>
        </w:rPr>
        <w:tab/>
      </w:r>
      <w:r>
        <w:rPr>
          <w:lang w:val="en-US"/>
        </w:rPr>
        <w:tab/>
        <w:t>National Human Rights Framework</w:t>
      </w:r>
    </w:p>
    <w:p w:rsidR="00950831" w:rsidRPr="00950831" w:rsidRDefault="00950831" w:rsidP="00950831">
      <w:pPr>
        <w:pStyle w:val="Bullet1G"/>
        <w:rPr>
          <w:lang w:val="en-US"/>
        </w:rPr>
      </w:pPr>
      <w:r w:rsidRPr="00950831">
        <w:rPr>
          <w:lang w:val="en-US"/>
        </w:rPr>
        <w:t>133.19, 133.21, 133.30</w:t>
      </w:r>
      <w:r>
        <w:rPr>
          <w:lang w:val="en-US"/>
        </w:rPr>
        <w:t>–</w:t>
      </w:r>
      <w:r w:rsidRPr="00950831">
        <w:rPr>
          <w:lang w:val="en-US"/>
        </w:rPr>
        <w:t>32, 133.34</w:t>
      </w:r>
      <w:r>
        <w:rPr>
          <w:lang w:val="en-US"/>
        </w:rPr>
        <w:t>–</w:t>
      </w:r>
      <w:r w:rsidRPr="00950831">
        <w:rPr>
          <w:lang w:val="en-US"/>
        </w:rPr>
        <w:t>42, 133.44</w:t>
      </w:r>
      <w:r>
        <w:rPr>
          <w:lang w:val="en-US"/>
        </w:rPr>
        <w:t>–</w:t>
      </w:r>
      <w:r w:rsidRPr="00950831">
        <w:rPr>
          <w:lang w:val="en-US"/>
        </w:rPr>
        <w:t>48, 133.50-56, 133.58</w:t>
      </w:r>
      <w:r>
        <w:rPr>
          <w:lang w:val="en-US"/>
        </w:rPr>
        <w:t>–</w:t>
      </w:r>
      <w:r w:rsidRPr="00950831">
        <w:rPr>
          <w:lang w:val="en-US"/>
        </w:rPr>
        <w:t>60, 133.65 and 133.125</w:t>
      </w:r>
      <w:r>
        <w:rPr>
          <w:lang w:val="en-US"/>
        </w:rPr>
        <w:t>.</w:t>
      </w:r>
    </w:p>
    <w:p w:rsidR="00950831" w:rsidRPr="00950831" w:rsidRDefault="00950831" w:rsidP="00950831">
      <w:pPr>
        <w:pStyle w:val="H23G"/>
        <w:rPr>
          <w:lang w:val="en-US"/>
        </w:rPr>
      </w:pPr>
      <w:r>
        <w:rPr>
          <w:lang w:val="en-US"/>
        </w:rPr>
        <w:tab/>
      </w:r>
      <w:r>
        <w:rPr>
          <w:lang w:val="en-US"/>
        </w:rPr>
        <w:tab/>
        <w:t>Right to Development</w:t>
      </w:r>
    </w:p>
    <w:p w:rsidR="00950831" w:rsidRPr="00950831" w:rsidRDefault="00950831" w:rsidP="00950831">
      <w:pPr>
        <w:pStyle w:val="Bullet1G"/>
        <w:rPr>
          <w:lang w:val="en-US"/>
        </w:rPr>
      </w:pPr>
      <w:r w:rsidRPr="00950831">
        <w:rPr>
          <w:lang w:val="en-US"/>
        </w:rPr>
        <w:t>133.</w:t>
      </w:r>
      <w:r>
        <w:rPr>
          <w:lang w:val="en-US"/>
        </w:rPr>
        <w:t>66–</w:t>
      </w:r>
      <w:r w:rsidRPr="00950831">
        <w:rPr>
          <w:lang w:val="en-US"/>
        </w:rPr>
        <w:t>68, 133.204, 133.205 and 133.207</w:t>
      </w:r>
      <w:r>
        <w:rPr>
          <w:lang w:val="en-US"/>
        </w:rPr>
        <w:t>.</w:t>
      </w:r>
    </w:p>
    <w:p w:rsidR="00950831" w:rsidRPr="00950831" w:rsidRDefault="00950831" w:rsidP="00950831">
      <w:pPr>
        <w:pStyle w:val="H23G"/>
        <w:rPr>
          <w:lang w:val="en-US"/>
        </w:rPr>
      </w:pPr>
      <w:r>
        <w:rPr>
          <w:lang w:val="en-US"/>
        </w:rPr>
        <w:tab/>
      </w:r>
      <w:r>
        <w:rPr>
          <w:lang w:val="en-US"/>
        </w:rPr>
        <w:tab/>
        <w:t>Environment</w:t>
      </w:r>
    </w:p>
    <w:p w:rsidR="00950831" w:rsidRPr="00950831" w:rsidRDefault="00950831" w:rsidP="00950831">
      <w:pPr>
        <w:pStyle w:val="Bullet1G"/>
        <w:rPr>
          <w:lang w:val="en-US"/>
        </w:rPr>
      </w:pPr>
      <w:r w:rsidRPr="00950831">
        <w:rPr>
          <w:lang w:val="en-US"/>
        </w:rPr>
        <w:t>133.</w:t>
      </w:r>
      <w:r>
        <w:rPr>
          <w:lang w:val="en-US"/>
        </w:rPr>
        <w:t>69–73.</w:t>
      </w:r>
    </w:p>
    <w:p w:rsidR="00950831" w:rsidRPr="00950831" w:rsidRDefault="00950831" w:rsidP="00950831">
      <w:pPr>
        <w:pStyle w:val="H23G"/>
        <w:rPr>
          <w:lang w:val="en-US"/>
        </w:rPr>
      </w:pPr>
      <w:r>
        <w:rPr>
          <w:lang w:val="en-US"/>
        </w:rPr>
        <w:tab/>
      </w:r>
      <w:r>
        <w:rPr>
          <w:lang w:val="en-US"/>
        </w:rPr>
        <w:tab/>
      </w:r>
      <w:r w:rsidRPr="00950831">
        <w:rPr>
          <w:lang w:val="en-US"/>
        </w:rPr>
        <w:t>Hum</w:t>
      </w:r>
      <w:r>
        <w:rPr>
          <w:lang w:val="en-US"/>
        </w:rPr>
        <w:t>an Rights and Counter-Terrorism</w:t>
      </w:r>
    </w:p>
    <w:p w:rsidR="00950831" w:rsidRPr="00950831" w:rsidRDefault="00950831" w:rsidP="00950831">
      <w:pPr>
        <w:pStyle w:val="Bullet1G"/>
        <w:rPr>
          <w:lang w:val="en-US"/>
        </w:rPr>
      </w:pPr>
      <w:r w:rsidRPr="00950831">
        <w:rPr>
          <w:lang w:val="en-US"/>
        </w:rPr>
        <w:t>133.75</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Right to life, l</w:t>
      </w:r>
      <w:r>
        <w:rPr>
          <w:lang w:val="en-US"/>
        </w:rPr>
        <w:t>iberty, and security of persons</w:t>
      </w:r>
    </w:p>
    <w:p w:rsidR="00950831" w:rsidRPr="00950831" w:rsidRDefault="00950831" w:rsidP="00950831">
      <w:pPr>
        <w:pStyle w:val="Bullet1G"/>
        <w:rPr>
          <w:lang w:val="en-US"/>
        </w:rPr>
      </w:pPr>
      <w:r w:rsidRPr="00950831">
        <w:rPr>
          <w:lang w:val="en-US"/>
        </w:rPr>
        <w:t>133.99</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Administration of justice, includin</w:t>
      </w:r>
      <w:r>
        <w:rPr>
          <w:lang w:val="en-US"/>
        </w:rPr>
        <w:t>g impunity, and the rule of law</w:t>
      </w:r>
    </w:p>
    <w:p w:rsidR="00950831" w:rsidRPr="00950831" w:rsidRDefault="00950831" w:rsidP="00950831">
      <w:pPr>
        <w:pStyle w:val="Bullet1G"/>
        <w:rPr>
          <w:lang w:val="en-US"/>
        </w:rPr>
      </w:pPr>
      <w:r w:rsidRPr="00950831">
        <w:rPr>
          <w:lang w:val="en-US"/>
        </w:rPr>
        <w:t>133.132, 133.</w:t>
      </w:r>
      <w:r>
        <w:rPr>
          <w:lang w:val="en-US"/>
        </w:rPr>
        <w:t xml:space="preserve">134 and </w:t>
      </w:r>
      <w:r w:rsidR="00A50364">
        <w:rPr>
          <w:lang w:val="en-US"/>
        </w:rPr>
        <w:t>133.</w:t>
      </w:r>
      <w:r>
        <w:rPr>
          <w:lang w:val="en-US"/>
        </w:rPr>
        <w:t>231.</w:t>
      </w:r>
    </w:p>
    <w:p w:rsidR="00950831" w:rsidRPr="00950831" w:rsidRDefault="00950831" w:rsidP="00950831">
      <w:pPr>
        <w:pStyle w:val="H23G"/>
        <w:rPr>
          <w:lang w:val="en-US"/>
        </w:rPr>
      </w:pPr>
      <w:r>
        <w:rPr>
          <w:lang w:val="en-US"/>
        </w:rPr>
        <w:tab/>
      </w:r>
      <w:r>
        <w:rPr>
          <w:lang w:val="en-US"/>
        </w:rPr>
        <w:tab/>
      </w:r>
      <w:r w:rsidRPr="00950831">
        <w:rPr>
          <w:lang w:val="en-US"/>
        </w:rPr>
        <w:t>Proh</w:t>
      </w:r>
      <w:r>
        <w:rPr>
          <w:lang w:val="en-US"/>
        </w:rPr>
        <w:t>ibition of all forms of slavery</w:t>
      </w:r>
    </w:p>
    <w:p w:rsidR="00950831" w:rsidRPr="00950831" w:rsidRDefault="00950831" w:rsidP="00950831">
      <w:pPr>
        <w:pStyle w:val="Bullet1G"/>
        <w:rPr>
          <w:lang w:val="en-US"/>
        </w:rPr>
      </w:pPr>
      <w:r w:rsidRPr="00950831">
        <w:rPr>
          <w:lang w:val="en-US"/>
        </w:rPr>
        <w:t>133.</w:t>
      </w:r>
      <w:r>
        <w:rPr>
          <w:lang w:val="en-US"/>
        </w:rPr>
        <w:t>184–</w:t>
      </w:r>
      <w:r w:rsidRPr="00950831">
        <w:rPr>
          <w:lang w:val="en-US"/>
        </w:rPr>
        <w:t>197 and 133.200</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R</w:t>
      </w:r>
      <w:r>
        <w:rPr>
          <w:lang w:val="en-US"/>
        </w:rPr>
        <w:t>ight to privacy and family life</w:t>
      </w:r>
    </w:p>
    <w:p w:rsidR="00950831" w:rsidRPr="00950831" w:rsidRDefault="00950831" w:rsidP="00950831">
      <w:pPr>
        <w:pStyle w:val="Bullet1G"/>
        <w:rPr>
          <w:lang w:val="en-US"/>
        </w:rPr>
      </w:pPr>
      <w:r w:rsidRPr="00950831">
        <w:rPr>
          <w:lang w:val="en-US"/>
        </w:rPr>
        <w:t>133.</w:t>
      </w:r>
      <w:r>
        <w:rPr>
          <w:lang w:val="en-US"/>
        </w:rPr>
        <w:t>201.</w:t>
      </w:r>
    </w:p>
    <w:p w:rsidR="00950831" w:rsidRPr="00950831" w:rsidRDefault="00950831" w:rsidP="00950831">
      <w:pPr>
        <w:pStyle w:val="H23G"/>
        <w:rPr>
          <w:lang w:val="en-US"/>
        </w:rPr>
      </w:pPr>
      <w:r>
        <w:rPr>
          <w:lang w:val="en-US"/>
        </w:rPr>
        <w:tab/>
      </w:r>
      <w:r>
        <w:rPr>
          <w:lang w:val="en-US"/>
        </w:rPr>
        <w:tab/>
      </w:r>
      <w:r w:rsidRPr="00950831">
        <w:rPr>
          <w:lang w:val="en-US"/>
        </w:rPr>
        <w:t>Right to work and to just a</w:t>
      </w:r>
      <w:r>
        <w:rPr>
          <w:lang w:val="en-US"/>
        </w:rPr>
        <w:t>nd favorable conditions of work</w:t>
      </w:r>
    </w:p>
    <w:p w:rsidR="00950831" w:rsidRPr="00950831" w:rsidRDefault="00950831" w:rsidP="00950831">
      <w:pPr>
        <w:pStyle w:val="Bullet1G"/>
        <w:rPr>
          <w:lang w:val="en-US"/>
        </w:rPr>
      </w:pPr>
      <w:r w:rsidRPr="00950831">
        <w:rPr>
          <w:lang w:val="en-US"/>
        </w:rPr>
        <w:t>133.203</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Right to social se</w:t>
      </w:r>
      <w:r>
        <w:rPr>
          <w:lang w:val="en-US"/>
        </w:rPr>
        <w:t>curity</w:t>
      </w:r>
    </w:p>
    <w:p w:rsidR="00950831" w:rsidRPr="00950831" w:rsidRDefault="00950831" w:rsidP="00950831">
      <w:pPr>
        <w:pStyle w:val="Bullet1G"/>
        <w:rPr>
          <w:lang w:val="en-US"/>
        </w:rPr>
      </w:pPr>
      <w:r w:rsidRPr="00950831">
        <w:rPr>
          <w:lang w:val="en-US"/>
        </w:rPr>
        <w:t>133.209, 133.227 and 133.249</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Right</w:t>
      </w:r>
      <w:r>
        <w:rPr>
          <w:lang w:val="en-US"/>
        </w:rPr>
        <w:t xml:space="preserve"> to adequate standard of living</w:t>
      </w:r>
    </w:p>
    <w:p w:rsidR="00950831" w:rsidRPr="00950831" w:rsidRDefault="00950831" w:rsidP="00950831">
      <w:pPr>
        <w:pStyle w:val="Bullet1G"/>
        <w:rPr>
          <w:lang w:val="en-US"/>
        </w:rPr>
      </w:pPr>
      <w:r w:rsidRPr="00950831">
        <w:rPr>
          <w:lang w:val="en-US"/>
        </w:rPr>
        <w:t>133.206, 133.208, 133.</w:t>
      </w:r>
      <w:r>
        <w:rPr>
          <w:lang w:val="en-US"/>
        </w:rPr>
        <w:t>210–</w:t>
      </w:r>
      <w:r w:rsidRPr="00950831">
        <w:rPr>
          <w:lang w:val="en-US"/>
        </w:rPr>
        <w:t>212</w:t>
      </w:r>
      <w:r>
        <w:rPr>
          <w:lang w:val="en-US"/>
        </w:rPr>
        <w:t>.</w:t>
      </w:r>
    </w:p>
    <w:p w:rsidR="00950831" w:rsidRPr="00950831" w:rsidRDefault="00950831" w:rsidP="00950831">
      <w:pPr>
        <w:pStyle w:val="H23G"/>
        <w:rPr>
          <w:lang w:val="en-US"/>
        </w:rPr>
      </w:pPr>
      <w:r>
        <w:rPr>
          <w:lang w:val="en-US"/>
        </w:rPr>
        <w:tab/>
      </w:r>
      <w:r>
        <w:rPr>
          <w:lang w:val="en-US"/>
        </w:rPr>
        <w:tab/>
        <w:t>Right to health</w:t>
      </w:r>
    </w:p>
    <w:p w:rsidR="00950831" w:rsidRPr="00950831" w:rsidRDefault="00950831" w:rsidP="00950831">
      <w:pPr>
        <w:pStyle w:val="Bullet1G"/>
        <w:rPr>
          <w:lang w:val="en-US"/>
        </w:rPr>
      </w:pPr>
      <w:r w:rsidRPr="00950831">
        <w:rPr>
          <w:lang w:val="en-US"/>
        </w:rPr>
        <w:t>133.213</w:t>
      </w:r>
      <w:r>
        <w:rPr>
          <w:lang w:val="en-US"/>
        </w:rPr>
        <w:t>–</w:t>
      </w:r>
      <w:r w:rsidRPr="00950831">
        <w:rPr>
          <w:lang w:val="en-US"/>
        </w:rPr>
        <w:t>218</w:t>
      </w:r>
      <w:r>
        <w:rPr>
          <w:lang w:val="en-US"/>
        </w:rPr>
        <w:t>.</w:t>
      </w:r>
    </w:p>
    <w:p w:rsidR="00950831" w:rsidRPr="00950831" w:rsidRDefault="00950831" w:rsidP="00950831">
      <w:pPr>
        <w:pStyle w:val="H23G"/>
        <w:rPr>
          <w:lang w:val="en-US"/>
        </w:rPr>
      </w:pPr>
      <w:r>
        <w:rPr>
          <w:lang w:val="en-US"/>
        </w:rPr>
        <w:tab/>
      </w:r>
      <w:r>
        <w:rPr>
          <w:lang w:val="en-US"/>
        </w:rPr>
        <w:tab/>
        <w:t>Right to education</w:t>
      </w:r>
    </w:p>
    <w:p w:rsidR="00950831" w:rsidRPr="00950831" w:rsidRDefault="00950831" w:rsidP="00950831">
      <w:pPr>
        <w:pStyle w:val="Bullet1G"/>
        <w:rPr>
          <w:lang w:val="en-US"/>
        </w:rPr>
      </w:pPr>
      <w:r w:rsidRPr="00950831">
        <w:rPr>
          <w:lang w:val="en-US"/>
        </w:rPr>
        <w:t>133.219</w:t>
      </w:r>
      <w:r>
        <w:rPr>
          <w:lang w:val="en-US"/>
        </w:rPr>
        <w:t>–</w:t>
      </w:r>
      <w:r w:rsidRPr="00950831">
        <w:rPr>
          <w:lang w:val="en-US"/>
        </w:rPr>
        <w:t>225</w:t>
      </w:r>
      <w:r>
        <w:rPr>
          <w:lang w:val="en-US"/>
        </w:rPr>
        <w:t>.</w:t>
      </w:r>
    </w:p>
    <w:p w:rsidR="00950831" w:rsidRPr="00950831" w:rsidRDefault="00950831" w:rsidP="00950831">
      <w:pPr>
        <w:pStyle w:val="H23G"/>
        <w:rPr>
          <w:lang w:val="en-US"/>
        </w:rPr>
      </w:pPr>
      <w:r>
        <w:rPr>
          <w:lang w:val="en-US"/>
        </w:rPr>
        <w:tab/>
      </w:r>
      <w:r>
        <w:rPr>
          <w:lang w:val="en-US"/>
        </w:rPr>
        <w:tab/>
        <w:t>Rights of women</w:t>
      </w:r>
    </w:p>
    <w:p w:rsidR="00950831" w:rsidRPr="00950831" w:rsidRDefault="00950831" w:rsidP="00950831">
      <w:pPr>
        <w:pStyle w:val="Bullet1G"/>
        <w:rPr>
          <w:lang w:val="en-US"/>
        </w:rPr>
      </w:pPr>
      <w:r w:rsidRPr="00950831">
        <w:rPr>
          <w:lang w:val="en-US"/>
        </w:rPr>
        <w:t>133.126 and 133.228</w:t>
      </w:r>
      <w:r>
        <w:rPr>
          <w:lang w:val="en-US"/>
        </w:rPr>
        <w:t>.</w:t>
      </w:r>
    </w:p>
    <w:p w:rsidR="00950831" w:rsidRPr="00950831" w:rsidRDefault="00950831" w:rsidP="00950831">
      <w:pPr>
        <w:pStyle w:val="H23G"/>
        <w:rPr>
          <w:lang w:val="en-US"/>
        </w:rPr>
      </w:pPr>
      <w:r>
        <w:rPr>
          <w:lang w:val="en-US"/>
        </w:rPr>
        <w:tab/>
      </w:r>
      <w:r>
        <w:rPr>
          <w:lang w:val="en-US"/>
        </w:rPr>
        <w:tab/>
        <w:t>Rights of children</w:t>
      </w:r>
    </w:p>
    <w:p w:rsidR="00950831" w:rsidRPr="00950831" w:rsidRDefault="00950831" w:rsidP="00950831">
      <w:pPr>
        <w:pStyle w:val="Bullet1G"/>
        <w:rPr>
          <w:lang w:val="en-US"/>
        </w:rPr>
      </w:pPr>
      <w:r w:rsidRPr="00950831">
        <w:rPr>
          <w:lang w:val="en-US"/>
        </w:rPr>
        <w:t>133.233</w:t>
      </w:r>
      <w:r>
        <w:rPr>
          <w:lang w:val="en-US"/>
        </w:rPr>
        <w:t>–</w:t>
      </w:r>
      <w:r w:rsidRPr="00950831">
        <w:rPr>
          <w:lang w:val="en-US"/>
        </w:rPr>
        <w:t>237, 133.240, 133.241 and 133.245</w:t>
      </w:r>
      <w:r>
        <w:rPr>
          <w:lang w:val="en-US"/>
        </w:rPr>
        <w:t>.</w:t>
      </w:r>
    </w:p>
    <w:p w:rsidR="00950831" w:rsidRPr="00950831" w:rsidRDefault="00950831" w:rsidP="00950831">
      <w:pPr>
        <w:pStyle w:val="H23G"/>
        <w:rPr>
          <w:lang w:val="en-US"/>
        </w:rPr>
      </w:pPr>
      <w:r>
        <w:rPr>
          <w:lang w:val="en-US"/>
        </w:rPr>
        <w:tab/>
      </w:r>
      <w:r>
        <w:rPr>
          <w:lang w:val="en-US"/>
        </w:rPr>
        <w:tab/>
      </w:r>
      <w:r w:rsidRPr="00950831">
        <w:rPr>
          <w:lang w:val="en-US"/>
        </w:rPr>
        <w:t>Ri</w:t>
      </w:r>
      <w:r>
        <w:rPr>
          <w:lang w:val="en-US"/>
        </w:rPr>
        <w:t>ghts of persons with disability</w:t>
      </w:r>
    </w:p>
    <w:p w:rsidR="00950831" w:rsidRPr="00950831" w:rsidRDefault="00950831" w:rsidP="00950831">
      <w:pPr>
        <w:pStyle w:val="Bullet1G"/>
        <w:rPr>
          <w:lang w:val="en-US"/>
        </w:rPr>
      </w:pPr>
      <w:r w:rsidRPr="00950831">
        <w:rPr>
          <w:lang w:val="en-US"/>
        </w:rPr>
        <w:t>133.247 and 133.</w:t>
      </w:r>
      <w:r>
        <w:rPr>
          <w:lang w:val="en-US"/>
        </w:rPr>
        <w:t>248.</w:t>
      </w:r>
    </w:p>
    <w:p w:rsidR="00950831" w:rsidRPr="00950831" w:rsidRDefault="00950831" w:rsidP="00950831">
      <w:pPr>
        <w:pStyle w:val="H23G"/>
        <w:rPr>
          <w:lang w:val="en-US"/>
        </w:rPr>
      </w:pPr>
      <w:r>
        <w:rPr>
          <w:lang w:val="en-US"/>
        </w:rPr>
        <w:tab/>
      </w:r>
      <w:r>
        <w:rPr>
          <w:lang w:val="en-US"/>
        </w:rPr>
        <w:tab/>
      </w:r>
      <w:r w:rsidRPr="00950831">
        <w:rPr>
          <w:lang w:val="en-US"/>
        </w:rPr>
        <w:t>Rights of migrants, asylum seekers a</w:t>
      </w:r>
      <w:r>
        <w:rPr>
          <w:lang w:val="en-US"/>
        </w:rPr>
        <w:t>nd internally displaces persons</w:t>
      </w:r>
    </w:p>
    <w:p w:rsidR="00950831" w:rsidRPr="00950831" w:rsidRDefault="00950831" w:rsidP="00950831">
      <w:pPr>
        <w:pStyle w:val="Bullet1G"/>
        <w:rPr>
          <w:lang w:val="en-US"/>
        </w:rPr>
      </w:pPr>
      <w:r w:rsidRPr="00950831">
        <w:rPr>
          <w:lang w:val="en-US"/>
        </w:rPr>
        <w:t>133.</w:t>
      </w:r>
      <w:r>
        <w:rPr>
          <w:lang w:val="en-US"/>
        </w:rPr>
        <w:t>251–254.</w:t>
      </w:r>
    </w:p>
    <w:p w:rsidR="00950831" w:rsidRPr="00950831" w:rsidRDefault="00950831" w:rsidP="00950831">
      <w:pPr>
        <w:pStyle w:val="H23G"/>
        <w:rPr>
          <w:lang w:val="en-US"/>
        </w:rPr>
      </w:pPr>
      <w:r>
        <w:rPr>
          <w:lang w:val="en-US"/>
        </w:rPr>
        <w:tab/>
      </w:r>
      <w:r>
        <w:rPr>
          <w:lang w:val="en-US"/>
        </w:rPr>
        <w:tab/>
        <w:t>Rights of stateless persons</w:t>
      </w:r>
    </w:p>
    <w:p w:rsidR="00950831" w:rsidRPr="00950831" w:rsidRDefault="00950831" w:rsidP="00950831">
      <w:pPr>
        <w:pStyle w:val="Bullet1G"/>
        <w:rPr>
          <w:lang w:val="en-US"/>
        </w:rPr>
      </w:pPr>
      <w:r w:rsidRPr="00950831">
        <w:rPr>
          <w:lang w:val="en-US"/>
        </w:rPr>
        <w:t>133.</w:t>
      </w:r>
      <w:r>
        <w:rPr>
          <w:lang w:val="en-US"/>
        </w:rPr>
        <w:t>255.</w:t>
      </w:r>
    </w:p>
    <w:p w:rsidR="00950831" w:rsidRPr="00950831" w:rsidRDefault="00055C0C" w:rsidP="00055C0C">
      <w:pPr>
        <w:pStyle w:val="SingleTxtG"/>
        <w:rPr>
          <w:lang w:val="en-US"/>
        </w:rPr>
      </w:pPr>
      <w:r>
        <w:rPr>
          <w:lang w:val="en-US"/>
        </w:rPr>
        <w:t>6.</w:t>
      </w:r>
      <w:r>
        <w:rPr>
          <w:lang w:val="en-US"/>
        </w:rPr>
        <w:tab/>
      </w:r>
      <w:r w:rsidR="00950831" w:rsidRPr="00950831">
        <w:rPr>
          <w:lang w:val="en-US"/>
        </w:rPr>
        <w:t>GPH notes</w:t>
      </w:r>
      <w:r>
        <w:rPr>
          <w:lang w:val="en-US"/>
        </w:rPr>
        <w:t xml:space="preserve"> the following recommendations:</w:t>
      </w:r>
    </w:p>
    <w:p w:rsidR="00950831" w:rsidRPr="00950831" w:rsidRDefault="00950831" w:rsidP="00055C0C">
      <w:pPr>
        <w:pStyle w:val="Bullet1G"/>
        <w:rPr>
          <w:lang w:val="en-US"/>
        </w:rPr>
      </w:pPr>
      <w:r w:rsidRPr="00950831">
        <w:rPr>
          <w:lang w:val="en-US"/>
        </w:rPr>
        <w:t>133.6-10, 133.18, 133.22</w:t>
      </w:r>
      <w:r w:rsidR="00055C0C">
        <w:rPr>
          <w:lang w:val="en-US"/>
        </w:rPr>
        <w:t>–</w:t>
      </w:r>
      <w:r w:rsidRPr="00950831">
        <w:rPr>
          <w:lang w:val="en-US"/>
        </w:rPr>
        <w:t>24 and 133.25</w:t>
      </w:r>
      <w:r w:rsidR="00055C0C">
        <w:rPr>
          <w:lang w:val="en-US"/>
        </w:rPr>
        <w:t>;</w:t>
      </w:r>
    </w:p>
    <w:p w:rsidR="00950831" w:rsidRPr="00950831" w:rsidRDefault="00950831" w:rsidP="00055C0C">
      <w:pPr>
        <w:pStyle w:val="Bullet1G"/>
        <w:rPr>
          <w:lang w:val="en-US"/>
        </w:rPr>
      </w:pPr>
      <w:r w:rsidRPr="00950831">
        <w:rPr>
          <w:lang w:val="en-US"/>
        </w:rPr>
        <w:t>133.26</w:t>
      </w:r>
      <w:r w:rsidR="00055C0C">
        <w:rPr>
          <w:lang w:val="en-US"/>
        </w:rPr>
        <w:t>–</w:t>
      </w:r>
      <w:r w:rsidRPr="00950831">
        <w:rPr>
          <w:lang w:val="en-US"/>
        </w:rPr>
        <w:t>29, 133.33, 133.43, 133.121, 133.133 and 133.139</w:t>
      </w:r>
      <w:r w:rsidR="00055C0C">
        <w:rPr>
          <w:lang w:val="en-US"/>
        </w:rPr>
        <w:t>;</w:t>
      </w:r>
    </w:p>
    <w:p w:rsidR="00950831" w:rsidRPr="00950831" w:rsidRDefault="00950831" w:rsidP="00055C0C">
      <w:pPr>
        <w:pStyle w:val="Bullet1G"/>
        <w:rPr>
          <w:lang w:val="en-US"/>
        </w:rPr>
      </w:pPr>
      <w:r w:rsidRPr="00950831">
        <w:rPr>
          <w:lang w:val="en-US"/>
        </w:rPr>
        <w:t>133.61</w:t>
      </w:r>
      <w:r w:rsidR="00055C0C">
        <w:rPr>
          <w:lang w:val="en-US"/>
        </w:rPr>
        <w:t>–</w:t>
      </w:r>
      <w:r w:rsidRPr="00950831">
        <w:rPr>
          <w:lang w:val="en-US"/>
        </w:rPr>
        <w:t>64</w:t>
      </w:r>
      <w:r w:rsidR="00055C0C">
        <w:rPr>
          <w:lang w:val="en-US"/>
        </w:rPr>
        <w:t>;</w:t>
      </w:r>
    </w:p>
    <w:p w:rsidR="00950831" w:rsidRPr="00950831" w:rsidRDefault="00950831" w:rsidP="00055C0C">
      <w:pPr>
        <w:pStyle w:val="Bullet1G"/>
        <w:rPr>
          <w:lang w:val="en-US"/>
        </w:rPr>
      </w:pPr>
      <w:r w:rsidRPr="00950831">
        <w:rPr>
          <w:lang w:val="en-US"/>
        </w:rPr>
        <w:t>133.</w:t>
      </w:r>
      <w:r w:rsidR="00055C0C">
        <w:rPr>
          <w:lang w:val="en-US"/>
        </w:rPr>
        <w:t>74;</w:t>
      </w:r>
    </w:p>
    <w:p w:rsidR="00950831" w:rsidRPr="00950831" w:rsidRDefault="00950831" w:rsidP="00055C0C">
      <w:pPr>
        <w:pStyle w:val="Bullet1G"/>
        <w:rPr>
          <w:lang w:val="en-US"/>
        </w:rPr>
      </w:pPr>
      <w:r w:rsidRPr="00950831">
        <w:rPr>
          <w:lang w:val="en-US"/>
        </w:rPr>
        <w:t>133.57, 133.100</w:t>
      </w:r>
      <w:r w:rsidR="00055C0C">
        <w:rPr>
          <w:lang w:val="en-US"/>
        </w:rPr>
        <w:t>–</w:t>
      </w:r>
      <w:r w:rsidRPr="00950831">
        <w:rPr>
          <w:lang w:val="en-US"/>
        </w:rPr>
        <w:t>112, 133.114-117, 133.120, 133.122, 133.123, 133.127, 133.128, 133.137, 133.144, 133.145, 133.149, 133.152 and 133.</w:t>
      </w:r>
      <w:r w:rsidR="00055C0C">
        <w:rPr>
          <w:lang w:val="en-US"/>
        </w:rPr>
        <w:t>158;</w:t>
      </w:r>
    </w:p>
    <w:p w:rsidR="00950831" w:rsidRPr="00950831" w:rsidRDefault="00950831" w:rsidP="00055C0C">
      <w:pPr>
        <w:pStyle w:val="Bullet1G"/>
        <w:rPr>
          <w:lang w:val="en-US"/>
        </w:rPr>
      </w:pPr>
      <w:r w:rsidRPr="00950831">
        <w:rPr>
          <w:lang w:val="en-US"/>
        </w:rPr>
        <w:t>133.113, 133.130</w:t>
      </w:r>
      <w:r w:rsidR="00055C0C">
        <w:rPr>
          <w:lang w:val="en-US"/>
        </w:rPr>
        <w:t>–</w:t>
      </w:r>
      <w:r w:rsidRPr="00950831">
        <w:rPr>
          <w:lang w:val="en-US"/>
        </w:rPr>
        <w:t>131, 133.135-136, 133.140</w:t>
      </w:r>
      <w:r w:rsidR="00055C0C">
        <w:rPr>
          <w:lang w:val="en-US"/>
        </w:rPr>
        <w:t>–</w:t>
      </w:r>
      <w:r w:rsidRPr="00950831">
        <w:rPr>
          <w:lang w:val="en-US"/>
        </w:rPr>
        <w:t>143, 133.147, 133.</w:t>
      </w:r>
      <w:r w:rsidR="00055C0C">
        <w:rPr>
          <w:lang w:val="en-US"/>
        </w:rPr>
        <w:t>155–</w:t>
      </w:r>
      <w:r w:rsidRPr="00950831">
        <w:rPr>
          <w:lang w:val="en-US"/>
        </w:rPr>
        <w:t>157</w:t>
      </w:r>
      <w:r w:rsidR="00055C0C">
        <w:rPr>
          <w:lang w:val="en-US"/>
        </w:rPr>
        <w:t>;</w:t>
      </w:r>
    </w:p>
    <w:p w:rsidR="00950831" w:rsidRPr="00950831" w:rsidRDefault="00950831" w:rsidP="00055C0C">
      <w:pPr>
        <w:pStyle w:val="Bullet1G"/>
        <w:rPr>
          <w:lang w:val="en-US"/>
        </w:rPr>
      </w:pPr>
      <w:r w:rsidRPr="00950831">
        <w:rPr>
          <w:lang w:val="en-US"/>
        </w:rPr>
        <w:t>133.170</w:t>
      </w:r>
      <w:r w:rsidR="00055C0C">
        <w:rPr>
          <w:lang w:val="en-US"/>
        </w:rPr>
        <w:t>–</w:t>
      </w:r>
      <w:r w:rsidRPr="00950831">
        <w:rPr>
          <w:lang w:val="en-US"/>
        </w:rPr>
        <w:t>182</w:t>
      </w:r>
      <w:r w:rsidR="00055C0C">
        <w:rPr>
          <w:lang w:val="en-US"/>
        </w:rPr>
        <w:t>;</w:t>
      </w:r>
    </w:p>
    <w:p w:rsidR="00950831" w:rsidRPr="00950831" w:rsidRDefault="00950831" w:rsidP="00055C0C">
      <w:pPr>
        <w:pStyle w:val="Bullet1G"/>
        <w:rPr>
          <w:lang w:val="en-US"/>
        </w:rPr>
      </w:pPr>
      <w:r w:rsidRPr="00950831">
        <w:rPr>
          <w:lang w:val="en-US"/>
        </w:rPr>
        <w:t>133.138, 133.</w:t>
      </w:r>
      <w:r w:rsidR="00055C0C">
        <w:rPr>
          <w:lang w:val="en-US"/>
        </w:rPr>
        <w:t>198–</w:t>
      </w:r>
      <w:r w:rsidRPr="00950831">
        <w:rPr>
          <w:lang w:val="en-US"/>
        </w:rPr>
        <w:t>199</w:t>
      </w:r>
      <w:r w:rsidR="00055C0C">
        <w:rPr>
          <w:lang w:val="en-US"/>
        </w:rPr>
        <w:t>;</w:t>
      </w:r>
    </w:p>
    <w:p w:rsidR="00950831" w:rsidRPr="00950831" w:rsidRDefault="00950831" w:rsidP="00055C0C">
      <w:pPr>
        <w:pStyle w:val="Bullet1G"/>
        <w:rPr>
          <w:lang w:val="en-US"/>
        </w:rPr>
      </w:pPr>
      <w:r w:rsidRPr="00950831">
        <w:rPr>
          <w:lang w:val="en-US"/>
        </w:rPr>
        <w:t>133.</w:t>
      </w:r>
      <w:r w:rsidR="00055C0C">
        <w:rPr>
          <w:lang w:val="en-US"/>
        </w:rPr>
        <w:t>202;</w:t>
      </w:r>
    </w:p>
    <w:p w:rsidR="00950831" w:rsidRPr="00950831" w:rsidRDefault="00950831" w:rsidP="00055C0C">
      <w:pPr>
        <w:pStyle w:val="Bullet1G"/>
        <w:rPr>
          <w:lang w:val="en-US"/>
        </w:rPr>
      </w:pPr>
      <w:r w:rsidRPr="00950831">
        <w:rPr>
          <w:lang w:val="en-US"/>
        </w:rPr>
        <w:t>133.183, 133.226, 133.229</w:t>
      </w:r>
      <w:r w:rsidR="00055C0C">
        <w:rPr>
          <w:lang w:val="en-US"/>
        </w:rPr>
        <w:t>–</w:t>
      </w:r>
      <w:r w:rsidRPr="00950831">
        <w:rPr>
          <w:lang w:val="en-US"/>
        </w:rPr>
        <w:t>230</w:t>
      </w:r>
      <w:r w:rsidR="00055C0C">
        <w:rPr>
          <w:lang w:val="en-US"/>
        </w:rPr>
        <w:t>;</w:t>
      </w:r>
    </w:p>
    <w:p w:rsidR="00950831" w:rsidRPr="00950831" w:rsidRDefault="00950831" w:rsidP="00055C0C">
      <w:pPr>
        <w:pStyle w:val="Bullet1G"/>
        <w:rPr>
          <w:lang w:val="en-US"/>
        </w:rPr>
      </w:pPr>
      <w:r w:rsidRPr="00950831">
        <w:rPr>
          <w:lang w:val="en-US"/>
        </w:rPr>
        <w:t>133.129, 133.159, 133.161</w:t>
      </w:r>
      <w:r w:rsidRPr="00950831">
        <w:rPr>
          <w:iCs/>
          <w:lang w:val="en-US"/>
        </w:rPr>
        <w:t>, 133.238</w:t>
      </w:r>
      <w:r w:rsidR="00055C0C">
        <w:rPr>
          <w:iCs/>
          <w:lang w:val="en-US"/>
        </w:rPr>
        <w:t>–</w:t>
      </w:r>
      <w:r w:rsidRPr="00950831">
        <w:rPr>
          <w:iCs/>
          <w:lang w:val="en-US"/>
        </w:rPr>
        <w:t>239, 133.242</w:t>
      </w:r>
      <w:r w:rsidR="00055C0C">
        <w:rPr>
          <w:iCs/>
          <w:lang w:val="en-US"/>
        </w:rPr>
        <w:t>–</w:t>
      </w:r>
      <w:r w:rsidRPr="00950831">
        <w:rPr>
          <w:iCs/>
          <w:lang w:val="en-US"/>
        </w:rPr>
        <w:t>244</w:t>
      </w:r>
      <w:r w:rsidR="00055C0C">
        <w:rPr>
          <w:iCs/>
          <w:lang w:val="en-US"/>
        </w:rPr>
        <w:t>;</w:t>
      </w:r>
    </w:p>
    <w:p w:rsidR="00950831" w:rsidRPr="00950831" w:rsidRDefault="00950831" w:rsidP="00055C0C">
      <w:pPr>
        <w:pStyle w:val="Bullet1G"/>
        <w:rPr>
          <w:lang w:val="en-US"/>
        </w:rPr>
      </w:pPr>
      <w:r w:rsidRPr="00950831">
        <w:rPr>
          <w:lang w:val="en-US"/>
        </w:rPr>
        <w:t>133.</w:t>
      </w:r>
      <w:r w:rsidR="00055C0C">
        <w:rPr>
          <w:lang w:val="en-US"/>
        </w:rPr>
        <w:t>246;</w:t>
      </w:r>
    </w:p>
    <w:p w:rsidR="00950831" w:rsidRPr="00950831" w:rsidRDefault="00950831" w:rsidP="00055C0C">
      <w:pPr>
        <w:pStyle w:val="Bullet1G"/>
        <w:rPr>
          <w:lang w:val="en-US"/>
        </w:rPr>
      </w:pPr>
      <w:r w:rsidRPr="00950831">
        <w:rPr>
          <w:lang w:val="en-US"/>
        </w:rPr>
        <w:t>133.</w:t>
      </w:r>
      <w:r w:rsidR="00055C0C">
        <w:rPr>
          <w:lang w:val="en-US"/>
        </w:rPr>
        <w:t>250;</w:t>
      </w:r>
    </w:p>
    <w:p w:rsidR="00950831" w:rsidRPr="00950831" w:rsidRDefault="00950831" w:rsidP="00055C0C">
      <w:pPr>
        <w:pStyle w:val="Bullet1G"/>
        <w:rPr>
          <w:lang w:val="en-US"/>
        </w:rPr>
      </w:pPr>
      <w:r w:rsidRPr="00950831">
        <w:rPr>
          <w:lang w:val="en-US"/>
        </w:rPr>
        <w:t>133.</w:t>
      </w:r>
      <w:r w:rsidR="00055C0C">
        <w:rPr>
          <w:lang w:val="en-US"/>
        </w:rPr>
        <w:t>256–</w:t>
      </w:r>
      <w:r w:rsidRPr="00950831">
        <w:rPr>
          <w:lang w:val="en-US"/>
        </w:rPr>
        <w:t>257</w:t>
      </w:r>
      <w:r w:rsidR="00055C0C">
        <w:rPr>
          <w:lang w:val="en-US"/>
        </w:rPr>
        <w:t>;</w:t>
      </w:r>
    </w:p>
    <w:p w:rsidR="00950831" w:rsidRPr="00950831" w:rsidRDefault="00950831" w:rsidP="00055C0C">
      <w:pPr>
        <w:pStyle w:val="Bullet1G"/>
        <w:rPr>
          <w:lang w:val="en-US"/>
        </w:rPr>
      </w:pPr>
      <w:r w:rsidRPr="00950831">
        <w:rPr>
          <w:lang w:val="en-US"/>
        </w:rPr>
        <w:t>133.1</w:t>
      </w:r>
      <w:r w:rsidR="00055C0C">
        <w:rPr>
          <w:lang w:val="en-US"/>
        </w:rPr>
        <w:t>–</w:t>
      </w:r>
      <w:r w:rsidRPr="00950831">
        <w:rPr>
          <w:lang w:val="en-US"/>
        </w:rPr>
        <w:t>5, 133.11</w:t>
      </w:r>
      <w:r w:rsidR="00055C0C">
        <w:rPr>
          <w:lang w:val="en-US"/>
        </w:rPr>
        <w:t>–</w:t>
      </w:r>
      <w:r w:rsidRPr="00950831">
        <w:rPr>
          <w:lang w:val="en-US"/>
        </w:rPr>
        <w:t>17, 133.49 and 133.119</w:t>
      </w:r>
      <w:r w:rsidR="00055C0C">
        <w:rPr>
          <w:lang w:val="en-US"/>
        </w:rPr>
        <w:t>;</w:t>
      </w:r>
    </w:p>
    <w:p w:rsidR="00950831" w:rsidRPr="00950831" w:rsidRDefault="00950831" w:rsidP="00055C0C">
      <w:pPr>
        <w:pStyle w:val="Bullet1G"/>
        <w:rPr>
          <w:lang w:val="en-US"/>
        </w:rPr>
      </w:pPr>
      <w:r w:rsidRPr="00950831">
        <w:rPr>
          <w:lang w:val="en-US"/>
        </w:rPr>
        <w:t>133.76</w:t>
      </w:r>
      <w:r w:rsidR="00055C0C">
        <w:rPr>
          <w:lang w:val="en-US"/>
        </w:rPr>
        <w:t>–</w:t>
      </w:r>
      <w:r w:rsidRPr="00950831">
        <w:rPr>
          <w:lang w:val="en-US"/>
        </w:rPr>
        <w:t>98, 133.118, 133.124, 133.146, 133.148, 133.</w:t>
      </w:r>
      <w:r w:rsidR="00055C0C">
        <w:rPr>
          <w:lang w:val="en-US"/>
        </w:rPr>
        <w:t>150–</w:t>
      </w:r>
      <w:r w:rsidRPr="00950831">
        <w:rPr>
          <w:lang w:val="en-US"/>
        </w:rPr>
        <w:t>154</w:t>
      </w:r>
      <w:r w:rsidR="00055C0C">
        <w:rPr>
          <w:lang w:val="en-US"/>
        </w:rPr>
        <w:t>;</w:t>
      </w:r>
    </w:p>
    <w:p w:rsidR="00950831" w:rsidRPr="00950831" w:rsidRDefault="00950831" w:rsidP="00055C0C">
      <w:pPr>
        <w:pStyle w:val="Bullet1G"/>
        <w:rPr>
          <w:lang w:val="en-US"/>
        </w:rPr>
      </w:pPr>
      <w:r w:rsidRPr="00950831">
        <w:rPr>
          <w:lang w:val="en-US"/>
        </w:rPr>
        <w:t>133.160, 133.</w:t>
      </w:r>
      <w:r w:rsidR="00055C0C">
        <w:rPr>
          <w:lang w:val="en-US"/>
        </w:rPr>
        <w:t>162–</w:t>
      </w:r>
      <w:r w:rsidRPr="00950831">
        <w:rPr>
          <w:lang w:val="en-US"/>
        </w:rPr>
        <w:t>169 and 133.232</w:t>
      </w:r>
      <w:r w:rsidR="00055C0C">
        <w:rPr>
          <w:lang w:val="en-US"/>
        </w:rPr>
        <w:t>;</w:t>
      </w:r>
    </w:p>
    <w:p w:rsidR="00950831" w:rsidRPr="00950831" w:rsidRDefault="00055C0C" w:rsidP="00055C0C">
      <w:pPr>
        <w:pStyle w:val="SingleTxtG"/>
        <w:rPr>
          <w:lang w:val="en-US"/>
        </w:rPr>
      </w:pPr>
      <w:r>
        <w:rPr>
          <w:lang w:val="en-US"/>
        </w:rPr>
        <w:t>7.</w:t>
      </w:r>
      <w:r>
        <w:rPr>
          <w:lang w:val="en-US"/>
        </w:rPr>
        <w:tab/>
      </w:r>
      <w:r w:rsidR="00950831" w:rsidRPr="00950831">
        <w:rPr>
          <w:lang w:val="en-US"/>
        </w:rPr>
        <w:t xml:space="preserve">As a universal mechanism that seeks to foster the sharing of good practices in the implementation of human rights commitments and obligations of member </w:t>
      </w:r>
      <w:r w:rsidR="00C77B9C">
        <w:rPr>
          <w:lang w:val="en-US"/>
        </w:rPr>
        <w:t>S</w:t>
      </w:r>
      <w:r w:rsidR="00950831" w:rsidRPr="00950831">
        <w:rPr>
          <w:lang w:val="en-US"/>
        </w:rPr>
        <w:t xml:space="preserve">tates, the UPR process has been successful in encouraging GPH to continue its ongoing efforts towards the fulfillment of human rights for all, as presented, in the National Report. GPH recognizes the recommendations of member </w:t>
      </w:r>
      <w:r w:rsidR="00C77B9C">
        <w:rPr>
          <w:lang w:val="en-US"/>
        </w:rPr>
        <w:t>S</w:t>
      </w:r>
      <w:r w:rsidR="00950831" w:rsidRPr="00950831">
        <w:rPr>
          <w:lang w:val="en-US"/>
        </w:rPr>
        <w:t>tates, which reflect recognition and respect for the State’s implementation of its human rights commitments and do not seek to impose a certain standard on the State's pursuit of human rights.</w:t>
      </w:r>
    </w:p>
    <w:p w:rsidR="00950831" w:rsidRPr="00950831" w:rsidRDefault="00055C0C" w:rsidP="00055C0C">
      <w:pPr>
        <w:pStyle w:val="SingleTxtG"/>
        <w:rPr>
          <w:lang w:val="en-US"/>
        </w:rPr>
      </w:pPr>
      <w:r>
        <w:rPr>
          <w:lang w:val="en"/>
        </w:rPr>
        <w:t>8.</w:t>
      </w:r>
      <w:r>
        <w:rPr>
          <w:lang w:val="en"/>
        </w:rPr>
        <w:tab/>
      </w:r>
      <w:r w:rsidR="00950831" w:rsidRPr="00950831">
        <w:rPr>
          <w:lang w:val="en"/>
        </w:rPr>
        <w:t xml:space="preserve">The </w:t>
      </w:r>
      <w:r w:rsidR="00950831" w:rsidRPr="00950831">
        <w:rPr>
          <w:lang w:val="en-US"/>
        </w:rPr>
        <w:t>determination of recommendations that were noted was anchored on the S</w:t>
      </w:r>
      <w:r>
        <w:rPr>
          <w:lang w:val="en-US"/>
        </w:rPr>
        <w:t>tate’s national circumstances.</w:t>
      </w:r>
    </w:p>
    <w:p w:rsidR="00950831" w:rsidRPr="00950831" w:rsidRDefault="00055C0C" w:rsidP="00055C0C">
      <w:pPr>
        <w:pStyle w:val="SingleTxtG"/>
        <w:rPr>
          <w:lang w:val="en-US"/>
        </w:rPr>
      </w:pPr>
      <w:r>
        <w:rPr>
          <w:lang w:val="en-US"/>
        </w:rPr>
        <w:tab/>
        <w:t>(a)</w:t>
      </w:r>
      <w:r>
        <w:rPr>
          <w:lang w:val="en-US"/>
        </w:rPr>
        <w:tab/>
      </w:r>
      <w:r w:rsidR="00950831" w:rsidRPr="00950831">
        <w:rPr>
          <w:lang w:val="en-US"/>
        </w:rPr>
        <w:t>As an example, recommendations referring to extrajudicial killings (EJKs) allegedly resulting from the anti-illegal drug (AID) campaign of the administration were already addressed in the interactive dialogue. The State had sufficiently explained that deaths, which occurred in the course of the implementation of the AID, are not EJKs. These are deaths arising from legitimate law enforcement operations or deaths that require further investigation following the established rules of engagement by the country’s law enforc</w:t>
      </w:r>
      <w:r>
        <w:rPr>
          <w:lang w:val="en-US"/>
        </w:rPr>
        <w:t>ers.</w:t>
      </w:r>
    </w:p>
    <w:p w:rsidR="00950831" w:rsidRPr="00950831" w:rsidRDefault="00055C0C" w:rsidP="00055C0C">
      <w:pPr>
        <w:pStyle w:val="SingleTxtG"/>
        <w:rPr>
          <w:lang w:val="en-US"/>
        </w:rPr>
      </w:pPr>
      <w:r>
        <w:rPr>
          <w:lang w:val="en-US"/>
        </w:rPr>
        <w:tab/>
        <w:t>(b)</w:t>
      </w:r>
      <w:r>
        <w:rPr>
          <w:lang w:val="en-US"/>
        </w:rPr>
        <w:tab/>
      </w:r>
      <w:r w:rsidR="00950831" w:rsidRPr="00950831">
        <w:rPr>
          <w:lang w:val="en-US"/>
        </w:rPr>
        <w:t>Recommendations on the re-imposition of the death penalty and the lowering of the age of criminal responsibility were likewise addressed during the interactive dialogue. The State informed that the concerns were subject to further deliberations in the Philippine Congress, which include comprehensive consultations with all stakeholders concerned, the outcome of whi</w:t>
      </w:r>
      <w:r>
        <w:rPr>
          <w:lang w:val="en-US"/>
        </w:rPr>
        <w:t>ch the State cannot influence.</w:t>
      </w:r>
    </w:p>
    <w:p w:rsidR="00950831" w:rsidRPr="00950831" w:rsidRDefault="00055C0C" w:rsidP="00055C0C">
      <w:pPr>
        <w:pStyle w:val="SingleTxtG"/>
        <w:rPr>
          <w:lang w:val="en-US"/>
        </w:rPr>
      </w:pPr>
      <w:r>
        <w:rPr>
          <w:lang w:val="en-US"/>
        </w:rPr>
        <w:t>9.</w:t>
      </w:r>
      <w:r>
        <w:rPr>
          <w:lang w:val="en-US"/>
        </w:rPr>
        <w:tab/>
      </w:r>
      <w:r w:rsidR="00950831" w:rsidRPr="00950831">
        <w:rPr>
          <w:lang w:val="en-US"/>
        </w:rPr>
        <w:t xml:space="preserve">GPH proposes that recommendations that were noted and essentially supported in part, and which, in previous review cycles were not required to be acted upon by States, be reviewed and updated in the next review cycle. All States shall be strongly encouraged to do so according to the context in which such recommendations were accepted or supported.  </w:t>
      </w:r>
    </w:p>
    <w:p w:rsidR="00CF586F" w:rsidRPr="00055C0C" w:rsidRDefault="00055C0C" w:rsidP="00055C0C">
      <w:pPr>
        <w:spacing w:before="240"/>
        <w:ind w:left="1134" w:right="1134"/>
        <w:jc w:val="center"/>
        <w:rPr>
          <w:u w:val="single"/>
        </w:rPr>
      </w:pPr>
      <w:r>
        <w:rPr>
          <w:u w:val="single"/>
        </w:rPr>
        <w:tab/>
      </w:r>
      <w:r>
        <w:rPr>
          <w:u w:val="single"/>
        </w:rPr>
        <w:tab/>
      </w:r>
      <w:r>
        <w:rPr>
          <w:u w:val="single"/>
        </w:rPr>
        <w:tab/>
      </w:r>
    </w:p>
    <w:sectPr w:rsidR="00CF586F" w:rsidRPr="00055C0C" w:rsidSect="00DE73B1">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3B1" w:rsidRDefault="00DE73B1"/>
  </w:endnote>
  <w:endnote w:type="continuationSeparator" w:id="0">
    <w:p w:rsidR="00DE73B1" w:rsidRDefault="00DE73B1"/>
  </w:endnote>
  <w:endnote w:type="continuationNotice" w:id="1">
    <w:p w:rsidR="00DE73B1" w:rsidRDefault="00DE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B1" w:rsidRPr="00DE73B1" w:rsidRDefault="00DE73B1" w:rsidP="00DE73B1">
    <w:pPr>
      <w:pStyle w:val="Footer"/>
      <w:tabs>
        <w:tab w:val="right" w:pos="9638"/>
      </w:tabs>
    </w:pPr>
    <w:r w:rsidRPr="00DE73B1">
      <w:rPr>
        <w:b/>
        <w:sz w:val="18"/>
      </w:rPr>
      <w:fldChar w:fldCharType="begin"/>
    </w:r>
    <w:r w:rsidRPr="00DE73B1">
      <w:rPr>
        <w:b/>
        <w:sz w:val="18"/>
      </w:rPr>
      <w:instrText xml:space="preserve"> PAGE  \* MERGEFORMAT </w:instrText>
    </w:r>
    <w:r w:rsidRPr="00DE73B1">
      <w:rPr>
        <w:b/>
        <w:sz w:val="18"/>
      </w:rPr>
      <w:fldChar w:fldCharType="separate"/>
    </w:r>
    <w:r w:rsidR="00E451A1">
      <w:rPr>
        <w:b/>
        <w:noProof/>
        <w:sz w:val="18"/>
      </w:rPr>
      <w:t>4</w:t>
    </w:r>
    <w:r w:rsidRPr="00DE73B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B1" w:rsidRPr="00DE73B1" w:rsidRDefault="00DE73B1" w:rsidP="00DE73B1">
    <w:pPr>
      <w:pStyle w:val="Footer"/>
      <w:tabs>
        <w:tab w:val="right" w:pos="9638"/>
      </w:tabs>
      <w:rPr>
        <w:b/>
        <w:sz w:val="18"/>
      </w:rPr>
    </w:pPr>
    <w:r>
      <w:tab/>
    </w:r>
    <w:r w:rsidRPr="00DE73B1">
      <w:rPr>
        <w:b/>
        <w:sz w:val="18"/>
      </w:rPr>
      <w:fldChar w:fldCharType="begin"/>
    </w:r>
    <w:r w:rsidRPr="00DE73B1">
      <w:rPr>
        <w:b/>
        <w:sz w:val="18"/>
      </w:rPr>
      <w:instrText xml:space="preserve"> PAGE  \* MERGEFORMAT </w:instrText>
    </w:r>
    <w:r w:rsidRPr="00DE73B1">
      <w:rPr>
        <w:b/>
        <w:sz w:val="18"/>
      </w:rPr>
      <w:fldChar w:fldCharType="separate"/>
    </w:r>
    <w:r w:rsidR="00E451A1">
      <w:rPr>
        <w:b/>
        <w:noProof/>
        <w:sz w:val="18"/>
      </w:rPr>
      <w:t>5</w:t>
    </w:r>
    <w:r w:rsidRPr="00DE73B1">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3B1" w:rsidRPr="000B175B" w:rsidRDefault="00DE73B1" w:rsidP="000B175B">
      <w:pPr>
        <w:tabs>
          <w:tab w:val="right" w:pos="2155"/>
        </w:tabs>
        <w:spacing w:after="80"/>
        <w:ind w:left="680"/>
        <w:rPr>
          <w:u w:val="single"/>
        </w:rPr>
      </w:pPr>
      <w:r>
        <w:rPr>
          <w:u w:val="single"/>
        </w:rPr>
        <w:tab/>
      </w:r>
    </w:p>
  </w:footnote>
  <w:footnote w:type="continuationSeparator" w:id="0">
    <w:p w:rsidR="00DE73B1" w:rsidRPr="00FC68B7" w:rsidRDefault="00DE73B1" w:rsidP="00FC68B7">
      <w:pPr>
        <w:tabs>
          <w:tab w:val="left" w:pos="2155"/>
        </w:tabs>
        <w:spacing w:after="80"/>
        <w:ind w:left="680"/>
        <w:rPr>
          <w:u w:val="single"/>
        </w:rPr>
      </w:pPr>
      <w:r>
        <w:rPr>
          <w:u w:val="single"/>
        </w:rPr>
        <w:tab/>
      </w:r>
    </w:p>
  </w:footnote>
  <w:footnote w:type="continuationNotice" w:id="1">
    <w:p w:rsidR="00DE73B1" w:rsidRDefault="00DE73B1"/>
  </w:footnote>
  <w:footnote w:id="2">
    <w:p w:rsidR="00DE73B1" w:rsidRDefault="00DE73B1" w:rsidP="00DE73B1">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 w:id="3">
    <w:p w:rsidR="002012AC" w:rsidRDefault="002012AC" w:rsidP="002012AC">
      <w:pPr>
        <w:pStyle w:val="FootnoteText"/>
        <w:widowControl w:val="0"/>
        <w:tabs>
          <w:tab w:val="clear" w:pos="1021"/>
          <w:tab w:val="right" w:pos="1020"/>
        </w:tabs>
      </w:pPr>
      <w:r>
        <w:tab/>
      </w:r>
      <w:r>
        <w:rPr>
          <w:rStyle w:val="FootnoteReference"/>
        </w:rPr>
        <w:footnoteRef/>
      </w:r>
      <w:r>
        <w:tab/>
      </w:r>
      <w:r w:rsidRPr="002012AC">
        <w:rPr>
          <w:lang w:val="en-PH"/>
        </w:rPr>
        <w:t>These agencies are as follows: Department of Foreign Affairs (DFA), Department of Justice (DOJ), Department of the Interior and Local Government (DILG), Department of Social Welfare and Development (DSWD), Department of Health (DOH), Department of Labor and Employment (DOLE), Department of Education (DepEd), National Economic Development Authority (NEDA), Philippine Commission on Women (PCW), Philippine Development Authority (PDEA), National Council for Indigenous Peoples (NCIP), National Anti-Poverty Commission (NAPC), Armed Forces of the Philippines-Human Rights Office (AFP-HRAO), Philippine National Police-Human Rights Affairs Office (PNP-HRAO), and Climate Change Commission (CCC).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B1" w:rsidRPr="00DE73B1" w:rsidRDefault="00DE73B1">
    <w:pPr>
      <w:pStyle w:val="Header"/>
    </w:pPr>
    <w:r>
      <w:t>A/HRC/36/12/Add.1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B1" w:rsidRPr="00DE73B1" w:rsidRDefault="00DE73B1" w:rsidP="00DE73B1">
    <w:pPr>
      <w:pStyle w:val="Header"/>
      <w:jc w:val="right"/>
    </w:pPr>
    <w:r>
      <w:t>A/HRC/36/12/Add.1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100410"/>
    <w:multiLevelType w:val="hybridMultilevel"/>
    <w:tmpl w:val="5AC8480A"/>
    <w:lvl w:ilvl="0" w:tplc="6D6E8164">
      <w:numFmt w:val="bullet"/>
      <w:lvlText w:val=""/>
      <w:lvlJc w:val="left"/>
      <w:pPr>
        <w:ind w:left="720" w:hanging="360"/>
      </w:pPr>
      <w:rPr>
        <w:rFonts w:ascii="Symbol" w:eastAsia="Calibr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51275F"/>
    <w:multiLevelType w:val="multilevel"/>
    <w:tmpl w:val="B15A77DC"/>
    <w:lvl w:ilvl="0">
      <w:start w:val="1"/>
      <w:numFmt w:val="decimal"/>
      <w:lvlText w:val="%1."/>
      <w:lvlJc w:val="left"/>
      <w:pPr>
        <w:ind w:left="720" w:hanging="360"/>
      </w:pPr>
    </w:lvl>
    <w:lvl w:ilvl="1">
      <w:start w:val="1"/>
      <w:numFmt w:val="decimal"/>
      <w:isLgl/>
      <w:lvlText w:val="%1.%2."/>
      <w:lvlJc w:val="left"/>
      <w:pPr>
        <w:ind w:left="1080" w:hanging="720"/>
      </w:pPr>
      <w:rPr>
        <w:rFonts w:eastAsia="SimSun" w:hint="default"/>
        <w:color w:val="000000"/>
      </w:rPr>
    </w:lvl>
    <w:lvl w:ilvl="2">
      <w:start w:val="1"/>
      <w:numFmt w:val="decimal"/>
      <w:isLgl/>
      <w:lvlText w:val="%1.%2.%3."/>
      <w:lvlJc w:val="left"/>
      <w:pPr>
        <w:ind w:left="1080" w:hanging="720"/>
      </w:pPr>
      <w:rPr>
        <w:rFonts w:eastAsia="SimSun" w:hint="default"/>
        <w:color w:val="000000"/>
      </w:rPr>
    </w:lvl>
    <w:lvl w:ilvl="3">
      <w:start w:val="1"/>
      <w:numFmt w:val="decimal"/>
      <w:isLgl/>
      <w:lvlText w:val="%1.%2.%3.%4."/>
      <w:lvlJc w:val="left"/>
      <w:pPr>
        <w:ind w:left="1440" w:hanging="108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800" w:hanging="144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2160" w:hanging="1800"/>
      </w:pPr>
      <w:rPr>
        <w:rFonts w:eastAsia="SimSun" w:hint="default"/>
        <w:color w:val="000000"/>
      </w:rPr>
    </w:lvl>
    <w:lvl w:ilvl="8">
      <w:start w:val="1"/>
      <w:numFmt w:val="decimal"/>
      <w:isLgl/>
      <w:lvlText w:val="%1.%2.%3.%4.%5.%6.%7.%8.%9."/>
      <w:lvlJc w:val="left"/>
      <w:pPr>
        <w:ind w:left="2520" w:hanging="2160"/>
      </w:pPr>
      <w:rPr>
        <w:rFonts w:eastAsia="SimSun" w:hint="default"/>
        <w:color w:val="000000"/>
      </w:r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3"/>
  </w:num>
  <w:num w:numId="3">
    <w:abstractNumId w:val="8"/>
  </w:num>
  <w:num w:numId="4">
    <w:abstractNumId w:val="2"/>
  </w:num>
  <w:num w:numId="5">
    <w:abstractNumId w:val="0"/>
  </w:num>
  <w:num w:numId="6">
    <w:abstractNumId w:val="1"/>
  </w:num>
  <w:num w:numId="7">
    <w:abstractNumId w:val="7"/>
  </w:num>
  <w:num w:numId="8">
    <w:abstractNumId w:val="6"/>
  </w:num>
  <w:num w:numId="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a Tabirta">
    <w15:presenceInfo w15:providerId="None" w15:userId="Irina Tabi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P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B1"/>
    <w:rsid w:val="00007F7F"/>
    <w:rsid w:val="00022DB5"/>
    <w:rsid w:val="000403D1"/>
    <w:rsid w:val="000449AA"/>
    <w:rsid w:val="00050F6B"/>
    <w:rsid w:val="00055C0C"/>
    <w:rsid w:val="00072C8C"/>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E2790"/>
    <w:rsid w:val="002012AC"/>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370B0"/>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0EF6"/>
    <w:rsid w:val="00871FD5"/>
    <w:rsid w:val="008979B1"/>
    <w:rsid w:val="008A6B25"/>
    <w:rsid w:val="008A6C4F"/>
    <w:rsid w:val="008C1E4D"/>
    <w:rsid w:val="008E0E46"/>
    <w:rsid w:val="0090452C"/>
    <w:rsid w:val="00907C3F"/>
    <w:rsid w:val="0092237C"/>
    <w:rsid w:val="0093707B"/>
    <w:rsid w:val="009400EB"/>
    <w:rsid w:val="009427E3"/>
    <w:rsid w:val="00950831"/>
    <w:rsid w:val="00956D9B"/>
    <w:rsid w:val="00963CBA"/>
    <w:rsid w:val="009654B7"/>
    <w:rsid w:val="00991261"/>
    <w:rsid w:val="009A0B83"/>
    <w:rsid w:val="009B3800"/>
    <w:rsid w:val="009D22AC"/>
    <w:rsid w:val="009D50DB"/>
    <w:rsid w:val="009E1C4E"/>
    <w:rsid w:val="00A05E0B"/>
    <w:rsid w:val="00A1427D"/>
    <w:rsid w:val="00A4634F"/>
    <w:rsid w:val="00A50364"/>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C24693"/>
    <w:rsid w:val="00C35F0B"/>
    <w:rsid w:val="00C463DD"/>
    <w:rsid w:val="00C64458"/>
    <w:rsid w:val="00C71A1A"/>
    <w:rsid w:val="00C745C3"/>
    <w:rsid w:val="00C77B9C"/>
    <w:rsid w:val="00CA2A58"/>
    <w:rsid w:val="00CC0B55"/>
    <w:rsid w:val="00CD6995"/>
    <w:rsid w:val="00CE4A8F"/>
    <w:rsid w:val="00CF0214"/>
    <w:rsid w:val="00CF586F"/>
    <w:rsid w:val="00CF7D43"/>
    <w:rsid w:val="00D02925"/>
    <w:rsid w:val="00D11129"/>
    <w:rsid w:val="00D2031B"/>
    <w:rsid w:val="00D22332"/>
    <w:rsid w:val="00D226FD"/>
    <w:rsid w:val="00D25FE2"/>
    <w:rsid w:val="00D43252"/>
    <w:rsid w:val="00D550F9"/>
    <w:rsid w:val="00D572B0"/>
    <w:rsid w:val="00D62E90"/>
    <w:rsid w:val="00D76BE5"/>
    <w:rsid w:val="00D978C6"/>
    <w:rsid w:val="00DA67AD"/>
    <w:rsid w:val="00DB18CE"/>
    <w:rsid w:val="00DE05ED"/>
    <w:rsid w:val="00DE3EC0"/>
    <w:rsid w:val="00DE73B1"/>
    <w:rsid w:val="00E11593"/>
    <w:rsid w:val="00E12B6B"/>
    <w:rsid w:val="00E130AB"/>
    <w:rsid w:val="00E438D9"/>
    <w:rsid w:val="00E451A1"/>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53A4"/>
    <w:rsid w:val="00FC68B7"/>
    <w:rsid w:val="00FD7C12"/>
    <w:rsid w:val="00FF5E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DE73B1"/>
    <w:rPr>
      <w:sz w:val="18"/>
      <w:lang w:eastAsia="en-US"/>
    </w:rPr>
  </w:style>
  <w:style w:type="paragraph" w:styleId="BalloonText">
    <w:name w:val="Balloon Text"/>
    <w:basedOn w:val="Normal"/>
    <w:link w:val="BalloonTextChar"/>
    <w:semiHidden/>
    <w:unhideWhenUsed/>
    <w:rsid w:val="00FF5E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F5E09"/>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DE73B1"/>
    <w:rPr>
      <w:sz w:val="18"/>
      <w:lang w:eastAsia="en-US"/>
    </w:rPr>
  </w:style>
  <w:style w:type="paragraph" w:styleId="BalloonText">
    <w:name w:val="Balloon Text"/>
    <w:basedOn w:val="Normal"/>
    <w:link w:val="BalloonTextChar"/>
    <w:semiHidden/>
    <w:unhideWhenUsed/>
    <w:rsid w:val="00FF5E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F5E0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9A472B-4C63-4ABE-ABEA-906CEA09DA2F}"/>
</file>

<file path=customXml/itemProps2.xml><?xml version="1.0" encoding="utf-8"?>
<ds:datastoreItem xmlns:ds="http://schemas.openxmlformats.org/officeDocument/2006/customXml" ds:itemID="{229FF224-87FB-42DA-98E6-DF7298BE4D54}"/>
</file>

<file path=customXml/itemProps3.xml><?xml version="1.0" encoding="utf-8"?>
<ds:datastoreItem xmlns:ds="http://schemas.openxmlformats.org/officeDocument/2006/customXml" ds:itemID="{1AB47012-E455-492A-9369-E46A8519D285}"/>
</file>

<file path=docProps/app.xml><?xml version="1.0" encoding="utf-8"?>
<Properties xmlns="http://schemas.openxmlformats.org/officeDocument/2006/extended-properties" xmlns:vt="http://schemas.openxmlformats.org/officeDocument/2006/docPropsVTypes">
  <Template>A_E.dotm</Template>
  <TotalTime>1</TotalTime>
  <Pages>5</Pages>
  <Words>1050</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Sumiko IHARA</cp:lastModifiedBy>
  <cp:revision>2</cp:revision>
  <cp:lastPrinted>2017-09-18T09:59:00Z</cp:lastPrinted>
  <dcterms:created xsi:type="dcterms:W3CDTF">2017-09-19T14:25:00Z</dcterms:created>
  <dcterms:modified xsi:type="dcterms:W3CDTF">2017-09-19T14:25:00Z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6400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