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074A57" w:rsidP="00074A57">
            <w:pPr>
              <w:jc w:val="right"/>
            </w:pPr>
            <w:r w:rsidRPr="00074A57">
              <w:rPr>
                <w:sz w:val="40"/>
              </w:rPr>
              <w:t>A</w:t>
            </w:r>
            <w:r>
              <w:t>/HRC/37/16/Add.1</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9655FB"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Default="00074A57" w:rsidP="00074A57">
            <w:pPr>
              <w:spacing w:before="240" w:line="240" w:lineRule="exact"/>
            </w:pPr>
            <w:r>
              <w:t>Distr.: General</w:t>
            </w:r>
          </w:p>
          <w:p w:rsidR="00074A57" w:rsidRDefault="00354396" w:rsidP="00074A57">
            <w:pPr>
              <w:spacing w:line="240" w:lineRule="exact"/>
            </w:pPr>
            <w:r>
              <w:t>23</w:t>
            </w:r>
            <w:r w:rsidR="00074A57">
              <w:t xml:space="preserve"> February 2018</w:t>
            </w:r>
          </w:p>
          <w:p w:rsidR="00074A57" w:rsidRDefault="00074A57" w:rsidP="00074A57">
            <w:pPr>
              <w:spacing w:line="240" w:lineRule="exact"/>
            </w:pPr>
          </w:p>
          <w:p w:rsidR="00074A57" w:rsidRDefault="00074A57" w:rsidP="00074A57">
            <w:pPr>
              <w:spacing w:line="240" w:lineRule="exact"/>
            </w:pPr>
            <w:r>
              <w:t>Original: English</w:t>
            </w:r>
          </w:p>
        </w:tc>
      </w:tr>
    </w:tbl>
    <w:p w:rsidR="00074A57" w:rsidRPr="006C7248" w:rsidRDefault="00074A57" w:rsidP="009A4608">
      <w:pPr>
        <w:spacing w:before="120"/>
        <w:rPr>
          <w:b/>
          <w:bCs/>
          <w:sz w:val="24"/>
          <w:szCs w:val="24"/>
        </w:rPr>
      </w:pPr>
      <w:r w:rsidRPr="006C7248">
        <w:rPr>
          <w:b/>
          <w:bCs/>
          <w:sz w:val="24"/>
          <w:szCs w:val="24"/>
        </w:rPr>
        <w:t>Human Rights Council</w:t>
      </w:r>
      <w:r w:rsidR="003A2011">
        <w:rPr>
          <w:noProof/>
          <w:lang w:eastAsia="ja-JP"/>
        </w:rPr>
        <mc:AlternateContent>
          <mc:Choice Requires="wps">
            <w:drawing>
              <wp:anchor distT="0" distB="0" distL="114300" distR="114300" simplePos="0" relativeHeight="251658240" behindDoc="0" locked="0" layoutInCell="1" allowOverlap="0">
                <wp:simplePos x="0" y="0"/>
                <wp:positionH relativeFrom="margin">
                  <wp:posOffset>5489575</wp:posOffset>
                </wp:positionH>
                <wp:positionV relativeFrom="margin">
                  <wp:posOffset>8027670</wp:posOffset>
                </wp:positionV>
                <wp:extent cx="638175" cy="638175"/>
                <wp:effectExtent l="0" t="0" r="0" b="0"/>
                <wp:wrapNone/>
                <wp:docPr id="3" name="Picture 1"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956CA2B" id="Picture 1" o:spid="_x0000_s1026" alt="Add" style="position:absolute;margin-left:432.25pt;margin-top:632.1pt;width:50.25pt;height:5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rcugIAAMEFAAAOAAAAZHJzL2Uyb0RvYy54bWysVNtu2zAMfR+wfxD07tpOnYuNOkUax8OA&#10;bivQ7QMUSY6F2ZInKXG6Yv8+Sk7SpH0ZtvlBkEj58JA84s3tvm3QjmsjlMxxfBVhxCVVTMhNjr99&#10;LYMZRsYSyUijJM/xEzf4dv7+3U3fZXykatUwrhGASJP1XY5ra7ssDA2teUvMleq4BGeldEssHPUm&#10;ZJr0gN424SiKJmGvNOu0otwYsBaDE889flVxar9UleEWNTkGbtav2q9rt4bzG5JtNOlqQQ80yF+w&#10;aImQEPQEVRBL0FaLN1CtoFoZVdkrqtpQVZWg3OcA2cTRq2wea9JxnwsUx3SnMpn/B0s/7x40EizH&#10;1xhJ0kKLHgS1W81RjBHjhkKxFoy5QvWdyeD+Y/egXaqmu1f0u0FSLWsiN3xhOig3iACAjiatVV9z&#10;woBx7CDCCwx3MICG1v0nxSA02Vrly7ivdOtiQIHQ3nfr6dQtvreIgnFyPYunY4wouA57F4Fkx587&#10;bewHrlrkNjnWwM6Dk929scPV4xUXS6pSNA3YSdbICwNgDhYIDb86nyPh+/ucRulqtpolQTKarIIk&#10;KopgUS6TYFICu+K6WC6L+JeLGydZLRjj0oU5ai1O/qyXB9UPKjmpzahGMAfnKBm9WS8bjXYEtF76&#10;z5ccPC/Xwksavl6Qy6uU4lES3Y3SoJzMpkFSJuMgnUazIIrTu3QSJWlSlJcp3QvJ/z0l1Oc4HY/G&#10;vktnpF/lFvnvbW4ka4WFadKINsez0yWSOQWuJPOttUQ0w/6sFI7+Symg3cdGe706iQ7qXyv2BHLV&#10;CuQE0wTmHmxqpX9i1MMMybH5sSWaY9R8lCD5NE4SN3T8IRlPR3DQ5571uYdIClA5thgN26UdBtW2&#10;02JTQ6TYF0aqBTyTSngJuyc0sDo8LpgTPpPDTHOD6Pzsb71M3vlvAAAA//8DAFBLAwQUAAYACAAA&#10;ACEAv2J2NOQAAAANAQAADwAAAGRycy9kb3ducmV2LnhtbEyPwU7DMBBE70j8g7VIXBB1CKlbQpwK&#10;VUJUCKkiLT27sUki4nUau0n4e5YTHHfmaXYmW022ZYPpfeNQwt0sAmawdLrBSsJ+93y7BOaDQq1a&#10;h0bCt/Gwyi8vMpVqN+K7GYpQMQpBnyoJdQhdyrkva2OVn7nOIHmfrrcq0NlXXPdqpHDb8jiKBLeq&#10;QfpQq86sa1N+FWcrYSy3w2H39sK3N4eNw9PmtC4+XqW8vpqeHoEFM4U/GH7rU3XIqdPRnVF71kpY&#10;imROKBmxSGJghDyIOc07knQvkgXwPOP/V+Q/AAAA//8DAFBLAQItABQABgAIAAAAIQC2gziS/gAA&#10;AOEBAAATAAAAAAAAAAAAAAAAAAAAAABbQ29udGVudF9UeXBlc10ueG1sUEsBAi0AFAAGAAgAAAAh&#10;ADj9If/WAAAAlAEAAAsAAAAAAAAAAAAAAAAALwEAAF9yZWxzLy5yZWxzUEsBAi0AFAAGAAgAAAAh&#10;AAku6ty6AgAAwQUAAA4AAAAAAAAAAAAAAAAALgIAAGRycy9lMm9Eb2MueG1sUEsBAi0AFAAGAAgA&#10;AAAhAL9idjTkAAAADQEAAA8AAAAAAAAAAAAAAAAAFAUAAGRycy9kb3ducmV2LnhtbFBLBQYAAAAA&#10;BAAEAPMAAAAlBgAAAAA=&#10;" o:allowoverlap="f" filled="f" stroked="f">
                <o:lock v:ext="edit" aspectratio="t"/>
                <w10:wrap anchorx="margin" anchory="margin"/>
              </v:rect>
            </w:pict>
          </mc:Fallback>
        </mc:AlternateContent>
      </w:r>
    </w:p>
    <w:p w:rsidR="00074A57" w:rsidRDefault="00074A57" w:rsidP="00074A57">
      <w:pPr>
        <w:rPr>
          <w:b/>
          <w:bCs/>
        </w:rPr>
      </w:pPr>
      <w:r w:rsidRPr="006C7248">
        <w:rPr>
          <w:b/>
          <w:bCs/>
        </w:rPr>
        <w:t>Thirty-</w:t>
      </w:r>
      <w:r>
        <w:rPr>
          <w:b/>
          <w:bCs/>
        </w:rPr>
        <w:t>sevent</w:t>
      </w:r>
      <w:r w:rsidRPr="006C7248">
        <w:rPr>
          <w:b/>
          <w:bCs/>
        </w:rPr>
        <w:t>h session</w:t>
      </w:r>
    </w:p>
    <w:p w:rsidR="007A0B9C" w:rsidRPr="006C7248" w:rsidRDefault="007A0B9C" w:rsidP="00074A57">
      <w:pPr>
        <w:rPr>
          <w:b/>
          <w:bCs/>
        </w:rPr>
      </w:pPr>
      <w:r>
        <w:t>26 February–23 March 2018</w:t>
      </w:r>
    </w:p>
    <w:p w:rsidR="00074A57" w:rsidRPr="006C7248" w:rsidRDefault="00074A57" w:rsidP="00074A57">
      <w:r w:rsidRPr="006C7248">
        <w:t>Agenda item 6</w:t>
      </w:r>
    </w:p>
    <w:p w:rsidR="00074A57" w:rsidRPr="006C7248" w:rsidRDefault="00074A57" w:rsidP="00074A57">
      <w:pPr>
        <w:rPr>
          <w:b/>
        </w:rPr>
      </w:pPr>
      <w:r w:rsidRPr="006C7248">
        <w:rPr>
          <w:b/>
        </w:rPr>
        <w:t>Universal Periodic Review</w:t>
      </w:r>
    </w:p>
    <w:p w:rsidR="00074A57" w:rsidRPr="006C7248" w:rsidRDefault="00074A57" w:rsidP="00074A57">
      <w:pPr>
        <w:keepNext/>
        <w:keepLines/>
        <w:tabs>
          <w:tab w:val="right" w:pos="851"/>
        </w:tabs>
        <w:spacing w:before="360" w:after="240" w:line="300" w:lineRule="exact"/>
        <w:ind w:left="1134" w:right="1134" w:hanging="1134"/>
        <w:rPr>
          <w:b/>
          <w:sz w:val="28"/>
        </w:rPr>
      </w:pPr>
      <w:r w:rsidRPr="006C7248">
        <w:rPr>
          <w:b/>
          <w:sz w:val="28"/>
        </w:rPr>
        <w:lastRenderedPageBreak/>
        <w:tab/>
      </w:r>
      <w:r w:rsidRPr="006C7248">
        <w:rPr>
          <w:b/>
          <w:sz w:val="28"/>
        </w:rPr>
        <w:tab/>
        <w:t>Report of the Working Group on the Universal Periodic Review</w:t>
      </w:r>
      <w:r w:rsidRPr="002D7A86">
        <w:footnoteReference w:customMarkFollows="1" w:id="2"/>
        <w:t>*</w:t>
      </w:r>
    </w:p>
    <w:p w:rsidR="00074A57" w:rsidRPr="006C7248" w:rsidRDefault="00074A57" w:rsidP="00074A57">
      <w:pPr>
        <w:keepNext/>
        <w:keepLines/>
        <w:tabs>
          <w:tab w:val="right" w:pos="851"/>
        </w:tabs>
        <w:spacing w:before="360" w:after="240" w:line="300" w:lineRule="exact"/>
        <w:ind w:left="1134" w:right="1134" w:hanging="1134"/>
        <w:rPr>
          <w:b/>
          <w:sz w:val="28"/>
        </w:rPr>
      </w:pPr>
      <w:r>
        <w:rPr>
          <w:b/>
          <w:sz w:val="28"/>
        </w:rPr>
        <w:tab/>
      </w:r>
      <w:r>
        <w:rPr>
          <w:b/>
          <w:sz w:val="28"/>
        </w:rPr>
        <w:tab/>
        <w:t>Ukraine</w:t>
      </w:r>
    </w:p>
    <w:p w:rsidR="00074A57" w:rsidRPr="006C7248" w:rsidRDefault="00074A57" w:rsidP="00074A57">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074A57" w:rsidRPr="006C7248" w:rsidRDefault="00074A57" w:rsidP="00074A57">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F20401" w:rsidRDefault="00074A57" w:rsidP="00F20401">
      <w:pPr>
        <w:pStyle w:val="HChG"/>
      </w:pPr>
      <w:r w:rsidRPr="006C7248">
        <w:br w:type="page"/>
      </w:r>
      <w:r w:rsidR="00F20401">
        <w:lastRenderedPageBreak/>
        <w:tab/>
      </w:r>
      <w:r w:rsidR="00F20401">
        <w:tab/>
        <w:t>Ukraine’s position on recommendations received at the 28</w:t>
      </w:r>
      <w:r w:rsidR="00F20401" w:rsidRPr="00F20401">
        <w:rPr>
          <w:vertAlign w:val="superscript"/>
        </w:rPr>
        <w:t>th</w:t>
      </w:r>
      <w:r w:rsidR="00F20401">
        <w:t xml:space="preserve"> session of the UN Human Rights Council Working Group on the Universal Periodic Review</w:t>
      </w:r>
    </w:p>
    <w:p w:rsidR="00074A57" w:rsidRPr="00E8724D" w:rsidRDefault="00457879" w:rsidP="00465B89">
      <w:pPr>
        <w:pStyle w:val="SingleTxtG"/>
        <w:tabs>
          <w:tab w:val="left" w:pos="567"/>
          <w:tab w:val="left" w:pos="1701"/>
        </w:tabs>
        <w:ind w:firstLine="567"/>
      </w:pPr>
      <w:r>
        <w:t>116.1.</w:t>
      </w:r>
      <w:r>
        <w:tab/>
      </w:r>
      <w:r w:rsidR="00074A57" w:rsidRPr="00E8724D">
        <w:t>Noted. The issue of the ratification of the Optional Protocol to the International Covenant on Economic, Social and Cultural Rights will be considered by the Government of Ukraine.</w:t>
      </w:r>
    </w:p>
    <w:p w:rsidR="00074A57" w:rsidRPr="00E8724D" w:rsidRDefault="00074A57" w:rsidP="00465B89">
      <w:pPr>
        <w:pStyle w:val="SingleTxtG"/>
        <w:tabs>
          <w:tab w:val="left" w:pos="567"/>
          <w:tab w:val="left" w:pos="1701"/>
        </w:tabs>
        <w:ind w:firstLine="567"/>
      </w:pPr>
      <w:r w:rsidRPr="00E8724D">
        <w:t>116.2, 116</w:t>
      </w:r>
      <w:r w:rsidR="00457879">
        <w:t>.3, 116.4, 116.5, 116.6, 116.7.</w:t>
      </w:r>
      <w:r w:rsidR="00457879">
        <w:tab/>
      </w:r>
      <w:r w:rsidRPr="00E8724D">
        <w:t xml:space="preserve">Noted. The Government of Ukraine is not planning to ratify the International Convention on the Protection of the Rights of All Migrants and Members of their Families. At the same time, the Government of Ukraine will continue to </w:t>
      </w:r>
      <w:r>
        <w:rPr>
          <w:lang w:val="en-US"/>
        </w:rPr>
        <w:t>respect</w:t>
      </w:r>
      <w:r w:rsidRPr="00E8724D">
        <w:t xml:space="preserve"> the rights of migrants and their families residing in Ukraine.</w:t>
      </w:r>
    </w:p>
    <w:p w:rsidR="00074A57" w:rsidRPr="00E8724D" w:rsidRDefault="00074A57" w:rsidP="00465B89">
      <w:pPr>
        <w:pStyle w:val="SingleTxtG"/>
        <w:tabs>
          <w:tab w:val="left" w:pos="567"/>
          <w:tab w:val="left" w:pos="1701"/>
        </w:tabs>
        <w:ind w:firstLine="567"/>
      </w:pPr>
      <w:r w:rsidRPr="00E8724D">
        <w:t>116.8,</w:t>
      </w:r>
      <w:r w:rsidR="00457879">
        <w:t xml:space="preserve"> 116.9, 116.10, 116.11, 116.12.</w:t>
      </w:r>
      <w:r w:rsidR="00457879">
        <w:tab/>
      </w:r>
      <w:r w:rsidRPr="00E8724D">
        <w:t xml:space="preserve">Accepted. Ukraine introduced amendments to the Constitution allowing for the ratification of the Rome Statute of the International Criminal Court after </w:t>
      </w:r>
      <w:r w:rsidRPr="00E8724D">
        <w:rPr>
          <w:rStyle w:val="aqj"/>
          <w:rFonts w:ascii="Cambria" w:hAnsi="Cambria"/>
          <w:color w:val="000000"/>
        </w:rPr>
        <w:t>June 30, 2019</w:t>
      </w:r>
      <w:r w:rsidRPr="00E8724D">
        <w:t xml:space="preserve"> (three years after the entry into force). Meanwhile, draft law regulating the procedure for cooperation with the International Criminal Court in connection with the Declaration made by Ukraine </w:t>
      </w:r>
      <w:r w:rsidRPr="00E8724D">
        <w:lastRenderedPageBreak/>
        <w:t xml:space="preserve">under Art. 12(3) of the Rome Statute recognizing the jurisdiction of ICC </w:t>
      </w:r>
      <w:r>
        <w:rPr>
          <w:lang w:val="en-US"/>
        </w:rPr>
        <w:t xml:space="preserve">has </w:t>
      </w:r>
      <w:r w:rsidRPr="00E8724D">
        <w:t>been submitted to the Parliament.</w:t>
      </w:r>
    </w:p>
    <w:p w:rsidR="00074A57" w:rsidRPr="00E8724D" w:rsidRDefault="00457879" w:rsidP="00465B89">
      <w:pPr>
        <w:pStyle w:val="SingleTxtG"/>
        <w:tabs>
          <w:tab w:val="left" w:pos="567"/>
          <w:tab w:val="left" w:pos="1701"/>
        </w:tabs>
        <w:ind w:firstLine="567"/>
      </w:pPr>
      <w:r>
        <w:t>116.13.</w:t>
      </w:r>
      <w:r>
        <w:tab/>
      </w:r>
      <w:r w:rsidR="00074A57" w:rsidRPr="00E8724D">
        <w:t>Noted. The issue of the ratification of the Arms Trade Treaty is under consideration.</w:t>
      </w:r>
    </w:p>
    <w:p w:rsidR="00074A57" w:rsidRPr="00E8724D" w:rsidRDefault="00457879" w:rsidP="00465B89">
      <w:pPr>
        <w:pStyle w:val="SingleTxtG"/>
        <w:tabs>
          <w:tab w:val="left" w:pos="567"/>
          <w:tab w:val="left" w:pos="1701"/>
        </w:tabs>
        <w:ind w:firstLine="567"/>
      </w:pPr>
      <w:r>
        <w:t>116.14, 116.15, 116.16.</w:t>
      </w:r>
      <w:r>
        <w:tab/>
      </w:r>
      <w:r w:rsidR="00074A57" w:rsidRPr="00E8724D">
        <w:t>Noted.</w:t>
      </w:r>
    </w:p>
    <w:p w:rsidR="00074A57" w:rsidRPr="00E8724D" w:rsidRDefault="00457879" w:rsidP="00465B89">
      <w:pPr>
        <w:pStyle w:val="SingleTxtG"/>
        <w:tabs>
          <w:tab w:val="left" w:pos="567"/>
          <w:tab w:val="left" w:pos="1701"/>
        </w:tabs>
        <w:ind w:firstLine="567"/>
      </w:pPr>
      <w:r>
        <w:t>116.17.</w:t>
      </w:r>
      <w:r>
        <w:tab/>
      </w:r>
      <w:r w:rsidR="00074A57" w:rsidRPr="00E8724D">
        <w:t>Accepted. Draft law on accession to the Convention on the Protection of Children and Co-operation in Respect of Inter-Country Adoption is registered in the Parliament of Ukraine.</w:t>
      </w:r>
    </w:p>
    <w:p w:rsidR="00074A57" w:rsidRPr="00E8724D" w:rsidRDefault="00457879" w:rsidP="00465B89">
      <w:pPr>
        <w:pStyle w:val="SingleTxtG"/>
        <w:tabs>
          <w:tab w:val="left" w:pos="567"/>
          <w:tab w:val="left" w:pos="1701"/>
        </w:tabs>
        <w:ind w:firstLine="567"/>
      </w:pPr>
      <w:r>
        <w:t>116.18.</w:t>
      </w:r>
      <w:r>
        <w:tab/>
      </w:r>
      <w:r w:rsidR="00074A57" w:rsidRPr="00E8724D">
        <w:t>Noted.</w:t>
      </w:r>
    </w:p>
    <w:p w:rsidR="00074A57" w:rsidRPr="00E8724D" w:rsidRDefault="00074A57" w:rsidP="00465B89">
      <w:pPr>
        <w:pStyle w:val="SingleTxtG"/>
        <w:tabs>
          <w:tab w:val="left" w:pos="567"/>
          <w:tab w:val="left" w:pos="1701"/>
        </w:tabs>
        <w:ind w:firstLine="567"/>
      </w:pPr>
      <w:r w:rsidRPr="00E8724D">
        <w:t xml:space="preserve">116.19. 116.20, </w:t>
      </w:r>
      <w:r w:rsidR="00457879">
        <w:t>116.21, 116.22, 116.23, 116.24.</w:t>
      </w:r>
      <w:r w:rsidR="00457879">
        <w:tab/>
      </w:r>
      <w:r w:rsidRPr="00E8724D">
        <w:t xml:space="preserve">Accepted. Ratification of Istanbul Convention is </w:t>
      </w:r>
      <w:r>
        <w:rPr>
          <w:lang w:val="en-US"/>
        </w:rPr>
        <w:t>on</w:t>
      </w:r>
      <w:r w:rsidRPr="00E8724D">
        <w:t xml:space="preserve"> the agend</w:t>
      </w:r>
      <w:r w:rsidR="00F20401">
        <w:t>a of the Parliament of Ukraine.</w:t>
      </w:r>
    </w:p>
    <w:p w:rsidR="00074A57" w:rsidRPr="00E8724D" w:rsidRDefault="00457879" w:rsidP="00465B89">
      <w:pPr>
        <w:pStyle w:val="SingleTxtG"/>
        <w:tabs>
          <w:tab w:val="left" w:pos="567"/>
          <w:tab w:val="left" w:pos="1701"/>
        </w:tabs>
        <w:ind w:firstLine="567"/>
      </w:pPr>
      <w:r>
        <w:t>116.25.</w:t>
      </w:r>
      <w:r>
        <w:tab/>
      </w:r>
      <w:r w:rsidR="00074A57" w:rsidRPr="00E8724D">
        <w:t>Accepted. Ukraine signed the European Convention on the Compensation of Victims of Violent Crimes in 2005. Ratification of the Convention and implementation law are being prepared.</w:t>
      </w:r>
    </w:p>
    <w:p w:rsidR="00074A57" w:rsidRPr="00E8724D" w:rsidRDefault="00457879" w:rsidP="00465B89">
      <w:pPr>
        <w:pStyle w:val="SingleTxtG"/>
        <w:tabs>
          <w:tab w:val="left" w:pos="567"/>
          <w:tab w:val="left" w:pos="1701"/>
        </w:tabs>
        <w:ind w:firstLine="567"/>
      </w:pPr>
      <w:r>
        <w:t>116.26.</w:t>
      </w:r>
      <w:r>
        <w:tab/>
      </w:r>
      <w:r w:rsidR="00074A57" w:rsidRPr="00E8724D">
        <w:t>Accepted. The Government established an inter-ministerial working group, which reviews the measures taken under the derogation declaration and can provide recommendations to the Government.</w:t>
      </w:r>
    </w:p>
    <w:p w:rsidR="00074A57" w:rsidRPr="00E8724D" w:rsidRDefault="00457879" w:rsidP="00465B89">
      <w:pPr>
        <w:pStyle w:val="SingleTxtG"/>
        <w:tabs>
          <w:tab w:val="left" w:pos="567"/>
          <w:tab w:val="left" w:pos="1701"/>
        </w:tabs>
        <w:ind w:firstLine="567"/>
      </w:pPr>
      <w:r>
        <w:t>116.27.</w:t>
      </w:r>
      <w:r>
        <w:tab/>
      </w:r>
      <w:r w:rsidR="00074A57" w:rsidRPr="00E8724D">
        <w:t>Accepted.</w:t>
      </w:r>
    </w:p>
    <w:p w:rsidR="00074A57" w:rsidRPr="00E8724D" w:rsidRDefault="00457879" w:rsidP="00465B89">
      <w:pPr>
        <w:pStyle w:val="SingleTxtG"/>
        <w:tabs>
          <w:tab w:val="left" w:pos="567"/>
          <w:tab w:val="left" w:pos="1701"/>
        </w:tabs>
        <w:ind w:firstLine="567"/>
      </w:pPr>
      <w:r>
        <w:lastRenderedPageBreak/>
        <w:t>116.28, 116.29.</w:t>
      </w:r>
      <w:r>
        <w:tab/>
      </w:r>
      <w:r w:rsidR="00074A57" w:rsidRPr="00E8724D">
        <w:t>Accepted.</w:t>
      </w:r>
    </w:p>
    <w:p w:rsidR="00074A57" w:rsidRPr="00E8724D" w:rsidRDefault="00457879" w:rsidP="00465B89">
      <w:pPr>
        <w:pStyle w:val="SingleTxtG"/>
        <w:tabs>
          <w:tab w:val="left" w:pos="567"/>
          <w:tab w:val="left" w:pos="1701"/>
        </w:tabs>
        <w:ind w:firstLine="567"/>
      </w:pPr>
      <w:r>
        <w:t>116.30.</w:t>
      </w:r>
      <w:r>
        <w:tab/>
      </w:r>
      <w:r w:rsidR="00074A57" w:rsidRPr="00E8724D">
        <w:t>Accepted.</w:t>
      </w:r>
    </w:p>
    <w:p w:rsidR="00074A57" w:rsidRPr="00E8724D" w:rsidRDefault="00457879" w:rsidP="00465B89">
      <w:pPr>
        <w:pStyle w:val="SingleTxtG"/>
        <w:tabs>
          <w:tab w:val="left" w:pos="567"/>
          <w:tab w:val="left" w:pos="1701"/>
        </w:tabs>
        <w:ind w:firstLine="567"/>
      </w:pPr>
      <w:r>
        <w:t>116.31, 116.32.</w:t>
      </w:r>
      <w:r>
        <w:tab/>
      </w:r>
      <w:r w:rsidR="00074A57" w:rsidRPr="00E8724D">
        <w:t>Accepted.</w:t>
      </w:r>
    </w:p>
    <w:p w:rsidR="00074A57" w:rsidRPr="00E8724D" w:rsidRDefault="00457879" w:rsidP="00465B89">
      <w:pPr>
        <w:pStyle w:val="SingleTxtG"/>
        <w:tabs>
          <w:tab w:val="left" w:pos="567"/>
          <w:tab w:val="left" w:pos="1701"/>
        </w:tabs>
        <w:ind w:firstLine="567"/>
      </w:pPr>
      <w:r>
        <w:t>116.33.</w:t>
      </w:r>
      <w:r>
        <w:tab/>
      </w:r>
      <w:r w:rsidR="00074A57" w:rsidRPr="00E8724D">
        <w:t>Accepted.</w:t>
      </w:r>
    </w:p>
    <w:p w:rsidR="00074A57" w:rsidRPr="00E8724D" w:rsidRDefault="00457879" w:rsidP="00465B89">
      <w:pPr>
        <w:pStyle w:val="SingleTxtG"/>
        <w:tabs>
          <w:tab w:val="left" w:pos="567"/>
          <w:tab w:val="left" w:pos="1701"/>
        </w:tabs>
        <w:ind w:firstLine="567"/>
      </w:pPr>
      <w:r>
        <w:t>116.34.</w:t>
      </w:r>
      <w:r>
        <w:tab/>
      </w:r>
      <w:r w:rsidR="00074A57" w:rsidRPr="00E8724D">
        <w:t>Accepted.</w:t>
      </w:r>
    </w:p>
    <w:p w:rsidR="00074A57" w:rsidRPr="00E8724D" w:rsidRDefault="00457879" w:rsidP="00465B89">
      <w:pPr>
        <w:pStyle w:val="SingleTxtG"/>
        <w:tabs>
          <w:tab w:val="left" w:pos="567"/>
          <w:tab w:val="left" w:pos="1701"/>
        </w:tabs>
        <w:ind w:firstLine="567"/>
      </w:pPr>
      <w:r>
        <w:t>116.35.</w:t>
      </w:r>
      <w:r>
        <w:tab/>
      </w:r>
      <w:r w:rsidR="00074A57" w:rsidRPr="00E8724D">
        <w:t>Accepted.</w:t>
      </w:r>
    </w:p>
    <w:p w:rsidR="00074A57" w:rsidRPr="00E8724D" w:rsidRDefault="00457879" w:rsidP="00465B89">
      <w:pPr>
        <w:pStyle w:val="SingleTxtG"/>
        <w:tabs>
          <w:tab w:val="left" w:pos="567"/>
          <w:tab w:val="left" w:pos="1701"/>
        </w:tabs>
        <w:ind w:firstLine="567"/>
      </w:pPr>
      <w:r>
        <w:t>116.36.</w:t>
      </w:r>
      <w:r>
        <w:tab/>
      </w:r>
      <w:r w:rsidR="00074A57" w:rsidRPr="00E8724D">
        <w:t>Accepted.</w:t>
      </w:r>
    </w:p>
    <w:p w:rsidR="00074A57" w:rsidRPr="00E8724D" w:rsidRDefault="00457879" w:rsidP="00465B89">
      <w:pPr>
        <w:pStyle w:val="SingleTxtG"/>
        <w:tabs>
          <w:tab w:val="left" w:pos="567"/>
          <w:tab w:val="left" w:pos="1701"/>
        </w:tabs>
        <w:ind w:firstLine="567"/>
      </w:pPr>
      <w:r>
        <w:t>116.37.</w:t>
      </w:r>
      <w:r>
        <w:tab/>
      </w:r>
      <w:r w:rsidR="00074A57" w:rsidRPr="00E8724D">
        <w:t>Accepted</w:t>
      </w:r>
    </w:p>
    <w:p w:rsidR="00074A57" w:rsidRPr="00E8724D" w:rsidRDefault="00074A57" w:rsidP="00465B89">
      <w:pPr>
        <w:pStyle w:val="SingleTxtG"/>
        <w:tabs>
          <w:tab w:val="left" w:pos="567"/>
          <w:tab w:val="left" w:pos="1701"/>
        </w:tabs>
        <w:ind w:firstLine="567"/>
      </w:pPr>
      <w:r w:rsidRPr="00E8724D">
        <w:t xml:space="preserve">116.38, 116.39, </w:t>
      </w:r>
      <w:r w:rsidR="00457879">
        <w:t>116.40, 116.41, 116.42, 116.43.</w:t>
      </w:r>
      <w:r w:rsidR="00457879">
        <w:tab/>
      </w:r>
      <w:r w:rsidRPr="00E8724D">
        <w:t>Accepted.</w:t>
      </w:r>
    </w:p>
    <w:p w:rsidR="00074A57" w:rsidRPr="00E8724D" w:rsidRDefault="00457879" w:rsidP="00465B89">
      <w:pPr>
        <w:pStyle w:val="SingleTxtG"/>
        <w:tabs>
          <w:tab w:val="left" w:pos="567"/>
          <w:tab w:val="left" w:pos="1701"/>
        </w:tabs>
        <w:ind w:firstLine="567"/>
      </w:pPr>
      <w:r>
        <w:t>116.44, 116.45, 116.46.</w:t>
      </w:r>
      <w:r>
        <w:tab/>
      </w:r>
      <w:r w:rsidR="00074A57" w:rsidRPr="00E8724D">
        <w:t>Accepted.</w:t>
      </w:r>
    </w:p>
    <w:p w:rsidR="00074A57" w:rsidRPr="00E8724D" w:rsidRDefault="00074A57" w:rsidP="00465B89">
      <w:pPr>
        <w:pStyle w:val="SingleTxtG"/>
        <w:tabs>
          <w:tab w:val="left" w:pos="567"/>
          <w:tab w:val="left" w:pos="1701"/>
        </w:tabs>
        <w:ind w:firstLine="567"/>
      </w:pPr>
      <w:r w:rsidRPr="00E8724D">
        <w:t>116.47, 116.48, 116.49, 116.50, 116.51, 116.52, 116.53.</w:t>
      </w:r>
      <w:r w:rsidR="00457879">
        <w:tab/>
      </w:r>
      <w:r w:rsidRPr="00E8724D">
        <w:t>Accepted.</w:t>
      </w:r>
    </w:p>
    <w:p w:rsidR="00074A57" w:rsidRPr="00E8724D" w:rsidRDefault="00457879" w:rsidP="00465B89">
      <w:pPr>
        <w:pStyle w:val="SingleTxtG"/>
        <w:tabs>
          <w:tab w:val="left" w:pos="567"/>
          <w:tab w:val="left" w:pos="1701"/>
        </w:tabs>
        <w:ind w:firstLine="567"/>
      </w:pPr>
      <w:r>
        <w:t>116.54.</w:t>
      </w:r>
      <w:r>
        <w:tab/>
      </w:r>
      <w:r w:rsidR="00074A57" w:rsidRPr="00E8724D">
        <w:t>Noted.</w:t>
      </w:r>
    </w:p>
    <w:p w:rsidR="00074A57" w:rsidRPr="00E8724D" w:rsidRDefault="00457879" w:rsidP="00465B89">
      <w:pPr>
        <w:pStyle w:val="SingleTxtG"/>
        <w:tabs>
          <w:tab w:val="left" w:pos="567"/>
          <w:tab w:val="left" w:pos="1701"/>
        </w:tabs>
        <w:ind w:firstLine="567"/>
      </w:pPr>
      <w:r>
        <w:t>116.55.</w:t>
      </w:r>
      <w:r>
        <w:tab/>
      </w:r>
      <w:r w:rsidR="00074A57" w:rsidRPr="00E8724D">
        <w:t>Noted.</w:t>
      </w:r>
    </w:p>
    <w:p w:rsidR="00074A57" w:rsidRPr="00E8724D" w:rsidRDefault="00457879" w:rsidP="00465B89">
      <w:pPr>
        <w:pStyle w:val="SingleTxtG"/>
        <w:tabs>
          <w:tab w:val="left" w:pos="567"/>
          <w:tab w:val="left" w:pos="1701"/>
        </w:tabs>
        <w:ind w:firstLine="567"/>
      </w:pPr>
      <w:r>
        <w:t>116.56.</w:t>
      </w:r>
      <w:r>
        <w:tab/>
      </w:r>
      <w:r w:rsidR="00074A57" w:rsidRPr="00E8724D">
        <w:t>Accepted.</w:t>
      </w:r>
    </w:p>
    <w:p w:rsidR="00074A57" w:rsidRPr="00E8724D" w:rsidRDefault="00457879" w:rsidP="00465B89">
      <w:pPr>
        <w:pStyle w:val="SingleTxtG"/>
        <w:tabs>
          <w:tab w:val="left" w:pos="567"/>
          <w:tab w:val="left" w:pos="1701"/>
        </w:tabs>
        <w:ind w:firstLine="567"/>
      </w:pPr>
      <w:r>
        <w:t>116.57.</w:t>
      </w:r>
      <w:r>
        <w:tab/>
      </w:r>
      <w:r w:rsidR="00074A57" w:rsidRPr="00E8724D">
        <w:t>Accepted.</w:t>
      </w:r>
    </w:p>
    <w:p w:rsidR="00074A57" w:rsidRPr="00E8724D" w:rsidRDefault="00457879" w:rsidP="00465B89">
      <w:pPr>
        <w:pStyle w:val="SingleTxtG"/>
        <w:tabs>
          <w:tab w:val="left" w:pos="567"/>
          <w:tab w:val="left" w:pos="1701"/>
        </w:tabs>
        <w:ind w:firstLine="567"/>
      </w:pPr>
      <w:r>
        <w:t>116.58.</w:t>
      </w:r>
      <w:r>
        <w:tab/>
      </w:r>
      <w:r w:rsidR="00074A57" w:rsidRPr="00E8724D">
        <w:t>Noted.</w:t>
      </w:r>
    </w:p>
    <w:p w:rsidR="00074A57" w:rsidRPr="00E8724D" w:rsidRDefault="00457879" w:rsidP="00465B89">
      <w:pPr>
        <w:pStyle w:val="SingleTxtG"/>
        <w:tabs>
          <w:tab w:val="left" w:pos="567"/>
          <w:tab w:val="left" w:pos="1701"/>
        </w:tabs>
        <w:ind w:firstLine="567"/>
      </w:pPr>
      <w:r>
        <w:t>116.59.</w:t>
      </w:r>
      <w:r>
        <w:tab/>
      </w:r>
      <w:r w:rsidR="00074A57" w:rsidRPr="00E8724D">
        <w:t>Accepted.</w:t>
      </w:r>
    </w:p>
    <w:p w:rsidR="00074A57" w:rsidRPr="00E8724D" w:rsidRDefault="00457879" w:rsidP="00465B89">
      <w:pPr>
        <w:pStyle w:val="SingleTxtG"/>
        <w:tabs>
          <w:tab w:val="left" w:pos="567"/>
          <w:tab w:val="left" w:pos="1701"/>
        </w:tabs>
        <w:ind w:firstLine="567"/>
      </w:pPr>
      <w:r>
        <w:t>116.60.</w:t>
      </w:r>
      <w:r>
        <w:tab/>
      </w:r>
      <w:r w:rsidR="00074A57" w:rsidRPr="00E8724D">
        <w:t>Accepted.</w:t>
      </w:r>
    </w:p>
    <w:p w:rsidR="00074A57" w:rsidRPr="00E8724D" w:rsidRDefault="00457879" w:rsidP="00465B89">
      <w:pPr>
        <w:pStyle w:val="SingleTxtG"/>
        <w:tabs>
          <w:tab w:val="left" w:pos="567"/>
          <w:tab w:val="left" w:pos="1701"/>
        </w:tabs>
        <w:ind w:firstLine="567"/>
      </w:pPr>
      <w:r>
        <w:t>116.61.</w:t>
      </w:r>
      <w:r>
        <w:tab/>
      </w:r>
      <w:r w:rsidR="00074A57" w:rsidRPr="00E8724D">
        <w:t>Accepted.</w:t>
      </w:r>
    </w:p>
    <w:p w:rsidR="00074A57" w:rsidRPr="00E8724D" w:rsidRDefault="00457879" w:rsidP="00465B89">
      <w:pPr>
        <w:pStyle w:val="SingleTxtG"/>
        <w:tabs>
          <w:tab w:val="left" w:pos="567"/>
          <w:tab w:val="left" w:pos="1701"/>
        </w:tabs>
        <w:ind w:firstLine="567"/>
      </w:pPr>
      <w:r>
        <w:lastRenderedPageBreak/>
        <w:t>116.62.</w:t>
      </w:r>
      <w:r>
        <w:tab/>
      </w:r>
      <w:r w:rsidR="00074A57" w:rsidRPr="00E8724D">
        <w:t>Accepted.</w:t>
      </w:r>
    </w:p>
    <w:p w:rsidR="00074A57" w:rsidRPr="00E8724D" w:rsidRDefault="00457879" w:rsidP="00465B89">
      <w:pPr>
        <w:pStyle w:val="SingleTxtG"/>
        <w:tabs>
          <w:tab w:val="left" w:pos="567"/>
          <w:tab w:val="left" w:pos="1701"/>
        </w:tabs>
        <w:ind w:firstLine="567"/>
      </w:pPr>
      <w:r>
        <w:t>116.63.</w:t>
      </w:r>
      <w:r>
        <w:tab/>
      </w:r>
      <w:r w:rsidR="00074A57" w:rsidRPr="00E8724D">
        <w:t>Accepted.</w:t>
      </w:r>
    </w:p>
    <w:p w:rsidR="00074A57" w:rsidRPr="00E8724D" w:rsidRDefault="00457879" w:rsidP="00465B89">
      <w:pPr>
        <w:pStyle w:val="SingleTxtG"/>
        <w:tabs>
          <w:tab w:val="left" w:pos="567"/>
          <w:tab w:val="left" w:pos="1701"/>
        </w:tabs>
        <w:ind w:firstLine="567"/>
      </w:pPr>
      <w:r>
        <w:t>116.64.</w:t>
      </w:r>
      <w:r>
        <w:tab/>
      </w:r>
      <w:r w:rsidR="00074A57" w:rsidRPr="00E8724D">
        <w:t>Noted.</w:t>
      </w:r>
    </w:p>
    <w:p w:rsidR="00074A57" w:rsidRPr="00E8724D" w:rsidRDefault="00457879" w:rsidP="00465B89">
      <w:pPr>
        <w:pStyle w:val="SingleTxtG"/>
        <w:tabs>
          <w:tab w:val="left" w:pos="567"/>
          <w:tab w:val="left" w:pos="1701"/>
        </w:tabs>
        <w:ind w:firstLine="567"/>
      </w:pPr>
      <w:r>
        <w:t>116.65, 116.66, 116.67.</w:t>
      </w:r>
      <w:r>
        <w:tab/>
      </w:r>
      <w:r w:rsidR="00074A57" w:rsidRPr="00E8724D">
        <w:t>Accepted. In 2015 Ukraine had acceded to the International Convention for the Protection of All Persons from Enforced Disappearance. Ukraine will continue to implement provisions of this Convention, including the criminalization of enforced disappearances.</w:t>
      </w:r>
    </w:p>
    <w:p w:rsidR="00074A57" w:rsidRPr="00E8724D" w:rsidRDefault="00457879" w:rsidP="00465B89">
      <w:pPr>
        <w:pStyle w:val="SingleTxtG"/>
        <w:tabs>
          <w:tab w:val="left" w:pos="567"/>
          <w:tab w:val="left" w:pos="1701"/>
        </w:tabs>
        <w:ind w:firstLine="567"/>
      </w:pPr>
      <w:r>
        <w:t>116.68.</w:t>
      </w:r>
      <w:r>
        <w:tab/>
      </w:r>
      <w:r w:rsidR="00074A57" w:rsidRPr="00E8724D">
        <w:t>Accepted. The Government of Ukraine will continue to implement «zero tolerance» policy in relation to the crime of torture and seeks to bring the concept of «torture» in line with the Article 1 of the UN Convention against Torture and Other Cruel, Inhuman or Degrading Treatment or Punishment.</w:t>
      </w:r>
    </w:p>
    <w:p w:rsidR="00074A57" w:rsidRPr="00E8724D" w:rsidRDefault="00457879" w:rsidP="00465B89">
      <w:pPr>
        <w:pStyle w:val="SingleTxtG"/>
        <w:tabs>
          <w:tab w:val="left" w:pos="567"/>
          <w:tab w:val="left" w:pos="1701"/>
        </w:tabs>
        <w:ind w:firstLine="567"/>
      </w:pPr>
      <w:r>
        <w:t>116.69.</w:t>
      </w:r>
      <w:r>
        <w:tab/>
      </w:r>
      <w:r w:rsidR="00074A57" w:rsidRPr="00E8724D">
        <w:t>Accepted.</w:t>
      </w:r>
    </w:p>
    <w:p w:rsidR="00074A57" w:rsidRPr="00E8724D" w:rsidRDefault="000F3705" w:rsidP="00465B89">
      <w:pPr>
        <w:pStyle w:val="SingleTxtG"/>
        <w:tabs>
          <w:tab w:val="left" w:pos="567"/>
          <w:tab w:val="left" w:pos="1701"/>
        </w:tabs>
        <w:ind w:firstLine="567"/>
      </w:pPr>
      <w:r>
        <w:t>116.70.</w:t>
      </w:r>
      <w:r>
        <w:tab/>
      </w:r>
      <w:r w:rsidR="00074A57" w:rsidRPr="00E8724D">
        <w:t>Accepted.</w:t>
      </w:r>
    </w:p>
    <w:p w:rsidR="00074A57" w:rsidRPr="00E8724D" w:rsidRDefault="000F3705" w:rsidP="00465B89">
      <w:pPr>
        <w:pStyle w:val="SingleTxtG"/>
        <w:tabs>
          <w:tab w:val="left" w:pos="567"/>
          <w:tab w:val="left" w:pos="1701"/>
        </w:tabs>
        <w:ind w:firstLine="567"/>
      </w:pPr>
      <w:r>
        <w:t>116.71.</w:t>
      </w:r>
      <w:r>
        <w:tab/>
      </w:r>
      <w:r w:rsidR="00074A57" w:rsidRPr="00E8724D">
        <w:t>Accepted.</w:t>
      </w:r>
    </w:p>
    <w:p w:rsidR="00074A57" w:rsidRPr="00E8724D" w:rsidRDefault="00074A57" w:rsidP="00465B89">
      <w:pPr>
        <w:pStyle w:val="SingleTxtG"/>
        <w:tabs>
          <w:tab w:val="left" w:pos="567"/>
          <w:tab w:val="left" w:pos="1701"/>
        </w:tabs>
        <w:ind w:firstLine="567"/>
      </w:pPr>
      <w:r w:rsidRPr="00E8724D">
        <w:t xml:space="preserve">116.72, </w:t>
      </w:r>
      <w:r w:rsidR="000F3705">
        <w:t>116.73, 116.74, 116.75, 116.76.</w:t>
      </w:r>
      <w:r w:rsidR="000F3705">
        <w:tab/>
      </w:r>
      <w:r w:rsidRPr="00E8724D">
        <w:t>Accepted.</w:t>
      </w:r>
    </w:p>
    <w:p w:rsidR="00074A57" w:rsidRPr="00E8724D" w:rsidRDefault="000F3705" w:rsidP="00465B89">
      <w:pPr>
        <w:pStyle w:val="SingleTxtG"/>
        <w:tabs>
          <w:tab w:val="left" w:pos="567"/>
          <w:tab w:val="left" w:pos="1701"/>
        </w:tabs>
        <w:ind w:firstLine="567"/>
      </w:pPr>
      <w:r>
        <w:t>116.77.</w:t>
      </w:r>
      <w:r>
        <w:tab/>
      </w:r>
      <w:r w:rsidR="00074A57" w:rsidRPr="00E8724D">
        <w:t>Noted.</w:t>
      </w:r>
    </w:p>
    <w:p w:rsidR="00074A57" w:rsidRPr="00E8724D" w:rsidRDefault="000F3705" w:rsidP="00465B89">
      <w:pPr>
        <w:pStyle w:val="SingleTxtG"/>
        <w:tabs>
          <w:tab w:val="left" w:pos="567"/>
          <w:tab w:val="left" w:pos="1701"/>
        </w:tabs>
        <w:ind w:firstLine="567"/>
      </w:pPr>
      <w:r>
        <w:t>116.78.</w:t>
      </w:r>
      <w:r>
        <w:tab/>
      </w:r>
      <w:r w:rsidR="00074A57" w:rsidRPr="00E8724D">
        <w:t>Accepted.</w:t>
      </w:r>
    </w:p>
    <w:p w:rsidR="00074A57" w:rsidRPr="00E8724D" w:rsidRDefault="000F3705" w:rsidP="00465B89">
      <w:pPr>
        <w:pStyle w:val="SingleTxtG"/>
        <w:tabs>
          <w:tab w:val="left" w:pos="567"/>
          <w:tab w:val="left" w:pos="1701"/>
        </w:tabs>
        <w:ind w:firstLine="567"/>
      </w:pPr>
      <w:r>
        <w:t>116.79.</w:t>
      </w:r>
      <w:r>
        <w:tab/>
      </w:r>
      <w:r w:rsidR="00074A57" w:rsidRPr="00E8724D">
        <w:t>Accepted.</w:t>
      </w:r>
    </w:p>
    <w:p w:rsidR="00074A57" w:rsidRPr="00E8724D" w:rsidRDefault="000F3705" w:rsidP="00465B89">
      <w:pPr>
        <w:pStyle w:val="SingleTxtG"/>
        <w:tabs>
          <w:tab w:val="left" w:pos="567"/>
          <w:tab w:val="left" w:pos="1701"/>
        </w:tabs>
        <w:ind w:firstLine="567"/>
      </w:pPr>
      <w:r>
        <w:lastRenderedPageBreak/>
        <w:t>116.80.</w:t>
      </w:r>
      <w:r>
        <w:tab/>
      </w:r>
      <w:r w:rsidR="00074A57" w:rsidRPr="00E8724D">
        <w:t>Accepted.</w:t>
      </w:r>
    </w:p>
    <w:p w:rsidR="00074A57" w:rsidRPr="00E8724D" w:rsidRDefault="000F3705" w:rsidP="00465B89">
      <w:pPr>
        <w:pStyle w:val="SingleTxtG"/>
        <w:tabs>
          <w:tab w:val="left" w:pos="567"/>
          <w:tab w:val="left" w:pos="1701"/>
        </w:tabs>
        <w:ind w:firstLine="567"/>
      </w:pPr>
      <w:r w:rsidRPr="00465B89">
        <w:t>116.81.</w:t>
      </w:r>
      <w:r w:rsidRPr="00465B89">
        <w:tab/>
      </w:r>
      <w:r w:rsidR="00074A57" w:rsidRPr="00465B89">
        <w:t>Noted.</w:t>
      </w:r>
    </w:p>
    <w:p w:rsidR="00074A57" w:rsidRPr="00E8724D" w:rsidRDefault="000F3705" w:rsidP="00465B89">
      <w:pPr>
        <w:pStyle w:val="SingleTxtG"/>
        <w:tabs>
          <w:tab w:val="left" w:pos="567"/>
          <w:tab w:val="left" w:pos="1701"/>
        </w:tabs>
        <w:ind w:firstLine="567"/>
      </w:pPr>
      <w:r w:rsidRPr="00465B89">
        <w:t>116.82.</w:t>
      </w:r>
      <w:r w:rsidRPr="00465B89">
        <w:tab/>
      </w:r>
      <w:r w:rsidR="00074A57" w:rsidRPr="00465B89">
        <w:t>Accepted.</w:t>
      </w:r>
    </w:p>
    <w:p w:rsidR="00074A57" w:rsidRPr="00E8724D" w:rsidRDefault="000F3705" w:rsidP="00465B89">
      <w:pPr>
        <w:pStyle w:val="SingleTxtG"/>
        <w:tabs>
          <w:tab w:val="left" w:pos="567"/>
          <w:tab w:val="left" w:pos="1701"/>
        </w:tabs>
        <w:ind w:firstLine="567"/>
      </w:pPr>
      <w:r>
        <w:t>116.83.</w:t>
      </w:r>
      <w:r>
        <w:tab/>
      </w:r>
      <w:r w:rsidR="00074A57" w:rsidRPr="00E8724D">
        <w:t>Accepted</w:t>
      </w:r>
      <w:r w:rsidR="00074A57" w:rsidRPr="00465B89">
        <w:t>.</w:t>
      </w:r>
    </w:p>
    <w:p w:rsidR="00074A57" w:rsidRPr="00E8724D" w:rsidRDefault="000F3705" w:rsidP="00465B89">
      <w:pPr>
        <w:pStyle w:val="SingleTxtG"/>
        <w:tabs>
          <w:tab w:val="left" w:pos="567"/>
          <w:tab w:val="left" w:pos="1701"/>
        </w:tabs>
        <w:ind w:firstLine="567"/>
      </w:pPr>
      <w:r w:rsidRPr="00465B89">
        <w:t>116.84.</w:t>
      </w:r>
      <w:r w:rsidRPr="00465B89">
        <w:tab/>
      </w:r>
      <w:r w:rsidR="00074A57" w:rsidRPr="00465B89">
        <w:t>Accepted.</w:t>
      </w:r>
    </w:p>
    <w:p w:rsidR="00074A57" w:rsidRPr="00E8724D" w:rsidRDefault="000F3705" w:rsidP="00465B89">
      <w:pPr>
        <w:pStyle w:val="SingleTxtG"/>
        <w:tabs>
          <w:tab w:val="left" w:pos="567"/>
          <w:tab w:val="left" w:pos="1701"/>
        </w:tabs>
        <w:ind w:firstLine="567"/>
      </w:pPr>
      <w:r w:rsidRPr="00465B89">
        <w:t>116.85.</w:t>
      </w:r>
      <w:r w:rsidRPr="00465B89">
        <w:tab/>
      </w:r>
      <w:r w:rsidR="00074A57" w:rsidRPr="00465B89">
        <w:t>Accepted.</w:t>
      </w:r>
    </w:p>
    <w:p w:rsidR="00074A57" w:rsidRPr="00E8724D" w:rsidRDefault="000F3705" w:rsidP="00465B89">
      <w:pPr>
        <w:pStyle w:val="SingleTxtG"/>
        <w:tabs>
          <w:tab w:val="left" w:pos="567"/>
          <w:tab w:val="left" w:pos="1701"/>
        </w:tabs>
        <w:ind w:firstLine="567"/>
      </w:pPr>
      <w:r w:rsidRPr="00465B89">
        <w:t>116.86.</w:t>
      </w:r>
      <w:r w:rsidRPr="00465B89">
        <w:tab/>
      </w:r>
      <w:r w:rsidR="00074A57" w:rsidRPr="00465B89">
        <w:t>Accepted.</w:t>
      </w:r>
    </w:p>
    <w:p w:rsidR="00074A57" w:rsidRPr="00E8724D" w:rsidRDefault="000F3705" w:rsidP="00465B89">
      <w:pPr>
        <w:pStyle w:val="SingleTxtG"/>
        <w:tabs>
          <w:tab w:val="left" w:pos="567"/>
          <w:tab w:val="left" w:pos="1701"/>
        </w:tabs>
        <w:ind w:firstLine="567"/>
      </w:pPr>
      <w:r w:rsidRPr="00465B89">
        <w:t>116.87.</w:t>
      </w:r>
      <w:r w:rsidRPr="00465B89">
        <w:tab/>
      </w:r>
      <w:r w:rsidR="00074A57" w:rsidRPr="00465B89">
        <w:t>Accepted</w:t>
      </w:r>
      <w:r w:rsidR="00074A57" w:rsidRPr="00E8724D">
        <w:t>.</w:t>
      </w:r>
    </w:p>
    <w:p w:rsidR="00074A57" w:rsidRPr="00E8724D" w:rsidRDefault="000F3705" w:rsidP="00465B89">
      <w:pPr>
        <w:pStyle w:val="SingleTxtG"/>
        <w:tabs>
          <w:tab w:val="left" w:pos="567"/>
          <w:tab w:val="left" w:pos="1701"/>
        </w:tabs>
        <w:ind w:firstLine="567"/>
      </w:pPr>
      <w:r w:rsidRPr="00465B89">
        <w:t>116.88.</w:t>
      </w:r>
      <w:r w:rsidRPr="00465B89">
        <w:tab/>
      </w:r>
      <w:r w:rsidR="00074A57" w:rsidRPr="00465B89">
        <w:t>Accepted.</w:t>
      </w:r>
    </w:p>
    <w:p w:rsidR="00074A57" w:rsidRPr="00E8724D" w:rsidRDefault="000F3705" w:rsidP="00465B89">
      <w:pPr>
        <w:pStyle w:val="SingleTxtG"/>
        <w:tabs>
          <w:tab w:val="left" w:pos="567"/>
          <w:tab w:val="left" w:pos="1701"/>
        </w:tabs>
        <w:ind w:firstLine="567"/>
      </w:pPr>
      <w:r w:rsidRPr="00465B89">
        <w:t>116.89.</w:t>
      </w:r>
      <w:r w:rsidRPr="00465B89">
        <w:tab/>
      </w:r>
      <w:r w:rsidR="00074A57" w:rsidRPr="00465B89">
        <w:t>Accepted.</w:t>
      </w:r>
    </w:p>
    <w:p w:rsidR="00074A57" w:rsidRPr="00E8724D" w:rsidRDefault="000F3705" w:rsidP="00465B89">
      <w:pPr>
        <w:pStyle w:val="SingleTxtG"/>
        <w:tabs>
          <w:tab w:val="left" w:pos="567"/>
          <w:tab w:val="left" w:pos="1701"/>
        </w:tabs>
        <w:ind w:firstLine="567"/>
      </w:pPr>
      <w:r w:rsidRPr="00465B89">
        <w:t>116.90.</w:t>
      </w:r>
      <w:r w:rsidRPr="00465B89">
        <w:tab/>
      </w:r>
      <w:r w:rsidR="00074A57" w:rsidRPr="00465B89">
        <w:t>Accepted. Significant amendments to the Criminal Code concerning criminal liability for violation of the rights of journalists were adopted in 2015. Ukraine is undertaking measures to efficiently investigate criminal offences against journalists and civil society activists.</w:t>
      </w:r>
    </w:p>
    <w:p w:rsidR="00074A57" w:rsidRPr="00E8724D" w:rsidRDefault="000F3705" w:rsidP="00465B89">
      <w:pPr>
        <w:pStyle w:val="SingleTxtG"/>
        <w:tabs>
          <w:tab w:val="left" w:pos="567"/>
          <w:tab w:val="left" w:pos="1701"/>
        </w:tabs>
        <w:ind w:firstLine="567"/>
      </w:pPr>
      <w:r>
        <w:t>116.91.</w:t>
      </w:r>
      <w:r>
        <w:tab/>
      </w:r>
      <w:r w:rsidR="00074A57" w:rsidRPr="00E8724D">
        <w:t>Accepted</w:t>
      </w:r>
      <w:r w:rsidR="00074A57" w:rsidRPr="00465B89">
        <w:t>.</w:t>
      </w:r>
    </w:p>
    <w:p w:rsidR="00074A57" w:rsidRPr="00E8724D" w:rsidRDefault="000F3705" w:rsidP="00465B89">
      <w:pPr>
        <w:pStyle w:val="SingleTxtG"/>
        <w:tabs>
          <w:tab w:val="left" w:pos="567"/>
          <w:tab w:val="left" w:pos="1701"/>
        </w:tabs>
        <w:ind w:firstLine="567"/>
      </w:pPr>
      <w:r w:rsidRPr="00465B89">
        <w:t>116.92.</w:t>
      </w:r>
      <w:r w:rsidRPr="00465B89">
        <w:tab/>
      </w:r>
      <w:r w:rsidR="00074A57" w:rsidRPr="00465B89">
        <w:t>Accepted.</w:t>
      </w:r>
    </w:p>
    <w:p w:rsidR="00074A57" w:rsidRPr="00E8724D" w:rsidRDefault="000F3705" w:rsidP="00465B89">
      <w:pPr>
        <w:pStyle w:val="SingleTxtG"/>
        <w:tabs>
          <w:tab w:val="left" w:pos="567"/>
          <w:tab w:val="left" w:pos="1701"/>
        </w:tabs>
        <w:ind w:firstLine="567"/>
      </w:pPr>
      <w:r w:rsidRPr="00465B89">
        <w:t>116.93.</w:t>
      </w:r>
      <w:r w:rsidRPr="00465B89">
        <w:tab/>
      </w:r>
      <w:r w:rsidR="00074A57" w:rsidRPr="00465B89">
        <w:t>Noted.</w:t>
      </w:r>
    </w:p>
    <w:p w:rsidR="00074A57" w:rsidRPr="00E8724D" w:rsidRDefault="000F3705" w:rsidP="00465B89">
      <w:pPr>
        <w:pStyle w:val="SingleTxtG"/>
        <w:tabs>
          <w:tab w:val="left" w:pos="567"/>
          <w:tab w:val="left" w:pos="1701"/>
        </w:tabs>
        <w:ind w:firstLine="567"/>
      </w:pPr>
      <w:r w:rsidRPr="00465B89">
        <w:t>116.94.</w:t>
      </w:r>
      <w:r w:rsidRPr="00465B89">
        <w:tab/>
      </w:r>
      <w:r w:rsidR="00074A57" w:rsidRPr="00465B89">
        <w:t>Accepted.</w:t>
      </w:r>
    </w:p>
    <w:p w:rsidR="00074A57" w:rsidRPr="00E8724D" w:rsidRDefault="000F3705" w:rsidP="00465B89">
      <w:pPr>
        <w:pStyle w:val="SingleTxtG"/>
        <w:tabs>
          <w:tab w:val="left" w:pos="567"/>
          <w:tab w:val="left" w:pos="1701"/>
        </w:tabs>
        <w:ind w:firstLine="567"/>
      </w:pPr>
      <w:r w:rsidRPr="00465B89">
        <w:t>116.95.</w:t>
      </w:r>
      <w:r w:rsidRPr="00465B89">
        <w:tab/>
      </w:r>
      <w:r w:rsidR="00074A57" w:rsidRPr="00465B89">
        <w:t>Noted.</w:t>
      </w:r>
    </w:p>
    <w:p w:rsidR="00074A57" w:rsidRPr="00E8724D" w:rsidRDefault="006C7AAF" w:rsidP="00465B89">
      <w:pPr>
        <w:pStyle w:val="SingleTxtG"/>
        <w:tabs>
          <w:tab w:val="left" w:pos="567"/>
          <w:tab w:val="left" w:pos="1701"/>
        </w:tabs>
        <w:ind w:firstLine="567"/>
      </w:pPr>
      <w:r>
        <w:rPr>
          <w:spacing w:val="-3"/>
        </w:rPr>
        <w:lastRenderedPageBreak/>
        <w:t>116.96, 116.97, 116.98, 116.99.</w:t>
      </w:r>
      <w:r>
        <w:rPr>
          <w:spacing w:val="-3"/>
        </w:rPr>
        <w:tab/>
      </w:r>
      <w:r w:rsidR="00074A57" w:rsidRPr="00E8724D">
        <w:rPr>
          <w:spacing w:val="-3"/>
        </w:rPr>
        <w:t xml:space="preserve">Accepted. Ukraine accepts the recommendations in the </w:t>
      </w:r>
      <w:r w:rsidR="00074A57" w:rsidRPr="00465B89">
        <w:t xml:space="preserve">judicial sphere and will implement them within the </w:t>
      </w:r>
      <w:r w:rsidR="00074A57" w:rsidRPr="00E8724D">
        <w:t>Justice Sector Reform Strategy for 2015-2020.</w:t>
      </w:r>
    </w:p>
    <w:p w:rsidR="00074A57" w:rsidRPr="00E8724D" w:rsidRDefault="006C7AAF" w:rsidP="00465B89">
      <w:pPr>
        <w:pStyle w:val="SingleTxtG"/>
        <w:tabs>
          <w:tab w:val="left" w:pos="567"/>
          <w:tab w:val="left" w:pos="1701"/>
        </w:tabs>
        <w:ind w:firstLine="567"/>
      </w:pPr>
      <w:r w:rsidRPr="00465B89">
        <w:t>116.100.</w:t>
      </w:r>
      <w:r w:rsidRPr="00465B89">
        <w:tab/>
      </w:r>
      <w:r w:rsidR="00074A57" w:rsidRPr="00465B89">
        <w:t>Accepted.</w:t>
      </w:r>
    </w:p>
    <w:p w:rsidR="00074A57" w:rsidRPr="00E8724D" w:rsidRDefault="006C7AAF" w:rsidP="00465B89">
      <w:pPr>
        <w:pStyle w:val="SingleTxtG"/>
        <w:tabs>
          <w:tab w:val="left" w:pos="567"/>
          <w:tab w:val="left" w:pos="1701"/>
        </w:tabs>
        <w:ind w:firstLine="567"/>
      </w:pPr>
      <w:r w:rsidRPr="00465B89">
        <w:t>116.101.</w:t>
      </w:r>
      <w:r w:rsidRPr="00465B89">
        <w:tab/>
      </w:r>
      <w:r w:rsidR="00074A57" w:rsidRPr="00465B89">
        <w:t>Accepted. In November 2017 the Director of the State Bureau of Investigation was appointed. Operational launch of the Bureau is under way.</w:t>
      </w:r>
    </w:p>
    <w:p w:rsidR="00074A57" w:rsidRPr="00E8724D" w:rsidRDefault="006C7AAF" w:rsidP="00465B89">
      <w:pPr>
        <w:pStyle w:val="SingleTxtG"/>
        <w:tabs>
          <w:tab w:val="left" w:pos="567"/>
          <w:tab w:val="left" w:pos="1701"/>
        </w:tabs>
        <w:ind w:firstLine="567"/>
      </w:pPr>
      <w:r w:rsidRPr="00465B89">
        <w:t>116.102.</w:t>
      </w:r>
      <w:r w:rsidRPr="00465B89">
        <w:tab/>
      </w:r>
      <w:r w:rsidR="00074A57" w:rsidRPr="00465B89">
        <w:t>Accepted.</w:t>
      </w:r>
    </w:p>
    <w:p w:rsidR="00074A57" w:rsidRPr="00E8724D" w:rsidRDefault="006C7AAF" w:rsidP="00465B89">
      <w:pPr>
        <w:pStyle w:val="SingleTxtG"/>
        <w:tabs>
          <w:tab w:val="left" w:pos="567"/>
          <w:tab w:val="left" w:pos="1701"/>
        </w:tabs>
        <w:ind w:firstLine="567"/>
      </w:pPr>
      <w:r w:rsidRPr="00465B89">
        <w:t>116.103.</w:t>
      </w:r>
      <w:r w:rsidRPr="00465B89">
        <w:tab/>
      </w:r>
      <w:r w:rsidR="00074A57" w:rsidRPr="00465B89">
        <w:t>Accepted.</w:t>
      </w:r>
    </w:p>
    <w:p w:rsidR="00074A57" w:rsidRPr="00E8724D" w:rsidRDefault="006C7AAF" w:rsidP="00465B89">
      <w:pPr>
        <w:pStyle w:val="SingleTxtG"/>
        <w:tabs>
          <w:tab w:val="left" w:pos="567"/>
          <w:tab w:val="left" w:pos="1701"/>
        </w:tabs>
        <w:ind w:firstLine="567"/>
      </w:pPr>
      <w:r w:rsidRPr="00465B89">
        <w:t>116.104.</w:t>
      </w:r>
      <w:r w:rsidRPr="00465B89">
        <w:tab/>
      </w:r>
      <w:r w:rsidR="00074A57" w:rsidRPr="00465B89">
        <w:t>Accepted.</w:t>
      </w:r>
    </w:p>
    <w:p w:rsidR="00074A57" w:rsidRPr="00E8724D" w:rsidRDefault="006C7AAF" w:rsidP="00465B89">
      <w:pPr>
        <w:pStyle w:val="SingleTxtG"/>
        <w:tabs>
          <w:tab w:val="left" w:pos="567"/>
          <w:tab w:val="left" w:pos="1701"/>
        </w:tabs>
        <w:ind w:firstLine="567"/>
      </w:pPr>
      <w:r w:rsidRPr="00465B89">
        <w:t>116.105, 116.106, 116.107.</w:t>
      </w:r>
      <w:r w:rsidRPr="00465B89">
        <w:tab/>
      </w:r>
      <w:r w:rsidR="00074A57" w:rsidRPr="00465B89">
        <w:t>Accepted.</w:t>
      </w:r>
    </w:p>
    <w:p w:rsidR="00074A57" w:rsidRPr="00E8724D" w:rsidRDefault="006C7AAF" w:rsidP="00465B89">
      <w:pPr>
        <w:pStyle w:val="SingleTxtG"/>
        <w:tabs>
          <w:tab w:val="left" w:pos="567"/>
          <w:tab w:val="left" w:pos="1701"/>
        </w:tabs>
        <w:ind w:firstLine="567"/>
      </w:pPr>
      <w:r w:rsidRPr="00465B89">
        <w:t>116.108, 116.109.</w:t>
      </w:r>
      <w:r w:rsidRPr="00465B89">
        <w:tab/>
      </w:r>
      <w:r w:rsidR="00074A57" w:rsidRPr="00465B89">
        <w:t>Accepted.</w:t>
      </w:r>
    </w:p>
    <w:p w:rsidR="00074A57" w:rsidRPr="00E8724D" w:rsidRDefault="006C7AAF" w:rsidP="00465B89">
      <w:pPr>
        <w:pStyle w:val="SingleTxtG"/>
        <w:tabs>
          <w:tab w:val="left" w:pos="567"/>
          <w:tab w:val="left" w:pos="1701"/>
        </w:tabs>
        <w:ind w:firstLine="567"/>
      </w:pPr>
      <w:r w:rsidRPr="00465B89">
        <w:t>116.110.</w:t>
      </w:r>
      <w:r w:rsidRPr="00465B89">
        <w:tab/>
      </w:r>
      <w:r w:rsidR="00074A57" w:rsidRPr="00465B89">
        <w:t>Accepted.</w:t>
      </w:r>
    </w:p>
    <w:p w:rsidR="00074A57" w:rsidRPr="00E8724D" w:rsidRDefault="00074A57" w:rsidP="00465B89">
      <w:pPr>
        <w:pStyle w:val="SingleTxtG"/>
        <w:tabs>
          <w:tab w:val="left" w:pos="567"/>
          <w:tab w:val="left" w:pos="1701"/>
        </w:tabs>
        <w:ind w:firstLine="567"/>
      </w:pPr>
      <w:r w:rsidRPr="00465B89">
        <w:t>116.111, 116.112, 116.113, 116.114, 116.115, 116.116, 116.117, 116.118, 116.119, 116.120, 116.121, 116</w:t>
      </w:r>
      <w:r w:rsidR="006C7AAF" w:rsidRPr="00465B89">
        <w:t>.122, 116.123, 116.124, 116.25.</w:t>
      </w:r>
      <w:r w:rsidR="006C7AAF" w:rsidRPr="00465B89">
        <w:tab/>
      </w:r>
      <w:r w:rsidRPr="00465B89">
        <w:t>Accepted. The Government’s commitment to fight corruption includes the establishment of the Anti-Corruption Court as well as increasing resources and powers for other anti-corruption bodies in Ukraine.</w:t>
      </w:r>
    </w:p>
    <w:p w:rsidR="00074A57" w:rsidRPr="00E8724D" w:rsidRDefault="00074A57" w:rsidP="00465B89">
      <w:pPr>
        <w:pStyle w:val="SingleTxtG"/>
        <w:tabs>
          <w:tab w:val="left" w:pos="567"/>
          <w:tab w:val="left" w:pos="1701"/>
        </w:tabs>
        <w:ind w:firstLine="567"/>
      </w:pPr>
      <w:r w:rsidRPr="00E8724D">
        <w:t xml:space="preserve">116.126, </w:t>
      </w:r>
      <w:r w:rsidR="006C7AAF" w:rsidRPr="00465B89">
        <w:t>116.127.</w:t>
      </w:r>
      <w:r w:rsidR="006C7AAF" w:rsidRPr="00465B89">
        <w:tab/>
      </w:r>
      <w:r w:rsidRPr="00465B89">
        <w:t>Accepted.</w:t>
      </w:r>
    </w:p>
    <w:p w:rsidR="00074A57" w:rsidRPr="00E8724D" w:rsidRDefault="006C7AAF" w:rsidP="00465B89">
      <w:pPr>
        <w:pStyle w:val="SingleTxtG"/>
        <w:tabs>
          <w:tab w:val="left" w:pos="567"/>
          <w:tab w:val="left" w:pos="1701"/>
        </w:tabs>
        <w:ind w:firstLine="567"/>
      </w:pPr>
      <w:r>
        <w:lastRenderedPageBreak/>
        <w:t>116.128.</w:t>
      </w:r>
      <w:r>
        <w:tab/>
      </w:r>
      <w:r w:rsidR="00074A57" w:rsidRPr="00E8724D">
        <w:t>Accepted</w:t>
      </w:r>
      <w:r w:rsidR="00074A57" w:rsidRPr="00465B89">
        <w:t>.</w:t>
      </w:r>
    </w:p>
    <w:p w:rsidR="00074A57" w:rsidRPr="00E8724D" w:rsidRDefault="006C7AAF" w:rsidP="00465B89">
      <w:pPr>
        <w:pStyle w:val="SingleTxtG"/>
        <w:tabs>
          <w:tab w:val="left" w:pos="567"/>
          <w:tab w:val="left" w:pos="1701"/>
        </w:tabs>
        <w:ind w:firstLine="567"/>
      </w:pPr>
      <w:r>
        <w:t>116.129.</w:t>
      </w:r>
      <w:r>
        <w:tab/>
      </w:r>
      <w:r w:rsidR="00074A57" w:rsidRPr="00E8724D">
        <w:t>Accepted</w:t>
      </w:r>
      <w:r w:rsidR="00074A57" w:rsidRPr="00465B89">
        <w:t>.</w:t>
      </w:r>
    </w:p>
    <w:p w:rsidR="00074A57" w:rsidRPr="00E8724D" w:rsidRDefault="00074A57" w:rsidP="00465B89">
      <w:pPr>
        <w:pStyle w:val="SingleTxtG"/>
        <w:tabs>
          <w:tab w:val="left" w:pos="567"/>
          <w:tab w:val="left" w:pos="1701"/>
        </w:tabs>
        <w:ind w:firstLine="567"/>
      </w:pPr>
      <w:r w:rsidRPr="00465B89">
        <w:t>116.</w:t>
      </w:r>
      <w:r w:rsidR="007B5D66" w:rsidRPr="00465B89">
        <w:t>130, 116.131, 116.132, 116.133.</w:t>
      </w:r>
      <w:r w:rsidR="007B5D66" w:rsidRPr="00465B89">
        <w:tab/>
      </w:r>
      <w:r w:rsidRPr="00465B89">
        <w:t>Accepted.</w:t>
      </w:r>
    </w:p>
    <w:p w:rsidR="00074A57" w:rsidRPr="00E8724D" w:rsidRDefault="007B5D66" w:rsidP="00465B89">
      <w:pPr>
        <w:pStyle w:val="SingleTxtG"/>
        <w:tabs>
          <w:tab w:val="left" w:pos="567"/>
          <w:tab w:val="left" w:pos="1701"/>
        </w:tabs>
        <w:ind w:firstLine="567"/>
      </w:pPr>
      <w:r>
        <w:t>116.134.</w:t>
      </w:r>
      <w:r>
        <w:tab/>
      </w:r>
      <w:r w:rsidR="00074A57" w:rsidRPr="00E8724D">
        <w:t>Accepted</w:t>
      </w:r>
      <w:r w:rsidR="00074A57" w:rsidRPr="00465B89">
        <w:t>.</w:t>
      </w:r>
    </w:p>
    <w:p w:rsidR="00074A57" w:rsidRPr="00E8724D" w:rsidRDefault="007B5D66" w:rsidP="00465B89">
      <w:pPr>
        <w:pStyle w:val="SingleTxtG"/>
        <w:tabs>
          <w:tab w:val="left" w:pos="567"/>
          <w:tab w:val="left" w:pos="1701"/>
        </w:tabs>
        <w:ind w:firstLine="567"/>
      </w:pPr>
      <w:r w:rsidRPr="00465B89">
        <w:t>116.135.</w:t>
      </w:r>
      <w:r w:rsidRPr="00465B89">
        <w:tab/>
      </w:r>
      <w:r w:rsidR="00074A57" w:rsidRPr="00465B89">
        <w:t>Accepted. Equal access to the quality inclusive education is one of the priorities of the Government`s educational policy. The Government continues to expand the network of hub schools dedicated to improve the quality of education in rural areas.</w:t>
      </w:r>
    </w:p>
    <w:p w:rsidR="00074A57" w:rsidRPr="00E8724D" w:rsidRDefault="007B5D66" w:rsidP="00465B89">
      <w:pPr>
        <w:pStyle w:val="SingleTxtG"/>
        <w:tabs>
          <w:tab w:val="left" w:pos="567"/>
          <w:tab w:val="left" w:pos="1701"/>
        </w:tabs>
        <w:ind w:firstLine="567"/>
      </w:pPr>
      <w:r>
        <w:t>116.136.</w:t>
      </w:r>
      <w:r>
        <w:tab/>
      </w:r>
      <w:r w:rsidR="00074A57" w:rsidRPr="00E8724D">
        <w:t>Noted. Ukraine respects its international obligations in the sphere of human rights relating to national minorities, in particular related to the use of the mother tongue. Recently adopted Law on Education is not discriminatory towards national minorities. The Government will implemen</w:t>
      </w:r>
      <w:r w:rsidR="00074A57">
        <w:t xml:space="preserve">t the Law in accordance </w:t>
      </w:r>
      <w:r w:rsidR="00074A57" w:rsidRPr="00465B89">
        <w:t>with</w:t>
      </w:r>
      <w:r w:rsidR="00074A57">
        <w:t xml:space="preserve"> the recommendations</w:t>
      </w:r>
      <w:r w:rsidR="00074A57" w:rsidRPr="00E8724D">
        <w:t xml:space="preserve"> listed in the Opinion of the Venice Commission (CDL-AD (2017) 030) of 11 December 2017.</w:t>
      </w:r>
    </w:p>
    <w:p w:rsidR="00074A57" w:rsidRPr="00E8724D" w:rsidRDefault="007B5D66" w:rsidP="00465B89">
      <w:pPr>
        <w:pStyle w:val="SingleTxtG"/>
        <w:tabs>
          <w:tab w:val="left" w:pos="567"/>
          <w:tab w:val="left" w:pos="1701"/>
        </w:tabs>
        <w:ind w:firstLine="567"/>
      </w:pPr>
      <w:r>
        <w:t>116.137, 116.138.</w:t>
      </w:r>
      <w:r>
        <w:tab/>
      </w:r>
      <w:r w:rsidR="00074A57" w:rsidRPr="00E8724D">
        <w:t>Accepted.</w:t>
      </w:r>
    </w:p>
    <w:p w:rsidR="00074A57" w:rsidRPr="00E8724D" w:rsidRDefault="007B5D66" w:rsidP="00465B89">
      <w:pPr>
        <w:pStyle w:val="SingleTxtG"/>
        <w:tabs>
          <w:tab w:val="left" w:pos="567"/>
          <w:tab w:val="left" w:pos="1701"/>
        </w:tabs>
        <w:ind w:firstLine="567"/>
      </w:pPr>
      <w:r>
        <w:t>116.139.</w:t>
      </w:r>
      <w:r>
        <w:tab/>
      </w:r>
      <w:r w:rsidR="00074A57" w:rsidRPr="00E8724D">
        <w:t>Noted. See paragraph 116.136.</w:t>
      </w:r>
    </w:p>
    <w:p w:rsidR="00074A57" w:rsidRPr="00E8724D" w:rsidRDefault="007B5D66" w:rsidP="00465B89">
      <w:pPr>
        <w:pStyle w:val="SingleTxtG"/>
        <w:tabs>
          <w:tab w:val="left" w:pos="567"/>
          <w:tab w:val="left" w:pos="1701"/>
        </w:tabs>
        <w:ind w:firstLine="567"/>
      </w:pPr>
      <w:r>
        <w:t>116.140.</w:t>
      </w:r>
      <w:r>
        <w:tab/>
      </w:r>
      <w:r w:rsidR="00074A57" w:rsidRPr="00E8724D">
        <w:t>Accepted.</w:t>
      </w:r>
    </w:p>
    <w:p w:rsidR="00074A57" w:rsidRPr="00E8724D" w:rsidRDefault="00074A57" w:rsidP="00465B89">
      <w:pPr>
        <w:pStyle w:val="SingleTxtG"/>
        <w:tabs>
          <w:tab w:val="left" w:pos="567"/>
          <w:tab w:val="left" w:pos="1701"/>
        </w:tabs>
        <w:ind w:firstLine="567"/>
      </w:pPr>
      <w:r w:rsidRPr="00E8724D">
        <w:lastRenderedPageBreak/>
        <w:t>116.141, 116.</w:t>
      </w:r>
      <w:r w:rsidR="007B5D66">
        <w:t>142, 116.143, 116.144, 116.145.</w:t>
      </w:r>
      <w:r w:rsidR="007B5D66">
        <w:tab/>
      </w:r>
      <w:r w:rsidRPr="00E8724D">
        <w:t>Accepted</w:t>
      </w:r>
      <w:r w:rsidRPr="00465B89">
        <w:t>.</w:t>
      </w:r>
    </w:p>
    <w:p w:rsidR="00074A57" w:rsidRPr="00E8724D" w:rsidRDefault="00074A57" w:rsidP="00465B89">
      <w:pPr>
        <w:pStyle w:val="SingleTxtG"/>
        <w:tabs>
          <w:tab w:val="left" w:pos="567"/>
          <w:tab w:val="left" w:pos="1701"/>
        </w:tabs>
        <w:ind w:firstLine="567"/>
      </w:pPr>
      <w:r w:rsidRPr="00465B89">
        <w:t>116.146, 116.</w:t>
      </w:r>
      <w:r w:rsidR="007B5D66" w:rsidRPr="00465B89">
        <w:t>147, 116.148, 116.149, 116.150.</w:t>
      </w:r>
      <w:r w:rsidR="007B5D66" w:rsidRPr="00465B89">
        <w:tab/>
      </w:r>
      <w:r w:rsidRPr="00465B89">
        <w:t>Accepted.</w:t>
      </w:r>
    </w:p>
    <w:p w:rsidR="00074A57" w:rsidRPr="00E8724D" w:rsidRDefault="00074A57" w:rsidP="00465B89">
      <w:pPr>
        <w:pStyle w:val="SingleTxtG"/>
        <w:tabs>
          <w:tab w:val="left" w:pos="567"/>
          <w:tab w:val="left" w:pos="1701"/>
        </w:tabs>
        <w:ind w:firstLine="567"/>
      </w:pPr>
      <w:r w:rsidRPr="00465B89">
        <w:t>116.151, 116.152, 116.153, 116.154, 116.155, 116.156, 116.157, 116.158, 116.159, 116.</w:t>
      </w:r>
      <w:r w:rsidR="007B5D66" w:rsidRPr="00465B89">
        <w:t>160, 116.161, 116.162, 116.163.</w:t>
      </w:r>
      <w:r w:rsidR="007B5D66" w:rsidRPr="00465B89">
        <w:tab/>
      </w:r>
      <w:r w:rsidRPr="00465B89">
        <w:t>Accepted. On December 2017 the Parliament adopted Law on Prevention and Combating Domestic Violence which, inter alia, criminalizes domestic violence, regulates cooperation of law enforcement agencies and social security bodies on prevention and combating gender-based violence, provides access to a free legal aid for victims of domestic violence or gender-based violence, establishes the Unified state register of domestic violence cases, introduces rehabilitation programs for victims.</w:t>
      </w:r>
    </w:p>
    <w:p w:rsidR="00074A57" w:rsidRPr="00E8724D" w:rsidRDefault="00074A57" w:rsidP="00465B89">
      <w:pPr>
        <w:pStyle w:val="SingleTxtG"/>
        <w:tabs>
          <w:tab w:val="left" w:pos="567"/>
          <w:tab w:val="left" w:pos="1701"/>
        </w:tabs>
        <w:ind w:firstLine="567"/>
      </w:pPr>
      <w:r w:rsidRPr="00E8724D">
        <w:t>116.164, 116.165, 116.166, 116.167, 116.168, 116.169.</w:t>
      </w:r>
      <w:r w:rsidR="007B5D66" w:rsidRPr="00465B89">
        <w:tab/>
      </w:r>
      <w:r w:rsidRPr="00465B89">
        <w:t>Accepted. The Government of Ukraine will continue to ensure the protection of children’s rights by implementing the National Action Plan on implementation of the Convention on the Rights of the Child for 2017-2021.</w:t>
      </w:r>
    </w:p>
    <w:p w:rsidR="00074A57" w:rsidRPr="00E8724D" w:rsidRDefault="00457879" w:rsidP="00465B89">
      <w:pPr>
        <w:pStyle w:val="SingleTxtG"/>
        <w:tabs>
          <w:tab w:val="left" w:pos="567"/>
          <w:tab w:val="left" w:pos="1701"/>
        </w:tabs>
        <w:ind w:firstLine="567"/>
      </w:pPr>
      <w:r w:rsidRPr="00465B89">
        <w:t>116.170, 116.171, 116.172.</w:t>
      </w:r>
      <w:r w:rsidRPr="00465B89">
        <w:tab/>
      </w:r>
      <w:r w:rsidR="00074A57" w:rsidRPr="00465B89">
        <w:t>Accepted.</w:t>
      </w:r>
    </w:p>
    <w:p w:rsidR="00074A57" w:rsidRPr="00E8724D" w:rsidRDefault="00457879" w:rsidP="00465B89">
      <w:pPr>
        <w:pStyle w:val="SingleTxtG"/>
        <w:tabs>
          <w:tab w:val="left" w:pos="567"/>
          <w:tab w:val="left" w:pos="1701"/>
        </w:tabs>
        <w:ind w:firstLine="567"/>
      </w:pPr>
      <w:r w:rsidRPr="00465B89">
        <w:t>116.173.</w:t>
      </w:r>
      <w:r w:rsidRPr="00465B89">
        <w:tab/>
      </w:r>
      <w:r w:rsidR="00074A57" w:rsidRPr="00465B89">
        <w:t>Accepted.</w:t>
      </w:r>
    </w:p>
    <w:p w:rsidR="00074A57" w:rsidRPr="00E8724D" w:rsidRDefault="00457879" w:rsidP="00465B89">
      <w:pPr>
        <w:pStyle w:val="SingleTxtG"/>
        <w:tabs>
          <w:tab w:val="left" w:pos="567"/>
          <w:tab w:val="left" w:pos="1701"/>
        </w:tabs>
        <w:ind w:firstLine="567"/>
      </w:pPr>
      <w:r>
        <w:rPr>
          <w:spacing w:val="-3"/>
        </w:rPr>
        <w:lastRenderedPageBreak/>
        <w:t>116.174.</w:t>
      </w:r>
      <w:r>
        <w:rPr>
          <w:spacing w:val="-3"/>
        </w:rPr>
        <w:tab/>
      </w:r>
      <w:r w:rsidR="00074A57" w:rsidRPr="00E8724D">
        <w:rPr>
          <w:spacing w:val="-3"/>
        </w:rPr>
        <w:t xml:space="preserve">Accepted. The Government of Ukraine continues to implement the 2020 Action </w:t>
      </w:r>
      <w:r w:rsidR="00074A57" w:rsidRPr="00465B89">
        <w:t>Plan for the implementation of the Strategy for the Protection and Integration of the Roma National Minority into Ukrainian Society.</w:t>
      </w:r>
    </w:p>
    <w:p w:rsidR="00074A57" w:rsidRPr="00E8724D" w:rsidRDefault="00457879" w:rsidP="00465B89">
      <w:pPr>
        <w:pStyle w:val="SingleTxtG"/>
        <w:tabs>
          <w:tab w:val="left" w:pos="567"/>
          <w:tab w:val="left" w:pos="1701"/>
        </w:tabs>
        <w:ind w:firstLine="567"/>
      </w:pPr>
      <w:r w:rsidRPr="00465B89">
        <w:t>116.175.</w:t>
      </w:r>
      <w:r w:rsidRPr="00465B89">
        <w:tab/>
      </w:r>
      <w:r w:rsidR="00074A57" w:rsidRPr="00465B89">
        <w:t>Accepted.</w:t>
      </w:r>
    </w:p>
    <w:p w:rsidR="00074A57" w:rsidRPr="00E8724D" w:rsidRDefault="00457879" w:rsidP="00465B89">
      <w:pPr>
        <w:pStyle w:val="SingleTxtG"/>
        <w:tabs>
          <w:tab w:val="left" w:pos="567"/>
          <w:tab w:val="left" w:pos="1701"/>
        </w:tabs>
        <w:ind w:firstLine="567"/>
      </w:pPr>
      <w:r w:rsidRPr="00465B89">
        <w:t>116.176.</w:t>
      </w:r>
      <w:r w:rsidRPr="00465B89">
        <w:tab/>
      </w:r>
      <w:r w:rsidR="00074A57" w:rsidRPr="00465B89">
        <w:t>Noted.</w:t>
      </w:r>
    </w:p>
    <w:p w:rsidR="00074A57" w:rsidRPr="00E8724D" w:rsidRDefault="00457879" w:rsidP="00465B89">
      <w:pPr>
        <w:pStyle w:val="SingleTxtG"/>
        <w:tabs>
          <w:tab w:val="left" w:pos="567"/>
          <w:tab w:val="left" w:pos="1701"/>
        </w:tabs>
        <w:ind w:firstLine="567"/>
      </w:pPr>
      <w:r w:rsidRPr="00465B89">
        <w:t>116.177, 116.178.</w:t>
      </w:r>
      <w:r w:rsidRPr="00465B89">
        <w:tab/>
      </w:r>
      <w:r w:rsidR="00074A57" w:rsidRPr="00465B89">
        <w:t>Accepted.</w:t>
      </w:r>
    </w:p>
    <w:p w:rsidR="00074A57" w:rsidRPr="00E8724D" w:rsidRDefault="00457879" w:rsidP="00465B89">
      <w:pPr>
        <w:pStyle w:val="SingleTxtG"/>
        <w:tabs>
          <w:tab w:val="left" w:pos="567"/>
          <w:tab w:val="left" w:pos="1701"/>
        </w:tabs>
        <w:ind w:firstLine="567"/>
      </w:pPr>
      <w:r>
        <w:t>116.179.</w:t>
      </w:r>
      <w:r>
        <w:tab/>
      </w:r>
      <w:r w:rsidR="00074A57" w:rsidRPr="00E8724D">
        <w:t>Accepted</w:t>
      </w:r>
      <w:r w:rsidR="00074A57" w:rsidRPr="00465B89">
        <w:t>.</w:t>
      </w:r>
    </w:p>
    <w:p w:rsidR="00074A57" w:rsidRPr="00E8724D" w:rsidRDefault="00074A57" w:rsidP="00465B89">
      <w:pPr>
        <w:pStyle w:val="SingleTxtG"/>
        <w:tabs>
          <w:tab w:val="left" w:pos="567"/>
          <w:tab w:val="left" w:pos="1701"/>
        </w:tabs>
        <w:ind w:firstLine="567"/>
      </w:pPr>
      <w:r w:rsidRPr="00465B89">
        <w:t>11</w:t>
      </w:r>
      <w:r w:rsidR="00457879" w:rsidRPr="00465B89">
        <w:t>6.180.</w:t>
      </w:r>
      <w:r w:rsidR="00457879" w:rsidRPr="00465B89">
        <w:tab/>
      </w:r>
      <w:r w:rsidRPr="00465B89">
        <w:t>Accepted.</w:t>
      </w:r>
    </w:p>
    <w:p w:rsidR="00074A57" w:rsidRPr="00E8724D" w:rsidRDefault="00457879" w:rsidP="00465B89">
      <w:pPr>
        <w:pStyle w:val="SingleTxtG"/>
        <w:tabs>
          <w:tab w:val="left" w:pos="567"/>
          <w:tab w:val="left" w:pos="1701"/>
        </w:tabs>
        <w:ind w:firstLine="567"/>
      </w:pPr>
      <w:r w:rsidRPr="00465B89">
        <w:t>116.181.</w:t>
      </w:r>
      <w:r w:rsidRPr="00465B89">
        <w:tab/>
      </w:r>
      <w:r w:rsidR="00074A57" w:rsidRPr="00465B89">
        <w:t>Noted.</w:t>
      </w:r>
    </w:p>
    <w:p w:rsidR="00074A57" w:rsidRPr="00E8724D" w:rsidRDefault="00457879" w:rsidP="00465B89">
      <w:pPr>
        <w:pStyle w:val="SingleTxtG"/>
        <w:tabs>
          <w:tab w:val="left" w:pos="567"/>
          <w:tab w:val="left" w:pos="1701"/>
        </w:tabs>
        <w:ind w:firstLine="567"/>
      </w:pPr>
      <w:r w:rsidRPr="00465B89">
        <w:t>116.182.</w:t>
      </w:r>
      <w:r w:rsidRPr="00465B89">
        <w:tab/>
      </w:r>
      <w:r w:rsidR="00074A57" w:rsidRPr="00465B89">
        <w:t>Noted.</w:t>
      </w:r>
    </w:p>
    <w:p w:rsidR="00074A57" w:rsidRPr="00E8724D" w:rsidRDefault="00457879" w:rsidP="00465B89">
      <w:pPr>
        <w:pStyle w:val="SingleTxtG"/>
        <w:tabs>
          <w:tab w:val="left" w:pos="567"/>
          <w:tab w:val="left" w:pos="1701"/>
        </w:tabs>
        <w:ind w:firstLine="567"/>
      </w:pPr>
      <w:r w:rsidRPr="00465B89">
        <w:t>116.183.</w:t>
      </w:r>
      <w:r w:rsidRPr="00465B89">
        <w:tab/>
      </w:r>
      <w:r w:rsidR="00074A57" w:rsidRPr="00465B89">
        <w:t>Accepted.</w:t>
      </w:r>
    </w:p>
    <w:p w:rsidR="00074A57" w:rsidRPr="00E8724D" w:rsidRDefault="00457879" w:rsidP="00465B89">
      <w:pPr>
        <w:pStyle w:val="SingleTxtG"/>
        <w:tabs>
          <w:tab w:val="left" w:pos="567"/>
          <w:tab w:val="left" w:pos="1701"/>
        </w:tabs>
        <w:ind w:firstLine="567"/>
      </w:pPr>
      <w:r w:rsidRPr="00465B89">
        <w:t>116.184.</w:t>
      </w:r>
      <w:r w:rsidRPr="00465B89">
        <w:tab/>
      </w:r>
      <w:r w:rsidR="00074A57" w:rsidRPr="00465B89">
        <w:t>Noted.</w:t>
      </w:r>
    </w:p>
    <w:p w:rsidR="00074A57" w:rsidRPr="00E8724D" w:rsidRDefault="00457879" w:rsidP="00465B89">
      <w:pPr>
        <w:pStyle w:val="SingleTxtG"/>
        <w:tabs>
          <w:tab w:val="left" w:pos="567"/>
          <w:tab w:val="left" w:pos="1701"/>
        </w:tabs>
        <w:ind w:firstLine="567"/>
      </w:pPr>
      <w:r w:rsidRPr="00465B89">
        <w:t>116.185.</w:t>
      </w:r>
      <w:r w:rsidRPr="00465B89">
        <w:tab/>
      </w:r>
      <w:r w:rsidR="00074A57" w:rsidRPr="00465B89">
        <w:t>Accepted.</w:t>
      </w:r>
    </w:p>
    <w:p w:rsidR="00074A57" w:rsidRPr="00E8724D" w:rsidRDefault="00457879" w:rsidP="00465B89">
      <w:pPr>
        <w:pStyle w:val="SingleTxtG"/>
        <w:tabs>
          <w:tab w:val="left" w:pos="567"/>
          <w:tab w:val="left" w:pos="1701"/>
        </w:tabs>
        <w:ind w:firstLine="567"/>
      </w:pPr>
      <w:r w:rsidRPr="00465B89">
        <w:t>116.186.</w:t>
      </w:r>
      <w:r w:rsidRPr="00465B89">
        <w:tab/>
      </w:r>
      <w:r w:rsidR="00074A57" w:rsidRPr="00465B89">
        <w:t>Accepted.</w:t>
      </w:r>
    </w:p>
    <w:p w:rsidR="00074A57" w:rsidRPr="00E8724D" w:rsidRDefault="00457879" w:rsidP="00465B89">
      <w:pPr>
        <w:pStyle w:val="SingleTxtG"/>
        <w:tabs>
          <w:tab w:val="left" w:pos="567"/>
          <w:tab w:val="left" w:pos="1701"/>
        </w:tabs>
        <w:ind w:firstLine="567"/>
      </w:pPr>
      <w:r w:rsidRPr="00465B89">
        <w:t>116.187.</w:t>
      </w:r>
      <w:r w:rsidRPr="00465B89">
        <w:tab/>
      </w:r>
      <w:r w:rsidR="00074A57" w:rsidRPr="00465B89">
        <w:t>Noted.</w:t>
      </w:r>
    </w:p>
    <w:p w:rsidR="00074A57" w:rsidRPr="00E8724D" w:rsidRDefault="00457879" w:rsidP="00465B89">
      <w:pPr>
        <w:pStyle w:val="SingleTxtG"/>
        <w:tabs>
          <w:tab w:val="left" w:pos="567"/>
          <w:tab w:val="left" w:pos="1701"/>
        </w:tabs>
        <w:ind w:firstLine="567"/>
      </w:pPr>
      <w:r w:rsidRPr="00465B89">
        <w:t>116.188.</w:t>
      </w:r>
      <w:r w:rsidRPr="00465B89">
        <w:tab/>
      </w:r>
      <w:r w:rsidR="00074A57" w:rsidRPr="00465B89">
        <w:t>Accepted.</w:t>
      </w:r>
    </w:p>
    <w:p w:rsidR="00074A57" w:rsidRPr="00E8724D" w:rsidRDefault="00457879" w:rsidP="00465B89">
      <w:pPr>
        <w:pStyle w:val="SingleTxtG"/>
        <w:tabs>
          <w:tab w:val="left" w:pos="567"/>
          <w:tab w:val="left" w:pos="1701"/>
        </w:tabs>
        <w:ind w:firstLine="567"/>
      </w:pPr>
      <w:r w:rsidRPr="00465B89">
        <w:t>116.189.</w:t>
      </w:r>
      <w:r w:rsidRPr="00465B89">
        <w:tab/>
      </w:r>
      <w:r w:rsidR="00074A57" w:rsidRPr="00465B89">
        <w:t>Accepted.</w:t>
      </w:r>
    </w:p>
    <w:p w:rsidR="00074A57" w:rsidRPr="00E8724D" w:rsidRDefault="00457879" w:rsidP="00465B89">
      <w:pPr>
        <w:pStyle w:val="SingleTxtG"/>
        <w:tabs>
          <w:tab w:val="left" w:pos="567"/>
          <w:tab w:val="left" w:pos="1701"/>
        </w:tabs>
        <w:ind w:firstLine="567"/>
      </w:pPr>
      <w:r w:rsidRPr="00465B89">
        <w:t>116.190.</w:t>
      </w:r>
      <w:r w:rsidRPr="00465B89">
        <w:tab/>
      </w:r>
      <w:r w:rsidR="00074A57" w:rsidRPr="00465B89">
        <w:t>Accepted.</w:t>
      </w:r>
    </w:p>
    <w:p w:rsidR="00CF586F" w:rsidRPr="00F20401" w:rsidRDefault="00F20401" w:rsidP="00F20401">
      <w:pPr>
        <w:spacing w:before="240"/>
        <w:ind w:left="1134" w:right="1134"/>
        <w:jc w:val="center"/>
        <w:rPr>
          <w:u w:val="single"/>
        </w:rPr>
      </w:pPr>
      <w:r>
        <w:rPr>
          <w:u w:val="single"/>
        </w:rPr>
        <w:tab/>
      </w:r>
      <w:r>
        <w:rPr>
          <w:u w:val="single"/>
        </w:rPr>
        <w:tab/>
      </w:r>
      <w:r>
        <w:rPr>
          <w:u w:val="single"/>
        </w:rPr>
        <w:tab/>
      </w:r>
      <w:r w:rsidR="00E21E1B">
        <w:rPr>
          <w:u w:val="single"/>
        </w:rPr>
        <w:tab/>
      </w:r>
    </w:p>
    <w:sectPr w:rsidR="00CF586F" w:rsidRPr="00F20401" w:rsidSect="00074A57">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A57" w:rsidRDefault="00074A57"/>
  </w:endnote>
  <w:endnote w:type="continuationSeparator" w:id="0">
    <w:p w:rsidR="00074A57" w:rsidRDefault="00074A57"/>
  </w:endnote>
  <w:endnote w:type="continuationNotice" w:id="1">
    <w:p w:rsidR="00074A57" w:rsidRDefault="00074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A57" w:rsidRPr="00074A57" w:rsidRDefault="00074A57" w:rsidP="00074A57">
    <w:pPr>
      <w:pStyle w:val="Footer"/>
      <w:tabs>
        <w:tab w:val="right" w:pos="9638"/>
      </w:tabs>
      <w:rPr>
        <w:sz w:val="18"/>
      </w:rPr>
    </w:pPr>
    <w:r w:rsidRPr="00074A57">
      <w:rPr>
        <w:b/>
        <w:sz w:val="18"/>
      </w:rPr>
      <w:fldChar w:fldCharType="begin"/>
    </w:r>
    <w:r w:rsidRPr="00074A57">
      <w:rPr>
        <w:b/>
        <w:sz w:val="18"/>
      </w:rPr>
      <w:instrText xml:space="preserve"> PAGE  \* MERGEFORMAT </w:instrText>
    </w:r>
    <w:r w:rsidRPr="00074A57">
      <w:rPr>
        <w:b/>
        <w:sz w:val="18"/>
      </w:rPr>
      <w:fldChar w:fldCharType="separate"/>
    </w:r>
    <w:r w:rsidR="00D10A80">
      <w:rPr>
        <w:b/>
        <w:noProof/>
        <w:sz w:val="18"/>
      </w:rPr>
      <w:t>2</w:t>
    </w:r>
    <w:r w:rsidRPr="00074A57">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A57" w:rsidRPr="00074A57" w:rsidRDefault="00074A57" w:rsidP="00074A57">
    <w:pPr>
      <w:pStyle w:val="Footer"/>
      <w:tabs>
        <w:tab w:val="right" w:pos="9638"/>
      </w:tabs>
      <w:rPr>
        <w:b/>
        <w:sz w:val="18"/>
      </w:rPr>
    </w:pPr>
    <w:r>
      <w:tab/>
    </w:r>
    <w:r w:rsidRPr="00074A57">
      <w:rPr>
        <w:b/>
        <w:sz w:val="18"/>
      </w:rPr>
      <w:fldChar w:fldCharType="begin"/>
    </w:r>
    <w:r w:rsidRPr="00074A57">
      <w:rPr>
        <w:b/>
        <w:sz w:val="18"/>
      </w:rPr>
      <w:instrText xml:space="preserve"> PAGE  \* MERGEFORMAT </w:instrText>
    </w:r>
    <w:r w:rsidRPr="00074A57">
      <w:rPr>
        <w:b/>
        <w:sz w:val="18"/>
      </w:rPr>
      <w:fldChar w:fldCharType="separate"/>
    </w:r>
    <w:r w:rsidR="00D10A80">
      <w:rPr>
        <w:b/>
        <w:noProof/>
        <w:sz w:val="18"/>
      </w:rPr>
      <w:t>5</w:t>
    </w:r>
    <w:r w:rsidRPr="00074A57">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A57" w:rsidRPr="000B175B" w:rsidRDefault="00074A57" w:rsidP="000B175B">
      <w:pPr>
        <w:tabs>
          <w:tab w:val="right" w:pos="2155"/>
        </w:tabs>
        <w:spacing w:after="80"/>
        <w:ind w:left="680"/>
        <w:rPr>
          <w:u w:val="single"/>
        </w:rPr>
      </w:pPr>
      <w:r>
        <w:rPr>
          <w:u w:val="single"/>
        </w:rPr>
        <w:tab/>
      </w:r>
    </w:p>
  </w:footnote>
  <w:footnote w:type="continuationSeparator" w:id="0">
    <w:p w:rsidR="00074A57" w:rsidRPr="00FC68B7" w:rsidRDefault="00074A57" w:rsidP="00FC68B7">
      <w:pPr>
        <w:tabs>
          <w:tab w:val="left" w:pos="2155"/>
        </w:tabs>
        <w:spacing w:after="80"/>
        <w:ind w:left="680"/>
        <w:rPr>
          <w:u w:val="single"/>
        </w:rPr>
      </w:pPr>
      <w:r>
        <w:rPr>
          <w:u w:val="single"/>
        </w:rPr>
        <w:tab/>
      </w:r>
    </w:p>
  </w:footnote>
  <w:footnote w:type="continuationNotice" w:id="1">
    <w:p w:rsidR="00074A57" w:rsidRDefault="00074A57"/>
  </w:footnote>
  <w:footnote w:id="2">
    <w:p w:rsidR="00074A57" w:rsidRDefault="00074A57" w:rsidP="00074A57">
      <w:pPr>
        <w:pStyle w:val="FootnoteText"/>
        <w:rPr>
          <w:szCs w:val="18"/>
        </w:rPr>
      </w:pPr>
      <w:r>
        <w:tab/>
      </w:r>
      <w:r w:rsidRPr="002D7A86">
        <w:rPr>
          <w:rStyle w:val="FootnoteReference"/>
          <w:szCs w:val="18"/>
          <w:vertAlign w:val="baseline"/>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A57" w:rsidRPr="00074A57" w:rsidRDefault="00354396">
    <w:pPr>
      <w:pStyle w:val="Header"/>
    </w:pPr>
    <w:fldSimple w:instr=" TITLE  \* MERGEFORMAT ">
      <w:r w:rsidR="00074A57">
        <w:t>A/HRC/37/16/Add.1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A57" w:rsidRPr="00074A57" w:rsidRDefault="00354396" w:rsidP="00074A57">
    <w:pPr>
      <w:pStyle w:val="Header"/>
      <w:jc w:val="right"/>
    </w:pPr>
    <w:fldSimple w:instr=" TITLE  \* MERGEFORMAT ">
      <w:r w:rsidR="00074A57">
        <w:t>A/HRC/37/16/Add.1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131077"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57"/>
    <w:rsid w:val="00007F7F"/>
    <w:rsid w:val="00022DB5"/>
    <w:rsid w:val="000403D1"/>
    <w:rsid w:val="000449AA"/>
    <w:rsid w:val="00050F6B"/>
    <w:rsid w:val="0005662A"/>
    <w:rsid w:val="00072C8C"/>
    <w:rsid w:val="00073E70"/>
    <w:rsid w:val="00074A57"/>
    <w:rsid w:val="000876EB"/>
    <w:rsid w:val="00091419"/>
    <w:rsid w:val="000931C0"/>
    <w:rsid w:val="000B175B"/>
    <w:rsid w:val="000B2851"/>
    <w:rsid w:val="000B3A0F"/>
    <w:rsid w:val="000B4A3B"/>
    <w:rsid w:val="000C59D8"/>
    <w:rsid w:val="000D1851"/>
    <w:rsid w:val="000E0415"/>
    <w:rsid w:val="000F370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83A14"/>
    <w:rsid w:val="002A7BAB"/>
    <w:rsid w:val="002C21F0"/>
    <w:rsid w:val="002D7A86"/>
    <w:rsid w:val="003107FA"/>
    <w:rsid w:val="003229D8"/>
    <w:rsid w:val="003314D1"/>
    <w:rsid w:val="00335A2F"/>
    <w:rsid w:val="00341937"/>
    <w:rsid w:val="00354396"/>
    <w:rsid w:val="0039277A"/>
    <w:rsid w:val="003972E0"/>
    <w:rsid w:val="003975ED"/>
    <w:rsid w:val="003A2011"/>
    <w:rsid w:val="003C2CC4"/>
    <w:rsid w:val="003D4B23"/>
    <w:rsid w:val="00424C80"/>
    <w:rsid w:val="004325CB"/>
    <w:rsid w:val="0044503A"/>
    <w:rsid w:val="00446DE4"/>
    <w:rsid w:val="00447761"/>
    <w:rsid w:val="00451EC3"/>
    <w:rsid w:val="00457879"/>
    <w:rsid w:val="00465B89"/>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C7AAF"/>
    <w:rsid w:val="006D6DA6"/>
    <w:rsid w:val="006E564B"/>
    <w:rsid w:val="006F13F0"/>
    <w:rsid w:val="006F5035"/>
    <w:rsid w:val="007065EB"/>
    <w:rsid w:val="00720183"/>
    <w:rsid w:val="0072632A"/>
    <w:rsid w:val="0074200B"/>
    <w:rsid w:val="007A0B9C"/>
    <w:rsid w:val="007A6296"/>
    <w:rsid w:val="007A79E4"/>
    <w:rsid w:val="007B5D66"/>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655FB"/>
    <w:rsid w:val="00991261"/>
    <w:rsid w:val="009A0B83"/>
    <w:rsid w:val="009A4608"/>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47D16"/>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0A80"/>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21E1B"/>
    <w:rsid w:val="00E438D9"/>
    <w:rsid w:val="00E5644E"/>
    <w:rsid w:val="00E7260F"/>
    <w:rsid w:val="00E806EE"/>
    <w:rsid w:val="00E96630"/>
    <w:rsid w:val="00EB0FB9"/>
    <w:rsid w:val="00ED0CA9"/>
    <w:rsid w:val="00ED7A2A"/>
    <w:rsid w:val="00EF1D7F"/>
    <w:rsid w:val="00EF5BDB"/>
    <w:rsid w:val="00F07FD9"/>
    <w:rsid w:val="00F20401"/>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1D05F18-B7DD-4940-86F2-17DC25F9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link w:val="FootnoteText"/>
    <w:uiPriority w:val="99"/>
    <w:rsid w:val="00074A57"/>
    <w:rPr>
      <w:sz w:val="18"/>
      <w:lang w:eastAsia="en-US"/>
    </w:rPr>
  </w:style>
  <w:style w:type="paragraph" w:styleId="NormalWeb">
    <w:name w:val="Normal (Web)"/>
    <w:basedOn w:val="Normal"/>
    <w:uiPriority w:val="99"/>
    <w:semiHidden/>
    <w:unhideWhenUsed/>
    <w:rsid w:val="00074A57"/>
    <w:pPr>
      <w:suppressAutoHyphens w:val="0"/>
      <w:spacing w:before="100" w:beforeAutospacing="1" w:after="100" w:afterAutospacing="1" w:line="240" w:lineRule="auto"/>
    </w:pPr>
    <w:rPr>
      <w:sz w:val="24"/>
      <w:szCs w:val="24"/>
      <w:lang w:val="uk-UA" w:eastAsia="uk-UA"/>
    </w:rPr>
  </w:style>
  <w:style w:type="character" w:customStyle="1" w:styleId="aqj">
    <w:name w:val="aqj"/>
    <w:rsid w:val="00074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B90D2A-7D42-4D2A-B9B9-6AAE49693D5D}"/>
</file>

<file path=customXml/itemProps2.xml><?xml version="1.0" encoding="utf-8"?>
<ds:datastoreItem xmlns:ds="http://schemas.openxmlformats.org/officeDocument/2006/customXml" ds:itemID="{DF6AA801-DC9E-4B33-8962-F2C008BDC3BD}"/>
</file>

<file path=customXml/itemProps3.xml><?xml version="1.0" encoding="utf-8"?>
<ds:datastoreItem xmlns:ds="http://schemas.openxmlformats.org/officeDocument/2006/customXml" ds:itemID="{8F1B5F30-78A8-4CA1-A191-7378AD5CE2A4}"/>
</file>

<file path=docProps/app.xml><?xml version="1.0" encoding="utf-8"?>
<Properties xmlns="http://schemas.openxmlformats.org/officeDocument/2006/extended-properties" xmlns:vt="http://schemas.openxmlformats.org/officeDocument/2006/docPropsVTypes">
  <Template>A_E.dotm</Template>
  <TotalTime>0</TotalTime>
  <Pages>5</Pages>
  <Words>1123</Words>
  <Characters>6405</Characters>
  <Application>Microsoft Office Word</Application>
  <DocSecurity>4</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A/HRC/37/16/Add.1</vt:lpstr>
      <vt:lpstr/>
    </vt:vector>
  </TitlesOfParts>
  <Company>CSD</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A/HRC/37/16/Add.1 - Addendum of Report of the Working Group on the Universal Periodic Review - Ukraine</dc:title>
  <dc:creator>Sumiko IHARA</dc:creator>
  <cp:lastModifiedBy>IHARA Sumiko</cp:lastModifiedBy>
  <cp:revision>2</cp:revision>
  <cp:lastPrinted>2008-01-29T08:30:00Z</cp:lastPrinted>
  <dcterms:created xsi:type="dcterms:W3CDTF">2018-02-28T07:37:00Z</dcterms:created>
  <dcterms:modified xsi:type="dcterms:W3CDTF">2018-02-28T07:37:00Z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