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B42806" w14:paraId="02598E50" w14:textId="77777777">
        <w:trPr>
          <w:trHeight w:val="851"/>
        </w:trPr>
        <w:tc>
          <w:tcPr>
            <w:tcW w:w="1259" w:type="dxa"/>
            <w:tcBorders>
              <w:top w:val="nil"/>
              <w:left w:val="nil"/>
              <w:bottom w:val="single" w:sz="4" w:space="0" w:color="auto"/>
              <w:right w:val="nil"/>
            </w:tcBorders>
          </w:tcPr>
          <w:p w14:paraId="4031839B" w14:textId="77777777" w:rsidR="00E52109" w:rsidRPr="00B42806" w:rsidRDefault="00E52109" w:rsidP="002A32CB">
            <w:pPr>
              <w:pStyle w:val="HMG"/>
            </w:pPr>
          </w:p>
        </w:tc>
        <w:tc>
          <w:tcPr>
            <w:tcW w:w="2236" w:type="dxa"/>
            <w:tcBorders>
              <w:top w:val="nil"/>
              <w:left w:val="nil"/>
              <w:bottom w:val="single" w:sz="4" w:space="0" w:color="auto"/>
              <w:right w:val="nil"/>
            </w:tcBorders>
            <w:vAlign w:val="bottom"/>
          </w:tcPr>
          <w:p w14:paraId="4692B197" w14:textId="22ACD699" w:rsidR="00E52109" w:rsidRPr="00B42806" w:rsidRDefault="00E52109" w:rsidP="002B2B6A">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4B3D75C" w14:textId="77777777" w:rsidR="00E52109" w:rsidRPr="00B42806" w:rsidRDefault="00233B59" w:rsidP="00D404D4">
            <w:pPr>
              <w:suppressAutoHyphens w:val="0"/>
              <w:spacing w:after="20"/>
              <w:jc w:val="right"/>
            </w:pPr>
            <w:r w:rsidRPr="00B42806">
              <w:rPr>
                <w:sz w:val="40"/>
              </w:rPr>
              <w:t>A</w:t>
            </w:r>
            <w:r w:rsidRPr="00B42806">
              <w:t>/HRC/</w:t>
            </w:r>
            <w:r w:rsidR="00C01E79" w:rsidRPr="00B42806">
              <w:t>3</w:t>
            </w:r>
            <w:r w:rsidR="00D404D4" w:rsidRPr="00B42806">
              <w:t>7</w:t>
            </w:r>
            <w:r w:rsidR="00C01E79" w:rsidRPr="00B42806">
              <w:t>/4</w:t>
            </w:r>
            <w:r w:rsidR="00D404D4" w:rsidRPr="00B42806">
              <w:t>6</w:t>
            </w:r>
          </w:p>
        </w:tc>
      </w:tr>
      <w:tr w:rsidR="00E52109" w:rsidRPr="00B42806" w14:paraId="23A669D5" w14:textId="77777777">
        <w:trPr>
          <w:trHeight w:val="2835"/>
        </w:trPr>
        <w:tc>
          <w:tcPr>
            <w:tcW w:w="1259" w:type="dxa"/>
            <w:tcBorders>
              <w:top w:val="single" w:sz="4" w:space="0" w:color="auto"/>
              <w:left w:val="nil"/>
              <w:bottom w:val="single" w:sz="12" w:space="0" w:color="auto"/>
              <w:right w:val="nil"/>
            </w:tcBorders>
          </w:tcPr>
          <w:p w14:paraId="40B534C8" w14:textId="66C9A83C" w:rsidR="00E52109" w:rsidRPr="00B42806" w:rsidRDefault="00E52109" w:rsidP="002B2B6A">
            <w:pPr>
              <w:spacing w:before="120"/>
              <w:jc w:val="center"/>
            </w:pPr>
          </w:p>
        </w:tc>
        <w:tc>
          <w:tcPr>
            <w:tcW w:w="5450" w:type="dxa"/>
            <w:gridSpan w:val="2"/>
            <w:tcBorders>
              <w:top w:val="single" w:sz="4" w:space="0" w:color="auto"/>
              <w:left w:val="nil"/>
              <w:bottom w:val="single" w:sz="12" w:space="0" w:color="auto"/>
              <w:right w:val="nil"/>
            </w:tcBorders>
          </w:tcPr>
          <w:p w14:paraId="02B6AC76" w14:textId="6C555BD2" w:rsidR="00E52109" w:rsidRPr="00B42806" w:rsidRDefault="001907E8" w:rsidP="002B2B6A">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3502E024" w14:textId="77777777" w:rsidR="00E52109" w:rsidRPr="00B42806" w:rsidRDefault="00233B59" w:rsidP="00233B59">
            <w:pPr>
              <w:suppressAutoHyphens w:val="0"/>
              <w:spacing w:before="240" w:line="240" w:lineRule="exact"/>
            </w:pPr>
            <w:r w:rsidRPr="00B42806">
              <w:t>Distr.: General</w:t>
            </w:r>
          </w:p>
          <w:p w14:paraId="4A5DA48A" w14:textId="4CEC776C" w:rsidR="00233B59" w:rsidRPr="00B42806" w:rsidRDefault="006B78D0" w:rsidP="00566085">
            <w:pPr>
              <w:suppressAutoHyphens w:val="0"/>
            </w:pPr>
            <w:r>
              <w:t>2</w:t>
            </w:r>
            <w:r w:rsidR="00F66AA7">
              <w:t>1</w:t>
            </w:r>
            <w:r w:rsidR="00DA779D" w:rsidRPr="00B42806">
              <w:t xml:space="preserve"> February </w:t>
            </w:r>
            <w:r w:rsidR="00D404D4" w:rsidRPr="00B42806">
              <w:t>2018</w:t>
            </w:r>
          </w:p>
          <w:p w14:paraId="057E1C5A" w14:textId="77777777" w:rsidR="00233B59" w:rsidRPr="00B42806" w:rsidRDefault="00233B59" w:rsidP="00233B59">
            <w:pPr>
              <w:suppressAutoHyphens w:val="0"/>
            </w:pPr>
          </w:p>
          <w:p w14:paraId="5212507B" w14:textId="77777777" w:rsidR="00233B59" w:rsidRPr="00B42806" w:rsidRDefault="00233B59" w:rsidP="00233B59">
            <w:pPr>
              <w:suppressAutoHyphens w:val="0"/>
            </w:pPr>
            <w:r w:rsidRPr="00B42806">
              <w:t>Original: English</w:t>
            </w:r>
          </w:p>
        </w:tc>
      </w:tr>
    </w:tbl>
    <w:p w14:paraId="4236E07A" w14:textId="77777777" w:rsidR="00052F41" w:rsidRPr="00206848" w:rsidRDefault="00052F41">
      <w:pPr>
        <w:spacing w:before="120"/>
        <w:rPr>
          <w:b/>
          <w:sz w:val="24"/>
          <w:szCs w:val="24"/>
        </w:rPr>
      </w:pPr>
      <w:r w:rsidRPr="00206848">
        <w:rPr>
          <w:b/>
          <w:sz w:val="24"/>
          <w:szCs w:val="24"/>
        </w:rPr>
        <w:t>Human Rights Council</w:t>
      </w:r>
      <w:bookmarkStart w:id="0" w:name="_GoBack"/>
      <w:bookmarkEnd w:id="0"/>
    </w:p>
    <w:p w14:paraId="4E4E88D4" w14:textId="3FC5F7FE" w:rsidR="00D404D4" w:rsidRDefault="00D404D4" w:rsidP="00D404D4">
      <w:pPr>
        <w:pStyle w:val="Corps"/>
        <w:outlineLvl w:val="0"/>
        <w:rPr>
          <w:rStyle w:val="Aucun"/>
          <w:rFonts w:eastAsia="Calibri"/>
          <w:b/>
          <w:bCs/>
        </w:rPr>
      </w:pPr>
      <w:r w:rsidRPr="00B42806">
        <w:rPr>
          <w:rStyle w:val="Aucun"/>
          <w:rFonts w:eastAsia="Calibri"/>
          <w:b/>
          <w:bCs/>
        </w:rPr>
        <w:t>Thirty-seventh session</w:t>
      </w:r>
    </w:p>
    <w:p w14:paraId="79BB786E" w14:textId="77777777" w:rsidR="0041491F" w:rsidRPr="007F46B6" w:rsidRDefault="0041491F" w:rsidP="0041491F">
      <w:r w:rsidRPr="007F46B6">
        <w:t>26 February – 23 March 2018</w:t>
      </w:r>
    </w:p>
    <w:p w14:paraId="35E4050F" w14:textId="326A3EF7" w:rsidR="00D404D4" w:rsidRDefault="00DA779D" w:rsidP="00D404D4">
      <w:pPr>
        <w:pStyle w:val="Corps"/>
        <w:outlineLvl w:val="0"/>
      </w:pPr>
      <w:r>
        <w:t>Agenda items 2 and</w:t>
      </w:r>
      <w:r w:rsidR="0041491F">
        <w:t xml:space="preserve"> </w:t>
      </w:r>
      <w:r w:rsidR="00D404D4">
        <w:t>10</w:t>
      </w:r>
      <w:r w:rsidR="00D404D4" w:rsidRPr="0015190B">
        <w:t xml:space="preserve"> </w:t>
      </w:r>
    </w:p>
    <w:p w14:paraId="07A2D457" w14:textId="77777777" w:rsidR="00052F41" w:rsidRPr="00206848" w:rsidRDefault="00052F41" w:rsidP="00052F41">
      <w:pPr>
        <w:rPr>
          <w:b/>
          <w:bCs/>
        </w:rPr>
      </w:pPr>
      <w:r w:rsidRPr="00206848">
        <w:rPr>
          <w:b/>
          <w:bCs/>
        </w:rPr>
        <w:t>Annual report of the United Nations High Commissioner</w:t>
      </w:r>
    </w:p>
    <w:p w14:paraId="0CB8B073" w14:textId="77777777" w:rsidR="00052F41" w:rsidRPr="00206848" w:rsidRDefault="00052F41" w:rsidP="00052F41">
      <w:pPr>
        <w:rPr>
          <w:b/>
          <w:bCs/>
        </w:rPr>
      </w:pPr>
      <w:r w:rsidRPr="00206848">
        <w:rPr>
          <w:b/>
          <w:bCs/>
        </w:rPr>
        <w:t>for Human Rights and reports of the Office of the</w:t>
      </w:r>
    </w:p>
    <w:p w14:paraId="2455F103" w14:textId="77777777" w:rsidR="00052F41" w:rsidRDefault="00052F41" w:rsidP="00052F41">
      <w:pPr>
        <w:spacing w:after="120"/>
        <w:rPr>
          <w:b/>
          <w:bCs/>
        </w:rPr>
      </w:pPr>
      <w:r w:rsidRPr="00206848">
        <w:rPr>
          <w:b/>
          <w:bCs/>
        </w:rPr>
        <w:t>High Commissioner and the Secretary-General</w:t>
      </w:r>
    </w:p>
    <w:p w14:paraId="100BD3A3" w14:textId="3C691236" w:rsidR="00052F41" w:rsidRPr="00206848" w:rsidRDefault="00052F41" w:rsidP="00052F41">
      <w:pPr>
        <w:rPr>
          <w:b/>
          <w:bCs/>
        </w:rPr>
      </w:pPr>
      <w:r w:rsidRPr="00206848">
        <w:rPr>
          <w:b/>
          <w:bCs/>
        </w:rPr>
        <w:t xml:space="preserve">Technical assistance and </w:t>
      </w:r>
      <w:r w:rsidR="00A56407" w:rsidRPr="00206848">
        <w:rPr>
          <w:b/>
          <w:bCs/>
        </w:rPr>
        <w:t>capacity</w:t>
      </w:r>
      <w:r w:rsidR="00752B49">
        <w:rPr>
          <w:b/>
          <w:bCs/>
        </w:rPr>
        <w:t>-</w:t>
      </w:r>
      <w:r w:rsidR="00A56407" w:rsidRPr="00206848">
        <w:rPr>
          <w:b/>
          <w:bCs/>
        </w:rPr>
        <w:t>building</w:t>
      </w:r>
    </w:p>
    <w:p w14:paraId="30C2DBFF" w14:textId="03B3A76A" w:rsidR="00052F41" w:rsidRDefault="00052F41" w:rsidP="00E21A95">
      <w:pPr>
        <w:pStyle w:val="HChG"/>
      </w:pPr>
      <w:r w:rsidRPr="00206848">
        <w:tab/>
      </w:r>
      <w:r w:rsidRPr="00206848">
        <w:tab/>
      </w:r>
      <w:r w:rsidR="007C7B4E">
        <w:t>S</w:t>
      </w:r>
      <w:r w:rsidRPr="00206848">
        <w:t xml:space="preserve">ituation of human rights in Libya, </w:t>
      </w:r>
      <w:r w:rsidR="007C7B4E">
        <w:t>and</w:t>
      </w:r>
      <w:r w:rsidRPr="00206848">
        <w:t xml:space="preserve"> the effectiveness of technical assistance and capacity-building measures received by the Government of Libya</w:t>
      </w:r>
      <w:r w:rsidR="00F66AA7" w:rsidRPr="00F66AA7">
        <w:rPr>
          <w:rStyle w:val="FootnoteReference"/>
          <w:b w:val="0"/>
          <w:sz w:val="20"/>
          <w:vertAlign w:val="baseline"/>
        </w:rPr>
        <w:footnoteReference w:customMarkFollows="1" w:id="2"/>
        <w:t>*</w:t>
      </w:r>
    </w:p>
    <w:p w14:paraId="3E7E9FED" w14:textId="72590262" w:rsidR="007C7B4E" w:rsidRPr="00025352" w:rsidRDefault="00C56DC6" w:rsidP="00C56DC6">
      <w:pPr>
        <w:pStyle w:val="H1G"/>
      </w:pPr>
      <w:r>
        <w:tab/>
      </w:r>
      <w:r>
        <w:tab/>
      </w:r>
      <w:r w:rsidR="007C7B4E" w:rsidRPr="00025352">
        <w:t>Report of the United Nations High Commissioner for Human Rights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5E0" w:firstRow="1" w:lastRow="1" w:firstColumn="1" w:lastColumn="1" w:noHBand="0" w:noVBand="1"/>
      </w:tblPr>
      <w:tblGrid>
        <w:gridCol w:w="9629"/>
      </w:tblGrid>
      <w:tr w:rsidR="0050131B" w:rsidRPr="00B42806" w14:paraId="38958A33" w14:textId="77777777" w:rsidTr="00C56DC6">
        <w:trPr>
          <w:jc w:val="center"/>
        </w:trPr>
        <w:tc>
          <w:tcPr>
            <w:tcW w:w="9629" w:type="dxa"/>
            <w:tcBorders>
              <w:bottom w:val="nil"/>
            </w:tcBorders>
            <w:shd w:val="clear" w:color="auto" w:fill="auto"/>
          </w:tcPr>
          <w:p w14:paraId="56A95101" w14:textId="77777777" w:rsidR="0050131B" w:rsidRPr="00B42806" w:rsidRDefault="0050131B" w:rsidP="00B42806">
            <w:pPr>
              <w:tabs>
                <w:tab w:val="left" w:pos="158"/>
                <w:tab w:val="left" w:pos="255"/>
              </w:tabs>
              <w:suppressAutoHyphens w:val="0"/>
              <w:spacing w:before="148" w:after="74"/>
              <w:rPr>
                <w:sz w:val="24"/>
              </w:rPr>
            </w:pPr>
            <w:r w:rsidRPr="00B42806">
              <w:tab/>
            </w:r>
            <w:r w:rsidRPr="00B42806">
              <w:rPr>
                <w:i/>
                <w:sz w:val="24"/>
              </w:rPr>
              <w:t>Summary</w:t>
            </w:r>
          </w:p>
        </w:tc>
      </w:tr>
      <w:tr w:rsidR="0050131B" w:rsidRPr="00B42806" w14:paraId="4704C263" w14:textId="77777777" w:rsidTr="00C56DC6">
        <w:trPr>
          <w:jc w:val="center"/>
        </w:trPr>
        <w:tc>
          <w:tcPr>
            <w:tcW w:w="9629" w:type="dxa"/>
            <w:tcBorders>
              <w:top w:val="nil"/>
              <w:bottom w:val="nil"/>
            </w:tcBorders>
            <w:shd w:val="clear" w:color="auto" w:fill="auto"/>
          </w:tcPr>
          <w:p w14:paraId="5BE3A383" w14:textId="741D0817" w:rsidR="0050131B" w:rsidRPr="00B42806" w:rsidRDefault="0050131B">
            <w:pPr>
              <w:pStyle w:val="SingleTxtG"/>
              <w:spacing w:after="74"/>
              <w:ind w:left="703" w:right="703"/>
            </w:pPr>
            <w:r w:rsidRPr="00B42806">
              <w:tab/>
            </w:r>
            <w:r w:rsidR="007C7B4E" w:rsidRPr="00B42806">
              <w:rPr>
                <w:lang w:val="en-US" w:eastAsia="zh-CN"/>
              </w:rPr>
              <w:t>In t</w:t>
            </w:r>
            <w:r w:rsidRPr="00B42806">
              <w:t xml:space="preserve">he present report, </w:t>
            </w:r>
            <w:r w:rsidR="007C7B4E" w:rsidRPr="00B42806">
              <w:t xml:space="preserve">in the United </w:t>
            </w:r>
            <w:r w:rsidR="00020F4D" w:rsidRPr="00B42806">
              <w:t>Nati</w:t>
            </w:r>
            <w:r w:rsidR="007C7B4E" w:rsidRPr="00B42806">
              <w:t>o</w:t>
            </w:r>
            <w:r w:rsidR="00020F4D" w:rsidRPr="00B42806">
              <w:t>n</w:t>
            </w:r>
            <w:r w:rsidR="007C7B4E" w:rsidRPr="00B42806">
              <w:t xml:space="preserve">s High Commissioner for Human Rights </w:t>
            </w:r>
            <w:r w:rsidRPr="00B42806">
              <w:t xml:space="preserve">describes the </w:t>
            </w:r>
            <w:r w:rsidR="007C7B4E" w:rsidRPr="00B42806">
              <w:t xml:space="preserve">situation of </w:t>
            </w:r>
            <w:r w:rsidR="00842271" w:rsidRPr="00B42806">
              <w:t xml:space="preserve">human rights </w:t>
            </w:r>
            <w:r w:rsidRPr="00B42806">
              <w:t>in Libya and the support provided to key Libyan institutions with regard to the protection of civilians</w:t>
            </w:r>
            <w:r w:rsidR="00741DBE" w:rsidRPr="00B42806">
              <w:t xml:space="preserve">, individuals </w:t>
            </w:r>
            <w:r w:rsidR="00842271" w:rsidRPr="00B42806">
              <w:t>hors de combat</w:t>
            </w:r>
            <w:r w:rsidR="00741DBE" w:rsidRPr="00B42806">
              <w:t xml:space="preserve"> and</w:t>
            </w:r>
            <w:r w:rsidRPr="00B42806">
              <w:t xml:space="preserve"> groups in focus, </w:t>
            </w:r>
            <w:r w:rsidR="00741DBE" w:rsidRPr="00B42806">
              <w:t xml:space="preserve">and concerning the </w:t>
            </w:r>
            <w:r w:rsidRPr="00B42806">
              <w:t xml:space="preserve">administration of justice, the rule of law and transitional justice. </w:t>
            </w:r>
            <w:r w:rsidR="007C7B4E" w:rsidRPr="00B42806">
              <w:t xml:space="preserve">He </w:t>
            </w:r>
            <w:r w:rsidRPr="00B42806">
              <w:t xml:space="preserve">concludes </w:t>
            </w:r>
            <w:r w:rsidR="007C7B4E" w:rsidRPr="00B42806">
              <w:t xml:space="preserve">the report </w:t>
            </w:r>
            <w:r w:rsidRPr="00B42806">
              <w:t>with recommendations addressed to all parties to the conflict, the Government</w:t>
            </w:r>
            <w:r w:rsidR="007C7B4E" w:rsidRPr="00B42806">
              <w:t xml:space="preserve"> of Libya</w:t>
            </w:r>
            <w:r w:rsidRPr="00B42806">
              <w:t>, the international community and the Human Rights Council.</w:t>
            </w:r>
          </w:p>
        </w:tc>
      </w:tr>
      <w:tr w:rsidR="0050131B" w:rsidRPr="00B42806" w14:paraId="16E7F5F5" w14:textId="77777777" w:rsidTr="00C56DC6">
        <w:trPr>
          <w:jc w:val="center"/>
        </w:trPr>
        <w:tc>
          <w:tcPr>
            <w:tcW w:w="9629" w:type="dxa"/>
            <w:tcBorders>
              <w:top w:val="nil"/>
            </w:tcBorders>
            <w:shd w:val="clear" w:color="auto" w:fill="auto"/>
          </w:tcPr>
          <w:p w14:paraId="1CA23C17" w14:textId="77777777" w:rsidR="0050131B" w:rsidRPr="00B42806" w:rsidRDefault="0050131B" w:rsidP="00B42806">
            <w:pPr>
              <w:suppressAutoHyphens w:val="0"/>
            </w:pPr>
          </w:p>
        </w:tc>
      </w:tr>
    </w:tbl>
    <w:p w14:paraId="6123E05C" w14:textId="1A30DCAB" w:rsidR="00297E03" w:rsidRPr="00206848" w:rsidRDefault="00297E03" w:rsidP="00025352">
      <w:pPr>
        <w:spacing w:after="120"/>
      </w:pPr>
    </w:p>
    <w:p w14:paraId="386314F2" w14:textId="77777777" w:rsidR="00E422C5" w:rsidRPr="007C7B4E" w:rsidRDefault="00E422C5" w:rsidP="00025352">
      <w:pPr>
        <w:spacing w:after="120"/>
      </w:pPr>
      <w:r w:rsidRPr="00206848">
        <w:br w:type="page"/>
      </w:r>
      <w:r w:rsidRPr="00206848">
        <w:lastRenderedPageBreak/>
        <w:tab/>
      </w:r>
      <w:r w:rsidRPr="007C7B4E">
        <w:rPr>
          <w:b/>
          <w:sz w:val="28"/>
        </w:rPr>
        <w:t>I.</w:t>
      </w:r>
      <w:r w:rsidRPr="007C7B4E">
        <w:rPr>
          <w:b/>
          <w:sz w:val="28"/>
        </w:rPr>
        <w:tab/>
        <w:t>Introduction</w:t>
      </w:r>
    </w:p>
    <w:p w14:paraId="4C27547E" w14:textId="5B815044" w:rsidR="00E422C5" w:rsidRPr="00B96058" w:rsidRDefault="007526CF" w:rsidP="00025352">
      <w:pPr>
        <w:pStyle w:val="SingleTxtG"/>
      </w:pPr>
      <w:r>
        <w:t>1</w:t>
      </w:r>
      <w:r w:rsidR="00E422C5" w:rsidRPr="00206848">
        <w:t>.</w:t>
      </w:r>
      <w:r w:rsidR="00E422C5" w:rsidRPr="00206848">
        <w:tab/>
      </w:r>
      <w:r w:rsidR="001E3288">
        <w:t xml:space="preserve">The present </w:t>
      </w:r>
      <w:r w:rsidR="00086CE8">
        <w:t>report is</w:t>
      </w:r>
      <w:r w:rsidR="00651C48">
        <w:t xml:space="preserve"> </w:t>
      </w:r>
      <w:r w:rsidR="00194627">
        <w:t>submitted</w:t>
      </w:r>
      <w:r w:rsidR="00086CE8">
        <w:t xml:space="preserve"> to </w:t>
      </w:r>
      <w:r w:rsidR="001E3288">
        <w:t xml:space="preserve">the </w:t>
      </w:r>
      <w:r w:rsidR="00086CE8">
        <w:t xml:space="preserve">Human Rights Council </w:t>
      </w:r>
      <w:r w:rsidR="001E3288">
        <w:t xml:space="preserve">pursuant to </w:t>
      </w:r>
      <w:r w:rsidR="00DB06A1">
        <w:t>Council</w:t>
      </w:r>
      <w:r w:rsidR="001E3288">
        <w:t xml:space="preserve"> </w:t>
      </w:r>
      <w:r w:rsidR="00086CE8">
        <w:t xml:space="preserve">resolution </w:t>
      </w:r>
      <w:r w:rsidR="00A242F3">
        <w:t>34/38</w:t>
      </w:r>
      <w:r w:rsidR="00E422C5" w:rsidRPr="00206848">
        <w:t xml:space="preserve">, </w:t>
      </w:r>
      <w:r w:rsidR="001E3288">
        <w:t xml:space="preserve">in which it </w:t>
      </w:r>
      <w:r w:rsidR="00A242F3">
        <w:t>request</w:t>
      </w:r>
      <w:r w:rsidR="001E3288">
        <w:t>ed</w:t>
      </w:r>
      <w:r w:rsidR="00E422C5" w:rsidRPr="00206848">
        <w:t xml:space="preserve"> the </w:t>
      </w:r>
      <w:r w:rsidR="001E3288">
        <w:t xml:space="preserve">United Nations </w:t>
      </w:r>
      <w:r w:rsidR="00E422C5" w:rsidRPr="00206848">
        <w:t xml:space="preserve">High Commissioner </w:t>
      </w:r>
      <w:r w:rsidR="001E3288">
        <w:t xml:space="preserve">for Human Rights </w:t>
      </w:r>
      <w:r w:rsidR="00E422C5" w:rsidRPr="00B96058">
        <w:t xml:space="preserve">to present </w:t>
      </w:r>
      <w:r w:rsidR="001E3288">
        <w:t xml:space="preserve">to the Council </w:t>
      </w:r>
      <w:r w:rsidR="00E422C5" w:rsidRPr="00B96058">
        <w:t>a report</w:t>
      </w:r>
      <w:r w:rsidR="001E3288">
        <w:t xml:space="preserve"> on </w:t>
      </w:r>
      <w:r w:rsidR="00E422C5" w:rsidRPr="00B96058">
        <w:t>the effectiveness of technical assistance rece</w:t>
      </w:r>
      <w:r w:rsidR="00086CE8" w:rsidRPr="00B96058">
        <w:t>ived by the Government of Libya</w:t>
      </w:r>
      <w:r w:rsidR="004E6184" w:rsidRPr="00B96058">
        <w:t xml:space="preserve"> to improve the situation of human rights</w:t>
      </w:r>
      <w:r w:rsidR="00E422C5" w:rsidRPr="00B96058">
        <w:t xml:space="preserve">. </w:t>
      </w:r>
      <w:r w:rsidR="009A7B6D">
        <w:t xml:space="preserve">It covers the period from </w:t>
      </w:r>
      <w:r w:rsidR="00213239">
        <w:t xml:space="preserve">1 January </w:t>
      </w:r>
      <w:r w:rsidR="009A7B6D">
        <w:t xml:space="preserve">to </w:t>
      </w:r>
      <w:r w:rsidR="00213239">
        <w:t>31 December 2017.</w:t>
      </w:r>
    </w:p>
    <w:p w14:paraId="1BE131AE" w14:textId="77777777" w:rsidR="00E422C5" w:rsidRPr="00206848" w:rsidRDefault="007526CF" w:rsidP="00025352">
      <w:pPr>
        <w:pStyle w:val="SingleTxtG"/>
      </w:pPr>
      <w:r>
        <w:t>2</w:t>
      </w:r>
      <w:r w:rsidR="00E422C5" w:rsidRPr="00206848">
        <w:t>.</w:t>
      </w:r>
      <w:r w:rsidR="00E422C5" w:rsidRPr="00206848">
        <w:tab/>
        <w:t xml:space="preserve">The report was prepared in cooperation with the United Nations Support Mission in Libya (UNSMIL). </w:t>
      </w:r>
      <w:r w:rsidR="009A7B6D">
        <w:t>The Office of the United Nations High Commissioner for Human Rights (</w:t>
      </w:r>
      <w:r w:rsidR="00E422C5" w:rsidRPr="00206848">
        <w:t>OHCHR</w:t>
      </w:r>
      <w:r w:rsidR="009A7B6D">
        <w:t>)</w:t>
      </w:r>
      <w:r w:rsidR="00E422C5" w:rsidRPr="00206848">
        <w:t xml:space="preserve"> continue</w:t>
      </w:r>
      <w:r w:rsidR="00091524">
        <w:t>d</w:t>
      </w:r>
      <w:r w:rsidR="00E422C5" w:rsidRPr="00206848">
        <w:t xml:space="preserve"> to provide support to the human rights mandate of UNSMIL. The Director of the UNSMIL Human Rights, Transitional Justice and Rule of Law Division represents the High Commissioner in Libya. </w:t>
      </w:r>
    </w:p>
    <w:p w14:paraId="293B93C3" w14:textId="77777777" w:rsidR="00E422C5" w:rsidRPr="00206848" w:rsidRDefault="00E422C5" w:rsidP="00025352">
      <w:pPr>
        <w:pStyle w:val="HChG"/>
        <w:spacing w:line="240" w:lineRule="atLeast"/>
      </w:pPr>
      <w:r w:rsidRPr="00206848">
        <w:tab/>
        <w:t>II.</w:t>
      </w:r>
      <w:r w:rsidRPr="00206848">
        <w:tab/>
        <w:t>Context</w:t>
      </w:r>
    </w:p>
    <w:p w14:paraId="6DA0787A" w14:textId="3A54C896" w:rsidR="009E58FC" w:rsidRPr="00B42806" w:rsidRDefault="007526CF" w:rsidP="00025352">
      <w:pPr>
        <w:pStyle w:val="NormalWeb"/>
        <w:spacing w:before="0" w:after="120" w:line="240" w:lineRule="atLeast"/>
        <w:ind w:left="1134" w:right="1134"/>
        <w:jc w:val="both"/>
        <w:rPr>
          <w:color w:val="333333"/>
          <w:sz w:val="20"/>
          <w:szCs w:val="20"/>
        </w:rPr>
      </w:pPr>
      <w:r w:rsidRPr="00B42806">
        <w:rPr>
          <w:sz w:val="20"/>
          <w:szCs w:val="20"/>
          <w:lang w:val="en-GB"/>
        </w:rPr>
        <w:t>3</w:t>
      </w:r>
      <w:r w:rsidR="009E58FC" w:rsidRPr="00B42806">
        <w:rPr>
          <w:sz w:val="20"/>
          <w:szCs w:val="20"/>
          <w:lang w:val="en-GB"/>
        </w:rPr>
        <w:t>.</w:t>
      </w:r>
      <w:r w:rsidR="00091524" w:rsidRPr="00B42806">
        <w:rPr>
          <w:sz w:val="20"/>
          <w:szCs w:val="20"/>
          <w:lang w:val="en-GB"/>
        </w:rPr>
        <w:tab/>
      </w:r>
      <w:r w:rsidR="009E58FC" w:rsidRPr="00B42806">
        <w:rPr>
          <w:sz w:val="20"/>
          <w:szCs w:val="20"/>
        </w:rPr>
        <w:t>The</w:t>
      </w:r>
      <w:r w:rsidR="00E422C5" w:rsidRPr="00B42806">
        <w:rPr>
          <w:sz w:val="20"/>
          <w:szCs w:val="20"/>
        </w:rPr>
        <w:t xml:space="preserve"> Presidency Council</w:t>
      </w:r>
      <w:r w:rsidR="009E58FC" w:rsidRPr="00B42806">
        <w:rPr>
          <w:sz w:val="20"/>
          <w:szCs w:val="20"/>
        </w:rPr>
        <w:t>, which was</w:t>
      </w:r>
      <w:r w:rsidR="00E422C5" w:rsidRPr="00B42806">
        <w:rPr>
          <w:sz w:val="20"/>
          <w:szCs w:val="20"/>
        </w:rPr>
        <w:t xml:space="preserve"> established on 17 December 2015</w:t>
      </w:r>
      <w:r w:rsidR="009E58FC" w:rsidRPr="00B42806">
        <w:rPr>
          <w:sz w:val="20"/>
          <w:szCs w:val="20"/>
        </w:rPr>
        <w:t xml:space="preserve"> under the Libyan Political Agreement, </w:t>
      </w:r>
      <w:r w:rsidR="00091524" w:rsidRPr="00B42806">
        <w:rPr>
          <w:sz w:val="20"/>
          <w:szCs w:val="20"/>
        </w:rPr>
        <w:t>continue</w:t>
      </w:r>
      <w:r w:rsidR="009F4908" w:rsidRPr="00B42806">
        <w:rPr>
          <w:sz w:val="20"/>
          <w:szCs w:val="20"/>
        </w:rPr>
        <w:t>s</w:t>
      </w:r>
      <w:r w:rsidR="00091524" w:rsidRPr="00B42806">
        <w:rPr>
          <w:sz w:val="20"/>
          <w:szCs w:val="20"/>
        </w:rPr>
        <w:t xml:space="preserve"> to s</w:t>
      </w:r>
      <w:r w:rsidR="009E58FC" w:rsidRPr="00B42806">
        <w:rPr>
          <w:sz w:val="20"/>
          <w:szCs w:val="20"/>
        </w:rPr>
        <w:t xml:space="preserve">truggle to </w:t>
      </w:r>
      <w:r w:rsidR="00015A22" w:rsidRPr="00B42806">
        <w:rPr>
          <w:sz w:val="20"/>
          <w:szCs w:val="20"/>
        </w:rPr>
        <w:t>assert</w:t>
      </w:r>
      <w:r w:rsidR="009E58FC" w:rsidRPr="00B42806">
        <w:rPr>
          <w:sz w:val="20"/>
          <w:szCs w:val="20"/>
        </w:rPr>
        <w:t xml:space="preserve"> its control</w:t>
      </w:r>
      <w:r w:rsidR="005F6B94" w:rsidRPr="00B42806">
        <w:rPr>
          <w:sz w:val="20"/>
          <w:szCs w:val="20"/>
        </w:rPr>
        <w:t xml:space="preserve"> over the country</w:t>
      </w:r>
      <w:r w:rsidR="00E422C5" w:rsidRPr="00B42806">
        <w:rPr>
          <w:sz w:val="20"/>
          <w:szCs w:val="20"/>
        </w:rPr>
        <w:t xml:space="preserve">. </w:t>
      </w:r>
      <w:r w:rsidR="005F6B94" w:rsidRPr="00B42806">
        <w:rPr>
          <w:sz w:val="20"/>
          <w:szCs w:val="20"/>
        </w:rPr>
        <w:t>Powerful armed groups and other Libyan actors</w:t>
      </w:r>
      <w:r w:rsidR="00E422C5" w:rsidRPr="00B42806">
        <w:rPr>
          <w:sz w:val="20"/>
          <w:szCs w:val="20"/>
        </w:rPr>
        <w:t xml:space="preserve"> </w:t>
      </w:r>
      <w:r w:rsidR="00091524" w:rsidRPr="00B42806">
        <w:rPr>
          <w:sz w:val="20"/>
          <w:szCs w:val="20"/>
        </w:rPr>
        <w:t xml:space="preserve">remained </w:t>
      </w:r>
      <w:r w:rsidR="009E58FC" w:rsidRPr="00B42806">
        <w:rPr>
          <w:sz w:val="20"/>
          <w:szCs w:val="20"/>
        </w:rPr>
        <w:t>oppose</w:t>
      </w:r>
      <w:r w:rsidR="00A242F3" w:rsidRPr="00B42806">
        <w:rPr>
          <w:sz w:val="20"/>
          <w:szCs w:val="20"/>
        </w:rPr>
        <w:t>d</w:t>
      </w:r>
      <w:r w:rsidR="00E422C5" w:rsidRPr="00B42806">
        <w:rPr>
          <w:sz w:val="20"/>
          <w:szCs w:val="20"/>
        </w:rPr>
        <w:t xml:space="preserve"> </w:t>
      </w:r>
      <w:r w:rsidR="00091524" w:rsidRPr="00B42806">
        <w:rPr>
          <w:sz w:val="20"/>
          <w:szCs w:val="20"/>
        </w:rPr>
        <w:t xml:space="preserve">to </w:t>
      </w:r>
      <w:r w:rsidR="00E422C5" w:rsidRPr="00B42806">
        <w:rPr>
          <w:sz w:val="20"/>
          <w:szCs w:val="20"/>
        </w:rPr>
        <w:t xml:space="preserve">the </w:t>
      </w:r>
      <w:r w:rsidR="009F4908" w:rsidRPr="00B42806">
        <w:rPr>
          <w:sz w:val="20"/>
          <w:szCs w:val="20"/>
        </w:rPr>
        <w:t>Agreement</w:t>
      </w:r>
      <w:r w:rsidR="00CC1CD9" w:rsidRPr="00B42806">
        <w:rPr>
          <w:sz w:val="20"/>
          <w:szCs w:val="20"/>
        </w:rPr>
        <w:t xml:space="preserve">. </w:t>
      </w:r>
      <w:r w:rsidR="00884193" w:rsidRPr="00B42806">
        <w:rPr>
          <w:sz w:val="20"/>
          <w:szCs w:val="20"/>
        </w:rPr>
        <w:t>T</w:t>
      </w:r>
      <w:r w:rsidR="00E422C5" w:rsidRPr="00B42806">
        <w:rPr>
          <w:sz w:val="20"/>
          <w:szCs w:val="20"/>
        </w:rPr>
        <w:t xml:space="preserve">he House of Representatives </w:t>
      </w:r>
      <w:r w:rsidR="002D1F9E" w:rsidRPr="00B42806">
        <w:rPr>
          <w:sz w:val="20"/>
          <w:szCs w:val="20"/>
        </w:rPr>
        <w:t xml:space="preserve">has </w:t>
      </w:r>
      <w:r w:rsidR="009E58FC" w:rsidRPr="00B42806">
        <w:rPr>
          <w:sz w:val="20"/>
          <w:szCs w:val="20"/>
        </w:rPr>
        <w:t>yet to endorse</w:t>
      </w:r>
      <w:r w:rsidR="00E422C5" w:rsidRPr="00B42806">
        <w:rPr>
          <w:sz w:val="20"/>
          <w:szCs w:val="20"/>
        </w:rPr>
        <w:t xml:space="preserve"> the Government of National Accord proposed by the </w:t>
      </w:r>
      <w:r w:rsidR="00A242F3" w:rsidRPr="00B42806">
        <w:rPr>
          <w:sz w:val="20"/>
          <w:szCs w:val="20"/>
        </w:rPr>
        <w:t>P</w:t>
      </w:r>
      <w:r w:rsidR="00091524" w:rsidRPr="00B42806">
        <w:rPr>
          <w:sz w:val="20"/>
          <w:szCs w:val="20"/>
        </w:rPr>
        <w:t xml:space="preserve">residency </w:t>
      </w:r>
      <w:r w:rsidR="00A242F3" w:rsidRPr="00B42806">
        <w:rPr>
          <w:sz w:val="20"/>
          <w:szCs w:val="20"/>
        </w:rPr>
        <w:t>C</w:t>
      </w:r>
      <w:r w:rsidR="00091524" w:rsidRPr="00B42806">
        <w:rPr>
          <w:sz w:val="20"/>
          <w:szCs w:val="20"/>
        </w:rPr>
        <w:t xml:space="preserve">ouncil in </w:t>
      </w:r>
      <w:r w:rsidR="00213239" w:rsidRPr="00B42806">
        <w:rPr>
          <w:sz w:val="20"/>
          <w:szCs w:val="20"/>
        </w:rPr>
        <w:t>2016</w:t>
      </w:r>
      <w:r w:rsidR="00E422C5" w:rsidRPr="00B42806">
        <w:rPr>
          <w:sz w:val="20"/>
          <w:szCs w:val="20"/>
        </w:rPr>
        <w:t xml:space="preserve">. </w:t>
      </w:r>
      <w:r w:rsidR="009E58FC" w:rsidRPr="00B42806">
        <w:rPr>
          <w:sz w:val="20"/>
          <w:szCs w:val="20"/>
        </w:rPr>
        <w:t>On 20 September, the Special R</w:t>
      </w:r>
      <w:r w:rsidR="00B96058" w:rsidRPr="00B42806">
        <w:rPr>
          <w:sz w:val="20"/>
          <w:szCs w:val="20"/>
        </w:rPr>
        <w:t xml:space="preserve">epresentative </w:t>
      </w:r>
      <w:r w:rsidR="002D1F9E" w:rsidRPr="00B42806">
        <w:rPr>
          <w:sz w:val="20"/>
          <w:szCs w:val="20"/>
        </w:rPr>
        <w:t xml:space="preserve">of </w:t>
      </w:r>
      <w:r w:rsidR="00B96058" w:rsidRPr="00B42806">
        <w:rPr>
          <w:sz w:val="20"/>
          <w:szCs w:val="20"/>
        </w:rPr>
        <w:t>the Secretary-</w:t>
      </w:r>
      <w:r w:rsidR="009E58FC" w:rsidRPr="00B42806">
        <w:rPr>
          <w:sz w:val="20"/>
          <w:szCs w:val="20"/>
        </w:rPr>
        <w:t>General</w:t>
      </w:r>
      <w:r w:rsidR="002D1F9E" w:rsidRPr="00B42806">
        <w:rPr>
          <w:sz w:val="20"/>
          <w:szCs w:val="20"/>
        </w:rPr>
        <w:t xml:space="preserve"> for Libya</w:t>
      </w:r>
      <w:r w:rsidR="0013082F" w:rsidRPr="00B42806">
        <w:rPr>
          <w:sz w:val="20"/>
          <w:szCs w:val="20"/>
        </w:rPr>
        <w:t xml:space="preserve"> </w:t>
      </w:r>
      <w:r w:rsidR="00491622" w:rsidRPr="00B42806">
        <w:rPr>
          <w:sz w:val="20"/>
          <w:szCs w:val="20"/>
        </w:rPr>
        <w:t>announced</w:t>
      </w:r>
      <w:r w:rsidR="009E58FC" w:rsidRPr="00B42806">
        <w:rPr>
          <w:sz w:val="20"/>
          <w:szCs w:val="20"/>
        </w:rPr>
        <w:t xml:space="preserve"> a </w:t>
      </w:r>
      <w:r w:rsidR="002D1F9E" w:rsidRPr="00B42806">
        <w:rPr>
          <w:sz w:val="20"/>
          <w:szCs w:val="20"/>
        </w:rPr>
        <w:t>plan of a</w:t>
      </w:r>
      <w:r w:rsidR="009E58FC" w:rsidRPr="00B42806">
        <w:rPr>
          <w:sz w:val="20"/>
          <w:szCs w:val="20"/>
        </w:rPr>
        <w:t xml:space="preserve">ction </w:t>
      </w:r>
      <w:r w:rsidR="002D1F9E" w:rsidRPr="00B42806">
        <w:rPr>
          <w:sz w:val="20"/>
          <w:szCs w:val="20"/>
        </w:rPr>
        <w:t xml:space="preserve">that had been </w:t>
      </w:r>
      <w:r w:rsidR="009E58FC" w:rsidRPr="00B42806">
        <w:rPr>
          <w:sz w:val="20"/>
          <w:szCs w:val="20"/>
        </w:rPr>
        <w:t xml:space="preserve">adopted by the Security Council, </w:t>
      </w:r>
      <w:r w:rsidR="00A77768" w:rsidRPr="00B42806">
        <w:rPr>
          <w:sz w:val="20"/>
          <w:szCs w:val="20"/>
        </w:rPr>
        <w:t>aimed at</w:t>
      </w:r>
      <w:r w:rsidR="009E58FC" w:rsidRPr="00B42806">
        <w:rPr>
          <w:sz w:val="20"/>
          <w:szCs w:val="20"/>
        </w:rPr>
        <w:t xml:space="preserve"> end</w:t>
      </w:r>
      <w:r w:rsidR="00A77768" w:rsidRPr="00B42806">
        <w:rPr>
          <w:sz w:val="20"/>
          <w:szCs w:val="20"/>
        </w:rPr>
        <w:t>ing</w:t>
      </w:r>
      <w:r w:rsidR="009E58FC" w:rsidRPr="00B42806">
        <w:rPr>
          <w:sz w:val="20"/>
          <w:szCs w:val="20"/>
        </w:rPr>
        <w:t xml:space="preserve"> the political stalemate</w:t>
      </w:r>
      <w:r w:rsidR="00A77768" w:rsidRPr="00B42806">
        <w:rPr>
          <w:sz w:val="20"/>
          <w:szCs w:val="20"/>
        </w:rPr>
        <w:t xml:space="preserve">. The </w:t>
      </w:r>
      <w:r w:rsidR="002D1F9E" w:rsidRPr="00B42806">
        <w:rPr>
          <w:sz w:val="20"/>
          <w:szCs w:val="20"/>
        </w:rPr>
        <w:t>p</w:t>
      </w:r>
      <w:r w:rsidR="00A77768" w:rsidRPr="00B42806">
        <w:rPr>
          <w:sz w:val="20"/>
          <w:szCs w:val="20"/>
        </w:rPr>
        <w:t xml:space="preserve">lan proposed limited amendments to the </w:t>
      </w:r>
      <w:r w:rsidR="002D1F9E" w:rsidRPr="00B42806">
        <w:rPr>
          <w:sz w:val="20"/>
          <w:szCs w:val="20"/>
        </w:rPr>
        <w:t>Agreement</w:t>
      </w:r>
      <w:r w:rsidR="00A77768" w:rsidRPr="00B42806">
        <w:rPr>
          <w:sz w:val="20"/>
          <w:szCs w:val="20"/>
        </w:rPr>
        <w:t xml:space="preserve">, a national referendum on the </w:t>
      </w:r>
      <w:r w:rsidR="002D1F9E" w:rsidRPr="00B42806">
        <w:rPr>
          <w:sz w:val="20"/>
          <w:szCs w:val="20"/>
        </w:rPr>
        <w:t>C</w:t>
      </w:r>
      <w:r w:rsidR="00A77768" w:rsidRPr="00B42806">
        <w:rPr>
          <w:sz w:val="20"/>
          <w:szCs w:val="20"/>
        </w:rPr>
        <w:t xml:space="preserve">onstitution, </w:t>
      </w:r>
      <w:r w:rsidR="001923E0" w:rsidRPr="00B42806">
        <w:rPr>
          <w:sz w:val="20"/>
          <w:szCs w:val="20"/>
        </w:rPr>
        <w:t xml:space="preserve">and </w:t>
      </w:r>
      <w:r w:rsidR="00A77768" w:rsidRPr="00B42806">
        <w:rPr>
          <w:sz w:val="20"/>
          <w:szCs w:val="20"/>
        </w:rPr>
        <w:t xml:space="preserve">parliamentary and </w:t>
      </w:r>
      <w:r w:rsidR="00B032C4">
        <w:rPr>
          <w:sz w:val="20"/>
          <w:szCs w:val="20"/>
        </w:rPr>
        <w:t>presidential</w:t>
      </w:r>
      <w:r w:rsidR="00B032C4" w:rsidRPr="00B42806">
        <w:rPr>
          <w:sz w:val="20"/>
          <w:szCs w:val="20"/>
        </w:rPr>
        <w:t xml:space="preserve"> </w:t>
      </w:r>
      <w:r w:rsidR="009E58FC" w:rsidRPr="00B42806">
        <w:rPr>
          <w:sz w:val="20"/>
          <w:szCs w:val="20"/>
        </w:rPr>
        <w:t>elect</w:t>
      </w:r>
      <w:r w:rsidR="00015A22" w:rsidRPr="00B42806">
        <w:rPr>
          <w:sz w:val="20"/>
          <w:szCs w:val="20"/>
        </w:rPr>
        <w:t>ions by September 2018</w:t>
      </w:r>
      <w:r w:rsidR="009E58FC" w:rsidRPr="00B42806">
        <w:rPr>
          <w:sz w:val="20"/>
          <w:szCs w:val="20"/>
        </w:rPr>
        <w:t xml:space="preserve">. </w:t>
      </w:r>
      <w:r w:rsidR="00A77768" w:rsidRPr="00B42806">
        <w:rPr>
          <w:sz w:val="20"/>
          <w:szCs w:val="20"/>
        </w:rPr>
        <w:t xml:space="preserve">The United Nations facilitated two rounds of meetings of a </w:t>
      </w:r>
      <w:r w:rsidR="002D1F9E" w:rsidRPr="00B42806">
        <w:rPr>
          <w:sz w:val="20"/>
          <w:szCs w:val="20"/>
        </w:rPr>
        <w:t>j</w:t>
      </w:r>
      <w:r w:rsidR="00A77768" w:rsidRPr="00B42806">
        <w:rPr>
          <w:sz w:val="20"/>
          <w:szCs w:val="20"/>
        </w:rPr>
        <w:t xml:space="preserve">oint </w:t>
      </w:r>
      <w:r w:rsidR="002D1F9E" w:rsidRPr="00B42806">
        <w:rPr>
          <w:sz w:val="20"/>
          <w:szCs w:val="20"/>
        </w:rPr>
        <w:t>d</w:t>
      </w:r>
      <w:r w:rsidR="00A77768" w:rsidRPr="00B42806">
        <w:rPr>
          <w:sz w:val="20"/>
          <w:szCs w:val="20"/>
        </w:rPr>
        <w:t xml:space="preserve">rafting </w:t>
      </w:r>
      <w:r w:rsidR="002D1F9E" w:rsidRPr="00B42806">
        <w:rPr>
          <w:sz w:val="20"/>
          <w:szCs w:val="20"/>
        </w:rPr>
        <w:t>c</w:t>
      </w:r>
      <w:r w:rsidR="00A77768" w:rsidRPr="00B42806">
        <w:rPr>
          <w:sz w:val="20"/>
          <w:szCs w:val="20"/>
        </w:rPr>
        <w:t xml:space="preserve">ommittee of the House of Representatives and the High Council of State on amendments to the </w:t>
      </w:r>
      <w:r w:rsidR="002D1F9E" w:rsidRPr="00B42806">
        <w:rPr>
          <w:sz w:val="20"/>
          <w:szCs w:val="20"/>
        </w:rPr>
        <w:t>Agreement</w:t>
      </w:r>
      <w:r w:rsidR="00A77768" w:rsidRPr="00B42806">
        <w:rPr>
          <w:sz w:val="20"/>
          <w:szCs w:val="20"/>
        </w:rPr>
        <w:t xml:space="preserve">. </w:t>
      </w:r>
      <w:r w:rsidR="002D1F9E" w:rsidRPr="00B42806">
        <w:rPr>
          <w:sz w:val="20"/>
          <w:szCs w:val="20"/>
        </w:rPr>
        <w:t xml:space="preserve">As at </w:t>
      </w:r>
      <w:r w:rsidR="00651C48" w:rsidRPr="00B42806">
        <w:rPr>
          <w:sz w:val="20"/>
          <w:szCs w:val="20"/>
        </w:rPr>
        <w:t xml:space="preserve">the end of </w:t>
      </w:r>
      <w:r w:rsidR="002E5863" w:rsidRPr="00B42806">
        <w:rPr>
          <w:sz w:val="20"/>
          <w:szCs w:val="20"/>
        </w:rPr>
        <w:t>2017</w:t>
      </w:r>
      <w:r w:rsidR="00651C48" w:rsidRPr="00B42806">
        <w:rPr>
          <w:sz w:val="20"/>
          <w:szCs w:val="20"/>
        </w:rPr>
        <w:t xml:space="preserve">, </w:t>
      </w:r>
      <w:r w:rsidR="002D1F9E" w:rsidRPr="00B42806">
        <w:rPr>
          <w:sz w:val="20"/>
          <w:szCs w:val="20"/>
        </w:rPr>
        <w:t xml:space="preserve">no </w:t>
      </w:r>
      <w:r w:rsidR="00873280" w:rsidRPr="00B42806">
        <w:rPr>
          <w:sz w:val="20"/>
          <w:szCs w:val="20"/>
        </w:rPr>
        <w:t xml:space="preserve">agreement </w:t>
      </w:r>
      <w:r w:rsidR="00AE26E6" w:rsidRPr="00B42806">
        <w:rPr>
          <w:sz w:val="20"/>
          <w:szCs w:val="20"/>
        </w:rPr>
        <w:t>had</w:t>
      </w:r>
      <w:r w:rsidR="00873280" w:rsidRPr="00B42806">
        <w:rPr>
          <w:sz w:val="20"/>
          <w:szCs w:val="20"/>
        </w:rPr>
        <w:t xml:space="preserve"> be</w:t>
      </w:r>
      <w:r w:rsidR="002D1F9E" w:rsidRPr="00B42806">
        <w:rPr>
          <w:sz w:val="20"/>
          <w:szCs w:val="20"/>
        </w:rPr>
        <w:t>en</w:t>
      </w:r>
      <w:r w:rsidR="00873280" w:rsidRPr="00B42806">
        <w:rPr>
          <w:sz w:val="20"/>
          <w:szCs w:val="20"/>
        </w:rPr>
        <w:t xml:space="preserve"> reached</w:t>
      </w:r>
      <w:r w:rsidR="00FB60E2" w:rsidRPr="00B42806">
        <w:rPr>
          <w:sz w:val="20"/>
          <w:szCs w:val="20"/>
        </w:rPr>
        <w:t>.</w:t>
      </w:r>
    </w:p>
    <w:p w14:paraId="403ADBF4" w14:textId="0B7F30CA" w:rsidR="003A72ED" w:rsidRPr="005F3DC2" w:rsidRDefault="007526CF" w:rsidP="00025352">
      <w:pPr>
        <w:pStyle w:val="SingleTxt"/>
        <w:ind w:left="1134" w:right="1134"/>
      </w:pPr>
      <w:r>
        <w:t>4</w:t>
      </w:r>
      <w:r w:rsidR="00AD078C" w:rsidRPr="008563B3">
        <w:t>.</w:t>
      </w:r>
      <w:r w:rsidR="00AD078C" w:rsidRPr="008563B3">
        <w:tab/>
      </w:r>
      <w:r w:rsidR="00AD078C" w:rsidRPr="00DF18C8">
        <w:t xml:space="preserve">On 29 July, the elected Constitution Drafting Assembly voted and approved the draft constitution, which </w:t>
      </w:r>
      <w:r w:rsidR="002D1F9E">
        <w:t>is expected to</w:t>
      </w:r>
      <w:r w:rsidR="002D1F9E" w:rsidRPr="00DF18C8">
        <w:t xml:space="preserve"> </w:t>
      </w:r>
      <w:r w:rsidR="00AD078C" w:rsidRPr="00DF18C8">
        <w:t xml:space="preserve">be put to </w:t>
      </w:r>
      <w:r w:rsidR="002D1F9E">
        <w:t xml:space="preserve">a </w:t>
      </w:r>
      <w:r w:rsidR="00AD078C" w:rsidRPr="00DF18C8">
        <w:t xml:space="preserve">popular referendum for adoption. </w:t>
      </w:r>
      <w:r w:rsidR="00FB4A80" w:rsidRPr="00A008BE">
        <w:t>The vote was challenged on procedural grounds in the Administrative Court of Al-B</w:t>
      </w:r>
      <w:r w:rsidR="00E361E1">
        <w:t>ay</w:t>
      </w:r>
      <w:r w:rsidR="00FB4A80" w:rsidRPr="00A008BE">
        <w:t>da</w:t>
      </w:r>
      <w:r w:rsidR="00E361E1">
        <w:rPr>
          <w:rStyle w:val="CommentReference"/>
          <w:vanish/>
          <w:spacing w:val="0"/>
          <w:w w:val="100"/>
          <w:kern w:val="0"/>
        </w:rPr>
        <w:pgNum/>
      </w:r>
      <w:r w:rsidR="00FB4A80" w:rsidRPr="00A008BE">
        <w:t xml:space="preserve">, which </w:t>
      </w:r>
      <w:r w:rsidR="00E361E1" w:rsidRPr="00A008BE">
        <w:t xml:space="preserve">on 16 August </w:t>
      </w:r>
      <w:r w:rsidR="00FB4A80" w:rsidRPr="00A008BE">
        <w:t xml:space="preserve">issued a provisory decision </w:t>
      </w:r>
      <w:r w:rsidR="00E361E1">
        <w:t xml:space="preserve">to </w:t>
      </w:r>
      <w:r w:rsidR="00FB4A80" w:rsidRPr="00A008BE">
        <w:t xml:space="preserve">suspend the referral of the draft to the legislature. </w:t>
      </w:r>
    </w:p>
    <w:p w14:paraId="2D14EE64" w14:textId="45F78BB6" w:rsidR="003A72ED" w:rsidRDefault="007526CF" w:rsidP="00025352">
      <w:pPr>
        <w:pStyle w:val="SingleTxtG"/>
        <w:rPr>
          <w:spacing w:val="4"/>
          <w:w w:val="103"/>
          <w:kern w:val="14"/>
        </w:rPr>
      </w:pPr>
      <w:r w:rsidRPr="00B42806">
        <w:rPr>
          <w:color w:val="333333"/>
        </w:rPr>
        <w:t>5</w:t>
      </w:r>
      <w:r w:rsidR="00A77768" w:rsidRPr="00B42806">
        <w:rPr>
          <w:color w:val="333333"/>
        </w:rPr>
        <w:t>.</w:t>
      </w:r>
      <w:r w:rsidR="00FB60E2" w:rsidRPr="00B42806">
        <w:tab/>
      </w:r>
      <w:r w:rsidR="00DF18C8" w:rsidRPr="00B42806">
        <w:t>By</w:t>
      </w:r>
      <w:r w:rsidR="00BC65D4" w:rsidRPr="00B42806">
        <w:t xml:space="preserve"> May 2017, the </w:t>
      </w:r>
      <w:r w:rsidR="002E5863" w:rsidRPr="00B42806">
        <w:t xml:space="preserve">Presidency Council </w:t>
      </w:r>
      <w:r w:rsidR="00E361E1" w:rsidRPr="00B42806">
        <w:t xml:space="preserve">had </w:t>
      </w:r>
      <w:r w:rsidR="00BC65D4" w:rsidRPr="00B42806">
        <w:t xml:space="preserve">made </w:t>
      </w:r>
      <w:r w:rsidR="001923E0" w:rsidRPr="00B42806">
        <w:t>significant</w:t>
      </w:r>
      <w:r w:rsidR="00BC65D4" w:rsidRPr="00B42806">
        <w:t xml:space="preserve"> territorial and politi</w:t>
      </w:r>
      <w:r w:rsidR="00AE26E6" w:rsidRPr="00B42806">
        <w:t>cal gains against the defunct “</w:t>
      </w:r>
      <w:r w:rsidR="00BC65D4" w:rsidRPr="00B42806">
        <w:t>Government of National Salvation”</w:t>
      </w:r>
      <w:r w:rsidR="00CC1CD9" w:rsidRPr="00B42806">
        <w:rPr>
          <w:rStyle w:val="FootnoteReference"/>
          <w:sz w:val="20"/>
        </w:rPr>
        <w:footnoteReference w:id="3"/>
      </w:r>
      <w:r w:rsidR="00BC65D4" w:rsidRPr="00B42806">
        <w:t xml:space="preserve"> and affiliated armed groups</w:t>
      </w:r>
      <w:r w:rsidR="00FA2FD3" w:rsidRPr="00B42806">
        <w:t>,</w:t>
      </w:r>
      <w:r w:rsidR="00BC65D4" w:rsidRPr="00B42806">
        <w:t xml:space="preserve"> </w:t>
      </w:r>
      <w:r w:rsidR="00E361E1" w:rsidRPr="00B42806">
        <w:t xml:space="preserve">and had </w:t>
      </w:r>
      <w:r w:rsidR="00BC65D4" w:rsidRPr="00B42806">
        <w:t>consolidat</w:t>
      </w:r>
      <w:r w:rsidR="00E361E1" w:rsidRPr="00B42806">
        <w:t>ed</w:t>
      </w:r>
      <w:r w:rsidR="00BC65D4" w:rsidRPr="00B42806">
        <w:t xml:space="preserve"> its control over the capital</w:t>
      </w:r>
      <w:r w:rsidR="002E5863" w:rsidRPr="00B42806">
        <w:t>,</w:t>
      </w:r>
      <w:r w:rsidR="00BC65D4" w:rsidRPr="00B42806">
        <w:t xml:space="preserve"> Tripoli, with support from powerful Tripoli-based armed groups.</w:t>
      </w:r>
      <w:r w:rsidR="00A77768" w:rsidRPr="008563B3">
        <w:t xml:space="preserve"> </w:t>
      </w:r>
      <w:r w:rsidR="004B400D" w:rsidRPr="008563B3">
        <w:t xml:space="preserve">By mid-November, </w:t>
      </w:r>
      <w:r w:rsidR="00651C48">
        <w:t>armed groups</w:t>
      </w:r>
      <w:r w:rsidR="004B400D" w:rsidRPr="008563B3">
        <w:t xml:space="preserve"> allied to the </w:t>
      </w:r>
      <w:r w:rsidR="002E5863" w:rsidRPr="00B42806">
        <w:t>Presidency Council</w:t>
      </w:r>
      <w:r w:rsidR="002E5863">
        <w:t xml:space="preserve"> </w:t>
      </w:r>
      <w:r w:rsidR="00E361E1">
        <w:t>had taken</w:t>
      </w:r>
      <w:r w:rsidR="00E361E1" w:rsidRPr="008563B3">
        <w:t xml:space="preserve"> </w:t>
      </w:r>
      <w:r w:rsidR="004B400D" w:rsidRPr="008563B3">
        <w:t>control of Wershefana</w:t>
      </w:r>
      <w:r w:rsidR="00E361E1">
        <w:rPr>
          <w:rStyle w:val="CommentReference"/>
          <w:vanish/>
        </w:rPr>
        <w:pgNum/>
      </w:r>
      <w:r w:rsidR="004B400D" w:rsidRPr="008563B3">
        <w:t>, a strategic location south of Tripoli.</w:t>
      </w:r>
      <w:r w:rsidR="00E422C5" w:rsidRPr="008563B3">
        <w:t xml:space="preserve"> </w:t>
      </w:r>
      <w:r w:rsidR="00651C48">
        <w:t xml:space="preserve">Despite </w:t>
      </w:r>
      <w:r w:rsidR="00E361E1">
        <w:t xml:space="preserve">the </w:t>
      </w:r>
      <w:r w:rsidR="00651C48">
        <w:t xml:space="preserve">consolidation </w:t>
      </w:r>
      <w:r w:rsidR="00E361E1">
        <w:t xml:space="preserve">of </w:t>
      </w:r>
      <w:r w:rsidR="00651C48">
        <w:t xml:space="preserve">the </w:t>
      </w:r>
      <w:r w:rsidR="002E5863" w:rsidRPr="00B42806">
        <w:t>Presidency Council</w:t>
      </w:r>
      <w:r w:rsidR="00E422C5" w:rsidRPr="008563B3">
        <w:t xml:space="preserve">, </w:t>
      </w:r>
      <w:r w:rsidR="00AD078C" w:rsidRPr="008563B3">
        <w:t>a</w:t>
      </w:r>
      <w:r w:rsidR="00E422C5" w:rsidRPr="008563B3">
        <w:t xml:space="preserve">rmed groups across the country remained the most powerful actors on the ground, contributing to </w:t>
      </w:r>
      <w:r w:rsidR="002E5863">
        <w:t xml:space="preserve">persistent </w:t>
      </w:r>
      <w:r w:rsidR="00E422C5" w:rsidRPr="008563B3">
        <w:t xml:space="preserve">insecurity and abuses of human rights. </w:t>
      </w:r>
      <w:r>
        <w:t xml:space="preserve">In </w:t>
      </w:r>
      <w:r w:rsidR="002E5863">
        <w:t xml:space="preserve">the </w:t>
      </w:r>
      <w:r>
        <w:t>light of the legislative vacuum, a</w:t>
      </w:r>
      <w:r w:rsidR="00CC1CD9" w:rsidRPr="008563B3">
        <w:t xml:space="preserve"> caretaker government headed by Prime Minister </w:t>
      </w:r>
      <w:r w:rsidR="00DF18C8">
        <w:t xml:space="preserve">Fayez </w:t>
      </w:r>
      <w:r w:rsidR="00CC1CD9" w:rsidRPr="008563B3">
        <w:t xml:space="preserve">Serraj </w:t>
      </w:r>
      <w:r w:rsidR="00213239">
        <w:t>has been performing</w:t>
      </w:r>
      <w:r w:rsidR="00213239" w:rsidRPr="008563B3">
        <w:t xml:space="preserve"> </w:t>
      </w:r>
      <w:r w:rsidR="00DF18C8">
        <w:t>ministerial</w:t>
      </w:r>
      <w:r w:rsidR="00CC1CD9" w:rsidRPr="008563B3">
        <w:t xml:space="preserve"> functions</w:t>
      </w:r>
      <w:r w:rsidR="00B96058">
        <w:t>,</w:t>
      </w:r>
      <w:r w:rsidR="00CC1CD9" w:rsidRPr="008563B3">
        <w:t xml:space="preserve"> but </w:t>
      </w:r>
      <w:r w:rsidR="00213239">
        <w:t xml:space="preserve">has been </w:t>
      </w:r>
      <w:r w:rsidR="00213239" w:rsidRPr="008563B3">
        <w:t>struggl</w:t>
      </w:r>
      <w:r w:rsidR="00213239">
        <w:t>ing</w:t>
      </w:r>
      <w:r w:rsidR="00213239" w:rsidRPr="008563B3">
        <w:t xml:space="preserve"> </w:t>
      </w:r>
      <w:r w:rsidR="00CC1CD9" w:rsidRPr="008563B3">
        <w:t xml:space="preserve">to meet the needs of the population. </w:t>
      </w:r>
      <w:r w:rsidR="00E422C5" w:rsidRPr="008563B3">
        <w:t>The economic situation and the provision of public services deteriorated</w:t>
      </w:r>
      <w:r w:rsidR="00AD078C" w:rsidRPr="008563B3">
        <w:t xml:space="preserve"> further</w:t>
      </w:r>
      <w:r w:rsidR="00E422C5" w:rsidRPr="008563B3">
        <w:t xml:space="preserve">, </w:t>
      </w:r>
      <w:r w:rsidR="00E361E1">
        <w:t>leading to</w:t>
      </w:r>
      <w:r w:rsidR="00E361E1" w:rsidRPr="008563B3">
        <w:t xml:space="preserve"> </w:t>
      </w:r>
      <w:r w:rsidR="00E422C5" w:rsidRPr="008563B3">
        <w:t>frequent power cuts</w:t>
      </w:r>
      <w:r w:rsidR="00AD078C" w:rsidRPr="008563B3">
        <w:t>,</w:t>
      </w:r>
      <w:r w:rsidR="00E422C5" w:rsidRPr="008563B3">
        <w:t xml:space="preserve"> </w:t>
      </w:r>
      <w:r w:rsidR="00AD078C" w:rsidRPr="008563B3">
        <w:t>liquidity</w:t>
      </w:r>
      <w:r w:rsidR="00E422C5" w:rsidRPr="008563B3">
        <w:t xml:space="preserve"> shortages</w:t>
      </w:r>
      <w:r w:rsidR="00AD078C" w:rsidRPr="008563B3">
        <w:t xml:space="preserve"> and the devaluation of the Libyan currency</w:t>
      </w:r>
      <w:r w:rsidR="001923E0" w:rsidRPr="008563B3">
        <w:t>. C</w:t>
      </w:r>
      <w:r w:rsidR="00E422C5" w:rsidRPr="008563B3">
        <w:t>ommon crimes</w:t>
      </w:r>
      <w:r w:rsidR="001F713E" w:rsidRPr="008563B3">
        <w:t xml:space="preserve"> </w:t>
      </w:r>
      <w:r w:rsidR="00E422C5" w:rsidRPr="008563B3">
        <w:t xml:space="preserve">and acts of political violence </w:t>
      </w:r>
      <w:r w:rsidR="00AD078C" w:rsidRPr="008563B3">
        <w:t>continued unabated</w:t>
      </w:r>
      <w:r w:rsidR="00FB60E2">
        <w:t>.</w:t>
      </w:r>
    </w:p>
    <w:p w14:paraId="170A4880" w14:textId="3EAE4CF4" w:rsidR="005538B7" w:rsidRPr="00206848" w:rsidRDefault="00E422C5" w:rsidP="00025352">
      <w:pPr>
        <w:pStyle w:val="SingleTxtG"/>
      </w:pPr>
      <w:r w:rsidRPr="00206848">
        <w:t>6.</w:t>
      </w:r>
      <w:r w:rsidRPr="00206848">
        <w:tab/>
      </w:r>
      <w:r w:rsidR="000F622D">
        <w:t>The Libyan National Army</w:t>
      </w:r>
      <w:r w:rsidR="008563B3">
        <w:t xml:space="preserve"> consolidated</w:t>
      </w:r>
      <w:r w:rsidR="000F622D">
        <w:t xml:space="preserve"> its control over most of eastern Libya</w:t>
      </w:r>
      <w:r w:rsidR="00AD2417">
        <w:t>, with the exception of the city of Derna</w:t>
      </w:r>
      <w:r w:rsidR="00E361E1">
        <w:t>.</w:t>
      </w:r>
      <w:r w:rsidR="00FA2FD3">
        <w:rPr>
          <w:rStyle w:val="FootnoteReference"/>
        </w:rPr>
        <w:footnoteReference w:id="4"/>
      </w:r>
      <w:r w:rsidR="008563B3">
        <w:t xml:space="preserve"> </w:t>
      </w:r>
      <w:r w:rsidR="00133527">
        <w:t>By November, f</w:t>
      </w:r>
      <w:r w:rsidR="000F622D">
        <w:t xml:space="preserve">ollowing protracted fighting in Benghazi </w:t>
      </w:r>
      <w:r w:rsidR="00EF7CC4">
        <w:lastRenderedPageBreak/>
        <w:t xml:space="preserve">that had broken out in </w:t>
      </w:r>
      <w:r w:rsidR="000F622D">
        <w:t>mid-</w:t>
      </w:r>
      <w:r w:rsidR="00A56407">
        <w:t>2014</w:t>
      </w:r>
      <w:r w:rsidR="00EF7CC4">
        <w:t>,</w:t>
      </w:r>
      <w:r w:rsidR="000F622D">
        <w:t xml:space="preserve"> the </w:t>
      </w:r>
      <w:r w:rsidR="00EF7CC4">
        <w:t xml:space="preserve">Libyan National Army </w:t>
      </w:r>
      <w:r w:rsidR="000F622D">
        <w:t>overr</w:t>
      </w:r>
      <w:r w:rsidR="00133527">
        <w:t>a</w:t>
      </w:r>
      <w:r w:rsidR="000F622D">
        <w:t xml:space="preserve">n areas previously controlled </w:t>
      </w:r>
      <w:r w:rsidR="00133527">
        <w:t xml:space="preserve">by the </w:t>
      </w:r>
      <w:r w:rsidR="000F622D">
        <w:t xml:space="preserve">Benghazi Revolutionaries Shura Council and </w:t>
      </w:r>
      <w:r w:rsidR="00133527">
        <w:t xml:space="preserve">its </w:t>
      </w:r>
      <w:r w:rsidR="000F622D">
        <w:t>allies</w:t>
      </w:r>
      <w:r w:rsidR="00B96058">
        <w:t>.</w:t>
      </w:r>
      <w:r w:rsidR="00A008BE">
        <w:t xml:space="preserve"> </w:t>
      </w:r>
      <w:r w:rsidR="001923E0">
        <w:t>Throughout 2017, the</w:t>
      </w:r>
      <w:r w:rsidR="00B96058">
        <w:t xml:space="preserve"> </w:t>
      </w:r>
      <w:r w:rsidR="00EF7CC4">
        <w:t xml:space="preserve">Libyan National Army </w:t>
      </w:r>
      <w:r w:rsidR="0037752C">
        <w:t xml:space="preserve">also increased its presence in southern Libya, including in the Sharara </w:t>
      </w:r>
      <w:r w:rsidR="00EF7CC4">
        <w:rPr>
          <w:rStyle w:val="CommentReference"/>
          <w:vanish/>
        </w:rPr>
        <w:pgNum/>
      </w:r>
      <w:r w:rsidR="0037752C">
        <w:t>oil fields.</w:t>
      </w:r>
      <w:r w:rsidR="00111406">
        <w:t xml:space="preserve"> </w:t>
      </w:r>
    </w:p>
    <w:p w14:paraId="008C05A2" w14:textId="7CCA00B3" w:rsidR="00E422C5" w:rsidRPr="00206848" w:rsidRDefault="00E422C5" w:rsidP="00025352">
      <w:pPr>
        <w:pStyle w:val="SingleTxtG"/>
      </w:pPr>
      <w:r w:rsidRPr="00206848">
        <w:t>7.</w:t>
      </w:r>
      <w:r w:rsidRPr="00206848">
        <w:tab/>
      </w:r>
      <w:r w:rsidR="00133527" w:rsidRPr="00B42806">
        <w:t xml:space="preserve">Since </w:t>
      </w:r>
      <w:r w:rsidR="008563B3" w:rsidRPr="00B42806">
        <w:t xml:space="preserve">December 2016, </w:t>
      </w:r>
      <w:r w:rsidR="00FC5C2B" w:rsidRPr="00B42806">
        <w:t>g</w:t>
      </w:r>
      <w:r w:rsidRPr="00B42806">
        <w:t>r</w:t>
      </w:r>
      <w:r w:rsidR="00223C18" w:rsidRPr="00B42806">
        <w:t xml:space="preserve">oups pledging allegiance to the so-called Islamic State </w:t>
      </w:r>
      <w:r w:rsidR="00EF7CC4" w:rsidRPr="00B42806">
        <w:t xml:space="preserve">in Iraq and the Levant </w:t>
      </w:r>
      <w:r w:rsidR="00223C18" w:rsidRPr="00B42806">
        <w:t>(IS</w:t>
      </w:r>
      <w:r w:rsidR="00EF7CC4" w:rsidRPr="00B42806">
        <w:t>IL</w:t>
      </w:r>
      <w:r w:rsidR="00223C18" w:rsidRPr="00B42806">
        <w:t>)</w:t>
      </w:r>
      <w:r w:rsidR="00133527" w:rsidRPr="00B42806">
        <w:t xml:space="preserve"> no longer </w:t>
      </w:r>
      <w:r w:rsidR="00CE1564" w:rsidRPr="00B42806">
        <w:t xml:space="preserve">control any </w:t>
      </w:r>
      <w:r w:rsidR="00133527" w:rsidRPr="00B42806">
        <w:t>territory in Libya, but have</w:t>
      </w:r>
      <w:r w:rsidRPr="00B42806">
        <w:t xml:space="preserve"> </w:t>
      </w:r>
      <w:r w:rsidR="00AD078C" w:rsidRPr="00B42806">
        <w:t xml:space="preserve">remained active, particularly </w:t>
      </w:r>
      <w:r w:rsidR="00FC5C2B" w:rsidRPr="00B42806">
        <w:t>south and south</w:t>
      </w:r>
      <w:r w:rsidR="00EF7CC4" w:rsidRPr="00B42806">
        <w:t>-</w:t>
      </w:r>
      <w:r w:rsidR="00FC5C2B" w:rsidRPr="00B42806">
        <w:t>west of Sirte</w:t>
      </w:r>
      <w:r w:rsidR="00AD078C" w:rsidRPr="00B42806">
        <w:t>, and carr</w:t>
      </w:r>
      <w:r w:rsidR="00FC5C2B" w:rsidRPr="00B42806">
        <w:t>ied</w:t>
      </w:r>
      <w:r w:rsidR="00AD078C" w:rsidRPr="00B42806">
        <w:t xml:space="preserve"> out </w:t>
      </w:r>
      <w:r w:rsidR="002E5863" w:rsidRPr="00B42806">
        <w:t xml:space="preserve">several </w:t>
      </w:r>
      <w:r w:rsidR="00AD078C" w:rsidRPr="00B42806">
        <w:t>deadly attacks</w:t>
      </w:r>
      <w:r w:rsidR="003709AD" w:rsidRPr="00B42806">
        <w:t>. O</w:t>
      </w:r>
      <w:r w:rsidR="00B85A20" w:rsidRPr="00B42806">
        <w:t>n 4 October</w:t>
      </w:r>
      <w:r w:rsidR="003709AD" w:rsidRPr="00B42806">
        <w:t xml:space="preserve">, </w:t>
      </w:r>
      <w:r w:rsidR="00EF7CC4" w:rsidRPr="00B42806">
        <w:t>ISIL</w:t>
      </w:r>
      <w:r w:rsidR="003709AD" w:rsidRPr="00B42806">
        <w:t xml:space="preserve"> claimed </w:t>
      </w:r>
      <w:r w:rsidR="00EF7CC4" w:rsidRPr="00B42806">
        <w:t xml:space="preserve">responsibility for </w:t>
      </w:r>
      <w:r w:rsidR="003709AD" w:rsidRPr="00B42806">
        <w:t>a</w:t>
      </w:r>
      <w:r w:rsidR="002B7B81" w:rsidRPr="00B42806">
        <w:t xml:space="preserve"> complex</w:t>
      </w:r>
      <w:r w:rsidR="003709AD" w:rsidRPr="00B42806">
        <w:t xml:space="preserve"> attack</w:t>
      </w:r>
      <w:r w:rsidR="00B85A20" w:rsidRPr="00B42806">
        <w:t xml:space="preserve"> on the Misrata </w:t>
      </w:r>
      <w:r w:rsidR="00EF7CC4" w:rsidRPr="00B42806">
        <w:t>c</w:t>
      </w:r>
      <w:r w:rsidR="00B85A20" w:rsidRPr="00B42806">
        <w:t xml:space="preserve">ourt </w:t>
      </w:r>
      <w:r w:rsidR="00EF7CC4" w:rsidRPr="00B42806">
        <w:t>c</w:t>
      </w:r>
      <w:r w:rsidR="00B85A20" w:rsidRPr="00B42806">
        <w:t>omplex, involving the use of explosives and direct gunfire</w:t>
      </w:r>
      <w:r w:rsidR="003709AD" w:rsidRPr="00B42806">
        <w:t>, which</w:t>
      </w:r>
      <w:r w:rsidR="00B85A20" w:rsidRPr="00B42806">
        <w:t xml:space="preserve"> left four men dead</w:t>
      </w:r>
      <w:r w:rsidR="00EF7CC4" w:rsidRPr="00B42806">
        <w:t xml:space="preserve"> (</w:t>
      </w:r>
      <w:r w:rsidR="00B85A20" w:rsidRPr="00B42806">
        <w:t>in addition to the three perpetrators</w:t>
      </w:r>
      <w:r w:rsidR="00EF7CC4" w:rsidRPr="00B42806">
        <w:t>)</w:t>
      </w:r>
      <w:r w:rsidR="00B85A20" w:rsidRPr="00B42806">
        <w:t xml:space="preserve"> and another 41 injured</w:t>
      </w:r>
      <w:r w:rsidRPr="00B42806">
        <w:t>.</w:t>
      </w:r>
      <w:r w:rsidR="008563B3" w:rsidRPr="00B42806">
        <w:t xml:space="preserve"> </w:t>
      </w:r>
    </w:p>
    <w:p w14:paraId="16C0D4FF" w14:textId="4A52BBEE" w:rsidR="00E422C5" w:rsidRPr="00206848" w:rsidRDefault="00E422C5" w:rsidP="00025352">
      <w:pPr>
        <w:pStyle w:val="SingleTxtG"/>
      </w:pPr>
      <w:r w:rsidRPr="00206848">
        <w:t>8.</w:t>
      </w:r>
      <w:r w:rsidRPr="00206848">
        <w:tab/>
      </w:r>
      <w:r w:rsidR="009459F2" w:rsidRPr="00206848">
        <w:t>Hundreds of armed groups continue</w:t>
      </w:r>
      <w:r w:rsidR="009459F2">
        <w:t>d</w:t>
      </w:r>
      <w:r w:rsidR="009459F2" w:rsidRPr="00206848">
        <w:t xml:space="preserve"> to operate throughout Libya, many nominally affiliated with the </w:t>
      </w:r>
      <w:r w:rsidR="00EF7CC4">
        <w:t>m</w:t>
      </w:r>
      <w:r w:rsidR="009459F2" w:rsidRPr="00206848">
        <w:t xml:space="preserve">inistries of Defence, </w:t>
      </w:r>
      <w:r w:rsidR="00EF7CC4">
        <w:t xml:space="preserve">the </w:t>
      </w:r>
      <w:r w:rsidR="009459F2" w:rsidRPr="00206848">
        <w:t xml:space="preserve">Interior and Justice. </w:t>
      </w:r>
      <w:r w:rsidR="002E5863">
        <w:t xml:space="preserve">While </w:t>
      </w:r>
      <w:r w:rsidR="009459F2" w:rsidRPr="00206848">
        <w:t>receiv</w:t>
      </w:r>
      <w:r w:rsidR="002E5863">
        <w:t>ing</w:t>
      </w:r>
      <w:r w:rsidR="009459F2" w:rsidRPr="00206848">
        <w:t xml:space="preserve"> salaries from central State funds, </w:t>
      </w:r>
      <w:r w:rsidR="002E5863">
        <w:t>they</w:t>
      </w:r>
      <w:r w:rsidR="009459F2" w:rsidRPr="00206848">
        <w:t xml:space="preserve"> </w:t>
      </w:r>
      <w:r w:rsidR="009459F2">
        <w:t>were</w:t>
      </w:r>
      <w:r w:rsidR="009459F2" w:rsidRPr="00206848">
        <w:t xml:space="preserve"> not under </w:t>
      </w:r>
      <w:r w:rsidR="007526CF">
        <w:t>its</w:t>
      </w:r>
      <w:r w:rsidR="009459F2">
        <w:t xml:space="preserve"> </w:t>
      </w:r>
      <w:r w:rsidR="00EF7CC4">
        <w:rPr>
          <w:rStyle w:val="CommentReference"/>
          <w:vanish/>
        </w:rPr>
        <w:pgNum/>
      </w:r>
      <w:r w:rsidR="009459F2">
        <w:t>effective</w:t>
      </w:r>
      <w:r w:rsidR="009459F2" w:rsidRPr="00206848">
        <w:t xml:space="preserve"> command and control. They </w:t>
      </w:r>
      <w:r w:rsidR="007526CF">
        <w:t>controlled</w:t>
      </w:r>
      <w:r w:rsidR="009459F2">
        <w:t xml:space="preserve"> borders,</w:t>
      </w:r>
      <w:r w:rsidR="009459F2" w:rsidRPr="00206848">
        <w:t xml:space="preserve"> </w:t>
      </w:r>
      <w:r w:rsidR="009459F2">
        <w:t xml:space="preserve">strategic installations and </w:t>
      </w:r>
      <w:r w:rsidR="009459F2" w:rsidRPr="00206848">
        <w:t xml:space="preserve">localized areas, including detention centres </w:t>
      </w:r>
      <w:r w:rsidR="007526CF">
        <w:t>holding</w:t>
      </w:r>
      <w:r w:rsidR="009459F2" w:rsidRPr="00206848">
        <w:t xml:space="preserve"> thousands of people. Action to remove law enforcement powers from armed groups, as foreseen in the </w:t>
      </w:r>
      <w:r w:rsidR="00EF7CC4">
        <w:t>Libyan Political Agreement</w:t>
      </w:r>
      <w:r w:rsidR="009459F2" w:rsidRPr="00206848">
        <w:t>, and demobilization, disarmament and reintegration</w:t>
      </w:r>
      <w:r w:rsidR="009A7B6D">
        <w:t>,</w:t>
      </w:r>
      <w:r w:rsidR="009459F2" w:rsidRPr="00206848">
        <w:t xml:space="preserve"> ha</w:t>
      </w:r>
      <w:r w:rsidR="00662276">
        <w:t>d</w:t>
      </w:r>
      <w:r w:rsidR="009459F2" w:rsidRPr="00206848">
        <w:t xml:space="preserve"> not yet </w:t>
      </w:r>
      <w:r w:rsidR="00EF7CC4">
        <w:t>been taken</w:t>
      </w:r>
      <w:r w:rsidR="009459F2" w:rsidRPr="00206848">
        <w:t>.</w:t>
      </w:r>
    </w:p>
    <w:p w14:paraId="7EB7F681" w14:textId="056E69D9" w:rsidR="00E422C5" w:rsidRPr="00206848" w:rsidRDefault="00E422C5" w:rsidP="00025352">
      <w:pPr>
        <w:pStyle w:val="SingleTxtG"/>
      </w:pPr>
      <w:r w:rsidRPr="00206848">
        <w:t>9.</w:t>
      </w:r>
      <w:r w:rsidRPr="00206848">
        <w:tab/>
      </w:r>
      <w:r w:rsidR="009459F2" w:rsidRPr="00206848">
        <w:t>OHCHR, through the UNSMIL Human Rights, Transitional Justice and Rule of Law Division, continue</w:t>
      </w:r>
      <w:r w:rsidR="00CF0315">
        <w:t>d</w:t>
      </w:r>
      <w:r w:rsidR="009459F2" w:rsidRPr="00206848">
        <w:t xml:space="preserve"> to monitor and report on the </w:t>
      </w:r>
      <w:r w:rsidR="00EF7CC4" w:rsidRPr="00206848">
        <w:t xml:space="preserve">situation </w:t>
      </w:r>
      <w:r w:rsidR="00EF7CC4">
        <w:t xml:space="preserve">of </w:t>
      </w:r>
      <w:r w:rsidR="009459F2" w:rsidRPr="00206848">
        <w:t>human rights in Libya</w:t>
      </w:r>
      <w:r w:rsidR="009459F2">
        <w:t>, including through increased field visits</w:t>
      </w:r>
      <w:r w:rsidR="00064A02">
        <w:t>,</w:t>
      </w:r>
      <w:r w:rsidR="009459F2">
        <w:t xml:space="preserve"> </w:t>
      </w:r>
      <w:r w:rsidR="00A456B1">
        <w:t>particularly to the capital</w:t>
      </w:r>
      <w:r w:rsidR="009459F2" w:rsidRPr="00206848">
        <w:t>. UNSMIL/OHCHR engage</w:t>
      </w:r>
      <w:r w:rsidR="00A456B1">
        <w:t>d</w:t>
      </w:r>
      <w:r w:rsidR="009459F2" w:rsidRPr="00206848">
        <w:t xml:space="preserve"> in regular dialogue with the authorities, armed groups, civil society and other </w:t>
      </w:r>
      <w:r w:rsidR="00837188">
        <w:t>stakeholders</w:t>
      </w:r>
      <w:r w:rsidR="009459F2" w:rsidRPr="00206848">
        <w:t xml:space="preserve"> in Libya. The impact and effectiveness of technical assistance </w:t>
      </w:r>
      <w:r w:rsidR="00213239">
        <w:t>remained</w:t>
      </w:r>
      <w:r w:rsidR="00213239" w:rsidRPr="00206848">
        <w:t xml:space="preserve"> </w:t>
      </w:r>
      <w:r w:rsidR="009459F2" w:rsidRPr="00206848">
        <w:t xml:space="preserve">limited </w:t>
      </w:r>
      <w:r w:rsidR="00DE5A7B">
        <w:t xml:space="preserve">owing to </w:t>
      </w:r>
      <w:r w:rsidR="009459F2" w:rsidRPr="00206848">
        <w:t>restricted access to</w:t>
      </w:r>
      <w:r w:rsidR="00A456B1">
        <w:t xml:space="preserve"> parts of</w:t>
      </w:r>
      <w:r w:rsidR="009459F2" w:rsidRPr="00206848">
        <w:t xml:space="preserve"> Libya</w:t>
      </w:r>
      <w:r w:rsidR="009A7B6D">
        <w:t>,</w:t>
      </w:r>
      <w:r w:rsidR="00DE5A7B">
        <w:t xml:space="preserve"> </w:t>
      </w:r>
      <w:r w:rsidR="009459F2">
        <w:t>political divisions</w:t>
      </w:r>
      <w:r w:rsidR="009459F2" w:rsidRPr="00206848">
        <w:t xml:space="preserve"> and prevailing impunity, </w:t>
      </w:r>
      <w:r w:rsidR="00EF7CC4">
        <w:t xml:space="preserve">which all </w:t>
      </w:r>
      <w:r w:rsidR="00DE5A7B">
        <w:t xml:space="preserve">created </w:t>
      </w:r>
      <w:r w:rsidR="009459F2" w:rsidRPr="00206848">
        <w:t>an environment of intimidation and fear</w:t>
      </w:r>
      <w:r w:rsidR="00EF7CC4">
        <w:t>,</w:t>
      </w:r>
      <w:r w:rsidR="00DE5A7B">
        <w:t xml:space="preserve"> and </w:t>
      </w:r>
      <w:r w:rsidR="009459F2" w:rsidRPr="00206848">
        <w:t>inhibit</w:t>
      </w:r>
      <w:r w:rsidR="00DE5A7B">
        <w:t>ed</w:t>
      </w:r>
      <w:r w:rsidR="009459F2" w:rsidRPr="00206848">
        <w:t xml:space="preserve"> interlocutors, including officials, civil society and </w:t>
      </w:r>
      <w:r w:rsidR="00DE5A7B">
        <w:t>survivors of violations and abuses</w:t>
      </w:r>
      <w:r w:rsidR="009459F2" w:rsidRPr="00206848">
        <w:t>, from sharing information and engaging on human rights</w:t>
      </w:r>
      <w:r w:rsidR="00DE5A7B">
        <w:t xml:space="preserve"> issues</w:t>
      </w:r>
      <w:r w:rsidR="009459F2" w:rsidRPr="00206848">
        <w:t>.</w:t>
      </w:r>
    </w:p>
    <w:p w14:paraId="72789D39" w14:textId="153C9B8D" w:rsidR="00E422C5" w:rsidRPr="00206848" w:rsidRDefault="00E422C5" w:rsidP="00025352">
      <w:pPr>
        <w:pStyle w:val="SingleTxtG"/>
      </w:pPr>
      <w:r w:rsidRPr="00206848">
        <w:t>10.</w:t>
      </w:r>
      <w:r w:rsidRPr="00206848">
        <w:tab/>
      </w:r>
      <w:r w:rsidR="00C57055">
        <w:t xml:space="preserve">On 10 October, </w:t>
      </w:r>
      <w:r w:rsidR="00524A76">
        <w:t xml:space="preserve">the </w:t>
      </w:r>
      <w:r w:rsidR="00EF7CC4">
        <w:t xml:space="preserve">United Nations </w:t>
      </w:r>
      <w:r w:rsidR="00C57055">
        <w:t xml:space="preserve">High Commissioner for Human Rights </w:t>
      </w:r>
      <w:r w:rsidR="009A7B6D">
        <w:t xml:space="preserve">visited </w:t>
      </w:r>
      <w:r w:rsidR="00662276">
        <w:t>Tripoli</w:t>
      </w:r>
      <w:r w:rsidR="00BA2387">
        <w:t>,</w:t>
      </w:r>
      <w:r w:rsidR="009A7B6D">
        <w:t xml:space="preserve"> where he held </w:t>
      </w:r>
      <w:r w:rsidR="00C57055">
        <w:t xml:space="preserve">discussions with </w:t>
      </w:r>
      <w:r w:rsidR="00BA2387">
        <w:t>g</w:t>
      </w:r>
      <w:r w:rsidR="00C57055">
        <w:t>overnment officials</w:t>
      </w:r>
      <w:r w:rsidR="009A7B6D">
        <w:t>,</w:t>
      </w:r>
      <w:r w:rsidR="00C57055">
        <w:t xml:space="preserve"> including the Prime Minister</w:t>
      </w:r>
      <w:r w:rsidR="001B6BD5">
        <w:t>,</w:t>
      </w:r>
      <w:r w:rsidR="00C57055">
        <w:t xml:space="preserve"> the Minister of Justice and </w:t>
      </w:r>
      <w:r w:rsidR="00BA2387">
        <w:t xml:space="preserve">Minister of the </w:t>
      </w:r>
      <w:r w:rsidR="00C57055">
        <w:t>Interior</w:t>
      </w:r>
      <w:r w:rsidR="001B6BD5">
        <w:t xml:space="preserve">, and the head of the Department </w:t>
      </w:r>
      <w:r w:rsidR="001F6E26">
        <w:t xml:space="preserve">for </w:t>
      </w:r>
      <w:r w:rsidR="001B6BD5">
        <w:t>Combating Illegal Migration</w:t>
      </w:r>
      <w:r w:rsidR="00FD67D5">
        <w:t xml:space="preserve">. He </w:t>
      </w:r>
      <w:r w:rsidR="00C57055">
        <w:t>vis</w:t>
      </w:r>
      <w:r w:rsidR="007D361E">
        <w:t>it</w:t>
      </w:r>
      <w:r w:rsidR="00FD67D5">
        <w:t>ed</w:t>
      </w:r>
      <w:r w:rsidR="00C57055">
        <w:t xml:space="preserve"> a prison and a camp for </w:t>
      </w:r>
      <w:r w:rsidR="005F3DC2" w:rsidRPr="00A008BE">
        <w:t>Tawerghans displaced since the 2011 conflict</w:t>
      </w:r>
      <w:r w:rsidR="00C57055">
        <w:t xml:space="preserve">. He </w:t>
      </w:r>
      <w:r w:rsidR="00A71410">
        <w:t xml:space="preserve">also </w:t>
      </w:r>
      <w:r w:rsidR="00662276">
        <w:t>engaged in a dialogue</w:t>
      </w:r>
      <w:r w:rsidR="00A71410">
        <w:t xml:space="preserve"> with </w:t>
      </w:r>
      <w:r w:rsidR="00BA2387">
        <w:t xml:space="preserve">members of </w:t>
      </w:r>
      <w:r w:rsidR="00A71410">
        <w:t>Libya</w:t>
      </w:r>
      <w:r w:rsidR="001B6BD5">
        <w:t>n</w:t>
      </w:r>
      <w:r w:rsidR="00A71410">
        <w:t xml:space="preserve"> civil society</w:t>
      </w:r>
      <w:r w:rsidR="001B6BD5">
        <w:t xml:space="preserve"> </w:t>
      </w:r>
      <w:r w:rsidR="00A71410">
        <w:t xml:space="preserve">and women human rights defenders. </w:t>
      </w:r>
      <w:r w:rsidR="009A7B6D">
        <w:t xml:space="preserve">During </w:t>
      </w:r>
      <w:r w:rsidR="00BA2387">
        <w:t xml:space="preserve">his </w:t>
      </w:r>
      <w:r w:rsidR="00524A76">
        <w:t>visit, the High Commissioner raised</w:t>
      </w:r>
      <w:r w:rsidR="00213239">
        <w:t xml:space="preserve"> particular</w:t>
      </w:r>
      <w:r w:rsidR="00524A76">
        <w:t xml:space="preserve"> concern</w:t>
      </w:r>
      <w:r w:rsidR="0055686C">
        <w:t>s</w:t>
      </w:r>
      <w:r w:rsidR="00524A76">
        <w:t xml:space="preserve"> </w:t>
      </w:r>
      <w:r w:rsidR="00BA2387">
        <w:t xml:space="preserve">with </w:t>
      </w:r>
      <w:r w:rsidR="00524A76">
        <w:t xml:space="preserve">regard </w:t>
      </w:r>
      <w:r w:rsidR="00BA2387">
        <w:t xml:space="preserve">to </w:t>
      </w:r>
      <w:r w:rsidR="00524A76">
        <w:t>prolonged arbitrary detention and the situation</w:t>
      </w:r>
      <w:r w:rsidR="00837188">
        <w:t xml:space="preserve"> of migrants, </w:t>
      </w:r>
      <w:r w:rsidR="009A7B6D">
        <w:t>internally displaced persons</w:t>
      </w:r>
      <w:r w:rsidR="00524A76">
        <w:t xml:space="preserve"> and human rights defenders. Libyan officials reiterated their commitment to </w:t>
      </w:r>
      <w:r w:rsidR="0055686C">
        <w:t>respect</w:t>
      </w:r>
      <w:r w:rsidR="009A7B6D">
        <w:t>ing</w:t>
      </w:r>
      <w:r w:rsidR="00524A76">
        <w:t xml:space="preserve"> human rights and </w:t>
      </w:r>
      <w:r w:rsidR="005500C8">
        <w:t xml:space="preserve">to </w:t>
      </w:r>
      <w:r w:rsidR="00524A76">
        <w:t>work</w:t>
      </w:r>
      <w:r w:rsidR="009A7B6D">
        <w:t>ing</w:t>
      </w:r>
      <w:r w:rsidR="00524A76">
        <w:t xml:space="preserve"> with the United Nations and other</w:t>
      </w:r>
      <w:r w:rsidR="005500C8">
        <w:t xml:space="preserve"> stakeholder</w:t>
      </w:r>
      <w:r w:rsidR="00524A76">
        <w:t xml:space="preserve">s towards the implementation of human rights law and standards. </w:t>
      </w:r>
    </w:p>
    <w:p w14:paraId="18347A96" w14:textId="2A3F93AE" w:rsidR="00E422C5" w:rsidRPr="00206848" w:rsidRDefault="00E422C5" w:rsidP="00025352">
      <w:pPr>
        <w:pStyle w:val="SingleTxtG"/>
      </w:pPr>
      <w:r w:rsidRPr="00206848">
        <w:t>1</w:t>
      </w:r>
      <w:r w:rsidR="00837188">
        <w:t>1</w:t>
      </w:r>
      <w:r w:rsidRPr="00206848">
        <w:t>.</w:t>
      </w:r>
      <w:r w:rsidRPr="00206848">
        <w:tab/>
        <w:t xml:space="preserve">Libya is </w:t>
      </w:r>
      <w:r w:rsidR="00FD67D5">
        <w:t xml:space="preserve">a </w:t>
      </w:r>
      <w:r w:rsidRPr="00206848">
        <w:t xml:space="preserve">State </w:t>
      </w:r>
      <w:r w:rsidR="00BA2387">
        <w:t>p</w:t>
      </w:r>
      <w:r w:rsidRPr="00206848">
        <w:t xml:space="preserve">arty to </w:t>
      </w:r>
      <w:r w:rsidR="002F2A89">
        <w:t>seven</w:t>
      </w:r>
      <w:r w:rsidR="002F2A89" w:rsidRPr="00206848">
        <w:t xml:space="preserve"> </w:t>
      </w:r>
      <w:r w:rsidR="00151332">
        <w:t xml:space="preserve">United Nations </w:t>
      </w:r>
      <w:r w:rsidRPr="00206848">
        <w:t xml:space="preserve">core human rights treaties, </w:t>
      </w:r>
      <w:r w:rsidR="002F2A89">
        <w:t>namely</w:t>
      </w:r>
      <w:r w:rsidR="00BA2387">
        <w:t>,</w:t>
      </w:r>
      <w:r w:rsidRPr="00206848">
        <w:t xml:space="preserve"> the International Covenant on Civil and Political Rights and </w:t>
      </w:r>
      <w:r w:rsidR="00D03F8E">
        <w:t>the</w:t>
      </w:r>
      <w:r w:rsidR="00D03F8E" w:rsidRPr="00206848">
        <w:t xml:space="preserve"> </w:t>
      </w:r>
      <w:r w:rsidRPr="00206848">
        <w:t>first Optional Protocol</w:t>
      </w:r>
      <w:r w:rsidR="00D03F8E">
        <w:t xml:space="preserve"> thereto,</w:t>
      </w:r>
      <w:r w:rsidRPr="00206848">
        <w:t xml:space="preserve"> the International Covenant on Economic, Social and Cultural Rights</w:t>
      </w:r>
      <w:r w:rsidR="00D03F8E">
        <w:t>,</w:t>
      </w:r>
      <w:r w:rsidRPr="00206848">
        <w:t xml:space="preserve"> the Convention against Torture and Other Cruel Inhuman or Degrading Treatment or Punishment</w:t>
      </w:r>
      <w:r w:rsidR="00D03F8E">
        <w:t>,</w:t>
      </w:r>
      <w:r w:rsidRPr="00206848">
        <w:t xml:space="preserve"> the International Convention on the Elimination of </w:t>
      </w:r>
      <w:r w:rsidR="00D03F8E">
        <w:t>A</w:t>
      </w:r>
      <w:r w:rsidRPr="00206848">
        <w:t>ll Forms of Racial Discrimination</w:t>
      </w:r>
      <w:r w:rsidR="00D03F8E">
        <w:t>,</w:t>
      </w:r>
      <w:r w:rsidRPr="00206848">
        <w:t xml:space="preserve"> the Convention on the Elimination of All Forms of Discrimination against Women and </w:t>
      </w:r>
      <w:r w:rsidR="00D03F8E">
        <w:t>the</w:t>
      </w:r>
      <w:r w:rsidR="00D03F8E" w:rsidRPr="00206848">
        <w:t xml:space="preserve"> </w:t>
      </w:r>
      <w:r w:rsidRPr="00206848">
        <w:t>Optional Protocol</w:t>
      </w:r>
      <w:r w:rsidR="00D03F8E">
        <w:t xml:space="preserve"> thereto,</w:t>
      </w:r>
      <w:r w:rsidRPr="00206848">
        <w:t xml:space="preserve"> the International Convention on the Protection of the Rights of All Migrant Workers and </w:t>
      </w:r>
      <w:r w:rsidR="00566085" w:rsidRPr="00206848">
        <w:t>Member</w:t>
      </w:r>
      <w:r w:rsidR="00D03F8E">
        <w:t>s</w:t>
      </w:r>
      <w:r w:rsidR="00566085" w:rsidRPr="00206848">
        <w:t xml:space="preserve"> of </w:t>
      </w:r>
      <w:r w:rsidRPr="00206848">
        <w:t>Their Families</w:t>
      </w:r>
      <w:r w:rsidR="00D03F8E">
        <w:t>,</w:t>
      </w:r>
      <w:r w:rsidRPr="00206848">
        <w:t xml:space="preserve"> and the Convention on the Rights of the Child and</w:t>
      </w:r>
      <w:r w:rsidR="002F2A89">
        <w:t xml:space="preserve"> two of</w:t>
      </w:r>
      <w:r w:rsidRPr="00206848">
        <w:t xml:space="preserve"> </w:t>
      </w:r>
      <w:r w:rsidR="00D03F8E">
        <w:t>the</w:t>
      </w:r>
      <w:r w:rsidR="00D03F8E" w:rsidRPr="00206848">
        <w:t xml:space="preserve"> </w:t>
      </w:r>
      <w:r w:rsidRPr="00206848">
        <w:t>Optional Protocols</w:t>
      </w:r>
      <w:r w:rsidR="00D03F8E">
        <w:t xml:space="preserve"> thereto</w:t>
      </w:r>
      <w:r w:rsidRPr="00206848">
        <w:t>. It is also a party to the African Charter on Human and Peoples</w:t>
      </w:r>
      <w:r w:rsidR="00206848">
        <w:t>’</w:t>
      </w:r>
      <w:r w:rsidRPr="00206848">
        <w:t xml:space="preserve"> Rights.</w:t>
      </w:r>
    </w:p>
    <w:p w14:paraId="304F8F1B" w14:textId="74EEC3CC" w:rsidR="00E422C5" w:rsidRPr="00206848" w:rsidRDefault="00AB3860" w:rsidP="00025352">
      <w:pPr>
        <w:pStyle w:val="SingleTxtG"/>
      </w:pPr>
      <w:r>
        <w:t>12</w:t>
      </w:r>
      <w:r w:rsidR="00E422C5" w:rsidRPr="00206848">
        <w:tab/>
        <w:t xml:space="preserve">Libya </w:t>
      </w:r>
      <w:r w:rsidR="00E53C12">
        <w:t>has</w:t>
      </w:r>
      <w:r w:rsidR="00E53C12" w:rsidRPr="00206848">
        <w:t xml:space="preserve"> </w:t>
      </w:r>
      <w:r w:rsidR="00E422C5" w:rsidRPr="00206848">
        <w:t>oblig</w:t>
      </w:r>
      <w:r w:rsidR="00E53C12">
        <w:t>ation</w:t>
      </w:r>
      <w:r w:rsidR="00AE3A42">
        <w:t>s</w:t>
      </w:r>
      <w:r w:rsidR="00E53C12">
        <w:t xml:space="preserve"> </w:t>
      </w:r>
      <w:r w:rsidR="00E422C5" w:rsidRPr="00206848">
        <w:t xml:space="preserve">to respect, protect, promote and fulfil the human rights of all persons within its territory and </w:t>
      </w:r>
      <w:r w:rsidR="00317EF5">
        <w:t xml:space="preserve">of those </w:t>
      </w:r>
      <w:r w:rsidR="00E422C5" w:rsidRPr="00206848">
        <w:t xml:space="preserve">subject to its jurisdiction, without discrimination. </w:t>
      </w:r>
      <w:r w:rsidR="00FD67D5">
        <w:t xml:space="preserve">It </w:t>
      </w:r>
      <w:r w:rsidR="00067AB8">
        <w:t xml:space="preserve">also has the </w:t>
      </w:r>
      <w:r w:rsidR="00E422C5" w:rsidRPr="00206848">
        <w:t>oblig</w:t>
      </w:r>
      <w:r w:rsidR="00067AB8">
        <w:t>ation</w:t>
      </w:r>
      <w:r w:rsidR="00E422C5" w:rsidRPr="00206848">
        <w:t xml:space="preserve"> to ensure a prompt, adequate and effective remedy to </w:t>
      </w:r>
      <w:r w:rsidR="00A56407" w:rsidRPr="00206848">
        <w:t>those</w:t>
      </w:r>
      <w:r w:rsidR="00E422C5" w:rsidRPr="00206848">
        <w:t xml:space="preserve"> whose rights have been violated, including </w:t>
      </w:r>
      <w:r w:rsidR="00067AB8">
        <w:t>by</w:t>
      </w:r>
      <w:r w:rsidR="00067AB8" w:rsidRPr="00206848">
        <w:t xml:space="preserve"> </w:t>
      </w:r>
      <w:r w:rsidR="00E422C5" w:rsidRPr="00206848">
        <w:t>provi</w:t>
      </w:r>
      <w:r w:rsidR="00067AB8">
        <w:t xml:space="preserve">ding </w:t>
      </w:r>
      <w:r w:rsidR="00E422C5" w:rsidRPr="00206848">
        <w:t>reparations and guarantees of non-</w:t>
      </w:r>
      <w:r w:rsidR="00B436C4">
        <w:t>repetition</w:t>
      </w:r>
      <w:r w:rsidR="00E422C5" w:rsidRPr="00206848">
        <w:t xml:space="preserve">, and to investigate and bring to justice </w:t>
      </w:r>
      <w:r w:rsidR="00E264EE">
        <w:t>those responsible</w:t>
      </w:r>
      <w:r w:rsidR="00E422C5" w:rsidRPr="00206848">
        <w:t>.</w:t>
      </w:r>
    </w:p>
    <w:p w14:paraId="7731C4A4" w14:textId="636B0075" w:rsidR="00E422C5" w:rsidRPr="00206848" w:rsidRDefault="00E422C5" w:rsidP="00025352">
      <w:pPr>
        <w:pStyle w:val="SingleTxtG"/>
      </w:pPr>
      <w:r w:rsidRPr="00206848">
        <w:t>1</w:t>
      </w:r>
      <w:r w:rsidR="00AB3860">
        <w:t>3</w:t>
      </w:r>
      <w:r w:rsidRPr="00206848">
        <w:t>.</w:t>
      </w:r>
      <w:r w:rsidRPr="00206848">
        <w:tab/>
        <w:t xml:space="preserve">International humanitarian law also applies to the non-international armed conflict </w:t>
      </w:r>
      <w:r w:rsidR="00067AB8">
        <w:t>that</w:t>
      </w:r>
      <w:r w:rsidRPr="00206848">
        <w:t xml:space="preserve"> continu</w:t>
      </w:r>
      <w:r w:rsidR="00067AB8">
        <w:t xml:space="preserve">es </w:t>
      </w:r>
      <w:r w:rsidRPr="00206848">
        <w:t xml:space="preserve">in Libya. </w:t>
      </w:r>
      <w:r w:rsidR="00067AB8">
        <w:t>The State</w:t>
      </w:r>
      <w:r w:rsidR="00067AB8" w:rsidRPr="00206848">
        <w:t xml:space="preserve"> </w:t>
      </w:r>
      <w:r w:rsidRPr="00206848">
        <w:t>is a party to the four Geneva Conventions and Additional Protocols I and II. Of particular relevance are common article 3 to the Geneva Conventions and Additional Protocol II, which contain protections applicable to civilians and other persons not taking a direct part in hostilities, as well as applicable norms of customary international humanitarian law.</w:t>
      </w:r>
    </w:p>
    <w:p w14:paraId="4B51AC82" w14:textId="77777777" w:rsidR="00B436C4" w:rsidRDefault="00E422C5" w:rsidP="00025352">
      <w:pPr>
        <w:pStyle w:val="HChG"/>
        <w:spacing w:line="240" w:lineRule="atLeast"/>
      </w:pPr>
      <w:r w:rsidRPr="00206848">
        <w:tab/>
        <w:t>III.</w:t>
      </w:r>
      <w:r w:rsidRPr="00206848">
        <w:tab/>
      </w:r>
      <w:r w:rsidR="00B436C4">
        <w:t xml:space="preserve">Protection of civilians and </w:t>
      </w:r>
      <w:r w:rsidR="002621D3">
        <w:t xml:space="preserve">of individuals </w:t>
      </w:r>
      <w:r w:rsidR="00B436C4">
        <w:t>hors de combat</w:t>
      </w:r>
    </w:p>
    <w:p w14:paraId="1753C47B" w14:textId="77777777" w:rsidR="00E422C5" w:rsidRPr="00206848" w:rsidRDefault="00B436C4" w:rsidP="00025352">
      <w:pPr>
        <w:pStyle w:val="HChG"/>
        <w:spacing w:line="240" w:lineRule="atLeast"/>
      </w:pPr>
      <w:r>
        <w:tab/>
        <w:t>A.</w:t>
      </w:r>
      <w:r w:rsidR="00DA779D">
        <w:tab/>
      </w:r>
      <w:r w:rsidR="001B6BD5" w:rsidRPr="00206848">
        <w:t>Indiscriminate attacks and other violations of international humanitarian law</w:t>
      </w:r>
    </w:p>
    <w:p w14:paraId="03A56094" w14:textId="0A448702" w:rsidR="00E422C5" w:rsidRPr="00206848" w:rsidRDefault="00E422C5" w:rsidP="00025352">
      <w:pPr>
        <w:pStyle w:val="SingleTxtG"/>
      </w:pPr>
      <w:r w:rsidRPr="00206848">
        <w:t>1</w:t>
      </w:r>
      <w:r w:rsidR="00AB3860">
        <w:t>4</w:t>
      </w:r>
      <w:r w:rsidRPr="00206848">
        <w:t>.</w:t>
      </w:r>
      <w:r w:rsidRPr="00206848">
        <w:tab/>
      </w:r>
      <w:r w:rsidRPr="00A008BE">
        <w:t xml:space="preserve">Under the </w:t>
      </w:r>
      <w:r w:rsidR="00067AB8">
        <w:t xml:space="preserve">Libyan </w:t>
      </w:r>
      <w:r w:rsidR="00EB50B8">
        <w:t>Political</w:t>
      </w:r>
      <w:r w:rsidR="00067AB8">
        <w:t xml:space="preserve"> Agreement</w:t>
      </w:r>
      <w:r w:rsidRPr="00A008BE">
        <w:t>, all armed factions committed to comply</w:t>
      </w:r>
      <w:r w:rsidR="002621D3">
        <w:t>ing</w:t>
      </w:r>
      <w:r w:rsidRPr="00A008BE">
        <w:t xml:space="preserve"> with Libyan legislation and international humanitarian and human rights law.</w:t>
      </w:r>
      <w:r w:rsidR="000424A3" w:rsidRPr="000424A3">
        <w:t xml:space="preserve"> </w:t>
      </w:r>
      <w:r w:rsidR="000424A3">
        <w:t xml:space="preserve">Crimes under international law may also be </w:t>
      </w:r>
      <w:r w:rsidR="000424A3" w:rsidRPr="00A008BE">
        <w:t xml:space="preserve">prosecuted by the International Criminal Court, </w:t>
      </w:r>
      <w:r w:rsidR="00C503C5">
        <w:t xml:space="preserve">following referral </w:t>
      </w:r>
      <w:r w:rsidR="00F24AA1">
        <w:t xml:space="preserve">of Libya </w:t>
      </w:r>
      <w:r w:rsidR="00930D7F">
        <w:t xml:space="preserve">to the Court </w:t>
      </w:r>
      <w:r w:rsidR="00B202E9">
        <w:t>by the Security Council in resolution 1970 (2011)</w:t>
      </w:r>
      <w:r w:rsidR="002621D3">
        <w:t>,</w:t>
      </w:r>
      <w:r w:rsidR="00B202E9">
        <w:t xml:space="preserve"> </w:t>
      </w:r>
      <w:r w:rsidR="00F24AA1">
        <w:t>pursuant to article 13</w:t>
      </w:r>
      <w:r w:rsidR="009A28F8">
        <w:t>(b)</w:t>
      </w:r>
      <w:r w:rsidR="00F24AA1">
        <w:t xml:space="preserve"> of </w:t>
      </w:r>
      <w:r w:rsidR="00930D7F">
        <w:t xml:space="preserve">the Court’s </w:t>
      </w:r>
      <w:r w:rsidR="00B202E9">
        <w:t>statute</w:t>
      </w:r>
      <w:r w:rsidR="000424A3" w:rsidRPr="00A008BE">
        <w:t>.</w:t>
      </w:r>
    </w:p>
    <w:p w14:paraId="7A76C296" w14:textId="5757F56B" w:rsidR="00930D7F" w:rsidRDefault="00E422C5" w:rsidP="00025352">
      <w:pPr>
        <w:pStyle w:val="SingleTxtG"/>
      </w:pPr>
      <w:r w:rsidRPr="00206848">
        <w:t>1</w:t>
      </w:r>
      <w:r w:rsidR="00AB3860">
        <w:t>5</w:t>
      </w:r>
      <w:r w:rsidRPr="00206848">
        <w:t>.</w:t>
      </w:r>
      <w:r w:rsidRPr="00206848">
        <w:tab/>
      </w:r>
      <w:r w:rsidR="00930D7F">
        <w:t>I</w:t>
      </w:r>
      <w:r w:rsidRPr="00206848">
        <w:t xml:space="preserve">nformation </w:t>
      </w:r>
      <w:r w:rsidR="00067AB8">
        <w:t xml:space="preserve">obtained by </w:t>
      </w:r>
      <w:r w:rsidR="00930D7F">
        <w:t xml:space="preserve">UNSMIL/OHCHR </w:t>
      </w:r>
      <w:r w:rsidR="00067AB8">
        <w:t>shows</w:t>
      </w:r>
      <w:r w:rsidR="00067AB8" w:rsidRPr="00206848">
        <w:t xml:space="preserve"> </w:t>
      </w:r>
      <w:r w:rsidR="00930D7F">
        <w:t>that</w:t>
      </w:r>
      <w:r w:rsidR="00067AB8">
        <w:t>,</w:t>
      </w:r>
      <w:r w:rsidR="00930D7F">
        <w:t xml:space="preserve"> throughout 2017</w:t>
      </w:r>
      <w:r w:rsidR="002621D3">
        <w:t>,</w:t>
      </w:r>
      <w:r w:rsidR="00930D7F">
        <w:t xml:space="preserve"> armed groups and other actors continued to carry out indiscriminate attacks, often in civilian and residential areas, heedless of their impact on civilians or civilian objects</w:t>
      </w:r>
      <w:r w:rsidR="002621D3">
        <w:t xml:space="preserve">. Such attacks </w:t>
      </w:r>
      <w:r w:rsidR="00930D7F">
        <w:t>includ</w:t>
      </w:r>
      <w:r w:rsidR="002621D3">
        <w:t>ed</w:t>
      </w:r>
      <w:r w:rsidR="00930D7F">
        <w:t xml:space="preserve"> the use of </w:t>
      </w:r>
      <w:r w:rsidR="00EA5305">
        <w:t xml:space="preserve">mortars, artillery, Grad rockets, </w:t>
      </w:r>
      <w:r w:rsidR="00930D7F">
        <w:t xml:space="preserve">mines, booby traps and improvised explosive devices. Such attacks, resulting in </w:t>
      </w:r>
      <w:r w:rsidRPr="00206848">
        <w:t>civilian casualties</w:t>
      </w:r>
      <w:r w:rsidR="00930D7F">
        <w:t>,</w:t>
      </w:r>
      <w:r w:rsidRPr="00206848">
        <w:t xml:space="preserve"> </w:t>
      </w:r>
      <w:r w:rsidR="003B166B">
        <w:t>were conducted</w:t>
      </w:r>
      <w:r w:rsidR="00930D7F">
        <w:t xml:space="preserve"> </w:t>
      </w:r>
      <w:r w:rsidRPr="00206848">
        <w:t xml:space="preserve">across Libya, including in </w:t>
      </w:r>
      <w:r w:rsidR="003B166B">
        <w:t>A</w:t>
      </w:r>
      <w:r w:rsidR="001B6BD5">
        <w:t xml:space="preserve">l-Zawiya, Benghazi, Derna, </w:t>
      </w:r>
      <w:r w:rsidRPr="00206848">
        <w:t>Tripoli</w:t>
      </w:r>
      <w:r w:rsidR="001B6BD5">
        <w:t xml:space="preserve"> and Sabratha</w:t>
      </w:r>
      <w:r w:rsidRPr="00206848">
        <w:t>.</w:t>
      </w:r>
    </w:p>
    <w:p w14:paraId="3913F6DE" w14:textId="275C170C" w:rsidR="00E422C5" w:rsidRPr="00206848" w:rsidRDefault="00930D7F" w:rsidP="00025352">
      <w:pPr>
        <w:pStyle w:val="SingleTxtG"/>
      </w:pPr>
      <w:r>
        <w:t>1</w:t>
      </w:r>
      <w:r w:rsidR="00AB3860">
        <w:t>6</w:t>
      </w:r>
      <w:r>
        <w:t>.</w:t>
      </w:r>
      <w:r>
        <w:tab/>
      </w:r>
      <w:r w:rsidR="00E422C5" w:rsidRPr="00206848">
        <w:t xml:space="preserve">From 1 January to 31 </w:t>
      </w:r>
      <w:r w:rsidR="00513EAB">
        <w:t>December</w:t>
      </w:r>
      <w:r w:rsidR="00E422C5" w:rsidRPr="00206848">
        <w:t xml:space="preserve">, UNSMIL/OHCHR documented </w:t>
      </w:r>
      <w:r w:rsidR="00513EAB">
        <w:t>371</w:t>
      </w:r>
      <w:r w:rsidR="00513EAB" w:rsidRPr="00206848">
        <w:t xml:space="preserve"> </w:t>
      </w:r>
      <w:r w:rsidR="00E422C5" w:rsidRPr="00206848">
        <w:t>civilian casualties</w:t>
      </w:r>
      <w:r w:rsidR="005E5894">
        <w:t>:</w:t>
      </w:r>
      <w:r w:rsidR="00E422C5" w:rsidRPr="00206848">
        <w:t xml:space="preserve"> </w:t>
      </w:r>
      <w:r w:rsidR="00513EAB">
        <w:t>161</w:t>
      </w:r>
      <w:r w:rsidR="00513EAB" w:rsidRPr="00206848">
        <w:t xml:space="preserve"> </w:t>
      </w:r>
      <w:r w:rsidR="00E422C5" w:rsidRPr="00206848">
        <w:t xml:space="preserve">killed </w:t>
      </w:r>
      <w:r w:rsidR="002621D3">
        <w:t>(</w:t>
      </w:r>
      <w:r w:rsidR="00513EAB">
        <w:t>104</w:t>
      </w:r>
      <w:r w:rsidR="00513EAB" w:rsidRPr="00206848">
        <w:t xml:space="preserve"> </w:t>
      </w:r>
      <w:r w:rsidR="00E422C5" w:rsidRPr="00206848">
        <w:t>men</w:t>
      </w:r>
      <w:r w:rsidR="002621D3">
        <w:t xml:space="preserve">, </w:t>
      </w:r>
      <w:r w:rsidR="00A56407" w:rsidRPr="00206848">
        <w:t>18 women</w:t>
      </w:r>
      <w:r w:rsidR="002621D3">
        <w:t xml:space="preserve">, </w:t>
      </w:r>
      <w:r w:rsidR="00513EAB">
        <w:t>37</w:t>
      </w:r>
      <w:r w:rsidR="00513EAB" w:rsidRPr="00206848">
        <w:t xml:space="preserve"> </w:t>
      </w:r>
      <w:r w:rsidR="00E422C5" w:rsidRPr="00206848">
        <w:t>children</w:t>
      </w:r>
      <w:r w:rsidR="005E5894">
        <w:t>,</w:t>
      </w:r>
      <w:r w:rsidR="00E422C5" w:rsidRPr="00206848">
        <w:t xml:space="preserve"> </w:t>
      </w:r>
      <w:r w:rsidR="002621D3">
        <w:t>and two individuals who</w:t>
      </w:r>
      <w:r w:rsidR="00213239">
        <w:t>se</w:t>
      </w:r>
      <w:r w:rsidR="002621D3">
        <w:t xml:space="preserve"> sex and</w:t>
      </w:r>
      <w:r w:rsidR="00213239">
        <w:t>/or</w:t>
      </w:r>
      <w:r w:rsidR="002621D3">
        <w:t xml:space="preserve"> age could not be determined) </w:t>
      </w:r>
      <w:r w:rsidR="002621D3" w:rsidRPr="00206848">
        <w:t xml:space="preserve">and </w:t>
      </w:r>
      <w:r w:rsidR="002621D3">
        <w:t>210</w:t>
      </w:r>
      <w:r w:rsidR="002621D3" w:rsidRPr="00206848">
        <w:t xml:space="preserve"> injured</w:t>
      </w:r>
      <w:r w:rsidR="002621D3">
        <w:t xml:space="preserve"> (124 men, 26 women, </w:t>
      </w:r>
      <w:r w:rsidR="00E17F7C">
        <w:t>39 children, and 21 individuals whose sex an</w:t>
      </w:r>
      <w:r w:rsidR="00213239">
        <w:t>d/or</w:t>
      </w:r>
      <w:r w:rsidR="00E17F7C">
        <w:t xml:space="preserve"> age could not be determined)</w:t>
      </w:r>
      <w:r w:rsidR="00E422C5" w:rsidRPr="00206848">
        <w:t xml:space="preserve">. </w:t>
      </w:r>
      <w:r w:rsidR="004850A8" w:rsidRPr="00206848">
        <w:t xml:space="preserve">The largest number of civilian </w:t>
      </w:r>
      <w:r w:rsidR="004850A8">
        <w:t>casualties was</w:t>
      </w:r>
      <w:r w:rsidR="004850A8" w:rsidRPr="00206848">
        <w:t xml:space="preserve"> </w:t>
      </w:r>
      <w:r w:rsidR="004850A8">
        <w:t>recorded</w:t>
      </w:r>
      <w:r w:rsidR="004850A8" w:rsidRPr="00206848">
        <w:t xml:space="preserve"> in Benghazi. </w:t>
      </w:r>
      <w:r w:rsidR="00E422C5" w:rsidRPr="00206848">
        <w:t>The leading causes of death were</w:t>
      </w:r>
      <w:r w:rsidR="000B482E">
        <w:t xml:space="preserve"> indiscriminate use of</w:t>
      </w:r>
      <w:r w:rsidR="00E422C5" w:rsidRPr="00206848">
        <w:t xml:space="preserve"> </w:t>
      </w:r>
      <w:r w:rsidR="0076470D">
        <w:t xml:space="preserve">gunfire, </w:t>
      </w:r>
      <w:r w:rsidR="00E8135F">
        <w:t>explosive remnants of wa</w:t>
      </w:r>
      <w:r w:rsidR="0076470D">
        <w:t>r</w:t>
      </w:r>
      <w:r w:rsidR="00FE69C1">
        <w:t xml:space="preserve">, airstrikes, shelling and </w:t>
      </w:r>
      <w:r w:rsidR="000E65CA">
        <w:t>improvised explosive devices</w:t>
      </w:r>
      <w:r w:rsidR="00E422C5" w:rsidRPr="00206848">
        <w:t xml:space="preserve">. </w:t>
      </w:r>
    </w:p>
    <w:p w14:paraId="4DF27E96" w14:textId="7017659C" w:rsidR="00E422C5" w:rsidRPr="00C308A4" w:rsidRDefault="00E422C5" w:rsidP="00025352">
      <w:pPr>
        <w:pStyle w:val="SingleTxtG"/>
      </w:pPr>
      <w:r w:rsidRPr="00206848">
        <w:t>1</w:t>
      </w:r>
      <w:r w:rsidR="00AB3860">
        <w:t>7</w:t>
      </w:r>
      <w:r w:rsidRPr="00206848">
        <w:t>.</w:t>
      </w:r>
      <w:r w:rsidRPr="00206848">
        <w:tab/>
      </w:r>
      <w:r w:rsidRPr="00B42806">
        <w:t xml:space="preserve">Incidents documented </w:t>
      </w:r>
      <w:r w:rsidR="004850A8" w:rsidRPr="00B42806">
        <w:t xml:space="preserve">by UNSMIL/OHCHR </w:t>
      </w:r>
      <w:r w:rsidRPr="00B42806">
        <w:t xml:space="preserve">included attacks on </w:t>
      </w:r>
      <w:r w:rsidR="0076470D" w:rsidRPr="00B42806">
        <w:t>recreational areas</w:t>
      </w:r>
      <w:r w:rsidRPr="00B42806">
        <w:t>, camps</w:t>
      </w:r>
      <w:r w:rsidR="005E5894" w:rsidRPr="00B42806">
        <w:t xml:space="preserve"> for internally displaced persons</w:t>
      </w:r>
      <w:r w:rsidR="0077412D" w:rsidRPr="00B42806">
        <w:t>, detention facilities</w:t>
      </w:r>
      <w:r w:rsidRPr="00B42806">
        <w:t xml:space="preserve"> and </w:t>
      </w:r>
      <w:r w:rsidR="0076470D" w:rsidRPr="00B42806">
        <w:t>private farms</w:t>
      </w:r>
      <w:r w:rsidRPr="00B42806">
        <w:t xml:space="preserve">. </w:t>
      </w:r>
      <w:r w:rsidR="00C9323C" w:rsidRPr="00B42806">
        <w:t>For example, o</w:t>
      </w:r>
      <w:r w:rsidR="000F5AA7" w:rsidRPr="00B42806">
        <w:t>n 17 April</w:t>
      </w:r>
      <w:r w:rsidR="004850A8" w:rsidRPr="00B42806">
        <w:t>,</w:t>
      </w:r>
      <w:r w:rsidR="000F5AA7" w:rsidRPr="00B42806">
        <w:t xml:space="preserve"> the </w:t>
      </w:r>
      <w:r w:rsidR="005E5894" w:rsidRPr="00B42806">
        <w:t>A</w:t>
      </w:r>
      <w:r w:rsidR="000F5AA7" w:rsidRPr="00B42806">
        <w:t>l-Kani armed group opened fire on a family</w:t>
      </w:r>
      <w:r w:rsidR="00304D06" w:rsidRPr="00B42806">
        <w:t xml:space="preserve"> home</w:t>
      </w:r>
      <w:r w:rsidR="000F5AA7" w:rsidRPr="00B42806">
        <w:t xml:space="preserve"> in the city of Tarhouna</w:t>
      </w:r>
      <w:r w:rsidR="005E5894">
        <w:rPr>
          <w:rStyle w:val="CommentReference"/>
          <w:vanish/>
        </w:rPr>
        <w:pgNum/>
      </w:r>
      <w:r w:rsidR="000F5AA7" w:rsidRPr="00B42806">
        <w:t xml:space="preserve">, leading to the death </w:t>
      </w:r>
      <w:r w:rsidR="00572AEA" w:rsidRPr="00B42806">
        <w:t>of</w:t>
      </w:r>
      <w:r w:rsidR="000F5AA7" w:rsidRPr="00B42806">
        <w:t xml:space="preserve"> a paraly</w:t>
      </w:r>
      <w:r w:rsidR="005E5894" w:rsidRPr="00B42806">
        <w:t>s</w:t>
      </w:r>
      <w:r w:rsidR="000F5AA7" w:rsidRPr="00B42806">
        <w:t xml:space="preserve">ed </w:t>
      </w:r>
      <w:r w:rsidR="004850A8" w:rsidRPr="00B42806">
        <w:t xml:space="preserve">elderly </w:t>
      </w:r>
      <w:r w:rsidR="000F5AA7" w:rsidRPr="00B42806">
        <w:t xml:space="preserve">man and </w:t>
      </w:r>
      <w:r w:rsidR="00C308A4" w:rsidRPr="00B42806">
        <w:t>nine</w:t>
      </w:r>
      <w:r w:rsidR="000F5AA7" w:rsidRPr="00B42806">
        <w:t xml:space="preserve"> other men, and the injury of </w:t>
      </w:r>
      <w:r w:rsidR="00C308A4" w:rsidRPr="00B42806">
        <w:t>two</w:t>
      </w:r>
      <w:r w:rsidR="00662276" w:rsidRPr="00B42806">
        <w:t xml:space="preserve"> men and a 14-</w:t>
      </w:r>
      <w:r w:rsidR="000F5AA7" w:rsidRPr="00B42806">
        <w:t>year-old boy</w:t>
      </w:r>
      <w:r w:rsidR="00304D06" w:rsidRPr="00B42806">
        <w:t xml:space="preserve">. On 19 May, </w:t>
      </w:r>
      <w:r w:rsidR="00C308A4" w:rsidRPr="00B42806">
        <w:t>two</w:t>
      </w:r>
      <w:r w:rsidR="00304D06" w:rsidRPr="00B42806">
        <w:t xml:space="preserve"> men and </w:t>
      </w:r>
      <w:r w:rsidR="00C308A4" w:rsidRPr="00B42806">
        <w:t>three</w:t>
      </w:r>
      <w:r w:rsidR="00304D06" w:rsidRPr="00B42806">
        <w:t xml:space="preserve"> boys were killed and 20 </w:t>
      </w:r>
      <w:r w:rsidR="005E5894" w:rsidRPr="00B42806">
        <w:t xml:space="preserve">boys and men </w:t>
      </w:r>
      <w:r w:rsidR="00304D06" w:rsidRPr="00B42806">
        <w:t xml:space="preserve">were injured in the city of Salouq in a </w:t>
      </w:r>
      <w:r w:rsidR="005E5894" w:rsidRPr="00B42806">
        <w:t xml:space="preserve">vehicle-borne improvised expolosive device </w:t>
      </w:r>
      <w:r w:rsidR="00304D06" w:rsidRPr="00B42806">
        <w:t>attack</w:t>
      </w:r>
      <w:r w:rsidR="00C308A4" w:rsidRPr="00B42806">
        <w:t xml:space="preserve"> in front of a mosque</w:t>
      </w:r>
      <w:r w:rsidR="00304D06" w:rsidRPr="00B42806">
        <w:t>.</w:t>
      </w:r>
      <w:r w:rsidR="000F5AA7" w:rsidRPr="00B42806">
        <w:t xml:space="preserve"> </w:t>
      </w:r>
      <w:r w:rsidR="00C308A4" w:rsidRPr="00B42806">
        <w:t xml:space="preserve">On 4 July, </w:t>
      </w:r>
      <w:r w:rsidR="00D14F29" w:rsidRPr="00B42806">
        <w:t>two women and three children were killed</w:t>
      </w:r>
      <w:r w:rsidR="004850A8" w:rsidRPr="00B42806">
        <w:t>,</w:t>
      </w:r>
      <w:r w:rsidR="00D14F29" w:rsidRPr="00B42806">
        <w:t xml:space="preserve"> and three women and three children were injured </w:t>
      </w:r>
      <w:r w:rsidR="005E5894" w:rsidRPr="00B42806">
        <w:t xml:space="preserve">when a Tripoli beach was </w:t>
      </w:r>
      <w:r w:rsidR="00D14F29" w:rsidRPr="00B42806">
        <w:t>shell</w:t>
      </w:r>
      <w:r w:rsidR="005E5894" w:rsidRPr="00B42806">
        <w:t>ed</w:t>
      </w:r>
      <w:r w:rsidR="00D14F29" w:rsidRPr="00B42806">
        <w:t xml:space="preserve">. </w:t>
      </w:r>
      <w:r w:rsidR="005E5894" w:rsidRPr="00B42806">
        <w:t xml:space="preserve">From </w:t>
      </w:r>
      <w:r w:rsidR="00583704" w:rsidRPr="00B42806">
        <w:t xml:space="preserve">17 September </w:t>
      </w:r>
      <w:r w:rsidR="005E5894" w:rsidRPr="00B42806">
        <w:t xml:space="preserve">to </w:t>
      </w:r>
      <w:r w:rsidR="00583704" w:rsidRPr="00B42806">
        <w:t xml:space="preserve">6 October, </w:t>
      </w:r>
      <w:r w:rsidR="005E5894" w:rsidRPr="00B42806">
        <w:t xml:space="preserve">armed clashes in the city of Sabratha </w:t>
      </w:r>
      <w:r w:rsidR="00583704" w:rsidRPr="00B42806">
        <w:t xml:space="preserve">led to the death of least four civilian men and </w:t>
      </w:r>
      <w:r w:rsidR="00C308A4" w:rsidRPr="00B42806">
        <w:t>one</w:t>
      </w:r>
      <w:r w:rsidR="00583704" w:rsidRPr="00B42806">
        <w:t xml:space="preserve"> woman, while six civilian men, two women and four children were injured. </w:t>
      </w:r>
      <w:r w:rsidRPr="00B42806">
        <w:t xml:space="preserve">On </w:t>
      </w:r>
      <w:r w:rsidR="009926C6" w:rsidRPr="00B42806">
        <w:t>30 October</w:t>
      </w:r>
      <w:r w:rsidRPr="00B42806">
        <w:t>, unidentified</w:t>
      </w:r>
      <w:r w:rsidRPr="00C308A4">
        <w:t xml:space="preserve"> aircraft carried out airstrike</w:t>
      </w:r>
      <w:r w:rsidR="009926C6" w:rsidRPr="00C308A4">
        <w:t>s</w:t>
      </w:r>
      <w:r w:rsidRPr="00C308A4">
        <w:t xml:space="preserve"> that hit </w:t>
      </w:r>
      <w:r w:rsidR="009926C6" w:rsidRPr="00C308A4">
        <w:t>a farm</w:t>
      </w:r>
      <w:r w:rsidR="00304D06" w:rsidRPr="00C308A4">
        <w:t xml:space="preserve"> in Derna</w:t>
      </w:r>
      <w:r w:rsidRPr="00C308A4">
        <w:t xml:space="preserve">, killing </w:t>
      </w:r>
      <w:r w:rsidR="009926C6" w:rsidRPr="00C308A4">
        <w:t>three</w:t>
      </w:r>
      <w:r w:rsidRPr="00C308A4">
        <w:t xml:space="preserve"> women and </w:t>
      </w:r>
      <w:r w:rsidR="009926C6" w:rsidRPr="00C308A4">
        <w:t>nine</w:t>
      </w:r>
      <w:r w:rsidRPr="00C308A4">
        <w:t xml:space="preserve"> child</w:t>
      </w:r>
      <w:r w:rsidR="00C308A4">
        <w:t>ren</w:t>
      </w:r>
      <w:r w:rsidR="004850A8">
        <w:t>,</w:t>
      </w:r>
      <w:r w:rsidRPr="00C308A4">
        <w:t xml:space="preserve"> and injuring </w:t>
      </w:r>
      <w:r w:rsidR="009926C6" w:rsidRPr="00C308A4">
        <w:t>two women, a man and five children</w:t>
      </w:r>
      <w:r w:rsidRPr="00C308A4">
        <w:t xml:space="preserve">. </w:t>
      </w:r>
    </w:p>
    <w:p w14:paraId="6AEF1575" w14:textId="1D8A9702" w:rsidR="00E422C5" w:rsidRPr="00B42806" w:rsidRDefault="00E422C5" w:rsidP="00025352">
      <w:pPr>
        <w:pStyle w:val="SingleTxtG"/>
      </w:pPr>
      <w:r w:rsidRPr="00206848">
        <w:t>1</w:t>
      </w:r>
      <w:r w:rsidR="00AB3860">
        <w:t>8</w:t>
      </w:r>
      <w:r w:rsidRPr="00206848">
        <w:t>.</w:t>
      </w:r>
      <w:r w:rsidRPr="00206848">
        <w:tab/>
      </w:r>
      <w:r w:rsidR="00C308A4" w:rsidRPr="00B42806">
        <w:t>Hospitals and other civilian objects</w:t>
      </w:r>
      <w:r w:rsidRPr="00B42806">
        <w:t xml:space="preserve"> were also attack</w:t>
      </w:r>
      <w:r w:rsidR="00C9323C" w:rsidRPr="00B42806">
        <w:t>ed</w:t>
      </w:r>
      <w:r w:rsidRPr="00B42806">
        <w:t xml:space="preserve">. From 1 January to </w:t>
      </w:r>
      <w:r w:rsidR="009453B4" w:rsidRPr="00B42806">
        <w:t>31</w:t>
      </w:r>
      <w:r w:rsidRPr="00B42806">
        <w:t xml:space="preserve"> </w:t>
      </w:r>
      <w:r w:rsidR="00C55C4A" w:rsidRPr="00B42806">
        <w:t>December</w:t>
      </w:r>
      <w:r w:rsidRPr="00B42806">
        <w:t xml:space="preserve">, UNSMIL/OHCHR documented </w:t>
      </w:r>
      <w:r w:rsidR="00C55C4A" w:rsidRPr="00B42806">
        <w:t xml:space="preserve">16 </w:t>
      </w:r>
      <w:r w:rsidRPr="00B42806">
        <w:t>attacks on medical facilities</w:t>
      </w:r>
      <w:r w:rsidR="005235D9" w:rsidRPr="00B42806">
        <w:t>;</w:t>
      </w:r>
      <w:r w:rsidR="009453B4" w:rsidRPr="00B42806">
        <w:t xml:space="preserve"> </w:t>
      </w:r>
      <w:r w:rsidR="005235D9" w:rsidRPr="00B42806">
        <w:t>t</w:t>
      </w:r>
      <w:r w:rsidR="009453B4" w:rsidRPr="00B42806">
        <w:t xml:space="preserve">hey included airstrikes </w:t>
      </w:r>
      <w:r w:rsidR="0060094C" w:rsidRPr="00B42806">
        <w:t xml:space="preserve">carried out on 4 March </w:t>
      </w:r>
      <w:r w:rsidR="009453B4" w:rsidRPr="00B42806">
        <w:t>on the Ras Lanouf Medical Centre</w:t>
      </w:r>
      <w:r w:rsidR="004850A8" w:rsidRPr="00B42806">
        <w:t xml:space="preserve"> (</w:t>
      </w:r>
      <w:r w:rsidR="0021161A" w:rsidRPr="00B42806">
        <w:t xml:space="preserve">leading to </w:t>
      </w:r>
      <w:r w:rsidR="009453B4" w:rsidRPr="00B42806">
        <w:t xml:space="preserve">the death of two male ambulance drivers and </w:t>
      </w:r>
      <w:r w:rsidR="004850A8" w:rsidRPr="00B42806">
        <w:t>of a</w:t>
      </w:r>
      <w:r w:rsidR="009453B4" w:rsidRPr="00B42806">
        <w:t xml:space="preserve"> man accompanying a patient</w:t>
      </w:r>
      <w:r w:rsidR="004850A8" w:rsidRPr="00B42806">
        <w:t>)</w:t>
      </w:r>
      <w:r w:rsidR="00C308A4" w:rsidRPr="00B42806">
        <w:t>,</w:t>
      </w:r>
      <w:r w:rsidRPr="00B42806">
        <w:t xml:space="preserve"> </w:t>
      </w:r>
      <w:r w:rsidR="00C308A4" w:rsidRPr="00B42806">
        <w:t xml:space="preserve">and </w:t>
      </w:r>
      <w:r w:rsidRPr="00B42806">
        <w:t xml:space="preserve">the shelling of the Benghazi </w:t>
      </w:r>
      <w:r w:rsidR="009453B4" w:rsidRPr="00B42806">
        <w:t>diabetic</w:t>
      </w:r>
      <w:r w:rsidR="00C308A4" w:rsidRPr="00B42806">
        <w:t>s</w:t>
      </w:r>
      <w:r w:rsidR="009453B4" w:rsidRPr="00B42806">
        <w:t xml:space="preserve"> clinic in July</w:t>
      </w:r>
      <w:r w:rsidR="004850A8" w:rsidRPr="00B42806">
        <w:t>,</w:t>
      </w:r>
      <w:r w:rsidR="009453B4" w:rsidRPr="00B42806">
        <w:t xml:space="preserve"> and </w:t>
      </w:r>
      <w:r w:rsidR="004850A8" w:rsidRPr="00B42806">
        <w:t xml:space="preserve">of </w:t>
      </w:r>
      <w:r w:rsidR="009453B4" w:rsidRPr="00B42806">
        <w:t>the Safaa Hospital in Tripoli</w:t>
      </w:r>
      <w:r w:rsidR="004850A8" w:rsidRPr="00B42806">
        <w:t>,</w:t>
      </w:r>
      <w:r w:rsidR="009453B4" w:rsidRPr="00B42806">
        <w:t xml:space="preserve"> in May</w:t>
      </w:r>
      <w:r w:rsidRPr="00B42806">
        <w:t xml:space="preserve">. </w:t>
      </w:r>
      <w:r w:rsidR="004A1ABB" w:rsidRPr="00B42806">
        <w:t>In April and June, t</w:t>
      </w:r>
      <w:r w:rsidR="00C308A4" w:rsidRPr="00B42806">
        <w:t xml:space="preserve">he </w:t>
      </w:r>
      <w:r w:rsidR="0021161A" w:rsidRPr="00B42806">
        <w:t>A</w:t>
      </w:r>
      <w:r w:rsidR="009453B4" w:rsidRPr="00B42806">
        <w:t xml:space="preserve">l-Zawiya hospital was closed </w:t>
      </w:r>
      <w:r w:rsidR="004A1ABB" w:rsidRPr="00B42806">
        <w:t>three</w:t>
      </w:r>
      <w:r w:rsidR="009453B4" w:rsidRPr="00B42806">
        <w:t xml:space="preserve"> times </w:t>
      </w:r>
      <w:r w:rsidR="0021161A" w:rsidRPr="00B42806">
        <w:t xml:space="preserve">owing </w:t>
      </w:r>
      <w:r w:rsidR="004A1ABB" w:rsidRPr="00B42806">
        <w:t xml:space="preserve">to </w:t>
      </w:r>
      <w:r w:rsidR="009453B4" w:rsidRPr="00B42806">
        <w:t xml:space="preserve">clashes in the vicinity. </w:t>
      </w:r>
      <w:r w:rsidRPr="00B42806">
        <w:t xml:space="preserve">Other attacks on hospitals were recorded in </w:t>
      </w:r>
      <w:r w:rsidR="009453B4" w:rsidRPr="00B42806">
        <w:t>Obari</w:t>
      </w:r>
      <w:r w:rsidR="00E043D8" w:rsidRPr="00B42806">
        <w:t>,</w:t>
      </w:r>
      <w:r w:rsidRPr="00B42806">
        <w:t xml:space="preserve"> Sabha</w:t>
      </w:r>
      <w:r w:rsidR="00E043D8" w:rsidRPr="00B42806">
        <w:t>, Sabratha and Sirte</w:t>
      </w:r>
      <w:r w:rsidRPr="00B42806">
        <w:t xml:space="preserve">. </w:t>
      </w:r>
      <w:r w:rsidR="007F18CD" w:rsidRPr="00B42806">
        <w:t>UNSMIL/OHCHR also documented physical assaults</w:t>
      </w:r>
      <w:r w:rsidR="00C308A4" w:rsidRPr="00B42806">
        <w:t xml:space="preserve"> </w:t>
      </w:r>
      <w:r w:rsidR="0021161A" w:rsidRPr="00B42806">
        <w:t xml:space="preserve">by members of armed groups </w:t>
      </w:r>
      <w:r w:rsidR="00C308A4" w:rsidRPr="00B42806">
        <w:t xml:space="preserve">against medical personnel </w:t>
      </w:r>
      <w:r w:rsidR="0060094C" w:rsidRPr="00B42806">
        <w:t>during the performance of their professional duties</w:t>
      </w:r>
      <w:r w:rsidR="007F18CD" w:rsidRPr="00B42806">
        <w:t xml:space="preserve">, including in Tripoli and Benghazi. </w:t>
      </w:r>
    </w:p>
    <w:p w14:paraId="711728F4" w14:textId="63F6F497" w:rsidR="00E422C5" w:rsidRDefault="00AB3860" w:rsidP="00025352">
      <w:pPr>
        <w:pStyle w:val="SingleTxtG"/>
      </w:pPr>
      <w:r>
        <w:t>19</w:t>
      </w:r>
      <w:r w:rsidR="00FB60E2">
        <w:t>.</w:t>
      </w:r>
      <w:r w:rsidR="00FB60E2" w:rsidRPr="00B42806">
        <w:t xml:space="preserve"> </w:t>
      </w:r>
      <w:r w:rsidR="00FB60E2" w:rsidRPr="00B42806">
        <w:tab/>
      </w:r>
      <w:r w:rsidR="004A1ABB" w:rsidRPr="00B42806">
        <w:t xml:space="preserve">By late March, </w:t>
      </w:r>
      <w:r w:rsidR="00EA3D2D" w:rsidRPr="00B42806">
        <w:t>the</w:t>
      </w:r>
      <w:r w:rsidR="00333C72" w:rsidRPr="00B42806">
        <w:t xml:space="preserve"> Libyan National Army, </w:t>
      </w:r>
      <w:r w:rsidR="004A1ABB" w:rsidRPr="00B42806">
        <w:t>f</w:t>
      </w:r>
      <w:r w:rsidR="00602F0F" w:rsidRPr="00B42806">
        <w:t>ollowing fierce fighting</w:t>
      </w:r>
      <w:r w:rsidR="007F18CD" w:rsidRPr="00B42806">
        <w:t>, took full control of the Ganfouda neighbourhood</w:t>
      </w:r>
      <w:r w:rsidR="00B96058" w:rsidRPr="00B42806">
        <w:t xml:space="preserve"> of Benghazi</w:t>
      </w:r>
      <w:r w:rsidR="007F18CD" w:rsidRPr="00B42806">
        <w:t xml:space="preserve"> from the Benghazi Revolutionaries Shura Council</w:t>
      </w:r>
      <w:r w:rsidR="00C308A4" w:rsidRPr="00B42806">
        <w:t xml:space="preserve">. </w:t>
      </w:r>
      <w:r w:rsidR="001B5BA5" w:rsidRPr="00B42806">
        <w:t>C</w:t>
      </w:r>
      <w:r w:rsidR="007F18CD" w:rsidRPr="00B42806">
        <w:t xml:space="preserve">ivilians </w:t>
      </w:r>
      <w:r w:rsidR="00C308A4" w:rsidRPr="00B42806">
        <w:t>had been</w:t>
      </w:r>
      <w:r w:rsidR="007F18CD" w:rsidRPr="00B42806">
        <w:t xml:space="preserve"> </w:t>
      </w:r>
      <w:r w:rsidR="003C5CB2" w:rsidRPr="00B42806">
        <w:t>besieged</w:t>
      </w:r>
      <w:r w:rsidR="007F18CD" w:rsidRPr="00B42806">
        <w:t xml:space="preserve"> </w:t>
      </w:r>
      <w:r w:rsidR="001B5BA5" w:rsidRPr="00B42806">
        <w:t xml:space="preserve">for months </w:t>
      </w:r>
      <w:r w:rsidR="00FB1D60" w:rsidRPr="00B42806">
        <w:t>in a small area of Ganfouda</w:t>
      </w:r>
      <w:r w:rsidR="00A00146" w:rsidRPr="00B42806">
        <w:t>,</w:t>
      </w:r>
      <w:r w:rsidR="00C308A4" w:rsidRPr="00B42806">
        <w:t xml:space="preserve"> </w:t>
      </w:r>
      <w:r w:rsidR="00EA3D2D" w:rsidRPr="00B42806">
        <w:t xml:space="preserve">subjected to </w:t>
      </w:r>
      <w:r w:rsidR="004A1ABB" w:rsidRPr="00B42806">
        <w:t>airstrikes</w:t>
      </w:r>
      <w:r w:rsidR="00C308A4" w:rsidRPr="00B42806">
        <w:t xml:space="preserve"> and </w:t>
      </w:r>
      <w:r w:rsidR="00EA3D2D" w:rsidRPr="00B42806">
        <w:t xml:space="preserve">a </w:t>
      </w:r>
      <w:r w:rsidR="007F18CD" w:rsidRPr="00B42806">
        <w:t>shortage of f</w:t>
      </w:r>
      <w:r w:rsidR="00C308A4" w:rsidRPr="00B42806">
        <w:t xml:space="preserve">ood, water and medical supplies. </w:t>
      </w:r>
      <w:r w:rsidR="00602F0F" w:rsidRPr="00B42806">
        <w:t>On 18 March</w:t>
      </w:r>
      <w:r w:rsidR="00585A04" w:rsidRPr="00B42806">
        <w:t>,</w:t>
      </w:r>
      <w:r w:rsidR="00A8441E" w:rsidRPr="00B42806">
        <w:t xml:space="preserve"> </w:t>
      </w:r>
      <w:r w:rsidR="00EA3D2D" w:rsidRPr="00B42806">
        <w:t xml:space="preserve">Libyan National Army </w:t>
      </w:r>
      <w:r w:rsidR="00602F0F" w:rsidRPr="00B42806">
        <w:t>forces opened fire on individuals fleeing Ganfouda</w:t>
      </w:r>
      <w:r w:rsidR="004A1ABB" w:rsidRPr="00B42806">
        <w:t>,</w:t>
      </w:r>
      <w:r w:rsidR="00602F0F" w:rsidRPr="00B42806">
        <w:t xml:space="preserve"> killing at least</w:t>
      </w:r>
      <w:r w:rsidR="00585A04" w:rsidRPr="00B42806">
        <w:t xml:space="preserve"> seven civilians</w:t>
      </w:r>
      <w:r w:rsidR="004850A8" w:rsidRPr="00B42806">
        <w:t>,</w:t>
      </w:r>
      <w:r w:rsidR="00585A04" w:rsidRPr="00B42806">
        <w:t xml:space="preserve"> including two children</w:t>
      </w:r>
      <w:r w:rsidR="00EA3D2D" w:rsidRPr="00B42806">
        <w:t>,</w:t>
      </w:r>
      <w:r w:rsidR="00585A04" w:rsidRPr="00B42806">
        <w:t xml:space="preserve"> </w:t>
      </w:r>
      <w:r w:rsidR="00602F0F" w:rsidRPr="00B42806">
        <w:t>and injuring a woman</w:t>
      </w:r>
      <w:r w:rsidR="00585A04" w:rsidRPr="00B42806">
        <w:t xml:space="preserve">. </w:t>
      </w:r>
      <w:r w:rsidR="0070531E" w:rsidRPr="00B42806">
        <w:t xml:space="preserve">In March, </w:t>
      </w:r>
      <w:r w:rsidR="004A1ABB" w:rsidRPr="00B42806">
        <w:t xml:space="preserve">videos and photographs posted online depicted </w:t>
      </w:r>
      <w:r w:rsidR="0070531E" w:rsidRPr="00B42806">
        <w:t>the</w:t>
      </w:r>
      <w:r w:rsidR="00A8441E" w:rsidRPr="00B42806">
        <w:t xml:space="preserve"> </w:t>
      </w:r>
      <w:r w:rsidR="0007223A" w:rsidRPr="00B42806">
        <w:t xml:space="preserve">Libyan National </w:t>
      </w:r>
      <w:r w:rsidR="00A8441E" w:rsidRPr="00B42806">
        <w:t>Army</w:t>
      </w:r>
      <w:r w:rsidR="00111406">
        <w:t xml:space="preserve"> </w:t>
      </w:r>
      <w:r w:rsidR="00522029" w:rsidRPr="00B42806">
        <w:t xml:space="preserve">and its allies displaying mutilated bodies of </w:t>
      </w:r>
      <w:r w:rsidR="00EA3D2D" w:rsidRPr="00B42806">
        <w:t>Benghazi Revolutionaries Shura Council</w:t>
      </w:r>
      <w:r w:rsidR="00EA3D2D" w:rsidRPr="00B42806" w:rsidDel="00EA3D2D">
        <w:t xml:space="preserve"> </w:t>
      </w:r>
      <w:r w:rsidR="00522029" w:rsidRPr="00B42806">
        <w:t xml:space="preserve">fighters. </w:t>
      </w:r>
      <w:r w:rsidR="0070531E" w:rsidRPr="00B42806">
        <w:t>On 20 March, the General Commander of the</w:t>
      </w:r>
      <w:r w:rsidR="00A8441E" w:rsidRPr="00B42806">
        <w:t xml:space="preserve"> Libyan National Army</w:t>
      </w:r>
      <w:r w:rsidR="00111406">
        <w:t xml:space="preserve"> </w:t>
      </w:r>
      <w:r w:rsidR="0070531E" w:rsidRPr="00B42806">
        <w:t xml:space="preserve">reiterated </w:t>
      </w:r>
      <w:r w:rsidR="00EA3D2D" w:rsidRPr="00B42806">
        <w:t xml:space="preserve">its </w:t>
      </w:r>
      <w:r w:rsidR="0070531E" w:rsidRPr="00B42806">
        <w:t xml:space="preserve">commitment to adhere </w:t>
      </w:r>
      <w:r w:rsidR="00A00146" w:rsidRPr="00B42806">
        <w:t>to</w:t>
      </w:r>
      <w:r w:rsidR="0070531E" w:rsidRPr="00B42806">
        <w:t xml:space="preserve"> applicable national and international law, and </w:t>
      </w:r>
      <w:r w:rsidR="00A00146" w:rsidRPr="00B42806">
        <w:t xml:space="preserve">to </w:t>
      </w:r>
      <w:r w:rsidR="0070531E" w:rsidRPr="00B42806">
        <w:t xml:space="preserve">bring those responsible </w:t>
      </w:r>
      <w:r w:rsidR="00A00146" w:rsidRPr="00B42806">
        <w:t xml:space="preserve">for violations </w:t>
      </w:r>
      <w:r w:rsidR="0070531E" w:rsidRPr="00B42806">
        <w:t xml:space="preserve">to justice. </w:t>
      </w:r>
      <w:r w:rsidR="00EA3D2D" w:rsidRPr="00B42806">
        <w:t>As at the end of 2017, n</w:t>
      </w:r>
      <w:r w:rsidR="0070531E" w:rsidRPr="00B42806">
        <w:t xml:space="preserve">o information on the progress of investigations or prosecutions had been shared </w:t>
      </w:r>
      <w:r w:rsidR="00A00146" w:rsidRPr="00B42806">
        <w:t>with UNSMIL/OHCHR</w:t>
      </w:r>
      <w:r w:rsidR="0070531E" w:rsidRPr="00B42806">
        <w:t xml:space="preserve">. </w:t>
      </w:r>
    </w:p>
    <w:p w14:paraId="208B17CC" w14:textId="3745EFA4" w:rsidR="00A10F5B" w:rsidRPr="00B42806" w:rsidRDefault="00A749DF" w:rsidP="00025352">
      <w:pPr>
        <w:pStyle w:val="SingleTxtG"/>
      </w:pPr>
      <w:r w:rsidRPr="00B42806">
        <w:rPr>
          <w:color w:val="333333"/>
        </w:rPr>
        <w:t>2</w:t>
      </w:r>
      <w:r w:rsidR="00AB3860" w:rsidRPr="00B42806">
        <w:rPr>
          <w:color w:val="333333"/>
        </w:rPr>
        <w:t>0</w:t>
      </w:r>
      <w:r w:rsidRPr="00B42806">
        <w:rPr>
          <w:color w:val="333333"/>
        </w:rPr>
        <w:t xml:space="preserve">. </w:t>
      </w:r>
      <w:r w:rsidR="00BA2112" w:rsidRPr="00B42806">
        <w:tab/>
      </w:r>
      <w:r w:rsidR="00B96058" w:rsidRPr="00B42806">
        <w:t>Following the killing of a</w:t>
      </w:r>
      <w:r w:rsidR="00A8441E" w:rsidRPr="00B42806">
        <w:t xml:space="preserve"> Libyan National Army</w:t>
      </w:r>
      <w:r w:rsidR="00B96058" w:rsidRPr="00B42806">
        <w:t xml:space="preserve"> pilot captured in Derna on 29 July,</w:t>
      </w:r>
      <w:r w:rsidR="00076C6E" w:rsidRPr="00B42806">
        <w:t xml:space="preserve"> </w:t>
      </w:r>
      <w:r w:rsidR="00EB6606" w:rsidRPr="00B42806">
        <w:t xml:space="preserve">the </w:t>
      </w:r>
      <w:r w:rsidR="00503C6B" w:rsidRPr="00B42806">
        <w:t xml:space="preserve">Libyan National </w:t>
      </w:r>
      <w:r w:rsidR="00A8441E" w:rsidRPr="00B42806">
        <w:t>Army</w:t>
      </w:r>
      <w:r w:rsidR="00076C6E" w:rsidRPr="00B42806">
        <w:t xml:space="preserve"> tightened restrictions on the freedom of movement of civilians and </w:t>
      </w:r>
      <w:r w:rsidRPr="00B42806">
        <w:t>on the entry of fuel and humanitarian assistance</w:t>
      </w:r>
      <w:r w:rsidR="00463D6B" w:rsidRPr="00B42806">
        <w:t xml:space="preserve"> to the city</w:t>
      </w:r>
      <w:r w:rsidR="00076C6E" w:rsidRPr="00B42806">
        <w:t xml:space="preserve">. </w:t>
      </w:r>
    </w:p>
    <w:p w14:paraId="131CAA07" w14:textId="0FD0A3DF" w:rsidR="00E422C5" w:rsidRPr="00B42806" w:rsidRDefault="00D15F1B" w:rsidP="00025352">
      <w:pPr>
        <w:pStyle w:val="SingleTxtG"/>
      </w:pPr>
      <w:r w:rsidRPr="00B42806">
        <w:t>2</w:t>
      </w:r>
      <w:r w:rsidR="00AB3860" w:rsidRPr="00B42806">
        <w:t>1</w:t>
      </w:r>
      <w:r w:rsidRPr="00B42806">
        <w:t xml:space="preserve">. </w:t>
      </w:r>
      <w:r w:rsidR="00BA2112" w:rsidRPr="00B42806">
        <w:tab/>
      </w:r>
      <w:r w:rsidRPr="00B42806">
        <w:t>The Tawerghan community</w:t>
      </w:r>
      <w:r w:rsidR="00463D6B" w:rsidRPr="00B42806">
        <w:t>,</w:t>
      </w:r>
      <w:r w:rsidRPr="00B42806">
        <w:t xml:space="preserve"> scattered in camps </w:t>
      </w:r>
      <w:r w:rsidR="00503C6B" w:rsidRPr="00B42806">
        <w:t xml:space="preserve">for internally displaced persons </w:t>
      </w:r>
      <w:r w:rsidRPr="00B42806">
        <w:t xml:space="preserve">and host communities across the country since </w:t>
      </w:r>
      <w:r w:rsidR="006F1376" w:rsidRPr="00B42806">
        <w:t>the</w:t>
      </w:r>
      <w:r w:rsidR="00463D6B" w:rsidRPr="00B42806">
        <w:t xml:space="preserve"> armed conflict in </w:t>
      </w:r>
      <w:r w:rsidRPr="00B42806">
        <w:t>2011</w:t>
      </w:r>
      <w:r w:rsidR="00463D6B" w:rsidRPr="00B42806">
        <w:t>,</w:t>
      </w:r>
      <w:r w:rsidR="006F1376" w:rsidRPr="00B42806">
        <w:t xml:space="preserve"> </w:t>
      </w:r>
      <w:r w:rsidR="002A5CA8" w:rsidRPr="00B42806">
        <w:t xml:space="preserve">was subjected to </w:t>
      </w:r>
      <w:r w:rsidRPr="00B42806">
        <w:t>attacks by armed groups, including armed incursions into the Tarik al-Matar camp</w:t>
      </w:r>
      <w:r w:rsidR="004850A8" w:rsidRPr="00B42806">
        <w:t>,</w:t>
      </w:r>
      <w:r w:rsidRPr="00B42806">
        <w:t xml:space="preserve"> in </w:t>
      </w:r>
      <w:r w:rsidR="008E72D0" w:rsidRPr="00B42806">
        <w:t>July</w:t>
      </w:r>
      <w:r w:rsidR="004850A8" w:rsidRPr="00B42806">
        <w:t>,</w:t>
      </w:r>
      <w:r w:rsidRPr="00B42806">
        <w:t xml:space="preserve"> and </w:t>
      </w:r>
      <w:r w:rsidR="006F1376" w:rsidRPr="00B42806">
        <w:t xml:space="preserve">the </w:t>
      </w:r>
      <w:r w:rsidRPr="00B42806">
        <w:t>Sidi al-Saeh camp</w:t>
      </w:r>
      <w:r w:rsidR="004850A8" w:rsidRPr="00B42806">
        <w:t>,</w:t>
      </w:r>
      <w:r w:rsidRPr="00B42806">
        <w:t xml:space="preserve"> in </w:t>
      </w:r>
      <w:r w:rsidR="008E72D0" w:rsidRPr="00B42806">
        <w:t>October</w:t>
      </w:r>
      <w:r w:rsidRPr="00B42806">
        <w:t xml:space="preserve">, both </w:t>
      </w:r>
      <w:r w:rsidR="00463D6B" w:rsidRPr="00B42806">
        <w:t xml:space="preserve">resulting in </w:t>
      </w:r>
      <w:r w:rsidRPr="00B42806">
        <w:t xml:space="preserve">civilian casualties. </w:t>
      </w:r>
      <w:r w:rsidR="008E72D0" w:rsidRPr="00B42806">
        <w:t xml:space="preserve">Throughout 2017, </w:t>
      </w:r>
      <w:r w:rsidR="00016C10" w:rsidRPr="00B42806">
        <w:t>the Sbortowat and Omar Tantoush armed groups intimidated,</w:t>
      </w:r>
      <w:r w:rsidR="00EA5305" w:rsidRPr="00B42806">
        <w:t xml:space="preserve"> attacked and</w:t>
      </w:r>
      <w:r w:rsidR="00016C10" w:rsidRPr="00B42806">
        <w:t xml:space="preserve"> </w:t>
      </w:r>
      <w:r w:rsidR="00EA5305" w:rsidRPr="00B42806">
        <w:t>deprived</w:t>
      </w:r>
      <w:r w:rsidR="00E75E89" w:rsidRPr="00B42806">
        <w:t xml:space="preserve"> </w:t>
      </w:r>
      <w:r w:rsidR="00B53FF0" w:rsidRPr="00B42806">
        <w:t xml:space="preserve">displaced </w:t>
      </w:r>
      <w:r w:rsidR="008E72D0" w:rsidRPr="00B42806">
        <w:t>Tawerghans</w:t>
      </w:r>
      <w:r w:rsidR="00627469" w:rsidRPr="00B42806">
        <w:t>,</w:t>
      </w:r>
      <w:r w:rsidR="00DC61E1" w:rsidRPr="00B42806">
        <w:t xml:space="preserve"> who had been</w:t>
      </w:r>
      <w:r w:rsidR="008E72D0" w:rsidRPr="00B42806">
        <w:t xml:space="preserve"> </w:t>
      </w:r>
      <w:r w:rsidR="00B53FF0" w:rsidRPr="00B42806">
        <w:t xml:space="preserve">sheltering </w:t>
      </w:r>
      <w:r w:rsidR="008E72D0" w:rsidRPr="00B42806">
        <w:t>at</w:t>
      </w:r>
      <w:r w:rsidRPr="00B42806">
        <w:t xml:space="preserve"> the Naval Academy </w:t>
      </w:r>
      <w:r w:rsidR="00DC12CE" w:rsidRPr="00B42806">
        <w:t>in western Tripoli</w:t>
      </w:r>
      <w:r w:rsidR="00682567" w:rsidRPr="00B42806">
        <w:t>, of their liberty</w:t>
      </w:r>
      <w:r w:rsidRPr="00B42806">
        <w:t xml:space="preserve">. </w:t>
      </w:r>
    </w:p>
    <w:p w14:paraId="4DB39BDE" w14:textId="77777777" w:rsidR="00E422C5" w:rsidRPr="00206848" w:rsidRDefault="00E422C5" w:rsidP="00025352">
      <w:pPr>
        <w:pStyle w:val="H1G"/>
        <w:spacing w:line="240" w:lineRule="atLeast"/>
      </w:pPr>
      <w:r w:rsidRPr="00206848">
        <w:tab/>
      </w:r>
      <w:r w:rsidR="00A749DF">
        <w:t>B</w:t>
      </w:r>
      <w:r w:rsidRPr="00206848">
        <w:t>.</w:t>
      </w:r>
      <w:r w:rsidRPr="00206848">
        <w:tab/>
        <w:t>Violations of the right to life, including unlawful killings</w:t>
      </w:r>
    </w:p>
    <w:p w14:paraId="7E6F7EDE" w14:textId="522B63A6" w:rsidR="001730D8" w:rsidRDefault="00CF4B78" w:rsidP="00025352">
      <w:pPr>
        <w:pStyle w:val="SingleTxtG"/>
      </w:pPr>
      <w:r>
        <w:t>2</w:t>
      </w:r>
      <w:r w:rsidR="00AB3860">
        <w:t>2</w:t>
      </w:r>
      <w:r w:rsidR="0077412D">
        <w:t>.</w:t>
      </w:r>
      <w:r w:rsidR="0077412D">
        <w:tab/>
      </w:r>
      <w:r w:rsidR="003B077C">
        <w:t>In</w:t>
      </w:r>
      <w:r w:rsidR="00960B57">
        <w:t xml:space="preserve"> 2017</w:t>
      </w:r>
      <w:r w:rsidR="003B077C">
        <w:t xml:space="preserve">, </w:t>
      </w:r>
      <w:r w:rsidR="0077412D">
        <w:t xml:space="preserve">UNSMIL/OHCHR </w:t>
      </w:r>
      <w:r w:rsidR="00072455">
        <w:t xml:space="preserve">received </w:t>
      </w:r>
      <w:r w:rsidR="001919BA">
        <w:t xml:space="preserve">numerous reports alleging that </w:t>
      </w:r>
      <w:r w:rsidR="00E422C5" w:rsidRPr="00206848">
        <w:t xml:space="preserve">armed groups, including </w:t>
      </w:r>
      <w:r w:rsidR="00960B57">
        <w:t>those</w:t>
      </w:r>
      <w:r w:rsidR="00E422C5" w:rsidRPr="00206848">
        <w:t xml:space="preserve"> operating nominally under State instit</w:t>
      </w:r>
      <w:r w:rsidR="003B077C">
        <w:t>utions, were responsible for summary executions and other unlawful killings</w:t>
      </w:r>
      <w:r w:rsidR="00E422C5" w:rsidRPr="00206848">
        <w:t xml:space="preserve"> of civilians</w:t>
      </w:r>
      <w:r w:rsidR="0077412D">
        <w:t xml:space="preserve"> and captured fighters</w:t>
      </w:r>
      <w:r w:rsidR="00E422C5" w:rsidRPr="00206848">
        <w:t xml:space="preserve">. </w:t>
      </w:r>
    </w:p>
    <w:p w14:paraId="16630815" w14:textId="7B4C9B4D" w:rsidR="001730D8" w:rsidRPr="001730D8" w:rsidRDefault="00CF4B78" w:rsidP="00025352">
      <w:pPr>
        <w:pStyle w:val="SingleTxtG"/>
      </w:pPr>
      <w:r>
        <w:t>2</w:t>
      </w:r>
      <w:r w:rsidR="00AB3860">
        <w:t>3</w:t>
      </w:r>
      <w:r w:rsidR="00E422C5" w:rsidRPr="00206848">
        <w:t>.</w:t>
      </w:r>
      <w:r w:rsidR="00E422C5" w:rsidRPr="00206848">
        <w:tab/>
      </w:r>
      <w:r>
        <w:t>On</w:t>
      </w:r>
      <w:r w:rsidR="003B077C" w:rsidRPr="00B42806">
        <w:t xml:space="preserve"> 18 May, the Misratan Third Force, backed by the Benghazi </w:t>
      </w:r>
      <w:r w:rsidR="00904843" w:rsidRPr="00B42806">
        <w:t>Defence</w:t>
      </w:r>
      <w:r w:rsidR="003B077C" w:rsidRPr="00B42806">
        <w:t xml:space="preserve"> Brigade and other allies, </w:t>
      </w:r>
      <w:r w:rsidR="00776387" w:rsidRPr="00B42806">
        <w:t xml:space="preserve">attacked </w:t>
      </w:r>
      <w:r w:rsidR="003B077C" w:rsidRPr="00B42806">
        <w:t>the Brak al-Shati air</w:t>
      </w:r>
      <w:r w:rsidRPr="00B42806">
        <w:t xml:space="preserve">base, </w:t>
      </w:r>
      <w:r w:rsidR="00DF731B" w:rsidRPr="00B42806">
        <w:t xml:space="preserve">at the time </w:t>
      </w:r>
      <w:r w:rsidRPr="00B42806">
        <w:t xml:space="preserve">controlled by the </w:t>
      </w:r>
      <w:r w:rsidR="00A8441E" w:rsidRPr="00B42806">
        <w:t>Libyan National Army</w:t>
      </w:r>
      <w:r w:rsidRPr="00B42806">
        <w:t xml:space="preserve">. </w:t>
      </w:r>
      <w:r w:rsidR="00776387" w:rsidRPr="00B42806">
        <w:t xml:space="preserve">In </w:t>
      </w:r>
      <w:r w:rsidR="004B32AA" w:rsidRPr="00B42806">
        <w:t>the</w:t>
      </w:r>
      <w:r w:rsidR="00776387" w:rsidRPr="00B42806">
        <w:t xml:space="preserve"> aftermath</w:t>
      </w:r>
      <w:r w:rsidR="004B32AA" w:rsidRPr="00B42806">
        <w:t xml:space="preserve"> of the attack</w:t>
      </w:r>
      <w:r w:rsidR="00776387" w:rsidRPr="00B42806">
        <w:t>, b</w:t>
      </w:r>
      <w:r w:rsidR="003B077C" w:rsidRPr="00B42806">
        <w:t xml:space="preserve">odies were reportedly </w:t>
      </w:r>
      <w:r w:rsidR="007B57C3" w:rsidRPr="00B42806">
        <w:t xml:space="preserve">brought to a local hospital </w:t>
      </w:r>
      <w:r w:rsidR="003B077C" w:rsidRPr="00B42806">
        <w:t xml:space="preserve">with bound hands and single </w:t>
      </w:r>
      <w:r w:rsidR="006C4FD4" w:rsidRPr="00B42806">
        <w:t>gun</w:t>
      </w:r>
      <w:r w:rsidR="003B077C" w:rsidRPr="00B42806">
        <w:t>shot</w:t>
      </w:r>
      <w:r w:rsidR="006C4FD4" w:rsidRPr="00B42806">
        <w:t xml:space="preserve"> wounds</w:t>
      </w:r>
      <w:r w:rsidR="003B077C" w:rsidRPr="00B42806">
        <w:t xml:space="preserve"> to the head</w:t>
      </w:r>
      <w:r w:rsidR="00DF731B" w:rsidRPr="00B42806">
        <w:t>;</w:t>
      </w:r>
      <w:r w:rsidR="007B57C3" w:rsidRPr="00B42806">
        <w:t xml:space="preserve"> </w:t>
      </w:r>
      <w:r w:rsidR="00EF249A">
        <w:t>r</w:t>
      </w:r>
      <w:r w:rsidR="00DF731B" w:rsidRPr="00B42806">
        <w:t>eportedly, m</w:t>
      </w:r>
      <w:r w:rsidR="007B57C3" w:rsidRPr="00B42806">
        <w:t xml:space="preserve">ost were </w:t>
      </w:r>
      <w:r w:rsidR="00213239" w:rsidRPr="00B42806">
        <w:t>w</w:t>
      </w:r>
      <w:r w:rsidR="004850A8" w:rsidRPr="00B42806">
        <w:t xml:space="preserve">earing </w:t>
      </w:r>
      <w:r w:rsidR="007B57C3" w:rsidRPr="00B42806">
        <w:t>military uniform</w:t>
      </w:r>
      <w:r w:rsidR="004850A8" w:rsidRPr="00B42806">
        <w:t>s</w:t>
      </w:r>
      <w:r w:rsidR="007B57C3" w:rsidRPr="00B42806">
        <w:t>. At least six civilians were also shot dead at or near the Brak al-Shati base</w:t>
      </w:r>
      <w:r w:rsidR="0046097F" w:rsidRPr="00B42806">
        <w:t xml:space="preserve"> in the same incident</w:t>
      </w:r>
      <w:r w:rsidR="007B57C3" w:rsidRPr="00B42806">
        <w:t>.</w:t>
      </w:r>
      <w:r w:rsidR="003B077C" w:rsidRPr="00B42806">
        <w:t xml:space="preserve"> The </w:t>
      </w:r>
      <w:r w:rsidRPr="00B42806">
        <w:t>P</w:t>
      </w:r>
      <w:r w:rsidR="004850A8" w:rsidRPr="00B42806">
        <w:t xml:space="preserve">residency </w:t>
      </w:r>
      <w:r w:rsidRPr="00B42806">
        <w:t>C</w:t>
      </w:r>
      <w:r w:rsidR="004850A8" w:rsidRPr="00B42806">
        <w:t>ouncil</w:t>
      </w:r>
      <w:r w:rsidR="003B077C" w:rsidRPr="00B42806">
        <w:t xml:space="preserve"> condemned the attack and opened an investigation</w:t>
      </w:r>
      <w:r w:rsidR="00DF731B" w:rsidRPr="00B42806">
        <w:t>;</w:t>
      </w:r>
      <w:r w:rsidR="003B077C" w:rsidRPr="00B42806">
        <w:t xml:space="preserve"> no results ha</w:t>
      </w:r>
      <w:r w:rsidR="00960B57" w:rsidRPr="00B42806">
        <w:t>d</w:t>
      </w:r>
      <w:r w:rsidR="003B077C" w:rsidRPr="00B42806">
        <w:t xml:space="preserve"> been made public </w:t>
      </w:r>
      <w:r w:rsidR="00DF731B" w:rsidRPr="00B42806">
        <w:t xml:space="preserve">as at </w:t>
      </w:r>
      <w:r w:rsidR="003B077C" w:rsidRPr="00B42806">
        <w:t xml:space="preserve">the end of </w:t>
      </w:r>
      <w:r w:rsidR="004850A8" w:rsidRPr="00B42806">
        <w:t>2017</w:t>
      </w:r>
      <w:r w:rsidR="003B077C" w:rsidRPr="00B42806">
        <w:t xml:space="preserve">. </w:t>
      </w:r>
    </w:p>
    <w:p w14:paraId="7039C3CD" w14:textId="4D703E94" w:rsidR="00E422C5" w:rsidRPr="00B42806" w:rsidRDefault="00CF4B78" w:rsidP="00025352">
      <w:pPr>
        <w:spacing w:after="120"/>
        <w:ind w:left="1134" w:right="1134"/>
        <w:jc w:val="both"/>
      </w:pPr>
      <w:r w:rsidRPr="00C77AA1">
        <w:t>2</w:t>
      </w:r>
      <w:r w:rsidR="00AB3860">
        <w:t>4</w:t>
      </w:r>
      <w:r w:rsidR="00E422C5" w:rsidRPr="00C77AA1">
        <w:t>.</w:t>
      </w:r>
      <w:r w:rsidR="00E422C5" w:rsidRPr="00C77AA1">
        <w:tab/>
      </w:r>
      <w:r w:rsidRPr="00B42806">
        <w:t>O</w:t>
      </w:r>
      <w:r w:rsidR="003B077C" w:rsidRPr="00B42806">
        <w:t xml:space="preserve">n 26 May, a Tripoli hospital received </w:t>
      </w:r>
      <w:r w:rsidR="00EA0468" w:rsidRPr="00B42806">
        <w:t xml:space="preserve">the bodies of </w:t>
      </w:r>
      <w:r w:rsidR="003B077C" w:rsidRPr="00B42806">
        <w:t xml:space="preserve">six guards from the </w:t>
      </w:r>
      <w:r w:rsidR="00EA0468" w:rsidRPr="00B42806">
        <w:t>A</w:t>
      </w:r>
      <w:r w:rsidR="003B077C" w:rsidRPr="00B42806">
        <w:t>l-Hadba Correction and Rehabilitation Institution</w:t>
      </w:r>
      <w:r w:rsidR="00EA0468" w:rsidRPr="00B42806">
        <w:t>;</w:t>
      </w:r>
      <w:r w:rsidR="003B077C" w:rsidRPr="00B42806">
        <w:t xml:space="preserve"> </w:t>
      </w:r>
      <w:r w:rsidR="00EA0468" w:rsidRPr="00B42806">
        <w:t>f</w:t>
      </w:r>
      <w:r w:rsidR="003B077C" w:rsidRPr="00B42806">
        <w:t xml:space="preserve">ive bore </w:t>
      </w:r>
      <w:r w:rsidR="0010054B" w:rsidRPr="00B42806">
        <w:t xml:space="preserve">single </w:t>
      </w:r>
      <w:r w:rsidR="003B077C" w:rsidRPr="00B42806">
        <w:t xml:space="preserve">gunshot wounds to the back of the head. Some hours earlier, </w:t>
      </w:r>
      <w:r w:rsidR="00D60F37" w:rsidRPr="00B42806">
        <w:t xml:space="preserve">an armed group, </w:t>
      </w:r>
      <w:r w:rsidRPr="00B42806">
        <w:t xml:space="preserve">the </w:t>
      </w:r>
      <w:r w:rsidR="003B077C" w:rsidRPr="00B42806">
        <w:t>T</w:t>
      </w:r>
      <w:r w:rsidRPr="00B42806">
        <w:t xml:space="preserve">ripoli </w:t>
      </w:r>
      <w:r w:rsidR="003B077C" w:rsidRPr="00B42806">
        <w:t>R</w:t>
      </w:r>
      <w:r w:rsidRPr="00B42806">
        <w:t xml:space="preserve">evolutionaries </w:t>
      </w:r>
      <w:r w:rsidR="003B077C" w:rsidRPr="00B42806">
        <w:t>B</w:t>
      </w:r>
      <w:r w:rsidRPr="00B42806">
        <w:t>rigade, allied to the G</w:t>
      </w:r>
      <w:r w:rsidR="00D60F37" w:rsidRPr="00B42806">
        <w:t>overnment</w:t>
      </w:r>
      <w:r w:rsidRPr="00B42806">
        <w:t>,</w:t>
      </w:r>
      <w:r w:rsidR="003B077C" w:rsidRPr="00B42806">
        <w:t xml:space="preserve"> </w:t>
      </w:r>
      <w:r w:rsidR="004850A8" w:rsidRPr="00B42806">
        <w:t xml:space="preserve">had </w:t>
      </w:r>
      <w:r w:rsidR="003B077C" w:rsidRPr="00B42806">
        <w:t>gained control of the facility</w:t>
      </w:r>
      <w:r w:rsidR="004850A8" w:rsidRPr="00B42806">
        <w:t>,</w:t>
      </w:r>
      <w:r w:rsidR="003B077C" w:rsidRPr="00B42806">
        <w:t xml:space="preserve"> previously headed by Khaled al-Sherif, a former member of the Li</w:t>
      </w:r>
      <w:r w:rsidRPr="00B42806">
        <w:t>byan Islamic Fighting Group.</w:t>
      </w:r>
    </w:p>
    <w:p w14:paraId="731975D2" w14:textId="63E58330" w:rsidR="001730D8" w:rsidRDefault="00E422C5" w:rsidP="00025352">
      <w:pPr>
        <w:pStyle w:val="SingleTxtG"/>
      </w:pPr>
      <w:r w:rsidRPr="00206848">
        <w:t>2</w:t>
      </w:r>
      <w:r w:rsidR="00AB3860">
        <w:t>5</w:t>
      </w:r>
      <w:r w:rsidRPr="00206848">
        <w:t>.</w:t>
      </w:r>
      <w:r w:rsidRPr="00206848">
        <w:tab/>
      </w:r>
      <w:r w:rsidR="007F2367">
        <w:t xml:space="preserve">On 26 October, </w:t>
      </w:r>
      <w:r w:rsidR="007F2367" w:rsidRPr="00C77AA1">
        <w:t xml:space="preserve">the bodies of 36 men were found in </w:t>
      </w:r>
      <w:r w:rsidR="00D60F37">
        <w:t>A</w:t>
      </w:r>
      <w:r w:rsidR="007F2367" w:rsidRPr="00C77AA1">
        <w:t>l-Abyar, some</w:t>
      </w:r>
      <w:r w:rsidR="007F2367">
        <w:t xml:space="preserve"> 60 k</w:t>
      </w:r>
      <w:r w:rsidR="00D60F37">
        <w:t xml:space="preserve">m </w:t>
      </w:r>
      <w:r w:rsidR="007F2367">
        <w:t xml:space="preserve">north-east of Benghazi, an area under the control of the </w:t>
      </w:r>
      <w:r w:rsidR="00A8441E">
        <w:t>Libyan National Army</w:t>
      </w:r>
      <w:r w:rsidR="007F2367">
        <w:t xml:space="preserve">. Several bore gunshot wounds and signs of torture and had their hands tied. </w:t>
      </w:r>
      <w:r w:rsidR="007F2367" w:rsidRPr="00A008BE">
        <w:t xml:space="preserve">Relatives </w:t>
      </w:r>
      <w:r w:rsidR="00915924" w:rsidRPr="00A008BE">
        <w:t xml:space="preserve">were </w:t>
      </w:r>
      <w:r w:rsidR="007F2367" w:rsidRPr="00A008BE">
        <w:t xml:space="preserve">reportedly threatened in person by unidentified armed men or </w:t>
      </w:r>
      <w:r w:rsidR="00AE5DAE" w:rsidRPr="00A008BE">
        <w:t>via</w:t>
      </w:r>
      <w:r w:rsidR="007F2367" w:rsidRPr="00A008BE">
        <w:t xml:space="preserve"> </w:t>
      </w:r>
      <w:r w:rsidR="001D4E22" w:rsidRPr="00A008BE">
        <w:t>tele</w:t>
      </w:r>
      <w:r w:rsidR="007F2367" w:rsidRPr="00A008BE">
        <w:t>phone not to hold public burial ceremonies.</w:t>
      </w:r>
      <w:r w:rsidR="007F2367">
        <w:t xml:space="preserve"> Armed masked men had </w:t>
      </w:r>
      <w:r w:rsidR="004850A8">
        <w:t xml:space="preserve">reportedly </w:t>
      </w:r>
      <w:r w:rsidR="007F2367">
        <w:t xml:space="preserve">seized several victims from their Benghazi homes </w:t>
      </w:r>
      <w:r w:rsidR="00C77AA1">
        <w:t xml:space="preserve">days </w:t>
      </w:r>
      <w:r w:rsidR="00915924">
        <w:t>or</w:t>
      </w:r>
      <w:r w:rsidR="00C77AA1">
        <w:t xml:space="preserve"> months</w:t>
      </w:r>
      <w:r w:rsidR="007F2367">
        <w:t xml:space="preserve"> </w:t>
      </w:r>
      <w:r w:rsidR="004850A8">
        <w:t xml:space="preserve">before </w:t>
      </w:r>
      <w:r w:rsidR="007F2367">
        <w:t>the</w:t>
      </w:r>
      <w:r w:rsidR="004850A8">
        <w:t>ir</w:t>
      </w:r>
      <w:r w:rsidR="007F2367">
        <w:t xml:space="preserve"> </w:t>
      </w:r>
      <w:r w:rsidR="00AE5DAE">
        <w:t>bodies</w:t>
      </w:r>
      <w:r w:rsidR="004850A8">
        <w:t xml:space="preserve"> were recovered</w:t>
      </w:r>
      <w:r w:rsidR="00AE5DAE">
        <w:t>. On 28 October, t</w:t>
      </w:r>
      <w:r w:rsidR="007F2367">
        <w:t xml:space="preserve">he General Commander of the </w:t>
      </w:r>
      <w:r w:rsidR="00A8441E">
        <w:t>Libyan National Army</w:t>
      </w:r>
      <w:r w:rsidR="007F2367">
        <w:t xml:space="preserve"> ordered the General Military Prosecutor in the east to investigate the incident. </w:t>
      </w:r>
    </w:p>
    <w:p w14:paraId="32C9FE4A" w14:textId="577F4AAE" w:rsidR="007F2367" w:rsidRPr="001730D8" w:rsidRDefault="00C77AA1" w:rsidP="00025352">
      <w:pPr>
        <w:pStyle w:val="SingleTxtG"/>
      </w:pPr>
      <w:r w:rsidRPr="00B42806">
        <w:t>2</w:t>
      </w:r>
      <w:r w:rsidR="00AB3860" w:rsidRPr="00B42806">
        <w:t>6</w:t>
      </w:r>
      <w:r w:rsidR="000F67EC" w:rsidRPr="00B42806">
        <w:t>.</w:t>
      </w:r>
      <w:r w:rsidR="00BA2112" w:rsidRPr="00B42806">
        <w:tab/>
      </w:r>
      <w:r w:rsidR="00BC6BEE" w:rsidRPr="00B42806">
        <w:t>B</w:t>
      </w:r>
      <w:r w:rsidR="00915924" w:rsidRPr="00B42806">
        <w:t>etween 7 August and 24 October, at least eight bodies</w:t>
      </w:r>
      <w:r w:rsidR="0010054B" w:rsidRPr="00B42806">
        <w:t xml:space="preserve"> were</w:t>
      </w:r>
      <w:r w:rsidR="007F2367" w:rsidRPr="00B42806">
        <w:t xml:space="preserve"> recovered in al-Zeit street</w:t>
      </w:r>
      <w:r w:rsidR="009E1F74">
        <w:rPr>
          <w:rStyle w:val="CommentReference"/>
          <w:vanish/>
        </w:rPr>
        <w:pgNum/>
      </w:r>
      <w:r w:rsidR="006329DA" w:rsidRPr="00B42806">
        <w:t>,</w:t>
      </w:r>
      <w:r w:rsidR="007F2367" w:rsidRPr="00B42806">
        <w:t xml:space="preserve"> in the Shibna neighbo</w:t>
      </w:r>
      <w:r w:rsidR="006329DA" w:rsidRPr="00B42806">
        <w:t>u</w:t>
      </w:r>
      <w:r w:rsidR="007F2367" w:rsidRPr="00B42806">
        <w:t xml:space="preserve">rhood, </w:t>
      </w:r>
      <w:r w:rsidR="00BC6BEE" w:rsidRPr="00B42806">
        <w:t xml:space="preserve">Benghazi, </w:t>
      </w:r>
      <w:r w:rsidR="007F2367" w:rsidRPr="00B42806">
        <w:t xml:space="preserve">bearing gunshot wounds and marks of torture. </w:t>
      </w:r>
      <w:r w:rsidR="0010054B" w:rsidRPr="00B42806">
        <w:t xml:space="preserve">Armed men </w:t>
      </w:r>
      <w:r w:rsidR="006329DA" w:rsidRPr="00B42806">
        <w:t xml:space="preserve">had reportedly </w:t>
      </w:r>
      <w:r w:rsidR="0010054B" w:rsidRPr="00B42806">
        <w:t xml:space="preserve">seized the victims between April and July </w:t>
      </w:r>
      <w:r w:rsidR="007F2367" w:rsidRPr="00B42806">
        <w:t xml:space="preserve">from Benghazi </w:t>
      </w:r>
      <w:r w:rsidR="00915924" w:rsidRPr="00B42806">
        <w:t>and Ajdabiya neighbo</w:t>
      </w:r>
      <w:r w:rsidR="006329DA" w:rsidRPr="00B42806">
        <w:t>u</w:t>
      </w:r>
      <w:r w:rsidR="00915924" w:rsidRPr="00B42806">
        <w:t>rhoods</w:t>
      </w:r>
      <w:r w:rsidR="007F2367" w:rsidRPr="00B42806">
        <w:t xml:space="preserve"> under th</w:t>
      </w:r>
      <w:r w:rsidR="0010054B" w:rsidRPr="00B42806">
        <w:t xml:space="preserve">e control of </w:t>
      </w:r>
      <w:r w:rsidR="00BC6BEE" w:rsidRPr="00B42806">
        <w:t xml:space="preserve">the </w:t>
      </w:r>
      <w:r w:rsidR="00A8441E" w:rsidRPr="00B42806">
        <w:t>Libyan National Army</w:t>
      </w:r>
      <w:r w:rsidR="0010054B" w:rsidRPr="00B42806">
        <w:t xml:space="preserve"> and its allies</w:t>
      </w:r>
      <w:r w:rsidR="007F2367" w:rsidRPr="00B42806">
        <w:t xml:space="preserve">. One </w:t>
      </w:r>
      <w:r w:rsidR="007C6299" w:rsidRPr="00B42806">
        <w:t>victim</w:t>
      </w:r>
      <w:r w:rsidR="007F2367" w:rsidRPr="00B42806">
        <w:t xml:space="preserve"> had appeared in a video following his capture “confessing” to carrying</w:t>
      </w:r>
      <w:r w:rsidR="006329DA" w:rsidRPr="00B42806">
        <w:t xml:space="preserve"> </w:t>
      </w:r>
      <w:r w:rsidR="007F2367" w:rsidRPr="00B42806">
        <w:t xml:space="preserve">out terrorist attacks and confirming his </w:t>
      </w:r>
      <w:r w:rsidR="007C6299" w:rsidRPr="00B42806">
        <w:t>apprehension</w:t>
      </w:r>
      <w:r w:rsidR="007F2367" w:rsidRPr="00B42806">
        <w:t xml:space="preserve"> by the Department of Combating Terrorism</w:t>
      </w:r>
      <w:r w:rsidR="009D0B9F">
        <w:rPr>
          <w:rStyle w:val="CommentReference"/>
          <w:vanish/>
        </w:rPr>
        <w:pgNum/>
      </w:r>
      <w:r w:rsidR="00A42C54" w:rsidRPr="00B42806">
        <w:t xml:space="preserve">, an armed group affiliated to the </w:t>
      </w:r>
      <w:r w:rsidR="00A8441E" w:rsidRPr="00B42806">
        <w:t>Libyan National Army</w:t>
      </w:r>
      <w:r w:rsidR="007F2367" w:rsidRPr="00B42806">
        <w:t>.</w:t>
      </w:r>
    </w:p>
    <w:p w14:paraId="0A2D203F" w14:textId="1F16028B" w:rsidR="00DC0553" w:rsidRDefault="00DC0553" w:rsidP="00025352">
      <w:pPr>
        <w:pStyle w:val="SingleTxtG"/>
        <w:rPr>
          <w:rFonts w:ascii="Segoe UI" w:hAnsi="Segoe UI" w:cs="Segoe UI"/>
          <w:color w:val="444444"/>
        </w:rPr>
      </w:pPr>
      <w:r>
        <w:t>2</w:t>
      </w:r>
      <w:r w:rsidR="00AB3860">
        <w:t>7</w:t>
      </w:r>
      <w:r w:rsidR="00E422C5" w:rsidRPr="00206848">
        <w:t>.</w:t>
      </w:r>
      <w:r w:rsidR="00E422C5" w:rsidRPr="00206848">
        <w:tab/>
      </w:r>
      <w:r w:rsidR="00AB72DD" w:rsidRPr="00B42806">
        <w:t xml:space="preserve">In </w:t>
      </w:r>
      <w:r w:rsidR="006331B8" w:rsidRPr="00B42806">
        <w:t xml:space="preserve">2017, at least </w:t>
      </w:r>
      <w:r w:rsidR="00A95B69" w:rsidRPr="00B42806">
        <w:t>seven</w:t>
      </w:r>
      <w:r w:rsidR="006331B8" w:rsidRPr="00B42806">
        <w:t xml:space="preserve"> videos emerged on social media</w:t>
      </w:r>
      <w:r w:rsidR="00E422C5" w:rsidRPr="00B42806">
        <w:t xml:space="preserve"> </w:t>
      </w:r>
      <w:r w:rsidR="006331B8" w:rsidRPr="00B42806">
        <w:t>depicting</w:t>
      </w:r>
      <w:r w:rsidR="00A555A4" w:rsidRPr="00B42806">
        <w:t xml:space="preserve"> </w:t>
      </w:r>
      <w:r w:rsidR="00A8441E" w:rsidRPr="00B42806">
        <w:t>Libyan National Army</w:t>
      </w:r>
      <w:r w:rsidR="00A555A4" w:rsidRPr="00B42806">
        <w:t xml:space="preserve"> forces carrying</w:t>
      </w:r>
      <w:r w:rsidR="006329DA" w:rsidRPr="00B42806">
        <w:t xml:space="preserve"> </w:t>
      </w:r>
      <w:r w:rsidR="00A555A4" w:rsidRPr="00B42806">
        <w:t>out</w:t>
      </w:r>
      <w:r w:rsidR="006331B8" w:rsidRPr="00B42806">
        <w:t xml:space="preserve"> apparent summary executions of</w:t>
      </w:r>
      <w:r w:rsidR="00A555A4" w:rsidRPr="00B42806">
        <w:t xml:space="preserve"> suspected</w:t>
      </w:r>
      <w:r w:rsidR="00915924" w:rsidRPr="00B42806">
        <w:t xml:space="preserve"> </w:t>
      </w:r>
      <w:r w:rsidR="00F564A3" w:rsidRPr="00B42806">
        <w:t>Benghazi Revolutionaries Shura Council</w:t>
      </w:r>
      <w:r w:rsidR="00F564A3" w:rsidRPr="00B42806" w:rsidDel="00EA3D2D">
        <w:t xml:space="preserve"> </w:t>
      </w:r>
      <w:r w:rsidR="00A555A4" w:rsidRPr="00B42806">
        <w:t>fighters and other opponents</w:t>
      </w:r>
      <w:r w:rsidR="00E422C5" w:rsidRPr="00B42806">
        <w:t>.</w:t>
      </w:r>
      <w:r w:rsidR="00A555A4" w:rsidRPr="00B42806">
        <w:t xml:space="preserve"> </w:t>
      </w:r>
      <w:r w:rsidR="00602F0F" w:rsidRPr="00B42806">
        <w:t xml:space="preserve">In at least five videos, a field commander with the Special Forces in Benghazi, Mahmoud </w:t>
      </w:r>
      <w:r w:rsidR="00676EFA">
        <w:t>A</w:t>
      </w:r>
      <w:r w:rsidR="00602F0F" w:rsidRPr="00B42806">
        <w:t xml:space="preserve">l-Werfalli, </w:t>
      </w:r>
      <w:r w:rsidR="00915924" w:rsidRPr="00B42806">
        <w:t>was</w:t>
      </w:r>
      <w:r w:rsidR="00602F0F" w:rsidRPr="00B42806">
        <w:t xml:space="preserve"> seen to be </w:t>
      </w:r>
      <w:r w:rsidRPr="00B42806">
        <w:t>e</w:t>
      </w:r>
      <w:r w:rsidR="00602F0F" w:rsidRPr="00B42806">
        <w:t>ither directly carrying</w:t>
      </w:r>
      <w:r w:rsidR="006329DA" w:rsidRPr="00B42806">
        <w:t xml:space="preserve"> </w:t>
      </w:r>
      <w:r w:rsidR="00602F0F" w:rsidRPr="00B42806">
        <w:t>out the executions or giving orders</w:t>
      </w:r>
      <w:r w:rsidR="006329DA" w:rsidRPr="00B42806">
        <w:t xml:space="preserve"> to that effect</w:t>
      </w:r>
      <w:r w:rsidR="00602F0F" w:rsidRPr="00B42806">
        <w:t xml:space="preserve">. On 18 July, the OHCHR called </w:t>
      </w:r>
      <w:r w:rsidR="00F564A3">
        <w:t>up</w:t>
      </w:r>
      <w:r w:rsidR="00602F0F" w:rsidRPr="00B42806">
        <w:t xml:space="preserve">on the </w:t>
      </w:r>
      <w:r w:rsidR="00A8441E" w:rsidRPr="00B42806">
        <w:t>Libyan National Army</w:t>
      </w:r>
      <w:r w:rsidR="00602F0F" w:rsidRPr="00B42806">
        <w:t xml:space="preserve"> to investigate </w:t>
      </w:r>
      <w:r w:rsidR="00F564A3">
        <w:t xml:space="preserve">the </w:t>
      </w:r>
      <w:r w:rsidR="00602F0F" w:rsidRPr="00B42806">
        <w:t xml:space="preserve">allegations and </w:t>
      </w:r>
      <w:r w:rsidR="00F564A3">
        <w:t xml:space="preserve">to </w:t>
      </w:r>
      <w:r w:rsidR="00602F0F" w:rsidRPr="00B42806">
        <w:t xml:space="preserve">suspend Mahmoud </w:t>
      </w:r>
      <w:r w:rsidR="00111406">
        <w:t>A</w:t>
      </w:r>
      <w:r w:rsidR="00602F0F" w:rsidRPr="00B42806">
        <w:t>l-Werfalli from his duties pending the conclusion of investigation</w:t>
      </w:r>
      <w:r w:rsidR="007C6299" w:rsidRPr="00B42806">
        <w:t>s</w:t>
      </w:r>
      <w:r w:rsidR="00602F0F" w:rsidRPr="00B42806">
        <w:t>.</w:t>
      </w:r>
    </w:p>
    <w:p w14:paraId="003ACFAE" w14:textId="51E2766C" w:rsidR="00A626F6" w:rsidRPr="00206848" w:rsidRDefault="00AB3860" w:rsidP="00025352">
      <w:pPr>
        <w:pStyle w:val="SingleTxtG"/>
      </w:pPr>
      <w:r>
        <w:t>28</w:t>
      </w:r>
      <w:r w:rsidR="00E422C5" w:rsidRPr="00206848">
        <w:t>.</w:t>
      </w:r>
      <w:r w:rsidR="00E422C5" w:rsidRPr="00206848">
        <w:tab/>
      </w:r>
      <w:r w:rsidR="009B4478">
        <w:t>In anot</w:t>
      </w:r>
      <w:r w:rsidR="00DC0553">
        <w:t xml:space="preserve">her case in </w:t>
      </w:r>
      <w:r w:rsidR="00915924">
        <w:t>Benghazi</w:t>
      </w:r>
      <w:r w:rsidR="00DC0553">
        <w:t xml:space="preserve">, </w:t>
      </w:r>
      <w:r w:rsidR="006D28FD">
        <w:t>armed men</w:t>
      </w:r>
      <w:r w:rsidR="006D28FD" w:rsidRPr="00B87AE7">
        <w:t xml:space="preserve"> </w:t>
      </w:r>
      <w:r w:rsidR="006D28FD">
        <w:t xml:space="preserve">reportedly </w:t>
      </w:r>
      <w:r w:rsidR="006D28FD" w:rsidRPr="00B87AE7">
        <w:t xml:space="preserve">aligned with Faraj </w:t>
      </w:r>
      <w:r w:rsidR="006D28FD">
        <w:t>Qaim</w:t>
      </w:r>
      <w:r w:rsidR="006D28FD" w:rsidRPr="00B87AE7">
        <w:t xml:space="preserve">, </w:t>
      </w:r>
      <w:r w:rsidR="006D28FD">
        <w:t xml:space="preserve">the </w:t>
      </w:r>
      <w:r w:rsidR="00F564A3">
        <w:t>government</w:t>
      </w:r>
      <w:r w:rsidR="006D28FD">
        <w:t>-appointed Deputy</w:t>
      </w:r>
      <w:r w:rsidR="006D28FD" w:rsidRPr="00B87AE7">
        <w:t xml:space="preserve"> Minister of </w:t>
      </w:r>
      <w:r w:rsidR="00F564A3">
        <w:t xml:space="preserve">the </w:t>
      </w:r>
      <w:r w:rsidR="006D28FD" w:rsidRPr="00B87AE7">
        <w:t>Interior</w:t>
      </w:r>
      <w:r w:rsidR="006D28FD">
        <w:t xml:space="preserve">, seized </w:t>
      </w:r>
      <w:r w:rsidR="00DC0553">
        <w:t>a 21-year-</w:t>
      </w:r>
      <w:r w:rsidR="009B4478">
        <w:t xml:space="preserve">old student </w:t>
      </w:r>
      <w:r w:rsidR="009B4478" w:rsidRPr="00B87AE7">
        <w:t xml:space="preserve">on 17 July. </w:t>
      </w:r>
      <w:r w:rsidR="009B4478">
        <w:t>Two days later</w:t>
      </w:r>
      <w:r w:rsidR="009B4478" w:rsidRPr="00B87AE7">
        <w:t xml:space="preserve">, </w:t>
      </w:r>
      <w:r w:rsidR="007C6299">
        <w:t>local police</w:t>
      </w:r>
      <w:r w:rsidR="006D28FD">
        <w:t xml:space="preserve"> found </w:t>
      </w:r>
      <w:r w:rsidR="00F564A3">
        <w:t>the student’s</w:t>
      </w:r>
      <w:r w:rsidR="006329DA">
        <w:t xml:space="preserve"> </w:t>
      </w:r>
      <w:r w:rsidR="006D28FD">
        <w:t>body dumped on the street</w:t>
      </w:r>
      <w:r w:rsidR="00A626F6" w:rsidRPr="00206848">
        <w:t xml:space="preserve">. </w:t>
      </w:r>
    </w:p>
    <w:p w14:paraId="6B3E01ED" w14:textId="436151BE" w:rsidR="00E422C5" w:rsidRPr="00B42806" w:rsidRDefault="00AB3860" w:rsidP="00025352">
      <w:pPr>
        <w:pStyle w:val="SingleTxtG"/>
      </w:pPr>
      <w:r>
        <w:t>29</w:t>
      </w:r>
      <w:r w:rsidR="00E422C5" w:rsidRPr="00206848">
        <w:t>.</w:t>
      </w:r>
      <w:r w:rsidR="00E422C5" w:rsidRPr="00206848">
        <w:tab/>
      </w:r>
      <w:r w:rsidR="00E422C5" w:rsidRPr="00B42806">
        <w:t xml:space="preserve">Assassinations were also reported. </w:t>
      </w:r>
      <w:r w:rsidR="006329DA" w:rsidRPr="00B42806">
        <w:t>For instance, o</w:t>
      </w:r>
      <w:r w:rsidR="00F26B60" w:rsidRPr="00B42806">
        <w:t>n 29 September, four men were shot dead by unknown assailants near Mi</w:t>
      </w:r>
      <w:r w:rsidR="007C6299" w:rsidRPr="00B42806">
        <w:t>zdah</w:t>
      </w:r>
      <w:r w:rsidR="00F26B60" w:rsidRPr="00B42806">
        <w:t xml:space="preserve"> in the Nafusa </w:t>
      </w:r>
      <w:r w:rsidR="00F564A3">
        <w:t>m</w:t>
      </w:r>
      <w:r w:rsidR="00F26B60" w:rsidRPr="00B42806">
        <w:t>ountain</w:t>
      </w:r>
      <w:r w:rsidR="00F564A3">
        <w:t>s</w:t>
      </w:r>
      <w:r w:rsidR="00F26B60" w:rsidRPr="00B42806">
        <w:t xml:space="preserve">. </w:t>
      </w:r>
      <w:r w:rsidR="00DC0553" w:rsidRPr="00B42806">
        <w:t xml:space="preserve">The victims </w:t>
      </w:r>
      <w:r w:rsidR="00255F6D" w:rsidRPr="00B42806">
        <w:t xml:space="preserve">had </w:t>
      </w:r>
      <w:r w:rsidR="00BF243A" w:rsidRPr="00B42806">
        <w:t xml:space="preserve">reportedly </w:t>
      </w:r>
      <w:r w:rsidR="00255F6D" w:rsidRPr="00B42806">
        <w:t xml:space="preserve">been helping to mediate </w:t>
      </w:r>
      <w:r w:rsidR="001237A4">
        <w:t xml:space="preserve">between the </w:t>
      </w:r>
      <w:r w:rsidR="00F26B60" w:rsidRPr="00B42806">
        <w:t>Zintan</w:t>
      </w:r>
      <w:r w:rsidR="001237A4">
        <w:t xml:space="preserve"> and </w:t>
      </w:r>
      <w:r w:rsidR="00F26B60" w:rsidRPr="00B42806">
        <w:t>Mashash</w:t>
      </w:r>
      <w:r w:rsidR="00E456B6">
        <w:t>i</w:t>
      </w:r>
      <w:r w:rsidR="00F26B60" w:rsidRPr="00B42806">
        <w:t xml:space="preserve">a </w:t>
      </w:r>
      <w:r w:rsidR="001237A4">
        <w:t>communities in a dispute ongoing since the 2011 armed conflict</w:t>
      </w:r>
      <w:r w:rsidR="00E422C5" w:rsidRPr="00B42806">
        <w:t>.</w:t>
      </w:r>
    </w:p>
    <w:p w14:paraId="44DCD863" w14:textId="3B389800" w:rsidR="00E422C5" w:rsidRPr="00B42806" w:rsidRDefault="00E422C5" w:rsidP="00025352">
      <w:pPr>
        <w:pStyle w:val="SingleTxtG"/>
      </w:pPr>
      <w:r w:rsidRPr="00B42806">
        <w:t>3</w:t>
      </w:r>
      <w:r w:rsidR="00AB3860" w:rsidRPr="00B42806">
        <w:t>0.</w:t>
      </w:r>
      <w:r w:rsidRPr="00B42806">
        <w:tab/>
      </w:r>
      <w:r w:rsidR="009B4478" w:rsidRPr="00B42806">
        <w:t xml:space="preserve">UNSMIL/OHCHR received information on kidnappings and killings by armed groups </w:t>
      </w:r>
      <w:r w:rsidR="00255F6D" w:rsidRPr="00B42806">
        <w:t>and</w:t>
      </w:r>
      <w:r w:rsidR="009B4478" w:rsidRPr="00B42806">
        <w:t xml:space="preserve"> </w:t>
      </w:r>
      <w:r w:rsidR="008C12CB" w:rsidRPr="00B42806">
        <w:t xml:space="preserve">criminal </w:t>
      </w:r>
      <w:r w:rsidR="009B4478" w:rsidRPr="00B42806">
        <w:t>gangs</w:t>
      </w:r>
      <w:r w:rsidR="00FA7BB7" w:rsidRPr="00B42806">
        <w:t xml:space="preserve">. On 20 May, </w:t>
      </w:r>
      <w:r w:rsidR="00F564A3">
        <w:t>a man’s</w:t>
      </w:r>
      <w:r w:rsidR="00F564A3" w:rsidRPr="00B42806">
        <w:t xml:space="preserve"> </w:t>
      </w:r>
      <w:r w:rsidR="00FA7BB7" w:rsidRPr="00B42806">
        <w:t xml:space="preserve">body bearing a gunshot wound was brought to a Tripoli hospital. </w:t>
      </w:r>
      <w:r w:rsidR="006329DA" w:rsidRPr="00B42806">
        <w:t xml:space="preserve">His </w:t>
      </w:r>
      <w:r w:rsidR="00FA7BB7" w:rsidRPr="00B42806">
        <w:t xml:space="preserve">hands and legs </w:t>
      </w:r>
      <w:r w:rsidR="00F564A3">
        <w:t>had been</w:t>
      </w:r>
      <w:r w:rsidR="00FA7BB7" w:rsidRPr="00B42806">
        <w:t xml:space="preserve"> bound with metal chains. </w:t>
      </w:r>
      <w:r w:rsidR="00F564A3">
        <w:t xml:space="preserve">The man </w:t>
      </w:r>
      <w:r w:rsidR="006329DA" w:rsidRPr="00B42806">
        <w:t xml:space="preserve">had </w:t>
      </w:r>
      <w:r w:rsidR="00FA7BB7" w:rsidRPr="00B42806">
        <w:t xml:space="preserve">reportedly </w:t>
      </w:r>
      <w:r w:rsidR="006329DA" w:rsidRPr="00B42806">
        <w:t xml:space="preserve">been </w:t>
      </w:r>
      <w:r w:rsidR="00FA7BB7" w:rsidRPr="00B42806">
        <w:t xml:space="preserve">abducted some 40 days earlier by armed </w:t>
      </w:r>
      <w:r w:rsidR="00255F6D" w:rsidRPr="00B42806">
        <w:t>men</w:t>
      </w:r>
      <w:r w:rsidR="00FA7BB7" w:rsidRPr="00B42806">
        <w:t xml:space="preserve"> in Wershefana</w:t>
      </w:r>
      <w:r w:rsidR="00DC0553" w:rsidRPr="00B42806">
        <w:t>.</w:t>
      </w:r>
    </w:p>
    <w:p w14:paraId="6766166B" w14:textId="052C0D92" w:rsidR="00DC0553" w:rsidRPr="00B42806" w:rsidRDefault="00DC0553" w:rsidP="00025352">
      <w:pPr>
        <w:pStyle w:val="SingleTxtG"/>
        <w:rPr>
          <w:b/>
          <w:bCs/>
        </w:rPr>
      </w:pPr>
      <w:r w:rsidRPr="00B42806">
        <w:rPr>
          <w:b/>
          <w:bCs/>
        </w:rPr>
        <w:t>Support</w:t>
      </w:r>
    </w:p>
    <w:p w14:paraId="5276F983" w14:textId="690C6C31" w:rsidR="00E422C5" w:rsidRPr="00206848" w:rsidRDefault="00E422C5" w:rsidP="00025352">
      <w:pPr>
        <w:pStyle w:val="SingleTxtG"/>
      </w:pPr>
      <w:r w:rsidRPr="00206848">
        <w:t>3</w:t>
      </w:r>
      <w:r w:rsidR="00AB3860">
        <w:t>1</w:t>
      </w:r>
      <w:r w:rsidRPr="00206848">
        <w:t>.</w:t>
      </w:r>
      <w:r w:rsidRPr="00206848">
        <w:tab/>
        <w:t xml:space="preserve">UNSMIL/OHCHR regularly supported victims and their families, </w:t>
      </w:r>
      <w:r w:rsidR="003662EE" w:rsidRPr="00206848">
        <w:t>provid</w:t>
      </w:r>
      <w:r w:rsidR="003662EE">
        <w:t>ed</w:t>
      </w:r>
      <w:r w:rsidR="003662EE" w:rsidRPr="00206848">
        <w:t xml:space="preserve"> </w:t>
      </w:r>
      <w:r w:rsidRPr="00206848">
        <w:t xml:space="preserve">advice and </w:t>
      </w:r>
      <w:r w:rsidR="007B57C3">
        <w:t>advocated for remedies with</w:t>
      </w:r>
      <w:r w:rsidR="00573711" w:rsidRPr="00206848">
        <w:t xml:space="preserve"> </w:t>
      </w:r>
      <w:r w:rsidR="00F564A3">
        <w:t>g</w:t>
      </w:r>
      <w:r w:rsidRPr="00206848">
        <w:t>overnment officials and armed groups at all levels. UNSMIL issued regular monthly report</w:t>
      </w:r>
      <w:r w:rsidR="00027F8E">
        <w:t>s</w:t>
      </w:r>
      <w:r w:rsidRPr="00206848">
        <w:t xml:space="preserve"> on civilian casualties</w:t>
      </w:r>
      <w:r w:rsidR="00DC0553">
        <w:t xml:space="preserve"> and unlawful killings</w:t>
      </w:r>
      <w:r w:rsidRPr="00206848">
        <w:t xml:space="preserve"> in Libya. It also supported civil society </w:t>
      </w:r>
      <w:r w:rsidR="00546E64">
        <w:t>when</w:t>
      </w:r>
      <w:r w:rsidR="00F564A3" w:rsidRPr="00206848">
        <w:t xml:space="preserve"> </w:t>
      </w:r>
      <w:r w:rsidRPr="00206848">
        <w:t>work</w:t>
      </w:r>
      <w:r w:rsidR="00F564A3">
        <w:t>ing</w:t>
      </w:r>
      <w:r w:rsidRPr="00206848">
        <w:t xml:space="preserve"> on protection cases, through direct cooperation and </w:t>
      </w:r>
      <w:r w:rsidR="00904843" w:rsidRPr="00206848">
        <w:t>capacity</w:t>
      </w:r>
      <w:r w:rsidR="00F564A3">
        <w:t>-</w:t>
      </w:r>
      <w:r w:rsidR="00904843" w:rsidRPr="00206848">
        <w:t>building</w:t>
      </w:r>
      <w:r w:rsidR="006329DA">
        <w:t>,</w:t>
      </w:r>
      <w:r w:rsidRPr="00206848">
        <w:t xml:space="preserve"> and </w:t>
      </w:r>
      <w:r w:rsidR="00546E64">
        <w:t>held</w:t>
      </w:r>
      <w:r w:rsidRPr="00206848">
        <w:t xml:space="preserve"> regular briefings with the international community. </w:t>
      </w:r>
    </w:p>
    <w:p w14:paraId="394EECFC" w14:textId="1C9F7762" w:rsidR="00E422C5" w:rsidRDefault="00E422C5" w:rsidP="00025352">
      <w:pPr>
        <w:pStyle w:val="SingleTxtG"/>
      </w:pPr>
      <w:r w:rsidRPr="00206848">
        <w:t>3</w:t>
      </w:r>
      <w:r w:rsidR="00AB3860">
        <w:t>2</w:t>
      </w:r>
      <w:r w:rsidRPr="00206848">
        <w:t>.</w:t>
      </w:r>
      <w:r w:rsidRPr="00206848">
        <w:tab/>
        <w:t>UNSMIL/OHCHR regularly receive</w:t>
      </w:r>
      <w:r w:rsidR="007C7E68">
        <w:t>d</w:t>
      </w:r>
      <w:r w:rsidRPr="00206848">
        <w:t xml:space="preserve"> requests for medical care</w:t>
      </w:r>
      <w:r w:rsidR="0097679B">
        <w:t xml:space="preserve"> and mental health support</w:t>
      </w:r>
      <w:r w:rsidRPr="00206848">
        <w:t xml:space="preserve"> for victims of human rights violations and abuses</w:t>
      </w:r>
      <w:r w:rsidR="007B57C3">
        <w:t xml:space="preserve"> and violations of international humanitarian law</w:t>
      </w:r>
      <w:r w:rsidRPr="00206848">
        <w:t xml:space="preserve">, and </w:t>
      </w:r>
      <w:r w:rsidR="007C7E68">
        <w:t>referred individual cases of concern, where possible, to appropriate organizations</w:t>
      </w:r>
      <w:r w:rsidRPr="00206848">
        <w:t>.</w:t>
      </w:r>
      <w:r w:rsidR="00986947">
        <w:t xml:space="preserve"> In November, UNSMIL </w:t>
      </w:r>
      <w:r w:rsidR="00027F8E">
        <w:t xml:space="preserve">received </w:t>
      </w:r>
      <w:r w:rsidR="00986947">
        <w:t xml:space="preserve">OHCHR funding for a project managed by Tunisian </w:t>
      </w:r>
      <w:r w:rsidR="008409AD">
        <w:t xml:space="preserve">non-governmental organizations </w:t>
      </w:r>
      <w:r w:rsidR="00027F8E">
        <w:t xml:space="preserve">for the provision of </w:t>
      </w:r>
      <w:r w:rsidR="007C7E68">
        <w:t xml:space="preserve">mental health support and </w:t>
      </w:r>
      <w:r w:rsidR="00986947">
        <w:t xml:space="preserve">direct assistance to Libyan survivors of torture and violence. </w:t>
      </w:r>
      <w:r w:rsidR="008409AD">
        <w:t xml:space="preserve">Implementation of the </w:t>
      </w:r>
      <w:r w:rsidR="00027F8E" w:rsidRPr="00FC3B82">
        <w:t xml:space="preserve">project commenced in </w:t>
      </w:r>
      <w:r w:rsidR="00E75E89" w:rsidRPr="00FC3B82">
        <w:t xml:space="preserve">late December 2017. </w:t>
      </w:r>
    </w:p>
    <w:p w14:paraId="23E64395" w14:textId="77777777" w:rsidR="00E422C5" w:rsidRPr="00206848" w:rsidRDefault="00E422C5" w:rsidP="00025352">
      <w:pPr>
        <w:pStyle w:val="HChG"/>
        <w:spacing w:line="240" w:lineRule="atLeast"/>
      </w:pPr>
      <w:bookmarkStart w:id="1" w:name="_Toc436404713"/>
      <w:r w:rsidRPr="00206848">
        <w:tab/>
        <w:t>IV.</w:t>
      </w:r>
      <w:r w:rsidRPr="00206848">
        <w:tab/>
        <w:t>Groups in focus</w:t>
      </w:r>
    </w:p>
    <w:p w14:paraId="53BB8245" w14:textId="77777777" w:rsidR="00E422C5" w:rsidRPr="00206848" w:rsidRDefault="00E422C5" w:rsidP="00025352">
      <w:pPr>
        <w:pStyle w:val="H1G"/>
        <w:spacing w:line="240" w:lineRule="atLeast"/>
      </w:pPr>
      <w:r w:rsidRPr="00206848">
        <w:tab/>
        <w:t>A.</w:t>
      </w:r>
      <w:r w:rsidRPr="00206848">
        <w:tab/>
        <w:t>Women</w:t>
      </w:r>
    </w:p>
    <w:p w14:paraId="5B81746C" w14:textId="7BBA138E" w:rsidR="00E422C5" w:rsidRPr="00206848" w:rsidRDefault="00E422C5" w:rsidP="00025352">
      <w:pPr>
        <w:pStyle w:val="SingleTxtG"/>
      </w:pPr>
      <w:r w:rsidRPr="00206848">
        <w:t>3</w:t>
      </w:r>
      <w:r w:rsidR="00AB3860">
        <w:t>3</w:t>
      </w:r>
      <w:r w:rsidRPr="00206848">
        <w:t>.</w:t>
      </w:r>
      <w:r w:rsidRPr="00206848">
        <w:tab/>
      </w:r>
      <w:r w:rsidR="00082431">
        <w:t xml:space="preserve">Despite </w:t>
      </w:r>
      <w:r w:rsidR="00A7191C">
        <w:t xml:space="preserve">the State’s </w:t>
      </w:r>
      <w:r w:rsidR="00C5696A">
        <w:t>obligations</w:t>
      </w:r>
      <w:r w:rsidR="00082431">
        <w:t xml:space="preserve"> to prohibit discrimination on the basis of sex</w:t>
      </w:r>
      <w:r w:rsidR="00394324">
        <w:t xml:space="preserve"> under</w:t>
      </w:r>
      <w:r w:rsidR="00082431">
        <w:t xml:space="preserve"> </w:t>
      </w:r>
      <w:r w:rsidR="005B780A">
        <w:t>international law</w:t>
      </w:r>
      <w:r w:rsidR="00082431">
        <w:t>, w</w:t>
      </w:r>
      <w:r w:rsidRPr="00206848">
        <w:t>omen</w:t>
      </w:r>
      <w:r w:rsidR="00F3329E">
        <w:t xml:space="preserve"> and girls continue</w:t>
      </w:r>
      <w:r w:rsidR="00C323AA">
        <w:t>d</w:t>
      </w:r>
      <w:r w:rsidR="00F3329E">
        <w:t xml:space="preserve"> to suffer from discrimination</w:t>
      </w:r>
      <w:r w:rsidRPr="00206848">
        <w:t xml:space="preserve"> both </w:t>
      </w:r>
      <w:r w:rsidR="00A7191C" w:rsidRPr="00206848">
        <w:t xml:space="preserve">in </w:t>
      </w:r>
      <w:r w:rsidRPr="00206848">
        <w:t xml:space="preserve">law and </w:t>
      </w:r>
      <w:r w:rsidR="00A7191C">
        <w:t xml:space="preserve">in </w:t>
      </w:r>
      <w:r w:rsidRPr="00206848">
        <w:t>practice.</w:t>
      </w:r>
      <w:r w:rsidR="00016A67" w:rsidRPr="00016A67">
        <w:t xml:space="preserve"> </w:t>
      </w:r>
      <w:r w:rsidR="005B780A">
        <w:t>W</w:t>
      </w:r>
      <w:r w:rsidR="00082431">
        <w:t xml:space="preserve">omen </w:t>
      </w:r>
      <w:r w:rsidR="005B780A">
        <w:t xml:space="preserve">continued to be </w:t>
      </w:r>
      <w:r w:rsidR="00082431">
        <w:t xml:space="preserve">denied the right to pass their nationality </w:t>
      </w:r>
      <w:r w:rsidR="003F1AA5">
        <w:t xml:space="preserve">on </w:t>
      </w:r>
      <w:r w:rsidR="00082431">
        <w:t xml:space="preserve">to their spouse or children. Despite efforts by civil society groups and women’s rights defenders, the draft </w:t>
      </w:r>
      <w:r w:rsidR="005B780A">
        <w:t xml:space="preserve">constitution adopted by the Constitution Drafting Assembly on 29 July </w:t>
      </w:r>
      <w:r w:rsidR="00082431">
        <w:t xml:space="preserve">failed to </w:t>
      </w:r>
      <w:r w:rsidR="003F1AA5">
        <w:t xml:space="preserve">eliminate </w:t>
      </w:r>
      <w:r w:rsidR="00082431">
        <w:t xml:space="preserve">this discrimination. </w:t>
      </w:r>
      <w:r w:rsidR="00016A67">
        <w:t xml:space="preserve">Armed groups in control of land borders and airports subjected </w:t>
      </w:r>
      <w:r w:rsidR="00016A67" w:rsidRPr="00206848">
        <w:t xml:space="preserve">Libyan women </w:t>
      </w:r>
      <w:r w:rsidR="00016A67">
        <w:t>to</w:t>
      </w:r>
      <w:r w:rsidR="00016A67" w:rsidRPr="00206848">
        <w:t xml:space="preserve"> travel restrictions</w:t>
      </w:r>
      <w:r w:rsidR="00016A67">
        <w:t xml:space="preserve"> and intimidation,</w:t>
      </w:r>
      <w:r w:rsidR="00016A67" w:rsidRPr="00206848">
        <w:t xml:space="preserve"> requiring them to travel with a male </w:t>
      </w:r>
      <w:r w:rsidR="00C323AA">
        <w:t>“</w:t>
      </w:r>
      <w:r w:rsidR="00016A67" w:rsidRPr="00206848">
        <w:t>guardian</w:t>
      </w:r>
      <w:r w:rsidR="00C323AA">
        <w:t>”</w:t>
      </w:r>
      <w:r w:rsidR="00016A67" w:rsidRPr="00206848">
        <w:t>.</w:t>
      </w:r>
      <w:r w:rsidR="001D7EEF">
        <w:t xml:space="preserve"> </w:t>
      </w:r>
      <w:r w:rsidR="008A174C">
        <w:t>In February, the</w:t>
      </w:r>
      <w:r w:rsidR="006A7414">
        <w:t xml:space="preserve"> Chief</w:t>
      </w:r>
      <w:r w:rsidR="00394324">
        <w:t xml:space="preserve"> </w:t>
      </w:r>
      <w:r w:rsidR="006A7414">
        <w:t>of</w:t>
      </w:r>
      <w:r w:rsidR="00394324">
        <w:t xml:space="preserve"> </w:t>
      </w:r>
      <w:r w:rsidR="006A7414">
        <w:t xml:space="preserve">Staff of the </w:t>
      </w:r>
      <w:r w:rsidR="00A8441E">
        <w:t>Libyan National Army</w:t>
      </w:r>
      <w:r w:rsidR="006A7414">
        <w:t xml:space="preserve"> issued a decree </w:t>
      </w:r>
      <w:r w:rsidR="000B4F5B">
        <w:t>prohibiting</w:t>
      </w:r>
      <w:r w:rsidR="006A7414">
        <w:t xml:space="preserve"> women </w:t>
      </w:r>
      <w:r w:rsidR="008A174C">
        <w:t>under the age of 60</w:t>
      </w:r>
      <w:r w:rsidR="006A7414">
        <w:t xml:space="preserve"> </w:t>
      </w:r>
      <w:r w:rsidR="000B4F5B">
        <w:t>from</w:t>
      </w:r>
      <w:r w:rsidR="006A7414">
        <w:t xml:space="preserve"> travel</w:t>
      </w:r>
      <w:r w:rsidR="00C323AA">
        <w:t>ling</w:t>
      </w:r>
      <w:r w:rsidR="006A7414">
        <w:t xml:space="preserve"> </w:t>
      </w:r>
      <w:r w:rsidR="000B4F5B">
        <w:t>abroad without</w:t>
      </w:r>
      <w:r w:rsidR="006A7414">
        <w:t xml:space="preserve"> a male </w:t>
      </w:r>
      <w:r w:rsidR="008A174C">
        <w:t>“</w:t>
      </w:r>
      <w:r w:rsidR="006A7414">
        <w:t>guardian</w:t>
      </w:r>
      <w:r w:rsidR="008A174C">
        <w:t>”</w:t>
      </w:r>
      <w:r w:rsidR="006A7414">
        <w:t>. Following a public outcry</w:t>
      </w:r>
      <w:r w:rsidR="008A174C">
        <w:t xml:space="preserve"> and advocacy by women</w:t>
      </w:r>
      <w:r w:rsidR="000B4F5B">
        <w:t>’s rights</w:t>
      </w:r>
      <w:r w:rsidR="008A174C">
        <w:t xml:space="preserve"> activists</w:t>
      </w:r>
      <w:r w:rsidR="006A7414">
        <w:t xml:space="preserve">, the decree was </w:t>
      </w:r>
      <w:r w:rsidR="003F1AA5">
        <w:t>withdrawn</w:t>
      </w:r>
      <w:r w:rsidR="006A7414">
        <w:t>.</w:t>
      </w:r>
      <w:r w:rsidRPr="00206848">
        <w:t xml:space="preserve"> </w:t>
      </w:r>
      <w:r w:rsidR="00F21389">
        <w:t>I</w:t>
      </w:r>
      <w:r w:rsidR="000B4F5B">
        <w:t xml:space="preserve">n 2017, UNSMIL/OHCHR </w:t>
      </w:r>
      <w:r w:rsidR="00F21389">
        <w:t>receive</w:t>
      </w:r>
      <w:r w:rsidR="000B4F5B">
        <w:t>d</w:t>
      </w:r>
      <w:r w:rsidR="00F21389">
        <w:t xml:space="preserve"> reports of intimidation, including social media attacks, against women activists</w:t>
      </w:r>
      <w:r w:rsidR="0012098A">
        <w:t xml:space="preserve"> </w:t>
      </w:r>
      <w:r w:rsidR="00F21389">
        <w:t xml:space="preserve">in Libya and </w:t>
      </w:r>
      <w:r w:rsidR="0012098A">
        <w:t>others living abroad</w:t>
      </w:r>
      <w:r w:rsidR="00F21389">
        <w:t xml:space="preserve">. The control exercised by armed groups and the general climate of lawlessness disproportionally </w:t>
      </w:r>
      <w:r w:rsidR="003F1AA5">
        <w:t>affected</w:t>
      </w:r>
      <w:r w:rsidR="00F21389">
        <w:t xml:space="preserve"> women, </w:t>
      </w:r>
      <w:r w:rsidR="000B4F5B">
        <w:t>restricting their freedom of</w:t>
      </w:r>
      <w:r w:rsidR="00F21389">
        <w:t xml:space="preserve"> movement</w:t>
      </w:r>
      <w:r w:rsidR="000B4F5B">
        <w:t xml:space="preserve"> </w:t>
      </w:r>
      <w:r w:rsidR="00F21389">
        <w:t>and participation in the public sphere</w:t>
      </w:r>
      <w:r w:rsidRPr="00206848">
        <w:t xml:space="preserve">. </w:t>
      </w:r>
    </w:p>
    <w:p w14:paraId="105C2788" w14:textId="5E38AAFB" w:rsidR="00930873" w:rsidRPr="00B42806" w:rsidRDefault="00AB3860" w:rsidP="00025352">
      <w:pPr>
        <w:pStyle w:val="SingleTxtG"/>
      </w:pPr>
      <w:r>
        <w:t>34</w:t>
      </w:r>
      <w:r w:rsidR="00930873">
        <w:t>.</w:t>
      </w:r>
      <w:r w:rsidR="00930873">
        <w:tab/>
      </w:r>
      <w:r w:rsidR="00394324">
        <w:t xml:space="preserve">Some </w:t>
      </w:r>
      <w:r w:rsidR="00394324" w:rsidRPr="00B42806">
        <w:t>w</w:t>
      </w:r>
      <w:r w:rsidR="00F3329E" w:rsidRPr="00B42806">
        <w:t xml:space="preserve">omen were arbitrarily </w:t>
      </w:r>
      <w:r w:rsidR="00082431" w:rsidRPr="00B42806">
        <w:t>detained</w:t>
      </w:r>
      <w:r w:rsidR="00F3329E" w:rsidRPr="00B42806">
        <w:t>, often because of family affiliations or for prisoner exchanges, and were held in facilities without female guards, expos</w:t>
      </w:r>
      <w:r w:rsidR="00394324" w:rsidRPr="00B42806">
        <w:t xml:space="preserve">ed </w:t>
      </w:r>
      <w:r w:rsidR="00F3329E" w:rsidRPr="00B42806">
        <w:t xml:space="preserve">to the risk of sexual abuse. </w:t>
      </w:r>
      <w:r w:rsidR="003434CB" w:rsidRPr="00B42806">
        <w:t xml:space="preserve">Eight women and five girls </w:t>
      </w:r>
      <w:r w:rsidR="0046097F" w:rsidRPr="00B42806">
        <w:t>taken</w:t>
      </w:r>
      <w:r w:rsidR="003434CB" w:rsidRPr="00B42806">
        <w:t xml:space="preserve"> by the</w:t>
      </w:r>
      <w:r w:rsidR="00A8441E" w:rsidRPr="00B42806">
        <w:t xml:space="preserve"> Libyan National Army</w:t>
      </w:r>
      <w:r w:rsidR="00847DB2" w:rsidRPr="00B42806">
        <w:t xml:space="preserve"> </w:t>
      </w:r>
      <w:r w:rsidR="003434CB" w:rsidRPr="00B42806">
        <w:t xml:space="preserve">following their escape from Ganfouda between 18 and 20 March </w:t>
      </w:r>
      <w:r w:rsidR="00930873" w:rsidRPr="00B42806">
        <w:t xml:space="preserve">were released in two </w:t>
      </w:r>
      <w:r w:rsidR="00916A4B">
        <w:t>groups,</w:t>
      </w:r>
      <w:r w:rsidR="00916A4B" w:rsidRPr="00B42806">
        <w:t xml:space="preserve"> </w:t>
      </w:r>
      <w:r w:rsidR="00930873" w:rsidRPr="00B42806">
        <w:t>on 29 March and 20 April 2017</w:t>
      </w:r>
      <w:r w:rsidR="00394324" w:rsidRPr="00B42806">
        <w:t>,</w:t>
      </w:r>
      <w:r w:rsidR="00930873" w:rsidRPr="00B42806">
        <w:t xml:space="preserve"> in prisoner exchanges </w:t>
      </w:r>
      <w:r w:rsidR="00847DB2" w:rsidRPr="00B42806">
        <w:t>for</w:t>
      </w:r>
      <w:r w:rsidR="00930873" w:rsidRPr="00B42806">
        <w:t xml:space="preserve"> </w:t>
      </w:r>
      <w:r w:rsidR="00A8441E" w:rsidRPr="00B42806">
        <w:t>Libyan National Army</w:t>
      </w:r>
      <w:r w:rsidR="00930873" w:rsidRPr="00B42806">
        <w:t xml:space="preserve"> fighters </w:t>
      </w:r>
      <w:r w:rsidR="0046097F" w:rsidRPr="00B42806">
        <w:t>taken</w:t>
      </w:r>
      <w:r w:rsidR="00930873" w:rsidRPr="00B42806">
        <w:t xml:space="preserve"> by the Benghazi Defence Brigades during fighting in the Oil Crescent in March 2017</w:t>
      </w:r>
      <w:r w:rsidR="00E422C5" w:rsidRPr="00930873">
        <w:t>.</w:t>
      </w:r>
      <w:r w:rsidR="00E422C5" w:rsidRPr="00F3329E">
        <w:t xml:space="preserve"> </w:t>
      </w:r>
      <w:r w:rsidR="00930873" w:rsidRPr="00B42806">
        <w:t xml:space="preserve">UNSMIL/OHCHR documented </w:t>
      </w:r>
      <w:r w:rsidR="00C355B4" w:rsidRPr="00B42806">
        <w:t xml:space="preserve">allegations </w:t>
      </w:r>
      <w:r w:rsidR="00930873" w:rsidRPr="00B42806">
        <w:t>of torture and</w:t>
      </w:r>
      <w:r w:rsidR="00915F1F">
        <w:t xml:space="preserve"> </w:t>
      </w:r>
      <w:r w:rsidR="00930873" w:rsidRPr="00B42806">
        <w:t>ill-treatment</w:t>
      </w:r>
      <w:r w:rsidR="003C0FB2" w:rsidRPr="00B42806">
        <w:t xml:space="preserve"> of women detainees</w:t>
      </w:r>
      <w:r w:rsidR="00930873" w:rsidRPr="00B42806">
        <w:t>, including beatings, whipping, hair</w:t>
      </w:r>
      <w:r w:rsidR="003C0FB2" w:rsidRPr="00B42806">
        <w:t xml:space="preserve"> </w:t>
      </w:r>
      <w:r w:rsidR="00930873" w:rsidRPr="00B42806">
        <w:t>pulling, insults and threats of a sexual nature</w:t>
      </w:r>
      <w:r w:rsidR="003C0FB2" w:rsidRPr="00B42806">
        <w:t>,</w:t>
      </w:r>
      <w:r w:rsidR="00930873" w:rsidRPr="00B42806">
        <w:t xml:space="preserve"> </w:t>
      </w:r>
      <w:r w:rsidR="00851FBC" w:rsidRPr="00B42806">
        <w:t>at</w:t>
      </w:r>
      <w:r w:rsidR="00930873" w:rsidRPr="00B42806">
        <w:t xml:space="preserve"> the Mitiga detention facility</w:t>
      </w:r>
      <w:r w:rsidR="00851FBC" w:rsidRPr="00B42806">
        <w:t xml:space="preserve"> under the Special Deterrence Force, the Central Security/Abu Salim</w:t>
      </w:r>
      <w:r w:rsidR="003A7225">
        <w:t xml:space="preserve"> detention facility</w:t>
      </w:r>
      <w:r w:rsidR="00851FBC" w:rsidRPr="00B42806">
        <w:t xml:space="preserve"> and other </w:t>
      </w:r>
      <w:r w:rsidR="003434CB" w:rsidRPr="00B42806">
        <w:t>places of detention</w:t>
      </w:r>
      <w:r w:rsidR="00851FBC" w:rsidRPr="00B42806">
        <w:t xml:space="preserve"> nominally under the control of the Ministry of </w:t>
      </w:r>
      <w:r w:rsidR="00916A4B">
        <w:t xml:space="preserve">the </w:t>
      </w:r>
      <w:r w:rsidR="00851FBC" w:rsidRPr="00B42806">
        <w:t>Interior.</w:t>
      </w:r>
    </w:p>
    <w:p w14:paraId="3A654D25" w14:textId="2F7AC0AA" w:rsidR="00E422C5" w:rsidRPr="00F3329E" w:rsidRDefault="00082431" w:rsidP="00025352">
      <w:pPr>
        <w:pStyle w:val="SingleTxtG"/>
      </w:pPr>
      <w:r>
        <w:t>3</w:t>
      </w:r>
      <w:r w:rsidR="00AB3860">
        <w:t>5</w:t>
      </w:r>
      <w:r>
        <w:t>.</w:t>
      </w:r>
      <w:r w:rsidR="00BA2112" w:rsidRPr="00B42806">
        <w:tab/>
      </w:r>
      <w:r>
        <w:t xml:space="preserve"> </w:t>
      </w:r>
      <w:r w:rsidR="00101168">
        <w:t>M</w:t>
      </w:r>
      <w:r w:rsidR="00E422C5" w:rsidRPr="00F3329E">
        <w:t>igrant women</w:t>
      </w:r>
      <w:r>
        <w:t xml:space="preserve"> and girls</w:t>
      </w:r>
      <w:r w:rsidR="00E422C5" w:rsidRPr="00F3329E">
        <w:t xml:space="preserve"> </w:t>
      </w:r>
      <w:r w:rsidR="00C323AA">
        <w:t>were</w:t>
      </w:r>
      <w:r w:rsidR="00101168">
        <w:t xml:space="preserve"> raped and otherwise sexually abused during their journeys through Libya</w:t>
      </w:r>
      <w:r w:rsidR="000B4F5B">
        <w:t>,</w:t>
      </w:r>
      <w:r w:rsidR="00101168">
        <w:t xml:space="preserve"> </w:t>
      </w:r>
      <w:r w:rsidR="00916A4B">
        <w:t>in</w:t>
      </w:r>
      <w:r w:rsidR="00916A4B" w:rsidRPr="00F3329E">
        <w:t xml:space="preserve"> </w:t>
      </w:r>
      <w:r w:rsidR="003434CB">
        <w:t xml:space="preserve">both </w:t>
      </w:r>
      <w:r w:rsidR="00E422C5" w:rsidRPr="00F3329E">
        <w:t xml:space="preserve">official and unofficial migrant detention centres. </w:t>
      </w:r>
      <w:r w:rsidR="002112B2">
        <w:t xml:space="preserve">Survivors </w:t>
      </w:r>
      <w:r w:rsidR="00E422C5" w:rsidRPr="00F3329E">
        <w:t xml:space="preserve">described </w:t>
      </w:r>
      <w:r w:rsidR="00101168">
        <w:t>being</w:t>
      </w:r>
      <w:r w:rsidR="00E422C5" w:rsidRPr="00F3329E">
        <w:t xml:space="preserve"> taken away </w:t>
      </w:r>
      <w:r w:rsidR="002112B2" w:rsidRPr="00F3329E">
        <w:t xml:space="preserve">from cells shared with others </w:t>
      </w:r>
      <w:r w:rsidR="00E422C5" w:rsidRPr="00F3329E">
        <w:t>by armed men</w:t>
      </w:r>
      <w:r>
        <w:t xml:space="preserve">, including </w:t>
      </w:r>
      <w:r w:rsidR="00916A4B">
        <w:t xml:space="preserve">guards of </w:t>
      </w:r>
      <w:r w:rsidR="00394324">
        <w:t xml:space="preserve">the </w:t>
      </w:r>
      <w:r w:rsidR="00394324" w:rsidRPr="00206848">
        <w:t>Department for Combating Illegal Migration</w:t>
      </w:r>
      <w:r>
        <w:t>,</w:t>
      </w:r>
      <w:r w:rsidR="00E422C5" w:rsidRPr="00F3329E">
        <w:t xml:space="preserve"> and </w:t>
      </w:r>
      <w:r w:rsidR="002112B2">
        <w:t xml:space="preserve">being </w:t>
      </w:r>
      <w:r w:rsidR="00E422C5" w:rsidRPr="00F3329E">
        <w:t xml:space="preserve">raped </w:t>
      </w:r>
      <w:r w:rsidR="002112B2">
        <w:t xml:space="preserve">repeatedly </w:t>
      </w:r>
      <w:r w:rsidR="00101168">
        <w:t>by multiple perpetrators</w:t>
      </w:r>
      <w:r w:rsidR="00E422C5" w:rsidRPr="00F3329E">
        <w:t xml:space="preserve">. </w:t>
      </w:r>
      <w:r w:rsidR="00D03195">
        <w:t xml:space="preserve">Those who </w:t>
      </w:r>
      <w:r w:rsidR="002112B2">
        <w:t xml:space="preserve">tried </w:t>
      </w:r>
      <w:r w:rsidR="00D03195">
        <w:t>to resist w</w:t>
      </w:r>
      <w:r w:rsidR="009E054C">
        <w:t>ere</w:t>
      </w:r>
      <w:r w:rsidR="00FC3B82">
        <w:t xml:space="preserve"> </w:t>
      </w:r>
      <w:r w:rsidR="00D03195">
        <w:t xml:space="preserve">beaten, threatened at gunpoint, and denied food and water. </w:t>
      </w:r>
    </w:p>
    <w:p w14:paraId="5B4D5BE2" w14:textId="77777777" w:rsidR="00E422C5" w:rsidRPr="00206848" w:rsidRDefault="00E422C5" w:rsidP="00025352">
      <w:pPr>
        <w:pStyle w:val="SingleTxtG"/>
      </w:pPr>
      <w:r w:rsidRPr="00206848">
        <w:t>3</w:t>
      </w:r>
      <w:r w:rsidR="00AB3860">
        <w:t>6</w:t>
      </w:r>
      <w:r w:rsidRPr="00206848">
        <w:t>.</w:t>
      </w:r>
      <w:r w:rsidRPr="00206848">
        <w:tab/>
      </w:r>
      <w:r w:rsidR="00FA2A06">
        <w:t xml:space="preserve">Women and girls accused of engaging in sexual relations outside of marriage, </w:t>
      </w:r>
      <w:r w:rsidR="00066422">
        <w:t xml:space="preserve">which is </w:t>
      </w:r>
      <w:r w:rsidR="00FA2A06">
        <w:t>criminalized in Libya, were subjected to</w:t>
      </w:r>
      <w:r w:rsidR="000B4F5B">
        <w:t xml:space="preserve"> invasive</w:t>
      </w:r>
      <w:r w:rsidR="00FA2A06">
        <w:t xml:space="preserve"> “virginity </w:t>
      </w:r>
      <w:r w:rsidR="000B4F5B">
        <w:t>tests</w:t>
      </w:r>
      <w:r w:rsidR="00FA2A06">
        <w:t xml:space="preserve">” by </w:t>
      </w:r>
      <w:r w:rsidR="00082431">
        <w:t xml:space="preserve">judicial </w:t>
      </w:r>
      <w:r w:rsidR="000B4F5B">
        <w:t>order</w:t>
      </w:r>
      <w:r w:rsidR="00394324">
        <w:t>,</w:t>
      </w:r>
      <w:r w:rsidR="00FA2A06">
        <w:t xml:space="preserve"> regardless of their consent.</w:t>
      </w:r>
    </w:p>
    <w:p w14:paraId="41CAC5F7" w14:textId="77777777" w:rsidR="00E422C5" w:rsidRPr="00206848" w:rsidRDefault="00E422C5" w:rsidP="00025352">
      <w:pPr>
        <w:pStyle w:val="H1G"/>
        <w:spacing w:line="240" w:lineRule="atLeast"/>
      </w:pPr>
      <w:r w:rsidRPr="00206848">
        <w:tab/>
        <w:t>B.</w:t>
      </w:r>
      <w:r w:rsidRPr="00206848">
        <w:tab/>
        <w:t>Children</w:t>
      </w:r>
    </w:p>
    <w:p w14:paraId="1B197EE8" w14:textId="133E025E" w:rsidR="00E422C5" w:rsidRPr="00206848" w:rsidRDefault="00AB3860" w:rsidP="00025352">
      <w:pPr>
        <w:pStyle w:val="SingleTxtG"/>
      </w:pPr>
      <w:r>
        <w:t>37</w:t>
      </w:r>
      <w:r w:rsidR="00E422C5" w:rsidRPr="00206848">
        <w:t>.</w:t>
      </w:r>
      <w:r w:rsidR="00E422C5" w:rsidRPr="00206848">
        <w:tab/>
        <w:t xml:space="preserve">As </w:t>
      </w:r>
      <w:r w:rsidR="00066422">
        <w:t>reported</w:t>
      </w:r>
      <w:r w:rsidR="00066422" w:rsidRPr="00206848">
        <w:t xml:space="preserve"> </w:t>
      </w:r>
      <w:r w:rsidR="00F84ED9">
        <w:t>above (see para. 16)</w:t>
      </w:r>
      <w:r w:rsidR="00E422C5" w:rsidRPr="00206848">
        <w:t xml:space="preserve">, </w:t>
      </w:r>
      <w:r w:rsidR="00513EAB">
        <w:t xml:space="preserve">37 </w:t>
      </w:r>
      <w:r w:rsidR="008A174C">
        <w:t xml:space="preserve">children </w:t>
      </w:r>
      <w:r w:rsidR="000B4F5B">
        <w:t>were killed</w:t>
      </w:r>
      <w:r w:rsidR="008A174C">
        <w:t xml:space="preserve"> and </w:t>
      </w:r>
      <w:r w:rsidR="00513EAB">
        <w:t xml:space="preserve">39 </w:t>
      </w:r>
      <w:r w:rsidR="008A174C">
        <w:t>injured</w:t>
      </w:r>
      <w:r w:rsidR="00E422C5" w:rsidRPr="00206848">
        <w:t xml:space="preserve"> during hostilities </w:t>
      </w:r>
      <w:r w:rsidR="00E264EE">
        <w:t xml:space="preserve">apparently </w:t>
      </w:r>
      <w:r w:rsidR="00066422">
        <w:t xml:space="preserve">as a result of the indiscriminate </w:t>
      </w:r>
      <w:r w:rsidR="004B32AA">
        <w:t>use of</w:t>
      </w:r>
      <w:r w:rsidR="00850228">
        <w:t xml:space="preserve"> </w:t>
      </w:r>
      <w:r w:rsidR="00C5696A" w:rsidRPr="00206848">
        <w:t>weapons in</w:t>
      </w:r>
      <w:r w:rsidR="002770B1">
        <w:t xml:space="preserve"> residential areas</w:t>
      </w:r>
      <w:r w:rsidR="004B32AA">
        <w:t xml:space="preserve"> by all parties to the conflict</w:t>
      </w:r>
      <w:r w:rsidR="002770B1">
        <w:t xml:space="preserve">, </w:t>
      </w:r>
      <w:r w:rsidR="00066422">
        <w:t xml:space="preserve">including in </w:t>
      </w:r>
      <w:r w:rsidR="002770B1">
        <w:t>crossfire</w:t>
      </w:r>
      <w:r w:rsidR="00E422C5" w:rsidRPr="00206848">
        <w:t xml:space="preserve"> </w:t>
      </w:r>
      <w:r w:rsidR="002770B1">
        <w:t xml:space="preserve">and </w:t>
      </w:r>
      <w:r w:rsidR="00066422">
        <w:t xml:space="preserve">from </w:t>
      </w:r>
      <w:r w:rsidR="00E422C5" w:rsidRPr="00206848">
        <w:t xml:space="preserve">explosive remnants of war. </w:t>
      </w:r>
    </w:p>
    <w:p w14:paraId="3C264C85" w14:textId="123E16F5" w:rsidR="00E422C5" w:rsidRPr="00206848" w:rsidRDefault="00AB3860" w:rsidP="00025352">
      <w:pPr>
        <w:pStyle w:val="SingleTxtG"/>
      </w:pPr>
      <w:r>
        <w:t>38</w:t>
      </w:r>
      <w:r w:rsidR="00E422C5" w:rsidRPr="00206848">
        <w:t>.</w:t>
      </w:r>
      <w:r w:rsidR="00E422C5" w:rsidRPr="00206848">
        <w:tab/>
        <w:t xml:space="preserve">UNSMIL/OHCHR </w:t>
      </w:r>
      <w:r w:rsidR="00394324">
        <w:t xml:space="preserve">also </w:t>
      </w:r>
      <w:r w:rsidR="00E422C5" w:rsidRPr="00206848">
        <w:t>receive</w:t>
      </w:r>
      <w:r w:rsidR="001337F5">
        <w:t>d</w:t>
      </w:r>
      <w:r w:rsidR="00E422C5" w:rsidRPr="00206848">
        <w:t xml:space="preserve"> reports of the </w:t>
      </w:r>
      <w:r w:rsidR="00064D4F">
        <w:t>unlawful deprivation of liberty</w:t>
      </w:r>
      <w:r w:rsidR="00E422C5" w:rsidRPr="00206848">
        <w:t xml:space="preserve"> of children. </w:t>
      </w:r>
      <w:r w:rsidR="00394324">
        <w:t xml:space="preserve">For </w:t>
      </w:r>
      <w:r w:rsidR="00BB66AD">
        <w:t>example</w:t>
      </w:r>
      <w:r w:rsidR="00394324">
        <w:t xml:space="preserve">, </w:t>
      </w:r>
      <w:r w:rsidR="00394324" w:rsidRPr="00B42806">
        <w:t>o</w:t>
      </w:r>
      <w:r w:rsidR="00616DB6" w:rsidRPr="00B42806">
        <w:t>n 7 September, six relatives</w:t>
      </w:r>
      <w:r w:rsidR="003A07B1" w:rsidRPr="00B42806">
        <w:t xml:space="preserve"> of a former </w:t>
      </w:r>
      <w:r w:rsidR="001337F5" w:rsidRPr="00B42806">
        <w:t xml:space="preserve">military </w:t>
      </w:r>
      <w:r w:rsidR="003A07B1" w:rsidRPr="00B42806">
        <w:t>commander in Ajdabiya</w:t>
      </w:r>
      <w:r w:rsidR="00616DB6" w:rsidRPr="00B42806">
        <w:t xml:space="preserve">, including three boys </w:t>
      </w:r>
      <w:r w:rsidR="00C549D6">
        <w:t>younger than 3 years of age</w:t>
      </w:r>
      <w:r w:rsidR="00616DB6" w:rsidRPr="00B42806">
        <w:t>, were arres</w:t>
      </w:r>
      <w:r w:rsidR="003A07B1" w:rsidRPr="00B42806">
        <w:t xml:space="preserve">ted </w:t>
      </w:r>
      <w:r w:rsidR="008A174C" w:rsidRPr="00B42806">
        <w:t>near</w:t>
      </w:r>
      <w:r w:rsidR="003A07B1" w:rsidRPr="00B42806">
        <w:t xml:space="preserve"> their apartment by </w:t>
      </w:r>
      <w:r w:rsidR="00C549D6">
        <w:t xml:space="preserve">members of </w:t>
      </w:r>
      <w:r w:rsidR="003434CB" w:rsidRPr="00B42806">
        <w:t xml:space="preserve">the </w:t>
      </w:r>
      <w:r w:rsidR="00C549D6" w:rsidRPr="00B42806">
        <w:t>Special Deterrence Force</w:t>
      </w:r>
      <w:r w:rsidR="00616DB6" w:rsidRPr="00B42806">
        <w:t xml:space="preserve">. The children were released after 10 days in detention </w:t>
      </w:r>
      <w:r w:rsidR="001337F5" w:rsidRPr="00B42806">
        <w:t>at the</w:t>
      </w:r>
      <w:r w:rsidR="00616DB6" w:rsidRPr="00B42806">
        <w:t xml:space="preserve"> Mitiga detention facility</w:t>
      </w:r>
      <w:r w:rsidR="00616DB6">
        <w:t>. During their first days in custody, the</w:t>
      </w:r>
      <w:r w:rsidR="00394324">
        <w:t xml:space="preserve">y </w:t>
      </w:r>
      <w:r w:rsidR="00616DB6">
        <w:t xml:space="preserve">were </w:t>
      </w:r>
      <w:r w:rsidR="001337F5">
        <w:t>denied</w:t>
      </w:r>
      <w:r w:rsidR="00616DB6">
        <w:t xml:space="preserve"> sufficient food </w:t>
      </w:r>
      <w:r w:rsidR="003434CB">
        <w:t>and</w:t>
      </w:r>
      <w:r w:rsidR="00616DB6">
        <w:t xml:space="preserve"> diapers. </w:t>
      </w:r>
      <w:r w:rsidR="00394324">
        <w:t>Moreover, f</w:t>
      </w:r>
      <w:r w:rsidR="00E422C5" w:rsidRPr="00206848">
        <w:t xml:space="preserve">our children </w:t>
      </w:r>
      <w:r w:rsidR="00C549D6">
        <w:t>of</w:t>
      </w:r>
      <w:r w:rsidR="00C549D6" w:rsidRPr="00206848">
        <w:t xml:space="preserve"> </w:t>
      </w:r>
      <w:r w:rsidR="00E422C5" w:rsidRPr="00206848">
        <w:t>the Shershari family, who were abducted on 2 December 2015 by unknown assailants in Surman, remain</w:t>
      </w:r>
      <w:r w:rsidR="00064D4F">
        <w:t>ed</w:t>
      </w:r>
      <w:r w:rsidR="00E422C5" w:rsidRPr="00206848">
        <w:t xml:space="preserve"> missing. </w:t>
      </w:r>
    </w:p>
    <w:p w14:paraId="245253AC" w14:textId="5C58BA26" w:rsidR="00E422C5" w:rsidRPr="00206848" w:rsidRDefault="00AB3860" w:rsidP="00025352">
      <w:pPr>
        <w:pStyle w:val="SingleTxtG"/>
      </w:pPr>
      <w:r>
        <w:t>39</w:t>
      </w:r>
      <w:r w:rsidR="00E422C5" w:rsidRPr="00206848">
        <w:t>.</w:t>
      </w:r>
      <w:r w:rsidR="00E422C5" w:rsidRPr="00206848">
        <w:tab/>
      </w:r>
      <w:r w:rsidR="00042B4C">
        <w:t xml:space="preserve">Children </w:t>
      </w:r>
      <w:r w:rsidR="00261FBD">
        <w:t>were</w:t>
      </w:r>
      <w:r w:rsidR="00042B4C">
        <w:t xml:space="preserve"> detained together with adults </w:t>
      </w:r>
      <w:r w:rsidR="00125741">
        <w:t xml:space="preserve">in </w:t>
      </w:r>
      <w:r w:rsidR="00280D82">
        <w:t>official prisons and facilities controlled by armed groups</w:t>
      </w:r>
      <w:r w:rsidR="008A174C">
        <w:t>.</w:t>
      </w:r>
      <w:r w:rsidR="00042B4C">
        <w:t xml:space="preserve"> UNSMIL/OHCHR documented cases of children subjected to torture and ill-treatment. </w:t>
      </w:r>
      <w:r w:rsidR="005B3EBF">
        <w:t xml:space="preserve">For instance, former detainees from the </w:t>
      </w:r>
      <w:r w:rsidR="00293175">
        <w:t xml:space="preserve">fighting in the </w:t>
      </w:r>
      <w:r w:rsidR="005B3EBF">
        <w:t xml:space="preserve">Oil Crescent </w:t>
      </w:r>
      <w:r w:rsidR="00293175">
        <w:t xml:space="preserve">(see para. 34 above) </w:t>
      </w:r>
      <w:r w:rsidR="005B3EBF">
        <w:t>recounted to UNSMIL/OHCHR how in March 2017 armed men affiliated to the</w:t>
      </w:r>
      <w:r w:rsidR="00A8441E">
        <w:t xml:space="preserve"> Libyan National Army</w:t>
      </w:r>
      <w:r w:rsidR="005B3EBF">
        <w:t xml:space="preserve"> </w:t>
      </w:r>
      <w:r w:rsidR="00125741">
        <w:t xml:space="preserve">had </w:t>
      </w:r>
      <w:r w:rsidR="005B3EBF">
        <w:t>beat</w:t>
      </w:r>
      <w:r w:rsidR="00125741">
        <w:t>en</w:t>
      </w:r>
      <w:r w:rsidR="005B3EBF">
        <w:t xml:space="preserve"> a 17-year-old detainee until he lost consciousness. </w:t>
      </w:r>
    </w:p>
    <w:p w14:paraId="0560C0A9" w14:textId="141359A9" w:rsidR="008A174C" w:rsidRPr="00206848" w:rsidRDefault="008A174C" w:rsidP="00025352">
      <w:pPr>
        <w:pStyle w:val="SingleTxtG"/>
      </w:pPr>
      <w:r>
        <w:t>4</w:t>
      </w:r>
      <w:r w:rsidR="00AB3860">
        <w:t>0</w:t>
      </w:r>
      <w:r>
        <w:t>.</w:t>
      </w:r>
      <w:r w:rsidR="00BA2112" w:rsidRPr="00B42806">
        <w:tab/>
      </w:r>
      <w:r w:rsidR="00125741">
        <w:t xml:space="preserve">As at </w:t>
      </w:r>
      <w:r>
        <w:t xml:space="preserve">the end of </w:t>
      </w:r>
      <w:r w:rsidR="00125741">
        <w:t>2017</w:t>
      </w:r>
      <w:r>
        <w:t>, 24 unaccompanied children</w:t>
      </w:r>
      <w:r w:rsidR="00653C79">
        <w:t xml:space="preserve"> from Tunisia, Egypt and other African countries</w:t>
      </w:r>
      <w:r>
        <w:t xml:space="preserve"> remained </w:t>
      </w:r>
      <w:r w:rsidR="00653C79">
        <w:t xml:space="preserve">at the Libyan Red Crescent shelter in Misrata </w:t>
      </w:r>
      <w:r w:rsidR="00790C68">
        <w:t>following</w:t>
      </w:r>
      <w:r w:rsidR="00653C79">
        <w:t xml:space="preserve"> their transfer from Sirte in late 2016</w:t>
      </w:r>
      <w:r w:rsidR="00394324">
        <w:t>,</w:t>
      </w:r>
      <w:r w:rsidR="00653C79">
        <w:t xml:space="preserve"> in the context of military operations against </w:t>
      </w:r>
      <w:r w:rsidR="00125741">
        <w:t>ISIL</w:t>
      </w:r>
      <w:r w:rsidR="00125741" w:rsidDel="00125741">
        <w:t xml:space="preserve"> </w:t>
      </w:r>
      <w:r w:rsidR="00653C79">
        <w:t xml:space="preserve">They had </w:t>
      </w:r>
      <w:r w:rsidR="00513EAB">
        <w:t xml:space="preserve">insufficient </w:t>
      </w:r>
      <w:r w:rsidR="00653C79">
        <w:t>access to</w:t>
      </w:r>
      <w:r w:rsidR="00790C68">
        <w:t xml:space="preserve"> humanitarian assistance</w:t>
      </w:r>
      <w:r w:rsidR="002770B1">
        <w:t>, education</w:t>
      </w:r>
      <w:r w:rsidR="00790C68">
        <w:t xml:space="preserve"> and</w:t>
      </w:r>
      <w:r w:rsidR="00653C79">
        <w:t xml:space="preserve"> psychological support.</w:t>
      </w:r>
      <w:r w:rsidR="00111406">
        <w:t xml:space="preserve"> </w:t>
      </w:r>
    </w:p>
    <w:p w14:paraId="6BCBB855" w14:textId="45635281" w:rsidR="00E422C5" w:rsidRPr="00206848" w:rsidRDefault="00E422C5" w:rsidP="00025352">
      <w:pPr>
        <w:pStyle w:val="H1G"/>
        <w:spacing w:line="240" w:lineRule="atLeast"/>
      </w:pPr>
      <w:r w:rsidRPr="00206848">
        <w:tab/>
        <w:t>C.</w:t>
      </w:r>
      <w:r w:rsidRPr="00206848">
        <w:tab/>
        <w:t>Migrants</w:t>
      </w:r>
    </w:p>
    <w:p w14:paraId="016B83C7" w14:textId="6AFCDBA5" w:rsidR="00E422C5" w:rsidRPr="00206848" w:rsidRDefault="00AB3860" w:rsidP="00025352">
      <w:pPr>
        <w:pStyle w:val="SingleTxtG"/>
      </w:pPr>
      <w:r>
        <w:t>41</w:t>
      </w:r>
      <w:r w:rsidR="00E422C5" w:rsidRPr="00206848">
        <w:t>.</w:t>
      </w:r>
      <w:r w:rsidR="00E422C5" w:rsidRPr="00206848">
        <w:tab/>
        <w:t xml:space="preserve">While Libya is a party to the International Convention on the Protection of the Rights of All Migrant Workers and Members of Their Families and the Organization of African Unity Convention Governing the Specific Aspects of Refugee Problems in Africa, its legislation and practice </w:t>
      </w:r>
      <w:r w:rsidR="00071C85">
        <w:t>contravene</w:t>
      </w:r>
      <w:r w:rsidR="00E422C5" w:rsidRPr="00206848">
        <w:t xml:space="preserve"> international and regional </w:t>
      </w:r>
      <w:r w:rsidR="00071C85">
        <w:t xml:space="preserve">law and </w:t>
      </w:r>
      <w:r w:rsidR="00E422C5" w:rsidRPr="00206848">
        <w:t xml:space="preserve">standards </w:t>
      </w:r>
      <w:r w:rsidR="00EF1679">
        <w:t xml:space="preserve">applicable to </w:t>
      </w:r>
      <w:r w:rsidR="00E422C5" w:rsidRPr="00206848">
        <w:t>migrants,</w:t>
      </w:r>
      <w:r w:rsidR="002A3BD9" w:rsidRPr="00025352">
        <w:rPr>
          <w:rStyle w:val="FootnoteReference"/>
          <w:bCs/>
        </w:rPr>
        <w:footnoteReference w:id="5"/>
      </w:r>
      <w:r w:rsidR="00E422C5" w:rsidRPr="002A3BD9">
        <w:t xml:space="preserve"> </w:t>
      </w:r>
      <w:r w:rsidR="00E422C5" w:rsidRPr="00206848">
        <w:t>including refugees and asylum seekers. Libya criminalizes irregular migration and has no asylum determination system.</w:t>
      </w:r>
    </w:p>
    <w:p w14:paraId="14AB162E" w14:textId="77777777" w:rsidR="00E422C5" w:rsidRPr="00206848" w:rsidRDefault="00E422C5" w:rsidP="00025352">
      <w:pPr>
        <w:pStyle w:val="SingleTxtG"/>
      </w:pPr>
      <w:r w:rsidRPr="00206848">
        <w:t>4</w:t>
      </w:r>
      <w:r w:rsidR="00AB3860">
        <w:t>2</w:t>
      </w:r>
      <w:r w:rsidRPr="00206848">
        <w:t>.</w:t>
      </w:r>
      <w:r w:rsidRPr="00206848">
        <w:tab/>
        <w:t xml:space="preserve">UNSMIL/OHCHR found that migrants in Libya face </w:t>
      </w:r>
      <w:r w:rsidR="00071C85">
        <w:t>gross human rights</w:t>
      </w:r>
      <w:r w:rsidRPr="00206848">
        <w:t xml:space="preserve"> violations and abuses, both in and outside detention.</w:t>
      </w:r>
      <w:r w:rsidRPr="00206848">
        <w:rPr>
          <w:rStyle w:val="FootnoteReference"/>
        </w:rPr>
        <w:footnoteReference w:id="6"/>
      </w:r>
      <w:r w:rsidRPr="00206848">
        <w:t xml:space="preserve"> Perpetrators include State officials, armed groups</w:t>
      </w:r>
      <w:r w:rsidR="005551E3">
        <w:t>, smugglers</w:t>
      </w:r>
      <w:r w:rsidR="003C3FA7">
        <w:t>,</w:t>
      </w:r>
      <w:r w:rsidR="005551E3">
        <w:t xml:space="preserve"> traffickers and other criminal gangs</w:t>
      </w:r>
      <w:r w:rsidRPr="00206848">
        <w:t xml:space="preserve">. </w:t>
      </w:r>
      <w:r w:rsidR="00EF1679">
        <w:t xml:space="preserve">State institutions remain weak and, in some instances, the </w:t>
      </w:r>
      <w:r w:rsidR="00394324">
        <w:t>authorities were</w:t>
      </w:r>
      <w:r w:rsidR="00EF1679">
        <w:t xml:space="preserve"> un</w:t>
      </w:r>
      <w:r w:rsidRPr="00206848">
        <w:t>able</w:t>
      </w:r>
      <w:r w:rsidR="005551E3">
        <w:t xml:space="preserve"> or </w:t>
      </w:r>
      <w:r w:rsidR="00EF1679">
        <w:t>un</w:t>
      </w:r>
      <w:r w:rsidR="005551E3">
        <w:t>willing</w:t>
      </w:r>
      <w:r w:rsidRPr="00206848">
        <w:t xml:space="preserve"> to ensure effective protection for migrants.</w:t>
      </w:r>
    </w:p>
    <w:p w14:paraId="027E8EA0" w14:textId="7F57A34E" w:rsidR="00E422C5" w:rsidRPr="00206848" w:rsidRDefault="00E422C5" w:rsidP="00025352">
      <w:pPr>
        <w:pStyle w:val="SingleTxtG"/>
      </w:pPr>
      <w:r w:rsidRPr="00206848">
        <w:t>4</w:t>
      </w:r>
      <w:r w:rsidR="00AB3860">
        <w:t>3</w:t>
      </w:r>
      <w:r w:rsidRPr="00206848">
        <w:t>.</w:t>
      </w:r>
      <w:r w:rsidRPr="00206848">
        <w:tab/>
        <w:t xml:space="preserve">Migrants </w:t>
      </w:r>
      <w:r w:rsidR="004F53CF">
        <w:t>faced</w:t>
      </w:r>
      <w:r w:rsidRPr="00206848">
        <w:t xml:space="preserve"> arbitrary detention in inhuman conditions</w:t>
      </w:r>
      <w:r w:rsidR="00703336">
        <w:t xml:space="preserve"> and continued to be subjected to </w:t>
      </w:r>
      <w:r w:rsidRPr="00206848">
        <w:t>torture, including</w:t>
      </w:r>
      <w:r w:rsidR="005551E3">
        <w:t xml:space="preserve"> rape and other</w:t>
      </w:r>
      <w:r w:rsidRPr="00206848">
        <w:t xml:space="preserve"> </w:t>
      </w:r>
      <w:r w:rsidR="006F00FD">
        <w:t xml:space="preserve">forms of </w:t>
      </w:r>
      <w:r w:rsidRPr="00206848">
        <w:t>sexual violence</w:t>
      </w:r>
      <w:r w:rsidR="00703336">
        <w:t>,</w:t>
      </w:r>
      <w:r w:rsidRPr="00206848">
        <w:t xml:space="preserve"> abduction for r</w:t>
      </w:r>
      <w:r w:rsidR="00E13954">
        <w:t>ansom</w:t>
      </w:r>
      <w:r w:rsidR="00703336">
        <w:t>,</w:t>
      </w:r>
      <w:r w:rsidR="00E13954">
        <w:t xml:space="preserve"> extortion</w:t>
      </w:r>
      <w:r w:rsidR="00703336">
        <w:t>,</w:t>
      </w:r>
      <w:r w:rsidR="00E13954">
        <w:t xml:space="preserve"> forced labour</w:t>
      </w:r>
      <w:r w:rsidR="00703336">
        <w:t>,</w:t>
      </w:r>
      <w:r w:rsidR="00513EAB">
        <w:t xml:space="preserve"> forced prostitution,</w:t>
      </w:r>
      <w:r w:rsidRPr="00206848">
        <w:t xml:space="preserve"> and</w:t>
      </w:r>
      <w:r w:rsidR="004F53CF">
        <w:t xml:space="preserve"> unlawful</w:t>
      </w:r>
      <w:r w:rsidRPr="00206848">
        <w:t xml:space="preserve"> killings. Those held in official detention centres run by the Department for Combating Illegal Migration</w:t>
      </w:r>
      <w:r w:rsidR="004F53CF">
        <w:t xml:space="preserve"> </w:t>
      </w:r>
      <w:r w:rsidRPr="00206848">
        <w:t xml:space="preserve">under the Ministry of the Interior </w:t>
      </w:r>
      <w:r w:rsidR="00545213">
        <w:t>were</w:t>
      </w:r>
      <w:r w:rsidRPr="00206848">
        <w:t xml:space="preserve"> held </w:t>
      </w:r>
      <w:r w:rsidR="00E13954">
        <w:t>indefinitely</w:t>
      </w:r>
      <w:r w:rsidR="006F00FD">
        <w:t>,</w:t>
      </w:r>
      <w:r w:rsidR="00E13954">
        <w:t xml:space="preserve"> </w:t>
      </w:r>
      <w:r w:rsidRPr="00206848">
        <w:t xml:space="preserve">with no judicial process. </w:t>
      </w:r>
      <w:r w:rsidR="00B931EF">
        <w:t xml:space="preserve">UNSMIL/OHCHR gathered information on unlawful killings, rape, torture and other extreme violence in unofficial detention </w:t>
      </w:r>
      <w:r w:rsidR="00C57175">
        <w:t xml:space="preserve">places </w:t>
      </w:r>
      <w:r w:rsidR="00B931EF">
        <w:t xml:space="preserve">run by armed groups, </w:t>
      </w:r>
      <w:r w:rsidR="00B931EF" w:rsidRPr="00206848">
        <w:t>smugglers and traffickers</w:t>
      </w:r>
      <w:r w:rsidRPr="00206848">
        <w:t xml:space="preserve"> </w:t>
      </w:r>
      <w:r w:rsidR="00B931EF">
        <w:t xml:space="preserve">in Beni Walid, Sabratha and Sabha. </w:t>
      </w:r>
      <w:r w:rsidRPr="00206848">
        <w:t xml:space="preserve">Sub-Saharan Africans </w:t>
      </w:r>
      <w:r w:rsidR="003C3FA7">
        <w:t>were</w:t>
      </w:r>
      <w:r w:rsidRPr="00206848">
        <w:t xml:space="preserve"> especially vulnerable to abuse as a result of racial discrimination. </w:t>
      </w:r>
      <w:r w:rsidR="003C3FA7">
        <w:t>Rape</w:t>
      </w:r>
      <w:r w:rsidRPr="00206848">
        <w:t xml:space="preserve"> and other forms of sexual violence</w:t>
      </w:r>
      <w:r w:rsidR="00F918BD">
        <w:t xml:space="preserve"> </w:t>
      </w:r>
      <w:r w:rsidR="003C3FA7">
        <w:t>against</w:t>
      </w:r>
      <w:r w:rsidR="00F918BD">
        <w:t xml:space="preserve"> women and girls </w:t>
      </w:r>
      <w:r w:rsidR="003C3FA7">
        <w:t>were</w:t>
      </w:r>
      <w:r w:rsidR="00F918BD">
        <w:t xml:space="preserve"> widespread</w:t>
      </w:r>
      <w:r w:rsidRPr="00206848">
        <w:t>.</w:t>
      </w:r>
    </w:p>
    <w:p w14:paraId="4C3239AC" w14:textId="0C6EE718" w:rsidR="00E422C5" w:rsidRPr="00206848" w:rsidRDefault="005551E3" w:rsidP="00025352">
      <w:pPr>
        <w:pStyle w:val="SingleTxtG"/>
      </w:pPr>
      <w:r>
        <w:t>4</w:t>
      </w:r>
      <w:r w:rsidR="00AB3860">
        <w:t>4</w:t>
      </w:r>
      <w:r>
        <w:t>.</w:t>
      </w:r>
      <w:r>
        <w:tab/>
      </w:r>
      <w:r w:rsidR="004F53CF">
        <w:t xml:space="preserve">In 2017, UNSMIL/OHCHR </w:t>
      </w:r>
      <w:r w:rsidR="00394324">
        <w:t xml:space="preserve">visited </w:t>
      </w:r>
      <w:r w:rsidR="004F53CF">
        <w:t xml:space="preserve">nine detention centres </w:t>
      </w:r>
      <w:r w:rsidR="00394324" w:rsidRPr="00206848">
        <w:t>managed by the Department for Combating Illegal Migration</w:t>
      </w:r>
      <w:r w:rsidR="00394324">
        <w:t xml:space="preserve">, </w:t>
      </w:r>
      <w:r w:rsidR="004F53CF">
        <w:t>in Tripoli, Gharyan, Misrata and Surman,</w:t>
      </w:r>
      <w:r w:rsidR="004F53CF" w:rsidRPr="00206848">
        <w:t xml:space="preserve"> </w:t>
      </w:r>
      <w:r w:rsidR="00AF3882">
        <w:t xml:space="preserve">and </w:t>
      </w:r>
      <w:r w:rsidR="004F53CF">
        <w:t>observ</w:t>
      </w:r>
      <w:r w:rsidR="00AF3882">
        <w:t>ed</w:t>
      </w:r>
      <w:r w:rsidR="00E422C5" w:rsidRPr="00206848">
        <w:t xml:space="preserve"> inhuman conditions. Detainees </w:t>
      </w:r>
      <w:r w:rsidR="00422CFF">
        <w:t>were</w:t>
      </w:r>
      <w:r w:rsidR="00E422C5" w:rsidRPr="00206848">
        <w:t xml:space="preserve"> often </w:t>
      </w:r>
      <w:r w:rsidR="00E13954">
        <w:t>crammed into</w:t>
      </w:r>
      <w:r w:rsidR="00E422C5" w:rsidRPr="00206848">
        <w:t xml:space="preserve"> </w:t>
      </w:r>
      <w:r>
        <w:t>hangars</w:t>
      </w:r>
      <w:r w:rsidR="00E422C5" w:rsidRPr="00206848">
        <w:t xml:space="preserve"> with appalling sanitary conditions, little space to lie down</w:t>
      </w:r>
      <w:r w:rsidR="00C5166A">
        <w:t>,</w:t>
      </w:r>
      <w:r w:rsidR="00E422C5" w:rsidRPr="00206848">
        <w:t xml:space="preserve"> and </w:t>
      </w:r>
      <w:r>
        <w:t xml:space="preserve">no or </w:t>
      </w:r>
      <w:r w:rsidR="00E422C5" w:rsidRPr="00206848">
        <w:t xml:space="preserve">extremely limited access to light, ventilation or </w:t>
      </w:r>
      <w:r w:rsidR="00C5166A">
        <w:t xml:space="preserve">appropriate hygiene </w:t>
      </w:r>
      <w:r w:rsidR="00E422C5" w:rsidRPr="00206848">
        <w:t>facilities.</w:t>
      </w:r>
      <w:r w:rsidR="00F918BD">
        <w:t xml:space="preserve"> </w:t>
      </w:r>
      <w:r w:rsidR="00422CFF">
        <w:t>Most</w:t>
      </w:r>
      <w:r w:rsidR="00F918BD">
        <w:t xml:space="preserve"> were denied outdoor time and </w:t>
      </w:r>
      <w:r w:rsidR="004F59BC">
        <w:t xml:space="preserve">were </w:t>
      </w:r>
      <w:r w:rsidR="00F918BD">
        <w:t xml:space="preserve">not provided with </w:t>
      </w:r>
      <w:r w:rsidR="006F00FD">
        <w:t xml:space="preserve">any </w:t>
      </w:r>
      <w:r w:rsidR="00F918BD">
        <w:t>means to communicate with their families.</w:t>
      </w:r>
      <w:r w:rsidR="00E422C5" w:rsidRPr="00206848">
        <w:t xml:space="preserve"> </w:t>
      </w:r>
      <w:r>
        <w:t>UN</w:t>
      </w:r>
      <w:r w:rsidR="00AF3882">
        <w:t>S</w:t>
      </w:r>
      <w:r>
        <w:t>MIL/OHCHR</w:t>
      </w:r>
      <w:r w:rsidR="00E422C5" w:rsidRPr="00206848">
        <w:t xml:space="preserve"> also </w:t>
      </w:r>
      <w:r w:rsidR="005A14F8">
        <w:t>received</w:t>
      </w:r>
      <w:r w:rsidR="005A14F8" w:rsidRPr="00206848">
        <w:t xml:space="preserve"> </w:t>
      </w:r>
      <w:r w:rsidR="00E422C5" w:rsidRPr="00206848">
        <w:t>numerous and consistent reports of torture, including beatings</w:t>
      </w:r>
      <w:r>
        <w:t>, electric shocks</w:t>
      </w:r>
      <w:r w:rsidR="00E13954">
        <w:t xml:space="preserve"> and</w:t>
      </w:r>
      <w:r w:rsidR="00E422C5" w:rsidRPr="00206848">
        <w:t xml:space="preserve"> sexual violence, and </w:t>
      </w:r>
      <w:r w:rsidR="005A14F8">
        <w:t xml:space="preserve">of </w:t>
      </w:r>
      <w:r w:rsidR="00E422C5" w:rsidRPr="00206848">
        <w:t xml:space="preserve">forced labour of detainees. </w:t>
      </w:r>
      <w:r w:rsidR="005A14F8">
        <w:t>At</w:t>
      </w:r>
      <w:r w:rsidR="000D24BA">
        <w:t xml:space="preserve"> 31 October</w:t>
      </w:r>
      <w:r w:rsidR="00C111C8">
        <w:t xml:space="preserve">, </w:t>
      </w:r>
      <w:r w:rsidR="000D24BA">
        <w:t>nearly 20,000</w:t>
      </w:r>
      <w:r w:rsidR="00C111C8">
        <w:t xml:space="preserve"> migrants </w:t>
      </w:r>
      <w:r w:rsidR="005A14F8">
        <w:t xml:space="preserve">were </w:t>
      </w:r>
      <w:r w:rsidR="00C111C8">
        <w:t xml:space="preserve">detained in facilities </w:t>
      </w:r>
      <w:r w:rsidR="00AF3882">
        <w:t xml:space="preserve">run by the </w:t>
      </w:r>
      <w:r w:rsidR="00AF3882" w:rsidRPr="00206848">
        <w:t>Department for Combating Illegal Migration</w:t>
      </w:r>
      <w:r w:rsidR="00AF3882">
        <w:t xml:space="preserve"> </w:t>
      </w:r>
      <w:r w:rsidR="00C111C8">
        <w:t>in western Libya</w:t>
      </w:r>
      <w:r w:rsidR="00B067C2">
        <w:t>. T</w:t>
      </w:r>
      <w:r w:rsidR="000306FD">
        <w:t>he number</w:t>
      </w:r>
      <w:r w:rsidR="00B067C2">
        <w:t xml:space="preserve"> of detainees </w:t>
      </w:r>
      <w:r w:rsidR="005A14F8">
        <w:t xml:space="preserve">spiked </w:t>
      </w:r>
      <w:r w:rsidR="0049412D">
        <w:t>after the authorities</w:t>
      </w:r>
      <w:r w:rsidR="00B067C2">
        <w:t xml:space="preserve"> </w:t>
      </w:r>
      <w:r w:rsidR="0049412D">
        <w:t>arrested</w:t>
      </w:r>
      <w:r w:rsidR="00B067C2">
        <w:t xml:space="preserve"> thousands of migrants </w:t>
      </w:r>
      <w:r w:rsidR="0049412D">
        <w:t>following armed clashes in the city of Sabratha, a smuggling and trafficking hub, in October</w:t>
      </w:r>
      <w:r w:rsidR="00C111C8">
        <w:t xml:space="preserve">. </w:t>
      </w:r>
      <w:r w:rsidR="00B067C2">
        <w:t xml:space="preserve">By the end of the year, </w:t>
      </w:r>
      <w:r w:rsidR="005A14F8">
        <w:t>following the repatriation of thousands of migrants to their home countries,</w:t>
      </w:r>
      <w:r w:rsidR="005A14F8" w:rsidDel="005A14F8">
        <w:t xml:space="preserve"> </w:t>
      </w:r>
      <w:r w:rsidR="00B067C2">
        <w:t xml:space="preserve">an estimated </w:t>
      </w:r>
      <w:r w:rsidR="000306FD">
        <w:t>5,200</w:t>
      </w:r>
      <w:r w:rsidR="00B067C2">
        <w:t xml:space="preserve"> migrants </w:t>
      </w:r>
      <w:r w:rsidR="005A14F8">
        <w:t xml:space="preserve">were still being held </w:t>
      </w:r>
      <w:r w:rsidR="00B067C2">
        <w:t xml:space="preserve">in </w:t>
      </w:r>
      <w:r w:rsidR="0049412D">
        <w:t>centres run by the Department of Combating Illegal Migration</w:t>
      </w:r>
      <w:r w:rsidR="00B067C2">
        <w:t>.</w:t>
      </w:r>
      <w:r w:rsidR="00A908E6">
        <w:t xml:space="preserve"> </w:t>
      </w:r>
    </w:p>
    <w:p w14:paraId="3DDB5DC1" w14:textId="207BD0AB" w:rsidR="00E422C5" w:rsidRDefault="00E422C5" w:rsidP="00025352">
      <w:pPr>
        <w:pStyle w:val="SingleTxtG"/>
        <w:rPr>
          <w:rFonts w:eastAsia="Times New Roman" w:cs="Arial"/>
        </w:rPr>
      </w:pPr>
      <w:r w:rsidRPr="00206848">
        <w:t>4</w:t>
      </w:r>
      <w:r w:rsidR="00AB3860">
        <w:t>5</w:t>
      </w:r>
      <w:r w:rsidRPr="00206848">
        <w:t>.</w:t>
      </w:r>
      <w:r w:rsidRPr="00206848">
        <w:tab/>
      </w:r>
      <w:r w:rsidR="005551E3">
        <w:t xml:space="preserve">UNSMIL/OHCHR </w:t>
      </w:r>
      <w:r w:rsidR="00140055">
        <w:t xml:space="preserve">received reports of </w:t>
      </w:r>
      <w:r w:rsidR="005A14F8">
        <w:t xml:space="preserve">the </w:t>
      </w:r>
      <w:r w:rsidR="00140055">
        <w:t xml:space="preserve">bodies </w:t>
      </w:r>
      <w:r w:rsidR="005A14F8">
        <w:t xml:space="preserve">of hundreds </w:t>
      </w:r>
      <w:r w:rsidR="00140055">
        <w:t xml:space="preserve">of migrants </w:t>
      </w:r>
      <w:r w:rsidR="005A14F8">
        <w:t xml:space="preserve">being </w:t>
      </w:r>
      <w:r w:rsidR="00140055">
        <w:t>washed</w:t>
      </w:r>
      <w:r w:rsidR="00AF3882">
        <w:t xml:space="preserve"> </w:t>
      </w:r>
      <w:r w:rsidR="00140055">
        <w:t>up on Libyan shores, found in remote areas</w:t>
      </w:r>
      <w:r w:rsidR="00465007">
        <w:t xml:space="preserve"> </w:t>
      </w:r>
      <w:r w:rsidR="005A14F8">
        <w:t>(</w:t>
      </w:r>
      <w:r w:rsidR="00465007">
        <w:t>such as forests or deserts</w:t>
      </w:r>
      <w:r w:rsidR="005A14F8">
        <w:t>)</w:t>
      </w:r>
      <w:r w:rsidR="00140055">
        <w:t xml:space="preserve"> or </w:t>
      </w:r>
      <w:r w:rsidR="00465007">
        <w:t>brought to morgues</w:t>
      </w:r>
      <w:r w:rsidRPr="00206848">
        <w:t>.</w:t>
      </w:r>
      <w:r w:rsidR="0096636A">
        <w:t xml:space="preserve"> Some appeared to have died </w:t>
      </w:r>
      <w:r w:rsidR="00AF3882">
        <w:t xml:space="preserve">from </w:t>
      </w:r>
      <w:r w:rsidR="00E13954">
        <w:t>drowning or thirst;</w:t>
      </w:r>
      <w:r w:rsidR="0096636A">
        <w:t xml:space="preserve"> others bore gunshot wounds. </w:t>
      </w:r>
      <w:r w:rsidR="007C1F29" w:rsidRPr="00B42806">
        <w:rPr>
          <w:rFonts w:cs="Calibri"/>
        </w:rPr>
        <w:t xml:space="preserve">On 7 March, </w:t>
      </w:r>
      <w:r w:rsidR="005A14F8">
        <w:rPr>
          <w:rFonts w:cs="Calibri"/>
        </w:rPr>
        <w:t xml:space="preserve">the bodies of </w:t>
      </w:r>
      <w:r w:rsidR="007C1F29" w:rsidRPr="00B42806">
        <w:rPr>
          <w:rFonts w:cs="Calibri"/>
        </w:rPr>
        <w:t xml:space="preserve">at least 13 </w:t>
      </w:r>
      <w:r w:rsidR="005A14F8">
        <w:rPr>
          <w:rFonts w:cs="Calibri"/>
        </w:rPr>
        <w:t>s</w:t>
      </w:r>
      <w:r w:rsidR="007C1F29" w:rsidRPr="00B42806">
        <w:rPr>
          <w:rFonts w:cs="Calibri"/>
        </w:rPr>
        <w:t>ub-Saharan Africans were uncovered in the Telil forest</w:t>
      </w:r>
      <w:r w:rsidR="00AF3882" w:rsidRPr="00B42806">
        <w:rPr>
          <w:rFonts w:cs="Calibri"/>
        </w:rPr>
        <w:t>,</w:t>
      </w:r>
      <w:r w:rsidR="007C1F29" w:rsidRPr="00B42806">
        <w:rPr>
          <w:rFonts w:cs="Calibri"/>
        </w:rPr>
        <w:t xml:space="preserve"> near Sabratha</w:t>
      </w:r>
      <w:r w:rsidR="00AF3882" w:rsidRPr="00B42806">
        <w:rPr>
          <w:rFonts w:cs="Calibri"/>
        </w:rPr>
        <w:t>, s</w:t>
      </w:r>
      <w:r w:rsidR="00E13954" w:rsidRPr="00B42806">
        <w:rPr>
          <w:rFonts w:cs="Calibri"/>
        </w:rPr>
        <w:t>ome</w:t>
      </w:r>
      <w:r w:rsidR="007C1F29" w:rsidRPr="00B42806">
        <w:rPr>
          <w:rFonts w:cs="Calibri"/>
        </w:rPr>
        <w:t xml:space="preserve"> </w:t>
      </w:r>
      <w:r w:rsidR="00AF3882" w:rsidRPr="00B42806">
        <w:rPr>
          <w:rFonts w:cs="Calibri"/>
        </w:rPr>
        <w:t>bearing</w:t>
      </w:r>
      <w:r w:rsidR="007C1F29" w:rsidRPr="00B42806">
        <w:rPr>
          <w:rFonts w:cs="Calibri"/>
        </w:rPr>
        <w:t xml:space="preserve"> gunshot wounds.</w:t>
      </w:r>
      <w:r w:rsidR="007C1F29">
        <w:rPr>
          <w:sz w:val="24"/>
          <w:szCs w:val="24"/>
        </w:rPr>
        <w:t xml:space="preserve"> </w:t>
      </w:r>
      <w:r w:rsidR="007C1F29">
        <w:rPr>
          <w:rFonts w:eastAsia="Times New Roman" w:cs="Arial"/>
        </w:rPr>
        <w:t xml:space="preserve">On 4 June, seven </w:t>
      </w:r>
      <w:r w:rsidR="005A14F8">
        <w:rPr>
          <w:rFonts w:eastAsia="Times New Roman" w:cs="Arial"/>
        </w:rPr>
        <w:t>s</w:t>
      </w:r>
      <w:r w:rsidR="007C1F29" w:rsidRPr="00EF0918">
        <w:rPr>
          <w:rFonts w:eastAsia="Times New Roman" w:cs="Arial"/>
        </w:rPr>
        <w:t xml:space="preserve">ub-Saharan African migrants suffocated inside a truck after </w:t>
      </w:r>
      <w:r w:rsidR="005A14F8">
        <w:rPr>
          <w:rFonts w:eastAsia="Times New Roman" w:cs="Arial"/>
        </w:rPr>
        <w:t xml:space="preserve">they had </w:t>
      </w:r>
      <w:r w:rsidR="007C1F29" w:rsidRPr="00EF0918">
        <w:rPr>
          <w:rFonts w:eastAsia="Times New Roman" w:cs="Arial"/>
        </w:rPr>
        <w:t>be</w:t>
      </w:r>
      <w:r w:rsidR="005A14F8">
        <w:rPr>
          <w:rFonts w:eastAsia="Times New Roman" w:cs="Arial"/>
        </w:rPr>
        <w:t>en</w:t>
      </w:r>
      <w:r w:rsidR="00E13954">
        <w:rPr>
          <w:rFonts w:eastAsia="Times New Roman" w:cs="Arial"/>
        </w:rPr>
        <w:t xml:space="preserve"> locked</w:t>
      </w:r>
      <w:r w:rsidR="00AF3882">
        <w:rPr>
          <w:rFonts w:eastAsia="Times New Roman" w:cs="Arial"/>
        </w:rPr>
        <w:t xml:space="preserve"> </w:t>
      </w:r>
      <w:r w:rsidR="007C1F29" w:rsidRPr="00EF0918">
        <w:rPr>
          <w:rFonts w:eastAsia="Times New Roman" w:cs="Arial"/>
        </w:rPr>
        <w:t xml:space="preserve">in and abandoned by smugglers in the area of Garabulli. Officials </w:t>
      </w:r>
      <w:r w:rsidR="005A14F8">
        <w:rPr>
          <w:rFonts w:eastAsia="Times New Roman" w:cs="Arial"/>
        </w:rPr>
        <w:t>from</w:t>
      </w:r>
      <w:r w:rsidR="005A14F8" w:rsidRPr="00EF0918">
        <w:rPr>
          <w:rFonts w:eastAsia="Times New Roman" w:cs="Arial"/>
        </w:rPr>
        <w:t xml:space="preserve"> </w:t>
      </w:r>
      <w:r w:rsidR="007C1F29" w:rsidRPr="00EF0918">
        <w:rPr>
          <w:rFonts w:eastAsia="Times New Roman" w:cs="Arial"/>
        </w:rPr>
        <w:t xml:space="preserve">the Ministry of </w:t>
      </w:r>
      <w:r w:rsidR="005A14F8">
        <w:rPr>
          <w:rFonts w:eastAsia="Times New Roman" w:cs="Arial"/>
        </w:rPr>
        <w:t xml:space="preserve">the </w:t>
      </w:r>
      <w:r w:rsidR="007C1F29" w:rsidRPr="00EF0918">
        <w:rPr>
          <w:rFonts w:eastAsia="Times New Roman" w:cs="Arial"/>
        </w:rPr>
        <w:t>Interior unco</w:t>
      </w:r>
      <w:r w:rsidR="00E13954">
        <w:rPr>
          <w:rFonts w:eastAsia="Times New Roman" w:cs="Arial"/>
        </w:rPr>
        <w:t>vered the truck with deflated ty</w:t>
      </w:r>
      <w:r w:rsidR="007C1F29" w:rsidRPr="00EF0918">
        <w:rPr>
          <w:rFonts w:eastAsia="Times New Roman" w:cs="Arial"/>
        </w:rPr>
        <w:t>res, but apparently did not open the doors until hours later</w:t>
      </w:r>
      <w:r w:rsidR="008A66CF">
        <w:rPr>
          <w:rFonts w:eastAsia="Times New Roman" w:cs="Arial"/>
        </w:rPr>
        <w:t>,</w:t>
      </w:r>
      <w:r w:rsidR="007C1F29" w:rsidRPr="00EF0918">
        <w:rPr>
          <w:rFonts w:eastAsia="Times New Roman" w:cs="Arial"/>
        </w:rPr>
        <w:t xml:space="preserve"> </w:t>
      </w:r>
      <w:r w:rsidR="00A977FC">
        <w:rPr>
          <w:rFonts w:eastAsia="Times New Roman" w:cs="Arial"/>
        </w:rPr>
        <w:t>after</w:t>
      </w:r>
      <w:r w:rsidR="007C1F29" w:rsidRPr="00EF0918">
        <w:rPr>
          <w:rFonts w:eastAsia="Times New Roman" w:cs="Arial"/>
        </w:rPr>
        <w:t xml:space="preserve"> it </w:t>
      </w:r>
      <w:r w:rsidR="008A66CF">
        <w:rPr>
          <w:rFonts w:eastAsia="Times New Roman" w:cs="Arial"/>
        </w:rPr>
        <w:t xml:space="preserve">had been </w:t>
      </w:r>
      <w:r w:rsidR="007C1F29" w:rsidRPr="00EF0918">
        <w:rPr>
          <w:rFonts w:eastAsia="Times New Roman" w:cs="Arial"/>
        </w:rPr>
        <w:t>towed to Tripoli.</w:t>
      </w:r>
    </w:p>
    <w:p w14:paraId="23A89B3E" w14:textId="6CD7D69B" w:rsidR="00E3660C" w:rsidRPr="00B42806" w:rsidRDefault="00E13954" w:rsidP="00025352">
      <w:pPr>
        <w:pStyle w:val="SingleTxtG"/>
        <w:rPr>
          <w:rFonts w:cs="Calibri"/>
        </w:rPr>
      </w:pPr>
      <w:r w:rsidRPr="00B42806">
        <w:rPr>
          <w:rFonts w:cs="Calibri"/>
        </w:rPr>
        <w:t>4</w:t>
      </w:r>
      <w:r w:rsidR="00AB3860" w:rsidRPr="00B42806">
        <w:rPr>
          <w:rFonts w:cs="Calibri"/>
        </w:rPr>
        <w:t>6</w:t>
      </w:r>
      <w:r w:rsidRPr="00B42806">
        <w:rPr>
          <w:rFonts w:cs="Calibri"/>
        </w:rPr>
        <w:t>.</w:t>
      </w:r>
      <w:r w:rsidR="00565855" w:rsidRPr="00206848">
        <w:tab/>
      </w:r>
      <w:r w:rsidR="00D14832" w:rsidRPr="00B42806">
        <w:rPr>
          <w:rFonts w:cs="Calibri"/>
        </w:rPr>
        <w:t xml:space="preserve">UNSMIL/OHCHR documented </w:t>
      </w:r>
      <w:r w:rsidRPr="00B42806">
        <w:rPr>
          <w:rFonts w:cs="Calibri"/>
        </w:rPr>
        <w:t xml:space="preserve">the </w:t>
      </w:r>
      <w:r w:rsidR="00D14832" w:rsidRPr="00B42806">
        <w:rPr>
          <w:rFonts w:cs="Calibri"/>
        </w:rPr>
        <w:t xml:space="preserve">use of firearms, physical violence </w:t>
      </w:r>
      <w:r w:rsidR="003F3A21" w:rsidRPr="00B42806">
        <w:rPr>
          <w:rFonts w:cs="Calibri"/>
        </w:rPr>
        <w:t xml:space="preserve">and </w:t>
      </w:r>
      <w:r w:rsidR="00D14832" w:rsidRPr="00B42806">
        <w:rPr>
          <w:rFonts w:cs="Calibri"/>
        </w:rPr>
        <w:t>threatening language</w:t>
      </w:r>
      <w:r w:rsidR="003F3A21" w:rsidRPr="00B42806">
        <w:rPr>
          <w:rFonts w:cs="Calibri"/>
        </w:rPr>
        <w:t xml:space="preserve"> </w:t>
      </w:r>
      <w:r w:rsidR="00D14832" w:rsidRPr="00B42806">
        <w:rPr>
          <w:rFonts w:cs="Calibri"/>
        </w:rPr>
        <w:t>by coastguard officials during search-and-rescue operations</w:t>
      </w:r>
      <w:r w:rsidR="00EE7F4A" w:rsidRPr="00B42806">
        <w:rPr>
          <w:rFonts w:cs="Calibri"/>
        </w:rPr>
        <w:t xml:space="preserve"> </w:t>
      </w:r>
      <w:r w:rsidR="00D14832" w:rsidRPr="00B42806">
        <w:rPr>
          <w:rFonts w:cs="Calibri"/>
        </w:rPr>
        <w:t>in Libyan and international waters.</w:t>
      </w:r>
      <w:r w:rsidR="0057183A" w:rsidRPr="00B42806">
        <w:rPr>
          <w:rFonts w:cs="Calibri"/>
        </w:rPr>
        <w:t xml:space="preserve"> </w:t>
      </w:r>
      <w:r w:rsidR="00E3660C" w:rsidRPr="00B42806">
        <w:rPr>
          <w:rFonts w:cs="Calibri"/>
        </w:rPr>
        <w:t>For instance, on 10 May</w:t>
      </w:r>
      <w:r w:rsidR="00F66CC9" w:rsidRPr="00B42806">
        <w:rPr>
          <w:rFonts w:cs="Calibri"/>
        </w:rPr>
        <w:t>,</w:t>
      </w:r>
      <w:r w:rsidR="00E3660C" w:rsidRPr="00B42806">
        <w:rPr>
          <w:rFonts w:cs="Calibri"/>
        </w:rPr>
        <w:t xml:space="preserve"> a </w:t>
      </w:r>
      <w:r w:rsidR="0057183A" w:rsidRPr="00B42806">
        <w:rPr>
          <w:rFonts w:cs="Calibri"/>
        </w:rPr>
        <w:t xml:space="preserve">Libyan </w:t>
      </w:r>
      <w:r w:rsidR="00A977FC" w:rsidRPr="00B42806">
        <w:rPr>
          <w:rFonts w:cs="Calibri"/>
        </w:rPr>
        <w:t>C</w:t>
      </w:r>
      <w:r w:rsidR="00E3660C" w:rsidRPr="00B42806">
        <w:rPr>
          <w:rFonts w:cs="Calibri"/>
        </w:rPr>
        <w:t>oast</w:t>
      </w:r>
      <w:r w:rsidR="00893384">
        <w:rPr>
          <w:rFonts w:cs="Calibri"/>
        </w:rPr>
        <w:t xml:space="preserve"> G</w:t>
      </w:r>
      <w:r w:rsidR="00E3660C" w:rsidRPr="00B42806">
        <w:rPr>
          <w:rFonts w:cs="Calibri"/>
        </w:rPr>
        <w:t xml:space="preserve">uard patrol boat intervened in an ongoing rescue operation of some 500 people in a wooden vessel </w:t>
      </w:r>
      <w:r w:rsidR="00F66CC9" w:rsidRPr="00B42806">
        <w:rPr>
          <w:rFonts w:cs="Calibri"/>
        </w:rPr>
        <w:t xml:space="preserve">run </w:t>
      </w:r>
      <w:r w:rsidR="00E3660C" w:rsidRPr="00B42806">
        <w:rPr>
          <w:rFonts w:cs="Calibri"/>
        </w:rPr>
        <w:t xml:space="preserve">by the German </w:t>
      </w:r>
      <w:r w:rsidR="00EC5B3D">
        <w:rPr>
          <w:rFonts w:cs="Calibri"/>
        </w:rPr>
        <w:t>non-governmental organization</w:t>
      </w:r>
      <w:r w:rsidR="00EC5B3D" w:rsidRPr="00B42806">
        <w:rPr>
          <w:rFonts w:cs="Calibri"/>
        </w:rPr>
        <w:t xml:space="preserve"> </w:t>
      </w:r>
      <w:r w:rsidR="00E3660C" w:rsidRPr="00B42806">
        <w:rPr>
          <w:rFonts w:cs="Calibri"/>
        </w:rPr>
        <w:t>Sea</w:t>
      </w:r>
      <w:r w:rsidR="00EC5B3D">
        <w:rPr>
          <w:rFonts w:cs="Calibri"/>
        </w:rPr>
        <w:t>-</w:t>
      </w:r>
      <w:r w:rsidR="00E3660C" w:rsidRPr="00B42806">
        <w:rPr>
          <w:rFonts w:cs="Calibri"/>
        </w:rPr>
        <w:t xml:space="preserve">Watch, some 20 nautical miles from Libyan shores. </w:t>
      </w:r>
      <w:r w:rsidR="00EC5B3D">
        <w:rPr>
          <w:rFonts w:cs="Calibri"/>
        </w:rPr>
        <w:t>According to t</w:t>
      </w:r>
      <w:r w:rsidR="00E3660C" w:rsidRPr="00B42806">
        <w:rPr>
          <w:rFonts w:cs="Calibri"/>
        </w:rPr>
        <w:t xml:space="preserve">estimonies </w:t>
      </w:r>
      <w:r w:rsidR="00EC5B3D">
        <w:rPr>
          <w:rFonts w:cs="Calibri"/>
        </w:rPr>
        <w:t>by</w:t>
      </w:r>
      <w:r w:rsidR="00E3660C" w:rsidRPr="00B42806">
        <w:rPr>
          <w:rFonts w:cs="Calibri"/>
        </w:rPr>
        <w:t xml:space="preserve"> the rescue crew and survivors</w:t>
      </w:r>
      <w:r w:rsidR="00EC5B3D">
        <w:rPr>
          <w:rFonts w:cs="Calibri"/>
        </w:rPr>
        <w:t>,</w:t>
      </w:r>
      <w:r w:rsidR="00E3660C" w:rsidRPr="00B42806">
        <w:rPr>
          <w:rFonts w:cs="Calibri"/>
        </w:rPr>
        <w:t xml:space="preserve"> members of the </w:t>
      </w:r>
      <w:r w:rsidR="005F3DC2" w:rsidRPr="00B42806">
        <w:rPr>
          <w:rFonts w:cs="Calibri"/>
        </w:rPr>
        <w:t>C</w:t>
      </w:r>
      <w:r w:rsidR="00E3660C" w:rsidRPr="00B42806">
        <w:rPr>
          <w:rFonts w:cs="Calibri"/>
        </w:rPr>
        <w:t>oast</w:t>
      </w:r>
      <w:r w:rsidR="005F3DC2" w:rsidRPr="00B42806">
        <w:rPr>
          <w:rFonts w:cs="Calibri"/>
        </w:rPr>
        <w:t xml:space="preserve"> G</w:t>
      </w:r>
      <w:r w:rsidR="00E3660C" w:rsidRPr="00B42806">
        <w:rPr>
          <w:rFonts w:cs="Calibri"/>
        </w:rPr>
        <w:t xml:space="preserve">uard pointed their </w:t>
      </w:r>
      <w:r w:rsidR="003F3A21" w:rsidRPr="00B42806">
        <w:rPr>
          <w:rFonts w:cs="Calibri"/>
        </w:rPr>
        <w:t>firearms</w:t>
      </w:r>
      <w:r w:rsidR="00E3660C" w:rsidRPr="00B42806">
        <w:rPr>
          <w:rFonts w:cs="Calibri"/>
        </w:rPr>
        <w:t xml:space="preserve"> at the migrants, threatened them, and ramm</w:t>
      </w:r>
      <w:r w:rsidR="003F3A21" w:rsidRPr="00B42806">
        <w:rPr>
          <w:rFonts w:cs="Calibri"/>
        </w:rPr>
        <w:t>ed into their wooden boat twice</w:t>
      </w:r>
      <w:r w:rsidR="00E3660C" w:rsidRPr="00B42806">
        <w:rPr>
          <w:rFonts w:cs="Calibri"/>
        </w:rPr>
        <w:t>.</w:t>
      </w:r>
      <w:r w:rsidR="00A977FC" w:rsidRPr="00B42806">
        <w:rPr>
          <w:rFonts w:cs="Calibri"/>
        </w:rPr>
        <w:t xml:space="preserve"> </w:t>
      </w:r>
      <w:r w:rsidR="00EC5B3D">
        <w:rPr>
          <w:rFonts w:cs="Calibri"/>
        </w:rPr>
        <w:t xml:space="preserve">Survivors were </w:t>
      </w:r>
      <w:r w:rsidR="00A977FC" w:rsidRPr="00B42806">
        <w:rPr>
          <w:rFonts w:cs="Calibri"/>
        </w:rPr>
        <w:t xml:space="preserve">taken </w:t>
      </w:r>
      <w:r w:rsidR="00EC5B3D">
        <w:rPr>
          <w:rFonts w:cs="Calibri"/>
        </w:rPr>
        <w:t>to centres run by the</w:t>
      </w:r>
      <w:r w:rsidR="00A977FC" w:rsidRPr="00B42806">
        <w:rPr>
          <w:rFonts w:cs="Calibri"/>
        </w:rPr>
        <w:t xml:space="preserve"> </w:t>
      </w:r>
      <w:r w:rsidR="00F66CC9" w:rsidRPr="00206848">
        <w:t>Department for Combating Illegal Migration</w:t>
      </w:r>
      <w:r w:rsidR="00EE7F4A" w:rsidRPr="00B42806">
        <w:rPr>
          <w:rFonts w:cs="Calibri"/>
        </w:rPr>
        <w:t>,</w:t>
      </w:r>
      <w:r w:rsidR="00A977FC" w:rsidRPr="00B42806">
        <w:rPr>
          <w:rFonts w:cs="Calibri"/>
        </w:rPr>
        <w:t xml:space="preserve"> </w:t>
      </w:r>
      <w:r w:rsidR="00EE7F4A" w:rsidRPr="00B42806">
        <w:rPr>
          <w:rFonts w:cs="Calibri"/>
        </w:rPr>
        <w:t xml:space="preserve">where </w:t>
      </w:r>
      <w:r w:rsidR="00A977FC" w:rsidRPr="00B42806">
        <w:rPr>
          <w:rFonts w:cs="Calibri"/>
        </w:rPr>
        <w:t>some were subjected to torture or ill-treatment.</w:t>
      </w:r>
      <w:r w:rsidR="00E3660C" w:rsidRPr="00B42806">
        <w:rPr>
          <w:rFonts w:cs="Calibri"/>
        </w:rPr>
        <w:t xml:space="preserve"> </w:t>
      </w:r>
      <w:r w:rsidR="00E3660C">
        <w:t>In a similar incident</w:t>
      </w:r>
      <w:r w:rsidR="00F66CC9">
        <w:t>,</w:t>
      </w:r>
      <w:r w:rsidR="00E3660C">
        <w:t xml:space="preserve"> on 6 November</w:t>
      </w:r>
      <w:r w:rsidR="003F3A21">
        <w:t>,</w:t>
      </w:r>
      <w:r w:rsidR="00E3660C">
        <w:t xml:space="preserve"> some </w:t>
      </w:r>
      <w:r w:rsidR="0057183A">
        <w:t>28</w:t>
      </w:r>
      <w:r w:rsidR="00E3660C">
        <w:t xml:space="preserve"> nautical miles from Libyan shores</w:t>
      </w:r>
      <w:r w:rsidR="00E3660C" w:rsidRPr="00E3660C">
        <w:t xml:space="preserve">, </w:t>
      </w:r>
      <w:r w:rsidR="00EC5B3D">
        <w:t xml:space="preserve">members of </w:t>
      </w:r>
      <w:r w:rsidR="003F3A21">
        <w:t xml:space="preserve">the Libyan </w:t>
      </w:r>
      <w:r w:rsidR="00A977FC">
        <w:t>C</w:t>
      </w:r>
      <w:r w:rsidR="003F3A21">
        <w:t>oast</w:t>
      </w:r>
      <w:r w:rsidR="005F3DC2">
        <w:t xml:space="preserve"> G</w:t>
      </w:r>
      <w:r w:rsidR="00E3660C">
        <w:t>uard reportedly</w:t>
      </w:r>
      <w:r w:rsidR="00E3660C" w:rsidRPr="00E3660C">
        <w:t xml:space="preserve"> </w:t>
      </w:r>
      <w:r w:rsidR="00E3660C">
        <w:t xml:space="preserve">beat migrants </w:t>
      </w:r>
      <w:r w:rsidR="0057183A">
        <w:t xml:space="preserve">with a rope </w:t>
      </w:r>
      <w:r w:rsidR="00E3660C">
        <w:t>as they boarded, threatened</w:t>
      </w:r>
      <w:r w:rsidR="00E3660C" w:rsidRPr="00E3660C">
        <w:t xml:space="preserve"> </w:t>
      </w:r>
      <w:r w:rsidR="00E3660C">
        <w:t>Sea</w:t>
      </w:r>
      <w:r w:rsidR="00EC5B3D">
        <w:t>-</w:t>
      </w:r>
      <w:r w:rsidR="00E3660C">
        <w:t xml:space="preserve">Watch </w:t>
      </w:r>
      <w:r w:rsidR="003F3A21">
        <w:t>rescuers</w:t>
      </w:r>
      <w:r w:rsidR="00E3660C">
        <w:t xml:space="preserve"> and instructed them</w:t>
      </w:r>
      <w:r w:rsidR="00E3660C" w:rsidRPr="00E3660C">
        <w:t xml:space="preserve"> </w:t>
      </w:r>
      <w:r w:rsidR="00A977FC">
        <w:t xml:space="preserve">to </w:t>
      </w:r>
      <w:r w:rsidR="00E3660C" w:rsidRPr="00E3660C">
        <w:t xml:space="preserve">leave the location. </w:t>
      </w:r>
      <w:r w:rsidR="003F3A21">
        <w:t xml:space="preserve">The </w:t>
      </w:r>
      <w:r w:rsidR="00EC5B3D">
        <w:t>C</w:t>
      </w:r>
      <w:r w:rsidR="003F3A21">
        <w:t>oast</w:t>
      </w:r>
      <w:r w:rsidR="00EC5B3D">
        <w:t xml:space="preserve"> G</w:t>
      </w:r>
      <w:r w:rsidR="003F3A21">
        <w:t xml:space="preserve">uard </w:t>
      </w:r>
      <w:r w:rsidR="00F66CC9">
        <w:t xml:space="preserve">reportedly </w:t>
      </w:r>
      <w:r w:rsidR="003F3A21">
        <w:t xml:space="preserve">engaged in reckless behaviour during search-and-rescue operations and </w:t>
      </w:r>
      <w:r w:rsidR="00293175">
        <w:t>did not provide</w:t>
      </w:r>
      <w:r w:rsidR="003F3A21">
        <w:t xml:space="preserve"> life jackets, further endangering the lives of people in distress at sea. </w:t>
      </w:r>
    </w:p>
    <w:p w14:paraId="1658631B" w14:textId="77777777" w:rsidR="00E422C5" w:rsidRPr="00206848" w:rsidRDefault="00E422C5" w:rsidP="00025352">
      <w:pPr>
        <w:pStyle w:val="H1G"/>
        <w:spacing w:line="240" w:lineRule="atLeast"/>
      </w:pPr>
      <w:r w:rsidRPr="00206848">
        <w:tab/>
        <w:t>D.</w:t>
      </w:r>
      <w:r w:rsidRPr="00206848">
        <w:tab/>
        <w:t>Media professionals, activists and human rights defenders</w:t>
      </w:r>
    </w:p>
    <w:p w14:paraId="57DEC485" w14:textId="77777777" w:rsidR="00E422C5" w:rsidRPr="00206848" w:rsidRDefault="00E422C5" w:rsidP="00025352">
      <w:pPr>
        <w:pStyle w:val="SingleTxtG"/>
      </w:pPr>
      <w:r w:rsidRPr="00206848">
        <w:t>4</w:t>
      </w:r>
      <w:r w:rsidR="00AB3860">
        <w:t>7</w:t>
      </w:r>
      <w:r w:rsidRPr="00206848">
        <w:t>.</w:t>
      </w:r>
      <w:r w:rsidRPr="00206848">
        <w:tab/>
        <w:t xml:space="preserve">Media professionals, activists and human rights defenders </w:t>
      </w:r>
      <w:r w:rsidR="00A977FC">
        <w:t>had</w:t>
      </w:r>
      <w:r w:rsidR="00F1253F">
        <w:t xml:space="preserve"> their </w:t>
      </w:r>
      <w:r w:rsidR="00F414EC">
        <w:t xml:space="preserve">rights to </w:t>
      </w:r>
      <w:r w:rsidR="00F1253F">
        <w:t>freedom of</w:t>
      </w:r>
      <w:r w:rsidRPr="00206848">
        <w:t xml:space="preserve"> expression</w:t>
      </w:r>
      <w:r w:rsidR="00E13954">
        <w:t xml:space="preserve"> and association</w:t>
      </w:r>
      <w:r w:rsidR="00A977FC">
        <w:t xml:space="preserve"> restricted</w:t>
      </w:r>
      <w:r w:rsidRPr="00206848">
        <w:t xml:space="preserve"> </w:t>
      </w:r>
      <w:r w:rsidR="00AD0FC5">
        <w:t xml:space="preserve">and </w:t>
      </w:r>
      <w:r w:rsidR="00F414EC">
        <w:t>were subjected to</w:t>
      </w:r>
      <w:r w:rsidR="00AD0FC5">
        <w:t xml:space="preserve"> </w:t>
      </w:r>
      <w:r w:rsidRPr="00206848">
        <w:t>abductions</w:t>
      </w:r>
      <w:r w:rsidR="00AD0FC5">
        <w:t xml:space="preserve">, arbitrary detention, intimidation and threats. Armed groups, including those nominally affiliated to State institutions, were </w:t>
      </w:r>
      <w:r w:rsidRPr="00206848">
        <w:t>the main perpetrators</w:t>
      </w:r>
      <w:r w:rsidR="00F66CC9">
        <w:t xml:space="preserve"> of such acts</w:t>
      </w:r>
      <w:r w:rsidR="00AD0FC5">
        <w:t xml:space="preserve">, </w:t>
      </w:r>
      <w:r w:rsidR="002A5237">
        <w:t xml:space="preserve">with weak State institutions unable or, </w:t>
      </w:r>
      <w:r w:rsidR="00AD0FC5">
        <w:t>at times</w:t>
      </w:r>
      <w:r w:rsidR="002A5237">
        <w:t>,</w:t>
      </w:r>
      <w:r w:rsidR="00AD0FC5">
        <w:t xml:space="preserve"> unwilling to</w:t>
      </w:r>
      <w:r w:rsidRPr="00206848">
        <w:t xml:space="preserve"> provide effective protection.</w:t>
      </w:r>
      <w:r w:rsidR="00363A61" w:rsidRPr="00363A61">
        <w:t xml:space="preserve"> </w:t>
      </w:r>
    </w:p>
    <w:p w14:paraId="1826079F" w14:textId="69ED4E5A" w:rsidR="00565855" w:rsidRDefault="00E422C5" w:rsidP="00025352">
      <w:pPr>
        <w:pStyle w:val="SingleTxtG"/>
      </w:pPr>
      <w:r w:rsidRPr="00206848">
        <w:t>4</w:t>
      </w:r>
      <w:r w:rsidR="00AB3860">
        <w:t>8</w:t>
      </w:r>
      <w:r w:rsidRPr="00206848">
        <w:t>.</w:t>
      </w:r>
      <w:r w:rsidRPr="00206848">
        <w:tab/>
      </w:r>
      <w:r w:rsidR="00A977FC">
        <w:t>Activists and journalists who</w:t>
      </w:r>
      <w:r w:rsidRPr="00206848">
        <w:t xml:space="preserve"> criticiz</w:t>
      </w:r>
      <w:r w:rsidR="00A977FC">
        <w:t>ed</w:t>
      </w:r>
      <w:r w:rsidRPr="00206848">
        <w:t xml:space="preserve"> armed groups</w:t>
      </w:r>
      <w:r w:rsidR="00F1253F">
        <w:t>,</w:t>
      </w:r>
      <w:r w:rsidR="00BB3D15">
        <w:t xml:space="preserve"> </w:t>
      </w:r>
      <w:r w:rsidR="00C5696A">
        <w:t xml:space="preserve">or </w:t>
      </w:r>
      <w:r w:rsidR="002A5237">
        <w:t xml:space="preserve">who </w:t>
      </w:r>
      <w:r w:rsidR="00C5696A">
        <w:t>reported</w:t>
      </w:r>
      <w:r w:rsidR="00A977FC">
        <w:t xml:space="preserve"> </w:t>
      </w:r>
      <w:r w:rsidR="002A5237">
        <w:t xml:space="preserve">on </w:t>
      </w:r>
      <w:r w:rsidR="00A977FC">
        <w:t>human rights</w:t>
      </w:r>
      <w:r w:rsidR="00F1253F">
        <w:t xml:space="preserve"> </w:t>
      </w:r>
      <w:r w:rsidR="002A5237">
        <w:t>issues</w:t>
      </w:r>
      <w:r w:rsidR="00F66CC9">
        <w:t>,</w:t>
      </w:r>
      <w:r w:rsidR="002A5237">
        <w:t xml:space="preserve"> </w:t>
      </w:r>
      <w:r w:rsidR="00A977FC">
        <w:t>were</w:t>
      </w:r>
      <w:r w:rsidR="00BB3D15">
        <w:t xml:space="preserve"> </w:t>
      </w:r>
      <w:r w:rsidR="00A977FC">
        <w:t xml:space="preserve">threatened and </w:t>
      </w:r>
      <w:r w:rsidR="00BB3D15">
        <w:t>attack</w:t>
      </w:r>
      <w:r w:rsidR="00A977FC">
        <w:t>ed</w:t>
      </w:r>
      <w:r w:rsidRPr="00206848">
        <w:t>.</w:t>
      </w:r>
      <w:r w:rsidR="00F66DA9" w:rsidRPr="00B42806">
        <w:t xml:space="preserve"> In July, a journalist fled </w:t>
      </w:r>
      <w:r w:rsidR="00753543">
        <w:t>A</w:t>
      </w:r>
      <w:r w:rsidR="00F66DA9" w:rsidRPr="00B42806">
        <w:t xml:space="preserve">l-Zawiya following death threats by members of </w:t>
      </w:r>
      <w:r w:rsidR="00206278" w:rsidRPr="00B42806">
        <w:t xml:space="preserve">local </w:t>
      </w:r>
      <w:r w:rsidR="00F66DA9" w:rsidRPr="00B42806">
        <w:t xml:space="preserve">armed groups, reportedly </w:t>
      </w:r>
      <w:r w:rsidR="00753543">
        <w:t>because of</w:t>
      </w:r>
      <w:r w:rsidR="00F66DA9" w:rsidRPr="00B42806">
        <w:t xml:space="preserve"> his coverage of political and humanitarian developments in the city. </w:t>
      </w:r>
      <w:r w:rsidR="002607F4" w:rsidRPr="00B42806">
        <w:t xml:space="preserve">In </w:t>
      </w:r>
      <w:r w:rsidR="00C77908" w:rsidRPr="00B42806">
        <w:t>August</w:t>
      </w:r>
      <w:r w:rsidR="002607F4" w:rsidRPr="00B42806">
        <w:t xml:space="preserve">, </w:t>
      </w:r>
      <w:r w:rsidR="00E13954" w:rsidRPr="00B42806">
        <w:t>a</w:t>
      </w:r>
      <w:r w:rsidR="00C77908" w:rsidRPr="00B42806">
        <w:t>rmed men apprehended a</w:t>
      </w:r>
      <w:r w:rsidR="00E13954" w:rsidRPr="00B42806">
        <w:t xml:space="preserve"> human</w:t>
      </w:r>
      <w:r w:rsidR="00F66DA9" w:rsidRPr="00B42806">
        <w:t xml:space="preserve"> rights defender</w:t>
      </w:r>
      <w:r w:rsidR="00E13954" w:rsidRPr="00B42806">
        <w:t xml:space="preserve"> </w:t>
      </w:r>
      <w:r w:rsidR="002607F4" w:rsidRPr="00B42806">
        <w:t xml:space="preserve">in Tripoli after </w:t>
      </w:r>
      <w:r w:rsidR="00E13954" w:rsidRPr="00B42806">
        <w:t>they discovered his field of work</w:t>
      </w:r>
      <w:r w:rsidR="00753543">
        <w:t>;</w:t>
      </w:r>
      <w:r w:rsidR="002607F4" w:rsidRPr="00B42806">
        <w:t xml:space="preserve"> </w:t>
      </w:r>
      <w:r w:rsidR="00753543">
        <w:t>h</w:t>
      </w:r>
      <w:r w:rsidR="006A3095" w:rsidRPr="00B42806">
        <w:t>e</w:t>
      </w:r>
      <w:r w:rsidR="00F66DA9" w:rsidRPr="00B42806">
        <w:t xml:space="preserve"> was </w:t>
      </w:r>
      <w:r w:rsidR="00753543">
        <w:t>forced</w:t>
      </w:r>
      <w:r w:rsidR="00F66DA9" w:rsidRPr="00B42806">
        <w:t xml:space="preserve"> to unlock his </w:t>
      </w:r>
      <w:r w:rsidR="00753543">
        <w:t>computer</w:t>
      </w:r>
      <w:r w:rsidR="00F66DA9" w:rsidRPr="00B42806">
        <w:t xml:space="preserve"> and </w:t>
      </w:r>
      <w:r w:rsidR="002A5237" w:rsidRPr="00B42806">
        <w:t xml:space="preserve">was </w:t>
      </w:r>
      <w:r w:rsidR="00F66DA9" w:rsidRPr="00B42806">
        <w:t xml:space="preserve">questioned on his </w:t>
      </w:r>
      <w:r w:rsidR="002A5237" w:rsidRPr="00B42806">
        <w:t xml:space="preserve">activities </w:t>
      </w:r>
      <w:r w:rsidR="00F66DA9" w:rsidRPr="00B42806">
        <w:t>before being released hours later</w:t>
      </w:r>
      <w:r w:rsidR="002607F4" w:rsidRPr="00B42806">
        <w:t>.</w:t>
      </w:r>
      <w:r w:rsidR="00255399" w:rsidRPr="00B42806">
        <w:t xml:space="preserve"> </w:t>
      </w:r>
      <w:r w:rsidR="00F66DA9" w:rsidRPr="00363A61">
        <w:t xml:space="preserve">On 8 October, an armed group affiliated to the </w:t>
      </w:r>
      <w:r w:rsidR="00A8441E">
        <w:t xml:space="preserve">Libyan National Army </w:t>
      </w:r>
      <w:r w:rsidR="00F66DA9">
        <w:t xml:space="preserve">arrested four journalists, </w:t>
      </w:r>
      <w:r w:rsidR="006A3095">
        <w:t>their</w:t>
      </w:r>
      <w:r w:rsidR="00F66DA9" w:rsidRPr="00363A61">
        <w:t xml:space="preserve"> driver and another </w:t>
      </w:r>
      <w:r w:rsidR="00F66DA9">
        <w:t>woman</w:t>
      </w:r>
      <w:r w:rsidR="00F66DA9" w:rsidRPr="00363A61">
        <w:t xml:space="preserve"> </w:t>
      </w:r>
      <w:r w:rsidR="00F66DA9">
        <w:t>in Hun, some 640 k</w:t>
      </w:r>
      <w:r w:rsidR="00753543">
        <w:t>m</w:t>
      </w:r>
      <w:r w:rsidR="00F66DA9">
        <w:t xml:space="preserve"> south</w:t>
      </w:r>
      <w:r w:rsidR="00753543">
        <w:t>-</w:t>
      </w:r>
      <w:r w:rsidR="00F66DA9">
        <w:t>east of Tripoli</w:t>
      </w:r>
      <w:r w:rsidR="00753543">
        <w:t>;</w:t>
      </w:r>
      <w:r w:rsidR="00F66DA9" w:rsidRPr="00363A61">
        <w:t xml:space="preserve"> </w:t>
      </w:r>
      <w:r w:rsidR="00753543">
        <w:t>t</w:t>
      </w:r>
      <w:r w:rsidR="00F66DA9" w:rsidRPr="00F66DA9">
        <w:t>hey were questioned about their work and political affiliation</w:t>
      </w:r>
      <w:r w:rsidR="00753543">
        <w:t>,</w:t>
      </w:r>
      <w:r w:rsidR="002A5237">
        <w:t xml:space="preserve"> and were released two days later</w:t>
      </w:r>
      <w:r w:rsidR="00F66DA9" w:rsidRPr="00F66DA9">
        <w:t>.</w:t>
      </w:r>
      <w:r w:rsidR="00F66DA9">
        <w:t xml:space="preserve"> </w:t>
      </w:r>
      <w:r w:rsidR="00255399" w:rsidRPr="00B42806">
        <w:t xml:space="preserve">On 9 October, </w:t>
      </w:r>
      <w:r w:rsidR="006079BF" w:rsidRPr="00B42806">
        <w:t xml:space="preserve">armed men beat </w:t>
      </w:r>
      <w:r w:rsidR="00C77908" w:rsidRPr="00B42806">
        <w:t>a woman journalist</w:t>
      </w:r>
      <w:r w:rsidR="00255399" w:rsidRPr="00B42806">
        <w:t xml:space="preserve"> </w:t>
      </w:r>
      <w:r w:rsidR="006079BF" w:rsidRPr="00B42806">
        <w:t xml:space="preserve">and broke her camera and other equipment </w:t>
      </w:r>
      <w:r w:rsidR="00255399" w:rsidRPr="00B42806">
        <w:t>during her coverage of a protest in Tobruk.</w:t>
      </w:r>
    </w:p>
    <w:p w14:paraId="05FF286C" w14:textId="15D7AC29" w:rsidR="00E422C5" w:rsidRPr="00206848" w:rsidRDefault="00AB3860" w:rsidP="00025352">
      <w:pPr>
        <w:pStyle w:val="SingleTxtG"/>
      </w:pPr>
      <w:r>
        <w:t>49</w:t>
      </w:r>
      <w:r w:rsidR="00E422C5" w:rsidRPr="00206848">
        <w:t>.</w:t>
      </w:r>
      <w:r w:rsidR="00E422C5" w:rsidRPr="00206848">
        <w:tab/>
      </w:r>
      <w:r w:rsidR="003752A3">
        <w:t xml:space="preserve">On 28 August, </w:t>
      </w:r>
      <w:r w:rsidR="005C2192">
        <w:t xml:space="preserve">in Tripoli, </w:t>
      </w:r>
      <w:r w:rsidR="003752A3">
        <w:t xml:space="preserve">an event marking the launch of a collection of short stories and poems by Libyan authors was </w:t>
      </w:r>
      <w:r w:rsidR="00206278">
        <w:t>suspended</w:t>
      </w:r>
      <w:r w:rsidR="003752A3">
        <w:t xml:space="preserve"> following </w:t>
      </w:r>
      <w:r w:rsidR="00F3360C">
        <w:t xml:space="preserve">warnings </w:t>
      </w:r>
      <w:r w:rsidR="002A5237">
        <w:t xml:space="preserve">that </w:t>
      </w:r>
      <w:r w:rsidR="00F3360C">
        <w:t>members</w:t>
      </w:r>
      <w:r w:rsidR="003752A3">
        <w:t xml:space="preserve"> </w:t>
      </w:r>
      <w:r w:rsidR="00C70764">
        <w:t xml:space="preserve">of the </w:t>
      </w:r>
      <w:r w:rsidR="00C70764" w:rsidRPr="00B42806">
        <w:t>Special Deterrence Force</w:t>
      </w:r>
      <w:r w:rsidR="00C70764">
        <w:t xml:space="preserve"> </w:t>
      </w:r>
      <w:r w:rsidR="002A5237">
        <w:t xml:space="preserve">were moving in armoured vehicles towards </w:t>
      </w:r>
      <w:r w:rsidR="003752A3">
        <w:t xml:space="preserve">the venue. </w:t>
      </w:r>
      <w:r w:rsidR="003752A3" w:rsidRPr="00790C68">
        <w:t>On 30 August, the General Committee of Culture of the G</w:t>
      </w:r>
      <w:r w:rsidR="00C70764">
        <w:t>overnment</w:t>
      </w:r>
      <w:r w:rsidR="003752A3" w:rsidRPr="00790C68">
        <w:t xml:space="preserve"> criticized the publication’s alleged “pornographic</w:t>
      </w:r>
      <w:r w:rsidR="00C70764">
        <w:t>”</w:t>
      </w:r>
      <w:r w:rsidR="003752A3" w:rsidRPr="00790C68">
        <w:t xml:space="preserve"> and </w:t>
      </w:r>
      <w:r w:rsidR="00C70764">
        <w:t>“</w:t>
      </w:r>
      <w:r w:rsidR="003752A3" w:rsidRPr="00790C68">
        <w:t>immoral” content</w:t>
      </w:r>
      <w:r w:rsidR="00C70764">
        <w:t>,</w:t>
      </w:r>
      <w:r w:rsidR="003752A3" w:rsidRPr="00790C68">
        <w:t xml:space="preserve"> and called for legal action against those involved.</w:t>
      </w:r>
      <w:r w:rsidR="003752A3">
        <w:t xml:space="preserve"> The writers, organizers and publishers faced threats and intimidation on their social media pages. Several </w:t>
      </w:r>
      <w:r w:rsidR="005C2192">
        <w:t xml:space="preserve">consequently </w:t>
      </w:r>
      <w:r w:rsidR="003752A3">
        <w:t xml:space="preserve">went into hiding, </w:t>
      </w:r>
      <w:r w:rsidR="00F3360C">
        <w:t xml:space="preserve">while others fled the country. The Faqih centre, the venue </w:t>
      </w:r>
      <w:r w:rsidR="005C2192">
        <w:t xml:space="preserve">that </w:t>
      </w:r>
      <w:r w:rsidR="00F3360C">
        <w:t>host</w:t>
      </w:r>
      <w:r w:rsidR="005C2192">
        <w:t>ed</w:t>
      </w:r>
      <w:r w:rsidR="00F3360C">
        <w:t xml:space="preserve"> the event</w:t>
      </w:r>
      <w:r w:rsidR="00C70764">
        <w:t>,</w:t>
      </w:r>
      <w:r w:rsidR="00F3360C">
        <w:t xml:space="preserve"> was shut down.</w:t>
      </w:r>
      <w:r w:rsidR="00111406">
        <w:t xml:space="preserve"> </w:t>
      </w:r>
    </w:p>
    <w:p w14:paraId="28BE598E" w14:textId="2CCDF598" w:rsidR="003A4E72" w:rsidRDefault="003A4E72" w:rsidP="00025352">
      <w:pPr>
        <w:pStyle w:val="SingleTxtG"/>
      </w:pPr>
      <w:r>
        <w:t>5</w:t>
      </w:r>
      <w:r w:rsidR="00AB3860">
        <w:t>0</w:t>
      </w:r>
      <w:r>
        <w:t>.</w:t>
      </w:r>
      <w:r>
        <w:tab/>
      </w:r>
      <w:r w:rsidR="00C70764">
        <w:t>On</w:t>
      </w:r>
      <w:r w:rsidR="00C70764" w:rsidRPr="003A4E72">
        <w:t xml:space="preserve"> 3 November, </w:t>
      </w:r>
      <w:r w:rsidR="00C70764">
        <w:t>i</w:t>
      </w:r>
      <w:r>
        <w:t>n another attack on public events</w:t>
      </w:r>
      <w:r w:rsidR="00F3360C">
        <w:t xml:space="preserve"> in Tripoli</w:t>
      </w:r>
      <w:r w:rsidR="005C2192">
        <w:t>,</w:t>
      </w:r>
      <w:r>
        <w:t xml:space="preserve"> </w:t>
      </w:r>
      <w:r w:rsidRPr="003A4E72">
        <w:t xml:space="preserve">the </w:t>
      </w:r>
      <w:r w:rsidR="00C70764" w:rsidRPr="00B42806">
        <w:t>Special Deterrence Force</w:t>
      </w:r>
      <w:r w:rsidR="00C70764" w:rsidRPr="003A4E72" w:rsidDel="00C70764">
        <w:t xml:space="preserve"> </w:t>
      </w:r>
      <w:r w:rsidRPr="003A4E72">
        <w:t>raided the Comic</w:t>
      </w:r>
      <w:r w:rsidR="00C70764">
        <w:t>-</w:t>
      </w:r>
      <w:r w:rsidRPr="003A4E72">
        <w:t xml:space="preserve">Con exhibition and arrested </w:t>
      </w:r>
      <w:r w:rsidR="00790C68">
        <w:t>dozens</w:t>
      </w:r>
      <w:r>
        <w:t xml:space="preserve"> of</w:t>
      </w:r>
      <w:r w:rsidRPr="003A4E72">
        <w:t xml:space="preserve"> participants</w:t>
      </w:r>
      <w:r w:rsidR="00552BA0">
        <w:t xml:space="preserve"> and organizers</w:t>
      </w:r>
      <w:r w:rsidRPr="003A4E72">
        <w:t xml:space="preserve">. </w:t>
      </w:r>
      <w:r>
        <w:t xml:space="preserve">Most </w:t>
      </w:r>
      <w:r w:rsidR="00552BA0">
        <w:t xml:space="preserve">participants </w:t>
      </w:r>
      <w:r>
        <w:t>were released within 24 hours after their parents or guardians</w:t>
      </w:r>
      <w:r w:rsidRPr="003A4E72">
        <w:t xml:space="preserve"> </w:t>
      </w:r>
      <w:r>
        <w:t xml:space="preserve">were summoned </w:t>
      </w:r>
      <w:r w:rsidR="00C70764">
        <w:t xml:space="preserve">by </w:t>
      </w:r>
      <w:r>
        <w:t xml:space="preserve">the </w:t>
      </w:r>
      <w:r w:rsidR="00C70764" w:rsidRPr="00B42806">
        <w:t>Special Deterrence Force</w:t>
      </w:r>
      <w:r w:rsidR="00C70764" w:rsidRPr="003A4E72">
        <w:t xml:space="preserve"> </w:t>
      </w:r>
      <w:r w:rsidR="00206278">
        <w:t>for lecturing</w:t>
      </w:r>
      <w:r w:rsidRPr="003A4E72">
        <w:t xml:space="preserve"> on the </w:t>
      </w:r>
      <w:r w:rsidR="00C70764">
        <w:t>“</w:t>
      </w:r>
      <w:r w:rsidRPr="003A4E72">
        <w:t>immoral character</w:t>
      </w:r>
      <w:r w:rsidR="00C70764">
        <w:t>”</w:t>
      </w:r>
      <w:r w:rsidRPr="003A4E72">
        <w:t xml:space="preserve"> of </w:t>
      </w:r>
      <w:r w:rsidR="00206278">
        <w:t>the event</w:t>
      </w:r>
      <w:r w:rsidRPr="003A4E72">
        <w:t xml:space="preserve">. </w:t>
      </w:r>
      <w:r w:rsidR="005C2192">
        <w:t xml:space="preserve">By </w:t>
      </w:r>
      <w:r w:rsidR="00552BA0">
        <w:t>20 December</w:t>
      </w:r>
      <w:r w:rsidR="005C2192">
        <w:t xml:space="preserve">, </w:t>
      </w:r>
      <w:r w:rsidR="00552BA0">
        <w:t>all</w:t>
      </w:r>
      <w:r w:rsidRPr="00C77908">
        <w:t xml:space="preserve"> organizers </w:t>
      </w:r>
      <w:r w:rsidR="00552BA0">
        <w:t>had been released. Some were reportedly tortured or otherwise ill-treated in custody</w:t>
      </w:r>
      <w:r w:rsidR="00E422C5" w:rsidRPr="00C77908">
        <w:t>.</w:t>
      </w:r>
      <w:r w:rsidR="00206278">
        <w:t xml:space="preserve"> </w:t>
      </w:r>
    </w:p>
    <w:p w14:paraId="297E5768" w14:textId="00E73936" w:rsidR="00E422C5" w:rsidRPr="00206848" w:rsidRDefault="00C77908" w:rsidP="00025352">
      <w:pPr>
        <w:pStyle w:val="SingleTxtG"/>
      </w:pPr>
      <w:r>
        <w:t>5</w:t>
      </w:r>
      <w:r w:rsidR="00AB3860">
        <w:t>1</w:t>
      </w:r>
      <w:r>
        <w:t>.</w:t>
      </w:r>
      <w:r w:rsidR="00D91F1D">
        <w:tab/>
      </w:r>
      <w:r w:rsidR="00DF71C5">
        <w:t>UNSMIL/OHCHR also docu</w:t>
      </w:r>
      <w:r>
        <w:t xml:space="preserve">mented attacks on media outlets. </w:t>
      </w:r>
      <w:r w:rsidR="00F3360C">
        <w:t xml:space="preserve">In March, armed men from the Ras Hassan neighbourhood </w:t>
      </w:r>
      <w:r w:rsidR="005C2192">
        <w:t xml:space="preserve">of Tripoli </w:t>
      </w:r>
      <w:r w:rsidR="00F3360C">
        <w:t>raided</w:t>
      </w:r>
      <w:r w:rsidR="00DF71C5">
        <w:t xml:space="preserve"> the</w:t>
      </w:r>
      <w:r w:rsidR="00F3360C">
        <w:t xml:space="preserve"> offices of</w:t>
      </w:r>
      <w:r w:rsidR="00DF71C5">
        <w:t xml:space="preserve"> </w:t>
      </w:r>
      <w:r w:rsidR="00C70764">
        <w:t>the A</w:t>
      </w:r>
      <w:r w:rsidR="00DF71C5">
        <w:t xml:space="preserve">l-Nabaa </w:t>
      </w:r>
      <w:r w:rsidR="00F3360C">
        <w:t xml:space="preserve">television </w:t>
      </w:r>
      <w:r w:rsidR="00C70764">
        <w:t>station</w:t>
      </w:r>
      <w:r w:rsidR="00F3360C">
        <w:t xml:space="preserve">, </w:t>
      </w:r>
      <w:r w:rsidR="005C2192">
        <w:t xml:space="preserve">and </w:t>
      </w:r>
      <w:r w:rsidR="00F3360C">
        <w:t>vandaliz</w:t>
      </w:r>
      <w:r w:rsidR="005C2192">
        <w:t>ed</w:t>
      </w:r>
      <w:r w:rsidR="00F3360C">
        <w:t xml:space="preserve"> </w:t>
      </w:r>
      <w:r w:rsidR="00DF71C5">
        <w:t xml:space="preserve">the premises </w:t>
      </w:r>
      <w:r w:rsidR="00C85344">
        <w:t xml:space="preserve">before </w:t>
      </w:r>
      <w:r>
        <w:t xml:space="preserve">setting </w:t>
      </w:r>
      <w:r w:rsidR="00DF71C5">
        <w:t>the</w:t>
      </w:r>
      <w:r w:rsidR="00C85344">
        <w:t xml:space="preserve">m </w:t>
      </w:r>
      <w:r w:rsidR="00194037">
        <w:t>on fire</w:t>
      </w:r>
      <w:r>
        <w:t xml:space="preserve">. In April, </w:t>
      </w:r>
      <w:r w:rsidR="00C85344">
        <w:t>un</w:t>
      </w:r>
      <w:r w:rsidR="005C2192">
        <w:t xml:space="preserve">identified </w:t>
      </w:r>
      <w:r w:rsidR="00C85344">
        <w:t xml:space="preserve">assailants looted and set fire </w:t>
      </w:r>
      <w:r w:rsidR="00EA1469">
        <w:t xml:space="preserve">to </w:t>
      </w:r>
      <w:r>
        <w:t>t</w:t>
      </w:r>
      <w:r w:rsidR="00DF71C5">
        <w:t xml:space="preserve">he Awal </w:t>
      </w:r>
      <w:r w:rsidR="00194037">
        <w:t>r</w:t>
      </w:r>
      <w:r w:rsidR="00DF71C5">
        <w:t xml:space="preserve">adio </w:t>
      </w:r>
      <w:r w:rsidR="00194037">
        <w:t>s</w:t>
      </w:r>
      <w:r w:rsidR="00DF71C5">
        <w:t>tation in Surman</w:t>
      </w:r>
      <w:r>
        <w:t>.</w:t>
      </w:r>
    </w:p>
    <w:p w14:paraId="6EEBFACF" w14:textId="1C1EE6B2" w:rsidR="00E422C5" w:rsidRPr="00206848" w:rsidRDefault="00E422C5" w:rsidP="00025352">
      <w:pPr>
        <w:pStyle w:val="SingleTxtG"/>
      </w:pPr>
      <w:r w:rsidRPr="00206848">
        <w:t>5</w:t>
      </w:r>
      <w:r w:rsidR="00AB3860">
        <w:t>2</w:t>
      </w:r>
      <w:r w:rsidRPr="00206848">
        <w:t>.</w:t>
      </w:r>
      <w:r w:rsidRPr="00206848">
        <w:tab/>
        <w:t>While article 26</w:t>
      </w:r>
      <w:r w:rsidR="00194037">
        <w:t xml:space="preserve"> </w:t>
      </w:r>
      <w:r w:rsidRPr="00206848">
        <w:t xml:space="preserve">(6) of the </w:t>
      </w:r>
      <w:r w:rsidR="00194037">
        <w:t xml:space="preserve">Libyan </w:t>
      </w:r>
      <w:r w:rsidR="00EB50B8">
        <w:t>Political</w:t>
      </w:r>
      <w:r w:rsidR="00194037">
        <w:t xml:space="preserve"> Agreement</w:t>
      </w:r>
      <w:r w:rsidR="00194037" w:rsidRPr="00206848">
        <w:t xml:space="preserve"> </w:t>
      </w:r>
      <w:r w:rsidRPr="00206848">
        <w:t>commits parties to support the functioning of the National Council for Civil Liberties and Human Rights, the country</w:t>
      </w:r>
      <w:r w:rsidR="00206848">
        <w:t>’</w:t>
      </w:r>
      <w:r w:rsidRPr="00206848">
        <w:t>s national human rights institution has remained non-operational</w:t>
      </w:r>
      <w:r w:rsidR="0078621E">
        <w:t xml:space="preserve"> since armed conflict </w:t>
      </w:r>
      <w:r w:rsidR="00194037">
        <w:t xml:space="preserve">broke out </w:t>
      </w:r>
      <w:r w:rsidR="0078621E">
        <w:t>in mid-2014.</w:t>
      </w:r>
      <w:r w:rsidRPr="00206848">
        <w:t xml:space="preserve"> The term of the Council elapsed in late 2014 and </w:t>
      </w:r>
      <w:r w:rsidR="005C2192">
        <w:t>ha</w:t>
      </w:r>
      <w:r w:rsidR="00723A6E">
        <w:t>d</w:t>
      </w:r>
      <w:r w:rsidR="005C2192">
        <w:t xml:space="preserve"> </w:t>
      </w:r>
      <w:r w:rsidRPr="00206848">
        <w:t>not been renewed by the House of Representatives, as required by</w:t>
      </w:r>
      <w:r w:rsidR="00483AA3">
        <w:t xml:space="preserve"> the </w:t>
      </w:r>
      <w:r w:rsidRPr="00206848">
        <w:t>law</w:t>
      </w:r>
      <w:r w:rsidR="00483AA3">
        <w:t xml:space="preserve"> establishing the Council</w:t>
      </w:r>
      <w:r w:rsidRPr="00206848">
        <w:t xml:space="preserve">. </w:t>
      </w:r>
    </w:p>
    <w:p w14:paraId="6E01C2B8" w14:textId="525F8255" w:rsidR="00E422C5" w:rsidRPr="00206848" w:rsidRDefault="00E422C5" w:rsidP="00025352">
      <w:pPr>
        <w:pStyle w:val="H23G"/>
        <w:spacing w:line="240" w:lineRule="atLeast"/>
      </w:pPr>
      <w:r w:rsidRPr="00206848">
        <w:tab/>
      </w:r>
      <w:r w:rsidRPr="00206848">
        <w:tab/>
        <w:t>Support</w:t>
      </w:r>
      <w:r w:rsidR="00194037" w:rsidDel="00194037">
        <w:t xml:space="preserve"> </w:t>
      </w:r>
    </w:p>
    <w:p w14:paraId="5497FFDC" w14:textId="253F271F" w:rsidR="00E422C5" w:rsidRPr="00206848" w:rsidRDefault="00E422C5" w:rsidP="00025352">
      <w:pPr>
        <w:pStyle w:val="SingleTxtG"/>
      </w:pPr>
      <w:r w:rsidRPr="00206848">
        <w:t>5</w:t>
      </w:r>
      <w:r w:rsidR="00AB3860">
        <w:t>3</w:t>
      </w:r>
      <w:r w:rsidRPr="00206848">
        <w:t>.</w:t>
      </w:r>
      <w:r w:rsidRPr="00206848">
        <w:tab/>
        <w:t xml:space="preserve">UNSMIL/OHCHR worked to directly support </w:t>
      </w:r>
      <w:r w:rsidR="00BF4DD2">
        <w:t>victims and their relatives</w:t>
      </w:r>
      <w:r w:rsidRPr="00206848">
        <w:t xml:space="preserve"> by intervening with the Government and other counterparts on individual cases and issues of concern</w:t>
      </w:r>
      <w:r w:rsidR="002B3B00">
        <w:t xml:space="preserve"> by </w:t>
      </w:r>
      <w:r w:rsidRPr="00206848">
        <w:t xml:space="preserve">briefing </w:t>
      </w:r>
      <w:r w:rsidR="002B3B00">
        <w:t xml:space="preserve">regularly </w:t>
      </w:r>
      <w:r w:rsidRPr="00206848">
        <w:t>the international community</w:t>
      </w:r>
      <w:r w:rsidR="00DA57DC">
        <w:t xml:space="preserve"> and </w:t>
      </w:r>
      <w:r w:rsidR="00AD6DB9">
        <w:t>engaging with U</w:t>
      </w:r>
      <w:r w:rsidR="005C2192">
        <w:t xml:space="preserve">nited </w:t>
      </w:r>
      <w:r w:rsidR="00AD6DB9">
        <w:t>N</w:t>
      </w:r>
      <w:r w:rsidR="005C2192">
        <w:t>ations</w:t>
      </w:r>
      <w:r w:rsidR="00AD6DB9">
        <w:t xml:space="preserve"> human rights mechanisms</w:t>
      </w:r>
      <w:r w:rsidRPr="00206848">
        <w:t xml:space="preserve">. </w:t>
      </w:r>
    </w:p>
    <w:p w14:paraId="663F6DDE" w14:textId="02CC95B9" w:rsidR="00E422C5" w:rsidRPr="00206848" w:rsidRDefault="00B97B2B" w:rsidP="00025352">
      <w:pPr>
        <w:pStyle w:val="SingleTxtG"/>
      </w:pPr>
      <w:r>
        <w:t>5</w:t>
      </w:r>
      <w:r w:rsidR="00AB3860">
        <w:t>4</w:t>
      </w:r>
      <w:r>
        <w:t>.</w:t>
      </w:r>
      <w:r>
        <w:tab/>
      </w:r>
      <w:r w:rsidR="009102C2">
        <w:t xml:space="preserve">In 2017, </w:t>
      </w:r>
      <w:r>
        <w:t>UNSMIL</w:t>
      </w:r>
      <w:r w:rsidR="00E422C5" w:rsidRPr="00206848">
        <w:t xml:space="preserve"> organized or supported </w:t>
      </w:r>
      <w:r w:rsidR="00BF4DD2">
        <w:t xml:space="preserve">at least three </w:t>
      </w:r>
      <w:r w:rsidR="00E422C5" w:rsidRPr="00206848">
        <w:t>workshops for civil society</w:t>
      </w:r>
      <w:r>
        <w:t xml:space="preserve"> and media workers</w:t>
      </w:r>
      <w:r w:rsidR="00D45F7B">
        <w:t xml:space="preserve"> on the documentation of human rights</w:t>
      </w:r>
      <w:r w:rsidR="005C2192">
        <w:t xml:space="preserve"> violations</w:t>
      </w:r>
      <w:r w:rsidR="00734B60">
        <w:t>,</w:t>
      </w:r>
      <w:r w:rsidR="00D45F7B">
        <w:t xml:space="preserve"> including conflict-related sexual violence</w:t>
      </w:r>
      <w:r w:rsidR="005C2192">
        <w:t>,</w:t>
      </w:r>
      <w:r w:rsidR="00D45F7B">
        <w:t xml:space="preserve"> and the use of international </w:t>
      </w:r>
      <w:r w:rsidR="005C2192">
        <w:t xml:space="preserve">human rights </w:t>
      </w:r>
      <w:r w:rsidR="00D45F7B">
        <w:t>mechanisms</w:t>
      </w:r>
      <w:r w:rsidR="00734B60">
        <w:t xml:space="preserve">. The workshops were </w:t>
      </w:r>
      <w:r w:rsidR="005C2192">
        <w:t xml:space="preserve">run </w:t>
      </w:r>
      <w:r w:rsidR="00E422C5" w:rsidRPr="00206848">
        <w:t xml:space="preserve">jointly with the Cairo Institute for Human Rights Studies, Tunisian and Libyan organizations and United Nations partners. </w:t>
      </w:r>
    </w:p>
    <w:p w14:paraId="2A66BA69" w14:textId="62B0CB07" w:rsidR="00E422C5" w:rsidRPr="00206848" w:rsidRDefault="00E422C5" w:rsidP="00025352">
      <w:pPr>
        <w:pStyle w:val="SingleTxtG"/>
      </w:pPr>
      <w:r w:rsidRPr="00206848">
        <w:t>5</w:t>
      </w:r>
      <w:r w:rsidR="00AB3860">
        <w:t>5</w:t>
      </w:r>
      <w:r w:rsidRPr="00206848">
        <w:t>.</w:t>
      </w:r>
      <w:r w:rsidRPr="00206848">
        <w:tab/>
      </w:r>
      <w:r w:rsidR="009E054C">
        <w:t>While provid</w:t>
      </w:r>
      <w:r w:rsidR="004C0693">
        <w:t>ing support, it was clear that</w:t>
      </w:r>
      <w:r w:rsidR="009E054C">
        <w:t xml:space="preserve"> m</w:t>
      </w:r>
      <w:r w:rsidRPr="00206848">
        <w:t>edia professionals, activists</w:t>
      </w:r>
      <w:r w:rsidR="00676B39">
        <w:t xml:space="preserve"> and</w:t>
      </w:r>
      <w:r w:rsidRPr="00206848">
        <w:t xml:space="preserve"> human rights defenders</w:t>
      </w:r>
      <w:r w:rsidR="00676B39">
        <w:t xml:space="preserve"> at risk in Libya lacked financial and other essential support</w:t>
      </w:r>
      <w:r w:rsidR="004C0693">
        <w:t xml:space="preserve"> for protection</w:t>
      </w:r>
      <w:r w:rsidRPr="00206848">
        <w:t xml:space="preserve">. </w:t>
      </w:r>
      <w:r w:rsidR="004C0693">
        <w:t>Further o</w:t>
      </w:r>
      <w:r w:rsidRPr="00206848">
        <w:t xml:space="preserve">ngoing </w:t>
      </w:r>
      <w:r w:rsidR="00904843" w:rsidRPr="00206848">
        <w:t>capacity</w:t>
      </w:r>
      <w:r w:rsidR="00194037">
        <w:t>-</w:t>
      </w:r>
      <w:r w:rsidR="00904843" w:rsidRPr="00206848">
        <w:t>building</w:t>
      </w:r>
      <w:r w:rsidRPr="00206848">
        <w:t xml:space="preserve"> for human rights defenders, particularly for women defenders, </w:t>
      </w:r>
      <w:r w:rsidR="00676B39">
        <w:t>was also needed.</w:t>
      </w:r>
    </w:p>
    <w:p w14:paraId="420A230A" w14:textId="77777777" w:rsidR="00E422C5" w:rsidRPr="00206848" w:rsidRDefault="00E422C5" w:rsidP="00025352">
      <w:pPr>
        <w:pStyle w:val="HChG"/>
        <w:spacing w:line="240" w:lineRule="atLeast"/>
      </w:pPr>
      <w:r w:rsidRPr="00206848">
        <w:tab/>
        <w:t>V.</w:t>
      </w:r>
      <w:r w:rsidRPr="00206848">
        <w:tab/>
        <w:t>Administration of justice</w:t>
      </w:r>
    </w:p>
    <w:p w14:paraId="19EF08C2" w14:textId="77777777" w:rsidR="00E422C5" w:rsidRPr="00206848" w:rsidRDefault="00E422C5" w:rsidP="00025352">
      <w:pPr>
        <w:pStyle w:val="H1G"/>
        <w:spacing w:line="240" w:lineRule="atLeast"/>
      </w:pPr>
      <w:r w:rsidRPr="00206848">
        <w:tab/>
        <w:t>A.</w:t>
      </w:r>
      <w:r w:rsidRPr="00206848">
        <w:tab/>
        <w:t>Overview</w:t>
      </w:r>
    </w:p>
    <w:p w14:paraId="022FB0F4" w14:textId="415068AF" w:rsidR="005B1D26" w:rsidRPr="005B1D26" w:rsidRDefault="00AB3860" w:rsidP="00025352">
      <w:pPr>
        <w:pStyle w:val="SingleTxtG"/>
      </w:pPr>
      <w:r>
        <w:t>56</w:t>
      </w:r>
      <w:r w:rsidR="00E422C5" w:rsidRPr="00206848">
        <w:t>.</w:t>
      </w:r>
      <w:r w:rsidR="00E422C5" w:rsidRPr="00206848">
        <w:tab/>
      </w:r>
      <w:r w:rsidR="00E422C5" w:rsidRPr="005B1D26">
        <w:t xml:space="preserve">In Libya, the </w:t>
      </w:r>
      <w:r w:rsidR="000B3770">
        <w:t xml:space="preserve">criminal justice legal </w:t>
      </w:r>
      <w:r w:rsidR="00E422C5" w:rsidRPr="005B1D26">
        <w:t xml:space="preserve">framework </w:t>
      </w:r>
      <w:r w:rsidR="000B3770">
        <w:t xml:space="preserve">fails to comply with international </w:t>
      </w:r>
      <w:r w:rsidR="00D309D0">
        <w:t xml:space="preserve">human rights </w:t>
      </w:r>
      <w:r w:rsidR="000B3770">
        <w:t>standards</w:t>
      </w:r>
      <w:r w:rsidR="00E422C5" w:rsidRPr="005B1D26">
        <w:t>.</w:t>
      </w:r>
      <w:r w:rsidR="000306FD">
        <w:rPr>
          <w:rStyle w:val="FootnoteReference"/>
        </w:rPr>
        <w:footnoteReference w:id="7"/>
      </w:r>
      <w:r w:rsidR="00E422C5" w:rsidRPr="005B1D26">
        <w:t xml:space="preserve"> </w:t>
      </w:r>
      <w:r w:rsidR="00D07BE0">
        <w:t>E</w:t>
      </w:r>
      <w:r w:rsidR="005B1D26" w:rsidRPr="005B1D26">
        <w:t xml:space="preserve">fforts at law reform </w:t>
      </w:r>
      <w:r w:rsidR="00716D40">
        <w:t>were</w:t>
      </w:r>
      <w:r w:rsidR="00D07BE0">
        <w:t xml:space="preserve"> hampered by </w:t>
      </w:r>
      <w:r w:rsidR="005B1D26" w:rsidRPr="005B1D26">
        <w:t>the</w:t>
      </w:r>
      <w:r w:rsidR="00E422C5" w:rsidRPr="005B1D26">
        <w:t xml:space="preserve"> unstable environment,</w:t>
      </w:r>
      <w:r w:rsidR="005B1D26" w:rsidRPr="005B1D26">
        <w:t xml:space="preserve"> </w:t>
      </w:r>
      <w:r w:rsidR="00D309D0">
        <w:t xml:space="preserve">the dysfunction of </w:t>
      </w:r>
      <w:r w:rsidR="005B1D26" w:rsidRPr="005B1D26">
        <w:t xml:space="preserve">legislative </w:t>
      </w:r>
      <w:r w:rsidR="00D309D0">
        <w:t>institutions</w:t>
      </w:r>
      <w:r w:rsidR="005B1D26" w:rsidRPr="005B1D26">
        <w:t>, and political fragmentation</w:t>
      </w:r>
      <w:r w:rsidR="00E422C5" w:rsidRPr="005B1D26">
        <w:t xml:space="preserve">. </w:t>
      </w:r>
      <w:r w:rsidR="00D07BE0">
        <w:t>Members of the judiciary</w:t>
      </w:r>
      <w:r w:rsidR="005B1D26" w:rsidRPr="005B1D26">
        <w:t xml:space="preserve"> faced</w:t>
      </w:r>
      <w:r w:rsidR="00E422C5" w:rsidRPr="005B1D26">
        <w:t xml:space="preserve"> attacks </w:t>
      </w:r>
      <w:r w:rsidR="005B1D26" w:rsidRPr="005B1D26">
        <w:t>and threats</w:t>
      </w:r>
      <w:r w:rsidR="00C26842">
        <w:t xml:space="preserve"> that </w:t>
      </w:r>
      <w:r w:rsidR="00E422C5" w:rsidRPr="005B1D26">
        <w:t>severely limit</w:t>
      </w:r>
      <w:r w:rsidR="00C26842">
        <w:t>ed</w:t>
      </w:r>
      <w:r w:rsidR="00E422C5" w:rsidRPr="005B1D26">
        <w:t xml:space="preserve"> </w:t>
      </w:r>
      <w:r w:rsidR="00D309D0">
        <w:t xml:space="preserve">their </w:t>
      </w:r>
      <w:r w:rsidR="00E422C5" w:rsidRPr="005B1D26">
        <w:t>functioning</w:t>
      </w:r>
      <w:r w:rsidR="00194037">
        <w:t>;</w:t>
      </w:r>
      <w:r w:rsidR="00E422C5" w:rsidRPr="005B1D26">
        <w:t xml:space="preserve"> </w:t>
      </w:r>
      <w:r w:rsidR="00194037">
        <w:t>f</w:t>
      </w:r>
      <w:r w:rsidR="005B1D26" w:rsidRPr="005B1D26">
        <w:t xml:space="preserve">or instance, </w:t>
      </w:r>
      <w:r w:rsidR="005B1D26" w:rsidRPr="00B42806">
        <w:t xml:space="preserve">on 18 September 2017, an armed group physically assaulted a prosecutor at the Gharyan </w:t>
      </w:r>
      <w:r w:rsidR="00E63273">
        <w:t>c</w:t>
      </w:r>
      <w:r w:rsidR="005B1D26" w:rsidRPr="00B42806">
        <w:t xml:space="preserve">ourt </w:t>
      </w:r>
      <w:r w:rsidR="00E63273">
        <w:t>c</w:t>
      </w:r>
      <w:r w:rsidR="005B1D26" w:rsidRPr="00B42806">
        <w:t xml:space="preserve">omplex, leaving the premises with defendants and court documents. While a number of courts, particularly in eastern Libya, reopened in 2017, the </w:t>
      </w:r>
      <w:r w:rsidR="00C26842" w:rsidRPr="00B42806">
        <w:t xml:space="preserve">ability of the </w:t>
      </w:r>
      <w:r w:rsidR="005B1D26" w:rsidRPr="00B42806">
        <w:t>judiciary to process conflict-related and other politically sensitive cases remain</w:t>
      </w:r>
      <w:r w:rsidR="00716D40" w:rsidRPr="00B42806">
        <w:t>ed</w:t>
      </w:r>
      <w:r w:rsidR="005B1D26" w:rsidRPr="00B42806">
        <w:t xml:space="preserve"> limited. </w:t>
      </w:r>
      <w:r w:rsidR="00D07BE0" w:rsidRPr="00B42806">
        <w:t xml:space="preserve">The Judicial Police </w:t>
      </w:r>
      <w:r w:rsidR="00A20901">
        <w:t xml:space="preserve">- </w:t>
      </w:r>
      <w:r w:rsidR="00A20901">
        <w:rPr>
          <w:lang w:val="en-US"/>
        </w:rPr>
        <w:t xml:space="preserve">under the authority of the Ministry of Justice, with responsibility for, inter alia, </w:t>
      </w:r>
      <w:r w:rsidR="00A20901" w:rsidRPr="00B87F70">
        <w:t>managing prisons, enforcing court decisions, maintaining the security of courts and apprehending fugitives</w:t>
      </w:r>
      <w:r w:rsidR="00A20901" w:rsidRPr="00B42806">
        <w:t xml:space="preserve"> </w:t>
      </w:r>
      <w:r w:rsidR="00A20901">
        <w:t xml:space="preserve">– </w:t>
      </w:r>
      <w:r w:rsidR="00D07BE0" w:rsidRPr="00B42806">
        <w:t xml:space="preserve">also frequently cited security concerns as </w:t>
      </w:r>
      <w:r w:rsidR="00A20901">
        <w:t xml:space="preserve">the </w:t>
      </w:r>
      <w:r w:rsidR="00D07BE0" w:rsidRPr="00B42806">
        <w:t xml:space="preserve">reason for their failure to bring </w:t>
      </w:r>
      <w:r w:rsidR="00C51498" w:rsidRPr="00B42806">
        <w:t>detainees</w:t>
      </w:r>
      <w:r w:rsidR="00D07BE0" w:rsidRPr="00B42806">
        <w:t xml:space="preserve"> to court.</w:t>
      </w:r>
    </w:p>
    <w:p w14:paraId="7AA43623" w14:textId="44CCDAE4" w:rsidR="00E422C5" w:rsidRPr="00206848" w:rsidRDefault="00E422C5" w:rsidP="00025352">
      <w:pPr>
        <w:pStyle w:val="SingleTxtG"/>
      </w:pPr>
      <w:r w:rsidRPr="00206848">
        <w:t>5</w:t>
      </w:r>
      <w:r w:rsidR="00AB3860">
        <w:t>7</w:t>
      </w:r>
      <w:r w:rsidRPr="00206848">
        <w:t>.</w:t>
      </w:r>
      <w:r w:rsidRPr="00206848">
        <w:tab/>
        <w:t xml:space="preserve">The inability of the justice system to function effectively has led to widespread impunity, particularly for </w:t>
      </w:r>
      <w:r w:rsidR="00E71D4B">
        <w:t xml:space="preserve">violations and </w:t>
      </w:r>
      <w:r w:rsidRPr="00206848">
        <w:t xml:space="preserve">abuses </w:t>
      </w:r>
      <w:r w:rsidR="00C26842">
        <w:t xml:space="preserve">perpetrated </w:t>
      </w:r>
      <w:r w:rsidRPr="00206848">
        <w:t>by armed groups. UNSMIL/OHCHR is unaware of any pro</w:t>
      </w:r>
      <w:r w:rsidR="00E71D4B">
        <w:t xml:space="preserve">secution of armed group members, including those affiliated to the State, </w:t>
      </w:r>
      <w:r w:rsidRPr="00206848">
        <w:t>for crimes related to abuses committed since 2011</w:t>
      </w:r>
      <w:r w:rsidR="00E71D4B">
        <w:t xml:space="preserve">, including in cases where the State </w:t>
      </w:r>
      <w:r w:rsidR="007F7AF1">
        <w:t xml:space="preserve">exercised </w:t>
      </w:r>
      <w:r w:rsidR="00E71D4B">
        <w:t>effective control</w:t>
      </w:r>
      <w:r w:rsidR="007F7AF1">
        <w:t xml:space="preserve">, and </w:t>
      </w:r>
      <w:r w:rsidR="00E71D4B">
        <w:t>announced investigations</w:t>
      </w:r>
      <w:r w:rsidR="007F7AF1">
        <w:t>,</w:t>
      </w:r>
      <w:r w:rsidR="00E71D4B">
        <w:t xml:space="preserve"> </w:t>
      </w:r>
      <w:r w:rsidR="007F7AF1">
        <w:t xml:space="preserve">vowing </w:t>
      </w:r>
      <w:r w:rsidR="00E71D4B">
        <w:t>to bri</w:t>
      </w:r>
      <w:r w:rsidR="005578FF">
        <w:t>ng</w:t>
      </w:r>
      <w:r w:rsidR="00050987">
        <w:t xml:space="preserve"> those responsible to justice (</w:t>
      </w:r>
      <w:r w:rsidR="005578FF" w:rsidRPr="00050987">
        <w:t xml:space="preserve">see </w:t>
      </w:r>
      <w:r w:rsidR="00A20901">
        <w:t>paras. 22-30 above</w:t>
      </w:r>
      <w:r w:rsidR="005578FF">
        <w:t>)</w:t>
      </w:r>
      <w:r w:rsidRPr="00206848">
        <w:t xml:space="preserve">. </w:t>
      </w:r>
    </w:p>
    <w:p w14:paraId="08BDD116" w14:textId="77777777" w:rsidR="00E422C5" w:rsidRPr="00206848" w:rsidRDefault="00E422C5" w:rsidP="00025352">
      <w:pPr>
        <w:pStyle w:val="H1G"/>
        <w:spacing w:line="240" w:lineRule="atLeast"/>
      </w:pPr>
      <w:r w:rsidRPr="00206848">
        <w:tab/>
      </w:r>
      <w:r w:rsidR="00E71D4B">
        <w:t>B</w:t>
      </w:r>
      <w:r w:rsidRPr="00206848">
        <w:t>.</w:t>
      </w:r>
      <w:r w:rsidRPr="00206848">
        <w:tab/>
        <w:t>Libyan Political Agreement</w:t>
      </w:r>
    </w:p>
    <w:p w14:paraId="750AE07A" w14:textId="65C02AAB" w:rsidR="009D2F36" w:rsidRDefault="0068135E" w:rsidP="00025352">
      <w:pPr>
        <w:pStyle w:val="SingleTxtG"/>
      </w:pPr>
      <w:r>
        <w:t>5</w:t>
      </w:r>
      <w:r w:rsidR="00AB3860">
        <w:t>8</w:t>
      </w:r>
      <w:r w:rsidR="00E422C5" w:rsidRPr="00206848">
        <w:t>.</w:t>
      </w:r>
      <w:r w:rsidR="00E422C5" w:rsidRPr="00206848">
        <w:tab/>
      </w:r>
      <w:r w:rsidR="00A20901">
        <w:t>L</w:t>
      </w:r>
      <w:r w:rsidR="00E422C5" w:rsidRPr="00E71D4B">
        <w:t xml:space="preserve">ittle progress </w:t>
      </w:r>
      <w:r w:rsidR="00A20901">
        <w:t xml:space="preserve">was made </w:t>
      </w:r>
      <w:r w:rsidR="00E422C5" w:rsidRPr="00E71D4B">
        <w:t xml:space="preserve">in implementing the administration of justice and rule of law provisions of the </w:t>
      </w:r>
      <w:r w:rsidR="00A20901">
        <w:t>Libyan Political Agreement</w:t>
      </w:r>
      <w:r w:rsidR="009D2F36">
        <w:t>,</w:t>
      </w:r>
      <w:r w:rsidR="00E422C5" w:rsidRPr="00E71D4B">
        <w:t xml:space="preserve"> </w:t>
      </w:r>
      <w:r w:rsidR="009D2F36">
        <w:t xml:space="preserve">which </w:t>
      </w:r>
      <w:r w:rsidR="00E422C5" w:rsidRPr="00E71D4B">
        <w:t xml:space="preserve">requires that armed groups release or hand over to the judicial authorities persons held in custody without a legal basis; that judicial authorities bring those persons before the judiciary or release them; and that the competent judicial authorities provide effective protection. </w:t>
      </w:r>
      <w:r w:rsidR="009D2F36" w:rsidRPr="00E71D4B">
        <w:t>Implementation</w:t>
      </w:r>
      <w:r w:rsidR="009D2F36">
        <w:t xml:space="preserve"> of the </w:t>
      </w:r>
      <w:r w:rsidR="00A20901">
        <w:t>Agreement</w:t>
      </w:r>
      <w:r w:rsidR="00A20901" w:rsidRPr="00E71D4B">
        <w:t xml:space="preserve"> </w:t>
      </w:r>
      <w:r w:rsidR="009D2F36" w:rsidRPr="00E71D4B">
        <w:t xml:space="preserve">would </w:t>
      </w:r>
      <w:r w:rsidR="00A20901">
        <w:t>help</w:t>
      </w:r>
      <w:r w:rsidR="00C26842">
        <w:t xml:space="preserve"> to </w:t>
      </w:r>
      <w:r w:rsidR="009D2F36" w:rsidRPr="00E71D4B">
        <w:t>address many concerns regarding impunity and abuses committed by armed groups.</w:t>
      </w:r>
    </w:p>
    <w:p w14:paraId="3D529DF5" w14:textId="06E95B19" w:rsidR="00E71D4B" w:rsidRPr="00E71D4B" w:rsidRDefault="00AB3860" w:rsidP="00025352">
      <w:pPr>
        <w:pStyle w:val="SingleTxtG"/>
      </w:pPr>
      <w:r>
        <w:t>59</w:t>
      </w:r>
      <w:r w:rsidR="009D2F36">
        <w:t>.</w:t>
      </w:r>
      <w:r w:rsidR="009D2F36">
        <w:tab/>
      </w:r>
      <w:r w:rsidR="00E422C5" w:rsidRPr="00E71D4B">
        <w:t xml:space="preserve">The </w:t>
      </w:r>
      <w:r w:rsidR="00B032C4" w:rsidRPr="00B42806">
        <w:t>G</w:t>
      </w:r>
      <w:r w:rsidR="00B032C4">
        <w:t>overnment of National Accord</w:t>
      </w:r>
      <w:r w:rsidR="00B032C4" w:rsidDel="00B032C4">
        <w:t xml:space="preserve"> </w:t>
      </w:r>
      <w:r w:rsidR="005578FF">
        <w:t>exclusively grants</w:t>
      </w:r>
      <w:r w:rsidR="00E422C5" w:rsidRPr="00E71D4B">
        <w:t xml:space="preserve"> the authority to arrest and detain to law enforcement bodies</w:t>
      </w:r>
      <w:r w:rsidR="00D300DF">
        <w:t xml:space="preserve"> established by law</w:t>
      </w:r>
      <w:r w:rsidR="00E422C5" w:rsidRPr="00E71D4B">
        <w:t>.</w:t>
      </w:r>
      <w:r w:rsidR="00E422C5" w:rsidRPr="00E71D4B">
        <w:rPr>
          <w:rStyle w:val="FootnoteReference"/>
          <w:sz w:val="20"/>
        </w:rPr>
        <w:footnoteReference w:id="8"/>
      </w:r>
      <w:r w:rsidR="00E422C5" w:rsidRPr="00E71D4B">
        <w:t xml:space="preserve"> </w:t>
      </w:r>
      <w:r w:rsidR="00E71D4B" w:rsidRPr="00E71D4B">
        <w:t xml:space="preserve">In a positive development, </w:t>
      </w:r>
      <w:r w:rsidR="00E71D4B" w:rsidRPr="00B42806">
        <w:t>the G</w:t>
      </w:r>
      <w:r w:rsidR="00260F15">
        <w:t xml:space="preserve">overnment </w:t>
      </w:r>
      <w:r w:rsidR="00E71D4B" w:rsidRPr="00B42806">
        <w:t>appointed a Minister of Justice</w:t>
      </w:r>
      <w:r w:rsidR="00260F15">
        <w:t>,</w:t>
      </w:r>
      <w:r w:rsidR="00E71D4B" w:rsidRPr="00B42806">
        <w:t xml:space="preserve"> who assumed his functions in late March. In meetings</w:t>
      </w:r>
      <w:r w:rsidR="00260F15">
        <w:t xml:space="preserve"> held</w:t>
      </w:r>
      <w:r w:rsidR="00E71D4B" w:rsidRPr="00B42806">
        <w:t xml:space="preserve"> in June with UNSMIL, </w:t>
      </w:r>
      <w:r w:rsidR="00F92195" w:rsidRPr="00B42806">
        <w:t>t</w:t>
      </w:r>
      <w:r w:rsidR="00E71D4B" w:rsidRPr="00B42806">
        <w:t xml:space="preserve">he </w:t>
      </w:r>
      <w:r w:rsidR="00F92195" w:rsidRPr="00B42806">
        <w:t xml:space="preserve">Minister </w:t>
      </w:r>
      <w:r w:rsidR="00E71D4B" w:rsidRPr="00B42806">
        <w:t xml:space="preserve">acknowledged the importance of </w:t>
      </w:r>
      <w:r w:rsidR="00994A82" w:rsidRPr="00B42806">
        <w:t>tack</w:t>
      </w:r>
      <w:r w:rsidR="00C26842" w:rsidRPr="00B42806">
        <w:t>l</w:t>
      </w:r>
      <w:r w:rsidR="00994A82" w:rsidRPr="00B42806">
        <w:t>ing</w:t>
      </w:r>
      <w:r w:rsidR="00E71D4B" w:rsidRPr="00B42806">
        <w:t xml:space="preserve"> the issue of unlawful detention</w:t>
      </w:r>
      <w:r w:rsidR="00260F15">
        <w:t>,</w:t>
      </w:r>
      <w:r w:rsidR="00E71D4B" w:rsidRPr="00B42806">
        <w:t xml:space="preserve"> and confirmed his commitment to address human rights concerns in the context of detention in compliance with international law. The Ministry’s priorities for 2017</w:t>
      </w:r>
      <w:r w:rsidR="00697E66" w:rsidRPr="00B42806">
        <w:t xml:space="preserve"> </w:t>
      </w:r>
      <w:r w:rsidR="00E71D4B" w:rsidRPr="00B42806">
        <w:t xml:space="preserve">included transferring all facilities under the effective oversight of the Judicial Police and </w:t>
      </w:r>
      <w:r w:rsidR="0026283D">
        <w:t xml:space="preserve">the </w:t>
      </w:r>
      <w:r w:rsidR="00E71D4B" w:rsidRPr="00B42806">
        <w:t>judiciary, ending torture and other custodial abuses</w:t>
      </w:r>
      <w:r w:rsidR="0026283D">
        <w:t>,</w:t>
      </w:r>
      <w:r w:rsidR="00E71D4B" w:rsidRPr="00B42806">
        <w:t xml:space="preserve"> and holding perpetrators accountable.</w:t>
      </w:r>
      <w:r w:rsidR="004C0693" w:rsidRPr="00B42806">
        <w:t xml:space="preserve"> </w:t>
      </w:r>
      <w:r w:rsidR="0026283D">
        <w:t>The i</w:t>
      </w:r>
      <w:r w:rsidR="004C0693" w:rsidRPr="00B42806">
        <w:t xml:space="preserve">mplementation of these </w:t>
      </w:r>
      <w:r w:rsidR="0026283D">
        <w:t>objectives</w:t>
      </w:r>
      <w:r w:rsidR="0026283D" w:rsidRPr="00B42806">
        <w:t xml:space="preserve"> </w:t>
      </w:r>
      <w:r w:rsidR="004C0693" w:rsidRPr="00B42806">
        <w:t>has been severely stalled</w:t>
      </w:r>
      <w:r w:rsidR="0026283D">
        <w:t xml:space="preserve"> to date</w:t>
      </w:r>
      <w:r w:rsidR="004C0693" w:rsidRPr="00B42806">
        <w:t>.</w:t>
      </w:r>
      <w:r w:rsidR="00E71D4B" w:rsidRPr="00B42806">
        <w:rPr>
          <w:sz w:val="24"/>
          <w:szCs w:val="24"/>
        </w:rPr>
        <w:t xml:space="preserve"> </w:t>
      </w:r>
    </w:p>
    <w:p w14:paraId="2582A0BD" w14:textId="23A7F336" w:rsidR="00E422C5" w:rsidRPr="00206848" w:rsidRDefault="00E422C5" w:rsidP="00025352">
      <w:pPr>
        <w:pStyle w:val="H1G"/>
        <w:spacing w:line="240" w:lineRule="atLeast"/>
        <w:jc w:val="both"/>
      </w:pPr>
      <w:r w:rsidRPr="00206848">
        <w:tab/>
      </w:r>
      <w:r w:rsidR="00C51498">
        <w:t>C</w:t>
      </w:r>
      <w:r w:rsidRPr="00206848">
        <w:t>.</w:t>
      </w:r>
      <w:r w:rsidRPr="00206848">
        <w:tab/>
        <w:t>Arbitrary detention, deprivation of liberty, torture and ill-treatment</w:t>
      </w:r>
    </w:p>
    <w:p w14:paraId="1F5D393F" w14:textId="0B64A85A" w:rsidR="00E422C5" w:rsidRPr="002060A9" w:rsidRDefault="0068135E" w:rsidP="00025352">
      <w:pPr>
        <w:pStyle w:val="SingleTxtG"/>
        <w:rPr>
          <w:strike/>
        </w:rPr>
      </w:pPr>
      <w:r>
        <w:t>6</w:t>
      </w:r>
      <w:r w:rsidR="00AB3860">
        <w:t>0</w:t>
      </w:r>
      <w:r w:rsidR="00E422C5" w:rsidRPr="00206848">
        <w:t>.</w:t>
      </w:r>
      <w:r w:rsidR="00E422C5" w:rsidRPr="00206848">
        <w:tab/>
      </w:r>
      <w:r w:rsidR="00094D6D">
        <w:t xml:space="preserve">Instances of arbitrary detention, </w:t>
      </w:r>
      <w:r w:rsidR="00513EAB">
        <w:t xml:space="preserve">unlawful </w:t>
      </w:r>
      <w:r w:rsidR="00094D6D">
        <w:t>deprivation of liberty, and torture and ill</w:t>
      </w:r>
      <w:r w:rsidR="004B6464">
        <w:t>-</w:t>
      </w:r>
      <w:r w:rsidR="00094D6D">
        <w:t xml:space="preserve">treatment, in violation of applicable international human rights law, continued to be reported to UNSMIL/OHCHR. </w:t>
      </w:r>
      <w:r w:rsidR="007563B4" w:rsidRPr="00B42806">
        <w:rPr>
          <w:color w:val="000000"/>
        </w:rPr>
        <w:t xml:space="preserve">In April 2017, the Working Group on Arbitrary Detention found that </w:t>
      </w:r>
      <w:r w:rsidR="00D9092B">
        <w:rPr>
          <w:color w:val="000000"/>
        </w:rPr>
        <w:t xml:space="preserve">the detention of </w:t>
      </w:r>
      <w:r w:rsidR="007563B4" w:rsidRPr="00B42806">
        <w:rPr>
          <w:color w:val="000000"/>
        </w:rPr>
        <w:t>seven men in eastern Libya for nearly three years</w:t>
      </w:r>
      <w:r w:rsidR="00D9092B">
        <w:rPr>
          <w:color w:val="000000"/>
        </w:rPr>
        <w:t xml:space="preserve"> was arbitrary</w:t>
      </w:r>
      <w:r w:rsidR="007563B4" w:rsidRPr="00B42806">
        <w:rPr>
          <w:color w:val="000000"/>
        </w:rPr>
        <w:t xml:space="preserve">, given the lack of </w:t>
      </w:r>
      <w:r w:rsidR="007239AE" w:rsidRPr="00B42806">
        <w:rPr>
          <w:color w:val="000000"/>
        </w:rPr>
        <w:t xml:space="preserve">any </w:t>
      </w:r>
      <w:r w:rsidR="007563B4" w:rsidRPr="00B42806">
        <w:rPr>
          <w:color w:val="000000"/>
        </w:rPr>
        <w:t>legal bas</w:t>
      </w:r>
      <w:r w:rsidR="007239AE" w:rsidRPr="00B42806">
        <w:rPr>
          <w:color w:val="000000"/>
        </w:rPr>
        <w:t>i</w:t>
      </w:r>
      <w:r w:rsidR="007563B4" w:rsidRPr="00B42806">
        <w:rPr>
          <w:color w:val="000000"/>
        </w:rPr>
        <w:t xml:space="preserve">s for their detention and </w:t>
      </w:r>
      <w:r w:rsidR="00D9092B">
        <w:rPr>
          <w:color w:val="000000"/>
        </w:rPr>
        <w:t xml:space="preserve">the </w:t>
      </w:r>
      <w:r w:rsidR="007563B4" w:rsidRPr="00B42806">
        <w:rPr>
          <w:color w:val="000000"/>
        </w:rPr>
        <w:t xml:space="preserve">breaches of their </w:t>
      </w:r>
      <w:r w:rsidR="00D9092B">
        <w:rPr>
          <w:color w:val="000000"/>
        </w:rPr>
        <w:t xml:space="preserve">right to a </w:t>
      </w:r>
      <w:r w:rsidR="007563B4" w:rsidRPr="00B42806">
        <w:rPr>
          <w:color w:val="000000"/>
        </w:rPr>
        <w:t xml:space="preserve">fair trial </w:t>
      </w:r>
      <w:r w:rsidR="00D9092B">
        <w:rPr>
          <w:color w:val="000000"/>
        </w:rPr>
        <w:t xml:space="preserve">(see </w:t>
      </w:r>
      <w:r w:rsidR="00D9092B">
        <w:t>A/HRC/WGAD/2017/6)</w:t>
      </w:r>
      <w:r w:rsidR="007563B4" w:rsidRPr="00B42806">
        <w:rPr>
          <w:color w:val="000000"/>
        </w:rPr>
        <w:t xml:space="preserve">. </w:t>
      </w:r>
    </w:p>
    <w:p w14:paraId="5669DD68" w14:textId="730E4766" w:rsidR="00E422C5" w:rsidRPr="00206848" w:rsidRDefault="0068135E" w:rsidP="00025352">
      <w:pPr>
        <w:pStyle w:val="SingleTxtG"/>
      </w:pPr>
      <w:r>
        <w:t>6</w:t>
      </w:r>
      <w:r w:rsidR="00AB3860">
        <w:t>1</w:t>
      </w:r>
      <w:r w:rsidR="00E422C5" w:rsidRPr="00206848">
        <w:t>.</w:t>
      </w:r>
      <w:r w:rsidR="00E422C5" w:rsidRPr="00206848">
        <w:tab/>
        <w:t xml:space="preserve">UNSMIL/OHCHR found </w:t>
      </w:r>
      <w:r w:rsidR="00094D6D">
        <w:t xml:space="preserve">evidence </w:t>
      </w:r>
      <w:r w:rsidR="00E422C5" w:rsidRPr="00206848">
        <w:t>that arbitrary detention,</w:t>
      </w:r>
      <w:r w:rsidR="00D9092B" w:rsidRPr="00206848">
        <w:rPr>
          <w:rStyle w:val="FootnoteReference"/>
        </w:rPr>
        <w:footnoteReference w:id="9"/>
      </w:r>
      <w:r w:rsidR="00E422C5" w:rsidRPr="00206848">
        <w:t xml:space="preserve"> </w:t>
      </w:r>
      <w:r w:rsidR="00C34EEC">
        <w:t xml:space="preserve">unlawful </w:t>
      </w:r>
      <w:r w:rsidR="00E422C5" w:rsidRPr="00206848">
        <w:t>deprivation of liberty,</w:t>
      </w:r>
      <w:r w:rsidR="005A01F5">
        <w:t xml:space="preserve"> enforced disappearances,</w:t>
      </w:r>
      <w:r w:rsidR="00E422C5" w:rsidRPr="00206848">
        <w:t xml:space="preserve"> torture and ill-treatment </w:t>
      </w:r>
      <w:r w:rsidR="0019545A">
        <w:t>we</w:t>
      </w:r>
      <w:r w:rsidR="00E422C5" w:rsidRPr="00206848">
        <w:t>re widespread. Victims include</w:t>
      </w:r>
      <w:r w:rsidR="00716D40">
        <w:t>d</w:t>
      </w:r>
      <w:r w:rsidR="00E422C5" w:rsidRPr="00206848">
        <w:t xml:space="preserve"> </w:t>
      </w:r>
      <w:r w:rsidR="007563B4">
        <w:t>individuals</w:t>
      </w:r>
      <w:r w:rsidR="00E422C5" w:rsidRPr="00206848">
        <w:t xml:space="preserve"> targeted for their </w:t>
      </w:r>
      <w:r w:rsidR="00C34EEC">
        <w:t xml:space="preserve">tribal or family </w:t>
      </w:r>
      <w:r w:rsidR="00E422C5" w:rsidRPr="00206848">
        <w:t xml:space="preserve">identity or opinion, as well as migrants. Perpetrators </w:t>
      </w:r>
      <w:r w:rsidR="00A00BA7">
        <w:t>we</w:t>
      </w:r>
      <w:r w:rsidR="00E422C5" w:rsidRPr="00206848">
        <w:t xml:space="preserve">re primarily armed groups, </w:t>
      </w:r>
      <w:r w:rsidR="00C34EEC">
        <w:t>including those</w:t>
      </w:r>
      <w:r w:rsidR="00E422C5" w:rsidRPr="00206848">
        <w:t xml:space="preserve"> act</w:t>
      </w:r>
      <w:r w:rsidR="00C34EEC">
        <w:t>ing</w:t>
      </w:r>
      <w:r w:rsidR="00E422C5" w:rsidRPr="00206848">
        <w:t xml:space="preserve"> on behalf of the State</w:t>
      </w:r>
      <w:r w:rsidR="00937ED5">
        <w:t>.</w:t>
      </w:r>
    </w:p>
    <w:p w14:paraId="365FCF79" w14:textId="6EB1A686" w:rsidR="00E422C5" w:rsidRPr="00206848" w:rsidRDefault="00D45F7B" w:rsidP="00025352">
      <w:pPr>
        <w:pStyle w:val="SingleTxtG"/>
      </w:pPr>
      <w:r w:rsidRPr="00206848">
        <w:t>6</w:t>
      </w:r>
      <w:r w:rsidR="00AB3860">
        <w:t>2</w:t>
      </w:r>
      <w:r w:rsidR="00E422C5" w:rsidRPr="00206848">
        <w:t>.</w:t>
      </w:r>
      <w:r w:rsidR="00E422C5" w:rsidRPr="00206848">
        <w:tab/>
      </w:r>
      <w:r w:rsidR="000173BF">
        <w:t xml:space="preserve">In October, the Judicial Police estimated that some 6,400 </w:t>
      </w:r>
      <w:r w:rsidR="00796A69">
        <w:t>men, women and children</w:t>
      </w:r>
      <w:r w:rsidR="000173BF">
        <w:t xml:space="preserve"> were </w:t>
      </w:r>
      <w:r w:rsidR="00D9092B">
        <w:t xml:space="preserve">currently being </w:t>
      </w:r>
      <w:r w:rsidR="000173BF">
        <w:t xml:space="preserve">held in </w:t>
      </w:r>
      <w:r w:rsidR="002810EC">
        <w:t>26</w:t>
      </w:r>
      <w:r w:rsidR="000173BF">
        <w:t xml:space="preserve"> </w:t>
      </w:r>
      <w:r w:rsidR="00A00BA7">
        <w:t xml:space="preserve">official </w:t>
      </w:r>
      <w:r w:rsidR="000173BF">
        <w:t>prisons</w:t>
      </w:r>
      <w:r w:rsidR="00E422C5" w:rsidRPr="00206848">
        <w:t>.</w:t>
      </w:r>
      <w:r w:rsidR="00E422C5" w:rsidRPr="00206848">
        <w:rPr>
          <w:rStyle w:val="FootnoteReference"/>
        </w:rPr>
        <w:footnoteReference w:id="10"/>
      </w:r>
      <w:r w:rsidR="000173BF">
        <w:t xml:space="preserve"> Some 75</w:t>
      </w:r>
      <w:r w:rsidR="00E422C5" w:rsidRPr="00206848">
        <w:t xml:space="preserve"> per cent </w:t>
      </w:r>
      <w:r w:rsidR="000173BF">
        <w:t>we</w:t>
      </w:r>
      <w:r w:rsidR="00E422C5" w:rsidRPr="00206848">
        <w:t xml:space="preserve">re in pretrial detention, </w:t>
      </w:r>
      <w:r w:rsidR="00716D40">
        <w:t xml:space="preserve">including </w:t>
      </w:r>
      <w:r w:rsidR="0068135E">
        <w:t>thousands</w:t>
      </w:r>
      <w:r w:rsidR="00E422C5" w:rsidRPr="00206848">
        <w:t xml:space="preserve"> detained </w:t>
      </w:r>
      <w:r w:rsidR="0068135E">
        <w:t xml:space="preserve">since the 2011 armed </w:t>
      </w:r>
      <w:r w:rsidR="00716D40">
        <w:t>conflict</w:t>
      </w:r>
      <w:r w:rsidR="007239AE">
        <w:t>,</w:t>
      </w:r>
      <w:r w:rsidR="00E422C5" w:rsidRPr="00206848">
        <w:t xml:space="preserve"> with no prospect of trial. </w:t>
      </w:r>
      <w:r w:rsidR="00716D40">
        <w:t xml:space="preserve">While no official statistics </w:t>
      </w:r>
      <w:r w:rsidR="00796A69">
        <w:t>were available</w:t>
      </w:r>
      <w:r w:rsidR="00716D40">
        <w:t xml:space="preserve">, an additional </w:t>
      </w:r>
      <w:r w:rsidR="00513EAB">
        <w:t>2</w:t>
      </w:r>
      <w:r w:rsidR="00716D40" w:rsidRPr="00A00BA7">
        <w:t>,</w:t>
      </w:r>
      <w:r w:rsidR="00513EAB">
        <w:t>6</w:t>
      </w:r>
      <w:r w:rsidR="00513EAB" w:rsidRPr="00A00BA7">
        <w:t>00</w:t>
      </w:r>
      <w:r w:rsidR="00513EAB">
        <w:t xml:space="preserve"> </w:t>
      </w:r>
      <w:r w:rsidR="00716D40">
        <w:t xml:space="preserve">people were estimated to be held at the Mitiga detention facility </w:t>
      </w:r>
      <w:r w:rsidR="00796A69">
        <w:t xml:space="preserve">run </w:t>
      </w:r>
      <w:r w:rsidR="00716D40">
        <w:t xml:space="preserve">by the </w:t>
      </w:r>
      <w:r w:rsidR="00D9092B" w:rsidRPr="00B42806">
        <w:t>Special Deterrence Force</w:t>
      </w:r>
      <w:r w:rsidR="00716D40">
        <w:t xml:space="preserve">, most without </w:t>
      </w:r>
      <w:r w:rsidR="00937ED5">
        <w:t>having</w:t>
      </w:r>
      <w:r w:rsidR="00716D40">
        <w:t xml:space="preserve"> </w:t>
      </w:r>
      <w:r w:rsidR="00904843">
        <w:t>appeared before</w:t>
      </w:r>
      <w:r w:rsidR="00716D40">
        <w:t xml:space="preserve"> judicial </w:t>
      </w:r>
      <w:r w:rsidR="00A00BA7">
        <w:t>authorities</w:t>
      </w:r>
      <w:r w:rsidR="00716D40">
        <w:t>. The number of</w:t>
      </w:r>
      <w:r w:rsidR="00E422C5" w:rsidRPr="00206848">
        <w:t xml:space="preserve"> detainees held in </w:t>
      </w:r>
      <w:r w:rsidR="00716D40">
        <w:t>facilities</w:t>
      </w:r>
      <w:r w:rsidR="00E422C5" w:rsidRPr="00206848">
        <w:t xml:space="preserve"> run by the Ministry of Defence, the Ministry of the Interior </w:t>
      </w:r>
      <w:r w:rsidR="00A00BA7">
        <w:t>or directly by</w:t>
      </w:r>
      <w:r w:rsidR="00E422C5" w:rsidRPr="00206848">
        <w:t xml:space="preserve"> armed groups</w:t>
      </w:r>
      <w:r w:rsidR="00716D40">
        <w:t xml:space="preserve"> remained unknown</w:t>
      </w:r>
      <w:r w:rsidR="00E422C5" w:rsidRPr="00206848">
        <w:t xml:space="preserve">. </w:t>
      </w:r>
    </w:p>
    <w:p w14:paraId="14A735FE" w14:textId="41756D7D" w:rsidR="00E422C5" w:rsidRPr="00206848" w:rsidRDefault="00D45F7B" w:rsidP="00025352">
      <w:pPr>
        <w:pStyle w:val="SingleTxtG"/>
      </w:pPr>
      <w:r w:rsidRPr="00206848">
        <w:t>6</w:t>
      </w:r>
      <w:r w:rsidR="00AB3860">
        <w:t>3</w:t>
      </w:r>
      <w:r w:rsidR="00566085" w:rsidRPr="00206848">
        <w:t>.</w:t>
      </w:r>
      <w:r w:rsidR="00E422C5" w:rsidRPr="00206848">
        <w:tab/>
        <w:t>Armed groups detain</w:t>
      </w:r>
      <w:r w:rsidR="00A00BA7">
        <w:t>ed</w:t>
      </w:r>
      <w:r w:rsidR="00E422C5" w:rsidRPr="00206848">
        <w:t xml:space="preserve"> individuals, often </w:t>
      </w:r>
      <w:r w:rsidR="00967B01">
        <w:t xml:space="preserve">on the basis of </w:t>
      </w:r>
      <w:r w:rsidR="00E422C5" w:rsidRPr="00206848">
        <w:t xml:space="preserve">their affiliations or simply to exchange them for other detainees. </w:t>
      </w:r>
      <w:r w:rsidR="00C7768E">
        <w:t xml:space="preserve">Most were held </w:t>
      </w:r>
      <w:r w:rsidR="00E422C5" w:rsidRPr="00206848">
        <w:t>with no judicial process</w:t>
      </w:r>
      <w:r w:rsidR="00967B01">
        <w:t>,</w:t>
      </w:r>
      <w:r w:rsidR="00E422C5" w:rsidRPr="00206848">
        <w:t xml:space="preserve"> and sometimes </w:t>
      </w:r>
      <w:r w:rsidR="00BC37C7">
        <w:t xml:space="preserve">in contravention of </w:t>
      </w:r>
      <w:r w:rsidR="00E422C5" w:rsidRPr="00206848">
        <w:t xml:space="preserve">release orders </w:t>
      </w:r>
      <w:r w:rsidR="00BC37C7">
        <w:t xml:space="preserve">issued </w:t>
      </w:r>
      <w:r w:rsidR="00E422C5" w:rsidRPr="00206848">
        <w:t xml:space="preserve">by </w:t>
      </w:r>
      <w:r w:rsidR="00C7768E">
        <w:t>judicial bodies</w:t>
      </w:r>
      <w:r w:rsidR="00E422C5" w:rsidRPr="00206848">
        <w:t xml:space="preserve">. Detainees </w:t>
      </w:r>
      <w:r w:rsidR="00C7768E">
        <w:t>we</w:t>
      </w:r>
      <w:r w:rsidR="00E422C5" w:rsidRPr="00206848">
        <w:t>re often</w:t>
      </w:r>
      <w:r w:rsidR="002679E6">
        <w:t xml:space="preserve"> held incommunicado for prolonged periods of time,</w:t>
      </w:r>
      <w:r w:rsidR="00E422C5" w:rsidRPr="00206848">
        <w:t xml:space="preserve"> subjected to torture or ill-treatment</w:t>
      </w:r>
      <w:r w:rsidR="00967B01">
        <w:t>,</w:t>
      </w:r>
      <w:r w:rsidR="00E422C5" w:rsidRPr="00206848">
        <w:t xml:space="preserve"> and coerced into giving confessions. At </w:t>
      </w:r>
      <w:r w:rsidR="003F1172">
        <w:t xml:space="preserve">times, confessions </w:t>
      </w:r>
      <w:r w:rsidR="00716D40">
        <w:t>were</w:t>
      </w:r>
      <w:r w:rsidR="003F1172">
        <w:t xml:space="preserve"> </w:t>
      </w:r>
      <w:r w:rsidR="00E422C5" w:rsidRPr="00206848">
        <w:t>broadcast</w:t>
      </w:r>
      <w:r w:rsidR="00C7768E">
        <w:t xml:space="preserve"> on television</w:t>
      </w:r>
      <w:r w:rsidR="00716D40">
        <w:t xml:space="preserve"> and used in criminal proceedings</w:t>
      </w:r>
      <w:r w:rsidR="00C7768E">
        <w:t>.</w:t>
      </w:r>
    </w:p>
    <w:p w14:paraId="6DCF0D5D" w14:textId="0364712D" w:rsidR="00E422C5" w:rsidRPr="005808AD" w:rsidRDefault="00D45F7B" w:rsidP="00025352">
      <w:pPr>
        <w:pStyle w:val="SingleTxtG"/>
      </w:pPr>
      <w:r w:rsidRPr="00206848">
        <w:t>6</w:t>
      </w:r>
      <w:r w:rsidR="00AB3860">
        <w:t>4</w:t>
      </w:r>
      <w:r w:rsidR="00E422C5" w:rsidRPr="00206848">
        <w:t>.</w:t>
      </w:r>
      <w:r w:rsidR="00E422C5" w:rsidRPr="00206848">
        <w:tab/>
      </w:r>
      <w:r w:rsidR="002679E6">
        <w:t>In 2017</w:t>
      </w:r>
      <w:r w:rsidR="00E422C5" w:rsidRPr="00206848">
        <w:t xml:space="preserve">, </w:t>
      </w:r>
      <w:r w:rsidR="002679E6">
        <w:t>UNSMIL/OHCHR</w:t>
      </w:r>
      <w:r w:rsidR="00E422C5" w:rsidRPr="00206848">
        <w:t xml:space="preserve"> </w:t>
      </w:r>
      <w:r w:rsidR="003F1172">
        <w:t xml:space="preserve">documented </w:t>
      </w:r>
      <w:r w:rsidR="00E422C5" w:rsidRPr="00206848">
        <w:t xml:space="preserve">patterns of torture, ill-treatment and inhuman prison conditions in a number of </w:t>
      </w:r>
      <w:r w:rsidR="00A00BA7">
        <w:t>detention</w:t>
      </w:r>
      <w:r w:rsidR="00E422C5" w:rsidRPr="00206848">
        <w:t xml:space="preserve"> facilities, including </w:t>
      </w:r>
      <w:r w:rsidR="00BC2A63">
        <w:t>the</w:t>
      </w:r>
      <w:r w:rsidR="00E422C5" w:rsidRPr="00206848">
        <w:t xml:space="preserve"> Gernada </w:t>
      </w:r>
      <w:r w:rsidR="002679E6">
        <w:t>prison</w:t>
      </w:r>
      <w:r w:rsidR="00E422C5" w:rsidRPr="00206848">
        <w:t xml:space="preserve"> in </w:t>
      </w:r>
      <w:r w:rsidR="009D30E4">
        <w:t>A</w:t>
      </w:r>
      <w:r w:rsidR="002679E6">
        <w:t>l-Baida</w:t>
      </w:r>
      <w:r w:rsidR="009D30E4">
        <w:t>,</w:t>
      </w:r>
      <w:r w:rsidR="002679E6">
        <w:t xml:space="preserve"> </w:t>
      </w:r>
      <w:r w:rsidR="009D30E4">
        <w:t>A</w:t>
      </w:r>
      <w:r w:rsidR="002679E6">
        <w:t xml:space="preserve">l-Kuweifiya prison in </w:t>
      </w:r>
      <w:r w:rsidR="00E422C5" w:rsidRPr="00206848">
        <w:t>Benghazi</w:t>
      </w:r>
      <w:r w:rsidR="009D30E4">
        <w:t>,</w:t>
      </w:r>
      <w:r w:rsidR="00E422C5" w:rsidRPr="00206848">
        <w:t xml:space="preserve"> </w:t>
      </w:r>
      <w:r w:rsidR="009D30E4">
        <w:t>A</w:t>
      </w:r>
      <w:r w:rsidR="00E422C5" w:rsidRPr="00206848">
        <w:t xml:space="preserve">l-Jawiya and Tomina prisons in Misrata and the </w:t>
      </w:r>
      <w:r w:rsidR="002679E6">
        <w:t>Mitiga and Abu Salim</w:t>
      </w:r>
      <w:r w:rsidR="00E422C5" w:rsidRPr="00206848">
        <w:t xml:space="preserve"> detention facilities </w:t>
      </w:r>
      <w:r w:rsidR="002679E6">
        <w:t>in Tripoli</w:t>
      </w:r>
      <w:r w:rsidR="00E422C5" w:rsidRPr="00206848">
        <w:t xml:space="preserve">. </w:t>
      </w:r>
      <w:r w:rsidR="007C4D1E">
        <w:t>Pattern</w:t>
      </w:r>
      <w:r w:rsidR="00850228">
        <w:t>s</w:t>
      </w:r>
      <w:r w:rsidR="007C4D1E">
        <w:t xml:space="preserve"> of t</w:t>
      </w:r>
      <w:r w:rsidR="003F1172">
        <w:t>orture included</w:t>
      </w:r>
      <w:r w:rsidR="003F1172" w:rsidRPr="00206848">
        <w:t xml:space="preserve"> beating</w:t>
      </w:r>
      <w:r w:rsidR="003F1172">
        <w:t>s</w:t>
      </w:r>
      <w:r w:rsidR="003F1172" w:rsidRPr="00206848">
        <w:t xml:space="preserve">, cigarette burns, electrocution, </w:t>
      </w:r>
      <w:r w:rsidR="00BC2A63">
        <w:t xml:space="preserve">death threats, </w:t>
      </w:r>
      <w:r w:rsidR="003F1172" w:rsidRPr="00206848">
        <w:t>suspen</w:t>
      </w:r>
      <w:r w:rsidR="00716D40">
        <w:t xml:space="preserve">sion in </w:t>
      </w:r>
      <w:r w:rsidR="003F1172">
        <w:t>stress positions</w:t>
      </w:r>
      <w:r w:rsidR="003F1172" w:rsidRPr="00206848">
        <w:t xml:space="preserve"> and </w:t>
      </w:r>
      <w:r w:rsidR="00716D40">
        <w:t>confinement in small,</w:t>
      </w:r>
      <w:r w:rsidR="003F1172" w:rsidRPr="00206848">
        <w:t xml:space="preserve"> suffocating spaces. </w:t>
      </w:r>
      <w:r w:rsidR="005808AD">
        <w:t>UNSMIL/OHCHR continue</w:t>
      </w:r>
      <w:r w:rsidR="00807EA6">
        <w:t>d</w:t>
      </w:r>
      <w:r w:rsidR="005808AD">
        <w:t xml:space="preserve"> to receive </w:t>
      </w:r>
      <w:r w:rsidR="009D30E4">
        <w:t xml:space="preserve">reports </w:t>
      </w:r>
      <w:r w:rsidR="005808AD">
        <w:t xml:space="preserve">of deaths in custody. From January to October 2017, </w:t>
      </w:r>
      <w:r w:rsidR="005808AD" w:rsidRPr="00B42806">
        <w:rPr>
          <w:rFonts w:eastAsia="Times New Roman"/>
          <w:color w:val="000000"/>
        </w:rPr>
        <w:t xml:space="preserve">at least </w:t>
      </w:r>
      <w:r w:rsidR="007B66CD" w:rsidRPr="00B42806">
        <w:rPr>
          <w:rFonts w:eastAsia="Times New Roman"/>
          <w:color w:val="000000"/>
        </w:rPr>
        <w:t xml:space="preserve">35 </w:t>
      </w:r>
      <w:r w:rsidR="005808AD" w:rsidRPr="00B42806">
        <w:rPr>
          <w:rFonts w:eastAsia="Times New Roman"/>
          <w:color w:val="000000"/>
        </w:rPr>
        <w:t>bodies bearing signs of torture were brought to Tripoli hospitals. They include</w:t>
      </w:r>
      <w:r w:rsidR="00A00BA7" w:rsidRPr="00B42806">
        <w:rPr>
          <w:rFonts w:eastAsia="Times New Roman"/>
          <w:color w:val="000000"/>
        </w:rPr>
        <w:t>d</w:t>
      </w:r>
      <w:r w:rsidR="005808AD" w:rsidRPr="00B42806">
        <w:rPr>
          <w:rFonts w:eastAsia="Times New Roman"/>
          <w:color w:val="000000"/>
        </w:rPr>
        <w:t xml:space="preserve"> the body of a man </w:t>
      </w:r>
      <w:r w:rsidR="003F1172" w:rsidRPr="00B42806">
        <w:rPr>
          <w:rFonts w:eastAsia="Times New Roman"/>
          <w:color w:val="000000"/>
        </w:rPr>
        <w:t xml:space="preserve">in his </w:t>
      </w:r>
      <w:r w:rsidR="007239AE" w:rsidRPr="00B42806">
        <w:rPr>
          <w:rFonts w:eastAsia="Times New Roman"/>
          <w:color w:val="000000"/>
        </w:rPr>
        <w:t xml:space="preserve">fifties. In June, </w:t>
      </w:r>
      <w:r w:rsidR="009D30E4">
        <w:rPr>
          <w:rFonts w:eastAsia="Times New Roman"/>
          <w:color w:val="000000"/>
        </w:rPr>
        <w:t>the</w:t>
      </w:r>
      <w:r w:rsidR="009D30E4" w:rsidRPr="00B42806">
        <w:rPr>
          <w:rFonts w:eastAsia="Times New Roman"/>
          <w:color w:val="000000"/>
        </w:rPr>
        <w:t xml:space="preserve"> </w:t>
      </w:r>
      <w:r w:rsidR="007239AE" w:rsidRPr="00B42806">
        <w:rPr>
          <w:rFonts w:eastAsia="Times New Roman"/>
          <w:color w:val="000000"/>
        </w:rPr>
        <w:t>man had</w:t>
      </w:r>
      <w:r w:rsidR="005808AD" w:rsidRPr="00B42806">
        <w:rPr>
          <w:rFonts w:eastAsia="Times New Roman"/>
          <w:color w:val="000000"/>
        </w:rPr>
        <w:t xml:space="preserve"> </w:t>
      </w:r>
      <w:r w:rsidR="007239AE" w:rsidRPr="00B42806">
        <w:rPr>
          <w:rFonts w:eastAsia="Times New Roman"/>
          <w:color w:val="000000"/>
        </w:rPr>
        <w:t xml:space="preserve">been </w:t>
      </w:r>
      <w:r w:rsidR="005808AD" w:rsidRPr="00B42806">
        <w:rPr>
          <w:rFonts w:eastAsia="Times New Roman"/>
          <w:color w:val="000000"/>
        </w:rPr>
        <w:t>summoned for questioning by an armed group nominally under the oversight of the Ministry of</w:t>
      </w:r>
      <w:r w:rsidR="009D30E4">
        <w:rPr>
          <w:rFonts w:eastAsia="Times New Roman"/>
          <w:color w:val="000000"/>
        </w:rPr>
        <w:t xml:space="preserve"> the</w:t>
      </w:r>
      <w:r w:rsidR="005808AD" w:rsidRPr="00B42806">
        <w:rPr>
          <w:rFonts w:eastAsia="Times New Roman"/>
          <w:color w:val="000000"/>
        </w:rPr>
        <w:t xml:space="preserve"> Interior. Four days later, he was found dead. A</w:t>
      </w:r>
      <w:r w:rsidR="009D30E4">
        <w:rPr>
          <w:rFonts w:eastAsia="Times New Roman"/>
          <w:color w:val="000000"/>
        </w:rPr>
        <w:t>ccording to the</w:t>
      </w:r>
      <w:r w:rsidR="005808AD" w:rsidRPr="00B42806">
        <w:rPr>
          <w:rFonts w:eastAsia="Times New Roman"/>
          <w:color w:val="000000"/>
        </w:rPr>
        <w:t xml:space="preserve"> forensic</w:t>
      </w:r>
      <w:r w:rsidR="003A7225">
        <w:rPr>
          <w:rFonts w:eastAsia="Times New Roman"/>
          <w:color w:val="000000"/>
        </w:rPr>
        <w:t>s</w:t>
      </w:r>
      <w:r w:rsidR="005808AD" w:rsidRPr="00B42806">
        <w:rPr>
          <w:rFonts w:eastAsia="Times New Roman"/>
          <w:color w:val="000000"/>
        </w:rPr>
        <w:t xml:space="preserve"> report, examined by UNSMIL/OHCHR, the victim </w:t>
      </w:r>
      <w:r w:rsidR="009D30E4">
        <w:rPr>
          <w:rFonts w:eastAsia="Times New Roman"/>
          <w:color w:val="000000"/>
        </w:rPr>
        <w:t>had been</w:t>
      </w:r>
      <w:r w:rsidR="005808AD" w:rsidRPr="00B42806">
        <w:rPr>
          <w:rFonts w:eastAsia="Times New Roman"/>
          <w:color w:val="000000"/>
        </w:rPr>
        <w:t xml:space="preserve"> “subjected to beatings and torture </w:t>
      </w:r>
      <w:r w:rsidR="007239AE" w:rsidRPr="00B42806">
        <w:rPr>
          <w:rFonts w:eastAsia="Times New Roman"/>
          <w:color w:val="000000"/>
        </w:rPr>
        <w:t xml:space="preserve">before </w:t>
      </w:r>
      <w:r w:rsidR="005808AD" w:rsidRPr="00B42806">
        <w:rPr>
          <w:rFonts w:eastAsia="Times New Roman"/>
          <w:color w:val="000000"/>
        </w:rPr>
        <w:t>his death”</w:t>
      </w:r>
      <w:r w:rsidR="009D30E4">
        <w:rPr>
          <w:rFonts w:eastAsia="Times New Roman"/>
          <w:color w:val="000000"/>
        </w:rPr>
        <w:t>.</w:t>
      </w:r>
    </w:p>
    <w:p w14:paraId="3B409C8D" w14:textId="2D51D26A" w:rsidR="00E422C5" w:rsidRPr="00206848" w:rsidRDefault="00D45F7B" w:rsidP="00025352">
      <w:pPr>
        <w:pStyle w:val="SingleTxtG"/>
      </w:pPr>
      <w:r w:rsidRPr="00206848">
        <w:t>6</w:t>
      </w:r>
      <w:r w:rsidR="00AB3860">
        <w:t>5</w:t>
      </w:r>
      <w:r w:rsidR="00E422C5" w:rsidRPr="00206848">
        <w:t>.</w:t>
      </w:r>
      <w:r w:rsidR="00E422C5" w:rsidRPr="00206848">
        <w:tab/>
      </w:r>
      <w:r w:rsidR="00F6728C">
        <w:t xml:space="preserve">During 2017, </w:t>
      </w:r>
      <w:r w:rsidR="00E422C5" w:rsidRPr="00206848">
        <w:t xml:space="preserve">UNSMIL/OHCHR visited </w:t>
      </w:r>
      <w:r w:rsidR="00F6728C">
        <w:t>the Ain Zara (</w:t>
      </w:r>
      <w:r w:rsidR="00513EAB">
        <w:t xml:space="preserve">A and </w:t>
      </w:r>
      <w:r w:rsidR="00F6728C">
        <w:t xml:space="preserve">B), </w:t>
      </w:r>
      <w:r w:rsidR="003A7225">
        <w:t>A</w:t>
      </w:r>
      <w:r w:rsidR="00F6728C">
        <w:t xml:space="preserve">l-Jdeida and </w:t>
      </w:r>
      <w:r w:rsidR="003A7225">
        <w:t>A</w:t>
      </w:r>
      <w:r w:rsidR="00F6728C">
        <w:t>l-Jawiya prisons under the Ministry of Justice</w:t>
      </w:r>
      <w:r w:rsidR="007239AE">
        <w:t>,</w:t>
      </w:r>
      <w:r w:rsidR="00F6728C">
        <w:t xml:space="preserve"> and the Central Security/Abu Salim detention facility</w:t>
      </w:r>
      <w:r w:rsidR="00723A6E">
        <w:t xml:space="preserve">, under the Ministry of </w:t>
      </w:r>
      <w:r w:rsidR="003A7225">
        <w:t xml:space="preserve">the </w:t>
      </w:r>
      <w:r w:rsidR="00723A6E">
        <w:t>Interior</w:t>
      </w:r>
      <w:r w:rsidR="00F6728C">
        <w:t xml:space="preserve">. While conditions </w:t>
      </w:r>
      <w:r w:rsidR="003A7225">
        <w:t xml:space="preserve">had </w:t>
      </w:r>
      <w:r w:rsidR="00F6728C">
        <w:t xml:space="preserve">improved </w:t>
      </w:r>
      <w:r w:rsidR="003A7225">
        <w:t xml:space="preserve">in </w:t>
      </w:r>
      <w:r w:rsidR="00F6728C">
        <w:t xml:space="preserve">the </w:t>
      </w:r>
      <w:r w:rsidR="003A7225">
        <w:t>A</w:t>
      </w:r>
      <w:r w:rsidR="00F6728C">
        <w:t xml:space="preserve">l-Jdeida and Ain Zara (B) prisons </w:t>
      </w:r>
      <w:r w:rsidR="003A7225">
        <w:t xml:space="preserve">when </w:t>
      </w:r>
      <w:r w:rsidR="00BF3615">
        <w:t xml:space="preserve">compared </w:t>
      </w:r>
      <w:r w:rsidR="003A7225">
        <w:t xml:space="preserve">with </w:t>
      </w:r>
      <w:r w:rsidR="00F6728C">
        <w:t xml:space="preserve">previous years, </w:t>
      </w:r>
      <w:r w:rsidR="00723A6E">
        <w:t>UNSMIL/</w:t>
      </w:r>
      <w:r w:rsidR="007239AE">
        <w:t xml:space="preserve">OHCHR observed </w:t>
      </w:r>
      <w:r w:rsidR="00F6728C">
        <w:t xml:space="preserve">severe overcrowding and lack of access to basic necessities in </w:t>
      </w:r>
      <w:r w:rsidR="003A7225">
        <w:t>A</w:t>
      </w:r>
      <w:r w:rsidR="00F6728C">
        <w:t>l-Jawiya, where women</w:t>
      </w:r>
      <w:r w:rsidR="00E422C5" w:rsidRPr="00206848">
        <w:t xml:space="preserve"> were guarded by male prison guards. </w:t>
      </w:r>
      <w:r w:rsidR="001202B4">
        <w:t>Despite repeated requests, UNSMIL was denied access to the Mitiga detention facility</w:t>
      </w:r>
      <w:r w:rsidR="00296A86">
        <w:t xml:space="preserve"> controlled by the </w:t>
      </w:r>
      <w:r w:rsidR="00967B01" w:rsidRPr="00B42806">
        <w:t>Special Deterrence Force</w:t>
      </w:r>
      <w:r w:rsidR="003A7225">
        <w:t>;</w:t>
      </w:r>
      <w:r w:rsidR="001202B4">
        <w:t xml:space="preserve"> </w:t>
      </w:r>
      <w:r w:rsidR="003A7225">
        <w:t>it was able, however, to</w:t>
      </w:r>
      <w:r w:rsidR="001202B4">
        <w:t xml:space="preserve"> </w:t>
      </w:r>
      <w:r w:rsidR="001202B4" w:rsidRPr="00B42806">
        <w:t>document human rights violations committed at the facility</w:t>
      </w:r>
      <w:r w:rsidR="00BC37C7" w:rsidRPr="00B42806">
        <w:t xml:space="preserve"> through interviews with </w:t>
      </w:r>
      <w:r w:rsidR="00932F1E" w:rsidRPr="00B42806">
        <w:t>relatives of inmates, witnesses</w:t>
      </w:r>
      <w:r w:rsidR="00513EAB" w:rsidRPr="00B42806">
        <w:t>, medical professionals</w:t>
      </w:r>
      <w:r w:rsidR="00932F1E" w:rsidRPr="00B42806">
        <w:t xml:space="preserve"> and </w:t>
      </w:r>
      <w:r w:rsidR="00BC37C7" w:rsidRPr="00B42806">
        <w:t>released persons</w:t>
      </w:r>
      <w:r w:rsidR="007239AE" w:rsidRPr="00B42806">
        <w:t>,</w:t>
      </w:r>
      <w:r w:rsidR="00BC37C7" w:rsidRPr="00B42806">
        <w:t xml:space="preserve"> a</w:t>
      </w:r>
      <w:r w:rsidR="00932F1E" w:rsidRPr="00B42806">
        <w:t>s well as forensic</w:t>
      </w:r>
      <w:r w:rsidR="003A7225">
        <w:t>s</w:t>
      </w:r>
      <w:r w:rsidR="00932F1E" w:rsidRPr="00B42806">
        <w:t xml:space="preserve"> reports</w:t>
      </w:r>
      <w:r w:rsidR="00C55C4A" w:rsidRPr="00B42806">
        <w:t>.</w:t>
      </w:r>
      <w:r w:rsidR="00BC37C7" w:rsidRPr="00B42806">
        <w:t xml:space="preserve"> </w:t>
      </w:r>
      <w:r w:rsidR="00153E87" w:rsidRPr="00B42806">
        <w:t xml:space="preserve">Violations included </w:t>
      </w:r>
      <w:r w:rsidR="001202B4" w:rsidRPr="00B42806">
        <w:t xml:space="preserve">prolonged arbitrary and incommunicado detention, torture, deaths in custody and summary executions. UNSMIL repeatedly raised concerns </w:t>
      </w:r>
      <w:r w:rsidR="007239AE" w:rsidRPr="00B42806">
        <w:t xml:space="preserve">about these violations </w:t>
      </w:r>
      <w:r w:rsidR="001202B4" w:rsidRPr="00B42806">
        <w:t>in official communications an</w:t>
      </w:r>
      <w:r w:rsidR="00296A86" w:rsidRPr="00B42806">
        <w:t xml:space="preserve">d meetings with </w:t>
      </w:r>
      <w:r w:rsidR="003A7225" w:rsidRPr="00B42806">
        <w:t>Special Deterrence Force</w:t>
      </w:r>
      <w:r w:rsidR="0060717A">
        <w:t xml:space="preserve"> </w:t>
      </w:r>
      <w:r w:rsidR="00296A86" w:rsidRPr="00B42806">
        <w:t xml:space="preserve">officials, </w:t>
      </w:r>
      <w:r w:rsidR="001202B4" w:rsidRPr="00B42806">
        <w:t>the Office of the Prosecut</w:t>
      </w:r>
      <w:r w:rsidR="00EB50B8">
        <w:t>or</w:t>
      </w:r>
      <w:r w:rsidR="00EB50B8" w:rsidRPr="00EB50B8">
        <w:t xml:space="preserve"> </w:t>
      </w:r>
      <w:r w:rsidR="00EB50B8" w:rsidRPr="00B42806">
        <w:t>General</w:t>
      </w:r>
      <w:r w:rsidR="001202B4" w:rsidRPr="00B42806">
        <w:t xml:space="preserve">, </w:t>
      </w:r>
      <w:r w:rsidR="00296A86" w:rsidRPr="00B42806">
        <w:t>the Prime Minister</w:t>
      </w:r>
      <w:r w:rsidR="001202B4" w:rsidRPr="00B42806">
        <w:t>, and the Minist</w:t>
      </w:r>
      <w:r w:rsidR="00296A86" w:rsidRPr="00B42806">
        <w:t>er</w:t>
      </w:r>
      <w:r w:rsidR="001202B4" w:rsidRPr="00B42806">
        <w:t xml:space="preserve"> of Justice and </w:t>
      </w:r>
      <w:r w:rsidR="003A7225">
        <w:t xml:space="preserve">the Minister of the </w:t>
      </w:r>
      <w:r w:rsidR="001202B4" w:rsidRPr="00B42806">
        <w:t xml:space="preserve">Interior. </w:t>
      </w:r>
      <w:r w:rsidR="00E422C5" w:rsidRPr="001202B4">
        <w:t xml:space="preserve">Little progress was made on </w:t>
      </w:r>
      <w:r w:rsidR="007239AE">
        <w:t xml:space="preserve">implementing </w:t>
      </w:r>
      <w:r w:rsidR="00E422C5" w:rsidRPr="001202B4">
        <w:t>an agreement</w:t>
      </w:r>
      <w:r w:rsidR="001202B4">
        <w:t xml:space="preserve"> dating back to 2016</w:t>
      </w:r>
      <w:r w:rsidR="00E422C5" w:rsidRPr="001202B4">
        <w:t xml:space="preserve"> to</w:t>
      </w:r>
      <w:r w:rsidR="00E422C5" w:rsidRPr="00206848">
        <w:t xml:space="preserve"> allow the Office of the Prosecutor General </w:t>
      </w:r>
      <w:r w:rsidR="00BC37C7">
        <w:t xml:space="preserve">access to detainees in </w:t>
      </w:r>
      <w:r w:rsidR="00E422C5" w:rsidRPr="00206848">
        <w:t xml:space="preserve">Mitiga to </w:t>
      </w:r>
      <w:r w:rsidR="00BC37C7">
        <w:t xml:space="preserve">process their cases </w:t>
      </w:r>
      <w:r w:rsidR="003A7225">
        <w:t xml:space="preserve">in </w:t>
      </w:r>
      <w:r w:rsidR="00BC37C7">
        <w:t>accord</w:t>
      </w:r>
      <w:r w:rsidR="003A7225">
        <w:t>ance</w:t>
      </w:r>
      <w:r w:rsidR="00BC37C7">
        <w:t xml:space="preserve"> </w:t>
      </w:r>
      <w:r w:rsidR="003A7225">
        <w:t>with the</w:t>
      </w:r>
      <w:r w:rsidR="00BC37C7">
        <w:t xml:space="preserve"> law</w:t>
      </w:r>
      <w:r w:rsidR="00E422C5" w:rsidRPr="00206848">
        <w:t xml:space="preserve">. </w:t>
      </w:r>
    </w:p>
    <w:p w14:paraId="38C29920" w14:textId="50CC3A2D" w:rsidR="00E422C5" w:rsidRPr="00206848" w:rsidRDefault="00D45F7B" w:rsidP="00025352">
      <w:pPr>
        <w:pStyle w:val="SingleTxtG"/>
      </w:pPr>
      <w:r w:rsidRPr="00206848">
        <w:t>6</w:t>
      </w:r>
      <w:r w:rsidR="00AB3860">
        <w:t>6</w:t>
      </w:r>
      <w:r w:rsidR="00E422C5" w:rsidRPr="00206848">
        <w:t>.</w:t>
      </w:r>
      <w:r w:rsidR="00E422C5" w:rsidRPr="00206848">
        <w:tab/>
      </w:r>
      <w:r w:rsidR="003F1172">
        <w:t>The</w:t>
      </w:r>
      <w:r w:rsidR="002679E6">
        <w:t xml:space="preserve"> numbers</w:t>
      </w:r>
      <w:r w:rsidR="00CC0C7F">
        <w:t xml:space="preserve"> of individuals held for migration</w:t>
      </w:r>
      <w:r w:rsidR="007239AE">
        <w:t>-</w:t>
      </w:r>
      <w:r w:rsidR="00CC0C7F">
        <w:t>related offences</w:t>
      </w:r>
      <w:r w:rsidR="002679E6">
        <w:t xml:space="preserve"> </w:t>
      </w:r>
      <w:r w:rsidR="00CC0C7F">
        <w:t xml:space="preserve">in </w:t>
      </w:r>
      <w:r w:rsidR="00CC0C7F" w:rsidRPr="00206848">
        <w:t xml:space="preserve">centres run by the </w:t>
      </w:r>
      <w:r w:rsidR="007239AE" w:rsidRPr="00206848">
        <w:t>Department for Combating Illegal Migration</w:t>
      </w:r>
      <w:r w:rsidR="007239AE" w:rsidDel="007239AE">
        <w:t xml:space="preserve"> </w:t>
      </w:r>
      <w:r w:rsidR="002679E6">
        <w:t>generally flu</w:t>
      </w:r>
      <w:r w:rsidR="003F1172">
        <w:t>ctuated between 4,000 and 7,000</w:t>
      </w:r>
      <w:r w:rsidR="00893384">
        <w:t>,</w:t>
      </w:r>
      <w:r w:rsidR="00BC37C7">
        <w:t xml:space="preserve"> </w:t>
      </w:r>
      <w:r w:rsidR="00893384">
        <w:t xml:space="preserve">and rising </w:t>
      </w:r>
      <w:r w:rsidR="006C6745">
        <w:t xml:space="preserve">to </w:t>
      </w:r>
      <w:r w:rsidR="000D24BA">
        <w:t>nearly 20,000</w:t>
      </w:r>
      <w:r w:rsidR="006C6745">
        <w:t xml:space="preserve"> in late October</w:t>
      </w:r>
      <w:r w:rsidR="002679E6">
        <w:t xml:space="preserve"> following </w:t>
      </w:r>
      <w:r w:rsidR="00CC0C7F">
        <w:t xml:space="preserve">the transfer of </w:t>
      </w:r>
      <w:r w:rsidR="006C6745">
        <w:t>thousands of migrants held by smugglers and traffickers</w:t>
      </w:r>
      <w:r w:rsidR="003F1172">
        <w:t xml:space="preserve"> in Sabratha</w:t>
      </w:r>
      <w:r w:rsidR="00796A69">
        <w:t xml:space="preserve"> </w:t>
      </w:r>
      <w:r w:rsidR="00617B06">
        <w:t>in</w:t>
      </w:r>
      <w:r w:rsidR="00796A69">
        <w:t xml:space="preserve">to </w:t>
      </w:r>
      <w:r w:rsidR="007239AE">
        <w:t xml:space="preserve">the </w:t>
      </w:r>
      <w:r w:rsidR="00796A69">
        <w:t>custody</w:t>
      </w:r>
      <w:r w:rsidR="007239AE">
        <w:t xml:space="preserve"> of the </w:t>
      </w:r>
      <w:r w:rsidR="007239AE" w:rsidRPr="00206848">
        <w:t>Department</w:t>
      </w:r>
      <w:r w:rsidR="00E422C5" w:rsidRPr="00206848">
        <w:t xml:space="preserve">. </w:t>
      </w:r>
      <w:r w:rsidR="006C6745">
        <w:t>N</w:t>
      </w:r>
      <w:r w:rsidR="006C6745" w:rsidRPr="00206848">
        <w:t>o registration system to record the movement of migrants in and out of detention</w:t>
      </w:r>
      <w:r w:rsidR="006C6745">
        <w:t xml:space="preserve"> exist</w:t>
      </w:r>
      <w:r w:rsidR="00796A69">
        <w:t>ed</w:t>
      </w:r>
      <w:r w:rsidR="00CC0C7F">
        <w:t>.</w:t>
      </w:r>
      <w:r w:rsidR="006C6745">
        <w:t xml:space="preserve"> </w:t>
      </w:r>
      <w:r w:rsidR="00E422C5" w:rsidRPr="00206848">
        <w:t>Armed groups, individuals</w:t>
      </w:r>
      <w:r w:rsidR="002679E6">
        <w:t>,</w:t>
      </w:r>
      <w:r w:rsidR="00E422C5" w:rsidRPr="00206848">
        <w:t xml:space="preserve"> security forces</w:t>
      </w:r>
      <w:r w:rsidR="003F1172">
        <w:t xml:space="preserve"> and </w:t>
      </w:r>
      <w:r w:rsidR="00796A69">
        <w:t xml:space="preserve">the </w:t>
      </w:r>
      <w:r w:rsidR="003F1172">
        <w:t xml:space="preserve">Libyan </w:t>
      </w:r>
      <w:r w:rsidR="00DF72ED">
        <w:t>C</w:t>
      </w:r>
      <w:r w:rsidR="003F1172">
        <w:t>oast</w:t>
      </w:r>
      <w:r w:rsidR="00893384">
        <w:t xml:space="preserve"> G</w:t>
      </w:r>
      <w:r w:rsidR="002679E6">
        <w:t>uard</w:t>
      </w:r>
      <w:r w:rsidR="00E422C5" w:rsidRPr="00206848">
        <w:t xml:space="preserve"> br</w:t>
      </w:r>
      <w:r w:rsidR="00796A69">
        <w:t>ought</w:t>
      </w:r>
      <w:r w:rsidR="00E422C5" w:rsidRPr="00206848">
        <w:t xml:space="preserve"> migrants to detention centres with no legal process</w:t>
      </w:r>
      <w:r w:rsidR="00796A69">
        <w:t xml:space="preserve">, </w:t>
      </w:r>
      <w:r w:rsidR="00E422C5" w:rsidRPr="00206848">
        <w:t xml:space="preserve">judicial review or other oversight mechanism. </w:t>
      </w:r>
    </w:p>
    <w:p w14:paraId="1C793A8B" w14:textId="68B7CC3C" w:rsidR="00E422C5" w:rsidRPr="000545A7" w:rsidRDefault="00E422C5" w:rsidP="00025352">
      <w:pPr>
        <w:pStyle w:val="SingleTxtG"/>
        <w:rPr>
          <w:b/>
          <w:bCs/>
        </w:rPr>
      </w:pPr>
      <w:r w:rsidRPr="000545A7">
        <w:rPr>
          <w:b/>
          <w:bCs/>
        </w:rPr>
        <w:t>Support</w:t>
      </w:r>
      <w:r w:rsidR="00967B01" w:rsidDel="00967B01">
        <w:rPr>
          <w:b/>
          <w:bCs/>
        </w:rPr>
        <w:t xml:space="preserve"> </w:t>
      </w:r>
    </w:p>
    <w:p w14:paraId="71C798C5" w14:textId="68C64446" w:rsidR="00C9230C" w:rsidRDefault="00D45F7B" w:rsidP="00025352">
      <w:pPr>
        <w:pStyle w:val="SingleTxtG"/>
      </w:pPr>
      <w:r>
        <w:t>6</w:t>
      </w:r>
      <w:r w:rsidR="00AB3860">
        <w:t>7</w:t>
      </w:r>
      <w:r w:rsidR="00E422C5" w:rsidRPr="00206848">
        <w:t>.</w:t>
      </w:r>
      <w:r w:rsidR="00E422C5" w:rsidRPr="00206848">
        <w:tab/>
        <w:t xml:space="preserve">UNSMIL/OHCHR </w:t>
      </w:r>
      <w:r w:rsidR="00716D40" w:rsidRPr="007B66CD">
        <w:t>organized</w:t>
      </w:r>
      <w:r w:rsidR="00E422C5" w:rsidRPr="007B66CD">
        <w:t xml:space="preserve"> </w:t>
      </w:r>
      <w:r w:rsidR="006A278A" w:rsidRPr="00A008BE">
        <w:t>four</w:t>
      </w:r>
      <w:r w:rsidR="006A278A" w:rsidRPr="007B66CD">
        <w:t xml:space="preserve"> </w:t>
      </w:r>
      <w:r w:rsidR="00E422C5" w:rsidRPr="007B66CD">
        <w:t>workshops</w:t>
      </w:r>
      <w:r w:rsidR="006A278A" w:rsidRPr="007B66CD">
        <w:t xml:space="preserve"> and seminars in Libya and Tunisia</w:t>
      </w:r>
      <w:r w:rsidR="00E422C5" w:rsidRPr="007B66CD">
        <w:t xml:space="preserve"> on the judiciary, prison management and international human rights mechanisms for </w:t>
      </w:r>
      <w:r w:rsidR="006A278A" w:rsidRPr="007B66CD">
        <w:t>judicial police off</w:t>
      </w:r>
      <w:r w:rsidR="00716D40" w:rsidRPr="007B66CD">
        <w:t>ic</w:t>
      </w:r>
      <w:r w:rsidR="006A278A" w:rsidRPr="007B66CD">
        <w:t>ers, members of the judiciary and other counterparts</w:t>
      </w:r>
      <w:r w:rsidR="000D0C84" w:rsidRPr="00B42806">
        <w:t>.</w:t>
      </w:r>
      <w:r w:rsidR="000D0C84" w:rsidRPr="007B66CD">
        <w:t xml:space="preserve"> </w:t>
      </w:r>
      <w:r w:rsidR="00CE7471">
        <w:t>On</w:t>
      </w:r>
      <w:r w:rsidR="00CE7471" w:rsidRPr="007B66CD">
        <w:t xml:space="preserve"> </w:t>
      </w:r>
      <w:r w:rsidR="00742B17" w:rsidRPr="007B66CD">
        <w:t>13 and 14 September, UNSMIL</w:t>
      </w:r>
      <w:r w:rsidR="00695277">
        <w:t>,</w:t>
      </w:r>
      <w:r w:rsidR="00742B17" w:rsidRPr="007B66CD">
        <w:t xml:space="preserve"> in coordination with the </w:t>
      </w:r>
      <w:r w:rsidR="00695277">
        <w:t>United Nations Development Programme</w:t>
      </w:r>
      <w:r w:rsidR="00742B17" w:rsidRPr="007B66CD">
        <w:t xml:space="preserve"> </w:t>
      </w:r>
      <w:r w:rsidR="00397B84">
        <w:t>(UNDP)</w:t>
      </w:r>
      <w:r w:rsidR="00CE7471">
        <w:t>,</w:t>
      </w:r>
      <w:r w:rsidR="00397B84">
        <w:t xml:space="preserve"> </w:t>
      </w:r>
      <w:r w:rsidR="00742B17" w:rsidRPr="007B66CD">
        <w:t xml:space="preserve">facilitated a workshop </w:t>
      </w:r>
      <w:r w:rsidR="00C9230C">
        <w:t>on a</w:t>
      </w:r>
      <w:r w:rsidR="00742B17" w:rsidRPr="007B66CD">
        <w:t xml:space="preserve">ddressing </w:t>
      </w:r>
      <w:r w:rsidR="00C9230C">
        <w:t>a</w:t>
      </w:r>
      <w:r w:rsidR="00C9230C" w:rsidRPr="007B66CD">
        <w:t xml:space="preserve">rbitrary </w:t>
      </w:r>
      <w:r w:rsidR="00742B17" w:rsidRPr="007B66CD">
        <w:t xml:space="preserve">and </w:t>
      </w:r>
      <w:r w:rsidR="00C9230C">
        <w:t>p</w:t>
      </w:r>
      <w:r w:rsidR="00742B17" w:rsidRPr="007B66CD">
        <w:t xml:space="preserve">rolonged </w:t>
      </w:r>
      <w:r w:rsidR="00C9230C">
        <w:t>d</w:t>
      </w:r>
      <w:r w:rsidR="00C9230C" w:rsidRPr="007B66CD">
        <w:t xml:space="preserve">etention </w:t>
      </w:r>
      <w:r w:rsidR="00742B17" w:rsidRPr="007B66CD">
        <w:t xml:space="preserve">in Libya within a </w:t>
      </w:r>
      <w:r w:rsidR="00CE7471">
        <w:t>n</w:t>
      </w:r>
      <w:r w:rsidR="00742B17" w:rsidRPr="007B66CD">
        <w:t xml:space="preserve">ational </w:t>
      </w:r>
      <w:r w:rsidR="00CE7471">
        <w:t>r</w:t>
      </w:r>
      <w:r w:rsidR="00742B17" w:rsidRPr="007B66CD">
        <w:t xml:space="preserve">econciliation </w:t>
      </w:r>
      <w:r w:rsidR="00CE7471">
        <w:t>f</w:t>
      </w:r>
      <w:r w:rsidR="00742B17" w:rsidRPr="007B66CD">
        <w:t>ramework</w:t>
      </w:r>
      <w:r w:rsidR="00C9230C">
        <w:t xml:space="preserve">. The workshop was </w:t>
      </w:r>
      <w:r w:rsidR="006A278A" w:rsidRPr="007B66CD">
        <w:t>attended by</w:t>
      </w:r>
      <w:r w:rsidR="00742B17" w:rsidRPr="007B66CD">
        <w:t xml:space="preserve"> 40 representatives of municipalities</w:t>
      </w:r>
      <w:r w:rsidR="0046632D" w:rsidRPr="007B66CD">
        <w:t xml:space="preserve">, </w:t>
      </w:r>
      <w:r w:rsidR="00742B17" w:rsidRPr="007B66CD">
        <w:t xml:space="preserve">civil society, </w:t>
      </w:r>
      <w:r w:rsidR="00BC20A0">
        <w:t xml:space="preserve">including </w:t>
      </w:r>
      <w:r w:rsidR="00742B17" w:rsidRPr="007B66CD">
        <w:t>academics and legal experts</w:t>
      </w:r>
      <w:r w:rsidR="00695277">
        <w:t>,</w:t>
      </w:r>
      <w:r w:rsidR="00C9230C">
        <w:t xml:space="preserve"> and </w:t>
      </w:r>
      <w:r w:rsidR="00742B17" w:rsidRPr="007B66CD">
        <w:t xml:space="preserve">concluded with the adoption of a set of recommendations addressed to the legislative authority, the </w:t>
      </w:r>
      <w:r w:rsidR="00695277">
        <w:t>G</w:t>
      </w:r>
      <w:r w:rsidR="00742B17" w:rsidRPr="007B66CD">
        <w:t>overnment and municipalities</w:t>
      </w:r>
      <w:r w:rsidR="00695277">
        <w:t>,</w:t>
      </w:r>
      <w:r w:rsidR="00742B17" w:rsidRPr="007B66CD">
        <w:t xml:space="preserve"> as well as judicial </w:t>
      </w:r>
      <w:r w:rsidR="00C12B77">
        <w:t>authorities</w:t>
      </w:r>
      <w:r w:rsidR="00BC20A0">
        <w:t xml:space="preserve"> </w:t>
      </w:r>
      <w:r w:rsidR="00742B17" w:rsidRPr="007B66CD">
        <w:t xml:space="preserve">and </w:t>
      </w:r>
      <w:r w:rsidR="00BC20A0">
        <w:t>detention facilities</w:t>
      </w:r>
      <w:r w:rsidR="00742B17" w:rsidRPr="007B66CD">
        <w:t>.</w:t>
      </w:r>
      <w:r w:rsidR="008D30AC" w:rsidRPr="007B66CD">
        <w:t xml:space="preserve"> </w:t>
      </w:r>
    </w:p>
    <w:p w14:paraId="113CB934" w14:textId="0E474DAB" w:rsidR="00C9230C" w:rsidRPr="00130195" w:rsidRDefault="00C9230C" w:rsidP="00025352">
      <w:pPr>
        <w:pStyle w:val="SingleTxtG"/>
      </w:pPr>
      <w:r>
        <w:t>6</w:t>
      </w:r>
      <w:r w:rsidR="00AB3860">
        <w:t>8</w:t>
      </w:r>
      <w:r>
        <w:t>.</w:t>
      </w:r>
      <w:r>
        <w:tab/>
      </w:r>
      <w:r w:rsidR="000D0C84" w:rsidRPr="007B66CD">
        <w:t>UNSMIL</w:t>
      </w:r>
      <w:r w:rsidR="00E422C5" w:rsidRPr="007B66CD">
        <w:t xml:space="preserve"> also c</w:t>
      </w:r>
      <w:r w:rsidR="00695277">
        <w:t xml:space="preserve">onducted </w:t>
      </w:r>
      <w:r w:rsidR="00513EAB">
        <w:t>15</w:t>
      </w:r>
      <w:r w:rsidR="00513EAB" w:rsidRPr="007B66CD">
        <w:t xml:space="preserve"> </w:t>
      </w:r>
      <w:r w:rsidR="00E422C5" w:rsidRPr="007B66CD">
        <w:t xml:space="preserve">visits to </w:t>
      </w:r>
      <w:r w:rsidR="001177E2" w:rsidRPr="007B66CD">
        <w:t>judicial police prisons</w:t>
      </w:r>
      <w:r w:rsidR="00E422C5" w:rsidRPr="007B66CD">
        <w:t xml:space="preserve"> </w:t>
      </w:r>
      <w:r w:rsidR="001177E2" w:rsidRPr="007B66CD">
        <w:t xml:space="preserve">in </w:t>
      </w:r>
      <w:r w:rsidR="006A278A" w:rsidRPr="007B66CD">
        <w:t>Misrata</w:t>
      </w:r>
      <w:r w:rsidR="001177E2" w:rsidRPr="007B66CD">
        <w:t>, To</w:t>
      </w:r>
      <w:r w:rsidR="00CE7471">
        <w:t>b</w:t>
      </w:r>
      <w:r w:rsidR="001177E2" w:rsidRPr="007B66CD">
        <w:t xml:space="preserve">ruk and Tripoli, and two visits to detention facilities under the Ministry of </w:t>
      </w:r>
      <w:r w:rsidR="00CE7471">
        <w:t xml:space="preserve">the </w:t>
      </w:r>
      <w:r w:rsidR="001177E2" w:rsidRPr="007B66CD">
        <w:t>Interior in Tripoli</w:t>
      </w:r>
      <w:r w:rsidR="00E422C5" w:rsidRPr="007B66CD">
        <w:t xml:space="preserve">. It provided advice </w:t>
      </w:r>
      <w:r w:rsidR="001177E2" w:rsidRPr="007B66CD">
        <w:t xml:space="preserve">and advocated </w:t>
      </w:r>
      <w:r w:rsidR="00321A77" w:rsidRPr="007B66CD">
        <w:t>with</w:t>
      </w:r>
      <w:r w:rsidR="00E422C5" w:rsidRPr="007B66CD">
        <w:t xml:space="preserve"> the Judicial Police and armed groups in Tripoli on the process of moving detainees from unofficial places of detention to official </w:t>
      </w:r>
      <w:r w:rsidR="000D0C84" w:rsidRPr="007B66CD">
        <w:t>prisons</w:t>
      </w:r>
      <w:r w:rsidR="00E422C5" w:rsidRPr="007B66CD">
        <w:t xml:space="preserve">. </w:t>
      </w:r>
      <w:r w:rsidR="001177E2" w:rsidRPr="00A008BE">
        <w:t>It carried</w:t>
      </w:r>
      <w:r w:rsidR="00695277">
        <w:t xml:space="preserve"> </w:t>
      </w:r>
      <w:r w:rsidR="001177E2" w:rsidRPr="00A008BE">
        <w:t>out prison situation assessments and capacity</w:t>
      </w:r>
      <w:r w:rsidR="00CE7471">
        <w:t>-</w:t>
      </w:r>
      <w:r w:rsidR="001177E2" w:rsidRPr="00A008BE">
        <w:t xml:space="preserve">building activities </w:t>
      </w:r>
      <w:r w:rsidR="001D4E22" w:rsidRPr="00A008BE">
        <w:t>with</w:t>
      </w:r>
      <w:r w:rsidR="001177E2" w:rsidRPr="00A008BE">
        <w:t xml:space="preserve"> prison directors.</w:t>
      </w:r>
      <w:r w:rsidR="001177E2" w:rsidRPr="007B66CD">
        <w:t xml:space="preserve"> </w:t>
      </w:r>
      <w:r w:rsidR="00E422C5" w:rsidRPr="007B66CD">
        <w:t>It worked on the implementation of the human rights due diligence policy</w:t>
      </w:r>
      <w:r w:rsidR="00084DFA" w:rsidRPr="007B66CD">
        <w:t xml:space="preserve"> </w:t>
      </w:r>
      <w:r w:rsidR="00E422C5" w:rsidRPr="00206848">
        <w:t>on United Nations support to non-United Nations security forces.</w:t>
      </w:r>
      <w:r w:rsidR="00130195">
        <w:t xml:space="preserve"> </w:t>
      </w:r>
      <w:r w:rsidR="00084DFA" w:rsidRPr="00B42806">
        <w:t xml:space="preserve">In September, the </w:t>
      </w:r>
      <w:r w:rsidR="00130195" w:rsidRPr="00B42806">
        <w:t>U</w:t>
      </w:r>
      <w:r w:rsidR="00695277" w:rsidRPr="00B42806">
        <w:t xml:space="preserve">nited </w:t>
      </w:r>
      <w:r w:rsidR="00130195" w:rsidRPr="00B42806">
        <w:t>N</w:t>
      </w:r>
      <w:r w:rsidR="00695277" w:rsidRPr="00B42806">
        <w:t>ations</w:t>
      </w:r>
      <w:r w:rsidR="00130195" w:rsidRPr="00B42806">
        <w:t xml:space="preserve"> </w:t>
      </w:r>
      <w:r w:rsidR="00CE7471" w:rsidRPr="007B66CD">
        <w:t>human rights due diligence policy</w:t>
      </w:r>
      <w:r w:rsidR="00CE7471" w:rsidRPr="00B42806" w:rsidDel="00CE7471">
        <w:t xml:space="preserve"> </w:t>
      </w:r>
      <w:r w:rsidR="00CE7471">
        <w:t>t</w:t>
      </w:r>
      <w:r w:rsidR="00084DFA" w:rsidRPr="00B42806">
        <w:t>ask</w:t>
      </w:r>
      <w:r w:rsidR="00130195" w:rsidRPr="00B42806">
        <w:t xml:space="preserve"> </w:t>
      </w:r>
      <w:r w:rsidR="00CE7471">
        <w:t>f</w:t>
      </w:r>
      <w:r w:rsidR="00130195" w:rsidRPr="00B42806">
        <w:t>orce</w:t>
      </w:r>
      <w:r w:rsidR="00084DFA" w:rsidRPr="00B42806">
        <w:t xml:space="preserve"> in Libya adopted </w:t>
      </w:r>
      <w:r w:rsidR="00130195" w:rsidRPr="00B42806">
        <w:t>a</w:t>
      </w:r>
      <w:r w:rsidR="00084DFA" w:rsidRPr="00B42806">
        <w:t xml:space="preserve"> </w:t>
      </w:r>
      <w:r w:rsidR="00130195" w:rsidRPr="00B42806">
        <w:t>r</w:t>
      </w:r>
      <w:r w:rsidR="00084DFA" w:rsidRPr="00B42806">
        <w:t xml:space="preserve">isk </w:t>
      </w:r>
      <w:r w:rsidR="00130195" w:rsidRPr="00B42806">
        <w:t>assessment committing U</w:t>
      </w:r>
      <w:r w:rsidR="00695277" w:rsidRPr="00B42806">
        <w:t xml:space="preserve">nited </w:t>
      </w:r>
      <w:r w:rsidR="00130195" w:rsidRPr="00B42806">
        <w:t>N</w:t>
      </w:r>
      <w:r w:rsidR="00695277" w:rsidRPr="00B42806">
        <w:t>ations</w:t>
      </w:r>
      <w:r w:rsidR="00130195" w:rsidRPr="00B42806">
        <w:t xml:space="preserve"> </w:t>
      </w:r>
      <w:r w:rsidR="00084DFA" w:rsidRPr="00B42806">
        <w:t xml:space="preserve">agencies involved </w:t>
      </w:r>
      <w:r w:rsidR="00130195" w:rsidRPr="00B42806">
        <w:t xml:space="preserve">in supporting the </w:t>
      </w:r>
      <w:r w:rsidR="005F3DC2" w:rsidRPr="00B42806">
        <w:t>C</w:t>
      </w:r>
      <w:r w:rsidR="00084DFA" w:rsidRPr="00B42806">
        <w:t>oast</w:t>
      </w:r>
      <w:r w:rsidR="005F3DC2" w:rsidRPr="00B42806">
        <w:t xml:space="preserve"> G</w:t>
      </w:r>
      <w:r w:rsidR="00084DFA" w:rsidRPr="00B42806">
        <w:t xml:space="preserve">uard </w:t>
      </w:r>
      <w:r w:rsidR="00130195" w:rsidRPr="00B42806">
        <w:t>to</w:t>
      </w:r>
      <w:r w:rsidR="00084DFA" w:rsidRPr="00B42806">
        <w:t xml:space="preserve"> extensive monitoring and advocacy measures to mitigate </w:t>
      </w:r>
      <w:r w:rsidR="00CE7471">
        <w:t xml:space="preserve">the </w:t>
      </w:r>
      <w:r w:rsidR="00084DFA" w:rsidRPr="00B42806">
        <w:t>risks of human rights violations</w:t>
      </w:r>
      <w:r w:rsidR="00130195" w:rsidRPr="00B42806">
        <w:t xml:space="preserve">. </w:t>
      </w:r>
    </w:p>
    <w:p w14:paraId="6199A846" w14:textId="74A0E1FA" w:rsidR="00E422C5" w:rsidRPr="00206848" w:rsidRDefault="00AB3860" w:rsidP="00025352">
      <w:pPr>
        <w:pStyle w:val="SingleTxtG"/>
      </w:pPr>
      <w:r>
        <w:t>69</w:t>
      </w:r>
      <w:r w:rsidR="00E422C5" w:rsidRPr="00206848">
        <w:t>.</w:t>
      </w:r>
      <w:r w:rsidR="00E422C5" w:rsidRPr="00206848">
        <w:tab/>
        <w:t xml:space="preserve">UNSMIL/OHCHR advocated for the </w:t>
      </w:r>
      <w:r w:rsidR="00130195">
        <w:t>P</w:t>
      </w:r>
      <w:r w:rsidR="00695277">
        <w:t xml:space="preserve">residency </w:t>
      </w:r>
      <w:r w:rsidR="00130195">
        <w:t>C</w:t>
      </w:r>
      <w:r w:rsidR="00695277">
        <w:t>ouncil</w:t>
      </w:r>
      <w:r w:rsidR="00E422C5" w:rsidRPr="00206848">
        <w:t xml:space="preserve"> </w:t>
      </w:r>
      <w:r w:rsidR="006A278A">
        <w:t xml:space="preserve">and the Ministry of Justice </w:t>
      </w:r>
      <w:r w:rsidR="00E422C5" w:rsidRPr="00206848">
        <w:t xml:space="preserve">to </w:t>
      </w:r>
      <w:r w:rsidR="00B9310C">
        <w:t>implement</w:t>
      </w:r>
      <w:r w:rsidR="00E422C5" w:rsidRPr="00206848">
        <w:t xml:space="preserve"> the justice and rule of law provisions of the </w:t>
      </w:r>
      <w:r w:rsidR="00CE7471">
        <w:t xml:space="preserve">Libyan </w:t>
      </w:r>
      <w:r w:rsidR="00EB50B8">
        <w:t>Political</w:t>
      </w:r>
      <w:r w:rsidR="00CE7471">
        <w:t xml:space="preserve"> Agreement</w:t>
      </w:r>
      <w:r w:rsidR="00B9310C">
        <w:t>.</w:t>
      </w:r>
      <w:r w:rsidR="00E422C5" w:rsidRPr="00206848">
        <w:t xml:space="preserve"> </w:t>
      </w:r>
      <w:r w:rsidR="00130195">
        <w:t>It also advocated for the</w:t>
      </w:r>
      <w:r w:rsidR="00E422C5" w:rsidRPr="00206848">
        <w:t xml:space="preserve"> international community to screen recipients of technical assistance and capacity-building programmes.</w:t>
      </w:r>
    </w:p>
    <w:bookmarkEnd w:id="1"/>
    <w:p w14:paraId="5ED981F5" w14:textId="77777777" w:rsidR="00E422C5" w:rsidRPr="00206848" w:rsidRDefault="00E422C5" w:rsidP="00025352">
      <w:pPr>
        <w:pStyle w:val="HChG"/>
        <w:spacing w:line="240" w:lineRule="atLeast"/>
      </w:pPr>
      <w:r w:rsidRPr="00206848">
        <w:tab/>
        <w:t>VI.</w:t>
      </w:r>
      <w:r w:rsidRPr="00206848">
        <w:tab/>
        <w:t>Transitional justice</w:t>
      </w:r>
    </w:p>
    <w:p w14:paraId="595B8FDC" w14:textId="376CAFAC" w:rsidR="00E422C5" w:rsidRPr="00206848" w:rsidRDefault="008B5838" w:rsidP="00025352">
      <w:pPr>
        <w:pStyle w:val="SingleTxtG"/>
      </w:pPr>
      <w:r>
        <w:t>7</w:t>
      </w:r>
      <w:r w:rsidR="00AB3860">
        <w:t>0</w:t>
      </w:r>
      <w:r w:rsidR="00E422C5" w:rsidRPr="00206848">
        <w:t>.</w:t>
      </w:r>
      <w:r w:rsidR="00E422C5" w:rsidRPr="00206848">
        <w:tab/>
      </w:r>
      <w:r w:rsidR="00243473">
        <w:t>Little progress was made in the implementation of</w:t>
      </w:r>
      <w:r w:rsidR="00E422C5" w:rsidRPr="00206848">
        <w:t xml:space="preserve"> </w:t>
      </w:r>
      <w:r w:rsidR="006A278A">
        <w:t>provisions</w:t>
      </w:r>
      <w:r w:rsidR="00E422C5" w:rsidRPr="00206848">
        <w:t xml:space="preserve"> </w:t>
      </w:r>
      <w:r w:rsidR="008A5A72">
        <w:t xml:space="preserve">of the Libyan </w:t>
      </w:r>
      <w:r w:rsidR="00EB50B8">
        <w:t>Political</w:t>
      </w:r>
      <w:r w:rsidR="008A5A72">
        <w:t xml:space="preserve"> Agreement that </w:t>
      </w:r>
      <w:r w:rsidR="006A278A" w:rsidRPr="00206848">
        <w:t>commit</w:t>
      </w:r>
      <w:r w:rsidR="006A278A">
        <w:t>t</w:t>
      </w:r>
      <w:r w:rsidR="008A5A72">
        <w:t>ed</w:t>
      </w:r>
      <w:r w:rsidR="00E422C5" w:rsidRPr="00206848">
        <w:t xml:space="preserve"> parties to </w:t>
      </w:r>
      <w:r w:rsidR="00243473">
        <w:t>apply</w:t>
      </w:r>
      <w:r w:rsidR="00695277">
        <w:t>ing</w:t>
      </w:r>
      <w:r w:rsidR="00E422C5" w:rsidRPr="00206848">
        <w:t xml:space="preserve"> </w:t>
      </w:r>
      <w:r w:rsidR="008A5A72">
        <w:t>l</w:t>
      </w:r>
      <w:r w:rsidR="00E422C5" w:rsidRPr="00206848">
        <w:t xml:space="preserve">aw No. 29 of 2013 on transitional justice. </w:t>
      </w:r>
      <w:r w:rsidR="007B66CD">
        <w:t>In 2017</w:t>
      </w:r>
      <w:r w:rsidR="00882A67">
        <w:t xml:space="preserve">, the </w:t>
      </w:r>
      <w:r w:rsidR="00716D40">
        <w:t>P</w:t>
      </w:r>
      <w:r w:rsidR="00695277">
        <w:t xml:space="preserve">residency </w:t>
      </w:r>
      <w:r w:rsidR="00716D40">
        <w:t>C</w:t>
      </w:r>
      <w:r w:rsidR="00695277">
        <w:t>ouncil</w:t>
      </w:r>
      <w:r w:rsidR="00882A67">
        <w:t xml:space="preserve"> issued </w:t>
      </w:r>
      <w:r w:rsidR="007B66CD">
        <w:t xml:space="preserve">two </w:t>
      </w:r>
      <w:r w:rsidR="00882A67">
        <w:t>decree</w:t>
      </w:r>
      <w:r w:rsidR="007B66CD">
        <w:t>s</w:t>
      </w:r>
      <w:r w:rsidR="008A5A72">
        <w:t>,</w:t>
      </w:r>
      <w:r w:rsidR="00882A67">
        <w:t xml:space="preserve"> establishing a preparatory committee tasked with organizing a dialogue process to develop a mandate for a future national reconciliation commission</w:t>
      </w:r>
      <w:r w:rsidR="008A5A72">
        <w:t>,</w:t>
      </w:r>
      <w:r w:rsidR="007B66CD">
        <w:t xml:space="preserve"> and a reparations fund for harm suffered </w:t>
      </w:r>
      <w:r w:rsidR="002437F8">
        <w:t xml:space="preserve">during </w:t>
      </w:r>
      <w:r w:rsidR="007B66CD">
        <w:t>the 2011 and 2014 armed conflicts.</w:t>
      </w:r>
      <w:r w:rsidR="00111406">
        <w:t xml:space="preserve"> </w:t>
      </w:r>
    </w:p>
    <w:p w14:paraId="28AACE6E" w14:textId="212C30E1" w:rsidR="00E422C5" w:rsidRPr="00206848" w:rsidRDefault="00D45F7B" w:rsidP="00025352">
      <w:pPr>
        <w:pStyle w:val="SingleTxtG"/>
      </w:pPr>
      <w:r w:rsidRPr="00206848">
        <w:t>7</w:t>
      </w:r>
      <w:r w:rsidR="00AB3860">
        <w:t>1</w:t>
      </w:r>
      <w:r w:rsidR="00E422C5" w:rsidRPr="00206848">
        <w:t>.</w:t>
      </w:r>
      <w:r w:rsidR="00E422C5" w:rsidRPr="00206848">
        <w:tab/>
      </w:r>
      <w:r w:rsidR="00E91ED8">
        <w:t xml:space="preserve">On </w:t>
      </w:r>
      <w:r w:rsidR="00FF1EAA">
        <w:t>21 February</w:t>
      </w:r>
      <w:r w:rsidR="004453A6">
        <w:t xml:space="preserve">, UNSMIL and </w:t>
      </w:r>
      <w:r w:rsidR="00E91ED8">
        <w:t xml:space="preserve">OHCHR </w:t>
      </w:r>
      <w:r w:rsidR="004453A6">
        <w:t xml:space="preserve">jointly </w:t>
      </w:r>
      <w:r w:rsidR="00E91ED8">
        <w:t xml:space="preserve">issued </w:t>
      </w:r>
      <w:r w:rsidR="00EE5526">
        <w:t xml:space="preserve">a </w:t>
      </w:r>
      <w:r w:rsidR="00FF1EAA">
        <w:t>r</w:t>
      </w:r>
      <w:r w:rsidR="00E91ED8">
        <w:t xml:space="preserve">eport </w:t>
      </w:r>
      <w:r w:rsidR="00FF1EAA">
        <w:t>on the tria</w:t>
      </w:r>
      <w:r w:rsidR="001841EA">
        <w:t>l of 37 former members of the Q</w:t>
      </w:r>
      <w:r w:rsidR="00FF1EAA">
        <w:t>ad</w:t>
      </w:r>
      <w:r w:rsidR="001841EA">
        <w:t>h</w:t>
      </w:r>
      <w:r w:rsidR="00FF1EAA">
        <w:t>afi regime (C</w:t>
      </w:r>
      <w:r w:rsidR="00E422C5" w:rsidRPr="00206848">
        <w:t>ase 630/2012</w:t>
      </w:r>
      <w:r w:rsidR="00FF1EAA">
        <w:t>)</w:t>
      </w:r>
      <w:r w:rsidR="00EE5526">
        <w:t>,</w:t>
      </w:r>
      <w:r w:rsidR="008A5A72" w:rsidRPr="00025352">
        <w:rPr>
          <w:sz w:val="18"/>
          <w:szCs w:val="18"/>
          <w:vertAlign w:val="superscript"/>
        </w:rPr>
        <w:t>5</w:t>
      </w:r>
      <w:r w:rsidR="00EE5526">
        <w:t xml:space="preserve"> </w:t>
      </w:r>
      <w:r w:rsidR="008A5A72">
        <w:t xml:space="preserve">in </w:t>
      </w:r>
      <w:r w:rsidR="00EE5526">
        <w:t xml:space="preserve">which </w:t>
      </w:r>
      <w:r w:rsidR="008A5A72">
        <w:t xml:space="preserve">they </w:t>
      </w:r>
      <w:r w:rsidR="00FF1EAA">
        <w:t xml:space="preserve">found </w:t>
      </w:r>
      <w:r w:rsidR="00F04BA3">
        <w:t xml:space="preserve">numerous </w:t>
      </w:r>
      <w:r w:rsidR="00EE5526">
        <w:t xml:space="preserve">breaches of </w:t>
      </w:r>
      <w:r w:rsidR="00716D40">
        <w:t xml:space="preserve">fair trial </w:t>
      </w:r>
      <w:r w:rsidR="00EE5526">
        <w:t xml:space="preserve">standards </w:t>
      </w:r>
      <w:r w:rsidR="00F04BA3">
        <w:t xml:space="preserve">in </w:t>
      </w:r>
      <w:r w:rsidR="00EE5526">
        <w:t xml:space="preserve">the conduct of the proceedings, </w:t>
      </w:r>
      <w:r w:rsidR="00FF1EAA">
        <w:t xml:space="preserve">including </w:t>
      </w:r>
      <w:r w:rsidR="00716D40">
        <w:t>to the rights to a public trial,</w:t>
      </w:r>
      <w:r w:rsidR="00FF1EAA" w:rsidRPr="00206848">
        <w:t xml:space="preserve"> to adequate time and </w:t>
      </w:r>
      <w:r w:rsidR="00716D40">
        <w:t>facilities to prepare a</w:t>
      </w:r>
      <w:r w:rsidR="00EE5526">
        <w:t>nd present a</w:t>
      </w:r>
      <w:r w:rsidR="00716D40">
        <w:t xml:space="preserve"> defence</w:t>
      </w:r>
      <w:r w:rsidR="00FF1EAA" w:rsidRPr="00206848">
        <w:t>.</w:t>
      </w:r>
      <w:r w:rsidR="00FF1EAA">
        <w:t xml:space="preserve"> The verdict issued on 28 July</w:t>
      </w:r>
      <w:r w:rsidR="00F04BA3">
        <w:t xml:space="preserve"> 2015</w:t>
      </w:r>
      <w:r w:rsidR="00FF1EAA">
        <w:t xml:space="preserve">, sentencing </w:t>
      </w:r>
      <w:r w:rsidR="00F04BA3">
        <w:t>32</w:t>
      </w:r>
      <w:r w:rsidR="00FF1EAA">
        <w:t xml:space="preserve"> defendants to death or </w:t>
      </w:r>
      <w:r w:rsidR="008A5A72">
        <w:t xml:space="preserve">to </w:t>
      </w:r>
      <w:r w:rsidR="00FF1EAA">
        <w:t xml:space="preserve">prison terms, </w:t>
      </w:r>
      <w:r w:rsidR="008A5A72">
        <w:t xml:space="preserve">was still </w:t>
      </w:r>
      <w:r w:rsidR="00E422C5" w:rsidRPr="00206848">
        <w:t>under review by the cassation chamber of the Supreme Court</w:t>
      </w:r>
      <w:r w:rsidR="00D66D8F">
        <w:t xml:space="preserve"> </w:t>
      </w:r>
      <w:r w:rsidR="008A5A72">
        <w:t>at</w:t>
      </w:r>
      <w:r w:rsidR="00723A6E">
        <w:t xml:space="preserve"> the end of</w:t>
      </w:r>
      <w:r w:rsidR="00D66D8F">
        <w:t xml:space="preserve"> 2017</w:t>
      </w:r>
      <w:r w:rsidR="00E422C5" w:rsidRPr="00206848">
        <w:t xml:space="preserve">. </w:t>
      </w:r>
      <w:r w:rsidR="004453A6">
        <w:t>In May, s</w:t>
      </w:r>
      <w:r w:rsidR="00FF1EAA">
        <w:t xml:space="preserve">everal defendants in </w:t>
      </w:r>
      <w:r w:rsidR="00676EFA">
        <w:t>the c</w:t>
      </w:r>
      <w:r w:rsidR="00F04BA3">
        <w:t xml:space="preserve">ase </w:t>
      </w:r>
      <w:r w:rsidR="00FF1EAA">
        <w:t xml:space="preserve">were transferred from </w:t>
      </w:r>
      <w:r w:rsidR="00676EFA">
        <w:t>A</w:t>
      </w:r>
      <w:r w:rsidR="00FF1EAA">
        <w:t xml:space="preserve">l-Hadba prison </w:t>
      </w:r>
      <w:r w:rsidR="004453A6">
        <w:t xml:space="preserve">to </w:t>
      </w:r>
      <w:r w:rsidR="00676EFA">
        <w:t xml:space="preserve">an </w:t>
      </w:r>
      <w:r w:rsidR="004453A6">
        <w:t>unknown location</w:t>
      </w:r>
      <w:r w:rsidR="00FF1EAA">
        <w:t xml:space="preserve">. Their exact whereabouts and legal </w:t>
      </w:r>
      <w:r w:rsidR="00716D40">
        <w:t xml:space="preserve">status </w:t>
      </w:r>
      <w:r w:rsidR="00FF1EAA">
        <w:t>remain</w:t>
      </w:r>
      <w:r w:rsidR="00716D40">
        <w:t>ed</w:t>
      </w:r>
      <w:r w:rsidR="00FF1EAA">
        <w:t xml:space="preserve"> unclear, despite </w:t>
      </w:r>
      <w:r w:rsidR="004453A6">
        <w:t xml:space="preserve">UNSMIL/OHCHR </w:t>
      </w:r>
      <w:r w:rsidR="00FF1EAA">
        <w:t xml:space="preserve">requests </w:t>
      </w:r>
      <w:r w:rsidR="00F04BA3">
        <w:t>for clarification and access to prisoners addressed to</w:t>
      </w:r>
      <w:r w:rsidR="00FF1EAA">
        <w:t xml:space="preserve"> the Minister of Justice and the Office of the Prosecut</w:t>
      </w:r>
      <w:r w:rsidR="00EE1553">
        <w:t>or General</w:t>
      </w:r>
      <w:r w:rsidR="00FF1EAA">
        <w:t>.</w:t>
      </w:r>
    </w:p>
    <w:p w14:paraId="3BBE0DD4" w14:textId="5FEED0B4" w:rsidR="00E422C5" w:rsidRPr="00206848" w:rsidRDefault="00E422C5" w:rsidP="00025352">
      <w:pPr>
        <w:pStyle w:val="SingleTxtG"/>
      </w:pPr>
      <w:r w:rsidRPr="00206848">
        <w:t>7</w:t>
      </w:r>
      <w:r w:rsidR="00AB3860">
        <w:t>2</w:t>
      </w:r>
      <w:r w:rsidRPr="00206848">
        <w:t>.</w:t>
      </w:r>
      <w:r w:rsidRPr="00206848">
        <w:tab/>
      </w:r>
      <w:r w:rsidRPr="00B42806">
        <w:t>In its resolution 1970 (2011), the Security Council referred the situation of Libya to the Prosecutor of the International Criminal Court</w:t>
      </w:r>
      <w:r w:rsidR="008D30AC" w:rsidRPr="00B42806">
        <w:t>, giving</w:t>
      </w:r>
      <w:r w:rsidRPr="00B42806">
        <w:t xml:space="preserve"> the Court jurisdiction over crimes committed in Libya since 2011. </w:t>
      </w:r>
      <w:r w:rsidR="00FF1EAA" w:rsidRPr="00B42806">
        <w:t xml:space="preserve">On 24 April, </w:t>
      </w:r>
      <w:r w:rsidR="00D66D8F" w:rsidRPr="00B42806">
        <w:t xml:space="preserve">the Court unsealed </w:t>
      </w:r>
      <w:r w:rsidR="00FF1EAA" w:rsidRPr="00B42806">
        <w:t xml:space="preserve">an arrest warrant for Khaled </w:t>
      </w:r>
      <w:r w:rsidR="00676EFA">
        <w:t>A</w:t>
      </w:r>
      <w:r w:rsidR="00FF1EAA" w:rsidRPr="00B42806">
        <w:t>l-Tohamy for crimes against humanity and war crimes, including murder and persecutio</w:t>
      </w:r>
      <w:r w:rsidR="00F04BA3" w:rsidRPr="00B42806">
        <w:t>n</w:t>
      </w:r>
      <w:r w:rsidR="00EE5526" w:rsidRPr="00B42806">
        <w:t xml:space="preserve"> </w:t>
      </w:r>
      <w:r w:rsidR="00F04BA3" w:rsidRPr="00B42806">
        <w:t xml:space="preserve">committed during the 2011 </w:t>
      </w:r>
      <w:r w:rsidR="00FF1EAA" w:rsidRPr="00B42806">
        <w:t>armed conflict</w:t>
      </w:r>
      <w:r w:rsidR="00676EFA">
        <w:t>.</w:t>
      </w:r>
      <w:r w:rsidR="0049020A" w:rsidRPr="00B42806">
        <w:rPr>
          <w:rStyle w:val="FootnoteReference"/>
        </w:rPr>
        <w:footnoteReference w:id="11"/>
      </w:r>
      <w:r w:rsidR="00391C72" w:rsidRPr="00B42806">
        <w:t xml:space="preserve"> Media reported the release </w:t>
      </w:r>
      <w:r w:rsidR="00D66D8F" w:rsidRPr="00B42806">
        <w:t xml:space="preserve">from detention in Zintan, on 16 June, </w:t>
      </w:r>
      <w:r w:rsidR="00391C72" w:rsidRPr="00B42806">
        <w:t>of Saif al-Islam Qadhafi</w:t>
      </w:r>
      <w:r w:rsidR="00676EFA">
        <w:t>, who was</w:t>
      </w:r>
      <w:r w:rsidR="00391C72" w:rsidRPr="00B42806">
        <w:t xml:space="preserve"> subject to an arrest warrant </w:t>
      </w:r>
      <w:r w:rsidR="00676EFA">
        <w:t xml:space="preserve">issued by </w:t>
      </w:r>
      <w:r w:rsidR="00D66D8F" w:rsidRPr="00B42806">
        <w:t xml:space="preserve">the Court in </w:t>
      </w:r>
      <w:r w:rsidR="00391C72" w:rsidRPr="00B42806">
        <w:t xml:space="preserve">2011. </w:t>
      </w:r>
      <w:r w:rsidR="00FF1EAA" w:rsidRPr="00B42806">
        <w:t xml:space="preserve">On 15 August, </w:t>
      </w:r>
      <w:r w:rsidR="00F04BA3" w:rsidRPr="00B42806">
        <w:t xml:space="preserve">the </w:t>
      </w:r>
      <w:r w:rsidR="00FF1EAA" w:rsidRPr="00B42806">
        <w:t>Pre-Trial Chamber</w:t>
      </w:r>
      <w:r w:rsidR="0082593F" w:rsidRPr="00B42806">
        <w:t xml:space="preserve"> 1</w:t>
      </w:r>
      <w:r w:rsidR="00FF1EAA" w:rsidRPr="00B42806">
        <w:t xml:space="preserve"> of the Court issued a warrant for the arrest of Mahmoud </w:t>
      </w:r>
      <w:r w:rsidR="00676EFA">
        <w:t>A</w:t>
      </w:r>
      <w:r w:rsidR="00FF1EAA" w:rsidRPr="00B42806">
        <w:t>l-Werfalli for the war crime of murder (</w:t>
      </w:r>
      <w:r w:rsidR="00000081" w:rsidRPr="00B42806">
        <w:t>s</w:t>
      </w:r>
      <w:r w:rsidR="004453A6" w:rsidRPr="00B42806">
        <w:t>ee</w:t>
      </w:r>
      <w:r w:rsidR="00FF1EAA" w:rsidRPr="00B42806">
        <w:t xml:space="preserve"> </w:t>
      </w:r>
      <w:r w:rsidR="004453A6" w:rsidRPr="00B42806">
        <w:t>para</w:t>
      </w:r>
      <w:r w:rsidR="00676EFA">
        <w:t>.</w:t>
      </w:r>
      <w:r w:rsidR="004453A6" w:rsidRPr="00B42806">
        <w:t xml:space="preserve"> 2</w:t>
      </w:r>
      <w:r w:rsidR="00676EFA">
        <w:t>7 above</w:t>
      </w:r>
      <w:r w:rsidR="00FF1EAA" w:rsidRPr="00B42806">
        <w:t>)</w:t>
      </w:r>
      <w:r w:rsidR="00676EFA">
        <w:t>.</w:t>
      </w:r>
      <w:r w:rsidR="004453A6" w:rsidRPr="00D75D13">
        <w:rPr>
          <w:rStyle w:val="FootnoteReference"/>
          <w:szCs w:val="18"/>
        </w:rPr>
        <w:footnoteReference w:id="12"/>
      </w:r>
      <w:r w:rsidR="001367CE" w:rsidRPr="00B42806">
        <w:t xml:space="preserve"> The three </w:t>
      </w:r>
      <w:r w:rsidR="00391C72" w:rsidRPr="00B42806">
        <w:t>men remain</w:t>
      </w:r>
      <w:r w:rsidR="00716D40" w:rsidRPr="00B42806">
        <w:t>ed</w:t>
      </w:r>
      <w:r w:rsidR="001367CE" w:rsidRPr="00B42806">
        <w:t xml:space="preserve"> at large, amid reports that </w:t>
      </w:r>
      <w:r w:rsidR="00676EFA">
        <w:t>A</w:t>
      </w:r>
      <w:r w:rsidR="001367CE" w:rsidRPr="00B42806">
        <w:t xml:space="preserve">l-Werfalli </w:t>
      </w:r>
      <w:r w:rsidR="004B02F0" w:rsidRPr="00B42806">
        <w:t>w</w:t>
      </w:r>
      <w:r w:rsidR="001367CE" w:rsidRPr="00B42806">
        <w:t xml:space="preserve">as </w:t>
      </w:r>
      <w:r w:rsidR="00716D40" w:rsidRPr="00B42806">
        <w:t>involved</w:t>
      </w:r>
      <w:r w:rsidR="001367CE" w:rsidRPr="00B42806">
        <w:t xml:space="preserve"> in </w:t>
      </w:r>
      <w:r w:rsidR="00716D40" w:rsidRPr="00B42806">
        <w:t>additional</w:t>
      </w:r>
      <w:r w:rsidR="001367CE" w:rsidRPr="00B42806">
        <w:t xml:space="preserve"> crimes </w:t>
      </w:r>
      <w:r w:rsidR="000B542B" w:rsidRPr="00B42806">
        <w:t xml:space="preserve">under </w:t>
      </w:r>
      <w:r w:rsidR="001367CE" w:rsidRPr="00B42806">
        <w:t>international law</w:t>
      </w:r>
      <w:r w:rsidR="00716D40" w:rsidRPr="00B42806">
        <w:t xml:space="preserve"> following </w:t>
      </w:r>
      <w:r w:rsidR="000B542B" w:rsidRPr="00B42806">
        <w:t xml:space="preserve">the issuance of </w:t>
      </w:r>
      <w:r w:rsidR="00AB405A">
        <w:t xml:space="preserve">a </w:t>
      </w:r>
      <w:r w:rsidR="00AB405A" w:rsidRPr="00B42806">
        <w:t xml:space="preserve">warrant </w:t>
      </w:r>
      <w:r w:rsidR="00AB405A">
        <w:t xml:space="preserve">for </w:t>
      </w:r>
      <w:r w:rsidR="004B02F0" w:rsidRPr="00B42806">
        <w:t>his</w:t>
      </w:r>
      <w:r w:rsidR="00716D40" w:rsidRPr="00B42806">
        <w:t xml:space="preserve"> arrest</w:t>
      </w:r>
      <w:r w:rsidR="001367CE" w:rsidRPr="00B42806">
        <w:t xml:space="preserve">, despite </w:t>
      </w:r>
      <w:r w:rsidR="00AB405A">
        <w:t xml:space="preserve">the </w:t>
      </w:r>
      <w:r w:rsidR="001367CE" w:rsidRPr="00B42806">
        <w:t xml:space="preserve">announcement by the </w:t>
      </w:r>
      <w:r w:rsidR="00A8441E" w:rsidRPr="00B42806">
        <w:t>Libyan National Army</w:t>
      </w:r>
      <w:r w:rsidR="001367CE" w:rsidRPr="00B42806">
        <w:t xml:space="preserve"> that he was in custody </w:t>
      </w:r>
      <w:r w:rsidR="00391C72" w:rsidRPr="00B42806">
        <w:t xml:space="preserve">and </w:t>
      </w:r>
      <w:r w:rsidR="001367CE" w:rsidRPr="00B42806">
        <w:t xml:space="preserve">under investigation. UNSMIL/OHCHR called </w:t>
      </w:r>
      <w:r w:rsidR="00AB405A">
        <w:t>up</w:t>
      </w:r>
      <w:r w:rsidR="001367CE" w:rsidRPr="00B42806">
        <w:t>on all parties to cooperate with the C</w:t>
      </w:r>
      <w:r w:rsidR="00D66D8F" w:rsidRPr="00B42806">
        <w:t>ourt</w:t>
      </w:r>
      <w:r w:rsidR="001367CE" w:rsidRPr="00B42806">
        <w:t xml:space="preserve"> and </w:t>
      </w:r>
      <w:r w:rsidR="00AB405A">
        <w:t xml:space="preserve">to </w:t>
      </w:r>
      <w:r w:rsidR="001367CE" w:rsidRPr="00B42806">
        <w:t xml:space="preserve">surrender the suspects to </w:t>
      </w:r>
      <w:r w:rsidR="00D66D8F" w:rsidRPr="00B42806">
        <w:t>it</w:t>
      </w:r>
      <w:r w:rsidR="001367CE" w:rsidRPr="00B42806">
        <w:t xml:space="preserve">. </w:t>
      </w:r>
    </w:p>
    <w:p w14:paraId="05255CE1" w14:textId="5318BDC7" w:rsidR="00E422C5" w:rsidRPr="00206848" w:rsidRDefault="008B3923" w:rsidP="00025352">
      <w:pPr>
        <w:pStyle w:val="SingleTxtG"/>
      </w:pPr>
      <w:r>
        <w:t>7</w:t>
      </w:r>
      <w:r w:rsidR="00AB3860">
        <w:t>3</w:t>
      </w:r>
      <w:r w:rsidR="00E422C5" w:rsidRPr="00206848">
        <w:t>.</w:t>
      </w:r>
      <w:r w:rsidR="00E422C5" w:rsidRPr="00206848">
        <w:tab/>
      </w:r>
      <w:r w:rsidR="001367CE" w:rsidRPr="00B42806">
        <w:t xml:space="preserve">On 20 June, the </w:t>
      </w:r>
      <w:r w:rsidR="00391C72" w:rsidRPr="00B42806">
        <w:t>P</w:t>
      </w:r>
      <w:r w:rsidR="00D66D8F" w:rsidRPr="00B42806">
        <w:t xml:space="preserve">residency </w:t>
      </w:r>
      <w:r w:rsidR="00391C72" w:rsidRPr="00B42806">
        <w:t>C</w:t>
      </w:r>
      <w:r w:rsidR="00D66D8F" w:rsidRPr="00B42806">
        <w:t>ouncil</w:t>
      </w:r>
      <w:r w:rsidR="001367CE" w:rsidRPr="00B42806">
        <w:t xml:space="preserve"> ratified an agreement reached by the Misrata/Tawargha dialogue committee in August 2016 and amended in March 2017.</w:t>
      </w:r>
      <w:r w:rsidR="00E422C5" w:rsidRPr="001367CE">
        <w:t xml:space="preserve"> </w:t>
      </w:r>
      <w:r w:rsidR="001367CE" w:rsidRPr="001367CE">
        <w:t>The</w:t>
      </w:r>
      <w:r w:rsidR="00E422C5" w:rsidRPr="001367CE">
        <w:t xml:space="preserve"> agreement outlin</w:t>
      </w:r>
      <w:r w:rsidR="001367CE" w:rsidRPr="001367CE">
        <w:t>ed</w:t>
      </w:r>
      <w:r w:rsidR="00E422C5" w:rsidRPr="001367CE">
        <w:t xml:space="preserve"> a programme of compensation for victims of the 2011 conflict and the return of some 40,000 displaced Tawerghans. </w:t>
      </w:r>
      <w:r w:rsidR="009F6E08">
        <w:t>On 26 December, the Presiden</w:t>
      </w:r>
      <w:r w:rsidR="00AB405A">
        <w:t>cy</w:t>
      </w:r>
      <w:r w:rsidR="009F6E08">
        <w:t xml:space="preserve"> Council announced that Tawerghans </w:t>
      </w:r>
      <w:r w:rsidR="00AB405A">
        <w:t>could begin to</w:t>
      </w:r>
      <w:r w:rsidR="009F6E08">
        <w:t xml:space="preserve"> return home as of 1 February 2018</w:t>
      </w:r>
      <w:r w:rsidR="00AB405A">
        <w:t>,</w:t>
      </w:r>
      <w:r w:rsidR="009F6E08">
        <w:t xml:space="preserve"> and instructed relevant national security and service institutions to </w:t>
      </w:r>
      <w:r w:rsidR="00AB405A">
        <w:t>make due preparations</w:t>
      </w:r>
      <w:r w:rsidR="009F6E08">
        <w:t xml:space="preserve">. </w:t>
      </w:r>
      <w:r w:rsidR="001367CE" w:rsidRPr="00B42806">
        <w:t xml:space="preserve">UNSMIL urged the </w:t>
      </w:r>
      <w:r w:rsidR="00D66D8F" w:rsidRPr="00B42806">
        <w:t>Presidency Council</w:t>
      </w:r>
      <w:r w:rsidR="009F6E08" w:rsidRPr="00B42806">
        <w:t xml:space="preserve"> and other stakeholders</w:t>
      </w:r>
      <w:r w:rsidR="00D66D8F" w:rsidRPr="00B42806">
        <w:t xml:space="preserve"> </w:t>
      </w:r>
      <w:r w:rsidR="001367CE" w:rsidRPr="00B42806">
        <w:t xml:space="preserve">to implement the agreement in full compliance with international standards, including to remove any conditionality on </w:t>
      </w:r>
      <w:r w:rsidR="00391C72" w:rsidRPr="00B42806">
        <w:t xml:space="preserve">the </w:t>
      </w:r>
      <w:r w:rsidR="001367CE" w:rsidRPr="00B42806">
        <w:t xml:space="preserve">return of </w:t>
      </w:r>
      <w:r w:rsidR="00AB405A">
        <w:t>internally displaced persons</w:t>
      </w:r>
      <w:r w:rsidR="001367CE" w:rsidRPr="00B42806">
        <w:t xml:space="preserve">, </w:t>
      </w:r>
      <w:r w:rsidR="00AB405A">
        <w:t xml:space="preserve">to </w:t>
      </w:r>
      <w:r w:rsidR="001367CE" w:rsidRPr="00B42806">
        <w:t>ensure full transparency and oversight for reparation</w:t>
      </w:r>
      <w:r w:rsidR="00000081" w:rsidRPr="00B42806">
        <w:t>s</w:t>
      </w:r>
      <w:r w:rsidR="001367CE" w:rsidRPr="00B42806">
        <w:t xml:space="preserve"> and other payments, and </w:t>
      </w:r>
      <w:r w:rsidR="00AB405A">
        <w:t xml:space="preserve">to </w:t>
      </w:r>
      <w:r w:rsidR="001367CE" w:rsidRPr="00B42806">
        <w:t>address truth and justice issues through a national programme. On 18 May, an agreement was reached between the Mashashiya and Zintan communities on the return of persons displaced since the 2011 armed conflict</w:t>
      </w:r>
      <w:r w:rsidR="00AB405A" w:rsidRPr="00AB405A">
        <w:t xml:space="preserve"> </w:t>
      </w:r>
      <w:r w:rsidR="00AB405A" w:rsidRPr="00B42806">
        <w:t>to their homes</w:t>
      </w:r>
      <w:r w:rsidR="00D66D8F" w:rsidRPr="00B42806">
        <w:t>,</w:t>
      </w:r>
      <w:r w:rsidR="001367CE" w:rsidRPr="00B42806">
        <w:t xml:space="preserve"> and on the establishment of mechanisms to address the issues of reparation and missing persons</w:t>
      </w:r>
      <w:r w:rsidR="00AB405A">
        <w:t>.</w:t>
      </w:r>
    </w:p>
    <w:p w14:paraId="0568D592" w14:textId="77354EAF" w:rsidR="00E422C5" w:rsidRPr="00206848" w:rsidRDefault="00E422C5" w:rsidP="00025352">
      <w:pPr>
        <w:pStyle w:val="H23G"/>
        <w:spacing w:line="240" w:lineRule="atLeast"/>
      </w:pPr>
      <w:r w:rsidRPr="00206848">
        <w:tab/>
      </w:r>
      <w:r w:rsidRPr="00206848">
        <w:tab/>
        <w:t>Support</w:t>
      </w:r>
    </w:p>
    <w:p w14:paraId="21D5ED80" w14:textId="7144EBF8" w:rsidR="00E422C5" w:rsidRPr="00206848" w:rsidRDefault="008B3923" w:rsidP="00025352">
      <w:pPr>
        <w:pStyle w:val="SingleTxtG"/>
      </w:pPr>
      <w:r>
        <w:t>7</w:t>
      </w:r>
      <w:r w:rsidR="00AB3860">
        <w:t>4</w:t>
      </w:r>
      <w:r w:rsidR="00E422C5" w:rsidRPr="00206848">
        <w:t>.</w:t>
      </w:r>
      <w:r w:rsidR="00E422C5" w:rsidRPr="00206848">
        <w:tab/>
        <w:t xml:space="preserve">UNSMIL/OHCHR continued </w:t>
      </w:r>
      <w:r w:rsidR="00CA25A7">
        <w:t>to engage</w:t>
      </w:r>
      <w:r w:rsidR="00E422C5" w:rsidRPr="00206848">
        <w:t xml:space="preserve"> with the Office of the Prosecutor General and other officials on issues </w:t>
      </w:r>
      <w:r w:rsidR="00AB405A">
        <w:t>relating to</w:t>
      </w:r>
      <w:r w:rsidR="00AB405A" w:rsidRPr="00206848">
        <w:t xml:space="preserve"> </w:t>
      </w:r>
      <w:r w:rsidR="007867E3">
        <w:t>fair trial</w:t>
      </w:r>
      <w:r w:rsidR="00AB405A">
        <w:t xml:space="preserve"> </w:t>
      </w:r>
      <w:r w:rsidR="00A219BE">
        <w:t>standards</w:t>
      </w:r>
      <w:r w:rsidR="007867E3">
        <w:t>, criminal law reform and</w:t>
      </w:r>
      <w:r w:rsidR="00E422C5" w:rsidRPr="00206848">
        <w:t xml:space="preserve"> </w:t>
      </w:r>
      <w:r w:rsidR="007867E3">
        <w:t>accountability</w:t>
      </w:r>
      <w:r w:rsidR="001367CE">
        <w:t>, an</w:t>
      </w:r>
      <w:r w:rsidR="00C5696A">
        <w:t>d raised a number of individual</w:t>
      </w:r>
      <w:r w:rsidR="001367CE">
        <w:t xml:space="preserve"> cases of concern </w:t>
      </w:r>
      <w:r w:rsidR="00BD282D">
        <w:t>and</w:t>
      </w:r>
      <w:r w:rsidR="001367CE">
        <w:t xml:space="preserve"> patterns of abuse</w:t>
      </w:r>
      <w:r w:rsidR="00E422C5" w:rsidRPr="00206848">
        <w:t xml:space="preserve">. </w:t>
      </w:r>
    </w:p>
    <w:p w14:paraId="27050877" w14:textId="2D44A272" w:rsidR="00E874F9" w:rsidRDefault="008B3923" w:rsidP="00025352">
      <w:pPr>
        <w:pStyle w:val="SingleTxtG"/>
      </w:pPr>
      <w:r>
        <w:t>7</w:t>
      </w:r>
      <w:r w:rsidR="00AB3860">
        <w:t>5</w:t>
      </w:r>
      <w:r w:rsidR="00E422C5" w:rsidRPr="00206848">
        <w:t>.</w:t>
      </w:r>
      <w:r w:rsidR="00E422C5" w:rsidRPr="00206848">
        <w:tab/>
        <w:t xml:space="preserve">UNSMIL/OHCHR continued to support the Misrata/Tawergha dialogue committee </w:t>
      </w:r>
      <w:r w:rsidR="00AD366C">
        <w:t xml:space="preserve">in the implementation of </w:t>
      </w:r>
      <w:r w:rsidR="00BD282D">
        <w:t>its</w:t>
      </w:r>
      <w:r w:rsidR="00BD282D" w:rsidRPr="00206848">
        <w:t xml:space="preserve"> </w:t>
      </w:r>
      <w:r w:rsidR="00E422C5" w:rsidRPr="00206848">
        <w:t>agreement on compensation and returns</w:t>
      </w:r>
      <w:r w:rsidR="00397B84">
        <w:t>,</w:t>
      </w:r>
      <w:r w:rsidR="00AD366C">
        <w:t xml:space="preserve"> in </w:t>
      </w:r>
      <w:r w:rsidR="00BD282D">
        <w:t>accordance</w:t>
      </w:r>
      <w:r w:rsidR="00AD366C">
        <w:t xml:space="preserve"> with international standards</w:t>
      </w:r>
      <w:r w:rsidR="00E422C5" w:rsidRPr="00206848">
        <w:t>.</w:t>
      </w:r>
      <w:r w:rsidR="00AD366C">
        <w:t xml:space="preserve"> On 19 September, UNSMIL </w:t>
      </w:r>
      <w:r w:rsidR="00000081">
        <w:t>and</w:t>
      </w:r>
      <w:r w:rsidR="00AD366C">
        <w:t xml:space="preserve"> UNDP organized a meeting in Tripoli </w:t>
      </w:r>
      <w:r w:rsidR="00000081">
        <w:t>with</w:t>
      </w:r>
      <w:r w:rsidR="00AD366C">
        <w:t xml:space="preserve"> members of the </w:t>
      </w:r>
      <w:r w:rsidR="00716D40">
        <w:t>dialogue</w:t>
      </w:r>
      <w:r w:rsidR="00AD366C">
        <w:t xml:space="preserve"> committee and </w:t>
      </w:r>
      <w:r w:rsidR="00BD282D">
        <w:t>g</w:t>
      </w:r>
      <w:r w:rsidR="00AD366C">
        <w:t>overnment officials</w:t>
      </w:r>
      <w:r w:rsidR="00397B84">
        <w:t>,</w:t>
      </w:r>
      <w:r w:rsidR="00AD366C">
        <w:t xml:space="preserve"> including the Deputy Prime </w:t>
      </w:r>
      <w:r w:rsidR="00CA25A7">
        <w:t>M</w:t>
      </w:r>
      <w:r w:rsidR="00AD366C">
        <w:t xml:space="preserve">inister and the Minister for </w:t>
      </w:r>
      <w:r w:rsidR="00BD282D">
        <w:t>Internally Displaced Persons</w:t>
      </w:r>
      <w:r w:rsidR="00AD366C">
        <w:t xml:space="preserve">, to discuss implementation </w:t>
      </w:r>
      <w:r w:rsidR="00CA25A7">
        <w:t>mecha</w:t>
      </w:r>
      <w:r w:rsidR="004453A6">
        <w:t>n</w:t>
      </w:r>
      <w:r w:rsidR="00CA25A7">
        <w:t>isms</w:t>
      </w:r>
      <w:r w:rsidR="00AD366C">
        <w:t>.</w:t>
      </w:r>
      <w:r w:rsidR="00E422C5" w:rsidRPr="00206848">
        <w:t xml:space="preserve"> </w:t>
      </w:r>
      <w:r w:rsidR="00F31FF3" w:rsidRPr="002C6CB9">
        <w:t xml:space="preserve">On 25 and 26 October, </w:t>
      </w:r>
      <w:r w:rsidR="00CA25A7">
        <w:t>U</w:t>
      </w:r>
      <w:r w:rsidR="00F31FF3" w:rsidRPr="002C6CB9">
        <w:t xml:space="preserve">NSMIL and UNDP </w:t>
      </w:r>
      <w:r w:rsidR="00CA25A7">
        <w:t xml:space="preserve">also </w:t>
      </w:r>
      <w:r w:rsidR="00F31FF3" w:rsidRPr="002C6CB9">
        <w:t>organized a consultation workshop for civil society representatives</w:t>
      </w:r>
      <w:r w:rsidR="00F31FF3">
        <w:t xml:space="preserve"> </w:t>
      </w:r>
      <w:r w:rsidR="00000081">
        <w:t>on</w:t>
      </w:r>
      <w:r w:rsidR="005F3DC2">
        <w:t xml:space="preserve"> the</w:t>
      </w:r>
      <w:r w:rsidR="00F31FF3">
        <w:t xml:space="preserve"> implementation of the agreement in </w:t>
      </w:r>
      <w:r w:rsidR="00BD282D">
        <w:t xml:space="preserve">accordance </w:t>
      </w:r>
      <w:r w:rsidR="00F31FF3">
        <w:t>with international standards</w:t>
      </w:r>
      <w:r w:rsidR="00AD366C">
        <w:t xml:space="preserve">. </w:t>
      </w:r>
    </w:p>
    <w:p w14:paraId="07228338" w14:textId="77777777" w:rsidR="00E422C5" w:rsidRPr="00206848" w:rsidRDefault="00D45F7B" w:rsidP="00025352">
      <w:pPr>
        <w:pStyle w:val="SingleTxtG"/>
      </w:pPr>
      <w:r>
        <w:t>7</w:t>
      </w:r>
      <w:r w:rsidR="00AB3860">
        <w:t>6</w:t>
      </w:r>
      <w:r w:rsidR="00CA25A7">
        <w:t>.</w:t>
      </w:r>
      <w:r w:rsidR="00397B84">
        <w:tab/>
      </w:r>
      <w:r w:rsidR="00E874F9">
        <w:t xml:space="preserve">In response to requests by members of the Zintan and Mashashiya communities for support in their reconciliation process, </w:t>
      </w:r>
      <w:r w:rsidR="00D0787C">
        <w:t xml:space="preserve">UNSMIL </w:t>
      </w:r>
      <w:r w:rsidR="00000081">
        <w:t>and</w:t>
      </w:r>
      <w:r w:rsidR="00D0787C">
        <w:t xml:space="preserve"> UNDP organized meetings </w:t>
      </w:r>
      <w:r w:rsidR="00E874F9">
        <w:t>with representatives of both communities</w:t>
      </w:r>
      <w:r w:rsidR="00A609FB">
        <w:t xml:space="preserve">, addressing issues of safe and dignified return </w:t>
      </w:r>
      <w:r w:rsidR="00CA25A7">
        <w:t>for</w:t>
      </w:r>
      <w:r w:rsidR="00A609FB">
        <w:t xml:space="preserve"> those displaced, </w:t>
      </w:r>
      <w:r w:rsidR="00CA25A7">
        <w:t xml:space="preserve">truth-seeking and </w:t>
      </w:r>
      <w:r w:rsidR="00A609FB">
        <w:t>justice, security and the resolution of historical disputes</w:t>
      </w:r>
      <w:r w:rsidR="00397B84">
        <w:t>,</w:t>
      </w:r>
      <w:r w:rsidR="007B66CD">
        <w:t xml:space="preserve"> including those linked to land ownership</w:t>
      </w:r>
      <w:r w:rsidR="00E874F9">
        <w:t xml:space="preserve">. </w:t>
      </w:r>
    </w:p>
    <w:p w14:paraId="5210A17B" w14:textId="77777777" w:rsidR="00E422C5" w:rsidRPr="00E36F50" w:rsidRDefault="00E422C5" w:rsidP="00025352">
      <w:pPr>
        <w:pStyle w:val="HChG"/>
        <w:spacing w:line="240" w:lineRule="atLeast"/>
      </w:pPr>
      <w:r w:rsidRPr="00206848">
        <w:tab/>
        <w:t>VII.</w:t>
      </w:r>
      <w:r w:rsidRPr="00206848">
        <w:tab/>
      </w:r>
      <w:r w:rsidR="00E36F50">
        <w:t>Conclusions and recommendations</w:t>
      </w:r>
      <w:r w:rsidRPr="00206848">
        <w:tab/>
      </w:r>
      <w:r w:rsidRPr="00206848">
        <w:rPr>
          <w:b w:val="0"/>
          <w:bCs/>
        </w:rPr>
        <w:t xml:space="preserve"> </w:t>
      </w:r>
    </w:p>
    <w:p w14:paraId="630FD6FB" w14:textId="3D18C25C" w:rsidR="00E422C5" w:rsidRPr="00206848" w:rsidRDefault="00D45F7B" w:rsidP="00025352">
      <w:pPr>
        <w:pStyle w:val="SingleTxtG"/>
        <w:rPr>
          <w:b/>
          <w:bCs/>
        </w:rPr>
      </w:pPr>
      <w:r>
        <w:t>7</w:t>
      </w:r>
      <w:r w:rsidR="00AB3860">
        <w:t>7</w:t>
      </w:r>
      <w:r w:rsidR="00E422C5" w:rsidRPr="00206848">
        <w:t>.</w:t>
      </w:r>
      <w:r w:rsidR="00E422C5" w:rsidRPr="00206848">
        <w:rPr>
          <w:b/>
          <w:bCs/>
        </w:rPr>
        <w:tab/>
      </w:r>
      <w:r w:rsidR="002060A9">
        <w:rPr>
          <w:b/>
          <w:bCs/>
        </w:rPr>
        <w:t xml:space="preserve">Armed </w:t>
      </w:r>
      <w:r w:rsidR="00E422C5" w:rsidRPr="00206848">
        <w:rPr>
          <w:b/>
          <w:bCs/>
        </w:rPr>
        <w:t xml:space="preserve">groups, </w:t>
      </w:r>
      <w:r w:rsidR="00EA2C7E">
        <w:rPr>
          <w:b/>
          <w:bCs/>
        </w:rPr>
        <w:t>including those acting</w:t>
      </w:r>
      <w:r w:rsidR="008B3923">
        <w:rPr>
          <w:b/>
          <w:bCs/>
        </w:rPr>
        <w:t xml:space="preserve"> on</w:t>
      </w:r>
      <w:r w:rsidR="00E422C5" w:rsidRPr="00206848">
        <w:rPr>
          <w:b/>
          <w:bCs/>
        </w:rPr>
        <w:t xml:space="preserve"> behalf of the State, </w:t>
      </w:r>
      <w:r w:rsidR="00123BCD">
        <w:rPr>
          <w:b/>
          <w:bCs/>
        </w:rPr>
        <w:t xml:space="preserve">continued to </w:t>
      </w:r>
      <w:r w:rsidR="00B84541">
        <w:rPr>
          <w:b/>
          <w:bCs/>
        </w:rPr>
        <w:t xml:space="preserve">be </w:t>
      </w:r>
      <w:r w:rsidR="00E422C5" w:rsidRPr="00206848">
        <w:rPr>
          <w:b/>
          <w:bCs/>
        </w:rPr>
        <w:t xml:space="preserve">primarily responsible for grave </w:t>
      </w:r>
      <w:r w:rsidR="00994508" w:rsidRPr="00206848">
        <w:rPr>
          <w:b/>
          <w:bCs/>
        </w:rPr>
        <w:t xml:space="preserve">human rights </w:t>
      </w:r>
      <w:r w:rsidR="00E422C5" w:rsidRPr="00206848">
        <w:rPr>
          <w:b/>
          <w:bCs/>
        </w:rPr>
        <w:t>violations and abuses in Libya</w:t>
      </w:r>
      <w:r w:rsidR="00123BCD">
        <w:rPr>
          <w:b/>
          <w:bCs/>
        </w:rPr>
        <w:t>. State institutions remained weak and often were unable or</w:t>
      </w:r>
      <w:r w:rsidR="00397B84">
        <w:rPr>
          <w:b/>
          <w:bCs/>
        </w:rPr>
        <w:t>,</w:t>
      </w:r>
      <w:r w:rsidR="00123BCD">
        <w:rPr>
          <w:b/>
          <w:bCs/>
        </w:rPr>
        <w:t xml:space="preserve"> </w:t>
      </w:r>
      <w:r w:rsidR="00EA2C7E">
        <w:rPr>
          <w:b/>
          <w:bCs/>
        </w:rPr>
        <w:t>in some cases</w:t>
      </w:r>
      <w:r w:rsidR="00397B84">
        <w:rPr>
          <w:b/>
          <w:bCs/>
        </w:rPr>
        <w:t>,</w:t>
      </w:r>
      <w:r w:rsidR="00123BCD">
        <w:rPr>
          <w:b/>
          <w:bCs/>
        </w:rPr>
        <w:t xml:space="preserve"> </w:t>
      </w:r>
      <w:r w:rsidR="00EA2C7E">
        <w:rPr>
          <w:b/>
          <w:bCs/>
        </w:rPr>
        <w:t xml:space="preserve">unwilling to </w:t>
      </w:r>
      <w:r w:rsidR="008C4565">
        <w:rPr>
          <w:b/>
          <w:bCs/>
        </w:rPr>
        <w:t xml:space="preserve">ensure accountability for human rights violations or abuses </w:t>
      </w:r>
      <w:r w:rsidR="00A219BE">
        <w:rPr>
          <w:b/>
          <w:bCs/>
        </w:rPr>
        <w:t xml:space="preserve">or </w:t>
      </w:r>
      <w:r w:rsidR="008C4565">
        <w:rPr>
          <w:b/>
          <w:bCs/>
        </w:rPr>
        <w:t>to end impunity</w:t>
      </w:r>
      <w:r w:rsidR="00E422C5" w:rsidRPr="00206848">
        <w:rPr>
          <w:b/>
          <w:bCs/>
        </w:rPr>
        <w:t xml:space="preserve">. </w:t>
      </w:r>
    </w:p>
    <w:p w14:paraId="71B73937" w14:textId="6A34F8D4" w:rsidR="00E422C5" w:rsidRPr="00206848" w:rsidRDefault="00D45F7B" w:rsidP="00025352">
      <w:pPr>
        <w:pStyle w:val="SingleTxtG"/>
        <w:rPr>
          <w:b/>
          <w:bCs/>
        </w:rPr>
      </w:pPr>
      <w:r>
        <w:t>7</w:t>
      </w:r>
      <w:r w:rsidR="00AB3860">
        <w:t>8</w:t>
      </w:r>
      <w:r w:rsidR="00E422C5" w:rsidRPr="00206848">
        <w:t>.</w:t>
      </w:r>
      <w:r w:rsidR="00E422C5" w:rsidRPr="00206848">
        <w:rPr>
          <w:b/>
          <w:bCs/>
        </w:rPr>
        <w:tab/>
        <w:t xml:space="preserve">Recognizing the urgent need to bring an end to the widespread human rights violations and abuses being committed in Libya, the High Commissioner appeals to all parties to the conflict to cease </w:t>
      </w:r>
      <w:r w:rsidR="008C4565">
        <w:rPr>
          <w:b/>
          <w:bCs/>
        </w:rPr>
        <w:t xml:space="preserve">all </w:t>
      </w:r>
      <w:r w:rsidR="00E422C5" w:rsidRPr="00206848">
        <w:rPr>
          <w:b/>
          <w:bCs/>
        </w:rPr>
        <w:t xml:space="preserve">hostilities </w:t>
      </w:r>
      <w:r w:rsidR="00A008BE" w:rsidRPr="00206848">
        <w:rPr>
          <w:b/>
          <w:bCs/>
        </w:rPr>
        <w:t>and to</w:t>
      </w:r>
      <w:r w:rsidR="00E422C5" w:rsidRPr="00206848">
        <w:rPr>
          <w:b/>
          <w:bCs/>
        </w:rPr>
        <w:t xml:space="preserve"> </w:t>
      </w:r>
      <w:r w:rsidR="008C4565">
        <w:rPr>
          <w:b/>
          <w:bCs/>
        </w:rPr>
        <w:t xml:space="preserve">engage in </w:t>
      </w:r>
      <w:r w:rsidR="00A219BE">
        <w:rPr>
          <w:b/>
          <w:bCs/>
        </w:rPr>
        <w:t xml:space="preserve">a </w:t>
      </w:r>
      <w:r w:rsidR="008C4565">
        <w:rPr>
          <w:b/>
          <w:bCs/>
        </w:rPr>
        <w:t xml:space="preserve">meaningful, inclusive political dialogue built on ensuring the </w:t>
      </w:r>
      <w:r w:rsidR="00E422C5" w:rsidRPr="00206848">
        <w:rPr>
          <w:b/>
          <w:bCs/>
        </w:rPr>
        <w:t>respect for human rights and the rule of law.</w:t>
      </w:r>
    </w:p>
    <w:p w14:paraId="1D1AF19D" w14:textId="77777777" w:rsidR="00E422C5" w:rsidRPr="00F66AA7" w:rsidRDefault="00D45F7B" w:rsidP="00025352">
      <w:pPr>
        <w:pStyle w:val="SingleTxtG"/>
        <w:rPr>
          <w:b/>
          <w:bCs/>
        </w:rPr>
      </w:pPr>
      <w:r>
        <w:t>7</w:t>
      </w:r>
      <w:r w:rsidR="00AB3860">
        <w:t>9</w:t>
      </w:r>
      <w:r w:rsidR="00E422C5" w:rsidRPr="00206848">
        <w:t>.</w:t>
      </w:r>
      <w:r w:rsidR="00E422C5" w:rsidRPr="00206848">
        <w:rPr>
          <w:b/>
          <w:bCs/>
        </w:rPr>
        <w:tab/>
      </w:r>
      <w:r w:rsidR="008C4565">
        <w:rPr>
          <w:b/>
          <w:bCs/>
        </w:rPr>
        <w:t>T</w:t>
      </w:r>
      <w:r w:rsidR="00E422C5" w:rsidRPr="00206848">
        <w:rPr>
          <w:b/>
          <w:bCs/>
        </w:rPr>
        <w:t>he High Commissioner recommends that all parties to the conflict</w:t>
      </w:r>
      <w:r w:rsidR="00ED3A0D">
        <w:rPr>
          <w:b/>
          <w:bCs/>
        </w:rPr>
        <w:t xml:space="preserve">, including those with de facto control of </w:t>
      </w:r>
      <w:r w:rsidR="008B5C3A">
        <w:rPr>
          <w:b/>
          <w:bCs/>
        </w:rPr>
        <w:t>territory</w:t>
      </w:r>
      <w:r w:rsidR="00317EF5">
        <w:rPr>
          <w:b/>
          <w:bCs/>
        </w:rPr>
        <w:t xml:space="preserve"> in Libya</w:t>
      </w:r>
      <w:r w:rsidR="00E422C5" w:rsidRPr="00206848">
        <w:rPr>
          <w:b/>
          <w:bCs/>
        </w:rPr>
        <w:t>:</w:t>
      </w:r>
    </w:p>
    <w:p w14:paraId="2DB3C69D" w14:textId="55CE60AD" w:rsidR="00E422C5" w:rsidRPr="00F66AA7" w:rsidRDefault="00E422C5" w:rsidP="00025352">
      <w:pPr>
        <w:pStyle w:val="SingleTxtG"/>
        <w:ind w:firstLine="567"/>
        <w:rPr>
          <w:b/>
          <w:bCs/>
        </w:rPr>
      </w:pPr>
      <w:r w:rsidRPr="00F66AA7">
        <w:rPr>
          <w:b/>
        </w:rPr>
        <w:t>(a)</w:t>
      </w:r>
      <w:r w:rsidRPr="00F66AA7">
        <w:rPr>
          <w:b/>
          <w:bCs/>
        </w:rPr>
        <w:tab/>
        <w:t xml:space="preserve">Desist immediately from all </w:t>
      </w:r>
      <w:r w:rsidR="00994508" w:rsidRPr="00F66AA7">
        <w:rPr>
          <w:b/>
          <w:bCs/>
        </w:rPr>
        <w:t xml:space="preserve">acts constituting </w:t>
      </w:r>
      <w:r w:rsidRPr="00F66AA7">
        <w:rPr>
          <w:b/>
          <w:bCs/>
        </w:rPr>
        <w:t xml:space="preserve">violations of </w:t>
      </w:r>
      <w:r w:rsidR="008C4565" w:rsidRPr="00F66AA7">
        <w:rPr>
          <w:b/>
          <w:bCs/>
        </w:rPr>
        <w:t xml:space="preserve">international humanitarian law </w:t>
      </w:r>
      <w:r w:rsidRPr="00F66AA7">
        <w:rPr>
          <w:b/>
          <w:bCs/>
        </w:rPr>
        <w:t xml:space="preserve">and </w:t>
      </w:r>
      <w:r w:rsidR="008C4565" w:rsidRPr="00F66AA7">
        <w:rPr>
          <w:b/>
          <w:bCs/>
        </w:rPr>
        <w:t xml:space="preserve">violations or </w:t>
      </w:r>
      <w:r w:rsidRPr="00F66AA7">
        <w:rPr>
          <w:b/>
          <w:bCs/>
        </w:rPr>
        <w:t xml:space="preserve">abuses of </w:t>
      </w:r>
      <w:r w:rsidR="008C4565" w:rsidRPr="00F66AA7">
        <w:rPr>
          <w:b/>
          <w:bCs/>
        </w:rPr>
        <w:t xml:space="preserve">international </w:t>
      </w:r>
      <w:r w:rsidRPr="00F66AA7">
        <w:rPr>
          <w:b/>
          <w:bCs/>
        </w:rPr>
        <w:t>human rights</w:t>
      </w:r>
      <w:r w:rsidR="008C4565" w:rsidRPr="00F66AA7">
        <w:rPr>
          <w:b/>
          <w:bCs/>
        </w:rPr>
        <w:t xml:space="preserve"> law</w:t>
      </w:r>
      <w:r w:rsidRPr="00F66AA7">
        <w:rPr>
          <w:b/>
          <w:bCs/>
        </w:rPr>
        <w:t xml:space="preserve">, including those </w:t>
      </w:r>
      <w:r w:rsidR="008C4565" w:rsidRPr="00F66AA7">
        <w:rPr>
          <w:b/>
          <w:bCs/>
        </w:rPr>
        <w:t xml:space="preserve">constituting </w:t>
      </w:r>
      <w:r w:rsidR="00EA2C7E" w:rsidRPr="00F66AA7">
        <w:rPr>
          <w:b/>
          <w:bCs/>
        </w:rPr>
        <w:t>crimes under international law</w:t>
      </w:r>
      <w:r w:rsidR="00A219BE" w:rsidRPr="00F66AA7">
        <w:rPr>
          <w:b/>
          <w:bCs/>
        </w:rPr>
        <w:t>;</w:t>
      </w:r>
      <w:r w:rsidR="00EA2C7E" w:rsidRPr="00F66AA7">
        <w:rPr>
          <w:b/>
          <w:bCs/>
        </w:rPr>
        <w:t xml:space="preserve"> </w:t>
      </w:r>
      <w:r w:rsidR="00A219BE" w:rsidRPr="00F66AA7">
        <w:rPr>
          <w:b/>
          <w:bCs/>
        </w:rPr>
        <w:t>i</w:t>
      </w:r>
      <w:r w:rsidR="00EA2C7E" w:rsidRPr="00F66AA7">
        <w:rPr>
          <w:b/>
        </w:rPr>
        <w:t xml:space="preserve">n particular, they </w:t>
      </w:r>
      <w:r w:rsidR="00A219BE" w:rsidRPr="00F66AA7">
        <w:rPr>
          <w:b/>
        </w:rPr>
        <w:t>should</w:t>
      </w:r>
      <w:r w:rsidR="00EA2C7E" w:rsidRPr="00F66AA7">
        <w:rPr>
          <w:b/>
        </w:rPr>
        <w:t xml:space="preserve"> cease </w:t>
      </w:r>
      <w:r w:rsidR="008C4565" w:rsidRPr="00F66AA7">
        <w:rPr>
          <w:b/>
        </w:rPr>
        <w:t xml:space="preserve">immediately </w:t>
      </w:r>
      <w:r w:rsidR="00EA2C7E" w:rsidRPr="00F66AA7">
        <w:rPr>
          <w:b/>
        </w:rPr>
        <w:t>all attacks on civilians</w:t>
      </w:r>
      <w:r w:rsidR="008C4565" w:rsidRPr="00F66AA7">
        <w:rPr>
          <w:b/>
        </w:rPr>
        <w:t xml:space="preserve"> and </w:t>
      </w:r>
      <w:r w:rsidR="008B5C3A" w:rsidRPr="00F66AA7">
        <w:rPr>
          <w:b/>
        </w:rPr>
        <w:t xml:space="preserve">comply </w:t>
      </w:r>
      <w:r w:rsidR="008C4565" w:rsidRPr="00F66AA7">
        <w:rPr>
          <w:b/>
        </w:rPr>
        <w:t xml:space="preserve">fully with all applicable </w:t>
      </w:r>
      <w:r w:rsidR="008B5C3A" w:rsidRPr="00F66AA7">
        <w:rPr>
          <w:b/>
        </w:rPr>
        <w:t xml:space="preserve">principles </w:t>
      </w:r>
      <w:r w:rsidR="00317EF5" w:rsidRPr="00F66AA7">
        <w:rPr>
          <w:b/>
        </w:rPr>
        <w:t xml:space="preserve">of </w:t>
      </w:r>
      <w:r w:rsidR="008C4565" w:rsidRPr="00F66AA7">
        <w:rPr>
          <w:b/>
        </w:rPr>
        <w:t xml:space="preserve">international humanitarian law, </w:t>
      </w:r>
      <w:r w:rsidR="00E264EE" w:rsidRPr="00F66AA7">
        <w:rPr>
          <w:b/>
        </w:rPr>
        <w:t xml:space="preserve">notably </w:t>
      </w:r>
      <w:r w:rsidR="008C4565" w:rsidRPr="00F66AA7">
        <w:rPr>
          <w:b/>
        </w:rPr>
        <w:t xml:space="preserve">the principles of </w:t>
      </w:r>
      <w:r w:rsidR="008B5C3A" w:rsidRPr="00F66AA7">
        <w:rPr>
          <w:b/>
        </w:rPr>
        <w:t>distinction, proportio</w:t>
      </w:r>
      <w:r w:rsidR="008B3923" w:rsidRPr="00F66AA7">
        <w:rPr>
          <w:b/>
        </w:rPr>
        <w:t>nality and precaution</w:t>
      </w:r>
      <w:r w:rsidR="00A219BE" w:rsidRPr="00F66AA7">
        <w:rPr>
          <w:b/>
        </w:rPr>
        <w:t>,</w:t>
      </w:r>
      <w:r w:rsidR="00EA2C7E" w:rsidRPr="00F66AA7">
        <w:rPr>
          <w:b/>
        </w:rPr>
        <w:t xml:space="preserve"> and take </w:t>
      </w:r>
      <w:r w:rsidR="00994508" w:rsidRPr="00F66AA7">
        <w:rPr>
          <w:b/>
        </w:rPr>
        <w:t xml:space="preserve">the </w:t>
      </w:r>
      <w:r w:rsidR="00EA2C7E" w:rsidRPr="00F66AA7">
        <w:rPr>
          <w:b/>
        </w:rPr>
        <w:t xml:space="preserve">steps </w:t>
      </w:r>
      <w:r w:rsidR="00994508" w:rsidRPr="00F66AA7">
        <w:rPr>
          <w:b/>
        </w:rPr>
        <w:t xml:space="preserve">necessary </w:t>
      </w:r>
      <w:r w:rsidR="00EA2C7E" w:rsidRPr="00F66AA7">
        <w:rPr>
          <w:b/>
        </w:rPr>
        <w:t xml:space="preserve">to </w:t>
      </w:r>
      <w:r w:rsidR="008B5C3A" w:rsidRPr="00F66AA7">
        <w:rPr>
          <w:b/>
        </w:rPr>
        <w:t xml:space="preserve">end summary executions and </w:t>
      </w:r>
      <w:r w:rsidR="006532A8" w:rsidRPr="00F66AA7">
        <w:rPr>
          <w:b/>
        </w:rPr>
        <w:t xml:space="preserve">other </w:t>
      </w:r>
      <w:r w:rsidR="008B5C3A" w:rsidRPr="00F66AA7">
        <w:rPr>
          <w:b/>
        </w:rPr>
        <w:t>unlawful killings</w:t>
      </w:r>
      <w:r w:rsidR="008C4565" w:rsidRPr="00F66AA7">
        <w:rPr>
          <w:b/>
        </w:rPr>
        <w:t xml:space="preserve"> and to </w:t>
      </w:r>
      <w:r w:rsidR="00E264EE" w:rsidRPr="00F66AA7">
        <w:rPr>
          <w:b/>
        </w:rPr>
        <w:t>hold accountable those responsible</w:t>
      </w:r>
      <w:r w:rsidR="00A219BE" w:rsidRPr="00F66AA7">
        <w:rPr>
          <w:b/>
        </w:rPr>
        <w:t>;</w:t>
      </w:r>
    </w:p>
    <w:p w14:paraId="64D73FD0" w14:textId="1995510E" w:rsidR="00E422C5" w:rsidRPr="00F66AA7" w:rsidRDefault="00E422C5" w:rsidP="00025352">
      <w:pPr>
        <w:pStyle w:val="SingleTxtG"/>
        <w:ind w:firstLine="567"/>
        <w:rPr>
          <w:b/>
          <w:bCs/>
        </w:rPr>
      </w:pPr>
      <w:r w:rsidRPr="00F66AA7">
        <w:rPr>
          <w:b/>
        </w:rPr>
        <w:t>(b)</w:t>
      </w:r>
      <w:r w:rsidRPr="00F66AA7">
        <w:rPr>
          <w:b/>
          <w:bCs/>
        </w:rPr>
        <w:tab/>
        <w:t>Declare that such acts will not be tolerated</w:t>
      </w:r>
      <w:r w:rsidR="00A219BE" w:rsidRPr="00F66AA7">
        <w:rPr>
          <w:b/>
          <w:bCs/>
        </w:rPr>
        <w:t>,</w:t>
      </w:r>
      <w:r w:rsidRPr="00F66AA7">
        <w:rPr>
          <w:b/>
          <w:bCs/>
        </w:rPr>
        <w:t xml:space="preserve"> and remove those suspected of such acts from active duty, pending investigation</w:t>
      </w:r>
      <w:r w:rsidR="00C249C2" w:rsidRPr="00F66AA7">
        <w:rPr>
          <w:b/>
          <w:bCs/>
        </w:rPr>
        <w:t xml:space="preserve"> and prosecution</w:t>
      </w:r>
      <w:r w:rsidR="008C4565" w:rsidRPr="00F66AA7">
        <w:rPr>
          <w:b/>
          <w:bCs/>
        </w:rPr>
        <w:t xml:space="preserve"> by responsible State authorities </w:t>
      </w:r>
      <w:r w:rsidR="00A219BE" w:rsidRPr="00F66AA7">
        <w:rPr>
          <w:b/>
          <w:bCs/>
        </w:rPr>
        <w:t xml:space="preserve">in </w:t>
      </w:r>
      <w:r w:rsidR="008C4565" w:rsidRPr="00F66AA7">
        <w:rPr>
          <w:b/>
          <w:bCs/>
        </w:rPr>
        <w:t>accord</w:t>
      </w:r>
      <w:r w:rsidR="00A219BE" w:rsidRPr="00F66AA7">
        <w:rPr>
          <w:b/>
          <w:bCs/>
        </w:rPr>
        <w:t>ance</w:t>
      </w:r>
      <w:r w:rsidR="008C4565" w:rsidRPr="00F66AA7">
        <w:rPr>
          <w:b/>
          <w:bCs/>
        </w:rPr>
        <w:t xml:space="preserve"> </w:t>
      </w:r>
      <w:r w:rsidR="00A219BE" w:rsidRPr="00F66AA7">
        <w:rPr>
          <w:b/>
          <w:bCs/>
        </w:rPr>
        <w:t>with the</w:t>
      </w:r>
      <w:r w:rsidR="008C4565" w:rsidRPr="00F66AA7">
        <w:rPr>
          <w:b/>
          <w:bCs/>
        </w:rPr>
        <w:t xml:space="preserve"> law</w:t>
      </w:r>
      <w:r w:rsidR="008B3923" w:rsidRPr="00F66AA7">
        <w:rPr>
          <w:b/>
          <w:bCs/>
        </w:rPr>
        <w:t>;</w:t>
      </w:r>
    </w:p>
    <w:p w14:paraId="30B7F30B" w14:textId="65A5C608" w:rsidR="00ED3A0D" w:rsidRPr="00F66AA7" w:rsidRDefault="00D63762" w:rsidP="00025352">
      <w:pPr>
        <w:pStyle w:val="SingleTxtG"/>
        <w:ind w:firstLine="567"/>
        <w:rPr>
          <w:b/>
          <w:bCs/>
        </w:rPr>
      </w:pPr>
      <w:r w:rsidRPr="00F66AA7">
        <w:rPr>
          <w:b/>
          <w:bCs/>
        </w:rPr>
        <w:t>(</w:t>
      </w:r>
      <w:r w:rsidR="00ED3A0D" w:rsidRPr="00F66AA7">
        <w:rPr>
          <w:b/>
          <w:bCs/>
        </w:rPr>
        <w:t>c)</w:t>
      </w:r>
      <w:r w:rsidR="00397B84" w:rsidRPr="00F66AA7">
        <w:rPr>
          <w:b/>
          <w:bCs/>
        </w:rPr>
        <w:tab/>
      </w:r>
      <w:r w:rsidR="00A219BE" w:rsidRPr="00F66AA7">
        <w:rPr>
          <w:b/>
          <w:bCs/>
        </w:rPr>
        <w:t>Release i</w:t>
      </w:r>
      <w:r w:rsidR="00ED3A0D" w:rsidRPr="00F66AA7">
        <w:rPr>
          <w:b/>
          <w:bCs/>
        </w:rPr>
        <w:t>mmediately and unconditionally all those detained arbitrarily</w:t>
      </w:r>
      <w:r w:rsidR="008C4565" w:rsidRPr="00F66AA7">
        <w:rPr>
          <w:b/>
          <w:bCs/>
        </w:rPr>
        <w:t xml:space="preserve"> and unlawfully</w:t>
      </w:r>
      <w:r w:rsidR="00ED3A0D" w:rsidRPr="00F66AA7">
        <w:rPr>
          <w:b/>
          <w:bCs/>
        </w:rPr>
        <w:t xml:space="preserve">, and transfer all </w:t>
      </w:r>
      <w:r w:rsidR="007322A2" w:rsidRPr="00F66AA7">
        <w:rPr>
          <w:b/>
          <w:bCs/>
        </w:rPr>
        <w:t>other persons</w:t>
      </w:r>
      <w:r w:rsidR="00ED3A0D" w:rsidRPr="00F66AA7">
        <w:rPr>
          <w:b/>
          <w:bCs/>
        </w:rPr>
        <w:t xml:space="preserve"> deprived of their liberty to official prisons under the effective and exclusive control of the Judicial Police of the Ministry of Justice</w:t>
      </w:r>
      <w:r w:rsidR="000078D7" w:rsidRPr="00F66AA7">
        <w:rPr>
          <w:b/>
          <w:bCs/>
        </w:rPr>
        <w:t>;</w:t>
      </w:r>
    </w:p>
    <w:p w14:paraId="1BF3B6BA" w14:textId="1944563D" w:rsidR="00D63762" w:rsidRPr="00F66AA7" w:rsidRDefault="00D63762" w:rsidP="00025352">
      <w:pPr>
        <w:pStyle w:val="SingleTxtG"/>
        <w:ind w:firstLine="567"/>
        <w:rPr>
          <w:b/>
          <w:bCs/>
        </w:rPr>
      </w:pPr>
      <w:r w:rsidRPr="00F66AA7">
        <w:rPr>
          <w:b/>
          <w:bCs/>
        </w:rPr>
        <w:t xml:space="preserve">(d) </w:t>
      </w:r>
      <w:r w:rsidR="00A219BE" w:rsidRPr="00F66AA7">
        <w:rPr>
          <w:b/>
          <w:bCs/>
        </w:rPr>
        <w:tab/>
      </w:r>
      <w:r w:rsidRPr="00F66AA7">
        <w:rPr>
          <w:b/>
        </w:rPr>
        <w:t xml:space="preserve">Facilitate the unfettered and unhindered access to detainees and places of detention by United Nations </w:t>
      </w:r>
      <w:r w:rsidR="00A219BE" w:rsidRPr="00F66AA7">
        <w:rPr>
          <w:b/>
        </w:rPr>
        <w:t>entities</w:t>
      </w:r>
      <w:r w:rsidRPr="00F66AA7">
        <w:rPr>
          <w:b/>
        </w:rPr>
        <w:t xml:space="preserve"> and other organi</w:t>
      </w:r>
      <w:r w:rsidR="00397B84" w:rsidRPr="00F66AA7">
        <w:rPr>
          <w:b/>
        </w:rPr>
        <w:t>z</w:t>
      </w:r>
      <w:r w:rsidRPr="00F66AA7">
        <w:rPr>
          <w:b/>
        </w:rPr>
        <w:t>ations concerned with humanitarian assistance and protection</w:t>
      </w:r>
      <w:r w:rsidRPr="00F66AA7">
        <w:rPr>
          <w:b/>
          <w:bCs/>
        </w:rPr>
        <w:t>;</w:t>
      </w:r>
    </w:p>
    <w:p w14:paraId="6FB5CD37" w14:textId="25B92DA7" w:rsidR="00D63762" w:rsidRPr="00F66AA7" w:rsidRDefault="00D63762" w:rsidP="00025352">
      <w:pPr>
        <w:pStyle w:val="SingleTxtG"/>
        <w:ind w:firstLine="567"/>
        <w:rPr>
          <w:b/>
          <w:bCs/>
        </w:rPr>
      </w:pPr>
      <w:r w:rsidRPr="00F66AA7">
        <w:rPr>
          <w:b/>
        </w:rPr>
        <w:t>(e)</w:t>
      </w:r>
      <w:r w:rsidRPr="00F66AA7">
        <w:rPr>
          <w:b/>
          <w:bCs/>
        </w:rPr>
        <w:tab/>
        <w:t xml:space="preserve">Take concrete steps to eliminate torture and ill-treatment, including rape and all forms of sexual violence, </w:t>
      </w:r>
      <w:r w:rsidR="00E264EE" w:rsidRPr="00F66AA7">
        <w:rPr>
          <w:b/>
          <w:bCs/>
        </w:rPr>
        <w:t xml:space="preserve">notably </w:t>
      </w:r>
      <w:r w:rsidRPr="00F66AA7">
        <w:rPr>
          <w:b/>
          <w:bCs/>
        </w:rPr>
        <w:t xml:space="preserve">those </w:t>
      </w:r>
      <w:r w:rsidR="00A219BE" w:rsidRPr="00F66AA7">
        <w:rPr>
          <w:b/>
          <w:bCs/>
        </w:rPr>
        <w:t xml:space="preserve">acts </w:t>
      </w:r>
      <w:r w:rsidRPr="00F66AA7">
        <w:rPr>
          <w:b/>
          <w:bCs/>
        </w:rPr>
        <w:t>committed by individuals operating in support of the State or as its agents</w:t>
      </w:r>
      <w:r w:rsidR="00A219BE" w:rsidRPr="00F66AA7">
        <w:rPr>
          <w:b/>
          <w:bCs/>
        </w:rPr>
        <w:t>.</w:t>
      </w:r>
      <w:r w:rsidRPr="00F66AA7">
        <w:rPr>
          <w:b/>
          <w:bCs/>
        </w:rPr>
        <w:t xml:space="preserve"> </w:t>
      </w:r>
    </w:p>
    <w:p w14:paraId="2C8EBA68" w14:textId="77777777" w:rsidR="00E422C5" w:rsidRPr="00F66AA7" w:rsidRDefault="00AB3860" w:rsidP="00025352">
      <w:pPr>
        <w:pStyle w:val="SingleTxtG"/>
        <w:rPr>
          <w:b/>
          <w:bCs/>
        </w:rPr>
      </w:pPr>
      <w:r w:rsidRPr="00F66AA7">
        <w:rPr>
          <w:b/>
        </w:rPr>
        <w:t>80</w:t>
      </w:r>
      <w:r w:rsidR="00E422C5" w:rsidRPr="00F66AA7">
        <w:rPr>
          <w:b/>
        </w:rPr>
        <w:t>.</w:t>
      </w:r>
      <w:r w:rsidR="00E422C5" w:rsidRPr="00F66AA7">
        <w:rPr>
          <w:b/>
          <w:bCs/>
        </w:rPr>
        <w:tab/>
        <w:t>The High Commissioner recommends that the Government of Libya:</w:t>
      </w:r>
    </w:p>
    <w:p w14:paraId="7A91F255" w14:textId="77777777" w:rsidR="008B5C3A" w:rsidRPr="00F66AA7" w:rsidRDefault="00E422C5" w:rsidP="00025352">
      <w:pPr>
        <w:pStyle w:val="SingleTxtG"/>
        <w:ind w:firstLine="567"/>
        <w:rPr>
          <w:b/>
          <w:bCs/>
        </w:rPr>
      </w:pPr>
      <w:r w:rsidRPr="00F66AA7">
        <w:rPr>
          <w:b/>
        </w:rPr>
        <w:t>(a)</w:t>
      </w:r>
      <w:r w:rsidRPr="00F66AA7">
        <w:rPr>
          <w:b/>
          <w:bCs/>
        </w:rPr>
        <w:tab/>
      </w:r>
      <w:r w:rsidR="008B5C3A" w:rsidRPr="00F66AA7">
        <w:rPr>
          <w:b/>
          <w:bCs/>
        </w:rPr>
        <w:t xml:space="preserve">Address the situation of detainees </w:t>
      </w:r>
      <w:r w:rsidR="00E264EE" w:rsidRPr="00F66AA7">
        <w:rPr>
          <w:b/>
          <w:bCs/>
        </w:rPr>
        <w:t xml:space="preserve">and all those deprived of liberty </w:t>
      </w:r>
      <w:r w:rsidR="008B5C3A" w:rsidRPr="00F66AA7">
        <w:rPr>
          <w:b/>
          <w:bCs/>
        </w:rPr>
        <w:t xml:space="preserve">by ensuring that the State </w:t>
      </w:r>
      <w:r w:rsidR="008B3923" w:rsidRPr="00F66AA7">
        <w:rPr>
          <w:b/>
          <w:bCs/>
        </w:rPr>
        <w:t>has exclusive</w:t>
      </w:r>
      <w:r w:rsidR="008B5C3A" w:rsidRPr="00F66AA7">
        <w:rPr>
          <w:b/>
          <w:bCs/>
        </w:rPr>
        <w:t xml:space="preserve"> control of all detention facilities</w:t>
      </w:r>
      <w:r w:rsidR="00397B84" w:rsidRPr="00F66AA7">
        <w:rPr>
          <w:b/>
          <w:bCs/>
        </w:rPr>
        <w:t>,</w:t>
      </w:r>
      <w:r w:rsidR="008B5C3A" w:rsidRPr="00F66AA7">
        <w:rPr>
          <w:b/>
          <w:bCs/>
        </w:rPr>
        <w:t xml:space="preserve"> and that </w:t>
      </w:r>
      <w:r w:rsidR="008B2D43" w:rsidRPr="00F66AA7">
        <w:rPr>
          <w:b/>
          <w:bCs/>
        </w:rPr>
        <w:t xml:space="preserve">all </w:t>
      </w:r>
      <w:r w:rsidR="008B5C3A" w:rsidRPr="00F66AA7">
        <w:rPr>
          <w:b/>
          <w:bCs/>
        </w:rPr>
        <w:t xml:space="preserve">cases are </w:t>
      </w:r>
      <w:r w:rsidR="008B2D43" w:rsidRPr="00F66AA7">
        <w:rPr>
          <w:b/>
          <w:bCs/>
        </w:rPr>
        <w:t xml:space="preserve">processed promptly and in accordance with the law, </w:t>
      </w:r>
      <w:r w:rsidR="008B5C3A" w:rsidRPr="00F66AA7">
        <w:rPr>
          <w:b/>
          <w:bCs/>
        </w:rPr>
        <w:t>by independent judicial bodies</w:t>
      </w:r>
      <w:r w:rsidR="008B2D43" w:rsidRPr="00F66AA7">
        <w:rPr>
          <w:b/>
          <w:bCs/>
        </w:rPr>
        <w:t xml:space="preserve">, and by ensuring the full respect for due process and fair trial standards, </w:t>
      </w:r>
      <w:r w:rsidR="008B5C3A" w:rsidRPr="00F66AA7">
        <w:rPr>
          <w:b/>
          <w:bCs/>
        </w:rPr>
        <w:t>in accordance with Libyan law and international</w:t>
      </w:r>
      <w:r w:rsidR="00FA6D72" w:rsidRPr="00F66AA7">
        <w:rPr>
          <w:b/>
          <w:bCs/>
        </w:rPr>
        <w:t xml:space="preserve"> human rights </w:t>
      </w:r>
      <w:r w:rsidR="008B2D43" w:rsidRPr="00F66AA7">
        <w:rPr>
          <w:b/>
          <w:bCs/>
        </w:rPr>
        <w:t>law</w:t>
      </w:r>
      <w:r w:rsidR="008B5C3A" w:rsidRPr="00F66AA7">
        <w:rPr>
          <w:b/>
          <w:bCs/>
        </w:rPr>
        <w:t xml:space="preserve">; </w:t>
      </w:r>
    </w:p>
    <w:p w14:paraId="4C0A9CD1" w14:textId="0F6E3B8F" w:rsidR="00E422C5" w:rsidRPr="00F66AA7" w:rsidRDefault="008B5C3A" w:rsidP="00025352">
      <w:pPr>
        <w:pStyle w:val="SingleTxtG"/>
        <w:ind w:firstLine="567"/>
        <w:rPr>
          <w:b/>
          <w:bCs/>
        </w:rPr>
      </w:pPr>
      <w:r w:rsidRPr="00F66AA7">
        <w:rPr>
          <w:b/>
          <w:bCs/>
        </w:rPr>
        <w:t>(b)</w:t>
      </w:r>
      <w:r w:rsidR="00397B84" w:rsidRPr="00F66AA7">
        <w:rPr>
          <w:b/>
          <w:bCs/>
        </w:rPr>
        <w:tab/>
      </w:r>
      <w:r w:rsidR="00063B5B" w:rsidRPr="00F66AA7">
        <w:rPr>
          <w:b/>
          <w:bCs/>
        </w:rPr>
        <w:t>B</w:t>
      </w:r>
      <w:r w:rsidRPr="00F66AA7">
        <w:rPr>
          <w:b/>
          <w:bCs/>
        </w:rPr>
        <w:t xml:space="preserve">egin a process </w:t>
      </w:r>
      <w:r w:rsidR="008B2D43" w:rsidRPr="00F66AA7">
        <w:rPr>
          <w:b/>
          <w:bCs/>
        </w:rPr>
        <w:t xml:space="preserve">of disarmament, </w:t>
      </w:r>
      <w:r w:rsidR="00DC61E1" w:rsidRPr="00F66AA7">
        <w:rPr>
          <w:b/>
          <w:bCs/>
        </w:rPr>
        <w:t>demobili</w:t>
      </w:r>
      <w:r w:rsidR="00397B84" w:rsidRPr="00F66AA7">
        <w:rPr>
          <w:b/>
          <w:bCs/>
        </w:rPr>
        <w:t>z</w:t>
      </w:r>
      <w:r w:rsidR="00DC61E1" w:rsidRPr="00F66AA7">
        <w:rPr>
          <w:b/>
          <w:bCs/>
        </w:rPr>
        <w:t>ation</w:t>
      </w:r>
      <w:r w:rsidR="008B2D43" w:rsidRPr="00F66AA7">
        <w:rPr>
          <w:b/>
          <w:bCs/>
        </w:rPr>
        <w:t xml:space="preserve"> and reintegration of members of armed groups,</w:t>
      </w:r>
      <w:r w:rsidR="000261F7" w:rsidRPr="00F66AA7">
        <w:rPr>
          <w:b/>
          <w:bCs/>
        </w:rPr>
        <w:t xml:space="preserve"> and institute a vetting programme, compliant with due process standards, to remove or </w:t>
      </w:r>
      <w:r w:rsidR="00494129" w:rsidRPr="00F66AA7">
        <w:rPr>
          <w:b/>
          <w:bCs/>
        </w:rPr>
        <w:t xml:space="preserve">to </w:t>
      </w:r>
      <w:r w:rsidR="000261F7" w:rsidRPr="00F66AA7">
        <w:rPr>
          <w:b/>
          <w:bCs/>
        </w:rPr>
        <w:t xml:space="preserve">prevent the recruitment into the State security forces of individuals concerning whom there are reasonable grounds to believe </w:t>
      </w:r>
      <w:r w:rsidR="001D4038" w:rsidRPr="00F66AA7">
        <w:rPr>
          <w:b/>
          <w:bCs/>
        </w:rPr>
        <w:t xml:space="preserve">that </w:t>
      </w:r>
      <w:r w:rsidR="00DC61E1" w:rsidRPr="00F66AA7">
        <w:rPr>
          <w:b/>
          <w:bCs/>
        </w:rPr>
        <w:t xml:space="preserve">they </w:t>
      </w:r>
      <w:r w:rsidR="000261F7" w:rsidRPr="00F66AA7">
        <w:rPr>
          <w:b/>
          <w:bCs/>
        </w:rPr>
        <w:t>have been involved in violations of international humanitarian law, or violations or abuses of international human rights law</w:t>
      </w:r>
      <w:r w:rsidR="008C4E7E" w:rsidRPr="00F66AA7">
        <w:rPr>
          <w:b/>
          <w:bCs/>
        </w:rPr>
        <w:t>;</w:t>
      </w:r>
    </w:p>
    <w:p w14:paraId="4E2ED42B" w14:textId="7DDA0C3E" w:rsidR="00E422C5" w:rsidRPr="00F66AA7" w:rsidRDefault="00E422C5" w:rsidP="00025352">
      <w:pPr>
        <w:pStyle w:val="SingleTxtG"/>
        <w:ind w:firstLine="567"/>
        <w:rPr>
          <w:b/>
          <w:bCs/>
        </w:rPr>
      </w:pPr>
      <w:r w:rsidRPr="00F66AA7">
        <w:rPr>
          <w:b/>
        </w:rPr>
        <w:t>(</w:t>
      </w:r>
      <w:r w:rsidR="006532A8" w:rsidRPr="00F66AA7">
        <w:rPr>
          <w:b/>
        </w:rPr>
        <w:t>c</w:t>
      </w:r>
      <w:r w:rsidRPr="00F66AA7">
        <w:rPr>
          <w:b/>
        </w:rPr>
        <w:t>)</w:t>
      </w:r>
      <w:r w:rsidRPr="00F66AA7">
        <w:rPr>
          <w:b/>
          <w:bCs/>
        </w:rPr>
        <w:tab/>
      </w:r>
      <w:r w:rsidR="008B5C3A" w:rsidRPr="00F66AA7">
        <w:rPr>
          <w:b/>
          <w:bCs/>
        </w:rPr>
        <w:t>C</w:t>
      </w:r>
      <w:r w:rsidR="00397B84" w:rsidRPr="00F66AA7">
        <w:rPr>
          <w:b/>
          <w:bCs/>
        </w:rPr>
        <w:t xml:space="preserve">onduct </w:t>
      </w:r>
      <w:r w:rsidR="00E264EE" w:rsidRPr="00F66AA7">
        <w:rPr>
          <w:b/>
          <w:bCs/>
        </w:rPr>
        <w:t xml:space="preserve">prompt, </w:t>
      </w:r>
      <w:r w:rsidR="008B5C3A" w:rsidRPr="00F66AA7">
        <w:rPr>
          <w:b/>
          <w:bCs/>
        </w:rPr>
        <w:t>independent, impartial</w:t>
      </w:r>
      <w:r w:rsidR="00E264EE" w:rsidRPr="00F66AA7">
        <w:rPr>
          <w:b/>
          <w:bCs/>
        </w:rPr>
        <w:t>, full</w:t>
      </w:r>
      <w:r w:rsidR="008B5C3A" w:rsidRPr="00F66AA7">
        <w:rPr>
          <w:b/>
          <w:bCs/>
        </w:rPr>
        <w:t xml:space="preserve"> and </w:t>
      </w:r>
      <w:r w:rsidR="000261F7" w:rsidRPr="00F66AA7">
        <w:rPr>
          <w:b/>
          <w:bCs/>
        </w:rPr>
        <w:t xml:space="preserve">transparent </w:t>
      </w:r>
      <w:r w:rsidR="008B5C3A" w:rsidRPr="00F66AA7">
        <w:rPr>
          <w:b/>
          <w:bCs/>
        </w:rPr>
        <w:t xml:space="preserve">investigations into </w:t>
      </w:r>
      <w:r w:rsidR="006B2AB2" w:rsidRPr="00F66AA7">
        <w:rPr>
          <w:b/>
          <w:bCs/>
        </w:rPr>
        <w:t xml:space="preserve">serious </w:t>
      </w:r>
      <w:r w:rsidR="008B5C3A" w:rsidRPr="00F66AA7">
        <w:rPr>
          <w:b/>
          <w:bCs/>
        </w:rPr>
        <w:t xml:space="preserve">violations of </w:t>
      </w:r>
      <w:r w:rsidR="008B3923" w:rsidRPr="00F66AA7">
        <w:rPr>
          <w:b/>
          <w:bCs/>
        </w:rPr>
        <w:t>international</w:t>
      </w:r>
      <w:r w:rsidR="008B5C3A" w:rsidRPr="00F66AA7">
        <w:rPr>
          <w:b/>
          <w:bCs/>
        </w:rPr>
        <w:t xml:space="preserve"> humanitarian law, and </w:t>
      </w:r>
      <w:r w:rsidR="000261F7" w:rsidRPr="00F66AA7">
        <w:rPr>
          <w:b/>
          <w:bCs/>
        </w:rPr>
        <w:t xml:space="preserve">violations or </w:t>
      </w:r>
      <w:r w:rsidR="008B5C3A" w:rsidRPr="00F66AA7">
        <w:rPr>
          <w:b/>
          <w:bCs/>
        </w:rPr>
        <w:t xml:space="preserve">abuses of </w:t>
      </w:r>
      <w:r w:rsidR="000261F7" w:rsidRPr="00F66AA7">
        <w:rPr>
          <w:b/>
          <w:bCs/>
        </w:rPr>
        <w:t xml:space="preserve">international </w:t>
      </w:r>
      <w:r w:rsidR="008B5C3A" w:rsidRPr="00F66AA7">
        <w:rPr>
          <w:b/>
          <w:bCs/>
        </w:rPr>
        <w:t>human rights</w:t>
      </w:r>
      <w:r w:rsidR="000261F7" w:rsidRPr="00F66AA7">
        <w:rPr>
          <w:b/>
          <w:bCs/>
        </w:rPr>
        <w:t xml:space="preserve"> law</w:t>
      </w:r>
      <w:r w:rsidR="008B5C3A" w:rsidRPr="00F66AA7">
        <w:rPr>
          <w:b/>
          <w:bCs/>
        </w:rPr>
        <w:t xml:space="preserve">, </w:t>
      </w:r>
      <w:r w:rsidR="000261F7" w:rsidRPr="00F66AA7">
        <w:rPr>
          <w:b/>
          <w:bCs/>
        </w:rPr>
        <w:t xml:space="preserve">ensuring the appropriate care and protection of victims, as well as accountability for </w:t>
      </w:r>
      <w:r w:rsidR="00E264EE" w:rsidRPr="00F66AA7">
        <w:rPr>
          <w:b/>
          <w:bCs/>
        </w:rPr>
        <w:t>those responsible</w:t>
      </w:r>
      <w:r w:rsidR="000261F7" w:rsidRPr="00F66AA7">
        <w:rPr>
          <w:b/>
          <w:bCs/>
        </w:rPr>
        <w:t xml:space="preserve">, </w:t>
      </w:r>
      <w:r w:rsidR="00494129" w:rsidRPr="00F66AA7">
        <w:rPr>
          <w:b/>
          <w:bCs/>
        </w:rPr>
        <w:t xml:space="preserve">in </w:t>
      </w:r>
      <w:r w:rsidR="000261F7" w:rsidRPr="00F66AA7">
        <w:rPr>
          <w:b/>
          <w:bCs/>
        </w:rPr>
        <w:t>accord</w:t>
      </w:r>
      <w:r w:rsidR="00494129" w:rsidRPr="00F66AA7">
        <w:rPr>
          <w:b/>
          <w:bCs/>
        </w:rPr>
        <w:t>ance with the</w:t>
      </w:r>
      <w:r w:rsidR="000261F7" w:rsidRPr="00F66AA7">
        <w:rPr>
          <w:b/>
          <w:bCs/>
        </w:rPr>
        <w:t xml:space="preserve"> law and in full compliance with due process and fair trial standards</w:t>
      </w:r>
      <w:r w:rsidRPr="00F66AA7">
        <w:rPr>
          <w:b/>
          <w:bCs/>
        </w:rPr>
        <w:t>;</w:t>
      </w:r>
    </w:p>
    <w:p w14:paraId="758E5214" w14:textId="760F222E" w:rsidR="000261F7" w:rsidRPr="00F66AA7" w:rsidRDefault="00E422C5" w:rsidP="00025352">
      <w:pPr>
        <w:pStyle w:val="SingleTxtG"/>
        <w:ind w:firstLine="567"/>
        <w:rPr>
          <w:b/>
          <w:bCs/>
        </w:rPr>
      </w:pPr>
      <w:r w:rsidRPr="00F66AA7">
        <w:rPr>
          <w:b/>
        </w:rPr>
        <w:t>(d)</w:t>
      </w:r>
      <w:r w:rsidRPr="00F66AA7">
        <w:rPr>
          <w:b/>
          <w:bCs/>
        </w:rPr>
        <w:tab/>
        <w:t xml:space="preserve">Ensure </w:t>
      </w:r>
      <w:r w:rsidR="000261F7" w:rsidRPr="00F66AA7">
        <w:rPr>
          <w:b/>
          <w:bCs/>
        </w:rPr>
        <w:t xml:space="preserve">the </w:t>
      </w:r>
      <w:r w:rsidR="00494129" w:rsidRPr="00F66AA7">
        <w:rPr>
          <w:b/>
          <w:bCs/>
        </w:rPr>
        <w:t xml:space="preserve">right to </w:t>
      </w:r>
      <w:r w:rsidR="000261F7" w:rsidRPr="00F66AA7">
        <w:rPr>
          <w:b/>
          <w:bCs/>
        </w:rPr>
        <w:t xml:space="preserve">due process of </w:t>
      </w:r>
      <w:r w:rsidR="008B5C3A" w:rsidRPr="00F66AA7">
        <w:rPr>
          <w:b/>
          <w:bCs/>
        </w:rPr>
        <w:t xml:space="preserve">detainees </w:t>
      </w:r>
      <w:r w:rsidR="00494129" w:rsidRPr="00F66AA7">
        <w:rPr>
          <w:b/>
          <w:bCs/>
        </w:rPr>
        <w:t>is</w:t>
      </w:r>
      <w:r w:rsidR="000261F7" w:rsidRPr="00F66AA7">
        <w:rPr>
          <w:b/>
          <w:bCs/>
        </w:rPr>
        <w:t xml:space="preserve"> fully respected and protected, including the right to </w:t>
      </w:r>
      <w:r w:rsidRPr="00F66AA7">
        <w:rPr>
          <w:b/>
          <w:bCs/>
        </w:rPr>
        <w:t xml:space="preserve">access legal counsel and </w:t>
      </w:r>
      <w:r w:rsidR="000261F7" w:rsidRPr="00F66AA7">
        <w:rPr>
          <w:b/>
          <w:bCs/>
        </w:rPr>
        <w:t xml:space="preserve">to receive visits by </w:t>
      </w:r>
      <w:r w:rsidRPr="00F66AA7">
        <w:rPr>
          <w:b/>
          <w:bCs/>
        </w:rPr>
        <w:t>famil</w:t>
      </w:r>
      <w:r w:rsidR="000261F7" w:rsidRPr="00F66AA7">
        <w:rPr>
          <w:b/>
          <w:bCs/>
        </w:rPr>
        <w:t>y members</w:t>
      </w:r>
      <w:r w:rsidR="00DC61E1" w:rsidRPr="00F66AA7">
        <w:rPr>
          <w:b/>
          <w:bCs/>
        </w:rPr>
        <w:t>;</w:t>
      </w:r>
    </w:p>
    <w:p w14:paraId="6FEFCF03" w14:textId="27464083" w:rsidR="000261F7" w:rsidRPr="00F66AA7" w:rsidRDefault="000261F7" w:rsidP="00025352">
      <w:pPr>
        <w:pStyle w:val="SingleTxtG"/>
        <w:ind w:firstLine="567"/>
        <w:rPr>
          <w:b/>
          <w:bCs/>
        </w:rPr>
      </w:pPr>
      <w:r w:rsidRPr="00F66AA7">
        <w:rPr>
          <w:b/>
        </w:rPr>
        <w:t>(</w:t>
      </w:r>
      <w:r w:rsidR="00D63762" w:rsidRPr="00F66AA7">
        <w:rPr>
          <w:b/>
        </w:rPr>
        <w:t>e</w:t>
      </w:r>
      <w:r w:rsidRPr="00F66AA7">
        <w:rPr>
          <w:b/>
        </w:rPr>
        <w:t>)</w:t>
      </w:r>
      <w:r w:rsidRPr="00F66AA7">
        <w:rPr>
          <w:b/>
          <w:bCs/>
        </w:rPr>
        <w:tab/>
      </w:r>
      <w:r w:rsidRPr="00F66AA7">
        <w:rPr>
          <w:rFonts w:eastAsia="SimSun"/>
          <w:b/>
          <w:bCs/>
        </w:rPr>
        <w:t>Transfer women detainees to facilities with sufficient female guards and other trained personnel, and establish gender-appropriate health</w:t>
      </w:r>
      <w:r w:rsidR="00494129" w:rsidRPr="00F66AA7">
        <w:rPr>
          <w:rFonts w:eastAsia="SimSun"/>
          <w:b/>
          <w:bCs/>
        </w:rPr>
        <w:t xml:space="preserve"> </w:t>
      </w:r>
      <w:r w:rsidRPr="00F66AA7">
        <w:rPr>
          <w:rFonts w:eastAsia="SimSun"/>
          <w:b/>
          <w:bCs/>
        </w:rPr>
        <w:t>care and other services for women and accompanying children</w:t>
      </w:r>
      <w:r w:rsidRPr="00F66AA7">
        <w:rPr>
          <w:b/>
          <w:bCs/>
        </w:rPr>
        <w:t>;</w:t>
      </w:r>
    </w:p>
    <w:p w14:paraId="5DE588C5" w14:textId="77777777" w:rsidR="000261F7" w:rsidRPr="00F66AA7" w:rsidRDefault="000261F7" w:rsidP="00025352">
      <w:pPr>
        <w:pStyle w:val="SingleTxtG"/>
        <w:ind w:firstLine="567"/>
        <w:rPr>
          <w:b/>
          <w:bCs/>
        </w:rPr>
      </w:pPr>
      <w:r w:rsidRPr="00F66AA7">
        <w:rPr>
          <w:b/>
        </w:rPr>
        <w:t>(</w:t>
      </w:r>
      <w:r w:rsidR="00D63762" w:rsidRPr="00F66AA7">
        <w:rPr>
          <w:b/>
        </w:rPr>
        <w:t>f</w:t>
      </w:r>
      <w:r w:rsidRPr="00F66AA7">
        <w:rPr>
          <w:b/>
        </w:rPr>
        <w:t>)</w:t>
      </w:r>
      <w:r w:rsidRPr="00F66AA7">
        <w:rPr>
          <w:b/>
          <w:bCs/>
        </w:rPr>
        <w:tab/>
        <w:t xml:space="preserve">Extend full cooperation </w:t>
      </w:r>
      <w:r w:rsidR="006B2AB2" w:rsidRPr="00F66AA7">
        <w:rPr>
          <w:b/>
          <w:bCs/>
        </w:rPr>
        <w:t xml:space="preserve">to </w:t>
      </w:r>
      <w:r w:rsidRPr="00F66AA7">
        <w:rPr>
          <w:b/>
          <w:bCs/>
        </w:rPr>
        <w:t xml:space="preserve">the International Criminal Court by </w:t>
      </w:r>
      <w:r w:rsidR="00D626B1" w:rsidRPr="00F66AA7">
        <w:rPr>
          <w:b/>
          <w:bCs/>
        </w:rPr>
        <w:t xml:space="preserve">facilitating unhindered access </w:t>
      </w:r>
      <w:r w:rsidR="005F2394" w:rsidRPr="00F66AA7">
        <w:rPr>
          <w:b/>
          <w:bCs/>
        </w:rPr>
        <w:t xml:space="preserve">to relevant locations in Libya, witnesses and information </w:t>
      </w:r>
      <w:r w:rsidR="00D626B1" w:rsidRPr="00F66AA7">
        <w:rPr>
          <w:b/>
          <w:bCs/>
        </w:rPr>
        <w:t xml:space="preserve">in carrying out its </w:t>
      </w:r>
      <w:r w:rsidRPr="00F66AA7">
        <w:rPr>
          <w:b/>
          <w:bCs/>
        </w:rPr>
        <w:t xml:space="preserve">investigations and </w:t>
      </w:r>
      <w:r w:rsidR="00D626B1" w:rsidRPr="00F66AA7">
        <w:rPr>
          <w:b/>
          <w:bCs/>
        </w:rPr>
        <w:t xml:space="preserve">ensuring full </w:t>
      </w:r>
      <w:r w:rsidRPr="00F66AA7">
        <w:rPr>
          <w:b/>
          <w:bCs/>
        </w:rPr>
        <w:t>compl</w:t>
      </w:r>
      <w:r w:rsidR="00D626B1" w:rsidRPr="00F66AA7">
        <w:rPr>
          <w:b/>
          <w:bCs/>
        </w:rPr>
        <w:t>iance</w:t>
      </w:r>
      <w:r w:rsidRPr="00F66AA7">
        <w:rPr>
          <w:b/>
          <w:bCs/>
        </w:rPr>
        <w:t xml:space="preserve"> with its rulings; </w:t>
      </w:r>
    </w:p>
    <w:p w14:paraId="49BCCFF2" w14:textId="3D9F2BBB" w:rsidR="00E422C5" w:rsidRPr="00F66AA7" w:rsidRDefault="00E422C5" w:rsidP="00025352">
      <w:pPr>
        <w:pStyle w:val="SingleTxtG"/>
        <w:ind w:firstLine="567"/>
        <w:rPr>
          <w:b/>
          <w:bCs/>
        </w:rPr>
      </w:pPr>
      <w:r w:rsidRPr="00F66AA7">
        <w:rPr>
          <w:b/>
        </w:rPr>
        <w:t>(</w:t>
      </w:r>
      <w:r w:rsidR="00D63762" w:rsidRPr="00F66AA7">
        <w:rPr>
          <w:b/>
        </w:rPr>
        <w:t>g</w:t>
      </w:r>
      <w:r w:rsidRPr="00F66AA7">
        <w:rPr>
          <w:b/>
        </w:rPr>
        <w:t>)</w:t>
      </w:r>
      <w:r w:rsidRPr="00F66AA7">
        <w:rPr>
          <w:b/>
          <w:bCs/>
        </w:rPr>
        <w:tab/>
        <w:t xml:space="preserve">Address urgently the situation of migrants to ensure that </w:t>
      </w:r>
      <w:r w:rsidR="006271CD" w:rsidRPr="00F66AA7">
        <w:rPr>
          <w:b/>
          <w:bCs/>
        </w:rPr>
        <w:t xml:space="preserve">the rights of </w:t>
      </w:r>
      <w:r w:rsidRPr="00F66AA7">
        <w:rPr>
          <w:b/>
          <w:bCs/>
        </w:rPr>
        <w:t>all individuals, regardless of their status</w:t>
      </w:r>
      <w:r w:rsidR="006271CD" w:rsidRPr="00F66AA7">
        <w:rPr>
          <w:b/>
          <w:bCs/>
        </w:rPr>
        <w:t>,</w:t>
      </w:r>
      <w:r w:rsidRPr="00F66AA7">
        <w:rPr>
          <w:b/>
          <w:bCs/>
        </w:rPr>
        <w:t xml:space="preserve"> are </w:t>
      </w:r>
      <w:r w:rsidR="000261F7" w:rsidRPr="00F66AA7">
        <w:rPr>
          <w:b/>
          <w:bCs/>
        </w:rPr>
        <w:t>protected and respected</w:t>
      </w:r>
      <w:r w:rsidRPr="00F66AA7">
        <w:rPr>
          <w:b/>
          <w:bCs/>
        </w:rPr>
        <w:t>, including by decriminalizing irregular migration, adopting an effective refugee status determination procedure</w:t>
      </w:r>
      <w:r w:rsidR="000261F7" w:rsidRPr="00F66AA7">
        <w:rPr>
          <w:b/>
          <w:bCs/>
        </w:rPr>
        <w:t>,</w:t>
      </w:r>
      <w:r w:rsidRPr="00F66AA7">
        <w:rPr>
          <w:b/>
          <w:bCs/>
        </w:rPr>
        <w:t xml:space="preserve"> and </w:t>
      </w:r>
      <w:r w:rsidR="008B5C3A" w:rsidRPr="00F66AA7">
        <w:rPr>
          <w:b/>
          <w:bCs/>
        </w:rPr>
        <w:t xml:space="preserve">immediately </w:t>
      </w:r>
      <w:r w:rsidRPr="00F66AA7">
        <w:rPr>
          <w:b/>
          <w:bCs/>
        </w:rPr>
        <w:t>implementing alternatives to detention;</w:t>
      </w:r>
      <w:r w:rsidR="000261F7" w:rsidRPr="00F66AA7">
        <w:rPr>
          <w:b/>
        </w:rPr>
        <w:t xml:space="preserve"> </w:t>
      </w:r>
    </w:p>
    <w:p w14:paraId="6B8263B5" w14:textId="1E5D89DD" w:rsidR="00E422C5" w:rsidRPr="00F66AA7" w:rsidRDefault="00E422C5" w:rsidP="00025352">
      <w:pPr>
        <w:pStyle w:val="SingleTxtG"/>
        <w:ind w:firstLine="567"/>
        <w:rPr>
          <w:b/>
          <w:bCs/>
        </w:rPr>
      </w:pPr>
      <w:r w:rsidRPr="00F66AA7">
        <w:rPr>
          <w:b/>
        </w:rPr>
        <w:t>(</w:t>
      </w:r>
      <w:r w:rsidR="00D63762" w:rsidRPr="00F66AA7">
        <w:rPr>
          <w:b/>
        </w:rPr>
        <w:t>h</w:t>
      </w:r>
      <w:r w:rsidRPr="00F66AA7">
        <w:rPr>
          <w:b/>
        </w:rPr>
        <w:t>)</w:t>
      </w:r>
      <w:r w:rsidRPr="00F66AA7">
        <w:rPr>
          <w:b/>
          <w:bCs/>
        </w:rPr>
        <w:tab/>
        <w:t xml:space="preserve">Facilitate </w:t>
      </w:r>
      <w:r w:rsidR="00494129" w:rsidRPr="00F66AA7">
        <w:rPr>
          <w:b/>
          <w:bCs/>
        </w:rPr>
        <w:t xml:space="preserve">the </w:t>
      </w:r>
      <w:r w:rsidRPr="00F66AA7">
        <w:rPr>
          <w:b/>
          <w:bCs/>
        </w:rPr>
        <w:t>voluntary, safe and dignified return of persons who are currently internally di</w:t>
      </w:r>
      <w:r w:rsidR="000617F3" w:rsidRPr="00F66AA7">
        <w:rPr>
          <w:b/>
          <w:bCs/>
        </w:rPr>
        <w:t>splaced, including the Tawergha</w:t>
      </w:r>
      <w:r w:rsidR="008B3923" w:rsidRPr="00F66AA7">
        <w:rPr>
          <w:b/>
          <w:bCs/>
        </w:rPr>
        <w:t xml:space="preserve"> community.</w:t>
      </w:r>
      <w:r w:rsidRPr="00F66AA7">
        <w:rPr>
          <w:b/>
          <w:bCs/>
        </w:rPr>
        <w:t xml:space="preserve"> </w:t>
      </w:r>
    </w:p>
    <w:p w14:paraId="04380D12" w14:textId="77777777" w:rsidR="00E422C5" w:rsidRPr="00F66AA7" w:rsidRDefault="00D45F7B" w:rsidP="00025352">
      <w:pPr>
        <w:pStyle w:val="SingleTxtG"/>
        <w:rPr>
          <w:b/>
          <w:bCs/>
        </w:rPr>
      </w:pPr>
      <w:r w:rsidRPr="00F66AA7">
        <w:rPr>
          <w:b/>
        </w:rPr>
        <w:t>8</w:t>
      </w:r>
      <w:r w:rsidR="00AB3860" w:rsidRPr="00F66AA7">
        <w:rPr>
          <w:b/>
        </w:rPr>
        <w:t>1</w:t>
      </w:r>
      <w:r w:rsidR="00E422C5" w:rsidRPr="00F66AA7">
        <w:rPr>
          <w:b/>
        </w:rPr>
        <w:t>.</w:t>
      </w:r>
      <w:r w:rsidR="00E422C5" w:rsidRPr="00F66AA7">
        <w:rPr>
          <w:b/>
          <w:bCs/>
        </w:rPr>
        <w:tab/>
        <w:t xml:space="preserve">The High Commissioner recommends that the international community: </w:t>
      </w:r>
    </w:p>
    <w:p w14:paraId="755A17D2" w14:textId="77777777" w:rsidR="006271CD" w:rsidRPr="00F66AA7" w:rsidRDefault="00E422C5" w:rsidP="00025352">
      <w:pPr>
        <w:pStyle w:val="SingleTxtG"/>
        <w:ind w:firstLine="567"/>
        <w:rPr>
          <w:b/>
          <w:bCs/>
        </w:rPr>
      </w:pPr>
      <w:r w:rsidRPr="00F66AA7">
        <w:rPr>
          <w:b/>
        </w:rPr>
        <w:t>(a)</w:t>
      </w:r>
      <w:r w:rsidRPr="00F66AA7">
        <w:rPr>
          <w:b/>
          <w:bCs/>
        </w:rPr>
        <w:tab/>
        <w:t>Provide the International Criminal Court with the resources necessary to investigate</w:t>
      </w:r>
      <w:r w:rsidR="00E264EE" w:rsidRPr="00F66AA7">
        <w:rPr>
          <w:b/>
          <w:bCs/>
        </w:rPr>
        <w:t xml:space="preserve">, </w:t>
      </w:r>
      <w:r w:rsidRPr="00F66AA7">
        <w:rPr>
          <w:b/>
          <w:bCs/>
        </w:rPr>
        <w:t xml:space="preserve">prosecute </w:t>
      </w:r>
      <w:r w:rsidR="00E264EE" w:rsidRPr="00F66AA7">
        <w:rPr>
          <w:b/>
          <w:bCs/>
        </w:rPr>
        <w:t xml:space="preserve">and try </w:t>
      </w:r>
      <w:r w:rsidRPr="00F66AA7">
        <w:rPr>
          <w:b/>
          <w:bCs/>
        </w:rPr>
        <w:t xml:space="preserve">the alleged crimes under </w:t>
      </w:r>
      <w:r w:rsidR="006B2AB2" w:rsidRPr="00F66AA7">
        <w:rPr>
          <w:b/>
          <w:bCs/>
        </w:rPr>
        <w:t>its jurisdiction that may have been perpetrated</w:t>
      </w:r>
      <w:r w:rsidRPr="00F66AA7">
        <w:rPr>
          <w:b/>
          <w:bCs/>
        </w:rPr>
        <w:t xml:space="preserve"> in Libya since 2011;</w:t>
      </w:r>
      <w:r w:rsidR="006532A8" w:rsidRPr="00F66AA7">
        <w:rPr>
          <w:b/>
          <w:bCs/>
        </w:rPr>
        <w:t xml:space="preserve"> </w:t>
      </w:r>
    </w:p>
    <w:p w14:paraId="1C50BA8B" w14:textId="265BC37B" w:rsidR="006271CD" w:rsidRPr="00F66AA7" w:rsidRDefault="00E422C5" w:rsidP="00025352">
      <w:pPr>
        <w:pStyle w:val="SingleTxtG"/>
        <w:ind w:firstLine="567"/>
        <w:rPr>
          <w:b/>
          <w:bCs/>
        </w:rPr>
      </w:pPr>
      <w:r w:rsidRPr="00F66AA7">
        <w:rPr>
          <w:b/>
        </w:rPr>
        <w:t>(</w:t>
      </w:r>
      <w:r w:rsidR="006532A8" w:rsidRPr="00F66AA7">
        <w:rPr>
          <w:b/>
        </w:rPr>
        <w:t>b</w:t>
      </w:r>
      <w:r w:rsidRPr="00F66AA7">
        <w:rPr>
          <w:b/>
        </w:rPr>
        <w:t>)</w:t>
      </w:r>
      <w:r w:rsidRPr="00F66AA7">
        <w:rPr>
          <w:b/>
          <w:bCs/>
        </w:rPr>
        <w:tab/>
      </w:r>
      <w:r w:rsidR="008534EF" w:rsidRPr="00F66AA7">
        <w:rPr>
          <w:b/>
          <w:bCs/>
        </w:rPr>
        <w:t xml:space="preserve">Assist </w:t>
      </w:r>
      <w:r w:rsidR="006271CD" w:rsidRPr="00F66AA7">
        <w:rPr>
          <w:b/>
          <w:bCs/>
        </w:rPr>
        <w:t xml:space="preserve">the </w:t>
      </w:r>
      <w:r w:rsidR="006532A8" w:rsidRPr="00F66AA7">
        <w:rPr>
          <w:b/>
          <w:bCs/>
        </w:rPr>
        <w:t xml:space="preserve">Government </w:t>
      </w:r>
      <w:r w:rsidR="008534EF" w:rsidRPr="00F66AA7">
        <w:rPr>
          <w:b/>
          <w:bCs/>
        </w:rPr>
        <w:t xml:space="preserve">of Libya </w:t>
      </w:r>
      <w:r w:rsidR="006532A8" w:rsidRPr="00F66AA7">
        <w:rPr>
          <w:b/>
          <w:bCs/>
        </w:rPr>
        <w:t>to release all those detained arbitrarily</w:t>
      </w:r>
      <w:r w:rsidR="000306FD" w:rsidRPr="00F66AA7">
        <w:rPr>
          <w:b/>
          <w:bCs/>
        </w:rPr>
        <w:t xml:space="preserve"> and others unlawfully deprived of their liberty</w:t>
      </w:r>
      <w:r w:rsidR="00397B84" w:rsidRPr="00F66AA7">
        <w:rPr>
          <w:b/>
          <w:bCs/>
        </w:rPr>
        <w:t>,</w:t>
      </w:r>
      <w:r w:rsidR="006532A8" w:rsidRPr="00F66AA7">
        <w:rPr>
          <w:b/>
          <w:bCs/>
        </w:rPr>
        <w:t xml:space="preserve"> and to transfer all those lawfully deprived of their liberty to official prisons under the effective and exclusive control of the Judicial Police of the Ministry of Justice</w:t>
      </w:r>
      <w:r w:rsidR="00DC61E1" w:rsidRPr="00F66AA7">
        <w:rPr>
          <w:b/>
          <w:bCs/>
        </w:rPr>
        <w:t>;</w:t>
      </w:r>
      <w:r w:rsidR="006532A8" w:rsidRPr="00F66AA7">
        <w:rPr>
          <w:b/>
          <w:bCs/>
        </w:rPr>
        <w:t xml:space="preserve"> </w:t>
      </w:r>
    </w:p>
    <w:p w14:paraId="601125A9" w14:textId="6EB66876" w:rsidR="006271CD" w:rsidRPr="00F66AA7" w:rsidRDefault="006271CD" w:rsidP="00025352">
      <w:pPr>
        <w:pStyle w:val="SingleTxtG"/>
        <w:ind w:firstLine="567"/>
        <w:rPr>
          <w:b/>
          <w:bCs/>
        </w:rPr>
      </w:pPr>
      <w:r w:rsidRPr="00F66AA7">
        <w:rPr>
          <w:b/>
        </w:rPr>
        <w:t>(c)</w:t>
      </w:r>
      <w:r w:rsidRPr="00F66AA7">
        <w:rPr>
          <w:b/>
        </w:rPr>
        <w:tab/>
      </w:r>
      <w:r w:rsidR="006532A8" w:rsidRPr="00F66AA7">
        <w:rPr>
          <w:b/>
          <w:bCs/>
        </w:rPr>
        <w:t xml:space="preserve">Provide the Government with technical assistance and other support to reform </w:t>
      </w:r>
      <w:r w:rsidR="008534EF" w:rsidRPr="00F66AA7">
        <w:rPr>
          <w:b/>
          <w:bCs/>
        </w:rPr>
        <w:t xml:space="preserve">the State’s </w:t>
      </w:r>
      <w:r w:rsidR="006532A8" w:rsidRPr="00F66AA7">
        <w:rPr>
          <w:b/>
          <w:bCs/>
        </w:rPr>
        <w:t>criminal justice system</w:t>
      </w:r>
      <w:r w:rsidR="00DC61E1" w:rsidRPr="00F66AA7">
        <w:rPr>
          <w:b/>
          <w:bCs/>
        </w:rPr>
        <w:t>,</w:t>
      </w:r>
      <w:r w:rsidR="006532A8" w:rsidRPr="00F66AA7">
        <w:rPr>
          <w:b/>
          <w:bCs/>
        </w:rPr>
        <w:t xml:space="preserve"> including</w:t>
      </w:r>
      <w:r w:rsidR="000306FD" w:rsidRPr="00F66AA7">
        <w:rPr>
          <w:b/>
          <w:bCs/>
        </w:rPr>
        <w:t xml:space="preserve"> the</w:t>
      </w:r>
      <w:r w:rsidR="006532A8" w:rsidRPr="00F66AA7">
        <w:rPr>
          <w:b/>
          <w:bCs/>
        </w:rPr>
        <w:t xml:space="preserve"> </w:t>
      </w:r>
      <w:r w:rsidR="005F2394" w:rsidRPr="00F66AA7">
        <w:rPr>
          <w:b/>
          <w:bCs/>
        </w:rPr>
        <w:t>penitentiary</w:t>
      </w:r>
      <w:r w:rsidR="00E042CC" w:rsidRPr="00F66AA7">
        <w:rPr>
          <w:b/>
          <w:bCs/>
        </w:rPr>
        <w:t xml:space="preserve"> </w:t>
      </w:r>
      <w:r w:rsidR="00565855" w:rsidRPr="00F66AA7">
        <w:rPr>
          <w:b/>
          <w:bCs/>
        </w:rPr>
        <w:t>system</w:t>
      </w:r>
      <w:r w:rsidR="006532A8" w:rsidRPr="00F66AA7">
        <w:rPr>
          <w:b/>
          <w:bCs/>
        </w:rPr>
        <w:t xml:space="preserve">, in </w:t>
      </w:r>
      <w:r w:rsidR="008534EF" w:rsidRPr="00F66AA7">
        <w:rPr>
          <w:b/>
          <w:bCs/>
        </w:rPr>
        <w:t>accordance</w:t>
      </w:r>
      <w:r w:rsidR="006532A8" w:rsidRPr="00F66AA7">
        <w:rPr>
          <w:b/>
          <w:bCs/>
        </w:rPr>
        <w:t xml:space="preserve"> with </w:t>
      </w:r>
      <w:r w:rsidR="008B3923" w:rsidRPr="00F66AA7">
        <w:rPr>
          <w:b/>
          <w:bCs/>
        </w:rPr>
        <w:t xml:space="preserve">international </w:t>
      </w:r>
      <w:r w:rsidR="00DC61E1" w:rsidRPr="00F66AA7">
        <w:rPr>
          <w:b/>
          <w:bCs/>
        </w:rPr>
        <w:t xml:space="preserve">norms </w:t>
      </w:r>
      <w:r w:rsidR="008B3923" w:rsidRPr="00F66AA7">
        <w:rPr>
          <w:b/>
          <w:bCs/>
        </w:rPr>
        <w:t>and standards</w:t>
      </w:r>
      <w:r w:rsidR="00DC61E1" w:rsidRPr="00F66AA7">
        <w:rPr>
          <w:b/>
          <w:bCs/>
        </w:rPr>
        <w:t>;</w:t>
      </w:r>
      <w:r w:rsidR="00377BAC" w:rsidRPr="00F66AA7">
        <w:rPr>
          <w:b/>
          <w:bCs/>
        </w:rPr>
        <w:t xml:space="preserve"> </w:t>
      </w:r>
    </w:p>
    <w:p w14:paraId="0CDEA2F5" w14:textId="77777777" w:rsidR="008B3923" w:rsidRPr="00F66AA7" w:rsidRDefault="006271CD" w:rsidP="00025352">
      <w:pPr>
        <w:pStyle w:val="SingleTxtG"/>
        <w:ind w:firstLine="567"/>
        <w:rPr>
          <w:b/>
        </w:rPr>
      </w:pPr>
      <w:r w:rsidRPr="00F66AA7">
        <w:rPr>
          <w:b/>
        </w:rPr>
        <w:t>(d)</w:t>
      </w:r>
      <w:r w:rsidRPr="00F66AA7">
        <w:rPr>
          <w:b/>
        </w:rPr>
        <w:tab/>
      </w:r>
      <w:r w:rsidR="00377BAC" w:rsidRPr="00F66AA7">
        <w:rPr>
          <w:b/>
          <w:bCs/>
        </w:rPr>
        <w:t>Consider supporting programmes of legal aid for those detained and at particular risk of grave human rights violations</w:t>
      </w:r>
      <w:r w:rsidR="008B3923" w:rsidRPr="00F66AA7">
        <w:rPr>
          <w:b/>
          <w:bCs/>
        </w:rPr>
        <w:t>;</w:t>
      </w:r>
    </w:p>
    <w:p w14:paraId="541E4D52" w14:textId="77777777" w:rsidR="00E422C5" w:rsidRPr="00F66AA7" w:rsidRDefault="00E422C5" w:rsidP="00025352">
      <w:pPr>
        <w:pStyle w:val="SingleTxtG"/>
        <w:ind w:firstLine="567"/>
        <w:rPr>
          <w:b/>
          <w:bCs/>
        </w:rPr>
      </w:pPr>
      <w:r w:rsidRPr="00F66AA7">
        <w:rPr>
          <w:b/>
        </w:rPr>
        <w:t>(</w:t>
      </w:r>
      <w:r w:rsidR="00660F94" w:rsidRPr="00F66AA7">
        <w:rPr>
          <w:b/>
        </w:rPr>
        <w:t>e</w:t>
      </w:r>
      <w:r w:rsidRPr="00F66AA7">
        <w:rPr>
          <w:b/>
        </w:rPr>
        <w:t>)</w:t>
      </w:r>
      <w:r w:rsidRPr="00F66AA7">
        <w:rPr>
          <w:b/>
          <w:bCs/>
        </w:rPr>
        <w:tab/>
        <w:t>Apply a due diligence framework to programmes that support the security forces</w:t>
      </w:r>
      <w:r w:rsidR="00397B84" w:rsidRPr="00F66AA7">
        <w:rPr>
          <w:b/>
          <w:bCs/>
        </w:rPr>
        <w:t>,</w:t>
      </w:r>
      <w:r w:rsidRPr="00F66AA7">
        <w:rPr>
          <w:b/>
          <w:bCs/>
        </w:rPr>
        <w:t xml:space="preserve"> and stringent screening procedures to recipients of technical </w:t>
      </w:r>
      <w:r w:rsidR="00397B84" w:rsidRPr="00F66AA7">
        <w:rPr>
          <w:b/>
          <w:bCs/>
        </w:rPr>
        <w:t xml:space="preserve">and other </w:t>
      </w:r>
      <w:r w:rsidRPr="00F66AA7">
        <w:rPr>
          <w:b/>
          <w:bCs/>
        </w:rPr>
        <w:t>assistance</w:t>
      </w:r>
      <w:r w:rsidR="00345A82" w:rsidRPr="00F66AA7">
        <w:rPr>
          <w:b/>
          <w:bCs/>
        </w:rPr>
        <w:t xml:space="preserve"> to ensure that </w:t>
      </w:r>
      <w:r w:rsidR="00397B84" w:rsidRPr="00F66AA7">
        <w:rPr>
          <w:b/>
          <w:bCs/>
        </w:rPr>
        <w:t xml:space="preserve">they </w:t>
      </w:r>
      <w:r w:rsidR="00E264EE" w:rsidRPr="00F66AA7">
        <w:rPr>
          <w:b/>
          <w:bCs/>
        </w:rPr>
        <w:t>are not</w:t>
      </w:r>
      <w:r w:rsidR="00345A82" w:rsidRPr="00F66AA7">
        <w:rPr>
          <w:b/>
          <w:bCs/>
        </w:rPr>
        <w:t xml:space="preserve"> responsible for violations of </w:t>
      </w:r>
      <w:r w:rsidR="00DC61E1" w:rsidRPr="00F66AA7">
        <w:rPr>
          <w:b/>
          <w:bCs/>
        </w:rPr>
        <w:t xml:space="preserve">international humanitarian law </w:t>
      </w:r>
      <w:r w:rsidR="00345A82" w:rsidRPr="00F66AA7">
        <w:rPr>
          <w:b/>
          <w:bCs/>
        </w:rPr>
        <w:t xml:space="preserve">or violations or abuses of international human rights </w:t>
      </w:r>
      <w:r w:rsidR="00DC61E1" w:rsidRPr="00F66AA7">
        <w:rPr>
          <w:b/>
          <w:bCs/>
        </w:rPr>
        <w:t xml:space="preserve">law </w:t>
      </w:r>
      <w:r w:rsidR="00345A82" w:rsidRPr="00F66AA7">
        <w:rPr>
          <w:b/>
          <w:bCs/>
        </w:rPr>
        <w:t>or international crimes</w:t>
      </w:r>
      <w:r w:rsidRPr="00F66AA7">
        <w:rPr>
          <w:b/>
          <w:bCs/>
        </w:rPr>
        <w:t>;</w:t>
      </w:r>
    </w:p>
    <w:p w14:paraId="29892519" w14:textId="77777777" w:rsidR="00063B5B" w:rsidRPr="00F66AA7" w:rsidRDefault="00E422C5" w:rsidP="00025352">
      <w:pPr>
        <w:pStyle w:val="SingleTxtG"/>
        <w:ind w:firstLine="567"/>
        <w:rPr>
          <w:b/>
          <w:bCs/>
        </w:rPr>
      </w:pPr>
      <w:r w:rsidRPr="00F66AA7">
        <w:rPr>
          <w:b/>
        </w:rPr>
        <w:t>(</w:t>
      </w:r>
      <w:r w:rsidR="00660F94" w:rsidRPr="00F66AA7">
        <w:rPr>
          <w:b/>
        </w:rPr>
        <w:t>f</w:t>
      </w:r>
      <w:r w:rsidRPr="00F66AA7">
        <w:rPr>
          <w:b/>
        </w:rPr>
        <w:t>)</w:t>
      </w:r>
      <w:r w:rsidRPr="00F66AA7">
        <w:rPr>
          <w:b/>
          <w:bCs/>
        </w:rPr>
        <w:tab/>
      </w:r>
      <w:r w:rsidR="006532A8" w:rsidRPr="00F66AA7">
        <w:rPr>
          <w:b/>
          <w:bCs/>
        </w:rPr>
        <w:t xml:space="preserve">Offer effective protection and assistance to </w:t>
      </w:r>
      <w:r w:rsidR="006B2AB2" w:rsidRPr="00F66AA7">
        <w:rPr>
          <w:b/>
          <w:bCs/>
        </w:rPr>
        <w:t xml:space="preserve">victims </w:t>
      </w:r>
      <w:r w:rsidR="00063B5B" w:rsidRPr="00F66AA7">
        <w:rPr>
          <w:b/>
          <w:bCs/>
        </w:rPr>
        <w:t>of</w:t>
      </w:r>
      <w:r w:rsidR="006532A8" w:rsidRPr="00F66AA7">
        <w:rPr>
          <w:b/>
          <w:bCs/>
        </w:rPr>
        <w:t xml:space="preserve"> human rights violations</w:t>
      </w:r>
      <w:r w:rsidR="00AD7868" w:rsidRPr="00F66AA7">
        <w:rPr>
          <w:b/>
          <w:bCs/>
        </w:rPr>
        <w:t>,</w:t>
      </w:r>
      <w:r w:rsidR="00063B5B" w:rsidRPr="00F66AA7">
        <w:rPr>
          <w:b/>
          <w:bCs/>
        </w:rPr>
        <w:t xml:space="preserve"> including torture</w:t>
      </w:r>
      <w:r w:rsidR="006532A8" w:rsidRPr="00F66AA7">
        <w:rPr>
          <w:b/>
          <w:bCs/>
        </w:rPr>
        <w:t xml:space="preserve">, by </w:t>
      </w:r>
      <w:r w:rsidR="00660F94" w:rsidRPr="00F66AA7">
        <w:rPr>
          <w:b/>
          <w:bCs/>
        </w:rPr>
        <w:t xml:space="preserve">ensuring </w:t>
      </w:r>
      <w:r w:rsidR="006532A8" w:rsidRPr="00F66AA7">
        <w:rPr>
          <w:b/>
          <w:bCs/>
        </w:rPr>
        <w:t>adequate financial and other support to organizations working on psychological and physical rehabilitation and counselling</w:t>
      </w:r>
      <w:r w:rsidR="00AD7868" w:rsidRPr="00F66AA7">
        <w:rPr>
          <w:b/>
          <w:bCs/>
        </w:rPr>
        <w:t>;</w:t>
      </w:r>
    </w:p>
    <w:p w14:paraId="0D60EF8D" w14:textId="0C5C48E7" w:rsidR="006210EF" w:rsidRPr="00F66AA7" w:rsidRDefault="006210EF" w:rsidP="00025352">
      <w:pPr>
        <w:pStyle w:val="SingleTxtG"/>
        <w:ind w:firstLine="567"/>
        <w:rPr>
          <w:b/>
          <w:bCs/>
        </w:rPr>
      </w:pPr>
      <w:r w:rsidRPr="00F66AA7">
        <w:rPr>
          <w:b/>
        </w:rPr>
        <w:t xml:space="preserve">(g) </w:t>
      </w:r>
      <w:r w:rsidRPr="00F66AA7">
        <w:rPr>
          <w:b/>
        </w:rPr>
        <w:tab/>
        <w:t xml:space="preserve">Assist the Government of Libya </w:t>
      </w:r>
      <w:r w:rsidR="00397B84" w:rsidRPr="00F66AA7">
        <w:rPr>
          <w:b/>
        </w:rPr>
        <w:t xml:space="preserve">in </w:t>
      </w:r>
      <w:r w:rsidRPr="00F66AA7">
        <w:rPr>
          <w:b/>
        </w:rPr>
        <w:t>ensur</w:t>
      </w:r>
      <w:r w:rsidR="00397B84" w:rsidRPr="00F66AA7">
        <w:rPr>
          <w:b/>
        </w:rPr>
        <w:t>ing</w:t>
      </w:r>
      <w:r w:rsidRPr="00F66AA7">
        <w:rPr>
          <w:b/>
        </w:rPr>
        <w:t xml:space="preserve"> the rights of migrants are fully respected and protected, including by providing technical assistance and capacity</w:t>
      </w:r>
      <w:r w:rsidR="008534EF" w:rsidRPr="00F66AA7">
        <w:rPr>
          <w:b/>
        </w:rPr>
        <w:t>-</w:t>
      </w:r>
      <w:r w:rsidRPr="00F66AA7">
        <w:rPr>
          <w:b/>
        </w:rPr>
        <w:t xml:space="preserve">building to </w:t>
      </w:r>
      <w:r w:rsidR="008534EF" w:rsidRPr="00F66AA7">
        <w:rPr>
          <w:b/>
        </w:rPr>
        <w:t>g</w:t>
      </w:r>
      <w:r w:rsidRPr="00F66AA7">
        <w:rPr>
          <w:b/>
        </w:rPr>
        <w:t>overnment institutions</w:t>
      </w:r>
      <w:r w:rsidR="00397B84" w:rsidRPr="00F66AA7">
        <w:rPr>
          <w:b/>
        </w:rPr>
        <w:t xml:space="preserve"> on legislative and regulatory reforms,</w:t>
      </w:r>
      <w:r w:rsidR="00513EAB" w:rsidRPr="00F66AA7">
        <w:rPr>
          <w:b/>
        </w:rPr>
        <w:t xml:space="preserve"> in compliance with the </w:t>
      </w:r>
      <w:r w:rsidR="00397B84" w:rsidRPr="00F66AA7">
        <w:rPr>
          <w:b/>
        </w:rPr>
        <w:t xml:space="preserve">United Nations </w:t>
      </w:r>
      <w:r w:rsidR="008534EF" w:rsidRPr="00F66AA7">
        <w:rPr>
          <w:b/>
        </w:rPr>
        <w:t>human rights due diligence policy</w:t>
      </w:r>
      <w:r w:rsidR="00AD7868" w:rsidRPr="00F66AA7">
        <w:rPr>
          <w:b/>
        </w:rPr>
        <w:t>;</w:t>
      </w:r>
      <w:r w:rsidRPr="00F66AA7">
        <w:rPr>
          <w:b/>
        </w:rPr>
        <w:t xml:space="preserve"> </w:t>
      </w:r>
    </w:p>
    <w:p w14:paraId="5AD2A1ED" w14:textId="0CDE012A" w:rsidR="006210EF" w:rsidRPr="00F66AA7" w:rsidRDefault="006210EF" w:rsidP="00025352">
      <w:pPr>
        <w:pStyle w:val="SingleTxtG"/>
        <w:ind w:firstLine="567"/>
        <w:rPr>
          <w:b/>
          <w:bCs/>
        </w:rPr>
      </w:pPr>
      <w:r w:rsidRPr="00F66AA7">
        <w:rPr>
          <w:b/>
        </w:rPr>
        <w:t>(h)</w:t>
      </w:r>
      <w:r w:rsidRPr="00F66AA7">
        <w:rPr>
          <w:b/>
          <w:bCs/>
        </w:rPr>
        <w:tab/>
        <w:t>Ensure that any cooperation with the Government of Libya in relation to migration is conditional on the Government taking concrete steps to address human right violations and abuses committed against migrants</w:t>
      </w:r>
      <w:r w:rsidR="00AD7868" w:rsidRPr="00F66AA7">
        <w:rPr>
          <w:b/>
          <w:bCs/>
        </w:rPr>
        <w:t xml:space="preserve">; </w:t>
      </w:r>
    </w:p>
    <w:p w14:paraId="5D9AF9A8" w14:textId="3BDF524B" w:rsidR="00E422C5" w:rsidRPr="00F66AA7" w:rsidRDefault="00E422C5" w:rsidP="00025352">
      <w:pPr>
        <w:pStyle w:val="SingleTxtG"/>
        <w:ind w:firstLine="567"/>
        <w:rPr>
          <w:b/>
          <w:bCs/>
        </w:rPr>
      </w:pPr>
      <w:r w:rsidRPr="00F66AA7">
        <w:rPr>
          <w:b/>
        </w:rPr>
        <w:t>(</w:t>
      </w:r>
      <w:r w:rsidR="006210EF" w:rsidRPr="00F66AA7">
        <w:rPr>
          <w:b/>
        </w:rPr>
        <w:t>i</w:t>
      </w:r>
      <w:r w:rsidRPr="00F66AA7">
        <w:rPr>
          <w:b/>
        </w:rPr>
        <w:t>)</w:t>
      </w:r>
      <w:r w:rsidRPr="00F66AA7">
        <w:rPr>
          <w:b/>
          <w:bCs/>
        </w:rPr>
        <w:tab/>
        <w:t>Ensure respect for the principle of non</w:t>
      </w:r>
      <w:r w:rsidR="00D37053" w:rsidRPr="00F66AA7">
        <w:rPr>
          <w:b/>
          <w:bCs/>
        </w:rPr>
        <w:t xml:space="preserve"> </w:t>
      </w:r>
      <w:r w:rsidRPr="00F66AA7">
        <w:rPr>
          <w:b/>
          <w:bCs/>
        </w:rPr>
        <w:t>refoulement, in accordance with international law</w:t>
      </w:r>
      <w:r w:rsidR="00AD7868" w:rsidRPr="00F66AA7">
        <w:rPr>
          <w:b/>
          <w:bCs/>
        </w:rPr>
        <w:t>.</w:t>
      </w:r>
      <w:r w:rsidRPr="00F66AA7">
        <w:rPr>
          <w:b/>
          <w:bCs/>
        </w:rPr>
        <w:t xml:space="preserve"> </w:t>
      </w:r>
    </w:p>
    <w:p w14:paraId="1D6885D7" w14:textId="0164DD45" w:rsidR="00E422C5" w:rsidRPr="00F66AA7" w:rsidRDefault="008B3923" w:rsidP="00025352">
      <w:pPr>
        <w:pStyle w:val="SingleTxtG"/>
        <w:rPr>
          <w:b/>
        </w:rPr>
      </w:pPr>
      <w:r w:rsidRPr="00F66AA7">
        <w:rPr>
          <w:b/>
        </w:rPr>
        <w:t>8</w:t>
      </w:r>
      <w:r w:rsidR="00AB3860" w:rsidRPr="00F66AA7">
        <w:rPr>
          <w:b/>
        </w:rPr>
        <w:t>2</w:t>
      </w:r>
      <w:r w:rsidR="00E422C5" w:rsidRPr="00F66AA7">
        <w:rPr>
          <w:b/>
        </w:rPr>
        <w:t>.</w:t>
      </w:r>
      <w:r w:rsidR="00E422C5" w:rsidRPr="00F66AA7">
        <w:rPr>
          <w:b/>
          <w:bCs/>
        </w:rPr>
        <w:tab/>
        <w:t xml:space="preserve">The High Commissioner recommends that the Human Rights Council remain seized of the progress made towards accountability and the situation of human rights in Libya. </w:t>
      </w:r>
    </w:p>
    <w:p w14:paraId="4DE33A7C" w14:textId="77777777" w:rsidR="001E66DD" w:rsidRPr="00206848" w:rsidRDefault="001E66DD">
      <w:pPr>
        <w:spacing w:before="240"/>
        <w:jc w:val="center"/>
        <w:rPr>
          <w:u w:val="single"/>
        </w:rPr>
      </w:pPr>
      <w:r w:rsidRPr="00206848">
        <w:rPr>
          <w:u w:val="single"/>
        </w:rPr>
        <w:tab/>
      </w:r>
      <w:r w:rsidRPr="00206848">
        <w:rPr>
          <w:u w:val="single"/>
        </w:rPr>
        <w:tab/>
      </w:r>
      <w:r w:rsidRPr="00206848">
        <w:rPr>
          <w:u w:val="single"/>
        </w:rPr>
        <w:tab/>
      </w:r>
    </w:p>
    <w:sectPr w:rsidR="001E66DD" w:rsidRPr="00206848" w:rsidSect="00233B59">
      <w:headerReference w:type="even" r:id="rId8"/>
      <w:headerReference w:type="default" r:id="rId9"/>
      <w:footerReference w:type="even" r:id="rId10"/>
      <w:footerReference w:type="default" r:id="rId11"/>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CDDE5" w14:textId="77777777" w:rsidR="00C70764" w:rsidRPr="00C47B2E" w:rsidRDefault="00C70764" w:rsidP="00C47B2E">
      <w:pPr>
        <w:pStyle w:val="Footer"/>
      </w:pPr>
    </w:p>
  </w:endnote>
  <w:endnote w:type="continuationSeparator" w:id="0">
    <w:p w14:paraId="6A5E5B92" w14:textId="77777777" w:rsidR="00C70764" w:rsidRPr="00C47B2E" w:rsidRDefault="00C70764" w:rsidP="00C47B2E">
      <w:pPr>
        <w:pStyle w:val="Footer"/>
      </w:pPr>
    </w:p>
  </w:endnote>
  <w:endnote w:type="continuationNotice" w:id="1">
    <w:p w14:paraId="3319727A" w14:textId="77777777" w:rsidR="00C70764" w:rsidRPr="00C47B2E" w:rsidRDefault="00C70764"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E1341" w14:textId="2B7BB672" w:rsidR="00C70764" w:rsidRPr="00233B59" w:rsidRDefault="00C70764" w:rsidP="00E422C5">
    <w:pPr>
      <w:pStyle w:val="Footer"/>
      <w:tabs>
        <w:tab w:val="right" w:pos="9598"/>
      </w:tabs>
    </w:pPr>
    <w:r>
      <w:fldChar w:fldCharType="begin"/>
    </w:r>
    <w:r>
      <w:instrText xml:space="preserve"> PAGE  \* MERGEFORMAT </w:instrText>
    </w:r>
    <w:r>
      <w:fldChar w:fldCharType="separate"/>
    </w:r>
    <w:r w:rsidR="001907E8" w:rsidRPr="001907E8">
      <w:rPr>
        <w:b/>
        <w:noProof/>
        <w:sz w:val="18"/>
      </w:rPr>
      <w:t>2</w:t>
    </w:r>
    <w:r>
      <w:rPr>
        <w:b/>
        <w:noProof/>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063A" w14:textId="0BC1A4FE" w:rsidR="00C70764" w:rsidRPr="00233B59" w:rsidRDefault="00C70764" w:rsidP="00233B59">
    <w:pPr>
      <w:pStyle w:val="Footer"/>
      <w:tabs>
        <w:tab w:val="right" w:pos="9598"/>
      </w:tabs>
      <w:rPr>
        <w:b/>
        <w:sz w:val="18"/>
      </w:rPr>
    </w:pPr>
    <w:r>
      <w:tab/>
    </w:r>
    <w:r>
      <w:fldChar w:fldCharType="begin"/>
    </w:r>
    <w:r>
      <w:instrText xml:space="preserve"> PAGE  \* MERGEFORMAT </w:instrText>
    </w:r>
    <w:r>
      <w:fldChar w:fldCharType="separate"/>
    </w:r>
    <w:r w:rsidR="001907E8" w:rsidRPr="001907E8">
      <w:rPr>
        <w:b/>
        <w:noProof/>
        <w:sz w:val="18"/>
      </w:rPr>
      <w:t>15</w:t>
    </w:r>
    <w:r>
      <w:rPr>
        <w:b/>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F25A3" w14:textId="77777777" w:rsidR="00C70764" w:rsidRPr="00C47B2E" w:rsidRDefault="00C70764" w:rsidP="00C47B2E">
      <w:pPr>
        <w:tabs>
          <w:tab w:val="right" w:pos="2155"/>
        </w:tabs>
        <w:spacing w:after="80" w:line="240" w:lineRule="auto"/>
        <w:ind w:left="680"/>
      </w:pPr>
      <w:r>
        <w:rPr>
          <w:u w:val="single"/>
        </w:rPr>
        <w:tab/>
      </w:r>
    </w:p>
  </w:footnote>
  <w:footnote w:type="continuationSeparator" w:id="0">
    <w:p w14:paraId="3D55A0D3" w14:textId="77777777" w:rsidR="00C70764" w:rsidRPr="00C47B2E" w:rsidRDefault="00C70764" w:rsidP="005E716E">
      <w:pPr>
        <w:tabs>
          <w:tab w:val="right" w:pos="2155"/>
        </w:tabs>
        <w:spacing w:after="80" w:line="240" w:lineRule="auto"/>
        <w:ind w:left="680"/>
      </w:pPr>
      <w:r>
        <w:rPr>
          <w:u w:val="single"/>
        </w:rPr>
        <w:tab/>
      </w:r>
    </w:p>
  </w:footnote>
  <w:footnote w:type="continuationNotice" w:id="1">
    <w:p w14:paraId="5055AF45" w14:textId="77777777" w:rsidR="00C70764" w:rsidRPr="00C47B2E" w:rsidRDefault="00C70764" w:rsidP="00C47B2E">
      <w:pPr>
        <w:pStyle w:val="Footer"/>
      </w:pPr>
    </w:p>
  </w:footnote>
  <w:footnote w:id="2">
    <w:p w14:paraId="1E2A3B4B" w14:textId="0272B7F1" w:rsidR="00F66AA7" w:rsidRPr="00F66AA7" w:rsidRDefault="00F66AA7">
      <w:pPr>
        <w:pStyle w:val="FootnoteText"/>
      </w:pPr>
      <w:r>
        <w:rPr>
          <w:rStyle w:val="FootnoteReference"/>
        </w:rPr>
        <w:tab/>
      </w:r>
      <w:r w:rsidRPr="00F66AA7">
        <w:rPr>
          <w:rStyle w:val="FootnoteReference"/>
          <w:sz w:val="20"/>
          <w:vertAlign w:val="baseline"/>
        </w:rPr>
        <w:t>*</w:t>
      </w:r>
      <w:r w:rsidRPr="00F66AA7">
        <w:rPr>
          <w:rStyle w:val="FootnoteReference"/>
          <w:sz w:val="20"/>
          <w:vertAlign w:val="baseline"/>
        </w:rPr>
        <w:tab/>
      </w:r>
      <w:r w:rsidRPr="00F66AA7">
        <w:t>The present report was submitted late owing to a technical error in the submission process.</w:t>
      </w:r>
    </w:p>
  </w:footnote>
  <w:footnote w:id="3">
    <w:p w14:paraId="3C2073FA" w14:textId="47AE4007" w:rsidR="00C70764" w:rsidRPr="00CC1CD9" w:rsidRDefault="00C70764" w:rsidP="00C80830">
      <w:pPr>
        <w:pStyle w:val="FootnoteText"/>
        <w:rPr>
          <w:lang w:val="en-US"/>
        </w:rPr>
      </w:pPr>
      <w:r>
        <w:tab/>
      </w:r>
      <w:r>
        <w:rPr>
          <w:rStyle w:val="FootnoteReference"/>
        </w:rPr>
        <w:footnoteRef/>
      </w:r>
      <w:r>
        <w:t xml:space="preserve"> </w:t>
      </w:r>
      <w:r>
        <w:tab/>
        <w:t xml:space="preserve">The “Government of National Salvation” controlled Tripoli before the relocation of the </w:t>
      </w:r>
      <w:r w:rsidRPr="00B42806">
        <w:rPr>
          <w:szCs w:val="18"/>
        </w:rPr>
        <w:t>Presidency Council</w:t>
      </w:r>
      <w:r w:rsidRPr="002E5863">
        <w:rPr>
          <w:szCs w:val="18"/>
        </w:rPr>
        <w:t xml:space="preserve"> </w:t>
      </w:r>
      <w:r>
        <w:t>in April 2016. Up until May 2017, it retained control of several strategic areas of Tripoli.</w:t>
      </w:r>
    </w:p>
  </w:footnote>
  <w:footnote w:id="4">
    <w:p w14:paraId="440E1F61" w14:textId="77777777" w:rsidR="00C70764" w:rsidRPr="00FA2FD3" w:rsidRDefault="00C70764" w:rsidP="00C80830">
      <w:pPr>
        <w:pStyle w:val="FootnoteText"/>
        <w:rPr>
          <w:lang w:val="en-US"/>
        </w:rPr>
      </w:pPr>
      <w:r>
        <w:rPr>
          <w:lang w:val="en-US"/>
        </w:rPr>
        <w:tab/>
      </w:r>
      <w:r>
        <w:rPr>
          <w:rStyle w:val="FootnoteReference"/>
        </w:rPr>
        <w:footnoteRef/>
      </w:r>
      <w:r>
        <w:rPr>
          <w:lang w:val="en-US"/>
        </w:rPr>
        <w:t xml:space="preserve"> </w:t>
      </w:r>
      <w:r>
        <w:rPr>
          <w:lang w:val="en-US"/>
        </w:rPr>
        <w:tab/>
        <w:t xml:space="preserve">Derna remained under the control of the Derna Mujahedeen Shura Council, a coalition of Islamist-leaning armed groups, who ousted the so-called Islamic State from the city in 2015. </w:t>
      </w:r>
    </w:p>
  </w:footnote>
  <w:footnote w:id="5">
    <w:p w14:paraId="10F31DE6" w14:textId="2044541C" w:rsidR="002A3BD9" w:rsidRPr="006C6860" w:rsidRDefault="002A3BD9" w:rsidP="002A3BD9">
      <w:pPr>
        <w:pStyle w:val="FootnoteText"/>
      </w:pPr>
      <w:r w:rsidRPr="006C6860">
        <w:tab/>
      </w:r>
      <w:r w:rsidRPr="001E66DD">
        <w:rPr>
          <w:rStyle w:val="FootnoteReference"/>
        </w:rPr>
        <w:footnoteRef/>
      </w:r>
      <w:r w:rsidRPr="006C6860">
        <w:tab/>
        <w:t>OHCHR define</w:t>
      </w:r>
      <w:r>
        <w:t>s</w:t>
      </w:r>
      <w:r w:rsidRPr="006C6860">
        <w:t xml:space="preserve"> an international migrant as </w:t>
      </w:r>
      <w:r>
        <w:t>“</w:t>
      </w:r>
      <w:r w:rsidRPr="006C6860">
        <w:t>any person who is ou</w:t>
      </w:r>
      <w:r w:rsidRPr="00BF30E0">
        <w:t>tside a State of which he or she is a citizen or national, or, in the case of a stateless person, his or her State of birth or habitual residence</w:t>
      </w:r>
      <w:r>
        <w:t>”</w:t>
      </w:r>
      <w:r w:rsidRPr="00BF30E0">
        <w:t xml:space="preserve">. See OHCHR, </w:t>
      </w:r>
      <w:r w:rsidRPr="00102633">
        <w:t>Recommended Principles and Guidelines on Human Rights at International Borders</w:t>
      </w:r>
      <w:r w:rsidRPr="006C6860">
        <w:t>, 2014, p</w:t>
      </w:r>
      <w:r>
        <w:t>.</w:t>
      </w:r>
      <w:r w:rsidRPr="006C6860">
        <w:t xml:space="preserve"> 4.</w:t>
      </w:r>
    </w:p>
  </w:footnote>
  <w:footnote w:id="6">
    <w:p w14:paraId="7EC8804D" w14:textId="744461B4" w:rsidR="00C70764" w:rsidRPr="00BF30E0" w:rsidRDefault="00C70764" w:rsidP="005E7624">
      <w:pPr>
        <w:pStyle w:val="FootnoteText"/>
      </w:pPr>
      <w:r w:rsidRPr="00BF30E0">
        <w:tab/>
      </w:r>
      <w:r w:rsidRPr="001E66DD">
        <w:rPr>
          <w:rStyle w:val="FootnoteReference"/>
        </w:rPr>
        <w:footnoteRef/>
      </w:r>
      <w:r w:rsidRPr="006C6860">
        <w:tab/>
      </w:r>
      <w:r>
        <w:t>See UNSMIL/OHCHR, “</w:t>
      </w:r>
      <w:r w:rsidRPr="000B2216">
        <w:t>Detained and dehumanised</w:t>
      </w:r>
      <w:r>
        <w:t>”, r</w:t>
      </w:r>
      <w:r w:rsidRPr="000B2216">
        <w:t>eport on human rights abuses against migrants in Libya</w:t>
      </w:r>
      <w:r>
        <w:t>, 13 December 2016.</w:t>
      </w:r>
    </w:p>
  </w:footnote>
  <w:footnote w:id="7">
    <w:p w14:paraId="6CEEFEC9" w14:textId="0AE0E312" w:rsidR="00C70764" w:rsidRPr="000306FD" w:rsidRDefault="00C70764">
      <w:pPr>
        <w:pStyle w:val="FootnoteText"/>
      </w:pPr>
      <w:r>
        <w:tab/>
      </w:r>
      <w:r>
        <w:rPr>
          <w:rStyle w:val="FootnoteReference"/>
        </w:rPr>
        <w:footnoteRef/>
      </w:r>
      <w:r>
        <w:t xml:space="preserve"> </w:t>
      </w:r>
      <w:r>
        <w:tab/>
        <w:t xml:space="preserve">UNSMIL/OHCHR, </w:t>
      </w:r>
      <w:r w:rsidRPr="00025352">
        <w:rPr>
          <w:iCs/>
        </w:rPr>
        <w:t>Report on the trial of 37 former members of the Qhadafi regime (Case 630/2012)</w:t>
      </w:r>
      <w:r w:rsidRPr="00194037">
        <w:t>,</w:t>
      </w:r>
      <w:r>
        <w:t xml:space="preserve"> 21 February 2017, available </w:t>
      </w:r>
      <w:r w:rsidR="00194037">
        <w:t xml:space="preserve">from </w:t>
      </w:r>
      <w:r w:rsidRPr="000306FD">
        <w:t>www.ohchr.org/Documents/Countries/LY/Trial37FormerMembersQadhafiRegime_EN.pdf</w:t>
      </w:r>
    </w:p>
  </w:footnote>
  <w:footnote w:id="8">
    <w:p w14:paraId="56CDC3C5" w14:textId="77777777" w:rsidR="00C70764" w:rsidRPr="006C6860" w:rsidRDefault="00C70764" w:rsidP="005E7624">
      <w:pPr>
        <w:pStyle w:val="FootnoteText"/>
      </w:pPr>
      <w:r w:rsidRPr="006C6860">
        <w:tab/>
      </w:r>
      <w:r w:rsidRPr="001E66DD">
        <w:rPr>
          <w:rStyle w:val="FootnoteReference"/>
        </w:rPr>
        <w:footnoteRef/>
      </w:r>
      <w:r w:rsidRPr="006C6860">
        <w:tab/>
      </w:r>
      <w:r>
        <w:t>See a</w:t>
      </w:r>
      <w:r w:rsidRPr="00BE31CC">
        <w:t>rticle</w:t>
      </w:r>
      <w:r>
        <w:t>s</w:t>
      </w:r>
      <w:r w:rsidRPr="00BE31CC">
        <w:t xml:space="preserve"> 26</w:t>
      </w:r>
      <w:r>
        <w:t xml:space="preserve"> </w:t>
      </w:r>
      <w:r w:rsidRPr="00BE31CC">
        <w:t>(2), (3)</w:t>
      </w:r>
      <w:r>
        <w:t xml:space="preserve"> and</w:t>
      </w:r>
      <w:r w:rsidRPr="00BE31CC">
        <w:t xml:space="preserve"> (4) and 44</w:t>
      </w:r>
      <w:r w:rsidRPr="006C6860">
        <w:t>.</w:t>
      </w:r>
    </w:p>
  </w:footnote>
  <w:footnote w:id="9">
    <w:p w14:paraId="2D8E61C7" w14:textId="77777777" w:rsidR="00D9092B" w:rsidRPr="006C6860" w:rsidRDefault="00D9092B" w:rsidP="00D9092B">
      <w:pPr>
        <w:pStyle w:val="FootnoteText"/>
      </w:pPr>
      <w:r w:rsidRPr="006C6860">
        <w:tab/>
      </w:r>
      <w:r w:rsidRPr="001E66DD">
        <w:rPr>
          <w:rStyle w:val="FootnoteReference"/>
        </w:rPr>
        <w:footnoteRef/>
      </w:r>
      <w:r w:rsidRPr="006C6860">
        <w:tab/>
      </w:r>
      <w:r w:rsidRPr="00503AF4">
        <w:t xml:space="preserve">In the present report, the term </w:t>
      </w:r>
      <w:r>
        <w:t>“</w:t>
      </w:r>
      <w:r w:rsidRPr="00503AF4">
        <w:t>detention</w:t>
      </w:r>
      <w:r>
        <w:t>”</w:t>
      </w:r>
      <w:r w:rsidRPr="00503AF4">
        <w:t xml:space="preserve"> is intended to reflect deprivation of liberty by </w:t>
      </w:r>
      <w:r>
        <w:t xml:space="preserve">either </w:t>
      </w:r>
      <w:r w:rsidRPr="00503AF4">
        <w:t xml:space="preserve">State officials </w:t>
      </w:r>
      <w:r>
        <w:t>or</w:t>
      </w:r>
      <w:r w:rsidRPr="00503AF4">
        <w:t xml:space="preserve"> armed groups, given that armed groups remain in control of many facilities and that many armed groups were nominally brought under the purview of </w:t>
      </w:r>
      <w:r>
        <w:t>g</w:t>
      </w:r>
      <w:r w:rsidRPr="00503AF4">
        <w:t>overnment ministries after 2011.</w:t>
      </w:r>
    </w:p>
  </w:footnote>
  <w:footnote w:id="10">
    <w:p w14:paraId="26ECDA76" w14:textId="77777777" w:rsidR="00C70764" w:rsidRPr="006C6860" w:rsidRDefault="00C70764" w:rsidP="005E7624">
      <w:pPr>
        <w:pStyle w:val="FootnoteText"/>
      </w:pPr>
      <w:r w:rsidRPr="006C6860">
        <w:tab/>
      </w:r>
      <w:r w:rsidRPr="001E66DD">
        <w:rPr>
          <w:rStyle w:val="FootnoteReference"/>
        </w:rPr>
        <w:footnoteRef/>
      </w:r>
      <w:r w:rsidRPr="006C6860">
        <w:tab/>
      </w:r>
      <w:r>
        <w:t xml:space="preserve">Information provided to UNSMIL at a meeting with officials from the Ministry of Justice, on 16 November </w:t>
      </w:r>
      <w:r w:rsidRPr="00E040E2">
        <w:t>2016</w:t>
      </w:r>
      <w:r>
        <w:t>.</w:t>
      </w:r>
    </w:p>
  </w:footnote>
  <w:footnote w:id="11">
    <w:p w14:paraId="0B5C3CDA" w14:textId="2BE4901C" w:rsidR="00C70764" w:rsidRPr="0049020A" w:rsidRDefault="00C70764" w:rsidP="00BA2112">
      <w:pPr>
        <w:pStyle w:val="FootnoteText"/>
        <w:rPr>
          <w:lang w:val="en-US"/>
        </w:rPr>
      </w:pPr>
      <w:r>
        <w:tab/>
      </w:r>
      <w:r>
        <w:rPr>
          <w:rStyle w:val="FootnoteReference"/>
        </w:rPr>
        <w:footnoteRef/>
      </w:r>
      <w:r>
        <w:tab/>
      </w:r>
      <w:r>
        <w:rPr>
          <w:lang w:val="en-US"/>
        </w:rPr>
        <w:t>I</w:t>
      </w:r>
      <w:r w:rsidR="00676EFA">
        <w:rPr>
          <w:lang w:val="en-US"/>
        </w:rPr>
        <w:t xml:space="preserve">nternational </w:t>
      </w:r>
      <w:r>
        <w:rPr>
          <w:lang w:val="en-US"/>
        </w:rPr>
        <w:t>C</w:t>
      </w:r>
      <w:r w:rsidR="00676EFA">
        <w:rPr>
          <w:lang w:val="en-US"/>
        </w:rPr>
        <w:t xml:space="preserve">riminal </w:t>
      </w:r>
      <w:r>
        <w:rPr>
          <w:lang w:val="en-US"/>
        </w:rPr>
        <w:t>C</w:t>
      </w:r>
      <w:r w:rsidR="00676EFA">
        <w:rPr>
          <w:lang w:val="en-US"/>
        </w:rPr>
        <w:t>ourt</w:t>
      </w:r>
      <w:r>
        <w:rPr>
          <w:lang w:val="en-US"/>
        </w:rPr>
        <w:t xml:space="preserve">, </w:t>
      </w:r>
      <w:r w:rsidR="00676EFA">
        <w:rPr>
          <w:lang w:val="en-US"/>
        </w:rPr>
        <w:t>“</w:t>
      </w:r>
      <w:r w:rsidRPr="00025352">
        <w:rPr>
          <w:iCs/>
        </w:rPr>
        <w:t>Situation in Libya: ICC Pre-Trial Chamber I unseals a warrant of arrest for Al-Tuhamy Mohamed Khaled charged with war crimes and crimes against humanity</w:t>
      </w:r>
      <w:r w:rsidR="00676EFA">
        <w:rPr>
          <w:iCs/>
        </w:rPr>
        <w:t>”</w:t>
      </w:r>
      <w:r w:rsidRPr="00025352">
        <w:rPr>
          <w:iCs/>
        </w:rPr>
        <w:t xml:space="preserve">, </w:t>
      </w:r>
      <w:r w:rsidR="00676EFA">
        <w:rPr>
          <w:iCs/>
        </w:rPr>
        <w:t xml:space="preserve">press release, </w:t>
      </w:r>
      <w:r w:rsidRPr="00025352">
        <w:rPr>
          <w:iCs/>
        </w:rPr>
        <w:t>24 April 2017</w:t>
      </w:r>
      <w:r>
        <w:t xml:space="preserve">. </w:t>
      </w:r>
    </w:p>
  </w:footnote>
  <w:footnote w:id="12">
    <w:p w14:paraId="6C971E88" w14:textId="5B9E232F" w:rsidR="00C70764" w:rsidRPr="004453A6" w:rsidRDefault="00C70764" w:rsidP="0049020A">
      <w:pPr>
        <w:pStyle w:val="FootnoteText"/>
        <w:rPr>
          <w:lang w:val="en-US"/>
        </w:rPr>
      </w:pPr>
      <w:r>
        <w:tab/>
      </w:r>
      <w:r>
        <w:rPr>
          <w:rStyle w:val="FootnoteReference"/>
        </w:rPr>
        <w:footnoteRef/>
      </w:r>
      <w:r>
        <w:t xml:space="preserve"> </w:t>
      </w:r>
      <w:r>
        <w:tab/>
      </w:r>
      <w:r w:rsidR="00676EFA">
        <w:rPr>
          <w:lang w:val="en-US"/>
        </w:rPr>
        <w:t>International Criminal Court</w:t>
      </w:r>
      <w:r>
        <w:t xml:space="preserve">, </w:t>
      </w:r>
      <w:r w:rsidR="00AB405A" w:rsidRPr="00025352">
        <w:rPr>
          <w:i/>
        </w:rPr>
        <w:t xml:space="preserve">The </w:t>
      </w:r>
      <w:r w:rsidRPr="00025352">
        <w:rPr>
          <w:i/>
        </w:rPr>
        <w:t xml:space="preserve">Prosecutor v. Mahmoud Moustafa Busayf </w:t>
      </w:r>
      <w:r w:rsidR="00AB405A" w:rsidRPr="00025352">
        <w:rPr>
          <w:i/>
        </w:rPr>
        <w:t>A</w:t>
      </w:r>
      <w:r w:rsidRPr="00025352">
        <w:rPr>
          <w:i/>
        </w:rPr>
        <w:t>l-Werfalli</w:t>
      </w:r>
      <w:r>
        <w:t>, 15 August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6A0CC" w14:textId="77777777" w:rsidR="00C70764" w:rsidRPr="00233B59" w:rsidRDefault="00C70764" w:rsidP="00233B59">
    <w:pPr>
      <w:pStyle w:val="Header"/>
    </w:pPr>
    <w:r w:rsidRPr="00233B59">
      <w:t>A/HRC/3</w:t>
    </w:r>
    <w:r>
      <w:t>7</w:t>
    </w:r>
    <w:r w:rsidRPr="00233B59">
      <w:t>/4</w:t>
    </w:r>
    <w:r>
      <w:t>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D8A1A" w14:textId="77777777" w:rsidR="00C70764" w:rsidRPr="00233B59" w:rsidRDefault="00C70764" w:rsidP="00233B59">
    <w:pPr>
      <w:pStyle w:val="Header"/>
      <w:jc w:val="right"/>
    </w:pPr>
    <w:r>
      <w:t>A/HRC/37</w:t>
    </w:r>
    <w:r w:rsidRPr="00233B59">
      <w:t>/4</w:t>
    </w:r>
    <w: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0A3A6B"/>
    <w:multiLevelType w:val="hybridMultilevel"/>
    <w:tmpl w:val="74F2D77A"/>
    <w:lvl w:ilvl="0" w:tplc="ADAE9DBA">
      <w:start w:val="3"/>
      <w:numFmt w:val="bullet"/>
      <w:lvlText w:val="-"/>
      <w:lvlJc w:val="left"/>
      <w:pPr>
        <w:ind w:left="1494" w:hanging="360"/>
      </w:pPr>
      <w:rPr>
        <w:rFonts w:ascii="Calibri" w:eastAsia="Calibri" w:hAnsi="Calibri" w:cs="Calibr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6B49D8"/>
    <w:multiLevelType w:val="hybridMultilevel"/>
    <w:tmpl w:val="546050E2"/>
    <w:lvl w:ilvl="0" w:tplc="3EDCEACC">
      <w:start w:val="1"/>
      <w:numFmt w:val="upp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4"/>
  </w:num>
  <w:num w:numId="3">
    <w:abstractNumId w:val="0"/>
  </w:num>
  <w:num w:numId="4">
    <w:abstractNumId w:val="7"/>
  </w:num>
  <w:num w:numId="5">
    <w:abstractNumId w:val="8"/>
  </w:num>
  <w:num w:numId="6">
    <w:abstractNumId w:val="10"/>
  </w:num>
  <w:num w:numId="7">
    <w:abstractNumId w:val="2"/>
  </w:num>
  <w:num w:numId="8">
    <w:abstractNumId w:val="1"/>
  </w:num>
  <w:num w:numId="9">
    <w:abstractNumId w:val="9"/>
  </w:num>
  <w:num w:numId="10">
    <w:abstractNumId w:val="1"/>
  </w:num>
  <w:num w:numId="11">
    <w:abstractNumId w:val="9"/>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567"/>
  <w:evenAndOddHeaders/>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C89"/>
    <w:rsid w:val="00000081"/>
    <w:rsid w:val="00002094"/>
    <w:rsid w:val="0000579F"/>
    <w:rsid w:val="000078D7"/>
    <w:rsid w:val="000131C7"/>
    <w:rsid w:val="00015A22"/>
    <w:rsid w:val="00016A67"/>
    <w:rsid w:val="00016C10"/>
    <w:rsid w:val="000173BF"/>
    <w:rsid w:val="00020CF9"/>
    <w:rsid w:val="00020F4D"/>
    <w:rsid w:val="0002212C"/>
    <w:rsid w:val="00022947"/>
    <w:rsid w:val="00025352"/>
    <w:rsid w:val="000261F7"/>
    <w:rsid w:val="00027F8E"/>
    <w:rsid w:val="000306FD"/>
    <w:rsid w:val="00042429"/>
    <w:rsid w:val="000424A3"/>
    <w:rsid w:val="00042B4C"/>
    <w:rsid w:val="00044164"/>
    <w:rsid w:val="0004456D"/>
    <w:rsid w:val="00046E92"/>
    <w:rsid w:val="00050987"/>
    <w:rsid w:val="00052F41"/>
    <w:rsid w:val="000545A7"/>
    <w:rsid w:val="0006129A"/>
    <w:rsid w:val="000617F3"/>
    <w:rsid w:val="00063B5B"/>
    <w:rsid w:val="00063C90"/>
    <w:rsid w:val="00064A02"/>
    <w:rsid w:val="00064D4F"/>
    <w:rsid w:val="00066422"/>
    <w:rsid w:val="00067AB8"/>
    <w:rsid w:val="00071C85"/>
    <w:rsid w:val="0007223A"/>
    <w:rsid w:val="00072455"/>
    <w:rsid w:val="000769CB"/>
    <w:rsid w:val="00076C6E"/>
    <w:rsid w:val="00081E69"/>
    <w:rsid w:val="00081F4F"/>
    <w:rsid w:val="00082431"/>
    <w:rsid w:val="000832C0"/>
    <w:rsid w:val="00084DFA"/>
    <w:rsid w:val="00086CE8"/>
    <w:rsid w:val="000902E3"/>
    <w:rsid w:val="00091524"/>
    <w:rsid w:val="00094D6D"/>
    <w:rsid w:val="000A01E9"/>
    <w:rsid w:val="000A4613"/>
    <w:rsid w:val="000B245B"/>
    <w:rsid w:val="000B3770"/>
    <w:rsid w:val="000B482E"/>
    <w:rsid w:val="000B4F5B"/>
    <w:rsid w:val="000B542B"/>
    <w:rsid w:val="000B5D5F"/>
    <w:rsid w:val="000C3100"/>
    <w:rsid w:val="000D0C84"/>
    <w:rsid w:val="000D24BA"/>
    <w:rsid w:val="000D5240"/>
    <w:rsid w:val="000E1C36"/>
    <w:rsid w:val="000E2963"/>
    <w:rsid w:val="000E65CA"/>
    <w:rsid w:val="000E69CE"/>
    <w:rsid w:val="000F5AA7"/>
    <w:rsid w:val="000F622D"/>
    <w:rsid w:val="000F67EC"/>
    <w:rsid w:val="0010054B"/>
    <w:rsid w:val="00101168"/>
    <w:rsid w:val="00101B98"/>
    <w:rsid w:val="00111406"/>
    <w:rsid w:val="001126AB"/>
    <w:rsid w:val="001177E2"/>
    <w:rsid w:val="001202B4"/>
    <w:rsid w:val="0012098A"/>
    <w:rsid w:val="0012267B"/>
    <w:rsid w:val="00122E11"/>
    <w:rsid w:val="001237A4"/>
    <w:rsid w:val="00123BCD"/>
    <w:rsid w:val="00125741"/>
    <w:rsid w:val="00130195"/>
    <w:rsid w:val="001304FE"/>
    <w:rsid w:val="0013082F"/>
    <w:rsid w:val="00133527"/>
    <w:rsid w:val="001337F5"/>
    <w:rsid w:val="0013401A"/>
    <w:rsid w:val="001367CE"/>
    <w:rsid w:val="00140055"/>
    <w:rsid w:val="00142D2F"/>
    <w:rsid w:val="001436AC"/>
    <w:rsid w:val="00144A82"/>
    <w:rsid w:val="00145A40"/>
    <w:rsid w:val="00151332"/>
    <w:rsid w:val="00153E87"/>
    <w:rsid w:val="00157922"/>
    <w:rsid w:val="001730D8"/>
    <w:rsid w:val="00174D51"/>
    <w:rsid w:val="001766B1"/>
    <w:rsid w:val="001841EA"/>
    <w:rsid w:val="001907E8"/>
    <w:rsid w:val="001919BA"/>
    <w:rsid w:val="001923E0"/>
    <w:rsid w:val="00194037"/>
    <w:rsid w:val="00194627"/>
    <w:rsid w:val="0019545A"/>
    <w:rsid w:val="001956CC"/>
    <w:rsid w:val="001B5BA5"/>
    <w:rsid w:val="001B6BD5"/>
    <w:rsid w:val="001B7243"/>
    <w:rsid w:val="001C5AF8"/>
    <w:rsid w:val="001D4038"/>
    <w:rsid w:val="001D4E22"/>
    <w:rsid w:val="001D7EEF"/>
    <w:rsid w:val="001E3288"/>
    <w:rsid w:val="001E66DD"/>
    <w:rsid w:val="001E7288"/>
    <w:rsid w:val="001F08FB"/>
    <w:rsid w:val="001F34D4"/>
    <w:rsid w:val="001F5E94"/>
    <w:rsid w:val="001F61B8"/>
    <w:rsid w:val="001F6235"/>
    <w:rsid w:val="001F63F0"/>
    <w:rsid w:val="001F6E26"/>
    <w:rsid w:val="001F713E"/>
    <w:rsid w:val="002060A9"/>
    <w:rsid w:val="00206278"/>
    <w:rsid w:val="00206848"/>
    <w:rsid w:val="00206CFF"/>
    <w:rsid w:val="002112B2"/>
    <w:rsid w:val="0021161A"/>
    <w:rsid w:val="002120DD"/>
    <w:rsid w:val="00213239"/>
    <w:rsid w:val="00215C52"/>
    <w:rsid w:val="00220A31"/>
    <w:rsid w:val="00223C18"/>
    <w:rsid w:val="00233B59"/>
    <w:rsid w:val="00234EBE"/>
    <w:rsid w:val="00236049"/>
    <w:rsid w:val="00243473"/>
    <w:rsid w:val="002437F8"/>
    <w:rsid w:val="00247E2C"/>
    <w:rsid w:val="002510F2"/>
    <w:rsid w:val="002511D9"/>
    <w:rsid w:val="00255399"/>
    <w:rsid w:val="00255F6D"/>
    <w:rsid w:val="002607F4"/>
    <w:rsid w:val="00260F15"/>
    <w:rsid w:val="00261FBD"/>
    <w:rsid w:val="002621D3"/>
    <w:rsid w:val="0026283D"/>
    <w:rsid w:val="0026345A"/>
    <w:rsid w:val="00266359"/>
    <w:rsid w:val="002679E6"/>
    <w:rsid w:val="002770B1"/>
    <w:rsid w:val="00280D82"/>
    <w:rsid w:val="002810EC"/>
    <w:rsid w:val="00293175"/>
    <w:rsid w:val="00295396"/>
    <w:rsid w:val="00296A86"/>
    <w:rsid w:val="00296F2F"/>
    <w:rsid w:val="00297E03"/>
    <w:rsid w:val="002A2D73"/>
    <w:rsid w:val="002A32CB"/>
    <w:rsid w:val="002A3A1D"/>
    <w:rsid w:val="002A3BD9"/>
    <w:rsid w:val="002A5237"/>
    <w:rsid w:val="002A573B"/>
    <w:rsid w:val="002A5CA8"/>
    <w:rsid w:val="002A6977"/>
    <w:rsid w:val="002B2B6A"/>
    <w:rsid w:val="002B3B00"/>
    <w:rsid w:val="002B7B81"/>
    <w:rsid w:val="002C48BE"/>
    <w:rsid w:val="002D1F9E"/>
    <w:rsid w:val="002D6C53"/>
    <w:rsid w:val="002D719A"/>
    <w:rsid w:val="002E5863"/>
    <w:rsid w:val="002E5B26"/>
    <w:rsid w:val="002E5D9C"/>
    <w:rsid w:val="002E6511"/>
    <w:rsid w:val="002F2A89"/>
    <w:rsid w:val="002F3425"/>
    <w:rsid w:val="002F5595"/>
    <w:rsid w:val="00304D06"/>
    <w:rsid w:val="00306E87"/>
    <w:rsid w:val="003070FB"/>
    <w:rsid w:val="00313A08"/>
    <w:rsid w:val="00317EF5"/>
    <w:rsid w:val="003201D4"/>
    <w:rsid w:val="003213CE"/>
    <w:rsid w:val="00321A77"/>
    <w:rsid w:val="00325F82"/>
    <w:rsid w:val="003275DE"/>
    <w:rsid w:val="00327755"/>
    <w:rsid w:val="00333C72"/>
    <w:rsid w:val="00334F6A"/>
    <w:rsid w:val="00342AC8"/>
    <w:rsid w:val="003434CB"/>
    <w:rsid w:val="00345A82"/>
    <w:rsid w:val="00354B0E"/>
    <w:rsid w:val="003552DC"/>
    <w:rsid w:val="00355E6A"/>
    <w:rsid w:val="00357E3A"/>
    <w:rsid w:val="00363A61"/>
    <w:rsid w:val="003662EE"/>
    <w:rsid w:val="003672E7"/>
    <w:rsid w:val="003709AD"/>
    <w:rsid w:val="003752A3"/>
    <w:rsid w:val="0037731F"/>
    <w:rsid w:val="0037752C"/>
    <w:rsid w:val="00377BAC"/>
    <w:rsid w:val="003806A3"/>
    <w:rsid w:val="00380713"/>
    <w:rsid w:val="00391C72"/>
    <w:rsid w:val="00394324"/>
    <w:rsid w:val="003946F1"/>
    <w:rsid w:val="00397B84"/>
    <w:rsid w:val="003A07B1"/>
    <w:rsid w:val="003A2AB1"/>
    <w:rsid w:val="003A4E72"/>
    <w:rsid w:val="003A4EB6"/>
    <w:rsid w:val="003A5770"/>
    <w:rsid w:val="003A7225"/>
    <w:rsid w:val="003A72ED"/>
    <w:rsid w:val="003B077C"/>
    <w:rsid w:val="003B166B"/>
    <w:rsid w:val="003B4550"/>
    <w:rsid w:val="003C0AAA"/>
    <w:rsid w:val="003C0FB2"/>
    <w:rsid w:val="003C3FA7"/>
    <w:rsid w:val="003C5CB2"/>
    <w:rsid w:val="003C5CB9"/>
    <w:rsid w:val="003E1160"/>
    <w:rsid w:val="003F1172"/>
    <w:rsid w:val="003F1AA5"/>
    <w:rsid w:val="003F3A21"/>
    <w:rsid w:val="004019D4"/>
    <w:rsid w:val="00406EFE"/>
    <w:rsid w:val="0041174C"/>
    <w:rsid w:val="0041491F"/>
    <w:rsid w:val="00422CFF"/>
    <w:rsid w:val="004254BE"/>
    <w:rsid w:val="00440922"/>
    <w:rsid w:val="00441C3D"/>
    <w:rsid w:val="00443D54"/>
    <w:rsid w:val="004453A6"/>
    <w:rsid w:val="00450800"/>
    <w:rsid w:val="00452195"/>
    <w:rsid w:val="004541BC"/>
    <w:rsid w:val="0046097F"/>
    <w:rsid w:val="00461253"/>
    <w:rsid w:val="00463D6B"/>
    <w:rsid w:val="00465007"/>
    <w:rsid w:val="0046632D"/>
    <w:rsid w:val="00483AA3"/>
    <w:rsid w:val="004850A8"/>
    <w:rsid w:val="0049020A"/>
    <w:rsid w:val="00490F35"/>
    <w:rsid w:val="00491622"/>
    <w:rsid w:val="00494129"/>
    <w:rsid w:val="0049412D"/>
    <w:rsid w:val="004A1ABB"/>
    <w:rsid w:val="004A2814"/>
    <w:rsid w:val="004A5BD8"/>
    <w:rsid w:val="004B02F0"/>
    <w:rsid w:val="004B32AA"/>
    <w:rsid w:val="004B3A33"/>
    <w:rsid w:val="004B400D"/>
    <w:rsid w:val="004B6464"/>
    <w:rsid w:val="004C0622"/>
    <w:rsid w:val="004C0693"/>
    <w:rsid w:val="004C2363"/>
    <w:rsid w:val="004D154F"/>
    <w:rsid w:val="004E6184"/>
    <w:rsid w:val="004F1713"/>
    <w:rsid w:val="004F53CF"/>
    <w:rsid w:val="004F59BC"/>
    <w:rsid w:val="004F6E18"/>
    <w:rsid w:val="0050131B"/>
    <w:rsid w:val="00503C6B"/>
    <w:rsid w:val="005042C2"/>
    <w:rsid w:val="00512BE3"/>
    <w:rsid w:val="00513EAB"/>
    <w:rsid w:val="00515EBD"/>
    <w:rsid w:val="00522029"/>
    <w:rsid w:val="00522324"/>
    <w:rsid w:val="005235D9"/>
    <w:rsid w:val="00524A76"/>
    <w:rsid w:val="00530963"/>
    <w:rsid w:val="005365BD"/>
    <w:rsid w:val="00541785"/>
    <w:rsid w:val="005439A0"/>
    <w:rsid w:val="00545213"/>
    <w:rsid w:val="00546E64"/>
    <w:rsid w:val="005500C8"/>
    <w:rsid w:val="00552BA0"/>
    <w:rsid w:val="00552C7C"/>
    <w:rsid w:val="005538B7"/>
    <w:rsid w:val="005551E3"/>
    <w:rsid w:val="0055686C"/>
    <w:rsid w:val="005578FF"/>
    <w:rsid w:val="00557E47"/>
    <w:rsid w:val="00562639"/>
    <w:rsid w:val="00565855"/>
    <w:rsid w:val="00566085"/>
    <w:rsid w:val="00567E71"/>
    <w:rsid w:val="0057183A"/>
    <w:rsid w:val="00571C4C"/>
    <w:rsid w:val="00572AEA"/>
    <w:rsid w:val="00573294"/>
    <w:rsid w:val="00573711"/>
    <w:rsid w:val="0057561C"/>
    <w:rsid w:val="00575E61"/>
    <w:rsid w:val="00577B83"/>
    <w:rsid w:val="005808AD"/>
    <w:rsid w:val="00580EB6"/>
    <w:rsid w:val="0058284B"/>
    <w:rsid w:val="00583704"/>
    <w:rsid w:val="00585A04"/>
    <w:rsid w:val="005A01F5"/>
    <w:rsid w:val="005A14F8"/>
    <w:rsid w:val="005A55DE"/>
    <w:rsid w:val="005A689E"/>
    <w:rsid w:val="005B1C5F"/>
    <w:rsid w:val="005B1D26"/>
    <w:rsid w:val="005B24D0"/>
    <w:rsid w:val="005B3EBF"/>
    <w:rsid w:val="005B780A"/>
    <w:rsid w:val="005C0A78"/>
    <w:rsid w:val="005C0B5E"/>
    <w:rsid w:val="005C169B"/>
    <w:rsid w:val="005C2192"/>
    <w:rsid w:val="005D4DBE"/>
    <w:rsid w:val="005E159B"/>
    <w:rsid w:val="005E5894"/>
    <w:rsid w:val="005E716E"/>
    <w:rsid w:val="005E7624"/>
    <w:rsid w:val="005F2394"/>
    <w:rsid w:val="005F3DC2"/>
    <w:rsid w:val="005F6B94"/>
    <w:rsid w:val="005F7712"/>
    <w:rsid w:val="005F7FE8"/>
    <w:rsid w:val="0060094C"/>
    <w:rsid w:val="00602F0F"/>
    <w:rsid w:val="0060717A"/>
    <w:rsid w:val="00607602"/>
    <w:rsid w:val="006079BF"/>
    <w:rsid w:val="00612C89"/>
    <w:rsid w:val="006147EB"/>
    <w:rsid w:val="006167A2"/>
    <w:rsid w:val="00616DB6"/>
    <w:rsid w:val="00617B06"/>
    <w:rsid w:val="006201FE"/>
    <w:rsid w:val="006210EF"/>
    <w:rsid w:val="00623FFC"/>
    <w:rsid w:val="00624B90"/>
    <w:rsid w:val="00624FD5"/>
    <w:rsid w:val="006271CD"/>
    <w:rsid w:val="00627469"/>
    <w:rsid w:val="006329DA"/>
    <w:rsid w:val="006331B8"/>
    <w:rsid w:val="00633EFB"/>
    <w:rsid w:val="00640753"/>
    <w:rsid w:val="00640EC7"/>
    <w:rsid w:val="00651C48"/>
    <w:rsid w:val="006532A8"/>
    <w:rsid w:val="00653C79"/>
    <w:rsid w:val="00660F94"/>
    <w:rsid w:val="00662276"/>
    <w:rsid w:val="006625F2"/>
    <w:rsid w:val="00666451"/>
    <w:rsid w:val="00671529"/>
    <w:rsid w:val="00674FCC"/>
    <w:rsid w:val="00675AC6"/>
    <w:rsid w:val="00676689"/>
    <w:rsid w:val="00676B39"/>
    <w:rsid w:val="00676E36"/>
    <w:rsid w:val="00676EFA"/>
    <w:rsid w:val="0068135E"/>
    <w:rsid w:val="00681C9E"/>
    <w:rsid w:val="00682567"/>
    <w:rsid w:val="00682994"/>
    <w:rsid w:val="0068313E"/>
    <w:rsid w:val="0068550B"/>
    <w:rsid w:val="0069133D"/>
    <w:rsid w:val="00695277"/>
    <w:rsid w:val="0069544E"/>
    <w:rsid w:val="006975CD"/>
    <w:rsid w:val="00697E66"/>
    <w:rsid w:val="006A278A"/>
    <w:rsid w:val="006A3095"/>
    <w:rsid w:val="006A7414"/>
    <w:rsid w:val="006B2AB2"/>
    <w:rsid w:val="006B78D0"/>
    <w:rsid w:val="006C14D0"/>
    <w:rsid w:val="006C4FD4"/>
    <w:rsid w:val="006C6745"/>
    <w:rsid w:val="006D28FD"/>
    <w:rsid w:val="006D3A0F"/>
    <w:rsid w:val="006D49FF"/>
    <w:rsid w:val="006F00FD"/>
    <w:rsid w:val="006F1376"/>
    <w:rsid w:val="006F235C"/>
    <w:rsid w:val="006F2602"/>
    <w:rsid w:val="006F59BB"/>
    <w:rsid w:val="006F5C7A"/>
    <w:rsid w:val="0070312C"/>
    <w:rsid w:val="00703336"/>
    <w:rsid w:val="0070489D"/>
    <w:rsid w:val="0070531E"/>
    <w:rsid w:val="00710575"/>
    <w:rsid w:val="00716D40"/>
    <w:rsid w:val="00717FFA"/>
    <w:rsid w:val="007239AE"/>
    <w:rsid w:val="00723A6E"/>
    <w:rsid w:val="00724089"/>
    <w:rsid w:val="007268F9"/>
    <w:rsid w:val="007322A2"/>
    <w:rsid w:val="00734B60"/>
    <w:rsid w:val="0073632F"/>
    <w:rsid w:val="00737D73"/>
    <w:rsid w:val="00741DBE"/>
    <w:rsid w:val="00742B17"/>
    <w:rsid w:val="00742F25"/>
    <w:rsid w:val="007458AC"/>
    <w:rsid w:val="007478E3"/>
    <w:rsid w:val="007526CF"/>
    <w:rsid w:val="00752B49"/>
    <w:rsid w:val="00753543"/>
    <w:rsid w:val="00754B72"/>
    <w:rsid w:val="007563B4"/>
    <w:rsid w:val="007639F3"/>
    <w:rsid w:val="0076470D"/>
    <w:rsid w:val="00765BAB"/>
    <w:rsid w:val="00771363"/>
    <w:rsid w:val="0077412D"/>
    <w:rsid w:val="00776387"/>
    <w:rsid w:val="0078621E"/>
    <w:rsid w:val="007867E3"/>
    <w:rsid w:val="0079016F"/>
    <w:rsid w:val="00790C68"/>
    <w:rsid w:val="00796A69"/>
    <w:rsid w:val="007A419D"/>
    <w:rsid w:val="007B33EF"/>
    <w:rsid w:val="007B4781"/>
    <w:rsid w:val="007B57C3"/>
    <w:rsid w:val="007B66CD"/>
    <w:rsid w:val="007C0FFF"/>
    <w:rsid w:val="007C1F29"/>
    <w:rsid w:val="007C2E0F"/>
    <w:rsid w:val="007C4D1E"/>
    <w:rsid w:val="007C52B0"/>
    <w:rsid w:val="007C6299"/>
    <w:rsid w:val="007C7B4E"/>
    <w:rsid w:val="007C7E68"/>
    <w:rsid w:val="007D361E"/>
    <w:rsid w:val="007D7F58"/>
    <w:rsid w:val="007E32D1"/>
    <w:rsid w:val="007F18CD"/>
    <w:rsid w:val="007F2367"/>
    <w:rsid w:val="007F25FD"/>
    <w:rsid w:val="007F77D8"/>
    <w:rsid w:val="007F7AF1"/>
    <w:rsid w:val="00800E88"/>
    <w:rsid w:val="0080131A"/>
    <w:rsid w:val="008058B8"/>
    <w:rsid w:val="00807EA6"/>
    <w:rsid w:val="00812195"/>
    <w:rsid w:val="0082023B"/>
    <w:rsid w:val="00823C5C"/>
    <w:rsid w:val="0082593F"/>
    <w:rsid w:val="008314B3"/>
    <w:rsid w:val="00837188"/>
    <w:rsid w:val="00837DD1"/>
    <w:rsid w:val="008409AD"/>
    <w:rsid w:val="00842271"/>
    <w:rsid w:val="00847DB2"/>
    <w:rsid w:val="00850228"/>
    <w:rsid w:val="00851FBC"/>
    <w:rsid w:val="008534EF"/>
    <w:rsid w:val="008563B3"/>
    <w:rsid w:val="0086381D"/>
    <w:rsid w:val="00866659"/>
    <w:rsid w:val="00866A61"/>
    <w:rsid w:val="008710AF"/>
    <w:rsid w:val="00872047"/>
    <w:rsid w:val="00872E3F"/>
    <w:rsid w:val="00872FEF"/>
    <w:rsid w:val="00873280"/>
    <w:rsid w:val="008804CF"/>
    <w:rsid w:val="00882A67"/>
    <w:rsid w:val="00884193"/>
    <w:rsid w:val="00884874"/>
    <w:rsid w:val="00892693"/>
    <w:rsid w:val="00893002"/>
    <w:rsid w:val="00893377"/>
    <w:rsid w:val="00893384"/>
    <w:rsid w:val="00895E12"/>
    <w:rsid w:val="008A174C"/>
    <w:rsid w:val="008A1A5C"/>
    <w:rsid w:val="008A4826"/>
    <w:rsid w:val="008A5A72"/>
    <w:rsid w:val="008A66CF"/>
    <w:rsid w:val="008B181A"/>
    <w:rsid w:val="008B2D43"/>
    <w:rsid w:val="008B3923"/>
    <w:rsid w:val="008B3C21"/>
    <w:rsid w:val="008B5838"/>
    <w:rsid w:val="008B5C3A"/>
    <w:rsid w:val="008C12CB"/>
    <w:rsid w:val="008C4565"/>
    <w:rsid w:val="008C4E7E"/>
    <w:rsid w:val="008D30AC"/>
    <w:rsid w:val="008D6D3C"/>
    <w:rsid w:val="008D7D01"/>
    <w:rsid w:val="008E075C"/>
    <w:rsid w:val="008E13E6"/>
    <w:rsid w:val="008E494B"/>
    <w:rsid w:val="008E72D0"/>
    <w:rsid w:val="008F250F"/>
    <w:rsid w:val="009043AB"/>
    <w:rsid w:val="00904570"/>
    <w:rsid w:val="00904843"/>
    <w:rsid w:val="00904E32"/>
    <w:rsid w:val="009102C2"/>
    <w:rsid w:val="00915924"/>
    <w:rsid w:val="00915F1F"/>
    <w:rsid w:val="00916A4B"/>
    <w:rsid w:val="00917C8F"/>
    <w:rsid w:val="00923E56"/>
    <w:rsid w:val="00924B3F"/>
    <w:rsid w:val="00924BE5"/>
    <w:rsid w:val="0092540D"/>
    <w:rsid w:val="00930873"/>
    <w:rsid w:val="00930D7F"/>
    <w:rsid w:val="0093118C"/>
    <w:rsid w:val="00932F1E"/>
    <w:rsid w:val="00933FD5"/>
    <w:rsid w:val="00937ED5"/>
    <w:rsid w:val="009411B4"/>
    <w:rsid w:val="009453B4"/>
    <w:rsid w:val="009459F2"/>
    <w:rsid w:val="00955E27"/>
    <w:rsid w:val="00960B57"/>
    <w:rsid w:val="0096636A"/>
    <w:rsid w:val="00967B01"/>
    <w:rsid w:val="0097679B"/>
    <w:rsid w:val="00977878"/>
    <w:rsid w:val="00986947"/>
    <w:rsid w:val="009926C6"/>
    <w:rsid w:val="00994508"/>
    <w:rsid w:val="00994A82"/>
    <w:rsid w:val="009A28F8"/>
    <w:rsid w:val="009A32AD"/>
    <w:rsid w:val="009A7B6D"/>
    <w:rsid w:val="009B4478"/>
    <w:rsid w:val="009B44D8"/>
    <w:rsid w:val="009B4C08"/>
    <w:rsid w:val="009C6BE4"/>
    <w:rsid w:val="009D0139"/>
    <w:rsid w:val="009D06CB"/>
    <w:rsid w:val="009D0B9F"/>
    <w:rsid w:val="009D2F36"/>
    <w:rsid w:val="009D30E4"/>
    <w:rsid w:val="009D717D"/>
    <w:rsid w:val="009E054C"/>
    <w:rsid w:val="009E1F74"/>
    <w:rsid w:val="009E26D8"/>
    <w:rsid w:val="009E58FC"/>
    <w:rsid w:val="009F4908"/>
    <w:rsid w:val="009F5CDC"/>
    <w:rsid w:val="009F6E08"/>
    <w:rsid w:val="00A00146"/>
    <w:rsid w:val="00A008BE"/>
    <w:rsid w:val="00A00BA7"/>
    <w:rsid w:val="00A06935"/>
    <w:rsid w:val="00A10F5B"/>
    <w:rsid w:val="00A11E61"/>
    <w:rsid w:val="00A20901"/>
    <w:rsid w:val="00A219BE"/>
    <w:rsid w:val="00A23904"/>
    <w:rsid w:val="00A242F3"/>
    <w:rsid w:val="00A246D6"/>
    <w:rsid w:val="00A4075A"/>
    <w:rsid w:val="00A42C54"/>
    <w:rsid w:val="00A43227"/>
    <w:rsid w:val="00A456B1"/>
    <w:rsid w:val="00A45BAA"/>
    <w:rsid w:val="00A46CBE"/>
    <w:rsid w:val="00A5498C"/>
    <w:rsid w:val="00A555A4"/>
    <w:rsid w:val="00A56407"/>
    <w:rsid w:val="00A60907"/>
    <w:rsid w:val="00A609FB"/>
    <w:rsid w:val="00A626F6"/>
    <w:rsid w:val="00A64729"/>
    <w:rsid w:val="00A71410"/>
    <w:rsid w:val="00A7191C"/>
    <w:rsid w:val="00A72747"/>
    <w:rsid w:val="00A728BC"/>
    <w:rsid w:val="00A749DF"/>
    <w:rsid w:val="00A775CF"/>
    <w:rsid w:val="00A77768"/>
    <w:rsid w:val="00A8271C"/>
    <w:rsid w:val="00A8441E"/>
    <w:rsid w:val="00A84BDF"/>
    <w:rsid w:val="00A851C8"/>
    <w:rsid w:val="00A8762A"/>
    <w:rsid w:val="00A87F2D"/>
    <w:rsid w:val="00A908E6"/>
    <w:rsid w:val="00A91612"/>
    <w:rsid w:val="00A92923"/>
    <w:rsid w:val="00A93708"/>
    <w:rsid w:val="00A94719"/>
    <w:rsid w:val="00A95B69"/>
    <w:rsid w:val="00A977FC"/>
    <w:rsid w:val="00AA634E"/>
    <w:rsid w:val="00AA638C"/>
    <w:rsid w:val="00AA7C30"/>
    <w:rsid w:val="00AB3860"/>
    <w:rsid w:val="00AB405A"/>
    <w:rsid w:val="00AB64DD"/>
    <w:rsid w:val="00AB72DD"/>
    <w:rsid w:val="00AD078C"/>
    <w:rsid w:val="00AD0CC6"/>
    <w:rsid w:val="00AD0FC5"/>
    <w:rsid w:val="00AD1F73"/>
    <w:rsid w:val="00AD2417"/>
    <w:rsid w:val="00AD366C"/>
    <w:rsid w:val="00AD6DB9"/>
    <w:rsid w:val="00AD7868"/>
    <w:rsid w:val="00AE1F6E"/>
    <w:rsid w:val="00AE26E6"/>
    <w:rsid w:val="00AE3A42"/>
    <w:rsid w:val="00AE4241"/>
    <w:rsid w:val="00AE4919"/>
    <w:rsid w:val="00AE5DAE"/>
    <w:rsid w:val="00AF3197"/>
    <w:rsid w:val="00AF3882"/>
    <w:rsid w:val="00AF750F"/>
    <w:rsid w:val="00B032C4"/>
    <w:rsid w:val="00B06045"/>
    <w:rsid w:val="00B067C2"/>
    <w:rsid w:val="00B128A2"/>
    <w:rsid w:val="00B202E9"/>
    <w:rsid w:val="00B20EDB"/>
    <w:rsid w:val="00B2433D"/>
    <w:rsid w:val="00B25CE3"/>
    <w:rsid w:val="00B273FA"/>
    <w:rsid w:val="00B42806"/>
    <w:rsid w:val="00B436C4"/>
    <w:rsid w:val="00B52EF4"/>
    <w:rsid w:val="00B53FF0"/>
    <w:rsid w:val="00B71CDA"/>
    <w:rsid w:val="00B71FF6"/>
    <w:rsid w:val="00B721B2"/>
    <w:rsid w:val="00B83F25"/>
    <w:rsid w:val="00B84541"/>
    <w:rsid w:val="00B85A20"/>
    <w:rsid w:val="00B905C4"/>
    <w:rsid w:val="00B9310C"/>
    <w:rsid w:val="00B931EF"/>
    <w:rsid w:val="00B96058"/>
    <w:rsid w:val="00B97B2B"/>
    <w:rsid w:val="00B97F2C"/>
    <w:rsid w:val="00BA2112"/>
    <w:rsid w:val="00BA2387"/>
    <w:rsid w:val="00BA5AF2"/>
    <w:rsid w:val="00BB3D15"/>
    <w:rsid w:val="00BB66AD"/>
    <w:rsid w:val="00BC0C57"/>
    <w:rsid w:val="00BC20A0"/>
    <w:rsid w:val="00BC2A63"/>
    <w:rsid w:val="00BC37C7"/>
    <w:rsid w:val="00BC4916"/>
    <w:rsid w:val="00BC65D4"/>
    <w:rsid w:val="00BC6BEE"/>
    <w:rsid w:val="00BD05F2"/>
    <w:rsid w:val="00BD19A7"/>
    <w:rsid w:val="00BD282D"/>
    <w:rsid w:val="00BD36DB"/>
    <w:rsid w:val="00BD7254"/>
    <w:rsid w:val="00BE71C9"/>
    <w:rsid w:val="00BF1BA9"/>
    <w:rsid w:val="00BF243A"/>
    <w:rsid w:val="00BF3615"/>
    <w:rsid w:val="00BF4DD2"/>
    <w:rsid w:val="00C00CC5"/>
    <w:rsid w:val="00C011E1"/>
    <w:rsid w:val="00C01E79"/>
    <w:rsid w:val="00C03015"/>
    <w:rsid w:val="00C0358D"/>
    <w:rsid w:val="00C111C8"/>
    <w:rsid w:val="00C12350"/>
    <w:rsid w:val="00C12B77"/>
    <w:rsid w:val="00C249C2"/>
    <w:rsid w:val="00C26842"/>
    <w:rsid w:val="00C308A4"/>
    <w:rsid w:val="00C31234"/>
    <w:rsid w:val="00C323AA"/>
    <w:rsid w:val="00C33686"/>
    <w:rsid w:val="00C34EEC"/>
    <w:rsid w:val="00C3542E"/>
    <w:rsid w:val="00C355B4"/>
    <w:rsid w:val="00C35A27"/>
    <w:rsid w:val="00C3640B"/>
    <w:rsid w:val="00C37939"/>
    <w:rsid w:val="00C47B2E"/>
    <w:rsid w:val="00C503C5"/>
    <w:rsid w:val="00C509C4"/>
    <w:rsid w:val="00C51498"/>
    <w:rsid w:val="00C5166A"/>
    <w:rsid w:val="00C549D6"/>
    <w:rsid w:val="00C54FA7"/>
    <w:rsid w:val="00C55C4A"/>
    <w:rsid w:val="00C56238"/>
    <w:rsid w:val="00C5696A"/>
    <w:rsid w:val="00C56DC6"/>
    <w:rsid w:val="00C57055"/>
    <w:rsid w:val="00C57175"/>
    <w:rsid w:val="00C60596"/>
    <w:rsid w:val="00C61C5C"/>
    <w:rsid w:val="00C62770"/>
    <w:rsid w:val="00C659E7"/>
    <w:rsid w:val="00C70764"/>
    <w:rsid w:val="00C775B6"/>
    <w:rsid w:val="00C7768E"/>
    <w:rsid w:val="00C77908"/>
    <w:rsid w:val="00C77AA1"/>
    <w:rsid w:val="00C80830"/>
    <w:rsid w:val="00C84DAD"/>
    <w:rsid w:val="00C85344"/>
    <w:rsid w:val="00C90744"/>
    <w:rsid w:val="00C9230C"/>
    <w:rsid w:val="00C9323C"/>
    <w:rsid w:val="00C97C8C"/>
    <w:rsid w:val="00CA25A7"/>
    <w:rsid w:val="00CA5ABA"/>
    <w:rsid w:val="00CB6C31"/>
    <w:rsid w:val="00CC0C7F"/>
    <w:rsid w:val="00CC1CD9"/>
    <w:rsid w:val="00CC23B0"/>
    <w:rsid w:val="00CD6E98"/>
    <w:rsid w:val="00CE1564"/>
    <w:rsid w:val="00CE668C"/>
    <w:rsid w:val="00CE7471"/>
    <w:rsid w:val="00CF0315"/>
    <w:rsid w:val="00CF4B78"/>
    <w:rsid w:val="00D03195"/>
    <w:rsid w:val="00D03F8E"/>
    <w:rsid w:val="00D0787C"/>
    <w:rsid w:val="00D07BE0"/>
    <w:rsid w:val="00D10C30"/>
    <w:rsid w:val="00D14832"/>
    <w:rsid w:val="00D14F29"/>
    <w:rsid w:val="00D15EB3"/>
    <w:rsid w:val="00D15F1B"/>
    <w:rsid w:val="00D2123B"/>
    <w:rsid w:val="00D25782"/>
    <w:rsid w:val="00D300DF"/>
    <w:rsid w:val="00D309D0"/>
    <w:rsid w:val="00D322C5"/>
    <w:rsid w:val="00D34D74"/>
    <w:rsid w:val="00D37053"/>
    <w:rsid w:val="00D404D4"/>
    <w:rsid w:val="00D414D2"/>
    <w:rsid w:val="00D45B19"/>
    <w:rsid w:val="00D45F7B"/>
    <w:rsid w:val="00D52B8B"/>
    <w:rsid w:val="00D60F37"/>
    <w:rsid w:val="00D626B1"/>
    <w:rsid w:val="00D63762"/>
    <w:rsid w:val="00D63ECD"/>
    <w:rsid w:val="00D649FD"/>
    <w:rsid w:val="00D66D8F"/>
    <w:rsid w:val="00D72083"/>
    <w:rsid w:val="00D72169"/>
    <w:rsid w:val="00D75D13"/>
    <w:rsid w:val="00D75E3C"/>
    <w:rsid w:val="00D76DF8"/>
    <w:rsid w:val="00D85DD2"/>
    <w:rsid w:val="00D9092B"/>
    <w:rsid w:val="00D91F1D"/>
    <w:rsid w:val="00D9311D"/>
    <w:rsid w:val="00D940CD"/>
    <w:rsid w:val="00DA57DC"/>
    <w:rsid w:val="00DA745C"/>
    <w:rsid w:val="00DA779D"/>
    <w:rsid w:val="00DA7C8A"/>
    <w:rsid w:val="00DB06A1"/>
    <w:rsid w:val="00DC0553"/>
    <w:rsid w:val="00DC12CE"/>
    <w:rsid w:val="00DC4ED6"/>
    <w:rsid w:val="00DC61E1"/>
    <w:rsid w:val="00DC7615"/>
    <w:rsid w:val="00DD0C1E"/>
    <w:rsid w:val="00DE2516"/>
    <w:rsid w:val="00DE59B7"/>
    <w:rsid w:val="00DE5A7B"/>
    <w:rsid w:val="00DE683D"/>
    <w:rsid w:val="00DE7B50"/>
    <w:rsid w:val="00DF18C8"/>
    <w:rsid w:val="00DF71C5"/>
    <w:rsid w:val="00DF72ED"/>
    <w:rsid w:val="00DF731B"/>
    <w:rsid w:val="00DF770A"/>
    <w:rsid w:val="00E02C2B"/>
    <w:rsid w:val="00E042CC"/>
    <w:rsid w:val="00E043D8"/>
    <w:rsid w:val="00E04846"/>
    <w:rsid w:val="00E13954"/>
    <w:rsid w:val="00E13C81"/>
    <w:rsid w:val="00E15E43"/>
    <w:rsid w:val="00E17F7C"/>
    <w:rsid w:val="00E21A95"/>
    <w:rsid w:val="00E23FA4"/>
    <w:rsid w:val="00E264EE"/>
    <w:rsid w:val="00E34503"/>
    <w:rsid w:val="00E361E1"/>
    <w:rsid w:val="00E3660C"/>
    <w:rsid w:val="00E36F50"/>
    <w:rsid w:val="00E40A37"/>
    <w:rsid w:val="00E422C5"/>
    <w:rsid w:val="00E456B6"/>
    <w:rsid w:val="00E462F9"/>
    <w:rsid w:val="00E52109"/>
    <w:rsid w:val="00E53C12"/>
    <w:rsid w:val="00E55BC5"/>
    <w:rsid w:val="00E55F73"/>
    <w:rsid w:val="00E6059E"/>
    <w:rsid w:val="00E63273"/>
    <w:rsid w:val="00E71D4B"/>
    <w:rsid w:val="00E75317"/>
    <w:rsid w:val="00E75E89"/>
    <w:rsid w:val="00E8135F"/>
    <w:rsid w:val="00E874F9"/>
    <w:rsid w:val="00E91ED8"/>
    <w:rsid w:val="00EA0468"/>
    <w:rsid w:val="00EA1469"/>
    <w:rsid w:val="00EA2C7E"/>
    <w:rsid w:val="00EA3D2D"/>
    <w:rsid w:val="00EA4C48"/>
    <w:rsid w:val="00EA5305"/>
    <w:rsid w:val="00EB22CF"/>
    <w:rsid w:val="00EB2B05"/>
    <w:rsid w:val="00EB50B8"/>
    <w:rsid w:val="00EB6606"/>
    <w:rsid w:val="00EB7FED"/>
    <w:rsid w:val="00EC160C"/>
    <w:rsid w:val="00EC17EA"/>
    <w:rsid w:val="00EC5B3D"/>
    <w:rsid w:val="00ED22C2"/>
    <w:rsid w:val="00ED3603"/>
    <w:rsid w:val="00ED3A0D"/>
    <w:rsid w:val="00ED59CA"/>
    <w:rsid w:val="00ED6C48"/>
    <w:rsid w:val="00EE1553"/>
    <w:rsid w:val="00EE4493"/>
    <w:rsid w:val="00EE5526"/>
    <w:rsid w:val="00EE7F4A"/>
    <w:rsid w:val="00EF0711"/>
    <w:rsid w:val="00EF1679"/>
    <w:rsid w:val="00EF249A"/>
    <w:rsid w:val="00EF4230"/>
    <w:rsid w:val="00EF7CC4"/>
    <w:rsid w:val="00F02560"/>
    <w:rsid w:val="00F04BA3"/>
    <w:rsid w:val="00F079A5"/>
    <w:rsid w:val="00F1253F"/>
    <w:rsid w:val="00F13726"/>
    <w:rsid w:val="00F1492D"/>
    <w:rsid w:val="00F15699"/>
    <w:rsid w:val="00F21389"/>
    <w:rsid w:val="00F24AA1"/>
    <w:rsid w:val="00F26B60"/>
    <w:rsid w:val="00F31FF3"/>
    <w:rsid w:val="00F3278A"/>
    <w:rsid w:val="00F3329E"/>
    <w:rsid w:val="00F3360C"/>
    <w:rsid w:val="00F35E64"/>
    <w:rsid w:val="00F3670B"/>
    <w:rsid w:val="00F36D3E"/>
    <w:rsid w:val="00F414EC"/>
    <w:rsid w:val="00F46F80"/>
    <w:rsid w:val="00F5486E"/>
    <w:rsid w:val="00F564A3"/>
    <w:rsid w:val="00F56EE3"/>
    <w:rsid w:val="00F65F5D"/>
    <w:rsid w:val="00F66AA7"/>
    <w:rsid w:val="00F66CC9"/>
    <w:rsid w:val="00F66DA9"/>
    <w:rsid w:val="00F6728C"/>
    <w:rsid w:val="00F71995"/>
    <w:rsid w:val="00F749D4"/>
    <w:rsid w:val="00F76024"/>
    <w:rsid w:val="00F80517"/>
    <w:rsid w:val="00F8135A"/>
    <w:rsid w:val="00F8209C"/>
    <w:rsid w:val="00F83280"/>
    <w:rsid w:val="00F84ED9"/>
    <w:rsid w:val="00F86A3A"/>
    <w:rsid w:val="00F918BD"/>
    <w:rsid w:val="00F92195"/>
    <w:rsid w:val="00FA0C21"/>
    <w:rsid w:val="00FA2A06"/>
    <w:rsid w:val="00FA2FD3"/>
    <w:rsid w:val="00FA6D72"/>
    <w:rsid w:val="00FA7BB7"/>
    <w:rsid w:val="00FB1D60"/>
    <w:rsid w:val="00FB4602"/>
    <w:rsid w:val="00FB4A80"/>
    <w:rsid w:val="00FB60E2"/>
    <w:rsid w:val="00FC02B4"/>
    <w:rsid w:val="00FC0670"/>
    <w:rsid w:val="00FC348E"/>
    <w:rsid w:val="00FC3B82"/>
    <w:rsid w:val="00FC5C2B"/>
    <w:rsid w:val="00FD67D5"/>
    <w:rsid w:val="00FE091D"/>
    <w:rsid w:val="00FE5D9D"/>
    <w:rsid w:val="00FE69C1"/>
    <w:rsid w:val="00FF010B"/>
    <w:rsid w:val="00FF1AF9"/>
    <w:rsid w:val="00FF1EAA"/>
    <w:rsid w:val="00FF4D7C"/>
    <w:rsid w:val="00FF5358"/>
    <w:rsid w:val="00FF7340"/>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C8AA38"/>
  <w15:docId w15:val="{0619342B-06F7-45D4-B1A2-779C9683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link w:val="Header"/>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link w:val="Footer"/>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rsid w:val="001E66DD"/>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
    <w:link w:val="FootnoteText"/>
    <w:rsid w:val="001E66DD"/>
    <w:rPr>
      <w:rFonts w:ascii="Times New Roman" w:hAnsi="Times New Roman" w:cs="Times New Roman"/>
      <w:sz w:val="18"/>
      <w:szCs w:val="20"/>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link w:val="EndnoteText"/>
    <w:rsid w:val="007268F9"/>
    <w:rPr>
      <w:rFonts w:ascii="Times New Roman" w:eastAsia="Calibri" w:hAnsi="Times New Roman" w:cs="Times New Roman"/>
      <w:sz w:val="18"/>
      <w:szCs w:val="20"/>
      <w:lang w:eastAsia="en-US"/>
    </w:rPr>
  </w:style>
  <w:style w:type="character" w:styleId="FootnoteReference">
    <w:name w:val="footnote reference"/>
    <w:aliases w:val="4_G"/>
    <w:uiPriority w:val="99"/>
    <w:qFormat/>
    <w:rsid w:val="001E66DD"/>
    <w:rPr>
      <w:rFonts w:ascii="Times New Roman" w:hAnsi="Times New Roman"/>
      <w:sz w:val="18"/>
      <w:vertAlign w:val="superscript"/>
    </w:rPr>
  </w:style>
  <w:style w:type="character" w:customStyle="1" w:styleId="Heading1Char">
    <w:name w:val="Heading 1 Char"/>
    <w:aliases w:val="Table_G Char"/>
    <w:link w:val="Heading1"/>
    <w:rsid w:val="003B4550"/>
    <w:rPr>
      <w:rFonts w:ascii="Times New Roman" w:eastAsia="Calibri" w:hAnsi="Times New Roman" w:cs="Times New Roman"/>
      <w:sz w:val="20"/>
      <w:szCs w:val="20"/>
      <w:lang w:eastAsia="en-US"/>
    </w:rPr>
  </w:style>
  <w:style w:type="character" w:customStyle="1" w:styleId="Heading2Char">
    <w:name w:val="Heading 2 Char"/>
    <w:link w:val="Heading2"/>
    <w:semiHidden/>
    <w:rsid w:val="003B4550"/>
    <w:rPr>
      <w:rFonts w:ascii="Times New Roman" w:eastAsia="Calibri" w:hAnsi="Times New Roman" w:cs="Times New Roman"/>
      <w:sz w:val="20"/>
      <w:szCs w:val="20"/>
      <w:lang w:eastAsia="en-US"/>
    </w:rPr>
  </w:style>
  <w:style w:type="character" w:customStyle="1" w:styleId="Heading3Char">
    <w:name w:val="Heading 3 Char"/>
    <w:link w:val="Heading3"/>
    <w:semiHidden/>
    <w:rsid w:val="003B4550"/>
    <w:rPr>
      <w:rFonts w:ascii="Times New Roman" w:eastAsia="Calibri" w:hAnsi="Times New Roman" w:cs="Times New Roman"/>
      <w:sz w:val="20"/>
      <w:szCs w:val="20"/>
      <w:lang w:eastAsia="en-US"/>
    </w:rPr>
  </w:style>
  <w:style w:type="character" w:customStyle="1" w:styleId="Heading4Char">
    <w:name w:val="Heading 4 Char"/>
    <w:link w:val="Heading4"/>
    <w:semiHidden/>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ingleTxt">
    <w:name w:val="__Single Txt"/>
    <w:basedOn w:val="Normal"/>
    <w:rsid w:val="00325F82"/>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ind w:left="1267" w:right="1267"/>
      <w:jc w:val="both"/>
    </w:pPr>
    <w:rPr>
      <w:spacing w:val="4"/>
      <w:w w:val="103"/>
      <w:kern w:val="14"/>
    </w:rPr>
  </w:style>
  <w:style w:type="paragraph" w:styleId="NormalWeb">
    <w:name w:val="Normal (Web)"/>
    <w:basedOn w:val="Normal"/>
    <w:uiPriority w:val="99"/>
    <w:unhideWhenUsed/>
    <w:rsid w:val="009E58FC"/>
    <w:pPr>
      <w:suppressAutoHyphens w:val="0"/>
      <w:kinsoku/>
      <w:overflowPunct/>
      <w:autoSpaceDE/>
      <w:autoSpaceDN/>
      <w:adjustRightInd/>
      <w:snapToGrid/>
      <w:spacing w:before="240" w:after="240" w:line="240" w:lineRule="auto"/>
    </w:pPr>
    <w:rPr>
      <w:rFonts w:eastAsia="Times New Roman"/>
      <w:sz w:val="24"/>
      <w:szCs w:val="24"/>
      <w:lang w:val="en-US"/>
    </w:rPr>
  </w:style>
  <w:style w:type="character" w:styleId="CommentReference">
    <w:name w:val="annotation reference"/>
    <w:uiPriority w:val="99"/>
    <w:semiHidden/>
    <w:unhideWhenUsed/>
    <w:rsid w:val="00145A40"/>
    <w:rPr>
      <w:sz w:val="16"/>
      <w:szCs w:val="16"/>
    </w:rPr>
  </w:style>
  <w:style w:type="paragraph" w:styleId="CommentText">
    <w:name w:val="annotation text"/>
    <w:basedOn w:val="Normal"/>
    <w:link w:val="CommentTextChar"/>
    <w:uiPriority w:val="99"/>
    <w:unhideWhenUsed/>
    <w:rsid w:val="00145A40"/>
    <w:pPr>
      <w:spacing w:line="240" w:lineRule="auto"/>
    </w:pPr>
  </w:style>
  <w:style w:type="character" w:customStyle="1" w:styleId="CommentTextChar">
    <w:name w:val="Comment Text Char"/>
    <w:link w:val="CommentText"/>
    <w:uiPriority w:val="99"/>
    <w:rsid w:val="00145A4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45A40"/>
    <w:rPr>
      <w:b/>
      <w:bCs/>
    </w:rPr>
  </w:style>
  <w:style w:type="character" w:customStyle="1" w:styleId="CommentSubjectChar">
    <w:name w:val="Comment Subject Char"/>
    <w:link w:val="CommentSubject"/>
    <w:uiPriority w:val="99"/>
    <w:semiHidden/>
    <w:rsid w:val="00145A40"/>
    <w:rPr>
      <w:rFonts w:ascii="Times New Roman" w:eastAsia="Calibri" w:hAnsi="Times New Roman" w:cs="Times New Roman"/>
      <w:b/>
      <w:bCs/>
      <w:sz w:val="20"/>
      <w:szCs w:val="20"/>
      <w:lang w:eastAsia="en-US"/>
    </w:rPr>
  </w:style>
  <w:style w:type="paragraph" w:styleId="ListParagraph">
    <w:name w:val="List Paragraph"/>
    <w:basedOn w:val="Normal"/>
    <w:uiPriority w:val="34"/>
    <w:qFormat/>
    <w:rsid w:val="006532A8"/>
    <w:pPr>
      <w:suppressAutoHyphens w:val="0"/>
      <w:kinsoku/>
      <w:overflowPunct/>
      <w:autoSpaceDE/>
      <w:autoSpaceDN/>
      <w:adjustRightInd/>
      <w:snapToGrid/>
      <w:spacing w:after="160" w:line="259" w:lineRule="auto"/>
      <w:ind w:left="720"/>
      <w:contextualSpacing/>
    </w:pPr>
    <w:rPr>
      <w:rFonts w:ascii="Calibri" w:hAnsi="Calibri" w:cs="Arial"/>
      <w:sz w:val="22"/>
      <w:szCs w:val="22"/>
      <w:lang w:val="en-US"/>
    </w:rPr>
  </w:style>
  <w:style w:type="character" w:customStyle="1" w:styleId="Aucun">
    <w:name w:val="Aucun"/>
    <w:rsid w:val="00D404D4"/>
  </w:style>
  <w:style w:type="paragraph" w:customStyle="1" w:styleId="Corps">
    <w:name w:val="Corps"/>
    <w:rsid w:val="00D404D4"/>
    <w:pPr>
      <w:pBdr>
        <w:top w:val="nil"/>
        <w:left w:val="nil"/>
        <w:bottom w:val="nil"/>
        <w:right w:val="nil"/>
        <w:between w:val="nil"/>
        <w:bar w:val="nil"/>
      </w:pBdr>
      <w:suppressAutoHyphens/>
      <w:spacing w:line="240" w:lineRule="atLeast"/>
    </w:pPr>
    <w:rPr>
      <w:rFonts w:ascii="Times New Roman" w:eastAsia="Times New Roman" w:hAnsi="Times New Roman" w:cs="Times New Roman"/>
      <w:color w:val="000000"/>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325672263">
      <w:bodyDiv w:val="1"/>
      <w:marLeft w:val="0"/>
      <w:marRight w:val="0"/>
      <w:marTop w:val="0"/>
      <w:marBottom w:val="0"/>
      <w:divBdr>
        <w:top w:val="none" w:sz="0" w:space="0" w:color="auto"/>
        <w:left w:val="none" w:sz="0" w:space="0" w:color="auto"/>
        <w:bottom w:val="none" w:sz="0" w:space="0" w:color="auto"/>
        <w:right w:val="none" w:sz="0" w:space="0" w:color="auto"/>
      </w:divBdr>
    </w:div>
    <w:div w:id="1231305674">
      <w:bodyDiv w:val="1"/>
      <w:marLeft w:val="0"/>
      <w:marRight w:val="0"/>
      <w:marTop w:val="0"/>
      <w:marBottom w:val="0"/>
      <w:divBdr>
        <w:top w:val="none" w:sz="0" w:space="0" w:color="auto"/>
        <w:left w:val="none" w:sz="0" w:space="0" w:color="auto"/>
        <w:bottom w:val="none" w:sz="0" w:space="0" w:color="auto"/>
        <w:right w:val="none" w:sz="0" w:space="0" w:color="auto"/>
      </w:divBdr>
      <w:divsChild>
        <w:div w:id="554658488">
          <w:marLeft w:val="0"/>
          <w:marRight w:val="0"/>
          <w:marTop w:val="0"/>
          <w:marBottom w:val="0"/>
          <w:divBdr>
            <w:top w:val="none" w:sz="0" w:space="0" w:color="auto"/>
            <w:left w:val="none" w:sz="0" w:space="0" w:color="auto"/>
            <w:bottom w:val="none" w:sz="0" w:space="0" w:color="auto"/>
            <w:right w:val="none" w:sz="0" w:space="0" w:color="auto"/>
          </w:divBdr>
          <w:divsChild>
            <w:div w:id="996373463">
              <w:marLeft w:val="0"/>
              <w:marRight w:val="0"/>
              <w:marTop w:val="0"/>
              <w:marBottom w:val="0"/>
              <w:divBdr>
                <w:top w:val="none" w:sz="0" w:space="0" w:color="auto"/>
                <w:left w:val="none" w:sz="0" w:space="0" w:color="auto"/>
                <w:bottom w:val="none" w:sz="0" w:space="0" w:color="auto"/>
                <w:right w:val="none" w:sz="0" w:space="0" w:color="auto"/>
              </w:divBdr>
              <w:divsChild>
                <w:div w:id="318005246">
                  <w:marLeft w:val="0"/>
                  <w:marRight w:val="0"/>
                  <w:marTop w:val="0"/>
                  <w:marBottom w:val="0"/>
                  <w:divBdr>
                    <w:top w:val="none" w:sz="0" w:space="0" w:color="auto"/>
                    <w:left w:val="none" w:sz="0" w:space="0" w:color="auto"/>
                    <w:bottom w:val="none" w:sz="0" w:space="0" w:color="auto"/>
                    <w:right w:val="none" w:sz="0" w:space="0" w:color="auto"/>
                  </w:divBdr>
                  <w:divsChild>
                    <w:div w:id="1105658013">
                      <w:marLeft w:val="0"/>
                      <w:marRight w:val="0"/>
                      <w:marTop w:val="0"/>
                      <w:marBottom w:val="0"/>
                      <w:divBdr>
                        <w:top w:val="none" w:sz="0" w:space="0" w:color="auto"/>
                        <w:left w:val="none" w:sz="0" w:space="0" w:color="auto"/>
                        <w:bottom w:val="none" w:sz="0" w:space="0" w:color="auto"/>
                        <w:right w:val="none" w:sz="0" w:space="0" w:color="auto"/>
                      </w:divBdr>
                      <w:divsChild>
                        <w:div w:id="10358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154597">
      <w:bodyDiv w:val="1"/>
      <w:marLeft w:val="0"/>
      <w:marRight w:val="0"/>
      <w:marTop w:val="0"/>
      <w:marBottom w:val="0"/>
      <w:divBdr>
        <w:top w:val="none" w:sz="0" w:space="0" w:color="auto"/>
        <w:left w:val="none" w:sz="0" w:space="0" w:color="auto"/>
        <w:bottom w:val="none" w:sz="0" w:space="0" w:color="auto"/>
        <w:right w:val="none" w:sz="0" w:space="0" w:color="auto"/>
      </w:divBdr>
      <w:divsChild>
        <w:div w:id="957833108">
          <w:marLeft w:val="0"/>
          <w:marRight w:val="0"/>
          <w:marTop w:val="0"/>
          <w:marBottom w:val="0"/>
          <w:divBdr>
            <w:top w:val="none" w:sz="0" w:space="0" w:color="auto"/>
            <w:left w:val="none" w:sz="0" w:space="0" w:color="auto"/>
            <w:bottom w:val="none" w:sz="0" w:space="0" w:color="auto"/>
            <w:right w:val="none" w:sz="0" w:space="0" w:color="auto"/>
          </w:divBdr>
          <w:divsChild>
            <w:div w:id="601376661">
              <w:marLeft w:val="0"/>
              <w:marRight w:val="0"/>
              <w:marTop w:val="0"/>
              <w:marBottom w:val="0"/>
              <w:divBdr>
                <w:top w:val="none" w:sz="0" w:space="0" w:color="auto"/>
                <w:left w:val="none" w:sz="0" w:space="0" w:color="auto"/>
                <w:bottom w:val="none" w:sz="0" w:space="0" w:color="auto"/>
                <w:right w:val="none" w:sz="0" w:space="0" w:color="auto"/>
              </w:divBdr>
              <w:divsChild>
                <w:div w:id="873732602">
                  <w:marLeft w:val="0"/>
                  <w:marRight w:val="0"/>
                  <w:marTop w:val="0"/>
                  <w:marBottom w:val="0"/>
                  <w:divBdr>
                    <w:top w:val="none" w:sz="0" w:space="0" w:color="auto"/>
                    <w:left w:val="none" w:sz="0" w:space="0" w:color="auto"/>
                    <w:bottom w:val="none" w:sz="0" w:space="0" w:color="auto"/>
                    <w:right w:val="none" w:sz="0" w:space="0" w:color="auto"/>
                  </w:divBdr>
                  <w:divsChild>
                    <w:div w:id="1552885631">
                      <w:marLeft w:val="0"/>
                      <w:marRight w:val="0"/>
                      <w:marTop w:val="0"/>
                      <w:marBottom w:val="0"/>
                      <w:divBdr>
                        <w:top w:val="none" w:sz="0" w:space="0" w:color="auto"/>
                        <w:left w:val="none" w:sz="0" w:space="0" w:color="auto"/>
                        <w:bottom w:val="none" w:sz="0" w:space="0" w:color="auto"/>
                        <w:right w:val="none" w:sz="0" w:space="0" w:color="auto"/>
                      </w:divBdr>
                      <w:divsChild>
                        <w:div w:id="11853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54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5CEFDD-D253-4B5E-AFED-B36C794E53EC}">
  <ds:schemaRefs>
    <ds:schemaRef ds:uri="http://schemas.openxmlformats.org/officeDocument/2006/bibliography"/>
  </ds:schemaRefs>
</ds:datastoreItem>
</file>

<file path=customXml/itemProps2.xml><?xml version="1.0" encoding="utf-8"?>
<ds:datastoreItem xmlns:ds="http://schemas.openxmlformats.org/officeDocument/2006/customXml" ds:itemID="{09036D1F-FC23-4E78-8F0C-FC2543925530}"/>
</file>

<file path=customXml/itemProps3.xml><?xml version="1.0" encoding="utf-8"?>
<ds:datastoreItem xmlns:ds="http://schemas.openxmlformats.org/officeDocument/2006/customXml" ds:itemID="{BA4C03F2-7E88-4D62-9AE5-0677F06B8C6A}"/>
</file>

<file path=customXml/itemProps4.xml><?xml version="1.0" encoding="utf-8"?>
<ds:datastoreItem xmlns:ds="http://schemas.openxmlformats.org/officeDocument/2006/customXml" ds:itemID="{8AB3B9A7-13F8-4ACF-964F-3E8012037584}"/>
</file>

<file path=docProps/app.xml><?xml version="1.0" encoding="utf-8"?>
<Properties xmlns="http://schemas.openxmlformats.org/officeDocument/2006/extended-properties" xmlns:vt="http://schemas.openxmlformats.org/officeDocument/2006/docPropsVTypes">
  <Template>A.dotm</Template>
  <TotalTime>0</TotalTime>
  <Pages>16</Pages>
  <Words>8182</Words>
  <Characters>46643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1700526</vt:lpstr>
    </vt:vector>
  </TitlesOfParts>
  <Company>DCM</Company>
  <LinksUpToDate>false</LinksUpToDate>
  <CharactersWithSpaces>54716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United Nations High Commissioner for Human Rights on the situation of human rights in Libya, including on the effectiveness of technical assistance and capacity-building measures received by the Government of Libya</dc:title>
  <dc:subject>A/HRC/34/42</dc:subject>
  <dc:creator>DI LAURO</dc:creator>
  <cp:lastModifiedBy>LANZ Veronique</cp:lastModifiedBy>
  <cp:revision>2</cp:revision>
  <cp:lastPrinted>2018-01-23T13:53:00Z</cp:lastPrinted>
  <dcterms:created xsi:type="dcterms:W3CDTF">2018-03-12T12:51:00Z</dcterms:created>
  <dcterms:modified xsi:type="dcterms:W3CDTF">2018-03-12T12:51:00Z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