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575B" w:rsidRDefault="00A256DB" w:rsidP="0057603F">
      <w:pPr>
        <w:spacing w:after="120" w:line="240" w:lineRule="auto"/>
        <w:ind w:left="-709" w:right="-896"/>
        <w:jc w:val="center"/>
        <w:rPr>
          <w:rFonts w:cs="Arial"/>
          <w:b/>
          <w:sz w:val="24"/>
          <w:szCs w:val="24"/>
        </w:rPr>
      </w:pPr>
      <w:proofErr w:type="gramStart"/>
      <w:r>
        <w:rPr>
          <w:rFonts w:cs="Arial"/>
          <w:b/>
          <w:sz w:val="24"/>
          <w:szCs w:val="24"/>
        </w:rPr>
        <w:t>3</w:t>
      </w:r>
      <w:r w:rsidR="0044451A">
        <w:rPr>
          <w:rFonts w:cs="Arial"/>
          <w:b/>
          <w:sz w:val="24"/>
          <w:szCs w:val="24"/>
        </w:rPr>
        <w:t>7</w:t>
      </w:r>
      <w:r w:rsidRPr="00A256DB">
        <w:rPr>
          <w:rFonts w:cs="Arial"/>
          <w:b/>
          <w:sz w:val="24"/>
          <w:szCs w:val="24"/>
          <w:vertAlign w:val="superscript"/>
        </w:rPr>
        <w:t>th</w:t>
      </w:r>
      <w:proofErr w:type="gramEnd"/>
      <w:r w:rsidR="007A2709" w:rsidRPr="00283924">
        <w:rPr>
          <w:rFonts w:cs="Arial"/>
          <w:b/>
          <w:sz w:val="24"/>
          <w:szCs w:val="24"/>
        </w:rPr>
        <w:t xml:space="preserve"> </w:t>
      </w:r>
      <w:r w:rsidR="004450A8" w:rsidRPr="00283924">
        <w:rPr>
          <w:rFonts w:cs="Arial"/>
          <w:b/>
          <w:sz w:val="24"/>
          <w:szCs w:val="24"/>
        </w:rPr>
        <w:t>s</w:t>
      </w:r>
      <w:r w:rsidR="007A2709" w:rsidRPr="00283924">
        <w:rPr>
          <w:rFonts w:cs="Arial"/>
          <w:b/>
          <w:sz w:val="24"/>
          <w:szCs w:val="24"/>
        </w:rPr>
        <w:t>ession of the Human Rights Council</w:t>
      </w:r>
    </w:p>
    <w:p w:rsidR="00FE39E3" w:rsidRPr="00FE39E3" w:rsidRDefault="009C5A79" w:rsidP="00FE39E3">
      <w:pPr>
        <w:spacing w:before="240" w:after="120" w:line="240" w:lineRule="auto"/>
        <w:ind w:left="-709" w:right="-896"/>
        <w:jc w:val="center"/>
        <w:rPr>
          <w:rFonts w:cs="Arial"/>
          <w:b/>
          <w:bCs/>
          <w:sz w:val="28"/>
          <w:szCs w:val="28"/>
        </w:rPr>
      </w:pPr>
      <w:r>
        <w:rPr>
          <w:rFonts w:cs="Arial"/>
          <w:b/>
          <w:bCs/>
          <w:sz w:val="32"/>
          <w:szCs w:val="32"/>
        </w:rPr>
        <w:t>A</w:t>
      </w:r>
      <w:r w:rsidRPr="00D51B4D">
        <w:rPr>
          <w:rFonts w:cs="Arial"/>
          <w:b/>
          <w:bCs/>
          <w:sz w:val="32"/>
          <w:szCs w:val="32"/>
        </w:rPr>
        <w:t>nnual interactive debate on the rights of persons with disabilities</w:t>
      </w:r>
      <w:r w:rsidR="00FE39E3" w:rsidRPr="00D51B4D">
        <w:rPr>
          <w:rFonts w:cs="Arial"/>
          <w:b/>
          <w:bCs/>
          <w:sz w:val="32"/>
          <w:szCs w:val="32"/>
        </w:rPr>
        <w:br/>
      </w:r>
      <w:r w:rsidR="00FE39E3" w:rsidRPr="00862E42">
        <w:rPr>
          <w:rFonts w:cs="Arial"/>
          <w:b/>
          <w:bCs/>
          <w:sz w:val="16"/>
          <w:szCs w:val="16"/>
        </w:rPr>
        <w:br/>
      </w:r>
      <w:r w:rsidR="00EF27C0">
        <w:rPr>
          <w:rFonts w:cs="Arial"/>
          <w:b/>
          <w:bCs/>
          <w:sz w:val="28"/>
          <w:szCs w:val="28"/>
        </w:rPr>
        <w:t xml:space="preserve">Theme: </w:t>
      </w:r>
      <w:r w:rsidR="00A256DB">
        <w:rPr>
          <w:rFonts w:cs="Arial"/>
          <w:b/>
          <w:bCs/>
          <w:sz w:val="28"/>
          <w:szCs w:val="28"/>
        </w:rPr>
        <w:t xml:space="preserve">Article </w:t>
      </w:r>
      <w:r w:rsidR="0044451A">
        <w:rPr>
          <w:rFonts w:cs="Arial"/>
          <w:b/>
          <w:bCs/>
          <w:sz w:val="28"/>
          <w:szCs w:val="28"/>
        </w:rPr>
        <w:t>13</w:t>
      </w:r>
      <w:r w:rsidR="00FE39E3" w:rsidRPr="00FE39E3">
        <w:rPr>
          <w:rFonts w:cs="Arial"/>
          <w:b/>
          <w:bCs/>
          <w:sz w:val="28"/>
          <w:szCs w:val="28"/>
        </w:rPr>
        <w:t xml:space="preserve"> of the Convention on the Rights of Persons with Disabilities </w:t>
      </w:r>
      <w:r w:rsidR="001B220F">
        <w:rPr>
          <w:rFonts w:cs="Arial"/>
          <w:b/>
          <w:bCs/>
          <w:sz w:val="28"/>
          <w:szCs w:val="28"/>
        </w:rPr>
        <w:br/>
      </w:r>
      <w:r w:rsidR="00FE39E3" w:rsidRPr="00FE39E3">
        <w:rPr>
          <w:rFonts w:cs="Arial"/>
          <w:b/>
          <w:bCs/>
          <w:sz w:val="28"/>
          <w:szCs w:val="28"/>
        </w:rPr>
        <w:t xml:space="preserve">on </w:t>
      </w:r>
      <w:r w:rsidR="0044451A">
        <w:rPr>
          <w:rFonts w:cs="Arial"/>
          <w:b/>
          <w:bCs/>
          <w:sz w:val="28"/>
          <w:szCs w:val="28"/>
        </w:rPr>
        <w:t>access to justice</w:t>
      </w:r>
    </w:p>
    <w:p w:rsidR="0057603F" w:rsidRPr="00700183" w:rsidRDefault="00B4016A" w:rsidP="0057603F">
      <w:pPr>
        <w:spacing w:before="240" w:after="120" w:line="240" w:lineRule="auto"/>
        <w:ind w:left="-709" w:right="-896"/>
        <w:jc w:val="center"/>
        <w:rPr>
          <w:rFonts w:cs="Arial"/>
          <w:i/>
          <w:sz w:val="16"/>
          <w:szCs w:val="16"/>
        </w:rPr>
      </w:pPr>
      <w:r>
        <w:rPr>
          <w:rFonts w:cs="Arial"/>
          <w:i/>
          <w:sz w:val="24"/>
          <w:szCs w:val="24"/>
        </w:rPr>
        <w:t>C</w:t>
      </w:r>
      <w:r w:rsidR="00C85246" w:rsidRPr="00283924">
        <w:rPr>
          <w:rFonts w:cs="Arial"/>
          <w:i/>
          <w:sz w:val="24"/>
          <w:szCs w:val="24"/>
        </w:rPr>
        <w:t xml:space="preserve">oncept </w:t>
      </w:r>
      <w:r w:rsidR="004450A8" w:rsidRPr="00283924">
        <w:rPr>
          <w:rFonts w:cs="Arial"/>
          <w:i/>
          <w:sz w:val="24"/>
          <w:szCs w:val="24"/>
        </w:rPr>
        <w:t>n</w:t>
      </w:r>
      <w:r w:rsidR="00C85246" w:rsidRPr="00283924">
        <w:rPr>
          <w:rFonts w:cs="Arial"/>
          <w:i/>
          <w:sz w:val="24"/>
          <w:szCs w:val="24"/>
        </w:rPr>
        <w:t>ote</w:t>
      </w:r>
      <w:r w:rsidR="00FF74C5" w:rsidRPr="00283924">
        <w:rPr>
          <w:rFonts w:cs="Arial"/>
          <w:i/>
          <w:sz w:val="24"/>
          <w:szCs w:val="24"/>
        </w:rPr>
        <w:t xml:space="preserve"> (as of </w:t>
      </w:r>
      <w:r w:rsidR="0007720A">
        <w:rPr>
          <w:rFonts w:cs="Arial"/>
          <w:i/>
          <w:sz w:val="24"/>
          <w:szCs w:val="24"/>
        </w:rPr>
        <w:t>2</w:t>
      </w:r>
      <w:r w:rsidR="00D507CE">
        <w:rPr>
          <w:rFonts w:cs="Arial"/>
          <w:i/>
          <w:sz w:val="24"/>
          <w:szCs w:val="24"/>
        </w:rPr>
        <w:t>6</w:t>
      </w:r>
      <w:r w:rsidR="00084ADC">
        <w:rPr>
          <w:rFonts w:cs="Arial"/>
          <w:i/>
          <w:sz w:val="24"/>
          <w:szCs w:val="24"/>
        </w:rPr>
        <w:t xml:space="preserve"> February</w:t>
      </w:r>
      <w:r w:rsidR="00FE39E3">
        <w:rPr>
          <w:rFonts w:cs="Arial"/>
          <w:i/>
          <w:sz w:val="24"/>
          <w:szCs w:val="24"/>
        </w:rPr>
        <w:t xml:space="preserve"> 201</w:t>
      </w:r>
      <w:r w:rsidR="0044451A">
        <w:rPr>
          <w:rFonts w:cs="Arial"/>
          <w:i/>
          <w:sz w:val="24"/>
          <w:szCs w:val="24"/>
        </w:rPr>
        <w:t>8</w:t>
      </w:r>
      <w:r w:rsidR="00FF74C5" w:rsidRPr="00283924">
        <w:rPr>
          <w:rFonts w:cs="Arial"/>
          <w:i/>
          <w:sz w:val="24"/>
          <w:szCs w:val="24"/>
        </w:rPr>
        <w:t>)</w:t>
      </w:r>
      <w:r w:rsidR="0057603F">
        <w:rPr>
          <w:rFonts w:cs="Arial"/>
          <w:i/>
          <w:sz w:val="24"/>
          <w:szCs w:val="24"/>
        </w:rPr>
        <w:br/>
      </w:r>
    </w:p>
    <w:tbl>
      <w:tblPr>
        <w:tblW w:w="10206" w:type="dxa"/>
        <w:tblInd w:w="-459" w:type="dxa"/>
        <w:tblLook w:val="04A0" w:firstRow="1" w:lastRow="0" w:firstColumn="1" w:lastColumn="0" w:noHBand="0" w:noVBand="1"/>
      </w:tblPr>
      <w:tblGrid>
        <w:gridCol w:w="1450"/>
        <w:gridCol w:w="8756"/>
      </w:tblGrid>
      <w:tr w:rsidR="002F414D" w:rsidRPr="00283924" w:rsidTr="00304796">
        <w:tc>
          <w:tcPr>
            <w:tcW w:w="1450" w:type="dxa"/>
            <w:shd w:val="clear" w:color="auto" w:fill="auto"/>
          </w:tcPr>
          <w:p w:rsidR="002F414D" w:rsidRPr="00283924" w:rsidRDefault="002F414D" w:rsidP="004450A8">
            <w:pPr>
              <w:spacing w:after="0" w:line="240" w:lineRule="auto"/>
              <w:rPr>
                <w:rFonts w:cs="Arial"/>
                <w:b/>
              </w:rPr>
            </w:pPr>
            <w:r w:rsidRPr="00283924">
              <w:rPr>
                <w:rFonts w:cs="Arial"/>
                <w:b/>
              </w:rPr>
              <w:t xml:space="preserve">Date and </w:t>
            </w:r>
            <w:r w:rsidR="004450A8" w:rsidRPr="00283924">
              <w:rPr>
                <w:rFonts w:cs="Arial"/>
                <w:b/>
              </w:rPr>
              <w:t>v</w:t>
            </w:r>
            <w:r w:rsidRPr="00283924">
              <w:rPr>
                <w:rFonts w:cs="Arial"/>
                <w:b/>
              </w:rPr>
              <w:t>enue:</w:t>
            </w:r>
          </w:p>
        </w:tc>
        <w:tc>
          <w:tcPr>
            <w:tcW w:w="8756" w:type="dxa"/>
            <w:shd w:val="clear" w:color="auto" w:fill="auto"/>
          </w:tcPr>
          <w:p w:rsidR="002F414D" w:rsidRPr="00283924" w:rsidRDefault="0044451A" w:rsidP="004450A8">
            <w:pPr>
              <w:spacing w:after="0" w:line="240" w:lineRule="auto"/>
              <w:rPr>
                <w:rFonts w:cs="Arial"/>
                <w:b/>
              </w:rPr>
            </w:pPr>
            <w:r>
              <w:rPr>
                <w:rFonts w:cs="Arial"/>
                <w:b/>
              </w:rPr>
              <w:t>Wednesday</w:t>
            </w:r>
            <w:r w:rsidR="00BD71E6">
              <w:rPr>
                <w:rFonts w:cs="Arial"/>
                <w:b/>
              </w:rPr>
              <w:t xml:space="preserve">, </w:t>
            </w:r>
            <w:r>
              <w:rPr>
                <w:rFonts w:cs="Arial"/>
                <w:b/>
              </w:rPr>
              <w:t>7</w:t>
            </w:r>
            <w:r w:rsidR="002F414D" w:rsidRPr="00283924">
              <w:rPr>
                <w:rFonts w:cs="Arial"/>
                <w:b/>
              </w:rPr>
              <w:t xml:space="preserve"> March 2016, </w:t>
            </w:r>
            <w:r w:rsidR="0007720A">
              <w:rPr>
                <w:rFonts w:cs="Arial"/>
                <w:b/>
              </w:rPr>
              <w:t xml:space="preserve">4 - 6 </w:t>
            </w:r>
            <w:r w:rsidR="0007720A" w:rsidRPr="0007720A">
              <w:rPr>
                <w:rFonts w:cs="Arial"/>
                <w:b/>
              </w:rPr>
              <w:t xml:space="preserve">p.m., </w:t>
            </w:r>
            <w:r w:rsidR="002F414D" w:rsidRPr="0007720A">
              <w:rPr>
                <w:rFonts w:cs="Arial"/>
                <w:b/>
              </w:rPr>
              <w:t xml:space="preserve">Palais des Nations, Room </w:t>
            </w:r>
            <w:r w:rsidR="004450A8" w:rsidRPr="0007720A">
              <w:rPr>
                <w:rFonts w:cs="Arial"/>
                <w:b/>
              </w:rPr>
              <w:t>XX</w:t>
            </w:r>
            <w:r w:rsidR="002F414D" w:rsidRPr="0007720A">
              <w:rPr>
                <w:rFonts w:cs="Arial"/>
                <w:b/>
              </w:rPr>
              <w:t>, Geneva</w:t>
            </w:r>
            <w:r w:rsidR="002F414D" w:rsidRPr="00283924">
              <w:rPr>
                <w:rFonts w:cs="Arial"/>
                <w:b/>
              </w:rPr>
              <w:t xml:space="preserve"> </w:t>
            </w:r>
          </w:p>
          <w:p w:rsidR="002F414D" w:rsidRPr="00283924" w:rsidRDefault="002F414D" w:rsidP="00DB08FA">
            <w:pPr>
              <w:spacing w:after="120" w:line="240" w:lineRule="auto"/>
              <w:rPr>
                <w:rFonts w:cs="Arial"/>
                <w:i/>
              </w:rPr>
            </w:pPr>
            <w:r w:rsidRPr="00283924">
              <w:rPr>
                <w:rFonts w:cs="Arial"/>
                <w:i/>
              </w:rPr>
              <w:t xml:space="preserve">(will be broadcast live and archived on </w:t>
            </w:r>
            <w:hyperlink r:id="rId8" w:history="1">
              <w:r w:rsidR="004450A8" w:rsidRPr="00283924">
                <w:rPr>
                  <w:rStyle w:val="Hyperlink"/>
                  <w:rFonts w:cs="Arial"/>
                  <w:i/>
                </w:rPr>
                <w:t>http://webtv.un.org</w:t>
              </w:r>
            </w:hyperlink>
            <w:r w:rsidRPr="00283924">
              <w:rPr>
                <w:rFonts w:cs="Arial"/>
                <w:i/>
              </w:rPr>
              <w:t>)</w:t>
            </w:r>
          </w:p>
        </w:tc>
      </w:tr>
      <w:tr w:rsidR="002F414D" w:rsidRPr="00283924" w:rsidTr="00304796">
        <w:tc>
          <w:tcPr>
            <w:tcW w:w="1450" w:type="dxa"/>
            <w:shd w:val="clear" w:color="auto" w:fill="auto"/>
          </w:tcPr>
          <w:p w:rsidR="002F414D" w:rsidRPr="00283924" w:rsidRDefault="002F414D" w:rsidP="00304796">
            <w:pPr>
              <w:spacing w:after="0" w:line="240" w:lineRule="auto"/>
              <w:rPr>
                <w:rFonts w:cs="Arial"/>
                <w:b/>
              </w:rPr>
            </w:pPr>
            <w:r w:rsidRPr="00283924">
              <w:rPr>
                <w:rFonts w:cs="Arial"/>
                <w:b/>
              </w:rPr>
              <w:t>Objectives:</w:t>
            </w:r>
          </w:p>
        </w:tc>
        <w:tc>
          <w:tcPr>
            <w:tcW w:w="8756" w:type="dxa"/>
            <w:shd w:val="clear" w:color="auto" w:fill="auto"/>
          </w:tcPr>
          <w:p w:rsidR="002F414D" w:rsidRPr="00283924" w:rsidRDefault="002F414D" w:rsidP="00DB08FA">
            <w:pPr>
              <w:spacing w:after="120" w:line="240" w:lineRule="auto"/>
              <w:rPr>
                <w:rFonts w:cs="Arial"/>
              </w:rPr>
            </w:pPr>
            <w:r w:rsidRPr="00283924">
              <w:rPr>
                <w:rFonts w:cs="Arial"/>
              </w:rPr>
              <w:t>Th</w:t>
            </w:r>
            <w:r w:rsidR="00C34D82" w:rsidRPr="00283924">
              <w:rPr>
                <w:rFonts w:cs="Arial"/>
              </w:rPr>
              <w:t>is</w:t>
            </w:r>
            <w:r w:rsidRPr="00283924">
              <w:rPr>
                <w:rFonts w:cs="Arial"/>
              </w:rPr>
              <w:t xml:space="preserve"> panel discussion will </w:t>
            </w:r>
            <w:r w:rsidR="00C34D82" w:rsidRPr="00283924">
              <w:rPr>
                <w:rFonts w:cs="Arial"/>
              </w:rPr>
              <w:t>address</w:t>
            </w:r>
            <w:r w:rsidRPr="00283924">
              <w:rPr>
                <w:rFonts w:cs="Arial"/>
              </w:rPr>
              <w:t xml:space="preserve"> the </w:t>
            </w:r>
            <w:r w:rsidR="00FE39E3">
              <w:rPr>
                <w:rFonts w:cs="Arial"/>
              </w:rPr>
              <w:t xml:space="preserve">human rights of persons with disabilities </w:t>
            </w:r>
            <w:r w:rsidR="00A256DB">
              <w:rPr>
                <w:rFonts w:cs="Arial"/>
              </w:rPr>
              <w:t xml:space="preserve">with regard to the standards set in article </w:t>
            </w:r>
            <w:r w:rsidR="0044451A">
              <w:rPr>
                <w:rFonts w:cs="Arial"/>
              </w:rPr>
              <w:t>13</w:t>
            </w:r>
            <w:r w:rsidR="00A256DB">
              <w:rPr>
                <w:rFonts w:cs="Arial"/>
              </w:rPr>
              <w:t xml:space="preserve"> of the Convention on the Rights of Persons with Disabilities on </w:t>
            </w:r>
            <w:r w:rsidR="0044451A">
              <w:rPr>
                <w:rFonts w:cs="Arial"/>
              </w:rPr>
              <w:t>access to justice</w:t>
            </w:r>
            <w:r w:rsidR="00A256DB">
              <w:rPr>
                <w:rFonts w:cs="Arial"/>
              </w:rPr>
              <w:t xml:space="preserve"> </w:t>
            </w:r>
            <w:r w:rsidR="00FE39E3">
              <w:rPr>
                <w:rFonts w:cs="Arial"/>
              </w:rPr>
              <w:t>and the policies and practices developed under its guidance</w:t>
            </w:r>
            <w:r w:rsidRPr="00283924">
              <w:rPr>
                <w:rFonts w:cs="Arial"/>
              </w:rPr>
              <w:t xml:space="preserve">. The </w:t>
            </w:r>
            <w:r w:rsidR="00C34D82" w:rsidRPr="00283924">
              <w:rPr>
                <w:rFonts w:cs="Arial"/>
                <w:b/>
              </w:rPr>
              <w:t xml:space="preserve">objectives </w:t>
            </w:r>
            <w:r w:rsidR="00C34D82" w:rsidRPr="00187036">
              <w:rPr>
                <w:rFonts w:cs="Arial"/>
              </w:rPr>
              <w:t>are</w:t>
            </w:r>
            <w:r w:rsidRPr="00187036">
              <w:rPr>
                <w:rFonts w:cs="Arial"/>
              </w:rPr>
              <w:t>:</w:t>
            </w:r>
            <w:r w:rsidRPr="00283924">
              <w:rPr>
                <w:rFonts w:cs="Arial"/>
              </w:rPr>
              <w:t xml:space="preserve"> </w:t>
            </w:r>
          </w:p>
          <w:p w:rsidR="00FE39E3" w:rsidRPr="00FE39E3" w:rsidRDefault="00EF27C0" w:rsidP="006F76CB">
            <w:pPr>
              <w:numPr>
                <w:ilvl w:val="0"/>
                <w:numId w:val="6"/>
              </w:numPr>
              <w:spacing w:after="60" w:line="240" w:lineRule="auto"/>
              <w:ind w:hanging="357"/>
              <w:rPr>
                <w:rFonts w:cs="Arial"/>
                <w:b/>
              </w:rPr>
            </w:pPr>
            <w:r>
              <w:rPr>
                <w:rFonts w:cs="Arial"/>
                <w:b/>
              </w:rPr>
              <w:t>To s</w:t>
            </w:r>
            <w:r w:rsidR="00FE39E3" w:rsidRPr="00FE39E3">
              <w:rPr>
                <w:rFonts w:cs="Arial"/>
                <w:b/>
              </w:rPr>
              <w:t xml:space="preserve">hare experiences, lessons learned and good practices </w:t>
            </w:r>
            <w:r w:rsidR="00FE39E3" w:rsidRPr="00FE39E3">
              <w:rPr>
                <w:rFonts w:cs="Arial"/>
              </w:rPr>
              <w:t xml:space="preserve">in the implementation of </w:t>
            </w:r>
            <w:r w:rsidR="000C6EBE">
              <w:rPr>
                <w:rFonts w:cs="Arial"/>
              </w:rPr>
              <w:t>a</w:t>
            </w:r>
            <w:r w:rsidR="00A256DB">
              <w:rPr>
                <w:rFonts w:cs="Arial"/>
              </w:rPr>
              <w:t xml:space="preserve">rticle </w:t>
            </w:r>
            <w:r w:rsidR="0044451A">
              <w:rPr>
                <w:rFonts w:cs="Arial"/>
              </w:rPr>
              <w:t>13</w:t>
            </w:r>
            <w:r w:rsidR="00FE39E3" w:rsidRPr="00FE39E3">
              <w:rPr>
                <w:rFonts w:cs="Arial"/>
              </w:rPr>
              <w:t xml:space="preserve"> of the Convention on the Rights of Persons with Disabilities (CRPD) on </w:t>
            </w:r>
            <w:r w:rsidR="0044451A">
              <w:rPr>
                <w:rFonts w:cs="Arial"/>
              </w:rPr>
              <w:t>access to justice</w:t>
            </w:r>
            <w:r w:rsidR="00FE39E3" w:rsidRPr="00FE39E3">
              <w:rPr>
                <w:rFonts w:cs="Arial"/>
              </w:rPr>
              <w:t>. Two levels of implementation will be looked at:</w:t>
            </w:r>
          </w:p>
          <w:p w:rsidR="00FE39E3" w:rsidRPr="00FE39E3" w:rsidRDefault="00FE39E3" w:rsidP="006F76CB">
            <w:pPr>
              <w:numPr>
                <w:ilvl w:val="1"/>
                <w:numId w:val="6"/>
              </w:numPr>
              <w:spacing w:after="60" w:line="240" w:lineRule="auto"/>
              <w:ind w:hanging="357"/>
              <w:rPr>
                <w:rFonts w:cs="Arial"/>
                <w:b/>
              </w:rPr>
            </w:pPr>
            <w:r w:rsidRPr="00FE39E3">
              <w:rPr>
                <w:rFonts w:cs="Arial"/>
                <w:b/>
              </w:rPr>
              <w:t>Development of international standards and national level laws and policies</w:t>
            </w:r>
            <w:r w:rsidRPr="00FE39E3">
              <w:rPr>
                <w:rFonts w:cs="Arial"/>
              </w:rPr>
              <w:t xml:space="preserve"> for the </w:t>
            </w:r>
            <w:r w:rsidR="00A256DB">
              <w:rPr>
                <w:rFonts w:cs="Arial"/>
              </w:rPr>
              <w:t>realization of substantive equality for persons with disabilities</w:t>
            </w:r>
            <w:r w:rsidRPr="00FE39E3">
              <w:rPr>
                <w:rFonts w:cs="Arial"/>
              </w:rPr>
              <w:t xml:space="preserve">, and </w:t>
            </w:r>
          </w:p>
          <w:p w:rsidR="00FE39E3" w:rsidRPr="00FE39E3" w:rsidRDefault="00FE39E3" w:rsidP="006F76CB">
            <w:pPr>
              <w:numPr>
                <w:ilvl w:val="1"/>
                <w:numId w:val="6"/>
              </w:numPr>
              <w:spacing w:after="60" w:line="240" w:lineRule="auto"/>
              <w:ind w:hanging="357"/>
              <w:rPr>
                <w:rFonts w:cs="Arial"/>
                <w:b/>
              </w:rPr>
            </w:pPr>
            <w:r w:rsidRPr="00FE39E3">
              <w:rPr>
                <w:rFonts w:cs="Arial"/>
                <w:b/>
              </w:rPr>
              <w:t>National level practices and experiences.</w:t>
            </w:r>
          </w:p>
          <w:p w:rsidR="00FE39E3" w:rsidRDefault="00EF27C0" w:rsidP="006F76CB">
            <w:pPr>
              <w:numPr>
                <w:ilvl w:val="0"/>
                <w:numId w:val="6"/>
              </w:numPr>
              <w:spacing w:after="60" w:line="240" w:lineRule="auto"/>
              <w:ind w:hanging="357"/>
              <w:rPr>
                <w:rFonts w:cs="Arial"/>
              </w:rPr>
            </w:pPr>
            <w:r>
              <w:rPr>
                <w:rFonts w:cs="Arial"/>
                <w:b/>
              </w:rPr>
              <w:t>To d</w:t>
            </w:r>
            <w:r w:rsidR="00FE39E3" w:rsidRPr="00FE39E3">
              <w:rPr>
                <w:rFonts w:cs="Arial"/>
                <w:b/>
              </w:rPr>
              <w:t xml:space="preserve">iscuss the main barriers </w:t>
            </w:r>
            <w:r w:rsidR="00FE39E3" w:rsidRPr="00FE39E3">
              <w:rPr>
                <w:rFonts w:cs="Arial"/>
              </w:rPr>
              <w:t xml:space="preserve">that persons with disabilities face in the enjoyment of their human rights </w:t>
            </w:r>
            <w:r w:rsidR="00A256DB">
              <w:rPr>
                <w:rFonts w:cs="Arial"/>
              </w:rPr>
              <w:t>in order to a</w:t>
            </w:r>
            <w:r w:rsidR="0044451A">
              <w:rPr>
                <w:rFonts w:cs="Arial"/>
              </w:rPr>
              <w:t>ctively participate as parties and as agents of justice</w:t>
            </w:r>
            <w:r w:rsidR="00A256DB">
              <w:rPr>
                <w:rFonts w:cs="Arial"/>
              </w:rPr>
              <w:t xml:space="preserve">, </w:t>
            </w:r>
            <w:r w:rsidR="0044451A">
              <w:rPr>
                <w:rFonts w:cs="Arial"/>
              </w:rPr>
              <w:t xml:space="preserve">at all stages of judicial and quasi-judicial processes, </w:t>
            </w:r>
            <w:r w:rsidR="00A256DB">
              <w:rPr>
                <w:rFonts w:cs="Arial"/>
              </w:rPr>
              <w:t xml:space="preserve">including </w:t>
            </w:r>
            <w:r w:rsidR="0044451A">
              <w:rPr>
                <w:rFonts w:cs="Arial"/>
              </w:rPr>
              <w:t xml:space="preserve">investigation, trial, </w:t>
            </w:r>
            <w:r w:rsidR="00F8774A">
              <w:rPr>
                <w:rFonts w:cs="Arial"/>
              </w:rPr>
              <w:t xml:space="preserve">and ensuring effective </w:t>
            </w:r>
            <w:r w:rsidR="0044451A">
              <w:rPr>
                <w:rFonts w:cs="Arial"/>
              </w:rPr>
              <w:t>remedies and penalties</w:t>
            </w:r>
            <w:r w:rsidR="00FE39E3" w:rsidRPr="00FE39E3">
              <w:rPr>
                <w:rFonts w:cs="Arial"/>
              </w:rPr>
              <w:t>.</w:t>
            </w:r>
          </w:p>
          <w:p w:rsidR="00FE39E3" w:rsidRPr="00FE39E3" w:rsidRDefault="00EF27C0" w:rsidP="006F76CB">
            <w:pPr>
              <w:numPr>
                <w:ilvl w:val="0"/>
                <w:numId w:val="6"/>
              </w:numPr>
              <w:spacing w:after="60" w:line="240" w:lineRule="auto"/>
              <w:ind w:hanging="357"/>
              <w:rPr>
                <w:rFonts w:cs="Arial"/>
              </w:rPr>
            </w:pPr>
            <w:r>
              <w:rPr>
                <w:rFonts w:cs="Arial"/>
                <w:b/>
              </w:rPr>
              <w:t>To p</w:t>
            </w:r>
            <w:r w:rsidR="00FE39E3" w:rsidRPr="00FE39E3">
              <w:rPr>
                <w:rFonts w:cs="Arial"/>
                <w:b/>
              </w:rPr>
              <w:t>ropose</w:t>
            </w:r>
            <w:r w:rsidR="00FE39E3" w:rsidRPr="00FE39E3">
              <w:rPr>
                <w:rFonts w:cs="Arial"/>
              </w:rPr>
              <w:t xml:space="preserve"> strategies (</w:t>
            </w:r>
            <w:proofErr w:type="spellStart"/>
            <w:r w:rsidR="00FE39E3" w:rsidRPr="00FE39E3">
              <w:rPr>
                <w:rFonts w:cs="Arial"/>
              </w:rPr>
              <w:t>i</w:t>
            </w:r>
            <w:proofErr w:type="spellEnd"/>
            <w:r w:rsidR="00FE39E3" w:rsidRPr="00FE39E3">
              <w:rPr>
                <w:rFonts w:cs="Arial"/>
              </w:rPr>
              <w:t xml:space="preserve">) to improve international standards and their effective implementation at national level and (ii) to align actions undertaken under international </w:t>
            </w:r>
            <w:r w:rsidR="00A256DB">
              <w:rPr>
                <w:rFonts w:cs="Arial"/>
              </w:rPr>
              <w:t>law to improve national standards</w:t>
            </w:r>
            <w:r w:rsidR="00FE39E3" w:rsidRPr="00FE39E3">
              <w:rPr>
                <w:rFonts w:cs="Arial"/>
              </w:rPr>
              <w:t>.</w:t>
            </w:r>
          </w:p>
          <w:p w:rsidR="00FE39E3" w:rsidRPr="00FE39E3" w:rsidRDefault="00EF27C0" w:rsidP="006F76CB">
            <w:pPr>
              <w:numPr>
                <w:ilvl w:val="0"/>
                <w:numId w:val="6"/>
              </w:numPr>
              <w:spacing w:after="60" w:line="240" w:lineRule="auto"/>
              <w:ind w:hanging="357"/>
              <w:rPr>
                <w:rFonts w:cs="Arial"/>
              </w:rPr>
            </w:pPr>
            <w:r>
              <w:rPr>
                <w:rFonts w:cs="Arial"/>
                <w:b/>
              </w:rPr>
              <w:t>To d</w:t>
            </w:r>
            <w:r w:rsidR="00FE39E3" w:rsidRPr="00FE39E3">
              <w:rPr>
                <w:rFonts w:cs="Arial"/>
                <w:b/>
              </w:rPr>
              <w:t>iscuss</w:t>
            </w:r>
            <w:r w:rsidR="00FE39E3" w:rsidRPr="00FE39E3">
              <w:rPr>
                <w:rFonts w:cs="Arial"/>
              </w:rPr>
              <w:t xml:space="preserve"> the role of international cooperation in ensuring the implementation of the human rights based-approach to disability in </w:t>
            </w:r>
            <w:r w:rsidR="00945D15">
              <w:rPr>
                <w:rFonts w:cs="Arial"/>
              </w:rPr>
              <w:t>access to</w:t>
            </w:r>
            <w:r w:rsidR="0044451A">
              <w:rPr>
                <w:rFonts w:cs="Arial"/>
              </w:rPr>
              <w:t xml:space="preserve"> justice</w:t>
            </w:r>
            <w:r w:rsidR="00FE39E3" w:rsidRPr="00FE39E3">
              <w:rPr>
                <w:rFonts w:cs="Arial"/>
              </w:rPr>
              <w:t>.</w:t>
            </w:r>
          </w:p>
          <w:p w:rsidR="002F414D" w:rsidRPr="00FE39E3" w:rsidRDefault="00EF27C0" w:rsidP="0044451A">
            <w:pPr>
              <w:numPr>
                <w:ilvl w:val="0"/>
                <w:numId w:val="6"/>
              </w:numPr>
              <w:spacing w:after="0" w:line="240" w:lineRule="auto"/>
              <w:rPr>
                <w:rFonts w:cs="Arial"/>
              </w:rPr>
            </w:pPr>
            <w:r>
              <w:rPr>
                <w:rFonts w:cs="Arial"/>
                <w:b/>
              </w:rPr>
              <w:t>To a</w:t>
            </w:r>
            <w:r w:rsidR="00FE39E3" w:rsidRPr="00FE39E3">
              <w:rPr>
                <w:rFonts w:cs="Arial"/>
                <w:b/>
              </w:rPr>
              <w:t>nalyse</w:t>
            </w:r>
            <w:r w:rsidR="00FE39E3" w:rsidRPr="00FE39E3">
              <w:rPr>
                <w:rFonts w:cs="Arial"/>
              </w:rPr>
              <w:t xml:space="preserve"> the importance of the 2030 </w:t>
            </w:r>
            <w:r w:rsidR="00DE4654" w:rsidRPr="00DE4654">
              <w:rPr>
                <w:rFonts w:cs="Arial"/>
              </w:rPr>
              <w:t>Agenda for Sustainable Development</w:t>
            </w:r>
            <w:r w:rsidR="0044451A">
              <w:rPr>
                <w:rFonts w:cs="Arial"/>
              </w:rPr>
              <w:t xml:space="preserve">, particularly Sustainable Development Goal 16 </w:t>
            </w:r>
            <w:proofErr w:type="gramStart"/>
            <w:r w:rsidR="0044451A">
              <w:rPr>
                <w:rFonts w:cs="Arial"/>
              </w:rPr>
              <w:t>which</w:t>
            </w:r>
            <w:proofErr w:type="gramEnd"/>
            <w:r w:rsidR="0044451A">
              <w:rPr>
                <w:rFonts w:cs="Arial"/>
              </w:rPr>
              <w:t xml:space="preserve"> aims to </w:t>
            </w:r>
            <w:r w:rsidR="00F8774A">
              <w:rPr>
                <w:rFonts w:cs="Arial"/>
              </w:rPr>
              <w:t>p</w:t>
            </w:r>
            <w:r w:rsidR="0044451A" w:rsidRPr="0044451A">
              <w:rPr>
                <w:rFonts w:cs="Arial"/>
              </w:rPr>
              <w:t>romote peaceful and inclusive societies for sustainable development, provide access to justice for all and build effective, accountable and inclu</w:t>
            </w:r>
            <w:r w:rsidR="0044451A">
              <w:rPr>
                <w:rFonts w:cs="Arial"/>
              </w:rPr>
              <w:t>sive institutions at all levels, for persons with disabilities</w:t>
            </w:r>
            <w:r w:rsidR="00FE39E3" w:rsidRPr="00FE39E3">
              <w:rPr>
                <w:rFonts w:cs="Arial"/>
              </w:rPr>
              <w:t>.</w:t>
            </w:r>
          </w:p>
          <w:p w:rsidR="002F414D" w:rsidRPr="00283924" w:rsidRDefault="002F414D" w:rsidP="004450A8">
            <w:pPr>
              <w:spacing w:after="0" w:line="240" w:lineRule="auto"/>
              <w:rPr>
                <w:rFonts w:cs="Arial"/>
                <w:b/>
                <w:u w:val="single"/>
              </w:rPr>
            </w:pPr>
          </w:p>
        </w:tc>
      </w:tr>
      <w:tr w:rsidR="003C687A" w:rsidRPr="00283924" w:rsidTr="00304796">
        <w:tc>
          <w:tcPr>
            <w:tcW w:w="1450" w:type="dxa"/>
            <w:shd w:val="clear" w:color="auto" w:fill="auto"/>
          </w:tcPr>
          <w:p w:rsidR="003C687A" w:rsidRPr="00283924" w:rsidRDefault="003C687A" w:rsidP="00304796">
            <w:pPr>
              <w:spacing w:after="0" w:line="240" w:lineRule="auto"/>
              <w:rPr>
                <w:rFonts w:cs="Arial"/>
                <w:b/>
              </w:rPr>
            </w:pPr>
            <w:r w:rsidRPr="00283924">
              <w:rPr>
                <w:rFonts w:cs="Arial"/>
                <w:b/>
              </w:rPr>
              <w:t xml:space="preserve">Chair: </w:t>
            </w:r>
          </w:p>
        </w:tc>
        <w:tc>
          <w:tcPr>
            <w:tcW w:w="8756" w:type="dxa"/>
            <w:shd w:val="clear" w:color="auto" w:fill="auto"/>
          </w:tcPr>
          <w:p w:rsidR="003C687A" w:rsidRPr="00283924" w:rsidRDefault="00165849" w:rsidP="00D507CE">
            <w:pPr>
              <w:spacing w:after="120" w:line="240" w:lineRule="auto"/>
              <w:rPr>
                <w:rFonts w:cs="Arial"/>
              </w:rPr>
            </w:pPr>
            <w:r w:rsidRPr="00165849">
              <w:rPr>
                <w:rFonts w:cs="Arial"/>
                <w:b/>
              </w:rPr>
              <w:t xml:space="preserve">H.E. Mr. </w:t>
            </w:r>
            <w:r w:rsidR="00D507CE" w:rsidRPr="00D507CE">
              <w:rPr>
                <w:rFonts w:cs="Arial"/>
                <w:b/>
              </w:rPr>
              <w:t>Evan P. Garcia</w:t>
            </w:r>
            <w:r w:rsidRPr="00165849">
              <w:rPr>
                <w:rFonts w:cs="Arial"/>
              </w:rPr>
              <w:t xml:space="preserve">, </w:t>
            </w:r>
            <w:r w:rsidR="00D507CE">
              <w:rPr>
                <w:rFonts w:cs="Arial"/>
              </w:rPr>
              <w:t>Vice-</w:t>
            </w:r>
            <w:r w:rsidRPr="00165849">
              <w:rPr>
                <w:rFonts w:cs="Arial"/>
              </w:rPr>
              <w:t>President of the Human Rights Council</w:t>
            </w:r>
          </w:p>
        </w:tc>
      </w:tr>
      <w:tr w:rsidR="00625399" w:rsidRPr="00283924" w:rsidTr="00304796">
        <w:tc>
          <w:tcPr>
            <w:tcW w:w="1450" w:type="dxa"/>
            <w:shd w:val="clear" w:color="auto" w:fill="auto"/>
          </w:tcPr>
          <w:p w:rsidR="00625399" w:rsidRPr="00283924" w:rsidRDefault="00625399" w:rsidP="00DB08FA">
            <w:pPr>
              <w:spacing w:after="120" w:line="240" w:lineRule="auto"/>
              <w:rPr>
                <w:rFonts w:cs="Arial"/>
                <w:b/>
              </w:rPr>
            </w:pPr>
            <w:r>
              <w:rPr>
                <w:rFonts w:cs="Arial"/>
                <w:b/>
              </w:rPr>
              <w:t xml:space="preserve">Opening statement: </w:t>
            </w:r>
          </w:p>
        </w:tc>
        <w:tc>
          <w:tcPr>
            <w:tcW w:w="8756" w:type="dxa"/>
            <w:shd w:val="clear" w:color="auto" w:fill="auto"/>
          </w:tcPr>
          <w:p w:rsidR="00625399" w:rsidRPr="00625399" w:rsidRDefault="00B920BF" w:rsidP="009C05D5">
            <w:pPr>
              <w:spacing w:after="0" w:line="240" w:lineRule="auto"/>
              <w:rPr>
                <w:rFonts w:cs="Arial"/>
              </w:rPr>
            </w:pPr>
            <w:r>
              <w:rPr>
                <w:rFonts w:cs="Arial"/>
                <w:b/>
                <w:bCs/>
                <w:lang w:val="en-US"/>
              </w:rPr>
              <w:t>M</w:t>
            </w:r>
            <w:r w:rsidR="009C05D5">
              <w:rPr>
                <w:rFonts w:cs="Arial"/>
                <w:b/>
                <w:bCs/>
                <w:lang w:val="en-US"/>
              </w:rPr>
              <w:t>s. Kate Gilmore</w:t>
            </w:r>
            <w:r w:rsidR="00471F51" w:rsidRPr="009C06DD">
              <w:rPr>
                <w:rFonts w:cs="Arial"/>
                <w:bCs/>
                <w:lang w:val="en-US"/>
              </w:rPr>
              <w:t>,</w:t>
            </w:r>
            <w:r w:rsidR="00471F51" w:rsidRPr="00471F51">
              <w:rPr>
                <w:rFonts w:cs="Arial"/>
                <w:b/>
                <w:bCs/>
                <w:lang w:val="en-US"/>
              </w:rPr>
              <w:t xml:space="preserve"> </w:t>
            </w:r>
            <w:r w:rsidR="00270795" w:rsidRPr="00270795">
              <w:rPr>
                <w:rFonts w:cs="Arial"/>
                <w:bCs/>
                <w:lang w:val="en-US"/>
              </w:rPr>
              <w:t xml:space="preserve">United Nations </w:t>
            </w:r>
            <w:r w:rsidR="00471F51" w:rsidRPr="00471F51">
              <w:rPr>
                <w:rFonts w:cs="Arial"/>
                <w:bCs/>
                <w:lang w:val="en-US"/>
              </w:rPr>
              <w:t>D</w:t>
            </w:r>
            <w:r w:rsidR="009C05D5">
              <w:rPr>
                <w:rFonts w:cs="Arial"/>
                <w:bCs/>
                <w:lang w:val="en-US"/>
              </w:rPr>
              <w:t>eputy High Commis</w:t>
            </w:r>
            <w:bookmarkStart w:id="0" w:name="_GoBack"/>
            <w:bookmarkEnd w:id="0"/>
            <w:r w:rsidR="009C05D5">
              <w:rPr>
                <w:rFonts w:cs="Arial"/>
                <w:bCs/>
                <w:lang w:val="en-US"/>
              </w:rPr>
              <w:t>sioner for</w:t>
            </w:r>
            <w:r w:rsidR="00471F51" w:rsidRPr="00471F51">
              <w:rPr>
                <w:rFonts w:cs="Arial"/>
                <w:bCs/>
                <w:lang w:val="en-US"/>
              </w:rPr>
              <w:t xml:space="preserve"> Human Rights</w:t>
            </w:r>
          </w:p>
        </w:tc>
      </w:tr>
      <w:tr w:rsidR="00625399" w:rsidRPr="00283924" w:rsidTr="00304796">
        <w:tc>
          <w:tcPr>
            <w:tcW w:w="1450" w:type="dxa"/>
            <w:shd w:val="clear" w:color="auto" w:fill="auto"/>
          </w:tcPr>
          <w:p w:rsidR="00625399" w:rsidRPr="00283924" w:rsidRDefault="00625399" w:rsidP="00304796">
            <w:pPr>
              <w:spacing w:after="0" w:line="240" w:lineRule="auto"/>
              <w:rPr>
                <w:rFonts w:cs="Arial"/>
                <w:b/>
              </w:rPr>
            </w:pPr>
            <w:r w:rsidRPr="00283924">
              <w:rPr>
                <w:rFonts w:cs="Arial"/>
                <w:b/>
              </w:rPr>
              <w:t>Panellists:</w:t>
            </w:r>
          </w:p>
        </w:tc>
        <w:tc>
          <w:tcPr>
            <w:tcW w:w="8756" w:type="dxa"/>
            <w:shd w:val="clear" w:color="auto" w:fill="auto"/>
          </w:tcPr>
          <w:p w:rsidR="00D055A1" w:rsidRPr="00D055A1" w:rsidRDefault="00D055A1" w:rsidP="00D055A1">
            <w:pPr>
              <w:numPr>
                <w:ilvl w:val="0"/>
                <w:numId w:val="6"/>
              </w:numPr>
              <w:spacing w:after="120" w:line="240" w:lineRule="auto"/>
              <w:rPr>
                <w:rFonts w:cs="Arial"/>
              </w:rPr>
            </w:pPr>
            <w:r>
              <w:rPr>
                <w:rFonts w:cs="Arial"/>
                <w:b/>
              </w:rPr>
              <w:t xml:space="preserve">Ms. </w:t>
            </w:r>
            <w:proofErr w:type="spellStart"/>
            <w:r w:rsidR="009C05D5">
              <w:rPr>
                <w:rFonts w:cs="Arial"/>
                <w:b/>
              </w:rPr>
              <w:t>María</w:t>
            </w:r>
            <w:proofErr w:type="spellEnd"/>
            <w:r w:rsidR="009C05D5">
              <w:rPr>
                <w:rFonts w:cs="Arial"/>
                <w:b/>
              </w:rPr>
              <w:t xml:space="preserve"> Soledad </w:t>
            </w:r>
            <w:proofErr w:type="spellStart"/>
            <w:r w:rsidR="009C05D5">
              <w:rPr>
                <w:rFonts w:cs="Arial"/>
                <w:b/>
              </w:rPr>
              <w:t>Cisternas</w:t>
            </w:r>
            <w:proofErr w:type="spellEnd"/>
            <w:r w:rsidRPr="009C06DD">
              <w:rPr>
                <w:rFonts w:cs="Arial"/>
              </w:rPr>
              <w:t xml:space="preserve">, </w:t>
            </w:r>
            <w:r w:rsidR="009C05D5">
              <w:rPr>
                <w:rFonts w:cs="Arial"/>
              </w:rPr>
              <w:t xml:space="preserve">Special Envoy </w:t>
            </w:r>
            <w:r w:rsidR="00270795">
              <w:rPr>
                <w:rFonts w:cs="Arial"/>
              </w:rPr>
              <w:t xml:space="preserve">of the Secretary-General </w:t>
            </w:r>
            <w:r w:rsidR="009C05D5">
              <w:rPr>
                <w:rFonts w:cs="Arial"/>
              </w:rPr>
              <w:t>on Disability and Accessibility</w:t>
            </w:r>
          </w:p>
          <w:p w:rsidR="00625399" w:rsidRPr="00283924" w:rsidRDefault="00D507CE" w:rsidP="00EC6F0F">
            <w:pPr>
              <w:numPr>
                <w:ilvl w:val="0"/>
                <w:numId w:val="6"/>
              </w:numPr>
              <w:spacing w:after="120" w:line="240" w:lineRule="auto"/>
              <w:ind w:left="357" w:hanging="357"/>
              <w:rPr>
                <w:rFonts w:cs="Arial"/>
                <w:b/>
              </w:rPr>
            </w:pPr>
            <w:hyperlink r:id="rId9" w:history="1">
              <w:r w:rsidR="00625399" w:rsidRPr="001B7BB9">
                <w:rPr>
                  <w:rStyle w:val="Hyperlink"/>
                  <w:rFonts w:cs="Arial"/>
                  <w:b/>
                  <w:bCs/>
                  <w:color w:val="auto"/>
                  <w:u w:val="none"/>
                  <w:lang w:eastAsia="en-GB"/>
                </w:rPr>
                <w:t>M</w:t>
              </w:r>
              <w:r w:rsidR="004D4A30">
                <w:rPr>
                  <w:rStyle w:val="Hyperlink"/>
                  <w:rFonts w:cs="Arial"/>
                  <w:b/>
                  <w:bCs/>
                  <w:color w:val="auto"/>
                  <w:u w:val="none"/>
                  <w:lang w:eastAsia="en-GB"/>
                </w:rPr>
                <w:t xml:space="preserve">s. Catalina </w:t>
              </w:r>
              <w:proofErr w:type="spellStart"/>
              <w:r w:rsidR="004D4A30">
                <w:rPr>
                  <w:rStyle w:val="Hyperlink"/>
                  <w:rFonts w:cs="Arial"/>
                  <w:b/>
                  <w:bCs/>
                  <w:color w:val="auto"/>
                  <w:u w:val="none"/>
                  <w:lang w:eastAsia="en-GB"/>
                </w:rPr>
                <w:t>Devandas</w:t>
              </w:r>
              <w:proofErr w:type="spellEnd"/>
              <w:r w:rsidR="004D4A30">
                <w:rPr>
                  <w:rStyle w:val="Hyperlink"/>
                  <w:rFonts w:cs="Arial"/>
                  <w:b/>
                  <w:bCs/>
                  <w:color w:val="auto"/>
                  <w:u w:val="none"/>
                  <w:lang w:eastAsia="en-GB"/>
                </w:rPr>
                <w:t xml:space="preserve"> Aguilar</w:t>
              </w:r>
            </w:hyperlink>
            <w:r w:rsidR="00625399" w:rsidRPr="00283924">
              <w:rPr>
                <w:rFonts w:cs="Arial"/>
                <w:color w:val="000000"/>
                <w:lang w:eastAsia="en-GB"/>
              </w:rPr>
              <w:t xml:space="preserve">, </w:t>
            </w:r>
            <w:r w:rsidR="001B7BB9" w:rsidRPr="00020D92">
              <w:rPr>
                <w:rFonts w:cs="Arial"/>
                <w:color w:val="000000"/>
                <w:lang w:eastAsia="en-GB"/>
              </w:rPr>
              <w:t xml:space="preserve">Special Rapporteur on the </w:t>
            </w:r>
            <w:r w:rsidR="004D4A30">
              <w:rPr>
                <w:rFonts w:cs="Arial"/>
                <w:color w:val="000000"/>
                <w:lang w:eastAsia="en-GB"/>
              </w:rPr>
              <w:t>rights of persons with disabilities</w:t>
            </w:r>
          </w:p>
          <w:p w:rsidR="00625399" w:rsidRPr="00283924" w:rsidRDefault="00D507CE" w:rsidP="00EC6F0F">
            <w:pPr>
              <w:numPr>
                <w:ilvl w:val="0"/>
                <w:numId w:val="6"/>
              </w:numPr>
              <w:spacing w:after="120" w:line="240" w:lineRule="auto"/>
              <w:ind w:left="357" w:hanging="357"/>
              <w:rPr>
                <w:rFonts w:cs="Arial"/>
                <w:b/>
              </w:rPr>
            </w:pPr>
            <w:hyperlink r:id="rId10" w:history="1">
              <w:r w:rsidR="000D0318">
                <w:rPr>
                  <w:rStyle w:val="Hyperlink"/>
                  <w:rFonts w:cs="Arial"/>
                  <w:b/>
                  <w:bCs/>
                  <w:color w:val="auto"/>
                  <w:u w:val="none"/>
                  <w:lang w:eastAsia="en-GB"/>
                </w:rPr>
                <w:t>M</w:t>
              </w:r>
              <w:r w:rsidR="009C05D5">
                <w:rPr>
                  <w:rStyle w:val="Hyperlink"/>
                  <w:rFonts w:cs="Arial"/>
                  <w:b/>
                  <w:bCs/>
                  <w:color w:val="auto"/>
                  <w:u w:val="none"/>
                  <w:lang w:eastAsia="en-GB"/>
                </w:rPr>
                <w:t>s</w:t>
              </w:r>
              <w:r w:rsidR="000D0318">
                <w:rPr>
                  <w:rStyle w:val="Hyperlink"/>
                  <w:rFonts w:cs="Arial"/>
                  <w:b/>
                  <w:bCs/>
                  <w:color w:val="auto"/>
                  <w:u w:val="none"/>
                  <w:lang w:eastAsia="en-GB"/>
                </w:rPr>
                <w:t>.</w:t>
              </w:r>
            </w:hyperlink>
            <w:r w:rsidR="000D0318">
              <w:rPr>
                <w:rFonts w:cs="Arial"/>
                <w:b/>
                <w:bCs/>
                <w:lang w:eastAsia="en-GB"/>
              </w:rPr>
              <w:t xml:space="preserve"> </w:t>
            </w:r>
            <w:proofErr w:type="spellStart"/>
            <w:r w:rsidR="009C05D5">
              <w:rPr>
                <w:rFonts w:cs="Arial"/>
                <w:b/>
                <w:bCs/>
                <w:lang w:eastAsia="en-GB"/>
              </w:rPr>
              <w:t>Theresia</w:t>
            </w:r>
            <w:proofErr w:type="spellEnd"/>
            <w:r w:rsidR="009C05D5">
              <w:rPr>
                <w:rFonts w:cs="Arial"/>
                <w:b/>
                <w:bCs/>
                <w:lang w:eastAsia="en-GB"/>
              </w:rPr>
              <w:t xml:space="preserve"> </w:t>
            </w:r>
            <w:proofErr w:type="spellStart"/>
            <w:r w:rsidR="009C05D5">
              <w:rPr>
                <w:rFonts w:cs="Arial"/>
                <w:b/>
                <w:bCs/>
                <w:lang w:eastAsia="en-GB"/>
              </w:rPr>
              <w:t>Degener</w:t>
            </w:r>
            <w:proofErr w:type="spellEnd"/>
            <w:r w:rsidR="00625399" w:rsidRPr="00283924">
              <w:rPr>
                <w:rFonts w:cs="Arial"/>
                <w:bCs/>
                <w:color w:val="000000"/>
                <w:lang w:eastAsia="en-GB"/>
              </w:rPr>
              <w:t>,</w:t>
            </w:r>
            <w:r w:rsidR="004D4A30">
              <w:rPr>
                <w:rFonts w:cs="Arial"/>
                <w:bCs/>
                <w:color w:val="000000"/>
                <w:lang w:eastAsia="en-GB"/>
              </w:rPr>
              <w:t xml:space="preserve"> </w:t>
            </w:r>
            <w:r w:rsidR="009C05D5">
              <w:rPr>
                <w:rFonts w:cs="Arial"/>
                <w:bCs/>
                <w:color w:val="000000"/>
                <w:lang w:eastAsia="en-GB"/>
              </w:rPr>
              <w:t xml:space="preserve">Chair </w:t>
            </w:r>
            <w:r w:rsidR="00810714">
              <w:rPr>
                <w:rFonts w:cs="Arial"/>
                <w:bCs/>
                <w:color w:val="000000"/>
                <w:lang w:eastAsia="en-GB"/>
              </w:rPr>
              <w:t xml:space="preserve">of the </w:t>
            </w:r>
            <w:r w:rsidR="004D4A30">
              <w:rPr>
                <w:rFonts w:cs="Arial"/>
                <w:bCs/>
                <w:color w:val="000000"/>
                <w:lang w:eastAsia="en-GB"/>
              </w:rPr>
              <w:t>Committee on the Rights of Persons with Disabilities</w:t>
            </w:r>
          </w:p>
          <w:p w:rsidR="0036235A" w:rsidRPr="00277A97" w:rsidRDefault="00B82A87" w:rsidP="00165849">
            <w:pPr>
              <w:numPr>
                <w:ilvl w:val="0"/>
                <w:numId w:val="6"/>
              </w:numPr>
              <w:spacing w:after="120" w:line="240" w:lineRule="auto"/>
              <w:ind w:left="357" w:hanging="357"/>
              <w:rPr>
                <w:rFonts w:cs="Arial"/>
                <w:b/>
              </w:rPr>
            </w:pPr>
            <w:r w:rsidRPr="00B82A87">
              <w:rPr>
                <w:rFonts w:cs="Arial"/>
                <w:b/>
                <w:lang w:eastAsia="en-GB"/>
              </w:rPr>
              <w:t>M</w:t>
            </w:r>
            <w:r w:rsidRPr="00B82A87">
              <w:rPr>
                <w:rFonts w:asciiTheme="minorHAnsi" w:hAnsiTheme="minorHAnsi" w:cstheme="minorHAnsi"/>
                <w:b/>
                <w:lang w:eastAsia="en-GB"/>
              </w:rPr>
              <w:t xml:space="preserve">r. </w:t>
            </w:r>
            <w:proofErr w:type="spellStart"/>
            <w:r w:rsidRPr="00B82A87">
              <w:rPr>
                <w:rFonts w:asciiTheme="minorHAnsi" w:hAnsiTheme="minorHAnsi" w:cstheme="minorHAnsi"/>
                <w:b/>
              </w:rPr>
              <w:t>Oumarou</w:t>
            </w:r>
            <w:proofErr w:type="spellEnd"/>
            <w:r w:rsidRPr="00B82A87">
              <w:rPr>
                <w:rFonts w:asciiTheme="minorHAnsi" w:hAnsiTheme="minorHAnsi" w:cstheme="minorHAnsi"/>
              </w:rPr>
              <w:t xml:space="preserve"> </w:t>
            </w:r>
            <w:proofErr w:type="spellStart"/>
            <w:r w:rsidRPr="00B82A87">
              <w:rPr>
                <w:rFonts w:asciiTheme="minorHAnsi" w:hAnsiTheme="minorHAnsi" w:cstheme="minorHAnsi"/>
                <w:b/>
                <w:lang w:eastAsia="en-GB"/>
              </w:rPr>
              <w:t>Si</w:t>
            </w:r>
            <w:r w:rsidRPr="00B82A87">
              <w:rPr>
                <w:rFonts w:cs="Arial"/>
                <w:b/>
                <w:lang w:eastAsia="en-GB"/>
              </w:rPr>
              <w:t>ddo</w:t>
            </w:r>
            <w:proofErr w:type="spellEnd"/>
            <w:r w:rsidRPr="00B82A87">
              <w:rPr>
                <w:rFonts w:cs="Arial"/>
                <w:b/>
                <w:lang w:eastAsia="en-GB"/>
              </w:rPr>
              <w:t xml:space="preserve"> </w:t>
            </w:r>
            <w:proofErr w:type="spellStart"/>
            <w:r w:rsidRPr="00B82A87">
              <w:rPr>
                <w:rFonts w:cs="Arial"/>
                <w:b/>
                <w:lang w:eastAsia="en-GB"/>
              </w:rPr>
              <w:t>Nouhou</w:t>
            </w:r>
            <w:proofErr w:type="spellEnd"/>
            <w:r w:rsidR="002A646E" w:rsidRPr="00EB1A20">
              <w:rPr>
                <w:rFonts w:cs="Arial"/>
                <w:lang w:eastAsia="en-GB"/>
              </w:rPr>
              <w:t>,</w:t>
            </w:r>
            <w:r w:rsidR="009568F6" w:rsidRPr="00EB1A20">
              <w:rPr>
                <w:rFonts w:cs="Arial"/>
                <w:color w:val="000000"/>
                <w:lang w:eastAsia="en-GB"/>
              </w:rPr>
              <w:t xml:space="preserve"> </w:t>
            </w:r>
            <w:r w:rsidR="00165849">
              <w:rPr>
                <w:rFonts w:cs="Arial"/>
                <w:color w:val="000000"/>
                <w:lang w:eastAsia="en-GB"/>
              </w:rPr>
              <w:t xml:space="preserve">African Disability Forum and </w:t>
            </w:r>
            <w:r w:rsidR="009C05D5">
              <w:rPr>
                <w:rFonts w:cs="Arial"/>
                <w:color w:val="000000"/>
                <w:lang w:eastAsia="en-GB"/>
              </w:rPr>
              <w:t xml:space="preserve">International </w:t>
            </w:r>
            <w:r w:rsidR="002A646E">
              <w:rPr>
                <w:rFonts w:cs="Arial"/>
                <w:color w:val="000000"/>
                <w:lang w:eastAsia="en-GB"/>
              </w:rPr>
              <w:t xml:space="preserve">Disability </w:t>
            </w:r>
            <w:r w:rsidR="009C05D5">
              <w:rPr>
                <w:rFonts w:cs="Arial"/>
                <w:color w:val="000000"/>
                <w:lang w:eastAsia="en-GB"/>
              </w:rPr>
              <w:t>Alliance</w:t>
            </w:r>
          </w:p>
          <w:p w:rsidR="00625399" w:rsidRPr="00283924" w:rsidRDefault="00EB1A20" w:rsidP="00EC0DE0">
            <w:pPr>
              <w:numPr>
                <w:ilvl w:val="0"/>
                <w:numId w:val="6"/>
              </w:numPr>
              <w:spacing w:after="240" w:line="240" w:lineRule="auto"/>
              <w:ind w:left="357" w:hanging="357"/>
              <w:rPr>
                <w:rFonts w:cs="Arial"/>
                <w:b/>
              </w:rPr>
            </w:pPr>
            <w:r>
              <w:rPr>
                <w:rFonts w:cs="Arial"/>
                <w:b/>
                <w:color w:val="000000"/>
                <w:lang w:eastAsia="en-GB"/>
              </w:rPr>
              <w:t xml:space="preserve">Ms. </w:t>
            </w:r>
            <w:r w:rsidR="0036235A" w:rsidRPr="00277A97">
              <w:rPr>
                <w:rFonts w:cs="Arial"/>
                <w:b/>
                <w:color w:val="000000"/>
                <w:lang w:eastAsia="en-GB"/>
              </w:rPr>
              <w:t xml:space="preserve">Ana </w:t>
            </w:r>
            <w:proofErr w:type="spellStart"/>
            <w:r w:rsidR="0036235A" w:rsidRPr="00277A97">
              <w:rPr>
                <w:rFonts w:cs="Arial"/>
                <w:b/>
                <w:color w:val="000000"/>
                <w:lang w:eastAsia="en-GB"/>
              </w:rPr>
              <w:t>Peláez</w:t>
            </w:r>
            <w:proofErr w:type="spellEnd"/>
            <w:r w:rsidR="0036235A" w:rsidRPr="00277A97">
              <w:rPr>
                <w:rFonts w:cs="Arial"/>
                <w:b/>
                <w:color w:val="000000"/>
                <w:lang w:eastAsia="en-GB"/>
              </w:rPr>
              <w:t xml:space="preserve"> </w:t>
            </w:r>
            <w:proofErr w:type="spellStart"/>
            <w:r w:rsidR="0036235A" w:rsidRPr="00277A97">
              <w:rPr>
                <w:rFonts w:cs="Arial"/>
                <w:b/>
                <w:color w:val="000000"/>
                <w:lang w:eastAsia="en-GB"/>
              </w:rPr>
              <w:t>Narváez</w:t>
            </w:r>
            <w:proofErr w:type="spellEnd"/>
            <w:r w:rsidR="0036235A" w:rsidRPr="00EB1A20">
              <w:rPr>
                <w:rFonts w:cs="Arial"/>
                <w:color w:val="000000"/>
                <w:lang w:eastAsia="en-GB"/>
              </w:rPr>
              <w:t xml:space="preserve">, </w:t>
            </w:r>
            <w:r w:rsidR="0036235A">
              <w:rPr>
                <w:rFonts w:cs="Arial"/>
                <w:color w:val="000000"/>
                <w:lang w:eastAsia="en-GB"/>
              </w:rPr>
              <w:t>Executive Vice-President of</w:t>
            </w:r>
            <w:r w:rsidR="0036235A" w:rsidRPr="0036235A">
              <w:rPr>
                <w:rFonts w:cs="Arial"/>
                <w:color w:val="000000"/>
                <w:lang w:eastAsia="en-GB"/>
              </w:rPr>
              <w:t xml:space="preserve"> CERMI Women’s</w:t>
            </w:r>
            <w:r w:rsidR="00277A97">
              <w:rPr>
                <w:rFonts w:cs="Arial"/>
                <w:color w:val="000000"/>
                <w:lang w:eastAsia="en-GB"/>
              </w:rPr>
              <w:t xml:space="preserve"> Foundation</w:t>
            </w:r>
            <w:r w:rsidR="0036235A">
              <w:rPr>
                <w:rFonts w:cs="Arial"/>
                <w:color w:val="000000"/>
                <w:lang w:eastAsia="en-GB"/>
              </w:rPr>
              <w:t xml:space="preserve"> and Vice-President of the</w:t>
            </w:r>
            <w:r w:rsidR="0036235A" w:rsidRPr="0036235A">
              <w:rPr>
                <w:rFonts w:cs="Arial"/>
                <w:color w:val="000000"/>
                <w:lang w:eastAsia="en-GB"/>
              </w:rPr>
              <w:t xml:space="preserve"> European Disability Forum</w:t>
            </w:r>
          </w:p>
        </w:tc>
      </w:tr>
      <w:tr w:rsidR="00625399" w:rsidRPr="00283924" w:rsidTr="00304796">
        <w:tc>
          <w:tcPr>
            <w:tcW w:w="1450" w:type="dxa"/>
            <w:shd w:val="clear" w:color="auto" w:fill="auto"/>
          </w:tcPr>
          <w:p w:rsidR="00625399" w:rsidRPr="00283924" w:rsidRDefault="00625399" w:rsidP="00304796">
            <w:pPr>
              <w:spacing w:after="0" w:line="240" w:lineRule="auto"/>
              <w:rPr>
                <w:rFonts w:cs="Arial"/>
                <w:b/>
              </w:rPr>
            </w:pPr>
            <w:r w:rsidRPr="00283924">
              <w:rPr>
                <w:rFonts w:cs="Arial"/>
                <w:b/>
              </w:rPr>
              <w:t>Outcome:</w:t>
            </w:r>
          </w:p>
        </w:tc>
        <w:tc>
          <w:tcPr>
            <w:tcW w:w="8756" w:type="dxa"/>
            <w:shd w:val="clear" w:color="auto" w:fill="auto"/>
          </w:tcPr>
          <w:p w:rsidR="00625399" w:rsidRPr="00283924" w:rsidRDefault="00CD3539" w:rsidP="00D30CFA">
            <w:pPr>
              <w:spacing w:line="240" w:lineRule="auto"/>
              <w:jc w:val="both"/>
              <w:rPr>
                <w:rFonts w:cs="Arial"/>
              </w:rPr>
            </w:pPr>
            <w:r w:rsidRPr="00445652">
              <w:rPr>
                <w:lang w:val="en-AU"/>
              </w:rPr>
              <w:t xml:space="preserve">The debate will seek to identify </w:t>
            </w:r>
            <w:r w:rsidRPr="00445652">
              <w:rPr>
                <w:bCs/>
                <w:lang w:val="en-US"/>
              </w:rPr>
              <w:t xml:space="preserve">good practices </w:t>
            </w:r>
            <w:r w:rsidR="00611D7F">
              <w:rPr>
                <w:bCs/>
                <w:lang w:val="en-US"/>
              </w:rPr>
              <w:t xml:space="preserve">and standards </w:t>
            </w:r>
            <w:r w:rsidRPr="00445652">
              <w:rPr>
                <w:bCs/>
                <w:lang w:val="en-US"/>
              </w:rPr>
              <w:t xml:space="preserve">in promoting the human rights of persons with disabilities in </w:t>
            </w:r>
            <w:r w:rsidR="00C12E64">
              <w:rPr>
                <w:bCs/>
                <w:lang w:val="en-US"/>
              </w:rPr>
              <w:t xml:space="preserve">order to </w:t>
            </w:r>
            <w:r w:rsidR="009C05D5">
              <w:rPr>
                <w:bCs/>
                <w:lang w:val="en-US"/>
              </w:rPr>
              <w:t xml:space="preserve">effectively participate in judicial, quasi-judicial and </w:t>
            </w:r>
            <w:r w:rsidR="009C05D5">
              <w:rPr>
                <w:bCs/>
                <w:lang w:val="en-US"/>
              </w:rPr>
              <w:lastRenderedPageBreak/>
              <w:t xml:space="preserve">administrative processes with the necessary support </w:t>
            </w:r>
            <w:r w:rsidR="0038675A">
              <w:rPr>
                <w:bCs/>
                <w:lang w:val="en-US"/>
              </w:rPr>
              <w:t>aiming at</w:t>
            </w:r>
            <w:r w:rsidR="009C05D5">
              <w:rPr>
                <w:bCs/>
                <w:lang w:val="en-US"/>
              </w:rPr>
              <w:t xml:space="preserve"> enjoy</w:t>
            </w:r>
            <w:r w:rsidR="0038675A">
              <w:rPr>
                <w:bCs/>
                <w:lang w:val="en-US"/>
              </w:rPr>
              <w:t>ing</w:t>
            </w:r>
            <w:r w:rsidR="009C05D5">
              <w:rPr>
                <w:bCs/>
                <w:lang w:val="en-US"/>
              </w:rPr>
              <w:t xml:space="preserve"> the right to access to justice</w:t>
            </w:r>
            <w:r w:rsidR="0038675A">
              <w:rPr>
                <w:bCs/>
                <w:lang w:val="en-US"/>
              </w:rPr>
              <w:t>, including through fair trial safeguards and accessing effective remedies</w:t>
            </w:r>
            <w:r w:rsidR="009C05D5">
              <w:rPr>
                <w:bCs/>
                <w:lang w:val="en-US"/>
              </w:rPr>
              <w:t>.</w:t>
            </w:r>
            <w:r w:rsidRPr="00445652">
              <w:rPr>
                <w:lang w:val="en-AU"/>
              </w:rPr>
              <w:t xml:space="preserve"> </w:t>
            </w:r>
            <w:r w:rsidR="009C05D5">
              <w:rPr>
                <w:lang w:val="en-AU"/>
              </w:rPr>
              <w:t>In addition</w:t>
            </w:r>
            <w:r w:rsidRPr="00445652">
              <w:rPr>
                <w:lang w:val="en-AU"/>
              </w:rPr>
              <w:t xml:space="preserve">, the debate will provide an opportunity to highlight the importance of the 2030 </w:t>
            </w:r>
            <w:r w:rsidR="00DE4654" w:rsidRPr="00DE4654">
              <w:rPr>
                <w:lang w:val="en-AU"/>
              </w:rPr>
              <w:t>Agenda for Sustainable Development</w:t>
            </w:r>
            <w:r w:rsidR="009C05D5">
              <w:rPr>
                <w:lang w:val="en-AU"/>
              </w:rPr>
              <w:t>, particularly Sustainable Development Goal 16,</w:t>
            </w:r>
            <w:r w:rsidRPr="00445652">
              <w:rPr>
                <w:lang w:val="en-AU"/>
              </w:rPr>
              <w:t xml:space="preserve"> for the realization of the human rights of persons with disabilities </w:t>
            </w:r>
            <w:r w:rsidR="000D0318">
              <w:rPr>
                <w:lang w:val="en-AU"/>
              </w:rPr>
              <w:t xml:space="preserve">and to </w:t>
            </w:r>
            <w:r w:rsidR="00611D7F">
              <w:rPr>
                <w:lang w:val="en-AU"/>
              </w:rPr>
              <w:t>improve governance</w:t>
            </w:r>
            <w:r w:rsidRPr="00445652">
              <w:rPr>
                <w:lang w:val="en-AU"/>
              </w:rPr>
              <w:t xml:space="preserve">. An informal summary of the interactive debate </w:t>
            </w:r>
            <w:proofErr w:type="gramStart"/>
            <w:r w:rsidRPr="00445652">
              <w:rPr>
                <w:lang w:val="en-AU"/>
              </w:rPr>
              <w:t xml:space="preserve">will be prepared by the Office of the </w:t>
            </w:r>
            <w:r w:rsidR="006A0398">
              <w:rPr>
                <w:lang w:val="en-AU"/>
              </w:rPr>
              <w:t xml:space="preserve">United Nations </w:t>
            </w:r>
            <w:r w:rsidRPr="00445652">
              <w:rPr>
                <w:lang w:val="en-AU"/>
              </w:rPr>
              <w:t xml:space="preserve">High Commissioner for Human Rights </w:t>
            </w:r>
            <w:r w:rsidR="006A0398">
              <w:rPr>
                <w:lang w:val="en-AU"/>
              </w:rPr>
              <w:t xml:space="preserve">(OHCHR) </w:t>
            </w:r>
            <w:r w:rsidRPr="00445652">
              <w:rPr>
                <w:lang w:val="en-AU"/>
              </w:rPr>
              <w:t>and posted on the OHCHR website</w:t>
            </w:r>
            <w:proofErr w:type="gramEnd"/>
            <w:r w:rsidRPr="00445652">
              <w:rPr>
                <w:lang w:val="en-AU"/>
              </w:rPr>
              <w:t>.</w:t>
            </w:r>
          </w:p>
        </w:tc>
      </w:tr>
      <w:tr w:rsidR="00625399" w:rsidRPr="00283924" w:rsidTr="00304796">
        <w:tc>
          <w:tcPr>
            <w:tcW w:w="1450" w:type="dxa"/>
            <w:shd w:val="clear" w:color="auto" w:fill="auto"/>
          </w:tcPr>
          <w:p w:rsidR="00625399" w:rsidRPr="00283924" w:rsidRDefault="00625399" w:rsidP="00304796">
            <w:pPr>
              <w:spacing w:after="0" w:line="240" w:lineRule="auto"/>
              <w:rPr>
                <w:rFonts w:cs="Arial"/>
                <w:b/>
              </w:rPr>
            </w:pPr>
            <w:r w:rsidRPr="00283924">
              <w:rPr>
                <w:rFonts w:cs="Arial"/>
                <w:b/>
              </w:rPr>
              <w:lastRenderedPageBreak/>
              <w:t xml:space="preserve">Mandate: </w:t>
            </w:r>
          </w:p>
        </w:tc>
        <w:tc>
          <w:tcPr>
            <w:tcW w:w="8756" w:type="dxa"/>
            <w:shd w:val="clear" w:color="auto" w:fill="auto"/>
          </w:tcPr>
          <w:p w:rsidR="00CD3539" w:rsidRPr="00445652" w:rsidRDefault="000D0318" w:rsidP="0007720A">
            <w:pPr>
              <w:spacing w:after="120" w:line="240" w:lineRule="auto"/>
              <w:jc w:val="both"/>
              <w:rPr>
                <w:lang w:val="en-AU"/>
              </w:rPr>
            </w:pPr>
            <w:r>
              <w:rPr>
                <w:lang w:val="en-AU"/>
              </w:rPr>
              <w:t>In its resolution 31/6</w:t>
            </w:r>
            <w:r w:rsidR="002F7161">
              <w:rPr>
                <w:lang w:val="en-AU"/>
              </w:rPr>
              <w:t xml:space="preserve"> (</w:t>
            </w:r>
            <w:r w:rsidR="002F7161" w:rsidRPr="00445652">
              <w:rPr>
                <w:lang w:val="en-AU"/>
              </w:rPr>
              <w:t>para</w:t>
            </w:r>
            <w:r w:rsidR="00932A24">
              <w:rPr>
                <w:lang w:val="en-AU"/>
              </w:rPr>
              <w:t>graphs</w:t>
            </w:r>
            <w:r>
              <w:rPr>
                <w:lang w:val="en-AU"/>
              </w:rPr>
              <w:t xml:space="preserve"> 16 and 18</w:t>
            </w:r>
            <w:r w:rsidR="002F7161">
              <w:rPr>
                <w:lang w:val="en-AU"/>
              </w:rPr>
              <w:t>)</w:t>
            </w:r>
            <w:r w:rsidR="00CD3539" w:rsidRPr="00445652">
              <w:rPr>
                <w:lang w:val="en-AU"/>
              </w:rPr>
              <w:t xml:space="preserve">, the Human Rights Council decided that </w:t>
            </w:r>
            <w:r w:rsidR="0038675A">
              <w:rPr>
                <w:lang w:val="en-AU"/>
              </w:rPr>
              <w:t>the</w:t>
            </w:r>
            <w:r w:rsidRPr="000D0318">
              <w:rPr>
                <w:lang w:val="en-AU"/>
              </w:rPr>
              <w:t xml:space="preserve"> annual interactive debate on the rights of persons with disabilities </w:t>
            </w:r>
            <w:r w:rsidR="0038675A">
              <w:rPr>
                <w:lang w:val="en-AU"/>
              </w:rPr>
              <w:t>to</w:t>
            </w:r>
            <w:r w:rsidRPr="000D0318">
              <w:rPr>
                <w:lang w:val="en-AU"/>
              </w:rPr>
              <w:t xml:space="preserve"> be held at its thirty-</w:t>
            </w:r>
            <w:r w:rsidR="0038675A">
              <w:rPr>
                <w:lang w:val="en-AU"/>
              </w:rPr>
              <w:t>seven</w:t>
            </w:r>
            <w:r w:rsidRPr="000D0318">
              <w:rPr>
                <w:lang w:val="en-AU"/>
              </w:rPr>
              <w:t>th session</w:t>
            </w:r>
            <w:r w:rsidR="0038675A">
              <w:rPr>
                <w:lang w:val="en-AU"/>
              </w:rPr>
              <w:t xml:space="preserve"> </w:t>
            </w:r>
            <w:r w:rsidR="00932A24">
              <w:rPr>
                <w:lang w:val="en-AU"/>
              </w:rPr>
              <w:t>would</w:t>
            </w:r>
            <w:r w:rsidR="00932A24" w:rsidRPr="000D0318">
              <w:rPr>
                <w:lang w:val="en-AU"/>
              </w:rPr>
              <w:t xml:space="preserve"> </w:t>
            </w:r>
            <w:r w:rsidRPr="000D0318">
              <w:rPr>
                <w:lang w:val="en-AU"/>
              </w:rPr>
              <w:t xml:space="preserve">focus on article </w:t>
            </w:r>
            <w:r w:rsidR="0038675A">
              <w:rPr>
                <w:lang w:val="en-AU"/>
              </w:rPr>
              <w:t>13</w:t>
            </w:r>
            <w:r w:rsidRPr="000D0318">
              <w:rPr>
                <w:lang w:val="en-AU"/>
              </w:rPr>
              <w:t xml:space="preserve"> of the Convention on the Rights of Persons with Disabilities regarding </w:t>
            </w:r>
            <w:r w:rsidR="0038675A">
              <w:rPr>
                <w:lang w:val="en-AU"/>
              </w:rPr>
              <w:t>access to justice</w:t>
            </w:r>
            <w:r w:rsidRPr="000D0318">
              <w:rPr>
                <w:lang w:val="en-AU"/>
              </w:rPr>
              <w:t xml:space="preserve">, and </w:t>
            </w:r>
            <w:r w:rsidR="00E85BC1">
              <w:rPr>
                <w:lang w:val="en-AU"/>
              </w:rPr>
              <w:t>would</w:t>
            </w:r>
            <w:r w:rsidRPr="000D0318">
              <w:rPr>
                <w:lang w:val="en-AU"/>
              </w:rPr>
              <w:t xml:space="preserve"> have international sign interpretation and captioning</w:t>
            </w:r>
            <w:r w:rsidR="00CD3539" w:rsidRPr="00445652">
              <w:rPr>
                <w:lang w:val="en-AU"/>
              </w:rPr>
              <w:t xml:space="preserve">. </w:t>
            </w:r>
            <w:proofErr w:type="gramStart"/>
            <w:r w:rsidR="00CD3539" w:rsidRPr="00445652">
              <w:rPr>
                <w:lang w:val="en-AU"/>
              </w:rPr>
              <w:t xml:space="preserve">The Council requested the OHCHR </w:t>
            </w:r>
            <w:r w:rsidRPr="000D0318">
              <w:rPr>
                <w:lang w:val="en-AU"/>
              </w:rPr>
              <w:t xml:space="preserve">to prepare </w:t>
            </w:r>
            <w:r w:rsidR="00611D7F">
              <w:rPr>
                <w:lang w:val="en-AU"/>
              </w:rPr>
              <w:t>the</w:t>
            </w:r>
            <w:r w:rsidR="00611D7F" w:rsidRPr="000D0318">
              <w:rPr>
                <w:lang w:val="en-AU"/>
              </w:rPr>
              <w:t xml:space="preserve"> </w:t>
            </w:r>
            <w:r w:rsidRPr="000D0318">
              <w:rPr>
                <w:lang w:val="en-AU"/>
              </w:rPr>
              <w:t xml:space="preserve">annual study </w:t>
            </w:r>
            <w:r w:rsidR="00611D7F" w:rsidRPr="000D0318">
              <w:rPr>
                <w:lang w:val="en-AU"/>
              </w:rPr>
              <w:t>on the rights of persons</w:t>
            </w:r>
            <w:r w:rsidR="00611D7F">
              <w:rPr>
                <w:lang w:val="en-AU"/>
              </w:rPr>
              <w:t xml:space="preserve"> with disabilities for its thirty-seventh session </w:t>
            </w:r>
            <w:r w:rsidRPr="000D0318">
              <w:rPr>
                <w:lang w:val="en-AU"/>
              </w:rPr>
              <w:t xml:space="preserve">on article </w:t>
            </w:r>
            <w:r w:rsidR="0038675A">
              <w:rPr>
                <w:lang w:val="en-AU"/>
              </w:rPr>
              <w:t>13</w:t>
            </w:r>
            <w:r w:rsidRPr="000D0318">
              <w:rPr>
                <w:lang w:val="en-AU"/>
              </w:rPr>
              <w:t xml:space="preserve"> of the Convention, in consultation with States and other relevant stakeholders, regional organizations, the Special Rapporteur on the rights of persons with disabilities, civil society organizations, including organizations of persons with disabilities, and national human rights institutions, requiring contributions to be submitted in an accessible format, and request</w:t>
            </w:r>
            <w:r w:rsidR="00932A24">
              <w:rPr>
                <w:lang w:val="en-AU"/>
              </w:rPr>
              <w:t>ed</w:t>
            </w:r>
            <w:r w:rsidRPr="000D0318">
              <w:rPr>
                <w:lang w:val="en-AU"/>
              </w:rPr>
              <w:t xml:space="preserve"> that such stakeholder contributions, the study and an easy-to-read-version of it, be made available on the website of the Office, in an accessible format, prior to the thirty-</w:t>
            </w:r>
            <w:r w:rsidR="0038675A">
              <w:rPr>
                <w:lang w:val="en-AU"/>
              </w:rPr>
              <w:t>seven</w:t>
            </w:r>
            <w:r w:rsidRPr="000D0318">
              <w:rPr>
                <w:lang w:val="en-AU"/>
              </w:rPr>
              <w:t>th</w:t>
            </w:r>
            <w:r>
              <w:rPr>
                <w:lang w:val="en-AU"/>
              </w:rPr>
              <w:t xml:space="preserve"> session</w:t>
            </w:r>
            <w:r w:rsidRPr="000D0318">
              <w:rPr>
                <w:lang w:val="en-AU"/>
              </w:rPr>
              <w:t xml:space="preserve"> of the Human Rights Council</w:t>
            </w:r>
            <w:r w:rsidR="002F7161">
              <w:rPr>
                <w:lang w:val="en-AU"/>
              </w:rPr>
              <w:t>.</w:t>
            </w:r>
            <w:proofErr w:type="gramEnd"/>
            <w:r w:rsidR="00CD3539" w:rsidRPr="00445652">
              <w:rPr>
                <w:lang w:val="en-AU"/>
              </w:rPr>
              <w:t xml:space="preserve"> </w:t>
            </w:r>
          </w:p>
          <w:p w:rsidR="00625399" w:rsidRPr="00CD3539" w:rsidRDefault="00CD3539" w:rsidP="0007720A">
            <w:pPr>
              <w:spacing w:line="240" w:lineRule="auto"/>
              <w:jc w:val="both"/>
              <w:rPr>
                <w:rFonts w:ascii="Times New Roman" w:hAnsi="Times New Roman"/>
                <w:b/>
                <w:bCs/>
                <w:sz w:val="23"/>
                <w:szCs w:val="23"/>
                <w:u w:val="single"/>
                <w:lang w:val="en-US"/>
              </w:rPr>
            </w:pPr>
            <w:r w:rsidRPr="00445652">
              <w:rPr>
                <w:lang w:val="en-AU"/>
              </w:rPr>
              <w:t xml:space="preserve">To this end, OHCHR </w:t>
            </w:r>
            <w:r w:rsidR="00932A24">
              <w:rPr>
                <w:lang w:val="en-AU"/>
              </w:rPr>
              <w:t>invited</w:t>
            </w:r>
            <w:r w:rsidRPr="00445652">
              <w:rPr>
                <w:lang w:val="en-AU"/>
              </w:rPr>
              <w:t xml:space="preserve"> States and all the aforementioned stakeholders</w:t>
            </w:r>
            <w:r w:rsidR="00932A24">
              <w:rPr>
                <w:lang w:val="en-AU"/>
              </w:rPr>
              <w:t xml:space="preserve"> to provide</w:t>
            </w:r>
            <w:r w:rsidRPr="00445652">
              <w:rPr>
                <w:lang w:val="en-AU"/>
              </w:rPr>
              <w:t xml:space="preserve"> responses to a set of questions concerning existing legislation, policies and practices ensuring a human rights-based approach to </w:t>
            </w:r>
            <w:r w:rsidR="0038675A">
              <w:rPr>
                <w:lang w:val="en-AU"/>
              </w:rPr>
              <w:t>access to justice</w:t>
            </w:r>
            <w:r w:rsidRPr="00445652">
              <w:rPr>
                <w:lang w:val="en-AU"/>
              </w:rPr>
              <w:t xml:space="preserve">. OHCHR </w:t>
            </w:r>
            <w:r w:rsidR="00E37C8F" w:rsidRPr="00E37C8F">
              <w:rPr>
                <w:lang w:val="en-AU"/>
              </w:rPr>
              <w:t xml:space="preserve">received 22 responses from States, 14 from national human rights institutions, 2 from regional organizations and 21 </w:t>
            </w:r>
            <w:r w:rsidRPr="00445652">
              <w:rPr>
                <w:lang w:val="en-AU"/>
              </w:rPr>
              <w:t>from civil society organizations and other stakeholders.</w:t>
            </w:r>
            <w:r w:rsidRPr="00537F20">
              <w:rPr>
                <w:vertAlign w:val="superscript"/>
                <w:lang w:val="en-AU"/>
              </w:rPr>
              <w:footnoteReference w:id="1"/>
            </w:r>
          </w:p>
        </w:tc>
      </w:tr>
      <w:tr w:rsidR="00625399" w:rsidRPr="00283924" w:rsidTr="00EC0DE0">
        <w:trPr>
          <w:trHeight w:val="80"/>
        </w:trPr>
        <w:tc>
          <w:tcPr>
            <w:tcW w:w="1450" w:type="dxa"/>
            <w:shd w:val="clear" w:color="auto" w:fill="auto"/>
          </w:tcPr>
          <w:p w:rsidR="00625399" w:rsidRPr="00283924" w:rsidRDefault="00625399" w:rsidP="00304796">
            <w:pPr>
              <w:spacing w:after="0" w:line="240" w:lineRule="auto"/>
              <w:rPr>
                <w:rFonts w:cs="Arial"/>
                <w:b/>
              </w:rPr>
            </w:pPr>
            <w:r w:rsidRPr="00283924">
              <w:rPr>
                <w:rFonts w:cs="Arial"/>
                <w:b/>
              </w:rPr>
              <w:t xml:space="preserve">Format: </w:t>
            </w:r>
          </w:p>
        </w:tc>
        <w:tc>
          <w:tcPr>
            <w:tcW w:w="8756" w:type="dxa"/>
            <w:shd w:val="clear" w:color="auto" w:fill="auto"/>
          </w:tcPr>
          <w:p w:rsidR="0007720A" w:rsidRPr="00E97E94" w:rsidRDefault="0007720A" w:rsidP="0007720A">
            <w:pPr>
              <w:spacing w:after="120" w:line="240" w:lineRule="auto"/>
              <w:jc w:val="both"/>
              <w:rPr>
                <w:rFonts w:cs="Calibri"/>
                <w:bCs/>
              </w:rPr>
            </w:pPr>
            <w:r w:rsidRPr="00E97E94">
              <w:rPr>
                <w:rFonts w:cs="Calibri"/>
                <w:bCs/>
              </w:rPr>
              <w:t xml:space="preserve">The duration of the </w:t>
            </w:r>
            <w:r>
              <w:rPr>
                <w:rFonts w:cs="Calibri"/>
                <w:bCs/>
              </w:rPr>
              <w:t>debate</w:t>
            </w:r>
            <w:r w:rsidRPr="00E97E94">
              <w:rPr>
                <w:rFonts w:cs="Calibri"/>
                <w:bCs/>
              </w:rPr>
              <w:t xml:space="preserve"> will be strictly limited to two hours. A maximum of</w:t>
            </w:r>
            <w:r w:rsidRPr="00E97E94">
              <w:rPr>
                <w:rFonts w:cs="Calibri"/>
              </w:rPr>
              <w:t xml:space="preserve"> </w:t>
            </w:r>
            <w:r w:rsidRPr="00E97E94">
              <w:rPr>
                <w:rFonts w:cs="Calibri"/>
                <w:bCs/>
              </w:rPr>
              <w:t xml:space="preserve">one hour will be set aside for the podium, including opening </w:t>
            </w:r>
            <w:r w:rsidRPr="00E97E94">
              <w:rPr>
                <w:rFonts w:cs="Calibri"/>
                <w:bCs/>
                <w:color w:val="000000"/>
              </w:rPr>
              <w:t xml:space="preserve">statements, panellist presentations, and their responses to </w:t>
            </w:r>
            <w:r w:rsidRPr="00E97E94">
              <w:rPr>
                <w:rFonts w:cs="Calibri"/>
                <w:bCs/>
              </w:rPr>
              <w:t xml:space="preserve">questions and concluding remarks. Speaking time limits for the panellists and guests, if any, will be calculated based on the maximum </w:t>
            </w:r>
            <w:proofErr w:type="gramStart"/>
            <w:r w:rsidRPr="00E97E94">
              <w:rPr>
                <w:rFonts w:cs="Calibri"/>
                <w:bCs/>
              </w:rPr>
              <w:t>one hour</w:t>
            </w:r>
            <w:proofErr w:type="gramEnd"/>
            <w:r w:rsidRPr="00E97E94">
              <w:rPr>
                <w:rFonts w:cs="Calibri"/>
                <w:bCs/>
              </w:rPr>
              <w:t xml:space="preserve"> limit for the podium. </w:t>
            </w:r>
          </w:p>
          <w:p w:rsidR="0007720A" w:rsidRPr="00E97E94" w:rsidRDefault="0007720A" w:rsidP="0007720A">
            <w:pPr>
              <w:spacing w:after="120" w:line="240" w:lineRule="auto"/>
              <w:jc w:val="both"/>
              <w:rPr>
                <w:rFonts w:cs="Calibri"/>
                <w:bCs/>
              </w:rPr>
            </w:pPr>
            <w:r w:rsidRPr="00E97E94">
              <w:rPr>
                <w:rFonts w:cs="Calibri"/>
                <w:bCs/>
              </w:rPr>
              <w:t xml:space="preserve">States and observers, including national human rights institutions (NHRIs) and non-governmental organizations (NGOs), intervening from the floor will also have a maximum of one hour. Each speaker will have two minutes to raise issues and to ask panellists questions. The list of speakers for the discussion </w:t>
            </w:r>
            <w:proofErr w:type="gramStart"/>
            <w:r w:rsidRPr="00E97E94">
              <w:rPr>
                <w:rFonts w:cs="Calibri"/>
                <w:bCs/>
              </w:rPr>
              <w:t>will be established</w:t>
            </w:r>
            <w:proofErr w:type="gramEnd"/>
            <w:r w:rsidRPr="00E97E94">
              <w:rPr>
                <w:rFonts w:cs="Calibri"/>
                <w:bCs/>
              </w:rPr>
              <w:t xml:space="preserve"> at the beginning of the panel and, as per practice, statements by high-level dignitaries and groups will be moved to the beginning of the list. </w:t>
            </w:r>
          </w:p>
          <w:p w:rsidR="0007720A" w:rsidRPr="00E97E94" w:rsidRDefault="0007720A" w:rsidP="0007720A">
            <w:pPr>
              <w:spacing w:after="120" w:line="240" w:lineRule="auto"/>
              <w:jc w:val="both"/>
              <w:rPr>
                <w:rFonts w:cs="Calibri"/>
                <w:bCs/>
              </w:rPr>
            </w:pPr>
            <w:r w:rsidRPr="00E97E94">
              <w:rPr>
                <w:rFonts w:cs="Calibri"/>
                <w:bCs/>
              </w:rPr>
              <w:t xml:space="preserve">The practice of having two slots for Member and observer States (2x12), NHRIs (2x1) and NGOs (2x2) will be maintained but the possibility for panellists to intervene in-between will depend entirely on the time used at the start of the panel. </w:t>
            </w:r>
          </w:p>
          <w:p w:rsidR="00625399" w:rsidRPr="000B2188" w:rsidRDefault="0007720A" w:rsidP="0007720A">
            <w:pPr>
              <w:spacing w:line="240" w:lineRule="auto"/>
              <w:jc w:val="both"/>
              <w:rPr>
                <w:rFonts w:ascii="Times New Roman" w:hAnsi="Times New Roman"/>
                <w:bCs/>
                <w:sz w:val="23"/>
                <w:szCs w:val="23"/>
                <w:lang w:val="en-US"/>
              </w:rPr>
            </w:pPr>
            <w:r w:rsidRPr="00E97E94">
              <w:rPr>
                <w:rFonts w:cs="Calibri"/>
                <w:bCs/>
              </w:rPr>
              <w:t xml:space="preserve">Interpretation </w:t>
            </w:r>
            <w:proofErr w:type="gramStart"/>
            <w:r w:rsidRPr="00E97E94">
              <w:rPr>
                <w:rFonts w:cs="Calibri"/>
                <w:bCs/>
              </w:rPr>
              <w:t>will be provided</w:t>
            </w:r>
            <w:proofErr w:type="gramEnd"/>
            <w:r w:rsidRPr="00E97E94">
              <w:rPr>
                <w:rFonts w:cs="Calibri"/>
                <w:bCs/>
              </w:rPr>
              <w:t xml:space="preserve"> in the six United Nations official languages (Arabic, Chinese, English, French, Russian and Spanish).</w:t>
            </w:r>
          </w:p>
        </w:tc>
      </w:tr>
      <w:tr w:rsidR="003E4646" w:rsidRPr="00283924" w:rsidTr="00304796">
        <w:tc>
          <w:tcPr>
            <w:tcW w:w="1450" w:type="dxa"/>
            <w:shd w:val="clear" w:color="auto" w:fill="auto"/>
          </w:tcPr>
          <w:p w:rsidR="003E4646" w:rsidRPr="003E4646" w:rsidRDefault="003E4646" w:rsidP="003E4646">
            <w:pPr>
              <w:spacing w:after="0" w:line="240" w:lineRule="auto"/>
              <w:rPr>
                <w:rFonts w:cs="Arial"/>
                <w:b/>
                <w:bCs/>
              </w:rPr>
            </w:pPr>
            <w:r w:rsidRPr="003E4646">
              <w:rPr>
                <w:rFonts w:cs="Arial"/>
                <w:b/>
                <w:bCs/>
              </w:rPr>
              <w:t>Accessibility</w:t>
            </w:r>
            <w:r w:rsidR="00E85BC1">
              <w:rPr>
                <w:rFonts w:cs="Arial"/>
                <w:b/>
                <w:bCs/>
              </w:rPr>
              <w:t>:</w:t>
            </w:r>
          </w:p>
          <w:p w:rsidR="003E4646" w:rsidRPr="00283924" w:rsidRDefault="003E4646" w:rsidP="00304796">
            <w:pPr>
              <w:spacing w:after="0" w:line="240" w:lineRule="auto"/>
              <w:rPr>
                <w:rFonts w:cs="Arial"/>
                <w:b/>
              </w:rPr>
            </w:pPr>
          </w:p>
        </w:tc>
        <w:tc>
          <w:tcPr>
            <w:tcW w:w="8756" w:type="dxa"/>
            <w:shd w:val="clear" w:color="auto" w:fill="auto"/>
          </w:tcPr>
          <w:p w:rsidR="003E4646" w:rsidRPr="00445652" w:rsidRDefault="00084ADC" w:rsidP="00AF4B70">
            <w:pPr>
              <w:spacing w:line="240" w:lineRule="auto"/>
              <w:jc w:val="both"/>
              <w:rPr>
                <w:bCs/>
                <w:lang w:val="en-US"/>
              </w:rPr>
            </w:pPr>
            <w:r w:rsidRPr="00084ADC">
              <w:rPr>
                <w:bCs/>
                <w:lang w:val="en-US"/>
              </w:rPr>
              <w:t xml:space="preserve">In an effort to render the Human Rights Council more accessible to persons with disabilities and to promote their full participation in the work of the Council on an equal basis with others, the panel </w:t>
            </w:r>
            <w:proofErr w:type="gramStart"/>
            <w:r w:rsidRPr="00084ADC">
              <w:rPr>
                <w:bCs/>
                <w:lang w:val="en-US"/>
              </w:rPr>
              <w:t>will be made</w:t>
            </w:r>
            <w:proofErr w:type="gramEnd"/>
            <w:r w:rsidRPr="00084ADC">
              <w:rPr>
                <w:bCs/>
                <w:lang w:val="en-US"/>
              </w:rPr>
              <w:t xml:space="preserve"> accessible to persons with disabilities. During the debate, international sign interpretation and real-time captioning will be provided and webcasted. In room XX, four seats </w:t>
            </w:r>
            <w:proofErr w:type="gramStart"/>
            <w:r w:rsidRPr="00084ADC">
              <w:rPr>
                <w:bCs/>
                <w:lang w:val="en-US"/>
              </w:rPr>
              <w:t>are reserved</w:t>
            </w:r>
            <w:proofErr w:type="gramEnd"/>
            <w:r w:rsidRPr="00084ADC">
              <w:rPr>
                <w:bCs/>
                <w:lang w:val="en-US"/>
              </w:rPr>
              <w:t xml:space="preserve"> for participants using wheelchairs, in the seventh (last) row. Hearing loops are available for collection from the Accessibility focal point at the Secretariat desk. Oral statements </w:t>
            </w:r>
            <w:proofErr w:type="gramStart"/>
            <w:r w:rsidRPr="00084ADC">
              <w:rPr>
                <w:bCs/>
                <w:lang w:val="en-US"/>
              </w:rPr>
              <w:t>may be embossed</w:t>
            </w:r>
            <w:proofErr w:type="gramEnd"/>
            <w:r w:rsidRPr="00084ADC">
              <w:rPr>
                <w:bCs/>
                <w:lang w:val="en-US"/>
              </w:rPr>
              <w:t xml:space="preserve"> in Braille from any of the six official languages of the United Nations, upon </w:t>
            </w:r>
            <w:r w:rsidRPr="00084ADC">
              <w:rPr>
                <w:bCs/>
                <w:lang w:val="en-US"/>
              </w:rPr>
              <w:lastRenderedPageBreak/>
              <w:t>request and following the procedure described in the “Accessibility guide to the Human Rights Council for persons w</w:t>
            </w:r>
            <w:r>
              <w:rPr>
                <w:bCs/>
                <w:lang w:val="en-US"/>
              </w:rPr>
              <w:t xml:space="preserve">ith </w:t>
            </w:r>
            <w:r w:rsidRPr="00AF4B70">
              <w:rPr>
                <w:bCs/>
                <w:lang w:val="en-US"/>
              </w:rPr>
              <w:t>disabilities”.</w:t>
            </w:r>
            <w:r w:rsidRPr="00AF4B70">
              <w:rPr>
                <w:rStyle w:val="FootnoteReference"/>
                <w:bCs/>
                <w:lang w:val="en-US"/>
              </w:rPr>
              <w:footnoteReference w:id="2"/>
            </w:r>
          </w:p>
        </w:tc>
      </w:tr>
      <w:tr w:rsidR="00625399" w:rsidRPr="00283924" w:rsidTr="00304796">
        <w:tc>
          <w:tcPr>
            <w:tcW w:w="1450" w:type="dxa"/>
            <w:shd w:val="clear" w:color="auto" w:fill="auto"/>
          </w:tcPr>
          <w:p w:rsidR="00625399" w:rsidRPr="00283924" w:rsidRDefault="00625399" w:rsidP="00304796">
            <w:pPr>
              <w:spacing w:after="0" w:line="240" w:lineRule="auto"/>
              <w:rPr>
                <w:rFonts w:cs="Arial"/>
                <w:b/>
              </w:rPr>
            </w:pPr>
            <w:r w:rsidRPr="00283924">
              <w:rPr>
                <w:rFonts w:cs="Arial"/>
                <w:b/>
              </w:rPr>
              <w:lastRenderedPageBreak/>
              <w:t>Background:</w:t>
            </w:r>
          </w:p>
        </w:tc>
        <w:tc>
          <w:tcPr>
            <w:tcW w:w="8756" w:type="dxa"/>
            <w:shd w:val="clear" w:color="auto" w:fill="auto"/>
          </w:tcPr>
          <w:p w:rsidR="00E37C8F" w:rsidRDefault="00E37C8F" w:rsidP="00A20645">
            <w:pPr>
              <w:spacing w:line="240" w:lineRule="auto"/>
              <w:jc w:val="both"/>
              <w:rPr>
                <w:bCs/>
                <w:lang w:val="en-US"/>
              </w:rPr>
            </w:pPr>
            <w:r w:rsidRPr="00E37C8F">
              <w:rPr>
                <w:bCs/>
                <w:lang w:val="en-US"/>
              </w:rPr>
              <w:t>The Convention on the Rights of Persons with Disabilities is the first international human rights instrument that enshrines an explicit right to access to justice. It calls for the elimination of obstacles and barriers faced by persons with disabilities in accessing justice on an equal basis with others, and innovates on previous standards developed under international human rights law. The Convention not only clarifies what access to justice means for persons with disabilities, but also upholds equal and effective participation at all stages of and in every role within the justice system as a core element of the right to access to justice. The Convention thereby expands this right beyond the notions of a fair trial and effective remedies which have been the principal features put forward by human rights instruments and their monitoring bodies.</w:t>
            </w:r>
          </w:p>
          <w:p w:rsidR="00A20645" w:rsidRPr="00A20645" w:rsidRDefault="00A20645" w:rsidP="00A20645">
            <w:pPr>
              <w:spacing w:line="240" w:lineRule="auto"/>
              <w:jc w:val="both"/>
              <w:rPr>
                <w:bCs/>
                <w:lang w:val="en-US"/>
              </w:rPr>
            </w:pPr>
            <w:r w:rsidRPr="00A20645">
              <w:rPr>
                <w:bCs/>
                <w:lang w:val="en-US"/>
              </w:rPr>
              <w:t xml:space="preserve">Article </w:t>
            </w:r>
            <w:r w:rsidR="00E37C8F">
              <w:rPr>
                <w:bCs/>
                <w:lang w:val="en-US"/>
              </w:rPr>
              <w:t>13</w:t>
            </w:r>
            <w:r w:rsidRPr="00A20645">
              <w:rPr>
                <w:bCs/>
                <w:lang w:val="en-US"/>
              </w:rPr>
              <w:t xml:space="preserve"> of the </w:t>
            </w:r>
            <w:r w:rsidR="00E85BC1">
              <w:rPr>
                <w:bCs/>
                <w:lang w:val="en-US"/>
              </w:rPr>
              <w:t>Convention</w:t>
            </w:r>
            <w:r w:rsidRPr="00A20645">
              <w:rPr>
                <w:bCs/>
                <w:lang w:val="en-US"/>
              </w:rPr>
              <w:t xml:space="preserve"> </w:t>
            </w:r>
            <w:r w:rsidR="00E37C8F" w:rsidRPr="00E37C8F">
              <w:rPr>
                <w:bCs/>
                <w:lang w:val="en-US"/>
              </w:rPr>
              <w:t>underscores the fact that access to justice for persons with disabilities entails not only the removal of barriers to ensure access to legal proceedings to seek and obtain appropriate remedies on an equal basis with others, but also the promotion of the active involvement and participation of persons with disabilities in the administration of justice</w:t>
            </w:r>
            <w:r w:rsidRPr="00A20645">
              <w:rPr>
                <w:bCs/>
                <w:lang w:val="en-US"/>
              </w:rPr>
              <w:t>.</w:t>
            </w:r>
          </w:p>
          <w:p w:rsidR="00E37C8F" w:rsidRDefault="00E37C8F" w:rsidP="00DA5418">
            <w:pPr>
              <w:spacing w:line="240" w:lineRule="auto"/>
              <w:jc w:val="both"/>
              <w:rPr>
                <w:bCs/>
                <w:lang w:val="en-US"/>
              </w:rPr>
            </w:pPr>
            <w:r w:rsidRPr="00E37C8F">
              <w:rPr>
                <w:bCs/>
                <w:lang w:val="en-US"/>
              </w:rPr>
              <w:t xml:space="preserve">Goal 16 of the 2030 Agenda for Sustainable Development calls for promoting the rule of law and ensuring equal access to justice for all. Member States have a unique opportunity to implement article 13 of the Convention as part of their strategy to accomplish the goals of the 2030 Agenda. In order to “leave no one behind”, Member States commit to the principles of equality and non-discrimination, including for persons with disabilities, as a </w:t>
            </w:r>
            <w:proofErr w:type="gramStart"/>
            <w:r w:rsidRPr="00E37C8F">
              <w:rPr>
                <w:bCs/>
                <w:lang w:val="en-US"/>
              </w:rPr>
              <w:t>cross-cutting</w:t>
            </w:r>
            <w:proofErr w:type="gramEnd"/>
            <w:r w:rsidRPr="00E37C8F">
              <w:rPr>
                <w:bCs/>
                <w:lang w:val="en-US"/>
              </w:rPr>
              <w:t xml:space="preserve"> feature of all Sustainable Development Goals. </w:t>
            </w:r>
          </w:p>
          <w:p w:rsidR="00625399" w:rsidRPr="003373C5" w:rsidRDefault="00A20645" w:rsidP="00E81023">
            <w:pPr>
              <w:spacing w:line="240" w:lineRule="auto"/>
              <w:jc w:val="both"/>
              <w:rPr>
                <w:bCs/>
                <w:lang w:val="en-US"/>
              </w:rPr>
            </w:pPr>
            <w:proofErr w:type="gramStart"/>
            <w:r w:rsidRPr="00A20645">
              <w:rPr>
                <w:bCs/>
                <w:lang w:val="en-US"/>
              </w:rPr>
              <w:t xml:space="preserve">In order to comply with Article 5 of the </w:t>
            </w:r>
            <w:r w:rsidR="00E81023">
              <w:rPr>
                <w:bCs/>
                <w:lang w:val="en-US"/>
              </w:rPr>
              <w:t>Convention</w:t>
            </w:r>
            <w:r w:rsidRPr="00A20645">
              <w:rPr>
                <w:bCs/>
                <w:lang w:val="en-US"/>
              </w:rPr>
              <w:t>, States, in consultation with persons with disabilities and their repres</w:t>
            </w:r>
            <w:r>
              <w:rPr>
                <w:bCs/>
                <w:lang w:val="en-US"/>
              </w:rPr>
              <w:t>entative organizations, should: (</w:t>
            </w:r>
            <w:proofErr w:type="spellStart"/>
            <w:r>
              <w:rPr>
                <w:bCs/>
                <w:lang w:val="en-US"/>
              </w:rPr>
              <w:t>i</w:t>
            </w:r>
            <w:proofErr w:type="spellEnd"/>
            <w:r>
              <w:rPr>
                <w:bCs/>
                <w:lang w:val="en-US"/>
              </w:rPr>
              <w:t xml:space="preserve">) </w:t>
            </w:r>
            <w:r w:rsidR="00945D15" w:rsidRPr="003373C5">
              <w:rPr>
                <w:bCs/>
                <w:lang w:val="en-US"/>
              </w:rPr>
              <w:t>recognize the administration of justice as an integral part of governance in which participation of persons with disabilities is key to promoting citizenship</w:t>
            </w:r>
            <w:r>
              <w:rPr>
                <w:bCs/>
                <w:lang w:val="en-US"/>
              </w:rPr>
              <w:t xml:space="preserve">; (ii) </w:t>
            </w:r>
            <w:r w:rsidR="00945D15" w:rsidRPr="00945D15">
              <w:rPr>
                <w:bCs/>
                <w:lang w:val="en-US"/>
              </w:rPr>
              <w:t>modify civil, criminal and procedural laws which prevent persons with disabilities from directly or indirectly participating in judicial or administrative processes on an equal basis with others</w:t>
            </w:r>
            <w:r w:rsidR="00DA5418">
              <w:rPr>
                <w:bCs/>
                <w:lang w:val="en-US"/>
              </w:rPr>
              <w:t xml:space="preserve">; (iii) </w:t>
            </w:r>
            <w:r w:rsidR="00945D15" w:rsidRPr="00945D15">
              <w:rPr>
                <w:bCs/>
                <w:lang w:val="en-US"/>
              </w:rPr>
              <w:t xml:space="preserve">implement laws and policies that ensure that information needed to </w:t>
            </w:r>
            <w:r w:rsidR="00F8774A">
              <w:rPr>
                <w:bCs/>
                <w:lang w:val="en-US"/>
              </w:rPr>
              <w:t xml:space="preserve">claim </w:t>
            </w:r>
            <w:r w:rsidR="00945D15" w:rsidRPr="00945D15">
              <w:rPr>
                <w:bCs/>
                <w:lang w:val="en-US"/>
              </w:rPr>
              <w:t>rights is accessible, and that free and affordable legal aid is provided to persons with disabilities in all areas of law</w:t>
            </w:r>
            <w:r w:rsidR="00945D15">
              <w:rPr>
                <w:bCs/>
                <w:lang w:val="en-US"/>
              </w:rPr>
              <w:t>;</w:t>
            </w:r>
            <w:r w:rsidR="00DA5418">
              <w:rPr>
                <w:bCs/>
                <w:lang w:val="en-US"/>
              </w:rPr>
              <w:t xml:space="preserve"> (iv) </w:t>
            </w:r>
            <w:r w:rsidR="00945D15" w:rsidRPr="003373C5">
              <w:rPr>
                <w:bCs/>
                <w:lang w:val="en-US"/>
              </w:rPr>
              <w:t>provide procedural accommodations when necessary, in all their forms and in all legal proceedings</w:t>
            </w:r>
            <w:r w:rsidR="00DA5418">
              <w:rPr>
                <w:bCs/>
                <w:lang w:val="en-US"/>
              </w:rPr>
              <w:t xml:space="preserve">; (v) </w:t>
            </w:r>
            <w:r w:rsidR="00611D7F">
              <w:rPr>
                <w:bCs/>
                <w:lang w:val="en-US"/>
              </w:rPr>
              <w:t xml:space="preserve">ensure that persons with disabilities can seek and obtain effective remedies tailored to their specific </w:t>
            </w:r>
            <w:r w:rsidR="00F8774A">
              <w:rPr>
                <w:bCs/>
                <w:lang w:val="en-US"/>
              </w:rPr>
              <w:t>situations</w:t>
            </w:r>
            <w:r w:rsidR="00611D7F">
              <w:rPr>
                <w:bCs/>
                <w:lang w:val="en-US"/>
              </w:rPr>
              <w:t xml:space="preserve">; (vi) </w:t>
            </w:r>
            <w:r w:rsidR="00945D15" w:rsidRPr="003373C5">
              <w:rPr>
                <w:bCs/>
                <w:lang w:val="en-US"/>
              </w:rPr>
              <w:t xml:space="preserve">collect and </w:t>
            </w:r>
            <w:proofErr w:type="spellStart"/>
            <w:r w:rsidR="00945D15" w:rsidRPr="003373C5">
              <w:rPr>
                <w:bCs/>
                <w:lang w:val="en-US"/>
              </w:rPr>
              <w:t>analyse</w:t>
            </w:r>
            <w:proofErr w:type="spellEnd"/>
            <w:r w:rsidR="00945D15" w:rsidRPr="003373C5">
              <w:rPr>
                <w:bCs/>
                <w:lang w:val="en-US"/>
              </w:rPr>
              <w:t xml:space="preserve"> disaggregated data on human rights violations against persons with disabilities and on how the justice system is providing access to a fair trial and effective remedies</w:t>
            </w:r>
            <w:r w:rsidR="00611D7F">
              <w:rPr>
                <w:bCs/>
                <w:lang w:val="en-US"/>
              </w:rPr>
              <w:t>, among others</w:t>
            </w:r>
            <w:r w:rsidRPr="00A20645">
              <w:rPr>
                <w:bCs/>
                <w:lang w:val="en-US"/>
              </w:rPr>
              <w:t>.</w:t>
            </w:r>
            <w:proofErr w:type="gramEnd"/>
            <w:r w:rsidR="00625399" w:rsidRPr="00445652">
              <w:rPr>
                <w:bCs/>
                <w:lang w:val="en-US"/>
              </w:rPr>
              <w:t xml:space="preserve"> </w:t>
            </w:r>
          </w:p>
        </w:tc>
      </w:tr>
      <w:tr w:rsidR="00625399" w:rsidRPr="00283924" w:rsidTr="00304796">
        <w:tc>
          <w:tcPr>
            <w:tcW w:w="1450" w:type="dxa"/>
            <w:shd w:val="clear" w:color="auto" w:fill="auto"/>
          </w:tcPr>
          <w:p w:rsidR="00625399" w:rsidRPr="00283924" w:rsidRDefault="00625399" w:rsidP="004450A8">
            <w:pPr>
              <w:spacing w:after="0" w:line="240" w:lineRule="auto"/>
              <w:rPr>
                <w:rFonts w:cs="Arial"/>
                <w:b/>
              </w:rPr>
            </w:pPr>
            <w:r w:rsidRPr="00283924">
              <w:rPr>
                <w:rFonts w:cs="Arial"/>
                <w:b/>
              </w:rPr>
              <w:t>Background documents:</w:t>
            </w:r>
          </w:p>
        </w:tc>
        <w:tc>
          <w:tcPr>
            <w:tcW w:w="8756" w:type="dxa"/>
            <w:shd w:val="clear" w:color="auto" w:fill="auto"/>
          </w:tcPr>
          <w:p w:rsidR="00FE02CA" w:rsidRDefault="00D507CE" w:rsidP="006F76CB">
            <w:pPr>
              <w:numPr>
                <w:ilvl w:val="0"/>
                <w:numId w:val="7"/>
              </w:numPr>
              <w:spacing w:after="60" w:line="240" w:lineRule="auto"/>
              <w:ind w:left="357" w:hanging="357"/>
              <w:rPr>
                <w:bCs/>
                <w:lang w:val="en-US"/>
              </w:rPr>
            </w:pPr>
            <w:hyperlink r:id="rId11" w:history="1">
              <w:r w:rsidR="00FE02CA" w:rsidRPr="00FE02CA">
                <w:rPr>
                  <w:rStyle w:val="Hyperlink"/>
                  <w:bCs/>
                  <w:lang w:val="en-US"/>
                </w:rPr>
                <w:t>Human Rights Council resolution 7/9</w:t>
              </w:r>
            </w:hyperlink>
            <w:r w:rsidR="00FE02CA">
              <w:rPr>
                <w:bCs/>
                <w:lang w:val="en-US"/>
              </w:rPr>
              <w:t xml:space="preserve"> </w:t>
            </w:r>
            <w:r w:rsidR="00B81D93">
              <w:rPr>
                <w:bCs/>
                <w:lang w:val="en-US"/>
              </w:rPr>
              <w:t xml:space="preserve">of </w:t>
            </w:r>
            <w:r w:rsidR="00B81D93" w:rsidRPr="00B81D93">
              <w:rPr>
                <w:bCs/>
                <w:lang w:val="en-US"/>
              </w:rPr>
              <w:t>27 March 2008</w:t>
            </w:r>
            <w:r w:rsidR="00B81D93">
              <w:rPr>
                <w:bCs/>
                <w:lang w:val="en-US"/>
              </w:rPr>
              <w:t xml:space="preserve"> </w:t>
            </w:r>
            <w:r w:rsidR="00FE02CA">
              <w:rPr>
                <w:bCs/>
                <w:lang w:val="en-US"/>
              </w:rPr>
              <w:t>on h</w:t>
            </w:r>
            <w:r w:rsidR="00FE02CA" w:rsidRPr="00FE02CA">
              <w:rPr>
                <w:bCs/>
                <w:lang w:val="en-US"/>
              </w:rPr>
              <w:t>uman rights of persons with disabilities</w:t>
            </w:r>
          </w:p>
          <w:p w:rsidR="000B2188" w:rsidRPr="00445652" w:rsidRDefault="00D507CE" w:rsidP="006F76CB">
            <w:pPr>
              <w:numPr>
                <w:ilvl w:val="0"/>
                <w:numId w:val="7"/>
              </w:numPr>
              <w:spacing w:after="60" w:line="240" w:lineRule="auto"/>
              <w:ind w:left="357" w:hanging="357"/>
              <w:rPr>
                <w:bCs/>
                <w:lang w:val="en-US"/>
              </w:rPr>
            </w:pPr>
            <w:hyperlink r:id="rId12" w:history="1">
              <w:r w:rsidR="000B2188" w:rsidRPr="00FE02CA">
                <w:rPr>
                  <w:rStyle w:val="Hyperlink"/>
                  <w:bCs/>
                  <w:lang w:val="en-US"/>
                </w:rPr>
                <w:t xml:space="preserve">Human Rights Council resolution </w:t>
              </w:r>
              <w:r w:rsidR="00DA5418">
                <w:rPr>
                  <w:rStyle w:val="Hyperlink"/>
                  <w:bCs/>
                  <w:lang w:val="en-US"/>
                </w:rPr>
                <w:t>31/6</w:t>
              </w:r>
            </w:hyperlink>
            <w:r w:rsidR="000B2188" w:rsidRPr="00445652">
              <w:rPr>
                <w:bCs/>
                <w:lang w:val="en-US"/>
              </w:rPr>
              <w:t xml:space="preserve"> </w:t>
            </w:r>
            <w:r w:rsidR="00B81D93">
              <w:rPr>
                <w:bCs/>
                <w:lang w:val="en-US"/>
              </w:rPr>
              <w:t xml:space="preserve">of </w:t>
            </w:r>
            <w:r w:rsidR="00B81D93" w:rsidRPr="00B81D93">
              <w:rPr>
                <w:bCs/>
                <w:lang w:val="en-US"/>
              </w:rPr>
              <w:t>23 March 2016</w:t>
            </w:r>
            <w:r w:rsidR="00B81D93">
              <w:rPr>
                <w:bCs/>
                <w:lang w:val="en-US"/>
              </w:rPr>
              <w:t xml:space="preserve"> </w:t>
            </w:r>
            <w:r w:rsidR="000B2188" w:rsidRPr="00445652">
              <w:rPr>
                <w:bCs/>
                <w:lang w:val="en-US"/>
              </w:rPr>
              <w:t xml:space="preserve">on the </w:t>
            </w:r>
            <w:r w:rsidR="00537F20" w:rsidRPr="00537F20">
              <w:rPr>
                <w:bCs/>
                <w:lang w:val="en-US"/>
              </w:rPr>
              <w:t>right</w:t>
            </w:r>
            <w:r w:rsidR="00DA5418">
              <w:rPr>
                <w:bCs/>
                <w:lang w:val="en-US"/>
              </w:rPr>
              <w:t>s</w:t>
            </w:r>
            <w:r w:rsidR="00537F20" w:rsidRPr="00537F20">
              <w:rPr>
                <w:bCs/>
                <w:lang w:val="en-US"/>
              </w:rPr>
              <w:t xml:space="preserve"> of persons with disabilities </w:t>
            </w:r>
            <w:r w:rsidR="00DA5418">
              <w:rPr>
                <w:bCs/>
                <w:lang w:val="en-US"/>
              </w:rPr>
              <w:t>in situations of risk and humanitarian emergencies</w:t>
            </w:r>
          </w:p>
          <w:p w:rsidR="00625399" w:rsidRDefault="00537F20" w:rsidP="006F76CB">
            <w:pPr>
              <w:numPr>
                <w:ilvl w:val="0"/>
                <w:numId w:val="7"/>
              </w:numPr>
              <w:spacing w:after="60" w:line="240" w:lineRule="auto"/>
              <w:ind w:left="357" w:hanging="357"/>
              <w:rPr>
                <w:bCs/>
                <w:lang w:val="en-US"/>
              </w:rPr>
            </w:pPr>
            <w:r>
              <w:rPr>
                <w:bCs/>
                <w:lang w:val="en-US"/>
              </w:rPr>
              <w:t>Report of the OHCHR</w:t>
            </w:r>
            <w:r w:rsidR="00AD382E">
              <w:rPr>
                <w:bCs/>
                <w:lang w:val="en-US"/>
              </w:rPr>
              <w:t xml:space="preserve"> on </w:t>
            </w:r>
            <w:bookmarkStart w:id="1" w:name="_Toc502062836"/>
            <w:r w:rsidR="00AD382E">
              <w:rPr>
                <w:bCs/>
                <w:lang w:val="en-US"/>
              </w:rPr>
              <w:t xml:space="preserve">the </w:t>
            </w:r>
            <w:r w:rsidR="00AF4B70">
              <w:rPr>
                <w:bCs/>
                <w:lang w:val="en-US"/>
              </w:rPr>
              <w:t>right</w:t>
            </w:r>
            <w:r w:rsidR="00AD382E" w:rsidRPr="00AD382E">
              <w:rPr>
                <w:bCs/>
              </w:rPr>
              <w:t xml:space="preserve"> to access to justice under article 13 of the Convention on the Rights of Persons with Disabilities</w:t>
            </w:r>
            <w:bookmarkEnd w:id="1"/>
            <w:r>
              <w:rPr>
                <w:bCs/>
                <w:lang w:val="en-US"/>
              </w:rPr>
              <w:t xml:space="preserve"> </w:t>
            </w:r>
            <w:r w:rsidR="000B2188" w:rsidRPr="00445652">
              <w:rPr>
                <w:bCs/>
                <w:lang w:val="en-US"/>
              </w:rPr>
              <w:t>(</w:t>
            </w:r>
            <w:hyperlink r:id="rId13" w:history="1">
              <w:r w:rsidR="00DA5418" w:rsidRPr="00B81D93">
                <w:rPr>
                  <w:rStyle w:val="Hyperlink"/>
                  <w:bCs/>
                  <w:lang w:val="en-US"/>
                </w:rPr>
                <w:t>A/HRC/3</w:t>
              </w:r>
              <w:r w:rsidR="00945D15">
                <w:rPr>
                  <w:rStyle w:val="Hyperlink"/>
                  <w:bCs/>
                  <w:lang w:val="en-US"/>
                </w:rPr>
                <w:t>7</w:t>
              </w:r>
              <w:r w:rsidR="00DA5418" w:rsidRPr="00B81D93">
                <w:rPr>
                  <w:rStyle w:val="Hyperlink"/>
                  <w:bCs/>
                  <w:lang w:val="en-US"/>
                </w:rPr>
                <w:t>/2</w:t>
              </w:r>
              <w:r w:rsidR="00945D15">
                <w:rPr>
                  <w:rStyle w:val="Hyperlink"/>
                  <w:bCs/>
                  <w:lang w:val="en-US"/>
                </w:rPr>
                <w:t>5</w:t>
              </w:r>
            </w:hyperlink>
            <w:r w:rsidR="000B2188" w:rsidRPr="00445652">
              <w:rPr>
                <w:bCs/>
                <w:lang w:val="en-US"/>
              </w:rPr>
              <w:t>)</w:t>
            </w:r>
          </w:p>
          <w:p w:rsidR="00B81D93" w:rsidRPr="00445652" w:rsidRDefault="00B81D93" w:rsidP="006F76CB">
            <w:pPr>
              <w:numPr>
                <w:ilvl w:val="0"/>
                <w:numId w:val="7"/>
              </w:numPr>
              <w:spacing w:after="60" w:line="240" w:lineRule="auto"/>
              <w:ind w:left="357" w:hanging="357"/>
              <w:rPr>
                <w:bCs/>
                <w:lang w:val="en-US"/>
              </w:rPr>
            </w:pPr>
            <w:r>
              <w:rPr>
                <w:bCs/>
                <w:lang w:val="en-US"/>
              </w:rPr>
              <w:t xml:space="preserve">OHCHR web page with </w:t>
            </w:r>
            <w:hyperlink r:id="rId14" w:history="1">
              <w:r w:rsidRPr="00AA4ABD">
                <w:rPr>
                  <w:rStyle w:val="Hyperlink"/>
                  <w:bCs/>
                  <w:lang w:val="en-US"/>
                </w:rPr>
                <w:t>studies, reports and papers on disability</w:t>
              </w:r>
            </w:hyperlink>
            <w:r>
              <w:rPr>
                <w:bCs/>
                <w:lang w:val="en-US"/>
              </w:rPr>
              <w:t xml:space="preserve"> </w:t>
            </w:r>
          </w:p>
        </w:tc>
      </w:tr>
    </w:tbl>
    <w:p w:rsidR="00FF74C5" w:rsidRPr="00283924" w:rsidRDefault="00FF74C5" w:rsidP="00FF74C5">
      <w:pPr>
        <w:spacing w:after="0" w:line="240" w:lineRule="auto"/>
        <w:rPr>
          <w:rFonts w:cs="Arial"/>
          <w:b/>
          <w:sz w:val="20"/>
          <w:szCs w:val="20"/>
          <w:u w:val="single"/>
        </w:rPr>
      </w:pPr>
    </w:p>
    <w:sectPr w:rsidR="00FF74C5" w:rsidRPr="00283924" w:rsidSect="009853EB">
      <w:footerReference w:type="default" r:id="rId15"/>
      <w:pgSz w:w="11906" w:h="16838"/>
      <w:pgMar w:top="709" w:right="1440" w:bottom="993" w:left="1440" w:header="708" w:footer="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451D" w:rsidRDefault="001A451D" w:rsidP="002F2CB9">
      <w:pPr>
        <w:spacing w:after="0" w:line="240" w:lineRule="auto"/>
      </w:pPr>
      <w:r>
        <w:separator/>
      </w:r>
    </w:p>
  </w:endnote>
  <w:endnote w:type="continuationSeparator" w:id="0">
    <w:p w:rsidR="001A451D" w:rsidRDefault="001A451D" w:rsidP="002F2C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3EB" w:rsidRDefault="009853EB">
    <w:pPr>
      <w:pStyle w:val="Footer"/>
      <w:jc w:val="center"/>
    </w:pPr>
    <w:r>
      <w:fldChar w:fldCharType="begin"/>
    </w:r>
    <w:r>
      <w:instrText xml:space="preserve"> PAGE   \* MERGEFORMAT </w:instrText>
    </w:r>
    <w:r>
      <w:fldChar w:fldCharType="separate"/>
    </w:r>
    <w:r w:rsidR="00D507CE">
      <w:rPr>
        <w:noProof/>
      </w:rPr>
      <w:t>2</w:t>
    </w:r>
    <w:r>
      <w:rPr>
        <w:noProof/>
      </w:rPr>
      <w:fldChar w:fldCharType="end"/>
    </w:r>
  </w:p>
  <w:p w:rsidR="009853EB" w:rsidRDefault="009853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451D" w:rsidRDefault="001A451D" w:rsidP="002F2CB9">
      <w:pPr>
        <w:spacing w:after="0" w:line="240" w:lineRule="auto"/>
      </w:pPr>
      <w:r>
        <w:separator/>
      </w:r>
    </w:p>
  </w:footnote>
  <w:footnote w:type="continuationSeparator" w:id="0">
    <w:p w:rsidR="001A451D" w:rsidRDefault="001A451D" w:rsidP="002F2CB9">
      <w:pPr>
        <w:spacing w:after="0" w:line="240" w:lineRule="auto"/>
      </w:pPr>
      <w:r>
        <w:continuationSeparator/>
      </w:r>
    </w:p>
  </w:footnote>
  <w:footnote w:id="1">
    <w:p w:rsidR="00CD3539" w:rsidRPr="00084ADC" w:rsidRDefault="00CD3539" w:rsidP="00DE4654">
      <w:pPr>
        <w:pStyle w:val="FootnoteText"/>
        <w:spacing w:after="0" w:line="240" w:lineRule="auto"/>
        <w:rPr>
          <w:rFonts w:asciiTheme="minorHAnsi" w:hAnsiTheme="minorHAnsi" w:cstheme="minorHAnsi"/>
        </w:rPr>
      </w:pPr>
      <w:r w:rsidRPr="00084ADC">
        <w:rPr>
          <w:rStyle w:val="FootnoteReference"/>
          <w:rFonts w:asciiTheme="minorHAnsi" w:hAnsiTheme="minorHAnsi" w:cstheme="minorHAnsi"/>
        </w:rPr>
        <w:footnoteRef/>
      </w:r>
      <w:r w:rsidRPr="00084ADC">
        <w:rPr>
          <w:rFonts w:asciiTheme="minorHAnsi" w:hAnsiTheme="minorHAnsi" w:cstheme="minorHAnsi"/>
        </w:rPr>
        <w:t xml:space="preserve"> See </w:t>
      </w:r>
      <w:hyperlink r:id="rId1" w:history="1">
        <w:r w:rsidR="00AF4B70" w:rsidRPr="004631CD">
          <w:rPr>
            <w:rStyle w:val="Hyperlink"/>
            <w:rFonts w:asciiTheme="minorHAnsi" w:hAnsiTheme="minorHAnsi" w:cstheme="minorHAnsi"/>
          </w:rPr>
          <w:t>http://www.ohchr.org/EN/Issues/Disability/Pages/StudiesReportsPapers.aspx</w:t>
        </w:r>
      </w:hyperlink>
      <w:r w:rsidR="00AF4B70">
        <w:rPr>
          <w:rFonts w:asciiTheme="minorHAnsi" w:hAnsiTheme="minorHAnsi" w:cstheme="minorHAnsi"/>
        </w:rPr>
        <w:t xml:space="preserve"> </w:t>
      </w:r>
    </w:p>
  </w:footnote>
  <w:footnote w:id="2">
    <w:p w:rsidR="00084ADC" w:rsidRPr="00084ADC" w:rsidRDefault="00084ADC">
      <w:pPr>
        <w:pStyle w:val="FootnoteText"/>
        <w:rPr>
          <w:rFonts w:asciiTheme="minorHAnsi" w:hAnsiTheme="minorHAnsi" w:cstheme="minorHAnsi"/>
        </w:rPr>
      </w:pPr>
      <w:r w:rsidRPr="00084ADC">
        <w:rPr>
          <w:rStyle w:val="FootnoteReference"/>
          <w:rFonts w:asciiTheme="minorHAnsi" w:hAnsiTheme="minorHAnsi" w:cstheme="minorHAnsi"/>
          <w:color w:val="000000" w:themeColor="text1"/>
        </w:rPr>
        <w:footnoteRef/>
      </w:r>
      <w:r w:rsidRPr="00084ADC">
        <w:rPr>
          <w:rFonts w:asciiTheme="minorHAnsi" w:hAnsiTheme="minorHAnsi" w:cstheme="minorHAnsi"/>
          <w:color w:val="000000" w:themeColor="text1"/>
        </w:rPr>
        <w:t xml:space="preserve"> </w:t>
      </w:r>
      <w:r w:rsidR="00AF4B70">
        <w:rPr>
          <w:rFonts w:asciiTheme="minorHAnsi" w:hAnsiTheme="minorHAnsi" w:cstheme="minorHAnsi"/>
          <w:color w:val="000000" w:themeColor="text1"/>
        </w:rPr>
        <w:t>Available on</w:t>
      </w:r>
      <w:r w:rsidRPr="00084ADC">
        <w:rPr>
          <w:rFonts w:asciiTheme="minorHAnsi" w:hAnsiTheme="minorHAnsi" w:cstheme="minorHAnsi"/>
        </w:rPr>
        <w:t xml:space="preserve"> </w:t>
      </w:r>
      <w:hyperlink r:id="rId2" w:history="1">
        <w:r w:rsidRPr="00084ADC">
          <w:rPr>
            <w:rStyle w:val="Hyperlink"/>
            <w:rFonts w:asciiTheme="minorHAnsi" w:hAnsiTheme="minorHAnsi" w:cstheme="minorHAnsi"/>
          </w:rPr>
          <w:t>http://www.ohchr.org/EN/HRBodies/HRC/Pages/Accessibility.aspx</w:t>
        </w:r>
      </w:hyperlink>
      <w:r w:rsidRPr="00084ADC">
        <w:rPr>
          <w:rFonts w:asciiTheme="minorHAnsi" w:hAnsiTheme="minorHAnsi" w:cstheme="minorHAnsi"/>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41267"/>
    <w:multiLevelType w:val="hybridMultilevel"/>
    <w:tmpl w:val="202EE2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92C1FAC"/>
    <w:multiLevelType w:val="hybridMultilevel"/>
    <w:tmpl w:val="980CA7A8"/>
    <w:lvl w:ilvl="0" w:tplc="52DAD7D4">
      <w:start w:val="1"/>
      <w:numFmt w:val="bullet"/>
      <w:lvlText w:val=""/>
      <w:lvlJc w:val="left"/>
      <w:pPr>
        <w:ind w:left="360" w:hanging="360"/>
      </w:pPr>
      <w:rPr>
        <w:rFonts w:ascii="Symbol" w:hAnsi="Symbol" w:hint="default"/>
        <w:lang w:val="en-GB"/>
      </w:rPr>
    </w:lvl>
    <w:lvl w:ilvl="1" w:tplc="0809000F">
      <w:start w:val="1"/>
      <w:numFmt w:val="decimal"/>
      <w:lvlText w:val="%2."/>
      <w:lvlJc w:val="left"/>
      <w:pPr>
        <w:ind w:left="1080" w:hanging="360"/>
      </w:pPr>
      <w:rPr>
        <w:rFonts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420B77"/>
    <w:multiLevelType w:val="hybridMultilevel"/>
    <w:tmpl w:val="CBDA0108"/>
    <w:lvl w:ilvl="0" w:tplc="E9EE0494">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F52BA6"/>
    <w:multiLevelType w:val="hybridMultilevel"/>
    <w:tmpl w:val="48B6FEB4"/>
    <w:lvl w:ilvl="0" w:tplc="C19C3694">
      <w:start w:val="1"/>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57211F"/>
    <w:multiLevelType w:val="hybridMultilevel"/>
    <w:tmpl w:val="C8B67482"/>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5613A9B"/>
    <w:multiLevelType w:val="hybridMultilevel"/>
    <w:tmpl w:val="32B49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C62DE0"/>
    <w:multiLevelType w:val="hybridMultilevel"/>
    <w:tmpl w:val="3AF08FF6"/>
    <w:lvl w:ilvl="0" w:tplc="81C4DFB8">
      <w:start w:val="1"/>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1B5F81"/>
    <w:multiLevelType w:val="hybridMultilevel"/>
    <w:tmpl w:val="40D0E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AC0421"/>
    <w:multiLevelType w:val="hybridMultilevel"/>
    <w:tmpl w:val="B7DAA4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52A795C"/>
    <w:multiLevelType w:val="hybridMultilevel"/>
    <w:tmpl w:val="11066B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ADF2D5B"/>
    <w:multiLevelType w:val="hybridMultilevel"/>
    <w:tmpl w:val="62A23B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8"/>
  </w:num>
  <w:num w:numId="2">
    <w:abstractNumId w:val="3"/>
  </w:num>
  <w:num w:numId="3">
    <w:abstractNumId w:val="6"/>
  </w:num>
  <w:num w:numId="4">
    <w:abstractNumId w:val="10"/>
  </w:num>
  <w:num w:numId="5">
    <w:abstractNumId w:val="0"/>
  </w:num>
  <w:num w:numId="6">
    <w:abstractNumId w:val="4"/>
  </w:num>
  <w:num w:numId="7">
    <w:abstractNumId w:val="9"/>
  </w:num>
  <w:num w:numId="8">
    <w:abstractNumId w:val="5"/>
  </w:num>
  <w:num w:numId="9">
    <w:abstractNumId w:val="2"/>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246"/>
    <w:rsid w:val="00033219"/>
    <w:rsid w:val="00053DA5"/>
    <w:rsid w:val="000716B3"/>
    <w:rsid w:val="00074CC4"/>
    <w:rsid w:val="00075A01"/>
    <w:rsid w:val="0007720A"/>
    <w:rsid w:val="00081178"/>
    <w:rsid w:val="00084ADC"/>
    <w:rsid w:val="00094A0B"/>
    <w:rsid w:val="00095EC7"/>
    <w:rsid w:val="000B2188"/>
    <w:rsid w:val="000B7CF9"/>
    <w:rsid w:val="000C6EBE"/>
    <w:rsid w:val="000D0318"/>
    <w:rsid w:val="000E1E0B"/>
    <w:rsid w:val="000F5AD6"/>
    <w:rsid w:val="000F5C6B"/>
    <w:rsid w:val="0010087D"/>
    <w:rsid w:val="00100CC5"/>
    <w:rsid w:val="0011279B"/>
    <w:rsid w:val="00115670"/>
    <w:rsid w:val="00127EC6"/>
    <w:rsid w:val="001329E4"/>
    <w:rsid w:val="00133749"/>
    <w:rsid w:val="00137B1A"/>
    <w:rsid w:val="00152095"/>
    <w:rsid w:val="00153A41"/>
    <w:rsid w:val="0015685E"/>
    <w:rsid w:val="00160B92"/>
    <w:rsid w:val="00165849"/>
    <w:rsid w:val="00166AC1"/>
    <w:rsid w:val="00166ADB"/>
    <w:rsid w:val="00172476"/>
    <w:rsid w:val="00187036"/>
    <w:rsid w:val="001900DD"/>
    <w:rsid w:val="00191CF5"/>
    <w:rsid w:val="001A1BF1"/>
    <w:rsid w:val="001A451D"/>
    <w:rsid w:val="001A772A"/>
    <w:rsid w:val="001B220F"/>
    <w:rsid w:val="001B7658"/>
    <w:rsid w:val="001B7BB9"/>
    <w:rsid w:val="001D1367"/>
    <w:rsid w:val="001D3CAC"/>
    <w:rsid w:val="001E14CD"/>
    <w:rsid w:val="001E42C3"/>
    <w:rsid w:val="001F000D"/>
    <w:rsid w:val="001F04AC"/>
    <w:rsid w:val="001F07C3"/>
    <w:rsid w:val="00200A6B"/>
    <w:rsid w:val="00200E2E"/>
    <w:rsid w:val="002021C7"/>
    <w:rsid w:val="00222BF2"/>
    <w:rsid w:val="002400DF"/>
    <w:rsid w:val="0024578D"/>
    <w:rsid w:val="00257AA8"/>
    <w:rsid w:val="00270795"/>
    <w:rsid w:val="002766C6"/>
    <w:rsid w:val="00276A4B"/>
    <w:rsid w:val="00277A97"/>
    <w:rsid w:val="00283924"/>
    <w:rsid w:val="00285E7B"/>
    <w:rsid w:val="00286B74"/>
    <w:rsid w:val="002A646E"/>
    <w:rsid w:val="002A729D"/>
    <w:rsid w:val="002B5E36"/>
    <w:rsid w:val="002C1D51"/>
    <w:rsid w:val="002C5A51"/>
    <w:rsid w:val="002F0868"/>
    <w:rsid w:val="002F2CB9"/>
    <w:rsid w:val="002F414D"/>
    <w:rsid w:val="002F7161"/>
    <w:rsid w:val="00304796"/>
    <w:rsid w:val="00304FA8"/>
    <w:rsid w:val="003057D7"/>
    <w:rsid w:val="00317B9D"/>
    <w:rsid w:val="003216FE"/>
    <w:rsid w:val="003373C5"/>
    <w:rsid w:val="0033753D"/>
    <w:rsid w:val="003437EF"/>
    <w:rsid w:val="0036235A"/>
    <w:rsid w:val="00367A44"/>
    <w:rsid w:val="003720D2"/>
    <w:rsid w:val="0037272E"/>
    <w:rsid w:val="00374A73"/>
    <w:rsid w:val="00377153"/>
    <w:rsid w:val="0038675A"/>
    <w:rsid w:val="00393554"/>
    <w:rsid w:val="00394BB7"/>
    <w:rsid w:val="00397B45"/>
    <w:rsid w:val="003A7917"/>
    <w:rsid w:val="003B19B8"/>
    <w:rsid w:val="003B5AC0"/>
    <w:rsid w:val="003C5825"/>
    <w:rsid w:val="003C687A"/>
    <w:rsid w:val="003D17C6"/>
    <w:rsid w:val="003D1999"/>
    <w:rsid w:val="003D29FB"/>
    <w:rsid w:val="003D5E3B"/>
    <w:rsid w:val="003E0F4B"/>
    <w:rsid w:val="003E4646"/>
    <w:rsid w:val="003E6201"/>
    <w:rsid w:val="003E7F68"/>
    <w:rsid w:val="003F2A6D"/>
    <w:rsid w:val="003F3580"/>
    <w:rsid w:val="003F4519"/>
    <w:rsid w:val="0040254A"/>
    <w:rsid w:val="00422A30"/>
    <w:rsid w:val="00425047"/>
    <w:rsid w:val="00426305"/>
    <w:rsid w:val="00436FB6"/>
    <w:rsid w:val="00442298"/>
    <w:rsid w:val="004431E7"/>
    <w:rsid w:val="0044451A"/>
    <w:rsid w:val="004450A8"/>
    <w:rsid w:val="00445652"/>
    <w:rsid w:val="00445E25"/>
    <w:rsid w:val="00452948"/>
    <w:rsid w:val="00454102"/>
    <w:rsid w:val="00454CD0"/>
    <w:rsid w:val="00456848"/>
    <w:rsid w:val="00457578"/>
    <w:rsid w:val="00470ED4"/>
    <w:rsid w:val="004717BC"/>
    <w:rsid w:val="00471EE0"/>
    <w:rsid w:val="00471F51"/>
    <w:rsid w:val="00472940"/>
    <w:rsid w:val="004810AD"/>
    <w:rsid w:val="004875BC"/>
    <w:rsid w:val="00491429"/>
    <w:rsid w:val="004A441E"/>
    <w:rsid w:val="004C0938"/>
    <w:rsid w:val="004C2AE3"/>
    <w:rsid w:val="004C6E4B"/>
    <w:rsid w:val="004D0A62"/>
    <w:rsid w:val="004D4A30"/>
    <w:rsid w:val="004D5CC8"/>
    <w:rsid w:val="004E536D"/>
    <w:rsid w:val="004F4D51"/>
    <w:rsid w:val="00500D80"/>
    <w:rsid w:val="005119FF"/>
    <w:rsid w:val="00524789"/>
    <w:rsid w:val="005317F8"/>
    <w:rsid w:val="00537F20"/>
    <w:rsid w:val="00551091"/>
    <w:rsid w:val="005626F3"/>
    <w:rsid w:val="00563F85"/>
    <w:rsid w:val="0057603F"/>
    <w:rsid w:val="005D2F50"/>
    <w:rsid w:val="005D652D"/>
    <w:rsid w:val="005D76D3"/>
    <w:rsid w:val="005F5078"/>
    <w:rsid w:val="005F6FE1"/>
    <w:rsid w:val="00600C0A"/>
    <w:rsid w:val="0060532B"/>
    <w:rsid w:val="006061E2"/>
    <w:rsid w:val="00611D7F"/>
    <w:rsid w:val="00617086"/>
    <w:rsid w:val="006217D0"/>
    <w:rsid w:val="00625399"/>
    <w:rsid w:val="006257D6"/>
    <w:rsid w:val="006302B7"/>
    <w:rsid w:val="006308C6"/>
    <w:rsid w:val="0064197D"/>
    <w:rsid w:val="00641991"/>
    <w:rsid w:val="0064432C"/>
    <w:rsid w:val="00650139"/>
    <w:rsid w:val="00661F1D"/>
    <w:rsid w:val="006A0398"/>
    <w:rsid w:val="006C0141"/>
    <w:rsid w:val="006C2C0B"/>
    <w:rsid w:val="006C4501"/>
    <w:rsid w:val="006D320D"/>
    <w:rsid w:val="006D4E3D"/>
    <w:rsid w:val="006F286F"/>
    <w:rsid w:val="006F76CB"/>
    <w:rsid w:val="006F7743"/>
    <w:rsid w:val="00700183"/>
    <w:rsid w:val="00702A37"/>
    <w:rsid w:val="00720D6C"/>
    <w:rsid w:val="00726F8C"/>
    <w:rsid w:val="00740ED4"/>
    <w:rsid w:val="00747AB9"/>
    <w:rsid w:val="007535CC"/>
    <w:rsid w:val="00761B98"/>
    <w:rsid w:val="007846C2"/>
    <w:rsid w:val="007A1369"/>
    <w:rsid w:val="007A2709"/>
    <w:rsid w:val="007A79C0"/>
    <w:rsid w:val="007C7AFA"/>
    <w:rsid w:val="007E690A"/>
    <w:rsid w:val="007F299D"/>
    <w:rsid w:val="00810714"/>
    <w:rsid w:val="0082232A"/>
    <w:rsid w:val="00822C88"/>
    <w:rsid w:val="00823887"/>
    <w:rsid w:val="00834A2E"/>
    <w:rsid w:val="008522C6"/>
    <w:rsid w:val="00855A63"/>
    <w:rsid w:val="00856CCF"/>
    <w:rsid w:val="00860903"/>
    <w:rsid w:val="00861610"/>
    <w:rsid w:val="00862E42"/>
    <w:rsid w:val="008759C3"/>
    <w:rsid w:val="00887CA1"/>
    <w:rsid w:val="0089015B"/>
    <w:rsid w:val="00896501"/>
    <w:rsid w:val="008A3AF0"/>
    <w:rsid w:val="008B26BD"/>
    <w:rsid w:val="008B3941"/>
    <w:rsid w:val="008B48DB"/>
    <w:rsid w:val="008C7EE0"/>
    <w:rsid w:val="008F0D72"/>
    <w:rsid w:val="008F44F1"/>
    <w:rsid w:val="00901CDA"/>
    <w:rsid w:val="009021C4"/>
    <w:rsid w:val="0090286A"/>
    <w:rsid w:val="009238A1"/>
    <w:rsid w:val="00924548"/>
    <w:rsid w:val="00932A24"/>
    <w:rsid w:val="00935870"/>
    <w:rsid w:val="00945D15"/>
    <w:rsid w:val="00952C3E"/>
    <w:rsid w:val="009536D9"/>
    <w:rsid w:val="009568F6"/>
    <w:rsid w:val="00980162"/>
    <w:rsid w:val="00980DA6"/>
    <w:rsid w:val="009853EB"/>
    <w:rsid w:val="00987656"/>
    <w:rsid w:val="00991EA6"/>
    <w:rsid w:val="0099267E"/>
    <w:rsid w:val="009942D8"/>
    <w:rsid w:val="009A323B"/>
    <w:rsid w:val="009A7F53"/>
    <w:rsid w:val="009B0F2A"/>
    <w:rsid w:val="009C05D5"/>
    <w:rsid w:val="009C06DD"/>
    <w:rsid w:val="009C24CE"/>
    <w:rsid w:val="009C5A79"/>
    <w:rsid w:val="009D1554"/>
    <w:rsid w:val="009D7F38"/>
    <w:rsid w:val="009E08AC"/>
    <w:rsid w:val="009E6855"/>
    <w:rsid w:val="009F0FDF"/>
    <w:rsid w:val="009F2971"/>
    <w:rsid w:val="00A06BBB"/>
    <w:rsid w:val="00A20605"/>
    <w:rsid w:val="00A20645"/>
    <w:rsid w:val="00A25225"/>
    <w:rsid w:val="00A256DB"/>
    <w:rsid w:val="00A41007"/>
    <w:rsid w:val="00A415A3"/>
    <w:rsid w:val="00A53BF2"/>
    <w:rsid w:val="00A718A0"/>
    <w:rsid w:val="00A778CA"/>
    <w:rsid w:val="00A80D2A"/>
    <w:rsid w:val="00A82CE9"/>
    <w:rsid w:val="00A84547"/>
    <w:rsid w:val="00A8699A"/>
    <w:rsid w:val="00A90F07"/>
    <w:rsid w:val="00AA09DC"/>
    <w:rsid w:val="00AA4ABD"/>
    <w:rsid w:val="00AB4A1A"/>
    <w:rsid w:val="00AC10D2"/>
    <w:rsid w:val="00AC6C25"/>
    <w:rsid w:val="00AC754B"/>
    <w:rsid w:val="00AD225B"/>
    <w:rsid w:val="00AD382E"/>
    <w:rsid w:val="00AE3CAC"/>
    <w:rsid w:val="00AE4A0C"/>
    <w:rsid w:val="00AE5C5C"/>
    <w:rsid w:val="00AF4B70"/>
    <w:rsid w:val="00B03CCB"/>
    <w:rsid w:val="00B10BDA"/>
    <w:rsid w:val="00B22AA3"/>
    <w:rsid w:val="00B24ED5"/>
    <w:rsid w:val="00B32B42"/>
    <w:rsid w:val="00B36752"/>
    <w:rsid w:val="00B367C6"/>
    <w:rsid w:val="00B4016A"/>
    <w:rsid w:val="00B614C5"/>
    <w:rsid w:val="00B81D93"/>
    <w:rsid w:val="00B82A87"/>
    <w:rsid w:val="00B864FC"/>
    <w:rsid w:val="00B920BF"/>
    <w:rsid w:val="00B93758"/>
    <w:rsid w:val="00B94441"/>
    <w:rsid w:val="00BB096A"/>
    <w:rsid w:val="00BC3C13"/>
    <w:rsid w:val="00BD1118"/>
    <w:rsid w:val="00BD71E6"/>
    <w:rsid w:val="00C12E64"/>
    <w:rsid w:val="00C138B6"/>
    <w:rsid w:val="00C14920"/>
    <w:rsid w:val="00C15149"/>
    <w:rsid w:val="00C16956"/>
    <w:rsid w:val="00C240E2"/>
    <w:rsid w:val="00C34D82"/>
    <w:rsid w:val="00C36AA3"/>
    <w:rsid w:val="00C42EEF"/>
    <w:rsid w:val="00C53FC9"/>
    <w:rsid w:val="00C54EC7"/>
    <w:rsid w:val="00C55383"/>
    <w:rsid w:val="00C61F42"/>
    <w:rsid w:val="00C8027D"/>
    <w:rsid w:val="00C821B6"/>
    <w:rsid w:val="00C84FCA"/>
    <w:rsid w:val="00C85246"/>
    <w:rsid w:val="00C94C3B"/>
    <w:rsid w:val="00CB358C"/>
    <w:rsid w:val="00CC4D95"/>
    <w:rsid w:val="00CC51A6"/>
    <w:rsid w:val="00CD3539"/>
    <w:rsid w:val="00CD68DA"/>
    <w:rsid w:val="00CE0A4E"/>
    <w:rsid w:val="00CE575B"/>
    <w:rsid w:val="00CE7B0E"/>
    <w:rsid w:val="00D055A1"/>
    <w:rsid w:val="00D114C0"/>
    <w:rsid w:val="00D17A96"/>
    <w:rsid w:val="00D223D8"/>
    <w:rsid w:val="00D30CFA"/>
    <w:rsid w:val="00D35A1A"/>
    <w:rsid w:val="00D507CE"/>
    <w:rsid w:val="00D51B4D"/>
    <w:rsid w:val="00D51F24"/>
    <w:rsid w:val="00D55804"/>
    <w:rsid w:val="00D5580F"/>
    <w:rsid w:val="00D65B6F"/>
    <w:rsid w:val="00D662BC"/>
    <w:rsid w:val="00D70DD0"/>
    <w:rsid w:val="00D76263"/>
    <w:rsid w:val="00D8667E"/>
    <w:rsid w:val="00D90D81"/>
    <w:rsid w:val="00D95F36"/>
    <w:rsid w:val="00D9625A"/>
    <w:rsid w:val="00DA48D2"/>
    <w:rsid w:val="00DA5418"/>
    <w:rsid w:val="00DA6F56"/>
    <w:rsid w:val="00DB08FA"/>
    <w:rsid w:val="00DB595A"/>
    <w:rsid w:val="00DC16B5"/>
    <w:rsid w:val="00DC3265"/>
    <w:rsid w:val="00DC5FE6"/>
    <w:rsid w:val="00DC641C"/>
    <w:rsid w:val="00DD244C"/>
    <w:rsid w:val="00DD37FE"/>
    <w:rsid w:val="00DE4654"/>
    <w:rsid w:val="00DE517B"/>
    <w:rsid w:val="00DE58C7"/>
    <w:rsid w:val="00DE6C2D"/>
    <w:rsid w:val="00E02876"/>
    <w:rsid w:val="00E06E67"/>
    <w:rsid w:val="00E125FF"/>
    <w:rsid w:val="00E14472"/>
    <w:rsid w:val="00E15C80"/>
    <w:rsid w:val="00E2300A"/>
    <w:rsid w:val="00E24E68"/>
    <w:rsid w:val="00E2648C"/>
    <w:rsid w:val="00E35896"/>
    <w:rsid w:val="00E37C8F"/>
    <w:rsid w:val="00E424BD"/>
    <w:rsid w:val="00E43218"/>
    <w:rsid w:val="00E7173D"/>
    <w:rsid w:val="00E80181"/>
    <w:rsid w:val="00E80485"/>
    <w:rsid w:val="00E808CB"/>
    <w:rsid w:val="00E81023"/>
    <w:rsid w:val="00E8185D"/>
    <w:rsid w:val="00E859EC"/>
    <w:rsid w:val="00E85BC1"/>
    <w:rsid w:val="00EA6568"/>
    <w:rsid w:val="00EB1A20"/>
    <w:rsid w:val="00EB2393"/>
    <w:rsid w:val="00EB7324"/>
    <w:rsid w:val="00EC0DE0"/>
    <w:rsid w:val="00EC5D87"/>
    <w:rsid w:val="00EC6F0F"/>
    <w:rsid w:val="00ED583A"/>
    <w:rsid w:val="00EE1510"/>
    <w:rsid w:val="00EF27C0"/>
    <w:rsid w:val="00EF285B"/>
    <w:rsid w:val="00EF700F"/>
    <w:rsid w:val="00F0240C"/>
    <w:rsid w:val="00F026D9"/>
    <w:rsid w:val="00F068F2"/>
    <w:rsid w:val="00F26495"/>
    <w:rsid w:val="00F37ABD"/>
    <w:rsid w:val="00F638DA"/>
    <w:rsid w:val="00F7623F"/>
    <w:rsid w:val="00F8774A"/>
    <w:rsid w:val="00F904BD"/>
    <w:rsid w:val="00FA44B7"/>
    <w:rsid w:val="00FB3D53"/>
    <w:rsid w:val="00FB3F6F"/>
    <w:rsid w:val="00FB5C4B"/>
    <w:rsid w:val="00FC1371"/>
    <w:rsid w:val="00FC1E02"/>
    <w:rsid w:val="00FC30AF"/>
    <w:rsid w:val="00FC541D"/>
    <w:rsid w:val="00FD30A7"/>
    <w:rsid w:val="00FD6005"/>
    <w:rsid w:val="00FE02CA"/>
    <w:rsid w:val="00FE39E3"/>
    <w:rsid w:val="00FE4789"/>
    <w:rsid w:val="00FF74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161E6"/>
  <w15:docId w15:val="{731F2004-8114-44DD-8D44-DE591B2BC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0A6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00A6B"/>
    <w:rPr>
      <w:rFonts w:ascii="Tahoma" w:hAnsi="Tahoma" w:cs="Tahoma"/>
      <w:sz w:val="16"/>
      <w:szCs w:val="16"/>
      <w:lang w:eastAsia="en-US"/>
    </w:rPr>
  </w:style>
  <w:style w:type="character" w:styleId="Strong">
    <w:name w:val="Strong"/>
    <w:uiPriority w:val="22"/>
    <w:qFormat/>
    <w:rsid w:val="00952C3E"/>
    <w:rPr>
      <w:b/>
      <w:bCs/>
    </w:rPr>
  </w:style>
  <w:style w:type="character" w:customStyle="1" w:styleId="apple-converted-space">
    <w:name w:val="apple-converted-space"/>
    <w:rsid w:val="00952C3E"/>
  </w:style>
  <w:style w:type="character" w:styleId="Hyperlink">
    <w:name w:val="Hyperlink"/>
    <w:uiPriority w:val="99"/>
    <w:unhideWhenUsed/>
    <w:rsid w:val="005D652D"/>
    <w:rPr>
      <w:color w:val="0000FF"/>
      <w:u w:val="single"/>
    </w:rPr>
  </w:style>
  <w:style w:type="paragraph" w:styleId="FootnoteText">
    <w:name w:val="footnote text"/>
    <w:basedOn w:val="Normal"/>
    <w:link w:val="FootnoteTextChar"/>
    <w:uiPriority w:val="99"/>
    <w:semiHidden/>
    <w:unhideWhenUsed/>
    <w:rsid w:val="002F2CB9"/>
    <w:rPr>
      <w:sz w:val="20"/>
      <w:szCs w:val="20"/>
    </w:rPr>
  </w:style>
  <w:style w:type="character" w:customStyle="1" w:styleId="FootnoteTextChar">
    <w:name w:val="Footnote Text Char"/>
    <w:link w:val="FootnoteText"/>
    <w:uiPriority w:val="99"/>
    <w:semiHidden/>
    <w:rsid w:val="002F2CB9"/>
    <w:rPr>
      <w:lang w:eastAsia="en-US"/>
    </w:rPr>
  </w:style>
  <w:style w:type="character" w:styleId="FootnoteReference">
    <w:name w:val="footnote reference"/>
    <w:uiPriority w:val="99"/>
    <w:semiHidden/>
    <w:unhideWhenUsed/>
    <w:rsid w:val="002F2CB9"/>
    <w:rPr>
      <w:vertAlign w:val="superscript"/>
    </w:rPr>
  </w:style>
  <w:style w:type="character" w:styleId="Emphasis">
    <w:name w:val="Emphasis"/>
    <w:uiPriority w:val="20"/>
    <w:qFormat/>
    <w:rsid w:val="002F2CB9"/>
    <w:rPr>
      <w:i/>
      <w:iCs/>
    </w:rPr>
  </w:style>
  <w:style w:type="character" w:styleId="CommentReference">
    <w:name w:val="annotation reference"/>
    <w:uiPriority w:val="99"/>
    <w:semiHidden/>
    <w:unhideWhenUsed/>
    <w:rsid w:val="00C54EC7"/>
    <w:rPr>
      <w:sz w:val="16"/>
      <w:szCs w:val="16"/>
    </w:rPr>
  </w:style>
  <w:style w:type="paragraph" w:styleId="CommentText">
    <w:name w:val="annotation text"/>
    <w:basedOn w:val="Normal"/>
    <w:link w:val="CommentTextChar"/>
    <w:uiPriority w:val="99"/>
    <w:semiHidden/>
    <w:unhideWhenUsed/>
    <w:rsid w:val="00C54EC7"/>
    <w:rPr>
      <w:sz w:val="20"/>
      <w:szCs w:val="20"/>
    </w:rPr>
  </w:style>
  <w:style w:type="character" w:customStyle="1" w:styleId="CommentTextChar">
    <w:name w:val="Comment Text Char"/>
    <w:link w:val="CommentText"/>
    <w:uiPriority w:val="99"/>
    <w:semiHidden/>
    <w:rsid w:val="00C54EC7"/>
    <w:rPr>
      <w:lang w:eastAsia="en-US"/>
    </w:rPr>
  </w:style>
  <w:style w:type="paragraph" w:styleId="CommentSubject">
    <w:name w:val="annotation subject"/>
    <w:basedOn w:val="CommentText"/>
    <w:next w:val="CommentText"/>
    <w:link w:val="CommentSubjectChar"/>
    <w:uiPriority w:val="99"/>
    <w:semiHidden/>
    <w:unhideWhenUsed/>
    <w:rsid w:val="00C54EC7"/>
    <w:rPr>
      <w:b/>
      <w:bCs/>
    </w:rPr>
  </w:style>
  <w:style w:type="character" w:customStyle="1" w:styleId="CommentSubjectChar">
    <w:name w:val="Comment Subject Char"/>
    <w:link w:val="CommentSubject"/>
    <w:uiPriority w:val="99"/>
    <w:semiHidden/>
    <w:rsid w:val="00C54EC7"/>
    <w:rPr>
      <w:b/>
      <w:bCs/>
      <w:lang w:eastAsia="en-US"/>
    </w:rPr>
  </w:style>
  <w:style w:type="table" w:styleId="TableGrid">
    <w:name w:val="Table Grid"/>
    <w:basedOn w:val="TableNormal"/>
    <w:uiPriority w:val="59"/>
    <w:rsid w:val="00FF74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4D95"/>
    <w:pPr>
      <w:ind w:left="720"/>
    </w:pPr>
  </w:style>
  <w:style w:type="character" w:styleId="FollowedHyperlink">
    <w:name w:val="FollowedHyperlink"/>
    <w:uiPriority w:val="99"/>
    <w:semiHidden/>
    <w:unhideWhenUsed/>
    <w:rsid w:val="008B48DB"/>
    <w:rPr>
      <w:color w:val="800080"/>
      <w:u w:val="single"/>
    </w:rPr>
  </w:style>
  <w:style w:type="character" w:customStyle="1" w:styleId="hps">
    <w:name w:val="hps"/>
    <w:rsid w:val="00FE39E3"/>
  </w:style>
  <w:style w:type="paragraph" w:styleId="Revision">
    <w:name w:val="Revision"/>
    <w:hidden/>
    <w:uiPriority w:val="99"/>
    <w:semiHidden/>
    <w:rsid w:val="00500D80"/>
    <w:rPr>
      <w:sz w:val="22"/>
      <w:szCs w:val="22"/>
      <w:lang w:eastAsia="en-US"/>
    </w:rPr>
  </w:style>
  <w:style w:type="paragraph" w:styleId="Header">
    <w:name w:val="header"/>
    <w:basedOn w:val="Normal"/>
    <w:link w:val="HeaderChar"/>
    <w:uiPriority w:val="99"/>
    <w:unhideWhenUsed/>
    <w:rsid w:val="009853EB"/>
    <w:pPr>
      <w:tabs>
        <w:tab w:val="center" w:pos="4513"/>
        <w:tab w:val="right" w:pos="9026"/>
      </w:tabs>
    </w:pPr>
  </w:style>
  <w:style w:type="character" w:customStyle="1" w:styleId="HeaderChar">
    <w:name w:val="Header Char"/>
    <w:link w:val="Header"/>
    <w:uiPriority w:val="99"/>
    <w:rsid w:val="009853EB"/>
    <w:rPr>
      <w:sz w:val="22"/>
      <w:szCs w:val="22"/>
      <w:lang w:eastAsia="en-US"/>
    </w:rPr>
  </w:style>
  <w:style w:type="paragraph" w:styleId="Footer">
    <w:name w:val="footer"/>
    <w:basedOn w:val="Normal"/>
    <w:link w:val="FooterChar"/>
    <w:uiPriority w:val="99"/>
    <w:unhideWhenUsed/>
    <w:rsid w:val="009853EB"/>
    <w:pPr>
      <w:tabs>
        <w:tab w:val="center" w:pos="4513"/>
        <w:tab w:val="right" w:pos="9026"/>
      </w:tabs>
    </w:pPr>
  </w:style>
  <w:style w:type="character" w:customStyle="1" w:styleId="FooterChar">
    <w:name w:val="Footer Char"/>
    <w:link w:val="Footer"/>
    <w:uiPriority w:val="99"/>
    <w:rsid w:val="009853E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tv.un.org" TargetMode="External"/><Relationship Id="rId13" Type="http://schemas.openxmlformats.org/officeDocument/2006/relationships/hyperlink" Target="http://ap.ohchr.org/documents/dpage_e.aspx?si=A/HRC/37/25" TargetMode="Externa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p.ohchr.org/documents/dpage_e.aspx?si=A/HRC/RES/31/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p.ohchr.org/documents/dpage_e.aspx?si=A/HRC/RES/7/9"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ipcc.ch/nominations/cv/cv_debra_roberts.pdf"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www.ohchr.org/EN/Issues/Health/Pages/Dainius-Puras.aspx" TargetMode="External"/><Relationship Id="rId14" Type="http://schemas.openxmlformats.org/officeDocument/2006/relationships/hyperlink" Target="https://www.ohchr.org/EN/Issues/Disability/Pages/StudiesReportsPapers.aspx"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ohchr.org/EN/HRBodies/HRC/Pages/Accessibility.aspx" TargetMode="External"/><Relationship Id="rId1" Type="http://schemas.openxmlformats.org/officeDocument/2006/relationships/hyperlink" Target="https://www.ohchr.org/EN/Issues/Disability/Pages/StudiesReportsPaper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E765CCED86A0049BAD872B6F20BBBAF" ma:contentTypeVersion="2" ma:contentTypeDescription="Create a new document." ma:contentTypeScope="" ma:versionID="7336461c3f02fd9407e18e9df41bd468">
  <xsd:schema xmlns:xsd="http://www.w3.org/2001/XMLSchema" xmlns:xs="http://www.w3.org/2001/XMLSchema" xmlns:p="http://schemas.microsoft.com/office/2006/metadata/properties" xmlns:ns1="http://schemas.microsoft.com/sharepoint/v3" targetNamespace="http://schemas.microsoft.com/office/2006/metadata/properties" ma:root="true" ma:fieldsID="dd91643ba3b10543d9a5a75f7436da3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69B99BD-46A6-4018-A508-986F5D86CCEB}">
  <ds:schemaRefs>
    <ds:schemaRef ds:uri="http://schemas.openxmlformats.org/officeDocument/2006/bibliography"/>
  </ds:schemaRefs>
</ds:datastoreItem>
</file>

<file path=customXml/itemProps2.xml><?xml version="1.0" encoding="utf-8"?>
<ds:datastoreItem xmlns:ds="http://schemas.openxmlformats.org/officeDocument/2006/customXml" ds:itemID="{F8B22136-0C95-4076-A55D-E145EB265694}"/>
</file>

<file path=customXml/itemProps3.xml><?xml version="1.0" encoding="utf-8"?>
<ds:datastoreItem xmlns:ds="http://schemas.openxmlformats.org/officeDocument/2006/customXml" ds:itemID="{EEFF7B51-2BE4-492A-8640-C4186E45C8A0}"/>
</file>

<file path=customXml/itemProps4.xml><?xml version="1.0" encoding="utf-8"?>
<ds:datastoreItem xmlns:ds="http://schemas.openxmlformats.org/officeDocument/2006/customXml" ds:itemID="{87F14C9D-A850-4DD5-885D-210F365BA502}"/>
</file>

<file path=docProps/app.xml><?xml version="1.0" encoding="utf-8"?>
<Properties xmlns="http://schemas.openxmlformats.org/officeDocument/2006/extended-properties" xmlns:vt="http://schemas.openxmlformats.org/officeDocument/2006/docPropsVTypes">
  <Template>Normal.dotm</Template>
  <TotalTime>27</TotalTime>
  <Pages>3</Pages>
  <Words>1663</Words>
  <Characters>9480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11121</CharactersWithSpaces>
  <SharedDoc>false</SharedDoc>
  <HLinks>
    <vt:vector size="60" baseType="variant">
      <vt:variant>
        <vt:i4>1769541</vt:i4>
      </vt:variant>
      <vt:variant>
        <vt:i4>21</vt:i4>
      </vt:variant>
      <vt:variant>
        <vt:i4>0</vt:i4>
      </vt:variant>
      <vt:variant>
        <vt:i4>5</vt:i4>
      </vt:variant>
      <vt:variant>
        <vt:lpwstr>http://www.ohchr.org/EN/Issues/Disability/Pages/StudiesReportsPapers.aspx</vt:lpwstr>
      </vt:variant>
      <vt:variant>
        <vt:lpwstr/>
      </vt:variant>
      <vt:variant>
        <vt:i4>6553676</vt:i4>
      </vt:variant>
      <vt:variant>
        <vt:i4>18</vt:i4>
      </vt:variant>
      <vt:variant>
        <vt:i4>0</vt:i4>
      </vt:variant>
      <vt:variant>
        <vt:i4>5</vt:i4>
      </vt:variant>
      <vt:variant>
        <vt:lpwstr>http://ap.ohchr.org/documents/dpage_e.aspx?si=A/HRC/34/26</vt:lpwstr>
      </vt:variant>
      <vt:variant>
        <vt:lpwstr/>
      </vt:variant>
      <vt:variant>
        <vt:i4>458850</vt:i4>
      </vt:variant>
      <vt:variant>
        <vt:i4>15</vt:i4>
      </vt:variant>
      <vt:variant>
        <vt:i4>0</vt:i4>
      </vt:variant>
      <vt:variant>
        <vt:i4>5</vt:i4>
      </vt:variant>
      <vt:variant>
        <vt:lpwstr>http://ap.ohchr.org/documents/dpage_e.aspx?si=A/HRC/31/L.8</vt:lpwstr>
      </vt:variant>
      <vt:variant>
        <vt:lpwstr/>
      </vt:variant>
      <vt:variant>
        <vt:i4>458854</vt:i4>
      </vt:variant>
      <vt:variant>
        <vt:i4>12</vt:i4>
      </vt:variant>
      <vt:variant>
        <vt:i4>0</vt:i4>
      </vt:variant>
      <vt:variant>
        <vt:i4>5</vt:i4>
      </vt:variant>
      <vt:variant>
        <vt:lpwstr>http://ap.ohchr.org/documents/dpage_e.aspx?si=A/HRC/RES/7/9</vt:lpwstr>
      </vt:variant>
      <vt:variant>
        <vt:lpwstr/>
      </vt:variant>
      <vt:variant>
        <vt:i4>1245214</vt:i4>
      </vt:variant>
      <vt:variant>
        <vt:i4>9</vt:i4>
      </vt:variant>
      <vt:variant>
        <vt:i4>0</vt:i4>
      </vt:variant>
      <vt:variant>
        <vt:i4>5</vt:i4>
      </vt:variant>
      <vt:variant>
        <vt:lpwstr>http://indigenous2015.org/content/hindou-oumarou-ibrahim</vt:lpwstr>
      </vt:variant>
      <vt:variant>
        <vt:lpwstr/>
      </vt:variant>
      <vt:variant>
        <vt:i4>3670134</vt:i4>
      </vt:variant>
      <vt:variant>
        <vt:i4>6</vt:i4>
      </vt:variant>
      <vt:variant>
        <vt:i4>0</vt:i4>
      </vt:variant>
      <vt:variant>
        <vt:i4>5</vt:i4>
      </vt:variant>
      <vt:variant>
        <vt:lpwstr>http://www.ipcc.ch/nominations/cv/cv_debra_roberts.pdf</vt:lpwstr>
      </vt:variant>
      <vt:variant>
        <vt:lpwstr/>
      </vt:variant>
      <vt:variant>
        <vt:i4>2424951</vt:i4>
      </vt:variant>
      <vt:variant>
        <vt:i4>3</vt:i4>
      </vt:variant>
      <vt:variant>
        <vt:i4>0</vt:i4>
      </vt:variant>
      <vt:variant>
        <vt:i4>5</vt:i4>
      </vt:variant>
      <vt:variant>
        <vt:lpwstr>http://www.ohchr.org/EN/Issues/Health/Pages/SRBio.aspx</vt:lpwstr>
      </vt:variant>
      <vt:variant>
        <vt:lpwstr/>
      </vt:variant>
      <vt:variant>
        <vt:i4>5111888</vt:i4>
      </vt:variant>
      <vt:variant>
        <vt:i4>0</vt:i4>
      </vt:variant>
      <vt:variant>
        <vt:i4>0</vt:i4>
      </vt:variant>
      <vt:variant>
        <vt:i4>5</vt:i4>
      </vt:variant>
      <vt:variant>
        <vt:lpwstr>http://webtv.un.org/</vt:lpwstr>
      </vt:variant>
      <vt:variant>
        <vt:lpwstr/>
      </vt:variant>
      <vt:variant>
        <vt:i4>4718592</vt:i4>
      </vt:variant>
      <vt:variant>
        <vt:i4>3</vt:i4>
      </vt:variant>
      <vt:variant>
        <vt:i4>0</vt:i4>
      </vt:variant>
      <vt:variant>
        <vt:i4>5</vt:i4>
      </vt:variant>
      <vt:variant>
        <vt:lpwstr>http://www.ohchr.org/EN/HRBodies/HRC/Pages/AboutCouncil.aspx</vt:lpwstr>
      </vt:variant>
      <vt:variant>
        <vt:lpwstr/>
      </vt:variant>
      <vt:variant>
        <vt:i4>1769541</vt:i4>
      </vt:variant>
      <vt:variant>
        <vt:i4>0</vt:i4>
      </vt:variant>
      <vt:variant>
        <vt:i4>0</vt:i4>
      </vt:variant>
      <vt:variant>
        <vt:i4>5</vt:i4>
      </vt:variant>
      <vt:variant>
        <vt:lpwstr>http://www.ohchr.org/EN/Issues/Disability/Pages/StudiesReportsPapers.aspx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interactive debate on the rights of persons with disabilities in English</dc:title>
  <dc:creator>Rishabh Kumar Dhir</dc:creator>
  <cp:lastModifiedBy>Petra Ticha</cp:lastModifiedBy>
  <cp:revision>9</cp:revision>
  <cp:lastPrinted>2016-01-29T19:13:00Z</cp:lastPrinted>
  <dcterms:created xsi:type="dcterms:W3CDTF">2018-01-31T14:55:00Z</dcterms:created>
  <dcterms:modified xsi:type="dcterms:W3CDTF">2018-02-26T10:48:00Z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0x0101000E765CCED86A0049BAD872B6F20BBBAF</vt:lpwstr>
  </property>
</Properties>
</file>