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172A" w14:textId="790E3BAE" w:rsidR="00CE575B" w:rsidRPr="00965064" w:rsidRDefault="009115AA" w:rsidP="00026971">
      <w:pPr>
        <w:spacing w:after="120" w:line="240" w:lineRule="auto"/>
        <w:ind w:left="-709" w:right="-896"/>
        <w:jc w:val="center"/>
        <w:rPr>
          <w:rFonts w:cs="Arial"/>
          <w:b/>
          <w:sz w:val="24"/>
          <w:szCs w:val="24"/>
        </w:rPr>
      </w:pPr>
      <w:r w:rsidRPr="00965064">
        <w:rPr>
          <w:rFonts w:cs="Arial"/>
          <w:b/>
          <w:sz w:val="24"/>
          <w:szCs w:val="24"/>
        </w:rPr>
        <w:t>4</w:t>
      </w:r>
      <w:r w:rsidR="00F21B67" w:rsidRPr="00965064">
        <w:rPr>
          <w:rFonts w:cs="Arial"/>
          <w:b/>
          <w:sz w:val="24"/>
          <w:szCs w:val="24"/>
        </w:rPr>
        <w:t>4</w:t>
      </w:r>
      <w:r w:rsidR="00F21B67" w:rsidRPr="00965064">
        <w:rPr>
          <w:rFonts w:cs="Arial"/>
          <w:b/>
          <w:sz w:val="24"/>
          <w:szCs w:val="24"/>
          <w:vertAlign w:val="superscript"/>
        </w:rPr>
        <w:t>th</w:t>
      </w:r>
      <w:r w:rsidRPr="00965064">
        <w:rPr>
          <w:rFonts w:cs="Arial"/>
          <w:b/>
          <w:sz w:val="24"/>
          <w:szCs w:val="24"/>
        </w:rPr>
        <w:t xml:space="preserve"> </w:t>
      </w:r>
      <w:r w:rsidR="004450A8" w:rsidRPr="00965064">
        <w:rPr>
          <w:rFonts w:cs="Arial"/>
          <w:b/>
          <w:sz w:val="24"/>
          <w:szCs w:val="24"/>
        </w:rPr>
        <w:t>s</w:t>
      </w:r>
      <w:r w:rsidR="007A2709" w:rsidRPr="00965064">
        <w:rPr>
          <w:rFonts w:cs="Arial"/>
          <w:b/>
          <w:sz w:val="24"/>
          <w:szCs w:val="24"/>
        </w:rPr>
        <w:t>ession of the Human Rights Council</w:t>
      </w:r>
    </w:p>
    <w:p w14:paraId="34A869CA" w14:textId="1589659D" w:rsidR="0057603F" w:rsidRPr="00965064" w:rsidRDefault="00965064" w:rsidP="00026971">
      <w:pPr>
        <w:spacing w:after="0" w:line="240" w:lineRule="auto"/>
        <w:ind w:left="-709" w:right="-896"/>
        <w:jc w:val="center"/>
        <w:rPr>
          <w:rFonts w:cs="Arial"/>
          <w:i/>
          <w:sz w:val="16"/>
          <w:szCs w:val="16"/>
        </w:rPr>
      </w:pPr>
      <w:r w:rsidRPr="00965064">
        <w:rPr>
          <w:rFonts w:cs="Arial"/>
          <w:b/>
          <w:bCs/>
          <w:sz w:val="32"/>
          <w:szCs w:val="32"/>
        </w:rPr>
        <w:t xml:space="preserve">Panel </w:t>
      </w:r>
      <w:r w:rsidR="00E5333D">
        <w:rPr>
          <w:rFonts w:cs="Arial"/>
          <w:b/>
          <w:bCs/>
          <w:sz w:val="32"/>
          <w:szCs w:val="32"/>
        </w:rPr>
        <w:t xml:space="preserve">discussion </w:t>
      </w:r>
      <w:r w:rsidRPr="00965064">
        <w:rPr>
          <w:rFonts w:cs="Arial"/>
          <w:b/>
          <w:bCs/>
          <w:sz w:val="32"/>
          <w:szCs w:val="32"/>
        </w:rPr>
        <w:t xml:space="preserve">on the impacts, opportunities and challenges of new and emerging digital technologies with regard to the promotion and protection of human rights </w:t>
      </w:r>
      <w:r w:rsidR="00FE39E3" w:rsidRPr="00965064">
        <w:rPr>
          <w:rFonts w:cs="Arial"/>
          <w:b/>
          <w:bCs/>
          <w:sz w:val="32"/>
          <w:szCs w:val="32"/>
        </w:rPr>
        <w:br/>
      </w:r>
      <w:r w:rsidR="00FE39E3" w:rsidRPr="00965064">
        <w:rPr>
          <w:rFonts w:cs="Arial"/>
          <w:b/>
          <w:bCs/>
          <w:sz w:val="16"/>
          <w:szCs w:val="16"/>
        </w:rPr>
        <w:br/>
      </w:r>
      <w:r w:rsidR="00411A58">
        <w:rPr>
          <w:rFonts w:cs="Arial"/>
          <w:i/>
          <w:sz w:val="24"/>
          <w:szCs w:val="24"/>
        </w:rPr>
        <w:t>C</w:t>
      </w:r>
      <w:r w:rsidR="00C85246" w:rsidRPr="00965064">
        <w:rPr>
          <w:rFonts w:cs="Arial"/>
          <w:i/>
          <w:sz w:val="24"/>
          <w:szCs w:val="24"/>
        </w:rPr>
        <w:t xml:space="preserve">oncept </w:t>
      </w:r>
      <w:r w:rsidR="004450A8" w:rsidRPr="00965064">
        <w:rPr>
          <w:rFonts w:cs="Arial"/>
          <w:i/>
          <w:sz w:val="24"/>
          <w:szCs w:val="24"/>
        </w:rPr>
        <w:t>n</w:t>
      </w:r>
      <w:r w:rsidR="00C85246" w:rsidRPr="00965064">
        <w:rPr>
          <w:rFonts w:cs="Arial"/>
          <w:i/>
          <w:sz w:val="24"/>
          <w:szCs w:val="24"/>
        </w:rPr>
        <w:t>ote</w:t>
      </w:r>
      <w:r w:rsidR="00FF74C5" w:rsidRPr="00965064">
        <w:rPr>
          <w:rFonts w:cs="Arial"/>
          <w:i/>
          <w:sz w:val="24"/>
          <w:szCs w:val="24"/>
        </w:rPr>
        <w:t xml:space="preserve"> (as of </w:t>
      </w:r>
      <w:r w:rsidR="006A0A7E">
        <w:rPr>
          <w:rFonts w:cs="Arial"/>
          <w:i/>
          <w:sz w:val="24"/>
          <w:szCs w:val="24"/>
        </w:rPr>
        <w:t>8</w:t>
      </w:r>
      <w:r w:rsidR="00411A58">
        <w:rPr>
          <w:rFonts w:cs="Arial"/>
          <w:i/>
          <w:sz w:val="24"/>
          <w:szCs w:val="24"/>
        </w:rPr>
        <w:t xml:space="preserve"> July</w:t>
      </w:r>
      <w:r w:rsidRPr="00965064">
        <w:rPr>
          <w:rFonts w:cs="Arial"/>
          <w:i/>
          <w:sz w:val="24"/>
          <w:szCs w:val="24"/>
        </w:rPr>
        <w:t xml:space="preserve"> 2020</w:t>
      </w:r>
      <w:r w:rsidR="00FF74C5" w:rsidRPr="00965064">
        <w:rPr>
          <w:rFonts w:cs="Arial"/>
          <w:i/>
          <w:sz w:val="24"/>
          <w:szCs w:val="24"/>
        </w:rPr>
        <w:t>)</w:t>
      </w:r>
      <w:r w:rsidR="0057603F" w:rsidRPr="00965064">
        <w:rPr>
          <w:rFonts w:cs="Arial"/>
          <w:i/>
          <w:sz w:val="24"/>
          <w:szCs w:val="24"/>
        </w:rPr>
        <w:br/>
      </w:r>
    </w:p>
    <w:tbl>
      <w:tblPr>
        <w:tblW w:w="10206" w:type="dxa"/>
        <w:tblInd w:w="-459" w:type="dxa"/>
        <w:tblLook w:val="04A0" w:firstRow="1" w:lastRow="0" w:firstColumn="1" w:lastColumn="0" w:noHBand="0" w:noVBand="1"/>
      </w:tblPr>
      <w:tblGrid>
        <w:gridCol w:w="1450"/>
        <w:gridCol w:w="8756"/>
      </w:tblGrid>
      <w:tr w:rsidR="00965064" w:rsidRPr="00965064" w14:paraId="1FA6A669" w14:textId="77777777" w:rsidTr="00304796">
        <w:tc>
          <w:tcPr>
            <w:tcW w:w="1450" w:type="dxa"/>
            <w:shd w:val="clear" w:color="auto" w:fill="auto"/>
          </w:tcPr>
          <w:p w14:paraId="3BEF2BB9" w14:textId="77777777" w:rsidR="002F414D" w:rsidRPr="00026971" w:rsidRDefault="002F414D" w:rsidP="00026971">
            <w:pPr>
              <w:spacing w:after="0" w:line="240" w:lineRule="auto"/>
              <w:rPr>
                <w:rFonts w:cs="Arial"/>
                <w:b/>
              </w:rPr>
            </w:pPr>
            <w:r w:rsidRPr="00026971">
              <w:rPr>
                <w:rFonts w:cs="Arial"/>
                <w:b/>
              </w:rPr>
              <w:t xml:space="preserve">Date and </w:t>
            </w:r>
            <w:r w:rsidR="004450A8" w:rsidRPr="00026971">
              <w:rPr>
                <w:rFonts w:cs="Arial"/>
                <w:b/>
              </w:rPr>
              <w:t>v</w:t>
            </w:r>
            <w:r w:rsidRPr="00026971">
              <w:rPr>
                <w:rFonts w:cs="Arial"/>
                <w:b/>
              </w:rPr>
              <w:t>enue:</w:t>
            </w:r>
          </w:p>
        </w:tc>
        <w:tc>
          <w:tcPr>
            <w:tcW w:w="8756" w:type="dxa"/>
            <w:shd w:val="clear" w:color="auto" w:fill="auto"/>
          </w:tcPr>
          <w:p w14:paraId="616D1AAB" w14:textId="121DB3DC" w:rsidR="002F414D" w:rsidRPr="00026971" w:rsidRDefault="00411A58" w:rsidP="00026971">
            <w:pPr>
              <w:spacing w:after="0" w:line="240" w:lineRule="auto"/>
              <w:rPr>
                <w:rFonts w:cs="Arial"/>
                <w:b/>
              </w:rPr>
            </w:pPr>
            <w:r>
              <w:rPr>
                <w:rFonts w:cs="Arial"/>
                <w:b/>
              </w:rPr>
              <w:t>8 July 2020, 9</w:t>
            </w:r>
            <w:r w:rsidR="00AE5B27">
              <w:rPr>
                <w:rFonts w:cs="Arial"/>
                <w:b/>
              </w:rPr>
              <w:t xml:space="preserve"> to </w:t>
            </w:r>
            <w:r>
              <w:rPr>
                <w:rFonts w:cs="Arial"/>
                <w:b/>
              </w:rPr>
              <w:t>11</w:t>
            </w:r>
            <w:r w:rsidR="00F569C1">
              <w:rPr>
                <w:rFonts w:cs="Arial"/>
                <w:b/>
              </w:rPr>
              <w:t xml:space="preserve"> a.m., Assembly Hall, Palais des Nations, Geneva</w:t>
            </w:r>
          </w:p>
          <w:p w14:paraId="31A4F062" w14:textId="77777777" w:rsidR="002F414D" w:rsidRPr="00026971" w:rsidRDefault="002F414D" w:rsidP="00026971">
            <w:pPr>
              <w:spacing w:after="120" w:line="240" w:lineRule="auto"/>
              <w:rPr>
                <w:rFonts w:cs="Arial"/>
                <w:i/>
              </w:rPr>
            </w:pPr>
            <w:r w:rsidRPr="00026971">
              <w:rPr>
                <w:rFonts w:cs="Arial"/>
                <w:i/>
              </w:rPr>
              <w:t xml:space="preserve">(will be broadcast live and archived on </w:t>
            </w:r>
            <w:hyperlink r:id="rId11" w:history="1">
              <w:r w:rsidR="004450A8" w:rsidRPr="00026971">
                <w:rPr>
                  <w:rStyle w:val="Hyperlink"/>
                  <w:rFonts w:cs="Arial"/>
                  <w:i/>
                </w:rPr>
                <w:t>http://webtv.un.org</w:t>
              </w:r>
            </w:hyperlink>
            <w:r w:rsidRPr="00026971">
              <w:rPr>
                <w:rFonts w:cs="Arial"/>
                <w:i/>
              </w:rPr>
              <w:t>)</w:t>
            </w:r>
          </w:p>
        </w:tc>
      </w:tr>
      <w:tr w:rsidR="00F21B67" w:rsidRPr="00F21B67" w14:paraId="790393C7" w14:textId="77777777" w:rsidTr="00304796">
        <w:tc>
          <w:tcPr>
            <w:tcW w:w="1450" w:type="dxa"/>
            <w:shd w:val="clear" w:color="auto" w:fill="auto"/>
          </w:tcPr>
          <w:p w14:paraId="574AD692" w14:textId="77777777" w:rsidR="002F414D" w:rsidRPr="00026971" w:rsidRDefault="002F414D" w:rsidP="00026971">
            <w:pPr>
              <w:spacing w:after="0" w:line="240" w:lineRule="auto"/>
              <w:rPr>
                <w:rFonts w:cs="Arial"/>
                <w:b/>
                <w:color w:val="1F497D" w:themeColor="text2"/>
              </w:rPr>
            </w:pPr>
            <w:r w:rsidRPr="00026971">
              <w:rPr>
                <w:rFonts w:cs="Arial"/>
                <w:b/>
              </w:rPr>
              <w:t>Objectives:</w:t>
            </w:r>
          </w:p>
        </w:tc>
        <w:tc>
          <w:tcPr>
            <w:tcW w:w="8756" w:type="dxa"/>
            <w:shd w:val="clear" w:color="auto" w:fill="auto"/>
          </w:tcPr>
          <w:p w14:paraId="027BF245" w14:textId="41051E02" w:rsidR="00846676" w:rsidRPr="00026971" w:rsidRDefault="002F414D" w:rsidP="00026971">
            <w:pPr>
              <w:spacing w:after="120" w:line="240" w:lineRule="auto"/>
              <w:jc w:val="both"/>
              <w:rPr>
                <w:rFonts w:cs="Calibri"/>
                <w:lang w:eastAsia="en-GB"/>
              </w:rPr>
            </w:pPr>
            <w:r w:rsidRPr="00026971">
              <w:rPr>
                <w:rFonts w:cs="Calibri"/>
                <w:lang w:eastAsia="en-GB"/>
              </w:rPr>
              <w:t>Th</w:t>
            </w:r>
            <w:r w:rsidR="00C34D82" w:rsidRPr="00026971">
              <w:rPr>
                <w:rFonts w:cs="Calibri"/>
                <w:lang w:eastAsia="en-GB"/>
              </w:rPr>
              <w:t>is</w:t>
            </w:r>
            <w:r w:rsidRPr="00026971">
              <w:rPr>
                <w:rFonts w:cs="Calibri"/>
                <w:lang w:eastAsia="en-GB"/>
              </w:rPr>
              <w:t xml:space="preserve"> panel discussion will </w:t>
            </w:r>
            <w:r w:rsidR="00C34D82" w:rsidRPr="00026971">
              <w:rPr>
                <w:rFonts w:cs="Calibri"/>
                <w:lang w:eastAsia="en-GB"/>
              </w:rPr>
              <w:t>address</w:t>
            </w:r>
            <w:r w:rsidRPr="00026971">
              <w:rPr>
                <w:rFonts w:cs="Calibri"/>
                <w:lang w:eastAsia="en-GB"/>
              </w:rPr>
              <w:t xml:space="preserve"> </w:t>
            </w:r>
            <w:r w:rsidR="00846676" w:rsidRPr="00026971">
              <w:rPr>
                <w:rFonts w:cs="Calibri"/>
                <w:lang w:eastAsia="en-GB"/>
              </w:rPr>
              <w:t>human rights impacts, opportunities and challenges linked to the use of digital technologies. The panel discussion aims:</w:t>
            </w:r>
          </w:p>
          <w:p w14:paraId="662F8A0F" w14:textId="43AB01F1" w:rsidR="00E03EE4" w:rsidRPr="00026971" w:rsidRDefault="00846676" w:rsidP="00F569C1">
            <w:pPr>
              <w:pStyle w:val="ListParagraph"/>
              <w:numPr>
                <w:ilvl w:val="0"/>
                <w:numId w:val="13"/>
              </w:numPr>
              <w:autoSpaceDE w:val="0"/>
              <w:autoSpaceDN w:val="0"/>
              <w:adjustRightInd w:val="0"/>
              <w:spacing w:after="40" w:line="240" w:lineRule="auto"/>
              <w:ind w:left="357" w:hanging="357"/>
              <w:rPr>
                <w:rFonts w:cs="Calibri"/>
                <w:lang w:eastAsia="en-GB"/>
              </w:rPr>
            </w:pPr>
            <w:r w:rsidRPr="00026971">
              <w:rPr>
                <w:rFonts w:cs="Calibri"/>
                <w:lang w:eastAsia="en-GB"/>
              </w:rPr>
              <w:t xml:space="preserve">to </w:t>
            </w:r>
            <w:r w:rsidR="00E03EE4" w:rsidRPr="00026971">
              <w:rPr>
                <w:rFonts w:cs="Calibri"/>
                <w:lang w:eastAsia="en-GB"/>
              </w:rPr>
              <w:t>raise awareness and enhance understanding of the impacts, opportunities and challenges of rapid technological change on the promotion and protection of human rights;</w:t>
            </w:r>
          </w:p>
          <w:p w14:paraId="07C4E669" w14:textId="3C330B40" w:rsidR="00E03EE4" w:rsidRPr="00026971" w:rsidRDefault="00E03EE4" w:rsidP="00F569C1">
            <w:pPr>
              <w:pStyle w:val="ListParagraph"/>
              <w:numPr>
                <w:ilvl w:val="0"/>
                <w:numId w:val="13"/>
              </w:numPr>
              <w:autoSpaceDE w:val="0"/>
              <w:autoSpaceDN w:val="0"/>
              <w:adjustRightInd w:val="0"/>
              <w:spacing w:after="40" w:line="240" w:lineRule="auto"/>
              <w:ind w:left="357" w:hanging="357"/>
              <w:rPr>
                <w:rFonts w:cs="Calibri"/>
                <w:lang w:eastAsia="en-GB"/>
              </w:rPr>
            </w:pPr>
            <w:r w:rsidRPr="00026971">
              <w:rPr>
                <w:rFonts w:cs="Calibri"/>
                <w:lang w:eastAsia="en-GB"/>
              </w:rPr>
              <w:t xml:space="preserve">to </w:t>
            </w:r>
            <w:r w:rsidR="00846676" w:rsidRPr="00026971">
              <w:rPr>
                <w:rFonts w:cs="Calibri"/>
                <w:lang w:eastAsia="en-GB"/>
              </w:rPr>
              <w:t>identify opportunities for States,</w:t>
            </w:r>
            <w:r w:rsidRPr="00026971">
              <w:rPr>
                <w:rFonts w:cs="Calibri"/>
                <w:lang w:eastAsia="en-GB"/>
              </w:rPr>
              <w:t xml:space="preserve"> the</w:t>
            </w:r>
            <w:r w:rsidR="00846676" w:rsidRPr="00026971">
              <w:rPr>
                <w:rFonts w:cs="Calibri"/>
                <w:lang w:eastAsia="en-GB"/>
              </w:rPr>
              <w:t xml:space="preserve"> </w:t>
            </w:r>
            <w:r w:rsidRPr="00026971">
              <w:rPr>
                <w:rFonts w:cs="Calibri"/>
                <w:lang w:eastAsia="en-GB"/>
              </w:rPr>
              <w:t>private sector</w:t>
            </w:r>
            <w:r w:rsidR="000717E6">
              <w:rPr>
                <w:rFonts w:cs="Calibri"/>
                <w:lang w:eastAsia="en-GB"/>
              </w:rPr>
              <w:t>,</w:t>
            </w:r>
            <w:r w:rsidRPr="00026971">
              <w:rPr>
                <w:rFonts w:cs="Calibri"/>
                <w:lang w:eastAsia="en-GB"/>
              </w:rPr>
              <w:t xml:space="preserve"> </w:t>
            </w:r>
            <w:r w:rsidR="00846676" w:rsidRPr="00026971">
              <w:rPr>
                <w:rFonts w:cs="Calibri"/>
                <w:lang w:eastAsia="en-GB"/>
              </w:rPr>
              <w:t xml:space="preserve">civil society and other relevant stakeholders to </w:t>
            </w:r>
            <w:r w:rsidRPr="00026971">
              <w:rPr>
                <w:rFonts w:cs="Calibri"/>
                <w:lang w:eastAsia="en-GB"/>
              </w:rPr>
              <w:t>address such challenges and make use of the opportunities of digital technologies in the promotion of human rights</w:t>
            </w:r>
            <w:r w:rsidR="000717E6">
              <w:rPr>
                <w:rFonts w:cs="Calibri"/>
                <w:lang w:eastAsia="en-GB"/>
              </w:rPr>
              <w:t>;</w:t>
            </w:r>
          </w:p>
          <w:p w14:paraId="51A90973" w14:textId="5D7FE59F" w:rsidR="00E03EE4" w:rsidRDefault="00846676" w:rsidP="00F569C1">
            <w:pPr>
              <w:pStyle w:val="ListParagraph"/>
              <w:numPr>
                <w:ilvl w:val="0"/>
                <w:numId w:val="13"/>
              </w:numPr>
              <w:autoSpaceDE w:val="0"/>
              <w:autoSpaceDN w:val="0"/>
              <w:adjustRightInd w:val="0"/>
              <w:spacing w:after="40" w:line="240" w:lineRule="auto"/>
              <w:ind w:left="357" w:hanging="357"/>
              <w:rPr>
                <w:rFonts w:cs="Calibri"/>
                <w:lang w:eastAsia="en-GB"/>
              </w:rPr>
            </w:pPr>
            <w:r w:rsidRPr="00026971">
              <w:rPr>
                <w:rFonts w:cs="Calibri"/>
                <w:lang w:eastAsia="en-GB"/>
              </w:rPr>
              <w:t>to identify the roles the U</w:t>
            </w:r>
            <w:r w:rsidR="000717E6">
              <w:rPr>
                <w:rFonts w:cs="Calibri"/>
                <w:lang w:eastAsia="en-GB"/>
              </w:rPr>
              <w:t xml:space="preserve">nited </w:t>
            </w:r>
            <w:r w:rsidRPr="00026971">
              <w:rPr>
                <w:rFonts w:cs="Calibri"/>
                <w:lang w:eastAsia="en-GB"/>
              </w:rPr>
              <w:t>N</w:t>
            </w:r>
            <w:r w:rsidR="000717E6">
              <w:rPr>
                <w:rFonts w:cs="Calibri"/>
                <w:lang w:eastAsia="en-GB"/>
              </w:rPr>
              <w:t>ation</w:t>
            </w:r>
            <w:bookmarkStart w:id="0" w:name="_GoBack"/>
            <w:bookmarkEnd w:id="0"/>
            <w:r w:rsidR="000717E6">
              <w:rPr>
                <w:rFonts w:cs="Calibri"/>
                <w:lang w:eastAsia="en-GB"/>
              </w:rPr>
              <w:t>s</w:t>
            </w:r>
            <w:r w:rsidRPr="00026971">
              <w:rPr>
                <w:rFonts w:cs="Calibri"/>
                <w:lang w:eastAsia="en-GB"/>
              </w:rPr>
              <w:t xml:space="preserve"> human rights mechanisms, including the Human Rights Council, </w:t>
            </w:r>
            <w:r w:rsidR="00E03EE4" w:rsidRPr="00026971">
              <w:rPr>
                <w:rFonts w:cs="Calibri"/>
                <w:lang w:eastAsia="en-GB"/>
              </w:rPr>
              <w:t>and key areas of engagement in the digital age</w:t>
            </w:r>
            <w:r w:rsidR="000717E6">
              <w:rPr>
                <w:rFonts w:cs="Calibri"/>
                <w:lang w:eastAsia="en-GB"/>
              </w:rPr>
              <w:t>;</w:t>
            </w:r>
          </w:p>
          <w:p w14:paraId="02B1C5F2" w14:textId="5F281FE3" w:rsidR="00E03EE4" w:rsidRPr="000717E6" w:rsidRDefault="00846676" w:rsidP="000717E6">
            <w:pPr>
              <w:pStyle w:val="ListParagraph"/>
              <w:numPr>
                <w:ilvl w:val="0"/>
                <w:numId w:val="13"/>
              </w:numPr>
              <w:autoSpaceDE w:val="0"/>
              <w:autoSpaceDN w:val="0"/>
              <w:adjustRightInd w:val="0"/>
              <w:spacing w:after="120" w:line="240" w:lineRule="auto"/>
              <w:ind w:left="357" w:hanging="357"/>
              <w:rPr>
                <w:rFonts w:cs="Calibri"/>
                <w:lang w:eastAsia="en-GB"/>
              </w:rPr>
            </w:pPr>
            <w:proofErr w:type="gramStart"/>
            <w:r w:rsidRPr="000717E6">
              <w:rPr>
                <w:rFonts w:cs="Calibri"/>
                <w:lang w:eastAsia="en-GB"/>
              </w:rPr>
              <w:t>to</w:t>
            </w:r>
            <w:proofErr w:type="gramEnd"/>
            <w:r w:rsidRPr="000717E6">
              <w:rPr>
                <w:rFonts w:cs="Calibri"/>
                <w:lang w:eastAsia="en-GB"/>
              </w:rPr>
              <w:t xml:space="preserve"> exchange views with regard to enhancing mutual understanding and interaction</w:t>
            </w:r>
            <w:r w:rsidR="00E03EE4" w:rsidRPr="000717E6">
              <w:rPr>
                <w:rFonts w:cs="Calibri"/>
                <w:lang w:eastAsia="en-GB"/>
              </w:rPr>
              <w:t xml:space="preserve"> between governments, civil society, the private sector, technical communities with regard to the human rights impacts, opportunities and challenges linked to the use of digital technologies</w:t>
            </w:r>
            <w:r w:rsidR="00C937B6" w:rsidRPr="000717E6">
              <w:rPr>
                <w:rFonts w:cs="Calibri"/>
                <w:lang w:eastAsia="en-GB"/>
              </w:rPr>
              <w:t>.</w:t>
            </w:r>
          </w:p>
        </w:tc>
      </w:tr>
      <w:tr w:rsidR="00C329DB" w:rsidRPr="00C329DB" w14:paraId="08FDFC8C" w14:textId="77777777" w:rsidTr="00304796">
        <w:tc>
          <w:tcPr>
            <w:tcW w:w="1450" w:type="dxa"/>
            <w:shd w:val="clear" w:color="auto" w:fill="auto"/>
          </w:tcPr>
          <w:p w14:paraId="19492259" w14:textId="77777777" w:rsidR="003C687A" w:rsidRPr="00026971" w:rsidRDefault="003C687A" w:rsidP="00026971">
            <w:pPr>
              <w:spacing w:after="0" w:line="240" w:lineRule="auto"/>
              <w:rPr>
                <w:rFonts w:cs="Arial"/>
                <w:b/>
              </w:rPr>
            </w:pPr>
            <w:r w:rsidRPr="00026971">
              <w:rPr>
                <w:rFonts w:cs="Arial"/>
                <w:b/>
              </w:rPr>
              <w:t xml:space="preserve">Chair: </w:t>
            </w:r>
          </w:p>
        </w:tc>
        <w:tc>
          <w:tcPr>
            <w:tcW w:w="8756" w:type="dxa"/>
            <w:shd w:val="clear" w:color="auto" w:fill="auto"/>
          </w:tcPr>
          <w:p w14:paraId="25B76DDA" w14:textId="69088A99" w:rsidR="003C687A" w:rsidRPr="00026971" w:rsidRDefault="00C329DB" w:rsidP="002D1F9B">
            <w:pPr>
              <w:spacing w:after="120" w:line="240" w:lineRule="auto"/>
              <w:rPr>
                <w:rFonts w:cs="Arial"/>
              </w:rPr>
            </w:pPr>
            <w:r w:rsidRPr="00026971">
              <w:rPr>
                <w:rFonts w:cs="Arial"/>
                <w:b/>
              </w:rPr>
              <w:t xml:space="preserve">H.E. </w:t>
            </w:r>
            <w:r w:rsidR="001C132D" w:rsidRPr="00026971">
              <w:rPr>
                <w:rFonts w:cs="Arial"/>
                <w:b/>
              </w:rPr>
              <w:t xml:space="preserve">Ms. Elisabeth </w:t>
            </w:r>
            <w:proofErr w:type="spellStart"/>
            <w:r w:rsidR="001C132D" w:rsidRPr="00026971">
              <w:rPr>
                <w:rFonts w:cs="Arial"/>
                <w:b/>
              </w:rPr>
              <w:t>Tichy-Fisslberger</w:t>
            </w:r>
            <w:proofErr w:type="spellEnd"/>
            <w:r w:rsidR="001C132D" w:rsidRPr="00026971">
              <w:rPr>
                <w:rFonts w:cs="Arial"/>
              </w:rPr>
              <w:t>, President of the Human Rights Council</w:t>
            </w:r>
          </w:p>
        </w:tc>
      </w:tr>
      <w:tr w:rsidR="00C329DB" w:rsidRPr="00C329DB" w14:paraId="75C5CF23" w14:textId="77777777" w:rsidTr="00304796">
        <w:tc>
          <w:tcPr>
            <w:tcW w:w="1450" w:type="dxa"/>
            <w:shd w:val="clear" w:color="auto" w:fill="auto"/>
          </w:tcPr>
          <w:p w14:paraId="12CE2AC1" w14:textId="77777777" w:rsidR="00625399" w:rsidRPr="00026971" w:rsidRDefault="00625399" w:rsidP="00026971">
            <w:pPr>
              <w:spacing w:after="120" w:line="240" w:lineRule="auto"/>
              <w:rPr>
                <w:rFonts w:cs="Arial"/>
                <w:b/>
              </w:rPr>
            </w:pPr>
            <w:r w:rsidRPr="00026971">
              <w:rPr>
                <w:rFonts w:cs="Arial"/>
                <w:b/>
              </w:rPr>
              <w:t xml:space="preserve">Opening statement: </w:t>
            </w:r>
          </w:p>
        </w:tc>
        <w:tc>
          <w:tcPr>
            <w:tcW w:w="8756" w:type="dxa"/>
            <w:shd w:val="clear" w:color="auto" w:fill="auto"/>
          </w:tcPr>
          <w:p w14:paraId="0A4AE1D1" w14:textId="181A7567" w:rsidR="00625399" w:rsidRPr="00026971" w:rsidRDefault="006C115D" w:rsidP="00411A58">
            <w:pPr>
              <w:spacing w:after="0" w:line="240" w:lineRule="auto"/>
              <w:rPr>
                <w:rFonts w:cs="Arial"/>
              </w:rPr>
            </w:pPr>
            <w:r w:rsidRPr="00436D46">
              <w:rPr>
                <w:b/>
              </w:rPr>
              <w:t>Ms. Nada Al-</w:t>
            </w:r>
            <w:proofErr w:type="spellStart"/>
            <w:r w:rsidRPr="00436D46">
              <w:rPr>
                <w:b/>
              </w:rPr>
              <w:t>Nashif</w:t>
            </w:r>
            <w:proofErr w:type="spellEnd"/>
            <w:r w:rsidRPr="00436D46">
              <w:t>, United Nations Deputy High Commissioner for Human Rights</w:t>
            </w:r>
          </w:p>
        </w:tc>
      </w:tr>
      <w:tr w:rsidR="00F21B67" w:rsidRPr="00F21B67" w14:paraId="150FBDDC" w14:textId="77777777" w:rsidTr="00304796">
        <w:tc>
          <w:tcPr>
            <w:tcW w:w="1450" w:type="dxa"/>
            <w:shd w:val="clear" w:color="auto" w:fill="auto"/>
          </w:tcPr>
          <w:p w14:paraId="40A8651B" w14:textId="77777777" w:rsidR="00625399" w:rsidRPr="00026971" w:rsidRDefault="00625399" w:rsidP="00026971">
            <w:pPr>
              <w:spacing w:after="0" w:line="240" w:lineRule="auto"/>
              <w:rPr>
                <w:rFonts w:cs="Arial"/>
                <w:b/>
                <w:color w:val="1F497D" w:themeColor="text2"/>
              </w:rPr>
            </w:pPr>
            <w:r w:rsidRPr="00026971">
              <w:rPr>
                <w:rFonts w:cs="Arial"/>
                <w:b/>
              </w:rPr>
              <w:t>Panellists:</w:t>
            </w:r>
          </w:p>
        </w:tc>
        <w:tc>
          <w:tcPr>
            <w:tcW w:w="8756" w:type="dxa"/>
            <w:shd w:val="clear" w:color="auto" w:fill="auto"/>
          </w:tcPr>
          <w:p w14:paraId="790153C1" w14:textId="623A5982" w:rsidR="00411A58" w:rsidRPr="00411A58" w:rsidRDefault="00411A58" w:rsidP="00411A58">
            <w:pPr>
              <w:numPr>
                <w:ilvl w:val="0"/>
                <w:numId w:val="6"/>
              </w:numPr>
              <w:spacing w:after="120" w:line="240" w:lineRule="auto"/>
              <w:rPr>
                <w:b/>
                <w:lang w:eastAsia="en-GB"/>
              </w:rPr>
            </w:pPr>
            <w:r w:rsidRPr="00411A58">
              <w:rPr>
                <w:b/>
                <w:lang w:eastAsia="en-GB"/>
              </w:rPr>
              <w:t>H.E</w:t>
            </w:r>
            <w:r w:rsidR="002D1F9B">
              <w:rPr>
                <w:b/>
                <w:lang w:eastAsia="en-GB"/>
              </w:rPr>
              <w:t>.</w:t>
            </w:r>
            <w:r w:rsidRPr="00411A58">
              <w:rPr>
                <w:b/>
                <w:lang w:eastAsia="en-GB"/>
              </w:rPr>
              <w:t xml:space="preserve"> </w:t>
            </w:r>
            <w:r w:rsidR="003E00CC">
              <w:rPr>
                <w:b/>
                <w:lang w:eastAsia="en-GB"/>
              </w:rPr>
              <w:t xml:space="preserve">Ms. </w:t>
            </w:r>
            <w:r w:rsidRPr="00411A58">
              <w:rPr>
                <w:b/>
                <w:lang w:eastAsia="en-GB"/>
              </w:rPr>
              <w:t xml:space="preserve">Ursula </w:t>
            </w:r>
            <w:proofErr w:type="spellStart"/>
            <w:r w:rsidRPr="00411A58">
              <w:rPr>
                <w:b/>
                <w:lang w:eastAsia="en-GB"/>
              </w:rPr>
              <w:t>Owusu-Ekuful</w:t>
            </w:r>
            <w:proofErr w:type="spellEnd"/>
            <w:r w:rsidRPr="00411A58">
              <w:rPr>
                <w:lang w:eastAsia="en-GB"/>
              </w:rPr>
              <w:t xml:space="preserve">, Minister </w:t>
            </w:r>
            <w:r w:rsidR="008F5F8B">
              <w:rPr>
                <w:lang w:eastAsia="en-GB"/>
              </w:rPr>
              <w:t>for</w:t>
            </w:r>
            <w:r w:rsidRPr="00411A58">
              <w:rPr>
                <w:lang w:eastAsia="en-GB"/>
              </w:rPr>
              <w:t xml:space="preserve"> Communications</w:t>
            </w:r>
            <w:r w:rsidR="009B3B30">
              <w:rPr>
                <w:lang w:eastAsia="en-GB"/>
              </w:rPr>
              <w:t xml:space="preserve"> of</w:t>
            </w:r>
            <w:r w:rsidRPr="00411A58">
              <w:rPr>
                <w:lang w:eastAsia="en-GB"/>
              </w:rPr>
              <w:t xml:space="preserve"> Ghana</w:t>
            </w:r>
            <w:r w:rsidR="00AE5B27">
              <w:rPr>
                <w:lang w:eastAsia="en-GB"/>
              </w:rPr>
              <w:t xml:space="preserve"> </w:t>
            </w:r>
            <w:r w:rsidR="00AE5B27">
              <w:rPr>
                <w:i/>
                <w:lang w:eastAsia="en-GB"/>
              </w:rPr>
              <w:t>(video message)</w:t>
            </w:r>
          </w:p>
          <w:p w14:paraId="4FEDE0E2" w14:textId="44ED73D0" w:rsidR="00C40671" w:rsidRPr="00026971" w:rsidRDefault="006A0A7E" w:rsidP="00411A58">
            <w:pPr>
              <w:numPr>
                <w:ilvl w:val="0"/>
                <w:numId w:val="6"/>
              </w:numPr>
              <w:spacing w:after="120" w:line="240" w:lineRule="auto"/>
              <w:rPr>
                <w:rFonts w:cs="Arial"/>
                <w:b/>
              </w:rPr>
            </w:pPr>
            <w:hyperlink r:id="rId12" w:history="1">
              <w:r w:rsidR="00C40671" w:rsidRPr="00026971">
                <w:rPr>
                  <w:b/>
                  <w:lang w:eastAsia="en-GB"/>
                </w:rPr>
                <w:t>M</w:t>
              </w:r>
              <w:r w:rsidR="00756432" w:rsidRPr="00026971">
                <w:rPr>
                  <w:b/>
                  <w:lang w:eastAsia="en-GB"/>
                </w:rPr>
                <w:t xml:space="preserve">r. </w:t>
              </w:r>
              <w:proofErr w:type="spellStart"/>
              <w:r w:rsidR="00756432" w:rsidRPr="00026971">
                <w:rPr>
                  <w:b/>
                  <w:lang w:eastAsia="en-GB"/>
                </w:rPr>
                <w:t>Changrok</w:t>
              </w:r>
              <w:proofErr w:type="spellEnd"/>
              <w:r w:rsidR="00756432" w:rsidRPr="00026971">
                <w:rPr>
                  <w:b/>
                  <w:lang w:eastAsia="en-GB"/>
                </w:rPr>
                <w:t xml:space="preserve"> </w:t>
              </w:r>
              <w:proofErr w:type="spellStart"/>
              <w:r w:rsidR="00756432" w:rsidRPr="00026971">
                <w:rPr>
                  <w:b/>
                  <w:lang w:eastAsia="en-GB"/>
                </w:rPr>
                <w:t>Soh</w:t>
              </w:r>
              <w:proofErr w:type="spellEnd"/>
            </w:hyperlink>
            <w:r w:rsidR="00C40671" w:rsidRPr="00026971">
              <w:rPr>
                <w:rFonts w:cs="Arial"/>
                <w:lang w:eastAsia="en-GB"/>
              </w:rPr>
              <w:t xml:space="preserve">, </w:t>
            </w:r>
            <w:r w:rsidR="00756432" w:rsidRPr="00026971">
              <w:rPr>
                <w:rFonts w:cs="Arial"/>
                <w:lang w:eastAsia="en-GB"/>
              </w:rPr>
              <w:t>Member of the Human Rights Council Advisory Committee</w:t>
            </w:r>
            <w:r w:rsidR="00601B89" w:rsidRPr="00026971">
              <w:rPr>
                <w:rFonts w:cs="Arial"/>
                <w:lang w:eastAsia="en-GB"/>
              </w:rPr>
              <w:t xml:space="preserve"> </w:t>
            </w:r>
            <w:r w:rsidR="00AE5B27">
              <w:rPr>
                <w:i/>
                <w:lang w:eastAsia="en-GB"/>
              </w:rPr>
              <w:t>(video message)</w:t>
            </w:r>
          </w:p>
          <w:p w14:paraId="2AE68AE6" w14:textId="7EFD19A6" w:rsidR="00411A58" w:rsidRPr="00411A58" w:rsidRDefault="00411A58" w:rsidP="00411A58">
            <w:pPr>
              <w:numPr>
                <w:ilvl w:val="0"/>
                <w:numId w:val="6"/>
              </w:numPr>
              <w:spacing w:after="120" w:line="240" w:lineRule="auto"/>
              <w:rPr>
                <w:b/>
                <w:lang w:eastAsia="en-GB"/>
              </w:rPr>
            </w:pPr>
            <w:r w:rsidRPr="00411A58">
              <w:rPr>
                <w:b/>
                <w:lang w:eastAsia="en-GB"/>
              </w:rPr>
              <w:t>Ms. María Paz Canales</w:t>
            </w:r>
            <w:r w:rsidRPr="00AD7F0F">
              <w:rPr>
                <w:lang w:eastAsia="en-GB"/>
              </w:rPr>
              <w:t>, Executive Director,</w:t>
            </w:r>
            <w:r w:rsidRPr="00411A58">
              <w:rPr>
                <w:lang w:eastAsia="en-GB"/>
              </w:rPr>
              <w:t xml:space="preserve"> </w:t>
            </w:r>
            <w:proofErr w:type="spellStart"/>
            <w:r w:rsidRPr="00411A58">
              <w:rPr>
                <w:lang w:eastAsia="en-GB"/>
              </w:rPr>
              <w:t>Derechos</w:t>
            </w:r>
            <w:proofErr w:type="spellEnd"/>
            <w:r w:rsidRPr="00411A58">
              <w:rPr>
                <w:lang w:eastAsia="en-GB"/>
              </w:rPr>
              <w:t xml:space="preserve"> </w:t>
            </w:r>
            <w:proofErr w:type="spellStart"/>
            <w:r w:rsidRPr="00411A58">
              <w:rPr>
                <w:lang w:eastAsia="en-GB"/>
              </w:rPr>
              <w:t>Digitales</w:t>
            </w:r>
            <w:proofErr w:type="spellEnd"/>
            <w:r w:rsidR="00AE5B27">
              <w:rPr>
                <w:lang w:eastAsia="en-GB"/>
              </w:rPr>
              <w:t xml:space="preserve"> </w:t>
            </w:r>
            <w:r w:rsidR="00AE5B27">
              <w:rPr>
                <w:i/>
                <w:lang w:eastAsia="en-GB"/>
              </w:rPr>
              <w:t>(video message)</w:t>
            </w:r>
          </w:p>
          <w:p w14:paraId="29614E90" w14:textId="5E584D8E" w:rsidR="00411A58" w:rsidRPr="00026971" w:rsidRDefault="00411A58" w:rsidP="00411A58">
            <w:pPr>
              <w:numPr>
                <w:ilvl w:val="0"/>
                <w:numId w:val="6"/>
              </w:numPr>
              <w:spacing w:after="120" w:line="240" w:lineRule="auto"/>
              <w:rPr>
                <w:rFonts w:cs="Arial"/>
                <w:b/>
              </w:rPr>
            </w:pPr>
            <w:r w:rsidRPr="00411A58">
              <w:rPr>
                <w:b/>
                <w:lang w:eastAsia="en-GB"/>
              </w:rPr>
              <w:t>Mr. Steve Crown</w:t>
            </w:r>
            <w:r w:rsidRPr="00F718FC">
              <w:rPr>
                <w:lang w:eastAsia="en-GB"/>
              </w:rPr>
              <w:t>, Vice President and Deputy General Counsel</w:t>
            </w:r>
            <w:r w:rsidRPr="002D1F9B">
              <w:rPr>
                <w:lang w:eastAsia="en-GB"/>
              </w:rPr>
              <w:t>, Microsoft</w:t>
            </w:r>
            <w:r w:rsidR="00AE5B27">
              <w:rPr>
                <w:lang w:eastAsia="en-GB"/>
              </w:rPr>
              <w:t xml:space="preserve"> </w:t>
            </w:r>
            <w:r w:rsidR="00AE5B27">
              <w:rPr>
                <w:i/>
                <w:lang w:eastAsia="en-GB"/>
              </w:rPr>
              <w:t>(video message)</w:t>
            </w:r>
          </w:p>
        </w:tc>
      </w:tr>
      <w:tr w:rsidR="00F21B67" w:rsidRPr="00F21B67" w14:paraId="7BD53753" w14:textId="77777777" w:rsidTr="00304796">
        <w:tc>
          <w:tcPr>
            <w:tcW w:w="1450" w:type="dxa"/>
            <w:shd w:val="clear" w:color="auto" w:fill="auto"/>
          </w:tcPr>
          <w:p w14:paraId="17F368B5" w14:textId="77777777" w:rsidR="00625399" w:rsidRPr="00026971" w:rsidRDefault="00625399" w:rsidP="00026971">
            <w:pPr>
              <w:spacing w:after="0" w:line="240" w:lineRule="auto"/>
              <w:rPr>
                <w:rFonts w:cs="Arial"/>
                <w:b/>
                <w:color w:val="1F497D" w:themeColor="text2"/>
              </w:rPr>
            </w:pPr>
            <w:r w:rsidRPr="00026971">
              <w:rPr>
                <w:rFonts w:cs="Arial"/>
                <w:b/>
              </w:rPr>
              <w:t>Outcome:</w:t>
            </w:r>
          </w:p>
        </w:tc>
        <w:tc>
          <w:tcPr>
            <w:tcW w:w="8756" w:type="dxa"/>
            <w:shd w:val="clear" w:color="auto" w:fill="auto"/>
          </w:tcPr>
          <w:p w14:paraId="70049BAD" w14:textId="26A676D7" w:rsidR="00625399" w:rsidRPr="00026971" w:rsidRDefault="00AE6E07" w:rsidP="00FE661C">
            <w:pPr>
              <w:spacing w:after="120" w:line="240" w:lineRule="auto"/>
              <w:jc w:val="both"/>
              <w:rPr>
                <w:rFonts w:cs="Calibri"/>
                <w:lang w:eastAsia="en-GB"/>
              </w:rPr>
            </w:pPr>
            <w:r w:rsidRPr="00026971">
              <w:rPr>
                <w:rFonts w:cs="Calibri"/>
                <w:lang w:eastAsia="en-GB"/>
              </w:rPr>
              <w:t xml:space="preserve">The debate will seek to </w:t>
            </w:r>
            <w:r w:rsidR="00BD2824" w:rsidRPr="00026971">
              <w:rPr>
                <w:rFonts w:cs="Calibri"/>
                <w:lang w:eastAsia="en-GB"/>
              </w:rPr>
              <w:t xml:space="preserve">raise awareness and enhance understanding of the human rights impacts, opportunities and challenges linked to the use of digital technologies and help </w:t>
            </w:r>
            <w:r w:rsidR="000717E6">
              <w:rPr>
                <w:rFonts w:cs="Calibri"/>
                <w:lang w:eastAsia="en-GB"/>
              </w:rPr>
              <w:t xml:space="preserve">to </w:t>
            </w:r>
            <w:r w:rsidR="00BD2824" w:rsidRPr="00026971">
              <w:rPr>
                <w:rFonts w:cs="Calibri"/>
                <w:lang w:eastAsia="en-GB"/>
              </w:rPr>
              <w:t xml:space="preserve">identify priority areas of interest for the Human Rights Council. It will also serve as an opportunity for the Advisory Committee to give an oral update on its preparation of </w:t>
            </w:r>
            <w:r w:rsidR="000717E6">
              <w:rPr>
                <w:rFonts w:cs="Calibri"/>
                <w:lang w:eastAsia="en-GB"/>
              </w:rPr>
              <w:t>its</w:t>
            </w:r>
            <w:r w:rsidR="00BD2824" w:rsidRPr="00026971">
              <w:rPr>
                <w:rFonts w:cs="Calibri"/>
                <w:lang w:eastAsia="en-GB"/>
              </w:rPr>
              <w:t xml:space="preserve"> report on the possible impacts, opportunities and challenges of new and emerging digital technologies with regard to the promotion and protection of human rights, as requested by Council resolution 41/</w:t>
            </w:r>
            <w:r w:rsidR="00BD2824" w:rsidRPr="00F718FC">
              <w:rPr>
                <w:rFonts w:cs="Calibri"/>
                <w:color w:val="000000" w:themeColor="text1"/>
                <w:lang w:eastAsia="en-GB"/>
              </w:rPr>
              <w:t>11</w:t>
            </w:r>
            <w:r w:rsidR="00FE661C" w:rsidRPr="00F718FC">
              <w:rPr>
                <w:rFonts w:cs="Calibri"/>
                <w:color w:val="000000" w:themeColor="text1"/>
                <w:lang w:eastAsia="en-GB"/>
              </w:rPr>
              <w:t xml:space="preserve"> </w:t>
            </w:r>
            <w:r w:rsidR="00FE661C" w:rsidRPr="00F718FC">
              <w:rPr>
                <w:rStyle w:val="Strong"/>
                <w:b w:val="0"/>
                <w:color w:val="000000" w:themeColor="text1"/>
              </w:rPr>
              <w:t>and for the Council to provide inputs for the report</w:t>
            </w:r>
            <w:r w:rsidR="00BD2824" w:rsidRPr="00F718FC">
              <w:rPr>
                <w:rFonts w:cs="Calibri"/>
                <w:b/>
                <w:color w:val="000000" w:themeColor="text1"/>
                <w:lang w:eastAsia="en-GB"/>
              </w:rPr>
              <w:t>.</w:t>
            </w:r>
          </w:p>
        </w:tc>
      </w:tr>
      <w:tr w:rsidR="00F21B67" w:rsidRPr="00F21B67" w14:paraId="4FB70327" w14:textId="77777777" w:rsidTr="00304796">
        <w:tc>
          <w:tcPr>
            <w:tcW w:w="1450" w:type="dxa"/>
            <w:shd w:val="clear" w:color="auto" w:fill="auto"/>
          </w:tcPr>
          <w:p w14:paraId="3DB8788B" w14:textId="77777777" w:rsidR="00625399" w:rsidRPr="00026971" w:rsidRDefault="00625399" w:rsidP="00026971">
            <w:pPr>
              <w:spacing w:after="0" w:line="240" w:lineRule="auto"/>
              <w:rPr>
                <w:rFonts w:cs="Arial"/>
                <w:b/>
              </w:rPr>
            </w:pPr>
            <w:r w:rsidRPr="00026971">
              <w:rPr>
                <w:rFonts w:cs="Arial"/>
                <w:b/>
              </w:rPr>
              <w:t xml:space="preserve">Mandate: </w:t>
            </w:r>
          </w:p>
        </w:tc>
        <w:tc>
          <w:tcPr>
            <w:tcW w:w="8756" w:type="dxa"/>
            <w:shd w:val="clear" w:color="auto" w:fill="auto"/>
          </w:tcPr>
          <w:p w14:paraId="2333B2F4" w14:textId="0AA07FB4" w:rsidR="00625399" w:rsidRPr="00026971" w:rsidRDefault="00756432" w:rsidP="003902D8">
            <w:pPr>
              <w:spacing w:after="120" w:line="240" w:lineRule="auto"/>
              <w:jc w:val="both"/>
              <w:rPr>
                <w:rFonts w:ascii="Times New Roman" w:hAnsi="Times New Roman"/>
                <w:b/>
                <w:bCs/>
                <w:color w:val="1F497D" w:themeColor="text2"/>
                <w:u w:val="single"/>
                <w:lang w:val="en-US"/>
              </w:rPr>
            </w:pPr>
            <w:r w:rsidRPr="00026971">
              <w:rPr>
                <w:lang w:val="en-AU"/>
              </w:rPr>
              <w:t xml:space="preserve">In its resolution 41/11, the Human Rights Council decided </w:t>
            </w:r>
            <w:r w:rsidR="00F21B67" w:rsidRPr="00026971">
              <w:rPr>
                <w:lang w:val="en-AU"/>
              </w:rPr>
              <w:t xml:space="preserve">to convene a panel discussion at its forty-fourth session on the impacts, opportunities and challenges of new and emerging digital technologies with regard to the promotion and protection of human rights, </w:t>
            </w:r>
            <w:r w:rsidRPr="00026971">
              <w:rPr>
                <w:lang w:val="en-AU"/>
              </w:rPr>
              <w:t xml:space="preserve">and </w:t>
            </w:r>
            <w:r w:rsidR="00F21B67" w:rsidRPr="00026971">
              <w:rPr>
                <w:lang w:val="en-AU"/>
              </w:rPr>
              <w:t>also decide</w:t>
            </w:r>
            <w:r w:rsidRPr="00026971">
              <w:rPr>
                <w:lang w:val="en-AU"/>
              </w:rPr>
              <w:t>d</w:t>
            </w:r>
            <w:r w:rsidR="00F21B67" w:rsidRPr="00026971">
              <w:rPr>
                <w:lang w:val="en-AU"/>
              </w:rPr>
              <w:t xml:space="preserve"> that the discussions will be fully accessible to persons with disabilities</w:t>
            </w:r>
            <w:r w:rsidRPr="00026971">
              <w:rPr>
                <w:lang w:val="en-AU"/>
              </w:rPr>
              <w:t xml:space="preserve">. Furthermore, the Human Rights Council requested the Advisory Committee to prepare a report on the possible impacts, opportunities and challenges of new and emerging digital technologies with regard to the promotion and protection of human rights, including mapping of relevant existing initiatives by the United Nations and recommendations on how human rights opportunities, challenges and gaps arising from new and emerging digital technologies could be addressed by the Human Rights Council and its special procedures and subsidiary bodies in a holistic, inclusive and pragmatic manner, and to present the report to the Council at its forty-seventh session. In this </w:t>
            </w:r>
            <w:r w:rsidRPr="00026971">
              <w:rPr>
                <w:lang w:val="en-AU"/>
              </w:rPr>
              <w:lastRenderedPageBreak/>
              <w:t>regard, the Human Rights Council also requested</w:t>
            </w:r>
            <w:r w:rsidR="00F21B67" w:rsidRPr="00026971">
              <w:rPr>
                <w:lang w:val="en-AU"/>
              </w:rPr>
              <w:t xml:space="preserve"> the Advisory Committee to present an oral update on its preparati</w:t>
            </w:r>
            <w:r w:rsidRPr="00026971">
              <w:rPr>
                <w:lang w:val="en-AU"/>
              </w:rPr>
              <w:t>on of this</w:t>
            </w:r>
            <w:r w:rsidR="00F21B67" w:rsidRPr="00026971">
              <w:rPr>
                <w:lang w:val="en-AU"/>
              </w:rPr>
              <w:t xml:space="preserve"> rep</w:t>
            </w:r>
            <w:r w:rsidRPr="00026971">
              <w:rPr>
                <w:lang w:val="en-AU"/>
              </w:rPr>
              <w:t>ort during the panel discussion.</w:t>
            </w:r>
          </w:p>
        </w:tc>
      </w:tr>
      <w:tr w:rsidR="00F21B67" w:rsidRPr="00F21B67" w14:paraId="7B31A97F" w14:textId="77777777" w:rsidTr="00EC0DE0">
        <w:trPr>
          <w:trHeight w:val="80"/>
        </w:trPr>
        <w:tc>
          <w:tcPr>
            <w:tcW w:w="1450" w:type="dxa"/>
            <w:shd w:val="clear" w:color="auto" w:fill="auto"/>
          </w:tcPr>
          <w:p w14:paraId="3B00D239" w14:textId="0601CDBE" w:rsidR="00625399" w:rsidRPr="00026971" w:rsidRDefault="00625399" w:rsidP="00AD7F0F">
            <w:pPr>
              <w:spacing w:after="0" w:line="240" w:lineRule="auto"/>
              <w:rPr>
                <w:rFonts w:cs="Arial"/>
                <w:b/>
              </w:rPr>
            </w:pPr>
            <w:r w:rsidRPr="00026971">
              <w:rPr>
                <w:rFonts w:cs="Arial"/>
                <w:b/>
              </w:rPr>
              <w:lastRenderedPageBreak/>
              <w:t xml:space="preserve">Format: </w:t>
            </w:r>
          </w:p>
        </w:tc>
        <w:tc>
          <w:tcPr>
            <w:tcW w:w="8756" w:type="dxa"/>
            <w:shd w:val="clear" w:color="auto" w:fill="auto"/>
          </w:tcPr>
          <w:p w14:paraId="298DB37E" w14:textId="650DC132" w:rsidR="0007720A" w:rsidRPr="00026971" w:rsidRDefault="0007720A" w:rsidP="003902D8">
            <w:pPr>
              <w:spacing w:after="120" w:line="240" w:lineRule="auto"/>
              <w:jc w:val="both"/>
              <w:rPr>
                <w:rFonts w:cs="Calibri"/>
                <w:bCs/>
              </w:rPr>
            </w:pPr>
            <w:r w:rsidRPr="00026971">
              <w:rPr>
                <w:rFonts w:cs="Calibri"/>
                <w:bCs/>
              </w:rPr>
              <w:t xml:space="preserve">The </w:t>
            </w:r>
            <w:r w:rsidR="00613BCB" w:rsidRPr="00026971">
              <w:rPr>
                <w:rFonts w:cs="Calibri"/>
                <w:bCs/>
              </w:rPr>
              <w:t>panel</w:t>
            </w:r>
            <w:r w:rsidRPr="00026971">
              <w:rPr>
                <w:rFonts w:cs="Calibri"/>
                <w:bCs/>
              </w:rPr>
              <w:t xml:space="preserve"> will be limited to two hours. </w:t>
            </w:r>
            <w:r w:rsidR="00B85386" w:rsidRPr="00026971">
              <w:rPr>
                <w:rFonts w:cs="Calibri"/>
                <w:bCs/>
              </w:rPr>
              <w:t xml:space="preserve">The opening statement and initial presentations by the panellists will be followed by an interactive discussion divided into two slots. </w:t>
            </w:r>
            <w:r w:rsidRPr="00026971">
              <w:rPr>
                <w:rFonts w:cs="Calibri"/>
                <w:bCs/>
              </w:rPr>
              <w:t>A maximum of</w:t>
            </w:r>
            <w:r w:rsidRPr="00026971">
              <w:rPr>
                <w:rFonts w:cs="Calibri"/>
              </w:rPr>
              <w:t xml:space="preserve"> </w:t>
            </w:r>
            <w:r w:rsidRPr="00026971">
              <w:rPr>
                <w:rFonts w:cs="Calibri"/>
                <w:bCs/>
              </w:rPr>
              <w:t xml:space="preserve">one hour will be set aside for the podium, including </w:t>
            </w:r>
            <w:r w:rsidR="00F9447E" w:rsidRPr="00026971">
              <w:rPr>
                <w:rFonts w:cs="Calibri"/>
                <w:bCs/>
              </w:rPr>
              <w:t xml:space="preserve">the </w:t>
            </w:r>
            <w:r w:rsidRPr="00026971">
              <w:rPr>
                <w:rFonts w:cs="Calibri"/>
                <w:bCs/>
              </w:rPr>
              <w:t>opening statement, panellist</w:t>
            </w:r>
            <w:r w:rsidR="00F9447E" w:rsidRPr="00026971">
              <w:rPr>
                <w:rFonts w:cs="Calibri"/>
                <w:bCs/>
              </w:rPr>
              <w:t>s’</w:t>
            </w:r>
            <w:r w:rsidRPr="00026971">
              <w:rPr>
                <w:rFonts w:cs="Calibri"/>
                <w:bCs/>
              </w:rPr>
              <w:t xml:space="preserve"> presentations and their responses to questions and concluding remarks. </w:t>
            </w:r>
            <w:r w:rsidR="00B85386" w:rsidRPr="00026971">
              <w:rPr>
                <w:rFonts w:cs="Calibri"/>
                <w:bCs/>
              </w:rPr>
              <w:t>The remaining hour</w:t>
            </w:r>
            <w:r w:rsidR="00B85386" w:rsidRPr="00026971">
              <w:t xml:space="preserve"> </w:t>
            </w:r>
            <w:r w:rsidR="00B85386" w:rsidRPr="00026971">
              <w:rPr>
                <w:rFonts w:cs="Calibri"/>
                <w:bCs/>
              </w:rPr>
              <w:t xml:space="preserve">will be reserved for </w:t>
            </w:r>
            <w:r w:rsidR="00DB3D1E" w:rsidRPr="00026971">
              <w:rPr>
                <w:rFonts w:cs="Calibri"/>
                <w:bCs/>
              </w:rPr>
              <w:t xml:space="preserve">two slots of </w:t>
            </w:r>
            <w:r w:rsidR="00B85386" w:rsidRPr="00026971">
              <w:rPr>
                <w:rFonts w:cs="Calibri"/>
                <w:bCs/>
              </w:rPr>
              <w:t>interventions from the floor for States and observers (2x12), national human rights institutions (2x1) and non-governmental organizations (2x2).</w:t>
            </w:r>
          </w:p>
          <w:p w14:paraId="1D5FB1B8" w14:textId="5AB5B088" w:rsidR="00625399" w:rsidRPr="00026971" w:rsidRDefault="0007720A" w:rsidP="00F569C1">
            <w:pPr>
              <w:spacing w:after="120" w:line="240" w:lineRule="auto"/>
              <w:jc w:val="both"/>
              <w:rPr>
                <w:rFonts w:ascii="Times New Roman" w:hAnsi="Times New Roman"/>
                <w:bCs/>
                <w:lang w:val="en-US"/>
              </w:rPr>
            </w:pPr>
            <w:r w:rsidRPr="00026971">
              <w:rPr>
                <w:rFonts w:cs="Calibri"/>
                <w:bCs/>
              </w:rPr>
              <w:t xml:space="preserve">The list of speakers for the discussion will be established </w:t>
            </w:r>
            <w:r w:rsidR="000717E6">
              <w:rPr>
                <w:rFonts w:cs="Calibri"/>
                <w:bCs/>
              </w:rPr>
              <w:t xml:space="preserve">through </w:t>
            </w:r>
            <w:r w:rsidR="003902D8">
              <w:rPr>
                <w:rFonts w:cs="Calibri"/>
                <w:bCs/>
              </w:rPr>
              <w:t>the</w:t>
            </w:r>
            <w:r w:rsidR="000717E6">
              <w:rPr>
                <w:rFonts w:cs="Calibri"/>
                <w:bCs/>
              </w:rPr>
              <w:t xml:space="preserve"> online inscription system</w:t>
            </w:r>
            <w:r w:rsidRPr="00026971">
              <w:rPr>
                <w:rFonts w:cs="Calibri"/>
                <w:bCs/>
              </w:rPr>
              <w:t xml:space="preserve"> and, as per practice, statements by high-level dignitaries and groups </w:t>
            </w:r>
            <w:r w:rsidR="00F9447E" w:rsidRPr="00026971">
              <w:rPr>
                <w:rFonts w:cs="Calibri"/>
                <w:bCs/>
              </w:rPr>
              <w:t xml:space="preserve">of States </w:t>
            </w:r>
            <w:r w:rsidRPr="00026971">
              <w:rPr>
                <w:rFonts w:cs="Calibri"/>
                <w:bCs/>
              </w:rPr>
              <w:t xml:space="preserve">will be moved to the beginning of the list. </w:t>
            </w:r>
            <w:r w:rsidR="00C815DC" w:rsidRPr="00026971">
              <w:rPr>
                <w:rFonts w:cs="Calibri"/>
                <w:bCs/>
              </w:rPr>
              <w:t>Each speaker will have two minutes to raise issues and to ask panellists questions</w:t>
            </w:r>
            <w:r w:rsidR="00A10EA6" w:rsidRPr="00026971">
              <w:rPr>
                <w:rFonts w:cs="Calibri"/>
                <w:bCs/>
              </w:rPr>
              <w:t>. Delegates who have not been able to take the floor due to time constraints will be able to upload their statements on the online system to be posted on the HRC Extranet</w:t>
            </w:r>
            <w:r w:rsidR="00C815DC" w:rsidRPr="00026971">
              <w:rPr>
                <w:rFonts w:cs="Calibri"/>
                <w:bCs/>
              </w:rPr>
              <w:t>.</w:t>
            </w:r>
          </w:p>
        </w:tc>
      </w:tr>
      <w:tr w:rsidR="00F21B67" w:rsidRPr="00F21B67" w14:paraId="03038CA2" w14:textId="77777777" w:rsidTr="00304796">
        <w:tc>
          <w:tcPr>
            <w:tcW w:w="1450" w:type="dxa"/>
            <w:shd w:val="clear" w:color="auto" w:fill="auto"/>
          </w:tcPr>
          <w:p w14:paraId="2F1D320B" w14:textId="26D4268D" w:rsidR="003E4646" w:rsidRPr="00781498" w:rsidRDefault="003E4646" w:rsidP="008F5F8B">
            <w:pPr>
              <w:spacing w:after="0" w:line="240" w:lineRule="auto"/>
              <w:rPr>
                <w:rFonts w:cs="Arial"/>
                <w:b/>
                <w:bCs/>
              </w:rPr>
            </w:pPr>
            <w:r w:rsidRPr="00026971">
              <w:rPr>
                <w:rFonts w:cs="Arial"/>
                <w:b/>
                <w:bCs/>
              </w:rPr>
              <w:t>Accessibility</w:t>
            </w:r>
            <w:r w:rsidR="00AD7F0F" w:rsidRPr="00C7566B">
              <w:rPr>
                <w:rFonts w:cs="Arial"/>
                <w:bCs/>
              </w:rPr>
              <w:t>:</w:t>
            </w:r>
            <w:r w:rsidR="00B84456" w:rsidRPr="00026971">
              <w:rPr>
                <w:rFonts w:cs="Arial"/>
                <w:b/>
                <w:bCs/>
              </w:rPr>
              <w:t xml:space="preserve"> </w:t>
            </w:r>
          </w:p>
        </w:tc>
        <w:tc>
          <w:tcPr>
            <w:tcW w:w="8756" w:type="dxa"/>
            <w:shd w:val="clear" w:color="auto" w:fill="auto"/>
          </w:tcPr>
          <w:p w14:paraId="10D52B10" w14:textId="1B03C873" w:rsidR="003902D8" w:rsidRDefault="00084ADC" w:rsidP="003902D8">
            <w:pPr>
              <w:spacing w:after="0" w:line="240" w:lineRule="auto"/>
              <w:jc w:val="both"/>
              <w:rPr>
                <w:bCs/>
                <w:lang w:val="en-US"/>
              </w:rPr>
            </w:pPr>
            <w:r w:rsidRPr="00026971">
              <w:rPr>
                <w:bCs/>
                <w:lang w:val="en-US"/>
              </w:rPr>
              <w:t xml:space="preserve">In an effort to render the Human Rights Council more accessible to persons with disabilities and to promote their full participation in the work of the Council on an equal basis with others, the </w:t>
            </w:r>
            <w:r w:rsidR="000265D9" w:rsidRPr="00026971">
              <w:rPr>
                <w:bCs/>
                <w:lang w:val="en-US"/>
              </w:rPr>
              <w:t>event</w:t>
            </w:r>
            <w:r w:rsidRPr="00026971">
              <w:rPr>
                <w:bCs/>
                <w:lang w:val="en-US"/>
              </w:rPr>
              <w:t xml:space="preserve"> will be made accessible. </w:t>
            </w:r>
            <w:r w:rsidR="0063354E">
              <w:rPr>
                <w:bCs/>
                <w:lang w:val="en-US"/>
              </w:rPr>
              <w:t>I</w:t>
            </w:r>
            <w:r w:rsidRPr="00026971">
              <w:rPr>
                <w:bCs/>
                <w:lang w:val="en-US"/>
              </w:rPr>
              <w:t xml:space="preserve">nternational sign interpretation and real-time captioning </w:t>
            </w:r>
            <w:r w:rsidR="006F5801" w:rsidRPr="00026971">
              <w:rPr>
                <w:bCs/>
                <w:lang w:val="en-US"/>
              </w:rPr>
              <w:t xml:space="preserve">in English </w:t>
            </w:r>
            <w:r w:rsidRPr="00026971">
              <w:rPr>
                <w:bCs/>
                <w:lang w:val="en-US"/>
              </w:rPr>
              <w:t>will be provided and webcasted</w:t>
            </w:r>
            <w:r w:rsidR="0063354E">
              <w:rPr>
                <w:bCs/>
                <w:lang w:val="en-US"/>
              </w:rPr>
              <w:t xml:space="preserve"> during the debate</w:t>
            </w:r>
            <w:r w:rsidRPr="00026971">
              <w:rPr>
                <w:bCs/>
                <w:lang w:val="en-US"/>
              </w:rPr>
              <w:t xml:space="preserve">. </w:t>
            </w:r>
            <w:r w:rsidR="003902D8">
              <w:rPr>
                <w:bCs/>
                <w:lang w:val="en-US"/>
              </w:rPr>
              <w:t xml:space="preserve">The </w:t>
            </w:r>
            <w:r w:rsidR="0063354E">
              <w:rPr>
                <w:bCs/>
                <w:lang w:val="en-US"/>
              </w:rPr>
              <w:t>a</w:t>
            </w:r>
            <w:r w:rsidRPr="00026971">
              <w:rPr>
                <w:bCs/>
                <w:lang w:val="en-US"/>
              </w:rPr>
              <w:t>ccessibility guide to the Human Rights Council for persons with disabilities</w:t>
            </w:r>
            <w:r w:rsidR="003902D8">
              <w:rPr>
                <w:bCs/>
                <w:lang w:val="en-US"/>
              </w:rPr>
              <w:t xml:space="preserve"> is </w:t>
            </w:r>
            <w:r w:rsidR="00F60587" w:rsidRPr="00026971">
              <w:rPr>
                <w:bCs/>
                <w:lang w:val="en-US"/>
              </w:rPr>
              <w:t>available at</w:t>
            </w:r>
          </w:p>
          <w:p w14:paraId="0E15A7F7" w14:textId="21A195E9" w:rsidR="003E4646" w:rsidRPr="00026971" w:rsidRDefault="006A0A7E" w:rsidP="003902D8">
            <w:pPr>
              <w:spacing w:after="120" w:line="240" w:lineRule="auto"/>
              <w:jc w:val="both"/>
              <w:rPr>
                <w:bCs/>
                <w:lang w:val="en-US"/>
              </w:rPr>
            </w:pPr>
            <w:hyperlink r:id="rId13" w:history="1">
              <w:r w:rsidR="00965557" w:rsidRPr="003902D8">
                <w:rPr>
                  <w:rStyle w:val="Hyperlink"/>
                  <w:bCs/>
                  <w:lang w:val="en-US"/>
                </w:rPr>
                <w:t>https://www.ohchr.org/EN/HRBodies/HRC/Pages/Accessibility.aspx</w:t>
              </w:r>
            </w:hyperlink>
            <w:r w:rsidR="00084ADC" w:rsidRPr="00026971">
              <w:rPr>
                <w:bCs/>
                <w:lang w:val="en-US"/>
              </w:rPr>
              <w:t>.</w:t>
            </w:r>
          </w:p>
        </w:tc>
      </w:tr>
      <w:tr w:rsidR="00F21B67" w:rsidRPr="00F21B67" w14:paraId="19CEE151" w14:textId="77777777" w:rsidTr="00304796">
        <w:tc>
          <w:tcPr>
            <w:tcW w:w="1450" w:type="dxa"/>
            <w:shd w:val="clear" w:color="auto" w:fill="auto"/>
          </w:tcPr>
          <w:p w14:paraId="3A36E7B6" w14:textId="77777777" w:rsidR="00625399" w:rsidRPr="00026971" w:rsidRDefault="00625399" w:rsidP="00026971">
            <w:pPr>
              <w:spacing w:after="0" w:line="240" w:lineRule="auto"/>
              <w:rPr>
                <w:rFonts w:cs="Arial"/>
                <w:b/>
                <w:color w:val="1F497D" w:themeColor="text2"/>
              </w:rPr>
            </w:pPr>
            <w:r w:rsidRPr="00026971">
              <w:rPr>
                <w:rFonts w:cs="Arial"/>
                <w:b/>
              </w:rPr>
              <w:t>Background:</w:t>
            </w:r>
          </w:p>
        </w:tc>
        <w:tc>
          <w:tcPr>
            <w:tcW w:w="8756" w:type="dxa"/>
            <w:shd w:val="clear" w:color="auto" w:fill="auto"/>
          </w:tcPr>
          <w:p w14:paraId="4A7BDAF2" w14:textId="61A82C07" w:rsidR="007A00F5" w:rsidRPr="00026971" w:rsidRDefault="007A00F5" w:rsidP="003902D8">
            <w:pPr>
              <w:autoSpaceDE w:val="0"/>
              <w:autoSpaceDN w:val="0"/>
              <w:adjustRightInd w:val="0"/>
              <w:spacing w:after="120" w:line="240" w:lineRule="auto"/>
              <w:jc w:val="both"/>
              <w:rPr>
                <w:rFonts w:cs="Calibri"/>
                <w:lang w:eastAsia="en-GB"/>
              </w:rPr>
            </w:pPr>
            <w:r w:rsidRPr="00026971">
              <w:rPr>
                <w:rFonts w:cs="Calibri"/>
                <w:lang w:eastAsia="en-GB"/>
              </w:rPr>
              <w:t>The use of a vast array of new and emerging digital technologies by Governments, business enterprises, international organi</w:t>
            </w:r>
            <w:r w:rsidR="003902D8">
              <w:rPr>
                <w:rFonts w:cs="Calibri"/>
                <w:lang w:eastAsia="en-GB"/>
              </w:rPr>
              <w:t>z</w:t>
            </w:r>
            <w:r w:rsidRPr="00026971">
              <w:rPr>
                <w:rFonts w:cs="Calibri"/>
                <w:lang w:eastAsia="en-GB"/>
              </w:rPr>
              <w:t>ations, academic institutions and other stakeholders continue</w:t>
            </w:r>
            <w:r w:rsidR="007E04EF" w:rsidRPr="00026971">
              <w:rPr>
                <w:rFonts w:cs="Calibri"/>
                <w:lang w:eastAsia="en-GB"/>
              </w:rPr>
              <w:t>s</w:t>
            </w:r>
            <w:r w:rsidRPr="00026971">
              <w:rPr>
                <w:rFonts w:cs="Calibri"/>
                <w:lang w:eastAsia="en-GB"/>
              </w:rPr>
              <w:t xml:space="preserve"> to cause or contribute toward significant transformations of societies. The</w:t>
            </w:r>
            <w:r w:rsidR="007E04EF" w:rsidRPr="00026971">
              <w:rPr>
                <w:rFonts w:cs="Calibri"/>
                <w:lang w:eastAsia="en-GB"/>
              </w:rPr>
              <w:t>y</w:t>
            </w:r>
            <w:r w:rsidRPr="00026971">
              <w:rPr>
                <w:rFonts w:cs="Calibri"/>
                <w:lang w:eastAsia="en-GB"/>
              </w:rPr>
              <w:t xml:space="preserve"> may be powerful tools in their capacity to make significant positive contributions to the promotion and protection of human rights. At the same time, these rapid</w:t>
            </w:r>
            <w:r w:rsidR="007E04EF" w:rsidRPr="00026971">
              <w:rPr>
                <w:rFonts w:cs="Calibri"/>
                <w:lang w:eastAsia="en-GB"/>
              </w:rPr>
              <w:t>ly</w:t>
            </w:r>
            <w:r w:rsidRPr="00026971">
              <w:rPr>
                <w:rFonts w:cs="Calibri"/>
                <w:lang w:eastAsia="en-GB"/>
              </w:rPr>
              <w:t xml:space="preserve"> develop</w:t>
            </w:r>
            <w:r w:rsidR="007E04EF" w:rsidRPr="00026971">
              <w:rPr>
                <w:rFonts w:cs="Calibri"/>
                <w:lang w:eastAsia="en-GB"/>
              </w:rPr>
              <w:t xml:space="preserve">ing technologies </w:t>
            </w:r>
            <w:r w:rsidRPr="00026971">
              <w:rPr>
                <w:rFonts w:cs="Calibri"/>
                <w:lang w:eastAsia="en-GB"/>
              </w:rPr>
              <w:t>raise serious questions as to the risks and negative impacts on human rights, and how appropriate responses to th</w:t>
            </w:r>
            <w:r w:rsidR="00601B89" w:rsidRPr="00026971">
              <w:rPr>
                <w:rFonts w:cs="Calibri"/>
                <w:lang w:eastAsia="en-GB"/>
              </w:rPr>
              <w:t>e challenges can be undertaken.</w:t>
            </w:r>
          </w:p>
          <w:p w14:paraId="0ED4BE53" w14:textId="3C706722" w:rsidR="00135E99" w:rsidRPr="00026971" w:rsidRDefault="002B3E15" w:rsidP="003902D8">
            <w:pPr>
              <w:autoSpaceDE w:val="0"/>
              <w:autoSpaceDN w:val="0"/>
              <w:adjustRightInd w:val="0"/>
              <w:spacing w:after="120" w:line="240" w:lineRule="auto"/>
              <w:jc w:val="both"/>
            </w:pPr>
            <w:r>
              <w:rPr>
                <w:rFonts w:cs="Calibri"/>
                <w:lang w:eastAsia="en-GB"/>
              </w:rPr>
              <w:t>In recent years, t</w:t>
            </w:r>
            <w:r w:rsidR="007A00F5" w:rsidRPr="00026971">
              <w:rPr>
                <w:rFonts w:cs="Calibri"/>
                <w:lang w:eastAsia="en-GB"/>
              </w:rPr>
              <w:t xml:space="preserve">he Human Rights Council and its </w:t>
            </w:r>
            <w:r>
              <w:rPr>
                <w:rFonts w:cs="Calibri"/>
                <w:lang w:eastAsia="en-GB"/>
              </w:rPr>
              <w:t>s</w:t>
            </w:r>
            <w:r w:rsidR="007A00F5" w:rsidRPr="00026971">
              <w:rPr>
                <w:rFonts w:cs="Calibri"/>
                <w:lang w:eastAsia="en-GB"/>
              </w:rPr>
              <w:t xml:space="preserve">pecial </w:t>
            </w:r>
            <w:r>
              <w:rPr>
                <w:rFonts w:cs="Calibri"/>
                <w:lang w:eastAsia="en-GB"/>
              </w:rPr>
              <w:t>p</w:t>
            </w:r>
            <w:r w:rsidR="007A00F5" w:rsidRPr="00026971">
              <w:rPr>
                <w:rFonts w:cs="Calibri"/>
                <w:lang w:eastAsia="en-GB"/>
              </w:rPr>
              <w:t xml:space="preserve">rocedures, several </w:t>
            </w:r>
            <w:r>
              <w:rPr>
                <w:rFonts w:cs="Calibri"/>
                <w:lang w:eastAsia="en-GB"/>
              </w:rPr>
              <w:t>human rights t</w:t>
            </w:r>
            <w:r w:rsidR="007A00F5" w:rsidRPr="00026971">
              <w:rPr>
                <w:rFonts w:cs="Calibri"/>
                <w:lang w:eastAsia="en-GB"/>
              </w:rPr>
              <w:t xml:space="preserve">reaty </w:t>
            </w:r>
            <w:r>
              <w:rPr>
                <w:rFonts w:cs="Calibri"/>
                <w:lang w:eastAsia="en-GB"/>
              </w:rPr>
              <w:t>b</w:t>
            </w:r>
            <w:r w:rsidR="007A00F5" w:rsidRPr="00026971">
              <w:rPr>
                <w:rFonts w:cs="Calibri"/>
                <w:lang w:eastAsia="en-GB"/>
              </w:rPr>
              <w:t>odies</w:t>
            </w:r>
            <w:r w:rsidR="00601B89" w:rsidRPr="00026971">
              <w:rPr>
                <w:rFonts w:cs="Calibri"/>
                <w:lang w:eastAsia="en-GB"/>
              </w:rPr>
              <w:t xml:space="preserve">, </w:t>
            </w:r>
            <w:r w:rsidR="007E04EF" w:rsidRPr="00026971">
              <w:rPr>
                <w:rFonts w:cs="Calibri"/>
                <w:lang w:eastAsia="en-GB"/>
              </w:rPr>
              <w:t xml:space="preserve">and </w:t>
            </w:r>
            <w:r w:rsidR="00601B89" w:rsidRPr="00026971">
              <w:rPr>
                <w:rFonts w:cs="Calibri"/>
                <w:lang w:eastAsia="en-GB"/>
              </w:rPr>
              <w:t xml:space="preserve">the </w:t>
            </w:r>
            <w:r>
              <w:rPr>
                <w:rFonts w:cs="Calibri"/>
                <w:lang w:eastAsia="en-GB"/>
              </w:rPr>
              <w:t>Office of the United Nations High Commissioner for Human Rights</w:t>
            </w:r>
            <w:r w:rsidR="007A00F5" w:rsidRPr="00026971">
              <w:rPr>
                <w:rFonts w:cs="Calibri"/>
                <w:lang w:eastAsia="en-GB"/>
              </w:rPr>
              <w:t xml:space="preserve"> have</w:t>
            </w:r>
            <w:r w:rsidR="00601B89" w:rsidRPr="00026971">
              <w:rPr>
                <w:rFonts w:cs="Calibri"/>
                <w:lang w:eastAsia="en-GB"/>
              </w:rPr>
              <w:t xml:space="preserve"> increasingly</w:t>
            </w:r>
            <w:r w:rsidR="007A00F5" w:rsidRPr="00026971">
              <w:rPr>
                <w:rFonts w:cs="Calibri"/>
                <w:lang w:eastAsia="en-GB"/>
              </w:rPr>
              <w:t xml:space="preserve"> </w:t>
            </w:r>
            <w:r w:rsidR="00601B89" w:rsidRPr="00026971">
              <w:rPr>
                <w:rFonts w:cs="Calibri"/>
                <w:lang w:eastAsia="en-GB"/>
              </w:rPr>
              <w:t>addressed issues linked to digital technologies, including topics such as the right to privacy in the digital age, the gender digital divide, the safety of journalists online,</w:t>
            </w:r>
            <w:r w:rsidR="00135E99" w:rsidRPr="00026971">
              <w:rPr>
                <w:rFonts w:cs="Calibri"/>
                <w:lang w:eastAsia="en-GB"/>
              </w:rPr>
              <w:t xml:space="preserve"> online violence against women and girls, the </w:t>
            </w:r>
            <w:r w:rsidR="00135E99" w:rsidRPr="00026971">
              <w:t xml:space="preserve">role of new technologies for the realization of economic, social and cultural rights, hate speech online, content moderation by social media platforms, responsibilities of the </w:t>
            </w:r>
            <w:r>
              <w:t>i</w:t>
            </w:r>
            <w:r w:rsidRPr="002B3E15">
              <w:t>nformation and communications technology</w:t>
            </w:r>
            <w:r w:rsidR="00135E99" w:rsidRPr="00026971">
              <w:t xml:space="preserve"> sector</w:t>
            </w:r>
            <w:r>
              <w:t xml:space="preserve"> and</w:t>
            </w:r>
            <w:r w:rsidR="00135E99" w:rsidRPr="00026971">
              <w:t xml:space="preserve"> the digital welfare state, to name just a few</w:t>
            </w:r>
            <w:r w:rsidR="00CA5B89" w:rsidRPr="00026971">
              <w:t>.</w:t>
            </w:r>
            <w:r w:rsidR="00CA5B89" w:rsidRPr="00026971">
              <w:rPr>
                <w:lang w:val="en-AU"/>
              </w:rPr>
              <w:t xml:space="preserve"> </w:t>
            </w:r>
          </w:p>
          <w:p w14:paraId="7CE6ECA3" w14:textId="4C66B203" w:rsidR="00CA5B89" w:rsidRDefault="00135E99" w:rsidP="003902D8">
            <w:pPr>
              <w:autoSpaceDE w:val="0"/>
              <w:autoSpaceDN w:val="0"/>
              <w:adjustRightInd w:val="0"/>
              <w:spacing w:after="120" w:line="240" w:lineRule="auto"/>
              <w:jc w:val="both"/>
            </w:pPr>
            <w:r w:rsidRPr="00026971">
              <w:t xml:space="preserve">Moreover, </w:t>
            </w:r>
            <w:r w:rsidR="00F51407" w:rsidRPr="00026971">
              <w:t>the Secretary-General</w:t>
            </w:r>
            <w:r w:rsidRPr="00026971">
              <w:t xml:space="preserve"> </w:t>
            </w:r>
            <w:r w:rsidR="00F51407" w:rsidRPr="00026971">
              <w:t xml:space="preserve">has determined digital technologies as one of his priority areas of action. In 2018, he established a High-level Panel on Digital Cooperation, which published its report </w:t>
            </w:r>
            <w:r w:rsidR="0062083E">
              <w:t xml:space="preserve">entitled </w:t>
            </w:r>
            <w:r w:rsidR="00F51407" w:rsidRPr="00026971">
              <w:t xml:space="preserve">“The </w:t>
            </w:r>
            <w:r w:rsidR="0062083E">
              <w:t>a</w:t>
            </w:r>
            <w:r w:rsidR="00F51407" w:rsidRPr="00026971">
              <w:t xml:space="preserve">ge of </w:t>
            </w:r>
            <w:r w:rsidR="0062083E">
              <w:t>d</w:t>
            </w:r>
            <w:r w:rsidR="00F51407" w:rsidRPr="00026971">
              <w:t xml:space="preserve">igital </w:t>
            </w:r>
            <w:r w:rsidR="0062083E">
              <w:t>i</w:t>
            </w:r>
            <w:r w:rsidR="00F51407" w:rsidRPr="00026971">
              <w:t xml:space="preserve">nterdependence” in June 2019. </w:t>
            </w:r>
            <w:r w:rsidR="00CA5B89" w:rsidRPr="00026971">
              <w:t>A series of f</w:t>
            </w:r>
            <w:r w:rsidR="00F51407" w:rsidRPr="00026971">
              <w:t xml:space="preserve">ollow-up multi-stakeholder </w:t>
            </w:r>
            <w:r w:rsidR="00CA5B89" w:rsidRPr="00026971">
              <w:t>discussions provided inputs and advice on the status and feasibility of advancing the report’s various recommendations, inform</w:t>
            </w:r>
            <w:r w:rsidR="007E04EF" w:rsidRPr="00026971">
              <w:t>ing</w:t>
            </w:r>
            <w:r w:rsidR="00CA5B89" w:rsidRPr="00026971">
              <w:t xml:space="preserve"> the development of the Secretary-General’s Road</w:t>
            </w:r>
            <w:r w:rsidR="0062083E">
              <w:t xml:space="preserve"> </w:t>
            </w:r>
            <w:r w:rsidR="00CA5B89" w:rsidRPr="00026971">
              <w:t xml:space="preserve">map </w:t>
            </w:r>
            <w:r w:rsidR="0062083E">
              <w:t>for</w:t>
            </w:r>
            <w:r w:rsidR="00CA5B89" w:rsidRPr="00026971">
              <w:t xml:space="preserve"> </w:t>
            </w:r>
            <w:r w:rsidR="0062083E">
              <w:t>d</w:t>
            </w:r>
            <w:r w:rsidR="00CA5B89" w:rsidRPr="00026971">
              <w:t xml:space="preserve">igital </w:t>
            </w:r>
            <w:r w:rsidR="0062083E">
              <w:t>c</w:t>
            </w:r>
            <w:r w:rsidR="00CA5B89" w:rsidRPr="00026971">
              <w:t>ooperation</w:t>
            </w:r>
            <w:r w:rsidR="007E04EF" w:rsidRPr="00026971">
              <w:t>, launched on 11 June</w:t>
            </w:r>
            <w:r w:rsidR="0062083E">
              <w:t xml:space="preserve"> 2020.</w:t>
            </w:r>
          </w:p>
          <w:p w14:paraId="6D77B984" w14:textId="71ADAE26" w:rsidR="0062083E" w:rsidRDefault="0062083E" w:rsidP="003902D8">
            <w:pPr>
              <w:autoSpaceDE w:val="0"/>
              <w:autoSpaceDN w:val="0"/>
              <w:adjustRightInd w:val="0"/>
              <w:spacing w:after="120" w:line="240" w:lineRule="auto"/>
              <w:jc w:val="both"/>
            </w:pPr>
            <w:r>
              <w:t>Pursuant to Council resolution 41/11, t</w:t>
            </w:r>
            <w:r w:rsidRPr="0062083E">
              <w:t xml:space="preserve">he Advisory Committee established a drafting group at its twenty-third session </w:t>
            </w:r>
            <w:r w:rsidR="00DE02B2">
              <w:t xml:space="preserve">in </w:t>
            </w:r>
            <w:r w:rsidRPr="0062083E">
              <w:t>August 2019 and discussed the draft preliminary outline of the report submitted by the drafting group (A/HRC/AC/24/CRP.5)</w:t>
            </w:r>
            <w:r>
              <w:t xml:space="preserve"> </w:t>
            </w:r>
            <w:r w:rsidRPr="0062083E">
              <w:t xml:space="preserve">at its twenty-fourth session </w:t>
            </w:r>
            <w:r w:rsidR="00DE02B2">
              <w:t xml:space="preserve">in </w:t>
            </w:r>
            <w:r w:rsidRPr="0062083E">
              <w:t>February 2020. The drafting group is currently working on a revised draft, which will be considered by the Advisory Committee at its twenty-fifth session</w:t>
            </w:r>
            <w:r>
              <w:t xml:space="preserve"> later this year</w:t>
            </w:r>
            <w:r w:rsidRPr="0062083E">
              <w:t>, with a view to presenting the mandated report to the Human Rights Council at its forty-seventh session.</w:t>
            </w:r>
          </w:p>
          <w:p w14:paraId="4C093F51" w14:textId="23DF2CE4" w:rsidR="00625399" w:rsidRPr="00026971" w:rsidRDefault="007A00F5" w:rsidP="0062083E">
            <w:pPr>
              <w:autoSpaceDE w:val="0"/>
              <w:autoSpaceDN w:val="0"/>
              <w:adjustRightInd w:val="0"/>
              <w:spacing w:after="120" w:line="240" w:lineRule="auto"/>
              <w:jc w:val="both"/>
              <w:rPr>
                <w:rFonts w:cs="Calibri"/>
                <w:lang w:eastAsia="en-GB"/>
              </w:rPr>
            </w:pPr>
            <w:r w:rsidRPr="00026971">
              <w:rPr>
                <w:rFonts w:cs="Calibri"/>
                <w:lang w:eastAsia="en-GB"/>
              </w:rPr>
              <w:t xml:space="preserve">The </w:t>
            </w:r>
            <w:r w:rsidR="0062083E">
              <w:rPr>
                <w:rFonts w:cs="Calibri"/>
                <w:lang w:eastAsia="en-GB"/>
              </w:rPr>
              <w:t xml:space="preserve">present </w:t>
            </w:r>
            <w:r w:rsidRPr="00026971">
              <w:rPr>
                <w:rFonts w:cs="Calibri"/>
                <w:lang w:eastAsia="en-GB"/>
              </w:rPr>
              <w:t xml:space="preserve">panel discussion </w:t>
            </w:r>
            <w:r w:rsidR="00705171" w:rsidRPr="00026971">
              <w:rPr>
                <w:rFonts w:cs="Calibri"/>
                <w:lang w:eastAsia="en-GB"/>
              </w:rPr>
              <w:t xml:space="preserve">in combination with the report of the Advisory Committee </w:t>
            </w:r>
            <w:r w:rsidR="0062083E">
              <w:rPr>
                <w:rFonts w:cs="Calibri"/>
                <w:lang w:eastAsia="en-GB"/>
              </w:rPr>
              <w:t>mandated</w:t>
            </w:r>
            <w:r w:rsidR="0062083E" w:rsidRPr="00026971">
              <w:rPr>
                <w:rFonts w:cs="Calibri"/>
                <w:lang w:eastAsia="en-GB"/>
              </w:rPr>
              <w:t xml:space="preserve"> </w:t>
            </w:r>
            <w:r w:rsidR="00705171" w:rsidRPr="00026971">
              <w:rPr>
                <w:rFonts w:cs="Calibri"/>
                <w:lang w:eastAsia="en-GB"/>
              </w:rPr>
              <w:t xml:space="preserve">in resolution 41/11 </w:t>
            </w:r>
            <w:r w:rsidRPr="00026971">
              <w:rPr>
                <w:rFonts w:cs="Calibri"/>
                <w:lang w:eastAsia="en-GB"/>
              </w:rPr>
              <w:t xml:space="preserve">is </w:t>
            </w:r>
            <w:r w:rsidR="00CA5B89" w:rsidRPr="00026971">
              <w:rPr>
                <w:rFonts w:cs="Calibri"/>
                <w:lang w:eastAsia="en-GB"/>
              </w:rPr>
              <w:t xml:space="preserve">part of </w:t>
            </w:r>
            <w:r w:rsidR="0062083E">
              <w:rPr>
                <w:rFonts w:cs="Calibri"/>
                <w:lang w:eastAsia="en-GB"/>
              </w:rPr>
              <w:t xml:space="preserve">a </w:t>
            </w:r>
            <w:r w:rsidR="00CA5B89" w:rsidRPr="00026971">
              <w:rPr>
                <w:rFonts w:cs="Calibri"/>
                <w:lang w:eastAsia="en-GB"/>
              </w:rPr>
              <w:t xml:space="preserve">broad effort to raise awareness and enhance </w:t>
            </w:r>
            <w:r w:rsidR="0062083E">
              <w:rPr>
                <w:rFonts w:cs="Calibri"/>
                <w:lang w:eastAsia="en-GB"/>
              </w:rPr>
              <w:t xml:space="preserve">the </w:t>
            </w:r>
            <w:r w:rsidR="00CA5B89" w:rsidRPr="00026971">
              <w:rPr>
                <w:rFonts w:cs="Calibri"/>
                <w:lang w:eastAsia="en-GB"/>
              </w:rPr>
              <w:t>understanding of</w:t>
            </w:r>
            <w:r w:rsidR="00203E21" w:rsidRPr="00026971">
              <w:rPr>
                <w:rFonts w:cs="Calibri"/>
                <w:lang w:eastAsia="en-GB"/>
              </w:rPr>
              <w:t xml:space="preserve"> the</w:t>
            </w:r>
            <w:r w:rsidR="00CA5B89" w:rsidRPr="00026971">
              <w:rPr>
                <w:rFonts w:cs="Calibri"/>
                <w:lang w:eastAsia="en-GB"/>
              </w:rPr>
              <w:t xml:space="preserve"> human rights </w:t>
            </w:r>
            <w:r w:rsidR="00203E21" w:rsidRPr="00026971">
              <w:rPr>
                <w:rFonts w:cs="Calibri"/>
                <w:lang w:eastAsia="en-GB"/>
              </w:rPr>
              <w:t>impacts, opportunities and challenges</w:t>
            </w:r>
            <w:r w:rsidR="00CA5B89" w:rsidRPr="00026971">
              <w:rPr>
                <w:rFonts w:cs="Calibri"/>
                <w:lang w:eastAsia="en-GB"/>
              </w:rPr>
              <w:t xml:space="preserve"> linked to the use of digital technologies and to identify priority areas of interest for the Human Rights Council</w:t>
            </w:r>
            <w:r w:rsidR="00203E21" w:rsidRPr="00026971">
              <w:rPr>
                <w:rFonts w:cs="Calibri"/>
                <w:lang w:eastAsia="en-GB"/>
              </w:rPr>
              <w:t>.</w:t>
            </w:r>
          </w:p>
        </w:tc>
      </w:tr>
      <w:tr w:rsidR="00F21B67" w:rsidRPr="00705171" w14:paraId="35B4B10D" w14:textId="77777777" w:rsidTr="00304796">
        <w:tc>
          <w:tcPr>
            <w:tcW w:w="1450" w:type="dxa"/>
            <w:shd w:val="clear" w:color="auto" w:fill="auto"/>
          </w:tcPr>
          <w:p w14:paraId="30A6A091" w14:textId="77777777" w:rsidR="00625399" w:rsidRPr="00026971" w:rsidRDefault="00625399" w:rsidP="00026971">
            <w:pPr>
              <w:spacing w:after="0" w:line="240" w:lineRule="auto"/>
              <w:rPr>
                <w:rFonts w:cs="Arial"/>
                <w:b/>
              </w:rPr>
            </w:pPr>
            <w:r w:rsidRPr="00026971">
              <w:rPr>
                <w:rFonts w:cs="Arial"/>
                <w:b/>
              </w:rPr>
              <w:lastRenderedPageBreak/>
              <w:t>Background documents:</w:t>
            </w:r>
          </w:p>
        </w:tc>
        <w:tc>
          <w:tcPr>
            <w:tcW w:w="8756" w:type="dxa"/>
            <w:shd w:val="clear" w:color="auto" w:fill="auto"/>
          </w:tcPr>
          <w:p w14:paraId="1DF2B576" w14:textId="3E3472F5" w:rsidR="00705171" w:rsidRPr="00026971" w:rsidRDefault="00705171" w:rsidP="00026971">
            <w:pPr>
              <w:numPr>
                <w:ilvl w:val="0"/>
                <w:numId w:val="7"/>
              </w:numPr>
              <w:spacing w:after="80" w:line="240" w:lineRule="auto"/>
              <w:ind w:left="357" w:hanging="357"/>
              <w:rPr>
                <w:rFonts w:cs="Calibri"/>
                <w:lang w:eastAsia="en-GB"/>
              </w:rPr>
            </w:pPr>
            <w:r w:rsidRPr="00026971">
              <w:rPr>
                <w:rFonts w:cs="Calibri"/>
                <w:lang w:eastAsia="en-GB"/>
              </w:rPr>
              <w:t xml:space="preserve">Multiple </w:t>
            </w:r>
            <w:r w:rsidR="00F51407" w:rsidRPr="00026971">
              <w:rPr>
                <w:rFonts w:cs="Calibri"/>
                <w:lang w:eastAsia="en-GB"/>
              </w:rPr>
              <w:t xml:space="preserve">resolutions of the General Assembly and the Human Rights Council, the most recent of which </w:t>
            </w:r>
            <w:r w:rsidR="006A6A13" w:rsidRPr="00026971">
              <w:rPr>
                <w:rFonts w:cs="Calibri"/>
                <w:lang w:eastAsia="en-GB"/>
              </w:rPr>
              <w:t>include</w:t>
            </w:r>
            <w:r w:rsidR="003B1CAD" w:rsidRPr="00026971">
              <w:rPr>
                <w:rFonts w:cs="Calibri"/>
                <w:lang w:eastAsia="en-GB"/>
              </w:rPr>
              <w:t>:</w:t>
            </w:r>
          </w:p>
          <w:p w14:paraId="04F8FF7E" w14:textId="2AE68072" w:rsidR="006A6A13" w:rsidRPr="00026971" w:rsidRDefault="006A0A7E" w:rsidP="00026971">
            <w:pPr>
              <w:numPr>
                <w:ilvl w:val="1"/>
                <w:numId w:val="7"/>
              </w:numPr>
              <w:spacing w:after="80" w:line="240" w:lineRule="auto"/>
              <w:rPr>
                <w:rFonts w:cs="Calibri"/>
                <w:lang w:eastAsia="en-GB"/>
              </w:rPr>
            </w:pPr>
            <w:hyperlink r:id="rId14" w:history="1">
              <w:r w:rsidR="00DE02B2" w:rsidRPr="004D33EE">
                <w:rPr>
                  <w:rStyle w:val="Hyperlink"/>
                  <w:rFonts w:cs="Calibri"/>
                  <w:lang w:eastAsia="en-GB"/>
                </w:rPr>
                <w:t xml:space="preserve">Human Rights </w:t>
              </w:r>
              <w:r w:rsidR="006A6A13" w:rsidRPr="004D33EE">
                <w:rPr>
                  <w:rStyle w:val="Hyperlink"/>
                  <w:rFonts w:cs="Calibri"/>
                  <w:lang w:eastAsia="en-GB"/>
                </w:rPr>
                <w:t>Council resolution 41/11</w:t>
              </w:r>
            </w:hyperlink>
            <w:r w:rsidR="006A6A13" w:rsidRPr="00026971">
              <w:rPr>
                <w:rFonts w:cs="Calibri"/>
                <w:color w:val="000000"/>
                <w:lang w:eastAsia="en-GB"/>
              </w:rPr>
              <w:t xml:space="preserve"> of 11 July 2019 on new and emerging technologies and human rights</w:t>
            </w:r>
          </w:p>
          <w:p w14:paraId="6E23DBA2" w14:textId="5C7BB7EB" w:rsidR="004B7A30" w:rsidRPr="00026971" w:rsidRDefault="006A0A7E" w:rsidP="00026971">
            <w:pPr>
              <w:numPr>
                <w:ilvl w:val="1"/>
                <w:numId w:val="7"/>
              </w:numPr>
              <w:spacing w:after="80" w:line="240" w:lineRule="auto"/>
              <w:rPr>
                <w:rFonts w:cs="Calibri"/>
                <w:lang w:eastAsia="en-GB"/>
              </w:rPr>
            </w:pPr>
            <w:hyperlink r:id="rId15" w:history="1">
              <w:r w:rsidR="00DE02B2" w:rsidRPr="004D33EE">
                <w:rPr>
                  <w:rStyle w:val="Hyperlink"/>
                  <w:rFonts w:cs="Calibri"/>
                  <w:lang w:eastAsia="en-GB"/>
                </w:rPr>
                <w:t xml:space="preserve">General </w:t>
              </w:r>
              <w:r w:rsidR="004B7A30" w:rsidRPr="004D33EE">
                <w:rPr>
                  <w:rStyle w:val="Hyperlink"/>
                  <w:rFonts w:cs="Calibri"/>
                  <w:lang w:eastAsia="en-GB"/>
                </w:rPr>
                <w:t>Assembly resolution 73/218</w:t>
              </w:r>
            </w:hyperlink>
            <w:r w:rsidR="004B7A30" w:rsidRPr="00026971">
              <w:rPr>
                <w:rFonts w:cs="Calibri"/>
                <w:lang w:eastAsia="en-GB"/>
              </w:rPr>
              <w:t xml:space="preserve"> of 20 December 2018 on information and communications technologies for sustainable development </w:t>
            </w:r>
          </w:p>
          <w:p w14:paraId="157B7A91" w14:textId="0A37057C" w:rsidR="00705171" w:rsidRPr="00026971" w:rsidRDefault="006A0A7E" w:rsidP="00026971">
            <w:pPr>
              <w:numPr>
                <w:ilvl w:val="1"/>
                <w:numId w:val="7"/>
              </w:numPr>
              <w:spacing w:after="80" w:line="240" w:lineRule="auto"/>
              <w:rPr>
                <w:rFonts w:cs="Calibri"/>
                <w:lang w:eastAsia="en-GB"/>
              </w:rPr>
            </w:pPr>
            <w:hyperlink r:id="rId16" w:history="1">
              <w:r w:rsidR="004D33EE" w:rsidRPr="004D33EE">
                <w:rPr>
                  <w:rStyle w:val="Hyperlink"/>
                  <w:rFonts w:cs="Calibri"/>
                  <w:lang w:eastAsia="en-GB"/>
                </w:rPr>
                <w:t xml:space="preserve">General </w:t>
              </w:r>
              <w:r w:rsidR="00F51407" w:rsidRPr="004D33EE">
                <w:rPr>
                  <w:rStyle w:val="Hyperlink"/>
                  <w:rFonts w:cs="Calibri"/>
                  <w:lang w:eastAsia="en-GB"/>
                </w:rPr>
                <w:t>Assembly resolution 73/17</w:t>
              </w:r>
            </w:hyperlink>
            <w:r w:rsidR="00F51407" w:rsidRPr="00026971">
              <w:rPr>
                <w:rFonts w:cs="Calibri"/>
                <w:lang w:eastAsia="en-GB"/>
              </w:rPr>
              <w:t xml:space="preserve"> of 26 November 2018 on the impact of rapid technological change on the achievement of the Sustainable Development Goals and targets </w:t>
            </w:r>
          </w:p>
          <w:p w14:paraId="17EC0B1D" w14:textId="4C306673" w:rsidR="00C7184B" w:rsidRDefault="006A0A7E" w:rsidP="00C7184B">
            <w:pPr>
              <w:numPr>
                <w:ilvl w:val="1"/>
                <w:numId w:val="7"/>
              </w:numPr>
              <w:spacing w:after="80" w:line="240" w:lineRule="auto"/>
              <w:rPr>
                <w:rFonts w:cs="Calibri"/>
                <w:lang w:eastAsia="en-GB"/>
              </w:rPr>
            </w:pPr>
            <w:hyperlink r:id="rId17" w:history="1">
              <w:r w:rsidR="004D33EE" w:rsidRPr="004D33EE">
                <w:rPr>
                  <w:rStyle w:val="Hyperlink"/>
                  <w:rFonts w:cs="Calibri"/>
                  <w:lang w:eastAsia="en-GB"/>
                </w:rPr>
                <w:t xml:space="preserve">General </w:t>
              </w:r>
              <w:r w:rsidR="00F51407" w:rsidRPr="004D33EE">
                <w:rPr>
                  <w:rStyle w:val="Hyperlink"/>
                  <w:rFonts w:cs="Calibri"/>
                  <w:lang w:eastAsia="en-GB"/>
                </w:rPr>
                <w:t>Assembly resolution 73/179</w:t>
              </w:r>
            </w:hyperlink>
            <w:r w:rsidR="00F51407" w:rsidRPr="00026971">
              <w:rPr>
                <w:rFonts w:cs="Calibri"/>
                <w:lang w:eastAsia="en-GB"/>
              </w:rPr>
              <w:t xml:space="preserve"> of 17 December 2018 </w:t>
            </w:r>
            <w:r w:rsidR="00C7184B" w:rsidRPr="00C7184B">
              <w:rPr>
                <w:rFonts w:cs="Calibri"/>
                <w:lang w:eastAsia="en-GB"/>
              </w:rPr>
              <w:t>on the right to privacy in the digital age</w:t>
            </w:r>
          </w:p>
          <w:p w14:paraId="403C8D05" w14:textId="6CDDABE5" w:rsidR="00705171" w:rsidRPr="00026971" w:rsidRDefault="006A0A7E" w:rsidP="00026971">
            <w:pPr>
              <w:numPr>
                <w:ilvl w:val="1"/>
                <w:numId w:val="7"/>
              </w:numPr>
              <w:spacing w:after="80" w:line="240" w:lineRule="auto"/>
              <w:rPr>
                <w:rFonts w:cs="Calibri"/>
                <w:lang w:eastAsia="en-GB"/>
              </w:rPr>
            </w:pPr>
            <w:hyperlink r:id="rId18" w:history="1">
              <w:r w:rsidR="004D33EE" w:rsidRPr="00C7184B">
                <w:rPr>
                  <w:rStyle w:val="Hyperlink"/>
                  <w:rFonts w:cs="Calibri"/>
                  <w:lang w:eastAsia="en-GB"/>
                </w:rPr>
                <w:t xml:space="preserve">Human Rights </w:t>
              </w:r>
              <w:r w:rsidR="00F51407" w:rsidRPr="00C7184B">
                <w:rPr>
                  <w:rStyle w:val="Hyperlink"/>
                  <w:rFonts w:cs="Calibri"/>
                  <w:lang w:eastAsia="en-GB"/>
                </w:rPr>
                <w:t>Council resolution 37/2</w:t>
              </w:r>
            </w:hyperlink>
            <w:r w:rsidR="00F51407" w:rsidRPr="00026971">
              <w:rPr>
                <w:rFonts w:cs="Calibri"/>
                <w:lang w:eastAsia="en-GB"/>
              </w:rPr>
              <w:t xml:space="preserve"> of 22 March 2018 on the right to privacy in the digital age </w:t>
            </w:r>
          </w:p>
          <w:p w14:paraId="486F18D2" w14:textId="21A7A3D0" w:rsidR="004B7A30" w:rsidRPr="00026971" w:rsidRDefault="006A0A7E" w:rsidP="00026971">
            <w:pPr>
              <w:numPr>
                <w:ilvl w:val="1"/>
                <w:numId w:val="7"/>
              </w:numPr>
              <w:spacing w:after="80" w:line="240" w:lineRule="auto"/>
              <w:rPr>
                <w:rFonts w:cs="Calibri"/>
                <w:lang w:eastAsia="en-GB"/>
              </w:rPr>
            </w:pPr>
            <w:hyperlink r:id="rId19" w:history="1">
              <w:r w:rsidR="004D33EE" w:rsidRPr="00C7184B">
                <w:rPr>
                  <w:rStyle w:val="Hyperlink"/>
                  <w:rFonts w:cs="Calibri"/>
                  <w:lang w:eastAsia="en-GB"/>
                </w:rPr>
                <w:t xml:space="preserve">Human Rights </w:t>
              </w:r>
              <w:r w:rsidR="004B7A30" w:rsidRPr="00C7184B">
                <w:rPr>
                  <w:rStyle w:val="Hyperlink"/>
                  <w:rFonts w:cs="Calibri"/>
                  <w:lang w:eastAsia="en-GB"/>
                </w:rPr>
                <w:t>Council resolution 39/6</w:t>
              </w:r>
            </w:hyperlink>
            <w:r w:rsidR="004B7A30" w:rsidRPr="00026971">
              <w:rPr>
                <w:rFonts w:cs="Calibri"/>
                <w:lang w:eastAsia="en-GB"/>
              </w:rPr>
              <w:t xml:space="preserve"> of 27 September 2018 on the safety of journalists</w:t>
            </w:r>
          </w:p>
          <w:p w14:paraId="6268C5A8" w14:textId="2FACD3D2" w:rsidR="00B81D93" w:rsidRPr="00026971" w:rsidRDefault="006A0A7E" w:rsidP="00026971">
            <w:pPr>
              <w:numPr>
                <w:ilvl w:val="1"/>
                <w:numId w:val="7"/>
              </w:numPr>
              <w:spacing w:after="80" w:line="240" w:lineRule="auto"/>
              <w:rPr>
                <w:bCs/>
                <w:color w:val="1F497D" w:themeColor="text2"/>
                <w:lang w:val="en-US"/>
              </w:rPr>
            </w:pPr>
            <w:hyperlink r:id="rId20" w:history="1">
              <w:r w:rsidR="004D33EE" w:rsidRPr="00C7184B">
                <w:rPr>
                  <w:rStyle w:val="Hyperlink"/>
                  <w:rFonts w:cs="Calibri"/>
                  <w:lang w:eastAsia="en-GB"/>
                </w:rPr>
                <w:t xml:space="preserve">Human Rights </w:t>
              </w:r>
              <w:r w:rsidR="00F51407" w:rsidRPr="00C7184B">
                <w:rPr>
                  <w:rStyle w:val="Hyperlink"/>
                  <w:rFonts w:cs="Calibri"/>
                  <w:lang w:eastAsia="en-GB"/>
                </w:rPr>
                <w:t>Council resolution 38/7</w:t>
              </w:r>
            </w:hyperlink>
            <w:r w:rsidR="00F51407" w:rsidRPr="00026971">
              <w:rPr>
                <w:rFonts w:cs="Calibri"/>
                <w:lang w:eastAsia="en-GB"/>
              </w:rPr>
              <w:t xml:space="preserve"> of 5 July 2018 on the promotion, protection and enjoyment of human rights on the Internet</w:t>
            </w:r>
          </w:p>
          <w:p w14:paraId="188E84A7" w14:textId="77777777" w:rsidR="00C7184B" w:rsidRPr="00C7184B" w:rsidRDefault="00C7184B" w:rsidP="00C7184B">
            <w:pPr>
              <w:numPr>
                <w:ilvl w:val="0"/>
                <w:numId w:val="7"/>
              </w:numPr>
              <w:spacing w:after="80" w:line="240" w:lineRule="auto"/>
              <w:rPr>
                <w:rFonts w:cs="Calibri"/>
                <w:lang w:eastAsia="en-GB"/>
              </w:rPr>
            </w:pPr>
            <w:r>
              <w:rPr>
                <w:rFonts w:cs="Calibri"/>
                <w:lang w:eastAsia="en-GB"/>
              </w:rPr>
              <w:t>Report of the Secretary-General on the r</w:t>
            </w:r>
            <w:r w:rsidRPr="004D33EE">
              <w:rPr>
                <w:rFonts w:cs="Calibri"/>
                <w:lang w:eastAsia="en-GB"/>
              </w:rPr>
              <w:t>oad map for digital cooperation: implementation of the recommendations of the High-level Panel on Digital Cooperation</w:t>
            </w:r>
            <w:r>
              <w:rPr>
                <w:rFonts w:cs="Calibri"/>
                <w:lang w:eastAsia="en-GB"/>
              </w:rPr>
              <w:t xml:space="preserve"> (</w:t>
            </w:r>
            <w:hyperlink r:id="rId21" w:history="1">
              <w:r w:rsidRPr="004D33EE">
                <w:rPr>
                  <w:rStyle w:val="Hyperlink"/>
                  <w:rFonts w:cs="Calibri"/>
                  <w:lang w:eastAsia="en-GB"/>
                </w:rPr>
                <w:t>A/74/821</w:t>
              </w:r>
            </w:hyperlink>
            <w:r>
              <w:rPr>
                <w:rFonts w:cs="Calibri"/>
                <w:lang w:eastAsia="en-GB"/>
              </w:rPr>
              <w:t>)</w:t>
            </w:r>
          </w:p>
          <w:p w14:paraId="35BEB720" w14:textId="6A3DA14F" w:rsidR="003B1CAD" w:rsidRPr="00026971" w:rsidRDefault="003B1CAD" w:rsidP="00026971">
            <w:pPr>
              <w:numPr>
                <w:ilvl w:val="0"/>
                <w:numId w:val="7"/>
              </w:numPr>
              <w:spacing w:after="80" w:line="240" w:lineRule="auto"/>
              <w:rPr>
                <w:rFonts w:cs="Calibri"/>
                <w:lang w:eastAsia="en-GB"/>
              </w:rPr>
            </w:pPr>
            <w:r w:rsidRPr="00026971">
              <w:rPr>
                <w:rFonts w:cs="Calibri"/>
                <w:lang w:eastAsia="en-GB"/>
              </w:rPr>
              <w:t>Report of the Secretary-General on the question of the realization of economic, social and cultural rights in all countries: the role of new technologies for the realization of economic, social and cultural rights</w:t>
            </w:r>
            <w:r w:rsidR="004D33EE">
              <w:rPr>
                <w:rFonts w:cs="Calibri"/>
                <w:lang w:eastAsia="en-GB"/>
              </w:rPr>
              <w:t xml:space="preserve"> (</w:t>
            </w:r>
            <w:hyperlink r:id="rId22" w:history="1">
              <w:r w:rsidR="004D33EE" w:rsidRPr="004D33EE">
                <w:rPr>
                  <w:rStyle w:val="Hyperlink"/>
                  <w:rFonts w:cs="Calibri"/>
                  <w:lang w:eastAsia="en-GB"/>
                </w:rPr>
                <w:t>A/HRC/43/29</w:t>
              </w:r>
            </w:hyperlink>
            <w:r w:rsidR="004D33EE">
              <w:rPr>
                <w:rFonts w:cs="Calibri"/>
                <w:lang w:eastAsia="en-GB"/>
              </w:rPr>
              <w:t>)</w:t>
            </w:r>
          </w:p>
          <w:p w14:paraId="5ED5DF5D" w14:textId="2658C2FA" w:rsidR="00AD7F0F" w:rsidRDefault="00AD7F0F" w:rsidP="00026971">
            <w:pPr>
              <w:numPr>
                <w:ilvl w:val="0"/>
                <w:numId w:val="7"/>
              </w:numPr>
              <w:spacing w:after="80" w:line="240" w:lineRule="auto"/>
              <w:rPr>
                <w:rFonts w:cs="Calibri"/>
                <w:lang w:eastAsia="en-GB"/>
              </w:rPr>
            </w:pPr>
            <w:r>
              <w:rPr>
                <w:rFonts w:cs="Calibri"/>
                <w:lang w:eastAsia="en-GB"/>
              </w:rPr>
              <w:t xml:space="preserve">Report of the High Commissioner on the </w:t>
            </w:r>
            <w:r>
              <w:t>impact of new technologies on the promotion and protection of human rights in the context of assemblies, including peaceful protests (</w:t>
            </w:r>
            <w:hyperlink r:id="rId23" w:history="1">
              <w:r w:rsidRPr="00AD7F0F">
                <w:rPr>
                  <w:rStyle w:val="Hyperlink"/>
                </w:rPr>
                <w:t>A/HRC/44/24</w:t>
              </w:r>
            </w:hyperlink>
            <w:r>
              <w:t>)</w:t>
            </w:r>
          </w:p>
          <w:p w14:paraId="2A731842" w14:textId="552C0795" w:rsidR="004D33EE" w:rsidRDefault="003B1CAD" w:rsidP="00026971">
            <w:pPr>
              <w:numPr>
                <w:ilvl w:val="0"/>
                <w:numId w:val="7"/>
              </w:numPr>
              <w:spacing w:after="80" w:line="240" w:lineRule="auto"/>
              <w:rPr>
                <w:rFonts w:cs="Calibri"/>
                <w:lang w:eastAsia="en-GB"/>
              </w:rPr>
            </w:pPr>
            <w:r w:rsidRPr="00026971">
              <w:rPr>
                <w:rFonts w:cs="Calibri"/>
                <w:lang w:eastAsia="en-GB"/>
              </w:rPr>
              <w:t>Report of the High Commissioner on the right to privacy in the digital age</w:t>
            </w:r>
            <w:r w:rsidR="004D33EE">
              <w:rPr>
                <w:rFonts w:cs="Calibri"/>
                <w:lang w:eastAsia="en-GB"/>
              </w:rPr>
              <w:t xml:space="preserve"> (</w:t>
            </w:r>
            <w:hyperlink r:id="rId24" w:history="1">
              <w:r w:rsidR="004D33EE" w:rsidRPr="004D33EE">
                <w:rPr>
                  <w:rStyle w:val="Hyperlink"/>
                  <w:rFonts w:cs="Calibri"/>
                  <w:lang w:eastAsia="en-GB"/>
                </w:rPr>
                <w:t>A/HRC/39/29</w:t>
              </w:r>
            </w:hyperlink>
            <w:r w:rsidR="004D33EE">
              <w:rPr>
                <w:rFonts w:cs="Calibri"/>
                <w:lang w:eastAsia="en-GB"/>
              </w:rPr>
              <w:t>)</w:t>
            </w:r>
          </w:p>
          <w:p w14:paraId="3FEFDC36" w14:textId="4BCAF817" w:rsidR="003B1CAD" w:rsidRDefault="004D33EE" w:rsidP="00026971">
            <w:pPr>
              <w:numPr>
                <w:ilvl w:val="0"/>
                <w:numId w:val="7"/>
              </w:numPr>
              <w:spacing w:after="80" w:line="240" w:lineRule="auto"/>
              <w:rPr>
                <w:rFonts w:cs="Calibri"/>
                <w:lang w:eastAsia="en-GB"/>
              </w:rPr>
            </w:pPr>
            <w:r w:rsidRPr="00026971">
              <w:rPr>
                <w:rFonts w:cs="Calibri"/>
                <w:lang w:eastAsia="en-GB"/>
              </w:rPr>
              <w:t>Report of the High Commissioner on</w:t>
            </w:r>
            <w:r>
              <w:rPr>
                <w:rFonts w:cs="Calibri"/>
                <w:lang w:eastAsia="en-GB"/>
              </w:rPr>
              <w:t xml:space="preserve"> the p</w:t>
            </w:r>
            <w:r w:rsidR="003B1CAD" w:rsidRPr="00026971">
              <w:rPr>
                <w:rFonts w:cs="Calibri"/>
                <w:lang w:eastAsia="en-GB"/>
              </w:rPr>
              <w:t>romotion, protection and enjoyment of human rights on the Internet: ways to bridge the gender digital divide from a human rights perspective</w:t>
            </w:r>
            <w:r>
              <w:rPr>
                <w:rFonts w:cs="Calibri"/>
                <w:lang w:eastAsia="en-GB"/>
              </w:rPr>
              <w:t xml:space="preserve"> (</w:t>
            </w:r>
            <w:hyperlink r:id="rId25" w:history="1">
              <w:r w:rsidRPr="004D33EE">
                <w:rPr>
                  <w:rStyle w:val="Hyperlink"/>
                  <w:rFonts w:cs="Calibri"/>
                  <w:lang w:eastAsia="en-GB"/>
                </w:rPr>
                <w:t>A/HRC/35/9</w:t>
              </w:r>
            </w:hyperlink>
            <w:r>
              <w:rPr>
                <w:rFonts w:cs="Calibri"/>
                <w:lang w:eastAsia="en-GB"/>
              </w:rPr>
              <w:t>)</w:t>
            </w:r>
          </w:p>
          <w:p w14:paraId="56632CA6" w14:textId="3A166A74" w:rsidR="006A6A13" w:rsidRPr="00026971" w:rsidRDefault="003B1CAD" w:rsidP="004D33EE">
            <w:pPr>
              <w:numPr>
                <w:ilvl w:val="0"/>
                <w:numId w:val="7"/>
              </w:numPr>
              <w:spacing w:after="80" w:line="240" w:lineRule="auto"/>
              <w:rPr>
                <w:bCs/>
                <w:color w:val="1F497D" w:themeColor="text2"/>
                <w:lang w:val="en-US"/>
              </w:rPr>
            </w:pPr>
            <w:r w:rsidRPr="00026971">
              <w:rPr>
                <w:rFonts w:cs="Calibri"/>
                <w:lang w:eastAsia="en-GB"/>
              </w:rPr>
              <w:t>A large number of special procedures reports, a n</w:t>
            </w:r>
            <w:r w:rsidR="006A6A13" w:rsidRPr="00026971">
              <w:rPr>
                <w:rFonts w:cs="Calibri"/>
                <w:lang w:eastAsia="en-GB"/>
              </w:rPr>
              <w:t xml:space="preserve">on-exhaustive list of </w:t>
            </w:r>
            <w:r w:rsidRPr="00026971">
              <w:rPr>
                <w:rFonts w:cs="Calibri"/>
                <w:lang w:eastAsia="en-GB"/>
              </w:rPr>
              <w:t xml:space="preserve">which can be found </w:t>
            </w:r>
            <w:r w:rsidR="004D33EE" w:rsidRPr="00C7184B">
              <w:rPr>
                <w:rFonts w:cs="Calibri"/>
                <w:lang w:eastAsia="en-GB"/>
              </w:rPr>
              <w:t xml:space="preserve">on the </w:t>
            </w:r>
            <w:hyperlink r:id="rId26" w:history="1">
              <w:r w:rsidR="004D33EE" w:rsidRPr="00C7184B">
                <w:rPr>
                  <w:rStyle w:val="Hyperlink"/>
                  <w:rFonts w:cs="Calibri"/>
                  <w:lang w:eastAsia="en-GB"/>
                </w:rPr>
                <w:t>OHCHR website</w:t>
              </w:r>
            </w:hyperlink>
            <w:r w:rsidRPr="00026971">
              <w:rPr>
                <w:rFonts w:cs="Calibri"/>
                <w:lang w:eastAsia="en-GB"/>
              </w:rPr>
              <w:t xml:space="preserve">. </w:t>
            </w:r>
          </w:p>
        </w:tc>
      </w:tr>
    </w:tbl>
    <w:p w14:paraId="6FF903E8" w14:textId="77777777" w:rsidR="00FF74C5" w:rsidRPr="00F21B67" w:rsidRDefault="00FF74C5" w:rsidP="00026971">
      <w:pPr>
        <w:spacing w:after="0" w:line="240" w:lineRule="auto"/>
        <w:rPr>
          <w:rFonts w:cs="Arial"/>
          <w:b/>
          <w:color w:val="1F497D" w:themeColor="text2"/>
          <w:sz w:val="20"/>
          <w:szCs w:val="20"/>
          <w:u w:val="single"/>
        </w:rPr>
      </w:pPr>
    </w:p>
    <w:sectPr w:rsidR="00FF74C5" w:rsidRPr="00F21B67" w:rsidSect="009853EB">
      <w:footerReference w:type="default" r:id="rId27"/>
      <w:pgSz w:w="11906" w:h="16838"/>
      <w:pgMar w:top="709" w:right="1440" w:bottom="993" w:left="1440" w:header="708" w:footer="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0108A" w16cid:durableId="228641F2"/>
  <w16cid:commentId w16cid:paraId="167FD31C" w16cid:durableId="228672CD"/>
  <w16cid:commentId w16cid:paraId="1E500A18" w16cid:durableId="228641F3"/>
  <w16cid:commentId w16cid:paraId="5AC1B45D" w16cid:durableId="228672FA"/>
  <w16cid:commentId w16cid:paraId="0F86BED1" w16cid:durableId="22867643"/>
  <w16cid:commentId w16cid:paraId="4E496EFE" w16cid:durableId="228641F4"/>
  <w16cid:commentId w16cid:paraId="0E14B217" w16cid:durableId="228673F1"/>
  <w16cid:commentId w16cid:paraId="117B11D0" w16cid:durableId="2286745C"/>
  <w16cid:commentId w16cid:paraId="0AEC1E9E" w16cid:durableId="228641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13DA" w14:textId="77777777" w:rsidR="006C3BC1" w:rsidRDefault="006C3BC1" w:rsidP="002F2CB9">
      <w:pPr>
        <w:spacing w:after="0" w:line="240" w:lineRule="auto"/>
      </w:pPr>
      <w:r>
        <w:separator/>
      </w:r>
    </w:p>
  </w:endnote>
  <w:endnote w:type="continuationSeparator" w:id="0">
    <w:p w14:paraId="496BFA15" w14:textId="77777777" w:rsidR="006C3BC1" w:rsidRDefault="006C3BC1"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19DD" w14:textId="4841A875" w:rsidR="00861631" w:rsidRDefault="00861631">
    <w:pPr>
      <w:pStyle w:val="Footer"/>
      <w:jc w:val="center"/>
    </w:pPr>
    <w:r>
      <w:fldChar w:fldCharType="begin"/>
    </w:r>
    <w:r>
      <w:instrText xml:space="preserve"> PAGE   \* MERGEFORMAT </w:instrText>
    </w:r>
    <w:r>
      <w:fldChar w:fldCharType="separate"/>
    </w:r>
    <w:r w:rsidR="006A0A7E">
      <w:rPr>
        <w:noProof/>
      </w:rPr>
      <w:t>3</w:t>
    </w:r>
    <w:r>
      <w:rPr>
        <w:noProof/>
      </w:rPr>
      <w:fldChar w:fldCharType="end"/>
    </w:r>
  </w:p>
  <w:p w14:paraId="76C31DD5" w14:textId="77777777" w:rsidR="00861631" w:rsidRDefault="0086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D0D5" w14:textId="77777777" w:rsidR="006C3BC1" w:rsidRDefault="006C3BC1" w:rsidP="002F2CB9">
      <w:pPr>
        <w:spacing w:after="0" w:line="240" w:lineRule="auto"/>
      </w:pPr>
      <w:r>
        <w:separator/>
      </w:r>
    </w:p>
  </w:footnote>
  <w:footnote w:type="continuationSeparator" w:id="0">
    <w:p w14:paraId="12A82266" w14:textId="77777777" w:rsidR="006C3BC1" w:rsidRDefault="006C3BC1" w:rsidP="002F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324205"/>
    <w:multiLevelType w:val="hybridMultilevel"/>
    <w:tmpl w:val="D2D28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0398D"/>
    <w:multiLevelType w:val="hybridMultilevel"/>
    <w:tmpl w:val="3C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01911"/>
    <w:multiLevelType w:val="hybridMultilevel"/>
    <w:tmpl w:val="CD9E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A795C"/>
    <w:multiLevelType w:val="hybridMultilevel"/>
    <w:tmpl w:val="9FA641FE"/>
    <w:lvl w:ilvl="0" w:tplc="3DC6658C">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8"/>
  </w:num>
  <w:num w:numId="4">
    <w:abstractNumId w:val="13"/>
  </w:num>
  <w:num w:numId="5">
    <w:abstractNumId w:val="0"/>
  </w:num>
  <w:num w:numId="6">
    <w:abstractNumId w:val="4"/>
  </w:num>
  <w:num w:numId="7">
    <w:abstractNumId w:val="12"/>
  </w:num>
  <w:num w:numId="8">
    <w:abstractNumId w:val="7"/>
  </w:num>
  <w:num w:numId="9">
    <w:abstractNumId w:val="2"/>
  </w:num>
  <w:num w:numId="10">
    <w:abstractNumId w:val="1"/>
  </w:num>
  <w:num w:numId="11">
    <w:abstractNumId w:val="1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46"/>
    <w:rsid w:val="000200DE"/>
    <w:rsid w:val="000234E3"/>
    <w:rsid w:val="000265D9"/>
    <w:rsid w:val="00026971"/>
    <w:rsid w:val="000272FB"/>
    <w:rsid w:val="00033219"/>
    <w:rsid w:val="00053DA5"/>
    <w:rsid w:val="000669F1"/>
    <w:rsid w:val="000716B3"/>
    <w:rsid w:val="000717E6"/>
    <w:rsid w:val="0007332C"/>
    <w:rsid w:val="00074CC4"/>
    <w:rsid w:val="00075A01"/>
    <w:rsid w:val="0007720A"/>
    <w:rsid w:val="00081178"/>
    <w:rsid w:val="00084ADC"/>
    <w:rsid w:val="00087DFD"/>
    <w:rsid w:val="00094A0B"/>
    <w:rsid w:val="00095EC7"/>
    <w:rsid w:val="000B1CE2"/>
    <w:rsid w:val="000B2188"/>
    <w:rsid w:val="000B7CF9"/>
    <w:rsid w:val="000C6EBE"/>
    <w:rsid w:val="000D0318"/>
    <w:rsid w:val="000D344E"/>
    <w:rsid w:val="000E1E0B"/>
    <w:rsid w:val="000F3562"/>
    <w:rsid w:val="000F5AD6"/>
    <w:rsid w:val="000F5C6B"/>
    <w:rsid w:val="0010087D"/>
    <w:rsid w:val="00100CC5"/>
    <w:rsid w:val="00103276"/>
    <w:rsid w:val="0011279B"/>
    <w:rsid w:val="00113D1D"/>
    <w:rsid w:val="00115670"/>
    <w:rsid w:val="00127EC6"/>
    <w:rsid w:val="001329E4"/>
    <w:rsid w:val="00133749"/>
    <w:rsid w:val="00135E99"/>
    <w:rsid w:val="00137B1A"/>
    <w:rsid w:val="00152095"/>
    <w:rsid w:val="00153A41"/>
    <w:rsid w:val="0015685E"/>
    <w:rsid w:val="00160B92"/>
    <w:rsid w:val="00165849"/>
    <w:rsid w:val="00166AC1"/>
    <w:rsid w:val="00166ADB"/>
    <w:rsid w:val="00172476"/>
    <w:rsid w:val="00187036"/>
    <w:rsid w:val="001900DD"/>
    <w:rsid w:val="00191CF5"/>
    <w:rsid w:val="001A1783"/>
    <w:rsid w:val="001A1BF1"/>
    <w:rsid w:val="001A39D6"/>
    <w:rsid w:val="001A451D"/>
    <w:rsid w:val="001A772A"/>
    <w:rsid w:val="001B220F"/>
    <w:rsid w:val="001B28B0"/>
    <w:rsid w:val="001B7658"/>
    <w:rsid w:val="001B7BB9"/>
    <w:rsid w:val="001C132D"/>
    <w:rsid w:val="001D1367"/>
    <w:rsid w:val="001D3CAC"/>
    <w:rsid w:val="001E14CD"/>
    <w:rsid w:val="001E172C"/>
    <w:rsid w:val="001E335E"/>
    <w:rsid w:val="001E42C3"/>
    <w:rsid w:val="001F000D"/>
    <w:rsid w:val="001F04AC"/>
    <w:rsid w:val="001F07C3"/>
    <w:rsid w:val="00200A6B"/>
    <w:rsid w:val="00200E2E"/>
    <w:rsid w:val="002021C7"/>
    <w:rsid w:val="00203E21"/>
    <w:rsid w:val="00222BF2"/>
    <w:rsid w:val="00225C6C"/>
    <w:rsid w:val="00226120"/>
    <w:rsid w:val="00235215"/>
    <w:rsid w:val="002400DF"/>
    <w:rsid w:val="0024578D"/>
    <w:rsid w:val="00257AA8"/>
    <w:rsid w:val="00270795"/>
    <w:rsid w:val="00274AC1"/>
    <w:rsid w:val="002766C6"/>
    <w:rsid w:val="00276A4B"/>
    <w:rsid w:val="00277A97"/>
    <w:rsid w:val="00283924"/>
    <w:rsid w:val="00285E7B"/>
    <w:rsid w:val="00286B74"/>
    <w:rsid w:val="002A646E"/>
    <w:rsid w:val="002A729D"/>
    <w:rsid w:val="002B3E15"/>
    <w:rsid w:val="002B538B"/>
    <w:rsid w:val="002B5E36"/>
    <w:rsid w:val="002C1D51"/>
    <w:rsid w:val="002C5A51"/>
    <w:rsid w:val="002D1F9B"/>
    <w:rsid w:val="002E2EF5"/>
    <w:rsid w:val="002F0868"/>
    <w:rsid w:val="002F2CB9"/>
    <w:rsid w:val="002F2EB9"/>
    <w:rsid w:val="002F414D"/>
    <w:rsid w:val="002F7161"/>
    <w:rsid w:val="00304796"/>
    <w:rsid w:val="00304FA8"/>
    <w:rsid w:val="003057D7"/>
    <w:rsid w:val="00317B9D"/>
    <w:rsid w:val="003216FE"/>
    <w:rsid w:val="003373C5"/>
    <w:rsid w:val="0033753D"/>
    <w:rsid w:val="003437EF"/>
    <w:rsid w:val="0036235A"/>
    <w:rsid w:val="003648C7"/>
    <w:rsid w:val="00367A44"/>
    <w:rsid w:val="003720D2"/>
    <w:rsid w:val="0037272E"/>
    <w:rsid w:val="003742D4"/>
    <w:rsid w:val="00374A73"/>
    <w:rsid w:val="00377153"/>
    <w:rsid w:val="0038675A"/>
    <w:rsid w:val="003902D8"/>
    <w:rsid w:val="00393554"/>
    <w:rsid w:val="00394BB7"/>
    <w:rsid w:val="00397B45"/>
    <w:rsid w:val="003A7917"/>
    <w:rsid w:val="003B19B8"/>
    <w:rsid w:val="003B1CAD"/>
    <w:rsid w:val="003B5AC0"/>
    <w:rsid w:val="003C5825"/>
    <w:rsid w:val="003C687A"/>
    <w:rsid w:val="003C7B4B"/>
    <w:rsid w:val="003D17C6"/>
    <w:rsid w:val="003D1999"/>
    <w:rsid w:val="003D29FB"/>
    <w:rsid w:val="003D5E3B"/>
    <w:rsid w:val="003E00CC"/>
    <w:rsid w:val="003E0F4B"/>
    <w:rsid w:val="003E4646"/>
    <w:rsid w:val="003E6201"/>
    <w:rsid w:val="003E7F68"/>
    <w:rsid w:val="003F2A6D"/>
    <w:rsid w:val="003F3580"/>
    <w:rsid w:val="003F4519"/>
    <w:rsid w:val="003F6C68"/>
    <w:rsid w:val="003F7678"/>
    <w:rsid w:val="0040254A"/>
    <w:rsid w:val="00411A58"/>
    <w:rsid w:val="00422A30"/>
    <w:rsid w:val="00425047"/>
    <w:rsid w:val="00426305"/>
    <w:rsid w:val="00436FB6"/>
    <w:rsid w:val="00440942"/>
    <w:rsid w:val="00442298"/>
    <w:rsid w:val="004431E7"/>
    <w:rsid w:val="0044451A"/>
    <w:rsid w:val="004450A8"/>
    <w:rsid w:val="00445652"/>
    <w:rsid w:val="00445E25"/>
    <w:rsid w:val="00452948"/>
    <w:rsid w:val="00454102"/>
    <w:rsid w:val="00454CD0"/>
    <w:rsid w:val="00456848"/>
    <w:rsid w:val="00457578"/>
    <w:rsid w:val="00470ED4"/>
    <w:rsid w:val="004717BC"/>
    <w:rsid w:val="00471EE0"/>
    <w:rsid w:val="00471F51"/>
    <w:rsid w:val="00472940"/>
    <w:rsid w:val="004810AD"/>
    <w:rsid w:val="004875BC"/>
    <w:rsid w:val="00491429"/>
    <w:rsid w:val="004A441E"/>
    <w:rsid w:val="004A4C37"/>
    <w:rsid w:val="004B7A30"/>
    <w:rsid w:val="004C0938"/>
    <w:rsid w:val="004C1844"/>
    <w:rsid w:val="004C2AE3"/>
    <w:rsid w:val="004C6E4B"/>
    <w:rsid w:val="004D0A62"/>
    <w:rsid w:val="004D33EE"/>
    <w:rsid w:val="004D4A30"/>
    <w:rsid w:val="004D5CC8"/>
    <w:rsid w:val="004D675D"/>
    <w:rsid w:val="004E1D5D"/>
    <w:rsid w:val="004E536D"/>
    <w:rsid w:val="004F4D51"/>
    <w:rsid w:val="00500D80"/>
    <w:rsid w:val="0050106C"/>
    <w:rsid w:val="00507391"/>
    <w:rsid w:val="005104BB"/>
    <w:rsid w:val="00510B7E"/>
    <w:rsid w:val="005119FF"/>
    <w:rsid w:val="00524789"/>
    <w:rsid w:val="005317F8"/>
    <w:rsid w:val="00537D34"/>
    <w:rsid w:val="00537F20"/>
    <w:rsid w:val="00545FF5"/>
    <w:rsid w:val="00551091"/>
    <w:rsid w:val="00552F96"/>
    <w:rsid w:val="005626F3"/>
    <w:rsid w:val="00563F85"/>
    <w:rsid w:val="0056770A"/>
    <w:rsid w:val="00572131"/>
    <w:rsid w:val="0057603F"/>
    <w:rsid w:val="00592144"/>
    <w:rsid w:val="005B717C"/>
    <w:rsid w:val="005D2F50"/>
    <w:rsid w:val="005D652D"/>
    <w:rsid w:val="005D76D3"/>
    <w:rsid w:val="005E3FDC"/>
    <w:rsid w:val="005F5078"/>
    <w:rsid w:val="005F6FE1"/>
    <w:rsid w:val="00600C0A"/>
    <w:rsid w:val="00601B89"/>
    <w:rsid w:val="0060532B"/>
    <w:rsid w:val="006061E2"/>
    <w:rsid w:val="00611D7F"/>
    <w:rsid w:val="00613BCB"/>
    <w:rsid w:val="00616D49"/>
    <w:rsid w:val="00617086"/>
    <w:rsid w:val="0062083E"/>
    <w:rsid w:val="006217D0"/>
    <w:rsid w:val="00625399"/>
    <w:rsid w:val="006257D6"/>
    <w:rsid w:val="006302B7"/>
    <w:rsid w:val="006308C6"/>
    <w:rsid w:val="0063354E"/>
    <w:rsid w:val="006356E1"/>
    <w:rsid w:val="0064197D"/>
    <w:rsid w:val="00641991"/>
    <w:rsid w:val="0064432C"/>
    <w:rsid w:val="00650139"/>
    <w:rsid w:val="00661F1D"/>
    <w:rsid w:val="0067752A"/>
    <w:rsid w:val="006A0398"/>
    <w:rsid w:val="006A0A7E"/>
    <w:rsid w:val="006A6A13"/>
    <w:rsid w:val="006C0141"/>
    <w:rsid w:val="006C115D"/>
    <w:rsid w:val="006C2003"/>
    <w:rsid w:val="006C2C0B"/>
    <w:rsid w:val="006C3BC1"/>
    <w:rsid w:val="006C4501"/>
    <w:rsid w:val="006D320D"/>
    <w:rsid w:val="006D4E3D"/>
    <w:rsid w:val="006D7CAA"/>
    <w:rsid w:val="006F286F"/>
    <w:rsid w:val="006F5801"/>
    <w:rsid w:val="006F76CB"/>
    <w:rsid w:val="006F7743"/>
    <w:rsid w:val="00700183"/>
    <w:rsid w:val="00702A37"/>
    <w:rsid w:val="00705171"/>
    <w:rsid w:val="00720D6C"/>
    <w:rsid w:val="00726F8C"/>
    <w:rsid w:val="00731704"/>
    <w:rsid w:val="00740ED4"/>
    <w:rsid w:val="00747AB9"/>
    <w:rsid w:val="007535CC"/>
    <w:rsid w:val="00756432"/>
    <w:rsid w:val="00761B98"/>
    <w:rsid w:val="007644D5"/>
    <w:rsid w:val="00765338"/>
    <w:rsid w:val="00781498"/>
    <w:rsid w:val="007846C2"/>
    <w:rsid w:val="007A00F5"/>
    <w:rsid w:val="007A1369"/>
    <w:rsid w:val="007A2709"/>
    <w:rsid w:val="007A79C0"/>
    <w:rsid w:val="007B68C1"/>
    <w:rsid w:val="007C7AFA"/>
    <w:rsid w:val="007D68DD"/>
    <w:rsid w:val="007E04EF"/>
    <w:rsid w:val="007E5A04"/>
    <w:rsid w:val="007E690A"/>
    <w:rsid w:val="007F299D"/>
    <w:rsid w:val="00800C4D"/>
    <w:rsid w:val="008055F5"/>
    <w:rsid w:val="00810714"/>
    <w:rsid w:val="0082232A"/>
    <w:rsid w:val="00822C88"/>
    <w:rsid w:val="00823887"/>
    <w:rsid w:val="00834A2E"/>
    <w:rsid w:val="00835E18"/>
    <w:rsid w:val="00846676"/>
    <w:rsid w:val="008522C6"/>
    <w:rsid w:val="00855A63"/>
    <w:rsid w:val="00856BD2"/>
    <w:rsid w:val="00856CCF"/>
    <w:rsid w:val="00860903"/>
    <w:rsid w:val="00861610"/>
    <w:rsid w:val="00861631"/>
    <w:rsid w:val="00862E42"/>
    <w:rsid w:val="008759C3"/>
    <w:rsid w:val="0088434B"/>
    <w:rsid w:val="00887CA1"/>
    <w:rsid w:val="0089015B"/>
    <w:rsid w:val="00896501"/>
    <w:rsid w:val="008A3AF0"/>
    <w:rsid w:val="008B26BD"/>
    <w:rsid w:val="008B3941"/>
    <w:rsid w:val="008B48DB"/>
    <w:rsid w:val="008C7EE0"/>
    <w:rsid w:val="008E5A6D"/>
    <w:rsid w:val="008F0D72"/>
    <w:rsid w:val="008F44F1"/>
    <w:rsid w:val="008F5F8B"/>
    <w:rsid w:val="00901CDA"/>
    <w:rsid w:val="009021C4"/>
    <w:rsid w:val="0090286A"/>
    <w:rsid w:val="0091082A"/>
    <w:rsid w:val="009115AA"/>
    <w:rsid w:val="009238A1"/>
    <w:rsid w:val="00924548"/>
    <w:rsid w:val="00932A24"/>
    <w:rsid w:val="00935870"/>
    <w:rsid w:val="009405D3"/>
    <w:rsid w:val="00945D15"/>
    <w:rsid w:val="00952C3E"/>
    <w:rsid w:val="009536D9"/>
    <w:rsid w:val="009542C1"/>
    <w:rsid w:val="009568F6"/>
    <w:rsid w:val="00965064"/>
    <w:rsid w:val="00965557"/>
    <w:rsid w:val="00980162"/>
    <w:rsid w:val="00980DA6"/>
    <w:rsid w:val="009853EB"/>
    <w:rsid w:val="00987656"/>
    <w:rsid w:val="00991EA6"/>
    <w:rsid w:val="0099267E"/>
    <w:rsid w:val="009942D8"/>
    <w:rsid w:val="00997E6F"/>
    <w:rsid w:val="009A04C1"/>
    <w:rsid w:val="009A2FC3"/>
    <w:rsid w:val="009A323B"/>
    <w:rsid w:val="009A7F53"/>
    <w:rsid w:val="009B0F2A"/>
    <w:rsid w:val="009B3B30"/>
    <w:rsid w:val="009C05D5"/>
    <w:rsid w:val="009C06DD"/>
    <w:rsid w:val="009C24CE"/>
    <w:rsid w:val="009C5A79"/>
    <w:rsid w:val="009D1554"/>
    <w:rsid w:val="009D7F38"/>
    <w:rsid w:val="009E08AC"/>
    <w:rsid w:val="009E6855"/>
    <w:rsid w:val="009F0FDF"/>
    <w:rsid w:val="009F2971"/>
    <w:rsid w:val="00A06BBB"/>
    <w:rsid w:val="00A07D68"/>
    <w:rsid w:val="00A10EA6"/>
    <w:rsid w:val="00A20605"/>
    <w:rsid w:val="00A20645"/>
    <w:rsid w:val="00A231D8"/>
    <w:rsid w:val="00A25225"/>
    <w:rsid w:val="00A256DB"/>
    <w:rsid w:val="00A41007"/>
    <w:rsid w:val="00A415A3"/>
    <w:rsid w:val="00A53BF2"/>
    <w:rsid w:val="00A718A0"/>
    <w:rsid w:val="00A756D1"/>
    <w:rsid w:val="00A778CA"/>
    <w:rsid w:val="00A80D2A"/>
    <w:rsid w:val="00A82CE9"/>
    <w:rsid w:val="00A84547"/>
    <w:rsid w:val="00A8699A"/>
    <w:rsid w:val="00A90F07"/>
    <w:rsid w:val="00AA09DC"/>
    <w:rsid w:val="00AA4ABD"/>
    <w:rsid w:val="00AB4A1A"/>
    <w:rsid w:val="00AC10D2"/>
    <w:rsid w:val="00AC6C25"/>
    <w:rsid w:val="00AC754B"/>
    <w:rsid w:val="00AD225B"/>
    <w:rsid w:val="00AD33A1"/>
    <w:rsid w:val="00AD382E"/>
    <w:rsid w:val="00AD7F0F"/>
    <w:rsid w:val="00AE3CAC"/>
    <w:rsid w:val="00AE4A0C"/>
    <w:rsid w:val="00AE5B27"/>
    <w:rsid w:val="00AE5C5C"/>
    <w:rsid w:val="00AE6E07"/>
    <w:rsid w:val="00AF4B70"/>
    <w:rsid w:val="00B03CCB"/>
    <w:rsid w:val="00B10BDA"/>
    <w:rsid w:val="00B22AA3"/>
    <w:rsid w:val="00B24ED5"/>
    <w:rsid w:val="00B32267"/>
    <w:rsid w:val="00B32B42"/>
    <w:rsid w:val="00B34BA9"/>
    <w:rsid w:val="00B36752"/>
    <w:rsid w:val="00B367C6"/>
    <w:rsid w:val="00B4016A"/>
    <w:rsid w:val="00B52B2D"/>
    <w:rsid w:val="00B614C5"/>
    <w:rsid w:val="00B67540"/>
    <w:rsid w:val="00B815D0"/>
    <w:rsid w:val="00B81D93"/>
    <w:rsid w:val="00B82A87"/>
    <w:rsid w:val="00B84456"/>
    <w:rsid w:val="00B85386"/>
    <w:rsid w:val="00B864FC"/>
    <w:rsid w:val="00B920BF"/>
    <w:rsid w:val="00B93758"/>
    <w:rsid w:val="00B94441"/>
    <w:rsid w:val="00BA5B3D"/>
    <w:rsid w:val="00BB096A"/>
    <w:rsid w:val="00BB4A58"/>
    <w:rsid w:val="00BC3C13"/>
    <w:rsid w:val="00BC45D2"/>
    <w:rsid w:val="00BD1118"/>
    <w:rsid w:val="00BD2824"/>
    <w:rsid w:val="00BD5E88"/>
    <w:rsid w:val="00BD71E6"/>
    <w:rsid w:val="00BE03E8"/>
    <w:rsid w:val="00BF027F"/>
    <w:rsid w:val="00BF3550"/>
    <w:rsid w:val="00C12E64"/>
    <w:rsid w:val="00C138B6"/>
    <w:rsid w:val="00C14920"/>
    <w:rsid w:val="00C15149"/>
    <w:rsid w:val="00C16956"/>
    <w:rsid w:val="00C240E2"/>
    <w:rsid w:val="00C31789"/>
    <w:rsid w:val="00C329DB"/>
    <w:rsid w:val="00C34D82"/>
    <w:rsid w:val="00C36AA3"/>
    <w:rsid w:val="00C40671"/>
    <w:rsid w:val="00C42EEF"/>
    <w:rsid w:val="00C46B20"/>
    <w:rsid w:val="00C53FC9"/>
    <w:rsid w:val="00C54EC7"/>
    <w:rsid w:val="00C55383"/>
    <w:rsid w:val="00C61F42"/>
    <w:rsid w:val="00C643CD"/>
    <w:rsid w:val="00C7118A"/>
    <w:rsid w:val="00C7184B"/>
    <w:rsid w:val="00C7566B"/>
    <w:rsid w:val="00C8027D"/>
    <w:rsid w:val="00C815DC"/>
    <w:rsid w:val="00C821B6"/>
    <w:rsid w:val="00C828AC"/>
    <w:rsid w:val="00C84FCA"/>
    <w:rsid w:val="00C85246"/>
    <w:rsid w:val="00C937B6"/>
    <w:rsid w:val="00C94C3B"/>
    <w:rsid w:val="00CA1D9B"/>
    <w:rsid w:val="00CA566B"/>
    <w:rsid w:val="00CA5B89"/>
    <w:rsid w:val="00CA639A"/>
    <w:rsid w:val="00CB358C"/>
    <w:rsid w:val="00CC4D95"/>
    <w:rsid w:val="00CC51A6"/>
    <w:rsid w:val="00CD3539"/>
    <w:rsid w:val="00CD68DA"/>
    <w:rsid w:val="00CE0A4E"/>
    <w:rsid w:val="00CE3FAD"/>
    <w:rsid w:val="00CE575B"/>
    <w:rsid w:val="00CE7B0E"/>
    <w:rsid w:val="00D011B5"/>
    <w:rsid w:val="00D055A1"/>
    <w:rsid w:val="00D072D0"/>
    <w:rsid w:val="00D114C0"/>
    <w:rsid w:val="00D13672"/>
    <w:rsid w:val="00D17A96"/>
    <w:rsid w:val="00D2209B"/>
    <w:rsid w:val="00D223D8"/>
    <w:rsid w:val="00D25CC1"/>
    <w:rsid w:val="00D27C64"/>
    <w:rsid w:val="00D30CFA"/>
    <w:rsid w:val="00D322A5"/>
    <w:rsid w:val="00D35A1A"/>
    <w:rsid w:val="00D507CE"/>
    <w:rsid w:val="00D51B4D"/>
    <w:rsid w:val="00D51F24"/>
    <w:rsid w:val="00D55804"/>
    <w:rsid w:val="00D5580F"/>
    <w:rsid w:val="00D57236"/>
    <w:rsid w:val="00D65B6F"/>
    <w:rsid w:val="00D662BC"/>
    <w:rsid w:val="00D70DD0"/>
    <w:rsid w:val="00D76263"/>
    <w:rsid w:val="00D8667E"/>
    <w:rsid w:val="00D906E7"/>
    <w:rsid w:val="00D90D81"/>
    <w:rsid w:val="00D9429B"/>
    <w:rsid w:val="00D95F36"/>
    <w:rsid w:val="00D9625A"/>
    <w:rsid w:val="00DA48D2"/>
    <w:rsid w:val="00DA5418"/>
    <w:rsid w:val="00DA5E84"/>
    <w:rsid w:val="00DA6F56"/>
    <w:rsid w:val="00DB08FA"/>
    <w:rsid w:val="00DB3D1E"/>
    <w:rsid w:val="00DB595A"/>
    <w:rsid w:val="00DC16B5"/>
    <w:rsid w:val="00DC3265"/>
    <w:rsid w:val="00DC5FE6"/>
    <w:rsid w:val="00DC641C"/>
    <w:rsid w:val="00DD244C"/>
    <w:rsid w:val="00DD37FE"/>
    <w:rsid w:val="00DE02B2"/>
    <w:rsid w:val="00DE04F7"/>
    <w:rsid w:val="00DE4654"/>
    <w:rsid w:val="00DE517B"/>
    <w:rsid w:val="00DE532F"/>
    <w:rsid w:val="00DE58C7"/>
    <w:rsid w:val="00DE6C2D"/>
    <w:rsid w:val="00DF4067"/>
    <w:rsid w:val="00DF640F"/>
    <w:rsid w:val="00E02876"/>
    <w:rsid w:val="00E03EE4"/>
    <w:rsid w:val="00E06E67"/>
    <w:rsid w:val="00E125FF"/>
    <w:rsid w:val="00E14472"/>
    <w:rsid w:val="00E15C80"/>
    <w:rsid w:val="00E172F9"/>
    <w:rsid w:val="00E2300A"/>
    <w:rsid w:val="00E24E68"/>
    <w:rsid w:val="00E2648C"/>
    <w:rsid w:val="00E35896"/>
    <w:rsid w:val="00E37C8F"/>
    <w:rsid w:val="00E424BD"/>
    <w:rsid w:val="00E43218"/>
    <w:rsid w:val="00E5333D"/>
    <w:rsid w:val="00E65633"/>
    <w:rsid w:val="00E7173D"/>
    <w:rsid w:val="00E758A9"/>
    <w:rsid w:val="00E80181"/>
    <w:rsid w:val="00E80485"/>
    <w:rsid w:val="00E808CB"/>
    <w:rsid w:val="00E81023"/>
    <w:rsid w:val="00E8185D"/>
    <w:rsid w:val="00E859EC"/>
    <w:rsid w:val="00E85BC1"/>
    <w:rsid w:val="00E9722D"/>
    <w:rsid w:val="00EA6568"/>
    <w:rsid w:val="00EB1A20"/>
    <w:rsid w:val="00EB2393"/>
    <w:rsid w:val="00EB7324"/>
    <w:rsid w:val="00EC0DE0"/>
    <w:rsid w:val="00EC269D"/>
    <w:rsid w:val="00EC4B4D"/>
    <w:rsid w:val="00EC5D87"/>
    <w:rsid w:val="00EC6F0F"/>
    <w:rsid w:val="00ED583A"/>
    <w:rsid w:val="00ED73FE"/>
    <w:rsid w:val="00EE1510"/>
    <w:rsid w:val="00EF262F"/>
    <w:rsid w:val="00EF27C0"/>
    <w:rsid w:val="00EF285B"/>
    <w:rsid w:val="00EF700F"/>
    <w:rsid w:val="00F0240C"/>
    <w:rsid w:val="00F026D9"/>
    <w:rsid w:val="00F04FFB"/>
    <w:rsid w:val="00F068F2"/>
    <w:rsid w:val="00F21B67"/>
    <w:rsid w:val="00F26495"/>
    <w:rsid w:val="00F37ABD"/>
    <w:rsid w:val="00F51407"/>
    <w:rsid w:val="00F569C1"/>
    <w:rsid w:val="00F60587"/>
    <w:rsid w:val="00F61AEB"/>
    <w:rsid w:val="00F638DA"/>
    <w:rsid w:val="00F71097"/>
    <w:rsid w:val="00F718FC"/>
    <w:rsid w:val="00F7623F"/>
    <w:rsid w:val="00F80FB8"/>
    <w:rsid w:val="00F81CC7"/>
    <w:rsid w:val="00F8774A"/>
    <w:rsid w:val="00F904BD"/>
    <w:rsid w:val="00F9447E"/>
    <w:rsid w:val="00FA00F2"/>
    <w:rsid w:val="00FA44B7"/>
    <w:rsid w:val="00FB3D53"/>
    <w:rsid w:val="00FB3F6F"/>
    <w:rsid w:val="00FB5C4B"/>
    <w:rsid w:val="00FC1371"/>
    <w:rsid w:val="00FC1E02"/>
    <w:rsid w:val="00FC30AF"/>
    <w:rsid w:val="00FC541D"/>
    <w:rsid w:val="00FC6408"/>
    <w:rsid w:val="00FD30A7"/>
    <w:rsid w:val="00FD5743"/>
    <w:rsid w:val="00FD6005"/>
    <w:rsid w:val="00FE02CA"/>
    <w:rsid w:val="00FE39E3"/>
    <w:rsid w:val="00FE4789"/>
    <w:rsid w:val="00FE661C"/>
    <w:rsid w:val="00FF74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8E5A6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basedOn w:val="Normal"/>
    <w:link w:val="FootnoteTextChar"/>
    <w:uiPriority w:val="99"/>
    <w:semiHidden/>
    <w:unhideWhenUsed/>
    <w:rsid w:val="002F2CB9"/>
    <w:rPr>
      <w:sz w:val="20"/>
      <w:szCs w:val="20"/>
    </w:rPr>
  </w:style>
  <w:style w:type="character" w:customStyle="1" w:styleId="FootnoteTextChar">
    <w:name w:val="Footnote Text Char"/>
    <w:link w:val="FootnoteText"/>
    <w:uiPriority w:val="99"/>
    <w:semiHidden/>
    <w:rsid w:val="002F2CB9"/>
    <w:rPr>
      <w:lang w:eastAsia="en-US"/>
    </w:rPr>
  </w:style>
  <w:style w:type="character" w:styleId="FootnoteReference">
    <w:name w:val="footnote reference"/>
    <w:uiPriority w:val="99"/>
    <w:semiHidden/>
    <w:unhideWhenUsed/>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ppb-person-name">
    <w:name w:val="sppb-person-name"/>
    <w:basedOn w:val="DefaultParagraphFont"/>
    <w:rsid w:val="00C329DB"/>
  </w:style>
  <w:style w:type="character" w:customStyle="1" w:styleId="Heading2Char">
    <w:name w:val="Heading 2 Char"/>
    <w:basedOn w:val="DefaultParagraphFont"/>
    <w:link w:val="Heading2"/>
    <w:uiPriority w:val="9"/>
    <w:rsid w:val="008E5A6D"/>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1905">
      <w:bodyDiv w:val="1"/>
      <w:marLeft w:val="0"/>
      <w:marRight w:val="0"/>
      <w:marTop w:val="0"/>
      <w:marBottom w:val="0"/>
      <w:divBdr>
        <w:top w:val="none" w:sz="0" w:space="0" w:color="auto"/>
        <w:left w:val="none" w:sz="0" w:space="0" w:color="auto"/>
        <w:bottom w:val="none" w:sz="0" w:space="0" w:color="auto"/>
        <w:right w:val="none" w:sz="0" w:space="0" w:color="auto"/>
      </w:divBdr>
    </w:div>
    <w:div w:id="20914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Pages/Accessibility.aspx" TargetMode="External"/><Relationship Id="rId18" Type="http://schemas.openxmlformats.org/officeDocument/2006/relationships/hyperlink" Target="https://undocs.org/A/HRC/RES/37/2" TargetMode="External"/><Relationship Id="rId26" Type="http://schemas.openxmlformats.org/officeDocument/2006/relationships/hyperlink" Target="https://www.ohchr.org/Documents/HRBodies/SP/List_SP_Reports_NewTech.pdf" TargetMode="External"/><Relationship Id="rId3" Type="http://schemas.openxmlformats.org/officeDocument/2006/relationships/customXml" Target="../customXml/item3.xml"/><Relationship Id="rId21" Type="http://schemas.openxmlformats.org/officeDocument/2006/relationships/hyperlink" Target="https://undocs.org/A/74/821" TargetMode="External"/><Relationship Id="rId7" Type="http://schemas.openxmlformats.org/officeDocument/2006/relationships/settings" Target="settings.xml"/><Relationship Id="rId12" Type="http://schemas.openxmlformats.org/officeDocument/2006/relationships/hyperlink" Target="https://www.ohchr.org/Documents/HRBodies/HRCouncil/AdvisoryCom/CVMembers/CV_SOH_Changrok.doc" TargetMode="External"/><Relationship Id="rId17" Type="http://schemas.openxmlformats.org/officeDocument/2006/relationships/hyperlink" Target="https://undocs.org/A/res/73/179" TargetMode="External"/><Relationship Id="rId25" Type="http://schemas.openxmlformats.org/officeDocument/2006/relationships/hyperlink" Target="https://undocs.org/A/HRC/35/9"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undocs.org/A/res/73/17" TargetMode="External"/><Relationship Id="rId20" Type="http://schemas.openxmlformats.org/officeDocument/2006/relationships/hyperlink" Target="https://undocs.org/A/HRC/RES/3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24" Type="http://schemas.openxmlformats.org/officeDocument/2006/relationships/hyperlink" Target="https://undocs.org/A/HRC/39/29" TargetMode="External"/><Relationship Id="rId5" Type="http://schemas.openxmlformats.org/officeDocument/2006/relationships/numbering" Target="numbering.xml"/><Relationship Id="rId15" Type="http://schemas.openxmlformats.org/officeDocument/2006/relationships/hyperlink" Target="https://undocs.org/A/res/73/218" TargetMode="External"/><Relationship Id="rId23" Type="http://schemas.openxmlformats.org/officeDocument/2006/relationships/hyperlink" Target="https://www.ohchr.org/EN/HRBodies/HRC/RegularSessions/Session44/Documents/A_HRC_44_24_AEV.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docs.org/A/HRC/RES/3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RES/41/11" TargetMode="External"/><Relationship Id="rId22" Type="http://schemas.openxmlformats.org/officeDocument/2006/relationships/hyperlink" Target="https://undocs.org/A/HRC/43/2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F8BB-DB16-469D-9446-4910102DA417}">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3C03234-DDD3-46CD-8659-5A2A10005EC1}">
  <ds:schemaRefs>
    <ds:schemaRef ds:uri="http://schemas.microsoft.com/sharepoint/v3/contenttype/forms"/>
  </ds:schemaRefs>
</ds:datastoreItem>
</file>

<file path=customXml/itemProps3.xml><?xml version="1.0" encoding="utf-8"?>
<ds:datastoreItem xmlns:ds="http://schemas.openxmlformats.org/officeDocument/2006/customXml" ds:itemID="{B774369D-66A8-4676-9434-178BE3E21DB8}"/>
</file>

<file path=customXml/itemProps4.xml><?xml version="1.0" encoding="utf-8"?>
<ds:datastoreItem xmlns:ds="http://schemas.openxmlformats.org/officeDocument/2006/customXml" ds:itemID="{681B47D6-39D1-400F-8630-8ABEC4A5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10883</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Rishabh Kumar Dhir</dc:creator>
  <cp:lastModifiedBy>TICHA Petra</cp:lastModifiedBy>
  <cp:revision>13</cp:revision>
  <cp:lastPrinted>2016-01-29T19:13:00Z</cp:lastPrinted>
  <dcterms:created xsi:type="dcterms:W3CDTF">2020-07-02T19:36:00Z</dcterms:created>
  <dcterms:modified xsi:type="dcterms:W3CDTF">2020-07-08T06:33:00Z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0x0101000F8964860C064843BA9AC04FBD5D4198</vt:lpwstr>
  </property>
</Properties>
</file>