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75B74" w14:textId="0054EAF0" w:rsidR="004F0A64" w:rsidRPr="00D06C96" w:rsidRDefault="004F0A64" w:rsidP="00F14F1A">
      <w:pPr>
        <w:spacing w:after="80" w:line="240" w:lineRule="auto"/>
        <w:ind w:left="-709" w:right="-896"/>
        <w:jc w:val="center"/>
        <w:rPr>
          <w:rFonts w:cs="Calibri"/>
          <w:b/>
          <w:sz w:val="24"/>
          <w:szCs w:val="24"/>
        </w:rPr>
      </w:pPr>
      <w:r w:rsidRPr="00D06C96">
        <w:rPr>
          <w:rFonts w:cs="Calibri"/>
          <w:b/>
          <w:sz w:val="24"/>
          <w:szCs w:val="24"/>
        </w:rPr>
        <w:t>4</w:t>
      </w:r>
      <w:r w:rsidR="001A7F2B">
        <w:rPr>
          <w:rFonts w:cs="Calibri"/>
          <w:b/>
          <w:sz w:val="24"/>
          <w:szCs w:val="24"/>
        </w:rPr>
        <w:t>8</w:t>
      </w:r>
      <w:r w:rsidR="00254492">
        <w:rPr>
          <w:rFonts w:cs="Calibri"/>
          <w:b/>
          <w:sz w:val="24"/>
          <w:szCs w:val="24"/>
        </w:rPr>
        <w:t>th</w:t>
      </w:r>
      <w:r>
        <w:rPr>
          <w:rFonts w:cs="Calibri"/>
          <w:b/>
          <w:sz w:val="24"/>
          <w:szCs w:val="24"/>
        </w:rPr>
        <w:t xml:space="preserve"> </w:t>
      </w:r>
      <w:r w:rsidRPr="00D06C96">
        <w:rPr>
          <w:rFonts w:cs="Calibri"/>
          <w:b/>
          <w:sz w:val="24"/>
          <w:szCs w:val="24"/>
        </w:rPr>
        <w:t>session of the Human Rights Council</w:t>
      </w:r>
    </w:p>
    <w:p w14:paraId="293C2FB5" w14:textId="0E8F987C" w:rsidR="004F0A64" w:rsidRPr="00D06C96" w:rsidRDefault="002B51D8" w:rsidP="00F14F1A">
      <w:pPr>
        <w:spacing w:after="60" w:line="240" w:lineRule="auto"/>
        <w:ind w:left="-709" w:right="-896"/>
        <w:jc w:val="center"/>
        <w:rPr>
          <w:rFonts w:cs="Calibri"/>
          <w:b/>
          <w:sz w:val="26"/>
          <w:szCs w:val="26"/>
        </w:rPr>
      </w:pPr>
      <w:r>
        <w:rPr>
          <w:rFonts w:cs="Calibri"/>
          <w:b/>
          <w:sz w:val="28"/>
          <w:szCs w:val="32"/>
          <w:lang w:val="en-US"/>
        </w:rPr>
        <w:t>P</w:t>
      </w:r>
      <w:r w:rsidR="004F0A64" w:rsidRPr="004F0A64">
        <w:rPr>
          <w:rFonts w:cs="Calibri"/>
          <w:b/>
          <w:sz w:val="28"/>
          <w:szCs w:val="32"/>
          <w:lang w:val="en-US"/>
        </w:rPr>
        <w:t xml:space="preserve">anel </w:t>
      </w:r>
      <w:r w:rsidR="00254492">
        <w:rPr>
          <w:rFonts w:cs="Calibri"/>
          <w:b/>
          <w:sz w:val="28"/>
          <w:szCs w:val="32"/>
          <w:lang w:val="en-US"/>
        </w:rPr>
        <w:t xml:space="preserve">discussion </w:t>
      </w:r>
      <w:r w:rsidR="004F0A64" w:rsidRPr="004F0A64">
        <w:rPr>
          <w:rFonts w:cs="Calibri"/>
          <w:b/>
          <w:sz w:val="28"/>
          <w:szCs w:val="32"/>
          <w:lang w:val="en-US"/>
        </w:rPr>
        <w:t xml:space="preserve">on the </w:t>
      </w:r>
      <w:r w:rsidR="001A7F2B" w:rsidRPr="001A7F2B">
        <w:rPr>
          <w:rFonts w:cs="Calibri"/>
          <w:b/>
          <w:sz w:val="28"/>
          <w:szCs w:val="32"/>
          <w:lang w:val="en-US"/>
        </w:rPr>
        <w:t xml:space="preserve">promotion and protection of human rights </w:t>
      </w:r>
      <w:r w:rsidR="00E82BC7">
        <w:rPr>
          <w:rFonts w:cs="Calibri"/>
          <w:b/>
          <w:sz w:val="28"/>
          <w:szCs w:val="32"/>
          <w:lang w:val="en-US"/>
        </w:rPr>
        <w:br/>
      </w:r>
      <w:r w:rsidR="001A7F2B" w:rsidRPr="001A7F2B">
        <w:rPr>
          <w:rFonts w:cs="Calibri"/>
          <w:b/>
          <w:sz w:val="28"/>
          <w:szCs w:val="32"/>
          <w:lang w:val="en-US"/>
        </w:rPr>
        <w:t>in the context of peaceful protests</w:t>
      </w:r>
    </w:p>
    <w:p w14:paraId="04FEFFEF" w14:textId="41753FA8" w:rsidR="004F0A64" w:rsidRPr="00D06C96" w:rsidRDefault="004F0A64" w:rsidP="00F14F1A">
      <w:pPr>
        <w:spacing w:after="120" w:line="240" w:lineRule="auto"/>
        <w:ind w:left="-709" w:right="-896"/>
        <w:jc w:val="center"/>
        <w:rPr>
          <w:rFonts w:cs="Calibri"/>
          <w:i/>
          <w:sz w:val="16"/>
          <w:szCs w:val="16"/>
        </w:rPr>
      </w:pPr>
      <w:r w:rsidRPr="00D06C96">
        <w:rPr>
          <w:rFonts w:cs="Calibri"/>
          <w:i/>
          <w:sz w:val="20"/>
          <w:szCs w:val="20"/>
        </w:rPr>
        <w:t xml:space="preserve">Concept note (as of </w:t>
      </w:r>
      <w:r w:rsidR="00F058BD">
        <w:rPr>
          <w:rFonts w:cs="Calibri"/>
          <w:i/>
          <w:sz w:val="20"/>
          <w:szCs w:val="20"/>
        </w:rPr>
        <w:t>23</w:t>
      </w:r>
      <w:r w:rsidR="00CF48D5">
        <w:rPr>
          <w:rFonts w:cs="Calibri"/>
          <w:i/>
          <w:sz w:val="20"/>
          <w:szCs w:val="20"/>
        </w:rPr>
        <w:t xml:space="preserve"> September</w:t>
      </w:r>
      <w:r w:rsidR="001A7F2B">
        <w:rPr>
          <w:rFonts w:cs="Calibri"/>
          <w:i/>
          <w:sz w:val="20"/>
          <w:szCs w:val="20"/>
        </w:rPr>
        <w:t xml:space="preserve"> </w:t>
      </w:r>
      <w:r w:rsidRPr="00D06C96">
        <w:rPr>
          <w:rFonts w:cs="Calibri"/>
          <w:i/>
          <w:sz w:val="20"/>
          <w:szCs w:val="20"/>
        </w:rPr>
        <w:t>202</w:t>
      </w:r>
      <w:r>
        <w:rPr>
          <w:rFonts w:cs="Calibri"/>
          <w:i/>
          <w:sz w:val="20"/>
          <w:szCs w:val="20"/>
        </w:rPr>
        <w:t>1</w:t>
      </w:r>
      <w:r w:rsidRPr="00D06C96">
        <w:rPr>
          <w:rFonts w:cs="Calibri"/>
          <w:i/>
          <w:sz w:val="20"/>
          <w:szCs w:val="20"/>
        </w:rPr>
        <w:t>)</w:t>
      </w:r>
    </w:p>
    <w:tbl>
      <w:tblPr>
        <w:tblW w:w="10490" w:type="dxa"/>
        <w:tblInd w:w="-459" w:type="dxa"/>
        <w:tblLook w:val="04A0" w:firstRow="1" w:lastRow="0" w:firstColumn="1" w:lastColumn="0" w:noHBand="0" w:noVBand="1"/>
      </w:tblPr>
      <w:tblGrid>
        <w:gridCol w:w="1450"/>
        <w:gridCol w:w="9040"/>
      </w:tblGrid>
      <w:tr w:rsidR="004F0A64" w:rsidRPr="00D06C96" w14:paraId="04E6484E" w14:textId="77777777" w:rsidTr="00936778">
        <w:tc>
          <w:tcPr>
            <w:tcW w:w="1450" w:type="dxa"/>
            <w:shd w:val="clear" w:color="auto" w:fill="auto"/>
          </w:tcPr>
          <w:p w14:paraId="45AD2ABF" w14:textId="77777777" w:rsidR="004F0A64" w:rsidRPr="00D06C96" w:rsidRDefault="004F0A64" w:rsidP="00F14F1A">
            <w:pPr>
              <w:spacing w:after="60" w:line="240" w:lineRule="auto"/>
              <w:rPr>
                <w:rFonts w:cs="Calibri"/>
                <w:b/>
              </w:rPr>
            </w:pPr>
            <w:r w:rsidRPr="00D06C96">
              <w:rPr>
                <w:rFonts w:cs="Calibri"/>
                <w:b/>
              </w:rPr>
              <w:t>Date and venue:</w:t>
            </w:r>
          </w:p>
        </w:tc>
        <w:tc>
          <w:tcPr>
            <w:tcW w:w="9040" w:type="dxa"/>
            <w:shd w:val="clear" w:color="auto" w:fill="auto"/>
          </w:tcPr>
          <w:p w14:paraId="1F4DC0B3" w14:textId="6B1CC45E" w:rsidR="004F0A64" w:rsidRPr="00D06C96" w:rsidRDefault="004F0A64" w:rsidP="0078067D">
            <w:pPr>
              <w:spacing w:after="120" w:line="240" w:lineRule="auto"/>
              <w:rPr>
                <w:rFonts w:cs="Calibri"/>
                <w:i/>
              </w:rPr>
            </w:pPr>
            <w:r>
              <w:rPr>
                <w:rFonts w:cs="Calibri"/>
                <w:b/>
              </w:rPr>
              <w:t>Wednesday</w:t>
            </w:r>
            <w:r w:rsidRPr="00D06C96">
              <w:rPr>
                <w:rFonts w:cs="Calibri"/>
                <w:b/>
              </w:rPr>
              <w:t xml:space="preserve">, </w:t>
            </w:r>
            <w:r>
              <w:rPr>
                <w:rFonts w:cs="Calibri"/>
                <w:b/>
              </w:rPr>
              <w:t>2</w:t>
            </w:r>
            <w:r w:rsidR="001A7F2B">
              <w:rPr>
                <w:rFonts w:cs="Calibri"/>
                <w:b/>
              </w:rPr>
              <w:t>9</w:t>
            </w:r>
            <w:r w:rsidRPr="00D06C96">
              <w:rPr>
                <w:rFonts w:cs="Calibri"/>
                <w:b/>
              </w:rPr>
              <w:t xml:space="preserve"> </w:t>
            </w:r>
            <w:r w:rsidR="001A7F2B">
              <w:rPr>
                <w:rFonts w:cs="Calibri"/>
                <w:b/>
              </w:rPr>
              <w:t xml:space="preserve">September </w:t>
            </w:r>
            <w:r w:rsidRPr="00D06C96">
              <w:rPr>
                <w:rFonts w:cs="Calibri"/>
                <w:b/>
              </w:rPr>
              <w:t>202</w:t>
            </w:r>
            <w:r>
              <w:rPr>
                <w:rFonts w:cs="Calibri"/>
                <w:b/>
              </w:rPr>
              <w:t>1</w:t>
            </w:r>
            <w:r w:rsidR="001A7F2B">
              <w:rPr>
                <w:rFonts w:cs="Calibri"/>
                <w:b/>
              </w:rPr>
              <w:t xml:space="preserve">, </w:t>
            </w:r>
            <w:r w:rsidR="0061439E">
              <w:rPr>
                <w:rFonts w:cs="Calibri"/>
                <w:b/>
              </w:rPr>
              <w:t xml:space="preserve">3 </w:t>
            </w:r>
            <w:r w:rsidR="001A7F2B">
              <w:rPr>
                <w:rFonts w:cs="Calibri"/>
                <w:b/>
              </w:rPr>
              <w:t xml:space="preserve">to </w:t>
            </w:r>
            <w:r w:rsidR="0061439E">
              <w:rPr>
                <w:rFonts w:cs="Calibri"/>
                <w:b/>
              </w:rPr>
              <w:t>5</w:t>
            </w:r>
            <w:r w:rsidR="0061439E" w:rsidRPr="00D06C96">
              <w:rPr>
                <w:rFonts w:cs="Calibri"/>
                <w:b/>
              </w:rPr>
              <w:t xml:space="preserve"> </w:t>
            </w:r>
            <w:r w:rsidRPr="00D06C96">
              <w:rPr>
                <w:rFonts w:cs="Calibri"/>
                <w:b/>
              </w:rPr>
              <w:t>p.m</w:t>
            </w:r>
            <w:r w:rsidR="00254492">
              <w:rPr>
                <w:rFonts w:cs="Calibri"/>
                <w:b/>
              </w:rPr>
              <w:t>.</w:t>
            </w:r>
            <w:r w:rsidRPr="00D06C96">
              <w:rPr>
                <w:rFonts w:cs="Calibri"/>
                <w:b/>
              </w:rPr>
              <w:t xml:space="preserve"> </w:t>
            </w:r>
            <w:r w:rsidR="00254492">
              <w:rPr>
                <w:rFonts w:cs="Calibri"/>
                <w:b/>
              </w:rPr>
              <w:br/>
            </w:r>
            <w:r w:rsidR="002B5790">
              <w:rPr>
                <w:rFonts w:cs="Calibri"/>
                <w:b/>
              </w:rPr>
              <w:t xml:space="preserve">Room </w:t>
            </w:r>
            <w:r w:rsidR="002B51D8">
              <w:rPr>
                <w:rFonts w:cs="Calibri"/>
                <w:b/>
              </w:rPr>
              <w:t>XX</w:t>
            </w:r>
            <w:r w:rsidRPr="00D06C96">
              <w:rPr>
                <w:rFonts w:cs="Calibri"/>
                <w:b/>
              </w:rPr>
              <w:t xml:space="preserve">, Palais des Nations, Geneva </w:t>
            </w:r>
            <w:r w:rsidR="002E17CE">
              <w:rPr>
                <w:rFonts w:cs="Calibri"/>
                <w:b/>
              </w:rPr>
              <w:t xml:space="preserve">and online platform </w:t>
            </w:r>
            <w:r w:rsidR="00E35F3C">
              <w:rPr>
                <w:rFonts w:cs="Calibri"/>
                <w:b/>
              </w:rPr>
              <w:t>(Zoom)</w:t>
            </w:r>
            <w:r w:rsidRPr="00D06C96">
              <w:rPr>
                <w:rFonts w:cs="Calibri"/>
                <w:b/>
              </w:rPr>
              <w:br/>
            </w:r>
            <w:r w:rsidRPr="00D06C96">
              <w:rPr>
                <w:rFonts w:cs="Calibri"/>
                <w:i/>
              </w:rPr>
              <w:t xml:space="preserve">(will be broadcasted live and archived on </w:t>
            </w:r>
            <w:hyperlink r:id="rId11" w:history="1">
              <w:r w:rsidRPr="00D06C96">
                <w:rPr>
                  <w:rStyle w:val="Hyperlink"/>
                  <w:rFonts w:cs="Calibri"/>
                  <w:i/>
                </w:rPr>
                <w:t>http://webtv.un.org</w:t>
              </w:r>
            </w:hyperlink>
            <w:r w:rsidRPr="00D06C96">
              <w:rPr>
                <w:rFonts w:cs="Calibri"/>
                <w:i/>
              </w:rPr>
              <w:t>)</w:t>
            </w:r>
          </w:p>
        </w:tc>
      </w:tr>
      <w:tr w:rsidR="004F0A64" w:rsidRPr="00D06C96" w14:paraId="0E65F5E0" w14:textId="77777777" w:rsidTr="00936778">
        <w:tc>
          <w:tcPr>
            <w:tcW w:w="1450" w:type="dxa"/>
            <w:shd w:val="clear" w:color="auto" w:fill="auto"/>
          </w:tcPr>
          <w:p w14:paraId="1170916F" w14:textId="77777777" w:rsidR="004F0A64" w:rsidRPr="00D06C96" w:rsidRDefault="004F0A64" w:rsidP="00F14F1A">
            <w:pPr>
              <w:spacing w:after="0" w:line="240" w:lineRule="auto"/>
              <w:jc w:val="both"/>
              <w:rPr>
                <w:rFonts w:cs="Calibri"/>
                <w:b/>
              </w:rPr>
            </w:pPr>
            <w:r w:rsidRPr="00D06C96">
              <w:rPr>
                <w:rFonts w:cs="Calibri"/>
                <w:b/>
              </w:rPr>
              <w:t>Objectives:</w:t>
            </w:r>
          </w:p>
        </w:tc>
        <w:tc>
          <w:tcPr>
            <w:tcW w:w="9040" w:type="dxa"/>
            <w:shd w:val="clear" w:color="auto" w:fill="auto"/>
          </w:tcPr>
          <w:p w14:paraId="1198DA94" w14:textId="364CDF09" w:rsidR="001A7F2B" w:rsidRDefault="001A7F2B" w:rsidP="00A91334">
            <w:pPr>
              <w:shd w:val="clear" w:color="auto" w:fill="FFFFFF"/>
              <w:spacing w:after="120" w:line="240" w:lineRule="auto"/>
              <w:rPr>
                <w:rFonts w:cs="Calibri"/>
                <w:bCs/>
                <w:lang w:val="en-US"/>
              </w:rPr>
            </w:pPr>
            <w:r w:rsidRPr="001A7F2B">
              <w:rPr>
                <w:rFonts w:cs="Calibri"/>
                <w:bCs/>
                <w:lang w:val="en-US"/>
              </w:rPr>
              <w:t xml:space="preserve">The panel discussion will focus on the protection and promotion of human rights in the context of peaceful protests, with a particular focus on </w:t>
            </w:r>
            <w:r w:rsidR="00736786">
              <w:rPr>
                <w:rFonts w:cs="Calibri"/>
                <w:bCs/>
                <w:lang w:val="en-US"/>
              </w:rPr>
              <w:t>achievements and contemporary</w:t>
            </w:r>
            <w:r w:rsidRPr="001A7F2B">
              <w:rPr>
                <w:rFonts w:cs="Calibri"/>
                <w:bCs/>
                <w:lang w:val="en-US"/>
              </w:rPr>
              <w:t xml:space="preserve"> challenges</w:t>
            </w:r>
            <w:r>
              <w:rPr>
                <w:rFonts w:cs="Calibri"/>
                <w:bCs/>
                <w:lang w:val="en-US"/>
              </w:rPr>
              <w:t xml:space="preserve">. The panel discussion aims to: </w:t>
            </w:r>
          </w:p>
          <w:p w14:paraId="10BE917C" w14:textId="435BB42D" w:rsidR="001A7F2B" w:rsidRPr="001A7F2B" w:rsidRDefault="001A7F2B" w:rsidP="001A7F2B">
            <w:pPr>
              <w:pStyle w:val="ListParagraph"/>
              <w:numPr>
                <w:ilvl w:val="0"/>
                <w:numId w:val="4"/>
              </w:numPr>
              <w:shd w:val="clear" w:color="auto" w:fill="FFFFFF"/>
              <w:spacing w:after="120" w:line="240" w:lineRule="auto"/>
              <w:rPr>
                <w:rFonts w:cs="Calibri"/>
                <w:bCs/>
                <w:lang w:val="en-US"/>
              </w:rPr>
            </w:pPr>
            <w:r w:rsidRPr="001A7F2B">
              <w:rPr>
                <w:rFonts w:cs="Calibri"/>
                <w:bCs/>
                <w:lang w:val="en-US"/>
              </w:rPr>
              <w:t>Take stock of progress made in respecting and ensuring human rights in the context of assemblies, with particular attention to existing tools to assist States in the management of assemblies with due respect for human rights, and assess their effective implementation</w:t>
            </w:r>
            <w:r w:rsidR="00736786">
              <w:rPr>
                <w:rFonts w:cs="Calibri"/>
                <w:bCs/>
                <w:lang w:val="en-US"/>
              </w:rPr>
              <w:t>;</w:t>
            </w:r>
          </w:p>
          <w:p w14:paraId="79DFF6F1" w14:textId="2EAC2C5A" w:rsidR="001A7F2B" w:rsidRPr="00005E65" w:rsidRDefault="001A7F2B" w:rsidP="002D73EC">
            <w:pPr>
              <w:pStyle w:val="ListParagraph"/>
              <w:numPr>
                <w:ilvl w:val="0"/>
                <w:numId w:val="4"/>
              </w:numPr>
              <w:shd w:val="clear" w:color="auto" w:fill="FFFFFF"/>
              <w:spacing w:after="120" w:line="240" w:lineRule="auto"/>
              <w:rPr>
                <w:rFonts w:cs="Calibri"/>
                <w:bCs/>
                <w:lang w:val="en-US"/>
              </w:rPr>
            </w:pPr>
            <w:r w:rsidRPr="00005E65">
              <w:rPr>
                <w:rFonts w:cs="Calibri"/>
                <w:bCs/>
                <w:lang w:val="en-US"/>
              </w:rPr>
              <w:t>Discuss emerging challenges and opportunities, such as the impact of new technologies and the online space on the right</w:t>
            </w:r>
            <w:r w:rsidR="00005E65">
              <w:rPr>
                <w:rFonts w:cs="Calibri"/>
                <w:bCs/>
                <w:lang w:val="en-US"/>
              </w:rPr>
              <w:t>s</w:t>
            </w:r>
            <w:r w:rsidRPr="00005E65">
              <w:rPr>
                <w:rFonts w:cs="Calibri"/>
                <w:bCs/>
                <w:lang w:val="en-US"/>
              </w:rPr>
              <w:t xml:space="preserve"> </w:t>
            </w:r>
            <w:r w:rsidR="00005E65">
              <w:rPr>
                <w:rFonts w:cs="Calibri"/>
                <w:bCs/>
                <w:lang w:val="en-US"/>
              </w:rPr>
              <w:t xml:space="preserve">to freedom </w:t>
            </w:r>
            <w:r w:rsidRPr="00005E65">
              <w:rPr>
                <w:rFonts w:cs="Calibri"/>
                <w:bCs/>
                <w:lang w:val="en-US"/>
              </w:rPr>
              <w:t>of peaceful assembly,</w:t>
            </w:r>
            <w:r w:rsidR="00005E65">
              <w:t xml:space="preserve"> </w:t>
            </w:r>
            <w:r w:rsidR="00005E65" w:rsidRPr="00005E65">
              <w:rPr>
                <w:rFonts w:cs="Calibri"/>
                <w:bCs/>
                <w:lang w:val="en-US"/>
              </w:rPr>
              <w:t>of expression and</w:t>
            </w:r>
            <w:r w:rsidR="00005E65">
              <w:rPr>
                <w:rFonts w:cs="Calibri"/>
                <w:bCs/>
                <w:lang w:val="en-US"/>
              </w:rPr>
              <w:t xml:space="preserve"> </w:t>
            </w:r>
            <w:r w:rsidR="00005E65" w:rsidRPr="00005E65">
              <w:rPr>
                <w:rFonts w:cs="Calibri"/>
                <w:bCs/>
                <w:lang w:val="en-US"/>
              </w:rPr>
              <w:t>of association</w:t>
            </w:r>
            <w:r w:rsidR="00005E65">
              <w:rPr>
                <w:rFonts w:cs="Calibri"/>
                <w:bCs/>
                <w:lang w:val="en-US"/>
              </w:rPr>
              <w:t>,</w:t>
            </w:r>
            <w:r w:rsidRPr="00005E65">
              <w:rPr>
                <w:rFonts w:cs="Calibri"/>
                <w:bCs/>
                <w:lang w:val="en-US"/>
              </w:rPr>
              <w:t xml:space="preserve"> which would require further work and clarification</w:t>
            </w:r>
            <w:r w:rsidR="00736786" w:rsidRPr="00005E65">
              <w:rPr>
                <w:rFonts w:cs="Calibri"/>
                <w:bCs/>
                <w:lang w:val="en-US"/>
              </w:rPr>
              <w:t>;</w:t>
            </w:r>
          </w:p>
          <w:p w14:paraId="4D3BE8FC" w14:textId="1E6BFBA5" w:rsidR="004F0A64" w:rsidRPr="001A7F2B" w:rsidRDefault="001A7F2B" w:rsidP="000C2300">
            <w:pPr>
              <w:pStyle w:val="ListParagraph"/>
              <w:numPr>
                <w:ilvl w:val="0"/>
                <w:numId w:val="4"/>
              </w:numPr>
              <w:shd w:val="clear" w:color="auto" w:fill="FFFFFF"/>
              <w:spacing w:after="240" w:line="240" w:lineRule="auto"/>
              <w:ind w:left="714" w:hanging="357"/>
              <w:contextualSpacing w:val="0"/>
              <w:rPr>
                <w:rFonts w:cs="Calibri"/>
                <w:bCs/>
                <w:lang w:val="en-US"/>
              </w:rPr>
            </w:pPr>
            <w:r w:rsidRPr="001A7F2B">
              <w:rPr>
                <w:rFonts w:cs="Calibri"/>
                <w:bCs/>
                <w:lang w:val="en-US"/>
              </w:rPr>
              <w:t>Identify areas where further guidance and cooperation may be needed.</w:t>
            </w:r>
          </w:p>
        </w:tc>
      </w:tr>
      <w:tr w:rsidR="004F0A64" w:rsidRPr="00D06C96" w14:paraId="438DFB38" w14:textId="77777777" w:rsidTr="00936778">
        <w:tc>
          <w:tcPr>
            <w:tcW w:w="1450" w:type="dxa"/>
            <w:shd w:val="clear" w:color="auto" w:fill="auto"/>
          </w:tcPr>
          <w:p w14:paraId="78963C2F" w14:textId="77777777" w:rsidR="004F0A64" w:rsidRPr="00D06C96" w:rsidRDefault="004F0A64" w:rsidP="00F14F1A">
            <w:pPr>
              <w:spacing w:after="0" w:line="240" w:lineRule="auto"/>
              <w:jc w:val="both"/>
              <w:rPr>
                <w:rFonts w:cs="Calibri"/>
                <w:b/>
              </w:rPr>
            </w:pPr>
            <w:r w:rsidRPr="00D06C96">
              <w:rPr>
                <w:rFonts w:cs="Calibri"/>
                <w:b/>
              </w:rPr>
              <w:t xml:space="preserve">Chair: </w:t>
            </w:r>
          </w:p>
        </w:tc>
        <w:tc>
          <w:tcPr>
            <w:tcW w:w="9040" w:type="dxa"/>
            <w:shd w:val="clear" w:color="auto" w:fill="auto"/>
          </w:tcPr>
          <w:p w14:paraId="368FBE8D" w14:textId="70DDE4B9" w:rsidR="004F0A64" w:rsidRPr="00D06C96" w:rsidRDefault="004F0A64" w:rsidP="000C2300">
            <w:pPr>
              <w:pStyle w:val="Heading3"/>
              <w:shd w:val="clear" w:color="auto" w:fill="FFFFFF"/>
              <w:spacing w:before="0" w:beforeAutospacing="0" w:after="240" w:afterAutospacing="0"/>
              <w:jc w:val="both"/>
              <w:rPr>
                <w:rFonts w:ascii="Calibri" w:eastAsia="Cambria" w:hAnsi="Calibri" w:cs="Calibri"/>
                <w:bCs w:val="0"/>
                <w:sz w:val="22"/>
                <w:szCs w:val="22"/>
                <w:lang w:val="en-US"/>
              </w:rPr>
            </w:pPr>
            <w:r w:rsidRPr="00D06C96">
              <w:rPr>
                <w:rFonts w:ascii="Calibri" w:eastAsia="Cambria" w:hAnsi="Calibri" w:cs="Calibri"/>
                <w:bCs w:val="0"/>
                <w:sz w:val="22"/>
                <w:szCs w:val="22"/>
                <w:lang w:eastAsia="en-US"/>
              </w:rPr>
              <w:t>H.E. M</w:t>
            </w:r>
            <w:r w:rsidR="00CF48D5">
              <w:rPr>
                <w:rFonts w:ascii="Calibri" w:eastAsia="Cambria" w:hAnsi="Calibri" w:cs="Calibri"/>
                <w:bCs w:val="0"/>
                <w:sz w:val="22"/>
                <w:szCs w:val="22"/>
                <w:lang w:eastAsia="en-US"/>
              </w:rPr>
              <w:t xml:space="preserve">r. </w:t>
            </w:r>
            <w:r w:rsidR="00CF48D5" w:rsidRPr="00CF48D5">
              <w:rPr>
                <w:rFonts w:ascii="Calibri" w:eastAsia="Cambria" w:hAnsi="Calibri" w:cs="Calibri"/>
                <w:bCs w:val="0"/>
                <w:sz w:val="22"/>
                <w:szCs w:val="22"/>
                <w:lang w:eastAsia="en-US"/>
              </w:rPr>
              <w:t xml:space="preserve">Yuri Borissov </w:t>
            </w:r>
            <w:r w:rsidR="00A06585" w:rsidRPr="00CF48D5">
              <w:rPr>
                <w:rFonts w:ascii="Calibri" w:eastAsia="Cambria" w:hAnsi="Calibri" w:cs="Calibri"/>
                <w:bCs w:val="0"/>
                <w:sz w:val="22"/>
                <w:szCs w:val="22"/>
                <w:lang w:eastAsia="en-US"/>
              </w:rPr>
              <w:t>Sterk</w:t>
            </w:r>
            <w:r w:rsidRPr="00CF48D5">
              <w:rPr>
                <w:rFonts w:ascii="Calibri" w:eastAsia="Cambria" w:hAnsi="Calibri" w:cs="Calibri"/>
                <w:b w:val="0"/>
                <w:bCs w:val="0"/>
                <w:sz w:val="22"/>
                <w:szCs w:val="22"/>
                <w:lang w:val="en-US"/>
              </w:rPr>
              <w:t xml:space="preserve">, </w:t>
            </w:r>
            <w:r w:rsidR="00CF48D5" w:rsidRPr="00CF48D5">
              <w:rPr>
                <w:rFonts w:ascii="Calibri" w:eastAsia="Cambria" w:hAnsi="Calibri" w:cs="Calibri"/>
                <w:b w:val="0"/>
                <w:bCs w:val="0"/>
                <w:sz w:val="22"/>
                <w:szCs w:val="22"/>
                <w:lang w:val="en-US"/>
              </w:rPr>
              <w:t>Vice-</w:t>
            </w:r>
            <w:r w:rsidRPr="00D06C96">
              <w:rPr>
                <w:rFonts w:ascii="Calibri" w:eastAsia="Cambria" w:hAnsi="Calibri" w:cs="Calibri"/>
                <w:b w:val="0"/>
                <w:bCs w:val="0"/>
                <w:sz w:val="22"/>
                <w:szCs w:val="22"/>
                <w:lang w:eastAsia="en-US"/>
              </w:rPr>
              <w:t>President of the Human Rights Council</w:t>
            </w:r>
          </w:p>
        </w:tc>
      </w:tr>
      <w:tr w:rsidR="004F0A64" w:rsidRPr="00D06C96" w14:paraId="0EAEFDFB" w14:textId="77777777" w:rsidTr="00936778">
        <w:tc>
          <w:tcPr>
            <w:tcW w:w="1450" w:type="dxa"/>
            <w:shd w:val="clear" w:color="auto" w:fill="auto"/>
          </w:tcPr>
          <w:p w14:paraId="38EB5E93" w14:textId="3E492F29" w:rsidR="004F0A64" w:rsidRPr="00D06C96" w:rsidRDefault="004F0A64" w:rsidP="00F14F1A">
            <w:pPr>
              <w:spacing w:after="60" w:line="240" w:lineRule="auto"/>
              <w:jc w:val="both"/>
              <w:rPr>
                <w:rFonts w:cs="Calibri"/>
                <w:b/>
              </w:rPr>
            </w:pPr>
            <w:r w:rsidRPr="00D06C96">
              <w:rPr>
                <w:rFonts w:cs="Calibri"/>
                <w:b/>
              </w:rPr>
              <w:t>Opening statement:</w:t>
            </w:r>
          </w:p>
        </w:tc>
        <w:tc>
          <w:tcPr>
            <w:tcW w:w="9040" w:type="dxa"/>
            <w:shd w:val="clear" w:color="auto" w:fill="auto"/>
          </w:tcPr>
          <w:p w14:paraId="37B75119" w14:textId="49EDCC98" w:rsidR="004F0A64" w:rsidRPr="000021F1" w:rsidRDefault="004F0A64" w:rsidP="00AB7D74">
            <w:pPr>
              <w:spacing w:after="120" w:line="240" w:lineRule="auto"/>
              <w:rPr>
                <w:rFonts w:cs="Calibri"/>
                <w:b/>
              </w:rPr>
            </w:pPr>
            <w:r w:rsidRPr="000021F1">
              <w:rPr>
                <w:rFonts w:cs="Calibri"/>
                <w:b/>
              </w:rPr>
              <w:t xml:space="preserve">Ms. </w:t>
            </w:r>
            <w:r w:rsidRPr="000021F1">
              <w:rPr>
                <w:rFonts w:cs="Calibri"/>
                <w:b/>
                <w:bCs/>
              </w:rPr>
              <w:t>Michelle Bachelet</w:t>
            </w:r>
            <w:r w:rsidRPr="000021F1">
              <w:rPr>
                <w:rFonts w:cs="Calibri"/>
              </w:rPr>
              <w:t>, United Nations High Commissioner for Human Rights</w:t>
            </w:r>
            <w:r w:rsidR="00F058BD">
              <w:rPr>
                <w:rFonts w:cs="Calibri"/>
              </w:rPr>
              <w:t xml:space="preserve"> </w:t>
            </w:r>
            <w:r w:rsidR="00F058BD" w:rsidRPr="00F058BD">
              <w:rPr>
                <w:rFonts w:cs="Calibri"/>
                <w:i/>
              </w:rPr>
              <w:t>(</w:t>
            </w:r>
            <w:r w:rsidR="00614242">
              <w:rPr>
                <w:rFonts w:cs="Calibri"/>
                <w:i/>
              </w:rPr>
              <w:t xml:space="preserve">live </w:t>
            </w:r>
            <w:bookmarkStart w:id="0" w:name="_GoBack"/>
            <w:bookmarkEnd w:id="0"/>
            <w:r w:rsidR="00F058BD" w:rsidRPr="00F058BD">
              <w:rPr>
                <w:rFonts w:cs="Calibri"/>
                <w:i/>
              </w:rPr>
              <w:t>video message)</w:t>
            </w:r>
          </w:p>
        </w:tc>
      </w:tr>
      <w:tr w:rsidR="004F0A64" w:rsidRPr="00D06C96" w14:paraId="744535F5" w14:textId="77777777" w:rsidTr="00936778">
        <w:tc>
          <w:tcPr>
            <w:tcW w:w="1450" w:type="dxa"/>
            <w:shd w:val="clear" w:color="auto" w:fill="auto"/>
          </w:tcPr>
          <w:p w14:paraId="1D80EB69" w14:textId="0957FF22" w:rsidR="004F0A64" w:rsidRPr="00D06C96" w:rsidRDefault="004F0A64" w:rsidP="00F14F1A">
            <w:pPr>
              <w:spacing w:after="0" w:line="240" w:lineRule="auto"/>
              <w:jc w:val="both"/>
              <w:rPr>
                <w:rFonts w:cs="Calibri"/>
                <w:b/>
              </w:rPr>
            </w:pPr>
            <w:r w:rsidRPr="00D06C96">
              <w:rPr>
                <w:rFonts w:cs="Calibri"/>
                <w:b/>
              </w:rPr>
              <w:t>Panellists:</w:t>
            </w:r>
          </w:p>
        </w:tc>
        <w:tc>
          <w:tcPr>
            <w:tcW w:w="9040" w:type="dxa"/>
            <w:shd w:val="clear" w:color="auto" w:fill="auto"/>
          </w:tcPr>
          <w:p w14:paraId="75D3CC38" w14:textId="721B097C" w:rsidR="00CA19B0" w:rsidRPr="000021F1" w:rsidRDefault="001A7F2B" w:rsidP="00546794">
            <w:pPr>
              <w:numPr>
                <w:ilvl w:val="0"/>
                <w:numId w:val="1"/>
              </w:numPr>
              <w:spacing w:after="120" w:line="240" w:lineRule="auto"/>
              <w:ind w:left="284" w:hanging="284"/>
              <w:rPr>
                <w:rFonts w:cs="Calibri"/>
                <w:bCs/>
                <w:i/>
                <w:lang w:eastAsia="zh-TW"/>
              </w:rPr>
            </w:pPr>
            <w:r w:rsidRPr="000021F1">
              <w:rPr>
                <w:rFonts w:cs="Calibri"/>
                <w:b/>
              </w:rPr>
              <w:t>Mr. Clément Nyaletsossi Voule</w:t>
            </w:r>
            <w:r w:rsidRPr="000021F1">
              <w:rPr>
                <w:rFonts w:cs="Calibri"/>
              </w:rPr>
              <w:t>,</w:t>
            </w:r>
            <w:r w:rsidRPr="000021F1">
              <w:rPr>
                <w:rFonts w:cs="Calibri"/>
                <w:b/>
              </w:rPr>
              <w:t xml:space="preserve"> </w:t>
            </w:r>
            <w:r w:rsidRPr="000021F1">
              <w:rPr>
                <w:rFonts w:cs="Calibri"/>
              </w:rPr>
              <w:t xml:space="preserve">Special Rapporteur on the </w:t>
            </w:r>
            <w:r w:rsidR="002B51D8" w:rsidRPr="000021F1">
              <w:rPr>
                <w:rFonts w:cs="Calibri"/>
              </w:rPr>
              <w:t>r</w:t>
            </w:r>
            <w:r w:rsidRPr="000021F1">
              <w:rPr>
                <w:rFonts w:cs="Calibri"/>
              </w:rPr>
              <w:t xml:space="preserve">ights to </w:t>
            </w:r>
            <w:r w:rsidR="002B51D8" w:rsidRPr="000021F1">
              <w:rPr>
                <w:rFonts w:cs="Calibri"/>
              </w:rPr>
              <w:t>f</w:t>
            </w:r>
            <w:r w:rsidRPr="000021F1">
              <w:rPr>
                <w:rFonts w:cs="Calibri"/>
              </w:rPr>
              <w:t xml:space="preserve">reedom of </w:t>
            </w:r>
            <w:r w:rsidR="002B51D8" w:rsidRPr="000021F1">
              <w:rPr>
                <w:rFonts w:cs="Calibri"/>
              </w:rPr>
              <w:t>p</w:t>
            </w:r>
            <w:r w:rsidRPr="000021F1">
              <w:rPr>
                <w:rFonts w:cs="Calibri"/>
              </w:rPr>
              <w:t xml:space="preserve">eaceful </w:t>
            </w:r>
            <w:r w:rsidR="002B51D8" w:rsidRPr="000021F1">
              <w:rPr>
                <w:rFonts w:cs="Calibri"/>
              </w:rPr>
              <w:t>a</w:t>
            </w:r>
            <w:r w:rsidRPr="000021F1">
              <w:rPr>
                <w:rFonts w:cs="Calibri"/>
              </w:rPr>
              <w:t xml:space="preserve">ssembly and of </w:t>
            </w:r>
            <w:r w:rsidR="002B51D8" w:rsidRPr="000021F1">
              <w:rPr>
                <w:rFonts w:cs="Calibri"/>
              </w:rPr>
              <w:t>a</w:t>
            </w:r>
            <w:r w:rsidRPr="000021F1">
              <w:rPr>
                <w:rFonts w:cs="Calibri"/>
              </w:rPr>
              <w:t>ssociation</w:t>
            </w:r>
          </w:p>
          <w:p w14:paraId="594E7F92" w14:textId="49C38EDF" w:rsidR="004F0A64" w:rsidRPr="000021F1" w:rsidRDefault="00B24DE1" w:rsidP="00216D35">
            <w:pPr>
              <w:numPr>
                <w:ilvl w:val="0"/>
                <w:numId w:val="1"/>
              </w:numPr>
              <w:spacing w:after="120" w:line="240" w:lineRule="auto"/>
              <w:ind w:left="277" w:hanging="277"/>
              <w:rPr>
                <w:rFonts w:cs="Calibri"/>
                <w:bCs/>
                <w:i/>
                <w:lang w:eastAsia="zh-TW"/>
              </w:rPr>
            </w:pPr>
            <w:r w:rsidRPr="000021F1">
              <w:rPr>
                <w:rFonts w:cs="Calibri"/>
                <w:b/>
              </w:rPr>
              <w:t>Mr</w:t>
            </w:r>
            <w:r w:rsidR="001A7F2B" w:rsidRPr="000021F1">
              <w:rPr>
                <w:rFonts w:cs="Calibri"/>
                <w:b/>
              </w:rPr>
              <w:t>. Yuval Shany</w:t>
            </w:r>
            <w:r w:rsidR="001A7F2B" w:rsidRPr="000021F1">
              <w:rPr>
                <w:rFonts w:cs="Calibri"/>
              </w:rPr>
              <w:t>,</w:t>
            </w:r>
            <w:r w:rsidR="001A7F2B" w:rsidRPr="000021F1">
              <w:rPr>
                <w:rFonts w:cs="Calibri"/>
                <w:b/>
              </w:rPr>
              <w:t xml:space="preserve"> </w:t>
            </w:r>
            <w:r w:rsidR="00005E65" w:rsidRPr="000021F1">
              <w:rPr>
                <w:rFonts w:cs="Calibri"/>
              </w:rPr>
              <w:t>Hersch Lauterpacht Chair in Public International Law</w:t>
            </w:r>
            <w:r w:rsidR="000021F1">
              <w:rPr>
                <w:rFonts w:cs="Calibri"/>
              </w:rPr>
              <w:t xml:space="preserve"> at</w:t>
            </w:r>
            <w:r w:rsidR="00005E65" w:rsidRPr="000021F1">
              <w:rPr>
                <w:rFonts w:cs="Calibri"/>
              </w:rPr>
              <w:t xml:space="preserve"> </w:t>
            </w:r>
            <w:r w:rsidR="000021F1">
              <w:rPr>
                <w:rFonts w:cs="Calibri"/>
              </w:rPr>
              <w:t xml:space="preserve">the </w:t>
            </w:r>
            <w:r w:rsidR="00005E65" w:rsidRPr="000021F1">
              <w:rPr>
                <w:rFonts w:cs="Calibri"/>
              </w:rPr>
              <w:t>Hebrew University of Jerusalem</w:t>
            </w:r>
            <w:r w:rsidR="000021F1">
              <w:rPr>
                <w:rFonts w:cs="Calibri"/>
                <w:b/>
              </w:rPr>
              <w:t xml:space="preserve"> </w:t>
            </w:r>
            <w:r w:rsidR="000021F1">
              <w:rPr>
                <w:rFonts w:cs="Calibri"/>
              </w:rPr>
              <w:t xml:space="preserve">and </w:t>
            </w:r>
            <w:r w:rsidR="00005E65" w:rsidRPr="000021F1">
              <w:rPr>
                <w:rFonts w:cs="Calibri"/>
              </w:rPr>
              <w:t>former C</w:t>
            </w:r>
            <w:r w:rsidR="001A7F2B" w:rsidRPr="000021F1">
              <w:rPr>
                <w:rFonts w:cs="Calibri"/>
              </w:rPr>
              <w:t>hair of the Human Rights Committee</w:t>
            </w:r>
            <w:r w:rsidR="001A7F2B" w:rsidRPr="000021F1">
              <w:rPr>
                <w:rFonts w:cs="Calibri"/>
                <w:b/>
              </w:rPr>
              <w:t xml:space="preserve"> </w:t>
            </w:r>
            <w:r w:rsidR="007F5558" w:rsidRPr="000021F1">
              <w:rPr>
                <w:rFonts w:cs="Calibri"/>
                <w:i/>
              </w:rPr>
              <w:t>(video message)</w:t>
            </w:r>
            <w:r w:rsidR="00627DB1" w:rsidRPr="000021F1">
              <w:rPr>
                <w:rFonts w:cs="Calibri"/>
                <w:i/>
              </w:rPr>
              <w:t xml:space="preserve"> </w:t>
            </w:r>
          </w:p>
          <w:p w14:paraId="28425668" w14:textId="71066E7E" w:rsidR="004F0A64" w:rsidRPr="000021F1" w:rsidRDefault="00005E65" w:rsidP="002954F0">
            <w:pPr>
              <w:numPr>
                <w:ilvl w:val="0"/>
                <w:numId w:val="1"/>
              </w:numPr>
              <w:spacing w:after="160" w:line="240" w:lineRule="auto"/>
              <w:ind w:left="284" w:hanging="284"/>
              <w:rPr>
                <w:rFonts w:cs="Calibri"/>
                <w:b/>
                <w:bCs/>
                <w:lang w:eastAsia="zh-TW"/>
              </w:rPr>
            </w:pPr>
            <w:r w:rsidRPr="000021F1">
              <w:rPr>
                <w:rFonts w:cs="Calibri"/>
                <w:b/>
              </w:rPr>
              <w:t>Ms. Lysa John</w:t>
            </w:r>
            <w:r w:rsidRPr="000021F1">
              <w:rPr>
                <w:rFonts w:cs="Calibri"/>
              </w:rPr>
              <w:t>, Secretary General</w:t>
            </w:r>
            <w:r w:rsidR="00A06585">
              <w:rPr>
                <w:rFonts w:cs="Calibri"/>
              </w:rPr>
              <w:t xml:space="preserve"> of</w:t>
            </w:r>
            <w:r w:rsidRPr="000021F1">
              <w:rPr>
                <w:rFonts w:cs="Calibri"/>
              </w:rPr>
              <w:t xml:space="preserve"> CIVICUS</w:t>
            </w:r>
            <w:r w:rsidR="00897EF3" w:rsidRPr="000021F1">
              <w:t xml:space="preserve"> </w:t>
            </w:r>
            <w:r w:rsidR="007F5558" w:rsidRPr="000021F1">
              <w:rPr>
                <w:rFonts w:cs="Calibri"/>
                <w:i/>
              </w:rPr>
              <w:t>(video message)</w:t>
            </w:r>
          </w:p>
          <w:p w14:paraId="3380EE5D" w14:textId="780BFD80" w:rsidR="001A7F2B" w:rsidRPr="000021F1" w:rsidRDefault="0078067D" w:rsidP="000C2300">
            <w:pPr>
              <w:numPr>
                <w:ilvl w:val="0"/>
                <w:numId w:val="1"/>
              </w:numPr>
              <w:spacing w:after="240" w:line="240" w:lineRule="auto"/>
              <w:ind w:left="272" w:hanging="272"/>
              <w:rPr>
                <w:rFonts w:cs="Calibri"/>
                <w:b/>
                <w:bCs/>
                <w:lang w:eastAsia="zh-TW"/>
              </w:rPr>
            </w:pPr>
            <w:r>
              <w:rPr>
                <w:rFonts w:cs="Calibri"/>
                <w:b/>
                <w:bCs/>
                <w:lang w:eastAsia="zh-TW"/>
              </w:rPr>
              <w:t xml:space="preserve">Commissioner </w:t>
            </w:r>
            <w:r w:rsidRPr="0078067D">
              <w:rPr>
                <w:rFonts w:cs="Calibri"/>
                <w:b/>
                <w:bCs/>
                <w:lang w:eastAsia="zh-TW"/>
              </w:rPr>
              <w:t>Luís Carrilho</w:t>
            </w:r>
            <w:r w:rsidRPr="00DA74EE">
              <w:rPr>
                <w:rFonts w:cs="Calibri"/>
                <w:bCs/>
                <w:lang w:eastAsia="zh-TW"/>
              </w:rPr>
              <w:t>, United Nations Police Adviser</w:t>
            </w:r>
            <w:r>
              <w:rPr>
                <w:rFonts w:cs="Calibri"/>
                <w:b/>
                <w:bCs/>
                <w:lang w:eastAsia="zh-TW"/>
              </w:rPr>
              <w:t xml:space="preserve"> </w:t>
            </w:r>
            <w:r w:rsidR="00556BD4" w:rsidRPr="000021F1">
              <w:rPr>
                <w:rFonts w:cs="Calibri"/>
                <w:bCs/>
                <w:i/>
                <w:lang w:eastAsia="zh-TW"/>
              </w:rPr>
              <w:t>(</w:t>
            </w:r>
            <w:r w:rsidR="00493A40" w:rsidRPr="000021F1">
              <w:rPr>
                <w:rFonts w:cs="Calibri"/>
                <w:bCs/>
                <w:i/>
                <w:lang w:eastAsia="zh-TW"/>
              </w:rPr>
              <w:t>video message)</w:t>
            </w:r>
            <w:r w:rsidR="00D90FB1" w:rsidRPr="000021F1">
              <w:rPr>
                <w:rFonts w:cs="Calibri"/>
                <w:bCs/>
                <w:i/>
                <w:lang w:eastAsia="zh-TW"/>
              </w:rPr>
              <w:t xml:space="preserve"> </w:t>
            </w:r>
          </w:p>
        </w:tc>
      </w:tr>
      <w:tr w:rsidR="004F0A64" w:rsidRPr="00D06C96" w14:paraId="7CAAEF70" w14:textId="77777777" w:rsidTr="00936778">
        <w:trPr>
          <w:trHeight w:val="262"/>
        </w:trPr>
        <w:tc>
          <w:tcPr>
            <w:tcW w:w="1450" w:type="dxa"/>
            <w:shd w:val="clear" w:color="auto" w:fill="auto"/>
          </w:tcPr>
          <w:p w14:paraId="1E33DF7B" w14:textId="77777777" w:rsidR="004F0A64" w:rsidRPr="00D06C96" w:rsidRDefault="004F0A64" w:rsidP="00F14F1A">
            <w:pPr>
              <w:spacing w:after="0" w:line="240" w:lineRule="auto"/>
              <w:jc w:val="both"/>
              <w:rPr>
                <w:rFonts w:cs="Calibri"/>
                <w:b/>
              </w:rPr>
            </w:pPr>
            <w:r w:rsidRPr="00D06C96">
              <w:rPr>
                <w:rFonts w:cs="Calibri"/>
                <w:b/>
              </w:rPr>
              <w:t xml:space="preserve">Outcome: </w:t>
            </w:r>
          </w:p>
        </w:tc>
        <w:tc>
          <w:tcPr>
            <w:tcW w:w="9040" w:type="dxa"/>
            <w:shd w:val="clear" w:color="auto" w:fill="auto"/>
          </w:tcPr>
          <w:p w14:paraId="471145AE" w14:textId="1C89F395" w:rsidR="004F0A64" w:rsidRPr="00D06C96" w:rsidRDefault="00627DB1" w:rsidP="00627DB1">
            <w:pPr>
              <w:spacing w:after="120" w:line="240" w:lineRule="auto"/>
              <w:jc w:val="both"/>
              <w:rPr>
                <w:rFonts w:cs="Calibri"/>
              </w:rPr>
            </w:pPr>
            <w:r>
              <w:t xml:space="preserve">The Office of the United Nations High Commissioner for Human Rights </w:t>
            </w:r>
            <w:r w:rsidR="00292EBE">
              <w:t xml:space="preserve">(OHCHR) </w:t>
            </w:r>
            <w:r>
              <w:t>will prepare</w:t>
            </w:r>
            <w:r>
              <w:rPr>
                <w:rFonts w:cs="Calibri"/>
                <w:bCs/>
                <w:lang w:val="en-US"/>
              </w:rPr>
              <w:t xml:space="preserve"> </w:t>
            </w:r>
            <w:r w:rsidR="00BC2C18">
              <w:rPr>
                <w:rFonts w:cs="Calibri"/>
                <w:bCs/>
                <w:lang w:val="en-US"/>
              </w:rPr>
              <w:t>a</w:t>
            </w:r>
            <w:r w:rsidR="004F0A64" w:rsidRPr="00D06C96">
              <w:rPr>
                <w:rFonts w:cs="Calibri"/>
                <w:bCs/>
                <w:lang w:val="en-US"/>
              </w:rPr>
              <w:t xml:space="preserve"> summary report on the </w:t>
            </w:r>
            <w:r w:rsidR="002B51D8">
              <w:rPr>
                <w:rFonts w:cs="Calibri"/>
                <w:bCs/>
                <w:lang w:val="en-US"/>
              </w:rPr>
              <w:t xml:space="preserve">panel </w:t>
            </w:r>
            <w:r w:rsidR="004F0A64" w:rsidRPr="00D06C96">
              <w:rPr>
                <w:rFonts w:cs="Calibri"/>
                <w:bCs/>
                <w:lang w:val="en-US"/>
              </w:rPr>
              <w:t>discussion.</w:t>
            </w:r>
          </w:p>
        </w:tc>
      </w:tr>
      <w:tr w:rsidR="004F0A64" w:rsidRPr="00D06C96" w14:paraId="5997222F" w14:textId="77777777" w:rsidTr="00936778">
        <w:tc>
          <w:tcPr>
            <w:tcW w:w="1450" w:type="dxa"/>
            <w:shd w:val="clear" w:color="auto" w:fill="auto"/>
          </w:tcPr>
          <w:p w14:paraId="44B0839D" w14:textId="77777777" w:rsidR="004F0A64" w:rsidRPr="00D06C96" w:rsidRDefault="004F0A64" w:rsidP="00F14F1A">
            <w:pPr>
              <w:spacing w:after="0" w:line="240" w:lineRule="auto"/>
              <w:jc w:val="both"/>
              <w:rPr>
                <w:rFonts w:cs="Calibri"/>
                <w:b/>
              </w:rPr>
            </w:pPr>
            <w:r w:rsidRPr="00D06C96">
              <w:rPr>
                <w:rFonts w:cs="Calibri"/>
                <w:b/>
              </w:rPr>
              <w:t xml:space="preserve">Mandate: </w:t>
            </w:r>
          </w:p>
        </w:tc>
        <w:tc>
          <w:tcPr>
            <w:tcW w:w="9040" w:type="dxa"/>
            <w:shd w:val="clear" w:color="auto" w:fill="auto"/>
          </w:tcPr>
          <w:p w14:paraId="42B5F57A" w14:textId="0F96B175" w:rsidR="004F0A64" w:rsidRPr="00E41510" w:rsidRDefault="002E17CE" w:rsidP="002E17CE">
            <w:pPr>
              <w:spacing w:after="120" w:line="240" w:lineRule="auto"/>
              <w:jc w:val="both"/>
              <w:rPr>
                <w:rFonts w:cs="Calibri"/>
              </w:rPr>
            </w:pPr>
            <w:r>
              <w:rPr>
                <w:rFonts w:cs="Calibri"/>
              </w:rPr>
              <w:t>In its</w:t>
            </w:r>
            <w:r w:rsidRPr="001A7F2B">
              <w:rPr>
                <w:rFonts w:cs="Calibri"/>
              </w:rPr>
              <w:t xml:space="preserve"> </w:t>
            </w:r>
            <w:r w:rsidR="002B51D8">
              <w:rPr>
                <w:rFonts w:cs="Calibri"/>
              </w:rPr>
              <w:t>r</w:t>
            </w:r>
            <w:r w:rsidR="001A7F2B" w:rsidRPr="001A7F2B">
              <w:rPr>
                <w:rFonts w:cs="Calibri"/>
              </w:rPr>
              <w:t xml:space="preserve">esolution </w:t>
            </w:r>
            <w:hyperlink r:id="rId12" w:history="1">
              <w:r w:rsidR="001A7F2B" w:rsidRPr="002E17CE">
                <w:rPr>
                  <w:rStyle w:val="Hyperlink"/>
                  <w:rFonts w:cs="Calibri"/>
                </w:rPr>
                <w:t>44/20</w:t>
              </w:r>
            </w:hyperlink>
            <w:r w:rsidR="001A7F2B" w:rsidRPr="001A7F2B">
              <w:rPr>
                <w:rFonts w:cs="Calibri"/>
              </w:rPr>
              <w:t xml:space="preserve"> on the promotion and protection of human rights in the context of peaceful protests, </w:t>
            </w:r>
            <w:r>
              <w:rPr>
                <w:rFonts w:cs="Calibri"/>
              </w:rPr>
              <w:t xml:space="preserve">the </w:t>
            </w:r>
            <w:r w:rsidRPr="001A7F2B">
              <w:rPr>
                <w:rFonts w:cs="Calibri"/>
              </w:rPr>
              <w:t xml:space="preserve">Human Rights Council </w:t>
            </w:r>
            <w:r w:rsidR="001A7F2B" w:rsidRPr="001A7F2B">
              <w:rPr>
                <w:rFonts w:cs="Calibri"/>
              </w:rPr>
              <w:t xml:space="preserve">decided to convene, at its 48th session, a panel discussion on the promotion and protection of human rights in the context of peaceful protests. </w:t>
            </w:r>
          </w:p>
        </w:tc>
      </w:tr>
      <w:tr w:rsidR="004F0A64" w:rsidRPr="00D06C96" w14:paraId="0F529260" w14:textId="77777777" w:rsidTr="00936778">
        <w:tc>
          <w:tcPr>
            <w:tcW w:w="1450" w:type="dxa"/>
            <w:shd w:val="clear" w:color="auto" w:fill="auto"/>
          </w:tcPr>
          <w:p w14:paraId="16074F40" w14:textId="77777777" w:rsidR="004F0A64" w:rsidRPr="00D06C96" w:rsidRDefault="004F0A64" w:rsidP="00F14F1A">
            <w:pPr>
              <w:spacing w:after="0" w:line="240" w:lineRule="auto"/>
              <w:rPr>
                <w:rFonts w:cs="Calibri"/>
                <w:b/>
              </w:rPr>
            </w:pPr>
            <w:r w:rsidRPr="00D06C96">
              <w:rPr>
                <w:rFonts w:cs="Calibri"/>
                <w:b/>
              </w:rPr>
              <w:t xml:space="preserve">Format: </w:t>
            </w:r>
          </w:p>
        </w:tc>
        <w:tc>
          <w:tcPr>
            <w:tcW w:w="9040" w:type="dxa"/>
            <w:shd w:val="clear" w:color="auto" w:fill="auto"/>
          </w:tcPr>
          <w:p w14:paraId="31780C7D" w14:textId="5999B56E" w:rsidR="00BD4DD4" w:rsidRPr="00BD4DD4" w:rsidRDefault="00BD4DD4" w:rsidP="00F14F1A">
            <w:pPr>
              <w:spacing w:after="120" w:line="240" w:lineRule="auto"/>
              <w:jc w:val="both"/>
              <w:rPr>
                <w:rFonts w:eastAsia="PMingLiU" w:cs="Calibri"/>
                <w:bCs/>
              </w:rPr>
            </w:pPr>
            <w:r w:rsidRPr="00BD4DD4">
              <w:rPr>
                <w:rFonts w:eastAsia="PMingLiU" w:cs="Calibri"/>
                <w:bCs/>
              </w:rPr>
              <w:t xml:space="preserve">The panel discussion will be limited to two hours. </w:t>
            </w:r>
            <w:r w:rsidR="003E41FE">
              <w:rPr>
                <w:rFonts w:eastAsia="PMingLiU" w:cs="Calibri"/>
                <w:bCs/>
              </w:rPr>
              <w:t>T</w:t>
            </w:r>
            <w:r w:rsidR="000177B4">
              <w:rPr>
                <w:rFonts w:eastAsia="PMingLiU" w:cs="Calibri"/>
                <w:bCs/>
              </w:rPr>
              <w:t xml:space="preserve">he </w:t>
            </w:r>
            <w:r w:rsidRPr="00BD4DD4">
              <w:rPr>
                <w:rFonts w:eastAsia="PMingLiU" w:cs="Calibri"/>
                <w:bCs/>
              </w:rPr>
              <w:t>opening statement</w:t>
            </w:r>
            <w:r w:rsidR="000177B4">
              <w:rPr>
                <w:rFonts w:eastAsia="PMingLiU" w:cs="Calibri"/>
                <w:bCs/>
              </w:rPr>
              <w:t xml:space="preserve"> and initial presentations by</w:t>
            </w:r>
            <w:r w:rsidRPr="00BD4DD4">
              <w:rPr>
                <w:rFonts w:eastAsia="PMingLiU" w:cs="Calibri"/>
                <w:bCs/>
              </w:rPr>
              <w:t xml:space="preserve"> </w:t>
            </w:r>
            <w:r w:rsidR="001A5068">
              <w:t>the panellists</w:t>
            </w:r>
            <w:r w:rsidR="003E41FE">
              <w:t xml:space="preserve"> will be followed by </w:t>
            </w:r>
            <w:r w:rsidR="003E41FE">
              <w:rPr>
                <w:rFonts w:eastAsia="PMingLiU" w:cs="Calibri"/>
                <w:bCs/>
              </w:rPr>
              <w:t xml:space="preserve">a two-part </w:t>
            </w:r>
            <w:r w:rsidR="001A5068">
              <w:rPr>
                <w:rFonts w:eastAsia="PMingLiU" w:cs="Calibri"/>
                <w:bCs/>
              </w:rPr>
              <w:t xml:space="preserve">interactive discussion </w:t>
            </w:r>
            <w:r w:rsidR="003E41FE">
              <w:rPr>
                <w:rFonts w:eastAsia="PMingLiU" w:cs="Calibri"/>
                <w:bCs/>
              </w:rPr>
              <w:t xml:space="preserve">and </w:t>
            </w:r>
            <w:r w:rsidRPr="00BD4DD4">
              <w:rPr>
                <w:rFonts w:eastAsia="PMingLiU" w:cs="Calibri"/>
                <w:bCs/>
              </w:rPr>
              <w:t>conclusions from the panellists. A maximum of one hour will be set aside for the podium, which will cover the opening statement</w:t>
            </w:r>
            <w:r w:rsidR="001834C7">
              <w:rPr>
                <w:rFonts w:eastAsia="PMingLiU" w:cs="Calibri"/>
                <w:bCs/>
              </w:rPr>
              <w:t>, panellist</w:t>
            </w:r>
            <w:r w:rsidR="000177B4">
              <w:rPr>
                <w:rFonts w:eastAsia="PMingLiU" w:cs="Calibri"/>
                <w:bCs/>
              </w:rPr>
              <w:t>s’</w:t>
            </w:r>
            <w:r w:rsidRPr="00BD4DD4">
              <w:rPr>
                <w:rFonts w:eastAsia="PMingLiU" w:cs="Calibri"/>
                <w:bCs/>
              </w:rPr>
              <w:t xml:space="preserve"> presentations and the</w:t>
            </w:r>
            <w:r w:rsidR="000177B4">
              <w:rPr>
                <w:rFonts w:eastAsia="PMingLiU" w:cs="Calibri"/>
                <w:bCs/>
              </w:rPr>
              <w:t>ir</w:t>
            </w:r>
            <w:r w:rsidR="001834C7">
              <w:rPr>
                <w:rFonts w:eastAsia="PMingLiU" w:cs="Calibri"/>
                <w:bCs/>
              </w:rPr>
              <w:t xml:space="preserve"> </w:t>
            </w:r>
            <w:r w:rsidRPr="00BD4DD4">
              <w:rPr>
                <w:rFonts w:eastAsia="PMingLiU" w:cs="Calibri"/>
                <w:bCs/>
              </w:rPr>
              <w:t>responses to questions and concluding remarks. The remaining hour will be reserved for two segments of interventions from the floor</w:t>
            </w:r>
            <w:r w:rsidR="000177B4">
              <w:rPr>
                <w:rFonts w:eastAsia="PMingLiU" w:cs="Calibri"/>
                <w:bCs/>
              </w:rPr>
              <w:t xml:space="preserve">, </w:t>
            </w:r>
            <w:r w:rsidR="000177B4" w:rsidRPr="000601F3">
              <w:rPr>
                <w:rFonts w:cs="Arial"/>
              </w:rPr>
              <w:t xml:space="preserve">with each segment consisting of interventions from 12 States or observers, </w:t>
            </w:r>
            <w:r w:rsidR="000177B4">
              <w:rPr>
                <w:rFonts w:cs="Arial"/>
              </w:rPr>
              <w:t>1</w:t>
            </w:r>
            <w:r w:rsidR="000177B4" w:rsidRPr="000601F3">
              <w:rPr>
                <w:rFonts w:cs="Arial"/>
              </w:rPr>
              <w:t xml:space="preserve"> national human rights institution and </w:t>
            </w:r>
            <w:r w:rsidR="000177B4">
              <w:rPr>
                <w:rFonts w:cs="Arial"/>
              </w:rPr>
              <w:t xml:space="preserve">2 </w:t>
            </w:r>
            <w:r w:rsidR="000177B4" w:rsidRPr="000601F3">
              <w:rPr>
                <w:rFonts w:cs="Arial"/>
              </w:rPr>
              <w:t>non-governmental organizations.</w:t>
            </w:r>
            <w:r w:rsidR="000177B4">
              <w:rPr>
                <w:rFonts w:cs="Arial"/>
              </w:rPr>
              <w:t xml:space="preserve"> </w:t>
            </w:r>
            <w:r w:rsidRPr="00BD4DD4">
              <w:rPr>
                <w:rFonts w:eastAsia="PMingLiU" w:cs="Calibri"/>
                <w:bCs/>
              </w:rPr>
              <w:t xml:space="preserve">Each speaker will have two minutes to raise issues and to ask panellists questions. </w:t>
            </w:r>
          </w:p>
          <w:p w14:paraId="6583E0C3" w14:textId="17227313" w:rsidR="00BC2C18" w:rsidRPr="005C2F0D" w:rsidRDefault="00BD4DD4" w:rsidP="00292EBE">
            <w:pPr>
              <w:spacing w:after="120" w:line="240" w:lineRule="auto"/>
              <w:jc w:val="both"/>
              <w:rPr>
                <w:rFonts w:eastAsia="PMingLiU" w:cs="Calibri"/>
                <w:bCs/>
              </w:rPr>
            </w:pPr>
            <w:r w:rsidRPr="00BD4DD4">
              <w:rPr>
                <w:rFonts w:eastAsia="PMingLiU" w:cs="Calibri"/>
                <w:bCs/>
              </w:rPr>
              <w:t>The list of speakers for the discussion will be established through the online inscription system and, as per practice, statements by high-level dignitaries and groups of States will be moved to the beginning of the list. Delegates who have not been able to take the floor due to time constraints will be able to upload their statements on the online system to be posted on the HRC Extranet.</w:t>
            </w:r>
          </w:p>
        </w:tc>
      </w:tr>
      <w:tr w:rsidR="00292EBE" w:rsidRPr="00D06C96" w14:paraId="180D90C9" w14:textId="77777777" w:rsidTr="00936778">
        <w:tc>
          <w:tcPr>
            <w:tcW w:w="1450" w:type="dxa"/>
            <w:shd w:val="clear" w:color="auto" w:fill="auto"/>
          </w:tcPr>
          <w:p w14:paraId="4B63A3AD" w14:textId="5F9AF0CD" w:rsidR="00292EBE" w:rsidRPr="00D06C96" w:rsidRDefault="00292EBE" w:rsidP="00F14F1A">
            <w:pPr>
              <w:spacing w:after="0" w:line="240" w:lineRule="auto"/>
              <w:rPr>
                <w:rFonts w:cs="Calibri"/>
                <w:b/>
              </w:rPr>
            </w:pPr>
            <w:r w:rsidRPr="00BA42E9">
              <w:rPr>
                <w:b/>
              </w:rPr>
              <w:t>Accessibility</w:t>
            </w:r>
            <w:r w:rsidRPr="00A20B5F">
              <w:rPr>
                <w:rFonts w:cs="Arial"/>
                <w:b/>
                <w:bCs/>
                <w:sz w:val="21"/>
                <w:szCs w:val="21"/>
              </w:rPr>
              <w:t>:</w:t>
            </w:r>
          </w:p>
        </w:tc>
        <w:tc>
          <w:tcPr>
            <w:tcW w:w="9040" w:type="dxa"/>
            <w:shd w:val="clear" w:color="auto" w:fill="auto"/>
          </w:tcPr>
          <w:p w14:paraId="488B0362" w14:textId="2F6F96BF" w:rsidR="00292EBE" w:rsidRPr="00BD4DD4" w:rsidRDefault="00E805C7" w:rsidP="00E805C7">
            <w:pPr>
              <w:spacing w:after="120" w:line="240" w:lineRule="auto"/>
              <w:jc w:val="both"/>
              <w:rPr>
                <w:rFonts w:eastAsia="PMingLiU" w:cs="Calibri"/>
                <w:bCs/>
              </w:rPr>
            </w:pPr>
            <w:r w:rsidRPr="00B41C65">
              <w:t xml:space="preserve">In an effort to render the Human Rights Council more accessible to persons with disabilities and to promote their full participation in the work of the Council on an equal basis with others, the panel will be webcast and made accessible. International sign interpretation and real-time captioning in English will be provided. During the event itself, participants can access live English captioning </w:t>
            </w:r>
            <w:r w:rsidRPr="001A79EA">
              <w:t xml:space="preserve">on </w:t>
            </w:r>
            <w:r w:rsidRPr="001A79EA">
              <w:lastRenderedPageBreak/>
              <w:t xml:space="preserve">the </w:t>
            </w:r>
            <w:r w:rsidRPr="00A475B5">
              <w:t>StreamText</w:t>
            </w:r>
            <w:r>
              <w:t xml:space="preserve"> </w:t>
            </w:r>
            <w:r w:rsidRPr="001A79EA">
              <w:t xml:space="preserve">web page </w:t>
            </w:r>
            <w:r>
              <w:t>(</w:t>
            </w:r>
            <w:hyperlink r:id="rId13" w:history="1">
              <w:r w:rsidRPr="001A79EA">
                <w:rPr>
                  <w:color w:val="0000FF"/>
                </w:rPr>
                <w:t>https://www.streamtext.net/player?event=CFI-UNOG</w:t>
              </w:r>
            </w:hyperlink>
            <w:r w:rsidRPr="001A79EA">
              <w:rPr>
                <w:color w:val="000000" w:themeColor="text1"/>
              </w:rPr>
              <w:t>)</w:t>
            </w:r>
            <w:r w:rsidRPr="001A79EA">
              <w:t>.</w:t>
            </w:r>
            <w:r>
              <w:t xml:space="preserve"> </w:t>
            </w:r>
            <w:r w:rsidRPr="00B41C65">
              <w:rPr>
                <w:color w:val="000000"/>
                <w:lang w:val="en-US"/>
              </w:rPr>
              <w:t xml:space="preserve">In Room XX, four seats are reserved for participants using wheelchairs, in the seventh (last) row. Hearing loops are available for collection from the Secretariat desk. Oral statements may be embossed in Braille from any of the six official languages of the United Nations, upon request and following the procedure described in </w:t>
            </w:r>
            <w:r w:rsidRPr="00B41C65">
              <w:rPr>
                <w:i/>
                <w:color w:val="000000"/>
              </w:rPr>
              <w:t>The accessibility guide to the Human Rights Council for persons with disabilities</w:t>
            </w:r>
            <w:r w:rsidRPr="00B41C65">
              <w:t xml:space="preserve"> (available on </w:t>
            </w:r>
            <w:hyperlink r:id="rId14" w:history="1">
              <w:r w:rsidRPr="003725A0">
                <w:rPr>
                  <w:rStyle w:val="Hyperlink"/>
                </w:rPr>
                <w:t>https://www.ohchr.org/EN/HRBodies/HRC/Pages/Accessibility.aspx</w:t>
              </w:r>
            </w:hyperlink>
            <w:r w:rsidRPr="00B41C65">
              <w:t>).</w:t>
            </w:r>
          </w:p>
        </w:tc>
      </w:tr>
      <w:tr w:rsidR="004F0A64" w:rsidRPr="00D06C96" w14:paraId="53A56856" w14:textId="77777777" w:rsidTr="00936778">
        <w:trPr>
          <w:trHeight w:val="1126"/>
        </w:trPr>
        <w:tc>
          <w:tcPr>
            <w:tcW w:w="1450" w:type="dxa"/>
            <w:shd w:val="clear" w:color="auto" w:fill="auto"/>
          </w:tcPr>
          <w:p w14:paraId="6DC6382D" w14:textId="77777777" w:rsidR="004F0A64" w:rsidRPr="00D06C96" w:rsidRDefault="004F0A64" w:rsidP="00F14F1A">
            <w:pPr>
              <w:spacing w:after="0" w:line="240" w:lineRule="auto"/>
              <w:jc w:val="both"/>
              <w:rPr>
                <w:rFonts w:cs="Calibri"/>
                <w:b/>
              </w:rPr>
            </w:pPr>
            <w:r w:rsidRPr="00D06C96">
              <w:rPr>
                <w:rFonts w:cs="Calibri"/>
                <w:b/>
              </w:rPr>
              <w:lastRenderedPageBreak/>
              <w:t>Background:</w:t>
            </w:r>
          </w:p>
        </w:tc>
        <w:tc>
          <w:tcPr>
            <w:tcW w:w="9040" w:type="dxa"/>
            <w:shd w:val="clear" w:color="auto" w:fill="auto"/>
          </w:tcPr>
          <w:p w14:paraId="087D490A" w14:textId="6AF6E5BA" w:rsidR="001A7F2B" w:rsidRPr="001A7F2B" w:rsidRDefault="001A7F2B" w:rsidP="00005E65">
            <w:pPr>
              <w:shd w:val="clear" w:color="auto" w:fill="FFFFFF"/>
              <w:snapToGrid w:val="0"/>
              <w:spacing w:after="120" w:line="240" w:lineRule="auto"/>
              <w:jc w:val="both"/>
              <w:rPr>
                <w:rFonts w:eastAsia="PMingLiU" w:cs="Calibri"/>
                <w:bCs/>
                <w:lang w:val="en-US"/>
              </w:rPr>
            </w:pPr>
            <w:r w:rsidRPr="001A7F2B">
              <w:rPr>
                <w:rFonts w:eastAsia="PMingLiU" w:cs="Calibri"/>
                <w:bCs/>
                <w:lang w:val="en-US"/>
              </w:rPr>
              <w:t>In its resolution 44/20, the Council recogni</w:t>
            </w:r>
            <w:r w:rsidR="00627DB1">
              <w:rPr>
                <w:rFonts w:eastAsia="PMingLiU" w:cs="Calibri"/>
                <w:bCs/>
                <w:lang w:val="en-US"/>
              </w:rPr>
              <w:t>z</w:t>
            </w:r>
            <w:r w:rsidRPr="001A7F2B">
              <w:rPr>
                <w:rFonts w:eastAsia="PMingLiU" w:cs="Calibri"/>
                <w:bCs/>
                <w:lang w:val="en-US"/>
              </w:rPr>
              <w:t>ed the importance of the right</w:t>
            </w:r>
            <w:r w:rsidR="00005E65">
              <w:rPr>
                <w:rFonts w:eastAsia="PMingLiU" w:cs="Calibri"/>
                <w:bCs/>
                <w:lang w:val="en-US"/>
              </w:rPr>
              <w:t>s</w:t>
            </w:r>
            <w:r w:rsidRPr="001A7F2B">
              <w:rPr>
                <w:rFonts w:eastAsia="PMingLiU" w:cs="Calibri"/>
                <w:bCs/>
                <w:lang w:val="en-US"/>
              </w:rPr>
              <w:t xml:space="preserve"> </w:t>
            </w:r>
            <w:r w:rsidR="00005E65">
              <w:rPr>
                <w:rFonts w:eastAsia="PMingLiU" w:cs="Calibri"/>
                <w:bCs/>
                <w:lang w:val="en-US"/>
              </w:rPr>
              <w:t xml:space="preserve">to freedom </w:t>
            </w:r>
            <w:r w:rsidRPr="001A7F2B">
              <w:rPr>
                <w:rFonts w:eastAsia="PMingLiU" w:cs="Calibri"/>
                <w:bCs/>
                <w:lang w:val="en-US"/>
              </w:rPr>
              <w:t xml:space="preserve">of peaceful assembly, </w:t>
            </w:r>
            <w:r w:rsidR="00005E65" w:rsidRPr="00005E65">
              <w:rPr>
                <w:rFonts w:eastAsia="PMingLiU" w:cs="Calibri"/>
                <w:bCs/>
                <w:lang w:val="en-US"/>
              </w:rPr>
              <w:t>of expression and</w:t>
            </w:r>
            <w:r w:rsidR="00005E65">
              <w:rPr>
                <w:rFonts w:eastAsia="PMingLiU" w:cs="Calibri"/>
                <w:bCs/>
                <w:lang w:val="en-US"/>
              </w:rPr>
              <w:t xml:space="preserve"> </w:t>
            </w:r>
            <w:r w:rsidR="00005E65" w:rsidRPr="00005E65">
              <w:rPr>
                <w:rFonts w:eastAsia="PMingLiU" w:cs="Calibri"/>
                <w:bCs/>
                <w:lang w:val="en-US"/>
              </w:rPr>
              <w:t>of association</w:t>
            </w:r>
            <w:r w:rsidR="00005E65">
              <w:rPr>
                <w:rFonts w:eastAsia="PMingLiU" w:cs="Calibri"/>
                <w:bCs/>
                <w:lang w:val="en-US"/>
              </w:rPr>
              <w:t xml:space="preserve">, </w:t>
            </w:r>
            <w:r w:rsidRPr="001A7F2B">
              <w:rPr>
                <w:rFonts w:eastAsia="PMingLiU" w:cs="Calibri"/>
                <w:bCs/>
                <w:lang w:val="en-US"/>
              </w:rPr>
              <w:t>noting that peaceful protests historically have played a constructive social and political role in the development of more just and accountable societies. The Council further affirmed that such protests continue to make a positive contribution to human development and to the full enjoyment of civil, political, economic, social and cultural rights. Peaceful protests can also make a positive contribution to the development, strengthening and effectiveness of democratic systems and to democratic processes, including elections and referendums.</w:t>
            </w:r>
          </w:p>
          <w:p w14:paraId="48FE0227" w14:textId="75E68083" w:rsidR="004F0A64" w:rsidRPr="00AD6FE4" w:rsidRDefault="001A7F2B" w:rsidP="00005E65">
            <w:pPr>
              <w:shd w:val="clear" w:color="auto" w:fill="FFFFFF"/>
              <w:snapToGrid w:val="0"/>
              <w:spacing w:after="120" w:line="240" w:lineRule="auto"/>
              <w:jc w:val="both"/>
              <w:rPr>
                <w:rFonts w:eastAsia="PMingLiU" w:cs="Calibri"/>
                <w:bCs/>
                <w:lang w:val="en-US"/>
              </w:rPr>
            </w:pPr>
            <w:r w:rsidRPr="001A7F2B">
              <w:rPr>
                <w:rFonts w:eastAsia="PMingLiU" w:cs="Calibri"/>
                <w:bCs/>
                <w:lang w:val="en-US"/>
              </w:rPr>
              <w:t>Despite its importance, the right</w:t>
            </w:r>
            <w:r w:rsidR="00005E65">
              <w:rPr>
                <w:rFonts w:eastAsia="PMingLiU" w:cs="Calibri"/>
                <w:bCs/>
                <w:lang w:val="en-US"/>
              </w:rPr>
              <w:t>s</w:t>
            </w:r>
            <w:r w:rsidRPr="001A7F2B">
              <w:rPr>
                <w:rFonts w:eastAsia="PMingLiU" w:cs="Calibri"/>
                <w:bCs/>
                <w:lang w:val="en-US"/>
              </w:rPr>
              <w:t xml:space="preserve"> </w:t>
            </w:r>
            <w:r w:rsidR="00005E65">
              <w:rPr>
                <w:rFonts w:eastAsia="PMingLiU" w:cs="Calibri"/>
                <w:bCs/>
                <w:lang w:val="en-US"/>
              </w:rPr>
              <w:t>to freedoms of</w:t>
            </w:r>
            <w:r w:rsidRPr="001A7F2B">
              <w:rPr>
                <w:rFonts w:eastAsia="PMingLiU" w:cs="Calibri"/>
                <w:bCs/>
                <w:lang w:val="en-US"/>
              </w:rPr>
              <w:t xml:space="preserve"> peaceful assembly</w:t>
            </w:r>
            <w:r w:rsidR="00005E65">
              <w:rPr>
                <w:rFonts w:eastAsia="PMingLiU" w:cs="Calibri"/>
                <w:bCs/>
                <w:lang w:val="en-US"/>
              </w:rPr>
              <w:t xml:space="preserve">, </w:t>
            </w:r>
            <w:r w:rsidR="00005E65" w:rsidRPr="00005E65">
              <w:rPr>
                <w:rFonts w:eastAsia="PMingLiU" w:cs="Calibri"/>
                <w:bCs/>
                <w:lang w:val="en-US"/>
              </w:rPr>
              <w:t>of expression and</w:t>
            </w:r>
            <w:r w:rsidR="00005E65">
              <w:rPr>
                <w:rFonts w:eastAsia="PMingLiU" w:cs="Calibri"/>
                <w:bCs/>
                <w:lang w:val="en-US"/>
              </w:rPr>
              <w:t xml:space="preserve"> </w:t>
            </w:r>
            <w:r w:rsidR="00005E65" w:rsidRPr="00005E65">
              <w:rPr>
                <w:rFonts w:eastAsia="PMingLiU" w:cs="Calibri"/>
                <w:bCs/>
                <w:lang w:val="en-US"/>
              </w:rPr>
              <w:t>of association</w:t>
            </w:r>
            <w:r w:rsidRPr="001A7F2B">
              <w:rPr>
                <w:rFonts w:eastAsia="PMingLiU" w:cs="Calibri"/>
                <w:bCs/>
                <w:lang w:val="en-US"/>
              </w:rPr>
              <w:t xml:space="preserve"> </w:t>
            </w:r>
            <w:r w:rsidR="00005E65">
              <w:rPr>
                <w:rFonts w:eastAsia="PMingLiU" w:cs="Calibri"/>
                <w:bCs/>
                <w:lang w:val="en-US"/>
              </w:rPr>
              <w:t>are</w:t>
            </w:r>
            <w:r w:rsidRPr="001A7F2B">
              <w:rPr>
                <w:rFonts w:eastAsia="PMingLiU" w:cs="Calibri"/>
                <w:bCs/>
                <w:lang w:val="en-US"/>
              </w:rPr>
              <w:t xml:space="preserve"> under pressure. In its resolution, the Human Rights Council expressed concern that peaceful protests have been met with repression, such as through the unlawful use of force by law enforcement officials. It further expressed concern at other undue restrictions, such as the criminalization, in all parts of the world, of individuals and groups solely for having organized or taken part in peaceful protests or for having observed, monitored or recorded protests. The Council further expressed concern about internet shutdowns, the misuse of new technologies, and at measures preventing or impairing an individual’s ability to have access to or disseminate information at key political moments, with an impact on the ability to organize and conduct assemblies.</w:t>
            </w:r>
            <w:r w:rsidR="00CA1647" w:rsidRPr="00CA1647">
              <w:rPr>
                <w:rFonts w:eastAsia="PMingLiU" w:cs="Calibri"/>
                <w:bCs/>
                <w:lang w:val="en-US"/>
              </w:rPr>
              <w:t xml:space="preserve"> </w:t>
            </w:r>
          </w:p>
        </w:tc>
      </w:tr>
      <w:tr w:rsidR="004F0A64" w:rsidRPr="00D06C96" w14:paraId="3D1F6597" w14:textId="77777777" w:rsidTr="00936778">
        <w:trPr>
          <w:trHeight w:val="56"/>
        </w:trPr>
        <w:tc>
          <w:tcPr>
            <w:tcW w:w="1450" w:type="dxa"/>
            <w:shd w:val="clear" w:color="auto" w:fill="auto"/>
          </w:tcPr>
          <w:p w14:paraId="0BA080BD" w14:textId="77777777" w:rsidR="004F0A64" w:rsidRPr="00D06C96" w:rsidRDefault="004F0A64" w:rsidP="00F14F1A">
            <w:pPr>
              <w:spacing w:after="0" w:line="240" w:lineRule="auto"/>
              <w:jc w:val="both"/>
              <w:rPr>
                <w:rFonts w:cs="Calibri"/>
                <w:b/>
              </w:rPr>
            </w:pPr>
            <w:r w:rsidRPr="00D06C96">
              <w:rPr>
                <w:rFonts w:cs="Calibri"/>
                <w:b/>
              </w:rPr>
              <w:t>Background documents:</w:t>
            </w:r>
          </w:p>
          <w:p w14:paraId="27778FCE" w14:textId="77777777" w:rsidR="004F0A64" w:rsidRPr="00D06C96" w:rsidRDefault="004F0A64" w:rsidP="00F14F1A">
            <w:pPr>
              <w:spacing w:line="240" w:lineRule="auto"/>
              <w:jc w:val="both"/>
              <w:rPr>
                <w:rFonts w:eastAsia="Times New Roman" w:cs="Calibri"/>
              </w:rPr>
            </w:pPr>
          </w:p>
        </w:tc>
        <w:tc>
          <w:tcPr>
            <w:tcW w:w="9040" w:type="dxa"/>
            <w:shd w:val="clear" w:color="auto" w:fill="auto"/>
          </w:tcPr>
          <w:p w14:paraId="1B321FD8" w14:textId="6005ED9D" w:rsidR="00DA0EE5" w:rsidRDefault="00DA0EE5" w:rsidP="00DA0EE5">
            <w:pPr>
              <w:numPr>
                <w:ilvl w:val="0"/>
                <w:numId w:val="2"/>
              </w:numPr>
              <w:spacing w:after="40" w:line="240" w:lineRule="auto"/>
              <w:ind w:left="357" w:hanging="357"/>
            </w:pPr>
            <w:r w:rsidRPr="00DE380A">
              <w:t xml:space="preserve">Human Rights Committee, </w:t>
            </w:r>
            <w:hyperlink r:id="rId15" w:history="1">
              <w:r w:rsidRPr="00627DB1">
                <w:rPr>
                  <w:rStyle w:val="Hyperlink"/>
                </w:rPr>
                <w:t xml:space="preserve">General </w:t>
              </w:r>
              <w:r w:rsidR="00627DB1" w:rsidRPr="00627DB1">
                <w:rPr>
                  <w:rStyle w:val="Hyperlink"/>
                </w:rPr>
                <w:t>c</w:t>
              </w:r>
              <w:r w:rsidRPr="00627DB1">
                <w:rPr>
                  <w:rStyle w:val="Hyperlink"/>
                </w:rPr>
                <w:t xml:space="preserve">omment </w:t>
              </w:r>
              <w:r w:rsidR="00627DB1" w:rsidRPr="00627DB1">
                <w:rPr>
                  <w:rStyle w:val="Hyperlink"/>
                </w:rPr>
                <w:t>N</w:t>
              </w:r>
              <w:r w:rsidRPr="00627DB1">
                <w:rPr>
                  <w:rStyle w:val="Hyperlink"/>
                </w:rPr>
                <w:t>o</w:t>
              </w:r>
              <w:r w:rsidR="00627DB1" w:rsidRPr="00627DB1">
                <w:rPr>
                  <w:rStyle w:val="Hyperlink"/>
                </w:rPr>
                <w:t>.</w:t>
              </w:r>
              <w:r w:rsidRPr="00627DB1">
                <w:rPr>
                  <w:rStyle w:val="Hyperlink"/>
                </w:rPr>
                <w:t xml:space="preserve"> 37 </w:t>
              </w:r>
              <w:r w:rsidR="00627DB1" w:rsidRPr="00627DB1">
                <w:rPr>
                  <w:rStyle w:val="Hyperlink"/>
                </w:rPr>
                <w:t>(2020)</w:t>
              </w:r>
            </w:hyperlink>
            <w:r w:rsidR="00627DB1">
              <w:t xml:space="preserve"> </w:t>
            </w:r>
            <w:r w:rsidRPr="00DE380A">
              <w:t>on the right of peaceful assembly</w:t>
            </w:r>
          </w:p>
          <w:p w14:paraId="162E73A3" w14:textId="2AEA58F1" w:rsidR="009B2720" w:rsidRDefault="009B2720" w:rsidP="009B2720">
            <w:pPr>
              <w:numPr>
                <w:ilvl w:val="0"/>
                <w:numId w:val="2"/>
              </w:numPr>
              <w:spacing w:after="40" w:line="240" w:lineRule="auto"/>
              <w:ind w:left="357" w:hanging="357"/>
            </w:pPr>
            <w:r w:rsidRPr="00DE380A">
              <w:t xml:space="preserve">Human Rights Committee, </w:t>
            </w:r>
            <w:hyperlink r:id="rId16" w:history="1">
              <w:r w:rsidRPr="00627DB1">
                <w:rPr>
                  <w:rStyle w:val="Hyperlink"/>
                </w:rPr>
                <w:t xml:space="preserve">General comment No. </w:t>
              </w:r>
              <w:r>
                <w:rPr>
                  <w:rStyle w:val="Hyperlink"/>
                </w:rPr>
                <w:t>36</w:t>
              </w:r>
              <w:r w:rsidRPr="00627DB1">
                <w:rPr>
                  <w:rStyle w:val="Hyperlink"/>
                </w:rPr>
                <w:t xml:space="preserve"> (</w:t>
              </w:r>
              <w:r>
                <w:rPr>
                  <w:rStyle w:val="Hyperlink"/>
                </w:rPr>
                <w:t>2019</w:t>
              </w:r>
              <w:r w:rsidRPr="00627DB1">
                <w:rPr>
                  <w:rStyle w:val="Hyperlink"/>
                </w:rPr>
                <w:t>)</w:t>
              </w:r>
            </w:hyperlink>
            <w:r>
              <w:t xml:space="preserve"> </w:t>
            </w:r>
            <w:r w:rsidRPr="00DE380A">
              <w:t>on the right</w:t>
            </w:r>
            <w:r>
              <w:t xml:space="preserve"> to</w:t>
            </w:r>
            <w:r w:rsidRPr="00DE380A">
              <w:t xml:space="preserve"> </w:t>
            </w:r>
            <w:r>
              <w:t>life</w:t>
            </w:r>
          </w:p>
          <w:p w14:paraId="5AE0736A" w14:textId="133D7BE2" w:rsidR="00DA0EE5" w:rsidRDefault="00DA0EE5" w:rsidP="00DA0EE5">
            <w:pPr>
              <w:numPr>
                <w:ilvl w:val="0"/>
                <w:numId w:val="2"/>
              </w:numPr>
              <w:spacing w:after="40" w:line="240" w:lineRule="auto"/>
              <w:ind w:left="357" w:hanging="357"/>
            </w:pPr>
            <w:r w:rsidRPr="00DE380A">
              <w:t xml:space="preserve">Report of the </w:t>
            </w:r>
            <w:r w:rsidR="00627DB1">
              <w:t xml:space="preserve">United Nations </w:t>
            </w:r>
            <w:r w:rsidRPr="00DE380A">
              <w:t>High Commissioner for Human Rights</w:t>
            </w:r>
            <w:r w:rsidR="00627DB1">
              <w:t xml:space="preserve"> on the</w:t>
            </w:r>
            <w:r w:rsidRPr="00DE380A">
              <w:t xml:space="preserve"> </w:t>
            </w:r>
            <w:hyperlink r:id="rId17" w:history="1">
              <w:r w:rsidR="00292EBE">
                <w:rPr>
                  <w:rStyle w:val="Hyperlink"/>
                </w:rPr>
                <w:t>i</w:t>
              </w:r>
              <w:r w:rsidRPr="00DE380A">
                <w:rPr>
                  <w:rStyle w:val="Hyperlink"/>
                </w:rPr>
                <w:t>mpact of new technologies on the promotion and protection of human rights in the context of assemblies, including peaceful protests</w:t>
              </w:r>
            </w:hyperlink>
            <w:r w:rsidRPr="00DE380A">
              <w:t xml:space="preserve"> (A/HRC/44/24)</w:t>
            </w:r>
            <w:r w:rsidR="00292EBE">
              <w:t>,</w:t>
            </w:r>
            <w:r w:rsidRPr="00DE380A">
              <w:t xml:space="preserve"> 24 June </w:t>
            </w:r>
            <w:r w:rsidRPr="00DA0EE5">
              <w:t>2020</w:t>
            </w:r>
          </w:p>
          <w:p w14:paraId="5B68EEEE" w14:textId="2357D239" w:rsidR="00DA0EE5" w:rsidRDefault="00DA0EE5" w:rsidP="00DA0EE5">
            <w:pPr>
              <w:numPr>
                <w:ilvl w:val="0"/>
                <w:numId w:val="2"/>
              </w:numPr>
              <w:spacing w:after="40" w:line="240" w:lineRule="auto"/>
              <w:ind w:left="357" w:hanging="357"/>
            </w:pPr>
            <w:r w:rsidRPr="00DE380A">
              <w:t xml:space="preserve">Report of the Special Rapporteur on the rights to freedom of peaceful assembly and of association on </w:t>
            </w:r>
            <w:hyperlink r:id="rId18" w:history="1">
              <w:r w:rsidRPr="00DE380A">
                <w:rPr>
                  <w:rStyle w:val="Hyperlink"/>
                </w:rPr>
                <w:t>the exercise of the rights to freedom of peaceful assembly and of association in the digital age</w:t>
              </w:r>
            </w:hyperlink>
            <w:r w:rsidRPr="00DE380A">
              <w:t xml:space="preserve"> (A/HRC/41/41)</w:t>
            </w:r>
            <w:r w:rsidR="00292EBE">
              <w:t>,</w:t>
            </w:r>
            <w:r w:rsidRPr="00DE380A">
              <w:t xml:space="preserve"> 17 May 2019</w:t>
            </w:r>
          </w:p>
          <w:p w14:paraId="6E0B43C6" w14:textId="35316BD5" w:rsidR="00DA0EE5" w:rsidRPr="00DE380A" w:rsidRDefault="00DA0EE5" w:rsidP="00DA0EE5">
            <w:pPr>
              <w:numPr>
                <w:ilvl w:val="0"/>
                <w:numId w:val="2"/>
              </w:numPr>
              <w:spacing w:after="40" w:line="240" w:lineRule="auto"/>
              <w:ind w:left="357" w:hanging="357"/>
            </w:pPr>
            <w:r w:rsidRPr="00DE380A">
              <w:t>Report of the Special Rapporteur on the rights to freedom of peaceful assembly and of association</w:t>
            </w:r>
            <w:r w:rsidR="00292EBE">
              <w:t xml:space="preserve"> on</w:t>
            </w:r>
            <w:r w:rsidRPr="00DE380A">
              <w:t xml:space="preserve"> </w:t>
            </w:r>
            <w:hyperlink r:id="rId19" w:history="1">
              <w:r w:rsidR="00292EBE">
                <w:rPr>
                  <w:rStyle w:val="Hyperlink"/>
                </w:rPr>
                <w:t>t</w:t>
              </w:r>
              <w:r w:rsidRPr="00DE380A">
                <w:rPr>
                  <w:rStyle w:val="Hyperlink"/>
                </w:rPr>
                <w:t xml:space="preserve">en </w:t>
              </w:r>
              <w:r w:rsidR="00292EBE">
                <w:rPr>
                  <w:rStyle w:val="Hyperlink"/>
                </w:rPr>
                <w:t>y</w:t>
              </w:r>
              <w:r w:rsidRPr="00DE380A">
                <w:rPr>
                  <w:rStyle w:val="Hyperlink"/>
                </w:rPr>
                <w:t>ears</w:t>
              </w:r>
              <w:r w:rsidR="00292EBE">
                <w:rPr>
                  <w:rStyle w:val="Hyperlink"/>
                </w:rPr>
                <w:t xml:space="preserve"> p</w:t>
              </w:r>
              <w:r w:rsidRPr="00DE380A">
                <w:rPr>
                  <w:rStyle w:val="Hyperlink"/>
                </w:rPr>
                <w:t xml:space="preserve">rotecting </w:t>
              </w:r>
              <w:r w:rsidR="00292EBE">
                <w:rPr>
                  <w:rStyle w:val="Hyperlink"/>
                </w:rPr>
                <w:t>c</w:t>
              </w:r>
              <w:r w:rsidRPr="00DE380A">
                <w:rPr>
                  <w:rStyle w:val="Hyperlink"/>
                </w:rPr>
                <w:t xml:space="preserve">ivic </w:t>
              </w:r>
              <w:r w:rsidR="00292EBE">
                <w:rPr>
                  <w:rStyle w:val="Hyperlink"/>
                </w:rPr>
                <w:t>s</w:t>
              </w:r>
              <w:r w:rsidRPr="00DE380A">
                <w:rPr>
                  <w:rStyle w:val="Hyperlink"/>
                </w:rPr>
                <w:t xml:space="preserve">pace </w:t>
              </w:r>
              <w:r w:rsidR="00292EBE">
                <w:rPr>
                  <w:rStyle w:val="Hyperlink"/>
                </w:rPr>
                <w:t>w</w:t>
              </w:r>
              <w:r w:rsidRPr="00DE380A">
                <w:rPr>
                  <w:rStyle w:val="Hyperlink"/>
                </w:rPr>
                <w:t>orldwide</w:t>
              </w:r>
            </w:hyperlink>
            <w:r w:rsidRPr="00DE380A">
              <w:t xml:space="preserve"> (A/HRC/44/50)</w:t>
            </w:r>
            <w:r w:rsidR="00292EBE">
              <w:t>,</w:t>
            </w:r>
            <w:r w:rsidRPr="00DE380A">
              <w:t xml:space="preserve"> 13 May 2020</w:t>
            </w:r>
          </w:p>
          <w:p w14:paraId="65E30A41" w14:textId="3EBEE151" w:rsidR="00DA0EE5" w:rsidRPr="00DE380A" w:rsidRDefault="00DA0EE5" w:rsidP="00DA0EE5">
            <w:pPr>
              <w:numPr>
                <w:ilvl w:val="0"/>
                <w:numId w:val="2"/>
              </w:numPr>
              <w:spacing w:after="40" w:line="240" w:lineRule="auto"/>
              <w:ind w:left="357" w:hanging="357"/>
            </w:pPr>
            <w:r w:rsidRPr="00DE380A">
              <w:t>OHCHR</w:t>
            </w:r>
            <w:r w:rsidR="00292EBE">
              <w:t>,</w:t>
            </w:r>
            <w:r w:rsidRPr="00DE380A">
              <w:t xml:space="preserve"> Human rights </w:t>
            </w:r>
            <w:hyperlink r:id="rId20" w:history="1">
              <w:r w:rsidRPr="00DE380A">
                <w:rPr>
                  <w:rStyle w:val="Hyperlink"/>
                </w:rPr>
                <w:t>guidance on less-lethal weapons in law enforcement</w:t>
              </w:r>
            </w:hyperlink>
          </w:p>
          <w:p w14:paraId="37D68E57" w14:textId="68EF71D1" w:rsidR="004F0A64" w:rsidRPr="00DA0EE5" w:rsidRDefault="00DA0EE5" w:rsidP="00DA0EE5">
            <w:pPr>
              <w:numPr>
                <w:ilvl w:val="0"/>
                <w:numId w:val="2"/>
              </w:numPr>
              <w:spacing w:after="40" w:line="240" w:lineRule="auto"/>
              <w:ind w:left="357" w:hanging="357"/>
            </w:pPr>
            <w:r w:rsidRPr="00DE380A">
              <w:t>OHCHR</w:t>
            </w:r>
            <w:r w:rsidR="00292EBE">
              <w:t>,</w:t>
            </w:r>
            <w:r w:rsidRPr="00DE380A">
              <w:t xml:space="preserve"> </w:t>
            </w:r>
            <w:hyperlink r:id="rId21" w:history="1">
              <w:r w:rsidRPr="00DE380A">
                <w:rPr>
                  <w:rStyle w:val="Hyperlink"/>
                </w:rPr>
                <w:t>Guidelines for States on the effective implementation of the right to participate in public affairs</w:t>
              </w:r>
            </w:hyperlink>
          </w:p>
        </w:tc>
      </w:tr>
    </w:tbl>
    <w:p w14:paraId="78891E5B" w14:textId="77777777" w:rsidR="006B74B0" w:rsidRDefault="00614242" w:rsidP="002D1177">
      <w:pPr>
        <w:spacing w:line="240" w:lineRule="auto"/>
      </w:pPr>
    </w:p>
    <w:sectPr w:rsidR="006B74B0" w:rsidSect="00FD7DED">
      <w:headerReference w:type="default" r:id="rId22"/>
      <w:footerReference w:type="default" r:id="rId23"/>
      <w:pgSz w:w="11906" w:h="16838"/>
      <w:pgMar w:top="567" w:right="1440" w:bottom="568" w:left="1440" w:header="426"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45974" w14:textId="77777777" w:rsidR="00CA1647" w:rsidRDefault="00CA1647" w:rsidP="00CA1647">
      <w:pPr>
        <w:spacing w:after="0" w:line="240" w:lineRule="auto"/>
      </w:pPr>
      <w:r>
        <w:separator/>
      </w:r>
    </w:p>
  </w:endnote>
  <w:endnote w:type="continuationSeparator" w:id="0">
    <w:p w14:paraId="45247432" w14:textId="77777777" w:rsidR="00CA1647" w:rsidRDefault="00CA1647" w:rsidP="00CA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361D1" w14:textId="3C783C46" w:rsidR="00ED4385" w:rsidRDefault="00FA2D12" w:rsidP="004D72F8">
    <w:pPr>
      <w:pStyle w:val="Footer"/>
      <w:jc w:val="center"/>
    </w:pPr>
    <w:r>
      <w:fldChar w:fldCharType="begin"/>
    </w:r>
    <w:r>
      <w:instrText xml:space="preserve"> PAGE   \* MERGEFORMAT </w:instrText>
    </w:r>
    <w:r>
      <w:fldChar w:fldCharType="separate"/>
    </w:r>
    <w:r w:rsidR="0061424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C502D" w14:textId="77777777" w:rsidR="00CA1647" w:rsidRDefault="00CA1647" w:rsidP="00CA1647">
      <w:pPr>
        <w:spacing w:after="0" w:line="240" w:lineRule="auto"/>
      </w:pPr>
      <w:r>
        <w:separator/>
      </w:r>
    </w:p>
  </w:footnote>
  <w:footnote w:type="continuationSeparator" w:id="0">
    <w:p w14:paraId="72449B55" w14:textId="77777777" w:rsidR="00CA1647" w:rsidRDefault="00CA1647" w:rsidP="00CA1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770C" w14:textId="77777777" w:rsidR="0002266C" w:rsidRPr="004D72F8" w:rsidRDefault="00614242" w:rsidP="000376AD">
    <w:pPr>
      <w:pStyle w:val="Header"/>
      <w:spacing w:after="0"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7211F"/>
    <w:multiLevelType w:val="hybridMultilevel"/>
    <w:tmpl w:val="E4B0DD9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012DD2"/>
    <w:multiLevelType w:val="multilevel"/>
    <w:tmpl w:val="053E9D7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Wingdings" w:hAnsi="Wingdings" w:hint="default"/>
        <w:u w:val="none"/>
      </w:rPr>
    </w:lvl>
    <w:lvl w:ilvl="2">
      <w:start w:val="1"/>
      <w:numFmt w:val="bullet"/>
      <w:lvlText w:val="■"/>
      <w:lvlJc w:val="left"/>
      <w:pPr>
        <w:ind w:left="1800" w:hanging="360"/>
      </w:pPr>
      <w:rPr>
        <w:rFonts w:ascii="OpenSymbol" w:hAnsi="OpenSymbol"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240" w:hanging="360"/>
      </w:pPr>
      <w:rPr>
        <w:rFonts w:ascii="Wingdings 2" w:hAnsi="Wingdings 2" w:cs="Wingdings 2" w:hint="default"/>
        <w:u w:val="none"/>
      </w:rPr>
    </w:lvl>
    <w:lvl w:ilvl="5">
      <w:start w:val="1"/>
      <w:numFmt w:val="bullet"/>
      <w:lvlText w:val="■"/>
      <w:lvlJc w:val="left"/>
      <w:pPr>
        <w:ind w:left="3960" w:hanging="360"/>
      </w:pPr>
      <w:rPr>
        <w:rFonts w:ascii="OpenSymbol" w:hAnsi="OpenSymbol" w:cs="OpenSymbol" w:hint="default"/>
        <w:u w:val="none"/>
      </w:rPr>
    </w:lvl>
    <w:lvl w:ilvl="6">
      <w:start w:val="1"/>
      <w:numFmt w:val="bullet"/>
      <w:lvlText w:val=""/>
      <w:lvlJc w:val="left"/>
      <w:pPr>
        <w:ind w:left="4680" w:hanging="360"/>
      </w:pPr>
      <w:rPr>
        <w:rFonts w:ascii="Wingdings" w:hAnsi="Wingdings" w:cs="Wingdings" w:hint="default"/>
        <w:u w:val="none"/>
      </w:rPr>
    </w:lvl>
    <w:lvl w:ilvl="7">
      <w:start w:val="1"/>
      <w:numFmt w:val="bullet"/>
      <w:lvlText w:val=""/>
      <w:lvlJc w:val="left"/>
      <w:pPr>
        <w:ind w:left="5400" w:hanging="360"/>
      </w:pPr>
      <w:rPr>
        <w:rFonts w:ascii="Wingdings 2" w:hAnsi="Wingdings 2" w:cs="Wingdings 2" w:hint="default"/>
        <w:u w:val="none"/>
      </w:rPr>
    </w:lvl>
    <w:lvl w:ilvl="8">
      <w:start w:val="1"/>
      <w:numFmt w:val="bullet"/>
      <w:lvlText w:val="■"/>
      <w:lvlJc w:val="left"/>
      <w:pPr>
        <w:ind w:left="6120" w:hanging="360"/>
      </w:pPr>
      <w:rPr>
        <w:rFonts w:ascii="OpenSymbol" w:hAnsi="OpenSymbol" w:cs="OpenSymbol" w:hint="default"/>
        <w:u w:val="none"/>
      </w:rPr>
    </w:lvl>
  </w:abstractNum>
  <w:abstractNum w:abstractNumId="2" w15:restartNumberingAfterBreak="0">
    <w:nsid w:val="39C21868"/>
    <w:multiLevelType w:val="hybridMultilevel"/>
    <w:tmpl w:val="08B4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64"/>
    <w:rsid w:val="000021F1"/>
    <w:rsid w:val="00005E65"/>
    <w:rsid w:val="000110B7"/>
    <w:rsid w:val="000177B4"/>
    <w:rsid w:val="000265F1"/>
    <w:rsid w:val="000307CF"/>
    <w:rsid w:val="0008569A"/>
    <w:rsid w:val="000C2300"/>
    <w:rsid w:val="000C6E35"/>
    <w:rsid w:val="00111F26"/>
    <w:rsid w:val="001173D1"/>
    <w:rsid w:val="00125869"/>
    <w:rsid w:val="00137287"/>
    <w:rsid w:val="00151EA5"/>
    <w:rsid w:val="001834C7"/>
    <w:rsid w:val="001A32F9"/>
    <w:rsid w:val="001A5068"/>
    <w:rsid w:val="001A7F2B"/>
    <w:rsid w:val="002006E5"/>
    <w:rsid w:val="002131B3"/>
    <w:rsid w:val="00216D35"/>
    <w:rsid w:val="00236361"/>
    <w:rsid w:val="00254492"/>
    <w:rsid w:val="0025551C"/>
    <w:rsid w:val="002775E5"/>
    <w:rsid w:val="002857FF"/>
    <w:rsid w:val="00292EBE"/>
    <w:rsid w:val="002954F0"/>
    <w:rsid w:val="002B51D8"/>
    <w:rsid w:val="002B5790"/>
    <w:rsid w:val="002C45D9"/>
    <w:rsid w:val="002C5707"/>
    <w:rsid w:val="002D1177"/>
    <w:rsid w:val="002E17CE"/>
    <w:rsid w:val="00300351"/>
    <w:rsid w:val="00315A86"/>
    <w:rsid w:val="00322BDD"/>
    <w:rsid w:val="0033046A"/>
    <w:rsid w:val="0033127D"/>
    <w:rsid w:val="0034013F"/>
    <w:rsid w:val="00354F0F"/>
    <w:rsid w:val="003B591B"/>
    <w:rsid w:val="003C3F23"/>
    <w:rsid w:val="003E41FE"/>
    <w:rsid w:val="00442EF9"/>
    <w:rsid w:val="00455643"/>
    <w:rsid w:val="0046574C"/>
    <w:rsid w:val="00487100"/>
    <w:rsid w:val="00493782"/>
    <w:rsid w:val="00493A40"/>
    <w:rsid w:val="004D1FCE"/>
    <w:rsid w:val="004E4764"/>
    <w:rsid w:val="004F0A64"/>
    <w:rsid w:val="005126E9"/>
    <w:rsid w:val="00533BE4"/>
    <w:rsid w:val="00546794"/>
    <w:rsid w:val="00547A71"/>
    <w:rsid w:val="00556BD4"/>
    <w:rsid w:val="00586EF1"/>
    <w:rsid w:val="005A7279"/>
    <w:rsid w:val="005C2F0D"/>
    <w:rsid w:val="005F539B"/>
    <w:rsid w:val="006020EC"/>
    <w:rsid w:val="00612118"/>
    <w:rsid w:val="00614242"/>
    <w:rsid w:val="0061439E"/>
    <w:rsid w:val="00627DB1"/>
    <w:rsid w:val="00677E5C"/>
    <w:rsid w:val="006D3F60"/>
    <w:rsid w:val="006D73B1"/>
    <w:rsid w:val="006E5712"/>
    <w:rsid w:val="00736786"/>
    <w:rsid w:val="0074434F"/>
    <w:rsid w:val="00754D65"/>
    <w:rsid w:val="00763FF3"/>
    <w:rsid w:val="0076510E"/>
    <w:rsid w:val="0078067D"/>
    <w:rsid w:val="007A59CE"/>
    <w:rsid w:val="007D6D90"/>
    <w:rsid w:val="007F5558"/>
    <w:rsid w:val="00847108"/>
    <w:rsid w:val="008501CD"/>
    <w:rsid w:val="00852C17"/>
    <w:rsid w:val="008562D5"/>
    <w:rsid w:val="00891D56"/>
    <w:rsid w:val="00897EF3"/>
    <w:rsid w:val="008A5188"/>
    <w:rsid w:val="008A731E"/>
    <w:rsid w:val="008B446C"/>
    <w:rsid w:val="008C7C0F"/>
    <w:rsid w:val="009273D8"/>
    <w:rsid w:val="00942049"/>
    <w:rsid w:val="00964329"/>
    <w:rsid w:val="0098286D"/>
    <w:rsid w:val="00986B48"/>
    <w:rsid w:val="009B2720"/>
    <w:rsid w:val="009B2FE2"/>
    <w:rsid w:val="009D071D"/>
    <w:rsid w:val="00A06585"/>
    <w:rsid w:val="00A429AE"/>
    <w:rsid w:val="00A47C3D"/>
    <w:rsid w:val="00A91334"/>
    <w:rsid w:val="00AB7D74"/>
    <w:rsid w:val="00AC026D"/>
    <w:rsid w:val="00AC0383"/>
    <w:rsid w:val="00AD4E58"/>
    <w:rsid w:val="00AD6FE4"/>
    <w:rsid w:val="00B24DE1"/>
    <w:rsid w:val="00B75EB5"/>
    <w:rsid w:val="00BB02CA"/>
    <w:rsid w:val="00BC2C18"/>
    <w:rsid w:val="00BD4DD4"/>
    <w:rsid w:val="00C33BC3"/>
    <w:rsid w:val="00C6540A"/>
    <w:rsid w:val="00C7641C"/>
    <w:rsid w:val="00C7742F"/>
    <w:rsid w:val="00CA1647"/>
    <w:rsid w:val="00CA19B0"/>
    <w:rsid w:val="00CB7353"/>
    <w:rsid w:val="00CB7989"/>
    <w:rsid w:val="00CC6365"/>
    <w:rsid w:val="00CF15C7"/>
    <w:rsid w:val="00CF48D5"/>
    <w:rsid w:val="00D457AF"/>
    <w:rsid w:val="00D90FB1"/>
    <w:rsid w:val="00DA0EE5"/>
    <w:rsid w:val="00DA74EE"/>
    <w:rsid w:val="00DE380A"/>
    <w:rsid w:val="00E35F3C"/>
    <w:rsid w:val="00E41510"/>
    <w:rsid w:val="00E45B2B"/>
    <w:rsid w:val="00E805C7"/>
    <w:rsid w:val="00E82BC7"/>
    <w:rsid w:val="00F058BD"/>
    <w:rsid w:val="00F13B67"/>
    <w:rsid w:val="00F14F1A"/>
    <w:rsid w:val="00F42103"/>
    <w:rsid w:val="00F824ED"/>
    <w:rsid w:val="00F91E91"/>
    <w:rsid w:val="00FA2D12"/>
    <w:rsid w:val="00FA33D7"/>
    <w:rsid w:val="00FD024E"/>
    <w:rsid w:val="00FD7DED"/>
    <w:rsid w:val="00FF0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B105CCA"/>
  <w15:chartTrackingRefBased/>
  <w15:docId w15:val="{CBA4B6F6-CB6F-448B-A10E-62DBCB05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A6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A19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F0A64"/>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0A64"/>
    <w:rPr>
      <w:rFonts w:ascii="Times New Roman" w:eastAsia="Times New Roman" w:hAnsi="Times New Roman" w:cs="Times New Roman"/>
      <w:b/>
      <w:bCs/>
      <w:sz w:val="27"/>
      <w:szCs w:val="27"/>
      <w:lang w:eastAsia="en-GB"/>
    </w:rPr>
  </w:style>
  <w:style w:type="character" w:styleId="Hyperlink">
    <w:name w:val="Hyperlink"/>
    <w:uiPriority w:val="99"/>
    <w:unhideWhenUsed/>
    <w:rsid w:val="004F0A64"/>
    <w:rPr>
      <w:color w:val="0000FF"/>
      <w:u w:val="single"/>
    </w:rPr>
  </w:style>
  <w:style w:type="paragraph" w:styleId="Header">
    <w:name w:val="header"/>
    <w:basedOn w:val="Normal"/>
    <w:link w:val="HeaderChar"/>
    <w:uiPriority w:val="99"/>
    <w:unhideWhenUsed/>
    <w:rsid w:val="004F0A64"/>
    <w:pPr>
      <w:tabs>
        <w:tab w:val="center" w:pos="4513"/>
        <w:tab w:val="right" w:pos="9026"/>
      </w:tabs>
    </w:pPr>
  </w:style>
  <w:style w:type="character" w:customStyle="1" w:styleId="HeaderChar">
    <w:name w:val="Header Char"/>
    <w:basedOn w:val="DefaultParagraphFont"/>
    <w:link w:val="Header"/>
    <w:uiPriority w:val="99"/>
    <w:rsid w:val="004F0A64"/>
    <w:rPr>
      <w:rFonts w:ascii="Calibri" w:eastAsia="Calibri" w:hAnsi="Calibri" w:cs="Times New Roman"/>
    </w:rPr>
  </w:style>
  <w:style w:type="paragraph" w:styleId="Footer">
    <w:name w:val="footer"/>
    <w:basedOn w:val="Normal"/>
    <w:link w:val="FooterChar"/>
    <w:uiPriority w:val="99"/>
    <w:unhideWhenUsed/>
    <w:rsid w:val="004F0A64"/>
    <w:pPr>
      <w:tabs>
        <w:tab w:val="center" w:pos="4513"/>
        <w:tab w:val="right" w:pos="9026"/>
      </w:tabs>
    </w:pPr>
  </w:style>
  <w:style w:type="character" w:customStyle="1" w:styleId="FooterChar">
    <w:name w:val="Footer Char"/>
    <w:basedOn w:val="DefaultParagraphFont"/>
    <w:link w:val="Footer"/>
    <w:uiPriority w:val="99"/>
    <w:rsid w:val="004F0A64"/>
    <w:rPr>
      <w:rFonts w:ascii="Calibri" w:eastAsia="Calibri" w:hAnsi="Calibri" w:cs="Times New Roman"/>
    </w:rPr>
  </w:style>
  <w:style w:type="character" w:styleId="FootnoteReference">
    <w:name w:val="footnote reference"/>
    <w:basedOn w:val="DefaultParagraphFont"/>
    <w:uiPriority w:val="99"/>
    <w:semiHidden/>
    <w:unhideWhenUsed/>
    <w:rsid w:val="00CA1647"/>
    <w:rPr>
      <w:vertAlign w:val="superscript"/>
    </w:rPr>
  </w:style>
  <w:style w:type="character" w:customStyle="1" w:styleId="Heading1Char">
    <w:name w:val="Heading 1 Char"/>
    <w:basedOn w:val="DefaultParagraphFont"/>
    <w:link w:val="Heading1"/>
    <w:uiPriority w:val="9"/>
    <w:rsid w:val="00CA19B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31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7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4013F"/>
    <w:rPr>
      <w:sz w:val="16"/>
      <w:szCs w:val="16"/>
    </w:rPr>
  </w:style>
  <w:style w:type="paragraph" w:styleId="CommentText">
    <w:name w:val="annotation text"/>
    <w:basedOn w:val="Normal"/>
    <w:link w:val="CommentTextChar"/>
    <w:uiPriority w:val="99"/>
    <w:semiHidden/>
    <w:unhideWhenUsed/>
    <w:rsid w:val="0034013F"/>
    <w:pPr>
      <w:spacing w:line="240" w:lineRule="auto"/>
    </w:pPr>
    <w:rPr>
      <w:sz w:val="20"/>
      <w:szCs w:val="20"/>
    </w:rPr>
  </w:style>
  <w:style w:type="character" w:customStyle="1" w:styleId="CommentTextChar">
    <w:name w:val="Comment Text Char"/>
    <w:basedOn w:val="DefaultParagraphFont"/>
    <w:link w:val="CommentText"/>
    <w:uiPriority w:val="99"/>
    <w:semiHidden/>
    <w:rsid w:val="0034013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013F"/>
    <w:rPr>
      <w:b/>
      <w:bCs/>
    </w:rPr>
  </w:style>
  <w:style w:type="character" w:customStyle="1" w:styleId="CommentSubjectChar">
    <w:name w:val="Comment Subject Char"/>
    <w:basedOn w:val="CommentTextChar"/>
    <w:link w:val="CommentSubject"/>
    <w:uiPriority w:val="99"/>
    <w:semiHidden/>
    <w:rsid w:val="0034013F"/>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A47C3D"/>
    <w:rPr>
      <w:color w:val="954F72" w:themeColor="followedHyperlink"/>
      <w:u w:val="single"/>
    </w:rPr>
  </w:style>
  <w:style w:type="paragraph" w:styleId="Revision">
    <w:name w:val="Revision"/>
    <w:hidden/>
    <w:uiPriority w:val="99"/>
    <w:semiHidden/>
    <w:rsid w:val="00A91334"/>
    <w:pPr>
      <w:spacing w:after="0" w:line="240" w:lineRule="auto"/>
    </w:pPr>
    <w:rPr>
      <w:rFonts w:ascii="Calibri" w:eastAsia="Calibri" w:hAnsi="Calibri" w:cs="Times New Roman"/>
    </w:rPr>
  </w:style>
  <w:style w:type="paragraph" w:styleId="ListParagraph">
    <w:name w:val="List Paragraph"/>
    <w:basedOn w:val="Normal"/>
    <w:uiPriority w:val="34"/>
    <w:qFormat/>
    <w:rsid w:val="001A7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62128">
      <w:bodyDiv w:val="1"/>
      <w:marLeft w:val="0"/>
      <w:marRight w:val="0"/>
      <w:marTop w:val="0"/>
      <w:marBottom w:val="0"/>
      <w:divBdr>
        <w:top w:val="none" w:sz="0" w:space="0" w:color="auto"/>
        <w:left w:val="none" w:sz="0" w:space="0" w:color="auto"/>
        <w:bottom w:val="none" w:sz="0" w:space="0" w:color="auto"/>
        <w:right w:val="none" w:sz="0" w:space="0" w:color="auto"/>
      </w:divBdr>
    </w:div>
    <w:div w:id="464928592">
      <w:bodyDiv w:val="1"/>
      <w:marLeft w:val="0"/>
      <w:marRight w:val="0"/>
      <w:marTop w:val="0"/>
      <w:marBottom w:val="0"/>
      <w:divBdr>
        <w:top w:val="none" w:sz="0" w:space="0" w:color="auto"/>
        <w:left w:val="none" w:sz="0" w:space="0" w:color="auto"/>
        <w:bottom w:val="none" w:sz="0" w:space="0" w:color="auto"/>
        <w:right w:val="none" w:sz="0" w:space="0" w:color="auto"/>
      </w:divBdr>
    </w:div>
    <w:div w:id="947926192">
      <w:bodyDiv w:val="1"/>
      <w:marLeft w:val="0"/>
      <w:marRight w:val="0"/>
      <w:marTop w:val="0"/>
      <w:marBottom w:val="0"/>
      <w:divBdr>
        <w:top w:val="none" w:sz="0" w:space="0" w:color="auto"/>
        <w:left w:val="none" w:sz="0" w:space="0" w:color="auto"/>
        <w:bottom w:val="none" w:sz="0" w:space="0" w:color="auto"/>
        <w:right w:val="none" w:sz="0" w:space="0" w:color="auto"/>
      </w:divBdr>
    </w:div>
    <w:div w:id="1272543085">
      <w:bodyDiv w:val="1"/>
      <w:marLeft w:val="0"/>
      <w:marRight w:val="0"/>
      <w:marTop w:val="0"/>
      <w:marBottom w:val="0"/>
      <w:divBdr>
        <w:top w:val="none" w:sz="0" w:space="0" w:color="auto"/>
        <w:left w:val="none" w:sz="0" w:space="0" w:color="auto"/>
        <w:bottom w:val="none" w:sz="0" w:space="0" w:color="auto"/>
        <w:right w:val="none" w:sz="0" w:space="0" w:color="auto"/>
      </w:divBdr>
    </w:div>
    <w:div w:id="17056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eamtext.net/player?event=CFI-UNOG" TargetMode="External"/><Relationship Id="rId18" Type="http://schemas.openxmlformats.org/officeDocument/2006/relationships/hyperlink" Target="https://undocs.org/A/HRC/41/41" TargetMode="External"/><Relationship Id="rId3" Type="http://schemas.openxmlformats.org/officeDocument/2006/relationships/customXml" Target="../customXml/item3.xml"/><Relationship Id="rId21" Type="http://schemas.openxmlformats.org/officeDocument/2006/relationships/hyperlink" Target="https://www.ohchr.org/Documents/Issues/PublicAffairs/GuidelinesRightParticipatePublicAffairs_web.pdf" TargetMode="External"/><Relationship Id="rId7" Type="http://schemas.openxmlformats.org/officeDocument/2006/relationships/settings" Target="settings.xml"/><Relationship Id="rId12" Type="http://schemas.openxmlformats.org/officeDocument/2006/relationships/hyperlink" Target="https://undocs.org/en/A/HRC/RES/44/20" TargetMode="External"/><Relationship Id="rId17" Type="http://schemas.openxmlformats.org/officeDocument/2006/relationships/hyperlink" Target="https://undocs.org/en/A/HRC/44/2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docs.org/CCPR/C/GC/36" TargetMode="External"/><Relationship Id="rId20" Type="http://schemas.openxmlformats.org/officeDocument/2006/relationships/hyperlink" Target="https://www.ohchr.org/Documents/HRBodies/CCPR/LLW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tv.un.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ndocs.org/CCPR/C/GC/37"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undocs.org/A/HRC/44/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HRBodies/HRC/Pages/Accessibility.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F077F9CD0B34F97AC46763D8FB4BB" ma:contentTypeVersion="1" ma:contentTypeDescription="Create a new document." ma:contentTypeScope="" ma:versionID="3a6fdf85bb2ad3a961473b016d7d519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6EF3-D9AE-45D8-A5B6-083E5009301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8078DC-A737-4F67-9D01-81D10FAD99FF}">
  <ds:schemaRefs>
    <ds:schemaRef ds:uri="http://schemas.microsoft.com/sharepoint/v3/contenttype/forms"/>
  </ds:schemaRefs>
</ds:datastoreItem>
</file>

<file path=customXml/itemProps3.xml><?xml version="1.0" encoding="utf-8"?>
<ds:datastoreItem xmlns:ds="http://schemas.openxmlformats.org/officeDocument/2006/customXml" ds:itemID="{E20484DC-630A-476A-B579-6BA84A435720}"/>
</file>

<file path=customXml/itemProps4.xml><?xml version="1.0" encoding="utf-8"?>
<ds:datastoreItem xmlns:ds="http://schemas.openxmlformats.org/officeDocument/2006/customXml" ds:itemID="{5ABEFCAE-4A87-413E-A813-B5842B17F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discussion on the promotion and protection of human rights in the context of peaceful protests, with a particular focus on achievements and contemporary challenges</dc:title>
  <dc:subject/>
  <dc:creator>OHCHR WHRGS</dc:creator>
  <cp:keywords/>
  <dc:description/>
  <cp:lastModifiedBy>TICHA Petra</cp:lastModifiedBy>
  <cp:revision>4</cp:revision>
  <cp:lastPrinted>2021-06-03T17:40:00Z</cp:lastPrinted>
  <dcterms:created xsi:type="dcterms:W3CDTF">2021-09-23T09:52:00Z</dcterms:created>
  <dcterms:modified xsi:type="dcterms:W3CDTF">2021-09-23T12:09:00Z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0x010100F7EF077F9CD0B34F97AC46763D8FB4BB</vt:lpwstr>
  </property>
</Properties>
</file>