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F0BA1" w14:textId="2C1A5805" w:rsidR="006802B1" w:rsidRPr="002C36AA" w:rsidRDefault="002C36AA">
      <w:pPr>
        <w:rPr>
          <w:rFonts w:ascii="Times" w:hAnsi="Times"/>
          <w:b/>
          <w:sz w:val="23"/>
          <w:szCs w:val="23"/>
        </w:rPr>
      </w:pPr>
      <w:r>
        <w:rPr>
          <w:rFonts w:ascii="Times" w:hAnsi="Times"/>
          <w:b/>
          <w:sz w:val="23"/>
          <w:szCs w:val="23"/>
        </w:rPr>
        <w:t>Submission on poverty</w:t>
      </w:r>
      <w:r w:rsidR="00962D7D" w:rsidRPr="008574BE">
        <w:rPr>
          <w:rFonts w:ascii="Times" w:hAnsi="Times"/>
          <w:b/>
          <w:sz w:val="23"/>
          <w:szCs w:val="23"/>
        </w:rPr>
        <w:t xml:space="preserve"> </w:t>
      </w:r>
      <w:r w:rsidR="006802B1">
        <w:rPr>
          <w:rFonts w:ascii="Times" w:hAnsi="Times"/>
          <w:sz w:val="23"/>
          <w:szCs w:val="23"/>
        </w:rPr>
        <w:t xml:space="preserve">by Justice for Sisters </w:t>
      </w:r>
    </w:p>
    <w:p w14:paraId="6F6E0DDB" w14:textId="77777777" w:rsidR="006802B1" w:rsidRDefault="006802B1">
      <w:pPr>
        <w:rPr>
          <w:rFonts w:ascii="Times" w:hAnsi="Times"/>
          <w:sz w:val="23"/>
          <w:szCs w:val="23"/>
        </w:rPr>
      </w:pPr>
    </w:p>
    <w:p w14:paraId="6C1679C0" w14:textId="729A2046" w:rsidR="006802B1" w:rsidRDefault="00C359A3">
      <w:pPr>
        <w:rPr>
          <w:rFonts w:ascii="Times" w:hAnsi="Times"/>
          <w:sz w:val="23"/>
          <w:szCs w:val="23"/>
        </w:rPr>
      </w:pPr>
      <w:r>
        <w:rPr>
          <w:rFonts w:ascii="Times" w:hAnsi="Times"/>
          <w:sz w:val="23"/>
          <w:szCs w:val="23"/>
        </w:rPr>
        <w:t>This</w:t>
      </w:r>
      <w:r w:rsidR="00375BD3">
        <w:rPr>
          <w:rFonts w:ascii="Times" w:hAnsi="Times"/>
          <w:sz w:val="23"/>
          <w:szCs w:val="23"/>
        </w:rPr>
        <w:t xml:space="preserve"> submission </w:t>
      </w:r>
      <w:r w:rsidR="006802B1">
        <w:rPr>
          <w:rFonts w:ascii="Times" w:hAnsi="Times"/>
          <w:sz w:val="23"/>
          <w:szCs w:val="23"/>
        </w:rPr>
        <w:t>cover</w:t>
      </w:r>
      <w:r w:rsidR="00375BD3">
        <w:rPr>
          <w:rFonts w:ascii="Times" w:hAnsi="Times"/>
          <w:sz w:val="23"/>
          <w:szCs w:val="23"/>
        </w:rPr>
        <w:t>s</w:t>
      </w:r>
      <w:r w:rsidR="006802B1">
        <w:rPr>
          <w:rFonts w:ascii="Times" w:hAnsi="Times"/>
          <w:sz w:val="23"/>
          <w:szCs w:val="23"/>
        </w:rPr>
        <w:t xml:space="preserve"> the poverty</w:t>
      </w:r>
      <w:r w:rsidR="002C36AA">
        <w:rPr>
          <w:rFonts w:ascii="Times" w:hAnsi="Times"/>
          <w:sz w:val="23"/>
          <w:szCs w:val="23"/>
        </w:rPr>
        <w:t xml:space="preserve"> and economic marginalization</w:t>
      </w:r>
      <w:r w:rsidR="006802B1">
        <w:rPr>
          <w:rFonts w:ascii="Times" w:hAnsi="Times"/>
          <w:sz w:val="23"/>
          <w:szCs w:val="23"/>
        </w:rPr>
        <w:t xml:space="preserve"> experienced by LGBTIQ persons due to criminalization, social stigma </w:t>
      </w:r>
      <w:r>
        <w:rPr>
          <w:rFonts w:ascii="Times" w:hAnsi="Times"/>
          <w:sz w:val="23"/>
          <w:szCs w:val="23"/>
        </w:rPr>
        <w:t>and discrimination</w:t>
      </w:r>
      <w:r w:rsidR="008F22BB">
        <w:rPr>
          <w:rFonts w:ascii="Times" w:hAnsi="Times"/>
          <w:sz w:val="23"/>
          <w:szCs w:val="23"/>
        </w:rPr>
        <w:t xml:space="preserve">. The submission also provides some statistics and recommendations. </w:t>
      </w:r>
      <w:r w:rsidR="0011113F">
        <w:rPr>
          <w:rFonts w:ascii="Times" w:hAnsi="Times"/>
          <w:sz w:val="23"/>
          <w:szCs w:val="23"/>
        </w:rPr>
        <w:t>It i</w:t>
      </w:r>
      <w:r w:rsidR="00B05E21">
        <w:rPr>
          <w:rFonts w:ascii="Times" w:hAnsi="Times"/>
          <w:sz w:val="23"/>
          <w:szCs w:val="23"/>
        </w:rPr>
        <w:t>s important to note that there is a lack of data and research in general and in this area with LGBTIQ persons. There is</w:t>
      </w:r>
      <w:r w:rsidR="0011113F">
        <w:rPr>
          <w:rFonts w:ascii="Times" w:hAnsi="Times"/>
          <w:sz w:val="23"/>
          <w:szCs w:val="23"/>
        </w:rPr>
        <w:t xml:space="preserve"> slightly more research on experiences of trans persons as opposed to lesbian, gay, bisexual, intersex and queer persons. </w:t>
      </w:r>
    </w:p>
    <w:p w14:paraId="314F8E29" w14:textId="77777777" w:rsidR="001F1CE5" w:rsidRDefault="001F1CE5">
      <w:pPr>
        <w:rPr>
          <w:rFonts w:ascii="Times" w:hAnsi="Times"/>
          <w:sz w:val="23"/>
          <w:szCs w:val="23"/>
        </w:rPr>
      </w:pPr>
    </w:p>
    <w:p w14:paraId="3F8B9674" w14:textId="6099AC8B" w:rsidR="001F1CE5" w:rsidRPr="008F22BB" w:rsidRDefault="001F1CE5">
      <w:pPr>
        <w:rPr>
          <w:rFonts w:ascii="Times" w:hAnsi="Times"/>
          <w:b/>
          <w:sz w:val="23"/>
          <w:szCs w:val="23"/>
        </w:rPr>
      </w:pPr>
      <w:r w:rsidRPr="008F22BB">
        <w:rPr>
          <w:rFonts w:ascii="Times" w:hAnsi="Times"/>
          <w:b/>
          <w:sz w:val="23"/>
          <w:szCs w:val="23"/>
        </w:rPr>
        <w:t>Overview</w:t>
      </w:r>
    </w:p>
    <w:p w14:paraId="0379540A" w14:textId="4A1DEBDD" w:rsidR="001F1CE5" w:rsidRPr="008F22BB" w:rsidRDefault="001F1CE5" w:rsidP="00A624E2">
      <w:pPr>
        <w:pStyle w:val="NoSpacing"/>
        <w:rPr>
          <w:rFonts w:ascii="Times" w:hAnsi="Times"/>
          <w:sz w:val="23"/>
          <w:szCs w:val="23"/>
        </w:rPr>
      </w:pPr>
      <w:r w:rsidRPr="008F22BB">
        <w:rPr>
          <w:rFonts w:ascii="Times" w:hAnsi="Times"/>
          <w:sz w:val="23"/>
          <w:szCs w:val="23"/>
        </w:rPr>
        <w:t>The poverty income line (PLI) is used to measure poverty in Malaysia. Since a revision of the PLI in 2004/2005, the PLI was updated using the consumer price index (CPI). The PLI is calculated for each household, adjusting for household composition, age distribution, gender, and regional differences</w:t>
      </w:r>
      <w:r w:rsidR="008F22BB">
        <w:rPr>
          <w:rFonts w:ascii="Times" w:hAnsi="Times"/>
          <w:sz w:val="23"/>
          <w:szCs w:val="23"/>
        </w:rPr>
        <w:t xml:space="preserve">. </w:t>
      </w:r>
      <w:r w:rsidR="008F22BB" w:rsidRPr="008F22BB">
        <w:rPr>
          <w:rFonts w:ascii="Times" w:hAnsi="Times"/>
          <w:sz w:val="23"/>
          <w:szCs w:val="23"/>
        </w:rPr>
        <w:t>The 11</w:t>
      </w:r>
      <w:r w:rsidR="008F22BB" w:rsidRPr="008F22BB">
        <w:rPr>
          <w:rFonts w:ascii="Times" w:hAnsi="Times"/>
          <w:sz w:val="23"/>
          <w:szCs w:val="23"/>
          <w:vertAlign w:val="superscript"/>
        </w:rPr>
        <w:t>th</w:t>
      </w:r>
      <w:r w:rsidR="008F22BB" w:rsidRPr="008F22BB">
        <w:rPr>
          <w:rFonts w:ascii="Times" w:hAnsi="Times"/>
          <w:sz w:val="23"/>
          <w:szCs w:val="23"/>
        </w:rPr>
        <w:t xml:space="preserve"> Malaysia plan introduced the Multidimensional Poverty Inde</w:t>
      </w:r>
      <w:r w:rsidR="008F22BB">
        <w:rPr>
          <w:rFonts w:ascii="Times" w:hAnsi="Times"/>
          <w:sz w:val="23"/>
          <w:szCs w:val="23"/>
        </w:rPr>
        <w:t xml:space="preserve">x (MPI) to complement the PLI. </w:t>
      </w:r>
    </w:p>
    <w:p w14:paraId="61DE22B3" w14:textId="77777777" w:rsidR="001F1CE5" w:rsidRPr="008F22BB" w:rsidRDefault="001F1CE5" w:rsidP="00A624E2">
      <w:pPr>
        <w:pStyle w:val="NoSpacing"/>
        <w:rPr>
          <w:rFonts w:ascii="Times" w:hAnsi="Times"/>
          <w:sz w:val="23"/>
          <w:szCs w:val="23"/>
        </w:rPr>
      </w:pPr>
    </w:p>
    <w:p w14:paraId="7C689066" w14:textId="15B504FC" w:rsidR="00275B20" w:rsidRPr="008F22BB" w:rsidRDefault="001F1CE5" w:rsidP="00A624E2">
      <w:pPr>
        <w:pStyle w:val="NoSpacing"/>
        <w:rPr>
          <w:rFonts w:ascii="Times" w:hAnsi="Times"/>
          <w:sz w:val="23"/>
          <w:szCs w:val="23"/>
        </w:rPr>
      </w:pPr>
      <w:r w:rsidRPr="008F22BB">
        <w:rPr>
          <w:rFonts w:ascii="Times" w:hAnsi="Times"/>
          <w:sz w:val="23"/>
          <w:szCs w:val="23"/>
        </w:rPr>
        <w:t xml:space="preserve">The number of households living in absolute poverty is low. </w:t>
      </w:r>
      <w:r w:rsidR="00EC1CB5" w:rsidRPr="008F22BB">
        <w:rPr>
          <w:rFonts w:ascii="Times" w:hAnsi="Times"/>
          <w:sz w:val="23"/>
          <w:szCs w:val="23"/>
        </w:rPr>
        <w:t xml:space="preserve">The incidence of poverty fell from 37.4% of all households in 1979 to 8.5% in 1999, and 0.4% in 2016.  </w:t>
      </w:r>
      <w:r w:rsidR="008F22BB" w:rsidRPr="008F22BB">
        <w:rPr>
          <w:rFonts w:ascii="Times" w:hAnsi="Times"/>
          <w:sz w:val="23"/>
          <w:szCs w:val="23"/>
        </w:rPr>
        <w:t>The Mid</w:t>
      </w:r>
      <w:r w:rsidR="00EC1CB5" w:rsidRPr="008F22BB">
        <w:rPr>
          <w:rFonts w:ascii="Times" w:hAnsi="Times"/>
          <w:sz w:val="23"/>
          <w:szCs w:val="23"/>
        </w:rPr>
        <w:t>-Term Review of the 11</w:t>
      </w:r>
      <w:r w:rsidR="00EC1CB5" w:rsidRPr="008F22BB">
        <w:rPr>
          <w:rFonts w:ascii="Times" w:hAnsi="Times"/>
          <w:sz w:val="23"/>
          <w:szCs w:val="23"/>
          <w:vertAlign w:val="superscript"/>
        </w:rPr>
        <w:t>th</w:t>
      </w:r>
      <w:r w:rsidR="00EC1CB5" w:rsidRPr="008F22BB">
        <w:rPr>
          <w:rFonts w:ascii="Times" w:hAnsi="Times"/>
          <w:sz w:val="23"/>
          <w:szCs w:val="23"/>
        </w:rPr>
        <w:t xml:space="preserve"> Malaysia Plan </w:t>
      </w:r>
      <w:r w:rsidR="008F22BB">
        <w:rPr>
          <w:rFonts w:ascii="Times" w:hAnsi="Times"/>
          <w:sz w:val="23"/>
          <w:szCs w:val="23"/>
        </w:rPr>
        <w:t xml:space="preserve">notes </w:t>
      </w:r>
      <w:r w:rsidR="00EC1CB5" w:rsidRPr="008F22BB">
        <w:rPr>
          <w:rFonts w:ascii="Times" w:hAnsi="Times"/>
          <w:sz w:val="23"/>
          <w:szCs w:val="23"/>
        </w:rPr>
        <w:t xml:space="preserve">about 24,700 households fall under the absolute poverty category, with median earnings of RM 980. </w:t>
      </w:r>
    </w:p>
    <w:p w14:paraId="194C9B92" w14:textId="77777777" w:rsidR="00A624E2" w:rsidRPr="008F22BB" w:rsidRDefault="00A624E2" w:rsidP="00A624E2">
      <w:pPr>
        <w:pStyle w:val="NoSpacing"/>
        <w:rPr>
          <w:rFonts w:ascii="Times" w:hAnsi="Times"/>
          <w:sz w:val="23"/>
          <w:szCs w:val="23"/>
        </w:rPr>
      </w:pPr>
    </w:p>
    <w:p w14:paraId="50AE8B33" w14:textId="2CCD4D0B" w:rsidR="00EC1CB5" w:rsidRPr="000C4032" w:rsidRDefault="00EC1CB5" w:rsidP="002C36AA">
      <w:pPr>
        <w:rPr>
          <w:rFonts w:ascii="Times" w:hAnsi="Times"/>
          <w:sz w:val="23"/>
          <w:szCs w:val="23"/>
        </w:rPr>
      </w:pPr>
      <w:r w:rsidRPr="000C4032">
        <w:rPr>
          <w:rFonts w:ascii="Times" w:hAnsi="Times"/>
          <w:sz w:val="23"/>
          <w:szCs w:val="23"/>
        </w:rPr>
        <w:t xml:space="preserve">However, the poverty line is </w:t>
      </w:r>
      <w:r w:rsidR="00B05E21">
        <w:rPr>
          <w:rFonts w:ascii="Times" w:hAnsi="Times"/>
          <w:sz w:val="23"/>
          <w:szCs w:val="23"/>
        </w:rPr>
        <w:t xml:space="preserve">still </w:t>
      </w:r>
      <w:r w:rsidR="002C6D15" w:rsidRPr="000C4032">
        <w:rPr>
          <w:rFonts w:ascii="Times" w:hAnsi="Times"/>
          <w:sz w:val="23"/>
          <w:szCs w:val="23"/>
        </w:rPr>
        <w:t>low according to the</w:t>
      </w:r>
      <w:r w:rsidRPr="000C4032">
        <w:rPr>
          <w:rFonts w:ascii="Times" w:hAnsi="Times"/>
          <w:sz w:val="23"/>
          <w:szCs w:val="23"/>
        </w:rPr>
        <w:t xml:space="preserve"> </w:t>
      </w:r>
      <w:r w:rsidR="00B05E21">
        <w:rPr>
          <w:rFonts w:ascii="Times" w:hAnsi="Times"/>
          <w:sz w:val="23"/>
          <w:szCs w:val="23"/>
        </w:rPr>
        <w:t>Khazanah R</w:t>
      </w:r>
      <w:r w:rsidR="002C6D15" w:rsidRPr="000C4032">
        <w:rPr>
          <w:rFonts w:ascii="Times" w:hAnsi="Times"/>
          <w:sz w:val="23"/>
          <w:szCs w:val="23"/>
        </w:rPr>
        <w:t xml:space="preserve">esearch Institute and </w:t>
      </w:r>
      <w:r w:rsidR="002C6D15" w:rsidRPr="000C4032">
        <w:rPr>
          <w:rFonts w:ascii="Times" w:eastAsia="Times New Roman" w:hAnsi="Times" w:cs="Times New Roman"/>
          <w:sz w:val="23"/>
          <w:szCs w:val="23"/>
        </w:rPr>
        <w:t xml:space="preserve">Deputy Minister of International Trade and Investment Dr Ong Kian Ming. He noted that poverty rate reports should also take into account at-risk groups, </w:t>
      </w:r>
      <w:r w:rsidR="000C4032" w:rsidRPr="000C4032">
        <w:rPr>
          <w:rFonts w:ascii="Times" w:eastAsia="Times New Roman" w:hAnsi="Times" w:cs="Times New Roman"/>
          <w:sz w:val="23"/>
          <w:szCs w:val="23"/>
        </w:rPr>
        <w:t>and some are more vulnerable of falling into poverty.</w:t>
      </w:r>
      <w:r w:rsidR="000C4032">
        <w:rPr>
          <w:rStyle w:val="FootnoteReference"/>
          <w:rFonts w:ascii="Times" w:eastAsia="Times New Roman" w:hAnsi="Times" w:cs="Times New Roman"/>
          <w:sz w:val="23"/>
          <w:szCs w:val="23"/>
        </w:rPr>
        <w:footnoteReference w:id="1"/>
      </w:r>
      <w:r w:rsidR="002C36AA">
        <w:rPr>
          <w:rFonts w:ascii="Times" w:eastAsia="Times New Roman" w:hAnsi="Times" w:cs="Times New Roman"/>
          <w:sz w:val="23"/>
          <w:szCs w:val="23"/>
        </w:rPr>
        <w:t xml:space="preserve"> </w:t>
      </w:r>
      <w:r w:rsidR="002C36AA">
        <w:rPr>
          <w:rFonts w:ascii="Times" w:hAnsi="Times"/>
          <w:sz w:val="23"/>
          <w:szCs w:val="23"/>
        </w:rPr>
        <w:t xml:space="preserve">Many LGBTQ persons are in precarious economies without social protection and savings, and are vulnerable of falling into poverty. </w:t>
      </w:r>
    </w:p>
    <w:p w14:paraId="50F061D5" w14:textId="77777777" w:rsidR="00275B20" w:rsidRPr="008F22BB" w:rsidRDefault="00275B20" w:rsidP="00A624E2">
      <w:pPr>
        <w:pStyle w:val="NoSpacing"/>
        <w:rPr>
          <w:rFonts w:ascii="Times" w:hAnsi="Times"/>
          <w:sz w:val="23"/>
          <w:szCs w:val="23"/>
        </w:rPr>
      </w:pPr>
    </w:p>
    <w:p w14:paraId="61F0C780" w14:textId="35A46A80" w:rsidR="001F1CE5" w:rsidRDefault="00275B20" w:rsidP="00B05E21">
      <w:pPr>
        <w:pStyle w:val="NoSpacing"/>
        <w:rPr>
          <w:rFonts w:ascii="Times" w:hAnsi="Times"/>
          <w:sz w:val="23"/>
          <w:szCs w:val="23"/>
        </w:rPr>
      </w:pPr>
      <w:r w:rsidRPr="008F22BB">
        <w:rPr>
          <w:rFonts w:ascii="Times" w:hAnsi="Times"/>
          <w:sz w:val="23"/>
          <w:szCs w:val="23"/>
        </w:rPr>
        <w:t>The B40 was introduced in the 8</w:t>
      </w:r>
      <w:r w:rsidRPr="008F22BB">
        <w:rPr>
          <w:rFonts w:ascii="Times" w:hAnsi="Times"/>
          <w:sz w:val="23"/>
          <w:szCs w:val="23"/>
          <w:vertAlign w:val="superscript"/>
        </w:rPr>
        <w:t>th</w:t>
      </w:r>
      <w:r w:rsidRPr="008F22BB">
        <w:rPr>
          <w:rFonts w:ascii="Times" w:hAnsi="Times"/>
          <w:sz w:val="23"/>
          <w:szCs w:val="23"/>
        </w:rPr>
        <w:t xml:space="preserve"> and 9</w:t>
      </w:r>
      <w:r w:rsidRPr="008F22BB">
        <w:rPr>
          <w:rFonts w:ascii="Times" w:hAnsi="Times"/>
          <w:sz w:val="23"/>
          <w:szCs w:val="23"/>
          <w:vertAlign w:val="superscript"/>
        </w:rPr>
        <w:t>th</w:t>
      </w:r>
      <w:r w:rsidRPr="008F22BB">
        <w:rPr>
          <w:rFonts w:ascii="Times" w:hAnsi="Times"/>
          <w:sz w:val="23"/>
          <w:szCs w:val="23"/>
        </w:rPr>
        <w:t xml:space="preserve"> Malaysia Plan. The B40 consist of households with median earning</w:t>
      </w:r>
      <w:r w:rsidR="00EC1CB5" w:rsidRPr="008F22BB">
        <w:rPr>
          <w:rFonts w:ascii="Times" w:hAnsi="Times"/>
          <w:sz w:val="23"/>
          <w:szCs w:val="23"/>
        </w:rPr>
        <w:t>s</w:t>
      </w:r>
      <w:r w:rsidRPr="008F22BB">
        <w:rPr>
          <w:rFonts w:ascii="Times" w:hAnsi="Times"/>
          <w:sz w:val="23"/>
          <w:szCs w:val="23"/>
        </w:rPr>
        <w:t xml:space="preserve"> of RM 2,614. </w:t>
      </w:r>
      <w:r w:rsidR="00EC1CB5" w:rsidRPr="008F22BB">
        <w:rPr>
          <w:rFonts w:ascii="Times" w:hAnsi="Times"/>
          <w:sz w:val="23"/>
          <w:szCs w:val="23"/>
        </w:rPr>
        <w:t xml:space="preserve">The B40 category </w:t>
      </w:r>
      <w:r w:rsidR="00A624E2" w:rsidRPr="008F22BB">
        <w:rPr>
          <w:rFonts w:ascii="Times" w:hAnsi="Times"/>
          <w:sz w:val="23"/>
          <w:szCs w:val="23"/>
        </w:rPr>
        <w:t>includes both absolute and relative poverty</w:t>
      </w:r>
      <w:r w:rsidR="00EC1CB5" w:rsidRPr="008F22BB">
        <w:rPr>
          <w:rFonts w:ascii="Times" w:hAnsi="Times"/>
          <w:sz w:val="23"/>
          <w:szCs w:val="23"/>
        </w:rPr>
        <w:t>, which can be problematic, as these two categories of poverty require different s</w:t>
      </w:r>
      <w:r w:rsidR="00A35107" w:rsidRPr="008F22BB">
        <w:rPr>
          <w:rFonts w:ascii="Times" w:hAnsi="Times"/>
          <w:sz w:val="23"/>
          <w:szCs w:val="23"/>
        </w:rPr>
        <w:t>trategies and responses.</w:t>
      </w:r>
      <w:r w:rsidR="008574BE" w:rsidRPr="008F22BB">
        <w:rPr>
          <w:rStyle w:val="FootnoteReference"/>
          <w:rFonts w:ascii="Times" w:hAnsi="Times"/>
          <w:sz w:val="23"/>
          <w:szCs w:val="23"/>
        </w:rPr>
        <w:footnoteReference w:id="2"/>
      </w:r>
    </w:p>
    <w:p w14:paraId="58C183D4" w14:textId="3F18FE3F" w:rsidR="001F1CE5" w:rsidRDefault="001F1CE5">
      <w:pPr>
        <w:rPr>
          <w:rFonts w:ascii="Times" w:hAnsi="Times"/>
          <w:sz w:val="23"/>
          <w:szCs w:val="23"/>
        </w:rPr>
      </w:pPr>
      <w:r>
        <w:rPr>
          <w:rFonts w:ascii="Times" w:hAnsi="Times"/>
          <w:noProof/>
          <w:sz w:val="23"/>
          <w:szCs w:val="23"/>
        </w:rPr>
        <w:drawing>
          <wp:inline distT="0" distB="0" distL="0" distR="0" wp14:anchorId="661BD19B" wp14:editId="6DDD7453">
            <wp:extent cx="4224020" cy="2666513"/>
            <wp:effectExtent l="0" t="0" r="0" b="635"/>
            <wp:docPr id="1" name="Picture 1" descr="Macintosh HD:Users:patti:Desktop:Screen Shot 2019-08-13 at 7.42.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ti:Desktop:Screen Shot 2019-08-13 at 7.42.21 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4430" cy="2666772"/>
                    </a:xfrm>
                    <a:prstGeom prst="rect">
                      <a:avLst/>
                    </a:prstGeom>
                    <a:noFill/>
                    <a:ln>
                      <a:noFill/>
                    </a:ln>
                  </pic:spPr>
                </pic:pic>
              </a:graphicData>
            </a:graphic>
          </wp:inline>
        </w:drawing>
      </w:r>
    </w:p>
    <w:p w14:paraId="3549A9DF" w14:textId="77777777" w:rsidR="006802B1" w:rsidRDefault="006802B1">
      <w:pPr>
        <w:rPr>
          <w:rFonts w:ascii="Times" w:hAnsi="Times"/>
          <w:sz w:val="23"/>
          <w:szCs w:val="23"/>
        </w:rPr>
      </w:pPr>
    </w:p>
    <w:p w14:paraId="71D373C4" w14:textId="3FE6171B" w:rsidR="004C5BF6" w:rsidRPr="004C5BF6" w:rsidRDefault="006C60A0" w:rsidP="00A35107">
      <w:pPr>
        <w:rPr>
          <w:rFonts w:ascii="Times" w:hAnsi="Times"/>
          <w:b/>
          <w:sz w:val="23"/>
          <w:szCs w:val="23"/>
        </w:rPr>
      </w:pPr>
      <w:r w:rsidRPr="004C5BF6">
        <w:rPr>
          <w:rFonts w:ascii="Times" w:hAnsi="Times"/>
          <w:b/>
          <w:sz w:val="23"/>
          <w:szCs w:val="23"/>
        </w:rPr>
        <w:t xml:space="preserve">SOGIESC </w:t>
      </w:r>
      <w:r w:rsidR="004C5BF6" w:rsidRPr="004C5BF6">
        <w:rPr>
          <w:rFonts w:ascii="Times" w:hAnsi="Times"/>
          <w:b/>
          <w:sz w:val="23"/>
          <w:szCs w:val="23"/>
        </w:rPr>
        <w:t xml:space="preserve">&amp; Poverty: </w:t>
      </w:r>
      <w:r w:rsidR="004C5BF6" w:rsidRPr="00B05E21">
        <w:rPr>
          <w:rFonts w:ascii="Times" w:hAnsi="Times"/>
          <w:sz w:val="23"/>
          <w:szCs w:val="23"/>
        </w:rPr>
        <w:t xml:space="preserve">Context of human rights of LGBTIQ persons </w:t>
      </w:r>
    </w:p>
    <w:p w14:paraId="09650E1B" w14:textId="77777777" w:rsidR="004C5BF6" w:rsidRDefault="004C5BF6" w:rsidP="00A35107">
      <w:pPr>
        <w:rPr>
          <w:rFonts w:ascii="Times" w:hAnsi="Times"/>
          <w:sz w:val="23"/>
          <w:szCs w:val="23"/>
        </w:rPr>
      </w:pPr>
    </w:p>
    <w:p w14:paraId="53614E1D" w14:textId="580D182B" w:rsidR="002C36AA" w:rsidRDefault="002C36AA" w:rsidP="00A35107">
      <w:pPr>
        <w:rPr>
          <w:rFonts w:ascii="Times" w:hAnsi="Times"/>
          <w:sz w:val="23"/>
          <w:szCs w:val="23"/>
        </w:rPr>
      </w:pPr>
      <w:r>
        <w:rPr>
          <w:rFonts w:ascii="Times" w:hAnsi="Times"/>
          <w:sz w:val="23"/>
          <w:szCs w:val="23"/>
        </w:rPr>
        <w:t>LGBTQ persons in Malaysia are criminalized under multiple Federal and state laws, including</w:t>
      </w:r>
      <w:r w:rsidR="00641521">
        <w:rPr>
          <w:rFonts w:ascii="Times" w:hAnsi="Times"/>
          <w:sz w:val="23"/>
          <w:szCs w:val="23"/>
        </w:rPr>
        <w:t xml:space="preserve"> </w:t>
      </w:r>
      <w:r>
        <w:rPr>
          <w:rFonts w:ascii="Times" w:hAnsi="Times"/>
          <w:sz w:val="23"/>
          <w:szCs w:val="23"/>
        </w:rPr>
        <w:t xml:space="preserve"> </w:t>
      </w:r>
    </w:p>
    <w:p w14:paraId="4DFD2AEA" w14:textId="616B607C" w:rsidR="002C36AA" w:rsidRPr="00641521" w:rsidRDefault="002C36AA" w:rsidP="002C36AA">
      <w:pPr>
        <w:pStyle w:val="ListParagraph"/>
        <w:numPr>
          <w:ilvl w:val="0"/>
          <w:numId w:val="4"/>
        </w:numPr>
        <w:rPr>
          <w:rFonts w:ascii="Times" w:hAnsi="Times"/>
          <w:sz w:val="23"/>
          <w:szCs w:val="23"/>
        </w:rPr>
      </w:pPr>
      <w:r w:rsidRPr="00641521">
        <w:rPr>
          <w:rFonts w:ascii="Times" w:hAnsi="Times"/>
          <w:sz w:val="23"/>
          <w:szCs w:val="23"/>
        </w:rPr>
        <w:t>Section 377 A, B, D of the Penal Code 574</w:t>
      </w:r>
      <w:r w:rsidR="00641521" w:rsidRPr="00641521">
        <w:rPr>
          <w:rFonts w:ascii="Times" w:hAnsi="Times"/>
          <w:sz w:val="23"/>
          <w:szCs w:val="23"/>
        </w:rPr>
        <w:t xml:space="preserve"> (Federal)</w:t>
      </w:r>
    </w:p>
    <w:p w14:paraId="78073384" w14:textId="47504E2E" w:rsidR="00641521" w:rsidRPr="00641521" w:rsidRDefault="00641521" w:rsidP="002C36AA">
      <w:pPr>
        <w:pStyle w:val="ListParagraph"/>
        <w:numPr>
          <w:ilvl w:val="0"/>
          <w:numId w:val="4"/>
        </w:numPr>
        <w:rPr>
          <w:rFonts w:ascii="Times" w:hAnsi="Times"/>
          <w:sz w:val="23"/>
          <w:szCs w:val="23"/>
        </w:rPr>
      </w:pPr>
      <w:r w:rsidRPr="00641521">
        <w:rPr>
          <w:rFonts w:ascii="Times" w:hAnsi="Times"/>
          <w:sz w:val="23"/>
          <w:szCs w:val="23"/>
        </w:rPr>
        <w:t xml:space="preserve">Syariah criminal offences act at the state level </w:t>
      </w:r>
    </w:p>
    <w:p w14:paraId="3EC2A6BB" w14:textId="5B9D9A71" w:rsidR="00641521" w:rsidRPr="00641521" w:rsidRDefault="00641521" w:rsidP="00641521">
      <w:pPr>
        <w:pStyle w:val="ListParagraph"/>
        <w:numPr>
          <w:ilvl w:val="1"/>
          <w:numId w:val="4"/>
        </w:numPr>
        <w:rPr>
          <w:rFonts w:ascii="Times" w:hAnsi="Times"/>
          <w:sz w:val="23"/>
          <w:szCs w:val="23"/>
        </w:rPr>
      </w:pPr>
      <w:r w:rsidRPr="00641521">
        <w:rPr>
          <w:rFonts w:ascii="Times" w:hAnsi="Times"/>
          <w:sz w:val="23"/>
          <w:szCs w:val="23"/>
        </w:rPr>
        <w:t>Male person posing as a woman in 14 states</w:t>
      </w:r>
    </w:p>
    <w:p w14:paraId="123176B5" w14:textId="517280DE" w:rsidR="00641521" w:rsidRPr="00641521" w:rsidRDefault="00641521" w:rsidP="00641521">
      <w:pPr>
        <w:pStyle w:val="ListParagraph"/>
        <w:numPr>
          <w:ilvl w:val="1"/>
          <w:numId w:val="4"/>
        </w:numPr>
        <w:rPr>
          <w:rFonts w:ascii="Times" w:hAnsi="Times"/>
          <w:sz w:val="23"/>
          <w:szCs w:val="23"/>
        </w:rPr>
      </w:pPr>
      <w:r w:rsidRPr="00641521">
        <w:rPr>
          <w:rFonts w:ascii="Times" w:hAnsi="Times"/>
          <w:sz w:val="23"/>
          <w:szCs w:val="23"/>
        </w:rPr>
        <w:t>Female person posing as a woman in 3 states</w:t>
      </w:r>
    </w:p>
    <w:p w14:paraId="4FB227F6" w14:textId="0E89ED7C" w:rsidR="00641521" w:rsidRPr="00641521" w:rsidRDefault="00641521" w:rsidP="00641521">
      <w:pPr>
        <w:pStyle w:val="ListParagraph"/>
        <w:numPr>
          <w:ilvl w:val="1"/>
          <w:numId w:val="4"/>
        </w:numPr>
        <w:rPr>
          <w:rFonts w:ascii="Times" w:hAnsi="Times"/>
          <w:sz w:val="23"/>
          <w:szCs w:val="23"/>
        </w:rPr>
      </w:pPr>
      <w:r w:rsidRPr="00641521">
        <w:rPr>
          <w:rFonts w:ascii="Times" w:hAnsi="Times"/>
          <w:sz w:val="23"/>
          <w:szCs w:val="23"/>
        </w:rPr>
        <w:t xml:space="preserve">Musahaqah (sexual relations between women) in 12 states </w:t>
      </w:r>
    </w:p>
    <w:p w14:paraId="29F1002F" w14:textId="32F49BA3" w:rsidR="00641521" w:rsidRPr="00641521" w:rsidRDefault="00641521" w:rsidP="00641521">
      <w:pPr>
        <w:pStyle w:val="ListParagraph"/>
        <w:numPr>
          <w:ilvl w:val="1"/>
          <w:numId w:val="4"/>
        </w:numPr>
        <w:rPr>
          <w:rFonts w:ascii="Times" w:hAnsi="Times"/>
          <w:sz w:val="23"/>
          <w:szCs w:val="23"/>
        </w:rPr>
      </w:pPr>
      <w:r w:rsidRPr="00641521">
        <w:rPr>
          <w:rFonts w:ascii="Times" w:hAnsi="Times"/>
          <w:sz w:val="23"/>
          <w:szCs w:val="23"/>
        </w:rPr>
        <w:t>Liwat (sexual relations between men) in 12 states</w:t>
      </w:r>
    </w:p>
    <w:p w14:paraId="6ED42508" w14:textId="77777777" w:rsidR="00641521" w:rsidRPr="002F031D" w:rsidRDefault="00641521" w:rsidP="00641521">
      <w:pPr>
        <w:pStyle w:val="ListParagraph"/>
        <w:ind w:left="1440"/>
        <w:rPr>
          <w:rFonts w:ascii="Times" w:hAnsi="Times"/>
          <w:b/>
          <w:sz w:val="23"/>
          <w:szCs w:val="23"/>
        </w:rPr>
      </w:pPr>
    </w:p>
    <w:p w14:paraId="44B1870B" w14:textId="0DED12CC" w:rsidR="00641521" w:rsidRDefault="00641521" w:rsidP="00A35107">
      <w:pPr>
        <w:rPr>
          <w:rFonts w:ascii="Times" w:eastAsia="Times" w:hAnsi="Times" w:cs="Times"/>
          <w:color w:val="000000"/>
          <w:sz w:val="23"/>
          <w:szCs w:val="23"/>
        </w:rPr>
      </w:pPr>
      <w:r>
        <w:rPr>
          <w:rFonts w:ascii="Times" w:hAnsi="Times"/>
          <w:sz w:val="23"/>
          <w:szCs w:val="23"/>
        </w:rPr>
        <w:t xml:space="preserve">In addition, there are state funded activities overseen by the </w:t>
      </w:r>
      <w:r w:rsidRPr="00356059">
        <w:rPr>
          <w:rFonts w:ascii="Times" w:eastAsia="Times New Roman" w:hAnsi="Times" w:cs="Times New Roman"/>
          <w:sz w:val="23"/>
          <w:szCs w:val="23"/>
        </w:rPr>
        <w:t>Prime Minister's Department (Religion</w:t>
      </w:r>
      <w:r>
        <w:rPr>
          <w:rFonts w:ascii="Times" w:eastAsia="Times New Roman" w:hAnsi="Times" w:cs="Times New Roman"/>
          <w:sz w:val="23"/>
          <w:szCs w:val="23"/>
        </w:rPr>
        <w:t xml:space="preserve"> Affairs</w:t>
      </w:r>
      <w:r w:rsidRPr="00356059">
        <w:rPr>
          <w:rFonts w:ascii="Times" w:eastAsia="Times New Roman" w:hAnsi="Times" w:cs="Times New Roman"/>
          <w:sz w:val="23"/>
          <w:szCs w:val="23"/>
        </w:rPr>
        <w:t>)</w:t>
      </w:r>
      <w:r>
        <w:rPr>
          <w:rFonts w:ascii="Times" w:eastAsia="Times New Roman" w:hAnsi="Times" w:cs="Times New Roman"/>
          <w:sz w:val="23"/>
          <w:szCs w:val="23"/>
        </w:rPr>
        <w:t xml:space="preserve"> that focus on rehabilitation of LGBTQ people. </w:t>
      </w:r>
      <w:r>
        <w:rPr>
          <w:rFonts w:ascii="Times" w:eastAsia="Times" w:hAnsi="Times" w:cs="Times"/>
          <w:sz w:val="23"/>
          <w:szCs w:val="23"/>
        </w:rPr>
        <w:t xml:space="preserve">In July 2018, Dato’ Mujahid Rawa, the Minister of Religious Affairs in Prime Minister’s Department, </w:t>
      </w:r>
      <w:r>
        <w:rPr>
          <w:rFonts w:ascii="Times" w:eastAsia="Times" w:hAnsi="Times" w:cs="Times"/>
          <w:color w:val="000000"/>
          <w:sz w:val="23"/>
          <w:szCs w:val="23"/>
        </w:rPr>
        <w:t>noted that the current administration would be continuing JAKIM</w:t>
      </w:r>
      <w:r>
        <w:rPr>
          <w:rFonts w:ascii="Times" w:eastAsia="Times" w:hAnsi="Times" w:cs="Times"/>
          <w:sz w:val="23"/>
          <w:szCs w:val="23"/>
        </w:rPr>
        <w:t>-</w:t>
      </w:r>
      <w:r>
        <w:rPr>
          <w:rFonts w:ascii="Times" w:eastAsia="Times" w:hAnsi="Times" w:cs="Times"/>
          <w:color w:val="000000"/>
          <w:sz w:val="23"/>
          <w:szCs w:val="23"/>
        </w:rPr>
        <w:t xml:space="preserve">initiated programmes, among others </w:t>
      </w:r>
    </w:p>
    <w:p w14:paraId="4D513E81" w14:textId="37F71B09" w:rsidR="00641521" w:rsidRPr="00641521" w:rsidRDefault="00641521" w:rsidP="00641521">
      <w:pPr>
        <w:pStyle w:val="ListParagraph"/>
        <w:numPr>
          <w:ilvl w:val="0"/>
          <w:numId w:val="5"/>
        </w:numPr>
        <w:rPr>
          <w:rFonts w:ascii="Times" w:eastAsia="Times New Roman" w:hAnsi="Times" w:cs="Times New Roman"/>
          <w:sz w:val="23"/>
          <w:szCs w:val="23"/>
        </w:rPr>
      </w:pPr>
      <w:r w:rsidRPr="00641521">
        <w:rPr>
          <w:rFonts w:ascii="Times" w:eastAsia="Times" w:hAnsi="Times" w:cs="Times"/>
          <w:color w:val="000000"/>
          <w:sz w:val="23"/>
          <w:szCs w:val="23"/>
        </w:rPr>
        <w:t xml:space="preserve">Treatment and rehabilitation </w:t>
      </w:r>
      <w:r w:rsidRPr="00641521">
        <w:rPr>
          <w:rFonts w:ascii="Times" w:eastAsia="Times" w:hAnsi="Times" w:cs="Times"/>
          <w:i/>
          <w:color w:val="000000"/>
          <w:sz w:val="23"/>
          <w:szCs w:val="23"/>
        </w:rPr>
        <w:t xml:space="preserve">‘Ilaj Wa Syifa, </w:t>
      </w:r>
    </w:p>
    <w:p w14:paraId="5FC26F07" w14:textId="77777777" w:rsidR="004C5BF6" w:rsidRPr="004C5BF6" w:rsidRDefault="00641521" w:rsidP="004C5BF6">
      <w:pPr>
        <w:pStyle w:val="ListParagraph"/>
        <w:numPr>
          <w:ilvl w:val="0"/>
          <w:numId w:val="5"/>
        </w:numPr>
        <w:rPr>
          <w:rFonts w:ascii="Times" w:eastAsia="Times New Roman" w:hAnsi="Times" w:cs="Times New Roman"/>
          <w:sz w:val="23"/>
          <w:szCs w:val="23"/>
        </w:rPr>
      </w:pPr>
      <w:r w:rsidRPr="00641521">
        <w:rPr>
          <w:rFonts w:ascii="Times" w:eastAsia="Times" w:hAnsi="Times" w:cs="Times"/>
          <w:color w:val="000000"/>
          <w:sz w:val="23"/>
          <w:szCs w:val="23"/>
        </w:rPr>
        <w:t>Various seminars and programs targeting civil society including students, public and private universities, school counsellors, parents, volunteers, health staff and representatives of Muslim NGOs.</w:t>
      </w:r>
    </w:p>
    <w:p w14:paraId="4A37FE0F" w14:textId="140BE777" w:rsidR="00641521" w:rsidRPr="004C5BF6" w:rsidRDefault="00641521" w:rsidP="004C5BF6">
      <w:pPr>
        <w:pStyle w:val="ListParagraph"/>
        <w:numPr>
          <w:ilvl w:val="0"/>
          <w:numId w:val="5"/>
        </w:numPr>
        <w:rPr>
          <w:rFonts w:ascii="Times" w:eastAsia="Times New Roman" w:hAnsi="Times" w:cs="Times New Roman"/>
          <w:sz w:val="23"/>
          <w:szCs w:val="23"/>
        </w:rPr>
      </w:pPr>
      <w:r w:rsidRPr="004C5BF6">
        <w:rPr>
          <w:rFonts w:ascii="Times" w:eastAsia="Times" w:hAnsi="Times" w:cs="Times"/>
          <w:b/>
          <w:color w:val="000000"/>
          <w:sz w:val="23"/>
          <w:szCs w:val="23"/>
        </w:rPr>
        <w:t>Pelan Tindakan Menangani Gejala Sosial Perlakuan LGBT 2017 - 2021</w:t>
      </w:r>
      <w:r>
        <w:rPr>
          <w:rFonts w:eastAsia="Times" w:cs="Times"/>
          <w:b/>
          <w:color w:val="000000"/>
          <w:vertAlign w:val="superscript"/>
        </w:rPr>
        <w:footnoteReference w:id="3"/>
      </w:r>
      <w:r w:rsidRPr="004C5BF6">
        <w:rPr>
          <w:rFonts w:ascii="Times" w:eastAsia="Times" w:hAnsi="Times" w:cs="Times"/>
          <w:color w:val="000000"/>
          <w:sz w:val="23"/>
          <w:szCs w:val="23"/>
        </w:rPr>
        <w:t xml:space="preserve"> </w:t>
      </w:r>
      <w:r w:rsidRPr="004C5BF6">
        <w:rPr>
          <w:rFonts w:ascii="Times" w:eastAsia="Times" w:hAnsi="Times" w:cs="Times"/>
          <w:i/>
          <w:color w:val="000000"/>
          <w:sz w:val="23"/>
          <w:szCs w:val="23"/>
        </w:rPr>
        <w:t>(Action Plan to address Social Ills LGBT behavior 2017-2021</w:t>
      </w:r>
      <w:r w:rsidRPr="004C5BF6">
        <w:rPr>
          <w:rFonts w:ascii="Times" w:eastAsia="Times" w:hAnsi="Times" w:cs="Times"/>
          <w:color w:val="000000"/>
          <w:sz w:val="23"/>
          <w:szCs w:val="23"/>
        </w:rPr>
        <w:t xml:space="preserve">), a 5 year action plan to proactively and </w:t>
      </w:r>
      <w:r w:rsidR="004C5BF6">
        <w:rPr>
          <w:rFonts w:ascii="Times" w:eastAsia="Times" w:hAnsi="Times" w:cs="Times"/>
          <w:color w:val="000000"/>
          <w:sz w:val="23"/>
          <w:szCs w:val="23"/>
        </w:rPr>
        <w:t>efficiently address the growing LGBT issues</w:t>
      </w:r>
      <w:r w:rsidRPr="004C5BF6">
        <w:rPr>
          <w:rFonts w:ascii="Times" w:eastAsia="Times" w:hAnsi="Times" w:cs="Times"/>
          <w:color w:val="000000"/>
          <w:sz w:val="23"/>
          <w:szCs w:val="23"/>
        </w:rPr>
        <w:t xml:space="preserve"> in partnership with 22 strategic partners including the Ministry of Health, Ministry of Sport and Youth, Ministry of Women, Development and Community, state Islamic departments and other state agencies. </w:t>
      </w:r>
    </w:p>
    <w:p w14:paraId="33E3EBF2" w14:textId="77777777" w:rsidR="002C36AA" w:rsidRDefault="002C36AA" w:rsidP="00A35107">
      <w:pPr>
        <w:rPr>
          <w:rFonts w:ascii="Times" w:hAnsi="Times"/>
          <w:sz w:val="23"/>
          <w:szCs w:val="23"/>
        </w:rPr>
      </w:pPr>
    </w:p>
    <w:p w14:paraId="58FBE712" w14:textId="284876B1" w:rsidR="004C5BF6" w:rsidRDefault="004C5BF6" w:rsidP="00A35107">
      <w:pPr>
        <w:rPr>
          <w:rFonts w:ascii="Times" w:hAnsi="Times"/>
          <w:sz w:val="23"/>
          <w:szCs w:val="23"/>
        </w:rPr>
      </w:pPr>
      <w:r>
        <w:rPr>
          <w:rFonts w:ascii="Times" w:hAnsi="Times"/>
          <w:sz w:val="23"/>
          <w:szCs w:val="23"/>
        </w:rPr>
        <w:t xml:space="preserve">The human rights situation of LGBTQ persons continue to regress due to the increasing homophobia and transphobia by non state actors and state actors. </w:t>
      </w:r>
    </w:p>
    <w:p w14:paraId="27BB7522" w14:textId="52DC8B29" w:rsidR="004C5BF6" w:rsidRDefault="004C5BF6" w:rsidP="00A35107">
      <w:pPr>
        <w:rPr>
          <w:rFonts w:ascii="Times" w:hAnsi="Times"/>
          <w:sz w:val="23"/>
          <w:szCs w:val="23"/>
        </w:rPr>
      </w:pPr>
      <w:r>
        <w:rPr>
          <w:rFonts w:ascii="Times" w:hAnsi="Times"/>
          <w:sz w:val="23"/>
          <w:szCs w:val="23"/>
        </w:rPr>
        <w:t xml:space="preserve"> </w:t>
      </w:r>
    </w:p>
    <w:p w14:paraId="0EFCCB2B" w14:textId="77777777" w:rsidR="004C5BF6" w:rsidRPr="006C60A0" w:rsidRDefault="004C5BF6" w:rsidP="004C5BF6">
      <w:pPr>
        <w:rPr>
          <w:rFonts w:ascii="Times" w:hAnsi="Times"/>
          <w:b/>
          <w:sz w:val="23"/>
          <w:szCs w:val="23"/>
        </w:rPr>
      </w:pPr>
      <w:r w:rsidRPr="006C60A0">
        <w:rPr>
          <w:rFonts w:ascii="Times" w:hAnsi="Times"/>
          <w:b/>
          <w:sz w:val="23"/>
          <w:szCs w:val="23"/>
        </w:rPr>
        <w:t xml:space="preserve">SOGIESC &amp; Poverty: </w:t>
      </w:r>
      <w:r w:rsidRPr="00B05E21">
        <w:rPr>
          <w:rFonts w:ascii="Times" w:hAnsi="Times"/>
          <w:sz w:val="23"/>
          <w:szCs w:val="23"/>
        </w:rPr>
        <w:t xml:space="preserve">Issues </w:t>
      </w:r>
    </w:p>
    <w:p w14:paraId="660691DF" w14:textId="048EA97F" w:rsidR="006802B1" w:rsidRPr="006C60A0" w:rsidRDefault="006802B1" w:rsidP="006C60A0">
      <w:pPr>
        <w:rPr>
          <w:rFonts w:ascii="Times" w:hAnsi="Times"/>
          <w:b/>
          <w:sz w:val="23"/>
          <w:szCs w:val="23"/>
        </w:rPr>
      </w:pPr>
      <w:r w:rsidRPr="006C60A0">
        <w:rPr>
          <w:rFonts w:ascii="Times" w:hAnsi="Times"/>
          <w:b/>
          <w:sz w:val="23"/>
          <w:szCs w:val="23"/>
        </w:rPr>
        <w:t xml:space="preserve">Criminalization, social stigma and </w:t>
      </w:r>
      <w:r w:rsidR="00C359A3" w:rsidRPr="006C60A0">
        <w:rPr>
          <w:rFonts w:ascii="Times" w:hAnsi="Times"/>
          <w:b/>
          <w:sz w:val="23"/>
          <w:szCs w:val="23"/>
        </w:rPr>
        <w:t>non-evidence</w:t>
      </w:r>
      <w:r w:rsidRPr="006C60A0">
        <w:rPr>
          <w:rFonts w:ascii="Times" w:hAnsi="Times"/>
          <w:b/>
          <w:sz w:val="23"/>
          <w:szCs w:val="23"/>
        </w:rPr>
        <w:t xml:space="preserve"> and </w:t>
      </w:r>
      <w:r w:rsidR="00C359A3" w:rsidRPr="006C60A0">
        <w:rPr>
          <w:rFonts w:ascii="Times" w:hAnsi="Times"/>
          <w:b/>
          <w:sz w:val="23"/>
          <w:szCs w:val="23"/>
        </w:rPr>
        <w:t>rights based policies impact access t</w:t>
      </w:r>
      <w:r w:rsidR="00B05E21">
        <w:rPr>
          <w:rFonts w:ascii="Times" w:hAnsi="Times"/>
          <w:b/>
          <w:sz w:val="23"/>
          <w:szCs w:val="23"/>
        </w:rPr>
        <w:t>o employment and education, resulting in</w:t>
      </w:r>
      <w:r w:rsidRPr="006C60A0">
        <w:rPr>
          <w:rFonts w:ascii="Times" w:hAnsi="Times"/>
          <w:b/>
          <w:sz w:val="23"/>
          <w:szCs w:val="23"/>
        </w:rPr>
        <w:t xml:space="preserve"> poverty </w:t>
      </w:r>
      <w:r w:rsidR="00B05E21">
        <w:rPr>
          <w:rFonts w:ascii="Times" w:hAnsi="Times"/>
          <w:b/>
          <w:sz w:val="23"/>
          <w:szCs w:val="23"/>
        </w:rPr>
        <w:t>and economic marginalization</w:t>
      </w:r>
    </w:p>
    <w:p w14:paraId="1FA25862" w14:textId="77777777" w:rsidR="00CB2C0A" w:rsidRDefault="00CB2C0A" w:rsidP="00A02DF9">
      <w:pPr>
        <w:rPr>
          <w:rFonts w:ascii="Times" w:hAnsi="Times"/>
          <w:sz w:val="23"/>
          <w:szCs w:val="23"/>
        </w:rPr>
      </w:pPr>
    </w:p>
    <w:p w14:paraId="260526BE" w14:textId="261D35F0" w:rsidR="0030269E" w:rsidRDefault="00CB2C0A" w:rsidP="00A02DF9">
      <w:pPr>
        <w:rPr>
          <w:rFonts w:ascii="Times" w:hAnsi="Times"/>
          <w:sz w:val="23"/>
          <w:szCs w:val="23"/>
        </w:rPr>
      </w:pPr>
      <w:r>
        <w:rPr>
          <w:rFonts w:ascii="Times" w:hAnsi="Times"/>
          <w:sz w:val="23"/>
          <w:szCs w:val="23"/>
        </w:rPr>
        <w:t xml:space="preserve">Criminalization of LGBTQ persons </w:t>
      </w:r>
      <w:r w:rsidR="0030269E">
        <w:rPr>
          <w:rFonts w:ascii="Times" w:hAnsi="Times"/>
          <w:sz w:val="23"/>
          <w:szCs w:val="23"/>
        </w:rPr>
        <w:t xml:space="preserve">reinforces the stereotypes of LGBTQ persons as criminals, deviants, among other things. </w:t>
      </w:r>
      <w:r w:rsidR="00375BD3">
        <w:rPr>
          <w:rFonts w:ascii="Times" w:hAnsi="Times"/>
          <w:sz w:val="23"/>
          <w:szCs w:val="23"/>
        </w:rPr>
        <w:t>Amongst other things, t</w:t>
      </w:r>
      <w:r w:rsidR="0004506A">
        <w:rPr>
          <w:rFonts w:ascii="Times" w:hAnsi="Times"/>
          <w:sz w:val="23"/>
          <w:szCs w:val="23"/>
        </w:rPr>
        <w:t xml:space="preserve">hese stereotypes have adverse impact on employability of LGBTQ persons. In addition, the </w:t>
      </w:r>
      <w:r w:rsidR="00A23DB2">
        <w:rPr>
          <w:rFonts w:ascii="Times" w:hAnsi="Times"/>
          <w:sz w:val="23"/>
          <w:szCs w:val="23"/>
        </w:rPr>
        <w:t>patriarchal</w:t>
      </w:r>
      <w:r w:rsidR="0004506A">
        <w:rPr>
          <w:rFonts w:ascii="Times" w:hAnsi="Times"/>
          <w:sz w:val="23"/>
          <w:szCs w:val="23"/>
        </w:rPr>
        <w:t xml:space="preserve"> religious narratives and sentiments towards LGBTQ persons also result in denial or limited opportunities, as supporting LGBTQ persons is perceived as an act of complicity. </w:t>
      </w:r>
    </w:p>
    <w:p w14:paraId="766E0AEC" w14:textId="77777777" w:rsidR="00CB2C0A" w:rsidRDefault="00CB2C0A" w:rsidP="00A02DF9">
      <w:pPr>
        <w:rPr>
          <w:rFonts w:ascii="Times" w:hAnsi="Times"/>
          <w:sz w:val="23"/>
          <w:szCs w:val="23"/>
        </w:rPr>
      </w:pPr>
    </w:p>
    <w:p w14:paraId="6937ED18" w14:textId="75E3764E" w:rsidR="00A02DF9" w:rsidRDefault="0030269E" w:rsidP="00A02DF9">
      <w:pPr>
        <w:rPr>
          <w:rFonts w:ascii="Times" w:hAnsi="Times"/>
          <w:sz w:val="23"/>
          <w:szCs w:val="23"/>
        </w:rPr>
      </w:pPr>
      <w:r>
        <w:rPr>
          <w:rFonts w:ascii="Times" w:hAnsi="Times"/>
          <w:sz w:val="23"/>
          <w:szCs w:val="23"/>
        </w:rPr>
        <w:t>Anecdotal evidence shows m</w:t>
      </w:r>
      <w:r w:rsidR="00CB2C0A">
        <w:rPr>
          <w:rFonts w:ascii="Times" w:hAnsi="Times"/>
          <w:sz w:val="23"/>
          <w:szCs w:val="23"/>
        </w:rPr>
        <w:t>any trans women who are arrested and detaine</w:t>
      </w:r>
      <w:r>
        <w:rPr>
          <w:rFonts w:ascii="Times" w:hAnsi="Times"/>
          <w:sz w:val="23"/>
          <w:szCs w:val="23"/>
        </w:rPr>
        <w:t xml:space="preserve">d face issues of job insecurity. </w:t>
      </w:r>
      <w:r w:rsidR="00A02DF9">
        <w:rPr>
          <w:rFonts w:ascii="Times" w:hAnsi="Times"/>
          <w:sz w:val="23"/>
          <w:szCs w:val="23"/>
        </w:rPr>
        <w:t xml:space="preserve">I am Scared to be a woman (2014), a report on the situation of human rights of trans people by Human Rights Watch includes a case of </w:t>
      </w:r>
      <w:r w:rsidR="00CB2C0A">
        <w:rPr>
          <w:rFonts w:ascii="Times" w:hAnsi="Times"/>
          <w:sz w:val="23"/>
          <w:szCs w:val="23"/>
        </w:rPr>
        <w:t xml:space="preserve">a trans woman who was fired after her arrest was publicized in the media. </w:t>
      </w:r>
    </w:p>
    <w:p w14:paraId="2ABA845F" w14:textId="77777777" w:rsidR="00A02DF9" w:rsidRPr="00A02DF9" w:rsidRDefault="00A02DF9" w:rsidP="00A02DF9">
      <w:pPr>
        <w:rPr>
          <w:rFonts w:ascii="Times" w:hAnsi="Times"/>
          <w:sz w:val="23"/>
          <w:szCs w:val="23"/>
        </w:rPr>
      </w:pPr>
    </w:p>
    <w:p w14:paraId="0A5BBCE7" w14:textId="77777777" w:rsidR="00A02DF9" w:rsidRDefault="00A02DF9" w:rsidP="00A02DF9">
      <w:pPr>
        <w:pStyle w:val="NoSpacing"/>
        <w:ind w:left="720"/>
        <w:rPr>
          <w:rFonts w:ascii="Times" w:hAnsi="Times"/>
          <w:sz w:val="23"/>
          <w:szCs w:val="23"/>
        </w:rPr>
      </w:pPr>
      <w:r w:rsidRPr="00A02DF9">
        <w:rPr>
          <w:rFonts w:ascii="Times" w:hAnsi="Times"/>
          <w:sz w:val="23"/>
          <w:szCs w:val="23"/>
        </w:rPr>
        <w:t xml:space="preserve">Beka told Human Rights Watch that she was fired from her job as a waitress in a restaurant after she was arrested the first time: </w:t>
      </w:r>
    </w:p>
    <w:p w14:paraId="218FB1EC" w14:textId="77777777" w:rsidR="00A02DF9" w:rsidRPr="00A02DF9" w:rsidRDefault="00A02DF9" w:rsidP="00A02DF9">
      <w:pPr>
        <w:pStyle w:val="NoSpacing"/>
        <w:ind w:left="720"/>
        <w:rPr>
          <w:rFonts w:ascii="Times" w:hAnsi="Times"/>
          <w:sz w:val="23"/>
          <w:szCs w:val="23"/>
        </w:rPr>
      </w:pPr>
    </w:p>
    <w:p w14:paraId="7C6A9406" w14:textId="21E89F5A" w:rsidR="00A02DF9" w:rsidRPr="00A02DF9" w:rsidRDefault="00A02DF9" w:rsidP="00A02DF9">
      <w:pPr>
        <w:pStyle w:val="NoSpacing"/>
        <w:ind w:left="720"/>
        <w:rPr>
          <w:rFonts w:ascii="Times" w:hAnsi="Times"/>
          <w:sz w:val="23"/>
          <w:szCs w:val="23"/>
        </w:rPr>
      </w:pPr>
      <w:r w:rsidRPr="00A02DF9">
        <w:rPr>
          <w:rFonts w:ascii="Times" w:hAnsi="Times"/>
          <w:sz w:val="23"/>
          <w:szCs w:val="23"/>
        </w:rPr>
        <w:t>Because of that I lost my job. [My arrest] was published in the newspaper, with a blur on my face, but my statement was there. ... My colleagues at work spread around the story. My manager got the newspaper, and he said, ‘I don’t agree with that.’ My manager knew I was a mak nyah, but he was upset that I was in the paper, so he fired me.</w:t>
      </w:r>
      <w:r>
        <w:rPr>
          <w:rStyle w:val="FootnoteReference"/>
          <w:rFonts w:ascii="Times" w:hAnsi="Times"/>
          <w:sz w:val="23"/>
          <w:szCs w:val="23"/>
        </w:rPr>
        <w:footnoteReference w:id="4"/>
      </w:r>
    </w:p>
    <w:p w14:paraId="11019E47" w14:textId="77777777" w:rsidR="00A02DF9" w:rsidRDefault="00A02DF9" w:rsidP="00C359A3">
      <w:pPr>
        <w:rPr>
          <w:rFonts w:ascii="Times" w:hAnsi="Times"/>
          <w:sz w:val="23"/>
          <w:szCs w:val="23"/>
        </w:rPr>
      </w:pPr>
    </w:p>
    <w:p w14:paraId="762125CD" w14:textId="77777777" w:rsidR="00105774" w:rsidRDefault="00C359A3" w:rsidP="00C359A3">
      <w:pPr>
        <w:rPr>
          <w:rFonts w:ascii="Times" w:eastAsia="Times New Roman" w:hAnsi="Times" w:cs="Times New Roman"/>
          <w:sz w:val="23"/>
          <w:szCs w:val="23"/>
        </w:rPr>
      </w:pPr>
      <w:r w:rsidRPr="006C60A0">
        <w:rPr>
          <w:rFonts w:ascii="Times" w:eastAsia="Times New Roman" w:hAnsi="Times" w:cs="Times New Roman"/>
          <w:bCs/>
          <w:sz w:val="23"/>
          <w:szCs w:val="23"/>
        </w:rPr>
        <w:t xml:space="preserve">The </w:t>
      </w:r>
      <w:r w:rsidR="006C60A0">
        <w:rPr>
          <w:rFonts w:ascii="Times" w:eastAsia="Times New Roman" w:hAnsi="Times" w:cs="Times New Roman"/>
          <w:bCs/>
          <w:sz w:val="23"/>
          <w:szCs w:val="23"/>
        </w:rPr>
        <w:t>‘S</w:t>
      </w:r>
      <w:r w:rsidRPr="006C60A0">
        <w:rPr>
          <w:rFonts w:ascii="Times" w:eastAsia="Times New Roman" w:hAnsi="Times" w:cs="Times New Roman"/>
          <w:bCs/>
          <w:sz w:val="23"/>
          <w:szCs w:val="23"/>
        </w:rPr>
        <w:t xml:space="preserve">tudy on discrimination against transgender persons based in Kuala Lumpur and Selangor </w:t>
      </w:r>
      <w:r w:rsidRPr="006C60A0">
        <w:rPr>
          <w:rFonts w:ascii="Times" w:eastAsia="Times New Roman" w:hAnsi="Times" w:cs="Times New Roman"/>
          <w:sz w:val="23"/>
          <w:szCs w:val="23"/>
        </w:rPr>
        <w:t>(Right to education, employment, healthcare, housing and dignity)</w:t>
      </w:r>
      <w:r w:rsidR="006C60A0">
        <w:rPr>
          <w:rFonts w:ascii="Times" w:eastAsia="Times New Roman" w:hAnsi="Times" w:cs="Times New Roman"/>
          <w:sz w:val="23"/>
          <w:szCs w:val="23"/>
        </w:rPr>
        <w:t>’</w:t>
      </w:r>
      <w:r w:rsidRPr="006C60A0">
        <w:rPr>
          <w:rFonts w:ascii="Times" w:eastAsia="Times New Roman" w:hAnsi="Times" w:cs="Times New Roman"/>
          <w:sz w:val="23"/>
          <w:szCs w:val="23"/>
        </w:rPr>
        <w:t xml:space="preserve"> by the Human Rights Commission of Malaysia (SUHAKAM</w:t>
      </w:r>
      <w:r w:rsidR="006C60A0">
        <w:rPr>
          <w:rFonts w:ascii="Times" w:eastAsia="Times New Roman" w:hAnsi="Times" w:cs="Times New Roman"/>
          <w:sz w:val="23"/>
          <w:szCs w:val="23"/>
        </w:rPr>
        <w:t>) (</w:t>
      </w:r>
      <w:r w:rsidRPr="006C60A0">
        <w:rPr>
          <w:rFonts w:ascii="Times" w:eastAsia="Times New Roman" w:hAnsi="Times" w:cs="Times New Roman"/>
          <w:sz w:val="23"/>
          <w:szCs w:val="23"/>
        </w:rPr>
        <w:t>2019</w:t>
      </w:r>
      <w:r w:rsidR="006C60A0">
        <w:rPr>
          <w:rFonts w:ascii="Times" w:eastAsia="Times New Roman" w:hAnsi="Times" w:cs="Times New Roman"/>
          <w:sz w:val="23"/>
          <w:szCs w:val="23"/>
        </w:rPr>
        <w:t>)</w:t>
      </w:r>
      <w:r w:rsidRPr="006C60A0">
        <w:rPr>
          <w:rFonts w:ascii="Times" w:eastAsia="Times New Roman" w:hAnsi="Times" w:cs="Times New Roman"/>
          <w:sz w:val="23"/>
          <w:szCs w:val="23"/>
        </w:rPr>
        <w:t xml:space="preserve"> shows the average monthly income</w:t>
      </w:r>
      <w:r w:rsidR="006C60A0">
        <w:rPr>
          <w:rFonts w:ascii="Times" w:eastAsia="Times New Roman" w:hAnsi="Times" w:cs="Times New Roman"/>
          <w:sz w:val="23"/>
          <w:szCs w:val="23"/>
        </w:rPr>
        <w:t xml:space="preserve"> of the 100 trans and intersex respondents living in Kuala Lumpur and Selangor</w:t>
      </w:r>
      <w:r w:rsidRPr="006C60A0">
        <w:rPr>
          <w:rFonts w:ascii="Times" w:eastAsia="Times New Roman" w:hAnsi="Times" w:cs="Times New Roman"/>
          <w:sz w:val="23"/>
          <w:szCs w:val="23"/>
        </w:rPr>
        <w:t>. 9 respondents (9%)</w:t>
      </w:r>
      <w:r w:rsidR="006C60A0">
        <w:rPr>
          <w:rFonts w:ascii="Times" w:eastAsia="Times New Roman" w:hAnsi="Times" w:cs="Times New Roman"/>
          <w:sz w:val="23"/>
          <w:szCs w:val="23"/>
        </w:rPr>
        <w:t xml:space="preserve"> out of the 100 respondents</w:t>
      </w:r>
      <w:r w:rsidRPr="006C60A0">
        <w:rPr>
          <w:rFonts w:ascii="Times" w:eastAsia="Times New Roman" w:hAnsi="Times" w:cs="Times New Roman"/>
          <w:sz w:val="23"/>
          <w:szCs w:val="23"/>
        </w:rPr>
        <w:t xml:space="preserve"> made below RM 900 per month</w:t>
      </w:r>
      <w:r w:rsidR="006C60A0">
        <w:rPr>
          <w:rFonts w:ascii="Times" w:eastAsia="Times New Roman" w:hAnsi="Times" w:cs="Times New Roman"/>
          <w:sz w:val="23"/>
          <w:szCs w:val="23"/>
        </w:rPr>
        <w:t>, considered as absolute poverty.</w:t>
      </w:r>
      <w:r w:rsidR="00105774">
        <w:rPr>
          <w:rFonts w:ascii="Times" w:eastAsia="Times New Roman" w:hAnsi="Times" w:cs="Times New Roman"/>
          <w:sz w:val="23"/>
          <w:szCs w:val="23"/>
        </w:rPr>
        <w:t xml:space="preserve"> 10 respondents indicated that they have no income. Of which, 3 are trans persons with disabilities.</w:t>
      </w:r>
      <w:r w:rsidR="006C60A0">
        <w:rPr>
          <w:rFonts w:ascii="Times" w:eastAsia="Times New Roman" w:hAnsi="Times" w:cs="Times New Roman"/>
          <w:sz w:val="23"/>
          <w:szCs w:val="23"/>
        </w:rPr>
        <w:t xml:space="preserve"> </w:t>
      </w:r>
    </w:p>
    <w:p w14:paraId="4A6AA6B3" w14:textId="77777777" w:rsidR="00105774" w:rsidRDefault="00105774" w:rsidP="00C359A3">
      <w:pPr>
        <w:rPr>
          <w:rFonts w:ascii="Times" w:eastAsia="Times New Roman" w:hAnsi="Times" w:cs="Times New Roman"/>
          <w:sz w:val="23"/>
          <w:szCs w:val="23"/>
        </w:rPr>
      </w:pPr>
    </w:p>
    <w:p w14:paraId="2CF81743" w14:textId="70B427E0" w:rsidR="00C359A3" w:rsidRDefault="006C60A0" w:rsidP="00C359A3">
      <w:pPr>
        <w:rPr>
          <w:rFonts w:ascii="Times" w:eastAsia="Times New Roman" w:hAnsi="Times" w:cs="Times New Roman"/>
          <w:sz w:val="23"/>
          <w:szCs w:val="23"/>
        </w:rPr>
      </w:pPr>
      <w:r>
        <w:rPr>
          <w:rFonts w:ascii="Times" w:eastAsia="Times New Roman" w:hAnsi="Times" w:cs="Times New Roman"/>
          <w:sz w:val="23"/>
          <w:szCs w:val="23"/>
        </w:rPr>
        <w:t xml:space="preserve">Meanwhile, </w:t>
      </w:r>
      <w:r w:rsidR="00C359A3" w:rsidRPr="006C60A0">
        <w:rPr>
          <w:rFonts w:ascii="Times" w:eastAsia="Times New Roman" w:hAnsi="Times" w:cs="Times New Roman"/>
          <w:sz w:val="23"/>
          <w:szCs w:val="23"/>
        </w:rPr>
        <w:t>25 respond</w:t>
      </w:r>
      <w:r>
        <w:rPr>
          <w:rFonts w:ascii="Times" w:eastAsia="Times New Roman" w:hAnsi="Times" w:cs="Times New Roman"/>
          <w:sz w:val="23"/>
          <w:szCs w:val="23"/>
        </w:rPr>
        <w:t>ents (25%) made between RM901-RM</w:t>
      </w:r>
      <w:r w:rsidR="00C359A3" w:rsidRPr="006C60A0">
        <w:rPr>
          <w:rFonts w:ascii="Times" w:eastAsia="Times New Roman" w:hAnsi="Times" w:cs="Times New Roman"/>
          <w:sz w:val="23"/>
          <w:szCs w:val="23"/>
        </w:rPr>
        <w:t xml:space="preserve"> 1,500</w:t>
      </w:r>
      <w:r>
        <w:rPr>
          <w:rFonts w:ascii="Times" w:eastAsia="Times New Roman" w:hAnsi="Times" w:cs="Times New Roman"/>
          <w:sz w:val="23"/>
          <w:szCs w:val="23"/>
        </w:rPr>
        <w:t>, 28 respondents (28</w:t>
      </w:r>
      <w:r w:rsidR="00C359A3" w:rsidRPr="006C60A0">
        <w:rPr>
          <w:rFonts w:ascii="Times" w:eastAsia="Times New Roman" w:hAnsi="Times" w:cs="Times New Roman"/>
          <w:sz w:val="23"/>
          <w:szCs w:val="23"/>
        </w:rPr>
        <w:t>%)</w:t>
      </w:r>
      <w:r>
        <w:rPr>
          <w:rFonts w:ascii="Times" w:eastAsia="Times New Roman" w:hAnsi="Times" w:cs="Times New Roman"/>
          <w:sz w:val="23"/>
          <w:szCs w:val="23"/>
        </w:rPr>
        <w:t xml:space="preserve"> earned between RM 1,501-RM 3,0</w:t>
      </w:r>
      <w:r w:rsidR="008F22BB">
        <w:rPr>
          <w:rFonts w:ascii="Times" w:eastAsia="Times New Roman" w:hAnsi="Times" w:cs="Times New Roman"/>
          <w:sz w:val="23"/>
          <w:szCs w:val="23"/>
        </w:rPr>
        <w:t>00. A</w:t>
      </w:r>
      <w:r>
        <w:rPr>
          <w:rFonts w:ascii="Times" w:eastAsia="Times New Roman" w:hAnsi="Times" w:cs="Times New Roman"/>
          <w:sz w:val="23"/>
          <w:szCs w:val="23"/>
        </w:rPr>
        <w:t xml:space="preserve">pproximately 53% </w:t>
      </w:r>
      <w:r w:rsidR="008F22BB">
        <w:rPr>
          <w:rFonts w:ascii="Times" w:eastAsia="Times New Roman" w:hAnsi="Times" w:cs="Times New Roman"/>
          <w:sz w:val="23"/>
          <w:szCs w:val="23"/>
        </w:rPr>
        <w:t>of he respondent</w:t>
      </w:r>
      <w:r w:rsidR="009A490F">
        <w:rPr>
          <w:rFonts w:ascii="Times" w:eastAsia="Times New Roman" w:hAnsi="Times" w:cs="Times New Roman"/>
          <w:sz w:val="23"/>
          <w:szCs w:val="23"/>
        </w:rPr>
        <w:t>s</w:t>
      </w:r>
      <w:r w:rsidR="008F22BB">
        <w:rPr>
          <w:rFonts w:ascii="Times" w:eastAsia="Times New Roman" w:hAnsi="Times" w:cs="Times New Roman"/>
          <w:sz w:val="23"/>
          <w:szCs w:val="23"/>
        </w:rPr>
        <w:t xml:space="preserve"> fall under the relative poverty category. </w:t>
      </w:r>
    </w:p>
    <w:p w14:paraId="7889F146" w14:textId="77777777" w:rsidR="00105774" w:rsidRDefault="00105774" w:rsidP="00C359A3">
      <w:pPr>
        <w:rPr>
          <w:rFonts w:ascii="Times" w:eastAsia="Times New Roman" w:hAnsi="Times" w:cs="Times New Roman"/>
          <w:sz w:val="23"/>
          <w:szCs w:val="23"/>
        </w:rPr>
      </w:pPr>
    </w:p>
    <w:p w14:paraId="5EF9F8DF" w14:textId="64708EA1" w:rsidR="00105774" w:rsidRPr="006C60A0" w:rsidRDefault="00105774" w:rsidP="00C359A3">
      <w:pPr>
        <w:rPr>
          <w:rFonts w:ascii="Times" w:eastAsia="Times New Roman" w:hAnsi="Times" w:cs="Times New Roman"/>
          <w:sz w:val="23"/>
          <w:szCs w:val="23"/>
        </w:rPr>
      </w:pPr>
      <w:r>
        <w:rPr>
          <w:rFonts w:ascii="Times" w:eastAsia="Times New Roman" w:hAnsi="Times" w:cs="Times New Roman"/>
          <w:sz w:val="23"/>
          <w:szCs w:val="23"/>
        </w:rPr>
        <w:t xml:space="preserve">The data shows a significant portion of the respondents, more than 60% fall within the B40 category. </w:t>
      </w:r>
    </w:p>
    <w:p w14:paraId="44A11FA2" w14:textId="77777777" w:rsidR="00C359A3" w:rsidRPr="006C60A0" w:rsidRDefault="00C359A3" w:rsidP="00FB7AB5">
      <w:pPr>
        <w:jc w:val="center"/>
        <w:rPr>
          <w:rFonts w:ascii="Times" w:eastAsia="Times New Roman" w:hAnsi="Times" w:cs="Times New Roman"/>
          <w:sz w:val="23"/>
          <w:szCs w:val="23"/>
        </w:rPr>
      </w:pPr>
    </w:p>
    <w:p w14:paraId="4FF8DCAE" w14:textId="07A73EF0" w:rsidR="00C359A3" w:rsidRPr="006C60A0" w:rsidRDefault="00C359A3" w:rsidP="00FB7AB5">
      <w:pPr>
        <w:jc w:val="center"/>
        <w:rPr>
          <w:rFonts w:ascii="Times" w:hAnsi="Times"/>
          <w:b/>
          <w:sz w:val="23"/>
          <w:szCs w:val="23"/>
        </w:rPr>
      </w:pPr>
      <w:r w:rsidRPr="006C60A0">
        <w:rPr>
          <w:rFonts w:ascii="Times" w:hAnsi="Times"/>
          <w:b/>
          <w:sz w:val="23"/>
          <w:szCs w:val="23"/>
        </w:rPr>
        <w:t>Table 1.2: Average of total income</w:t>
      </w:r>
    </w:p>
    <w:p w14:paraId="1936DD06" w14:textId="77777777" w:rsidR="00C359A3" w:rsidRPr="006C60A0" w:rsidRDefault="00C359A3" w:rsidP="00C359A3">
      <w:pPr>
        <w:rPr>
          <w:rFonts w:ascii="Times" w:hAnsi="Times"/>
          <w:sz w:val="23"/>
          <w:szCs w:val="23"/>
        </w:rPr>
      </w:pPr>
    </w:p>
    <w:tbl>
      <w:tblPr>
        <w:tblStyle w:val="TableGrid"/>
        <w:tblW w:w="0" w:type="auto"/>
        <w:tblLook w:val="04A0" w:firstRow="1" w:lastRow="0" w:firstColumn="1" w:lastColumn="0" w:noHBand="0" w:noVBand="1"/>
      </w:tblPr>
      <w:tblGrid>
        <w:gridCol w:w="2943"/>
        <w:gridCol w:w="1843"/>
        <w:gridCol w:w="1985"/>
        <w:gridCol w:w="1745"/>
      </w:tblGrid>
      <w:tr w:rsidR="00C359A3" w:rsidRPr="006C60A0" w14:paraId="4D8A4C15" w14:textId="77777777" w:rsidTr="00C359A3">
        <w:tc>
          <w:tcPr>
            <w:tcW w:w="2943" w:type="dxa"/>
          </w:tcPr>
          <w:p w14:paraId="68C9F28A" w14:textId="77777777" w:rsidR="00C359A3" w:rsidRPr="006C60A0" w:rsidRDefault="00C359A3" w:rsidP="00C359A3">
            <w:pPr>
              <w:rPr>
                <w:rFonts w:ascii="Times" w:hAnsi="Times"/>
                <w:sz w:val="23"/>
                <w:szCs w:val="23"/>
              </w:rPr>
            </w:pPr>
            <w:r w:rsidRPr="006C60A0">
              <w:rPr>
                <w:rFonts w:ascii="Times" w:hAnsi="Times"/>
                <w:sz w:val="23"/>
                <w:szCs w:val="23"/>
              </w:rPr>
              <w:t xml:space="preserve">Item </w:t>
            </w:r>
          </w:p>
        </w:tc>
        <w:tc>
          <w:tcPr>
            <w:tcW w:w="1843" w:type="dxa"/>
          </w:tcPr>
          <w:p w14:paraId="266A7D4A" w14:textId="77777777" w:rsidR="00C359A3" w:rsidRPr="006C60A0" w:rsidRDefault="00C359A3" w:rsidP="00C359A3">
            <w:pPr>
              <w:rPr>
                <w:rFonts w:ascii="Times" w:hAnsi="Times"/>
                <w:sz w:val="23"/>
                <w:szCs w:val="23"/>
              </w:rPr>
            </w:pPr>
            <w:r w:rsidRPr="006C60A0">
              <w:rPr>
                <w:rFonts w:ascii="Times" w:hAnsi="Times"/>
                <w:sz w:val="23"/>
                <w:szCs w:val="23"/>
              </w:rPr>
              <w:t>Trans women</w:t>
            </w:r>
          </w:p>
        </w:tc>
        <w:tc>
          <w:tcPr>
            <w:tcW w:w="1985" w:type="dxa"/>
          </w:tcPr>
          <w:p w14:paraId="5E553B99" w14:textId="77777777" w:rsidR="00C359A3" w:rsidRPr="006C60A0" w:rsidRDefault="00C359A3" w:rsidP="00C359A3">
            <w:pPr>
              <w:rPr>
                <w:rFonts w:ascii="Times" w:hAnsi="Times"/>
                <w:sz w:val="23"/>
                <w:szCs w:val="23"/>
              </w:rPr>
            </w:pPr>
            <w:r w:rsidRPr="006C60A0">
              <w:rPr>
                <w:rFonts w:ascii="Times" w:hAnsi="Times"/>
                <w:sz w:val="23"/>
                <w:szCs w:val="23"/>
              </w:rPr>
              <w:t xml:space="preserve">Trans men </w:t>
            </w:r>
          </w:p>
        </w:tc>
        <w:tc>
          <w:tcPr>
            <w:tcW w:w="1745" w:type="dxa"/>
          </w:tcPr>
          <w:p w14:paraId="06DC53DF" w14:textId="77777777" w:rsidR="00C359A3" w:rsidRPr="006C60A0" w:rsidRDefault="00C359A3" w:rsidP="00C359A3">
            <w:pPr>
              <w:rPr>
                <w:rFonts w:ascii="Times" w:hAnsi="Times"/>
                <w:sz w:val="23"/>
                <w:szCs w:val="23"/>
              </w:rPr>
            </w:pPr>
            <w:r w:rsidRPr="006C60A0">
              <w:rPr>
                <w:rFonts w:ascii="Times" w:hAnsi="Times"/>
                <w:sz w:val="23"/>
                <w:szCs w:val="23"/>
              </w:rPr>
              <w:t xml:space="preserve">Intersex </w:t>
            </w:r>
          </w:p>
        </w:tc>
      </w:tr>
      <w:tr w:rsidR="00C359A3" w:rsidRPr="006C60A0" w14:paraId="0C83157F" w14:textId="77777777" w:rsidTr="00C359A3">
        <w:tc>
          <w:tcPr>
            <w:tcW w:w="2943" w:type="dxa"/>
          </w:tcPr>
          <w:p w14:paraId="4D9592B3" w14:textId="77777777" w:rsidR="00C359A3" w:rsidRPr="006C60A0" w:rsidRDefault="00C359A3" w:rsidP="00C359A3">
            <w:pPr>
              <w:rPr>
                <w:rFonts w:ascii="Times" w:hAnsi="Times"/>
                <w:sz w:val="23"/>
                <w:szCs w:val="23"/>
              </w:rPr>
            </w:pPr>
            <w:r w:rsidRPr="006C60A0">
              <w:rPr>
                <w:rFonts w:ascii="Times" w:hAnsi="Times"/>
                <w:sz w:val="23"/>
                <w:szCs w:val="23"/>
              </w:rPr>
              <w:t>Below RM 900</w:t>
            </w:r>
          </w:p>
        </w:tc>
        <w:tc>
          <w:tcPr>
            <w:tcW w:w="1843" w:type="dxa"/>
          </w:tcPr>
          <w:p w14:paraId="7E29CB65" w14:textId="77777777" w:rsidR="00C359A3" w:rsidRPr="006C60A0" w:rsidRDefault="00C359A3" w:rsidP="00C359A3">
            <w:pPr>
              <w:rPr>
                <w:rFonts w:ascii="Times" w:hAnsi="Times"/>
                <w:sz w:val="23"/>
                <w:szCs w:val="23"/>
              </w:rPr>
            </w:pPr>
            <w:r w:rsidRPr="006C60A0">
              <w:rPr>
                <w:rFonts w:ascii="Times" w:hAnsi="Times"/>
                <w:sz w:val="23"/>
                <w:szCs w:val="23"/>
              </w:rPr>
              <w:t>7</w:t>
            </w:r>
          </w:p>
        </w:tc>
        <w:tc>
          <w:tcPr>
            <w:tcW w:w="1985" w:type="dxa"/>
          </w:tcPr>
          <w:p w14:paraId="246CD0E3" w14:textId="77777777" w:rsidR="00C359A3" w:rsidRPr="006C60A0" w:rsidRDefault="00C359A3" w:rsidP="00C359A3">
            <w:pPr>
              <w:rPr>
                <w:rFonts w:ascii="Times" w:hAnsi="Times"/>
                <w:sz w:val="23"/>
                <w:szCs w:val="23"/>
              </w:rPr>
            </w:pPr>
            <w:r w:rsidRPr="006C60A0">
              <w:rPr>
                <w:rFonts w:ascii="Times" w:hAnsi="Times"/>
                <w:sz w:val="23"/>
                <w:szCs w:val="23"/>
              </w:rPr>
              <w:t>2</w:t>
            </w:r>
          </w:p>
        </w:tc>
        <w:tc>
          <w:tcPr>
            <w:tcW w:w="1745" w:type="dxa"/>
          </w:tcPr>
          <w:p w14:paraId="7D965D37" w14:textId="77777777" w:rsidR="00C359A3" w:rsidRPr="006C60A0" w:rsidRDefault="00C359A3" w:rsidP="00C359A3">
            <w:pPr>
              <w:rPr>
                <w:rFonts w:ascii="Times" w:hAnsi="Times"/>
                <w:sz w:val="23"/>
                <w:szCs w:val="23"/>
              </w:rPr>
            </w:pPr>
            <w:r w:rsidRPr="006C60A0">
              <w:rPr>
                <w:rFonts w:ascii="Times" w:hAnsi="Times"/>
                <w:sz w:val="23"/>
                <w:szCs w:val="23"/>
              </w:rPr>
              <w:t>0</w:t>
            </w:r>
          </w:p>
        </w:tc>
      </w:tr>
      <w:tr w:rsidR="00C359A3" w:rsidRPr="006C60A0" w14:paraId="0E729942" w14:textId="77777777" w:rsidTr="00C359A3">
        <w:tc>
          <w:tcPr>
            <w:tcW w:w="2943" w:type="dxa"/>
          </w:tcPr>
          <w:p w14:paraId="1BDC6F32" w14:textId="77777777" w:rsidR="00C359A3" w:rsidRPr="006C60A0" w:rsidRDefault="00C359A3" w:rsidP="00C359A3">
            <w:pPr>
              <w:rPr>
                <w:rFonts w:ascii="Times" w:hAnsi="Times"/>
                <w:sz w:val="23"/>
                <w:szCs w:val="23"/>
              </w:rPr>
            </w:pPr>
            <w:r w:rsidRPr="006C60A0">
              <w:rPr>
                <w:rFonts w:ascii="Times" w:hAnsi="Times"/>
                <w:sz w:val="23"/>
                <w:szCs w:val="23"/>
              </w:rPr>
              <w:t>RM 901 – RM 1,500</w:t>
            </w:r>
          </w:p>
        </w:tc>
        <w:tc>
          <w:tcPr>
            <w:tcW w:w="1843" w:type="dxa"/>
          </w:tcPr>
          <w:p w14:paraId="72A2A4A2" w14:textId="77777777" w:rsidR="00C359A3" w:rsidRPr="006C60A0" w:rsidRDefault="00C359A3" w:rsidP="00C359A3">
            <w:pPr>
              <w:rPr>
                <w:rFonts w:ascii="Times" w:hAnsi="Times"/>
                <w:sz w:val="23"/>
                <w:szCs w:val="23"/>
              </w:rPr>
            </w:pPr>
            <w:r w:rsidRPr="006C60A0">
              <w:rPr>
                <w:rFonts w:ascii="Times" w:hAnsi="Times"/>
                <w:sz w:val="23"/>
                <w:szCs w:val="23"/>
              </w:rPr>
              <w:t>23</w:t>
            </w:r>
          </w:p>
        </w:tc>
        <w:tc>
          <w:tcPr>
            <w:tcW w:w="1985" w:type="dxa"/>
          </w:tcPr>
          <w:p w14:paraId="6492C207" w14:textId="77777777" w:rsidR="00C359A3" w:rsidRPr="006C60A0" w:rsidRDefault="00C359A3" w:rsidP="00C359A3">
            <w:pPr>
              <w:rPr>
                <w:rFonts w:ascii="Times" w:hAnsi="Times"/>
                <w:sz w:val="23"/>
                <w:szCs w:val="23"/>
              </w:rPr>
            </w:pPr>
            <w:r w:rsidRPr="006C60A0">
              <w:rPr>
                <w:rFonts w:ascii="Times" w:hAnsi="Times"/>
                <w:sz w:val="23"/>
                <w:szCs w:val="23"/>
              </w:rPr>
              <w:t>2</w:t>
            </w:r>
          </w:p>
        </w:tc>
        <w:tc>
          <w:tcPr>
            <w:tcW w:w="1745" w:type="dxa"/>
          </w:tcPr>
          <w:p w14:paraId="6D2A6506" w14:textId="77777777" w:rsidR="00C359A3" w:rsidRPr="006C60A0" w:rsidRDefault="00C359A3" w:rsidP="00C359A3">
            <w:pPr>
              <w:rPr>
                <w:rFonts w:ascii="Times" w:hAnsi="Times"/>
                <w:sz w:val="23"/>
                <w:szCs w:val="23"/>
              </w:rPr>
            </w:pPr>
            <w:r w:rsidRPr="006C60A0">
              <w:rPr>
                <w:rFonts w:ascii="Times" w:hAnsi="Times"/>
                <w:sz w:val="23"/>
                <w:szCs w:val="23"/>
              </w:rPr>
              <w:t>0</w:t>
            </w:r>
          </w:p>
        </w:tc>
      </w:tr>
      <w:tr w:rsidR="00C359A3" w:rsidRPr="006C60A0" w14:paraId="3D369B65" w14:textId="77777777" w:rsidTr="00C359A3">
        <w:tc>
          <w:tcPr>
            <w:tcW w:w="2943" w:type="dxa"/>
          </w:tcPr>
          <w:p w14:paraId="5D6E390A" w14:textId="77777777" w:rsidR="00C359A3" w:rsidRPr="006C60A0" w:rsidRDefault="00C359A3" w:rsidP="00C359A3">
            <w:pPr>
              <w:rPr>
                <w:rFonts w:ascii="Times" w:hAnsi="Times"/>
                <w:sz w:val="23"/>
                <w:szCs w:val="23"/>
              </w:rPr>
            </w:pPr>
            <w:r w:rsidRPr="006C60A0">
              <w:rPr>
                <w:rFonts w:ascii="Times" w:hAnsi="Times"/>
                <w:sz w:val="23"/>
                <w:szCs w:val="23"/>
              </w:rPr>
              <w:t>RM 1,501 – RM 3,000</w:t>
            </w:r>
          </w:p>
        </w:tc>
        <w:tc>
          <w:tcPr>
            <w:tcW w:w="1843" w:type="dxa"/>
          </w:tcPr>
          <w:p w14:paraId="688F1A15" w14:textId="77777777" w:rsidR="00C359A3" w:rsidRPr="006C60A0" w:rsidRDefault="00C359A3" w:rsidP="00C359A3">
            <w:pPr>
              <w:rPr>
                <w:rFonts w:ascii="Times" w:hAnsi="Times"/>
                <w:sz w:val="23"/>
                <w:szCs w:val="23"/>
              </w:rPr>
            </w:pPr>
            <w:r w:rsidRPr="006C60A0">
              <w:rPr>
                <w:rFonts w:ascii="Times" w:hAnsi="Times"/>
                <w:sz w:val="23"/>
                <w:szCs w:val="23"/>
              </w:rPr>
              <w:t>20</w:t>
            </w:r>
          </w:p>
        </w:tc>
        <w:tc>
          <w:tcPr>
            <w:tcW w:w="1985" w:type="dxa"/>
          </w:tcPr>
          <w:p w14:paraId="54E89595" w14:textId="77777777" w:rsidR="00C359A3" w:rsidRPr="006C60A0" w:rsidRDefault="00C359A3" w:rsidP="00C359A3">
            <w:pPr>
              <w:rPr>
                <w:rFonts w:ascii="Times" w:hAnsi="Times"/>
                <w:sz w:val="23"/>
                <w:szCs w:val="23"/>
              </w:rPr>
            </w:pPr>
            <w:r w:rsidRPr="006C60A0">
              <w:rPr>
                <w:rFonts w:ascii="Times" w:hAnsi="Times"/>
                <w:sz w:val="23"/>
                <w:szCs w:val="23"/>
              </w:rPr>
              <w:t>8</w:t>
            </w:r>
          </w:p>
        </w:tc>
        <w:tc>
          <w:tcPr>
            <w:tcW w:w="1745" w:type="dxa"/>
          </w:tcPr>
          <w:p w14:paraId="79BF5BED" w14:textId="77777777" w:rsidR="00C359A3" w:rsidRPr="006C60A0" w:rsidRDefault="00C359A3" w:rsidP="00C359A3">
            <w:pPr>
              <w:rPr>
                <w:rFonts w:ascii="Times" w:hAnsi="Times"/>
                <w:sz w:val="23"/>
                <w:szCs w:val="23"/>
              </w:rPr>
            </w:pPr>
            <w:r w:rsidRPr="006C60A0">
              <w:rPr>
                <w:rFonts w:ascii="Times" w:hAnsi="Times"/>
                <w:sz w:val="23"/>
                <w:szCs w:val="23"/>
              </w:rPr>
              <w:t>0</w:t>
            </w:r>
          </w:p>
        </w:tc>
      </w:tr>
      <w:tr w:rsidR="00C359A3" w:rsidRPr="006C60A0" w14:paraId="36B6C457" w14:textId="77777777" w:rsidTr="00C359A3">
        <w:tc>
          <w:tcPr>
            <w:tcW w:w="2943" w:type="dxa"/>
          </w:tcPr>
          <w:p w14:paraId="72F434C0" w14:textId="77777777" w:rsidR="00C359A3" w:rsidRPr="006C60A0" w:rsidRDefault="00C359A3" w:rsidP="00C359A3">
            <w:pPr>
              <w:rPr>
                <w:rFonts w:ascii="Times" w:hAnsi="Times"/>
                <w:sz w:val="23"/>
                <w:szCs w:val="23"/>
              </w:rPr>
            </w:pPr>
            <w:r w:rsidRPr="006C60A0">
              <w:rPr>
                <w:rFonts w:ascii="Times" w:hAnsi="Times"/>
                <w:sz w:val="23"/>
                <w:szCs w:val="23"/>
              </w:rPr>
              <w:t>RM 3,001 – RM 4,000</w:t>
            </w:r>
          </w:p>
        </w:tc>
        <w:tc>
          <w:tcPr>
            <w:tcW w:w="1843" w:type="dxa"/>
          </w:tcPr>
          <w:p w14:paraId="1D989965" w14:textId="77777777" w:rsidR="00C359A3" w:rsidRPr="006C60A0" w:rsidRDefault="00C359A3" w:rsidP="00C359A3">
            <w:pPr>
              <w:rPr>
                <w:rFonts w:ascii="Times" w:hAnsi="Times"/>
                <w:sz w:val="23"/>
                <w:szCs w:val="23"/>
              </w:rPr>
            </w:pPr>
            <w:r w:rsidRPr="006C60A0">
              <w:rPr>
                <w:rFonts w:ascii="Times" w:hAnsi="Times"/>
                <w:sz w:val="23"/>
                <w:szCs w:val="23"/>
              </w:rPr>
              <w:t>9</w:t>
            </w:r>
          </w:p>
        </w:tc>
        <w:tc>
          <w:tcPr>
            <w:tcW w:w="1985" w:type="dxa"/>
          </w:tcPr>
          <w:p w14:paraId="0241840C" w14:textId="77777777" w:rsidR="00C359A3" w:rsidRPr="006C60A0" w:rsidRDefault="00C359A3" w:rsidP="00C359A3">
            <w:pPr>
              <w:rPr>
                <w:rFonts w:ascii="Times" w:hAnsi="Times"/>
                <w:sz w:val="23"/>
                <w:szCs w:val="23"/>
              </w:rPr>
            </w:pPr>
            <w:r w:rsidRPr="006C60A0">
              <w:rPr>
                <w:rFonts w:ascii="Times" w:hAnsi="Times"/>
                <w:sz w:val="23"/>
                <w:szCs w:val="23"/>
              </w:rPr>
              <w:t>6</w:t>
            </w:r>
          </w:p>
        </w:tc>
        <w:tc>
          <w:tcPr>
            <w:tcW w:w="1745" w:type="dxa"/>
          </w:tcPr>
          <w:p w14:paraId="2673775C" w14:textId="77777777" w:rsidR="00C359A3" w:rsidRPr="006C60A0" w:rsidRDefault="00C359A3" w:rsidP="00C359A3">
            <w:pPr>
              <w:rPr>
                <w:rFonts w:ascii="Times" w:hAnsi="Times"/>
                <w:sz w:val="23"/>
                <w:szCs w:val="23"/>
              </w:rPr>
            </w:pPr>
            <w:r w:rsidRPr="006C60A0">
              <w:rPr>
                <w:rFonts w:ascii="Times" w:hAnsi="Times"/>
                <w:sz w:val="23"/>
                <w:szCs w:val="23"/>
              </w:rPr>
              <w:t>2</w:t>
            </w:r>
          </w:p>
        </w:tc>
      </w:tr>
      <w:tr w:rsidR="00C359A3" w:rsidRPr="006C60A0" w14:paraId="7D16C5AF" w14:textId="77777777" w:rsidTr="00C359A3">
        <w:tc>
          <w:tcPr>
            <w:tcW w:w="2943" w:type="dxa"/>
          </w:tcPr>
          <w:p w14:paraId="1C9705C4" w14:textId="77777777" w:rsidR="00C359A3" w:rsidRPr="006C60A0" w:rsidRDefault="00C359A3" w:rsidP="00C359A3">
            <w:pPr>
              <w:rPr>
                <w:rFonts w:ascii="Times" w:hAnsi="Times"/>
                <w:sz w:val="23"/>
                <w:szCs w:val="23"/>
              </w:rPr>
            </w:pPr>
            <w:r w:rsidRPr="006C60A0">
              <w:rPr>
                <w:rFonts w:ascii="Times" w:hAnsi="Times"/>
                <w:sz w:val="23"/>
                <w:szCs w:val="23"/>
              </w:rPr>
              <w:t>RM 4,001 – RM 5,000</w:t>
            </w:r>
          </w:p>
        </w:tc>
        <w:tc>
          <w:tcPr>
            <w:tcW w:w="1843" w:type="dxa"/>
          </w:tcPr>
          <w:p w14:paraId="68C4E09B" w14:textId="77777777" w:rsidR="00C359A3" w:rsidRPr="006C60A0" w:rsidRDefault="00C359A3" w:rsidP="00C359A3">
            <w:pPr>
              <w:rPr>
                <w:rFonts w:ascii="Times" w:hAnsi="Times"/>
                <w:sz w:val="23"/>
                <w:szCs w:val="23"/>
              </w:rPr>
            </w:pPr>
            <w:r w:rsidRPr="006C60A0">
              <w:rPr>
                <w:rFonts w:ascii="Times" w:hAnsi="Times"/>
                <w:sz w:val="23"/>
                <w:szCs w:val="23"/>
              </w:rPr>
              <w:t>2</w:t>
            </w:r>
          </w:p>
        </w:tc>
        <w:tc>
          <w:tcPr>
            <w:tcW w:w="1985" w:type="dxa"/>
          </w:tcPr>
          <w:p w14:paraId="63E9812F" w14:textId="77777777" w:rsidR="00C359A3" w:rsidRPr="006C60A0" w:rsidRDefault="00C359A3" w:rsidP="00C359A3">
            <w:pPr>
              <w:rPr>
                <w:rFonts w:ascii="Times" w:hAnsi="Times"/>
                <w:sz w:val="23"/>
                <w:szCs w:val="23"/>
              </w:rPr>
            </w:pPr>
            <w:r w:rsidRPr="006C60A0">
              <w:rPr>
                <w:rFonts w:ascii="Times" w:hAnsi="Times"/>
                <w:sz w:val="23"/>
                <w:szCs w:val="23"/>
              </w:rPr>
              <w:t>3</w:t>
            </w:r>
          </w:p>
        </w:tc>
        <w:tc>
          <w:tcPr>
            <w:tcW w:w="1745" w:type="dxa"/>
          </w:tcPr>
          <w:p w14:paraId="100DD0FA" w14:textId="77777777" w:rsidR="00C359A3" w:rsidRPr="006C60A0" w:rsidRDefault="00C359A3" w:rsidP="00C359A3">
            <w:pPr>
              <w:rPr>
                <w:rFonts w:ascii="Times" w:hAnsi="Times"/>
                <w:sz w:val="23"/>
                <w:szCs w:val="23"/>
              </w:rPr>
            </w:pPr>
            <w:r w:rsidRPr="006C60A0">
              <w:rPr>
                <w:rFonts w:ascii="Times" w:hAnsi="Times"/>
                <w:sz w:val="23"/>
                <w:szCs w:val="23"/>
              </w:rPr>
              <w:t>0</w:t>
            </w:r>
          </w:p>
        </w:tc>
      </w:tr>
      <w:tr w:rsidR="00C359A3" w:rsidRPr="006C60A0" w14:paraId="39750171" w14:textId="77777777" w:rsidTr="00C359A3">
        <w:tc>
          <w:tcPr>
            <w:tcW w:w="2943" w:type="dxa"/>
          </w:tcPr>
          <w:p w14:paraId="6DAAB39F" w14:textId="77777777" w:rsidR="00C359A3" w:rsidRPr="006C60A0" w:rsidRDefault="00C359A3" w:rsidP="00C359A3">
            <w:pPr>
              <w:rPr>
                <w:rFonts w:ascii="Times" w:hAnsi="Times"/>
                <w:sz w:val="23"/>
                <w:szCs w:val="23"/>
              </w:rPr>
            </w:pPr>
            <w:r w:rsidRPr="006C60A0">
              <w:rPr>
                <w:rFonts w:ascii="Times" w:hAnsi="Times"/>
                <w:sz w:val="23"/>
                <w:szCs w:val="23"/>
              </w:rPr>
              <w:t>Above RM 5,000</w:t>
            </w:r>
          </w:p>
        </w:tc>
        <w:tc>
          <w:tcPr>
            <w:tcW w:w="1843" w:type="dxa"/>
          </w:tcPr>
          <w:p w14:paraId="48B9CE13" w14:textId="77777777" w:rsidR="00C359A3" w:rsidRPr="006C60A0" w:rsidRDefault="00C359A3" w:rsidP="00C359A3">
            <w:pPr>
              <w:rPr>
                <w:rFonts w:ascii="Times" w:hAnsi="Times"/>
                <w:sz w:val="23"/>
                <w:szCs w:val="23"/>
              </w:rPr>
            </w:pPr>
            <w:r w:rsidRPr="006C60A0">
              <w:rPr>
                <w:rFonts w:ascii="Times" w:hAnsi="Times"/>
                <w:sz w:val="23"/>
                <w:szCs w:val="23"/>
              </w:rPr>
              <w:t>1</w:t>
            </w:r>
          </w:p>
        </w:tc>
        <w:tc>
          <w:tcPr>
            <w:tcW w:w="1985" w:type="dxa"/>
          </w:tcPr>
          <w:p w14:paraId="1B239DB9" w14:textId="77777777" w:rsidR="00C359A3" w:rsidRPr="006C60A0" w:rsidRDefault="00C359A3" w:rsidP="00C359A3">
            <w:pPr>
              <w:rPr>
                <w:rFonts w:ascii="Times" w:hAnsi="Times"/>
                <w:sz w:val="23"/>
                <w:szCs w:val="23"/>
              </w:rPr>
            </w:pPr>
            <w:r w:rsidRPr="006C60A0">
              <w:rPr>
                <w:rFonts w:ascii="Times" w:hAnsi="Times"/>
                <w:sz w:val="23"/>
                <w:szCs w:val="23"/>
              </w:rPr>
              <w:t>4</w:t>
            </w:r>
          </w:p>
        </w:tc>
        <w:tc>
          <w:tcPr>
            <w:tcW w:w="1745" w:type="dxa"/>
          </w:tcPr>
          <w:p w14:paraId="40668E7C" w14:textId="77777777" w:rsidR="00C359A3" w:rsidRPr="006C60A0" w:rsidRDefault="00C359A3" w:rsidP="00C359A3">
            <w:pPr>
              <w:rPr>
                <w:rFonts w:ascii="Times" w:hAnsi="Times"/>
                <w:sz w:val="23"/>
                <w:szCs w:val="23"/>
              </w:rPr>
            </w:pPr>
            <w:r w:rsidRPr="006C60A0">
              <w:rPr>
                <w:rFonts w:ascii="Times" w:hAnsi="Times"/>
                <w:sz w:val="23"/>
                <w:szCs w:val="23"/>
              </w:rPr>
              <w:t>0</w:t>
            </w:r>
          </w:p>
        </w:tc>
      </w:tr>
      <w:tr w:rsidR="00C359A3" w:rsidRPr="006C60A0" w14:paraId="71322988" w14:textId="77777777" w:rsidTr="00C359A3">
        <w:tc>
          <w:tcPr>
            <w:tcW w:w="2943" w:type="dxa"/>
          </w:tcPr>
          <w:p w14:paraId="58C51016" w14:textId="77777777" w:rsidR="00C359A3" w:rsidRPr="006C60A0" w:rsidRDefault="00C359A3" w:rsidP="00C359A3">
            <w:pPr>
              <w:rPr>
                <w:rFonts w:ascii="Times" w:hAnsi="Times"/>
                <w:sz w:val="23"/>
                <w:szCs w:val="23"/>
              </w:rPr>
            </w:pPr>
            <w:r w:rsidRPr="006C60A0">
              <w:rPr>
                <w:rFonts w:ascii="Times" w:hAnsi="Times"/>
                <w:sz w:val="23"/>
                <w:szCs w:val="23"/>
              </w:rPr>
              <w:t>Above RM 10,000</w:t>
            </w:r>
          </w:p>
        </w:tc>
        <w:tc>
          <w:tcPr>
            <w:tcW w:w="1843" w:type="dxa"/>
          </w:tcPr>
          <w:p w14:paraId="1B06F323" w14:textId="77777777" w:rsidR="00C359A3" w:rsidRPr="006C60A0" w:rsidRDefault="00C359A3" w:rsidP="00C359A3">
            <w:pPr>
              <w:rPr>
                <w:rFonts w:ascii="Times" w:hAnsi="Times"/>
                <w:sz w:val="23"/>
                <w:szCs w:val="23"/>
              </w:rPr>
            </w:pPr>
            <w:r w:rsidRPr="006C60A0">
              <w:rPr>
                <w:rFonts w:ascii="Times" w:hAnsi="Times"/>
                <w:sz w:val="23"/>
                <w:szCs w:val="23"/>
              </w:rPr>
              <w:t>0</w:t>
            </w:r>
          </w:p>
        </w:tc>
        <w:tc>
          <w:tcPr>
            <w:tcW w:w="1985" w:type="dxa"/>
          </w:tcPr>
          <w:p w14:paraId="74AA42B4" w14:textId="77777777" w:rsidR="00C359A3" w:rsidRPr="006C60A0" w:rsidRDefault="00C359A3" w:rsidP="00C359A3">
            <w:pPr>
              <w:rPr>
                <w:rFonts w:ascii="Times" w:hAnsi="Times"/>
                <w:sz w:val="23"/>
                <w:szCs w:val="23"/>
              </w:rPr>
            </w:pPr>
            <w:r w:rsidRPr="006C60A0">
              <w:rPr>
                <w:rFonts w:ascii="Times" w:hAnsi="Times"/>
                <w:sz w:val="23"/>
                <w:szCs w:val="23"/>
              </w:rPr>
              <w:t>1</w:t>
            </w:r>
          </w:p>
        </w:tc>
        <w:tc>
          <w:tcPr>
            <w:tcW w:w="1745" w:type="dxa"/>
          </w:tcPr>
          <w:p w14:paraId="42CDEE0C" w14:textId="77777777" w:rsidR="00C359A3" w:rsidRPr="006C60A0" w:rsidRDefault="00C359A3" w:rsidP="00C359A3">
            <w:pPr>
              <w:rPr>
                <w:rFonts w:ascii="Times" w:hAnsi="Times"/>
                <w:sz w:val="23"/>
                <w:szCs w:val="23"/>
              </w:rPr>
            </w:pPr>
            <w:r w:rsidRPr="006C60A0">
              <w:rPr>
                <w:rFonts w:ascii="Times" w:hAnsi="Times"/>
                <w:sz w:val="23"/>
                <w:szCs w:val="23"/>
              </w:rPr>
              <w:t>0</w:t>
            </w:r>
          </w:p>
        </w:tc>
      </w:tr>
      <w:tr w:rsidR="00C359A3" w:rsidRPr="006C60A0" w14:paraId="6A3FC94E" w14:textId="77777777" w:rsidTr="00C359A3">
        <w:tc>
          <w:tcPr>
            <w:tcW w:w="2943" w:type="dxa"/>
          </w:tcPr>
          <w:p w14:paraId="2C704B2E" w14:textId="77777777" w:rsidR="00C359A3" w:rsidRPr="006C60A0" w:rsidRDefault="00C359A3" w:rsidP="00C359A3">
            <w:pPr>
              <w:rPr>
                <w:rFonts w:ascii="Times" w:hAnsi="Times"/>
                <w:sz w:val="23"/>
                <w:szCs w:val="23"/>
              </w:rPr>
            </w:pPr>
            <w:r w:rsidRPr="006C60A0">
              <w:rPr>
                <w:rFonts w:ascii="Times" w:hAnsi="Times"/>
                <w:sz w:val="23"/>
                <w:szCs w:val="23"/>
              </w:rPr>
              <w:t xml:space="preserve">No income </w:t>
            </w:r>
          </w:p>
        </w:tc>
        <w:tc>
          <w:tcPr>
            <w:tcW w:w="1843" w:type="dxa"/>
          </w:tcPr>
          <w:p w14:paraId="6B00F874" w14:textId="77777777" w:rsidR="00C359A3" w:rsidRPr="006C60A0" w:rsidRDefault="00C359A3" w:rsidP="00C359A3">
            <w:pPr>
              <w:rPr>
                <w:rFonts w:ascii="Times" w:hAnsi="Times"/>
                <w:sz w:val="23"/>
                <w:szCs w:val="23"/>
              </w:rPr>
            </w:pPr>
            <w:r w:rsidRPr="006C60A0">
              <w:rPr>
                <w:rFonts w:ascii="Times" w:hAnsi="Times"/>
                <w:sz w:val="23"/>
                <w:szCs w:val="23"/>
              </w:rPr>
              <w:t>7</w:t>
            </w:r>
          </w:p>
        </w:tc>
        <w:tc>
          <w:tcPr>
            <w:tcW w:w="1985" w:type="dxa"/>
          </w:tcPr>
          <w:p w14:paraId="1F4864B1" w14:textId="77777777" w:rsidR="00C359A3" w:rsidRPr="006C60A0" w:rsidRDefault="00C359A3" w:rsidP="00C359A3">
            <w:pPr>
              <w:rPr>
                <w:rFonts w:ascii="Times" w:hAnsi="Times"/>
                <w:sz w:val="23"/>
                <w:szCs w:val="23"/>
              </w:rPr>
            </w:pPr>
            <w:r w:rsidRPr="006C60A0">
              <w:rPr>
                <w:rFonts w:ascii="Times" w:hAnsi="Times"/>
                <w:sz w:val="23"/>
                <w:szCs w:val="23"/>
              </w:rPr>
              <w:t>3</w:t>
            </w:r>
          </w:p>
        </w:tc>
        <w:tc>
          <w:tcPr>
            <w:tcW w:w="1745" w:type="dxa"/>
          </w:tcPr>
          <w:p w14:paraId="374B992B" w14:textId="77777777" w:rsidR="00C359A3" w:rsidRPr="006C60A0" w:rsidRDefault="00C359A3" w:rsidP="00C359A3">
            <w:pPr>
              <w:rPr>
                <w:rFonts w:ascii="Times" w:hAnsi="Times"/>
                <w:sz w:val="23"/>
                <w:szCs w:val="23"/>
              </w:rPr>
            </w:pPr>
            <w:r w:rsidRPr="006C60A0">
              <w:rPr>
                <w:rFonts w:ascii="Times" w:hAnsi="Times"/>
                <w:sz w:val="23"/>
                <w:szCs w:val="23"/>
              </w:rPr>
              <w:t>0</w:t>
            </w:r>
          </w:p>
        </w:tc>
      </w:tr>
    </w:tbl>
    <w:p w14:paraId="2C1AA881" w14:textId="643A49F0" w:rsidR="00C359A3" w:rsidRDefault="00FB7AB5" w:rsidP="00C359A3">
      <w:pPr>
        <w:rPr>
          <w:rFonts w:ascii="Times" w:eastAsia="Times New Roman" w:hAnsi="Times" w:cs="Times New Roman"/>
          <w:sz w:val="23"/>
          <w:szCs w:val="23"/>
        </w:rPr>
      </w:pPr>
      <w:r>
        <w:rPr>
          <w:rFonts w:ascii="Times" w:hAnsi="Times"/>
          <w:sz w:val="23"/>
          <w:szCs w:val="23"/>
        </w:rPr>
        <w:t xml:space="preserve">Source: </w:t>
      </w:r>
      <w:r>
        <w:rPr>
          <w:rFonts w:ascii="Times" w:eastAsia="Times New Roman" w:hAnsi="Times" w:cs="Times New Roman"/>
          <w:bCs/>
          <w:sz w:val="23"/>
          <w:szCs w:val="23"/>
        </w:rPr>
        <w:t>S</w:t>
      </w:r>
      <w:r w:rsidRPr="006C60A0">
        <w:rPr>
          <w:rFonts w:ascii="Times" w:eastAsia="Times New Roman" w:hAnsi="Times" w:cs="Times New Roman"/>
          <w:bCs/>
          <w:sz w:val="23"/>
          <w:szCs w:val="23"/>
        </w:rPr>
        <w:t xml:space="preserve">tudy on discrimination against transgender persons based in Kuala Lumpur and Selangor </w:t>
      </w:r>
      <w:r w:rsidRPr="006C60A0">
        <w:rPr>
          <w:rFonts w:ascii="Times" w:eastAsia="Times New Roman" w:hAnsi="Times" w:cs="Times New Roman"/>
          <w:sz w:val="23"/>
          <w:szCs w:val="23"/>
        </w:rPr>
        <w:t>(Right to education, employment, healthcare, housing and dignity)</w:t>
      </w:r>
      <w:r>
        <w:rPr>
          <w:rFonts w:ascii="Times" w:eastAsia="Times New Roman" w:hAnsi="Times" w:cs="Times New Roman"/>
          <w:sz w:val="23"/>
          <w:szCs w:val="23"/>
        </w:rPr>
        <w:t>’</w:t>
      </w:r>
      <w:r w:rsidR="00105774">
        <w:rPr>
          <w:rFonts w:ascii="Times" w:eastAsia="Times New Roman" w:hAnsi="Times" w:cs="Times New Roman"/>
          <w:sz w:val="23"/>
          <w:szCs w:val="23"/>
        </w:rPr>
        <w:t xml:space="preserve">, </w:t>
      </w:r>
      <w:r w:rsidRPr="006C60A0">
        <w:rPr>
          <w:rFonts w:ascii="Times" w:eastAsia="Times New Roman" w:hAnsi="Times" w:cs="Times New Roman"/>
          <w:sz w:val="23"/>
          <w:szCs w:val="23"/>
        </w:rPr>
        <w:t>Human Rights Commission of Malaysia (SUHAKAM</w:t>
      </w:r>
      <w:r>
        <w:rPr>
          <w:rFonts w:ascii="Times" w:eastAsia="Times New Roman" w:hAnsi="Times" w:cs="Times New Roman"/>
          <w:sz w:val="23"/>
          <w:szCs w:val="23"/>
        </w:rPr>
        <w:t>) (</w:t>
      </w:r>
      <w:r w:rsidRPr="006C60A0">
        <w:rPr>
          <w:rFonts w:ascii="Times" w:eastAsia="Times New Roman" w:hAnsi="Times" w:cs="Times New Roman"/>
          <w:sz w:val="23"/>
          <w:szCs w:val="23"/>
        </w:rPr>
        <w:t>2019</w:t>
      </w:r>
      <w:r>
        <w:rPr>
          <w:rFonts w:ascii="Times" w:eastAsia="Times New Roman" w:hAnsi="Times" w:cs="Times New Roman"/>
          <w:sz w:val="23"/>
          <w:szCs w:val="23"/>
        </w:rPr>
        <w:t>)</w:t>
      </w:r>
    </w:p>
    <w:p w14:paraId="6DB24146" w14:textId="77777777" w:rsidR="00FB7AB5" w:rsidRPr="006C60A0" w:rsidRDefault="00FB7AB5" w:rsidP="00C359A3">
      <w:pPr>
        <w:rPr>
          <w:rFonts w:ascii="Times" w:hAnsi="Times"/>
          <w:sz w:val="23"/>
          <w:szCs w:val="23"/>
        </w:rPr>
      </w:pPr>
    </w:p>
    <w:p w14:paraId="15BF174F" w14:textId="77777777" w:rsidR="00C359A3" w:rsidRPr="00B05E21" w:rsidRDefault="00C359A3" w:rsidP="00C359A3">
      <w:pPr>
        <w:rPr>
          <w:rFonts w:ascii="Times" w:hAnsi="Times"/>
          <w:i/>
          <w:sz w:val="23"/>
          <w:szCs w:val="23"/>
        </w:rPr>
      </w:pPr>
      <w:r w:rsidRPr="00B05E21">
        <w:rPr>
          <w:rFonts w:ascii="Times" w:hAnsi="Times"/>
          <w:i/>
          <w:sz w:val="23"/>
          <w:szCs w:val="23"/>
        </w:rPr>
        <w:t>*trans women (69 persons), trans men (29 persons), intersex (2 persons)</w:t>
      </w:r>
    </w:p>
    <w:p w14:paraId="5EEDFF40" w14:textId="77777777" w:rsidR="00C359A3" w:rsidRPr="00B05E21" w:rsidRDefault="00C359A3" w:rsidP="00C359A3">
      <w:pPr>
        <w:rPr>
          <w:rFonts w:ascii="Times" w:hAnsi="Times"/>
          <w:i/>
          <w:sz w:val="23"/>
          <w:szCs w:val="23"/>
        </w:rPr>
      </w:pPr>
      <w:r w:rsidRPr="00B05E21">
        <w:rPr>
          <w:rFonts w:ascii="Times" w:hAnsi="Times"/>
          <w:i/>
          <w:sz w:val="23"/>
          <w:szCs w:val="23"/>
        </w:rPr>
        <w:t xml:space="preserve">** no income – 2 students, 3 persons with disabilities  </w:t>
      </w:r>
    </w:p>
    <w:p w14:paraId="1EB7D292" w14:textId="77777777" w:rsidR="008F22BB" w:rsidRDefault="008F22BB" w:rsidP="008F22BB">
      <w:pPr>
        <w:rPr>
          <w:rFonts w:ascii="Times" w:hAnsi="Times"/>
          <w:sz w:val="23"/>
          <w:szCs w:val="23"/>
        </w:rPr>
      </w:pPr>
    </w:p>
    <w:p w14:paraId="16A7F49E" w14:textId="633C7DD6" w:rsidR="00105774" w:rsidRPr="008F22BB" w:rsidRDefault="00105774" w:rsidP="00105774">
      <w:pPr>
        <w:rPr>
          <w:rFonts w:ascii="Times" w:hAnsi="Times"/>
          <w:sz w:val="23"/>
          <w:szCs w:val="23"/>
        </w:rPr>
      </w:pPr>
      <w:r>
        <w:rPr>
          <w:rFonts w:ascii="Times" w:hAnsi="Times"/>
          <w:sz w:val="23"/>
          <w:szCs w:val="23"/>
        </w:rPr>
        <w:t>However, the current interventions and strategies on addressing the B40</w:t>
      </w:r>
      <w:r w:rsidR="00B54C65">
        <w:rPr>
          <w:rFonts w:ascii="Times" w:hAnsi="Times"/>
          <w:sz w:val="23"/>
          <w:szCs w:val="23"/>
        </w:rPr>
        <w:t>, among other things,</w:t>
      </w:r>
      <w:r>
        <w:rPr>
          <w:rFonts w:ascii="Times" w:hAnsi="Times"/>
          <w:sz w:val="23"/>
          <w:szCs w:val="23"/>
        </w:rPr>
        <w:t xml:space="preserve"> lack a gender</w:t>
      </w:r>
      <w:r w:rsidR="00B54C65">
        <w:rPr>
          <w:rFonts w:ascii="Times" w:hAnsi="Times"/>
          <w:sz w:val="23"/>
          <w:szCs w:val="23"/>
        </w:rPr>
        <w:t xml:space="preserve"> and intersectional perspective as well as </w:t>
      </w:r>
      <w:r w:rsidRPr="008F22BB">
        <w:rPr>
          <w:rFonts w:ascii="Times" w:hAnsi="Times"/>
          <w:sz w:val="23"/>
          <w:szCs w:val="23"/>
        </w:rPr>
        <w:t>inclusion</w:t>
      </w:r>
      <w:r>
        <w:rPr>
          <w:rFonts w:ascii="Times" w:hAnsi="Times"/>
          <w:sz w:val="23"/>
          <w:szCs w:val="23"/>
        </w:rPr>
        <w:t xml:space="preserve"> of</w:t>
      </w:r>
      <w:r w:rsidR="00B54C65">
        <w:rPr>
          <w:rFonts w:ascii="Times" w:hAnsi="Times"/>
          <w:sz w:val="23"/>
          <w:szCs w:val="23"/>
        </w:rPr>
        <w:t xml:space="preserve"> poverty and economic marginalization experienced by LGBTIQ persons.</w:t>
      </w:r>
    </w:p>
    <w:p w14:paraId="36DEBDE4" w14:textId="6B4D7C57" w:rsidR="008F22BB" w:rsidRPr="00B54C65" w:rsidRDefault="008F22BB" w:rsidP="008F22BB">
      <w:pPr>
        <w:rPr>
          <w:rFonts w:ascii="Times" w:hAnsi="Times"/>
          <w:sz w:val="23"/>
          <w:szCs w:val="23"/>
        </w:rPr>
      </w:pPr>
    </w:p>
    <w:p w14:paraId="1EB23556" w14:textId="509B04AA" w:rsidR="008F22BB" w:rsidRPr="00B54C65" w:rsidRDefault="00944655" w:rsidP="008F22BB">
      <w:pPr>
        <w:rPr>
          <w:rFonts w:ascii="Times" w:hAnsi="Times"/>
          <w:b/>
          <w:sz w:val="23"/>
          <w:szCs w:val="23"/>
        </w:rPr>
      </w:pPr>
      <w:r w:rsidRPr="008F22BB">
        <w:rPr>
          <w:rFonts w:ascii="Times" w:hAnsi="Times"/>
          <w:sz w:val="23"/>
          <w:szCs w:val="23"/>
        </w:rPr>
        <w:t xml:space="preserve">The current data </w:t>
      </w:r>
      <w:r w:rsidRPr="00944655">
        <w:rPr>
          <w:rFonts w:ascii="Times" w:hAnsi="Times"/>
          <w:sz w:val="23"/>
          <w:szCs w:val="23"/>
        </w:rPr>
        <w:t>on household income by the Department of Statistics Malaysia</w:t>
      </w:r>
      <w:r>
        <w:rPr>
          <w:rFonts w:ascii="Times" w:hAnsi="Times"/>
          <w:b/>
          <w:sz w:val="23"/>
          <w:szCs w:val="23"/>
        </w:rPr>
        <w:t xml:space="preserve"> </w:t>
      </w:r>
      <w:r>
        <w:rPr>
          <w:rFonts w:ascii="Times" w:hAnsi="Times"/>
          <w:sz w:val="23"/>
          <w:szCs w:val="23"/>
        </w:rPr>
        <w:t>is only dissaggregated based on ethnicity, state and geographical location (urban and rural).</w:t>
      </w:r>
      <w:r>
        <w:rPr>
          <w:rStyle w:val="FootnoteReference"/>
          <w:rFonts w:ascii="Times" w:hAnsi="Times"/>
          <w:sz w:val="23"/>
          <w:szCs w:val="23"/>
        </w:rPr>
        <w:footnoteReference w:id="5"/>
      </w:r>
      <w:r>
        <w:rPr>
          <w:rFonts w:ascii="Times" w:hAnsi="Times"/>
          <w:sz w:val="23"/>
          <w:szCs w:val="23"/>
        </w:rPr>
        <w:t xml:space="preserve"> </w:t>
      </w:r>
      <w:r>
        <w:rPr>
          <w:rFonts w:ascii="Times" w:hAnsi="Times"/>
          <w:b/>
          <w:sz w:val="23"/>
          <w:szCs w:val="23"/>
        </w:rPr>
        <w:t>T</w:t>
      </w:r>
      <w:r w:rsidR="00B54C65">
        <w:rPr>
          <w:rFonts w:ascii="Times" w:hAnsi="Times"/>
          <w:b/>
          <w:sz w:val="23"/>
          <w:szCs w:val="23"/>
        </w:rPr>
        <w:t>he lack</w:t>
      </w:r>
      <w:r w:rsidR="008F22BB">
        <w:rPr>
          <w:rFonts w:ascii="Times" w:hAnsi="Times"/>
          <w:b/>
          <w:sz w:val="23"/>
          <w:szCs w:val="23"/>
        </w:rPr>
        <w:t xml:space="preserve"> data</w:t>
      </w:r>
      <w:r w:rsidR="00B54C65">
        <w:rPr>
          <w:rFonts w:ascii="Times" w:hAnsi="Times"/>
          <w:b/>
          <w:sz w:val="23"/>
          <w:szCs w:val="23"/>
        </w:rPr>
        <w:t xml:space="preserve"> disaggregated by gender, age, disabilities</w:t>
      </w:r>
      <w:r>
        <w:rPr>
          <w:rFonts w:ascii="Times" w:hAnsi="Times"/>
          <w:b/>
          <w:sz w:val="23"/>
          <w:szCs w:val="23"/>
        </w:rPr>
        <w:t xml:space="preserve"> and other categories </w:t>
      </w:r>
      <w:r w:rsidR="00B54C65" w:rsidRPr="00B54C65">
        <w:rPr>
          <w:rFonts w:ascii="Times" w:hAnsi="Times"/>
          <w:sz w:val="23"/>
          <w:szCs w:val="23"/>
        </w:rPr>
        <w:t xml:space="preserve">provides limited analyses and overview of the situation of poverty in Malaysia. </w:t>
      </w:r>
      <w:r w:rsidR="00B54C65">
        <w:rPr>
          <w:rFonts w:ascii="Times" w:hAnsi="Times"/>
          <w:sz w:val="23"/>
          <w:szCs w:val="23"/>
        </w:rPr>
        <w:t>Poverty and economic marginalization experienced by</w:t>
      </w:r>
      <w:r w:rsidR="008F22BB" w:rsidRPr="00B54C65">
        <w:rPr>
          <w:rFonts w:ascii="Times" w:hAnsi="Times"/>
          <w:sz w:val="23"/>
          <w:szCs w:val="23"/>
        </w:rPr>
        <w:t xml:space="preserve"> </w:t>
      </w:r>
      <w:r w:rsidR="00B54C65" w:rsidRPr="00B54C65">
        <w:rPr>
          <w:rFonts w:ascii="Times" w:hAnsi="Times"/>
          <w:sz w:val="23"/>
          <w:szCs w:val="23"/>
        </w:rPr>
        <w:t xml:space="preserve">trans, </w:t>
      </w:r>
      <w:r w:rsidR="008F22BB" w:rsidRPr="00B54C65">
        <w:rPr>
          <w:rFonts w:ascii="Times" w:hAnsi="Times"/>
          <w:sz w:val="23"/>
          <w:szCs w:val="23"/>
        </w:rPr>
        <w:t>non-binary</w:t>
      </w:r>
      <w:r w:rsidR="00B54C65" w:rsidRPr="00B54C65">
        <w:rPr>
          <w:rFonts w:ascii="Times" w:hAnsi="Times"/>
          <w:sz w:val="23"/>
          <w:szCs w:val="23"/>
        </w:rPr>
        <w:t xml:space="preserve">, intersex, lesbian, gay, bisexual and queer </w:t>
      </w:r>
      <w:r w:rsidR="008F22BB" w:rsidRPr="00B54C65">
        <w:rPr>
          <w:rFonts w:ascii="Times" w:hAnsi="Times"/>
          <w:sz w:val="23"/>
          <w:szCs w:val="23"/>
        </w:rPr>
        <w:t xml:space="preserve">persons </w:t>
      </w:r>
      <w:r w:rsidR="00B54C65" w:rsidRPr="00B54C65">
        <w:rPr>
          <w:rFonts w:ascii="Times" w:hAnsi="Times"/>
          <w:sz w:val="23"/>
          <w:szCs w:val="23"/>
        </w:rPr>
        <w:t xml:space="preserve">are not </w:t>
      </w:r>
      <w:r w:rsidR="00B54C65">
        <w:rPr>
          <w:rFonts w:ascii="Times" w:hAnsi="Times"/>
          <w:sz w:val="23"/>
          <w:szCs w:val="23"/>
        </w:rPr>
        <w:t xml:space="preserve">included in the data collection and analyses of the data. As a result, the strategies and responses </w:t>
      </w:r>
      <w:r>
        <w:rPr>
          <w:rFonts w:ascii="Times" w:hAnsi="Times"/>
          <w:sz w:val="23"/>
          <w:szCs w:val="23"/>
        </w:rPr>
        <w:t xml:space="preserve">on poverty are limited and not intersectional. </w:t>
      </w:r>
    </w:p>
    <w:p w14:paraId="672A20BD" w14:textId="77777777" w:rsidR="00CB2C0A" w:rsidRPr="00C359A3" w:rsidRDefault="00CB2C0A" w:rsidP="00C359A3">
      <w:pPr>
        <w:rPr>
          <w:rFonts w:ascii="Times" w:hAnsi="Times"/>
          <w:sz w:val="23"/>
          <w:szCs w:val="23"/>
        </w:rPr>
      </w:pPr>
    </w:p>
    <w:p w14:paraId="00177E08" w14:textId="77777777" w:rsidR="006802B1" w:rsidRPr="009A490F" w:rsidRDefault="006802B1" w:rsidP="008F22BB">
      <w:pPr>
        <w:rPr>
          <w:rFonts w:ascii="Times" w:hAnsi="Times"/>
          <w:b/>
          <w:sz w:val="23"/>
          <w:szCs w:val="23"/>
        </w:rPr>
      </w:pPr>
      <w:r w:rsidRPr="009A490F">
        <w:rPr>
          <w:rFonts w:ascii="Times" w:hAnsi="Times"/>
          <w:b/>
          <w:sz w:val="23"/>
          <w:szCs w:val="23"/>
        </w:rPr>
        <w:t xml:space="preserve">Employment discrimination </w:t>
      </w:r>
    </w:p>
    <w:p w14:paraId="1E2B8445" w14:textId="0740EBA8" w:rsidR="009A490F" w:rsidRDefault="00B54C65" w:rsidP="009A490F">
      <w:pPr>
        <w:rPr>
          <w:rFonts w:ascii="Times" w:hAnsi="Times"/>
          <w:sz w:val="23"/>
          <w:szCs w:val="23"/>
        </w:rPr>
      </w:pPr>
      <w:r>
        <w:rPr>
          <w:rFonts w:ascii="Times" w:hAnsi="Times"/>
          <w:sz w:val="23"/>
          <w:szCs w:val="23"/>
        </w:rPr>
        <w:t xml:space="preserve">The broader and multiple forms of </w:t>
      </w:r>
      <w:r w:rsidR="009A490F">
        <w:rPr>
          <w:rFonts w:ascii="Times" w:hAnsi="Times"/>
          <w:sz w:val="23"/>
          <w:szCs w:val="23"/>
        </w:rPr>
        <w:t>discrimination, criminalization and rejection</w:t>
      </w:r>
      <w:r>
        <w:rPr>
          <w:rFonts w:ascii="Times" w:hAnsi="Times"/>
          <w:sz w:val="23"/>
          <w:szCs w:val="23"/>
        </w:rPr>
        <w:t>/exclusion</w:t>
      </w:r>
      <w:r w:rsidR="009A490F">
        <w:rPr>
          <w:rFonts w:ascii="Times" w:hAnsi="Times"/>
          <w:sz w:val="23"/>
          <w:szCs w:val="23"/>
        </w:rPr>
        <w:t xml:space="preserve"> by </w:t>
      </w:r>
      <w:r>
        <w:rPr>
          <w:rFonts w:ascii="Times" w:hAnsi="Times"/>
          <w:sz w:val="23"/>
          <w:szCs w:val="23"/>
        </w:rPr>
        <w:t xml:space="preserve">family members and communities </w:t>
      </w:r>
      <w:r w:rsidR="00E57BF3">
        <w:rPr>
          <w:rFonts w:ascii="Times" w:hAnsi="Times"/>
          <w:sz w:val="23"/>
          <w:szCs w:val="23"/>
        </w:rPr>
        <w:t>have</w:t>
      </w:r>
      <w:r>
        <w:rPr>
          <w:rFonts w:ascii="Times" w:hAnsi="Times"/>
          <w:sz w:val="23"/>
          <w:szCs w:val="23"/>
        </w:rPr>
        <w:t xml:space="preserve"> a correlation with the poverty experienced by LGBTIQ persons. </w:t>
      </w:r>
    </w:p>
    <w:p w14:paraId="1C577B82" w14:textId="77777777" w:rsidR="006A3CCD" w:rsidRDefault="006A3CCD" w:rsidP="009A490F">
      <w:pPr>
        <w:rPr>
          <w:rFonts w:ascii="Times" w:hAnsi="Times"/>
          <w:sz w:val="23"/>
          <w:szCs w:val="23"/>
        </w:rPr>
      </w:pPr>
    </w:p>
    <w:p w14:paraId="6329F634" w14:textId="2CDA6CE5" w:rsidR="006A3CCD" w:rsidRDefault="006A3CCD" w:rsidP="009A490F">
      <w:pPr>
        <w:rPr>
          <w:rFonts w:ascii="Times" w:hAnsi="Times"/>
          <w:sz w:val="23"/>
          <w:szCs w:val="23"/>
        </w:rPr>
      </w:pPr>
      <w:r>
        <w:rPr>
          <w:rFonts w:ascii="Times" w:hAnsi="Times"/>
          <w:sz w:val="23"/>
          <w:szCs w:val="23"/>
        </w:rPr>
        <w:t xml:space="preserve">Trans </w:t>
      </w:r>
      <w:r w:rsidR="001076CE">
        <w:rPr>
          <w:rFonts w:ascii="Times" w:hAnsi="Times"/>
          <w:sz w:val="23"/>
          <w:szCs w:val="23"/>
        </w:rPr>
        <w:t>women</w:t>
      </w:r>
      <w:r>
        <w:rPr>
          <w:rFonts w:ascii="Times" w:hAnsi="Times"/>
          <w:sz w:val="23"/>
          <w:szCs w:val="23"/>
        </w:rPr>
        <w:t xml:space="preserve"> especially are sexually objectified and stereotyped as sexual objects or sex workers. This stereotyp</w:t>
      </w:r>
      <w:r w:rsidR="001076CE">
        <w:rPr>
          <w:rFonts w:ascii="Times" w:hAnsi="Times"/>
          <w:sz w:val="23"/>
          <w:szCs w:val="23"/>
        </w:rPr>
        <w:t xml:space="preserve">e decreases their employability, and increases vulnerability to discrimination during job interviews by prospective employers. </w:t>
      </w:r>
    </w:p>
    <w:p w14:paraId="4C9181E6" w14:textId="77777777" w:rsidR="00B54C65" w:rsidRDefault="00B54C65" w:rsidP="009A490F">
      <w:pPr>
        <w:rPr>
          <w:rFonts w:ascii="Times" w:hAnsi="Times"/>
          <w:sz w:val="23"/>
          <w:szCs w:val="23"/>
        </w:rPr>
      </w:pPr>
    </w:p>
    <w:p w14:paraId="4A0FF2E6" w14:textId="60871838" w:rsidR="00B54C65" w:rsidRPr="00E57BF3" w:rsidRDefault="00E57BF3" w:rsidP="00E57BF3">
      <w:pPr>
        <w:pStyle w:val="NoSpacing"/>
        <w:rPr>
          <w:rFonts w:ascii="Times" w:hAnsi="Times"/>
          <w:sz w:val="23"/>
          <w:szCs w:val="23"/>
        </w:rPr>
      </w:pPr>
      <w:r w:rsidRPr="00E57BF3">
        <w:rPr>
          <w:rFonts w:ascii="Times" w:hAnsi="Times"/>
          <w:sz w:val="23"/>
          <w:szCs w:val="23"/>
        </w:rPr>
        <w:t>Experiences of discrimination faced by trans people have been documented in several r</w:t>
      </w:r>
      <w:r w:rsidR="0030269E">
        <w:rPr>
          <w:rFonts w:ascii="Times" w:hAnsi="Times"/>
          <w:sz w:val="23"/>
          <w:szCs w:val="23"/>
        </w:rPr>
        <w:t xml:space="preserve">eports. 58 respondents (58%) </w:t>
      </w:r>
      <w:r w:rsidR="0030269E" w:rsidRPr="00E57BF3">
        <w:rPr>
          <w:rFonts w:ascii="Times" w:hAnsi="Times"/>
          <w:sz w:val="23"/>
          <w:szCs w:val="23"/>
        </w:rPr>
        <w:t>shared that they were denied employment, or have had their applications rejected</w:t>
      </w:r>
      <w:r w:rsidR="0030269E" w:rsidRPr="00E57BF3">
        <w:rPr>
          <w:rFonts w:ascii="Times" w:hAnsi="Times"/>
          <w:bCs/>
          <w:sz w:val="23"/>
          <w:szCs w:val="23"/>
        </w:rPr>
        <w:t xml:space="preserve"> </w:t>
      </w:r>
      <w:r w:rsidR="0030269E">
        <w:rPr>
          <w:rFonts w:ascii="Times" w:hAnsi="Times"/>
          <w:bCs/>
          <w:sz w:val="23"/>
          <w:szCs w:val="23"/>
        </w:rPr>
        <w:t xml:space="preserve">in the </w:t>
      </w:r>
      <w:r w:rsidRPr="00E57BF3">
        <w:rPr>
          <w:rFonts w:ascii="Times" w:hAnsi="Times"/>
          <w:bCs/>
          <w:sz w:val="23"/>
          <w:szCs w:val="23"/>
        </w:rPr>
        <w:t xml:space="preserve">‘Study on discrimination against transgender persons based in Kuala Lumpur and Selangor </w:t>
      </w:r>
      <w:r w:rsidRPr="00E57BF3">
        <w:rPr>
          <w:rFonts w:ascii="Times" w:hAnsi="Times"/>
          <w:sz w:val="23"/>
          <w:szCs w:val="23"/>
        </w:rPr>
        <w:t xml:space="preserve">(Right to education, employment, healthcare, housing and dignity)’ by the Human Rights Commission of Malaysia (SUHAKAM) (2019). </w:t>
      </w:r>
    </w:p>
    <w:p w14:paraId="78C9A542" w14:textId="77777777" w:rsidR="009A490F" w:rsidRDefault="009A490F" w:rsidP="009A490F">
      <w:pPr>
        <w:rPr>
          <w:rFonts w:ascii="Times" w:hAnsi="Times"/>
          <w:sz w:val="23"/>
          <w:szCs w:val="23"/>
        </w:rPr>
      </w:pPr>
    </w:p>
    <w:p w14:paraId="6AD5CF8F" w14:textId="24657D84" w:rsidR="009A490F" w:rsidRDefault="009A490F" w:rsidP="009A490F">
      <w:pPr>
        <w:pStyle w:val="NoSpacing"/>
        <w:rPr>
          <w:rFonts w:ascii="Times" w:hAnsi="Times"/>
          <w:color w:val="000000"/>
          <w:sz w:val="23"/>
          <w:szCs w:val="23"/>
        </w:rPr>
      </w:pPr>
      <w:r w:rsidRPr="0011113F">
        <w:rPr>
          <w:rFonts w:ascii="Times" w:hAnsi="Times" w:cs="Times New Roman"/>
          <w:sz w:val="23"/>
          <w:szCs w:val="23"/>
        </w:rPr>
        <w:fldChar w:fldCharType="begin"/>
      </w:r>
      <w:r w:rsidRPr="0011113F">
        <w:rPr>
          <w:rFonts w:ascii="Times" w:hAnsi="Times" w:cs="Times New Roman"/>
          <w:sz w:val="23"/>
          <w:szCs w:val="23"/>
        </w:rPr>
        <w:instrText xml:space="preserve"> HYPERLINK "http://www.weareaptn.org/2018/11/02/deniedwork/" \t "_blank" </w:instrText>
      </w:r>
      <w:r w:rsidRPr="0011113F">
        <w:rPr>
          <w:rFonts w:ascii="Times" w:hAnsi="Times" w:cs="Times New Roman"/>
          <w:sz w:val="23"/>
          <w:szCs w:val="23"/>
        </w:rPr>
        <w:fldChar w:fldCharType="separate"/>
      </w:r>
      <w:r w:rsidRPr="0011113F">
        <w:rPr>
          <w:rStyle w:val="Hyperlink"/>
          <w:rFonts w:ascii="Times" w:eastAsia="Times New Roman" w:hAnsi="Times" w:cs="Arial"/>
          <w:color w:val="1155CC"/>
          <w:sz w:val="23"/>
          <w:szCs w:val="23"/>
        </w:rPr>
        <w:t>Denied Work: An audit of employment discrimination on the basis of gender identity in South-East Asia</w:t>
      </w:r>
      <w:r w:rsidRPr="0011113F">
        <w:rPr>
          <w:rFonts w:ascii="Times" w:hAnsi="Times" w:cs="Times New Roman"/>
          <w:sz w:val="23"/>
          <w:szCs w:val="23"/>
        </w:rPr>
        <w:fldChar w:fldCharType="end"/>
      </w:r>
      <w:r w:rsidRPr="0011113F">
        <w:rPr>
          <w:rFonts w:ascii="Times" w:hAnsi="Times"/>
          <w:color w:val="000000"/>
          <w:sz w:val="23"/>
          <w:szCs w:val="23"/>
        </w:rPr>
        <w:t xml:space="preserve"> shows the severity of the discrimination in the employment sectors faced by trans people. The report shows cisgender </w:t>
      </w:r>
      <w:r w:rsidR="00E57BF3" w:rsidRPr="0011113F">
        <w:rPr>
          <w:rFonts w:ascii="Times" w:hAnsi="Times"/>
          <w:color w:val="000000"/>
          <w:sz w:val="23"/>
          <w:szCs w:val="23"/>
        </w:rPr>
        <w:t>applicants’</w:t>
      </w:r>
      <w:r w:rsidRPr="0011113F">
        <w:rPr>
          <w:rFonts w:ascii="Times" w:hAnsi="Times"/>
          <w:color w:val="000000"/>
          <w:sz w:val="23"/>
          <w:szCs w:val="23"/>
        </w:rPr>
        <w:t xml:space="preserve"> were  50% more likely than transgender applicants to get a positive response (64% more likely for cis women and 37.5% cis men), and 66.1% more likely to be invited to an interview (72.4% for cis women and 60.6% for cis men). The report notes that ‘the discrimination experienced by trans women was particularly severe’ due to the disproportionate rejection that trans women face compared to cisgender women.</w:t>
      </w:r>
    </w:p>
    <w:p w14:paraId="36B0F6D0" w14:textId="587604BE" w:rsidR="00693738" w:rsidRDefault="00693738" w:rsidP="00693738">
      <w:pPr>
        <w:pStyle w:val="NormalWeb"/>
        <w:rPr>
          <w:color w:val="000000"/>
          <w:sz w:val="23"/>
          <w:szCs w:val="23"/>
        </w:rPr>
      </w:pPr>
      <w:r>
        <w:rPr>
          <w:color w:val="000000"/>
          <w:sz w:val="23"/>
          <w:szCs w:val="23"/>
        </w:rPr>
        <w:t xml:space="preserve">I am scared o be a woman, a report on human rights of trans people by Human Rights Watch also includes some cases of employment discrimination against trans women </w:t>
      </w:r>
    </w:p>
    <w:p w14:paraId="3D13853E" w14:textId="3DF94DD3" w:rsidR="00693738" w:rsidRPr="00A02DF9" w:rsidRDefault="00693738" w:rsidP="00693738">
      <w:pPr>
        <w:pStyle w:val="NormalWeb"/>
        <w:ind w:left="600"/>
        <w:rPr>
          <w:sz w:val="23"/>
          <w:szCs w:val="23"/>
        </w:rPr>
      </w:pPr>
      <w:r w:rsidRPr="00A02DF9">
        <w:rPr>
          <w:sz w:val="23"/>
          <w:szCs w:val="23"/>
        </w:rPr>
        <w:t>Beka, from the northern state of Kedah, told Human Rights Watch she had been rejected on the basis of her gender identity more than 10 times by prospective employers, including an international corporation</w:t>
      </w:r>
    </w:p>
    <w:p w14:paraId="648D0732" w14:textId="747D3FDA" w:rsidR="00E57BF3" w:rsidRPr="00A02DF9" w:rsidRDefault="00693738" w:rsidP="00693738">
      <w:pPr>
        <w:pStyle w:val="NormalWeb"/>
        <w:ind w:left="600"/>
        <w:rPr>
          <w:sz w:val="23"/>
          <w:szCs w:val="23"/>
        </w:rPr>
      </w:pPr>
      <w:r w:rsidRPr="00A02DF9">
        <w:rPr>
          <w:sz w:val="23"/>
          <w:szCs w:val="23"/>
        </w:rPr>
        <w:t>Natasha, a 33-year-old transgender woman in Penang, told Human Rights Watch that despite her efforts to neutralize her appearance and blend in, she still faced job discrimination: When I go for an interview, whether a factory, shopping complex, hotel, or anywhere, I dress in a simple way—no make-up; if I have long hair at the time I bun it up. [But] they would tell me, ‘No, we don’t want transgender women.’</w:t>
      </w:r>
      <w:r w:rsidR="00A02DF9" w:rsidRPr="00A02DF9">
        <w:rPr>
          <w:rStyle w:val="FootnoteReference"/>
          <w:sz w:val="23"/>
          <w:szCs w:val="23"/>
        </w:rPr>
        <w:footnoteReference w:id="6"/>
      </w:r>
    </w:p>
    <w:p w14:paraId="1159E5A1" w14:textId="463814CE" w:rsidR="00E57BF3" w:rsidRPr="00E57BF3" w:rsidRDefault="00E57BF3" w:rsidP="009A490F">
      <w:pPr>
        <w:pStyle w:val="NoSpacing"/>
        <w:rPr>
          <w:rFonts w:ascii="Times" w:hAnsi="Times"/>
          <w:sz w:val="23"/>
          <w:szCs w:val="23"/>
        </w:rPr>
      </w:pPr>
      <w:r w:rsidRPr="00E57BF3">
        <w:rPr>
          <w:rFonts w:ascii="Times" w:hAnsi="Times"/>
          <w:color w:val="000000"/>
          <w:sz w:val="23"/>
          <w:szCs w:val="23"/>
        </w:rPr>
        <w:t xml:space="preserve">In May 2019, the </w:t>
      </w:r>
      <w:r>
        <w:rPr>
          <w:rFonts w:ascii="Times" w:hAnsi="Times"/>
          <w:color w:val="000000"/>
          <w:sz w:val="23"/>
          <w:szCs w:val="23"/>
        </w:rPr>
        <w:t>M</w:t>
      </w:r>
      <w:r w:rsidRPr="00E57BF3">
        <w:rPr>
          <w:rFonts w:ascii="Times" w:hAnsi="Times"/>
          <w:color w:val="000000"/>
          <w:sz w:val="23"/>
          <w:szCs w:val="23"/>
        </w:rPr>
        <w:t xml:space="preserve">inister of Rural Development announced that the Ministry will prohibit hiring of transgender persons as educators at the </w:t>
      </w:r>
      <w:r w:rsidRPr="00E57BF3">
        <w:rPr>
          <w:rFonts w:ascii="Times" w:eastAsia="Times New Roman" w:hAnsi="Times" w:cs="Times New Roman"/>
          <w:sz w:val="23"/>
          <w:szCs w:val="23"/>
        </w:rPr>
        <w:t>Taman Asuhan Kanak-Kanak Jabatan Kebajikan Masyarakat (Kemas) or the welfare department’s Children day care centers (KEMAS) to ‘avoid confusing the children’.</w:t>
      </w:r>
      <w:r>
        <w:rPr>
          <w:rStyle w:val="FootnoteReference"/>
          <w:rFonts w:ascii="Times" w:eastAsia="Times New Roman" w:hAnsi="Times" w:cs="Times New Roman"/>
          <w:sz w:val="23"/>
          <w:szCs w:val="23"/>
        </w:rPr>
        <w:footnoteReference w:id="7"/>
      </w:r>
      <w:r w:rsidRPr="00E57BF3">
        <w:rPr>
          <w:rFonts w:ascii="Times" w:eastAsia="Times New Roman" w:hAnsi="Times" w:cs="Times New Roman"/>
          <w:sz w:val="23"/>
          <w:szCs w:val="23"/>
        </w:rPr>
        <w:t xml:space="preserve"> </w:t>
      </w:r>
    </w:p>
    <w:p w14:paraId="2AC8EA1A" w14:textId="77777777" w:rsidR="009A490F" w:rsidRDefault="009A490F" w:rsidP="009A490F">
      <w:pPr>
        <w:rPr>
          <w:rFonts w:ascii="Times" w:hAnsi="Times"/>
          <w:sz w:val="23"/>
          <w:szCs w:val="23"/>
        </w:rPr>
      </w:pPr>
    </w:p>
    <w:p w14:paraId="5636E42D" w14:textId="46543347" w:rsidR="00CB2C0A" w:rsidRDefault="00944655" w:rsidP="00CB2C0A">
      <w:pPr>
        <w:rPr>
          <w:rFonts w:ascii="Times" w:hAnsi="Times"/>
          <w:sz w:val="23"/>
          <w:szCs w:val="23"/>
        </w:rPr>
      </w:pPr>
      <w:r>
        <w:rPr>
          <w:rFonts w:ascii="Times" w:hAnsi="Times"/>
          <w:sz w:val="23"/>
          <w:szCs w:val="23"/>
        </w:rPr>
        <w:t xml:space="preserve">Many LGBTQ persons are in precarious economies without social protection and savings, and are vulnerable of falling into poverty. </w:t>
      </w:r>
      <w:r w:rsidR="00907C77">
        <w:rPr>
          <w:rFonts w:ascii="Times" w:hAnsi="Times"/>
          <w:sz w:val="23"/>
          <w:szCs w:val="23"/>
        </w:rPr>
        <w:t xml:space="preserve">In the last two years, </w:t>
      </w:r>
      <w:r w:rsidR="00CB2C0A">
        <w:rPr>
          <w:rFonts w:ascii="Times" w:hAnsi="Times"/>
          <w:sz w:val="23"/>
          <w:szCs w:val="23"/>
        </w:rPr>
        <w:t xml:space="preserve">Justice for Sisters </w:t>
      </w:r>
      <w:r w:rsidR="00907C77">
        <w:rPr>
          <w:rFonts w:ascii="Times" w:hAnsi="Times"/>
          <w:sz w:val="23"/>
          <w:szCs w:val="23"/>
        </w:rPr>
        <w:t>increasingly receives</w:t>
      </w:r>
      <w:r w:rsidR="00CB2C0A">
        <w:rPr>
          <w:rFonts w:ascii="Times" w:hAnsi="Times"/>
          <w:sz w:val="23"/>
          <w:szCs w:val="23"/>
        </w:rPr>
        <w:t xml:space="preserve"> cases of discrimination in </w:t>
      </w:r>
      <w:r w:rsidR="00907C77">
        <w:rPr>
          <w:rFonts w:ascii="Times" w:hAnsi="Times"/>
          <w:sz w:val="23"/>
          <w:szCs w:val="23"/>
        </w:rPr>
        <w:t xml:space="preserve">employment against trans women from being instructed to adhere to binary dress code and use facilities based on sex assigned at birth, discriminatory hiring policies, amongst others. </w:t>
      </w:r>
    </w:p>
    <w:p w14:paraId="6C464B83" w14:textId="77777777" w:rsidR="00A02DF9" w:rsidRDefault="00A02DF9" w:rsidP="008F22BB">
      <w:pPr>
        <w:rPr>
          <w:rFonts w:ascii="Times" w:hAnsi="Times"/>
          <w:sz w:val="23"/>
          <w:szCs w:val="23"/>
        </w:rPr>
      </w:pPr>
    </w:p>
    <w:p w14:paraId="39B90B9D" w14:textId="360CB8D8" w:rsidR="0030269E" w:rsidRDefault="0030269E" w:rsidP="008F22BB">
      <w:pPr>
        <w:rPr>
          <w:rFonts w:ascii="Times" w:hAnsi="Times"/>
          <w:sz w:val="23"/>
          <w:szCs w:val="23"/>
        </w:rPr>
      </w:pPr>
      <w:r>
        <w:rPr>
          <w:rFonts w:ascii="Times" w:hAnsi="Times"/>
          <w:sz w:val="23"/>
          <w:szCs w:val="23"/>
        </w:rPr>
        <w:t>Between 2017</w:t>
      </w:r>
      <w:r w:rsidR="006A3CCD">
        <w:rPr>
          <w:rStyle w:val="FootnoteReference"/>
          <w:rFonts w:ascii="Times" w:hAnsi="Times"/>
          <w:sz w:val="23"/>
          <w:szCs w:val="23"/>
        </w:rPr>
        <w:footnoteReference w:id="8"/>
      </w:r>
      <w:r w:rsidR="006A3CCD">
        <w:rPr>
          <w:rFonts w:ascii="Times" w:hAnsi="Times"/>
          <w:sz w:val="23"/>
          <w:szCs w:val="23"/>
        </w:rPr>
        <w:t xml:space="preserve"> and 2019, online users launched</w:t>
      </w:r>
      <w:r>
        <w:rPr>
          <w:rFonts w:ascii="Times" w:hAnsi="Times"/>
          <w:sz w:val="23"/>
          <w:szCs w:val="23"/>
        </w:rPr>
        <w:t xml:space="preserve"> campaign</w:t>
      </w:r>
      <w:r w:rsidR="006A3CCD">
        <w:rPr>
          <w:rFonts w:ascii="Times" w:hAnsi="Times"/>
          <w:sz w:val="23"/>
          <w:szCs w:val="23"/>
        </w:rPr>
        <w:t>s</w:t>
      </w:r>
      <w:r>
        <w:rPr>
          <w:rFonts w:ascii="Times" w:hAnsi="Times"/>
          <w:sz w:val="23"/>
          <w:szCs w:val="23"/>
        </w:rPr>
        <w:t xml:space="preserve"> to boycott products sold and produced by trans</w:t>
      </w:r>
      <w:r w:rsidR="006A3CCD">
        <w:rPr>
          <w:rFonts w:ascii="Times" w:hAnsi="Times"/>
          <w:sz w:val="23"/>
          <w:szCs w:val="23"/>
        </w:rPr>
        <w:t xml:space="preserve"> women. The campaign, supported by conservative groups targeting Malay Muslim persons, called for the boycott in order not to be complicit in supporting trans women or inadvertently financing their lifestyle.  </w:t>
      </w:r>
    </w:p>
    <w:p w14:paraId="390EA59C" w14:textId="77777777" w:rsidR="0004506A" w:rsidRDefault="0004506A" w:rsidP="008F22BB">
      <w:pPr>
        <w:rPr>
          <w:rFonts w:ascii="Times" w:hAnsi="Times"/>
          <w:sz w:val="23"/>
          <w:szCs w:val="23"/>
        </w:rPr>
      </w:pPr>
    </w:p>
    <w:p w14:paraId="10B740EF" w14:textId="1BB73225" w:rsidR="0004506A" w:rsidRPr="0004506A" w:rsidRDefault="0004506A" w:rsidP="0004506A">
      <w:pPr>
        <w:rPr>
          <w:rFonts w:ascii="Times" w:hAnsi="Times"/>
          <w:sz w:val="23"/>
          <w:szCs w:val="23"/>
        </w:rPr>
      </w:pPr>
      <w:r w:rsidRPr="0004506A">
        <w:rPr>
          <w:rFonts w:ascii="Times" w:hAnsi="Times"/>
          <w:sz w:val="23"/>
          <w:szCs w:val="23"/>
        </w:rPr>
        <w:t>In July</w:t>
      </w:r>
      <w:r>
        <w:rPr>
          <w:rFonts w:ascii="Times" w:hAnsi="Times"/>
          <w:sz w:val="23"/>
          <w:szCs w:val="23"/>
        </w:rPr>
        <w:t xml:space="preserve"> 201</w:t>
      </w:r>
      <w:r w:rsidR="00907C77">
        <w:rPr>
          <w:rFonts w:ascii="Times" w:hAnsi="Times"/>
          <w:sz w:val="23"/>
          <w:szCs w:val="23"/>
        </w:rPr>
        <w:t>8, Numan Afifi, an</w:t>
      </w:r>
      <w:r>
        <w:rPr>
          <w:rFonts w:ascii="Times" w:hAnsi="Times"/>
          <w:sz w:val="23"/>
          <w:szCs w:val="23"/>
        </w:rPr>
        <w:t xml:space="preserve"> openly gay </w:t>
      </w:r>
      <w:r w:rsidRPr="0004506A">
        <w:rPr>
          <w:rFonts w:ascii="Times" w:hAnsi="Times"/>
          <w:sz w:val="23"/>
          <w:szCs w:val="23"/>
        </w:rPr>
        <w:t xml:space="preserve">human rights defender was forced to resign as the </w:t>
      </w:r>
      <w:r w:rsidRPr="0004506A">
        <w:rPr>
          <w:rFonts w:ascii="Times" w:eastAsia="Times New Roman" w:hAnsi="Times" w:cs="Times New Roman"/>
          <w:sz w:val="23"/>
          <w:szCs w:val="23"/>
        </w:rPr>
        <w:t>Youth and Sports Minister Syed Saddiq Abdul Rahman's press officer, following criticisms of his lesbian, gay, bisexual and transgender (LGBT) activism.</w:t>
      </w:r>
      <w:r w:rsidRPr="0004506A">
        <w:rPr>
          <w:rStyle w:val="FootnoteReference"/>
          <w:rFonts w:ascii="Times" w:eastAsia="Times New Roman" w:hAnsi="Times" w:cs="Times New Roman"/>
          <w:sz w:val="23"/>
          <w:szCs w:val="23"/>
        </w:rPr>
        <w:footnoteReference w:id="9"/>
      </w:r>
      <w:r w:rsidRPr="0004506A">
        <w:rPr>
          <w:rFonts w:ascii="Times" w:eastAsia="Times New Roman" w:hAnsi="Times" w:cs="Times New Roman"/>
          <w:sz w:val="23"/>
          <w:szCs w:val="23"/>
        </w:rPr>
        <w:t xml:space="preserve"> </w:t>
      </w:r>
      <w:r w:rsidR="00907C77">
        <w:rPr>
          <w:rFonts w:ascii="Times" w:eastAsia="Times New Roman" w:hAnsi="Times" w:cs="Times New Roman"/>
          <w:sz w:val="23"/>
          <w:szCs w:val="23"/>
        </w:rPr>
        <w:t xml:space="preserve">Previously, in 2017, Numan had to quit his position as the publicity secretary of a political party following </w:t>
      </w:r>
      <w:r w:rsidR="00375BD3">
        <w:rPr>
          <w:rFonts w:ascii="Times" w:eastAsia="Times New Roman" w:hAnsi="Times" w:cs="Times New Roman"/>
          <w:sz w:val="23"/>
          <w:szCs w:val="23"/>
        </w:rPr>
        <w:t>reprisals in connection to a</w:t>
      </w:r>
      <w:r w:rsidR="00907C77">
        <w:rPr>
          <w:rFonts w:ascii="Times" w:eastAsia="Times New Roman" w:hAnsi="Times" w:cs="Times New Roman"/>
          <w:sz w:val="23"/>
          <w:szCs w:val="23"/>
        </w:rPr>
        <w:t xml:space="preserve"> break fast event with the LGBTQ community</w:t>
      </w:r>
      <w:r w:rsidR="00375BD3">
        <w:rPr>
          <w:rFonts w:ascii="Times" w:eastAsia="Times New Roman" w:hAnsi="Times" w:cs="Times New Roman"/>
          <w:sz w:val="23"/>
          <w:szCs w:val="23"/>
        </w:rPr>
        <w:t xml:space="preserve"> organized by Pelangi, an LGBT group</w:t>
      </w:r>
      <w:bookmarkStart w:id="0" w:name="_GoBack"/>
      <w:bookmarkEnd w:id="0"/>
      <w:r w:rsidR="00907C77">
        <w:rPr>
          <w:rFonts w:ascii="Times" w:eastAsia="Times New Roman" w:hAnsi="Times" w:cs="Times New Roman"/>
          <w:sz w:val="23"/>
          <w:szCs w:val="23"/>
        </w:rPr>
        <w:t>.</w:t>
      </w:r>
      <w:r w:rsidR="00E82272">
        <w:rPr>
          <w:rStyle w:val="FootnoteReference"/>
          <w:rFonts w:ascii="Times" w:eastAsia="Times New Roman" w:hAnsi="Times" w:cs="Times New Roman"/>
          <w:sz w:val="23"/>
          <w:szCs w:val="23"/>
        </w:rPr>
        <w:footnoteReference w:id="10"/>
      </w:r>
      <w:r w:rsidR="00907C77">
        <w:rPr>
          <w:rFonts w:ascii="Times" w:eastAsia="Times New Roman" w:hAnsi="Times" w:cs="Times New Roman"/>
          <w:sz w:val="23"/>
          <w:szCs w:val="23"/>
        </w:rPr>
        <w:t xml:space="preserve"> </w:t>
      </w:r>
      <w:r w:rsidR="00A23DB2">
        <w:rPr>
          <w:rFonts w:ascii="Times" w:eastAsia="Times New Roman" w:hAnsi="Times" w:cs="Times New Roman"/>
          <w:sz w:val="23"/>
          <w:szCs w:val="23"/>
        </w:rPr>
        <w:t>Aside from Numan, human rights defenders who defend the rights of LGBTQ persons, often face job insecurity due to their activism</w:t>
      </w:r>
      <w:r w:rsidR="00375BD3">
        <w:rPr>
          <w:rFonts w:ascii="Times" w:eastAsia="Times New Roman" w:hAnsi="Times" w:cs="Times New Roman"/>
          <w:sz w:val="23"/>
          <w:szCs w:val="23"/>
        </w:rPr>
        <w:t xml:space="preserve"> or the forms reprisals that impact their income or financial well-being</w:t>
      </w:r>
      <w:r w:rsidR="00A23DB2">
        <w:rPr>
          <w:rFonts w:ascii="Times" w:eastAsia="Times New Roman" w:hAnsi="Times" w:cs="Times New Roman"/>
          <w:sz w:val="23"/>
          <w:szCs w:val="23"/>
        </w:rPr>
        <w:t>,</w:t>
      </w:r>
      <w:r w:rsidR="00375BD3">
        <w:rPr>
          <w:rFonts w:ascii="Times" w:eastAsia="Times New Roman" w:hAnsi="Times" w:cs="Times New Roman"/>
          <w:sz w:val="23"/>
          <w:szCs w:val="23"/>
        </w:rPr>
        <w:t xml:space="preserve"> thus</w:t>
      </w:r>
      <w:r w:rsidR="00A23DB2">
        <w:rPr>
          <w:rFonts w:ascii="Times" w:eastAsia="Times New Roman" w:hAnsi="Times" w:cs="Times New Roman"/>
          <w:sz w:val="23"/>
          <w:szCs w:val="23"/>
        </w:rPr>
        <w:t xml:space="preserve"> placing them in precarious financial situations.  </w:t>
      </w:r>
    </w:p>
    <w:p w14:paraId="743ABB38" w14:textId="77777777" w:rsidR="0030269E" w:rsidRDefault="0030269E" w:rsidP="008F22BB">
      <w:pPr>
        <w:rPr>
          <w:rFonts w:ascii="Times" w:hAnsi="Times"/>
          <w:sz w:val="23"/>
          <w:szCs w:val="23"/>
        </w:rPr>
      </w:pPr>
    </w:p>
    <w:p w14:paraId="6A96AEE3" w14:textId="37CDBA9A" w:rsidR="00944655" w:rsidRPr="00944655" w:rsidRDefault="00944655" w:rsidP="008F22BB">
      <w:pPr>
        <w:rPr>
          <w:rFonts w:ascii="Times" w:hAnsi="Times"/>
          <w:b/>
          <w:sz w:val="23"/>
          <w:szCs w:val="23"/>
        </w:rPr>
      </w:pPr>
      <w:r w:rsidRPr="00944655">
        <w:rPr>
          <w:rFonts w:ascii="Times" w:hAnsi="Times"/>
          <w:b/>
          <w:sz w:val="23"/>
          <w:szCs w:val="23"/>
        </w:rPr>
        <w:t xml:space="preserve">Access to welfare </w:t>
      </w:r>
      <w:r>
        <w:rPr>
          <w:rFonts w:ascii="Times" w:hAnsi="Times"/>
          <w:b/>
          <w:sz w:val="23"/>
          <w:szCs w:val="23"/>
        </w:rPr>
        <w:t xml:space="preserve">&amp; incentivizing rehabilitation of LGBT people </w:t>
      </w:r>
    </w:p>
    <w:p w14:paraId="19BD45E2" w14:textId="02E28EEF" w:rsidR="00242362" w:rsidRDefault="00242362" w:rsidP="00242362">
      <w:pPr>
        <w:pStyle w:val="NoSpacing"/>
        <w:rPr>
          <w:rFonts w:ascii="Times" w:hAnsi="Times"/>
          <w:sz w:val="23"/>
          <w:szCs w:val="23"/>
        </w:rPr>
      </w:pPr>
      <w:r>
        <w:rPr>
          <w:rFonts w:ascii="Times" w:hAnsi="Times"/>
          <w:sz w:val="23"/>
          <w:szCs w:val="23"/>
        </w:rPr>
        <w:t>W</w:t>
      </w:r>
      <w:r w:rsidR="00EC5A0B">
        <w:rPr>
          <w:rFonts w:ascii="Times" w:hAnsi="Times"/>
          <w:sz w:val="23"/>
          <w:szCs w:val="23"/>
        </w:rPr>
        <w:t xml:space="preserve">elfare </w:t>
      </w:r>
      <w:r w:rsidRPr="00356059">
        <w:rPr>
          <w:rFonts w:ascii="Times" w:hAnsi="Times"/>
          <w:sz w:val="23"/>
          <w:szCs w:val="23"/>
        </w:rPr>
        <w:t xml:space="preserve">via zakat (tithe) </w:t>
      </w:r>
      <w:r>
        <w:rPr>
          <w:rFonts w:ascii="Times" w:hAnsi="Times"/>
          <w:sz w:val="23"/>
          <w:szCs w:val="23"/>
        </w:rPr>
        <w:t xml:space="preserve">provided by </w:t>
      </w:r>
      <w:r w:rsidR="002C36AA">
        <w:rPr>
          <w:rFonts w:ascii="Times" w:hAnsi="Times"/>
          <w:sz w:val="23"/>
          <w:szCs w:val="23"/>
        </w:rPr>
        <w:t xml:space="preserve">some </w:t>
      </w:r>
      <w:r>
        <w:rPr>
          <w:rFonts w:ascii="Times" w:hAnsi="Times"/>
          <w:sz w:val="23"/>
          <w:szCs w:val="23"/>
        </w:rPr>
        <w:t xml:space="preserve">state governments </w:t>
      </w:r>
      <w:r w:rsidRPr="00356059">
        <w:rPr>
          <w:rFonts w:ascii="Times" w:hAnsi="Times"/>
          <w:sz w:val="23"/>
          <w:szCs w:val="23"/>
        </w:rPr>
        <w:t>not only reinforces negative perception towards, as LGBT pe</w:t>
      </w:r>
      <w:r>
        <w:rPr>
          <w:rFonts w:ascii="Times" w:hAnsi="Times"/>
          <w:sz w:val="23"/>
          <w:szCs w:val="23"/>
        </w:rPr>
        <w:t>rsons are categorized</w:t>
      </w:r>
      <w:r w:rsidR="00B05E21">
        <w:rPr>
          <w:rFonts w:ascii="Times" w:hAnsi="Times"/>
          <w:sz w:val="23"/>
          <w:szCs w:val="23"/>
        </w:rPr>
        <w:t xml:space="preserve"> as</w:t>
      </w:r>
      <w:r>
        <w:rPr>
          <w:rFonts w:ascii="Times" w:hAnsi="Times"/>
          <w:sz w:val="23"/>
          <w:szCs w:val="23"/>
        </w:rPr>
        <w:t xml:space="preserve"> asnaf al Riqab (servants </w:t>
      </w:r>
      <w:r w:rsidR="002C36AA">
        <w:rPr>
          <w:rFonts w:ascii="Times" w:hAnsi="Times"/>
          <w:sz w:val="23"/>
          <w:szCs w:val="23"/>
        </w:rPr>
        <w:t>or slaves who want to liberate themselves)</w:t>
      </w:r>
      <w:r w:rsidRPr="00356059">
        <w:rPr>
          <w:rFonts w:ascii="Times" w:hAnsi="Times"/>
          <w:sz w:val="23"/>
          <w:szCs w:val="23"/>
        </w:rPr>
        <w:t xml:space="preserve">, but also sets conditions and act as incentives for LGBTQ persons to ‘rehabilitate’ themselves. </w:t>
      </w:r>
    </w:p>
    <w:p w14:paraId="36D7C34A" w14:textId="77777777" w:rsidR="00242362" w:rsidRDefault="00242362" w:rsidP="00356059">
      <w:pPr>
        <w:pStyle w:val="NoSpacing"/>
        <w:rPr>
          <w:rFonts w:ascii="Times" w:hAnsi="Times"/>
          <w:sz w:val="23"/>
          <w:szCs w:val="23"/>
        </w:rPr>
      </w:pPr>
    </w:p>
    <w:p w14:paraId="6366618C" w14:textId="11F8CCE0" w:rsidR="00944655" w:rsidRPr="00356059" w:rsidRDefault="00944655" w:rsidP="00356059">
      <w:pPr>
        <w:pStyle w:val="NoSpacing"/>
        <w:rPr>
          <w:rFonts w:ascii="Times" w:hAnsi="Times"/>
          <w:sz w:val="23"/>
          <w:szCs w:val="23"/>
        </w:rPr>
      </w:pPr>
      <w:r w:rsidRPr="00356059">
        <w:rPr>
          <w:rFonts w:ascii="Times" w:hAnsi="Times"/>
          <w:sz w:val="23"/>
          <w:szCs w:val="23"/>
        </w:rPr>
        <w:t>In 2006, the Selangor</w:t>
      </w:r>
      <w:r w:rsidRPr="00356059">
        <w:rPr>
          <w:rStyle w:val="FootnoteReference"/>
          <w:rFonts w:ascii="Times" w:hAnsi="Times"/>
          <w:sz w:val="23"/>
          <w:szCs w:val="23"/>
        </w:rPr>
        <w:footnoteReference w:id="11"/>
      </w:r>
      <w:r w:rsidRPr="00356059">
        <w:rPr>
          <w:rFonts w:ascii="Times" w:hAnsi="Times"/>
          <w:sz w:val="23"/>
          <w:szCs w:val="23"/>
        </w:rPr>
        <w:t xml:space="preserve"> state government had </w:t>
      </w:r>
      <w:r w:rsidR="00356059">
        <w:rPr>
          <w:rFonts w:ascii="Times" w:hAnsi="Times"/>
          <w:sz w:val="23"/>
          <w:szCs w:val="23"/>
        </w:rPr>
        <w:t>issued a fatwa that enlisted categories of people who are entitled to zakat (tithe). LGBT people</w:t>
      </w:r>
      <w:r w:rsidR="00242362">
        <w:rPr>
          <w:rFonts w:ascii="Times" w:hAnsi="Times"/>
          <w:sz w:val="23"/>
          <w:szCs w:val="23"/>
        </w:rPr>
        <w:t xml:space="preserve"> together with sex workers and Muslim persons living with </w:t>
      </w:r>
      <w:r w:rsidR="002C36AA">
        <w:rPr>
          <w:rFonts w:ascii="Times" w:hAnsi="Times"/>
          <w:sz w:val="23"/>
          <w:szCs w:val="23"/>
        </w:rPr>
        <w:t>non-Muslim</w:t>
      </w:r>
      <w:r w:rsidR="00242362">
        <w:rPr>
          <w:rFonts w:ascii="Times" w:hAnsi="Times"/>
          <w:sz w:val="23"/>
          <w:szCs w:val="23"/>
        </w:rPr>
        <w:t xml:space="preserve"> persons are </w:t>
      </w:r>
      <w:r w:rsidR="00356059">
        <w:rPr>
          <w:rFonts w:ascii="Times" w:hAnsi="Times"/>
          <w:sz w:val="23"/>
          <w:szCs w:val="23"/>
        </w:rPr>
        <w:t xml:space="preserve">enlisted under the </w:t>
      </w:r>
      <w:r w:rsidR="00242362">
        <w:rPr>
          <w:rFonts w:ascii="Times" w:hAnsi="Times"/>
          <w:sz w:val="23"/>
          <w:szCs w:val="23"/>
        </w:rPr>
        <w:t xml:space="preserve">category d - people who are </w:t>
      </w:r>
      <w:r w:rsidR="002C36AA">
        <w:rPr>
          <w:rFonts w:ascii="Times" w:hAnsi="Times"/>
          <w:sz w:val="23"/>
          <w:szCs w:val="23"/>
        </w:rPr>
        <w:t xml:space="preserve">shackled by </w:t>
      </w:r>
      <w:r w:rsidR="00242362">
        <w:rPr>
          <w:rFonts w:ascii="Times" w:hAnsi="Times"/>
          <w:sz w:val="23"/>
          <w:szCs w:val="23"/>
        </w:rPr>
        <w:t>deviant lifestyles</w:t>
      </w:r>
      <w:r w:rsidR="00E73F0A">
        <w:rPr>
          <w:rFonts w:ascii="Times" w:hAnsi="Times"/>
          <w:sz w:val="23"/>
          <w:szCs w:val="23"/>
        </w:rPr>
        <w:t xml:space="preserve">. The fund aims to </w:t>
      </w:r>
      <w:r w:rsidR="00242362">
        <w:rPr>
          <w:rFonts w:ascii="Times" w:hAnsi="Times"/>
          <w:sz w:val="23"/>
          <w:szCs w:val="23"/>
        </w:rPr>
        <w:t>‘</w:t>
      </w:r>
      <w:r w:rsidR="0096131B">
        <w:rPr>
          <w:rFonts w:ascii="Times" w:hAnsi="Times"/>
          <w:sz w:val="23"/>
          <w:szCs w:val="23"/>
        </w:rPr>
        <w:t xml:space="preserve">assist in carrying out efforts to liberate, manage, protect, </w:t>
      </w:r>
      <w:r w:rsidR="00242362">
        <w:rPr>
          <w:rFonts w:ascii="Times" w:hAnsi="Times"/>
          <w:sz w:val="23"/>
          <w:szCs w:val="23"/>
        </w:rPr>
        <w:t>cure and rehabilitate asnaf al-riqab in o</w:t>
      </w:r>
      <w:r w:rsidR="002C36AA">
        <w:rPr>
          <w:rFonts w:ascii="Times" w:hAnsi="Times"/>
          <w:sz w:val="23"/>
          <w:szCs w:val="23"/>
        </w:rPr>
        <w:t>rder to lead a perfect life as M</w:t>
      </w:r>
      <w:r w:rsidR="00242362">
        <w:rPr>
          <w:rFonts w:ascii="Times" w:hAnsi="Times"/>
          <w:sz w:val="23"/>
          <w:szCs w:val="23"/>
        </w:rPr>
        <w:t>uslims.’</w:t>
      </w:r>
    </w:p>
    <w:p w14:paraId="69977E5E" w14:textId="77777777" w:rsidR="00242362" w:rsidRDefault="00242362" w:rsidP="00356059">
      <w:pPr>
        <w:pStyle w:val="NoSpacing"/>
        <w:rPr>
          <w:rFonts w:ascii="Times" w:hAnsi="Times"/>
          <w:sz w:val="23"/>
          <w:szCs w:val="23"/>
        </w:rPr>
      </w:pPr>
    </w:p>
    <w:p w14:paraId="4A1679AA" w14:textId="77777777" w:rsidR="00CB2C0A" w:rsidRDefault="00242362" w:rsidP="00356059">
      <w:pPr>
        <w:pStyle w:val="NoSpacing"/>
        <w:rPr>
          <w:rFonts w:ascii="Times" w:eastAsia="Times New Roman" w:hAnsi="Times" w:cs="Times New Roman"/>
          <w:sz w:val="23"/>
          <w:szCs w:val="23"/>
        </w:rPr>
      </w:pPr>
      <w:r>
        <w:rPr>
          <w:rFonts w:ascii="Times" w:eastAsia="Times New Roman" w:hAnsi="Times" w:cs="Times New Roman"/>
          <w:sz w:val="23"/>
          <w:szCs w:val="23"/>
        </w:rPr>
        <w:t xml:space="preserve">According to the </w:t>
      </w:r>
      <w:r w:rsidRPr="00356059">
        <w:rPr>
          <w:rFonts w:ascii="Times" w:eastAsia="Times New Roman" w:hAnsi="Times" w:cs="Times New Roman"/>
          <w:sz w:val="23"/>
          <w:szCs w:val="23"/>
        </w:rPr>
        <w:t>Deputy Minister at the Prime Minister's Department (Religion) Fuziah Salleh</w:t>
      </w:r>
      <w:r>
        <w:rPr>
          <w:rFonts w:ascii="Times" w:eastAsia="Times New Roman" w:hAnsi="Times" w:cs="Times New Roman"/>
          <w:sz w:val="23"/>
          <w:szCs w:val="23"/>
        </w:rPr>
        <w:t>, as of 2018, 10 people from the category D have received zakat.</w:t>
      </w:r>
      <w:r>
        <w:rPr>
          <w:rStyle w:val="FootnoteReference"/>
          <w:rFonts w:ascii="Times" w:eastAsia="Times New Roman" w:hAnsi="Times" w:cs="Times New Roman"/>
          <w:sz w:val="23"/>
          <w:szCs w:val="23"/>
        </w:rPr>
        <w:footnoteReference w:id="12"/>
      </w:r>
      <w:r>
        <w:rPr>
          <w:rFonts w:ascii="Times" w:eastAsia="Times New Roman" w:hAnsi="Times" w:cs="Times New Roman"/>
          <w:sz w:val="23"/>
          <w:szCs w:val="23"/>
        </w:rPr>
        <w:t xml:space="preserve"> </w:t>
      </w:r>
      <w:r>
        <w:rPr>
          <w:rFonts w:ascii="Times" w:hAnsi="Times"/>
          <w:sz w:val="23"/>
          <w:szCs w:val="23"/>
        </w:rPr>
        <w:t>She</w:t>
      </w:r>
      <w:r w:rsidR="00356059" w:rsidRPr="00356059">
        <w:rPr>
          <w:rFonts w:ascii="Times" w:eastAsia="Times New Roman" w:hAnsi="Times" w:cs="Times New Roman"/>
          <w:sz w:val="23"/>
          <w:szCs w:val="23"/>
        </w:rPr>
        <w:t xml:space="preserve"> said the zakat ‘is meant to help LGBT persons who wants to change</w:t>
      </w:r>
      <w:r w:rsidR="00B05E21">
        <w:rPr>
          <w:rFonts w:ascii="Times" w:eastAsia="Times New Roman" w:hAnsi="Times" w:cs="Times New Roman"/>
          <w:sz w:val="23"/>
          <w:szCs w:val="23"/>
        </w:rPr>
        <w:t>.</w:t>
      </w:r>
      <w:r w:rsidR="00356059" w:rsidRPr="00356059">
        <w:rPr>
          <w:rFonts w:ascii="Times" w:eastAsia="Times New Roman" w:hAnsi="Times" w:cs="Times New Roman"/>
          <w:sz w:val="23"/>
          <w:szCs w:val="23"/>
        </w:rPr>
        <w:t>’</w:t>
      </w:r>
      <w:r w:rsidR="00356059">
        <w:rPr>
          <w:rStyle w:val="FootnoteReference"/>
          <w:rFonts w:ascii="Times" w:eastAsia="Times New Roman" w:hAnsi="Times" w:cs="Times New Roman"/>
          <w:sz w:val="23"/>
          <w:szCs w:val="23"/>
        </w:rPr>
        <w:footnoteReference w:id="13"/>
      </w:r>
      <w:r>
        <w:rPr>
          <w:rFonts w:ascii="Times" w:eastAsia="Times New Roman" w:hAnsi="Times" w:cs="Times New Roman"/>
          <w:sz w:val="23"/>
          <w:szCs w:val="23"/>
        </w:rPr>
        <w:t xml:space="preserve"> </w:t>
      </w:r>
    </w:p>
    <w:p w14:paraId="32CEE215" w14:textId="77777777" w:rsidR="00CB2C0A" w:rsidRDefault="00CB2C0A" w:rsidP="00356059">
      <w:pPr>
        <w:pStyle w:val="NoSpacing"/>
        <w:rPr>
          <w:rFonts w:ascii="Times" w:eastAsia="Times New Roman" w:hAnsi="Times" w:cs="Times New Roman"/>
          <w:sz w:val="23"/>
          <w:szCs w:val="23"/>
        </w:rPr>
      </w:pPr>
    </w:p>
    <w:p w14:paraId="4292F279" w14:textId="445DE3FE" w:rsidR="00944655" w:rsidRDefault="00E73F0A" w:rsidP="00356059">
      <w:pPr>
        <w:pStyle w:val="NoSpacing"/>
        <w:rPr>
          <w:rFonts w:ascii="Times" w:hAnsi="Times"/>
          <w:sz w:val="23"/>
          <w:szCs w:val="23"/>
        </w:rPr>
      </w:pPr>
      <w:r>
        <w:rPr>
          <w:rFonts w:ascii="Times" w:hAnsi="Times"/>
          <w:sz w:val="23"/>
          <w:szCs w:val="23"/>
        </w:rPr>
        <w:t>The approach by the state and Federal government lack evidence</w:t>
      </w:r>
      <w:r w:rsidR="002C36AA">
        <w:rPr>
          <w:rFonts w:ascii="Times" w:hAnsi="Times"/>
          <w:sz w:val="23"/>
          <w:szCs w:val="23"/>
        </w:rPr>
        <w:t xml:space="preserve"> and rights based perspectives</w:t>
      </w:r>
      <w:r w:rsidR="00CB2C0A">
        <w:rPr>
          <w:rFonts w:ascii="Times" w:hAnsi="Times"/>
          <w:sz w:val="23"/>
          <w:szCs w:val="23"/>
        </w:rPr>
        <w:t>, and has adverse impact on the right to live with dignity, health and wellbeing</w:t>
      </w:r>
      <w:r w:rsidR="002C36AA">
        <w:rPr>
          <w:rFonts w:ascii="Times" w:hAnsi="Times"/>
          <w:sz w:val="23"/>
          <w:szCs w:val="23"/>
        </w:rPr>
        <w:t xml:space="preserve">. </w:t>
      </w:r>
      <w:r w:rsidR="00CB2C0A">
        <w:rPr>
          <w:rFonts w:ascii="Times" w:hAnsi="Times"/>
          <w:sz w:val="23"/>
          <w:szCs w:val="23"/>
        </w:rPr>
        <w:t xml:space="preserve">This limits choices and increases vulnerability of LGBTQ persons who are living in poverty or economically marginalized of being subjected to increased pressure to ‘change, suppress or correct’ their gender expression, gender identity and sexual orientation </w:t>
      </w:r>
    </w:p>
    <w:p w14:paraId="7EFE2436" w14:textId="77777777" w:rsidR="004C5BF6" w:rsidRDefault="004C5BF6" w:rsidP="00356059">
      <w:pPr>
        <w:pStyle w:val="NoSpacing"/>
        <w:rPr>
          <w:rFonts w:ascii="Times" w:hAnsi="Times"/>
          <w:sz w:val="23"/>
          <w:szCs w:val="23"/>
        </w:rPr>
      </w:pPr>
    </w:p>
    <w:p w14:paraId="76C0297E" w14:textId="64382C38" w:rsidR="004C5BF6" w:rsidRPr="004C5BF6" w:rsidRDefault="004C5BF6" w:rsidP="00356059">
      <w:pPr>
        <w:pStyle w:val="NoSpacing"/>
        <w:rPr>
          <w:rFonts w:ascii="Times" w:hAnsi="Times"/>
          <w:b/>
          <w:sz w:val="23"/>
          <w:szCs w:val="23"/>
        </w:rPr>
      </w:pPr>
      <w:r w:rsidRPr="004C5BF6">
        <w:rPr>
          <w:rFonts w:ascii="Times" w:hAnsi="Times"/>
          <w:b/>
          <w:sz w:val="23"/>
          <w:szCs w:val="23"/>
        </w:rPr>
        <w:t xml:space="preserve">Recommendations </w:t>
      </w:r>
    </w:p>
    <w:p w14:paraId="4504CCF8" w14:textId="7BD40ECE" w:rsidR="004C5BF6" w:rsidRDefault="004C5BF6" w:rsidP="004C5BF6">
      <w:pPr>
        <w:pStyle w:val="NoSpacing"/>
        <w:numPr>
          <w:ilvl w:val="0"/>
          <w:numId w:val="6"/>
        </w:numPr>
        <w:rPr>
          <w:rFonts w:ascii="Times" w:hAnsi="Times"/>
          <w:sz w:val="23"/>
          <w:szCs w:val="23"/>
        </w:rPr>
      </w:pPr>
      <w:r>
        <w:rPr>
          <w:rFonts w:ascii="Times" w:hAnsi="Times"/>
          <w:sz w:val="23"/>
          <w:szCs w:val="23"/>
        </w:rPr>
        <w:t>Intersectional data collection and analyses by the Department of Statistics and other state agencies that takes into consideration gender, age, disability, vulnerable groups, among others</w:t>
      </w:r>
    </w:p>
    <w:p w14:paraId="722B3121" w14:textId="3E9A4D05" w:rsidR="00306C78" w:rsidRDefault="00306C78" w:rsidP="004C5BF6">
      <w:pPr>
        <w:pStyle w:val="NoSpacing"/>
        <w:numPr>
          <w:ilvl w:val="0"/>
          <w:numId w:val="6"/>
        </w:numPr>
        <w:rPr>
          <w:rFonts w:ascii="Times" w:hAnsi="Times"/>
          <w:sz w:val="23"/>
          <w:szCs w:val="23"/>
        </w:rPr>
      </w:pPr>
      <w:r>
        <w:rPr>
          <w:rFonts w:ascii="Times" w:hAnsi="Times"/>
          <w:sz w:val="23"/>
          <w:szCs w:val="23"/>
        </w:rPr>
        <w:t xml:space="preserve">Allocate additional resources for Department of Statistics and other state agencies to carry out intersectional data collection and analyses </w:t>
      </w:r>
    </w:p>
    <w:p w14:paraId="4E32EDCB" w14:textId="1B34C27F" w:rsidR="004C5BF6" w:rsidRDefault="004C5BF6" w:rsidP="004C5BF6">
      <w:pPr>
        <w:pStyle w:val="NoSpacing"/>
        <w:numPr>
          <w:ilvl w:val="0"/>
          <w:numId w:val="6"/>
        </w:numPr>
        <w:rPr>
          <w:rFonts w:ascii="Times" w:hAnsi="Times"/>
          <w:sz w:val="23"/>
          <w:szCs w:val="23"/>
        </w:rPr>
      </w:pPr>
      <w:r>
        <w:rPr>
          <w:rFonts w:ascii="Times" w:hAnsi="Times"/>
          <w:sz w:val="23"/>
          <w:szCs w:val="23"/>
        </w:rPr>
        <w:t xml:space="preserve">Address discrimination </w:t>
      </w:r>
      <w:r w:rsidR="00C80C41">
        <w:rPr>
          <w:rFonts w:ascii="Times" w:hAnsi="Times"/>
          <w:sz w:val="23"/>
          <w:szCs w:val="23"/>
        </w:rPr>
        <w:t xml:space="preserve">and poverty </w:t>
      </w:r>
      <w:r>
        <w:rPr>
          <w:rFonts w:ascii="Times" w:hAnsi="Times"/>
          <w:sz w:val="23"/>
          <w:szCs w:val="23"/>
        </w:rPr>
        <w:t>experienced by LGBT</w:t>
      </w:r>
      <w:r w:rsidR="00C80C41">
        <w:rPr>
          <w:rFonts w:ascii="Times" w:hAnsi="Times"/>
          <w:sz w:val="23"/>
          <w:szCs w:val="23"/>
        </w:rPr>
        <w:t>IQ</w:t>
      </w:r>
      <w:r>
        <w:rPr>
          <w:rFonts w:ascii="Times" w:hAnsi="Times"/>
          <w:sz w:val="23"/>
          <w:szCs w:val="23"/>
        </w:rPr>
        <w:t xml:space="preserve"> persons in consultation with LGBT</w:t>
      </w:r>
      <w:r w:rsidR="00C80C41">
        <w:rPr>
          <w:rFonts w:ascii="Times" w:hAnsi="Times"/>
          <w:sz w:val="23"/>
          <w:szCs w:val="23"/>
        </w:rPr>
        <w:t>IQ</w:t>
      </w:r>
      <w:r>
        <w:rPr>
          <w:rFonts w:ascii="Times" w:hAnsi="Times"/>
          <w:sz w:val="23"/>
          <w:szCs w:val="23"/>
        </w:rPr>
        <w:t xml:space="preserve"> human rights</w:t>
      </w:r>
      <w:r w:rsidR="00C80C41">
        <w:rPr>
          <w:rFonts w:ascii="Times" w:hAnsi="Times"/>
          <w:sz w:val="23"/>
          <w:szCs w:val="23"/>
        </w:rPr>
        <w:t xml:space="preserve"> groups using an evidence and rights approach</w:t>
      </w:r>
    </w:p>
    <w:p w14:paraId="51967BA3" w14:textId="1D6D5B8C" w:rsidR="00A23DB2" w:rsidRDefault="00A23DB2" w:rsidP="004C5BF6">
      <w:pPr>
        <w:pStyle w:val="NoSpacing"/>
        <w:numPr>
          <w:ilvl w:val="0"/>
          <w:numId w:val="6"/>
        </w:numPr>
        <w:rPr>
          <w:rFonts w:ascii="Times" w:hAnsi="Times"/>
          <w:sz w:val="23"/>
          <w:szCs w:val="23"/>
        </w:rPr>
      </w:pPr>
      <w:r>
        <w:rPr>
          <w:rFonts w:ascii="Times" w:hAnsi="Times"/>
          <w:sz w:val="23"/>
          <w:szCs w:val="23"/>
        </w:rPr>
        <w:t xml:space="preserve">To include measures to eliminate employment discrimination based on gender identity, gender expression, sexual orientation, activism in the national action plan on business and human rights </w:t>
      </w:r>
    </w:p>
    <w:p w14:paraId="305D8300" w14:textId="759A5D67" w:rsidR="00AD6673" w:rsidRPr="00C80C41" w:rsidRDefault="00C80C41" w:rsidP="00C80C41">
      <w:pPr>
        <w:pStyle w:val="NoSpacing"/>
        <w:numPr>
          <w:ilvl w:val="0"/>
          <w:numId w:val="6"/>
        </w:numPr>
        <w:rPr>
          <w:rFonts w:ascii="Times" w:hAnsi="Times"/>
          <w:sz w:val="23"/>
          <w:szCs w:val="23"/>
        </w:rPr>
      </w:pPr>
      <w:r>
        <w:rPr>
          <w:rFonts w:ascii="Times" w:hAnsi="Times"/>
          <w:sz w:val="23"/>
          <w:szCs w:val="23"/>
        </w:rPr>
        <w:t xml:space="preserve">Review the zakat and welfare aid programmes at Federal and state level, and eliminate discriminatory provisions. Ensure all access to welfare aids protects privacy and upholds dignity of the recipients </w:t>
      </w:r>
    </w:p>
    <w:sectPr w:rsidR="00AD6673" w:rsidRPr="00C80C41" w:rsidSect="005D39E5">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5C182" w14:textId="77777777" w:rsidR="00E82272" w:rsidRDefault="00E82272" w:rsidP="00B36940">
      <w:r>
        <w:separator/>
      </w:r>
    </w:p>
  </w:endnote>
  <w:endnote w:type="continuationSeparator" w:id="0">
    <w:p w14:paraId="70FD4644" w14:textId="77777777" w:rsidR="00E82272" w:rsidRDefault="00E82272" w:rsidP="00B3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D1021" w14:textId="77777777" w:rsidR="00E82272" w:rsidRDefault="00E82272" w:rsidP="004C5B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FC4196" w14:textId="77777777" w:rsidR="00E82272" w:rsidRDefault="00E82272" w:rsidP="004C5B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8F161" w14:textId="77777777" w:rsidR="00E82272" w:rsidRPr="00C80C41" w:rsidRDefault="00E82272" w:rsidP="004C5BF6">
    <w:pPr>
      <w:pStyle w:val="Footer"/>
      <w:framePr w:wrap="around" w:vAnchor="text" w:hAnchor="margin" w:xAlign="right" w:y="1"/>
      <w:rPr>
        <w:rStyle w:val="PageNumber"/>
        <w:rFonts w:ascii="Times" w:hAnsi="Times"/>
        <w:sz w:val="23"/>
        <w:szCs w:val="23"/>
      </w:rPr>
    </w:pPr>
    <w:r w:rsidRPr="00C80C41">
      <w:rPr>
        <w:rStyle w:val="PageNumber"/>
        <w:rFonts w:ascii="Times" w:hAnsi="Times"/>
        <w:sz w:val="23"/>
        <w:szCs w:val="23"/>
      </w:rPr>
      <w:fldChar w:fldCharType="begin"/>
    </w:r>
    <w:r w:rsidRPr="00C80C41">
      <w:rPr>
        <w:rStyle w:val="PageNumber"/>
        <w:rFonts w:ascii="Times" w:hAnsi="Times"/>
        <w:sz w:val="23"/>
        <w:szCs w:val="23"/>
      </w:rPr>
      <w:instrText xml:space="preserve">PAGE  </w:instrText>
    </w:r>
    <w:r w:rsidRPr="00C80C41">
      <w:rPr>
        <w:rStyle w:val="PageNumber"/>
        <w:rFonts w:ascii="Times" w:hAnsi="Times"/>
        <w:sz w:val="23"/>
        <w:szCs w:val="23"/>
      </w:rPr>
      <w:fldChar w:fldCharType="separate"/>
    </w:r>
    <w:r w:rsidR="00375BD3">
      <w:rPr>
        <w:rStyle w:val="PageNumber"/>
        <w:rFonts w:ascii="Times" w:hAnsi="Times"/>
        <w:noProof/>
        <w:sz w:val="23"/>
        <w:szCs w:val="23"/>
      </w:rPr>
      <w:t>1</w:t>
    </w:r>
    <w:r w:rsidRPr="00C80C41">
      <w:rPr>
        <w:rStyle w:val="PageNumber"/>
        <w:rFonts w:ascii="Times" w:hAnsi="Times"/>
        <w:sz w:val="23"/>
        <w:szCs w:val="23"/>
      </w:rPr>
      <w:fldChar w:fldCharType="end"/>
    </w:r>
  </w:p>
  <w:p w14:paraId="57068A6A" w14:textId="77777777" w:rsidR="00E82272" w:rsidRDefault="00E82272" w:rsidP="004C5BF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3FAC5" w14:textId="77777777" w:rsidR="00E82272" w:rsidRDefault="00E82272" w:rsidP="00B36940">
      <w:r>
        <w:separator/>
      </w:r>
    </w:p>
  </w:footnote>
  <w:footnote w:type="continuationSeparator" w:id="0">
    <w:p w14:paraId="074FCADF" w14:textId="77777777" w:rsidR="00E82272" w:rsidRDefault="00E82272" w:rsidP="00B36940">
      <w:r>
        <w:continuationSeparator/>
      </w:r>
    </w:p>
  </w:footnote>
  <w:footnote w:id="1">
    <w:p w14:paraId="121BF6CE" w14:textId="0E3E80CA" w:rsidR="00E82272" w:rsidRPr="00944655" w:rsidRDefault="00E82272" w:rsidP="00944655">
      <w:pPr>
        <w:pStyle w:val="NoSpacing"/>
        <w:rPr>
          <w:rFonts w:ascii="Times" w:eastAsia="Times New Roman" w:hAnsi="Times" w:cs="Times New Roman"/>
          <w:sz w:val="20"/>
          <w:szCs w:val="20"/>
        </w:rPr>
      </w:pPr>
      <w:r w:rsidRPr="00944655">
        <w:rPr>
          <w:rStyle w:val="FootnoteReference"/>
          <w:rFonts w:ascii="Times" w:hAnsi="Times"/>
          <w:sz w:val="20"/>
          <w:szCs w:val="20"/>
        </w:rPr>
        <w:footnoteRef/>
      </w:r>
      <w:r w:rsidRPr="00944655">
        <w:rPr>
          <w:rFonts w:ascii="Times" w:hAnsi="Times"/>
          <w:sz w:val="20"/>
          <w:szCs w:val="20"/>
        </w:rPr>
        <w:t xml:space="preserve"> </w:t>
      </w:r>
      <w:r w:rsidRPr="00944655">
        <w:rPr>
          <w:rFonts w:ascii="Times" w:eastAsia="Times New Roman" w:hAnsi="Times" w:cs="Times New Roman"/>
          <w:sz w:val="20"/>
          <w:szCs w:val="20"/>
        </w:rPr>
        <w:t xml:space="preserve">Malaysia's poverty line too low, says Kian Ming </w:t>
      </w:r>
      <w:r w:rsidRPr="00944655">
        <w:rPr>
          <w:rFonts w:ascii="Times" w:hAnsi="Times"/>
          <w:sz w:val="20"/>
          <w:szCs w:val="20"/>
        </w:rPr>
        <w:t>https://www.thestar.com.my/news/nation/2018/10/19/malaysias-poverty-line-too-low-says-kian-ming</w:t>
      </w:r>
    </w:p>
  </w:footnote>
  <w:footnote w:id="2">
    <w:p w14:paraId="654B56F6" w14:textId="784503AC" w:rsidR="00E82272" w:rsidRPr="008574BE" w:rsidRDefault="00E82272" w:rsidP="00944655">
      <w:pPr>
        <w:pStyle w:val="NoSpacing"/>
        <w:rPr>
          <w:rFonts w:ascii="Times" w:hAnsi="Times"/>
          <w:sz w:val="20"/>
          <w:szCs w:val="20"/>
        </w:rPr>
      </w:pPr>
      <w:r w:rsidRPr="00944655">
        <w:rPr>
          <w:rStyle w:val="FootnoteReference"/>
          <w:rFonts w:ascii="Times" w:hAnsi="Times"/>
          <w:sz w:val="20"/>
          <w:szCs w:val="20"/>
        </w:rPr>
        <w:footnoteRef/>
      </w:r>
      <w:r w:rsidRPr="00944655">
        <w:rPr>
          <w:rFonts w:ascii="Times" w:hAnsi="Times"/>
          <w:sz w:val="20"/>
          <w:szCs w:val="20"/>
        </w:rPr>
        <w:t xml:space="preserve"> The Absolute vs Relative Poverty Conundrum http://www.krinstitute.org/assets/contentMS/img/template/editor/Views_The%20Absolute%20VS%20Poverty%20Conundrum.pdf</w:t>
      </w:r>
    </w:p>
  </w:footnote>
  <w:footnote w:id="3">
    <w:p w14:paraId="611A50AD" w14:textId="77777777" w:rsidR="00E82272" w:rsidRDefault="00E82272" w:rsidP="00641521">
      <w:pPr>
        <w:pStyle w:val="normal0"/>
        <w:pBdr>
          <w:top w:val="nil"/>
          <w:left w:val="nil"/>
          <w:bottom w:val="nil"/>
          <w:right w:val="nil"/>
          <w:between w:val="nil"/>
        </w:pBdr>
        <w:rPr>
          <w:rFonts w:ascii="Times" w:eastAsia="Times" w:hAnsi="Times" w:cs="Times"/>
          <w:color w:val="000000"/>
          <w:sz w:val="20"/>
          <w:szCs w:val="20"/>
        </w:rPr>
      </w:pPr>
      <w:r>
        <w:rPr>
          <w:vertAlign w:val="superscript"/>
        </w:rPr>
        <w:footnoteRef/>
      </w:r>
      <w:r>
        <w:rPr>
          <w:rFonts w:ascii="Times" w:eastAsia="Times" w:hAnsi="Times" w:cs="Times"/>
          <w:color w:val="000000"/>
          <w:sz w:val="20"/>
          <w:szCs w:val="20"/>
        </w:rPr>
        <w:t xml:space="preserve"> https://islam.gov.my/berita-semasa/34-bahagian-keluarga-sosial-komuniti/48-pelan-tindakan-menangani-gejala-sosial-kecelaruan-gender</w:t>
      </w:r>
    </w:p>
  </w:footnote>
  <w:footnote w:id="4">
    <w:p w14:paraId="74360ED1" w14:textId="301437C7" w:rsidR="00E82272" w:rsidRPr="00A02DF9" w:rsidRDefault="00E82272" w:rsidP="00A02DF9">
      <w:pPr>
        <w:pStyle w:val="NoSpacing"/>
        <w:rPr>
          <w:rFonts w:ascii="Times" w:hAnsi="Times"/>
          <w:sz w:val="20"/>
          <w:szCs w:val="20"/>
        </w:rPr>
      </w:pPr>
      <w:r w:rsidRPr="00A02DF9">
        <w:rPr>
          <w:rStyle w:val="FootnoteReference"/>
          <w:rFonts w:ascii="Times" w:hAnsi="Times"/>
          <w:sz w:val="20"/>
          <w:szCs w:val="20"/>
        </w:rPr>
        <w:footnoteRef/>
      </w:r>
      <w:r w:rsidRPr="00A02DF9">
        <w:rPr>
          <w:rFonts w:ascii="Times" w:hAnsi="Times"/>
          <w:sz w:val="20"/>
          <w:szCs w:val="20"/>
        </w:rPr>
        <w:t xml:space="preserve"> I am scared to be a woman, Human Rights Watch (2014), page 31 </w:t>
      </w:r>
    </w:p>
  </w:footnote>
  <w:footnote w:id="5">
    <w:p w14:paraId="03ADC467" w14:textId="77777777" w:rsidR="00E82272" w:rsidRPr="002C6D15" w:rsidRDefault="00E82272" w:rsidP="00944655">
      <w:pPr>
        <w:pStyle w:val="NoSpacing"/>
        <w:rPr>
          <w:rFonts w:ascii="Times" w:hAnsi="Times"/>
          <w:sz w:val="20"/>
          <w:szCs w:val="20"/>
        </w:rPr>
      </w:pPr>
      <w:r w:rsidRPr="00FB7AB5">
        <w:rPr>
          <w:rStyle w:val="FootnoteReference"/>
          <w:rFonts w:ascii="Times" w:hAnsi="Times"/>
          <w:sz w:val="20"/>
          <w:szCs w:val="20"/>
        </w:rPr>
        <w:footnoteRef/>
      </w:r>
      <w:r w:rsidRPr="00FB7AB5">
        <w:rPr>
          <w:rFonts w:ascii="Times" w:hAnsi="Times"/>
          <w:sz w:val="20"/>
          <w:szCs w:val="20"/>
        </w:rPr>
        <w:t xml:space="preserve"> Higher Household Income, Lower Poverty Rates https://www.dosm.gov.my/v1/index.php?r=column/cone&amp;menu_id=UlVlbUxzUWo0L3FEaWZmUVg4ZFQzZz09</w:t>
      </w:r>
    </w:p>
  </w:footnote>
  <w:footnote w:id="6">
    <w:p w14:paraId="04077F6A" w14:textId="2A35C7FF" w:rsidR="00E82272" w:rsidRPr="00A02DF9" w:rsidRDefault="00E82272" w:rsidP="00A02DF9">
      <w:pPr>
        <w:pStyle w:val="NoSpacing"/>
        <w:rPr>
          <w:rFonts w:ascii="Times" w:hAnsi="Times"/>
          <w:sz w:val="20"/>
          <w:szCs w:val="20"/>
        </w:rPr>
      </w:pPr>
      <w:r w:rsidRPr="00A02DF9">
        <w:rPr>
          <w:rStyle w:val="FootnoteReference"/>
          <w:rFonts w:ascii="Times" w:hAnsi="Times"/>
          <w:sz w:val="20"/>
          <w:szCs w:val="20"/>
        </w:rPr>
        <w:footnoteRef/>
      </w:r>
      <w:r w:rsidRPr="00A02DF9">
        <w:rPr>
          <w:rFonts w:ascii="Times" w:hAnsi="Times"/>
          <w:sz w:val="20"/>
          <w:szCs w:val="20"/>
        </w:rPr>
        <w:t xml:space="preserve"> I am scared to be a woman, Hum</w:t>
      </w:r>
      <w:r>
        <w:rPr>
          <w:rFonts w:ascii="Times" w:hAnsi="Times"/>
          <w:sz w:val="20"/>
          <w:szCs w:val="20"/>
        </w:rPr>
        <w:t>an Rights Watch (2014), page 48-50</w:t>
      </w:r>
    </w:p>
  </w:footnote>
  <w:footnote w:id="7">
    <w:p w14:paraId="22B50E09" w14:textId="77777777" w:rsidR="00E82272" w:rsidRPr="002C6D15" w:rsidRDefault="00E82272" w:rsidP="002C6D15">
      <w:pPr>
        <w:pStyle w:val="NoSpacing"/>
        <w:rPr>
          <w:rFonts w:ascii="Times" w:eastAsia="Times New Roman" w:hAnsi="Times" w:cs="Times New Roman"/>
          <w:sz w:val="20"/>
          <w:szCs w:val="20"/>
        </w:rPr>
      </w:pPr>
      <w:r w:rsidRPr="002C6D15">
        <w:rPr>
          <w:rStyle w:val="FootnoteReference"/>
          <w:rFonts w:ascii="Times" w:hAnsi="Times"/>
          <w:sz w:val="20"/>
          <w:szCs w:val="20"/>
        </w:rPr>
        <w:footnoteRef/>
      </w:r>
      <w:r w:rsidRPr="002C6D15">
        <w:rPr>
          <w:rFonts w:ascii="Times" w:hAnsi="Times"/>
          <w:sz w:val="20"/>
          <w:szCs w:val="20"/>
        </w:rPr>
        <w:t xml:space="preserve"> </w:t>
      </w:r>
      <w:r w:rsidRPr="002C6D15">
        <w:rPr>
          <w:rFonts w:ascii="Times" w:eastAsia="Times New Roman" w:hAnsi="Times" w:cs="Times New Roman"/>
          <w:sz w:val="20"/>
          <w:szCs w:val="20"/>
        </w:rPr>
        <w:t>Transgender dilarang mengajar di Kemas - Rina Harun</w:t>
      </w:r>
    </w:p>
    <w:p w14:paraId="7082EFA3" w14:textId="01CD2C8D" w:rsidR="00E82272" w:rsidRPr="002C6D15" w:rsidRDefault="00E82272" w:rsidP="002C6D15">
      <w:pPr>
        <w:pStyle w:val="NoSpacing"/>
        <w:rPr>
          <w:rFonts w:ascii="Times" w:hAnsi="Times"/>
          <w:sz w:val="20"/>
          <w:szCs w:val="20"/>
        </w:rPr>
      </w:pPr>
      <w:r w:rsidRPr="002C6D15">
        <w:rPr>
          <w:rFonts w:ascii="Times" w:hAnsi="Times"/>
          <w:sz w:val="20"/>
          <w:szCs w:val="20"/>
        </w:rPr>
        <w:t>http://www.astroawani.com/berita-malaysia/transgender-dilarang-mengajar-di-kemas-rina-harun-206793</w:t>
      </w:r>
    </w:p>
  </w:footnote>
  <w:footnote w:id="8">
    <w:p w14:paraId="06346BAF" w14:textId="2BB35C9A" w:rsidR="00E82272" w:rsidRPr="006A3CCD" w:rsidRDefault="00E82272" w:rsidP="006A3CCD">
      <w:pPr>
        <w:pStyle w:val="NoSpacing"/>
        <w:rPr>
          <w:rFonts w:ascii="Times" w:hAnsi="Times"/>
          <w:sz w:val="20"/>
          <w:szCs w:val="20"/>
        </w:rPr>
      </w:pPr>
      <w:r w:rsidRPr="006A3CCD">
        <w:rPr>
          <w:rStyle w:val="FootnoteReference"/>
          <w:rFonts w:ascii="Times" w:hAnsi="Times"/>
          <w:sz w:val="20"/>
          <w:szCs w:val="20"/>
        </w:rPr>
        <w:footnoteRef/>
      </w:r>
      <w:r w:rsidRPr="006A3CCD">
        <w:rPr>
          <w:rFonts w:ascii="Times" w:hAnsi="Times"/>
          <w:sz w:val="20"/>
          <w:szCs w:val="20"/>
        </w:rPr>
        <w:t xml:space="preserve"> Pensyarah Minta Netizan Boikot Produk Safiey Illias https://www.mynewshub.tv/utama-sensasi/pensyarah-minta-netizan-boikot-produk-safiey-illias/</w:t>
      </w:r>
    </w:p>
  </w:footnote>
  <w:footnote w:id="9">
    <w:p w14:paraId="6142DB14" w14:textId="77777777" w:rsidR="00E82272" w:rsidRPr="0004506A" w:rsidRDefault="00E82272" w:rsidP="0004506A">
      <w:pPr>
        <w:pStyle w:val="NoSpacing"/>
        <w:rPr>
          <w:rFonts w:ascii="Times" w:hAnsi="Times"/>
          <w:sz w:val="20"/>
          <w:szCs w:val="20"/>
        </w:rPr>
      </w:pPr>
      <w:r w:rsidRPr="0004506A">
        <w:rPr>
          <w:rStyle w:val="FootnoteReference"/>
          <w:rFonts w:ascii="Times" w:hAnsi="Times"/>
          <w:sz w:val="20"/>
          <w:szCs w:val="20"/>
        </w:rPr>
        <w:footnoteRef/>
      </w:r>
      <w:r w:rsidRPr="0004506A">
        <w:rPr>
          <w:rFonts w:ascii="Times" w:hAnsi="Times"/>
          <w:sz w:val="20"/>
          <w:szCs w:val="20"/>
        </w:rPr>
        <w:t xml:space="preserve"> Suhakam: Numan's resignation may be a case of employment discrimination https://www.thestar.com.my/news/nation/2018/07/11/suhakam-numans-resignation-may-be-a-case-of-employment-discrimination</w:t>
      </w:r>
    </w:p>
  </w:footnote>
  <w:footnote w:id="10">
    <w:p w14:paraId="42DAB015" w14:textId="77777777" w:rsidR="00E82272" w:rsidRPr="00E82272" w:rsidRDefault="00E82272" w:rsidP="00E82272">
      <w:pPr>
        <w:pStyle w:val="NoSpacing"/>
        <w:rPr>
          <w:rFonts w:ascii="Times" w:hAnsi="Times"/>
          <w:sz w:val="20"/>
          <w:szCs w:val="20"/>
        </w:rPr>
      </w:pPr>
      <w:r w:rsidRPr="00E82272">
        <w:rPr>
          <w:rStyle w:val="FootnoteReference"/>
          <w:rFonts w:ascii="Times" w:hAnsi="Times"/>
          <w:sz w:val="20"/>
          <w:szCs w:val="20"/>
        </w:rPr>
        <w:footnoteRef/>
      </w:r>
      <w:r w:rsidRPr="00E82272">
        <w:rPr>
          <w:rFonts w:ascii="Times" w:hAnsi="Times"/>
          <w:sz w:val="20"/>
          <w:szCs w:val="20"/>
        </w:rPr>
        <w:t xml:space="preserve"> Subang DAP youth wing secretary quits after ‘gay iftar’ backlash</w:t>
      </w:r>
    </w:p>
    <w:p w14:paraId="4F94DCCA" w14:textId="10CBA783" w:rsidR="00E82272" w:rsidRDefault="00E82272" w:rsidP="00E82272">
      <w:pPr>
        <w:pStyle w:val="NoSpacing"/>
      </w:pPr>
      <w:r w:rsidRPr="00E82272">
        <w:rPr>
          <w:rFonts w:ascii="Times" w:hAnsi="Times"/>
          <w:sz w:val="20"/>
          <w:szCs w:val="20"/>
        </w:rPr>
        <w:t>https://www.malaymail.com/news/malaysia/2017/07/12/subang-dap-youth-wing-secretary-quits-after-gay-iftar-backlash/1418617</w:t>
      </w:r>
    </w:p>
  </w:footnote>
  <w:footnote w:id="11">
    <w:p w14:paraId="69B91DD6" w14:textId="77777777" w:rsidR="00E82272" w:rsidRPr="00B36940" w:rsidRDefault="00E82272" w:rsidP="00944655">
      <w:pPr>
        <w:pStyle w:val="NoSpacing"/>
        <w:rPr>
          <w:rFonts w:eastAsia="Times New Roman" w:cs="Times New Roman"/>
          <w:b/>
          <w:sz w:val="22"/>
          <w:szCs w:val="22"/>
        </w:rPr>
      </w:pPr>
      <w:r w:rsidRPr="002C6D15">
        <w:rPr>
          <w:rStyle w:val="FootnoteReference"/>
          <w:rFonts w:ascii="Times" w:hAnsi="Times"/>
          <w:sz w:val="20"/>
          <w:szCs w:val="20"/>
        </w:rPr>
        <w:footnoteRef/>
      </w:r>
      <w:r w:rsidRPr="002C6D15">
        <w:rPr>
          <w:rFonts w:ascii="Times" w:hAnsi="Times"/>
          <w:sz w:val="20"/>
          <w:szCs w:val="20"/>
        </w:rPr>
        <w:t xml:space="preserve"> </w:t>
      </w:r>
      <w:r w:rsidRPr="002C6D15">
        <w:rPr>
          <w:rFonts w:ascii="Times" w:eastAsia="Times New Roman" w:hAnsi="Times" w:cs="Times New Roman"/>
          <w:sz w:val="20"/>
          <w:szCs w:val="20"/>
        </w:rPr>
        <w:t xml:space="preserve">Fatwa Jenis Penerima Asnaf Al-Riqab Negeri Selangor Dan Apa-Apa Yang Berkaitan Dengannya </w:t>
      </w:r>
      <w:r w:rsidRPr="002C6D15">
        <w:rPr>
          <w:rFonts w:ascii="Times" w:hAnsi="Times"/>
          <w:sz w:val="20"/>
          <w:szCs w:val="20"/>
        </w:rPr>
        <w:t>http://www.muftiselangor.gov.my/images/pdf/koleksi_fatwa/2012/P.U.55.pdf</w:t>
      </w:r>
    </w:p>
  </w:footnote>
  <w:footnote w:id="12">
    <w:p w14:paraId="122331F3" w14:textId="02118C48" w:rsidR="00E82272" w:rsidRPr="00242362" w:rsidRDefault="00E82272" w:rsidP="00242362">
      <w:pPr>
        <w:pStyle w:val="NoSpacing"/>
        <w:rPr>
          <w:rFonts w:ascii="Times" w:hAnsi="Times"/>
          <w:sz w:val="20"/>
          <w:szCs w:val="20"/>
        </w:rPr>
      </w:pPr>
      <w:r w:rsidRPr="00242362">
        <w:rPr>
          <w:rStyle w:val="FootnoteReference"/>
          <w:rFonts w:ascii="Times" w:hAnsi="Times"/>
          <w:sz w:val="20"/>
          <w:szCs w:val="20"/>
        </w:rPr>
        <w:footnoteRef/>
      </w:r>
      <w:r w:rsidRPr="00242362">
        <w:rPr>
          <w:rFonts w:ascii="Times" w:hAnsi="Times"/>
          <w:sz w:val="20"/>
          <w:szCs w:val="20"/>
        </w:rPr>
        <w:t xml:space="preserve"> Jangan terlalu cepat menghukum – Fuziah https://www.bharian.com.my/berita/nasional/2018/09/470618/jangan-terlalu-cepat-menghukum-fuziah</w:t>
      </w:r>
    </w:p>
  </w:footnote>
  <w:footnote w:id="13">
    <w:p w14:paraId="292C94F6" w14:textId="0FDC73CD" w:rsidR="00E82272" w:rsidRPr="00E73F0A" w:rsidRDefault="00E82272" w:rsidP="00242362">
      <w:pPr>
        <w:pStyle w:val="NoSpacing"/>
        <w:rPr>
          <w:rFonts w:ascii="Times" w:hAnsi="Times"/>
          <w:sz w:val="20"/>
          <w:szCs w:val="20"/>
        </w:rPr>
      </w:pPr>
      <w:r w:rsidRPr="00242362">
        <w:rPr>
          <w:rStyle w:val="FootnoteReference"/>
          <w:rFonts w:ascii="Times" w:hAnsi="Times"/>
          <w:sz w:val="20"/>
          <w:szCs w:val="20"/>
        </w:rPr>
        <w:footnoteRef/>
      </w:r>
      <w:r w:rsidRPr="00242362">
        <w:rPr>
          <w:rFonts w:ascii="Times" w:hAnsi="Times"/>
          <w:sz w:val="20"/>
          <w:szCs w:val="20"/>
        </w:rPr>
        <w:t xml:space="preserve"> Zakat is only for LGBTs who wants to change</w:t>
      </w:r>
      <w:r w:rsidRPr="00E73F0A">
        <w:rPr>
          <w:rFonts w:ascii="Times" w:hAnsi="Times"/>
          <w:sz w:val="20"/>
          <w:szCs w:val="20"/>
        </w:rPr>
        <w:t xml:space="preserve"> https://www.nst.com.my/news/nation/2018/09/409009/zakat-only-lgbts-who-wants-change</w:t>
      </w:r>
    </w:p>
    <w:p w14:paraId="5E4DF7BB" w14:textId="6F7E3AC7" w:rsidR="00E82272" w:rsidRDefault="00E82272">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205"/>
    <w:multiLevelType w:val="hybridMultilevel"/>
    <w:tmpl w:val="C400B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16794"/>
    <w:multiLevelType w:val="hybridMultilevel"/>
    <w:tmpl w:val="66227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B5A4E"/>
    <w:multiLevelType w:val="hybridMultilevel"/>
    <w:tmpl w:val="F7FC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8858AC"/>
    <w:multiLevelType w:val="hybridMultilevel"/>
    <w:tmpl w:val="329C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020DB3"/>
    <w:multiLevelType w:val="hybridMultilevel"/>
    <w:tmpl w:val="6614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75594"/>
    <w:multiLevelType w:val="hybridMultilevel"/>
    <w:tmpl w:val="8710E9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D7D"/>
    <w:rsid w:val="0004506A"/>
    <w:rsid w:val="000C4032"/>
    <w:rsid w:val="00105774"/>
    <w:rsid w:val="001076CE"/>
    <w:rsid w:val="0011113F"/>
    <w:rsid w:val="001F1CE5"/>
    <w:rsid w:val="00242362"/>
    <w:rsid w:val="00275B20"/>
    <w:rsid w:val="002C36AA"/>
    <w:rsid w:val="002C6D15"/>
    <w:rsid w:val="0030269E"/>
    <w:rsid w:val="00306C78"/>
    <w:rsid w:val="00356059"/>
    <w:rsid w:val="00375BD3"/>
    <w:rsid w:val="0039653D"/>
    <w:rsid w:val="004C5BF6"/>
    <w:rsid w:val="005D2075"/>
    <w:rsid w:val="005D39E5"/>
    <w:rsid w:val="00641521"/>
    <w:rsid w:val="006802B1"/>
    <w:rsid w:val="00693738"/>
    <w:rsid w:val="006A3CCD"/>
    <w:rsid w:val="006C60A0"/>
    <w:rsid w:val="008574BE"/>
    <w:rsid w:val="00896D29"/>
    <w:rsid w:val="008F22BB"/>
    <w:rsid w:val="00907C77"/>
    <w:rsid w:val="00917B76"/>
    <w:rsid w:val="00944655"/>
    <w:rsid w:val="0096131B"/>
    <w:rsid w:val="00962D7D"/>
    <w:rsid w:val="009A490F"/>
    <w:rsid w:val="00A02DF9"/>
    <w:rsid w:val="00A23DB2"/>
    <w:rsid w:val="00A35107"/>
    <w:rsid w:val="00A624E2"/>
    <w:rsid w:val="00AD6673"/>
    <w:rsid w:val="00B05E21"/>
    <w:rsid w:val="00B36940"/>
    <w:rsid w:val="00B54C65"/>
    <w:rsid w:val="00C359A3"/>
    <w:rsid w:val="00C80C41"/>
    <w:rsid w:val="00CB2C0A"/>
    <w:rsid w:val="00E57BF3"/>
    <w:rsid w:val="00E73F0A"/>
    <w:rsid w:val="00E82272"/>
    <w:rsid w:val="00EC1CB5"/>
    <w:rsid w:val="00EC5A0B"/>
    <w:rsid w:val="00FB7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1A62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694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sid w:val="006802B1"/>
    <w:pPr>
      <w:ind w:left="720"/>
      <w:contextualSpacing/>
    </w:pPr>
  </w:style>
  <w:style w:type="paragraph" w:styleId="FootnoteText">
    <w:name w:val="footnote text"/>
    <w:basedOn w:val="Normal"/>
    <w:link w:val="FootnoteTextChar"/>
    <w:uiPriority w:val="99"/>
    <w:unhideWhenUsed/>
    <w:rsid w:val="00B36940"/>
  </w:style>
  <w:style w:type="character" w:customStyle="1" w:styleId="FootnoteTextChar">
    <w:name w:val="Footnote Text Char"/>
    <w:basedOn w:val="DefaultParagraphFont"/>
    <w:link w:val="FootnoteText"/>
    <w:uiPriority w:val="99"/>
    <w:rsid w:val="00B36940"/>
  </w:style>
  <w:style w:type="character" w:styleId="FootnoteReference">
    <w:name w:val="footnote reference"/>
    <w:basedOn w:val="DefaultParagraphFont"/>
    <w:uiPriority w:val="99"/>
    <w:unhideWhenUsed/>
    <w:rsid w:val="00B36940"/>
    <w:rPr>
      <w:vertAlign w:val="superscript"/>
    </w:rPr>
  </w:style>
  <w:style w:type="character" w:customStyle="1" w:styleId="Heading1Char">
    <w:name w:val="Heading 1 Char"/>
    <w:basedOn w:val="DefaultParagraphFont"/>
    <w:link w:val="Heading1"/>
    <w:uiPriority w:val="9"/>
    <w:rsid w:val="00B36940"/>
    <w:rPr>
      <w:rFonts w:ascii="Times" w:hAnsi="Times"/>
      <w:b/>
      <w:bCs/>
      <w:kern w:val="36"/>
      <w:sz w:val="48"/>
      <w:szCs w:val="48"/>
    </w:rPr>
  </w:style>
  <w:style w:type="table" w:styleId="TableGrid">
    <w:name w:val="Table Grid"/>
    <w:basedOn w:val="TableNormal"/>
    <w:uiPriority w:val="59"/>
    <w:rsid w:val="00C35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1C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1CE5"/>
    <w:rPr>
      <w:rFonts w:ascii="Lucida Grande" w:hAnsi="Lucida Grande" w:cs="Lucida Grande"/>
      <w:sz w:val="18"/>
      <w:szCs w:val="18"/>
    </w:rPr>
  </w:style>
  <w:style w:type="paragraph" w:styleId="NoSpacing">
    <w:name w:val="No Spacing"/>
    <w:uiPriority w:val="1"/>
    <w:qFormat/>
    <w:rsid w:val="00A624E2"/>
  </w:style>
  <w:style w:type="character" w:styleId="Hyperlink">
    <w:name w:val="Hyperlink"/>
    <w:basedOn w:val="DefaultParagraphFont"/>
    <w:uiPriority w:val="99"/>
    <w:semiHidden/>
    <w:unhideWhenUsed/>
    <w:rsid w:val="009A490F"/>
    <w:rPr>
      <w:color w:val="0000FF"/>
      <w:u w:val="single"/>
    </w:rPr>
  </w:style>
  <w:style w:type="character" w:customStyle="1" w:styleId="ListParagraphChar">
    <w:name w:val="List Paragraph Char"/>
    <w:aliases w:val="Paragraph Char"/>
    <w:basedOn w:val="DefaultParagraphFont"/>
    <w:link w:val="ListParagraph"/>
    <w:uiPriority w:val="34"/>
    <w:locked/>
    <w:rsid w:val="002C36AA"/>
  </w:style>
  <w:style w:type="paragraph" w:customStyle="1" w:styleId="normal0">
    <w:name w:val="normal"/>
    <w:rsid w:val="00641521"/>
    <w:rPr>
      <w:rFonts w:ascii="Cambria" w:eastAsia="Cambria" w:hAnsi="Cambria" w:cs="Cambria"/>
    </w:rPr>
  </w:style>
  <w:style w:type="paragraph" w:styleId="Footer">
    <w:name w:val="footer"/>
    <w:basedOn w:val="Normal"/>
    <w:link w:val="FooterChar"/>
    <w:uiPriority w:val="99"/>
    <w:unhideWhenUsed/>
    <w:rsid w:val="004C5BF6"/>
    <w:pPr>
      <w:tabs>
        <w:tab w:val="center" w:pos="4320"/>
        <w:tab w:val="right" w:pos="8640"/>
      </w:tabs>
    </w:pPr>
  </w:style>
  <w:style w:type="character" w:customStyle="1" w:styleId="FooterChar">
    <w:name w:val="Footer Char"/>
    <w:basedOn w:val="DefaultParagraphFont"/>
    <w:link w:val="Footer"/>
    <w:uiPriority w:val="99"/>
    <w:rsid w:val="004C5BF6"/>
  </w:style>
  <w:style w:type="character" w:styleId="PageNumber">
    <w:name w:val="page number"/>
    <w:basedOn w:val="DefaultParagraphFont"/>
    <w:uiPriority w:val="99"/>
    <w:semiHidden/>
    <w:unhideWhenUsed/>
    <w:rsid w:val="004C5BF6"/>
  </w:style>
  <w:style w:type="paragraph" w:styleId="Header">
    <w:name w:val="header"/>
    <w:basedOn w:val="Normal"/>
    <w:link w:val="HeaderChar"/>
    <w:uiPriority w:val="99"/>
    <w:unhideWhenUsed/>
    <w:rsid w:val="004C5BF6"/>
    <w:pPr>
      <w:tabs>
        <w:tab w:val="center" w:pos="4320"/>
        <w:tab w:val="right" w:pos="8640"/>
      </w:tabs>
    </w:pPr>
  </w:style>
  <w:style w:type="character" w:customStyle="1" w:styleId="HeaderChar">
    <w:name w:val="Header Char"/>
    <w:basedOn w:val="DefaultParagraphFont"/>
    <w:link w:val="Header"/>
    <w:uiPriority w:val="99"/>
    <w:rsid w:val="004C5BF6"/>
  </w:style>
  <w:style w:type="paragraph" w:styleId="NormalWeb">
    <w:name w:val="Normal (Web)"/>
    <w:basedOn w:val="Normal"/>
    <w:uiPriority w:val="99"/>
    <w:unhideWhenUsed/>
    <w:rsid w:val="00693738"/>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3694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w:basedOn w:val="Normal"/>
    <w:link w:val="ListParagraphChar"/>
    <w:uiPriority w:val="34"/>
    <w:qFormat/>
    <w:rsid w:val="006802B1"/>
    <w:pPr>
      <w:ind w:left="720"/>
      <w:contextualSpacing/>
    </w:pPr>
  </w:style>
  <w:style w:type="paragraph" w:styleId="FootnoteText">
    <w:name w:val="footnote text"/>
    <w:basedOn w:val="Normal"/>
    <w:link w:val="FootnoteTextChar"/>
    <w:uiPriority w:val="99"/>
    <w:unhideWhenUsed/>
    <w:rsid w:val="00B36940"/>
  </w:style>
  <w:style w:type="character" w:customStyle="1" w:styleId="FootnoteTextChar">
    <w:name w:val="Footnote Text Char"/>
    <w:basedOn w:val="DefaultParagraphFont"/>
    <w:link w:val="FootnoteText"/>
    <w:uiPriority w:val="99"/>
    <w:rsid w:val="00B36940"/>
  </w:style>
  <w:style w:type="character" w:styleId="FootnoteReference">
    <w:name w:val="footnote reference"/>
    <w:basedOn w:val="DefaultParagraphFont"/>
    <w:uiPriority w:val="99"/>
    <w:unhideWhenUsed/>
    <w:rsid w:val="00B36940"/>
    <w:rPr>
      <w:vertAlign w:val="superscript"/>
    </w:rPr>
  </w:style>
  <w:style w:type="character" w:customStyle="1" w:styleId="Heading1Char">
    <w:name w:val="Heading 1 Char"/>
    <w:basedOn w:val="DefaultParagraphFont"/>
    <w:link w:val="Heading1"/>
    <w:uiPriority w:val="9"/>
    <w:rsid w:val="00B36940"/>
    <w:rPr>
      <w:rFonts w:ascii="Times" w:hAnsi="Times"/>
      <w:b/>
      <w:bCs/>
      <w:kern w:val="36"/>
      <w:sz w:val="48"/>
      <w:szCs w:val="48"/>
    </w:rPr>
  </w:style>
  <w:style w:type="table" w:styleId="TableGrid">
    <w:name w:val="Table Grid"/>
    <w:basedOn w:val="TableNormal"/>
    <w:uiPriority w:val="59"/>
    <w:rsid w:val="00C35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1C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1CE5"/>
    <w:rPr>
      <w:rFonts w:ascii="Lucida Grande" w:hAnsi="Lucida Grande" w:cs="Lucida Grande"/>
      <w:sz w:val="18"/>
      <w:szCs w:val="18"/>
    </w:rPr>
  </w:style>
  <w:style w:type="paragraph" w:styleId="NoSpacing">
    <w:name w:val="No Spacing"/>
    <w:uiPriority w:val="1"/>
    <w:qFormat/>
    <w:rsid w:val="00A624E2"/>
  </w:style>
  <w:style w:type="character" w:styleId="Hyperlink">
    <w:name w:val="Hyperlink"/>
    <w:basedOn w:val="DefaultParagraphFont"/>
    <w:uiPriority w:val="99"/>
    <w:semiHidden/>
    <w:unhideWhenUsed/>
    <w:rsid w:val="009A490F"/>
    <w:rPr>
      <w:color w:val="0000FF"/>
      <w:u w:val="single"/>
    </w:rPr>
  </w:style>
  <w:style w:type="character" w:customStyle="1" w:styleId="ListParagraphChar">
    <w:name w:val="List Paragraph Char"/>
    <w:aliases w:val="Paragraph Char"/>
    <w:basedOn w:val="DefaultParagraphFont"/>
    <w:link w:val="ListParagraph"/>
    <w:uiPriority w:val="34"/>
    <w:locked/>
    <w:rsid w:val="002C36AA"/>
  </w:style>
  <w:style w:type="paragraph" w:customStyle="1" w:styleId="normal0">
    <w:name w:val="normal"/>
    <w:rsid w:val="00641521"/>
    <w:rPr>
      <w:rFonts w:ascii="Cambria" w:eastAsia="Cambria" w:hAnsi="Cambria" w:cs="Cambria"/>
    </w:rPr>
  </w:style>
  <w:style w:type="paragraph" w:styleId="Footer">
    <w:name w:val="footer"/>
    <w:basedOn w:val="Normal"/>
    <w:link w:val="FooterChar"/>
    <w:uiPriority w:val="99"/>
    <w:unhideWhenUsed/>
    <w:rsid w:val="004C5BF6"/>
    <w:pPr>
      <w:tabs>
        <w:tab w:val="center" w:pos="4320"/>
        <w:tab w:val="right" w:pos="8640"/>
      </w:tabs>
    </w:pPr>
  </w:style>
  <w:style w:type="character" w:customStyle="1" w:styleId="FooterChar">
    <w:name w:val="Footer Char"/>
    <w:basedOn w:val="DefaultParagraphFont"/>
    <w:link w:val="Footer"/>
    <w:uiPriority w:val="99"/>
    <w:rsid w:val="004C5BF6"/>
  </w:style>
  <w:style w:type="character" w:styleId="PageNumber">
    <w:name w:val="page number"/>
    <w:basedOn w:val="DefaultParagraphFont"/>
    <w:uiPriority w:val="99"/>
    <w:semiHidden/>
    <w:unhideWhenUsed/>
    <w:rsid w:val="004C5BF6"/>
  </w:style>
  <w:style w:type="paragraph" w:styleId="Header">
    <w:name w:val="header"/>
    <w:basedOn w:val="Normal"/>
    <w:link w:val="HeaderChar"/>
    <w:uiPriority w:val="99"/>
    <w:unhideWhenUsed/>
    <w:rsid w:val="004C5BF6"/>
    <w:pPr>
      <w:tabs>
        <w:tab w:val="center" w:pos="4320"/>
        <w:tab w:val="right" w:pos="8640"/>
      </w:tabs>
    </w:pPr>
  </w:style>
  <w:style w:type="character" w:customStyle="1" w:styleId="HeaderChar">
    <w:name w:val="Header Char"/>
    <w:basedOn w:val="DefaultParagraphFont"/>
    <w:link w:val="Header"/>
    <w:uiPriority w:val="99"/>
    <w:rsid w:val="004C5BF6"/>
  </w:style>
  <w:style w:type="paragraph" w:styleId="NormalWeb">
    <w:name w:val="Normal (Web)"/>
    <w:basedOn w:val="Normal"/>
    <w:uiPriority w:val="99"/>
    <w:unhideWhenUsed/>
    <w:rsid w:val="0069373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7058">
      <w:bodyDiv w:val="1"/>
      <w:marLeft w:val="0"/>
      <w:marRight w:val="0"/>
      <w:marTop w:val="0"/>
      <w:marBottom w:val="0"/>
      <w:divBdr>
        <w:top w:val="none" w:sz="0" w:space="0" w:color="auto"/>
        <w:left w:val="none" w:sz="0" w:space="0" w:color="auto"/>
        <w:bottom w:val="none" w:sz="0" w:space="0" w:color="auto"/>
        <w:right w:val="none" w:sz="0" w:space="0" w:color="auto"/>
      </w:divBdr>
    </w:div>
    <w:div w:id="169370941">
      <w:bodyDiv w:val="1"/>
      <w:marLeft w:val="0"/>
      <w:marRight w:val="0"/>
      <w:marTop w:val="0"/>
      <w:marBottom w:val="0"/>
      <w:divBdr>
        <w:top w:val="none" w:sz="0" w:space="0" w:color="auto"/>
        <w:left w:val="none" w:sz="0" w:space="0" w:color="auto"/>
        <w:bottom w:val="none" w:sz="0" w:space="0" w:color="auto"/>
        <w:right w:val="none" w:sz="0" w:space="0" w:color="auto"/>
      </w:divBdr>
    </w:div>
    <w:div w:id="486827896">
      <w:bodyDiv w:val="1"/>
      <w:marLeft w:val="0"/>
      <w:marRight w:val="0"/>
      <w:marTop w:val="0"/>
      <w:marBottom w:val="0"/>
      <w:divBdr>
        <w:top w:val="none" w:sz="0" w:space="0" w:color="auto"/>
        <w:left w:val="none" w:sz="0" w:space="0" w:color="auto"/>
        <w:bottom w:val="none" w:sz="0" w:space="0" w:color="auto"/>
        <w:right w:val="none" w:sz="0" w:space="0" w:color="auto"/>
      </w:divBdr>
    </w:div>
    <w:div w:id="487787338">
      <w:bodyDiv w:val="1"/>
      <w:marLeft w:val="0"/>
      <w:marRight w:val="0"/>
      <w:marTop w:val="0"/>
      <w:marBottom w:val="0"/>
      <w:divBdr>
        <w:top w:val="none" w:sz="0" w:space="0" w:color="auto"/>
        <w:left w:val="none" w:sz="0" w:space="0" w:color="auto"/>
        <w:bottom w:val="none" w:sz="0" w:space="0" w:color="auto"/>
        <w:right w:val="none" w:sz="0" w:space="0" w:color="auto"/>
      </w:divBdr>
    </w:div>
    <w:div w:id="513887545">
      <w:bodyDiv w:val="1"/>
      <w:marLeft w:val="0"/>
      <w:marRight w:val="0"/>
      <w:marTop w:val="0"/>
      <w:marBottom w:val="0"/>
      <w:divBdr>
        <w:top w:val="none" w:sz="0" w:space="0" w:color="auto"/>
        <w:left w:val="none" w:sz="0" w:space="0" w:color="auto"/>
        <w:bottom w:val="none" w:sz="0" w:space="0" w:color="auto"/>
        <w:right w:val="none" w:sz="0" w:space="0" w:color="auto"/>
      </w:divBdr>
    </w:div>
    <w:div w:id="670766185">
      <w:bodyDiv w:val="1"/>
      <w:marLeft w:val="0"/>
      <w:marRight w:val="0"/>
      <w:marTop w:val="0"/>
      <w:marBottom w:val="0"/>
      <w:divBdr>
        <w:top w:val="none" w:sz="0" w:space="0" w:color="auto"/>
        <w:left w:val="none" w:sz="0" w:space="0" w:color="auto"/>
        <w:bottom w:val="none" w:sz="0" w:space="0" w:color="auto"/>
        <w:right w:val="none" w:sz="0" w:space="0" w:color="auto"/>
      </w:divBdr>
    </w:div>
    <w:div w:id="934553916">
      <w:bodyDiv w:val="1"/>
      <w:marLeft w:val="0"/>
      <w:marRight w:val="0"/>
      <w:marTop w:val="0"/>
      <w:marBottom w:val="0"/>
      <w:divBdr>
        <w:top w:val="none" w:sz="0" w:space="0" w:color="auto"/>
        <w:left w:val="none" w:sz="0" w:space="0" w:color="auto"/>
        <w:bottom w:val="none" w:sz="0" w:space="0" w:color="auto"/>
        <w:right w:val="none" w:sz="0" w:space="0" w:color="auto"/>
      </w:divBdr>
    </w:div>
    <w:div w:id="1107043930">
      <w:bodyDiv w:val="1"/>
      <w:marLeft w:val="0"/>
      <w:marRight w:val="0"/>
      <w:marTop w:val="0"/>
      <w:marBottom w:val="0"/>
      <w:divBdr>
        <w:top w:val="none" w:sz="0" w:space="0" w:color="auto"/>
        <w:left w:val="none" w:sz="0" w:space="0" w:color="auto"/>
        <w:bottom w:val="none" w:sz="0" w:space="0" w:color="auto"/>
        <w:right w:val="none" w:sz="0" w:space="0" w:color="auto"/>
      </w:divBdr>
    </w:div>
    <w:div w:id="1146897503">
      <w:bodyDiv w:val="1"/>
      <w:marLeft w:val="0"/>
      <w:marRight w:val="0"/>
      <w:marTop w:val="0"/>
      <w:marBottom w:val="0"/>
      <w:divBdr>
        <w:top w:val="none" w:sz="0" w:space="0" w:color="auto"/>
        <w:left w:val="none" w:sz="0" w:space="0" w:color="auto"/>
        <w:bottom w:val="none" w:sz="0" w:space="0" w:color="auto"/>
        <w:right w:val="none" w:sz="0" w:space="0" w:color="auto"/>
      </w:divBdr>
    </w:div>
    <w:div w:id="1225869374">
      <w:bodyDiv w:val="1"/>
      <w:marLeft w:val="0"/>
      <w:marRight w:val="0"/>
      <w:marTop w:val="0"/>
      <w:marBottom w:val="0"/>
      <w:divBdr>
        <w:top w:val="none" w:sz="0" w:space="0" w:color="auto"/>
        <w:left w:val="none" w:sz="0" w:space="0" w:color="auto"/>
        <w:bottom w:val="none" w:sz="0" w:space="0" w:color="auto"/>
        <w:right w:val="none" w:sz="0" w:space="0" w:color="auto"/>
      </w:divBdr>
      <w:divsChild>
        <w:div w:id="161284711">
          <w:marLeft w:val="0"/>
          <w:marRight w:val="0"/>
          <w:marTop w:val="0"/>
          <w:marBottom w:val="0"/>
          <w:divBdr>
            <w:top w:val="none" w:sz="0" w:space="0" w:color="auto"/>
            <w:left w:val="none" w:sz="0" w:space="0" w:color="auto"/>
            <w:bottom w:val="none" w:sz="0" w:space="0" w:color="auto"/>
            <w:right w:val="none" w:sz="0" w:space="0" w:color="auto"/>
          </w:divBdr>
        </w:div>
        <w:div w:id="522784188">
          <w:marLeft w:val="0"/>
          <w:marRight w:val="0"/>
          <w:marTop w:val="0"/>
          <w:marBottom w:val="0"/>
          <w:divBdr>
            <w:top w:val="none" w:sz="0" w:space="0" w:color="auto"/>
            <w:left w:val="none" w:sz="0" w:space="0" w:color="auto"/>
            <w:bottom w:val="none" w:sz="0" w:space="0" w:color="auto"/>
            <w:right w:val="none" w:sz="0" w:space="0" w:color="auto"/>
          </w:divBdr>
        </w:div>
        <w:div w:id="1579712389">
          <w:marLeft w:val="0"/>
          <w:marRight w:val="0"/>
          <w:marTop w:val="0"/>
          <w:marBottom w:val="0"/>
          <w:divBdr>
            <w:top w:val="none" w:sz="0" w:space="0" w:color="auto"/>
            <w:left w:val="none" w:sz="0" w:space="0" w:color="auto"/>
            <w:bottom w:val="none" w:sz="0" w:space="0" w:color="auto"/>
            <w:right w:val="none" w:sz="0" w:space="0" w:color="auto"/>
          </w:divBdr>
        </w:div>
      </w:divsChild>
    </w:div>
    <w:div w:id="1471098183">
      <w:bodyDiv w:val="1"/>
      <w:marLeft w:val="0"/>
      <w:marRight w:val="0"/>
      <w:marTop w:val="0"/>
      <w:marBottom w:val="0"/>
      <w:divBdr>
        <w:top w:val="none" w:sz="0" w:space="0" w:color="auto"/>
        <w:left w:val="none" w:sz="0" w:space="0" w:color="auto"/>
        <w:bottom w:val="none" w:sz="0" w:space="0" w:color="auto"/>
        <w:right w:val="none" w:sz="0" w:space="0" w:color="auto"/>
      </w:divBdr>
      <w:divsChild>
        <w:div w:id="1644237047">
          <w:marLeft w:val="0"/>
          <w:marRight w:val="0"/>
          <w:marTop w:val="0"/>
          <w:marBottom w:val="0"/>
          <w:divBdr>
            <w:top w:val="none" w:sz="0" w:space="0" w:color="auto"/>
            <w:left w:val="none" w:sz="0" w:space="0" w:color="auto"/>
            <w:bottom w:val="none" w:sz="0" w:space="0" w:color="auto"/>
            <w:right w:val="none" w:sz="0" w:space="0" w:color="auto"/>
          </w:divBdr>
          <w:divsChild>
            <w:div w:id="488057354">
              <w:marLeft w:val="0"/>
              <w:marRight w:val="0"/>
              <w:marTop w:val="0"/>
              <w:marBottom w:val="0"/>
              <w:divBdr>
                <w:top w:val="none" w:sz="0" w:space="0" w:color="auto"/>
                <w:left w:val="none" w:sz="0" w:space="0" w:color="auto"/>
                <w:bottom w:val="none" w:sz="0" w:space="0" w:color="auto"/>
                <w:right w:val="none" w:sz="0" w:space="0" w:color="auto"/>
              </w:divBdr>
              <w:divsChild>
                <w:div w:id="11499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6868">
      <w:bodyDiv w:val="1"/>
      <w:marLeft w:val="0"/>
      <w:marRight w:val="0"/>
      <w:marTop w:val="0"/>
      <w:marBottom w:val="0"/>
      <w:divBdr>
        <w:top w:val="none" w:sz="0" w:space="0" w:color="auto"/>
        <w:left w:val="none" w:sz="0" w:space="0" w:color="auto"/>
        <w:bottom w:val="none" w:sz="0" w:space="0" w:color="auto"/>
        <w:right w:val="none" w:sz="0" w:space="0" w:color="auto"/>
      </w:divBdr>
    </w:div>
    <w:div w:id="1757481026">
      <w:bodyDiv w:val="1"/>
      <w:marLeft w:val="0"/>
      <w:marRight w:val="0"/>
      <w:marTop w:val="0"/>
      <w:marBottom w:val="0"/>
      <w:divBdr>
        <w:top w:val="none" w:sz="0" w:space="0" w:color="auto"/>
        <w:left w:val="none" w:sz="0" w:space="0" w:color="auto"/>
        <w:bottom w:val="none" w:sz="0" w:space="0" w:color="auto"/>
        <w:right w:val="none" w:sz="0" w:space="0" w:color="auto"/>
      </w:divBdr>
      <w:divsChild>
        <w:div w:id="1152061190">
          <w:marLeft w:val="0"/>
          <w:marRight w:val="0"/>
          <w:marTop w:val="0"/>
          <w:marBottom w:val="0"/>
          <w:divBdr>
            <w:top w:val="none" w:sz="0" w:space="0" w:color="auto"/>
            <w:left w:val="none" w:sz="0" w:space="0" w:color="auto"/>
            <w:bottom w:val="none" w:sz="0" w:space="0" w:color="auto"/>
            <w:right w:val="none" w:sz="0" w:space="0" w:color="auto"/>
          </w:divBdr>
        </w:div>
      </w:divsChild>
    </w:div>
    <w:div w:id="1961454981">
      <w:bodyDiv w:val="1"/>
      <w:marLeft w:val="0"/>
      <w:marRight w:val="0"/>
      <w:marTop w:val="0"/>
      <w:marBottom w:val="0"/>
      <w:divBdr>
        <w:top w:val="none" w:sz="0" w:space="0" w:color="auto"/>
        <w:left w:val="none" w:sz="0" w:space="0" w:color="auto"/>
        <w:bottom w:val="none" w:sz="0" w:space="0" w:color="auto"/>
        <w:right w:val="none" w:sz="0" w:space="0" w:color="auto"/>
      </w:divBdr>
      <w:divsChild>
        <w:div w:id="26341933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21D5BE-76BC-43CA-A8C2-27D15FA4C653}"/>
</file>

<file path=customXml/itemProps2.xml><?xml version="1.0" encoding="utf-8"?>
<ds:datastoreItem xmlns:ds="http://schemas.openxmlformats.org/officeDocument/2006/customXml" ds:itemID="{076CE42A-002E-4668-985E-0B06F6C62CFA}"/>
</file>

<file path=customXml/itemProps3.xml><?xml version="1.0" encoding="utf-8"?>
<ds:datastoreItem xmlns:ds="http://schemas.openxmlformats.org/officeDocument/2006/customXml" ds:itemID="{877D9BAA-3FA9-476B-BF30-F4B5B7AAD845}"/>
</file>

<file path=docProps/app.xml><?xml version="1.0" encoding="utf-8"?>
<Properties xmlns="http://schemas.openxmlformats.org/officeDocument/2006/extended-properties" xmlns:vt="http://schemas.openxmlformats.org/officeDocument/2006/docPropsVTypes">
  <Template>Normal.dotm</Template>
  <TotalTime>311</TotalTime>
  <Pages>6</Pages>
  <Words>2058</Words>
  <Characters>11737</Characters>
  <Application>Microsoft Macintosh Word</Application>
  <DocSecurity>0</DocSecurity>
  <Lines>97</Lines>
  <Paragraphs>27</Paragraphs>
  <ScaleCrop>false</ScaleCrop>
  <Company/>
  <LinksUpToDate>false</LinksUpToDate>
  <CharactersWithSpaces>13768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rarr</dc:creator>
  <cp:keywords/>
  <dc:description/>
  <cp:lastModifiedBy>patti rarr</cp:lastModifiedBy>
  <cp:revision>19</cp:revision>
  <dcterms:created xsi:type="dcterms:W3CDTF">2019-05-26T00:38:00Z</dcterms:created>
  <dcterms:modified xsi:type="dcterms:W3CDTF">2019-08-14T08:36:00Z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