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6AE37" w14:textId="160D968E" w:rsidR="00632472" w:rsidRPr="00EA7262" w:rsidRDefault="00632472" w:rsidP="00EA7262">
      <w:pPr>
        <w:jc w:val="center"/>
        <w:rPr>
          <w:rFonts w:asciiTheme="minorHAnsi" w:eastAsiaTheme="minorEastAsia" w:hAnsiTheme="minorHAnsi" w:cstheme="minorHAnsi"/>
          <w:b/>
          <w:bCs/>
          <w:color w:val="00B0F0"/>
          <w:sz w:val="22"/>
          <w:szCs w:val="22"/>
        </w:rPr>
      </w:pPr>
      <w:bookmarkStart w:id="0" w:name="_GoBack"/>
      <w:bookmarkEnd w:id="0"/>
      <w:r w:rsidRPr="00EA7262">
        <w:rPr>
          <w:rFonts w:asciiTheme="minorHAnsi" w:eastAsiaTheme="minorEastAsia" w:hAnsiTheme="minorHAnsi" w:cstheme="minorHAnsi"/>
          <w:b/>
          <w:bCs/>
          <w:color w:val="00B0F0"/>
          <w:sz w:val="22"/>
          <w:szCs w:val="22"/>
          <w:shd w:val="clear" w:color="auto" w:fill="FFFFFF"/>
        </w:rPr>
        <w:t>UNICEF’s Submission to UN Special Rapporteur on Trafficking in Persons, Especially Women and Children Report on the Implementation of the Non-punishment Principle in the Context of Trafficking in Persons</w:t>
      </w:r>
    </w:p>
    <w:p w14:paraId="22CA039E" w14:textId="312EEE3D" w:rsidR="004A09BA" w:rsidRPr="00EA7262" w:rsidRDefault="004A09BA" w:rsidP="00EA7262">
      <w:pPr>
        <w:jc w:val="both"/>
        <w:rPr>
          <w:rFonts w:asciiTheme="minorHAnsi" w:eastAsiaTheme="minorEastAsia" w:hAnsiTheme="minorHAnsi" w:cstheme="minorHAnsi"/>
          <w:b/>
          <w:bCs/>
          <w:sz w:val="22"/>
          <w:szCs w:val="22"/>
          <w:u w:val="single"/>
        </w:rPr>
      </w:pPr>
    </w:p>
    <w:p w14:paraId="34939151" w14:textId="4C848CA4" w:rsidR="00DD5917" w:rsidRDefault="00DD5917"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In what follows, we identify a few promising practices for the implementation of the non-punishment principle for</w:t>
      </w:r>
      <w:r w:rsidR="00372B4E">
        <w:rPr>
          <w:rFonts w:asciiTheme="minorHAnsi" w:eastAsiaTheme="minorEastAsia" w:hAnsiTheme="minorHAnsi" w:cstheme="minorHAnsi"/>
          <w:sz w:val="22"/>
          <w:szCs w:val="22"/>
        </w:rPr>
        <w:t xml:space="preserve"> </w:t>
      </w:r>
      <w:r w:rsidRPr="00EA7262">
        <w:rPr>
          <w:rFonts w:asciiTheme="minorHAnsi" w:eastAsiaTheme="minorEastAsia" w:hAnsiTheme="minorHAnsi" w:cstheme="minorHAnsi"/>
          <w:sz w:val="22"/>
          <w:szCs w:val="22"/>
        </w:rPr>
        <w:t>trafficking in persons, focusing on children. Recognising that these practices are not void of challenges and difficulties, both in law and practice, we explore some child-specific concerns around i</w:t>
      </w:r>
      <w:r w:rsidR="56F0AEFC" w:rsidRPr="00EA7262">
        <w:rPr>
          <w:rFonts w:asciiTheme="minorHAnsi" w:eastAsiaTheme="minorEastAsia" w:hAnsiTheme="minorHAnsi" w:cstheme="minorHAnsi"/>
          <w:sz w:val="22"/>
          <w:szCs w:val="22"/>
        </w:rPr>
        <w:t xml:space="preserve">mplementation </w:t>
      </w:r>
      <w:r w:rsidRPr="00EA7262">
        <w:rPr>
          <w:rFonts w:asciiTheme="minorHAnsi" w:eastAsiaTheme="minorEastAsia" w:hAnsiTheme="minorHAnsi" w:cstheme="minorHAnsi"/>
          <w:sz w:val="22"/>
          <w:szCs w:val="22"/>
        </w:rPr>
        <w:t>followed with a few recommendations</w:t>
      </w:r>
      <w:r w:rsidR="003F6A67" w:rsidRPr="00EA7262">
        <w:rPr>
          <w:rFonts w:asciiTheme="minorHAnsi" w:eastAsiaTheme="minorEastAsia" w:hAnsiTheme="minorHAnsi" w:cstheme="minorHAnsi"/>
          <w:sz w:val="22"/>
          <w:szCs w:val="22"/>
        </w:rPr>
        <w:t xml:space="preserve"> to strengthen </w:t>
      </w:r>
      <w:r w:rsidR="39404142" w:rsidRPr="00EA7262">
        <w:rPr>
          <w:rFonts w:asciiTheme="minorHAnsi" w:eastAsiaTheme="minorEastAsia" w:hAnsiTheme="minorHAnsi" w:cstheme="minorHAnsi"/>
          <w:sz w:val="22"/>
          <w:szCs w:val="22"/>
        </w:rPr>
        <w:t>them further</w:t>
      </w:r>
      <w:r w:rsidRPr="00EA7262">
        <w:rPr>
          <w:rFonts w:asciiTheme="minorHAnsi" w:eastAsiaTheme="minorEastAsia" w:hAnsiTheme="minorHAnsi" w:cstheme="minorHAnsi"/>
          <w:sz w:val="22"/>
          <w:szCs w:val="22"/>
        </w:rPr>
        <w:t xml:space="preserve">. </w:t>
      </w:r>
    </w:p>
    <w:p w14:paraId="14144081" w14:textId="67FB4EEE" w:rsidR="00372B4E" w:rsidRDefault="00372B4E" w:rsidP="00EA7262">
      <w:pPr>
        <w:jc w:val="both"/>
        <w:rPr>
          <w:rFonts w:asciiTheme="minorHAnsi" w:eastAsiaTheme="minorEastAsia" w:hAnsiTheme="minorHAnsi" w:cstheme="minorHAnsi"/>
          <w:sz w:val="22"/>
          <w:szCs w:val="22"/>
        </w:rPr>
      </w:pPr>
    </w:p>
    <w:p w14:paraId="2F0FF7E6" w14:textId="20569ADE" w:rsidR="00372B4E" w:rsidRPr="00001E24" w:rsidRDefault="00372B4E" w:rsidP="00001E24">
      <w:pPr>
        <w:pBdr>
          <w:top w:val="single" w:sz="4" w:space="1" w:color="auto"/>
          <w:left w:val="single" w:sz="4" w:space="4" w:color="auto"/>
          <w:bottom w:val="single" w:sz="4" w:space="1" w:color="auto"/>
          <w:right w:val="single" w:sz="4" w:space="4" w:color="auto"/>
        </w:pBdr>
        <w:jc w:val="both"/>
        <w:rPr>
          <w:rFonts w:asciiTheme="minorHAnsi" w:eastAsiaTheme="minorEastAsia" w:hAnsiTheme="minorHAnsi" w:cstheme="minorHAnsi"/>
          <w:color w:val="FF0000"/>
          <w:sz w:val="22"/>
          <w:szCs w:val="22"/>
        </w:rPr>
      </w:pPr>
      <w:r w:rsidRPr="00001E24">
        <w:rPr>
          <w:rFonts w:asciiTheme="minorHAnsi" w:eastAsiaTheme="minorEastAsia" w:hAnsiTheme="minorHAnsi" w:cstheme="minorHAnsi"/>
          <w:color w:val="FF0000"/>
          <w:sz w:val="22"/>
          <w:szCs w:val="22"/>
        </w:rPr>
        <w:t xml:space="preserve">Please note that we are drawing on specific contexts to illustrate the issue at hand with examples – however, issues such as the lack of identification of child victims of trafficking are universal issues </w:t>
      </w:r>
      <w:r w:rsidR="00517531" w:rsidRPr="00001E24">
        <w:rPr>
          <w:rFonts w:asciiTheme="minorHAnsi" w:eastAsiaTheme="minorEastAsia" w:hAnsiTheme="minorHAnsi" w:cstheme="minorHAnsi"/>
          <w:color w:val="FF0000"/>
          <w:sz w:val="22"/>
          <w:szCs w:val="22"/>
        </w:rPr>
        <w:t>and</w:t>
      </w:r>
      <w:r w:rsidRPr="00001E24">
        <w:rPr>
          <w:rFonts w:asciiTheme="minorHAnsi" w:eastAsiaTheme="minorEastAsia" w:hAnsiTheme="minorHAnsi" w:cstheme="minorHAnsi"/>
          <w:color w:val="FF0000"/>
          <w:sz w:val="22"/>
          <w:szCs w:val="22"/>
        </w:rPr>
        <w:t xml:space="preserve"> not limited to the county contexts mentioned here.</w:t>
      </w:r>
    </w:p>
    <w:p w14:paraId="67AA6131" w14:textId="268D3CAD" w:rsidR="007C5F56" w:rsidRPr="00EA7262" w:rsidRDefault="002E35FC" w:rsidP="00EA7262">
      <w:pPr>
        <w:pStyle w:val="Heading1"/>
        <w:jc w:val="both"/>
        <w:rPr>
          <w:rFonts w:asciiTheme="minorHAnsi" w:eastAsiaTheme="minorEastAsia" w:hAnsiTheme="minorHAnsi" w:cstheme="minorHAnsi"/>
          <w:b/>
          <w:bCs/>
          <w:sz w:val="22"/>
          <w:szCs w:val="22"/>
          <w:u w:val="single"/>
        </w:rPr>
      </w:pPr>
      <w:r w:rsidRPr="00EA7262">
        <w:rPr>
          <w:rFonts w:asciiTheme="minorHAnsi" w:eastAsiaTheme="minorEastAsia" w:hAnsiTheme="minorHAnsi" w:cstheme="minorHAnsi"/>
          <w:b/>
          <w:bCs/>
          <w:sz w:val="22"/>
          <w:szCs w:val="22"/>
          <w:u w:val="single"/>
        </w:rPr>
        <w:t xml:space="preserve">Section 1- </w:t>
      </w:r>
      <w:r w:rsidR="00DD5917" w:rsidRPr="00EA7262">
        <w:rPr>
          <w:rFonts w:asciiTheme="minorHAnsi" w:eastAsiaTheme="minorEastAsia" w:hAnsiTheme="minorHAnsi" w:cstheme="minorHAnsi"/>
          <w:b/>
          <w:bCs/>
          <w:sz w:val="22"/>
          <w:szCs w:val="22"/>
          <w:u w:val="single"/>
        </w:rPr>
        <w:t>Examples of Good Practices</w:t>
      </w:r>
      <w:r w:rsidR="007519B6" w:rsidRPr="00EA7262">
        <w:rPr>
          <w:rFonts w:asciiTheme="minorHAnsi" w:eastAsiaTheme="minorEastAsia" w:hAnsiTheme="minorHAnsi" w:cstheme="minorHAnsi"/>
          <w:b/>
          <w:bCs/>
          <w:sz w:val="22"/>
          <w:szCs w:val="22"/>
          <w:u w:val="single"/>
        </w:rPr>
        <w:t xml:space="preserve"> -</w:t>
      </w:r>
      <w:r w:rsidRPr="00EA7262">
        <w:rPr>
          <w:rFonts w:asciiTheme="minorHAnsi" w:eastAsiaTheme="minorEastAsia" w:hAnsiTheme="minorHAnsi" w:cstheme="minorHAnsi"/>
          <w:b/>
          <w:bCs/>
          <w:sz w:val="22"/>
          <w:szCs w:val="22"/>
          <w:u w:val="single"/>
        </w:rPr>
        <w:t xml:space="preserve"> </w:t>
      </w:r>
      <w:r w:rsidR="007519B6" w:rsidRPr="00EA7262">
        <w:rPr>
          <w:rFonts w:asciiTheme="minorHAnsi" w:eastAsiaTheme="minorEastAsia" w:hAnsiTheme="minorHAnsi" w:cstheme="minorHAnsi"/>
          <w:b/>
          <w:bCs/>
          <w:sz w:val="22"/>
          <w:szCs w:val="22"/>
          <w:u w:val="single"/>
        </w:rPr>
        <w:t xml:space="preserve">Legislation </w:t>
      </w:r>
    </w:p>
    <w:p w14:paraId="7E9A35F2" w14:textId="7D147527" w:rsidR="007C5F56" w:rsidRPr="00EA7262" w:rsidRDefault="007C5F56" w:rsidP="00EA7262">
      <w:pPr>
        <w:jc w:val="both"/>
        <w:rPr>
          <w:rFonts w:asciiTheme="minorHAnsi" w:eastAsiaTheme="minorEastAsia" w:hAnsiTheme="minorHAnsi" w:cstheme="minorHAnsi"/>
          <w:sz w:val="22"/>
          <w:szCs w:val="22"/>
        </w:rPr>
      </w:pPr>
    </w:p>
    <w:p w14:paraId="14DF5D45" w14:textId="17752FD5" w:rsidR="007C5F56" w:rsidRPr="00EA7262" w:rsidRDefault="007C5F56" w:rsidP="00EA7262">
      <w:pPr>
        <w:pStyle w:val="ListParagraph"/>
        <w:numPr>
          <w:ilvl w:val="0"/>
          <w:numId w:val="11"/>
        </w:num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 xml:space="preserve">Legislation in Belgium </w:t>
      </w:r>
    </w:p>
    <w:p w14:paraId="3DDBDD48" w14:textId="4CFAD2C4" w:rsidR="007C5F56" w:rsidRPr="00EA7262" w:rsidRDefault="007C5F56" w:rsidP="00EA7262">
      <w:pPr>
        <w:jc w:val="both"/>
        <w:rPr>
          <w:rFonts w:asciiTheme="minorHAnsi" w:eastAsiaTheme="minorEastAsia" w:hAnsiTheme="minorHAnsi" w:cstheme="minorHAnsi"/>
          <w:b/>
          <w:bCs/>
          <w:sz w:val="22"/>
          <w:szCs w:val="22"/>
        </w:rPr>
      </w:pPr>
    </w:p>
    <w:p w14:paraId="37D7E507" w14:textId="571EB457" w:rsidR="007C5F56" w:rsidRPr="00EA7262" w:rsidRDefault="003F6A67"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 xml:space="preserve">In Belgium, </w:t>
      </w:r>
      <w:r w:rsidR="007C5F56" w:rsidRPr="00EA7262">
        <w:rPr>
          <w:rFonts w:asciiTheme="minorHAnsi" w:eastAsiaTheme="minorEastAsia" w:hAnsiTheme="minorHAnsi" w:cstheme="minorHAnsi"/>
          <w:sz w:val="22"/>
          <w:szCs w:val="22"/>
        </w:rPr>
        <w:t>Article 433 quinquies of the penal code (on THB) has been c</w:t>
      </w:r>
      <w:r w:rsidR="59381200" w:rsidRPr="00EA7262">
        <w:rPr>
          <w:rFonts w:asciiTheme="minorHAnsi" w:eastAsiaTheme="minorEastAsia" w:hAnsiTheme="minorHAnsi" w:cstheme="minorHAnsi"/>
          <w:sz w:val="22"/>
          <w:szCs w:val="22"/>
        </w:rPr>
        <w:t xml:space="preserve">omplemented </w:t>
      </w:r>
      <w:r w:rsidR="007C5F56" w:rsidRPr="00EA7262">
        <w:rPr>
          <w:rFonts w:asciiTheme="minorHAnsi" w:eastAsiaTheme="minorEastAsia" w:hAnsiTheme="minorHAnsi" w:cstheme="minorHAnsi"/>
          <w:sz w:val="22"/>
          <w:szCs w:val="22"/>
        </w:rPr>
        <w:t xml:space="preserve">with a paragraph </w:t>
      </w:r>
      <w:r w:rsidR="296CD244" w:rsidRPr="00EA7262">
        <w:rPr>
          <w:rFonts w:asciiTheme="minorHAnsi" w:eastAsiaTheme="minorEastAsia" w:hAnsiTheme="minorHAnsi" w:cstheme="minorHAnsi"/>
          <w:sz w:val="22"/>
          <w:szCs w:val="22"/>
        </w:rPr>
        <w:t>(Para.</w:t>
      </w:r>
      <w:r w:rsidR="007C5F56" w:rsidRPr="00EA7262">
        <w:rPr>
          <w:rFonts w:asciiTheme="minorHAnsi" w:eastAsiaTheme="minorEastAsia" w:hAnsiTheme="minorHAnsi" w:cstheme="minorHAnsi"/>
          <w:sz w:val="22"/>
          <w:szCs w:val="22"/>
        </w:rPr>
        <w:t>5</w:t>
      </w:r>
      <w:r w:rsidR="5D65748B" w:rsidRPr="00EA7262">
        <w:rPr>
          <w:rFonts w:asciiTheme="minorHAnsi" w:eastAsiaTheme="minorEastAsia" w:hAnsiTheme="minorHAnsi" w:cstheme="minorHAnsi"/>
          <w:sz w:val="22"/>
          <w:szCs w:val="22"/>
        </w:rPr>
        <w:t>)</w:t>
      </w:r>
      <w:r w:rsidR="007C5F56" w:rsidRPr="00EA7262">
        <w:rPr>
          <w:rFonts w:asciiTheme="minorHAnsi" w:eastAsiaTheme="minorEastAsia" w:hAnsiTheme="minorHAnsi" w:cstheme="minorHAnsi"/>
          <w:sz w:val="22"/>
          <w:szCs w:val="22"/>
        </w:rPr>
        <w:t xml:space="preserve"> applicable to all forms of exploitation constituting human trafficking to expressly include the principle of non-punishment. According to this principle, the responsibility of the perpetrator is established but no penalty can be imposed on them. And this, regardless of the type of exploitation suffered (sexual or criminal exploitation, removal of organs, exploitation of begging, labour exploitation, etc.)</w:t>
      </w:r>
      <w:r w:rsidR="6CB07A5F" w:rsidRPr="00EA7262">
        <w:rPr>
          <w:rFonts w:asciiTheme="minorHAnsi" w:eastAsiaTheme="minorEastAsia" w:hAnsiTheme="minorHAnsi" w:cstheme="minorHAnsi"/>
          <w:sz w:val="22"/>
          <w:szCs w:val="22"/>
        </w:rPr>
        <w:t>.</w:t>
      </w:r>
    </w:p>
    <w:p w14:paraId="707A1402" w14:textId="77777777" w:rsidR="007C5F56" w:rsidRPr="00EA7262" w:rsidRDefault="007C5F56" w:rsidP="00EA7262">
      <w:pPr>
        <w:ind w:left="360"/>
        <w:jc w:val="both"/>
        <w:rPr>
          <w:rFonts w:asciiTheme="minorHAnsi" w:eastAsiaTheme="minorEastAsia" w:hAnsiTheme="minorHAnsi" w:cstheme="minorHAnsi"/>
          <w:sz w:val="22"/>
          <w:szCs w:val="22"/>
        </w:rPr>
      </w:pPr>
    </w:p>
    <w:p w14:paraId="165E8219" w14:textId="57807049" w:rsidR="007C5F56" w:rsidRPr="00EA7262" w:rsidRDefault="007C5F56"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The new paragraph states that "a victim of trafficking in human beings who takes part in offences as a direct consequence of their exploitation shall not be punished for those offences".</w:t>
      </w:r>
    </w:p>
    <w:p w14:paraId="42B1A5D0" w14:textId="77777777" w:rsidR="007C5F56" w:rsidRPr="00EA7262" w:rsidRDefault="007C5F56" w:rsidP="00EA7262">
      <w:pPr>
        <w:ind w:left="360"/>
        <w:jc w:val="both"/>
        <w:rPr>
          <w:rFonts w:asciiTheme="minorHAnsi" w:eastAsiaTheme="minorEastAsia" w:hAnsiTheme="minorHAnsi" w:cstheme="minorHAnsi"/>
          <w:sz w:val="22"/>
          <w:szCs w:val="22"/>
        </w:rPr>
      </w:pPr>
    </w:p>
    <w:p w14:paraId="5351F270" w14:textId="22557192" w:rsidR="04B7E69D" w:rsidRPr="00EA7262" w:rsidRDefault="00D75A28"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It is promising that</w:t>
      </w:r>
      <w:r w:rsidR="007C5F56" w:rsidRPr="00EA7262">
        <w:rPr>
          <w:rFonts w:asciiTheme="minorHAnsi" w:eastAsiaTheme="minorEastAsia" w:hAnsiTheme="minorHAnsi" w:cstheme="minorHAnsi"/>
          <w:sz w:val="22"/>
          <w:szCs w:val="22"/>
        </w:rPr>
        <w:t xml:space="preserve"> this principle has been enshrined in law</w:t>
      </w:r>
      <w:r w:rsidRPr="00EA7262">
        <w:rPr>
          <w:rFonts w:asciiTheme="minorHAnsi" w:eastAsiaTheme="minorEastAsia" w:hAnsiTheme="minorHAnsi" w:cstheme="minorHAnsi"/>
          <w:sz w:val="22"/>
          <w:szCs w:val="22"/>
        </w:rPr>
        <w:t xml:space="preserve"> to </w:t>
      </w:r>
      <w:r w:rsidR="007C5F56" w:rsidRPr="00EA7262">
        <w:rPr>
          <w:rFonts w:asciiTheme="minorHAnsi" w:eastAsiaTheme="minorEastAsia" w:hAnsiTheme="minorHAnsi" w:cstheme="minorHAnsi"/>
          <w:sz w:val="22"/>
          <w:szCs w:val="22"/>
        </w:rPr>
        <w:t>strengthen protection for victims. Nevertheless, this provision will hopefully only be applied when the prior safeguards relating to the principle of discretionary prosecution h</w:t>
      </w:r>
      <w:r w:rsidR="5DD43D35" w:rsidRPr="00EA7262">
        <w:rPr>
          <w:rFonts w:asciiTheme="minorHAnsi" w:eastAsiaTheme="minorEastAsia" w:hAnsiTheme="minorHAnsi" w:cstheme="minorHAnsi"/>
          <w:sz w:val="22"/>
          <w:szCs w:val="22"/>
        </w:rPr>
        <w:t xml:space="preserve">ave not </w:t>
      </w:r>
      <w:r w:rsidR="007C5F56" w:rsidRPr="00EA7262">
        <w:rPr>
          <w:rFonts w:asciiTheme="minorHAnsi" w:eastAsiaTheme="minorEastAsia" w:hAnsiTheme="minorHAnsi" w:cstheme="minorHAnsi"/>
          <w:sz w:val="22"/>
          <w:szCs w:val="22"/>
        </w:rPr>
        <w:t>worked. The joint circular of the College of Prosecutors General and the competent ministers on the investigation and prosecution of acts of trafficking (COL 2015) draws the attention of the prosecutors specialising in this area to this particular situation.</w:t>
      </w:r>
      <w:r w:rsidRPr="00EA7262">
        <w:rPr>
          <w:rFonts w:asciiTheme="minorHAnsi" w:eastAsiaTheme="minorEastAsia" w:hAnsiTheme="minorHAnsi" w:cstheme="minorHAnsi"/>
          <w:sz w:val="22"/>
          <w:szCs w:val="22"/>
        </w:rPr>
        <w:t xml:space="preserve"> Challenges </w:t>
      </w:r>
      <w:r w:rsidR="14E65D04" w:rsidRPr="00EA7262">
        <w:rPr>
          <w:rFonts w:asciiTheme="minorHAnsi" w:eastAsiaTheme="minorEastAsia" w:hAnsiTheme="minorHAnsi" w:cstheme="minorHAnsi"/>
          <w:sz w:val="22"/>
          <w:szCs w:val="22"/>
        </w:rPr>
        <w:t>identified</w:t>
      </w:r>
      <w:r w:rsidR="003F6A67" w:rsidRPr="00EA7262">
        <w:rPr>
          <w:rFonts w:asciiTheme="minorHAnsi" w:eastAsiaTheme="minorEastAsia" w:hAnsiTheme="minorHAnsi" w:cstheme="minorHAnsi"/>
          <w:sz w:val="22"/>
          <w:szCs w:val="22"/>
        </w:rPr>
        <w:t xml:space="preserve"> in</w:t>
      </w:r>
      <w:r w:rsidRPr="00EA7262">
        <w:rPr>
          <w:rFonts w:asciiTheme="minorHAnsi" w:eastAsiaTheme="minorEastAsia" w:hAnsiTheme="minorHAnsi" w:cstheme="minorHAnsi"/>
          <w:sz w:val="22"/>
          <w:szCs w:val="22"/>
        </w:rPr>
        <w:t xml:space="preserve"> implementing the non-punishment principle in practice are elaborated on below. </w:t>
      </w:r>
    </w:p>
    <w:p w14:paraId="258FBA3D" w14:textId="76457D1B" w:rsidR="007519B6" w:rsidRPr="00EA7262" w:rsidRDefault="007519B6" w:rsidP="00EA7262">
      <w:pPr>
        <w:pStyle w:val="NormalWeb"/>
        <w:numPr>
          <w:ilvl w:val="0"/>
          <w:numId w:val="11"/>
        </w:num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Legislation in England, Wales, Northern Ireland and Scotland that to some extent enshrine the international principle of non-punishment</w:t>
      </w:r>
      <w:r w:rsidRPr="00EA7262">
        <w:rPr>
          <w:rFonts w:asciiTheme="minorHAnsi" w:eastAsiaTheme="minorEastAsia" w:hAnsiTheme="minorHAnsi" w:cstheme="minorHAnsi"/>
          <w:b/>
          <w:bCs/>
          <w:position w:val="8"/>
          <w:sz w:val="22"/>
          <w:szCs w:val="22"/>
        </w:rPr>
        <w:t xml:space="preserve"> </w:t>
      </w:r>
      <w:r w:rsidR="00D9000E" w:rsidRPr="00EA7262">
        <w:rPr>
          <w:rStyle w:val="FootnoteReference"/>
          <w:rFonts w:asciiTheme="minorHAnsi" w:eastAsiaTheme="minorEastAsia" w:hAnsiTheme="minorHAnsi" w:cstheme="minorHAnsi"/>
          <w:b/>
          <w:bCs/>
          <w:position w:val="8"/>
          <w:sz w:val="22"/>
          <w:szCs w:val="22"/>
        </w:rPr>
        <w:footnoteReference w:id="1"/>
      </w:r>
    </w:p>
    <w:p w14:paraId="2312FB36" w14:textId="26993303" w:rsidR="007519B6" w:rsidRPr="00EA7262" w:rsidRDefault="7DF55831"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About half of referrals</w:t>
      </w:r>
      <w:r w:rsidR="007519B6" w:rsidRPr="00EA7262">
        <w:rPr>
          <w:rFonts w:asciiTheme="minorHAnsi" w:eastAsiaTheme="minorEastAsia" w:hAnsiTheme="minorHAnsi" w:cstheme="minorHAnsi"/>
          <w:sz w:val="22"/>
          <w:szCs w:val="22"/>
        </w:rPr>
        <w:t xml:space="preserve"> (49%) </w:t>
      </w:r>
      <w:r w:rsidR="1571BD45" w:rsidRPr="00EA7262">
        <w:rPr>
          <w:rFonts w:asciiTheme="minorHAnsi" w:eastAsiaTheme="minorEastAsia" w:hAnsiTheme="minorHAnsi" w:cstheme="minorHAnsi"/>
          <w:sz w:val="22"/>
          <w:szCs w:val="22"/>
        </w:rPr>
        <w:t>in the UK</w:t>
      </w:r>
      <w:r w:rsidR="007519B6" w:rsidRPr="00EA7262">
        <w:rPr>
          <w:rFonts w:asciiTheme="minorHAnsi" w:eastAsiaTheme="minorEastAsia" w:hAnsiTheme="minorHAnsi" w:cstheme="minorHAnsi"/>
          <w:sz w:val="22"/>
          <w:szCs w:val="22"/>
        </w:rPr>
        <w:t xml:space="preserve"> were for individuals claiming exploitation as adults, with the remainder claiming exploitation as </w:t>
      </w:r>
      <w:r w:rsidR="007519B6" w:rsidRPr="00EA7262">
        <w:rPr>
          <w:rFonts w:asciiTheme="minorHAnsi" w:eastAsiaTheme="minorEastAsia" w:hAnsiTheme="minorHAnsi" w:cstheme="minorHAnsi"/>
          <w:b/>
          <w:bCs/>
          <w:sz w:val="22"/>
          <w:szCs w:val="22"/>
        </w:rPr>
        <w:t>children (46%)</w:t>
      </w:r>
      <w:r w:rsidR="007519B6" w:rsidRPr="00EA7262">
        <w:rPr>
          <w:rFonts w:asciiTheme="minorHAnsi" w:eastAsiaTheme="minorEastAsia" w:hAnsiTheme="minorHAnsi" w:cstheme="minorHAnsi"/>
          <w:sz w:val="22"/>
          <w:szCs w:val="22"/>
        </w:rPr>
        <w:t xml:space="preserve"> or their age was unknown.</w:t>
      </w:r>
      <w:r w:rsidR="00D9000E" w:rsidRPr="00EA7262">
        <w:rPr>
          <w:rFonts w:asciiTheme="minorHAnsi" w:eastAsiaTheme="minorEastAsia" w:hAnsiTheme="minorHAnsi" w:cstheme="minorHAnsi"/>
          <w:sz w:val="22"/>
          <w:szCs w:val="22"/>
        </w:rPr>
        <w:t xml:space="preserve"> </w:t>
      </w:r>
      <w:r w:rsidR="007519B6" w:rsidRPr="00EA7262">
        <w:rPr>
          <w:rFonts w:asciiTheme="minorHAnsi" w:eastAsiaTheme="minorEastAsia" w:hAnsiTheme="minorHAnsi" w:cstheme="minorHAnsi"/>
          <w:sz w:val="22"/>
          <w:szCs w:val="22"/>
        </w:rPr>
        <w:t xml:space="preserve">For adult potential victims, labour exploitation was the most common exploitation type, whilst criminal exploitation was most commonly reported for </w:t>
      </w:r>
      <w:r w:rsidR="007519B6" w:rsidRPr="00EA7262">
        <w:rPr>
          <w:rFonts w:asciiTheme="minorHAnsi" w:eastAsiaTheme="minorEastAsia" w:hAnsiTheme="minorHAnsi" w:cstheme="minorHAnsi"/>
          <w:b/>
          <w:bCs/>
          <w:sz w:val="22"/>
          <w:szCs w:val="22"/>
        </w:rPr>
        <w:t>child potential victims at 55%.</w:t>
      </w:r>
      <w:r w:rsidR="1862243F" w:rsidRPr="00EA7262">
        <w:rPr>
          <w:rFonts w:asciiTheme="minorHAnsi" w:eastAsiaTheme="minorEastAsia" w:hAnsiTheme="minorHAnsi" w:cstheme="minorHAnsi"/>
          <w:b/>
          <w:bCs/>
          <w:sz w:val="22"/>
          <w:szCs w:val="22"/>
        </w:rPr>
        <w:t xml:space="preserve"> </w:t>
      </w:r>
      <w:r w:rsidR="007519B6" w:rsidRPr="00EA7262">
        <w:rPr>
          <w:rFonts w:asciiTheme="minorHAnsi" w:eastAsiaTheme="minorEastAsia" w:hAnsiTheme="minorHAnsi" w:cstheme="minorHAnsi"/>
          <w:sz w:val="22"/>
          <w:szCs w:val="22"/>
        </w:rPr>
        <w:t xml:space="preserve">For those exploited as children, an increase in the identification of </w:t>
      </w:r>
      <w:r w:rsidR="007519B6" w:rsidRPr="00EA7262">
        <w:rPr>
          <w:rFonts w:asciiTheme="minorHAnsi" w:eastAsiaTheme="minorEastAsia" w:hAnsiTheme="minorHAnsi" w:cstheme="minorHAnsi"/>
          <w:b/>
          <w:bCs/>
          <w:sz w:val="22"/>
          <w:szCs w:val="22"/>
        </w:rPr>
        <w:t>‘county lines’</w:t>
      </w:r>
      <w:r w:rsidR="007519B6" w:rsidRPr="00EA7262">
        <w:rPr>
          <w:rFonts w:asciiTheme="minorHAnsi" w:eastAsiaTheme="minorEastAsia" w:hAnsiTheme="minorHAnsi" w:cstheme="minorHAnsi"/>
          <w:sz w:val="22"/>
          <w:szCs w:val="22"/>
        </w:rPr>
        <w:t xml:space="preserve"> cases has driven criminal exploitation. County lines are used to describe drug gangs in large cities expanding their reach to small towns. Often, children are exploited to transport substances, and mobile phone ‘lines’ are used to communicate drug orders.</w:t>
      </w:r>
      <w:r w:rsidR="00D9000E" w:rsidRPr="00EA7262">
        <w:rPr>
          <w:rStyle w:val="FootnoteReference"/>
          <w:rFonts w:asciiTheme="minorHAnsi" w:eastAsiaTheme="minorEastAsia" w:hAnsiTheme="minorHAnsi" w:cstheme="minorHAnsi"/>
          <w:sz w:val="22"/>
          <w:szCs w:val="22"/>
        </w:rPr>
        <w:footnoteReference w:id="2"/>
      </w:r>
      <w:r w:rsidR="007519B6" w:rsidRPr="00EA7262">
        <w:rPr>
          <w:rFonts w:asciiTheme="minorHAnsi" w:eastAsiaTheme="minorEastAsia" w:hAnsiTheme="minorHAnsi" w:cstheme="minorHAnsi"/>
          <w:sz w:val="22"/>
          <w:szCs w:val="22"/>
        </w:rPr>
        <w:t xml:space="preserve"> </w:t>
      </w:r>
    </w:p>
    <w:p w14:paraId="120B4166" w14:textId="29EEB2EF" w:rsidR="3A06CAC6" w:rsidRDefault="3A06CAC6" w:rsidP="00EA7262">
      <w:pPr>
        <w:ind w:left="360"/>
        <w:jc w:val="both"/>
        <w:rPr>
          <w:rFonts w:asciiTheme="minorHAnsi" w:eastAsiaTheme="minorEastAsia" w:hAnsiTheme="minorHAnsi" w:cstheme="minorHAnsi"/>
          <w:b/>
          <w:bCs/>
          <w:sz w:val="22"/>
          <w:szCs w:val="22"/>
        </w:rPr>
      </w:pPr>
    </w:p>
    <w:p w14:paraId="4553412F" w14:textId="25F8710E" w:rsidR="00517531" w:rsidRDefault="00517531" w:rsidP="00EA7262">
      <w:pPr>
        <w:ind w:left="360"/>
        <w:jc w:val="both"/>
        <w:rPr>
          <w:rFonts w:asciiTheme="minorHAnsi" w:eastAsiaTheme="minorEastAsia" w:hAnsiTheme="minorHAnsi" w:cstheme="minorHAnsi"/>
          <w:b/>
          <w:bCs/>
          <w:sz w:val="22"/>
          <w:szCs w:val="22"/>
        </w:rPr>
      </w:pPr>
    </w:p>
    <w:p w14:paraId="4715FCC7" w14:textId="77777777" w:rsidR="00517531" w:rsidRPr="00EA7262" w:rsidRDefault="00517531" w:rsidP="00EA7262">
      <w:pPr>
        <w:ind w:left="360"/>
        <w:jc w:val="both"/>
        <w:rPr>
          <w:rFonts w:asciiTheme="minorHAnsi" w:eastAsiaTheme="minorEastAsia" w:hAnsiTheme="minorHAnsi" w:cstheme="minorHAnsi"/>
          <w:b/>
          <w:bCs/>
          <w:sz w:val="22"/>
          <w:szCs w:val="22"/>
        </w:rPr>
      </w:pPr>
    </w:p>
    <w:p w14:paraId="27749C68" w14:textId="318F3E34" w:rsidR="007519B6" w:rsidRPr="00EA7262" w:rsidRDefault="007519B6" w:rsidP="00EA7262">
      <w:p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lastRenderedPageBreak/>
        <w:t xml:space="preserve">Law and </w:t>
      </w:r>
      <w:r w:rsidR="00FC0662" w:rsidRPr="00EA7262">
        <w:rPr>
          <w:rFonts w:asciiTheme="minorHAnsi" w:eastAsiaTheme="minorEastAsia" w:hAnsiTheme="minorHAnsi" w:cstheme="minorHAnsi"/>
          <w:b/>
          <w:bCs/>
          <w:sz w:val="22"/>
          <w:szCs w:val="22"/>
        </w:rPr>
        <w:t>P</w:t>
      </w:r>
      <w:r w:rsidRPr="00EA7262">
        <w:rPr>
          <w:rFonts w:asciiTheme="minorHAnsi" w:eastAsiaTheme="minorEastAsia" w:hAnsiTheme="minorHAnsi" w:cstheme="minorHAnsi"/>
          <w:b/>
          <w:bCs/>
          <w:sz w:val="22"/>
          <w:szCs w:val="22"/>
        </w:rPr>
        <w:t>olicy</w:t>
      </w:r>
      <w:r w:rsidR="00517531">
        <w:rPr>
          <w:rStyle w:val="FootnoteReference"/>
          <w:rFonts w:asciiTheme="minorHAnsi" w:eastAsiaTheme="minorEastAsia" w:hAnsiTheme="minorHAnsi" w:cstheme="minorHAnsi"/>
          <w:b/>
          <w:bCs/>
          <w:sz w:val="22"/>
          <w:szCs w:val="22"/>
        </w:rPr>
        <w:footnoteReference w:id="3"/>
      </w:r>
    </w:p>
    <w:p w14:paraId="3FA11361" w14:textId="77777777" w:rsidR="007519B6" w:rsidRPr="00EA7262" w:rsidRDefault="007519B6" w:rsidP="00EA7262">
      <w:pPr>
        <w:ind w:left="360"/>
        <w:jc w:val="both"/>
        <w:rPr>
          <w:rFonts w:asciiTheme="minorHAnsi" w:eastAsiaTheme="minorEastAsia" w:hAnsiTheme="minorHAnsi" w:cstheme="minorHAnsi"/>
          <w:sz w:val="22"/>
          <w:szCs w:val="22"/>
        </w:rPr>
      </w:pPr>
    </w:p>
    <w:p w14:paraId="217142A9" w14:textId="77777777" w:rsidR="007519B6" w:rsidRPr="00EA7262" w:rsidRDefault="007519B6"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In 2015, new legislation was passed in England and Wales (the Modern Slavery Act), Northern Ireland (the Human Trafficking and Exploitation [Criminal Justice and Support for Victims] Act) and Scotland (the Human Trafficking and Exploitation Act) to address human trafficking and modern slavery.</w:t>
      </w:r>
    </w:p>
    <w:p w14:paraId="11171FBE" w14:textId="77777777" w:rsidR="007519B6" w:rsidRPr="00EA7262" w:rsidRDefault="007519B6" w:rsidP="00EA7262">
      <w:pPr>
        <w:ind w:left="360"/>
        <w:jc w:val="both"/>
        <w:rPr>
          <w:rFonts w:asciiTheme="minorHAnsi" w:eastAsiaTheme="minorEastAsia" w:hAnsiTheme="minorHAnsi" w:cstheme="minorHAnsi"/>
          <w:sz w:val="22"/>
          <w:szCs w:val="22"/>
        </w:rPr>
      </w:pPr>
    </w:p>
    <w:p w14:paraId="3F298767" w14:textId="77777777" w:rsidR="007519B6" w:rsidRPr="00EA7262" w:rsidRDefault="007519B6"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In England and Wales, Section 45 of the Modern Slavery Act introduces a statutory defence for victims of modern slavery. In relation to children, this provides that a child is not guilty of an offence if the child does that act as a direct consequence of having been a victim of slavery or relevant exploitation, and a reasonable person in the same situation as the child would act in the same way. Schedule 4 of the Act sets out a substantial list of offences to which the defence will not apply.</w:t>
      </w:r>
    </w:p>
    <w:p w14:paraId="373C49EB" w14:textId="77777777" w:rsidR="007519B6" w:rsidRPr="00EA7262" w:rsidRDefault="007519B6" w:rsidP="00EA7262">
      <w:pPr>
        <w:ind w:left="360"/>
        <w:jc w:val="both"/>
        <w:rPr>
          <w:rFonts w:asciiTheme="minorHAnsi" w:eastAsiaTheme="minorEastAsia" w:hAnsiTheme="minorHAnsi" w:cstheme="minorHAnsi"/>
          <w:sz w:val="22"/>
          <w:szCs w:val="22"/>
        </w:rPr>
      </w:pPr>
    </w:p>
    <w:p w14:paraId="1EEC8B7F" w14:textId="77777777" w:rsidR="007519B6" w:rsidRPr="00EA7262" w:rsidRDefault="007519B6"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The Human Trafficking and Exploitation (Criminal Justice and Support for Victims) Act in Northern Ireland also introduced a statutory defence in Section 22, but with no reasonableness test for children. This defence is limited in that it applies only to offences which attract a maximum sentence of less than five years, as well as a small number of additional specified offences which are particularly linked to trafficking and exploitation.</w:t>
      </w:r>
    </w:p>
    <w:p w14:paraId="73B059C8" w14:textId="77777777" w:rsidR="007519B6" w:rsidRPr="00EA7262" w:rsidRDefault="007519B6" w:rsidP="00EA7262">
      <w:pPr>
        <w:ind w:left="360"/>
        <w:jc w:val="both"/>
        <w:rPr>
          <w:rFonts w:asciiTheme="minorHAnsi" w:eastAsiaTheme="minorEastAsia" w:hAnsiTheme="minorHAnsi" w:cstheme="minorHAnsi"/>
          <w:sz w:val="22"/>
          <w:szCs w:val="22"/>
        </w:rPr>
      </w:pPr>
    </w:p>
    <w:p w14:paraId="4F7134E8" w14:textId="77777777" w:rsidR="007519B6" w:rsidRPr="00EA7262" w:rsidRDefault="007519B6"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In Scotland, there is no statutory defence in place.16 Instead, Section 8 of the Human Trafficking and Exploitation (Scotland) Act 2015 places a duty on the Lord Advocate to issue and publish Instructions about the prosecution of a person who is, or appears to be, the victim of an offence of human trafficking</w:t>
      </w:r>
    </w:p>
    <w:p w14:paraId="45078DCF" w14:textId="77777777" w:rsidR="007519B6" w:rsidRPr="00EA7262" w:rsidRDefault="007519B6" w:rsidP="00EA7262">
      <w:pPr>
        <w:ind w:left="360"/>
        <w:jc w:val="both"/>
        <w:rPr>
          <w:rFonts w:asciiTheme="minorHAnsi" w:eastAsiaTheme="minorEastAsia" w:hAnsiTheme="minorHAnsi" w:cstheme="minorHAnsi"/>
          <w:sz w:val="22"/>
          <w:szCs w:val="22"/>
        </w:rPr>
      </w:pPr>
    </w:p>
    <w:p w14:paraId="4DD81CC2" w14:textId="77777777" w:rsidR="007519B6" w:rsidRPr="00EA7262" w:rsidRDefault="007519B6"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Following the passage of the three Acts, all three prosecuting agencies across the UK – the Crown Prosecution Service (CPS – England and Wales), the Crown Office and Procurator Fiscal Service (COPFS – Scotland) and the Public Prosecution Service for Northern Ireland (PPSNI) – have produced revised guidance on non-prosecution (Lord Advocate’s Instructions in Scotland.</w:t>
      </w:r>
    </w:p>
    <w:p w14:paraId="76D42127" w14:textId="77777777" w:rsidR="007519B6" w:rsidRPr="00EA7262" w:rsidRDefault="007519B6" w:rsidP="00EA7262">
      <w:pPr>
        <w:ind w:left="360"/>
        <w:jc w:val="both"/>
        <w:rPr>
          <w:rFonts w:asciiTheme="minorHAnsi" w:eastAsiaTheme="minorEastAsia" w:hAnsiTheme="minorHAnsi" w:cstheme="minorHAnsi"/>
          <w:sz w:val="22"/>
          <w:szCs w:val="22"/>
        </w:rPr>
      </w:pPr>
    </w:p>
    <w:p w14:paraId="604A553B" w14:textId="52342F2C" w:rsidR="007C5F56" w:rsidRPr="00EA7262" w:rsidRDefault="007C5F56" w:rsidP="00EA7262">
      <w:p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Practice and Implementation of the non-punishment principle</w:t>
      </w:r>
    </w:p>
    <w:p w14:paraId="1EB4B20B" w14:textId="77777777" w:rsidR="007C5F56" w:rsidRPr="00EA7262" w:rsidRDefault="007C5F56" w:rsidP="00EA7262">
      <w:pPr>
        <w:ind w:left="360"/>
        <w:jc w:val="both"/>
        <w:rPr>
          <w:rFonts w:asciiTheme="minorHAnsi" w:eastAsiaTheme="minorEastAsia" w:hAnsiTheme="minorHAnsi" w:cstheme="minorHAnsi"/>
          <w:sz w:val="22"/>
          <w:szCs w:val="22"/>
        </w:rPr>
      </w:pPr>
    </w:p>
    <w:p w14:paraId="3AC8DC8D" w14:textId="43720994" w:rsidR="007C5F56" w:rsidRPr="00EA7262" w:rsidRDefault="007C5F56"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 xml:space="preserve">The lack of quantitative data means it is difficult to assess the exact scale and impact of the statutory defence and implementation in practice. Whereas, section 45 of the Act is silent in respect </w:t>
      </w:r>
      <w:r w:rsidR="263A5938" w:rsidRPr="00EA7262">
        <w:rPr>
          <w:rFonts w:asciiTheme="minorHAnsi" w:eastAsiaTheme="minorEastAsia" w:hAnsiTheme="minorHAnsi" w:cstheme="minorHAnsi"/>
          <w:sz w:val="22"/>
          <w:szCs w:val="22"/>
        </w:rPr>
        <w:t xml:space="preserve">to </w:t>
      </w:r>
      <w:r w:rsidRPr="00EA7262">
        <w:rPr>
          <w:rFonts w:asciiTheme="minorHAnsi" w:eastAsiaTheme="minorEastAsia" w:hAnsiTheme="minorHAnsi" w:cstheme="minorHAnsi"/>
          <w:sz w:val="22"/>
          <w:szCs w:val="22"/>
        </w:rPr>
        <w:t>the burden of proof required to establish the defence, the ruling in R v MK [2018] clarified that the burden of proof is on the prosecution to prove that an individual is not a victim of modern slavery once the defence is raised by that individual.</w:t>
      </w:r>
      <w:r w:rsidR="002E35FC" w:rsidRPr="00EA7262">
        <w:rPr>
          <w:rFonts w:asciiTheme="minorHAnsi" w:eastAsiaTheme="minorEastAsia" w:hAnsiTheme="minorHAnsi" w:cstheme="minorHAnsi"/>
          <w:sz w:val="22"/>
          <w:szCs w:val="22"/>
        </w:rPr>
        <w:t xml:space="preserve"> </w:t>
      </w:r>
      <w:r w:rsidRPr="00EA7262">
        <w:rPr>
          <w:rFonts w:asciiTheme="minorHAnsi" w:eastAsiaTheme="minorEastAsia" w:hAnsiTheme="minorHAnsi" w:cstheme="minorHAnsi"/>
          <w:sz w:val="22"/>
          <w:szCs w:val="22"/>
        </w:rPr>
        <w:t xml:space="preserve">A qualitative research was conducted in 2020, commissioned by the Independent Anti-Slavery Commissioner (IASC) and it found that, </w:t>
      </w:r>
    </w:p>
    <w:p w14:paraId="16689265" w14:textId="77777777" w:rsidR="007C5F56" w:rsidRPr="00EA7262" w:rsidRDefault="007C5F56" w:rsidP="00EA7262">
      <w:pPr>
        <w:ind w:left="360"/>
        <w:jc w:val="both"/>
        <w:rPr>
          <w:rFonts w:asciiTheme="minorHAnsi" w:eastAsiaTheme="minorEastAsia" w:hAnsiTheme="minorHAnsi" w:cstheme="minorHAnsi"/>
          <w:sz w:val="22"/>
          <w:szCs w:val="22"/>
        </w:rPr>
      </w:pPr>
    </w:p>
    <w:p w14:paraId="42DA2E8C" w14:textId="21C60D20" w:rsidR="007C5F56" w:rsidRPr="00EA7262" w:rsidRDefault="007C5F56" w:rsidP="00EA7262">
      <w:pPr>
        <w:jc w:val="both"/>
        <w:rPr>
          <w:rFonts w:asciiTheme="minorHAnsi" w:eastAsiaTheme="minorEastAsia" w:hAnsiTheme="minorHAnsi" w:cstheme="minorHAnsi"/>
          <w:i/>
          <w:iCs/>
          <w:sz w:val="22"/>
          <w:szCs w:val="22"/>
        </w:rPr>
      </w:pPr>
      <w:r w:rsidRPr="00EA7262">
        <w:rPr>
          <w:rFonts w:asciiTheme="minorHAnsi" w:eastAsiaTheme="minorEastAsia" w:hAnsiTheme="minorHAnsi" w:cstheme="minorHAnsi"/>
          <w:i/>
          <w:iCs/>
          <w:sz w:val="22"/>
          <w:szCs w:val="22"/>
        </w:rPr>
        <w:t>“The majority of submissions from the police related to examples where the person raised the statutory defence or was recognised as a victim after charge but before trial, or the defence was raised at trial. The evidence illustrates that in many cases police are not proactively anticipating the statutory defence at the beginning of an investigation or spotting victims of trafficking early enough. The researchers did receive evidence where trafficking or the defence was proactively recognised early, investigated and dealt with appropriately. It was reassuring to see examples where the police encountered a person who has committed a crime, but before arrest or charge have recognised them as a victim of trafficking and investigations against those responsible for their exploitation have commenced. This ought to be happening more often.</w:t>
      </w:r>
    </w:p>
    <w:p w14:paraId="4738783A" w14:textId="77777777" w:rsidR="007C5F56" w:rsidRPr="00EA7262" w:rsidRDefault="007C5F56" w:rsidP="00EA7262">
      <w:pPr>
        <w:jc w:val="both"/>
        <w:rPr>
          <w:rFonts w:asciiTheme="minorHAnsi" w:eastAsiaTheme="minorEastAsia" w:hAnsiTheme="minorHAnsi" w:cstheme="minorHAnsi"/>
          <w:i/>
          <w:iCs/>
          <w:sz w:val="22"/>
          <w:szCs w:val="22"/>
        </w:rPr>
      </w:pPr>
    </w:p>
    <w:p w14:paraId="5C691F9C" w14:textId="77777777" w:rsidR="007C5F56" w:rsidRPr="00EA7262" w:rsidRDefault="007C5F56" w:rsidP="00EA7262">
      <w:pPr>
        <w:jc w:val="both"/>
        <w:rPr>
          <w:rFonts w:asciiTheme="minorHAnsi" w:eastAsiaTheme="minorEastAsia" w:hAnsiTheme="minorHAnsi" w:cstheme="minorHAnsi"/>
          <w:i/>
          <w:iCs/>
          <w:sz w:val="22"/>
          <w:szCs w:val="22"/>
        </w:rPr>
      </w:pPr>
      <w:r w:rsidRPr="00EA7262">
        <w:rPr>
          <w:rFonts w:asciiTheme="minorHAnsi" w:eastAsiaTheme="minorEastAsia" w:hAnsiTheme="minorHAnsi" w:cstheme="minorHAnsi"/>
          <w:i/>
          <w:iCs/>
          <w:sz w:val="22"/>
          <w:szCs w:val="22"/>
        </w:rPr>
        <w:t xml:space="preserve">There was little evidence of cases where the statutory defence has been raised and the prosecution has continued. The Crown Prosecution Service suggested in their submission that the requirement for </w:t>
      </w:r>
      <w:r w:rsidRPr="00EA7262">
        <w:rPr>
          <w:rFonts w:asciiTheme="minorHAnsi" w:eastAsiaTheme="minorEastAsia" w:hAnsiTheme="minorHAnsi" w:cstheme="minorHAnsi"/>
          <w:i/>
          <w:iCs/>
          <w:sz w:val="22"/>
          <w:szCs w:val="22"/>
        </w:rPr>
        <w:lastRenderedPageBreak/>
        <w:t>the prosecution to disprove the defence beyond reasonable doubt is resulting in many cases being dropped.”</w:t>
      </w:r>
    </w:p>
    <w:p w14:paraId="47EE9C02" w14:textId="77777777" w:rsidR="007C5F56" w:rsidRPr="00EA7262" w:rsidRDefault="007C5F56" w:rsidP="00EA7262">
      <w:pPr>
        <w:ind w:left="360"/>
        <w:jc w:val="both"/>
        <w:rPr>
          <w:rFonts w:asciiTheme="minorHAnsi" w:eastAsiaTheme="minorEastAsia" w:hAnsiTheme="minorHAnsi" w:cstheme="minorHAnsi"/>
          <w:sz w:val="22"/>
          <w:szCs w:val="22"/>
        </w:rPr>
      </w:pPr>
    </w:p>
    <w:p w14:paraId="27E3C7A1" w14:textId="72152211" w:rsidR="007C5F56" w:rsidRPr="00EA7262" w:rsidRDefault="0B2A655E" w:rsidP="00EA7262">
      <w:pPr>
        <w:jc w:val="both"/>
        <w:rPr>
          <w:rFonts w:asciiTheme="minorHAnsi" w:eastAsiaTheme="minorEastAsia" w:hAnsiTheme="minorHAnsi" w:cstheme="minorHAnsi"/>
          <w:color w:val="000000"/>
          <w:sz w:val="22"/>
          <w:szCs w:val="22"/>
        </w:rPr>
      </w:pPr>
      <w:r w:rsidRPr="00EA7262">
        <w:rPr>
          <w:rFonts w:asciiTheme="minorHAnsi" w:eastAsiaTheme="minorEastAsia" w:hAnsiTheme="minorHAnsi" w:cstheme="minorHAnsi"/>
          <w:sz w:val="22"/>
          <w:szCs w:val="22"/>
        </w:rPr>
        <w:t>Based on</w:t>
      </w:r>
      <w:r w:rsidR="007C5F56" w:rsidRPr="00EA7262">
        <w:rPr>
          <w:rFonts w:asciiTheme="minorHAnsi" w:eastAsiaTheme="minorEastAsia" w:hAnsiTheme="minorHAnsi" w:cstheme="minorHAnsi"/>
          <w:sz w:val="22"/>
          <w:szCs w:val="22"/>
        </w:rPr>
        <w:t xml:space="preserve"> this research, the IASC identified the following concerns regarding implementation of s. 45:</w:t>
      </w:r>
      <w:r w:rsidR="007C5F56" w:rsidRPr="00EA7262">
        <w:rPr>
          <w:rFonts w:asciiTheme="minorHAnsi" w:eastAsiaTheme="minorEastAsia" w:hAnsiTheme="minorHAnsi" w:cstheme="minorHAnsi"/>
          <w:color w:val="000000" w:themeColor="text1"/>
          <w:sz w:val="22"/>
          <w:szCs w:val="22"/>
        </w:rPr>
        <w:t xml:space="preserve"> </w:t>
      </w:r>
    </w:p>
    <w:p w14:paraId="2351E860" w14:textId="77777777" w:rsidR="007C5F56" w:rsidRPr="00EA7262" w:rsidRDefault="007C5F56" w:rsidP="00EA7262">
      <w:pPr>
        <w:ind w:left="360"/>
        <w:jc w:val="both"/>
        <w:rPr>
          <w:rFonts w:asciiTheme="minorHAnsi" w:eastAsiaTheme="minorEastAsia" w:hAnsiTheme="minorHAnsi" w:cstheme="minorHAnsi"/>
          <w:sz w:val="22"/>
          <w:szCs w:val="22"/>
        </w:rPr>
      </w:pPr>
    </w:p>
    <w:p w14:paraId="686E293A" w14:textId="6B126903" w:rsidR="007C5F56" w:rsidRPr="00EA7262" w:rsidRDefault="007C5F56" w:rsidP="00EA7262">
      <w:pPr>
        <w:pStyle w:val="ListParagraph"/>
        <w:numPr>
          <w:ilvl w:val="0"/>
          <w:numId w:val="10"/>
        </w:numPr>
        <w:autoSpaceDE w:val="0"/>
        <w:autoSpaceDN w:val="0"/>
        <w:spacing w:after="30"/>
        <w:ind w:left="1080"/>
        <w:jc w:val="both"/>
        <w:rPr>
          <w:rFonts w:asciiTheme="minorHAnsi" w:eastAsiaTheme="minorEastAsia" w:hAnsiTheme="minorHAnsi" w:cstheme="minorHAnsi"/>
          <w:color w:val="000000"/>
          <w:sz w:val="22"/>
          <w:szCs w:val="22"/>
        </w:rPr>
      </w:pPr>
      <w:r w:rsidRPr="00EA7262">
        <w:rPr>
          <w:rFonts w:asciiTheme="minorHAnsi" w:eastAsiaTheme="minorEastAsia" w:hAnsiTheme="minorHAnsi" w:cstheme="minorHAnsi"/>
          <w:color w:val="000000" w:themeColor="text1"/>
          <w:sz w:val="22"/>
          <w:szCs w:val="22"/>
        </w:rPr>
        <w:t xml:space="preserve">Police are not consistently considering from the outset of an investigation whether a suspect could be a victim of trafficking and whether the statutory defence may apply; </w:t>
      </w:r>
    </w:p>
    <w:p w14:paraId="653089AF" w14:textId="72E16100" w:rsidR="007C5F56" w:rsidRPr="00EA7262" w:rsidRDefault="007C5F56" w:rsidP="00EA7262">
      <w:pPr>
        <w:pStyle w:val="ListParagraph"/>
        <w:numPr>
          <w:ilvl w:val="0"/>
          <w:numId w:val="10"/>
        </w:numPr>
        <w:autoSpaceDE w:val="0"/>
        <w:autoSpaceDN w:val="0"/>
        <w:spacing w:after="30"/>
        <w:ind w:left="1080"/>
        <w:jc w:val="both"/>
        <w:rPr>
          <w:rFonts w:asciiTheme="minorHAnsi" w:eastAsiaTheme="minorEastAsia" w:hAnsiTheme="minorHAnsi" w:cstheme="minorHAnsi"/>
          <w:color w:val="000000"/>
          <w:sz w:val="22"/>
          <w:szCs w:val="22"/>
        </w:rPr>
      </w:pPr>
      <w:r w:rsidRPr="00EA7262">
        <w:rPr>
          <w:rFonts w:asciiTheme="minorHAnsi" w:eastAsiaTheme="minorEastAsia" w:hAnsiTheme="minorHAnsi" w:cstheme="minorHAnsi"/>
          <w:color w:val="000000" w:themeColor="text1"/>
          <w:sz w:val="22"/>
          <w:szCs w:val="22"/>
        </w:rPr>
        <w:t xml:space="preserve">Discontinuation of investigations and prosecutions as soon as the defence is raised; </w:t>
      </w:r>
    </w:p>
    <w:p w14:paraId="121EE2D5" w14:textId="497551B2" w:rsidR="007C5F56" w:rsidRPr="00EA7262" w:rsidRDefault="007C5F56" w:rsidP="00EA7262">
      <w:pPr>
        <w:pStyle w:val="ListParagraph"/>
        <w:numPr>
          <w:ilvl w:val="0"/>
          <w:numId w:val="10"/>
        </w:numPr>
        <w:autoSpaceDE w:val="0"/>
        <w:autoSpaceDN w:val="0"/>
        <w:spacing w:after="30"/>
        <w:ind w:left="1080"/>
        <w:jc w:val="both"/>
        <w:rPr>
          <w:rFonts w:asciiTheme="minorHAnsi" w:eastAsiaTheme="minorEastAsia" w:hAnsiTheme="minorHAnsi" w:cstheme="minorHAnsi"/>
          <w:color w:val="000000"/>
          <w:sz w:val="22"/>
          <w:szCs w:val="22"/>
        </w:rPr>
      </w:pPr>
      <w:r w:rsidRPr="00EA7262">
        <w:rPr>
          <w:rFonts w:asciiTheme="minorHAnsi" w:eastAsiaTheme="minorEastAsia" w:hAnsiTheme="minorHAnsi" w:cstheme="minorHAnsi"/>
          <w:color w:val="000000" w:themeColor="text1"/>
          <w:sz w:val="22"/>
          <w:szCs w:val="22"/>
        </w:rPr>
        <w:t xml:space="preserve">Over-reliance throughout the criminal justice system on the decision making of the Single Competent Authority in the National Referral Mechanism; </w:t>
      </w:r>
    </w:p>
    <w:p w14:paraId="45F0BA34" w14:textId="22840B44" w:rsidR="007C5F56" w:rsidRPr="00EA7262" w:rsidRDefault="007C5F56" w:rsidP="00EA7262">
      <w:pPr>
        <w:pStyle w:val="ListParagraph"/>
        <w:numPr>
          <w:ilvl w:val="0"/>
          <w:numId w:val="10"/>
        </w:numPr>
        <w:autoSpaceDE w:val="0"/>
        <w:autoSpaceDN w:val="0"/>
        <w:ind w:left="1080"/>
        <w:jc w:val="both"/>
        <w:rPr>
          <w:rFonts w:asciiTheme="minorHAnsi" w:eastAsiaTheme="minorEastAsia" w:hAnsiTheme="minorHAnsi" w:cstheme="minorHAnsi"/>
          <w:color w:val="000000"/>
          <w:sz w:val="22"/>
          <w:szCs w:val="22"/>
        </w:rPr>
      </w:pPr>
      <w:r w:rsidRPr="00EA7262">
        <w:rPr>
          <w:rFonts w:asciiTheme="minorHAnsi" w:eastAsiaTheme="minorEastAsia" w:hAnsiTheme="minorHAnsi" w:cstheme="minorHAnsi"/>
          <w:color w:val="000000" w:themeColor="text1"/>
          <w:sz w:val="22"/>
          <w:szCs w:val="22"/>
        </w:rPr>
        <w:t xml:space="preserve">The statutory defence being raised late in the criminal justice process. </w:t>
      </w:r>
    </w:p>
    <w:p w14:paraId="23AB6F6E" w14:textId="02354D0A" w:rsidR="3A06CAC6" w:rsidRPr="00EA7262" w:rsidRDefault="3A06CAC6" w:rsidP="00EA7262">
      <w:pPr>
        <w:jc w:val="both"/>
        <w:rPr>
          <w:rFonts w:asciiTheme="minorHAnsi" w:eastAsiaTheme="minorEastAsia" w:hAnsiTheme="minorHAnsi" w:cstheme="minorHAnsi"/>
          <w:color w:val="000000" w:themeColor="text1"/>
          <w:sz w:val="22"/>
          <w:szCs w:val="22"/>
        </w:rPr>
      </w:pPr>
    </w:p>
    <w:p w14:paraId="4E523075" w14:textId="40053C67" w:rsidR="003F6A67" w:rsidRPr="00EA7262" w:rsidRDefault="007C5F56" w:rsidP="00EA7262">
      <w:pPr>
        <w:jc w:val="both"/>
        <w:rPr>
          <w:rFonts w:asciiTheme="minorHAnsi" w:eastAsiaTheme="minorEastAsia" w:hAnsiTheme="minorHAnsi" w:cstheme="minorHAnsi"/>
          <w:color w:val="000000" w:themeColor="text1"/>
          <w:sz w:val="22"/>
          <w:szCs w:val="22"/>
        </w:rPr>
      </w:pPr>
      <w:r w:rsidRPr="00EA7262">
        <w:rPr>
          <w:rFonts w:asciiTheme="minorHAnsi" w:eastAsiaTheme="minorEastAsia" w:hAnsiTheme="minorHAnsi" w:cstheme="minorHAnsi"/>
          <w:color w:val="000000" w:themeColor="text1"/>
          <w:sz w:val="22"/>
          <w:szCs w:val="22"/>
        </w:rPr>
        <w:t>These concerns are leading to abuse of the statutory defence; victims for whom the statutory defence was intended are not benefitting from it; Inadequate child protection interventions following National Referral Mechanism (NRM) referrals triggered by the statutory defence</w:t>
      </w:r>
      <w:r w:rsidR="3A46BD78" w:rsidRPr="00EA7262">
        <w:rPr>
          <w:rFonts w:asciiTheme="minorHAnsi" w:eastAsiaTheme="minorEastAsia" w:hAnsiTheme="minorHAnsi" w:cstheme="minorHAnsi"/>
          <w:color w:val="000000" w:themeColor="text1"/>
          <w:sz w:val="22"/>
          <w:szCs w:val="22"/>
        </w:rPr>
        <w:t>.</w:t>
      </w:r>
    </w:p>
    <w:p w14:paraId="28D07EE6" w14:textId="0EEFBB0B" w:rsidR="004A09BA" w:rsidRPr="00EA7262" w:rsidRDefault="002E35FC" w:rsidP="00EA7262">
      <w:pPr>
        <w:pStyle w:val="Heading1"/>
        <w:jc w:val="both"/>
        <w:rPr>
          <w:rFonts w:asciiTheme="minorHAnsi" w:eastAsiaTheme="minorEastAsia" w:hAnsiTheme="minorHAnsi" w:cstheme="minorHAnsi"/>
          <w:b/>
          <w:bCs/>
          <w:sz w:val="22"/>
          <w:szCs w:val="22"/>
          <w:u w:val="single"/>
        </w:rPr>
      </w:pPr>
      <w:r w:rsidRPr="00EA7262">
        <w:rPr>
          <w:rFonts w:asciiTheme="minorHAnsi" w:eastAsiaTheme="minorEastAsia" w:hAnsiTheme="minorHAnsi" w:cstheme="minorHAnsi"/>
          <w:b/>
          <w:bCs/>
          <w:sz w:val="22"/>
          <w:szCs w:val="22"/>
          <w:u w:val="single"/>
        </w:rPr>
        <w:t xml:space="preserve">Section 2- </w:t>
      </w:r>
      <w:r w:rsidR="004A09BA" w:rsidRPr="00EA7262">
        <w:rPr>
          <w:rFonts w:asciiTheme="minorHAnsi" w:eastAsiaTheme="minorEastAsia" w:hAnsiTheme="minorHAnsi" w:cstheme="minorHAnsi"/>
          <w:b/>
          <w:bCs/>
          <w:sz w:val="22"/>
          <w:szCs w:val="22"/>
          <w:u w:val="single"/>
        </w:rPr>
        <w:t xml:space="preserve">Child-specific </w:t>
      </w:r>
      <w:r w:rsidRPr="00EA7262">
        <w:rPr>
          <w:rFonts w:asciiTheme="minorHAnsi" w:eastAsiaTheme="minorEastAsia" w:hAnsiTheme="minorHAnsi" w:cstheme="minorHAnsi"/>
          <w:b/>
          <w:bCs/>
          <w:sz w:val="22"/>
          <w:szCs w:val="22"/>
          <w:u w:val="single"/>
        </w:rPr>
        <w:t>C</w:t>
      </w:r>
      <w:r w:rsidR="004A09BA" w:rsidRPr="00EA7262">
        <w:rPr>
          <w:rFonts w:asciiTheme="minorHAnsi" w:eastAsiaTheme="minorEastAsia" w:hAnsiTheme="minorHAnsi" w:cstheme="minorHAnsi"/>
          <w:b/>
          <w:bCs/>
          <w:sz w:val="22"/>
          <w:szCs w:val="22"/>
          <w:u w:val="single"/>
        </w:rPr>
        <w:t xml:space="preserve">oncerns around the </w:t>
      </w:r>
      <w:r w:rsidRPr="00EA7262">
        <w:rPr>
          <w:rFonts w:asciiTheme="minorHAnsi" w:eastAsiaTheme="minorEastAsia" w:hAnsiTheme="minorHAnsi" w:cstheme="minorHAnsi"/>
          <w:b/>
          <w:bCs/>
          <w:sz w:val="22"/>
          <w:szCs w:val="22"/>
          <w:u w:val="single"/>
        </w:rPr>
        <w:t>I</w:t>
      </w:r>
      <w:r w:rsidR="004A09BA" w:rsidRPr="00EA7262">
        <w:rPr>
          <w:rFonts w:asciiTheme="minorHAnsi" w:eastAsiaTheme="minorEastAsia" w:hAnsiTheme="minorHAnsi" w:cstheme="minorHAnsi"/>
          <w:b/>
          <w:bCs/>
          <w:sz w:val="22"/>
          <w:szCs w:val="22"/>
          <w:u w:val="single"/>
        </w:rPr>
        <w:t xml:space="preserve">mplementation of the </w:t>
      </w:r>
      <w:r w:rsidRPr="00EA7262">
        <w:rPr>
          <w:rFonts w:asciiTheme="minorHAnsi" w:eastAsiaTheme="minorEastAsia" w:hAnsiTheme="minorHAnsi" w:cstheme="minorHAnsi"/>
          <w:b/>
          <w:bCs/>
          <w:sz w:val="22"/>
          <w:szCs w:val="22"/>
          <w:u w:val="single"/>
        </w:rPr>
        <w:t>N</w:t>
      </w:r>
      <w:r w:rsidR="004A09BA" w:rsidRPr="00EA7262">
        <w:rPr>
          <w:rFonts w:asciiTheme="minorHAnsi" w:eastAsiaTheme="minorEastAsia" w:hAnsiTheme="minorHAnsi" w:cstheme="minorHAnsi"/>
          <w:b/>
          <w:bCs/>
          <w:sz w:val="22"/>
          <w:szCs w:val="22"/>
          <w:u w:val="single"/>
        </w:rPr>
        <w:t>on-</w:t>
      </w:r>
      <w:r w:rsidRPr="00EA7262">
        <w:rPr>
          <w:rFonts w:asciiTheme="minorHAnsi" w:eastAsiaTheme="minorEastAsia" w:hAnsiTheme="minorHAnsi" w:cstheme="minorHAnsi"/>
          <w:b/>
          <w:bCs/>
          <w:sz w:val="22"/>
          <w:szCs w:val="22"/>
          <w:u w:val="single"/>
        </w:rPr>
        <w:t>p</w:t>
      </w:r>
      <w:r w:rsidR="004A09BA" w:rsidRPr="00EA7262">
        <w:rPr>
          <w:rFonts w:asciiTheme="minorHAnsi" w:eastAsiaTheme="minorEastAsia" w:hAnsiTheme="minorHAnsi" w:cstheme="minorHAnsi"/>
          <w:b/>
          <w:bCs/>
          <w:sz w:val="22"/>
          <w:szCs w:val="22"/>
          <w:u w:val="single"/>
        </w:rPr>
        <w:t xml:space="preserve">unishment </w:t>
      </w:r>
      <w:r w:rsidRPr="00EA7262">
        <w:rPr>
          <w:rFonts w:asciiTheme="minorHAnsi" w:eastAsiaTheme="minorEastAsia" w:hAnsiTheme="minorHAnsi" w:cstheme="minorHAnsi"/>
          <w:b/>
          <w:bCs/>
          <w:sz w:val="22"/>
          <w:szCs w:val="22"/>
          <w:u w:val="single"/>
        </w:rPr>
        <w:t>P</w:t>
      </w:r>
      <w:r w:rsidR="004A09BA" w:rsidRPr="00EA7262">
        <w:rPr>
          <w:rFonts w:asciiTheme="minorHAnsi" w:eastAsiaTheme="minorEastAsia" w:hAnsiTheme="minorHAnsi" w:cstheme="minorHAnsi"/>
          <w:b/>
          <w:bCs/>
          <w:sz w:val="22"/>
          <w:szCs w:val="22"/>
          <w:u w:val="single"/>
        </w:rPr>
        <w:t>rinciple</w:t>
      </w:r>
    </w:p>
    <w:p w14:paraId="11D16305" w14:textId="3368E96A" w:rsidR="004A09BA" w:rsidRPr="00EA7262" w:rsidRDefault="004A09BA" w:rsidP="00EA7262">
      <w:pPr>
        <w:jc w:val="both"/>
        <w:rPr>
          <w:rFonts w:asciiTheme="minorHAnsi" w:eastAsiaTheme="minorEastAsia" w:hAnsiTheme="minorHAnsi" w:cstheme="minorHAnsi"/>
          <w:b/>
          <w:bCs/>
          <w:sz w:val="22"/>
          <w:szCs w:val="22"/>
          <w:u w:val="single"/>
        </w:rPr>
      </w:pPr>
    </w:p>
    <w:p w14:paraId="0C242C79" w14:textId="6D31912D" w:rsidR="00D22B76" w:rsidRPr="00EA7262" w:rsidRDefault="00410510"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 xml:space="preserve">Despite the </w:t>
      </w:r>
      <w:r w:rsidR="00E06A05" w:rsidRPr="00EA7262">
        <w:rPr>
          <w:rFonts w:asciiTheme="minorHAnsi" w:eastAsiaTheme="minorEastAsia" w:hAnsiTheme="minorHAnsi" w:cstheme="minorHAnsi"/>
          <w:sz w:val="22"/>
          <w:szCs w:val="22"/>
        </w:rPr>
        <w:t>str</w:t>
      </w:r>
      <w:r w:rsidR="00D9000E" w:rsidRPr="00EA7262">
        <w:rPr>
          <w:rFonts w:asciiTheme="minorHAnsi" w:eastAsiaTheme="minorEastAsia" w:hAnsiTheme="minorHAnsi" w:cstheme="minorHAnsi"/>
          <w:sz w:val="22"/>
          <w:szCs w:val="22"/>
        </w:rPr>
        <w:t>o</w:t>
      </w:r>
      <w:r w:rsidR="00E06A05" w:rsidRPr="00EA7262">
        <w:rPr>
          <w:rFonts w:asciiTheme="minorHAnsi" w:eastAsiaTheme="minorEastAsia" w:hAnsiTheme="minorHAnsi" w:cstheme="minorHAnsi"/>
          <w:sz w:val="22"/>
          <w:szCs w:val="22"/>
        </w:rPr>
        <w:t xml:space="preserve">ng </w:t>
      </w:r>
      <w:r w:rsidRPr="00EA7262">
        <w:rPr>
          <w:rFonts w:asciiTheme="minorHAnsi" w:eastAsiaTheme="minorEastAsia" w:hAnsiTheme="minorHAnsi" w:cstheme="minorHAnsi"/>
          <w:sz w:val="22"/>
          <w:szCs w:val="22"/>
        </w:rPr>
        <w:t xml:space="preserve">recognition that children are vulnerable to trafficking by virtue of their age and </w:t>
      </w:r>
      <w:r w:rsidRPr="00EA7262">
        <w:rPr>
          <w:rFonts w:asciiTheme="minorHAnsi" w:eastAsiaTheme="minorEastAsia" w:hAnsiTheme="minorHAnsi" w:cstheme="minorHAnsi"/>
          <w:b/>
          <w:bCs/>
          <w:sz w:val="22"/>
          <w:szCs w:val="22"/>
        </w:rPr>
        <w:t>must</w:t>
      </w:r>
      <w:r w:rsidRPr="00EA7262">
        <w:rPr>
          <w:rFonts w:asciiTheme="minorHAnsi" w:eastAsiaTheme="minorEastAsia" w:hAnsiTheme="minorHAnsi" w:cstheme="minorHAnsi"/>
          <w:sz w:val="22"/>
          <w:szCs w:val="22"/>
        </w:rPr>
        <w:t xml:space="preserve"> be protected from punishment by the state </w:t>
      </w:r>
      <w:r w:rsidR="00D9000E" w:rsidRPr="00EA7262">
        <w:rPr>
          <w:rFonts w:asciiTheme="minorHAnsi" w:eastAsiaTheme="minorEastAsia" w:hAnsiTheme="minorHAnsi" w:cstheme="minorHAnsi"/>
          <w:sz w:val="22"/>
          <w:szCs w:val="22"/>
        </w:rPr>
        <w:t>when</w:t>
      </w:r>
      <w:r w:rsidRPr="00EA7262">
        <w:rPr>
          <w:rFonts w:asciiTheme="minorHAnsi" w:eastAsiaTheme="minorEastAsia" w:hAnsiTheme="minorHAnsi" w:cstheme="minorHAnsi"/>
          <w:sz w:val="22"/>
          <w:szCs w:val="22"/>
        </w:rPr>
        <w:t xml:space="preserve"> their</w:t>
      </w:r>
      <w:r w:rsidR="00D9000E" w:rsidRPr="00EA7262">
        <w:rPr>
          <w:rFonts w:asciiTheme="minorHAnsi" w:eastAsiaTheme="minorEastAsia" w:hAnsiTheme="minorHAnsi" w:cstheme="minorHAnsi"/>
          <w:sz w:val="22"/>
          <w:szCs w:val="22"/>
        </w:rPr>
        <w:t xml:space="preserve"> </w:t>
      </w:r>
      <w:r w:rsidRPr="00EA7262">
        <w:rPr>
          <w:rFonts w:asciiTheme="minorHAnsi" w:eastAsiaTheme="minorEastAsia" w:hAnsiTheme="minorHAnsi" w:cstheme="minorHAnsi"/>
          <w:sz w:val="22"/>
          <w:szCs w:val="22"/>
        </w:rPr>
        <w:t xml:space="preserve">condition to do </w:t>
      </w:r>
      <w:r w:rsidR="00D9000E" w:rsidRPr="00EA7262">
        <w:rPr>
          <w:rFonts w:asciiTheme="minorHAnsi" w:eastAsiaTheme="minorEastAsia" w:hAnsiTheme="minorHAnsi" w:cstheme="minorHAnsi"/>
          <w:sz w:val="22"/>
          <w:szCs w:val="22"/>
        </w:rPr>
        <w:t>an</w:t>
      </w:r>
      <w:r w:rsidRPr="00EA7262">
        <w:rPr>
          <w:rFonts w:asciiTheme="minorHAnsi" w:eastAsiaTheme="minorEastAsia" w:hAnsiTheme="minorHAnsi" w:cstheme="minorHAnsi"/>
          <w:sz w:val="22"/>
          <w:szCs w:val="22"/>
        </w:rPr>
        <w:t xml:space="preserve"> unlawful act relate</w:t>
      </w:r>
      <w:r w:rsidR="00D9000E" w:rsidRPr="00EA7262">
        <w:rPr>
          <w:rFonts w:asciiTheme="minorHAnsi" w:eastAsiaTheme="minorEastAsia" w:hAnsiTheme="minorHAnsi" w:cstheme="minorHAnsi"/>
          <w:sz w:val="22"/>
          <w:szCs w:val="22"/>
        </w:rPr>
        <w:t>s</w:t>
      </w:r>
      <w:r w:rsidRPr="00EA7262">
        <w:rPr>
          <w:rFonts w:asciiTheme="minorHAnsi" w:eastAsiaTheme="minorEastAsia" w:hAnsiTheme="minorHAnsi" w:cstheme="minorHAnsi"/>
          <w:sz w:val="22"/>
          <w:szCs w:val="22"/>
        </w:rPr>
        <w:t xml:space="preserve"> to their trafficking, there are various limits and challenges in implementing </w:t>
      </w:r>
      <w:r w:rsidR="002E35FC" w:rsidRPr="00EA7262">
        <w:rPr>
          <w:rFonts w:asciiTheme="minorHAnsi" w:eastAsiaTheme="minorEastAsia" w:hAnsiTheme="minorHAnsi" w:cstheme="minorHAnsi"/>
          <w:sz w:val="22"/>
          <w:szCs w:val="22"/>
        </w:rPr>
        <w:t>th</w:t>
      </w:r>
      <w:r w:rsidR="00D9000E" w:rsidRPr="00EA7262">
        <w:rPr>
          <w:rFonts w:asciiTheme="minorHAnsi" w:eastAsiaTheme="minorEastAsia" w:hAnsiTheme="minorHAnsi" w:cstheme="minorHAnsi"/>
          <w:sz w:val="22"/>
          <w:szCs w:val="22"/>
        </w:rPr>
        <w:t>is</w:t>
      </w:r>
      <w:r w:rsidRPr="00EA7262">
        <w:rPr>
          <w:rFonts w:asciiTheme="minorHAnsi" w:eastAsiaTheme="minorEastAsia" w:hAnsiTheme="minorHAnsi" w:cstheme="minorHAnsi"/>
          <w:sz w:val="22"/>
          <w:szCs w:val="22"/>
        </w:rPr>
        <w:t xml:space="preserve"> principle of non-punishment</w:t>
      </w:r>
      <w:r w:rsidR="002E35FC" w:rsidRPr="00EA7262">
        <w:rPr>
          <w:rFonts w:asciiTheme="minorHAnsi" w:eastAsiaTheme="minorEastAsia" w:hAnsiTheme="minorHAnsi" w:cstheme="minorHAnsi"/>
          <w:sz w:val="22"/>
          <w:szCs w:val="22"/>
        </w:rPr>
        <w:t>, even where legislation has been made as with the practices above</w:t>
      </w:r>
      <w:r w:rsidRPr="00EA7262">
        <w:rPr>
          <w:rFonts w:asciiTheme="minorHAnsi" w:eastAsiaTheme="minorEastAsia" w:hAnsiTheme="minorHAnsi" w:cstheme="minorHAnsi"/>
          <w:sz w:val="22"/>
          <w:szCs w:val="22"/>
        </w:rPr>
        <w:t xml:space="preserve">. </w:t>
      </w:r>
    </w:p>
    <w:p w14:paraId="5ACF5090" w14:textId="01DD4F0E" w:rsidR="00D22B76" w:rsidRPr="00EA7262" w:rsidRDefault="00D22B76" w:rsidP="00EA7262">
      <w:pPr>
        <w:jc w:val="both"/>
        <w:rPr>
          <w:rFonts w:asciiTheme="minorHAnsi" w:eastAsiaTheme="minorEastAsia" w:hAnsiTheme="minorHAnsi" w:cstheme="minorHAnsi"/>
          <w:b/>
          <w:bCs/>
          <w:sz w:val="22"/>
          <w:szCs w:val="22"/>
          <w:u w:val="single"/>
        </w:rPr>
      </w:pPr>
    </w:p>
    <w:p w14:paraId="07BFC68A" w14:textId="6EFFD9EB" w:rsidR="00410510" w:rsidRPr="00EA7262" w:rsidRDefault="00410510" w:rsidP="00EA7262">
      <w:p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Challenges in the Identification of Child Victims of Trafficking</w:t>
      </w:r>
    </w:p>
    <w:p w14:paraId="4D17E01D" w14:textId="13A7D0E3" w:rsidR="00410510" w:rsidRPr="00EA7262" w:rsidRDefault="00410510" w:rsidP="00EA7262">
      <w:pPr>
        <w:jc w:val="both"/>
        <w:rPr>
          <w:rFonts w:asciiTheme="minorHAnsi" w:eastAsiaTheme="minorEastAsia" w:hAnsiTheme="minorHAnsi" w:cstheme="minorHAnsi"/>
          <w:sz w:val="22"/>
          <w:szCs w:val="22"/>
        </w:rPr>
      </w:pPr>
    </w:p>
    <w:p w14:paraId="0B67BDD1" w14:textId="021B1952" w:rsidR="00410510" w:rsidRPr="00EA7262" w:rsidRDefault="00410510"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Successfully implementing the non-punishment principle begins with early victim identification. However, we continue to witness short</w:t>
      </w:r>
      <w:r w:rsidR="003F6A67" w:rsidRPr="00EA7262">
        <w:rPr>
          <w:rFonts w:asciiTheme="minorHAnsi" w:eastAsiaTheme="minorEastAsia" w:hAnsiTheme="minorHAnsi" w:cstheme="minorHAnsi"/>
          <w:sz w:val="22"/>
          <w:szCs w:val="22"/>
        </w:rPr>
        <w:t>comings</w:t>
      </w:r>
      <w:r w:rsidRPr="00EA7262">
        <w:rPr>
          <w:rFonts w:asciiTheme="minorHAnsi" w:eastAsiaTheme="minorEastAsia" w:hAnsiTheme="minorHAnsi" w:cstheme="minorHAnsi"/>
          <w:sz w:val="22"/>
          <w:szCs w:val="22"/>
        </w:rPr>
        <w:t xml:space="preserve"> in efforts and limited capacities </w:t>
      </w:r>
      <w:r w:rsidR="00E053B6" w:rsidRPr="00EA7262">
        <w:rPr>
          <w:rFonts w:asciiTheme="minorHAnsi" w:eastAsiaTheme="minorEastAsia" w:hAnsiTheme="minorHAnsi" w:cstheme="minorHAnsi"/>
          <w:sz w:val="22"/>
          <w:szCs w:val="22"/>
        </w:rPr>
        <w:t>to</w:t>
      </w:r>
      <w:r w:rsidRPr="00EA7262">
        <w:rPr>
          <w:rFonts w:asciiTheme="minorHAnsi" w:eastAsiaTheme="minorEastAsia" w:hAnsiTheme="minorHAnsi" w:cstheme="minorHAnsi"/>
          <w:sz w:val="22"/>
          <w:szCs w:val="22"/>
        </w:rPr>
        <w:t xml:space="preserve"> identify children who are victims of trafficking. </w:t>
      </w:r>
      <w:r w:rsidR="00E053B6" w:rsidRPr="00EA7262">
        <w:rPr>
          <w:rFonts w:asciiTheme="minorHAnsi" w:eastAsiaTheme="minorEastAsia" w:hAnsiTheme="minorHAnsi" w:cstheme="minorHAnsi"/>
          <w:sz w:val="22"/>
          <w:szCs w:val="22"/>
        </w:rPr>
        <w:t>In some contexts, this stems from lack of awareness and training</w:t>
      </w:r>
      <w:r w:rsidR="00E06A05" w:rsidRPr="00EA7262">
        <w:rPr>
          <w:rFonts w:asciiTheme="minorHAnsi" w:eastAsiaTheme="minorEastAsia" w:hAnsiTheme="minorHAnsi" w:cstheme="minorHAnsi"/>
          <w:sz w:val="22"/>
          <w:szCs w:val="22"/>
        </w:rPr>
        <w:t xml:space="preserve"> across organisations, service providers and authorities involved in identification (including border officials and personal in reception centres). </w:t>
      </w:r>
      <w:r w:rsidR="00C1394D" w:rsidRPr="00EA7262">
        <w:rPr>
          <w:rFonts w:asciiTheme="minorHAnsi" w:eastAsiaTheme="minorEastAsia" w:hAnsiTheme="minorHAnsi" w:cstheme="minorHAnsi"/>
          <w:sz w:val="22"/>
          <w:szCs w:val="22"/>
        </w:rPr>
        <w:t>Training and awareness</w:t>
      </w:r>
      <w:r w:rsidR="00E06A05" w:rsidRPr="00EA7262">
        <w:rPr>
          <w:rFonts w:asciiTheme="minorHAnsi" w:eastAsiaTheme="minorEastAsia" w:hAnsiTheme="minorHAnsi" w:cstheme="minorHAnsi"/>
          <w:sz w:val="22"/>
          <w:szCs w:val="22"/>
        </w:rPr>
        <w:t xml:space="preserve"> must also include </w:t>
      </w:r>
      <w:r w:rsidR="000A63C1" w:rsidRPr="00EA7262">
        <w:rPr>
          <w:rFonts w:asciiTheme="minorHAnsi" w:eastAsiaTheme="minorEastAsia" w:hAnsiTheme="minorHAnsi" w:cstheme="minorHAnsi"/>
          <w:sz w:val="22"/>
          <w:szCs w:val="22"/>
        </w:rPr>
        <w:t>the identification of children who are vulnerable to trafficking</w:t>
      </w:r>
      <w:r w:rsidR="003F6A67" w:rsidRPr="00EA7262">
        <w:rPr>
          <w:rFonts w:asciiTheme="minorHAnsi" w:eastAsiaTheme="minorEastAsia" w:hAnsiTheme="minorHAnsi" w:cstheme="minorHAnsi"/>
          <w:sz w:val="22"/>
          <w:szCs w:val="22"/>
        </w:rPr>
        <w:t xml:space="preserve">, </w:t>
      </w:r>
      <w:r w:rsidR="000A63C1" w:rsidRPr="00EA7262">
        <w:rPr>
          <w:rFonts w:asciiTheme="minorHAnsi" w:eastAsiaTheme="minorEastAsia" w:hAnsiTheme="minorHAnsi" w:cstheme="minorHAnsi"/>
          <w:sz w:val="22"/>
          <w:szCs w:val="22"/>
        </w:rPr>
        <w:t xml:space="preserve">not only children who have been or are in the process of being exploited. </w:t>
      </w:r>
    </w:p>
    <w:p w14:paraId="3D866F9E" w14:textId="6874AAA7" w:rsidR="00410510" w:rsidRPr="00EA7262" w:rsidRDefault="00410510" w:rsidP="00EA7262">
      <w:pPr>
        <w:jc w:val="both"/>
        <w:rPr>
          <w:rFonts w:asciiTheme="minorHAnsi" w:eastAsiaTheme="minorEastAsia" w:hAnsiTheme="minorHAnsi" w:cstheme="minorHAnsi"/>
          <w:sz w:val="22"/>
          <w:szCs w:val="22"/>
        </w:rPr>
      </w:pPr>
    </w:p>
    <w:p w14:paraId="472FCFAD" w14:textId="07396EFC" w:rsidR="00410510" w:rsidRPr="00EA7262" w:rsidRDefault="4EB9E5C8"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Challenges remain across all continents</w:t>
      </w:r>
      <w:r w:rsidR="157A6315" w:rsidRPr="00EA7262">
        <w:rPr>
          <w:rFonts w:asciiTheme="minorHAnsi" w:eastAsiaTheme="minorEastAsia" w:hAnsiTheme="minorHAnsi" w:cstheme="minorHAnsi"/>
          <w:sz w:val="22"/>
          <w:szCs w:val="22"/>
        </w:rPr>
        <w:t xml:space="preserve"> and </w:t>
      </w:r>
      <w:r w:rsidR="246B5A3E" w:rsidRPr="00EA7262">
        <w:rPr>
          <w:rFonts w:asciiTheme="minorHAnsi" w:eastAsiaTheme="minorEastAsia" w:hAnsiTheme="minorHAnsi" w:cstheme="minorHAnsi"/>
          <w:sz w:val="22"/>
          <w:szCs w:val="22"/>
        </w:rPr>
        <w:t>here are only two examples to illustrate</w:t>
      </w:r>
      <w:r w:rsidRPr="00EA7262">
        <w:rPr>
          <w:rFonts w:asciiTheme="minorHAnsi" w:eastAsiaTheme="minorEastAsia" w:hAnsiTheme="minorHAnsi" w:cstheme="minorHAnsi"/>
          <w:sz w:val="22"/>
          <w:szCs w:val="22"/>
        </w:rPr>
        <w:t xml:space="preserve">. </w:t>
      </w:r>
      <w:r w:rsidR="00E053B6" w:rsidRPr="00EA7262">
        <w:rPr>
          <w:rFonts w:asciiTheme="minorHAnsi" w:eastAsiaTheme="minorEastAsia" w:hAnsiTheme="minorHAnsi" w:cstheme="minorHAnsi"/>
          <w:sz w:val="22"/>
          <w:szCs w:val="22"/>
        </w:rPr>
        <w:t>In Belg</w:t>
      </w:r>
      <w:r w:rsidR="000A63C1" w:rsidRPr="00EA7262">
        <w:rPr>
          <w:rFonts w:asciiTheme="minorHAnsi" w:eastAsiaTheme="minorEastAsia" w:hAnsiTheme="minorHAnsi" w:cstheme="minorHAnsi"/>
          <w:sz w:val="22"/>
          <w:szCs w:val="22"/>
        </w:rPr>
        <w:t>ium</w:t>
      </w:r>
      <w:r w:rsidR="53DB9746" w:rsidRPr="00EA7262">
        <w:rPr>
          <w:rFonts w:asciiTheme="minorHAnsi" w:eastAsiaTheme="minorEastAsia" w:hAnsiTheme="minorHAnsi" w:cstheme="minorHAnsi"/>
          <w:sz w:val="22"/>
          <w:szCs w:val="22"/>
        </w:rPr>
        <w:t xml:space="preserve">, </w:t>
      </w:r>
      <w:r w:rsidR="000A63C1" w:rsidRPr="00EA7262">
        <w:rPr>
          <w:rFonts w:asciiTheme="minorHAnsi" w:eastAsiaTheme="minorEastAsia" w:hAnsiTheme="minorHAnsi" w:cstheme="minorHAnsi"/>
          <w:sz w:val="22"/>
          <w:szCs w:val="22"/>
        </w:rPr>
        <w:t xml:space="preserve">proper identification of potential victims is a </w:t>
      </w:r>
      <w:r w:rsidR="32AB31AF" w:rsidRPr="00EA7262">
        <w:rPr>
          <w:rFonts w:asciiTheme="minorHAnsi" w:eastAsiaTheme="minorEastAsia" w:hAnsiTheme="minorHAnsi" w:cstheme="minorHAnsi"/>
          <w:sz w:val="22"/>
          <w:szCs w:val="22"/>
        </w:rPr>
        <w:t xml:space="preserve">major </w:t>
      </w:r>
      <w:r w:rsidR="000A63C1" w:rsidRPr="00EA7262">
        <w:rPr>
          <w:rFonts w:asciiTheme="minorHAnsi" w:eastAsiaTheme="minorEastAsia" w:hAnsiTheme="minorHAnsi" w:cstheme="minorHAnsi"/>
          <w:sz w:val="22"/>
          <w:szCs w:val="22"/>
        </w:rPr>
        <w:t xml:space="preserve">challenge, in particular relating to child victims, </w:t>
      </w:r>
      <w:r w:rsidR="003F6A67" w:rsidRPr="00EA7262">
        <w:rPr>
          <w:rFonts w:asciiTheme="minorHAnsi" w:eastAsiaTheme="minorEastAsia" w:hAnsiTheme="minorHAnsi" w:cstheme="minorHAnsi"/>
          <w:sz w:val="22"/>
          <w:szCs w:val="22"/>
        </w:rPr>
        <w:t xml:space="preserve">and </w:t>
      </w:r>
      <w:r w:rsidR="000A63C1" w:rsidRPr="00EA7262">
        <w:rPr>
          <w:rFonts w:asciiTheme="minorHAnsi" w:eastAsiaTheme="minorEastAsia" w:hAnsiTheme="minorHAnsi" w:cstheme="minorHAnsi"/>
          <w:sz w:val="22"/>
          <w:szCs w:val="22"/>
        </w:rPr>
        <w:t>those implicated in drugs dealing or thefts, are at risk of being placed in closed centres for young offenders.</w:t>
      </w:r>
      <w:r w:rsidR="00D9000E" w:rsidRPr="00EA7262">
        <w:rPr>
          <w:rStyle w:val="FootnoteReference"/>
          <w:rFonts w:asciiTheme="minorHAnsi" w:eastAsiaTheme="minorEastAsia" w:hAnsiTheme="minorHAnsi" w:cstheme="minorHAnsi"/>
          <w:sz w:val="22"/>
          <w:szCs w:val="22"/>
        </w:rPr>
        <w:footnoteReference w:id="4"/>
      </w:r>
      <w:r w:rsidR="000A63C1" w:rsidRPr="00EA7262">
        <w:rPr>
          <w:rFonts w:asciiTheme="minorHAnsi" w:eastAsiaTheme="minorEastAsia" w:hAnsiTheme="minorHAnsi" w:cstheme="minorHAnsi"/>
          <w:sz w:val="22"/>
          <w:szCs w:val="22"/>
        </w:rPr>
        <w:t xml:space="preserve"> </w:t>
      </w:r>
      <w:r w:rsidR="00D9000E" w:rsidRPr="00EA7262">
        <w:rPr>
          <w:rFonts w:asciiTheme="minorHAnsi" w:eastAsiaTheme="minorEastAsia" w:hAnsiTheme="minorHAnsi" w:cstheme="minorHAnsi"/>
          <w:sz w:val="22"/>
          <w:szCs w:val="22"/>
        </w:rPr>
        <w:t>I</w:t>
      </w:r>
      <w:r w:rsidR="008531FB" w:rsidRPr="00EA7262">
        <w:rPr>
          <w:rFonts w:asciiTheme="minorHAnsi" w:eastAsiaTheme="minorEastAsia" w:hAnsiTheme="minorHAnsi" w:cstheme="minorHAnsi"/>
          <w:sz w:val="22"/>
          <w:szCs w:val="22"/>
        </w:rPr>
        <w:t>n the UK, UNICEF UK found that the availability and quality of training for police and prosecutors in relation to trafficked children and the non-punishment provisions varie</w:t>
      </w:r>
      <w:r w:rsidR="4A02E339" w:rsidRPr="00EA7262">
        <w:rPr>
          <w:rFonts w:asciiTheme="minorHAnsi" w:eastAsiaTheme="minorEastAsia" w:hAnsiTheme="minorHAnsi" w:cstheme="minorHAnsi"/>
          <w:sz w:val="22"/>
          <w:szCs w:val="22"/>
        </w:rPr>
        <w:t>s</w:t>
      </w:r>
      <w:r w:rsidR="008531FB" w:rsidRPr="00EA7262">
        <w:rPr>
          <w:rFonts w:asciiTheme="minorHAnsi" w:eastAsiaTheme="minorEastAsia" w:hAnsiTheme="minorHAnsi" w:cstheme="minorHAnsi"/>
          <w:sz w:val="22"/>
          <w:szCs w:val="22"/>
        </w:rPr>
        <w:t xml:space="preserve"> widely, with differing practice across the UK. Almost all police forces organise training and have in place a procedure to deal with cases involving trafficking. However, most of them use the e-learning module developed</w:t>
      </w:r>
      <w:r w:rsidR="00D9000E" w:rsidRPr="00EA7262">
        <w:rPr>
          <w:rFonts w:asciiTheme="minorHAnsi" w:eastAsiaTheme="minorEastAsia" w:hAnsiTheme="minorHAnsi" w:cstheme="minorHAnsi"/>
          <w:sz w:val="22"/>
          <w:szCs w:val="22"/>
        </w:rPr>
        <w:t xml:space="preserve"> </w:t>
      </w:r>
      <w:r w:rsidR="008531FB" w:rsidRPr="00EA7262">
        <w:rPr>
          <w:rFonts w:asciiTheme="minorHAnsi" w:eastAsiaTheme="minorEastAsia" w:hAnsiTheme="minorHAnsi" w:cstheme="minorHAnsi"/>
          <w:sz w:val="22"/>
          <w:szCs w:val="22"/>
        </w:rPr>
        <w:t xml:space="preserve">by the College of Policing which is not comprehensive enough. Several forces (including the Metropolitan Police and Greater Manchester Police) have developed their own more comprehensive training packages. </w:t>
      </w:r>
      <w:r w:rsidR="00D9000E" w:rsidRPr="00EA7262">
        <w:rPr>
          <w:rStyle w:val="FootnoteReference"/>
          <w:rFonts w:asciiTheme="minorHAnsi" w:eastAsiaTheme="minorEastAsia" w:hAnsiTheme="minorHAnsi" w:cstheme="minorHAnsi"/>
          <w:sz w:val="22"/>
          <w:szCs w:val="22"/>
        </w:rPr>
        <w:footnoteReference w:id="5"/>
      </w:r>
    </w:p>
    <w:p w14:paraId="5BF3A705" w14:textId="6F35C7CE" w:rsidR="3A06CAC6" w:rsidRPr="00EA7262" w:rsidRDefault="3A06CAC6" w:rsidP="00EA7262">
      <w:pPr>
        <w:jc w:val="both"/>
        <w:rPr>
          <w:rFonts w:asciiTheme="minorHAnsi" w:eastAsiaTheme="minorEastAsia" w:hAnsiTheme="minorHAnsi" w:cstheme="minorHAnsi"/>
          <w:sz w:val="22"/>
          <w:szCs w:val="22"/>
        </w:rPr>
      </w:pPr>
    </w:p>
    <w:p w14:paraId="4285BA55" w14:textId="2233DB3A" w:rsidR="5812F299" w:rsidRPr="00EA7262" w:rsidRDefault="5812F299"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For certain domains, the subtle distinction between perpetrator and victim coupled with lack of training and capacity in identification, means that failure to identify victims is even more prominent. For example, in Belgium, very few victims are identified for cases linked to forced criminal activities such as theft and the sale of drugs. The complexity of this type of investigation linked to the distinction between perpetrator and victim, the fact that it is not the sections specialising in trafficking that are responsible for this type of case, and the fear the victims have of speaking out, are all factors that may explain why there are so few cases in this realm.</w:t>
      </w:r>
    </w:p>
    <w:p w14:paraId="5C078128" w14:textId="799ADC60" w:rsidR="3A06CAC6" w:rsidRPr="00EA7262" w:rsidRDefault="3A06CAC6" w:rsidP="00EA7262">
      <w:pPr>
        <w:jc w:val="both"/>
        <w:rPr>
          <w:rFonts w:asciiTheme="minorHAnsi" w:eastAsiaTheme="minorEastAsia" w:hAnsiTheme="minorHAnsi" w:cstheme="minorHAnsi"/>
          <w:sz w:val="22"/>
          <w:szCs w:val="22"/>
        </w:rPr>
      </w:pPr>
    </w:p>
    <w:p w14:paraId="2F1877A9" w14:textId="7EA11EEA" w:rsidR="00095982" w:rsidRPr="00EA7262" w:rsidRDefault="06D3E5D6" w:rsidP="00EA7262">
      <w:p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Case</w:t>
      </w:r>
      <w:r w:rsidR="5C4696E4" w:rsidRPr="00EA7262">
        <w:rPr>
          <w:rFonts w:asciiTheme="minorHAnsi" w:eastAsiaTheme="minorEastAsia" w:hAnsiTheme="minorHAnsi" w:cstheme="minorHAnsi"/>
          <w:b/>
          <w:bCs/>
          <w:sz w:val="22"/>
          <w:szCs w:val="22"/>
        </w:rPr>
        <w:t xml:space="preserve"> examples</w:t>
      </w:r>
    </w:p>
    <w:p w14:paraId="1C102DCF" w14:textId="460E4880" w:rsidR="0032510E" w:rsidRPr="00EA7262" w:rsidRDefault="06D3E5D6" w:rsidP="00EA7262">
      <w:pPr>
        <w:pStyle w:val="ListParagraph"/>
        <w:numPr>
          <w:ilvl w:val="0"/>
          <w:numId w:val="6"/>
        </w:num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sz w:val="22"/>
          <w:szCs w:val="22"/>
        </w:rPr>
        <w:t>In the UK, one example of failure to adequately protect potential victims of child trafficking is the case concerning two Vietnamese youths who police officers had discovered working on cannabis farms (applications nos. 77587/12 and 74603/12).</w:t>
      </w:r>
      <w:r w:rsidR="0032510E" w:rsidRPr="00EA7262">
        <w:rPr>
          <w:rStyle w:val="FootnoteReference"/>
          <w:rFonts w:asciiTheme="minorHAnsi" w:eastAsiaTheme="minorEastAsia" w:hAnsiTheme="minorHAnsi" w:cstheme="minorHAnsi"/>
          <w:sz w:val="22"/>
          <w:szCs w:val="22"/>
        </w:rPr>
        <w:footnoteReference w:id="6"/>
      </w:r>
      <w:r w:rsidRPr="00EA7262">
        <w:rPr>
          <w:rFonts w:asciiTheme="minorHAnsi" w:eastAsiaTheme="minorEastAsia" w:hAnsiTheme="minorHAnsi" w:cstheme="minorHAnsi"/>
          <w:sz w:val="22"/>
          <w:szCs w:val="22"/>
        </w:rPr>
        <w:t xml:space="preserve"> They were arrested and charged with drugs-related offences, to which they pleaded guilty. Following their conviction, they were detained in young offenders’ institutes. A competent authority subsequently recognised them as victims of trafficking. However, the prosecution service having reviewed its decision to prosecute them, concluded that they were not victims of trafficking and the Court of Appeal found on the facts of each case that the decision to prosecute had been justified. For the Court, the fact that the applicants had been discovered on cannabis farms while still minors should by itself have given rise to a credible suspicion that they had been victims of trafficking. However, instead of referring them to the body responsible they had been charged with criminal offences and allowed to plead guilty. The prosecution services subsequently reviewed their decisions to prosecute and found that they had been justified as the applicants had not been victims of trafficking. In the Court’s view, however the prosecution had not given clear reasons consistent with the definition of trafficking for reaching a different conclusion to that of the competent authority. Although the authorities had made some accommodations to the applicants after their guilty verdicts, the Court nevertheless found that the lack of an assessment as to whether the applicants had been victims of trafficking had potentially prevented them from securing evidence which might have helped their defence. As a result, the state had not fulfilled its duty to take operational measures to protect the applicants, either initially, as potential victims of trafficking, or subsequently, as persons recognised by the Competent Authority to be victims of trafficking.</w:t>
      </w:r>
    </w:p>
    <w:p w14:paraId="266576D0" w14:textId="1A01C02F" w:rsidR="0032510E" w:rsidRPr="00EA7262" w:rsidRDefault="0032510E" w:rsidP="00EA7262">
      <w:pPr>
        <w:pStyle w:val="ListParagraph"/>
        <w:numPr>
          <w:ilvl w:val="0"/>
          <w:numId w:val="6"/>
        </w:numPr>
        <w:jc w:val="both"/>
        <w:rPr>
          <w:rFonts w:asciiTheme="minorHAnsi" w:hAnsiTheme="minorHAnsi" w:cstheme="minorHAnsi"/>
          <w:b/>
          <w:bCs/>
          <w:sz w:val="22"/>
          <w:szCs w:val="22"/>
        </w:rPr>
      </w:pPr>
      <w:r w:rsidRPr="00EA7262">
        <w:rPr>
          <w:rFonts w:asciiTheme="minorHAnsi" w:eastAsiaTheme="minorEastAsia" w:hAnsiTheme="minorHAnsi" w:cstheme="minorHAnsi"/>
          <w:sz w:val="22"/>
          <w:szCs w:val="22"/>
        </w:rPr>
        <w:t>In a Bulgarian case (Corr. Brussels, 30 May 2012) a victim began a relationship with the defendant, even though she was a minor, and accompanied him to Brussels to work as a prostitute. She stated that she was satisfied with her income and her professional situation. She was subsequently actively involved in a prostitution network and, upon the request of the defendant, she allocated a place for prostitution to a new victim. While the public prosecutor’s office named her as a victim in its summing-up for the prosecution, the court d</w:t>
      </w:r>
      <w:r w:rsidR="3382D5F7" w:rsidRPr="00EA7262">
        <w:rPr>
          <w:rFonts w:asciiTheme="minorHAnsi" w:eastAsiaTheme="minorEastAsia" w:hAnsiTheme="minorHAnsi" w:cstheme="minorHAnsi"/>
          <w:sz w:val="22"/>
          <w:szCs w:val="22"/>
        </w:rPr>
        <w:t xml:space="preserve">id not </w:t>
      </w:r>
      <w:r w:rsidRPr="00EA7262">
        <w:rPr>
          <w:rFonts w:asciiTheme="minorHAnsi" w:eastAsiaTheme="minorEastAsia" w:hAnsiTheme="minorHAnsi" w:cstheme="minorHAnsi"/>
          <w:sz w:val="22"/>
          <w:szCs w:val="22"/>
        </w:rPr>
        <w:t>recognise her as such.</w:t>
      </w:r>
    </w:p>
    <w:p w14:paraId="52585117" w14:textId="7FEA0529" w:rsidR="003167A5" w:rsidRPr="00EA7262" w:rsidRDefault="0032510E" w:rsidP="00EA7262">
      <w:pPr>
        <w:pStyle w:val="ListParagraph"/>
        <w:numPr>
          <w:ilvl w:val="0"/>
          <w:numId w:val="6"/>
        </w:num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In a more recent decision (</w:t>
      </w:r>
      <w:hyperlink r:id="rId8">
        <w:r w:rsidRPr="00EA7262">
          <w:rPr>
            <w:rStyle w:val="Hyperlink"/>
            <w:rFonts w:asciiTheme="minorHAnsi" w:eastAsiaTheme="minorEastAsia" w:hAnsiTheme="minorHAnsi" w:cstheme="minorHAnsi"/>
            <w:sz w:val="22"/>
            <w:szCs w:val="22"/>
          </w:rPr>
          <w:t>Criminal court of Liège, 13 June 2018</w:t>
        </w:r>
      </w:hyperlink>
      <w:r w:rsidRPr="00EA7262">
        <w:rPr>
          <w:rFonts w:asciiTheme="minorHAnsi" w:eastAsiaTheme="minorEastAsia" w:hAnsiTheme="minorHAnsi" w:cstheme="minorHAnsi"/>
          <w:sz w:val="22"/>
          <w:szCs w:val="22"/>
        </w:rPr>
        <w:t xml:space="preserve">) (summary in ENG in </w:t>
      </w:r>
      <w:hyperlink r:id="rId9">
        <w:r w:rsidR="003167A5" w:rsidRPr="00EA7262">
          <w:rPr>
            <w:rStyle w:val="Hyperlink"/>
            <w:rFonts w:asciiTheme="minorHAnsi" w:eastAsiaTheme="minorEastAsia" w:hAnsiTheme="minorHAnsi" w:cstheme="minorHAnsi"/>
            <w:sz w:val="22"/>
            <w:szCs w:val="22"/>
          </w:rPr>
          <w:t xml:space="preserve">Myria </w:t>
        </w:r>
        <w:r w:rsidRPr="00EA7262">
          <w:rPr>
            <w:rStyle w:val="Hyperlink"/>
            <w:rFonts w:asciiTheme="minorHAnsi" w:eastAsiaTheme="minorEastAsia" w:hAnsiTheme="minorHAnsi" w:cstheme="minorHAnsi"/>
            <w:sz w:val="22"/>
            <w:szCs w:val="22"/>
          </w:rPr>
          <w:t>2019 report</w:t>
        </w:r>
      </w:hyperlink>
      <w:r w:rsidRPr="00EA7262">
        <w:rPr>
          <w:rFonts w:asciiTheme="minorHAnsi" w:eastAsiaTheme="minorEastAsia" w:hAnsiTheme="minorHAnsi" w:cstheme="minorHAnsi"/>
          <w:sz w:val="22"/>
          <w:szCs w:val="22"/>
        </w:rPr>
        <w:t xml:space="preserve"> (p. 121-123) a victim has been acquitted by the court. The court took into consideration the non-punishment principle, considering that she was forced by her boyfriend to prostitute herself and to force other victims to prostitute.</w:t>
      </w:r>
      <w:r w:rsidR="007E6D7B" w:rsidRPr="00EA7262">
        <w:rPr>
          <w:rFonts w:asciiTheme="minorHAnsi" w:eastAsiaTheme="minorEastAsia" w:hAnsiTheme="minorHAnsi" w:cstheme="minorHAnsi"/>
          <w:sz w:val="22"/>
          <w:szCs w:val="22"/>
        </w:rPr>
        <w:t xml:space="preserve"> </w:t>
      </w:r>
      <w:r w:rsidR="71F95A0C" w:rsidRPr="00EA7262">
        <w:rPr>
          <w:rFonts w:asciiTheme="minorHAnsi" w:eastAsiaTheme="minorEastAsia" w:hAnsiTheme="minorHAnsi" w:cstheme="minorHAnsi"/>
          <w:sz w:val="22"/>
          <w:szCs w:val="22"/>
        </w:rPr>
        <w:t>The</w:t>
      </w:r>
      <w:r w:rsidR="007E6D7B" w:rsidRPr="00EA7262">
        <w:rPr>
          <w:rFonts w:asciiTheme="minorHAnsi" w:eastAsiaTheme="minorEastAsia" w:hAnsiTheme="minorHAnsi" w:cstheme="minorHAnsi"/>
          <w:sz w:val="22"/>
          <w:szCs w:val="22"/>
          <w:lang w:val="nl-BE"/>
        </w:rPr>
        <w:t xml:space="preserve"> court considered that s</w:t>
      </w:r>
      <w:r w:rsidR="514BCCA5" w:rsidRPr="00EA7262">
        <w:rPr>
          <w:rFonts w:asciiTheme="minorHAnsi" w:eastAsiaTheme="minorEastAsia" w:hAnsiTheme="minorHAnsi" w:cstheme="minorHAnsi"/>
          <w:sz w:val="22"/>
          <w:szCs w:val="22"/>
          <w:lang w:val="nl-BE"/>
        </w:rPr>
        <w:t xml:space="preserve">he </w:t>
      </w:r>
      <w:r w:rsidR="007E6D7B" w:rsidRPr="00EA7262">
        <w:rPr>
          <w:rFonts w:asciiTheme="minorHAnsi" w:eastAsiaTheme="minorEastAsia" w:hAnsiTheme="minorHAnsi" w:cstheme="minorHAnsi"/>
          <w:sz w:val="22"/>
          <w:szCs w:val="22"/>
          <w:lang w:val="nl-BE"/>
        </w:rPr>
        <w:t xml:space="preserve">was in a state of submission and dependence </w:t>
      </w:r>
      <w:r w:rsidR="4F6D6D26" w:rsidRPr="00EA7262">
        <w:rPr>
          <w:rFonts w:asciiTheme="minorHAnsi" w:eastAsiaTheme="minorEastAsia" w:hAnsiTheme="minorHAnsi" w:cstheme="minorHAnsi"/>
          <w:sz w:val="22"/>
          <w:szCs w:val="22"/>
          <w:lang w:val="nl-BE"/>
        </w:rPr>
        <w:t xml:space="preserve"> and that she could not be charged wih having trafficked others.</w:t>
      </w:r>
      <w:r w:rsidR="007E6D7B" w:rsidRPr="00EA7262">
        <w:rPr>
          <w:rFonts w:asciiTheme="minorHAnsi" w:eastAsiaTheme="minorEastAsia" w:hAnsiTheme="minorHAnsi" w:cstheme="minorHAnsi"/>
          <w:sz w:val="22"/>
          <w:szCs w:val="22"/>
          <w:lang w:val="nl-BE"/>
        </w:rPr>
        <w:t xml:space="preserve"> It also </w:t>
      </w:r>
      <w:r w:rsidR="15D31619" w:rsidRPr="00EA7262">
        <w:rPr>
          <w:rFonts w:asciiTheme="minorHAnsi" w:eastAsiaTheme="minorEastAsia" w:hAnsiTheme="minorHAnsi" w:cstheme="minorHAnsi"/>
          <w:sz w:val="22"/>
          <w:szCs w:val="22"/>
          <w:lang w:val="nl-BE"/>
        </w:rPr>
        <w:t xml:space="preserve">explicitly noted </w:t>
      </w:r>
      <w:r w:rsidR="007E6D7B" w:rsidRPr="00EA7262">
        <w:rPr>
          <w:rFonts w:asciiTheme="minorHAnsi" w:eastAsiaTheme="minorEastAsia" w:hAnsiTheme="minorHAnsi" w:cstheme="minorHAnsi"/>
          <w:sz w:val="22"/>
          <w:szCs w:val="22"/>
          <w:lang w:val="nl-BE"/>
        </w:rPr>
        <w:t xml:space="preserve">that the non-punishment clause should be taken into account in such a case. More specifically, in the absence of a specific provision </w:t>
      </w:r>
      <w:r w:rsidR="007E6D7B" w:rsidRPr="00EA7262">
        <w:rPr>
          <w:rFonts w:asciiTheme="minorHAnsi" w:eastAsiaTheme="minorEastAsia" w:hAnsiTheme="minorHAnsi" w:cstheme="minorHAnsi"/>
          <w:sz w:val="22"/>
          <w:szCs w:val="22"/>
        </w:rPr>
        <w:t>(</w:t>
      </w:r>
      <w:r w:rsidR="007E6D7B" w:rsidRPr="00EA7262">
        <w:rPr>
          <w:rFonts w:asciiTheme="minorHAnsi" w:eastAsiaTheme="minorEastAsia" w:hAnsiTheme="minorHAnsi" w:cstheme="minorHAnsi"/>
          <w:i/>
          <w:iCs/>
          <w:sz w:val="22"/>
          <w:szCs w:val="22"/>
        </w:rPr>
        <w:t>N.B: decision taken before the new provision</w:t>
      </w:r>
      <w:r w:rsidR="007E6D7B" w:rsidRPr="00EA7262">
        <w:rPr>
          <w:rFonts w:asciiTheme="minorHAnsi" w:eastAsiaTheme="minorEastAsia" w:hAnsiTheme="minorHAnsi" w:cstheme="minorHAnsi"/>
          <w:sz w:val="22"/>
          <w:szCs w:val="22"/>
        </w:rPr>
        <w:t>)  t</w:t>
      </w:r>
      <w:r w:rsidR="007E6D7B" w:rsidRPr="00EA7262">
        <w:rPr>
          <w:rFonts w:asciiTheme="minorHAnsi" w:eastAsiaTheme="minorEastAsia" w:hAnsiTheme="minorHAnsi" w:cstheme="minorHAnsi"/>
          <w:sz w:val="22"/>
          <w:szCs w:val="22"/>
          <w:lang w:val="nl-BE"/>
        </w:rPr>
        <w:t>he court considered that Article 71 of the Criminal Code should be applied: a person who is coerced by an overpowering force at the time of the events, can</w:t>
      </w:r>
      <w:r w:rsidR="7F0CE9CF" w:rsidRPr="00EA7262">
        <w:rPr>
          <w:rFonts w:asciiTheme="minorHAnsi" w:eastAsiaTheme="minorEastAsia" w:hAnsiTheme="minorHAnsi" w:cstheme="minorHAnsi"/>
          <w:sz w:val="22"/>
          <w:szCs w:val="22"/>
          <w:lang w:val="nl-BE"/>
        </w:rPr>
        <w:t>not be</w:t>
      </w:r>
      <w:r w:rsidR="007E6D7B" w:rsidRPr="00EA7262">
        <w:rPr>
          <w:rFonts w:asciiTheme="minorHAnsi" w:eastAsiaTheme="minorEastAsia" w:hAnsiTheme="minorHAnsi" w:cstheme="minorHAnsi"/>
          <w:sz w:val="22"/>
          <w:szCs w:val="22"/>
          <w:lang w:val="nl-BE"/>
        </w:rPr>
        <w:t xml:space="preserve"> accused of the offence. It therefore considered that the defendant's actions were the result of coercion by her boyfriend and the other co-perpetrators. For her own security, and her physical and psychological integrity (and that of her family members), she therefore had no other option than to participate in the offence through certain acts against other girls. The court therefore acquitted her of the charge of human trafficking and prostitution.</w:t>
      </w:r>
    </w:p>
    <w:p w14:paraId="2B118BEF" w14:textId="46B1E74D" w:rsidR="003167A5" w:rsidRPr="00EA7262" w:rsidRDefault="003167A5" w:rsidP="00EA7262">
      <w:pPr>
        <w:pStyle w:val="ListParagraph"/>
        <w:numPr>
          <w:ilvl w:val="0"/>
          <w:numId w:val="6"/>
        </w:numPr>
        <w:jc w:val="both"/>
        <w:rPr>
          <w:rFonts w:asciiTheme="minorHAnsi" w:hAnsiTheme="minorHAnsi" w:cstheme="minorHAnsi"/>
          <w:sz w:val="22"/>
          <w:szCs w:val="22"/>
          <w:lang w:val="nl-BE"/>
        </w:rPr>
      </w:pPr>
      <w:r w:rsidRPr="00EA7262">
        <w:rPr>
          <w:rFonts w:asciiTheme="minorHAnsi" w:eastAsiaTheme="minorEastAsia" w:hAnsiTheme="minorHAnsi" w:cstheme="minorHAnsi"/>
          <w:sz w:val="22"/>
          <w:szCs w:val="22"/>
          <w:lang w:val="nl-BE"/>
        </w:rPr>
        <w:t xml:space="preserve">Trafficking victims are sometimes led to work with false documents or under a false identity. This is especially the case for minors. In a case that was judged </w:t>
      </w:r>
      <w:r w:rsidRPr="00EA7262">
        <w:rPr>
          <w:rFonts w:asciiTheme="minorHAnsi" w:eastAsiaTheme="minorEastAsia" w:hAnsiTheme="minorHAnsi" w:cstheme="minorHAnsi"/>
          <w:sz w:val="22"/>
          <w:szCs w:val="22"/>
        </w:rPr>
        <w:t xml:space="preserve">by the </w:t>
      </w:r>
      <w:hyperlink r:id="rId10">
        <w:r w:rsidRPr="00EA7262">
          <w:rPr>
            <w:rStyle w:val="Hyperlink"/>
            <w:rFonts w:asciiTheme="minorHAnsi" w:eastAsiaTheme="minorEastAsia" w:hAnsiTheme="minorHAnsi" w:cstheme="minorHAnsi"/>
            <w:sz w:val="22"/>
            <w:szCs w:val="22"/>
          </w:rPr>
          <w:t>criminal court of Liège on 26 September 2012</w:t>
        </w:r>
      </w:hyperlink>
      <w:r w:rsidRPr="00EA7262">
        <w:rPr>
          <w:rFonts w:asciiTheme="minorHAnsi" w:eastAsiaTheme="minorEastAsia" w:hAnsiTheme="minorHAnsi" w:cstheme="minorHAnsi"/>
          <w:sz w:val="22"/>
          <w:szCs w:val="22"/>
          <w:lang w:val="nl-BE"/>
        </w:rPr>
        <w:t>, Bulgarian defendants were found to be prostituting several young women. The latter, in particular a minor, were working under false identities to avoid being harassed by the police. The defendants were charged for forgery. The victims were not prosecu</w:t>
      </w:r>
      <w:r w:rsidRPr="00EA7262">
        <w:rPr>
          <w:rFonts w:asciiTheme="minorHAnsi" w:eastAsiaTheme="minorEastAsia" w:hAnsiTheme="minorHAnsi" w:cstheme="minorHAnsi"/>
          <w:sz w:val="22"/>
          <w:szCs w:val="22"/>
        </w:rPr>
        <w:t>ted.</w:t>
      </w:r>
    </w:p>
    <w:p w14:paraId="28FBEDC1" w14:textId="77777777" w:rsidR="003167A5" w:rsidRPr="00EA7262" w:rsidRDefault="003167A5" w:rsidP="00EA7262">
      <w:pPr>
        <w:jc w:val="both"/>
        <w:rPr>
          <w:rFonts w:asciiTheme="minorHAnsi" w:eastAsiaTheme="minorEastAsia" w:hAnsiTheme="minorHAnsi" w:cstheme="minorHAnsi"/>
          <w:sz w:val="22"/>
          <w:szCs w:val="22"/>
          <w:lang w:val="en-US"/>
        </w:rPr>
      </w:pPr>
    </w:p>
    <w:p w14:paraId="53A713F0" w14:textId="630E202F" w:rsidR="00793057" w:rsidRPr="00EA7262" w:rsidRDefault="00793057" w:rsidP="00EA7262">
      <w:p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 xml:space="preserve">Challenges in the Identification of Child Victims of Trafficking </w:t>
      </w:r>
      <w:r w:rsidR="00EE71D4" w:rsidRPr="00EA7262">
        <w:rPr>
          <w:rFonts w:asciiTheme="minorHAnsi" w:eastAsiaTheme="minorEastAsia" w:hAnsiTheme="minorHAnsi" w:cstheme="minorHAnsi"/>
          <w:b/>
          <w:bCs/>
          <w:sz w:val="22"/>
          <w:szCs w:val="22"/>
        </w:rPr>
        <w:t xml:space="preserve">– </w:t>
      </w:r>
      <w:r w:rsidR="68847595" w:rsidRPr="00EA7262">
        <w:rPr>
          <w:rFonts w:asciiTheme="minorHAnsi" w:eastAsiaTheme="minorEastAsia" w:hAnsiTheme="minorHAnsi" w:cstheme="minorHAnsi"/>
          <w:b/>
          <w:bCs/>
          <w:sz w:val="22"/>
          <w:szCs w:val="22"/>
        </w:rPr>
        <w:t>M</w:t>
      </w:r>
      <w:r w:rsidR="00EE71D4" w:rsidRPr="00EA7262">
        <w:rPr>
          <w:rFonts w:asciiTheme="minorHAnsi" w:eastAsiaTheme="minorEastAsia" w:hAnsiTheme="minorHAnsi" w:cstheme="minorHAnsi"/>
          <w:b/>
          <w:bCs/>
          <w:sz w:val="22"/>
          <w:szCs w:val="22"/>
        </w:rPr>
        <w:t>isclassifying</w:t>
      </w:r>
      <w:r w:rsidRPr="00EA7262">
        <w:rPr>
          <w:rFonts w:asciiTheme="minorHAnsi" w:eastAsiaTheme="minorEastAsia" w:hAnsiTheme="minorHAnsi" w:cstheme="minorHAnsi"/>
          <w:b/>
          <w:bCs/>
          <w:sz w:val="22"/>
          <w:szCs w:val="22"/>
        </w:rPr>
        <w:t xml:space="preserve"> </w:t>
      </w:r>
      <w:r w:rsidR="42D0424C" w:rsidRPr="00EA7262">
        <w:rPr>
          <w:rFonts w:asciiTheme="minorHAnsi" w:eastAsiaTheme="minorEastAsia" w:hAnsiTheme="minorHAnsi" w:cstheme="minorHAnsi"/>
          <w:b/>
          <w:bCs/>
          <w:sz w:val="22"/>
          <w:szCs w:val="22"/>
        </w:rPr>
        <w:t>t</w:t>
      </w:r>
      <w:r w:rsidRPr="00EA7262">
        <w:rPr>
          <w:rFonts w:asciiTheme="minorHAnsi" w:eastAsiaTheme="minorEastAsia" w:hAnsiTheme="minorHAnsi" w:cstheme="minorHAnsi"/>
          <w:b/>
          <w:bCs/>
          <w:sz w:val="22"/>
          <w:szCs w:val="22"/>
        </w:rPr>
        <w:t xml:space="preserve">rafficking as </w:t>
      </w:r>
      <w:r w:rsidR="4D57C724" w:rsidRPr="00EA7262">
        <w:rPr>
          <w:rFonts w:asciiTheme="minorHAnsi" w:eastAsiaTheme="minorEastAsia" w:hAnsiTheme="minorHAnsi" w:cstheme="minorHAnsi"/>
          <w:b/>
          <w:bCs/>
          <w:sz w:val="22"/>
          <w:szCs w:val="22"/>
        </w:rPr>
        <w:t>s</w:t>
      </w:r>
      <w:r w:rsidRPr="00EA7262">
        <w:rPr>
          <w:rFonts w:asciiTheme="minorHAnsi" w:eastAsiaTheme="minorEastAsia" w:hAnsiTheme="minorHAnsi" w:cstheme="minorHAnsi"/>
          <w:b/>
          <w:bCs/>
          <w:sz w:val="22"/>
          <w:szCs w:val="22"/>
        </w:rPr>
        <w:t xml:space="preserve">muggling  </w:t>
      </w:r>
    </w:p>
    <w:p w14:paraId="20021BDC" w14:textId="0BF3947A" w:rsidR="00793057" w:rsidRPr="00EA7262" w:rsidRDefault="00793057" w:rsidP="00EA7262">
      <w:pPr>
        <w:jc w:val="both"/>
        <w:rPr>
          <w:rFonts w:asciiTheme="minorHAnsi" w:eastAsiaTheme="minorEastAsia" w:hAnsiTheme="minorHAnsi" w:cstheme="minorHAnsi"/>
          <w:sz w:val="22"/>
          <w:szCs w:val="22"/>
        </w:rPr>
      </w:pPr>
    </w:p>
    <w:p w14:paraId="56A02C90" w14:textId="7F574A16" w:rsidR="00793057" w:rsidRPr="00EA7262" w:rsidRDefault="00EE71D4" w:rsidP="00EA7262">
      <w:pPr>
        <w:jc w:val="both"/>
        <w:rPr>
          <w:rFonts w:asciiTheme="minorHAnsi" w:eastAsiaTheme="minorEastAsia" w:hAnsiTheme="minorHAnsi" w:cstheme="minorHAnsi"/>
          <w:sz w:val="22"/>
          <w:szCs w:val="22"/>
          <w:lang w:val="nl-NL"/>
        </w:rPr>
      </w:pPr>
      <w:r w:rsidRPr="00EA7262">
        <w:rPr>
          <w:rFonts w:asciiTheme="minorHAnsi" w:eastAsiaTheme="minorEastAsia" w:hAnsiTheme="minorHAnsi" w:cstheme="minorHAnsi"/>
          <w:sz w:val="22"/>
          <w:szCs w:val="22"/>
        </w:rPr>
        <w:t xml:space="preserve">Also closely intertwined with the </w:t>
      </w:r>
      <w:r w:rsidR="00E51F5A" w:rsidRPr="00EA7262">
        <w:rPr>
          <w:rFonts w:asciiTheme="minorHAnsi" w:eastAsiaTheme="minorEastAsia" w:hAnsiTheme="minorHAnsi" w:cstheme="minorHAnsi"/>
          <w:sz w:val="22"/>
          <w:szCs w:val="22"/>
        </w:rPr>
        <w:t xml:space="preserve">challenges </w:t>
      </w:r>
      <w:r w:rsidRPr="00EA7262">
        <w:rPr>
          <w:rFonts w:asciiTheme="minorHAnsi" w:eastAsiaTheme="minorEastAsia" w:hAnsiTheme="minorHAnsi" w:cstheme="minorHAnsi"/>
          <w:sz w:val="22"/>
          <w:szCs w:val="22"/>
        </w:rPr>
        <w:t>of limited capacities</w:t>
      </w:r>
      <w:r w:rsidR="00E51F5A" w:rsidRPr="00EA7262">
        <w:rPr>
          <w:rFonts w:asciiTheme="minorHAnsi" w:eastAsiaTheme="minorEastAsia" w:hAnsiTheme="minorHAnsi" w:cstheme="minorHAnsi"/>
          <w:sz w:val="22"/>
          <w:szCs w:val="22"/>
        </w:rPr>
        <w:t xml:space="preserve">, </w:t>
      </w:r>
      <w:r w:rsidRPr="00EA7262">
        <w:rPr>
          <w:rFonts w:asciiTheme="minorHAnsi" w:eastAsiaTheme="minorEastAsia" w:hAnsiTheme="minorHAnsi" w:cstheme="minorHAnsi"/>
          <w:sz w:val="22"/>
          <w:szCs w:val="22"/>
        </w:rPr>
        <w:t xml:space="preserve">training efforts as well as insufficient funding that mean trafficking cases often </w:t>
      </w:r>
      <w:r w:rsidR="00E51F5A" w:rsidRPr="00EA7262">
        <w:rPr>
          <w:rFonts w:asciiTheme="minorHAnsi" w:eastAsiaTheme="minorEastAsia" w:hAnsiTheme="minorHAnsi" w:cstheme="minorHAnsi"/>
          <w:sz w:val="22"/>
          <w:szCs w:val="22"/>
        </w:rPr>
        <w:t xml:space="preserve">go </w:t>
      </w:r>
      <w:r w:rsidRPr="00EA7262">
        <w:rPr>
          <w:rFonts w:asciiTheme="minorHAnsi" w:eastAsiaTheme="minorEastAsia" w:hAnsiTheme="minorHAnsi" w:cstheme="minorHAnsi"/>
          <w:sz w:val="22"/>
          <w:szCs w:val="22"/>
        </w:rPr>
        <w:t xml:space="preserve">under-reported, one prevalent barrier for the implementation of the non-punishment principle is </w:t>
      </w:r>
      <w:r w:rsidR="008531FB" w:rsidRPr="00EA7262">
        <w:rPr>
          <w:rFonts w:asciiTheme="minorHAnsi" w:eastAsiaTheme="minorEastAsia" w:hAnsiTheme="minorHAnsi" w:cstheme="minorHAnsi"/>
          <w:sz w:val="22"/>
          <w:szCs w:val="22"/>
        </w:rPr>
        <w:t>that</w:t>
      </w:r>
      <w:r w:rsidRPr="00EA7262">
        <w:rPr>
          <w:rFonts w:asciiTheme="minorHAnsi" w:eastAsiaTheme="minorEastAsia" w:hAnsiTheme="minorHAnsi" w:cstheme="minorHAnsi"/>
          <w:sz w:val="22"/>
          <w:szCs w:val="22"/>
        </w:rPr>
        <w:t xml:space="preserve"> trafficking cases are misclassified and therefore not investigated</w:t>
      </w:r>
      <w:r w:rsidR="00E51F5A" w:rsidRPr="00EA7262">
        <w:rPr>
          <w:rFonts w:asciiTheme="minorHAnsi" w:eastAsiaTheme="minorEastAsia" w:hAnsiTheme="minorHAnsi" w:cstheme="minorHAnsi"/>
          <w:sz w:val="22"/>
          <w:szCs w:val="22"/>
        </w:rPr>
        <w:t xml:space="preserve"> further</w:t>
      </w:r>
      <w:r w:rsidRPr="00EA7262">
        <w:rPr>
          <w:rFonts w:asciiTheme="minorHAnsi" w:eastAsiaTheme="minorEastAsia" w:hAnsiTheme="minorHAnsi" w:cstheme="minorHAnsi"/>
          <w:sz w:val="22"/>
          <w:szCs w:val="22"/>
        </w:rPr>
        <w:t xml:space="preserve">. </w:t>
      </w:r>
    </w:p>
    <w:p w14:paraId="1EFA754B" w14:textId="0DA2195D" w:rsidR="00793057" w:rsidRPr="00EA7262" w:rsidRDefault="6073F96F" w:rsidP="00EA7262">
      <w:pPr>
        <w:pStyle w:val="ListParagraph"/>
        <w:numPr>
          <w:ilvl w:val="0"/>
          <w:numId w:val="1"/>
        </w:numPr>
        <w:jc w:val="both"/>
        <w:rPr>
          <w:rFonts w:asciiTheme="minorHAnsi" w:eastAsiaTheme="minorEastAsia" w:hAnsiTheme="minorHAnsi" w:cstheme="minorHAnsi"/>
          <w:sz w:val="22"/>
          <w:szCs w:val="22"/>
          <w:lang w:val="nl-NL"/>
        </w:rPr>
      </w:pPr>
      <w:r w:rsidRPr="00EA7262">
        <w:rPr>
          <w:rFonts w:asciiTheme="minorHAnsi" w:eastAsiaTheme="minorEastAsia" w:hAnsiTheme="minorHAnsi" w:cstheme="minorHAnsi"/>
          <w:sz w:val="22"/>
          <w:szCs w:val="22"/>
        </w:rPr>
        <w:t xml:space="preserve">Case example: </w:t>
      </w:r>
      <w:r w:rsidR="00EE71D4" w:rsidRPr="00EA7262">
        <w:rPr>
          <w:rFonts w:asciiTheme="minorHAnsi" w:eastAsiaTheme="minorEastAsia" w:hAnsiTheme="minorHAnsi" w:cstheme="minorHAnsi"/>
          <w:sz w:val="22"/>
          <w:szCs w:val="22"/>
        </w:rPr>
        <w:t xml:space="preserve">One particular incident </w:t>
      </w:r>
      <w:r w:rsidR="00E51F5A" w:rsidRPr="00EA7262">
        <w:rPr>
          <w:rFonts w:asciiTheme="minorHAnsi" w:eastAsiaTheme="minorEastAsia" w:hAnsiTheme="minorHAnsi" w:cstheme="minorHAnsi"/>
          <w:sz w:val="22"/>
          <w:szCs w:val="22"/>
        </w:rPr>
        <w:t xml:space="preserve">worth highlighting </w:t>
      </w:r>
      <w:r w:rsidR="00EE71D4" w:rsidRPr="00EA7262">
        <w:rPr>
          <w:rFonts w:asciiTheme="minorHAnsi" w:eastAsiaTheme="minorEastAsia" w:hAnsiTheme="minorHAnsi" w:cstheme="minorHAnsi"/>
          <w:sz w:val="22"/>
          <w:szCs w:val="22"/>
        </w:rPr>
        <w:t>concerns two boys</w:t>
      </w:r>
      <w:r w:rsidR="00E51F5A" w:rsidRPr="00EA7262">
        <w:rPr>
          <w:rFonts w:asciiTheme="minorHAnsi" w:eastAsiaTheme="minorEastAsia" w:hAnsiTheme="minorHAnsi" w:cstheme="minorHAnsi"/>
          <w:sz w:val="22"/>
          <w:szCs w:val="22"/>
        </w:rPr>
        <w:t>, victims of trafficking,</w:t>
      </w:r>
      <w:r w:rsidR="00EE71D4" w:rsidRPr="00EA7262">
        <w:rPr>
          <w:rFonts w:asciiTheme="minorHAnsi" w:eastAsiaTheme="minorEastAsia" w:hAnsiTheme="minorHAnsi" w:cstheme="minorHAnsi"/>
          <w:sz w:val="22"/>
          <w:szCs w:val="22"/>
        </w:rPr>
        <w:t xml:space="preserve"> in the Netherlands in 2019. On 23 October 2019, 39 bodies of Vietnamese migrants were found in a refrigerated container in the port of Essex; they died of suffocation. Among them were two underage boys who had previously been placed in a protected facility in the Netherlands because the Dutch government suspected they were victims of human trafficking. These boys had also reported human trafficking, but the case was classified as human smuggling and therefore not investigated. Between 2015 and 2019, a total of 96 Vietnamese children disappeared, and for years there have been strong signs that Vietnamese migrants are ending up in forced prostitution, labour, and crime. The Dutch government points out that they are not obliged to investigate these cases, because they are classified as ‘human smuggling’, because the exploitation does not take place in the Netherlands, and because the migrants concerned do not have the Dutch nationality. For this reason, none of these cases has ever been investigated.</w:t>
      </w:r>
      <w:r w:rsidR="00D9000E" w:rsidRPr="00EA7262">
        <w:rPr>
          <w:rStyle w:val="FootnoteReference"/>
          <w:rFonts w:asciiTheme="minorHAnsi" w:eastAsiaTheme="minorEastAsia" w:hAnsiTheme="minorHAnsi" w:cstheme="minorHAnsi"/>
          <w:sz w:val="22"/>
          <w:szCs w:val="22"/>
        </w:rPr>
        <w:footnoteReference w:id="7"/>
      </w:r>
    </w:p>
    <w:p w14:paraId="33D463CF" w14:textId="1F02BAF5" w:rsidR="00095982" w:rsidRPr="00EA7262" w:rsidRDefault="00095982" w:rsidP="00EA7262">
      <w:pPr>
        <w:jc w:val="both"/>
        <w:rPr>
          <w:rFonts w:asciiTheme="minorHAnsi" w:eastAsiaTheme="minorEastAsia" w:hAnsiTheme="minorHAnsi" w:cstheme="minorHAnsi"/>
          <w:sz w:val="22"/>
          <w:szCs w:val="22"/>
        </w:rPr>
      </w:pPr>
    </w:p>
    <w:p w14:paraId="24293A7E" w14:textId="785DD76E" w:rsidR="00095982" w:rsidRPr="00EA7262" w:rsidRDefault="00DD5917" w:rsidP="00EA7262">
      <w:p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I</w:t>
      </w:r>
      <w:r w:rsidR="00095982" w:rsidRPr="00EA7262">
        <w:rPr>
          <w:rFonts w:asciiTheme="minorHAnsi" w:eastAsiaTheme="minorEastAsia" w:hAnsiTheme="minorHAnsi" w:cstheme="minorHAnsi"/>
          <w:b/>
          <w:bCs/>
          <w:sz w:val="22"/>
          <w:szCs w:val="22"/>
        </w:rPr>
        <w:t xml:space="preserve">nadequate </w:t>
      </w:r>
      <w:r w:rsidR="00EA7262" w:rsidRPr="00EA7262">
        <w:rPr>
          <w:rFonts w:asciiTheme="minorHAnsi" w:eastAsiaTheme="minorEastAsia" w:hAnsiTheme="minorHAnsi" w:cstheme="minorHAnsi"/>
          <w:b/>
          <w:bCs/>
          <w:sz w:val="22"/>
          <w:szCs w:val="22"/>
        </w:rPr>
        <w:t>P</w:t>
      </w:r>
      <w:r w:rsidR="00095982" w:rsidRPr="00EA7262">
        <w:rPr>
          <w:rFonts w:asciiTheme="minorHAnsi" w:eastAsiaTheme="minorEastAsia" w:hAnsiTheme="minorHAnsi" w:cstheme="minorHAnsi"/>
          <w:b/>
          <w:bCs/>
          <w:sz w:val="22"/>
          <w:szCs w:val="22"/>
        </w:rPr>
        <w:t xml:space="preserve">rotection </w:t>
      </w:r>
      <w:r w:rsidR="00EA7262" w:rsidRPr="00EA7262">
        <w:rPr>
          <w:rFonts w:asciiTheme="minorHAnsi" w:eastAsiaTheme="minorEastAsia" w:hAnsiTheme="minorHAnsi" w:cstheme="minorHAnsi"/>
          <w:b/>
          <w:bCs/>
          <w:sz w:val="22"/>
          <w:szCs w:val="22"/>
        </w:rPr>
        <w:t>E</w:t>
      </w:r>
      <w:r w:rsidR="00095982" w:rsidRPr="00EA7262">
        <w:rPr>
          <w:rFonts w:asciiTheme="minorHAnsi" w:eastAsiaTheme="minorEastAsia" w:hAnsiTheme="minorHAnsi" w:cstheme="minorHAnsi"/>
          <w:b/>
          <w:bCs/>
          <w:sz w:val="22"/>
          <w:szCs w:val="22"/>
        </w:rPr>
        <w:t>fforts</w:t>
      </w:r>
    </w:p>
    <w:p w14:paraId="221106C0" w14:textId="5CB5C36C" w:rsidR="00793057" w:rsidRPr="00EA7262" w:rsidRDefault="00793057" w:rsidP="00EA7262">
      <w:pPr>
        <w:jc w:val="both"/>
        <w:rPr>
          <w:rFonts w:asciiTheme="minorHAnsi" w:eastAsiaTheme="minorEastAsia" w:hAnsiTheme="minorHAnsi" w:cstheme="minorHAnsi"/>
          <w:sz w:val="22"/>
          <w:szCs w:val="22"/>
        </w:rPr>
      </w:pPr>
    </w:p>
    <w:p w14:paraId="18581F58" w14:textId="6DDE35E8" w:rsidR="00410510" w:rsidRPr="00EA7262" w:rsidRDefault="00D443BA"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In the case of child victims of trafficking, all actions need to be undertaken with their best interests in mind, and independent of their cooperation with law enforcement, as in line with Convention on the Rights of the Child. However, we witness issues with the protection and assistance of child victims which renders them vulnerable to even more exploitation</w:t>
      </w:r>
      <w:r w:rsidR="007F49B9" w:rsidRPr="00EA7262">
        <w:rPr>
          <w:rFonts w:asciiTheme="minorHAnsi" w:eastAsiaTheme="minorEastAsia" w:hAnsiTheme="minorHAnsi" w:cstheme="minorHAnsi"/>
          <w:sz w:val="22"/>
          <w:szCs w:val="22"/>
        </w:rPr>
        <w:t xml:space="preserve">. </w:t>
      </w:r>
      <w:r w:rsidRPr="00EA7262">
        <w:rPr>
          <w:rFonts w:asciiTheme="minorHAnsi" w:eastAsiaTheme="minorEastAsia" w:hAnsiTheme="minorHAnsi" w:cstheme="minorHAnsi"/>
          <w:sz w:val="22"/>
          <w:szCs w:val="22"/>
        </w:rPr>
        <w:t xml:space="preserve">In the Netherlands for example, </w:t>
      </w:r>
      <w:r w:rsidR="007F49B9" w:rsidRPr="00EA7262">
        <w:rPr>
          <w:rFonts w:asciiTheme="minorHAnsi" w:eastAsiaTheme="minorEastAsia" w:hAnsiTheme="minorHAnsi" w:cstheme="minorHAnsi"/>
          <w:sz w:val="22"/>
          <w:szCs w:val="22"/>
        </w:rPr>
        <w:t>w</w:t>
      </w:r>
      <w:r w:rsidRPr="00EA7262">
        <w:rPr>
          <w:rFonts w:asciiTheme="minorHAnsi" w:eastAsiaTheme="minorEastAsia" w:hAnsiTheme="minorHAnsi" w:cstheme="minorHAnsi"/>
          <w:sz w:val="22"/>
          <w:szCs w:val="22"/>
        </w:rPr>
        <w:t xml:space="preserve">e are concerned about group </w:t>
      </w:r>
      <w:r w:rsidR="5318D467" w:rsidRPr="00EA7262">
        <w:rPr>
          <w:rFonts w:asciiTheme="minorHAnsi" w:eastAsiaTheme="minorEastAsia" w:hAnsiTheme="minorHAnsi" w:cstheme="minorHAnsi"/>
          <w:sz w:val="22"/>
          <w:szCs w:val="22"/>
        </w:rPr>
        <w:t>s</w:t>
      </w:r>
      <w:r w:rsidRPr="00EA7262">
        <w:rPr>
          <w:rFonts w:asciiTheme="minorHAnsi" w:eastAsiaTheme="minorEastAsia" w:hAnsiTheme="minorHAnsi" w:cstheme="minorHAnsi"/>
          <w:sz w:val="22"/>
          <w:szCs w:val="22"/>
        </w:rPr>
        <w:t xml:space="preserve">of minors who disappear from reception facilities. The frequent disappearance of unaccompanied minors from reception facilities has been in the news </w:t>
      </w:r>
      <w:hyperlink r:id="rId11">
        <w:r w:rsidRPr="00EA7262">
          <w:rPr>
            <w:rStyle w:val="Hyperlink"/>
            <w:rFonts w:asciiTheme="minorHAnsi" w:eastAsiaTheme="minorEastAsia" w:hAnsiTheme="minorHAnsi" w:cstheme="minorHAnsi"/>
            <w:sz w:val="22"/>
            <w:szCs w:val="22"/>
          </w:rPr>
          <w:t>several times</w:t>
        </w:r>
      </w:hyperlink>
      <w:r w:rsidRPr="00EA7262">
        <w:rPr>
          <w:rFonts w:asciiTheme="minorHAnsi" w:eastAsiaTheme="minorEastAsia" w:hAnsiTheme="minorHAnsi" w:cstheme="minorHAnsi"/>
          <w:sz w:val="22"/>
          <w:szCs w:val="22"/>
        </w:rPr>
        <w:t xml:space="preserve">. Between 2010 and 2019, approximately </w:t>
      </w:r>
      <w:hyperlink r:id="rId12">
        <w:r w:rsidRPr="00EA7262">
          <w:rPr>
            <w:rStyle w:val="Hyperlink"/>
            <w:rFonts w:asciiTheme="minorHAnsi" w:eastAsiaTheme="minorEastAsia" w:hAnsiTheme="minorHAnsi" w:cstheme="minorHAnsi"/>
            <w:sz w:val="22"/>
            <w:szCs w:val="22"/>
          </w:rPr>
          <w:t>2,570 unaccompanied minors</w:t>
        </w:r>
      </w:hyperlink>
      <w:r w:rsidRPr="00EA7262">
        <w:rPr>
          <w:rFonts w:asciiTheme="minorHAnsi" w:eastAsiaTheme="minorEastAsia" w:hAnsiTheme="minorHAnsi" w:cstheme="minorHAnsi"/>
          <w:sz w:val="22"/>
          <w:szCs w:val="22"/>
        </w:rPr>
        <w:t xml:space="preserve"> left a reception facility with an unknown destination. Many of these unaccompanied minors are presumably victims of human trafficking, but are not registered as such and are therefore </w:t>
      </w:r>
      <w:hyperlink r:id="rId13">
        <w:r w:rsidRPr="00EA7262">
          <w:rPr>
            <w:rStyle w:val="Hyperlink"/>
            <w:rFonts w:asciiTheme="minorHAnsi" w:eastAsiaTheme="minorEastAsia" w:hAnsiTheme="minorHAnsi" w:cstheme="minorHAnsi"/>
            <w:sz w:val="22"/>
            <w:szCs w:val="22"/>
          </w:rPr>
          <w:t>not included in official figures</w:t>
        </w:r>
      </w:hyperlink>
      <w:r w:rsidRPr="00EA7262">
        <w:rPr>
          <w:rFonts w:asciiTheme="minorHAnsi" w:eastAsiaTheme="minorEastAsia" w:hAnsiTheme="minorHAnsi" w:cstheme="minorHAnsi"/>
          <w:sz w:val="22"/>
          <w:szCs w:val="22"/>
        </w:rPr>
        <w:t xml:space="preserve">. UAMs who are expected at risk of disappearing, for example because of a realistic suspicion that they are victims of human trafficking, are placed in a protected facility. However, even though a protected facility comes with protective measures (e.g., the door is open although no one can enter the facility without permission, and it is not allowed to have your own mobile phone or to be on the internet without supervision), it is not a closed facility, so </w:t>
      </w:r>
      <w:hyperlink r:id="rId14">
        <w:r w:rsidRPr="00EA7262">
          <w:rPr>
            <w:rStyle w:val="Hyperlink"/>
            <w:rFonts w:asciiTheme="minorHAnsi" w:eastAsiaTheme="minorEastAsia" w:hAnsiTheme="minorHAnsi" w:cstheme="minorHAnsi"/>
            <w:sz w:val="22"/>
            <w:szCs w:val="22"/>
          </w:rPr>
          <w:t>UAMs also disappear from these facilities</w:t>
        </w:r>
      </w:hyperlink>
      <w:r w:rsidRPr="00EA7262">
        <w:rPr>
          <w:rFonts w:asciiTheme="minorHAnsi" w:eastAsiaTheme="minorEastAsia" w:hAnsiTheme="minorHAnsi" w:cstheme="minorHAnsi"/>
          <w:sz w:val="22"/>
          <w:szCs w:val="22"/>
        </w:rPr>
        <w:t xml:space="preserve">. </w:t>
      </w:r>
    </w:p>
    <w:p w14:paraId="0D2B5FCE" w14:textId="6783F3AF" w:rsidR="00D75A28" w:rsidRDefault="00D75A28" w:rsidP="00EA7262">
      <w:pPr>
        <w:jc w:val="both"/>
        <w:rPr>
          <w:rFonts w:asciiTheme="minorHAnsi" w:eastAsiaTheme="minorEastAsia" w:hAnsiTheme="minorHAnsi" w:cstheme="minorHAnsi"/>
          <w:sz w:val="22"/>
          <w:szCs w:val="22"/>
        </w:rPr>
      </w:pPr>
    </w:p>
    <w:p w14:paraId="4C286308" w14:textId="446C0E4F" w:rsidR="00517531" w:rsidRDefault="00517531" w:rsidP="00EA7262">
      <w:pPr>
        <w:jc w:val="both"/>
        <w:rPr>
          <w:rFonts w:asciiTheme="minorHAnsi" w:eastAsiaTheme="minorEastAsia" w:hAnsiTheme="minorHAnsi" w:cstheme="minorHAnsi"/>
          <w:sz w:val="22"/>
          <w:szCs w:val="22"/>
        </w:rPr>
      </w:pPr>
    </w:p>
    <w:p w14:paraId="006DD5D4" w14:textId="10B0D36D" w:rsidR="00517531" w:rsidRDefault="00517531" w:rsidP="00EA7262">
      <w:pPr>
        <w:jc w:val="both"/>
        <w:rPr>
          <w:rFonts w:asciiTheme="minorHAnsi" w:eastAsiaTheme="minorEastAsia" w:hAnsiTheme="minorHAnsi" w:cstheme="minorHAnsi"/>
          <w:sz w:val="22"/>
          <w:szCs w:val="22"/>
        </w:rPr>
      </w:pPr>
    </w:p>
    <w:p w14:paraId="6AABB2EB" w14:textId="77777777" w:rsidR="00517531" w:rsidRPr="00EA7262" w:rsidRDefault="00517531" w:rsidP="00EA7262">
      <w:pPr>
        <w:jc w:val="both"/>
        <w:rPr>
          <w:rFonts w:asciiTheme="minorHAnsi" w:eastAsiaTheme="minorEastAsia" w:hAnsiTheme="minorHAnsi" w:cstheme="minorHAnsi"/>
          <w:sz w:val="22"/>
          <w:szCs w:val="22"/>
        </w:rPr>
      </w:pPr>
    </w:p>
    <w:p w14:paraId="2E9891EF" w14:textId="0C79449A" w:rsidR="00D75A28" w:rsidRPr="00EA7262" w:rsidRDefault="008531FB" w:rsidP="00EA7262">
      <w:p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 xml:space="preserve">Arrest, detention or other forms of custody of trafficked </w:t>
      </w:r>
      <w:r w:rsidR="7970CFFD" w:rsidRPr="00EA7262">
        <w:rPr>
          <w:rFonts w:asciiTheme="minorHAnsi" w:eastAsiaTheme="minorEastAsia" w:hAnsiTheme="minorHAnsi" w:cstheme="minorHAnsi"/>
          <w:b/>
          <w:bCs/>
          <w:sz w:val="22"/>
          <w:szCs w:val="22"/>
        </w:rPr>
        <w:t xml:space="preserve">children </w:t>
      </w:r>
    </w:p>
    <w:p w14:paraId="1BD5D2B8" w14:textId="750197BC" w:rsidR="00D75A28" w:rsidRPr="00EA7262" w:rsidRDefault="00D75A28" w:rsidP="00EA7262">
      <w:pPr>
        <w:jc w:val="both"/>
        <w:rPr>
          <w:rFonts w:asciiTheme="minorHAnsi" w:eastAsiaTheme="minorEastAsia" w:hAnsiTheme="minorHAnsi" w:cstheme="minorHAnsi"/>
          <w:sz w:val="22"/>
          <w:szCs w:val="22"/>
        </w:rPr>
      </w:pPr>
    </w:p>
    <w:p w14:paraId="26D0684E" w14:textId="223251C9" w:rsidR="00D75A28" w:rsidRPr="00EA7262" w:rsidRDefault="00376A20"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 xml:space="preserve">In addition to </w:t>
      </w:r>
      <w:r w:rsidR="0032510E" w:rsidRPr="00EA7262">
        <w:rPr>
          <w:rFonts w:asciiTheme="minorHAnsi" w:eastAsiaTheme="minorEastAsia" w:hAnsiTheme="minorHAnsi" w:cstheme="minorHAnsi"/>
          <w:sz w:val="22"/>
          <w:szCs w:val="22"/>
        </w:rPr>
        <w:t xml:space="preserve">the lack of </w:t>
      </w:r>
      <w:r w:rsidRPr="00EA7262">
        <w:rPr>
          <w:rFonts w:asciiTheme="minorHAnsi" w:eastAsiaTheme="minorEastAsia" w:hAnsiTheme="minorHAnsi" w:cstheme="minorHAnsi"/>
          <w:sz w:val="22"/>
          <w:szCs w:val="22"/>
        </w:rPr>
        <w:t>provi</w:t>
      </w:r>
      <w:r w:rsidR="0032510E" w:rsidRPr="00EA7262">
        <w:rPr>
          <w:rFonts w:asciiTheme="minorHAnsi" w:eastAsiaTheme="minorEastAsia" w:hAnsiTheme="minorHAnsi" w:cstheme="minorHAnsi"/>
          <w:sz w:val="22"/>
          <w:szCs w:val="22"/>
        </w:rPr>
        <w:t xml:space="preserve">sion of </w:t>
      </w:r>
      <w:r w:rsidRPr="00EA7262">
        <w:rPr>
          <w:rFonts w:asciiTheme="minorHAnsi" w:eastAsiaTheme="minorEastAsia" w:hAnsiTheme="minorHAnsi" w:cstheme="minorHAnsi"/>
          <w:sz w:val="22"/>
          <w:szCs w:val="22"/>
        </w:rPr>
        <w:t>immediate care and protection</w:t>
      </w:r>
      <w:r w:rsidR="0032510E" w:rsidRPr="00EA7262">
        <w:rPr>
          <w:rFonts w:asciiTheme="minorHAnsi" w:eastAsiaTheme="minorEastAsia" w:hAnsiTheme="minorHAnsi" w:cstheme="minorHAnsi"/>
          <w:sz w:val="22"/>
          <w:szCs w:val="22"/>
        </w:rPr>
        <w:t xml:space="preserve"> for children and concerns</w:t>
      </w:r>
      <w:r w:rsidR="007F49B9" w:rsidRPr="00EA7262">
        <w:rPr>
          <w:rFonts w:asciiTheme="minorHAnsi" w:eastAsiaTheme="minorEastAsia" w:hAnsiTheme="minorHAnsi" w:cstheme="minorHAnsi"/>
          <w:sz w:val="22"/>
          <w:szCs w:val="22"/>
        </w:rPr>
        <w:t xml:space="preserve"> </w:t>
      </w:r>
      <w:r w:rsidR="0032510E" w:rsidRPr="00EA7262">
        <w:rPr>
          <w:rFonts w:asciiTheme="minorHAnsi" w:eastAsiaTheme="minorEastAsia" w:hAnsiTheme="minorHAnsi" w:cstheme="minorHAnsi"/>
          <w:sz w:val="22"/>
          <w:szCs w:val="22"/>
        </w:rPr>
        <w:t>around</w:t>
      </w:r>
      <w:r w:rsidR="007F49B9" w:rsidRPr="00EA7262">
        <w:rPr>
          <w:rFonts w:asciiTheme="minorHAnsi" w:eastAsiaTheme="minorEastAsia" w:hAnsiTheme="minorHAnsi" w:cstheme="minorHAnsi"/>
          <w:sz w:val="22"/>
          <w:szCs w:val="22"/>
        </w:rPr>
        <w:t xml:space="preserve"> ensuring safe and suitable accommodation for </w:t>
      </w:r>
      <w:r w:rsidR="0032510E" w:rsidRPr="00EA7262">
        <w:rPr>
          <w:rFonts w:asciiTheme="minorHAnsi" w:eastAsiaTheme="minorEastAsia" w:hAnsiTheme="minorHAnsi" w:cstheme="minorHAnsi"/>
          <w:sz w:val="22"/>
          <w:szCs w:val="22"/>
        </w:rPr>
        <w:t xml:space="preserve">all </w:t>
      </w:r>
      <w:r w:rsidR="007F49B9" w:rsidRPr="00EA7262">
        <w:rPr>
          <w:rFonts w:asciiTheme="minorHAnsi" w:eastAsiaTheme="minorEastAsia" w:hAnsiTheme="minorHAnsi" w:cstheme="minorHAnsi"/>
          <w:sz w:val="22"/>
          <w:szCs w:val="22"/>
        </w:rPr>
        <w:t>children immediately after their identification</w:t>
      </w:r>
      <w:r w:rsidR="0032510E" w:rsidRPr="00EA7262">
        <w:rPr>
          <w:rFonts w:asciiTheme="minorHAnsi" w:eastAsiaTheme="minorEastAsia" w:hAnsiTheme="minorHAnsi" w:cstheme="minorHAnsi"/>
          <w:sz w:val="22"/>
          <w:szCs w:val="22"/>
        </w:rPr>
        <w:t xml:space="preserve">, </w:t>
      </w:r>
      <w:r w:rsidRPr="00EA7262">
        <w:rPr>
          <w:rFonts w:asciiTheme="minorHAnsi" w:eastAsiaTheme="minorEastAsia" w:hAnsiTheme="minorHAnsi" w:cstheme="minorHAnsi"/>
          <w:sz w:val="22"/>
          <w:szCs w:val="22"/>
        </w:rPr>
        <w:t xml:space="preserve">we are concerned about </w:t>
      </w:r>
      <w:r w:rsidR="0032510E" w:rsidRPr="00EA7262">
        <w:rPr>
          <w:rFonts w:asciiTheme="minorHAnsi" w:eastAsiaTheme="minorEastAsia" w:hAnsiTheme="minorHAnsi" w:cstheme="minorHAnsi"/>
          <w:sz w:val="22"/>
          <w:szCs w:val="22"/>
        </w:rPr>
        <w:t>children being placed in detention which i</w:t>
      </w:r>
      <w:r w:rsidR="003F6A67" w:rsidRPr="00EA7262">
        <w:rPr>
          <w:rFonts w:asciiTheme="minorHAnsi" w:eastAsiaTheme="minorEastAsia" w:hAnsiTheme="minorHAnsi" w:cstheme="minorHAnsi"/>
          <w:sz w:val="22"/>
          <w:szCs w:val="22"/>
        </w:rPr>
        <w:t xml:space="preserve">s in itself </w:t>
      </w:r>
      <w:r w:rsidR="0032510E" w:rsidRPr="00EA7262">
        <w:rPr>
          <w:rFonts w:asciiTheme="minorHAnsi" w:eastAsiaTheme="minorEastAsia" w:hAnsiTheme="minorHAnsi" w:cstheme="minorHAnsi"/>
          <w:sz w:val="22"/>
          <w:szCs w:val="22"/>
        </w:rPr>
        <w:t xml:space="preserve">a form of punishment and never in the best of interests of a child. </w:t>
      </w:r>
    </w:p>
    <w:p w14:paraId="30E09399" w14:textId="771EC801" w:rsidR="00D75A28" w:rsidRPr="00EA7262" w:rsidRDefault="00D75A28" w:rsidP="00EA7262">
      <w:pPr>
        <w:jc w:val="both"/>
        <w:rPr>
          <w:rFonts w:asciiTheme="minorHAnsi" w:eastAsiaTheme="minorEastAsia" w:hAnsiTheme="minorHAnsi" w:cstheme="minorHAnsi"/>
          <w:sz w:val="22"/>
          <w:szCs w:val="22"/>
        </w:rPr>
      </w:pPr>
    </w:p>
    <w:p w14:paraId="6A110125" w14:textId="60D19546" w:rsidR="00D75A28" w:rsidRPr="00EA7262" w:rsidRDefault="0032510E" w:rsidP="00EA7262">
      <w:pPr>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In Belgium, we note that if it has not been possible to properly identify victims, they sometimes run the risk of being expelled. In the past, Myria has already had the opportunity to draw attention to this problem and the need to properly train staff in detention centres. It may still be the case that some Nigerian victims for instance, who are not identified as potential victims, are detained in detention centres for repatriation.</w:t>
      </w:r>
    </w:p>
    <w:p w14:paraId="42FDF06E" w14:textId="350E0311" w:rsidR="3A06CAC6" w:rsidRPr="00EA7262" w:rsidRDefault="3A06CAC6" w:rsidP="00EA7262">
      <w:pPr>
        <w:jc w:val="both"/>
        <w:rPr>
          <w:rFonts w:asciiTheme="minorHAnsi" w:eastAsiaTheme="minorEastAsia" w:hAnsiTheme="minorHAnsi" w:cstheme="minorHAnsi"/>
          <w:sz w:val="22"/>
          <w:szCs w:val="22"/>
        </w:rPr>
      </w:pPr>
    </w:p>
    <w:p w14:paraId="527F0C0B" w14:textId="3990B79F" w:rsidR="3540AC33" w:rsidRPr="00EA7262" w:rsidRDefault="3540AC33" w:rsidP="00EA7262">
      <w:pPr>
        <w:jc w:val="both"/>
        <w:rPr>
          <w:rFonts w:asciiTheme="minorHAnsi" w:eastAsiaTheme="minorEastAsia" w:hAnsiTheme="minorHAnsi" w:cstheme="minorHAnsi"/>
          <w:b/>
          <w:bCs/>
          <w:color w:val="000000" w:themeColor="text1"/>
          <w:sz w:val="22"/>
          <w:szCs w:val="22"/>
        </w:rPr>
      </w:pPr>
      <w:r w:rsidRPr="00EA7262">
        <w:rPr>
          <w:rFonts w:asciiTheme="minorHAnsi" w:eastAsiaTheme="minorEastAsia" w:hAnsiTheme="minorHAnsi" w:cstheme="minorHAnsi"/>
          <w:b/>
          <w:bCs/>
          <w:color w:val="000000" w:themeColor="text1"/>
          <w:sz w:val="22"/>
          <w:szCs w:val="22"/>
        </w:rPr>
        <w:t>The impact of COVID-19</w:t>
      </w:r>
    </w:p>
    <w:p w14:paraId="7C0AAF8B" w14:textId="33593BA5" w:rsidR="3A06CAC6" w:rsidRPr="00EA7262" w:rsidRDefault="3A06CAC6" w:rsidP="00EA7262">
      <w:pPr>
        <w:jc w:val="both"/>
        <w:rPr>
          <w:rFonts w:asciiTheme="minorHAnsi" w:eastAsiaTheme="minorEastAsia" w:hAnsiTheme="minorHAnsi" w:cstheme="minorHAnsi"/>
          <w:color w:val="000000" w:themeColor="text1"/>
          <w:sz w:val="22"/>
          <w:szCs w:val="22"/>
        </w:rPr>
      </w:pPr>
    </w:p>
    <w:p w14:paraId="3E18A75B" w14:textId="4F73759F" w:rsidR="3540AC33" w:rsidRPr="00EA7262" w:rsidRDefault="3540AC33" w:rsidP="00EA7262">
      <w:p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color w:val="000000" w:themeColor="text1"/>
          <w:sz w:val="22"/>
          <w:szCs w:val="22"/>
        </w:rPr>
        <w:t>Finally, during</w:t>
      </w:r>
      <w:r w:rsidRPr="00EA7262">
        <w:rPr>
          <w:rFonts w:asciiTheme="minorHAnsi" w:eastAsiaTheme="minorEastAsia" w:hAnsiTheme="minorHAnsi" w:cstheme="minorHAnsi"/>
          <w:b/>
          <w:bCs/>
          <w:color w:val="000000" w:themeColor="text1"/>
          <w:sz w:val="22"/>
          <w:szCs w:val="22"/>
        </w:rPr>
        <w:t xml:space="preserve"> COVID-19 </w:t>
      </w:r>
      <w:r w:rsidRPr="00EA7262">
        <w:rPr>
          <w:rFonts w:asciiTheme="minorHAnsi" w:eastAsiaTheme="minorEastAsia" w:hAnsiTheme="minorHAnsi" w:cstheme="minorHAnsi"/>
          <w:color w:val="000000" w:themeColor="text1"/>
          <w:sz w:val="22"/>
          <w:szCs w:val="22"/>
        </w:rPr>
        <w:t>and against the backdrop of mass, and often forced returns, we witnessed restricted abilities and capacities for states to identify child victims of trafficking owing to the short time frames, high numbers of returns and the conditions imposed by COVID-19, which meant that the</w:t>
      </w:r>
      <w:r w:rsidRPr="00EA7262">
        <w:rPr>
          <w:rFonts w:asciiTheme="minorHAnsi" w:eastAsiaTheme="minorEastAsia" w:hAnsiTheme="minorHAnsi" w:cstheme="minorHAnsi"/>
          <w:b/>
          <w:bCs/>
          <w:color w:val="000000" w:themeColor="text1"/>
          <w:sz w:val="22"/>
          <w:szCs w:val="22"/>
        </w:rPr>
        <w:t xml:space="preserve"> failure to detect victims of trafficking intensified further </w:t>
      </w:r>
      <w:r w:rsidRPr="00EA7262">
        <w:rPr>
          <w:rFonts w:asciiTheme="minorHAnsi" w:eastAsiaTheme="minorEastAsia" w:hAnsiTheme="minorHAnsi" w:cstheme="minorHAnsi"/>
          <w:color w:val="000000" w:themeColor="text1"/>
          <w:sz w:val="22"/>
          <w:szCs w:val="22"/>
        </w:rPr>
        <w:t xml:space="preserve">in certain contexts over the past year. Additionally, it must be noted that, COVID-19 has </w:t>
      </w:r>
      <w:r w:rsidRPr="00EA7262">
        <w:rPr>
          <w:rFonts w:asciiTheme="minorHAnsi" w:eastAsiaTheme="minorEastAsia" w:hAnsiTheme="minorHAnsi" w:cstheme="minorHAnsi"/>
          <w:b/>
          <w:bCs/>
          <w:color w:val="000000" w:themeColor="text1"/>
          <w:sz w:val="22"/>
          <w:szCs w:val="22"/>
        </w:rPr>
        <w:t>compounded risks for children to be trafficked</w:t>
      </w:r>
      <w:r w:rsidRPr="00EA7262">
        <w:rPr>
          <w:rFonts w:asciiTheme="minorHAnsi" w:eastAsiaTheme="minorEastAsia" w:hAnsiTheme="minorHAnsi" w:cstheme="minorHAnsi"/>
          <w:color w:val="000000" w:themeColor="text1"/>
          <w:sz w:val="22"/>
          <w:szCs w:val="22"/>
        </w:rPr>
        <w:t>, including among those stranded, unable to return and with no access to regular pathways; with lockdown measures and school closures creating obstacles for children to rejoin education systems and be connected with child and social protection systems; and in the absence of livelihood options and reintegration support compounding destitution for families.</w:t>
      </w:r>
    </w:p>
    <w:p w14:paraId="5D09FD60" w14:textId="448E6A65" w:rsidR="3A06CAC6" w:rsidRPr="00EA7262" w:rsidRDefault="3A06CAC6" w:rsidP="00EA7262">
      <w:pPr>
        <w:jc w:val="both"/>
        <w:rPr>
          <w:rFonts w:asciiTheme="minorHAnsi" w:eastAsiaTheme="minorEastAsia" w:hAnsiTheme="minorHAnsi" w:cstheme="minorHAnsi"/>
          <w:sz w:val="22"/>
          <w:szCs w:val="22"/>
        </w:rPr>
      </w:pPr>
    </w:p>
    <w:p w14:paraId="277F9560" w14:textId="73FC99E1" w:rsidR="005B5165" w:rsidRPr="00EA7262" w:rsidRDefault="005B5165" w:rsidP="00EA7262">
      <w:pPr>
        <w:pStyle w:val="Heading1"/>
        <w:jc w:val="both"/>
        <w:rPr>
          <w:rFonts w:asciiTheme="minorHAnsi" w:eastAsiaTheme="minorEastAsia" w:hAnsiTheme="minorHAnsi" w:cstheme="minorHAnsi"/>
          <w:b/>
          <w:bCs/>
          <w:sz w:val="22"/>
          <w:szCs w:val="22"/>
          <w:u w:val="single"/>
        </w:rPr>
      </w:pPr>
      <w:r w:rsidRPr="00EA7262">
        <w:rPr>
          <w:rFonts w:asciiTheme="minorHAnsi" w:eastAsiaTheme="minorEastAsia" w:hAnsiTheme="minorHAnsi" w:cstheme="minorHAnsi"/>
          <w:b/>
          <w:bCs/>
          <w:sz w:val="22"/>
          <w:szCs w:val="22"/>
          <w:u w:val="single"/>
        </w:rPr>
        <w:t>Section 3 - Recommendations to Enhance the Implementation of the Non-punishment Principle for Child Victims of Trafficking</w:t>
      </w:r>
    </w:p>
    <w:p w14:paraId="58A611D5" w14:textId="77777777" w:rsidR="00131C55" w:rsidRPr="00EA7262" w:rsidRDefault="00131C55" w:rsidP="00EA7262">
      <w:pPr>
        <w:jc w:val="both"/>
        <w:rPr>
          <w:rFonts w:asciiTheme="minorHAnsi" w:eastAsiaTheme="minorEastAsia" w:hAnsiTheme="minorHAnsi" w:cstheme="minorHAnsi"/>
          <w:b/>
          <w:bCs/>
          <w:sz w:val="22"/>
          <w:szCs w:val="22"/>
        </w:rPr>
      </w:pPr>
    </w:p>
    <w:p w14:paraId="244EA9BC" w14:textId="71136F66" w:rsidR="00C10BF5" w:rsidRPr="00EA7262" w:rsidRDefault="00131C55" w:rsidP="00EA7262">
      <w:pPr>
        <w:pStyle w:val="ListParagraph"/>
        <w:numPr>
          <w:ilvl w:val="0"/>
          <w:numId w:val="14"/>
        </w:num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 xml:space="preserve">Ensure training and awareness-raising on </w:t>
      </w:r>
      <w:r w:rsidR="008558F0" w:rsidRPr="00EA7262">
        <w:rPr>
          <w:rFonts w:asciiTheme="minorHAnsi" w:eastAsiaTheme="minorEastAsia" w:hAnsiTheme="minorHAnsi" w:cstheme="minorHAnsi"/>
          <w:b/>
          <w:bCs/>
          <w:sz w:val="22"/>
          <w:szCs w:val="22"/>
        </w:rPr>
        <w:t xml:space="preserve">early </w:t>
      </w:r>
      <w:r w:rsidRPr="00EA7262">
        <w:rPr>
          <w:rFonts w:asciiTheme="minorHAnsi" w:eastAsiaTheme="minorEastAsia" w:hAnsiTheme="minorHAnsi" w:cstheme="minorHAnsi"/>
          <w:b/>
          <w:bCs/>
          <w:sz w:val="22"/>
          <w:szCs w:val="22"/>
        </w:rPr>
        <w:t xml:space="preserve">identification and the protections from prosecution available for trafficked children is made widely available for all stakeholders involved throughout the process </w:t>
      </w:r>
    </w:p>
    <w:p w14:paraId="0DD978C2" w14:textId="77777777" w:rsidR="00C10BF5" w:rsidRPr="00EA7262" w:rsidRDefault="00C10BF5" w:rsidP="00EA7262">
      <w:pPr>
        <w:pStyle w:val="ListParagraph"/>
        <w:jc w:val="both"/>
        <w:rPr>
          <w:rFonts w:asciiTheme="minorHAnsi" w:eastAsiaTheme="minorEastAsia" w:hAnsiTheme="minorHAnsi" w:cstheme="minorHAnsi"/>
          <w:sz w:val="22"/>
          <w:szCs w:val="22"/>
        </w:rPr>
      </w:pPr>
    </w:p>
    <w:p w14:paraId="7CDBDB5F" w14:textId="701756DF" w:rsidR="00131C55" w:rsidRPr="00EA7262" w:rsidRDefault="00131C55" w:rsidP="00EA7262">
      <w:pPr>
        <w:pStyle w:val="ListParagraph"/>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 xml:space="preserve">As seen with the UK case study, there is variation in awareness of the provisions and the way in which they can be used to ensure children who may have been trafficked are not criminalised. Moreover, we continue to witness lack of awareness and difficulties in the identification of child victims which necessitates further capacity building and training. </w:t>
      </w:r>
    </w:p>
    <w:p w14:paraId="3F626DF3" w14:textId="405B7D64" w:rsidR="00C10BF5" w:rsidRPr="00EA7262" w:rsidRDefault="00C10BF5" w:rsidP="00EA7262">
      <w:pPr>
        <w:pStyle w:val="ListParagraph"/>
        <w:jc w:val="both"/>
        <w:rPr>
          <w:rFonts w:asciiTheme="minorHAnsi" w:eastAsiaTheme="minorEastAsia" w:hAnsiTheme="minorHAnsi" w:cstheme="minorHAnsi"/>
          <w:sz w:val="22"/>
          <w:szCs w:val="22"/>
        </w:rPr>
      </w:pPr>
    </w:p>
    <w:p w14:paraId="7610F3EC" w14:textId="64D38920" w:rsidR="00C10BF5" w:rsidRPr="00EA7262" w:rsidRDefault="00C10BF5" w:rsidP="00EA7262">
      <w:pPr>
        <w:pStyle w:val="ListParagraph"/>
        <w:numPr>
          <w:ilvl w:val="0"/>
          <w:numId w:val="14"/>
        </w:num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 xml:space="preserve">Strengthen </w:t>
      </w:r>
      <w:r w:rsidR="008558F0" w:rsidRPr="00EA7262">
        <w:rPr>
          <w:rFonts w:asciiTheme="minorHAnsi" w:eastAsiaTheme="minorEastAsia" w:hAnsiTheme="minorHAnsi" w:cstheme="minorHAnsi"/>
          <w:b/>
          <w:bCs/>
          <w:sz w:val="22"/>
          <w:szCs w:val="22"/>
        </w:rPr>
        <w:t>efforts</w:t>
      </w:r>
      <w:r w:rsidR="00C428D6" w:rsidRPr="00EA7262">
        <w:rPr>
          <w:rFonts w:asciiTheme="minorHAnsi" w:eastAsiaTheme="minorEastAsia" w:hAnsiTheme="minorHAnsi" w:cstheme="minorHAnsi"/>
          <w:b/>
          <w:bCs/>
          <w:sz w:val="22"/>
          <w:szCs w:val="22"/>
        </w:rPr>
        <w:t xml:space="preserve"> </w:t>
      </w:r>
      <w:r w:rsidR="008558F0" w:rsidRPr="00EA7262">
        <w:rPr>
          <w:rFonts w:asciiTheme="minorHAnsi" w:eastAsiaTheme="minorEastAsia" w:hAnsiTheme="minorHAnsi" w:cstheme="minorHAnsi"/>
          <w:b/>
          <w:bCs/>
          <w:sz w:val="22"/>
          <w:szCs w:val="22"/>
        </w:rPr>
        <w:t>to identify victims and potential victims promptly, including</w:t>
      </w:r>
      <w:r w:rsidR="00C428D6" w:rsidRPr="00EA7262">
        <w:rPr>
          <w:rFonts w:asciiTheme="minorHAnsi" w:eastAsiaTheme="minorEastAsia" w:hAnsiTheme="minorHAnsi" w:cstheme="minorHAnsi"/>
          <w:b/>
          <w:bCs/>
          <w:sz w:val="22"/>
          <w:szCs w:val="22"/>
        </w:rPr>
        <w:t xml:space="preserve"> </w:t>
      </w:r>
      <w:r w:rsidRPr="00EA7262">
        <w:rPr>
          <w:rFonts w:asciiTheme="minorHAnsi" w:eastAsiaTheme="minorEastAsia" w:hAnsiTheme="minorHAnsi" w:cstheme="minorHAnsi"/>
          <w:b/>
          <w:bCs/>
          <w:sz w:val="22"/>
          <w:szCs w:val="22"/>
        </w:rPr>
        <w:t xml:space="preserve">during contexts of </w:t>
      </w:r>
      <w:r w:rsidRPr="00EA7262">
        <w:rPr>
          <w:rFonts w:asciiTheme="minorHAnsi" w:eastAsiaTheme="minorEastAsia" w:hAnsiTheme="minorHAnsi" w:cstheme="minorHAnsi"/>
          <w:b/>
          <w:bCs/>
          <w:color w:val="000000" w:themeColor="text1"/>
          <w:sz w:val="22"/>
          <w:szCs w:val="22"/>
        </w:rPr>
        <w:t>returns</w:t>
      </w:r>
      <w:r w:rsidR="008558F0" w:rsidRPr="00EA7262">
        <w:rPr>
          <w:rFonts w:asciiTheme="minorHAnsi" w:eastAsiaTheme="minorEastAsia" w:hAnsiTheme="minorHAnsi" w:cstheme="minorHAnsi"/>
          <w:b/>
          <w:bCs/>
          <w:color w:val="000000" w:themeColor="text1"/>
          <w:sz w:val="22"/>
          <w:szCs w:val="22"/>
        </w:rPr>
        <w:t>,</w:t>
      </w:r>
      <w:r w:rsidRPr="00EA7262">
        <w:rPr>
          <w:rFonts w:asciiTheme="minorHAnsi" w:eastAsiaTheme="minorEastAsia" w:hAnsiTheme="minorHAnsi" w:cstheme="minorHAnsi"/>
          <w:b/>
          <w:bCs/>
          <w:color w:val="000000" w:themeColor="text1"/>
          <w:sz w:val="22"/>
          <w:szCs w:val="22"/>
        </w:rPr>
        <w:t xml:space="preserve"> to ensure the proper identification of child victims of trafficking</w:t>
      </w:r>
      <w:r w:rsidR="00FC0662" w:rsidRPr="00EA7262">
        <w:rPr>
          <w:rFonts w:asciiTheme="minorHAnsi" w:eastAsiaTheme="minorEastAsia" w:hAnsiTheme="minorHAnsi" w:cstheme="minorHAnsi"/>
          <w:b/>
          <w:bCs/>
          <w:color w:val="000000" w:themeColor="text1"/>
          <w:sz w:val="22"/>
          <w:szCs w:val="22"/>
        </w:rPr>
        <w:t>.</w:t>
      </w:r>
      <w:r w:rsidR="4A2240B8" w:rsidRPr="00EA7262">
        <w:rPr>
          <w:rFonts w:asciiTheme="minorHAnsi" w:eastAsiaTheme="minorEastAsia" w:hAnsiTheme="minorHAnsi" w:cstheme="minorHAnsi"/>
          <w:color w:val="000000" w:themeColor="text1"/>
          <w:sz w:val="22"/>
          <w:szCs w:val="22"/>
        </w:rPr>
        <w:t xml:space="preserve"> This includes promptly and systematically appointing a qualified </w:t>
      </w:r>
      <w:r w:rsidR="4A2240B8" w:rsidRPr="00EA7262">
        <w:rPr>
          <w:rFonts w:asciiTheme="minorHAnsi" w:eastAsiaTheme="minorEastAsia" w:hAnsiTheme="minorHAnsi" w:cstheme="minorHAnsi"/>
          <w:sz w:val="22"/>
          <w:szCs w:val="22"/>
        </w:rPr>
        <w:t>guardian for all unaccompanied or separated children</w:t>
      </w:r>
      <w:r w:rsidR="02608F86" w:rsidRPr="00EA7262">
        <w:rPr>
          <w:rFonts w:asciiTheme="minorHAnsi" w:eastAsiaTheme="minorEastAsia" w:hAnsiTheme="minorHAnsi" w:cstheme="minorHAnsi"/>
          <w:sz w:val="22"/>
          <w:szCs w:val="22"/>
        </w:rPr>
        <w:t>, so that they have a reference person they trust, facilitating identification.</w:t>
      </w:r>
    </w:p>
    <w:p w14:paraId="31D8AF02" w14:textId="77777777" w:rsidR="00C10BF5" w:rsidRPr="00EA7262" w:rsidRDefault="00C10BF5" w:rsidP="00EA7262">
      <w:pPr>
        <w:pStyle w:val="ListParagraph"/>
        <w:jc w:val="both"/>
        <w:rPr>
          <w:rFonts w:asciiTheme="minorHAnsi" w:eastAsiaTheme="minorEastAsia" w:hAnsiTheme="minorHAnsi" w:cstheme="minorHAnsi"/>
          <w:b/>
          <w:bCs/>
          <w:sz w:val="22"/>
          <w:szCs w:val="22"/>
        </w:rPr>
      </w:pPr>
    </w:p>
    <w:p w14:paraId="1AF2293B" w14:textId="41BE9234" w:rsidR="00C428D6" w:rsidRPr="00EA7262" w:rsidRDefault="00C10BF5" w:rsidP="00EA7262">
      <w:pPr>
        <w:pStyle w:val="ListParagraph"/>
        <w:numPr>
          <w:ilvl w:val="0"/>
          <w:numId w:val="14"/>
        </w:num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Provision of safe and suitable accommodation for all child victims and ensur</w:t>
      </w:r>
      <w:r w:rsidR="008558F0" w:rsidRPr="00EA7262">
        <w:rPr>
          <w:rFonts w:asciiTheme="minorHAnsi" w:eastAsiaTheme="minorEastAsia" w:hAnsiTheme="minorHAnsi" w:cstheme="minorHAnsi"/>
          <w:b/>
          <w:bCs/>
          <w:sz w:val="22"/>
          <w:szCs w:val="22"/>
        </w:rPr>
        <w:t>e</w:t>
      </w:r>
      <w:r w:rsidRPr="00EA7262">
        <w:rPr>
          <w:rFonts w:asciiTheme="minorHAnsi" w:eastAsiaTheme="minorEastAsia" w:hAnsiTheme="minorHAnsi" w:cstheme="minorHAnsi"/>
          <w:b/>
          <w:bCs/>
          <w:sz w:val="22"/>
          <w:szCs w:val="22"/>
        </w:rPr>
        <w:t xml:space="preserve"> that staff responsible for care and protection </w:t>
      </w:r>
      <w:r w:rsidR="00C428D6" w:rsidRPr="00EA7262">
        <w:rPr>
          <w:rFonts w:asciiTheme="minorHAnsi" w:eastAsiaTheme="minorEastAsia" w:hAnsiTheme="minorHAnsi" w:cstheme="minorHAnsi"/>
          <w:b/>
          <w:bCs/>
          <w:sz w:val="22"/>
          <w:szCs w:val="22"/>
        </w:rPr>
        <w:t>understand</w:t>
      </w:r>
      <w:r w:rsidRPr="00EA7262">
        <w:rPr>
          <w:rFonts w:asciiTheme="minorHAnsi" w:eastAsiaTheme="minorEastAsia" w:hAnsiTheme="minorHAnsi" w:cstheme="minorHAnsi"/>
          <w:b/>
          <w:bCs/>
          <w:sz w:val="22"/>
          <w:szCs w:val="22"/>
        </w:rPr>
        <w:t xml:space="preserve"> the child’s rights, are age and gender-sensitive, and are able to </w:t>
      </w:r>
      <w:r w:rsidR="00C428D6" w:rsidRPr="00EA7262">
        <w:rPr>
          <w:rFonts w:asciiTheme="minorHAnsi" w:eastAsiaTheme="minorEastAsia" w:hAnsiTheme="minorHAnsi" w:cstheme="minorHAnsi"/>
          <w:b/>
          <w:bCs/>
          <w:sz w:val="22"/>
          <w:szCs w:val="22"/>
        </w:rPr>
        <w:t>adequately</w:t>
      </w:r>
      <w:r w:rsidRPr="00EA7262">
        <w:rPr>
          <w:rFonts w:asciiTheme="minorHAnsi" w:eastAsiaTheme="minorEastAsia" w:hAnsiTheme="minorHAnsi" w:cstheme="minorHAnsi"/>
          <w:b/>
          <w:bCs/>
          <w:sz w:val="22"/>
          <w:szCs w:val="22"/>
        </w:rPr>
        <w:t xml:space="preserve"> assist child</w:t>
      </w:r>
      <w:r w:rsidR="00C428D6" w:rsidRPr="00EA7262">
        <w:rPr>
          <w:rFonts w:asciiTheme="minorHAnsi" w:eastAsiaTheme="minorEastAsia" w:hAnsiTheme="minorHAnsi" w:cstheme="minorHAnsi"/>
          <w:b/>
          <w:bCs/>
          <w:sz w:val="22"/>
          <w:szCs w:val="22"/>
        </w:rPr>
        <w:t xml:space="preserve">ren </w:t>
      </w:r>
      <w:r w:rsidRPr="00EA7262">
        <w:rPr>
          <w:rFonts w:asciiTheme="minorHAnsi" w:eastAsiaTheme="minorEastAsia" w:hAnsiTheme="minorHAnsi" w:cstheme="minorHAnsi"/>
          <w:b/>
          <w:bCs/>
          <w:sz w:val="22"/>
          <w:szCs w:val="22"/>
        </w:rPr>
        <w:t>throughout the process.</w:t>
      </w:r>
    </w:p>
    <w:p w14:paraId="46FBB0E7" w14:textId="77777777" w:rsidR="008558F0" w:rsidRPr="00EA7262" w:rsidRDefault="008558F0" w:rsidP="00EA7262">
      <w:pPr>
        <w:pStyle w:val="ListParagraph"/>
        <w:jc w:val="both"/>
        <w:rPr>
          <w:rFonts w:asciiTheme="minorHAnsi" w:eastAsiaTheme="minorEastAsia" w:hAnsiTheme="minorHAnsi" w:cstheme="minorHAnsi"/>
          <w:b/>
          <w:bCs/>
          <w:sz w:val="22"/>
          <w:szCs w:val="22"/>
        </w:rPr>
      </w:pPr>
    </w:p>
    <w:p w14:paraId="047EDA4C" w14:textId="0BC1C7FA" w:rsidR="00FC0662" w:rsidRPr="00EA7262" w:rsidRDefault="008558F0" w:rsidP="00EA7262">
      <w:pPr>
        <w:ind w:left="720"/>
        <w:jc w:val="both"/>
        <w:rPr>
          <w:rFonts w:asciiTheme="minorHAnsi" w:eastAsiaTheme="minorEastAsia" w:hAnsiTheme="minorHAnsi" w:cstheme="minorHAnsi"/>
          <w:sz w:val="22"/>
          <w:szCs w:val="22"/>
        </w:rPr>
      </w:pPr>
      <w:r w:rsidRPr="00EA7262">
        <w:rPr>
          <w:rFonts w:asciiTheme="minorHAnsi" w:eastAsiaTheme="minorEastAsia" w:hAnsiTheme="minorHAnsi" w:cstheme="minorHAnsi"/>
          <w:sz w:val="22"/>
          <w:szCs w:val="22"/>
        </w:rPr>
        <w:t xml:space="preserve">Child victims of trafficking should never be placed in detention or other facilities connected with law enforcement. </w:t>
      </w:r>
      <w:r w:rsidR="4D4E6F5D" w:rsidRPr="00EA7262">
        <w:rPr>
          <w:rFonts w:asciiTheme="minorHAnsi" w:eastAsiaTheme="minorEastAsia" w:hAnsiTheme="minorHAnsi" w:cstheme="minorHAnsi"/>
          <w:sz w:val="22"/>
          <w:szCs w:val="22"/>
        </w:rPr>
        <w:t xml:space="preserve">Please see: </w:t>
      </w:r>
      <w:hyperlink r:id="rId15">
        <w:r w:rsidR="4D4E6F5D" w:rsidRPr="00EA7262">
          <w:rPr>
            <w:rStyle w:val="Hyperlink"/>
            <w:rFonts w:asciiTheme="minorHAnsi" w:eastAsiaTheme="minorEastAsia" w:hAnsiTheme="minorHAnsi" w:cstheme="minorHAnsi"/>
            <w:sz w:val="22"/>
            <w:szCs w:val="22"/>
          </w:rPr>
          <w:t>Alternatives to immigration detention of children | UNICEF</w:t>
        </w:r>
      </w:hyperlink>
    </w:p>
    <w:p w14:paraId="423A63D8" w14:textId="7F2D1369" w:rsidR="00C10BF5" w:rsidRPr="00EA7262" w:rsidRDefault="00C10BF5" w:rsidP="00EA7262">
      <w:pPr>
        <w:pStyle w:val="NormalWeb"/>
        <w:numPr>
          <w:ilvl w:val="0"/>
          <w:numId w:val="14"/>
        </w:num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Ensure that stakeholders prioritise and promote the well-being of children and act in their best interests even where circumstances are unclear and there are doubts around the relationship between the offence and trafficking</w:t>
      </w:r>
      <w:r w:rsidR="00FC0662" w:rsidRPr="00EA7262">
        <w:rPr>
          <w:rFonts w:asciiTheme="minorHAnsi" w:eastAsiaTheme="minorEastAsia" w:hAnsiTheme="minorHAnsi" w:cstheme="minorHAnsi"/>
          <w:b/>
          <w:bCs/>
          <w:sz w:val="22"/>
          <w:szCs w:val="22"/>
        </w:rPr>
        <w:t>.</w:t>
      </w:r>
    </w:p>
    <w:p w14:paraId="4E3D3136" w14:textId="77777777" w:rsidR="00C10BF5" w:rsidRPr="00EA7262" w:rsidRDefault="00C10BF5" w:rsidP="00EA7262">
      <w:pPr>
        <w:jc w:val="both"/>
        <w:rPr>
          <w:rFonts w:asciiTheme="minorHAnsi" w:eastAsiaTheme="minorEastAsia" w:hAnsiTheme="minorHAnsi" w:cstheme="minorHAnsi"/>
          <w:b/>
          <w:bCs/>
          <w:sz w:val="22"/>
          <w:szCs w:val="22"/>
        </w:rPr>
      </w:pPr>
    </w:p>
    <w:p w14:paraId="0A1AD604" w14:textId="77777777" w:rsidR="00C10BF5" w:rsidRPr="00EA7262" w:rsidRDefault="005B5165" w:rsidP="00EA7262">
      <w:pPr>
        <w:pStyle w:val="ListParagraph"/>
        <w:numPr>
          <w:ilvl w:val="0"/>
          <w:numId w:val="14"/>
        </w:numPr>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b/>
          <w:bCs/>
          <w:sz w:val="22"/>
          <w:szCs w:val="22"/>
        </w:rPr>
        <w:t>Mechanisms</w:t>
      </w:r>
      <w:r w:rsidR="00131C55" w:rsidRPr="00EA7262">
        <w:rPr>
          <w:rFonts w:asciiTheme="minorHAnsi" w:eastAsiaTheme="minorEastAsia" w:hAnsiTheme="minorHAnsi" w:cstheme="minorHAnsi"/>
          <w:b/>
          <w:bCs/>
          <w:sz w:val="22"/>
          <w:szCs w:val="22"/>
        </w:rPr>
        <w:t xml:space="preserve"> to collect and share data </w:t>
      </w:r>
      <w:r w:rsidRPr="00EA7262">
        <w:rPr>
          <w:rFonts w:asciiTheme="minorHAnsi" w:eastAsiaTheme="minorEastAsia" w:hAnsiTheme="minorHAnsi" w:cstheme="minorHAnsi"/>
          <w:b/>
          <w:bCs/>
          <w:sz w:val="22"/>
          <w:szCs w:val="22"/>
        </w:rPr>
        <w:t xml:space="preserve">to monitor the implementation of the non-punishment principle </w:t>
      </w:r>
      <w:r w:rsidR="00131C55" w:rsidRPr="00EA7262">
        <w:rPr>
          <w:rFonts w:asciiTheme="minorHAnsi" w:eastAsiaTheme="minorEastAsia" w:hAnsiTheme="minorHAnsi" w:cstheme="minorHAnsi"/>
          <w:b/>
          <w:bCs/>
          <w:sz w:val="22"/>
          <w:szCs w:val="22"/>
        </w:rPr>
        <w:t xml:space="preserve">and the issues and nature of trafficking for children. </w:t>
      </w:r>
    </w:p>
    <w:p w14:paraId="5FB09C3C" w14:textId="77777777" w:rsidR="00C10BF5" w:rsidRPr="00EA7262" w:rsidRDefault="00C10BF5" w:rsidP="00EA7262">
      <w:pPr>
        <w:pStyle w:val="ListParagraph"/>
        <w:jc w:val="both"/>
        <w:rPr>
          <w:rFonts w:asciiTheme="minorHAnsi" w:eastAsiaTheme="minorEastAsia" w:hAnsiTheme="minorHAnsi" w:cstheme="minorHAnsi"/>
          <w:b/>
          <w:bCs/>
          <w:sz w:val="22"/>
          <w:szCs w:val="22"/>
        </w:rPr>
      </w:pPr>
    </w:p>
    <w:p w14:paraId="3DD2EB0C" w14:textId="77777777" w:rsidR="00C10BF5" w:rsidRPr="00EA7262" w:rsidRDefault="005B5165" w:rsidP="00EA7262">
      <w:pPr>
        <w:pStyle w:val="ListParagraph"/>
        <w:jc w:val="both"/>
        <w:rPr>
          <w:rFonts w:asciiTheme="minorHAnsi" w:eastAsiaTheme="minorEastAsia" w:hAnsiTheme="minorHAnsi" w:cstheme="minorHAnsi"/>
          <w:sz w:val="22"/>
          <w:szCs w:val="22"/>
          <w:lang w:eastAsia="en-US"/>
        </w:rPr>
      </w:pPr>
      <w:r w:rsidRPr="00EA7262">
        <w:rPr>
          <w:rFonts w:asciiTheme="minorHAnsi" w:eastAsiaTheme="minorEastAsia" w:hAnsiTheme="minorHAnsi" w:cstheme="minorHAnsi"/>
          <w:sz w:val="22"/>
          <w:szCs w:val="22"/>
          <w:lang w:eastAsia="en-US"/>
        </w:rPr>
        <w:t xml:space="preserve">The Dutch National Rapporteur on Trafficking in Human Beings and Sexual Violence against Children </w:t>
      </w:r>
      <w:hyperlink r:id="rId16">
        <w:r w:rsidRPr="00EA7262">
          <w:rPr>
            <w:rFonts w:asciiTheme="minorHAnsi" w:eastAsiaTheme="minorEastAsia" w:hAnsiTheme="minorHAnsi" w:cstheme="minorHAnsi"/>
            <w:color w:val="0563C1"/>
            <w:sz w:val="22"/>
            <w:szCs w:val="22"/>
            <w:u w:val="single"/>
            <w:lang w:eastAsia="en-US"/>
          </w:rPr>
          <w:t>has repeatedly recommended</w:t>
        </w:r>
      </w:hyperlink>
      <w:r w:rsidRPr="00EA7262">
        <w:rPr>
          <w:rFonts w:asciiTheme="minorHAnsi" w:eastAsiaTheme="minorEastAsia" w:hAnsiTheme="minorHAnsi" w:cstheme="minorHAnsi"/>
          <w:sz w:val="22"/>
          <w:szCs w:val="22"/>
          <w:lang w:eastAsia="en-US"/>
        </w:rPr>
        <w:t xml:space="preserve"> to conduct research into the issue of human trafficking in European context. In their </w:t>
      </w:r>
      <w:hyperlink r:id="rId17">
        <w:r w:rsidRPr="00EA7262">
          <w:rPr>
            <w:rFonts w:asciiTheme="minorHAnsi" w:eastAsiaTheme="minorEastAsia" w:hAnsiTheme="minorHAnsi" w:cstheme="minorHAnsi"/>
            <w:color w:val="0563C1"/>
            <w:sz w:val="22"/>
            <w:szCs w:val="22"/>
            <w:u w:val="single"/>
            <w:lang w:eastAsia="en-US"/>
          </w:rPr>
          <w:t>most recent report</w:t>
        </w:r>
      </w:hyperlink>
      <w:r w:rsidRPr="00EA7262">
        <w:rPr>
          <w:rFonts w:asciiTheme="minorHAnsi" w:eastAsiaTheme="minorEastAsia" w:hAnsiTheme="minorHAnsi" w:cstheme="minorHAnsi"/>
          <w:sz w:val="22"/>
          <w:szCs w:val="22"/>
          <w:lang w:eastAsia="en-US"/>
        </w:rPr>
        <w:t>, they underlined how an international research can map out the nature and extent of human trafficking, including the possible role of organized crime, to create insight into how the Dutch government can more effectively deal with reports of human trafficking, to better help victims and better trace perpetrators.</w:t>
      </w:r>
    </w:p>
    <w:p w14:paraId="31B737A0" w14:textId="77777777" w:rsidR="00C10BF5" w:rsidRPr="00EA7262" w:rsidRDefault="00C10BF5" w:rsidP="00EA7262">
      <w:pPr>
        <w:pStyle w:val="ListParagraph"/>
        <w:jc w:val="both"/>
        <w:rPr>
          <w:rFonts w:asciiTheme="minorHAnsi" w:eastAsiaTheme="minorEastAsia" w:hAnsiTheme="minorHAnsi" w:cstheme="minorHAnsi"/>
          <w:sz w:val="22"/>
          <w:szCs w:val="22"/>
          <w:lang w:eastAsia="en-US"/>
        </w:rPr>
      </w:pPr>
    </w:p>
    <w:p w14:paraId="6CA06833" w14:textId="7C745BCC" w:rsidR="00D75A28" w:rsidRPr="00EA7262" w:rsidRDefault="00131C55" w:rsidP="00EA7262">
      <w:pPr>
        <w:pStyle w:val="ListParagraph"/>
        <w:jc w:val="both"/>
        <w:rPr>
          <w:rFonts w:asciiTheme="minorHAnsi" w:eastAsiaTheme="minorEastAsia" w:hAnsiTheme="minorHAnsi" w:cstheme="minorHAnsi"/>
          <w:b/>
          <w:bCs/>
          <w:sz w:val="22"/>
          <w:szCs w:val="22"/>
        </w:rPr>
      </w:pPr>
      <w:r w:rsidRPr="00EA7262">
        <w:rPr>
          <w:rFonts w:asciiTheme="minorHAnsi" w:eastAsiaTheme="minorEastAsia" w:hAnsiTheme="minorHAnsi" w:cstheme="minorHAnsi"/>
          <w:sz w:val="22"/>
          <w:szCs w:val="22"/>
        </w:rPr>
        <w:t xml:space="preserve">UNICEF UK also recommends that </w:t>
      </w:r>
      <w:r w:rsidR="008558F0" w:rsidRPr="00EA7262">
        <w:rPr>
          <w:rFonts w:asciiTheme="minorHAnsi" w:eastAsiaTheme="minorEastAsia" w:hAnsiTheme="minorHAnsi" w:cstheme="minorHAnsi"/>
          <w:sz w:val="22"/>
          <w:szCs w:val="22"/>
        </w:rPr>
        <w:t>mechanisms</w:t>
      </w:r>
      <w:r w:rsidRPr="00EA7262">
        <w:rPr>
          <w:rFonts w:asciiTheme="minorHAnsi" w:eastAsiaTheme="minorEastAsia" w:hAnsiTheme="minorHAnsi" w:cstheme="minorHAnsi"/>
          <w:sz w:val="22"/>
          <w:szCs w:val="22"/>
        </w:rPr>
        <w:t xml:space="preserve"> are put in place by the prosecuting agencies and government to properly monitor the implementation of the non-punishment principle across the UK, including by centrally recording data from individual cases such as the use of prosecutorial discretion in relevant cases, the raising of a statutory defence, and outcomes for a child where the statutory defence has been raised.</w:t>
      </w:r>
    </w:p>
    <w:p w14:paraId="6C3090C3" w14:textId="1E2E76D6" w:rsidR="00D75A28" w:rsidRPr="00EA7262" w:rsidRDefault="00D75A28" w:rsidP="00EA7262">
      <w:pPr>
        <w:jc w:val="both"/>
        <w:rPr>
          <w:rFonts w:asciiTheme="minorHAnsi" w:eastAsiaTheme="minorEastAsia" w:hAnsiTheme="minorHAnsi" w:cstheme="minorHAnsi"/>
          <w:sz w:val="22"/>
          <w:szCs w:val="22"/>
        </w:rPr>
      </w:pPr>
    </w:p>
    <w:p w14:paraId="3EEBCF4D" w14:textId="26D069BD" w:rsidR="00376A20" w:rsidRPr="00EA7262" w:rsidRDefault="00376A20" w:rsidP="00EA7262">
      <w:pPr>
        <w:jc w:val="both"/>
        <w:rPr>
          <w:rFonts w:asciiTheme="minorHAnsi" w:eastAsiaTheme="minorEastAsia" w:hAnsiTheme="minorHAnsi" w:cstheme="minorHAnsi"/>
          <w:sz w:val="22"/>
          <w:szCs w:val="22"/>
        </w:rPr>
      </w:pPr>
    </w:p>
    <w:sectPr w:rsidR="00376A20" w:rsidRPr="00EA7262" w:rsidSect="005F121D">
      <w:footerReference w:type="even" r:id="rId18"/>
      <w:footerReference w:type="default" r:id="rId19"/>
      <w:pgSz w:w="11900" w:h="16840"/>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D658B3" w16cex:dateUtc="2021-02-16T12: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45C04" w14:textId="77777777" w:rsidR="00507612" w:rsidRDefault="00507612" w:rsidP="002A36AF">
      <w:r>
        <w:separator/>
      </w:r>
    </w:p>
  </w:endnote>
  <w:endnote w:type="continuationSeparator" w:id="0">
    <w:p w14:paraId="6B25BE0E" w14:textId="77777777" w:rsidR="00507612" w:rsidRDefault="00507612" w:rsidP="002A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16165985"/>
      <w:docPartObj>
        <w:docPartGallery w:val="Page Numbers (Bottom of Page)"/>
        <w:docPartUnique/>
      </w:docPartObj>
    </w:sdtPr>
    <w:sdtEndPr>
      <w:rPr>
        <w:rStyle w:val="PageNumber"/>
      </w:rPr>
    </w:sdtEndPr>
    <w:sdtContent>
      <w:p w14:paraId="092F6B67" w14:textId="2D34F0CE" w:rsidR="003F6A67" w:rsidRDefault="003F6A67" w:rsidP="003F6A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D20C52" w14:textId="77777777" w:rsidR="003F6A67" w:rsidRDefault="003F6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62135666"/>
      <w:docPartObj>
        <w:docPartGallery w:val="Page Numbers (Bottom of Page)"/>
        <w:docPartUnique/>
      </w:docPartObj>
    </w:sdtPr>
    <w:sdtEndPr>
      <w:rPr>
        <w:rStyle w:val="PageNumber"/>
      </w:rPr>
    </w:sdtEndPr>
    <w:sdtContent>
      <w:p w14:paraId="305512F6" w14:textId="6F3C653D" w:rsidR="003F6A67" w:rsidRDefault="003F6A67" w:rsidP="003F6A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C2FAD">
          <w:rPr>
            <w:rStyle w:val="PageNumber"/>
            <w:noProof/>
          </w:rPr>
          <w:t>1</w:t>
        </w:r>
        <w:r>
          <w:rPr>
            <w:rStyle w:val="PageNumber"/>
          </w:rPr>
          <w:fldChar w:fldCharType="end"/>
        </w:r>
      </w:p>
    </w:sdtContent>
  </w:sdt>
  <w:p w14:paraId="5F5DE633" w14:textId="77777777" w:rsidR="003F6A67" w:rsidRDefault="003F6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6D88B" w14:textId="77777777" w:rsidR="00507612" w:rsidRDefault="00507612" w:rsidP="002A36AF">
      <w:r>
        <w:separator/>
      </w:r>
    </w:p>
  </w:footnote>
  <w:footnote w:type="continuationSeparator" w:id="0">
    <w:p w14:paraId="738363DF" w14:textId="77777777" w:rsidR="00507612" w:rsidRDefault="00507612" w:rsidP="002A36AF">
      <w:r>
        <w:continuationSeparator/>
      </w:r>
    </w:p>
  </w:footnote>
  <w:footnote w:id="1">
    <w:p w14:paraId="10CCF479" w14:textId="0A2C726D" w:rsidR="003F6A67" w:rsidRPr="00517531" w:rsidRDefault="003F6A67" w:rsidP="00D9000E">
      <w:pPr>
        <w:ind w:left="360"/>
        <w:rPr>
          <w:i/>
          <w:iCs/>
          <w:sz w:val="18"/>
          <w:szCs w:val="18"/>
        </w:rPr>
      </w:pPr>
      <w:r w:rsidRPr="00517531">
        <w:rPr>
          <w:rStyle w:val="FootnoteReference"/>
          <w:sz w:val="18"/>
          <w:szCs w:val="18"/>
        </w:rPr>
        <w:footnoteRef/>
      </w:r>
      <w:r w:rsidRPr="00517531">
        <w:rPr>
          <w:sz w:val="18"/>
          <w:szCs w:val="18"/>
        </w:rPr>
        <w:t xml:space="preserve"> </w:t>
      </w:r>
      <w:r w:rsidRPr="00517531">
        <w:rPr>
          <w:i/>
          <w:iCs/>
          <w:sz w:val="18"/>
          <w:szCs w:val="18"/>
        </w:rPr>
        <w:t xml:space="preserve">More details on the legislation can be found in “Victim, not criminal”, UNICEF UK, 2017, available </w:t>
      </w:r>
      <w:hyperlink r:id="rId1" w:history="1">
        <w:r w:rsidRPr="00517531">
          <w:rPr>
            <w:rStyle w:val="Hyperlink"/>
            <w:i/>
            <w:iCs/>
            <w:sz w:val="18"/>
            <w:szCs w:val="18"/>
          </w:rPr>
          <w:t>here</w:t>
        </w:r>
      </w:hyperlink>
      <w:r w:rsidRPr="00517531">
        <w:rPr>
          <w:i/>
          <w:iCs/>
          <w:sz w:val="18"/>
          <w:szCs w:val="18"/>
        </w:rPr>
        <w:t xml:space="preserve">. </w:t>
      </w:r>
    </w:p>
  </w:footnote>
  <w:footnote w:id="2">
    <w:p w14:paraId="0980D030" w14:textId="624E3F42" w:rsidR="003F6A67" w:rsidRPr="00517531" w:rsidRDefault="003F6A67" w:rsidP="00EA7262">
      <w:pPr>
        <w:ind w:left="360"/>
        <w:rPr>
          <w:sz w:val="18"/>
          <w:szCs w:val="18"/>
        </w:rPr>
      </w:pPr>
      <w:r w:rsidRPr="00517531">
        <w:rPr>
          <w:rStyle w:val="FootnoteReference"/>
          <w:sz w:val="18"/>
          <w:szCs w:val="18"/>
        </w:rPr>
        <w:footnoteRef/>
      </w:r>
      <w:r w:rsidRPr="00517531">
        <w:rPr>
          <w:sz w:val="18"/>
          <w:szCs w:val="18"/>
        </w:rPr>
        <w:t xml:space="preserve"> For more information on country lines, see </w:t>
      </w:r>
      <w:hyperlink r:id="rId2" w:history="1">
        <w:r w:rsidRPr="00517531">
          <w:rPr>
            <w:rStyle w:val="Hyperlink"/>
            <w:sz w:val="18"/>
            <w:szCs w:val="18"/>
          </w:rPr>
          <w:t>here</w:t>
        </w:r>
      </w:hyperlink>
      <w:r w:rsidRPr="00517531">
        <w:rPr>
          <w:sz w:val="18"/>
          <w:szCs w:val="18"/>
        </w:rPr>
        <w:t xml:space="preserve">. </w:t>
      </w:r>
    </w:p>
  </w:footnote>
  <w:footnote w:id="3">
    <w:p w14:paraId="5F52178C" w14:textId="40E24E2F" w:rsidR="00517531" w:rsidRPr="00517531" w:rsidRDefault="00517531" w:rsidP="00517531">
      <w:pPr>
        <w:pStyle w:val="Default"/>
        <w:rPr>
          <w:rFonts w:ascii="Times New Roman" w:hAnsi="Times New Roman" w:cs="Times New Roman"/>
          <w:b/>
          <w:bCs/>
          <w:sz w:val="18"/>
          <w:szCs w:val="18"/>
          <w:lang w:val="en-GB"/>
        </w:rPr>
      </w:pPr>
      <w:r w:rsidRPr="00517531">
        <w:rPr>
          <w:rStyle w:val="FootnoteReference"/>
          <w:rFonts w:ascii="Times New Roman" w:hAnsi="Times New Roman" w:cs="Times New Roman"/>
          <w:sz w:val="18"/>
          <w:szCs w:val="18"/>
        </w:rPr>
        <w:footnoteRef/>
      </w:r>
      <w:r w:rsidRPr="00517531">
        <w:rPr>
          <w:rFonts w:ascii="Times New Roman" w:hAnsi="Times New Roman" w:cs="Times New Roman"/>
          <w:sz w:val="18"/>
          <w:szCs w:val="18"/>
        </w:rPr>
        <w:t xml:space="preserve"> See also: </w:t>
      </w:r>
      <w:r w:rsidRPr="00517531">
        <w:rPr>
          <w:rFonts w:ascii="Times New Roman" w:hAnsi="Times New Roman" w:cs="Times New Roman"/>
          <w:sz w:val="18"/>
          <w:szCs w:val="18"/>
          <w:lang w:val="en-GB"/>
        </w:rPr>
        <w:t>“THE MODERN SLAVERY ACT 2015 STATUTORY DEFENCE: A call for evidence”, October 2020, UK’s Independent Anti-Slavery Commissioner</w:t>
      </w:r>
    </w:p>
  </w:footnote>
  <w:footnote w:id="4">
    <w:p w14:paraId="7881D87D" w14:textId="379AEE8A" w:rsidR="003F6A67" w:rsidRPr="00517531" w:rsidRDefault="003F6A67">
      <w:pPr>
        <w:pStyle w:val="FootnoteText"/>
        <w:rPr>
          <w:sz w:val="18"/>
          <w:szCs w:val="18"/>
        </w:rPr>
      </w:pPr>
      <w:r w:rsidRPr="00517531">
        <w:rPr>
          <w:rStyle w:val="FootnoteReference"/>
          <w:sz w:val="18"/>
          <w:szCs w:val="18"/>
        </w:rPr>
        <w:footnoteRef/>
      </w:r>
      <w:r w:rsidRPr="00517531">
        <w:rPr>
          <w:sz w:val="18"/>
          <w:szCs w:val="18"/>
        </w:rPr>
        <w:t xml:space="preserve"> See for examples: </w:t>
      </w:r>
      <w:hyperlink r:id="rId3" w:history="1">
        <w:r w:rsidRPr="00517531">
          <w:rPr>
            <w:rStyle w:val="Hyperlink"/>
            <w:sz w:val="18"/>
            <w:szCs w:val="18"/>
          </w:rPr>
          <w:t>annual report 2018</w:t>
        </w:r>
      </w:hyperlink>
      <w:r w:rsidRPr="00517531">
        <w:rPr>
          <w:sz w:val="18"/>
          <w:szCs w:val="18"/>
        </w:rPr>
        <w:t xml:space="preserve"> (profiles of underaged victims forced to commit crimes, pp.27-30).</w:t>
      </w:r>
    </w:p>
  </w:footnote>
  <w:footnote w:id="5">
    <w:p w14:paraId="47857C49" w14:textId="662E87D4" w:rsidR="003F6A67" w:rsidRPr="00517531" w:rsidRDefault="003F6A67">
      <w:pPr>
        <w:pStyle w:val="FootnoteText"/>
        <w:rPr>
          <w:sz w:val="18"/>
          <w:szCs w:val="18"/>
        </w:rPr>
      </w:pPr>
      <w:r w:rsidRPr="00517531">
        <w:rPr>
          <w:rStyle w:val="FootnoteReference"/>
          <w:sz w:val="18"/>
          <w:szCs w:val="18"/>
        </w:rPr>
        <w:footnoteRef/>
      </w:r>
      <w:r w:rsidRPr="00517531">
        <w:rPr>
          <w:sz w:val="18"/>
          <w:szCs w:val="18"/>
        </w:rPr>
        <w:t xml:space="preserve"> UNICEF UK, 2017, available </w:t>
      </w:r>
      <w:hyperlink r:id="rId4" w:history="1">
        <w:r w:rsidRPr="00517531">
          <w:rPr>
            <w:rStyle w:val="Hyperlink"/>
            <w:sz w:val="18"/>
            <w:szCs w:val="18"/>
          </w:rPr>
          <w:t>here</w:t>
        </w:r>
      </w:hyperlink>
    </w:p>
  </w:footnote>
  <w:footnote w:id="6">
    <w:p w14:paraId="1082697F" w14:textId="1DA1624C" w:rsidR="3A06CAC6" w:rsidRPr="00517531" w:rsidRDefault="3A06CAC6" w:rsidP="3A06CAC6">
      <w:pPr>
        <w:pStyle w:val="FootnoteText"/>
        <w:rPr>
          <w:sz w:val="18"/>
          <w:szCs w:val="18"/>
        </w:rPr>
      </w:pPr>
      <w:r w:rsidRPr="00517531">
        <w:rPr>
          <w:rStyle w:val="FootnoteReference"/>
          <w:sz w:val="18"/>
          <w:szCs w:val="18"/>
        </w:rPr>
        <w:footnoteRef/>
      </w:r>
      <w:r w:rsidRPr="00517531">
        <w:rPr>
          <w:sz w:val="18"/>
          <w:szCs w:val="18"/>
        </w:rPr>
        <w:t xml:space="preserve"> More information in the Press Release here </w:t>
      </w:r>
      <w:hyperlink r:id="rId5" w:anchor="{&quot;itemid&quot;:[&quot;003-6940249-9330764">
        <w:r w:rsidRPr="00517531">
          <w:rPr>
            <w:rStyle w:val="Hyperlink"/>
            <w:sz w:val="18"/>
            <w:szCs w:val="18"/>
          </w:rPr>
          <w:t>https://hudoc.echr.coe.int/eng-press#{"itemid":["003-6940249-9330764</w:t>
        </w:r>
      </w:hyperlink>
      <w:r w:rsidRPr="00517531">
        <w:rPr>
          <w:sz w:val="18"/>
          <w:szCs w:val="18"/>
        </w:rPr>
        <w:t xml:space="preserve">"]} and legal summary here </w:t>
      </w:r>
      <w:hyperlink r:id="rId6">
        <w:r w:rsidRPr="00517531">
          <w:rPr>
            <w:rStyle w:val="Hyperlink"/>
            <w:sz w:val="18"/>
            <w:szCs w:val="18"/>
          </w:rPr>
          <w:t>https://hudoc.echr.coe.int/eng?i=002-12882</w:t>
        </w:r>
      </w:hyperlink>
      <w:r w:rsidRPr="00517531">
        <w:rPr>
          <w:sz w:val="18"/>
          <w:szCs w:val="18"/>
        </w:rPr>
        <w:t xml:space="preserve"> </w:t>
      </w:r>
    </w:p>
  </w:footnote>
  <w:footnote w:id="7">
    <w:p w14:paraId="312BB47C" w14:textId="77777777" w:rsidR="003F6A67" w:rsidRPr="00517531" w:rsidRDefault="003F6A67" w:rsidP="00D9000E">
      <w:pPr>
        <w:rPr>
          <w:sz w:val="18"/>
          <w:szCs w:val="18"/>
          <w:lang w:val="nl-NL"/>
        </w:rPr>
      </w:pPr>
      <w:r w:rsidRPr="00517531">
        <w:rPr>
          <w:rStyle w:val="FootnoteReference"/>
          <w:sz w:val="18"/>
          <w:szCs w:val="18"/>
        </w:rPr>
        <w:footnoteRef/>
      </w:r>
      <w:r w:rsidRPr="00517531">
        <w:rPr>
          <w:sz w:val="18"/>
          <w:szCs w:val="18"/>
        </w:rPr>
        <w:t xml:space="preserve"> For more information (in Dutch): Argos ‘</w:t>
      </w:r>
      <w:hyperlink r:id="rId7" w:history="1">
        <w:r w:rsidRPr="00517531">
          <w:rPr>
            <w:rStyle w:val="Hyperlink"/>
            <w:sz w:val="18"/>
            <w:szCs w:val="18"/>
          </w:rPr>
          <w:t>Staatssecretaris doet of verdwenen Vietnamese amv’ers zijn gaan backpacken</w:t>
        </w:r>
      </w:hyperlink>
      <w:r w:rsidRPr="00517531">
        <w:rPr>
          <w:sz w:val="18"/>
          <w:szCs w:val="18"/>
        </w:rPr>
        <w:t xml:space="preserve">.’ </w:t>
      </w:r>
      <w:r w:rsidRPr="00517531">
        <w:rPr>
          <w:sz w:val="18"/>
          <w:szCs w:val="18"/>
          <w:lang w:val="sv-SE"/>
        </w:rPr>
        <w:t>25-03-2020 en Argos, ‘</w:t>
      </w:r>
      <w:hyperlink r:id="rId8" w:history="1">
        <w:r w:rsidRPr="00517531">
          <w:rPr>
            <w:rStyle w:val="Hyperlink"/>
            <w:sz w:val="18"/>
            <w:szCs w:val="18"/>
            <w:lang w:val="sv-SE"/>
          </w:rPr>
          <w:t>De laatste reis van Quyen en Hieu</w:t>
        </w:r>
      </w:hyperlink>
      <w:r w:rsidRPr="00517531">
        <w:rPr>
          <w:sz w:val="18"/>
          <w:szCs w:val="18"/>
          <w:lang w:val="sv-SE"/>
        </w:rPr>
        <w:t>.’ 23 januari 2021.</w:t>
      </w:r>
    </w:p>
    <w:p w14:paraId="513274D0" w14:textId="7D68D8DF" w:rsidR="003F6A67" w:rsidRPr="00517531" w:rsidRDefault="003F6A67">
      <w:pPr>
        <w:pStyle w:val="FootnoteText"/>
        <w:rPr>
          <w:sz w:val="18"/>
          <w:szCs w:val="18"/>
          <w:lang w:val="sv-S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1DDE"/>
    <w:multiLevelType w:val="hybridMultilevel"/>
    <w:tmpl w:val="88DE57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4C48D6"/>
    <w:multiLevelType w:val="hybridMultilevel"/>
    <w:tmpl w:val="0B3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65A70"/>
    <w:multiLevelType w:val="hybridMultilevel"/>
    <w:tmpl w:val="6CE4E3DC"/>
    <w:lvl w:ilvl="0" w:tplc="0F28B432">
      <w:start w:val="1"/>
      <w:numFmt w:val="bullet"/>
      <w:lvlText w:val="•"/>
      <w:lvlJc w:val="left"/>
      <w:pPr>
        <w:ind w:left="720" w:hanging="360"/>
      </w:pPr>
      <w:rPr>
        <w:rFonts w:ascii="Calibri" w:hAnsi="Calibri" w:hint="default"/>
      </w:rPr>
    </w:lvl>
    <w:lvl w:ilvl="1" w:tplc="8FD8FC5A">
      <w:start w:val="1"/>
      <w:numFmt w:val="bullet"/>
      <w:lvlText w:val="o"/>
      <w:lvlJc w:val="left"/>
      <w:pPr>
        <w:ind w:left="1440" w:hanging="360"/>
      </w:pPr>
      <w:rPr>
        <w:rFonts w:ascii="Courier New" w:hAnsi="Courier New" w:hint="default"/>
      </w:rPr>
    </w:lvl>
    <w:lvl w:ilvl="2" w:tplc="B3E4DEE4">
      <w:start w:val="1"/>
      <w:numFmt w:val="bullet"/>
      <w:lvlText w:val=""/>
      <w:lvlJc w:val="left"/>
      <w:pPr>
        <w:ind w:left="2160" w:hanging="360"/>
      </w:pPr>
      <w:rPr>
        <w:rFonts w:ascii="Wingdings" w:hAnsi="Wingdings" w:hint="default"/>
      </w:rPr>
    </w:lvl>
    <w:lvl w:ilvl="3" w:tplc="5ADAB936">
      <w:start w:val="1"/>
      <w:numFmt w:val="bullet"/>
      <w:lvlText w:val=""/>
      <w:lvlJc w:val="left"/>
      <w:pPr>
        <w:ind w:left="2880" w:hanging="360"/>
      </w:pPr>
      <w:rPr>
        <w:rFonts w:ascii="Symbol" w:hAnsi="Symbol" w:hint="default"/>
      </w:rPr>
    </w:lvl>
    <w:lvl w:ilvl="4" w:tplc="E222C55C">
      <w:start w:val="1"/>
      <w:numFmt w:val="bullet"/>
      <w:lvlText w:val="o"/>
      <w:lvlJc w:val="left"/>
      <w:pPr>
        <w:ind w:left="3600" w:hanging="360"/>
      </w:pPr>
      <w:rPr>
        <w:rFonts w:ascii="Courier New" w:hAnsi="Courier New" w:hint="default"/>
      </w:rPr>
    </w:lvl>
    <w:lvl w:ilvl="5" w:tplc="08BEA084">
      <w:start w:val="1"/>
      <w:numFmt w:val="bullet"/>
      <w:lvlText w:val=""/>
      <w:lvlJc w:val="left"/>
      <w:pPr>
        <w:ind w:left="4320" w:hanging="360"/>
      </w:pPr>
      <w:rPr>
        <w:rFonts w:ascii="Wingdings" w:hAnsi="Wingdings" w:hint="default"/>
      </w:rPr>
    </w:lvl>
    <w:lvl w:ilvl="6" w:tplc="6D804E7A">
      <w:start w:val="1"/>
      <w:numFmt w:val="bullet"/>
      <w:lvlText w:val=""/>
      <w:lvlJc w:val="left"/>
      <w:pPr>
        <w:ind w:left="5040" w:hanging="360"/>
      </w:pPr>
      <w:rPr>
        <w:rFonts w:ascii="Symbol" w:hAnsi="Symbol" w:hint="default"/>
      </w:rPr>
    </w:lvl>
    <w:lvl w:ilvl="7" w:tplc="2C6C9B3A">
      <w:start w:val="1"/>
      <w:numFmt w:val="bullet"/>
      <w:lvlText w:val="o"/>
      <w:lvlJc w:val="left"/>
      <w:pPr>
        <w:ind w:left="5760" w:hanging="360"/>
      </w:pPr>
      <w:rPr>
        <w:rFonts w:ascii="Courier New" w:hAnsi="Courier New" w:hint="default"/>
      </w:rPr>
    </w:lvl>
    <w:lvl w:ilvl="8" w:tplc="A55AE5E2">
      <w:start w:val="1"/>
      <w:numFmt w:val="bullet"/>
      <w:lvlText w:val=""/>
      <w:lvlJc w:val="left"/>
      <w:pPr>
        <w:ind w:left="6480" w:hanging="360"/>
      </w:pPr>
      <w:rPr>
        <w:rFonts w:ascii="Wingdings" w:hAnsi="Wingdings" w:hint="default"/>
      </w:rPr>
    </w:lvl>
  </w:abstractNum>
  <w:abstractNum w:abstractNumId="3" w15:restartNumberingAfterBreak="0">
    <w:nsid w:val="39DA0F90"/>
    <w:multiLevelType w:val="hybridMultilevel"/>
    <w:tmpl w:val="AE22E256"/>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369E0"/>
    <w:multiLevelType w:val="hybridMultilevel"/>
    <w:tmpl w:val="0D280BB8"/>
    <w:lvl w:ilvl="0" w:tplc="64F6B4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71098"/>
    <w:multiLevelType w:val="hybridMultilevel"/>
    <w:tmpl w:val="A4ACEB4A"/>
    <w:lvl w:ilvl="0" w:tplc="0C06838A">
      <w:start w:val="1"/>
      <w:numFmt w:val="bullet"/>
      <w:lvlText w:val="•"/>
      <w:lvlJc w:val="left"/>
      <w:pPr>
        <w:ind w:left="720" w:hanging="360"/>
      </w:pPr>
      <w:rPr>
        <w:rFonts w:ascii="Calibri" w:hAnsi="Calibri" w:hint="default"/>
      </w:rPr>
    </w:lvl>
    <w:lvl w:ilvl="1" w:tplc="BA8045A6">
      <w:start w:val="1"/>
      <w:numFmt w:val="bullet"/>
      <w:lvlText w:val="o"/>
      <w:lvlJc w:val="left"/>
      <w:pPr>
        <w:ind w:left="1440" w:hanging="360"/>
      </w:pPr>
      <w:rPr>
        <w:rFonts w:ascii="Courier New" w:hAnsi="Courier New" w:hint="default"/>
      </w:rPr>
    </w:lvl>
    <w:lvl w:ilvl="2" w:tplc="4238EBD2">
      <w:start w:val="1"/>
      <w:numFmt w:val="bullet"/>
      <w:lvlText w:val=""/>
      <w:lvlJc w:val="left"/>
      <w:pPr>
        <w:ind w:left="2160" w:hanging="360"/>
      </w:pPr>
      <w:rPr>
        <w:rFonts w:ascii="Wingdings" w:hAnsi="Wingdings" w:hint="default"/>
      </w:rPr>
    </w:lvl>
    <w:lvl w:ilvl="3" w:tplc="79460116">
      <w:start w:val="1"/>
      <w:numFmt w:val="bullet"/>
      <w:lvlText w:val=""/>
      <w:lvlJc w:val="left"/>
      <w:pPr>
        <w:ind w:left="2880" w:hanging="360"/>
      </w:pPr>
      <w:rPr>
        <w:rFonts w:ascii="Symbol" w:hAnsi="Symbol" w:hint="default"/>
      </w:rPr>
    </w:lvl>
    <w:lvl w:ilvl="4" w:tplc="03B0DD92">
      <w:start w:val="1"/>
      <w:numFmt w:val="bullet"/>
      <w:lvlText w:val="o"/>
      <w:lvlJc w:val="left"/>
      <w:pPr>
        <w:ind w:left="3600" w:hanging="360"/>
      </w:pPr>
      <w:rPr>
        <w:rFonts w:ascii="Courier New" w:hAnsi="Courier New" w:hint="default"/>
      </w:rPr>
    </w:lvl>
    <w:lvl w:ilvl="5" w:tplc="D9A674D6">
      <w:start w:val="1"/>
      <w:numFmt w:val="bullet"/>
      <w:lvlText w:val=""/>
      <w:lvlJc w:val="left"/>
      <w:pPr>
        <w:ind w:left="4320" w:hanging="360"/>
      </w:pPr>
      <w:rPr>
        <w:rFonts w:ascii="Wingdings" w:hAnsi="Wingdings" w:hint="default"/>
      </w:rPr>
    </w:lvl>
    <w:lvl w:ilvl="6" w:tplc="A2A28896">
      <w:start w:val="1"/>
      <w:numFmt w:val="bullet"/>
      <w:lvlText w:val=""/>
      <w:lvlJc w:val="left"/>
      <w:pPr>
        <w:ind w:left="5040" w:hanging="360"/>
      </w:pPr>
      <w:rPr>
        <w:rFonts w:ascii="Symbol" w:hAnsi="Symbol" w:hint="default"/>
      </w:rPr>
    </w:lvl>
    <w:lvl w:ilvl="7" w:tplc="591E6CD0">
      <w:start w:val="1"/>
      <w:numFmt w:val="bullet"/>
      <w:lvlText w:val="o"/>
      <w:lvlJc w:val="left"/>
      <w:pPr>
        <w:ind w:left="5760" w:hanging="360"/>
      </w:pPr>
      <w:rPr>
        <w:rFonts w:ascii="Courier New" w:hAnsi="Courier New" w:hint="default"/>
      </w:rPr>
    </w:lvl>
    <w:lvl w:ilvl="8" w:tplc="E24AF178">
      <w:start w:val="1"/>
      <w:numFmt w:val="bullet"/>
      <w:lvlText w:val=""/>
      <w:lvlJc w:val="left"/>
      <w:pPr>
        <w:ind w:left="6480" w:hanging="360"/>
      </w:pPr>
      <w:rPr>
        <w:rFonts w:ascii="Wingdings" w:hAnsi="Wingdings" w:hint="default"/>
      </w:rPr>
    </w:lvl>
  </w:abstractNum>
  <w:abstractNum w:abstractNumId="6" w15:restartNumberingAfterBreak="0">
    <w:nsid w:val="40960BAA"/>
    <w:multiLevelType w:val="hybridMultilevel"/>
    <w:tmpl w:val="37669472"/>
    <w:lvl w:ilvl="0" w:tplc="3258BF34">
      <w:start w:val="1"/>
      <w:numFmt w:val="bullet"/>
      <w:lvlText w:val=""/>
      <w:lvlJc w:val="left"/>
      <w:pPr>
        <w:tabs>
          <w:tab w:val="num" w:pos="720"/>
        </w:tabs>
        <w:ind w:left="720" w:hanging="360"/>
      </w:pPr>
      <w:rPr>
        <w:rFonts w:ascii="Symbol" w:hAnsi="Symbol" w:hint="default"/>
        <w:sz w:val="20"/>
      </w:rPr>
    </w:lvl>
    <w:lvl w:ilvl="1" w:tplc="BFA6C5D4" w:tentative="1">
      <w:start w:val="1"/>
      <w:numFmt w:val="bullet"/>
      <w:lvlText w:val="o"/>
      <w:lvlJc w:val="left"/>
      <w:pPr>
        <w:tabs>
          <w:tab w:val="num" w:pos="1440"/>
        </w:tabs>
        <w:ind w:left="1440" w:hanging="360"/>
      </w:pPr>
      <w:rPr>
        <w:rFonts w:ascii="Courier New" w:hAnsi="Courier New" w:hint="default"/>
        <w:sz w:val="20"/>
      </w:rPr>
    </w:lvl>
    <w:lvl w:ilvl="2" w:tplc="DA1AB112" w:tentative="1">
      <w:start w:val="1"/>
      <w:numFmt w:val="bullet"/>
      <w:lvlText w:val=""/>
      <w:lvlJc w:val="left"/>
      <w:pPr>
        <w:tabs>
          <w:tab w:val="num" w:pos="2160"/>
        </w:tabs>
        <w:ind w:left="2160" w:hanging="360"/>
      </w:pPr>
      <w:rPr>
        <w:rFonts w:ascii="Wingdings" w:hAnsi="Wingdings" w:hint="default"/>
        <w:sz w:val="20"/>
      </w:rPr>
    </w:lvl>
    <w:lvl w:ilvl="3" w:tplc="6E50635C" w:tentative="1">
      <w:start w:val="1"/>
      <w:numFmt w:val="bullet"/>
      <w:lvlText w:val=""/>
      <w:lvlJc w:val="left"/>
      <w:pPr>
        <w:tabs>
          <w:tab w:val="num" w:pos="2880"/>
        </w:tabs>
        <w:ind w:left="2880" w:hanging="360"/>
      </w:pPr>
      <w:rPr>
        <w:rFonts w:ascii="Wingdings" w:hAnsi="Wingdings" w:hint="default"/>
        <w:sz w:val="20"/>
      </w:rPr>
    </w:lvl>
    <w:lvl w:ilvl="4" w:tplc="3E26A2A4" w:tentative="1">
      <w:start w:val="1"/>
      <w:numFmt w:val="bullet"/>
      <w:lvlText w:val=""/>
      <w:lvlJc w:val="left"/>
      <w:pPr>
        <w:tabs>
          <w:tab w:val="num" w:pos="3600"/>
        </w:tabs>
        <w:ind w:left="3600" w:hanging="360"/>
      </w:pPr>
      <w:rPr>
        <w:rFonts w:ascii="Wingdings" w:hAnsi="Wingdings" w:hint="default"/>
        <w:sz w:val="20"/>
      </w:rPr>
    </w:lvl>
    <w:lvl w:ilvl="5" w:tplc="03B0C8A0" w:tentative="1">
      <w:start w:val="1"/>
      <w:numFmt w:val="bullet"/>
      <w:lvlText w:val=""/>
      <w:lvlJc w:val="left"/>
      <w:pPr>
        <w:tabs>
          <w:tab w:val="num" w:pos="4320"/>
        </w:tabs>
        <w:ind w:left="4320" w:hanging="360"/>
      </w:pPr>
      <w:rPr>
        <w:rFonts w:ascii="Wingdings" w:hAnsi="Wingdings" w:hint="default"/>
        <w:sz w:val="20"/>
      </w:rPr>
    </w:lvl>
    <w:lvl w:ilvl="6" w:tplc="5D620ED2" w:tentative="1">
      <w:start w:val="1"/>
      <w:numFmt w:val="bullet"/>
      <w:lvlText w:val=""/>
      <w:lvlJc w:val="left"/>
      <w:pPr>
        <w:tabs>
          <w:tab w:val="num" w:pos="5040"/>
        </w:tabs>
        <w:ind w:left="5040" w:hanging="360"/>
      </w:pPr>
      <w:rPr>
        <w:rFonts w:ascii="Wingdings" w:hAnsi="Wingdings" w:hint="default"/>
        <w:sz w:val="20"/>
      </w:rPr>
    </w:lvl>
    <w:lvl w:ilvl="7" w:tplc="0B74C4CC" w:tentative="1">
      <w:start w:val="1"/>
      <w:numFmt w:val="bullet"/>
      <w:lvlText w:val=""/>
      <w:lvlJc w:val="left"/>
      <w:pPr>
        <w:tabs>
          <w:tab w:val="num" w:pos="5760"/>
        </w:tabs>
        <w:ind w:left="5760" w:hanging="360"/>
      </w:pPr>
      <w:rPr>
        <w:rFonts w:ascii="Wingdings" w:hAnsi="Wingdings" w:hint="default"/>
        <w:sz w:val="20"/>
      </w:rPr>
    </w:lvl>
    <w:lvl w:ilvl="8" w:tplc="4D80978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4456D"/>
    <w:multiLevelType w:val="hybridMultilevel"/>
    <w:tmpl w:val="77C40FF0"/>
    <w:lvl w:ilvl="0" w:tplc="C05E6530">
      <w:start w:val="1"/>
      <w:numFmt w:val="bullet"/>
      <w:lvlText w:val="•"/>
      <w:lvlJc w:val="left"/>
      <w:pPr>
        <w:ind w:left="720" w:hanging="360"/>
      </w:pPr>
      <w:rPr>
        <w:rFonts w:ascii="Calibri" w:hAnsi="Calibri" w:hint="default"/>
      </w:rPr>
    </w:lvl>
    <w:lvl w:ilvl="1" w:tplc="55F047E6">
      <w:start w:val="1"/>
      <w:numFmt w:val="bullet"/>
      <w:lvlText w:val="o"/>
      <w:lvlJc w:val="left"/>
      <w:pPr>
        <w:ind w:left="1440" w:hanging="360"/>
      </w:pPr>
      <w:rPr>
        <w:rFonts w:ascii="Courier New" w:hAnsi="Courier New" w:hint="default"/>
      </w:rPr>
    </w:lvl>
    <w:lvl w:ilvl="2" w:tplc="A64655B2">
      <w:start w:val="1"/>
      <w:numFmt w:val="bullet"/>
      <w:lvlText w:val=""/>
      <w:lvlJc w:val="left"/>
      <w:pPr>
        <w:ind w:left="2160" w:hanging="360"/>
      </w:pPr>
      <w:rPr>
        <w:rFonts w:ascii="Wingdings" w:hAnsi="Wingdings" w:hint="default"/>
      </w:rPr>
    </w:lvl>
    <w:lvl w:ilvl="3" w:tplc="24427E36">
      <w:start w:val="1"/>
      <w:numFmt w:val="bullet"/>
      <w:lvlText w:val=""/>
      <w:lvlJc w:val="left"/>
      <w:pPr>
        <w:ind w:left="2880" w:hanging="360"/>
      </w:pPr>
      <w:rPr>
        <w:rFonts w:ascii="Symbol" w:hAnsi="Symbol" w:hint="default"/>
      </w:rPr>
    </w:lvl>
    <w:lvl w:ilvl="4" w:tplc="806C3C4C">
      <w:start w:val="1"/>
      <w:numFmt w:val="bullet"/>
      <w:lvlText w:val="o"/>
      <w:lvlJc w:val="left"/>
      <w:pPr>
        <w:ind w:left="3600" w:hanging="360"/>
      </w:pPr>
      <w:rPr>
        <w:rFonts w:ascii="Courier New" w:hAnsi="Courier New" w:hint="default"/>
      </w:rPr>
    </w:lvl>
    <w:lvl w:ilvl="5" w:tplc="7B669380">
      <w:start w:val="1"/>
      <w:numFmt w:val="bullet"/>
      <w:lvlText w:val=""/>
      <w:lvlJc w:val="left"/>
      <w:pPr>
        <w:ind w:left="4320" w:hanging="360"/>
      </w:pPr>
      <w:rPr>
        <w:rFonts w:ascii="Wingdings" w:hAnsi="Wingdings" w:hint="default"/>
      </w:rPr>
    </w:lvl>
    <w:lvl w:ilvl="6" w:tplc="0C6E37BC">
      <w:start w:val="1"/>
      <w:numFmt w:val="bullet"/>
      <w:lvlText w:val=""/>
      <w:lvlJc w:val="left"/>
      <w:pPr>
        <w:ind w:left="5040" w:hanging="360"/>
      </w:pPr>
      <w:rPr>
        <w:rFonts w:ascii="Symbol" w:hAnsi="Symbol" w:hint="default"/>
      </w:rPr>
    </w:lvl>
    <w:lvl w:ilvl="7" w:tplc="A970BF54">
      <w:start w:val="1"/>
      <w:numFmt w:val="bullet"/>
      <w:lvlText w:val="o"/>
      <w:lvlJc w:val="left"/>
      <w:pPr>
        <w:ind w:left="5760" w:hanging="360"/>
      </w:pPr>
      <w:rPr>
        <w:rFonts w:ascii="Courier New" w:hAnsi="Courier New" w:hint="default"/>
      </w:rPr>
    </w:lvl>
    <w:lvl w:ilvl="8" w:tplc="6E3A3A8E">
      <w:start w:val="1"/>
      <w:numFmt w:val="bullet"/>
      <w:lvlText w:val=""/>
      <w:lvlJc w:val="left"/>
      <w:pPr>
        <w:ind w:left="6480" w:hanging="360"/>
      </w:pPr>
      <w:rPr>
        <w:rFonts w:ascii="Wingdings" w:hAnsi="Wingdings" w:hint="default"/>
      </w:rPr>
    </w:lvl>
  </w:abstractNum>
  <w:abstractNum w:abstractNumId="8" w15:restartNumberingAfterBreak="0">
    <w:nsid w:val="4DF15375"/>
    <w:multiLevelType w:val="hybridMultilevel"/>
    <w:tmpl w:val="8A82222C"/>
    <w:lvl w:ilvl="0" w:tplc="321CA63C">
      <w:numFmt w:val="bullet"/>
      <w:lvlText w:val="•"/>
      <w:lvlJc w:val="left"/>
      <w:pPr>
        <w:ind w:left="1080" w:hanging="360"/>
      </w:pPr>
      <w:rPr>
        <w:rFonts w:ascii="Calibri" w:hAnsi="Calibri" w:hint="default"/>
      </w:rPr>
    </w:lvl>
    <w:lvl w:ilvl="1" w:tplc="CECC0E98" w:tentative="1">
      <w:start w:val="1"/>
      <w:numFmt w:val="bullet"/>
      <w:lvlText w:val="o"/>
      <w:lvlJc w:val="left"/>
      <w:pPr>
        <w:ind w:left="1800" w:hanging="360"/>
      </w:pPr>
      <w:rPr>
        <w:rFonts w:ascii="Courier New" w:hAnsi="Courier New" w:hint="default"/>
      </w:rPr>
    </w:lvl>
    <w:lvl w:ilvl="2" w:tplc="259088E2" w:tentative="1">
      <w:start w:val="1"/>
      <w:numFmt w:val="bullet"/>
      <w:lvlText w:val=""/>
      <w:lvlJc w:val="left"/>
      <w:pPr>
        <w:ind w:left="2520" w:hanging="360"/>
      </w:pPr>
      <w:rPr>
        <w:rFonts w:ascii="Wingdings" w:hAnsi="Wingdings" w:hint="default"/>
      </w:rPr>
    </w:lvl>
    <w:lvl w:ilvl="3" w:tplc="A6185296" w:tentative="1">
      <w:start w:val="1"/>
      <w:numFmt w:val="bullet"/>
      <w:lvlText w:val=""/>
      <w:lvlJc w:val="left"/>
      <w:pPr>
        <w:ind w:left="3240" w:hanging="360"/>
      </w:pPr>
      <w:rPr>
        <w:rFonts w:ascii="Symbol" w:hAnsi="Symbol" w:hint="default"/>
      </w:rPr>
    </w:lvl>
    <w:lvl w:ilvl="4" w:tplc="D9D416C0" w:tentative="1">
      <w:start w:val="1"/>
      <w:numFmt w:val="bullet"/>
      <w:lvlText w:val="o"/>
      <w:lvlJc w:val="left"/>
      <w:pPr>
        <w:ind w:left="3960" w:hanging="360"/>
      </w:pPr>
      <w:rPr>
        <w:rFonts w:ascii="Courier New" w:hAnsi="Courier New" w:hint="default"/>
      </w:rPr>
    </w:lvl>
    <w:lvl w:ilvl="5" w:tplc="21702212" w:tentative="1">
      <w:start w:val="1"/>
      <w:numFmt w:val="bullet"/>
      <w:lvlText w:val=""/>
      <w:lvlJc w:val="left"/>
      <w:pPr>
        <w:ind w:left="4680" w:hanging="360"/>
      </w:pPr>
      <w:rPr>
        <w:rFonts w:ascii="Wingdings" w:hAnsi="Wingdings" w:hint="default"/>
      </w:rPr>
    </w:lvl>
    <w:lvl w:ilvl="6" w:tplc="4CE093D8" w:tentative="1">
      <w:start w:val="1"/>
      <w:numFmt w:val="bullet"/>
      <w:lvlText w:val=""/>
      <w:lvlJc w:val="left"/>
      <w:pPr>
        <w:ind w:left="5400" w:hanging="360"/>
      </w:pPr>
      <w:rPr>
        <w:rFonts w:ascii="Symbol" w:hAnsi="Symbol" w:hint="default"/>
      </w:rPr>
    </w:lvl>
    <w:lvl w:ilvl="7" w:tplc="593A9B9A" w:tentative="1">
      <w:start w:val="1"/>
      <w:numFmt w:val="bullet"/>
      <w:lvlText w:val="o"/>
      <w:lvlJc w:val="left"/>
      <w:pPr>
        <w:ind w:left="6120" w:hanging="360"/>
      </w:pPr>
      <w:rPr>
        <w:rFonts w:ascii="Courier New" w:hAnsi="Courier New" w:hint="default"/>
      </w:rPr>
    </w:lvl>
    <w:lvl w:ilvl="8" w:tplc="D15EA792" w:tentative="1">
      <w:start w:val="1"/>
      <w:numFmt w:val="bullet"/>
      <w:lvlText w:val=""/>
      <w:lvlJc w:val="left"/>
      <w:pPr>
        <w:ind w:left="6840" w:hanging="360"/>
      </w:pPr>
      <w:rPr>
        <w:rFonts w:ascii="Wingdings" w:hAnsi="Wingdings" w:hint="default"/>
      </w:rPr>
    </w:lvl>
  </w:abstractNum>
  <w:abstractNum w:abstractNumId="9" w15:restartNumberingAfterBreak="0">
    <w:nsid w:val="50B57BDA"/>
    <w:multiLevelType w:val="hybridMultilevel"/>
    <w:tmpl w:val="3F1810C0"/>
    <w:lvl w:ilvl="0" w:tplc="A5D67F2E">
      <w:start w:val="1"/>
      <w:numFmt w:val="bullet"/>
      <w:lvlText w:val=""/>
      <w:lvlJc w:val="left"/>
      <w:pPr>
        <w:tabs>
          <w:tab w:val="num" w:pos="720"/>
        </w:tabs>
        <w:ind w:left="720" w:hanging="360"/>
      </w:pPr>
      <w:rPr>
        <w:rFonts w:ascii="Symbol" w:hAnsi="Symbol" w:hint="default"/>
        <w:sz w:val="20"/>
      </w:rPr>
    </w:lvl>
    <w:lvl w:ilvl="1" w:tplc="7B5ABF34" w:tentative="1">
      <w:start w:val="1"/>
      <w:numFmt w:val="bullet"/>
      <w:lvlText w:val="o"/>
      <w:lvlJc w:val="left"/>
      <w:pPr>
        <w:tabs>
          <w:tab w:val="num" w:pos="1440"/>
        </w:tabs>
        <w:ind w:left="1440" w:hanging="360"/>
      </w:pPr>
      <w:rPr>
        <w:rFonts w:ascii="Courier New" w:hAnsi="Courier New" w:hint="default"/>
        <w:sz w:val="20"/>
      </w:rPr>
    </w:lvl>
    <w:lvl w:ilvl="2" w:tplc="B81A6DF6" w:tentative="1">
      <w:start w:val="1"/>
      <w:numFmt w:val="bullet"/>
      <w:lvlText w:val=""/>
      <w:lvlJc w:val="left"/>
      <w:pPr>
        <w:tabs>
          <w:tab w:val="num" w:pos="2160"/>
        </w:tabs>
        <w:ind w:left="2160" w:hanging="360"/>
      </w:pPr>
      <w:rPr>
        <w:rFonts w:ascii="Wingdings" w:hAnsi="Wingdings" w:hint="default"/>
        <w:sz w:val="20"/>
      </w:rPr>
    </w:lvl>
    <w:lvl w:ilvl="3" w:tplc="E9561E14" w:tentative="1">
      <w:start w:val="1"/>
      <w:numFmt w:val="bullet"/>
      <w:lvlText w:val=""/>
      <w:lvlJc w:val="left"/>
      <w:pPr>
        <w:tabs>
          <w:tab w:val="num" w:pos="2880"/>
        </w:tabs>
        <w:ind w:left="2880" w:hanging="360"/>
      </w:pPr>
      <w:rPr>
        <w:rFonts w:ascii="Wingdings" w:hAnsi="Wingdings" w:hint="default"/>
        <w:sz w:val="20"/>
      </w:rPr>
    </w:lvl>
    <w:lvl w:ilvl="4" w:tplc="6686A1B2" w:tentative="1">
      <w:start w:val="1"/>
      <w:numFmt w:val="bullet"/>
      <w:lvlText w:val=""/>
      <w:lvlJc w:val="left"/>
      <w:pPr>
        <w:tabs>
          <w:tab w:val="num" w:pos="3600"/>
        </w:tabs>
        <w:ind w:left="3600" w:hanging="360"/>
      </w:pPr>
      <w:rPr>
        <w:rFonts w:ascii="Wingdings" w:hAnsi="Wingdings" w:hint="default"/>
        <w:sz w:val="20"/>
      </w:rPr>
    </w:lvl>
    <w:lvl w:ilvl="5" w:tplc="CAFA8A90" w:tentative="1">
      <w:start w:val="1"/>
      <w:numFmt w:val="bullet"/>
      <w:lvlText w:val=""/>
      <w:lvlJc w:val="left"/>
      <w:pPr>
        <w:tabs>
          <w:tab w:val="num" w:pos="4320"/>
        </w:tabs>
        <w:ind w:left="4320" w:hanging="360"/>
      </w:pPr>
      <w:rPr>
        <w:rFonts w:ascii="Wingdings" w:hAnsi="Wingdings" w:hint="default"/>
        <w:sz w:val="20"/>
      </w:rPr>
    </w:lvl>
    <w:lvl w:ilvl="6" w:tplc="4C2222AA" w:tentative="1">
      <w:start w:val="1"/>
      <w:numFmt w:val="bullet"/>
      <w:lvlText w:val=""/>
      <w:lvlJc w:val="left"/>
      <w:pPr>
        <w:tabs>
          <w:tab w:val="num" w:pos="5040"/>
        </w:tabs>
        <w:ind w:left="5040" w:hanging="360"/>
      </w:pPr>
      <w:rPr>
        <w:rFonts w:ascii="Wingdings" w:hAnsi="Wingdings" w:hint="default"/>
        <w:sz w:val="20"/>
      </w:rPr>
    </w:lvl>
    <w:lvl w:ilvl="7" w:tplc="2CAAF252" w:tentative="1">
      <w:start w:val="1"/>
      <w:numFmt w:val="bullet"/>
      <w:lvlText w:val=""/>
      <w:lvlJc w:val="left"/>
      <w:pPr>
        <w:tabs>
          <w:tab w:val="num" w:pos="5760"/>
        </w:tabs>
        <w:ind w:left="5760" w:hanging="360"/>
      </w:pPr>
      <w:rPr>
        <w:rFonts w:ascii="Wingdings" w:hAnsi="Wingdings" w:hint="default"/>
        <w:sz w:val="20"/>
      </w:rPr>
    </w:lvl>
    <w:lvl w:ilvl="8" w:tplc="DA8CE58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54D0D"/>
    <w:multiLevelType w:val="hybridMultilevel"/>
    <w:tmpl w:val="8368B1EC"/>
    <w:lvl w:ilvl="0" w:tplc="18083BFA">
      <w:start w:val="1"/>
      <w:numFmt w:val="bullet"/>
      <w:lvlText w:val=""/>
      <w:lvlJc w:val="left"/>
      <w:pPr>
        <w:ind w:left="720" w:hanging="360"/>
      </w:pPr>
      <w:rPr>
        <w:rFonts w:ascii="Symbol" w:hAnsi="Symbol" w:hint="default"/>
      </w:rPr>
    </w:lvl>
    <w:lvl w:ilvl="1" w:tplc="5D12E276">
      <w:start w:val="1"/>
      <w:numFmt w:val="bullet"/>
      <w:lvlText w:val="o"/>
      <w:lvlJc w:val="left"/>
      <w:pPr>
        <w:ind w:left="1440" w:hanging="360"/>
      </w:pPr>
      <w:rPr>
        <w:rFonts w:ascii="Courier New" w:hAnsi="Courier New" w:hint="default"/>
      </w:rPr>
    </w:lvl>
    <w:lvl w:ilvl="2" w:tplc="5A3AF478">
      <w:start w:val="1"/>
      <w:numFmt w:val="bullet"/>
      <w:lvlText w:val=""/>
      <w:lvlJc w:val="left"/>
      <w:pPr>
        <w:ind w:left="2160" w:hanging="360"/>
      </w:pPr>
      <w:rPr>
        <w:rFonts w:ascii="Wingdings" w:hAnsi="Wingdings" w:hint="default"/>
      </w:rPr>
    </w:lvl>
    <w:lvl w:ilvl="3" w:tplc="58BA4224">
      <w:start w:val="1"/>
      <w:numFmt w:val="bullet"/>
      <w:lvlText w:val=""/>
      <w:lvlJc w:val="left"/>
      <w:pPr>
        <w:ind w:left="2880" w:hanging="360"/>
      </w:pPr>
      <w:rPr>
        <w:rFonts w:ascii="Symbol" w:hAnsi="Symbol" w:hint="default"/>
      </w:rPr>
    </w:lvl>
    <w:lvl w:ilvl="4" w:tplc="C82A83FC">
      <w:start w:val="1"/>
      <w:numFmt w:val="bullet"/>
      <w:lvlText w:val="o"/>
      <w:lvlJc w:val="left"/>
      <w:pPr>
        <w:ind w:left="3600" w:hanging="360"/>
      </w:pPr>
      <w:rPr>
        <w:rFonts w:ascii="Courier New" w:hAnsi="Courier New" w:hint="default"/>
      </w:rPr>
    </w:lvl>
    <w:lvl w:ilvl="5" w:tplc="D22425EA">
      <w:start w:val="1"/>
      <w:numFmt w:val="bullet"/>
      <w:lvlText w:val=""/>
      <w:lvlJc w:val="left"/>
      <w:pPr>
        <w:ind w:left="4320" w:hanging="360"/>
      </w:pPr>
      <w:rPr>
        <w:rFonts w:ascii="Wingdings" w:hAnsi="Wingdings" w:hint="default"/>
      </w:rPr>
    </w:lvl>
    <w:lvl w:ilvl="6" w:tplc="05D04732">
      <w:start w:val="1"/>
      <w:numFmt w:val="bullet"/>
      <w:lvlText w:val=""/>
      <w:lvlJc w:val="left"/>
      <w:pPr>
        <w:ind w:left="5040" w:hanging="360"/>
      </w:pPr>
      <w:rPr>
        <w:rFonts w:ascii="Symbol" w:hAnsi="Symbol" w:hint="default"/>
      </w:rPr>
    </w:lvl>
    <w:lvl w:ilvl="7" w:tplc="CE02D962">
      <w:start w:val="1"/>
      <w:numFmt w:val="bullet"/>
      <w:lvlText w:val="o"/>
      <w:lvlJc w:val="left"/>
      <w:pPr>
        <w:ind w:left="5760" w:hanging="360"/>
      </w:pPr>
      <w:rPr>
        <w:rFonts w:ascii="Courier New" w:hAnsi="Courier New" w:hint="default"/>
      </w:rPr>
    </w:lvl>
    <w:lvl w:ilvl="8" w:tplc="FE20DEB6">
      <w:start w:val="1"/>
      <w:numFmt w:val="bullet"/>
      <w:lvlText w:val=""/>
      <w:lvlJc w:val="left"/>
      <w:pPr>
        <w:ind w:left="6480" w:hanging="360"/>
      </w:pPr>
      <w:rPr>
        <w:rFonts w:ascii="Wingdings" w:hAnsi="Wingdings" w:hint="default"/>
      </w:rPr>
    </w:lvl>
  </w:abstractNum>
  <w:abstractNum w:abstractNumId="11" w15:restartNumberingAfterBreak="0">
    <w:nsid w:val="5B546D5B"/>
    <w:multiLevelType w:val="hybridMultilevel"/>
    <w:tmpl w:val="13D646FA"/>
    <w:lvl w:ilvl="0" w:tplc="61CC255A">
      <w:start w:val="1"/>
      <w:numFmt w:val="bullet"/>
      <w:lvlText w:val=""/>
      <w:lvlJc w:val="left"/>
      <w:pPr>
        <w:ind w:left="720" w:hanging="360"/>
      </w:pPr>
      <w:rPr>
        <w:rFonts w:ascii="Symbol" w:hAnsi="Symbol" w:hint="default"/>
      </w:rPr>
    </w:lvl>
    <w:lvl w:ilvl="1" w:tplc="39AE54AE">
      <w:start w:val="1"/>
      <w:numFmt w:val="bullet"/>
      <w:lvlText w:val="o"/>
      <w:lvlJc w:val="left"/>
      <w:pPr>
        <w:ind w:left="1440" w:hanging="360"/>
      </w:pPr>
      <w:rPr>
        <w:rFonts w:ascii="Courier New" w:hAnsi="Courier New" w:hint="default"/>
      </w:rPr>
    </w:lvl>
    <w:lvl w:ilvl="2" w:tplc="F620C4B8">
      <w:start w:val="1"/>
      <w:numFmt w:val="bullet"/>
      <w:lvlText w:val=""/>
      <w:lvlJc w:val="left"/>
      <w:pPr>
        <w:ind w:left="2160" w:hanging="360"/>
      </w:pPr>
      <w:rPr>
        <w:rFonts w:ascii="Wingdings" w:hAnsi="Wingdings" w:hint="default"/>
      </w:rPr>
    </w:lvl>
    <w:lvl w:ilvl="3" w:tplc="3F6A1C52">
      <w:start w:val="1"/>
      <w:numFmt w:val="bullet"/>
      <w:lvlText w:val=""/>
      <w:lvlJc w:val="left"/>
      <w:pPr>
        <w:ind w:left="2880" w:hanging="360"/>
      </w:pPr>
      <w:rPr>
        <w:rFonts w:ascii="Symbol" w:hAnsi="Symbol" w:hint="default"/>
      </w:rPr>
    </w:lvl>
    <w:lvl w:ilvl="4" w:tplc="EDC43598">
      <w:start w:val="1"/>
      <w:numFmt w:val="bullet"/>
      <w:lvlText w:val="o"/>
      <w:lvlJc w:val="left"/>
      <w:pPr>
        <w:ind w:left="3600" w:hanging="360"/>
      </w:pPr>
      <w:rPr>
        <w:rFonts w:ascii="Courier New" w:hAnsi="Courier New" w:hint="default"/>
      </w:rPr>
    </w:lvl>
    <w:lvl w:ilvl="5" w:tplc="62E8D5EE">
      <w:start w:val="1"/>
      <w:numFmt w:val="bullet"/>
      <w:lvlText w:val=""/>
      <w:lvlJc w:val="left"/>
      <w:pPr>
        <w:ind w:left="4320" w:hanging="360"/>
      </w:pPr>
      <w:rPr>
        <w:rFonts w:ascii="Wingdings" w:hAnsi="Wingdings" w:hint="default"/>
      </w:rPr>
    </w:lvl>
    <w:lvl w:ilvl="6" w:tplc="A5761A3C">
      <w:start w:val="1"/>
      <w:numFmt w:val="bullet"/>
      <w:lvlText w:val=""/>
      <w:lvlJc w:val="left"/>
      <w:pPr>
        <w:ind w:left="5040" w:hanging="360"/>
      </w:pPr>
      <w:rPr>
        <w:rFonts w:ascii="Symbol" w:hAnsi="Symbol" w:hint="default"/>
      </w:rPr>
    </w:lvl>
    <w:lvl w:ilvl="7" w:tplc="CE32E706">
      <w:start w:val="1"/>
      <w:numFmt w:val="bullet"/>
      <w:lvlText w:val="o"/>
      <w:lvlJc w:val="left"/>
      <w:pPr>
        <w:ind w:left="5760" w:hanging="360"/>
      </w:pPr>
      <w:rPr>
        <w:rFonts w:ascii="Courier New" w:hAnsi="Courier New" w:hint="default"/>
      </w:rPr>
    </w:lvl>
    <w:lvl w:ilvl="8" w:tplc="8B06E0D8">
      <w:start w:val="1"/>
      <w:numFmt w:val="bullet"/>
      <w:lvlText w:val=""/>
      <w:lvlJc w:val="left"/>
      <w:pPr>
        <w:ind w:left="6480" w:hanging="360"/>
      </w:pPr>
      <w:rPr>
        <w:rFonts w:ascii="Wingdings" w:hAnsi="Wingdings" w:hint="default"/>
      </w:rPr>
    </w:lvl>
  </w:abstractNum>
  <w:abstractNum w:abstractNumId="12" w15:restartNumberingAfterBreak="0">
    <w:nsid w:val="5B6E527D"/>
    <w:multiLevelType w:val="hybridMultilevel"/>
    <w:tmpl w:val="A8321130"/>
    <w:lvl w:ilvl="0" w:tplc="B2DE7A04">
      <w:start w:val="1"/>
      <w:numFmt w:val="bullet"/>
      <w:lvlText w:val="•"/>
      <w:lvlJc w:val="left"/>
      <w:pPr>
        <w:ind w:left="720" w:hanging="360"/>
      </w:pPr>
      <w:rPr>
        <w:rFonts w:ascii="Calibri" w:hAnsi="Calibri" w:hint="default"/>
      </w:rPr>
    </w:lvl>
    <w:lvl w:ilvl="1" w:tplc="5B8A569E">
      <w:start w:val="1"/>
      <w:numFmt w:val="bullet"/>
      <w:lvlText w:val="o"/>
      <w:lvlJc w:val="left"/>
      <w:pPr>
        <w:ind w:left="1440" w:hanging="360"/>
      </w:pPr>
      <w:rPr>
        <w:rFonts w:ascii="Courier New" w:hAnsi="Courier New" w:hint="default"/>
      </w:rPr>
    </w:lvl>
    <w:lvl w:ilvl="2" w:tplc="7ADCF080">
      <w:start w:val="1"/>
      <w:numFmt w:val="bullet"/>
      <w:lvlText w:val=""/>
      <w:lvlJc w:val="left"/>
      <w:pPr>
        <w:ind w:left="2160" w:hanging="360"/>
      </w:pPr>
      <w:rPr>
        <w:rFonts w:ascii="Wingdings" w:hAnsi="Wingdings" w:hint="default"/>
      </w:rPr>
    </w:lvl>
    <w:lvl w:ilvl="3" w:tplc="E3167AF2">
      <w:start w:val="1"/>
      <w:numFmt w:val="bullet"/>
      <w:lvlText w:val=""/>
      <w:lvlJc w:val="left"/>
      <w:pPr>
        <w:ind w:left="2880" w:hanging="360"/>
      </w:pPr>
      <w:rPr>
        <w:rFonts w:ascii="Symbol" w:hAnsi="Symbol" w:hint="default"/>
      </w:rPr>
    </w:lvl>
    <w:lvl w:ilvl="4" w:tplc="164E1820">
      <w:start w:val="1"/>
      <w:numFmt w:val="bullet"/>
      <w:lvlText w:val="o"/>
      <w:lvlJc w:val="left"/>
      <w:pPr>
        <w:ind w:left="3600" w:hanging="360"/>
      </w:pPr>
      <w:rPr>
        <w:rFonts w:ascii="Courier New" w:hAnsi="Courier New" w:hint="default"/>
      </w:rPr>
    </w:lvl>
    <w:lvl w:ilvl="5" w:tplc="036C9AA2">
      <w:start w:val="1"/>
      <w:numFmt w:val="bullet"/>
      <w:lvlText w:val=""/>
      <w:lvlJc w:val="left"/>
      <w:pPr>
        <w:ind w:left="4320" w:hanging="360"/>
      </w:pPr>
      <w:rPr>
        <w:rFonts w:ascii="Wingdings" w:hAnsi="Wingdings" w:hint="default"/>
      </w:rPr>
    </w:lvl>
    <w:lvl w:ilvl="6" w:tplc="D7DA59C0">
      <w:start w:val="1"/>
      <w:numFmt w:val="bullet"/>
      <w:lvlText w:val=""/>
      <w:lvlJc w:val="left"/>
      <w:pPr>
        <w:ind w:left="5040" w:hanging="360"/>
      </w:pPr>
      <w:rPr>
        <w:rFonts w:ascii="Symbol" w:hAnsi="Symbol" w:hint="default"/>
      </w:rPr>
    </w:lvl>
    <w:lvl w:ilvl="7" w:tplc="A9F0DF3C">
      <w:start w:val="1"/>
      <w:numFmt w:val="bullet"/>
      <w:lvlText w:val="o"/>
      <w:lvlJc w:val="left"/>
      <w:pPr>
        <w:ind w:left="5760" w:hanging="360"/>
      </w:pPr>
      <w:rPr>
        <w:rFonts w:ascii="Courier New" w:hAnsi="Courier New" w:hint="default"/>
      </w:rPr>
    </w:lvl>
    <w:lvl w:ilvl="8" w:tplc="B232C89C">
      <w:start w:val="1"/>
      <w:numFmt w:val="bullet"/>
      <w:lvlText w:val=""/>
      <w:lvlJc w:val="left"/>
      <w:pPr>
        <w:ind w:left="6480" w:hanging="360"/>
      </w:pPr>
      <w:rPr>
        <w:rFonts w:ascii="Wingdings" w:hAnsi="Wingdings" w:hint="default"/>
      </w:rPr>
    </w:lvl>
  </w:abstractNum>
  <w:abstractNum w:abstractNumId="13" w15:restartNumberingAfterBreak="0">
    <w:nsid w:val="76C3691F"/>
    <w:multiLevelType w:val="hybridMultilevel"/>
    <w:tmpl w:val="ED9E59F4"/>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2"/>
  </w:num>
  <w:num w:numId="6">
    <w:abstractNumId w:val="11"/>
  </w:num>
  <w:num w:numId="7">
    <w:abstractNumId w:val="6"/>
  </w:num>
  <w:num w:numId="8">
    <w:abstractNumId w:val="9"/>
  </w:num>
  <w:num w:numId="9">
    <w:abstractNumId w:val="1"/>
  </w:num>
  <w:num w:numId="10">
    <w:abstractNumId w:val="4"/>
  </w:num>
  <w:num w:numId="11">
    <w:abstractNumId w:val="0"/>
  </w:num>
  <w:num w:numId="12">
    <w:abstractNumId w:val="13"/>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72"/>
    <w:rsid w:val="00001E24"/>
    <w:rsid w:val="00095982"/>
    <w:rsid w:val="000A63C1"/>
    <w:rsid w:val="00117D6F"/>
    <w:rsid w:val="00125346"/>
    <w:rsid w:val="00131C55"/>
    <w:rsid w:val="001C2FAD"/>
    <w:rsid w:val="002545A6"/>
    <w:rsid w:val="002914E0"/>
    <w:rsid w:val="002A36AF"/>
    <w:rsid w:val="002B6EA6"/>
    <w:rsid w:val="002E35FC"/>
    <w:rsid w:val="003167A5"/>
    <w:rsid w:val="0032510E"/>
    <w:rsid w:val="00362172"/>
    <w:rsid w:val="00372B4E"/>
    <w:rsid w:val="00376A20"/>
    <w:rsid w:val="003C662A"/>
    <w:rsid w:val="003F6A67"/>
    <w:rsid w:val="00410510"/>
    <w:rsid w:val="00470A1E"/>
    <w:rsid w:val="004A09BA"/>
    <w:rsid w:val="00507612"/>
    <w:rsid w:val="00507E05"/>
    <w:rsid w:val="00517531"/>
    <w:rsid w:val="005B5165"/>
    <w:rsid w:val="005F121D"/>
    <w:rsid w:val="00632472"/>
    <w:rsid w:val="00675B52"/>
    <w:rsid w:val="007519B6"/>
    <w:rsid w:val="00793057"/>
    <w:rsid w:val="0079674C"/>
    <w:rsid w:val="007C5F56"/>
    <w:rsid w:val="007E6D7B"/>
    <w:rsid w:val="007F49B9"/>
    <w:rsid w:val="008531FB"/>
    <w:rsid w:val="008558F0"/>
    <w:rsid w:val="00900389"/>
    <w:rsid w:val="00987D47"/>
    <w:rsid w:val="009A5026"/>
    <w:rsid w:val="00AAD8B3"/>
    <w:rsid w:val="00AF5498"/>
    <w:rsid w:val="00B53228"/>
    <w:rsid w:val="00C10BF5"/>
    <w:rsid w:val="00C1394D"/>
    <w:rsid w:val="00C33941"/>
    <w:rsid w:val="00C428D6"/>
    <w:rsid w:val="00CB056C"/>
    <w:rsid w:val="00D22B76"/>
    <w:rsid w:val="00D443BA"/>
    <w:rsid w:val="00D61C52"/>
    <w:rsid w:val="00D75A28"/>
    <w:rsid w:val="00D9000E"/>
    <w:rsid w:val="00DA6AB2"/>
    <w:rsid w:val="00DD5917"/>
    <w:rsid w:val="00E053B6"/>
    <w:rsid w:val="00E06A05"/>
    <w:rsid w:val="00E51F5A"/>
    <w:rsid w:val="00EA7262"/>
    <w:rsid w:val="00EE71D4"/>
    <w:rsid w:val="00FB51B2"/>
    <w:rsid w:val="00FC0662"/>
    <w:rsid w:val="00FD2A2F"/>
    <w:rsid w:val="02608F86"/>
    <w:rsid w:val="033BB919"/>
    <w:rsid w:val="03424F76"/>
    <w:rsid w:val="03CFA608"/>
    <w:rsid w:val="0451A243"/>
    <w:rsid w:val="04B7E69D"/>
    <w:rsid w:val="053DD6F6"/>
    <w:rsid w:val="06D3E5D6"/>
    <w:rsid w:val="07B04012"/>
    <w:rsid w:val="09B190FA"/>
    <w:rsid w:val="0B2A655E"/>
    <w:rsid w:val="0B7303AC"/>
    <w:rsid w:val="0B7954E9"/>
    <w:rsid w:val="0BD59147"/>
    <w:rsid w:val="0CEA8C2F"/>
    <w:rsid w:val="0D03EB39"/>
    <w:rsid w:val="0F88DA13"/>
    <w:rsid w:val="1059B175"/>
    <w:rsid w:val="14E65D04"/>
    <w:rsid w:val="150E7139"/>
    <w:rsid w:val="1571BD45"/>
    <w:rsid w:val="157A6315"/>
    <w:rsid w:val="15D31619"/>
    <w:rsid w:val="15F81B97"/>
    <w:rsid w:val="160460B7"/>
    <w:rsid w:val="16CF2A58"/>
    <w:rsid w:val="178A958B"/>
    <w:rsid w:val="18528775"/>
    <w:rsid w:val="1862243F"/>
    <w:rsid w:val="19067EF9"/>
    <w:rsid w:val="1AA375BE"/>
    <w:rsid w:val="1B524A4E"/>
    <w:rsid w:val="1B6B72AB"/>
    <w:rsid w:val="1C9904F5"/>
    <w:rsid w:val="1CEE1AAF"/>
    <w:rsid w:val="1D7B7141"/>
    <w:rsid w:val="246B5A3E"/>
    <w:rsid w:val="263A5938"/>
    <w:rsid w:val="264ADC02"/>
    <w:rsid w:val="2788BFE8"/>
    <w:rsid w:val="296120A3"/>
    <w:rsid w:val="296CD244"/>
    <w:rsid w:val="2B28E633"/>
    <w:rsid w:val="2C36B45F"/>
    <w:rsid w:val="2D49D9B5"/>
    <w:rsid w:val="2F741313"/>
    <w:rsid w:val="32AB31AF"/>
    <w:rsid w:val="32CDB152"/>
    <w:rsid w:val="336F51EA"/>
    <w:rsid w:val="3382D5F7"/>
    <w:rsid w:val="3540AC33"/>
    <w:rsid w:val="361719CB"/>
    <w:rsid w:val="369BCBFD"/>
    <w:rsid w:val="37C26112"/>
    <w:rsid w:val="387172A0"/>
    <w:rsid w:val="38D1DD64"/>
    <w:rsid w:val="3911EF67"/>
    <w:rsid w:val="39404142"/>
    <w:rsid w:val="3A06CAC6"/>
    <w:rsid w:val="3A30DE83"/>
    <w:rsid w:val="3A46BD78"/>
    <w:rsid w:val="3A8DCEDF"/>
    <w:rsid w:val="3D5D32EC"/>
    <w:rsid w:val="3E4BEFFB"/>
    <w:rsid w:val="40136889"/>
    <w:rsid w:val="41335C31"/>
    <w:rsid w:val="41F79609"/>
    <w:rsid w:val="42D0424C"/>
    <w:rsid w:val="44C4607F"/>
    <w:rsid w:val="45106D9C"/>
    <w:rsid w:val="470ACB97"/>
    <w:rsid w:val="4A02E339"/>
    <w:rsid w:val="4A2240B8"/>
    <w:rsid w:val="4A73461A"/>
    <w:rsid w:val="4BD757D7"/>
    <w:rsid w:val="4D4E6F5D"/>
    <w:rsid w:val="4D57C724"/>
    <w:rsid w:val="4DE31B4F"/>
    <w:rsid w:val="4EB9E5C8"/>
    <w:rsid w:val="4F1123A8"/>
    <w:rsid w:val="4F6D6D26"/>
    <w:rsid w:val="4FCD9416"/>
    <w:rsid w:val="503C351C"/>
    <w:rsid w:val="508EC33A"/>
    <w:rsid w:val="514BCCA5"/>
    <w:rsid w:val="5181D7BB"/>
    <w:rsid w:val="51944679"/>
    <w:rsid w:val="51BF7855"/>
    <w:rsid w:val="52CD4B10"/>
    <w:rsid w:val="52E67F4C"/>
    <w:rsid w:val="5318D467"/>
    <w:rsid w:val="532B436A"/>
    <w:rsid w:val="5334B4DE"/>
    <w:rsid w:val="53DB9746"/>
    <w:rsid w:val="55F526BC"/>
    <w:rsid w:val="55FE6154"/>
    <w:rsid w:val="56F0AEFC"/>
    <w:rsid w:val="579A31B5"/>
    <w:rsid w:val="580DCD71"/>
    <w:rsid w:val="5812F299"/>
    <w:rsid w:val="5890009A"/>
    <w:rsid w:val="59381200"/>
    <w:rsid w:val="5A1990E9"/>
    <w:rsid w:val="5C4696E4"/>
    <w:rsid w:val="5C91460D"/>
    <w:rsid w:val="5CDF4B28"/>
    <w:rsid w:val="5D109529"/>
    <w:rsid w:val="5D65748B"/>
    <w:rsid w:val="5DD43D35"/>
    <w:rsid w:val="5EFD362C"/>
    <w:rsid w:val="5F3561AF"/>
    <w:rsid w:val="6073F96F"/>
    <w:rsid w:val="6099068D"/>
    <w:rsid w:val="64BC7CBC"/>
    <w:rsid w:val="65730E0D"/>
    <w:rsid w:val="66ECF9EE"/>
    <w:rsid w:val="67084811"/>
    <w:rsid w:val="67B60FF3"/>
    <w:rsid w:val="6819FAE8"/>
    <w:rsid w:val="68847595"/>
    <w:rsid w:val="68AAAECF"/>
    <w:rsid w:val="68F108DC"/>
    <w:rsid w:val="69B41301"/>
    <w:rsid w:val="6AA36F8C"/>
    <w:rsid w:val="6BE90E27"/>
    <w:rsid w:val="6C56B596"/>
    <w:rsid w:val="6CAE6644"/>
    <w:rsid w:val="6CB07A5F"/>
    <w:rsid w:val="6D778995"/>
    <w:rsid w:val="6DD65EA5"/>
    <w:rsid w:val="718F2C5A"/>
    <w:rsid w:val="71F95A0C"/>
    <w:rsid w:val="72D368B3"/>
    <w:rsid w:val="744D8398"/>
    <w:rsid w:val="74746318"/>
    <w:rsid w:val="756E7AFB"/>
    <w:rsid w:val="770E70EA"/>
    <w:rsid w:val="784AC3F7"/>
    <w:rsid w:val="7970CFFD"/>
    <w:rsid w:val="79C4A687"/>
    <w:rsid w:val="7B30A733"/>
    <w:rsid w:val="7B607AF0"/>
    <w:rsid w:val="7B646C67"/>
    <w:rsid w:val="7C3E8E2C"/>
    <w:rsid w:val="7D06F878"/>
    <w:rsid w:val="7D81D9F5"/>
    <w:rsid w:val="7DE0F560"/>
    <w:rsid w:val="7DF55831"/>
    <w:rsid w:val="7E172211"/>
    <w:rsid w:val="7EFC34E4"/>
    <w:rsid w:val="7F0CE9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EA05"/>
  <w15:chartTrackingRefBased/>
  <w15:docId w15:val="{A6A49154-8301-4744-86AE-BD2D81B2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3B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139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9BA"/>
    <w:rPr>
      <w:color w:val="0563C1" w:themeColor="hyperlink"/>
      <w:u w:val="single"/>
    </w:rPr>
  </w:style>
  <w:style w:type="character" w:customStyle="1" w:styleId="UnresolvedMention">
    <w:name w:val="Unresolved Mention"/>
    <w:basedOn w:val="DefaultParagraphFont"/>
    <w:uiPriority w:val="99"/>
    <w:semiHidden/>
    <w:unhideWhenUsed/>
    <w:rsid w:val="004A09BA"/>
    <w:rPr>
      <w:color w:val="605E5C"/>
      <w:shd w:val="clear" w:color="auto" w:fill="E1DFDD"/>
    </w:rPr>
  </w:style>
  <w:style w:type="paragraph" w:styleId="Header">
    <w:name w:val="header"/>
    <w:basedOn w:val="Normal"/>
    <w:link w:val="HeaderChar"/>
    <w:uiPriority w:val="99"/>
    <w:unhideWhenUsed/>
    <w:rsid w:val="002A36AF"/>
    <w:pPr>
      <w:tabs>
        <w:tab w:val="center" w:pos="4680"/>
        <w:tab w:val="right" w:pos="9360"/>
      </w:tabs>
    </w:pPr>
  </w:style>
  <w:style w:type="character" w:customStyle="1" w:styleId="HeaderChar">
    <w:name w:val="Header Char"/>
    <w:basedOn w:val="DefaultParagraphFont"/>
    <w:link w:val="Header"/>
    <w:uiPriority w:val="99"/>
    <w:rsid w:val="002A36AF"/>
    <w:rPr>
      <w:rFonts w:ascii="Times New Roman" w:eastAsia="Times New Roman" w:hAnsi="Times New Roman" w:cs="Times New Roman"/>
      <w:lang w:eastAsia="en-GB"/>
    </w:rPr>
  </w:style>
  <w:style w:type="paragraph" w:styleId="Footer">
    <w:name w:val="footer"/>
    <w:basedOn w:val="Normal"/>
    <w:link w:val="FooterChar"/>
    <w:uiPriority w:val="99"/>
    <w:unhideWhenUsed/>
    <w:rsid w:val="002A36AF"/>
    <w:pPr>
      <w:tabs>
        <w:tab w:val="center" w:pos="4680"/>
        <w:tab w:val="right" w:pos="9360"/>
      </w:tabs>
    </w:pPr>
  </w:style>
  <w:style w:type="character" w:customStyle="1" w:styleId="FooterChar">
    <w:name w:val="Footer Char"/>
    <w:basedOn w:val="DefaultParagraphFont"/>
    <w:link w:val="Footer"/>
    <w:uiPriority w:val="99"/>
    <w:rsid w:val="002A36AF"/>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C1394D"/>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7519B6"/>
    <w:pPr>
      <w:spacing w:before="100" w:beforeAutospacing="1" w:after="100" w:afterAutospacing="1"/>
    </w:pPr>
  </w:style>
  <w:style w:type="character" w:styleId="FollowedHyperlink">
    <w:name w:val="FollowedHyperlink"/>
    <w:basedOn w:val="DefaultParagraphFont"/>
    <w:uiPriority w:val="99"/>
    <w:semiHidden/>
    <w:unhideWhenUsed/>
    <w:rsid w:val="007519B6"/>
    <w:rPr>
      <w:color w:val="954F72" w:themeColor="followedHyperlink"/>
      <w:u w:val="single"/>
    </w:rPr>
  </w:style>
  <w:style w:type="paragraph" w:styleId="ListParagraph">
    <w:name w:val="List Paragraph"/>
    <w:basedOn w:val="Normal"/>
    <w:uiPriority w:val="34"/>
    <w:qFormat/>
    <w:rsid w:val="007C5F56"/>
    <w:pPr>
      <w:ind w:left="720"/>
      <w:contextualSpacing/>
    </w:pPr>
  </w:style>
  <w:style w:type="character" w:styleId="CommentReference">
    <w:name w:val="annotation reference"/>
    <w:basedOn w:val="DefaultParagraphFont"/>
    <w:uiPriority w:val="99"/>
    <w:semiHidden/>
    <w:unhideWhenUsed/>
    <w:rsid w:val="00D75A28"/>
    <w:rPr>
      <w:sz w:val="16"/>
      <w:szCs w:val="16"/>
    </w:rPr>
  </w:style>
  <w:style w:type="paragraph" w:styleId="CommentText">
    <w:name w:val="annotation text"/>
    <w:basedOn w:val="Normal"/>
    <w:link w:val="CommentTextChar"/>
    <w:uiPriority w:val="99"/>
    <w:semiHidden/>
    <w:unhideWhenUsed/>
    <w:rsid w:val="00D75A28"/>
    <w:rPr>
      <w:sz w:val="20"/>
      <w:szCs w:val="20"/>
    </w:rPr>
  </w:style>
  <w:style w:type="character" w:customStyle="1" w:styleId="CommentTextChar">
    <w:name w:val="Comment Text Char"/>
    <w:basedOn w:val="DefaultParagraphFont"/>
    <w:link w:val="CommentText"/>
    <w:uiPriority w:val="99"/>
    <w:semiHidden/>
    <w:rsid w:val="00D75A2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75A28"/>
    <w:rPr>
      <w:b/>
      <w:bCs/>
    </w:rPr>
  </w:style>
  <w:style w:type="character" w:customStyle="1" w:styleId="CommentSubjectChar">
    <w:name w:val="Comment Subject Char"/>
    <w:basedOn w:val="CommentTextChar"/>
    <w:link w:val="CommentSubject"/>
    <w:uiPriority w:val="99"/>
    <w:semiHidden/>
    <w:rsid w:val="00D75A28"/>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D9000E"/>
    <w:rPr>
      <w:sz w:val="20"/>
      <w:szCs w:val="20"/>
    </w:rPr>
  </w:style>
  <w:style w:type="character" w:customStyle="1" w:styleId="FootnoteTextChar">
    <w:name w:val="Footnote Text Char"/>
    <w:basedOn w:val="DefaultParagraphFont"/>
    <w:link w:val="FootnoteText"/>
    <w:uiPriority w:val="99"/>
    <w:semiHidden/>
    <w:rsid w:val="00D9000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9000E"/>
    <w:rPr>
      <w:vertAlign w:val="superscript"/>
    </w:rPr>
  </w:style>
  <w:style w:type="character" w:styleId="PageNumber">
    <w:name w:val="page number"/>
    <w:basedOn w:val="DefaultParagraphFont"/>
    <w:uiPriority w:val="99"/>
    <w:semiHidden/>
    <w:unhideWhenUsed/>
    <w:rsid w:val="007E6D7B"/>
  </w:style>
  <w:style w:type="paragraph" w:styleId="BalloonText">
    <w:name w:val="Balloon Text"/>
    <w:basedOn w:val="Normal"/>
    <w:link w:val="BalloonTextChar"/>
    <w:uiPriority w:val="99"/>
    <w:semiHidden/>
    <w:unhideWhenUsed/>
    <w:rsid w:val="00EA7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262"/>
    <w:rPr>
      <w:rFonts w:ascii="Segoe UI" w:eastAsia="Times New Roman" w:hAnsi="Segoe UI" w:cs="Segoe UI"/>
      <w:sz w:val="18"/>
      <w:szCs w:val="18"/>
      <w:lang w:eastAsia="en-GB"/>
    </w:rPr>
  </w:style>
  <w:style w:type="paragraph" w:customStyle="1" w:styleId="Default">
    <w:name w:val="Default"/>
    <w:basedOn w:val="Normal"/>
    <w:rsid w:val="00517531"/>
    <w:pPr>
      <w:autoSpaceDE w:val="0"/>
      <w:autoSpaceDN w:val="0"/>
    </w:pPr>
    <w:rPr>
      <w:rFonts w:ascii="Calibri" w:eastAsiaTheme="minorHAnsi"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261">
      <w:bodyDiv w:val="1"/>
      <w:marLeft w:val="0"/>
      <w:marRight w:val="0"/>
      <w:marTop w:val="0"/>
      <w:marBottom w:val="0"/>
      <w:divBdr>
        <w:top w:val="none" w:sz="0" w:space="0" w:color="auto"/>
        <w:left w:val="none" w:sz="0" w:space="0" w:color="auto"/>
        <w:bottom w:val="none" w:sz="0" w:space="0" w:color="auto"/>
        <w:right w:val="none" w:sz="0" w:space="0" w:color="auto"/>
      </w:divBdr>
    </w:div>
    <w:div w:id="25446958">
      <w:bodyDiv w:val="1"/>
      <w:marLeft w:val="0"/>
      <w:marRight w:val="0"/>
      <w:marTop w:val="0"/>
      <w:marBottom w:val="0"/>
      <w:divBdr>
        <w:top w:val="none" w:sz="0" w:space="0" w:color="auto"/>
        <w:left w:val="none" w:sz="0" w:space="0" w:color="auto"/>
        <w:bottom w:val="none" w:sz="0" w:space="0" w:color="auto"/>
        <w:right w:val="none" w:sz="0" w:space="0" w:color="auto"/>
      </w:divBdr>
    </w:div>
    <w:div w:id="87434561">
      <w:bodyDiv w:val="1"/>
      <w:marLeft w:val="0"/>
      <w:marRight w:val="0"/>
      <w:marTop w:val="0"/>
      <w:marBottom w:val="0"/>
      <w:divBdr>
        <w:top w:val="none" w:sz="0" w:space="0" w:color="auto"/>
        <w:left w:val="none" w:sz="0" w:space="0" w:color="auto"/>
        <w:bottom w:val="none" w:sz="0" w:space="0" w:color="auto"/>
        <w:right w:val="none" w:sz="0" w:space="0" w:color="auto"/>
      </w:divBdr>
      <w:divsChild>
        <w:div w:id="343896689">
          <w:marLeft w:val="0"/>
          <w:marRight w:val="0"/>
          <w:marTop w:val="0"/>
          <w:marBottom w:val="0"/>
          <w:divBdr>
            <w:top w:val="none" w:sz="0" w:space="0" w:color="auto"/>
            <w:left w:val="none" w:sz="0" w:space="0" w:color="auto"/>
            <w:bottom w:val="none" w:sz="0" w:space="0" w:color="auto"/>
            <w:right w:val="none" w:sz="0" w:space="0" w:color="auto"/>
          </w:divBdr>
          <w:divsChild>
            <w:div w:id="332612223">
              <w:marLeft w:val="0"/>
              <w:marRight w:val="0"/>
              <w:marTop w:val="0"/>
              <w:marBottom w:val="0"/>
              <w:divBdr>
                <w:top w:val="none" w:sz="0" w:space="0" w:color="auto"/>
                <w:left w:val="none" w:sz="0" w:space="0" w:color="auto"/>
                <w:bottom w:val="none" w:sz="0" w:space="0" w:color="auto"/>
                <w:right w:val="none" w:sz="0" w:space="0" w:color="auto"/>
              </w:divBdr>
              <w:divsChild>
                <w:div w:id="12032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3429">
      <w:bodyDiv w:val="1"/>
      <w:marLeft w:val="0"/>
      <w:marRight w:val="0"/>
      <w:marTop w:val="0"/>
      <w:marBottom w:val="0"/>
      <w:divBdr>
        <w:top w:val="none" w:sz="0" w:space="0" w:color="auto"/>
        <w:left w:val="none" w:sz="0" w:space="0" w:color="auto"/>
        <w:bottom w:val="none" w:sz="0" w:space="0" w:color="auto"/>
        <w:right w:val="none" w:sz="0" w:space="0" w:color="auto"/>
      </w:divBdr>
    </w:div>
    <w:div w:id="167137936">
      <w:bodyDiv w:val="1"/>
      <w:marLeft w:val="0"/>
      <w:marRight w:val="0"/>
      <w:marTop w:val="0"/>
      <w:marBottom w:val="0"/>
      <w:divBdr>
        <w:top w:val="none" w:sz="0" w:space="0" w:color="auto"/>
        <w:left w:val="none" w:sz="0" w:space="0" w:color="auto"/>
        <w:bottom w:val="none" w:sz="0" w:space="0" w:color="auto"/>
        <w:right w:val="none" w:sz="0" w:space="0" w:color="auto"/>
      </w:divBdr>
      <w:divsChild>
        <w:div w:id="1608466453">
          <w:marLeft w:val="0"/>
          <w:marRight w:val="0"/>
          <w:marTop w:val="0"/>
          <w:marBottom w:val="0"/>
          <w:divBdr>
            <w:top w:val="none" w:sz="0" w:space="0" w:color="auto"/>
            <w:left w:val="none" w:sz="0" w:space="0" w:color="auto"/>
            <w:bottom w:val="none" w:sz="0" w:space="0" w:color="auto"/>
            <w:right w:val="none" w:sz="0" w:space="0" w:color="auto"/>
          </w:divBdr>
          <w:divsChild>
            <w:div w:id="205459219">
              <w:marLeft w:val="0"/>
              <w:marRight w:val="0"/>
              <w:marTop w:val="0"/>
              <w:marBottom w:val="0"/>
              <w:divBdr>
                <w:top w:val="none" w:sz="0" w:space="0" w:color="auto"/>
                <w:left w:val="none" w:sz="0" w:space="0" w:color="auto"/>
                <w:bottom w:val="none" w:sz="0" w:space="0" w:color="auto"/>
                <w:right w:val="none" w:sz="0" w:space="0" w:color="auto"/>
              </w:divBdr>
              <w:divsChild>
                <w:div w:id="15403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9372">
      <w:bodyDiv w:val="1"/>
      <w:marLeft w:val="0"/>
      <w:marRight w:val="0"/>
      <w:marTop w:val="0"/>
      <w:marBottom w:val="0"/>
      <w:divBdr>
        <w:top w:val="none" w:sz="0" w:space="0" w:color="auto"/>
        <w:left w:val="none" w:sz="0" w:space="0" w:color="auto"/>
        <w:bottom w:val="none" w:sz="0" w:space="0" w:color="auto"/>
        <w:right w:val="none" w:sz="0" w:space="0" w:color="auto"/>
      </w:divBdr>
    </w:div>
    <w:div w:id="313141480">
      <w:bodyDiv w:val="1"/>
      <w:marLeft w:val="0"/>
      <w:marRight w:val="0"/>
      <w:marTop w:val="0"/>
      <w:marBottom w:val="0"/>
      <w:divBdr>
        <w:top w:val="none" w:sz="0" w:space="0" w:color="auto"/>
        <w:left w:val="none" w:sz="0" w:space="0" w:color="auto"/>
        <w:bottom w:val="none" w:sz="0" w:space="0" w:color="auto"/>
        <w:right w:val="none" w:sz="0" w:space="0" w:color="auto"/>
      </w:divBdr>
      <w:divsChild>
        <w:div w:id="868026249">
          <w:marLeft w:val="0"/>
          <w:marRight w:val="0"/>
          <w:marTop w:val="0"/>
          <w:marBottom w:val="0"/>
          <w:divBdr>
            <w:top w:val="none" w:sz="0" w:space="0" w:color="auto"/>
            <w:left w:val="none" w:sz="0" w:space="0" w:color="auto"/>
            <w:bottom w:val="none" w:sz="0" w:space="0" w:color="auto"/>
            <w:right w:val="none" w:sz="0" w:space="0" w:color="auto"/>
          </w:divBdr>
          <w:divsChild>
            <w:div w:id="804734068">
              <w:marLeft w:val="0"/>
              <w:marRight w:val="0"/>
              <w:marTop w:val="0"/>
              <w:marBottom w:val="0"/>
              <w:divBdr>
                <w:top w:val="none" w:sz="0" w:space="0" w:color="auto"/>
                <w:left w:val="none" w:sz="0" w:space="0" w:color="auto"/>
                <w:bottom w:val="none" w:sz="0" w:space="0" w:color="auto"/>
                <w:right w:val="none" w:sz="0" w:space="0" w:color="auto"/>
              </w:divBdr>
              <w:divsChild>
                <w:div w:id="1883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934">
      <w:bodyDiv w:val="1"/>
      <w:marLeft w:val="0"/>
      <w:marRight w:val="0"/>
      <w:marTop w:val="0"/>
      <w:marBottom w:val="0"/>
      <w:divBdr>
        <w:top w:val="none" w:sz="0" w:space="0" w:color="auto"/>
        <w:left w:val="none" w:sz="0" w:space="0" w:color="auto"/>
        <w:bottom w:val="none" w:sz="0" w:space="0" w:color="auto"/>
        <w:right w:val="none" w:sz="0" w:space="0" w:color="auto"/>
      </w:divBdr>
      <w:divsChild>
        <w:div w:id="1389765985">
          <w:marLeft w:val="0"/>
          <w:marRight w:val="0"/>
          <w:marTop w:val="0"/>
          <w:marBottom w:val="0"/>
          <w:divBdr>
            <w:top w:val="none" w:sz="0" w:space="0" w:color="auto"/>
            <w:left w:val="none" w:sz="0" w:space="0" w:color="auto"/>
            <w:bottom w:val="none" w:sz="0" w:space="0" w:color="auto"/>
            <w:right w:val="none" w:sz="0" w:space="0" w:color="auto"/>
          </w:divBdr>
          <w:divsChild>
            <w:div w:id="283925909">
              <w:marLeft w:val="0"/>
              <w:marRight w:val="0"/>
              <w:marTop w:val="0"/>
              <w:marBottom w:val="0"/>
              <w:divBdr>
                <w:top w:val="none" w:sz="0" w:space="0" w:color="auto"/>
                <w:left w:val="none" w:sz="0" w:space="0" w:color="auto"/>
                <w:bottom w:val="none" w:sz="0" w:space="0" w:color="auto"/>
                <w:right w:val="none" w:sz="0" w:space="0" w:color="auto"/>
              </w:divBdr>
              <w:divsChild>
                <w:div w:id="1230194860">
                  <w:marLeft w:val="0"/>
                  <w:marRight w:val="0"/>
                  <w:marTop w:val="0"/>
                  <w:marBottom w:val="0"/>
                  <w:divBdr>
                    <w:top w:val="none" w:sz="0" w:space="0" w:color="auto"/>
                    <w:left w:val="none" w:sz="0" w:space="0" w:color="auto"/>
                    <w:bottom w:val="none" w:sz="0" w:space="0" w:color="auto"/>
                    <w:right w:val="none" w:sz="0" w:space="0" w:color="auto"/>
                  </w:divBdr>
                  <w:divsChild>
                    <w:div w:id="15981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2837">
      <w:bodyDiv w:val="1"/>
      <w:marLeft w:val="0"/>
      <w:marRight w:val="0"/>
      <w:marTop w:val="0"/>
      <w:marBottom w:val="0"/>
      <w:divBdr>
        <w:top w:val="none" w:sz="0" w:space="0" w:color="auto"/>
        <w:left w:val="none" w:sz="0" w:space="0" w:color="auto"/>
        <w:bottom w:val="none" w:sz="0" w:space="0" w:color="auto"/>
        <w:right w:val="none" w:sz="0" w:space="0" w:color="auto"/>
      </w:divBdr>
    </w:div>
    <w:div w:id="455684065">
      <w:bodyDiv w:val="1"/>
      <w:marLeft w:val="0"/>
      <w:marRight w:val="0"/>
      <w:marTop w:val="0"/>
      <w:marBottom w:val="0"/>
      <w:divBdr>
        <w:top w:val="none" w:sz="0" w:space="0" w:color="auto"/>
        <w:left w:val="none" w:sz="0" w:space="0" w:color="auto"/>
        <w:bottom w:val="none" w:sz="0" w:space="0" w:color="auto"/>
        <w:right w:val="none" w:sz="0" w:space="0" w:color="auto"/>
      </w:divBdr>
    </w:div>
    <w:div w:id="472796714">
      <w:bodyDiv w:val="1"/>
      <w:marLeft w:val="0"/>
      <w:marRight w:val="0"/>
      <w:marTop w:val="0"/>
      <w:marBottom w:val="0"/>
      <w:divBdr>
        <w:top w:val="none" w:sz="0" w:space="0" w:color="auto"/>
        <w:left w:val="none" w:sz="0" w:space="0" w:color="auto"/>
        <w:bottom w:val="none" w:sz="0" w:space="0" w:color="auto"/>
        <w:right w:val="none" w:sz="0" w:space="0" w:color="auto"/>
      </w:divBdr>
      <w:divsChild>
        <w:div w:id="1116488129">
          <w:marLeft w:val="0"/>
          <w:marRight w:val="0"/>
          <w:marTop w:val="0"/>
          <w:marBottom w:val="0"/>
          <w:divBdr>
            <w:top w:val="none" w:sz="0" w:space="0" w:color="auto"/>
            <w:left w:val="none" w:sz="0" w:space="0" w:color="auto"/>
            <w:bottom w:val="none" w:sz="0" w:space="0" w:color="auto"/>
            <w:right w:val="none" w:sz="0" w:space="0" w:color="auto"/>
          </w:divBdr>
          <w:divsChild>
            <w:div w:id="2100909898">
              <w:marLeft w:val="0"/>
              <w:marRight w:val="0"/>
              <w:marTop w:val="0"/>
              <w:marBottom w:val="0"/>
              <w:divBdr>
                <w:top w:val="none" w:sz="0" w:space="0" w:color="auto"/>
                <w:left w:val="none" w:sz="0" w:space="0" w:color="auto"/>
                <w:bottom w:val="none" w:sz="0" w:space="0" w:color="auto"/>
                <w:right w:val="none" w:sz="0" w:space="0" w:color="auto"/>
              </w:divBdr>
              <w:divsChild>
                <w:div w:id="14780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82884">
      <w:bodyDiv w:val="1"/>
      <w:marLeft w:val="0"/>
      <w:marRight w:val="0"/>
      <w:marTop w:val="0"/>
      <w:marBottom w:val="0"/>
      <w:divBdr>
        <w:top w:val="none" w:sz="0" w:space="0" w:color="auto"/>
        <w:left w:val="none" w:sz="0" w:space="0" w:color="auto"/>
        <w:bottom w:val="none" w:sz="0" w:space="0" w:color="auto"/>
        <w:right w:val="none" w:sz="0" w:space="0" w:color="auto"/>
      </w:divBdr>
      <w:divsChild>
        <w:div w:id="2017069734">
          <w:marLeft w:val="0"/>
          <w:marRight w:val="0"/>
          <w:marTop w:val="0"/>
          <w:marBottom w:val="0"/>
          <w:divBdr>
            <w:top w:val="none" w:sz="0" w:space="0" w:color="auto"/>
            <w:left w:val="none" w:sz="0" w:space="0" w:color="auto"/>
            <w:bottom w:val="none" w:sz="0" w:space="0" w:color="auto"/>
            <w:right w:val="none" w:sz="0" w:space="0" w:color="auto"/>
          </w:divBdr>
          <w:divsChild>
            <w:div w:id="1448695066">
              <w:marLeft w:val="0"/>
              <w:marRight w:val="0"/>
              <w:marTop w:val="0"/>
              <w:marBottom w:val="0"/>
              <w:divBdr>
                <w:top w:val="none" w:sz="0" w:space="0" w:color="auto"/>
                <w:left w:val="none" w:sz="0" w:space="0" w:color="auto"/>
                <w:bottom w:val="none" w:sz="0" w:space="0" w:color="auto"/>
                <w:right w:val="none" w:sz="0" w:space="0" w:color="auto"/>
              </w:divBdr>
              <w:divsChild>
                <w:div w:id="2142192126">
                  <w:marLeft w:val="0"/>
                  <w:marRight w:val="0"/>
                  <w:marTop w:val="0"/>
                  <w:marBottom w:val="0"/>
                  <w:divBdr>
                    <w:top w:val="none" w:sz="0" w:space="0" w:color="auto"/>
                    <w:left w:val="none" w:sz="0" w:space="0" w:color="auto"/>
                    <w:bottom w:val="none" w:sz="0" w:space="0" w:color="auto"/>
                    <w:right w:val="none" w:sz="0" w:space="0" w:color="auto"/>
                  </w:divBdr>
                  <w:divsChild>
                    <w:div w:id="5908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56117">
      <w:bodyDiv w:val="1"/>
      <w:marLeft w:val="0"/>
      <w:marRight w:val="0"/>
      <w:marTop w:val="0"/>
      <w:marBottom w:val="0"/>
      <w:divBdr>
        <w:top w:val="none" w:sz="0" w:space="0" w:color="auto"/>
        <w:left w:val="none" w:sz="0" w:space="0" w:color="auto"/>
        <w:bottom w:val="none" w:sz="0" w:space="0" w:color="auto"/>
        <w:right w:val="none" w:sz="0" w:space="0" w:color="auto"/>
      </w:divBdr>
    </w:div>
    <w:div w:id="606815222">
      <w:bodyDiv w:val="1"/>
      <w:marLeft w:val="0"/>
      <w:marRight w:val="0"/>
      <w:marTop w:val="0"/>
      <w:marBottom w:val="0"/>
      <w:divBdr>
        <w:top w:val="none" w:sz="0" w:space="0" w:color="auto"/>
        <w:left w:val="none" w:sz="0" w:space="0" w:color="auto"/>
        <w:bottom w:val="none" w:sz="0" w:space="0" w:color="auto"/>
        <w:right w:val="none" w:sz="0" w:space="0" w:color="auto"/>
      </w:divBdr>
      <w:divsChild>
        <w:div w:id="1792481306">
          <w:marLeft w:val="0"/>
          <w:marRight w:val="0"/>
          <w:marTop w:val="0"/>
          <w:marBottom w:val="0"/>
          <w:divBdr>
            <w:top w:val="none" w:sz="0" w:space="0" w:color="auto"/>
            <w:left w:val="none" w:sz="0" w:space="0" w:color="auto"/>
            <w:bottom w:val="none" w:sz="0" w:space="0" w:color="auto"/>
            <w:right w:val="none" w:sz="0" w:space="0" w:color="auto"/>
          </w:divBdr>
          <w:divsChild>
            <w:div w:id="1186097352">
              <w:marLeft w:val="0"/>
              <w:marRight w:val="0"/>
              <w:marTop w:val="0"/>
              <w:marBottom w:val="0"/>
              <w:divBdr>
                <w:top w:val="none" w:sz="0" w:space="0" w:color="auto"/>
                <w:left w:val="none" w:sz="0" w:space="0" w:color="auto"/>
                <w:bottom w:val="none" w:sz="0" w:space="0" w:color="auto"/>
                <w:right w:val="none" w:sz="0" w:space="0" w:color="auto"/>
              </w:divBdr>
              <w:divsChild>
                <w:div w:id="5178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868298">
      <w:bodyDiv w:val="1"/>
      <w:marLeft w:val="0"/>
      <w:marRight w:val="0"/>
      <w:marTop w:val="0"/>
      <w:marBottom w:val="0"/>
      <w:divBdr>
        <w:top w:val="none" w:sz="0" w:space="0" w:color="auto"/>
        <w:left w:val="none" w:sz="0" w:space="0" w:color="auto"/>
        <w:bottom w:val="none" w:sz="0" w:space="0" w:color="auto"/>
        <w:right w:val="none" w:sz="0" w:space="0" w:color="auto"/>
      </w:divBdr>
    </w:div>
    <w:div w:id="663360064">
      <w:bodyDiv w:val="1"/>
      <w:marLeft w:val="0"/>
      <w:marRight w:val="0"/>
      <w:marTop w:val="0"/>
      <w:marBottom w:val="0"/>
      <w:divBdr>
        <w:top w:val="none" w:sz="0" w:space="0" w:color="auto"/>
        <w:left w:val="none" w:sz="0" w:space="0" w:color="auto"/>
        <w:bottom w:val="none" w:sz="0" w:space="0" w:color="auto"/>
        <w:right w:val="none" w:sz="0" w:space="0" w:color="auto"/>
      </w:divBdr>
      <w:divsChild>
        <w:div w:id="1525366269">
          <w:marLeft w:val="0"/>
          <w:marRight w:val="0"/>
          <w:marTop w:val="0"/>
          <w:marBottom w:val="0"/>
          <w:divBdr>
            <w:top w:val="none" w:sz="0" w:space="0" w:color="auto"/>
            <w:left w:val="none" w:sz="0" w:space="0" w:color="auto"/>
            <w:bottom w:val="none" w:sz="0" w:space="0" w:color="auto"/>
            <w:right w:val="none" w:sz="0" w:space="0" w:color="auto"/>
          </w:divBdr>
          <w:divsChild>
            <w:div w:id="490870988">
              <w:marLeft w:val="0"/>
              <w:marRight w:val="0"/>
              <w:marTop w:val="0"/>
              <w:marBottom w:val="0"/>
              <w:divBdr>
                <w:top w:val="none" w:sz="0" w:space="0" w:color="auto"/>
                <w:left w:val="none" w:sz="0" w:space="0" w:color="auto"/>
                <w:bottom w:val="none" w:sz="0" w:space="0" w:color="auto"/>
                <w:right w:val="none" w:sz="0" w:space="0" w:color="auto"/>
              </w:divBdr>
              <w:divsChild>
                <w:div w:id="7725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6695">
      <w:bodyDiv w:val="1"/>
      <w:marLeft w:val="0"/>
      <w:marRight w:val="0"/>
      <w:marTop w:val="0"/>
      <w:marBottom w:val="0"/>
      <w:divBdr>
        <w:top w:val="none" w:sz="0" w:space="0" w:color="auto"/>
        <w:left w:val="none" w:sz="0" w:space="0" w:color="auto"/>
        <w:bottom w:val="none" w:sz="0" w:space="0" w:color="auto"/>
        <w:right w:val="none" w:sz="0" w:space="0" w:color="auto"/>
      </w:divBdr>
    </w:div>
    <w:div w:id="692195725">
      <w:bodyDiv w:val="1"/>
      <w:marLeft w:val="0"/>
      <w:marRight w:val="0"/>
      <w:marTop w:val="0"/>
      <w:marBottom w:val="0"/>
      <w:divBdr>
        <w:top w:val="none" w:sz="0" w:space="0" w:color="auto"/>
        <w:left w:val="none" w:sz="0" w:space="0" w:color="auto"/>
        <w:bottom w:val="none" w:sz="0" w:space="0" w:color="auto"/>
        <w:right w:val="none" w:sz="0" w:space="0" w:color="auto"/>
      </w:divBdr>
      <w:divsChild>
        <w:div w:id="1266694693">
          <w:marLeft w:val="0"/>
          <w:marRight w:val="0"/>
          <w:marTop w:val="0"/>
          <w:marBottom w:val="0"/>
          <w:divBdr>
            <w:top w:val="none" w:sz="0" w:space="0" w:color="auto"/>
            <w:left w:val="none" w:sz="0" w:space="0" w:color="auto"/>
            <w:bottom w:val="none" w:sz="0" w:space="0" w:color="auto"/>
            <w:right w:val="none" w:sz="0" w:space="0" w:color="auto"/>
          </w:divBdr>
          <w:divsChild>
            <w:div w:id="131215105">
              <w:marLeft w:val="0"/>
              <w:marRight w:val="0"/>
              <w:marTop w:val="0"/>
              <w:marBottom w:val="0"/>
              <w:divBdr>
                <w:top w:val="none" w:sz="0" w:space="0" w:color="auto"/>
                <w:left w:val="none" w:sz="0" w:space="0" w:color="auto"/>
                <w:bottom w:val="none" w:sz="0" w:space="0" w:color="auto"/>
                <w:right w:val="none" w:sz="0" w:space="0" w:color="auto"/>
              </w:divBdr>
              <w:divsChild>
                <w:div w:id="685326524">
                  <w:marLeft w:val="0"/>
                  <w:marRight w:val="0"/>
                  <w:marTop w:val="0"/>
                  <w:marBottom w:val="0"/>
                  <w:divBdr>
                    <w:top w:val="none" w:sz="0" w:space="0" w:color="auto"/>
                    <w:left w:val="none" w:sz="0" w:space="0" w:color="auto"/>
                    <w:bottom w:val="none" w:sz="0" w:space="0" w:color="auto"/>
                    <w:right w:val="none" w:sz="0" w:space="0" w:color="auto"/>
                  </w:divBdr>
                  <w:divsChild>
                    <w:div w:id="1333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79322">
      <w:bodyDiv w:val="1"/>
      <w:marLeft w:val="0"/>
      <w:marRight w:val="0"/>
      <w:marTop w:val="0"/>
      <w:marBottom w:val="0"/>
      <w:divBdr>
        <w:top w:val="none" w:sz="0" w:space="0" w:color="auto"/>
        <w:left w:val="none" w:sz="0" w:space="0" w:color="auto"/>
        <w:bottom w:val="none" w:sz="0" w:space="0" w:color="auto"/>
        <w:right w:val="none" w:sz="0" w:space="0" w:color="auto"/>
      </w:divBdr>
    </w:div>
    <w:div w:id="842932866">
      <w:bodyDiv w:val="1"/>
      <w:marLeft w:val="0"/>
      <w:marRight w:val="0"/>
      <w:marTop w:val="0"/>
      <w:marBottom w:val="0"/>
      <w:divBdr>
        <w:top w:val="none" w:sz="0" w:space="0" w:color="auto"/>
        <w:left w:val="none" w:sz="0" w:space="0" w:color="auto"/>
        <w:bottom w:val="none" w:sz="0" w:space="0" w:color="auto"/>
        <w:right w:val="none" w:sz="0" w:space="0" w:color="auto"/>
      </w:divBdr>
    </w:div>
    <w:div w:id="858085583">
      <w:bodyDiv w:val="1"/>
      <w:marLeft w:val="0"/>
      <w:marRight w:val="0"/>
      <w:marTop w:val="0"/>
      <w:marBottom w:val="0"/>
      <w:divBdr>
        <w:top w:val="none" w:sz="0" w:space="0" w:color="auto"/>
        <w:left w:val="none" w:sz="0" w:space="0" w:color="auto"/>
        <w:bottom w:val="none" w:sz="0" w:space="0" w:color="auto"/>
        <w:right w:val="none" w:sz="0" w:space="0" w:color="auto"/>
      </w:divBdr>
    </w:div>
    <w:div w:id="861355187">
      <w:bodyDiv w:val="1"/>
      <w:marLeft w:val="0"/>
      <w:marRight w:val="0"/>
      <w:marTop w:val="0"/>
      <w:marBottom w:val="0"/>
      <w:divBdr>
        <w:top w:val="none" w:sz="0" w:space="0" w:color="auto"/>
        <w:left w:val="none" w:sz="0" w:space="0" w:color="auto"/>
        <w:bottom w:val="none" w:sz="0" w:space="0" w:color="auto"/>
        <w:right w:val="none" w:sz="0" w:space="0" w:color="auto"/>
      </w:divBdr>
    </w:div>
    <w:div w:id="930242565">
      <w:bodyDiv w:val="1"/>
      <w:marLeft w:val="0"/>
      <w:marRight w:val="0"/>
      <w:marTop w:val="0"/>
      <w:marBottom w:val="0"/>
      <w:divBdr>
        <w:top w:val="none" w:sz="0" w:space="0" w:color="auto"/>
        <w:left w:val="none" w:sz="0" w:space="0" w:color="auto"/>
        <w:bottom w:val="none" w:sz="0" w:space="0" w:color="auto"/>
        <w:right w:val="none" w:sz="0" w:space="0" w:color="auto"/>
      </w:divBdr>
      <w:divsChild>
        <w:div w:id="1650792301">
          <w:marLeft w:val="0"/>
          <w:marRight w:val="0"/>
          <w:marTop w:val="0"/>
          <w:marBottom w:val="0"/>
          <w:divBdr>
            <w:top w:val="none" w:sz="0" w:space="0" w:color="auto"/>
            <w:left w:val="none" w:sz="0" w:space="0" w:color="auto"/>
            <w:bottom w:val="none" w:sz="0" w:space="0" w:color="auto"/>
            <w:right w:val="none" w:sz="0" w:space="0" w:color="auto"/>
          </w:divBdr>
          <w:divsChild>
            <w:div w:id="1614747095">
              <w:marLeft w:val="0"/>
              <w:marRight w:val="0"/>
              <w:marTop w:val="0"/>
              <w:marBottom w:val="0"/>
              <w:divBdr>
                <w:top w:val="none" w:sz="0" w:space="0" w:color="auto"/>
                <w:left w:val="none" w:sz="0" w:space="0" w:color="auto"/>
                <w:bottom w:val="none" w:sz="0" w:space="0" w:color="auto"/>
                <w:right w:val="none" w:sz="0" w:space="0" w:color="auto"/>
              </w:divBdr>
              <w:divsChild>
                <w:div w:id="96445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3828">
      <w:bodyDiv w:val="1"/>
      <w:marLeft w:val="0"/>
      <w:marRight w:val="0"/>
      <w:marTop w:val="0"/>
      <w:marBottom w:val="0"/>
      <w:divBdr>
        <w:top w:val="none" w:sz="0" w:space="0" w:color="auto"/>
        <w:left w:val="none" w:sz="0" w:space="0" w:color="auto"/>
        <w:bottom w:val="none" w:sz="0" w:space="0" w:color="auto"/>
        <w:right w:val="none" w:sz="0" w:space="0" w:color="auto"/>
      </w:divBdr>
    </w:div>
    <w:div w:id="1057358860">
      <w:bodyDiv w:val="1"/>
      <w:marLeft w:val="0"/>
      <w:marRight w:val="0"/>
      <w:marTop w:val="0"/>
      <w:marBottom w:val="0"/>
      <w:divBdr>
        <w:top w:val="none" w:sz="0" w:space="0" w:color="auto"/>
        <w:left w:val="none" w:sz="0" w:space="0" w:color="auto"/>
        <w:bottom w:val="none" w:sz="0" w:space="0" w:color="auto"/>
        <w:right w:val="none" w:sz="0" w:space="0" w:color="auto"/>
      </w:divBdr>
    </w:div>
    <w:div w:id="1063258522">
      <w:bodyDiv w:val="1"/>
      <w:marLeft w:val="0"/>
      <w:marRight w:val="0"/>
      <w:marTop w:val="0"/>
      <w:marBottom w:val="0"/>
      <w:divBdr>
        <w:top w:val="none" w:sz="0" w:space="0" w:color="auto"/>
        <w:left w:val="none" w:sz="0" w:space="0" w:color="auto"/>
        <w:bottom w:val="none" w:sz="0" w:space="0" w:color="auto"/>
        <w:right w:val="none" w:sz="0" w:space="0" w:color="auto"/>
      </w:divBdr>
    </w:div>
    <w:div w:id="1075517059">
      <w:bodyDiv w:val="1"/>
      <w:marLeft w:val="0"/>
      <w:marRight w:val="0"/>
      <w:marTop w:val="0"/>
      <w:marBottom w:val="0"/>
      <w:divBdr>
        <w:top w:val="none" w:sz="0" w:space="0" w:color="auto"/>
        <w:left w:val="none" w:sz="0" w:space="0" w:color="auto"/>
        <w:bottom w:val="none" w:sz="0" w:space="0" w:color="auto"/>
        <w:right w:val="none" w:sz="0" w:space="0" w:color="auto"/>
      </w:divBdr>
    </w:div>
    <w:div w:id="1126662022">
      <w:bodyDiv w:val="1"/>
      <w:marLeft w:val="0"/>
      <w:marRight w:val="0"/>
      <w:marTop w:val="0"/>
      <w:marBottom w:val="0"/>
      <w:divBdr>
        <w:top w:val="none" w:sz="0" w:space="0" w:color="auto"/>
        <w:left w:val="none" w:sz="0" w:space="0" w:color="auto"/>
        <w:bottom w:val="none" w:sz="0" w:space="0" w:color="auto"/>
        <w:right w:val="none" w:sz="0" w:space="0" w:color="auto"/>
      </w:divBdr>
    </w:div>
    <w:div w:id="1143618651">
      <w:bodyDiv w:val="1"/>
      <w:marLeft w:val="0"/>
      <w:marRight w:val="0"/>
      <w:marTop w:val="0"/>
      <w:marBottom w:val="0"/>
      <w:divBdr>
        <w:top w:val="none" w:sz="0" w:space="0" w:color="auto"/>
        <w:left w:val="none" w:sz="0" w:space="0" w:color="auto"/>
        <w:bottom w:val="none" w:sz="0" w:space="0" w:color="auto"/>
        <w:right w:val="none" w:sz="0" w:space="0" w:color="auto"/>
      </w:divBdr>
      <w:divsChild>
        <w:div w:id="285159656">
          <w:marLeft w:val="0"/>
          <w:marRight w:val="0"/>
          <w:marTop w:val="0"/>
          <w:marBottom w:val="0"/>
          <w:divBdr>
            <w:top w:val="none" w:sz="0" w:space="0" w:color="auto"/>
            <w:left w:val="none" w:sz="0" w:space="0" w:color="auto"/>
            <w:bottom w:val="none" w:sz="0" w:space="0" w:color="auto"/>
            <w:right w:val="none" w:sz="0" w:space="0" w:color="auto"/>
          </w:divBdr>
          <w:divsChild>
            <w:div w:id="953636914">
              <w:marLeft w:val="0"/>
              <w:marRight w:val="0"/>
              <w:marTop w:val="0"/>
              <w:marBottom w:val="0"/>
              <w:divBdr>
                <w:top w:val="none" w:sz="0" w:space="0" w:color="auto"/>
                <w:left w:val="none" w:sz="0" w:space="0" w:color="auto"/>
                <w:bottom w:val="none" w:sz="0" w:space="0" w:color="auto"/>
                <w:right w:val="none" w:sz="0" w:space="0" w:color="auto"/>
              </w:divBdr>
              <w:divsChild>
                <w:div w:id="564491057">
                  <w:marLeft w:val="0"/>
                  <w:marRight w:val="0"/>
                  <w:marTop w:val="0"/>
                  <w:marBottom w:val="0"/>
                  <w:divBdr>
                    <w:top w:val="none" w:sz="0" w:space="0" w:color="auto"/>
                    <w:left w:val="none" w:sz="0" w:space="0" w:color="auto"/>
                    <w:bottom w:val="none" w:sz="0" w:space="0" w:color="auto"/>
                    <w:right w:val="none" w:sz="0" w:space="0" w:color="auto"/>
                  </w:divBdr>
                  <w:divsChild>
                    <w:div w:id="2796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2116">
      <w:bodyDiv w:val="1"/>
      <w:marLeft w:val="0"/>
      <w:marRight w:val="0"/>
      <w:marTop w:val="0"/>
      <w:marBottom w:val="0"/>
      <w:divBdr>
        <w:top w:val="none" w:sz="0" w:space="0" w:color="auto"/>
        <w:left w:val="none" w:sz="0" w:space="0" w:color="auto"/>
        <w:bottom w:val="none" w:sz="0" w:space="0" w:color="auto"/>
        <w:right w:val="none" w:sz="0" w:space="0" w:color="auto"/>
      </w:divBdr>
    </w:div>
    <w:div w:id="1329092282">
      <w:bodyDiv w:val="1"/>
      <w:marLeft w:val="0"/>
      <w:marRight w:val="0"/>
      <w:marTop w:val="0"/>
      <w:marBottom w:val="0"/>
      <w:divBdr>
        <w:top w:val="none" w:sz="0" w:space="0" w:color="auto"/>
        <w:left w:val="none" w:sz="0" w:space="0" w:color="auto"/>
        <w:bottom w:val="none" w:sz="0" w:space="0" w:color="auto"/>
        <w:right w:val="none" w:sz="0" w:space="0" w:color="auto"/>
      </w:divBdr>
      <w:divsChild>
        <w:div w:id="70858561">
          <w:marLeft w:val="0"/>
          <w:marRight w:val="0"/>
          <w:marTop w:val="0"/>
          <w:marBottom w:val="0"/>
          <w:divBdr>
            <w:top w:val="none" w:sz="0" w:space="0" w:color="auto"/>
            <w:left w:val="none" w:sz="0" w:space="0" w:color="auto"/>
            <w:bottom w:val="none" w:sz="0" w:space="0" w:color="auto"/>
            <w:right w:val="none" w:sz="0" w:space="0" w:color="auto"/>
          </w:divBdr>
          <w:divsChild>
            <w:div w:id="1909417467">
              <w:marLeft w:val="0"/>
              <w:marRight w:val="0"/>
              <w:marTop w:val="0"/>
              <w:marBottom w:val="0"/>
              <w:divBdr>
                <w:top w:val="none" w:sz="0" w:space="0" w:color="auto"/>
                <w:left w:val="none" w:sz="0" w:space="0" w:color="auto"/>
                <w:bottom w:val="none" w:sz="0" w:space="0" w:color="auto"/>
                <w:right w:val="none" w:sz="0" w:space="0" w:color="auto"/>
              </w:divBdr>
              <w:divsChild>
                <w:div w:id="16697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3826">
      <w:bodyDiv w:val="1"/>
      <w:marLeft w:val="0"/>
      <w:marRight w:val="0"/>
      <w:marTop w:val="0"/>
      <w:marBottom w:val="0"/>
      <w:divBdr>
        <w:top w:val="none" w:sz="0" w:space="0" w:color="auto"/>
        <w:left w:val="none" w:sz="0" w:space="0" w:color="auto"/>
        <w:bottom w:val="none" w:sz="0" w:space="0" w:color="auto"/>
        <w:right w:val="none" w:sz="0" w:space="0" w:color="auto"/>
      </w:divBdr>
      <w:divsChild>
        <w:div w:id="1825732528">
          <w:marLeft w:val="0"/>
          <w:marRight w:val="0"/>
          <w:marTop w:val="0"/>
          <w:marBottom w:val="0"/>
          <w:divBdr>
            <w:top w:val="none" w:sz="0" w:space="0" w:color="auto"/>
            <w:left w:val="none" w:sz="0" w:space="0" w:color="auto"/>
            <w:bottom w:val="none" w:sz="0" w:space="0" w:color="auto"/>
            <w:right w:val="none" w:sz="0" w:space="0" w:color="auto"/>
          </w:divBdr>
          <w:divsChild>
            <w:div w:id="1843200096">
              <w:marLeft w:val="0"/>
              <w:marRight w:val="0"/>
              <w:marTop w:val="0"/>
              <w:marBottom w:val="0"/>
              <w:divBdr>
                <w:top w:val="none" w:sz="0" w:space="0" w:color="auto"/>
                <w:left w:val="none" w:sz="0" w:space="0" w:color="auto"/>
                <w:bottom w:val="none" w:sz="0" w:space="0" w:color="auto"/>
                <w:right w:val="none" w:sz="0" w:space="0" w:color="auto"/>
              </w:divBdr>
              <w:divsChild>
                <w:div w:id="69277624">
                  <w:marLeft w:val="0"/>
                  <w:marRight w:val="0"/>
                  <w:marTop w:val="0"/>
                  <w:marBottom w:val="0"/>
                  <w:divBdr>
                    <w:top w:val="none" w:sz="0" w:space="0" w:color="auto"/>
                    <w:left w:val="none" w:sz="0" w:space="0" w:color="auto"/>
                    <w:bottom w:val="none" w:sz="0" w:space="0" w:color="auto"/>
                    <w:right w:val="none" w:sz="0" w:space="0" w:color="auto"/>
                  </w:divBdr>
                  <w:divsChild>
                    <w:div w:id="17942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33778">
      <w:bodyDiv w:val="1"/>
      <w:marLeft w:val="0"/>
      <w:marRight w:val="0"/>
      <w:marTop w:val="0"/>
      <w:marBottom w:val="0"/>
      <w:divBdr>
        <w:top w:val="none" w:sz="0" w:space="0" w:color="auto"/>
        <w:left w:val="none" w:sz="0" w:space="0" w:color="auto"/>
        <w:bottom w:val="none" w:sz="0" w:space="0" w:color="auto"/>
        <w:right w:val="none" w:sz="0" w:space="0" w:color="auto"/>
      </w:divBdr>
      <w:divsChild>
        <w:div w:id="181550760">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sChild>
                <w:div w:id="8093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465">
      <w:bodyDiv w:val="1"/>
      <w:marLeft w:val="0"/>
      <w:marRight w:val="0"/>
      <w:marTop w:val="0"/>
      <w:marBottom w:val="0"/>
      <w:divBdr>
        <w:top w:val="none" w:sz="0" w:space="0" w:color="auto"/>
        <w:left w:val="none" w:sz="0" w:space="0" w:color="auto"/>
        <w:bottom w:val="none" w:sz="0" w:space="0" w:color="auto"/>
        <w:right w:val="none" w:sz="0" w:space="0" w:color="auto"/>
      </w:divBdr>
      <w:divsChild>
        <w:div w:id="998584315">
          <w:marLeft w:val="0"/>
          <w:marRight w:val="0"/>
          <w:marTop w:val="0"/>
          <w:marBottom w:val="0"/>
          <w:divBdr>
            <w:top w:val="none" w:sz="0" w:space="0" w:color="auto"/>
            <w:left w:val="none" w:sz="0" w:space="0" w:color="auto"/>
            <w:bottom w:val="none" w:sz="0" w:space="0" w:color="auto"/>
            <w:right w:val="none" w:sz="0" w:space="0" w:color="auto"/>
          </w:divBdr>
          <w:divsChild>
            <w:div w:id="2049835093">
              <w:marLeft w:val="0"/>
              <w:marRight w:val="0"/>
              <w:marTop w:val="0"/>
              <w:marBottom w:val="0"/>
              <w:divBdr>
                <w:top w:val="none" w:sz="0" w:space="0" w:color="auto"/>
                <w:left w:val="none" w:sz="0" w:space="0" w:color="auto"/>
                <w:bottom w:val="none" w:sz="0" w:space="0" w:color="auto"/>
                <w:right w:val="none" w:sz="0" w:space="0" w:color="auto"/>
              </w:divBdr>
              <w:divsChild>
                <w:div w:id="19896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35108">
      <w:bodyDiv w:val="1"/>
      <w:marLeft w:val="0"/>
      <w:marRight w:val="0"/>
      <w:marTop w:val="0"/>
      <w:marBottom w:val="0"/>
      <w:divBdr>
        <w:top w:val="none" w:sz="0" w:space="0" w:color="auto"/>
        <w:left w:val="none" w:sz="0" w:space="0" w:color="auto"/>
        <w:bottom w:val="none" w:sz="0" w:space="0" w:color="auto"/>
        <w:right w:val="none" w:sz="0" w:space="0" w:color="auto"/>
      </w:divBdr>
    </w:div>
    <w:div w:id="1529559197">
      <w:bodyDiv w:val="1"/>
      <w:marLeft w:val="0"/>
      <w:marRight w:val="0"/>
      <w:marTop w:val="0"/>
      <w:marBottom w:val="0"/>
      <w:divBdr>
        <w:top w:val="none" w:sz="0" w:space="0" w:color="auto"/>
        <w:left w:val="none" w:sz="0" w:space="0" w:color="auto"/>
        <w:bottom w:val="none" w:sz="0" w:space="0" w:color="auto"/>
        <w:right w:val="none" w:sz="0" w:space="0" w:color="auto"/>
      </w:divBdr>
    </w:div>
    <w:div w:id="1550798707">
      <w:bodyDiv w:val="1"/>
      <w:marLeft w:val="0"/>
      <w:marRight w:val="0"/>
      <w:marTop w:val="0"/>
      <w:marBottom w:val="0"/>
      <w:divBdr>
        <w:top w:val="none" w:sz="0" w:space="0" w:color="auto"/>
        <w:left w:val="none" w:sz="0" w:space="0" w:color="auto"/>
        <w:bottom w:val="none" w:sz="0" w:space="0" w:color="auto"/>
        <w:right w:val="none" w:sz="0" w:space="0" w:color="auto"/>
      </w:divBdr>
      <w:divsChild>
        <w:div w:id="949554579">
          <w:marLeft w:val="0"/>
          <w:marRight w:val="0"/>
          <w:marTop w:val="0"/>
          <w:marBottom w:val="0"/>
          <w:divBdr>
            <w:top w:val="none" w:sz="0" w:space="0" w:color="auto"/>
            <w:left w:val="none" w:sz="0" w:space="0" w:color="auto"/>
            <w:bottom w:val="none" w:sz="0" w:space="0" w:color="auto"/>
            <w:right w:val="none" w:sz="0" w:space="0" w:color="auto"/>
          </w:divBdr>
          <w:divsChild>
            <w:div w:id="637494687">
              <w:marLeft w:val="0"/>
              <w:marRight w:val="0"/>
              <w:marTop w:val="0"/>
              <w:marBottom w:val="0"/>
              <w:divBdr>
                <w:top w:val="none" w:sz="0" w:space="0" w:color="auto"/>
                <w:left w:val="none" w:sz="0" w:space="0" w:color="auto"/>
                <w:bottom w:val="none" w:sz="0" w:space="0" w:color="auto"/>
                <w:right w:val="none" w:sz="0" w:space="0" w:color="auto"/>
              </w:divBdr>
              <w:divsChild>
                <w:div w:id="13424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0143">
      <w:bodyDiv w:val="1"/>
      <w:marLeft w:val="0"/>
      <w:marRight w:val="0"/>
      <w:marTop w:val="0"/>
      <w:marBottom w:val="0"/>
      <w:divBdr>
        <w:top w:val="none" w:sz="0" w:space="0" w:color="auto"/>
        <w:left w:val="none" w:sz="0" w:space="0" w:color="auto"/>
        <w:bottom w:val="none" w:sz="0" w:space="0" w:color="auto"/>
        <w:right w:val="none" w:sz="0" w:space="0" w:color="auto"/>
      </w:divBdr>
    </w:div>
    <w:div w:id="1640646788">
      <w:bodyDiv w:val="1"/>
      <w:marLeft w:val="0"/>
      <w:marRight w:val="0"/>
      <w:marTop w:val="0"/>
      <w:marBottom w:val="0"/>
      <w:divBdr>
        <w:top w:val="none" w:sz="0" w:space="0" w:color="auto"/>
        <w:left w:val="none" w:sz="0" w:space="0" w:color="auto"/>
        <w:bottom w:val="none" w:sz="0" w:space="0" w:color="auto"/>
        <w:right w:val="none" w:sz="0" w:space="0" w:color="auto"/>
      </w:divBdr>
      <w:divsChild>
        <w:div w:id="1588689120">
          <w:marLeft w:val="0"/>
          <w:marRight w:val="0"/>
          <w:marTop w:val="0"/>
          <w:marBottom w:val="0"/>
          <w:divBdr>
            <w:top w:val="none" w:sz="0" w:space="0" w:color="auto"/>
            <w:left w:val="none" w:sz="0" w:space="0" w:color="auto"/>
            <w:bottom w:val="none" w:sz="0" w:space="0" w:color="auto"/>
            <w:right w:val="none" w:sz="0" w:space="0" w:color="auto"/>
          </w:divBdr>
          <w:divsChild>
            <w:div w:id="990446618">
              <w:marLeft w:val="0"/>
              <w:marRight w:val="0"/>
              <w:marTop w:val="0"/>
              <w:marBottom w:val="0"/>
              <w:divBdr>
                <w:top w:val="none" w:sz="0" w:space="0" w:color="auto"/>
                <w:left w:val="none" w:sz="0" w:space="0" w:color="auto"/>
                <w:bottom w:val="none" w:sz="0" w:space="0" w:color="auto"/>
                <w:right w:val="none" w:sz="0" w:space="0" w:color="auto"/>
              </w:divBdr>
              <w:divsChild>
                <w:div w:id="1424572665">
                  <w:marLeft w:val="0"/>
                  <w:marRight w:val="0"/>
                  <w:marTop w:val="0"/>
                  <w:marBottom w:val="0"/>
                  <w:divBdr>
                    <w:top w:val="none" w:sz="0" w:space="0" w:color="auto"/>
                    <w:left w:val="none" w:sz="0" w:space="0" w:color="auto"/>
                    <w:bottom w:val="none" w:sz="0" w:space="0" w:color="auto"/>
                    <w:right w:val="none" w:sz="0" w:space="0" w:color="auto"/>
                  </w:divBdr>
                  <w:divsChild>
                    <w:div w:id="14841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2372">
      <w:bodyDiv w:val="1"/>
      <w:marLeft w:val="0"/>
      <w:marRight w:val="0"/>
      <w:marTop w:val="0"/>
      <w:marBottom w:val="0"/>
      <w:divBdr>
        <w:top w:val="none" w:sz="0" w:space="0" w:color="auto"/>
        <w:left w:val="none" w:sz="0" w:space="0" w:color="auto"/>
        <w:bottom w:val="none" w:sz="0" w:space="0" w:color="auto"/>
        <w:right w:val="none" w:sz="0" w:space="0" w:color="auto"/>
      </w:divBdr>
    </w:div>
    <w:div w:id="1688828829">
      <w:bodyDiv w:val="1"/>
      <w:marLeft w:val="0"/>
      <w:marRight w:val="0"/>
      <w:marTop w:val="0"/>
      <w:marBottom w:val="0"/>
      <w:divBdr>
        <w:top w:val="none" w:sz="0" w:space="0" w:color="auto"/>
        <w:left w:val="none" w:sz="0" w:space="0" w:color="auto"/>
        <w:bottom w:val="none" w:sz="0" w:space="0" w:color="auto"/>
        <w:right w:val="none" w:sz="0" w:space="0" w:color="auto"/>
      </w:divBdr>
    </w:div>
    <w:div w:id="1691180995">
      <w:bodyDiv w:val="1"/>
      <w:marLeft w:val="0"/>
      <w:marRight w:val="0"/>
      <w:marTop w:val="0"/>
      <w:marBottom w:val="0"/>
      <w:divBdr>
        <w:top w:val="none" w:sz="0" w:space="0" w:color="auto"/>
        <w:left w:val="none" w:sz="0" w:space="0" w:color="auto"/>
        <w:bottom w:val="none" w:sz="0" w:space="0" w:color="auto"/>
        <w:right w:val="none" w:sz="0" w:space="0" w:color="auto"/>
      </w:divBdr>
    </w:div>
    <w:div w:id="1743990321">
      <w:bodyDiv w:val="1"/>
      <w:marLeft w:val="0"/>
      <w:marRight w:val="0"/>
      <w:marTop w:val="0"/>
      <w:marBottom w:val="0"/>
      <w:divBdr>
        <w:top w:val="none" w:sz="0" w:space="0" w:color="auto"/>
        <w:left w:val="none" w:sz="0" w:space="0" w:color="auto"/>
        <w:bottom w:val="none" w:sz="0" w:space="0" w:color="auto"/>
        <w:right w:val="none" w:sz="0" w:space="0" w:color="auto"/>
      </w:divBdr>
    </w:div>
    <w:div w:id="1766607065">
      <w:bodyDiv w:val="1"/>
      <w:marLeft w:val="0"/>
      <w:marRight w:val="0"/>
      <w:marTop w:val="0"/>
      <w:marBottom w:val="0"/>
      <w:divBdr>
        <w:top w:val="none" w:sz="0" w:space="0" w:color="auto"/>
        <w:left w:val="none" w:sz="0" w:space="0" w:color="auto"/>
        <w:bottom w:val="none" w:sz="0" w:space="0" w:color="auto"/>
        <w:right w:val="none" w:sz="0" w:space="0" w:color="auto"/>
      </w:divBdr>
      <w:divsChild>
        <w:div w:id="1262106434">
          <w:marLeft w:val="0"/>
          <w:marRight w:val="0"/>
          <w:marTop w:val="0"/>
          <w:marBottom w:val="0"/>
          <w:divBdr>
            <w:top w:val="none" w:sz="0" w:space="0" w:color="auto"/>
            <w:left w:val="none" w:sz="0" w:space="0" w:color="auto"/>
            <w:bottom w:val="none" w:sz="0" w:space="0" w:color="auto"/>
            <w:right w:val="none" w:sz="0" w:space="0" w:color="auto"/>
          </w:divBdr>
          <w:divsChild>
            <w:div w:id="1597589678">
              <w:marLeft w:val="0"/>
              <w:marRight w:val="0"/>
              <w:marTop w:val="0"/>
              <w:marBottom w:val="0"/>
              <w:divBdr>
                <w:top w:val="none" w:sz="0" w:space="0" w:color="auto"/>
                <w:left w:val="none" w:sz="0" w:space="0" w:color="auto"/>
                <w:bottom w:val="none" w:sz="0" w:space="0" w:color="auto"/>
                <w:right w:val="none" w:sz="0" w:space="0" w:color="auto"/>
              </w:divBdr>
              <w:divsChild>
                <w:div w:id="1612978157">
                  <w:marLeft w:val="0"/>
                  <w:marRight w:val="0"/>
                  <w:marTop w:val="0"/>
                  <w:marBottom w:val="0"/>
                  <w:divBdr>
                    <w:top w:val="none" w:sz="0" w:space="0" w:color="auto"/>
                    <w:left w:val="none" w:sz="0" w:space="0" w:color="auto"/>
                    <w:bottom w:val="none" w:sz="0" w:space="0" w:color="auto"/>
                    <w:right w:val="none" w:sz="0" w:space="0" w:color="auto"/>
                  </w:divBdr>
                  <w:divsChild>
                    <w:div w:id="15091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03564">
      <w:bodyDiv w:val="1"/>
      <w:marLeft w:val="0"/>
      <w:marRight w:val="0"/>
      <w:marTop w:val="0"/>
      <w:marBottom w:val="0"/>
      <w:divBdr>
        <w:top w:val="none" w:sz="0" w:space="0" w:color="auto"/>
        <w:left w:val="none" w:sz="0" w:space="0" w:color="auto"/>
        <w:bottom w:val="none" w:sz="0" w:space="0" w:color="auto"/>
        <w:right w:val="none" w:sz="0" w:space="0" w:color="auto"/>
      </w:divBdr>
    </w:div>
    <w:div w:id="1834711152">
      <w:bodyDiv w:val="1"/>
      <w:marLeft w:val="0"/>
      <w:marRight w:val="0"/>
      <w:marTop w:val="0"/>
      <w:marBottom w:val="0"/>
      <w:divBdr>
        <w:top w:val="none" w:sz="0" w:space="0" w:color="auto"/>
        <w:left w:val="none" w:sz="0" w:space="0" w:color="auto"/>
        <w:bottom w:val="none" w:sz="0" w:space="0" w:color="auto"/>
        <w:right w:val="none" w:sz="0" w:space="0" w:color="auto"/>
      </w:divBdr>
    </w:div>
    <w:div w:id="1841850712">
      <w:bodyDiv w:val="1"/>
      <w:marLeft w:val="0"/>
      <w:marRight w:val="0"/>
      <w:marTop w:val="0"/>
      <w:marBottom w:val="0"/>
      <w:divBdr>
        <w:top w:val="none" w:sz="0" w:space="0" w:color="auto"/>
        <w:left w:val="none" w:sz="0" w:space="0" w:color="auto"/>
        <w:bottom w:val="none" w:sz="0" w:space="0" w:color="auto"/>
        <w:right w:val="none" w:sz="0" w:space="0" w:color="auto"/>
      </w:divBdr>
      <w:divsChild>
        <w:div w:id="1854300380">
          <w:marLeft w:val="0"/>
          <w:marRight w:val="0"/>
          <w:marTop w:val="0"/>
          <w:marBottom w:val="0"/>
          <w:divBdr>
            <w:top w:val="none" w:sz="0" w:space="0" w:color="auto"/>
            <w:left w:val="none" w:sz="0" w:space="0" w:color="auto"/>
            <w:bottom w:val="none" w:sz="0" w:space="0" w:color="auto"/>
            <w:right w:val="none" w:sz="0" w:space="0" w:color="auto"/>
          </w:divBdr>
          <w:divsChild>
            <w:div w:id="2033726297">
              <w:marLeft w:val="0"/>
              <w:marRight w:val="0"/>
              <w:marTop w:val="0"/>
              <w:marBottom w:val="0"/>
              <w:divBdr>
                <w:top w:val="none" w:sz="0" w:space="0" w:color="auto"/>
                <w:left w:val="none" w:sz="0" w:space="0" w:color="auto"/>
                <w:bottom w:val="none" w:sz="0" w:space="0" w:color="auto"/>
                <w:right w:val="none" w:sz="0" w:space="0" w:color="auto"/>
              </w:divBdr>
              <w:divsChild>
                <w:div w:id="6187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5491">
      <w:bodyDiv w:val="1"/>
      <w:marLeft w:val="0"/>
      <w:marRight w:val="0"/>
      <w:marTop w:val="0"/>
      <w:marBottom w:val="0"/>
      <w:divBdr>
        <w:top w:val="none" w:sz="0" w:space="0" w:color="auto"/>
        <w:left w:val="none" w:sz="0" w:space="0" w:color="auto"/>
        <w:bottom w:val="none" w:sz="0" w:space="0" w:color="auto"/>
        <w:right w:val="none" w:sz="0" w:space="0" w:color="auto"/>
      </w:divBdr>
    </w:div>
    <w:div w:id="2023775687">
      <w:bodyDiv w:val="1"/>
      <w:marLeft w:val="0"/>
      <w:marRight w:val="0"/>
      <w:marTop w:val="0"/>
      <w:marBottom w:val="0"/>
      <w:divBdr>
        <w:top w:val="none" w:sz="0" w:space="0" w:color="auto"/>
        <w:left w:val="none" w:sz="0" w:space="0" w:color="auto"/>
        <w:bottom w:val="none" w:sz="0" w:space="0" w:color="auto"/>
        <w:right w:val="none" w:sz="0" w:space="0" w:color="auto"/>
      </w:divBdr>
    </w:div>
    <w:div w:id="2074084129">
      <w:bodyDiv w:val="1"/>
      <w:marLeft w:val="0"/>
      <w:marRight w:val="0"/>
      <w:marTop w:val="0"/>
      <w:marBottom w:val="0"/>
      <w:divBdr>
        <w:top w:val="none" w:sz="0" w:space="0" w:color="auto"/>
        <w:left w:val="none" w:sz="0" w:space="0" w:color="auto"/>
        <w:bottom w:val="none" w:sz="0" w:space="0" w:color="auto"/>
        <w:right w:val="none" w:sz="0" w:space="0" w:color="auto"/>
      </w:divBdr>
    </w:div>
    <w:div w:id="2091584570">
      <w:bodyDiv w:val="1"/>
      <w:marLeft w:val="0"/>
      <w:marRight w:val="0"/>
      <w:marTop w:val="0"/>
      <w:marBottom w:val="0"/>
      <w:divBdr>
        <w:top w:val="none" w:sz="0" w:space="0" w:color="auto"/>
        <w:left w:val="none" w:sz="0" w:space="0" w:color="auto"/>
        <w:bottom w:val="none" w:sz="0" w:space="0" w:color="auto"/>
        <w:right w:val="none" w:sz="0" w:space="0" w:color="auto"/>
      </w:divBdr>
    </w:div>
    <w:div w:id="2107993326">
      <w:bodyDiv w:val="1"/>
      <w:marLeft w:val="0"/>
      <w:marRight w:val="0"/>
      <w:marTop w:val="0"/>
      <w:marBottom w:val="0"/>
      <w:divBdr>
        <w:top w:val="none" w:sz="0" w:space="0" w:color="auto"/>
        <w:left w:val="none" w:sz="0" w:space="0" w:color="auto"/>
        <w:bottom w:val="none" w:sz="0" w:space="0" w:color="auto"/>
        <w:right w:val="none" w:sz="0" w:space="0" w:color="auto"/>
      </w:divBdr>
    </w:div>
    <w:div w:id="2108117439">
      <w:bodyDiv w:val="1"/>
      <w:marLeft w:val="0"/>
      <w:marRight w:val="0"/>
      <w:marTop w:val="0"/>
      <w:marBottom w:val="0"/>
      <w:divBdr>
        <w:top w:val="none" w:sz="0" w:space="0" w:color="auto"/>
        <w:left w:val="none" w:sz="0" w:space="0" w:color="auto"/>
        <w:bottom w:val="none" w:sz="0" w:space="0" w:color="auto"/>
        <w:right w:val="none" w:sz="0" w:space="0" w:color="auto"/>
      </w:divBdr>
    </w:div>
    <w:div w:id="2110736361">
      <w:bodyDiv w:val="1"/>
      <w:marLeft w:val="0"/>
      <w:marRight w:val="0"/>
      <w:marTop w:val="0"/>
      <w:marBottom w:val="0"/>
      <w:divBdr>
        <w:top w:val="none" w:sz="0" w:space="0" w:color="auto"/>
        <w:left w:val="none" w:sz="0" w:space="0" w:color="auto"/>
        <w:bottom w:val="none" w:sz="0" w:space="0" w:color="auto"/>
        <w:right w:val="none" w:sz="0" w:space="0" w:color="auto"/>
      </w:divBdr>
    </w:div>
    <w:div w:id="21328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ria.be/fr/traite/jurisprudence/tribunal-correctionnel-liege-13-juin-2018" TargetMode="External"/><Relationship Id="rId13" Type="http://schemas.openxmlformats.org/officeDocument/2006/relationships/hyperlink" Target="https://www.nationaalrapporteur.nl/publicaties/rapporten/2020/10/16/slachtoffermonitor-mensenhandel-2015-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oek.officielebekendmakingen.nl/kst-27062-110.pdf" TargetMode="External"/><Relationship Id="rId17" Type="http://schemas.openxmlformats.org/officeDocument/2006/relationships/hyperlink" Target="https://www.nationaalrapporteur.nl/publicaties/rapporten/2020/10/16/slachtoffermonitor-mensenhandel-2015-2019"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nationaalrapporteur.nl/publicaties/rapporten/2020/10/16/slachtoffermonitor-mensenhandel-2015-20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c.nl/nieuws/2020/01/13/2500-kwetsbare-jonge-asielzoekers-verdwenen-a3986602"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unicef.org/documents/alternatives-immigration-detention-children" TargetMode="External"/><Relationship Id="rId23" Type="http://schemas.openxmlformats.org/officeDocument/2006/relationships/customXml" Target="../customXml/item2.xml"/><Relationship Id="rId10" Type="http://schemas.openxmlformats.org/officeDocument/2006/relationships/hyperlink" Target="https://www.myria.be/fr/traite/jurisprudence/tribunal-correctionnel-de-liege-26-septembre-201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yria.be/files/2019-Annual-report-Trafficking-of-human-beings.pdf" TargetMode="External"/><Relationship Id="rId14" Type="http://schemas.openxmlformats.org/officeDocument/2006/relationships/hyperlink" Target="https://www.nationaalrapporteur.nl/publicaties/rapporten/2020/10/16/slachtoffermonitor-mensenhandel-2015-2019"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nporadio1.nl/podcasts/argos/725315-de-laatste-reis-van-quyen-en-hieu" TargetMode="External"/><Relationship Id="rId3" Type="http://schemas.openxmlformats.org/officeDocument/2006/relationships/hyperlink" Target="https://www.myria.be/files/RATEH-EN-2018-DEF.pdf" TargetMode="External"/><Relationship Id="rId7" Type="http://schemas.openxmlformats.org/officeDocument/2006/relationships/hyperlink" Target="https://www.vpro.nl/argos/lees/onderwerpen/lost-in-europe/2020/staatssecretaris-doet-of-verdwenen-vietnamese-kinderen-zijn-gaan-backpacken.html" TargetMode="External"/><Relationship Id="rId2" Type="http://schemas.openxmlformats.org/officeDocument/2006/relationships/hyperlink" Target="https://www.nationalcrimeagency.gov.uk/what-we-do/crime-threats/drug-trafficking/county-lines" TargetMode="External"/><Relationship Id="rId1" Type="http://schemas.openxmlformats.org/officeDocument/2006/relationships/hyperlink" Target="https://www.unicef.org.uk/wp-content/uploads/2017/05/Unicef-UK-Briefing_Victim-Not-Criminal_2017.pdf" TargetMode="External"/><Relationship Id="rId6" Type="http://schemas.openxmlformats.org/officeDocument/2006/relationships/hyperlink" Target="https://hudoc.echr.coe.int/eng?i=002-12882" TargetMode="External"/><Relationship Id="rId5" Type="http://schemas.openxmlformats.org/officeDocument/2006/relationships/hyperlink" Target="https://hudoc.echr.coe.int/eng-press" TargetMode="External"/><Relationship Id="rId4" Type="http://schemas.openxmlformats.org/officeDocument/2006/relationships/hyperlink" Target="https://www.unicef.org.uk/wp-content/uploads/2017/05/Unicef-UK-Briefing_Victim-Not-Criminal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3EF8A1-DF7C-4ED1-A30C-61C73CB29FB3}">
  <ds:schemaRefs>
    <ds:schemaRef ds:uri="http://schemas.openxmlformats.org/officeDocument/2006/bibliography"/>
  </ds:schemaRefs>
</ds:datastoreItem>
</file>

<file path=customXml/itemProps2.xml><?xml version="1.0" encoding="utf-8"?>
<ds:datastoreItem xmlns:ds="http://schemas.openxmlformats.org/officeDocument/2006/customXml" ds:itemID="{33FC3F21-D1EE-4B6C-9A6E-85D125BAE532}"/>
</file>

<file path=customXml/itemProps3.xml><?xml version="1.0" encoding="utf-8"?>
<ds:datastoreItem xmlns:ds="http://schemas.openxmlformats.org/officeDocument/2006/customXml" ds:itemID="{27E80EC4-74C9-4B27-A20F-32850A4CADFD}"/>
</file>

<file path=customXml/itemProps4.xml><?xml version="1.0" encoding="utf-8"?>
<ds:datastoreItem xmlns:ds="http://schemas.openxmlformats.org/officeDocument/2006/customXml" ds:itemID="{51EB905F-8214-4502-9B7F-E97D0975BC3F}"/>
</file>

<file path=docProps/app.xml><?xml version="1.0" encoding="utf-8"?>
<Properties xmlns="http://schemas.openxmlformats.org/officeDocument/2006/extended-properties" xmlns:vt="http://schemas.openxmlformats.org/officeDocument/2006/docPropsVTypes">
  <Template>Normal.dotm</Template>
  <TotalTime>0</TotalTime>
  <Pages>7</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Moussa</dc:creator>
  <cp:keywords/>
  <dc:description/>
  <cp:lastModifiedBy>ASENSIO PEREZ Vanessa</cp:lastModifiedBy>
  <cp:revision>2</cp:revision>
  <dcterms:created xsi:type="dcterms:W3CDTF">2021-06-15T10:17:00Z</dcterms:created>
  <dcterms:modified xsi:type="dcterms:W3CDTF">2021-06-15T10:17:00Z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