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01666" w14:textId="625FB44E" w:rsidR="002C4ADE" w:rsidRPr="002C4ADE" w:rsidRDefault="002C4ADE" w:rsidP="002C4ADE">
      <w:pPr>
        <w:jc w:val="center"/>
        <w:rPr>
          <w:rFonts w:eastAsia="Times New Roman" w:cstheme="minorHAnsi"/>
          <w:kern w:val="0"/>
          <w:lang w:val="en-CA"/>
          <w14:ligatures w14:val="none"/>
        </w:rPr>
      </w:pPr>
      <w:r w:rsidRPr="002C4ADE">
        <w:rPr>
          <w:rFonts w:eastAsia="Times New Roman" w:cstheme="minorHAnsi"/>
          <w:kern w:val="0"/>
          <w:lang w:val="en-CA"/>
          <w14:ligatures w14:val="none"/>
        </w:rPr>
        <w:fldChar w:fldCharType="begin"/>
      </w:r>
      <w:r w:rsidR="00801627">
        <w:rPr>
          <w:rFonts w:eastAsia="Times New Roman" w:cstheme="minorHAnsi"/>
          <w:kern w:val="0"/>
          <w:lang w:val="en-CA"/>
          <w14:ligatures w14:val="none"/>
        </w:rPr>
        <w:instrText xml:space="preserve"> INCLUDEPICTURE "C:\\Users\\chloeallaham\\Library\\Group Containers\\UBF8T346G9.ms\\WebArchiveCopyPasteTempFiles\\com.microsoft.Word\\page1image3072139728" \* MERGEFORMAT </w:instrText>
      </w:r>
      <w:r w:rsidRPr="002C4ADE">
        <w:rPr>
          <w:rFonts w:eastAsia="Times New Roman" w:cstheme="minorHAnsi"/>
          <w:kern w:val="0"/>
          <w:lang w:val="en-CA"/>
          <w14:ligatures w14:val="none"/>
        </w:rPr>
        <w:fldChar w:fldCharType="separate"/>
      </w:r>
      <w:r w:rsidRPr="000E7F19">
        <w:rPr>
          <w:rFonts w:eastAsia="Times New Roman" w:cstheme="minorHAnsi"/>
          <w:noProof/>
          <w:kern w:val="0"/>
          <w:lang w:val="en-CA"/>
          <w14:ligatures w14:val="none"/>
        </w:rPr>
        <w:drawing>
          <wp:inline distT="0" distB="0" distL="0" distR="0" wp14:anchorId="35637519" wp14:editId="22C2FD65">
            <wp:extent cx="2853811" cy="1185333"/>
            <wp:effectExtent l="0" t="0" r="0" b="0"/>
            <wp:docPr id="142627604" name="Picture 1" descr="page1image3072139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1image307213972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25205" cy="1214987"/>
                    </a:xfrm>
                    <a:prstGeom prst="rect">
                      <a:avLst/>
                    </a:prstGeom>
                    <a:noFill/>
                    <a:ln>
                      <a:noFill/>
                    </a:ln>
                  </pic:spPr>
                </pic:pic>
              </a:graphicData>
            </a:graphic>
          </wp:inline>
        </w:drawing>
      </w:r>
      <w:r w:rsidRPr="002C4ADE">
        <w:rPr>
          <w:rFonts w:eastAsia="Times New Roman" w:cstheme="minorHAnsi"/>
          <w:kern w:val="0"/>
          <w:lang w:val="en-CA"/>
          <w14:ligatures w14:val="none"/>
        </w:rPr>
        <w:fldChar w:fldCharType="end"/>
      </w:r>
    </w:p>
    <w:p w14:paraId="2F70F3D2" w14:textId="77777777" w:rsidR="002C4ADE" w:rsidRPr="000E7F19" w:rsidRDefault="002C4ADE" w:rsidP="002C4ADE">
      <w:pPr>
        <w:pStyle w:val="NormalWeb"/>
        <w:jc w:val="center"/>
        <w:rPr>
          <w:rFonts w:asciiTheme="minorHAnsi" w:hAnsiTheme="minorHAnsi" w:cstheme="minorHAnsi"/>
          <w:b/>
          <w:bCs/>
        </w:rPr>
      </w:pPr>
    </w:p>
    <w:p w14:paraId="29C30067" w14:textId="77777777" w:rsidR="00DC197C" w:rsidRPr="000E7F19" w:rsidRDefault="00DC197C" w:rsidP="00DC197C">
      <w:pPr>
        <w:pStyle w:val="NormalWeb"/>
        <w:jc w:val="center"/>
        <w:rPr>
          <w:rFonts w:asciiTheme="minorHAnsi" w:hAnsiTheme="minorHAnsi" w:cstheme="minorHAnsi"/>
          <w:b/>
          <w:bCs/>
          <w:sz w:val="52"/>
          <w:szCs w:val="52"/>
        </w:rPr>
      </w:pPr>
    </w:p>
    <w:p w14:paraId="541CDC68" w14:textId="3C32BE12" w:rsidR="00DC197C" w:rsidRPr="000E7F19" w:rsidRDefault="00DC197C" w:rsidP="00DC197C">
      <w:pPr>
        <w:pStyle w:val="NormalWeb"/>
        <w:jc w:val="center"/>
        <w:rPr>
          <w:rFonts w:asciiTheme="minorHAnsi" w:hAnsiTheme="minorHAnsi" w:cstheme="minorHAnsi"/>
        </w:rPr>
      </w:pPr>
      <w:r w:rsidRPr="000E7F19">
        <w:rPr>
          <w:rFonts w:asciiTheme="minorHAnsi" w:hAnsiTheme="minorHAnsi" w:cstheme="minorHAnsi"/>
          <w:b/>
          <w:bCs/>
          <w:sz w:val="52"/>
          <w:szCs w:val="52"/>
        </w:rPr>
        <w:t>REPORT ON OLDER PERSONS IN THE CONTEXT OF CLIMATE-CHANGE INDUCED DISASTERS AND BUILDING BACK BETTER</w:t>
      </w:r>
    </w:p>
    <w:p w14:paraId="7DA48D01" w14:textId="77777777" w:rsidR="00DC197C" w:rsidRPr="000E7F19" w:rsidRDefault="00DC197C" w:rsidP="00DC197C">
      <w:pPr>
        <w:pStyle w:val="NormalWeb"/>
        <w:jc w:val="center"/>
        <w:rPr>
          <w:rFonts w:asciiTheme="minorHAnsi" w:hAnsiTheme="minorHAnsi" w:cstheme="minorHAnsi"/>
          <w:b/>
          <w:bCs/>
          <w:sz w:val="40"/>
          <w:szCs w:val="40"/>
        </w:rPr>
      </w:pPr>
    </w:p>
    <w:p w14:paraId="7240607D" w14:textId="631A164C" w:rsidR="00DC197C" w:rsidRPr="000E7F19" w:rsidRDefault="00DC197C" w:rsidP="00DC197C">
      <w:pPr>
        <w:pStyle w:val="NormalWeb"/>
        <w:jc w:val="center"/>
        <w:rPr>
          <w:rFonts w:asciiTheme="minorHAnsi" w:hAnsiTheme="minorHAnsi" w:cstheme="minorHAnsi"/>
        </w:rPr>
      </w:pPr>
      <w:r w:rsidRPr="000E7F19">
        <w:rPr>
          <w:rFonts w:asciiTheme="minorHAnsi" w:hAnsiTheme="minorHAnsi" w:cstheme="minorHAnsi"/>
          <w:b/>
          <w:bCs/>
          <w:sz w:val="40"/>
          <w:szCs w:val="40"/>
        </w:rPr>
        <w:t>INPUT TO THE REPORT OF THE UN INDEPENDENT EXPERT ON THE ENJOYMENT OF ALL HUMAN RIGHTS OF OLDER PERSONS TO THE 78TH SESSION OF THE U</w:t>
      </w:r>
      <w:r w:rsidR="00BB2C6A" w:rsidRPr="000E7F19">
        <w:rPr>
          <w:rFonts w:asciiTheme="minorHAnsi" w:hAnsiTheme="minorHAnsi" w:cstheme="minorHAnsi"/>
          <w:b/>
          <w:bCs/>
          <w:sz w:val="40"/>
          <w:szCs w:val="40"/>
        </w:rPr>
        <w:t>NITED NATIONS</w:t>
      </w:r>
      <w:r w:rsidRPr="000E7F19">
        <w:rPr>
          <w:rFonts w:asciiTheme="minorHAnsi" w:hAnsiTheme="minorHAnsi" w:cstheme="minorHAnsi"/>
          <w:b/>
          <w:bCs/>
          <w:sz w:val="40"/>
          <w:szCs w:val="40"/>
        </w:rPr>
        <w:t xml:space="preserve"> GENERAL ASSEMBLY</w:t>
      </w:r>
    </w:p>
    <w:p w14:paraId="33D49238" w14:textId="77777777" w:rsidR="00DC197C" w:rsidRPr="000E7F19" w:rsidRDefault="00DC197C" w:rsidP="00DC197C">
      <w:pPr>
        <w:pStyle w:val="NormalWeb"/>
        <w:jc w:val="center"/>
        <w:rPr>
          <w:rFonts w:asciiTheme="minorHAnsi" w:hAnsiTheme="minorHAnsi" w:cstheme="minorHAnsi"/>
          <w:b/>
          <w:bCs/>
          <w:sz w:val="28"/>
          <w:szCs w:val="28"/>
        </w:rPr>
      </w:pPr>
    </w:p>
    <w:p w14:paraId="2AC28C07" w14:textId="46D97527" w:rsidR="00DC197C" w:rsidRPr="000E7F19" w:rsidRDefault="00DC197C" w:rsidP="00DC197C">
      <w:pPr>
        <w:pStyle w:val="NormalWeb"/>
        <w:jc w:val="center"/>
        <w:rPr>
          <w:rFonts w:asciiTheme="minorHAnsi" w:hAnsiTheme="minorHAnsi" w:cstheme="minorHAnsi"/>
        </w:rPr>
      </w:pPr>
      <w:r w:rsidRPr="000E7F19">
        <w:rPr>
          <w:rFonts w:asciiTheme="minorHAnsi" w:hAnsiTheme="minorHAnsi" w:cstheme="minorHAnsi"/>
          <w:b/>
          <w:bCs/>
          <w:sz w:val="28"/>
          <w:szCs w:val="28"/>
        </w:rPr>
        <w:t>SUBMITTED: MAY 1, 2023</w:t>
      </w:r>
    </w:p>
    <w:p w14:paraId="36F8E807" w14:textId="77777777" w:rsidR="00DC197C" w:rsidRPr="000E7F19" w:rsidRDefault="00DC197C" w:rsidP="00DC197C">
      <w:pPr>
        <w:pStyle w:val="NormalWeb"/>
        <w:jc w:val="center"/>
        <w:rPr>
          <w:rFonts w:asciiTheme="minorHAnsi" w:hAnsiTheme="minorHAnsi" w:cstheme="minorHAnsi"/>
          <w:b/>
          <w:bCs/>
          <w:sz w:val="28"/>
          <w:szCs w:val="28"/>
        </w:rPr>
      </w:pPr>
    </w:p>
    <w:p w14:paraId="0482C2B0" w14:textId="6EAE7CDC" w:rsidR="00DC197C" w:rsidRPr="000E7F19" w:rsidRDefault="00DC197C" w:rsidP="00DC197C">
      <w:pPr>
        <w:pStyle w:val="NormalWeb"/>
        <w:jc w:val="center"/>
        <w:rPr>
          <w:rFonts w:asciiTheme="minorHAnsi" w:hAnsiTheme="minorHAnsi" w:cstheme="minorHAnsi"/>
        </w:rPr>
      </w:pPr>
      <w:r w:rsidRPr="000E7F19">
        <w:rPr>
          <w:rFonts w:asciiTheme="minorHAnsi" w:hAnsiTheme="minorHAnsi" w:cstheme="minorHAnsi"/>
          <w:b/>
          <w:bCs/>
          <w:sz w:val="28"/>
          <w:szCs w:val="28"/>
        </w:rPr>
        <w:t xml:space="preserve">International Longevity Centre Canada </w:t>
      </w:r>
    </w:p>
    <w:p w14:paraId="5F1C091F" w14:textId="77777777" w:rsidR="006749BD" w:rsidRDefault="006749BD">
      <w:pPr>
        <w:rPr>
          <w:rFonts w:eastAsia="Times New Roman" w:cstheme="minorHAnsi"/>
          <w:b/>
          <w:bCs/>
          <w:kern w:val="0"/>
          <w:lang w:val="en-CA"/>
          <w14:ligatures w14:val="none"/>
        </w:rPr>
        <w:sectPr w:rsidR="006749BD" w:rsidSect="00B14AF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pPr>
    </w:p>
    <w:p w14:paraId="7A45C882" w14:textId="3AD2821F" w:rsidR="00DC197C" w:rsidRPr="000E7F19" w:rsidRDefault="00DC197C">
      <w:pPr>
        <w:rPr>
          <w:rFonts w:eastAsia="Times New Roman" w:cstheme="minorHAnsi"/>
          <w:b/>
          <w:bCs/>
          <w:kern w:val="0"/>
          <w:lang w:val="en-CA"/>
          <w14:ligatures w14:val="none"/>
        </w:rPr>
      </w:pPr>
    </w:p>
    <w:p w14:paraId="2164D039" w14:textId="77777777" w:rsidR="002C4ADE" w:rsidRPr="000E7F19" w:rsidRDefault="002C4ADE" w:rsidP="002C4ADE">
      <w:pPr>
        <w:pStyle w:val="NormalWeb"/>
        <w:jc w:val="center"/>
        <w:rPr>
          <w:rFonts w:asciiTheme="minorHAnsi" w:hAnsiTheme="minorHAnsi" w:cstheme="minorHAnsi"/>
          <w:b/>
          <w:bCs/>
        </w:rPr>
      </w:pPr>
    </w:p>
    <w:p w14:paraId="1822DE15" w14:textId="1B467D68" w:rsidR="002C4ADE" w:rsidRPr="000E7F19" w:rsidRDefault="002C4ADE" w:rsidP="002C4ADE">
      <w:pPr>
        <w:pStyle w:val="NormalWeb"/>
        <w:jc w:val="center"/>
        <w:rPr>
          <w:rFonts w:asciiTheme="minorHAnsi" w:hAnsiTheme="minorHAnsi" w:cstheme="minorHAnsi"/>
          <w:b/>
          <w:bCs/>
        </w:rPr>
      </w:pPr>
      <w:r w:rsidRPr="000E7F19">
        <w:rPr>
          <w:rFonts w:asciiTheme="minorHAnsi" w:hAnsiTheme="minorHAnsi" w:cstheme="minorHAnsi"/>
          <w:b/>
          <w:bCs/>
        </w:rPr>
        <w:t>Acknowledgement</w:t>
      </w:r>
    </w:p>
    <w:p w14:paraId="55D160BF" w14:textId="77777777" w:rsidR="00A3551E" w:rsidRPr="000E7F19" w:rsidRDefault="00A3551E" w:rsidP="002C4ADE">
      <w:pPr>
        <w:pStyle w:val="NormalWeb"/>
        <w:jc w:val="center"/>
        <w:rPr>
          <w:rFonts w:asciiTheme="minorHAnsi" w:hAnsiTheme="minorHAnsi" w:cstheme="minorHAnsi"/>
        </w:rPr>
      </w:pPr>
    </w:p>
    <w:p w14:paraId="27CC804F" w14:textId="47874298" w:rsidR="00A3551E" w:rsidRPr="000E7F19" w:rsidRDefault="002C4ADE" w:rsidP="002C4ADE">
      <w:pPr>
        <w:pStyle w:val="NormalWeb"/>
        <w:rPr>
          <w:rFonts w:asciiTheme="minorHAnsi" w:hAnsiTheme="minorHAnsi" w:cstheme="minorHAnsi"/>
          <w:b/>
          <w:bCs/>
        </w:rPr>
      </w:pPr>
      <w:r w:rsidRPr="000E7F19">
        <w:rPr>
          <w:rFonts w:asciiTheme="minorHAnsi" w:hAnsiTheme="minorHAnsi" w:cstheme="minorHAnsi"/>
          <w:b/>
          <w:bCs/>
        </w:rPr>
        <w:t>International Longevity Centre Canada (ILC</w:t>
      </w:r>
      <w:r w:rsidR="00D36DF4">
        <w:rPr>
          <w:rFonts w:asciiTheme="minorHAnsi" w:hAnsiTheme="minorHAnsi" w:cstheme="minorHAnsi"/>
          <w:b/>
          <w:bCs/>
        </w:rPr>
        <w:t>-C</w:t>
      </w:r>
      <w:r w:rsidRPr="000E7F19">
        <w:rPr>
          <w:rFonts w:asciiTheme="minorHAnsi" w:hAnsiTheme="minorHAnsi" w:cstheme="minorHAnsi"/>
          <w:b/>
          <w:bCs/>
        </w:rPr>
        <w:t>), would like to thank the following writers, researchers</w:t>
      </w:r>
      <w:r w:rsidR="00A3551E" w:rsidRPr="000E7F19">
        <w:rPr>
          <w:rFonts w:asciiTheme="minorHAnsi" w:hAnsiTheme="minorHAnsi" w:cstheme="minorHAnsi"/>
          <w:b/>
          <w:bCs/>
        </w:rPr>
        <w:t>,</w:t>
      </w:r>
      <w:r w:rsidRPr="000E7F19">
        <w:rPr>
          <w:rFonts w:asciiTheme="minorHAnsi" w:hAnsiTheme="minorHAnsi" w:cstheme="minorHAnsi"/>
          <w:b/>
          <w:bCs/>
        </w:rPr>
        <w:t xml:space="preserve"> and organizations: </w:t>
      </w:r>
    </w:p>
    <w:p w14:paraId="5421CAB9" w14:textId="4477F2B7" w:rsidR="002C4ADE" w:rsidRPr="000E7F19" w:rsidRDefault="002C4ADE" w:rsidP="002C4ADE">
      <w:pPr>
        <w:pStyle w:val="NormalWeb"/>
        <w:jc w:val="center"/>
        <w:rPr>
          <w:rFonts w:asciiTheme="minorHAnsi" w:hAnsiTheme="minorHAnsi" w:cstheme="minorHAnsi"/>
        </w:rPr>
      </w:pPr>
      <w:r w:rsidRPr="000E7F19">
        <w:rPr>
          <w:rFonts w:asciiTheme="minorHAnsi" w:hAnsiTheme="minorHAnsi" w:cstheme="minorHAnsi"/>
          <w:b/>
          <w:bCs/>
        </w:rPr>
        <w:t xml:space="preserve">Chloe Allaham </w:t>
      </w:r>
      <w:r w:rsidRPr="000E7F19">
        <w:rPr>
          <w:rFonts w:asciiTheme="minorHAnsi" w:hAnsiTheme="minorHAnsi" w:cstheme="minorHAnsi"/>
        </w:rPr>
        <w:t>-</w:t>
      </w:r>
      <w:r w:rsidRPr="000E7F19">
        <w:rPr>
          <w:rFonts w:asciiTheme="minorHAnsi" w:hAnsiTheme="minorHAnsi" w:cstheme="minorHAnsi"/>
          <w:b/>
          <w:bCs/>
        </w:rPr>
        <w:t xml:space="preserve"> </w:t>
      </w:r>
      <w:r w:rsidRPr="000E7F19">
        <w:rPr>
          <w:rFonts w:asciiTheme="minorHAnsi" w:hAnsiTheme="minorHAnsi" w:cstheme="minorHAnsi"/>
        </w:rPr>
        <w:t>International Longevity Centre Canada</w:t>
      </w:r>
    </w:p>
    <w:p w14:paraId="0459AE0E" w14:textId="49F44DFB" w:rsidR="002C4ADE" w:rsidRPr="000E7F19" w:rsidRDefault="002C4ADE" w:rsidP="002C4ADE">
      <w:pPr>
        <w:pStyle w:val="NormalWeb"/>
        <w:jc w:val="center"/>
        <w:rPr>
          <w:rFonts w:asciiTheme="minorHAnsi" w:hAnsiTheme="minorHAnsi" w:cstheme="minorHAnsi"/>
          <w:i/>
          <w:iCs/>
        </w:rPr>
      </w:pPr>
      <w:r w:rsidRPr="000E7F19">
        <w:rPr>
          <w:rFonts w:asciiTheme="minorHAnsi" w:hAnsiTheme="minorHAnsi" w:cstheme="minorHAnsi"/>
          <w:b/>
          <w:bCs/>
        </w:rPr>
        <w:t xml:space="preserve">Samantha Oostlander </w:t>
      </w:r>
      <w:r w:rsidRPr="000E7F19">
        <w:rPr>
          <w:rFonts w:asciiTheme="minorHAnsi" w:hAnsiTheme="minorHAnsi" w:cstheme="minorHAnsi"/>
        </w:rPr>
        <w:t xml:space="preserve">– Ph.D Candidate, Population Health, </w:t>
      </w:r>
      <w:r w:rsidR="003A3B2C" w:rsidRPr="000E7F19">
        <w:rPr>
          <w:rFonts w:asciiTheme="minorHAnsi" w:hAnsiTheme="minorHAnsi" w:cstheme="minorHAnsi"/>
        </w:rPr>
        <w:t xml:space="preserve">Faculty of Health Sciences, </w:t>
      </w:r>
      <w:r w:rsidRPr="000E7F19">
        <w:rPr>
          <w:rFonts w:asciiTheme="minorHAnsi" w:hAnsiTheme="minorHAnsi" w:cstheme="minorHAnsi"/>
        </w:rPr>
        <w:t>University of Ottawa</w:t>
      </w:r>
    </w:p>
    <w:p w14:paraId="04A6FEFC" w14:textId="049B47E5" w:rsidR="002C4ADE" w:rsidRPr="000E7F19" w:rsidRDefault="002C4ADE" w:rsidP="002C4ADE">
      <w:pPr>
        <w:pStyle w:val="NormalWeb"/>
        <w:jc w:val="center"/>
        <w:rPr>
          <w:rFonts w:asciiTheme="minorHAnsi" w:hAnsiTheme="minorHAnsi" w:cstheme="minorHAnsi"/>
        </w:rPr>
      </w:pPr>
      <w:r w:rsidRPr="000E7F19">
        <w:rPr>
          <w:rFonts w:asciiTheme="minorHAnsi" w:hAnsiTheme="minorHAnsi" w:cstheme="minorHAnsi"/>
          <w:b/>
          <w:bCs/>
        </w:rPr>
        <w:t xml:space="preserve">Louise Bélanger-Hardy </w:t>
      </w:r>
      <w:r w:rsidRPr="000E7F19">
        <w:rPr>
          <w:rFonts w:asciiTheme="minorHAnsi" w:hAnsiTheme="minorHAnsi" w:cstheme="minorHAnsi"/>
        </w:rPr>
        <w:t>– Faculty of Law, University of Ottawa</w:t>
      </w:r>
    </w:p>
    <w:p w14:paraId="6AD8F60F" w14:textId="324B5BE8" w:rsidR="002C4ADE" w:rsidRDefault="002C4ADE" w:rsidP="002C4ADE">
      <w:pPr>
        <w:pStyle w:val="NormalWeb"/>
        <w:jc w:val="center"/>
        <w:rPr>
          <w:rFonts w:asciiTheme="minorHAnsi" w:hAnsiTheme="minorHAnsi" w:cstheme="minorHAnsi"/>
        </w:rPr>
      </w:pPr>
      <w:r w:rsidRPr="000E7F19">
        <w:rPr>
          <w:rFonts w:asciiTheme="minorHAnsi" w:hAnsiTheme="minorHAnsi" w:cstheme="minorHAnsi"/>
          <w:b/>
          <w:bCs/>
        </w:rPr>
        <w:t xml:space="preserve">Margaret Gillis </w:t>
      </w:r>
      <w:r w:rsidRPr="000E7F19">
        <w:rPr>
          <w:rFonts w:asciiTheme="minorHAnsi" w:hAnsiTheme="minorHAnsi" w:cstheme="minorHAnsi"/>
        </w:rPr>
        <w:t>- International Longevity Centre Canada</w:t>
      </w:r>
    </w:p>
    <w:p w14:paraId="7DD38413" w14:textId="67F49456" w:rsidR="00114ECB" w:rsidRDefault="00114ECB" w:rsidP="002C4ADE">
      <w:pPr>
        <w:pStyle w:val="NormalWeb"/>
        <w:jc w:val="center"/>
        <w:rPr>
          <w:rFonts w:asciiTheme="minorHAnsi" w:hAnsiTheme="minorHAnsi" w:cstheme="minorHAnsi"/>
        </w:rPr>
      </w:pPr>
      <w:r w:rsidRPr="00114ECB">
        <w:rPr>
          <w:rFonts w:asciiTheme="minorHAnsi" w:hAnsiTheme="minorHAnsi" w:cstheme="minorHAnsi"/>
          <w:b/>
          <w:bCs/>
        </w:rPr>
        <w:t xml:space="preserve">Kiran Rabheru </w:t>
      </w:r>
      <w:r>
        <w:rPr>
          <w:rFonts w:asciiTheme="minorHAnsi" w:hAnsiTheme="minorHAnsi" w:cstheme="minorHAnsi"/>
        </w:rPr>
        <w:t>– International Longevity Centre Canada</w:t>
      </w:r>
    </w:p>
    <w:p w14:paraId="10119A3E" w14:textId="65DC5193" w:rsidR="00612A17" w:rsidRPr="000E7F19" w:rsidRDefault="00612A17" w:rsidP="002C4ADE">
      <w:pPr>
        <w:pStyle w:val="NormalWeb"/>
        <w:jc w:val="center"/>
        <w:rPr>
          <w:rFonts w:asciiTheme="minorHAnsi" w:hAnsiTheme="minorHAnsi" w:cstheme="minorHAnsi"/>
        </w:rPr>
      </w:pPr>
    </w:p>
    <w:p w14:paraId="420EDA7D" w14:textId="77777777" w:rsidR="006749BD" w:rsidRDefault="006749BD">
      <w:pPr>
        <w:rPr>
          <w:rFonts w:eastAsia="Times New Roman" w:cstheme="minorHAnsi"/>
          <w:color w:val="000000" w:themeColor="text1"/>
          <w:kern w:val="0"/>
          <w:lang w:val="en-CA"/>
          <w14:ligatures w14:val="none"/>
        </w:rPr>
      </w:pPr>
    </w:p>
    <w:p w14:paraId="2246B017" w14:textId="77777777" w:rsidR="006749BD" w:rsidRDefault="006749BD">
      <w:pPr>
        <w:rPr>
          <w:rFonts w:eastAsia="Times New Roman" w:cstheme="minorHAnsi"/>
          <w:color w:val="000000" w:themeColor="text1"/>
          <w:kern w:val="0"/>
          <w:lang w:val="en-CA"/>
          <w14:ligatures w14:val="none"/>
        </w:rPr>
        <w:sectPr w:rsidR="006749BD" w:rsidSect="00B14AFF">
          <w:footerReference w:type="default" r:id="rId15"/>
          <w:pgSz w:w="12240" w:h="15840"/>
          <w:pgMar w:top="1440" w:right="1440" w:bottom="1440" w:left="1440" w:header="708" w:footer="708" w:gutter="0"/>
          <w:cols w:space="708"/>
          <w:docGrid w:linePitch="360"/>
        </w:sectPr>
      </w:pPr>
    </w:p>
    <w:p w14:paraId="6CF85F36" w14:textId="1D8EFCBC" w:rsidR="00A3551E" w:rsidRPr="000E7F19" w:rsidRDefault="00A3551E" w:rsidP="00D8412D">
      <w:pPr>
        <w:spacing w:before="100" w:beforeAutospacing="1" w:after="100" w:afterAutospacing="1"/>
        <w:rPr>
          <w:rFonts w:eastAsia="Times New Roman" w:cstheme="minorHAnsi"/>
          <w:b/>
          <w:bCs/>
          <w:color w:val="000000" w:themeColor="text1"/>
          <w:kern w:val="0"/>
          <w:u w:val="single"/>
          <w:lang w:val="en-CA"/>
          <w14:ligatures w14:val="none"/>
        </w:rPr>
      </w:pPr>
      <w:r w:rsidRPr="000E7F19">
        <w:rPr>
          <w:rFonts w:eastAsia="Times New Roman" w:cstheme="minorHAnsi"/>
          <w:b/>
          <w:bCs/>
          <w:color w:val="000000" w:themeColor="text1"/>
          <w:kern w:val="0"/>
          <w:u w:val="single"/>
          <w:lang w:val="en-CA"/>
          <w14:ligatures w14:val="none"/>
        </w:rPr>
        <w:lastRenderedPageBreak/>
        <w:t>Introduction</w:t>
      </w:r>
    </w:p>
    <w:p w14:paraId="73D90105" w14:textId="5BC80226" w:rsidR="00123433" w:rsidRDefault="006F01C4" w:rsidP="00D8412D">
      <w:pPr>
        <w:spacing w:before="100" w:beforeAutospacing="1" w:after="100" w:afterAutospacing="1"/>
        <w:rPr>
          <w:rFonts w:eastAsia="Times New Roman" w:cstheme="minorHAnsi"/>
          <w:color w:val="000000" w:themeColor="text1"/>
          <w:kern w:val="0"/>
          <w:lang w:val="en-CA"/>
          <w14:ligatures w14:val="none"/>
        </w:rPr>
      </w:pPr>
      <w:r w:rsidRPr="00981B15">
        <w:rPr>
          <w:rFonts w:eastAsia="Times New Roman" w:cstheme="minorHAnsi"/>
          <w:color w:val="000000" w:themeColor="text1"/>
          <w:kern w:val="0"/>
          <w:lang w:val="en-CA"/>
          <w14:ligatures w14:val="none"/>
        </w:rPr>
        <w:t xml:space="preserve">Climate change is the biggest threat </w:t>
      </w:r>
      <w:r w:rsidR="007A524B" w:rsidRPr="00981B15">
        <w:rPr>
          <w:rFonts w:eastAsia="Times New Roman" w:cstheme="minorHAnsi"/>
          <w:color w:val="000000" w:themeColor="text1"/>
          <w:kern w:val="0"/>
          <w:lang w:val="en-CA"/>
          <w14:ligatures w14:val="none"/>
        </w:rPr>
        <w:t xml:space="preserve">faced by </w:t>
      </w:r>
      <w:r w:rsidRPr="00981B15">
        <w:rPr>
          <w:rFonts w:eastAsia="Times New Roman" w:cstheme="minorHAnsi"/>
          <w:color w:val="000000" w:themeColor="text1"/>
          <w:kern w:val="0"/>
          <w:lang w:val="en-CA"/>
          <w14:ligatures w14:val="none"/>
        </w:rPr>
        <w:t xml:space="preserve">modern humans </w:t>
      </w:r>
      <w:r w:rsidR="007A524B" w:rsidRPr="00981B15">
        <w:rPr>
          <w:rFonts w:eastAsia="Times New Roman" w:cstheme="minorHAnsi"/>
          <w:color w:val="000000" w:themeColor="text1"/>
          <w:kern w:val="0"/>
          <w:lang w:val="en-CA"/>
          <w14:ligatures w14:val="none"/>
        </w:rPr>
        <w:t xml:space="preserve">and </w:t>
      </w:r>
      <w:r w:rsidR="00612A17" w:rsidRPr="00981B15">
        <w:rPr>
          <w:rFonts w:eastAsia="Times New Roman" w:cstheme="minorHAnsi"/>
          <w:color w:val="000000" w:themeColor="text1"/>
          <w:kern w:val="0"/>
          <w:lang w:val="en-CA"/>
          <w14:ligatures w14:val="none"/>
        </w:rPr>
        <w:t xml:space="preserve">is </w:t>
      </w:r>
      <w:r w:rsidR="007A524B" w:rsidRPr="00981B15">
        <w:rPr>
          <w:rFonts w:eastAsia="Times New Roman" w:cstheme="minorHAnsi"/>
          <w:color w:val="000000" w:themeColor="text1"/>
          <w:kern w:val="0"/>
          <w:lang w:val="en-CA"/>
          <w14:ligatures w14:val="none"/>
        </w:rPr>
        <w:t>labelled as a</w:t>
      </w:r>
      <w:r w:rsidRPr="00981B15">
        <w:rPr>
          <w:rFonts w:eastAsia="Times New Roman" w:cstheme="minorHAnsi"/>
          <w:color w:val="000000" w:themeColor="text1"/>
          <w:kern w:val="0"/>
          <w:lang w:val="en-CA"/>
          <w14:ligatures w14:val="none"/>
        </w:rPr>
        <w:t xml:space="preserve"> “crisis multiplier” </w:t>
      </w:r>
      <w:r w:rsidR="007A524B" w:rsidRPr="00981B15">
        <w:rPr>
          <w:rFonts w:eastAsia="Times New Roman" w:cstheme="minorHAnsi"/>
          <w:color w:val="000000" w:themeColor="text1"/>
          <w:kern w:val="0"/>
          <w:lang w:val="en-CA"/>
          <w14:ligatures w14:val="none"/>
        </w:rPr>
        <w:t xml:space="preserve">by the </w:t>
      </w:r>
      <w:r w:rsidRPr="00981B15">
        <w:rPr>
          <w:rFonts w:eastAsia="Times New Roman" w:cstheme="minorHAnsi"/>
          <w:color w:val="000000" w:themeColor="text1"/>
          <w:kern w:val="0"/>
          <w:lang w:val="en-CA"/>
          <w14:ligatures w14:val="none"/>
        </w:rPr>
        <w:t>United Nations Secretary-General</w:t>
      </w:r>
      <w:r w:rsidR="00981B15">
        <w:rPr>
          <w:rFonts w:eastAsia="Times New Roman" w:cstheme="minorHAnsi"/>
          <w:color w:val="000000" w:themeColor="text1"/>
          <w:kern w:val="0"/>
          <w:lang w:val="en-CA"/>
          <w14:ligatures w14:val="none"/>
        </w:rPr>
        <w:t>,</w:t>
      </w:r>
      <w:r w:rsidRPr="00981B15">
        <w:rPr>
          <w:rFonts w:eastAsia="Times New Roman" w:cstheme="minorHAnsi"/>
          <w:color w:val="000000" w:themeColor="text1"/>
          <w:kern w:val="0"/>
          <w:lang w:val="en-CA"/>
          <w14:ligatures w14:val="none"/>
        </w:rPr>
        <w:t xml:space="preserve"> António Guterres</w:t>
      </w:r>
      <w:r w:rsidR="00981B15">
        <w:rPr>
          <w:rFonts w:eastAsia="Times New Roman" w:cstheme="minorHAnsi"/>
          <w:color w:val="000000" w:themeColor="text1"/>
          <w:kern w:val="0"/>
          <w:lang w:val="en-CA"/>
          <w14:ligatures w14:val="none"/>
        </w:rPr>
        <w:t>.</w:t>
      </w:r>
      <w:r w:rsidRPr="00981B15">
        <w:rPr>
          <w:rStyle w:val="FootnoteReference"/>
          <w:rFonts w:eastAsia="Times New Roman" w:cstheme="minorHAnsi"/>
          <w:color w:val="000000" w:themeColor="text1"/>
          <w:kern w:val="0"/>
          <w:lang w:val="en-CA"/>
          <w14:ligatures w14:val="none"/>
        </w:rPr>
        <w:footnoteReference w:id="1"/>
      </w:r>
      <w:r w:rsidRPr="00981B15">
        <w:rPr>
          <w:rFonts w:eastAsia="Times New Roman" w:cstheme="minorHAnsi"/>
          <w:color w:val="000000" w:themeColor="text1"/>
          <w:kern w:val="0"/>
          <w:lang w:val="en-CA"/>
          <w14:ligatures w14:val="none"/>
        </w:rPr>
        <w:t xml:space="preserve"> Canada is warming </w:t>
      </w:r>
      <w:r w:rsidR="007A524B" w:rsidRPr="00981B15">
        <w:rPr>
          <w:rFonts w:eastAsia="Times New Roman" w:cstheme="minorHAnsi"/>
          <w:color w:val="000000" w:themeColor="text1"/>
          <w:kern w:val="0"/>
          <w:lang w:val="en-CA"/>
          <w14:ligatures w14:val="none"/>
        </w:rPr>
        <w:t>at twice the global rate negatively impacting the supply of food, water, air, and the environment</w:t>
      </w:r>
      <w:r w:rsidR="00981B15">
        <w:rPr>
          <w:rFonts w:eastAsia="Times New Roman" w:cstheme="minorHAnsi"/>
          <w:color w:val="000000" w:themeColor="text1"/>
          <w:kern w:val="0"/>
          <w:lang w:val="en-CA"/>
          <w14:ligatures w14:val="none"/>
        </w:rPr>
        <w:t>.</w:t>
      </w:r>
      <w:r w:rsidRPr="00981B15">
        <w:rPr>
          <w:rStyle w:val="FootnoteReference"/>
          <w:rFonts w:eastAsia="Times New Roman" w:cstheme="minorHAnsi"/>
          <w:color w:val="000000" w:themeColor="text1"/>
          <w:kern w:val="0"/>
          <w:lang w:val="en-CA"/>
          <w14:ligatures w14:val="none"/>
        </w:rPr>
        <w:footnoteReference w:id="2"/>
      </w:r>
      <w:r w:rsidR="007A524B" w:rsidRPr="00981B15">
        <w:rPr>
          <w:rFonts w:eastAsia="Times New Roman" w:cstheme="minorHAnsi"/>
          <w:color w:val="000000" w:themeColor="text1"/>
          <w:kern w:val="0"/>
          <w:lang w:val="en-CA"/>
          <w14:ligatures w14:val="none"/>
        </w:rPr>
        <w:t xml:space="preserve"> Older persons are particularly vulnerable to </w:t>
      </w:r>
      <w:r w:rsidR="006C1396" w:rsidRPr="00981B15">
        <w:rPr>
          <w:rFonts w:eastAsia="Times New Roman" w:cstheme="minorHAnsi"/>
          <w:color w:val="000000" w:themeColor="text1"/>
          <w:kern w:val="0"/>
          <w:lang w:val="en-CA"/>
          <w14:ligatures w14:val="none"/>
        </w:rPr>
        <w:t xml:space="preserve">extreme weather events resulting in causing </w:t>
      </w:r>
      <w:r w:rsidR="00612A17" w:rsidRPr="00981B15">
        <w:rPr>
          <w:rFonts w:eastAsia="Times New Roman" w:cstheme="minorHAnsi"/>
          <w:color w:val="000000" w:themeColor="text1"/>
          <w:kern w:val="0"/>
          <w:lang w:val="en-CA"/>
          <w14:ligatures w14:val="none"/>
        </w:rPr>
        <w:t xml:space="preserve">disastrous, often fatal changes to </w:t>
      </w:r>
      <w:r w:rsidR="006C1396" w:rsidRPr="00981B15">
        <w:rPr>
          <w:rFonts w:eastAsia="Times New Roman" w:cstheme="minorHAnsi"/>
          <w:color w:val="000000" w:themeColor="text1"/>
          <w:kern w:val="0"/>
          <w:lang w:val="en-CA"/>
          <w14:ligatures w14:val="none"/>
        </w:rPr>
        <w:t xml:space="preserve">their physical and </w:t>
      </w:r>
      <w:r w:rsidR="007A524B" w:rsidRPr="00981B15">
        <w:rPr>
          <w:rFonts w:eastAsia="Times New Roman" w:cstheme="minorHAnsi"/>
          <w:color w:val="000000" w:themeColor="text1"/>
          <w:kern w:val="0"/>
          <w:lang w:val="en-CA"/>
          <w14:ligatures w14:val="none"/>
        </w:rPr>
        <w:t xml:space="preserve">health </w:t>
      </w:r>
      <w:r w:rsidR="006C1396" w:rsidRPr="00981B15">
        <w:rPr>
          <w:rFonts w:eastAsia="Times New Roman" w:cstheme="minorHAnsi"/>
          <w:color w:val="000000" w:themeColor="text1"/>
          <w:kern w:val="0"/>
          <w:lang w:val="en-CA"/>
          <w14:ligatures w14:val="none"/>
        </w:rPr>
        <w:t>mental health, mobility, immunity, cardiac</w:t>
      </w:r>
      <w:r w:rsidR="00612A17" w:rsidRPr="00981B15">
        <w:rPr>
          <w:rFonts w:eastAsia="Times New Roman" w:cstheme="minorHAnsi"/>
          <w:color w:val="000000" w:themeColor="text1"/>
          <w:kern w:val="0"/>
          <w:lang w:val="en-CA"/>
          <w14:ligatures w14:val="none"/>
        </w:rPr>
        <w:t>,</w:t>
      </w:r>
      <w:r w:rsidR="006C1396" w:rsidRPr="00981B15">
        <w:rPr>
          <w:rFonts w:eastAsia="Times New Roman" w:cstheme="minorHAnsi"/>
          <w:color w:val="000000" w:themeColor="text1"/>
          <w:kern w:val="0"/>
          <w:lang w:val="en-CA"/>
          <w14:ligatures w14:val="none"/>
        </w:rPr>
        <w:t xml:space="preserve"> and respiratory status, </w:t>
      </w:r>
      <w:r w:rsidR="00612A17" w:rsidRPr="00981B15">
        <w:rPr>
          <w:rFonts w:eastAsia="Times New Roman" w:cstheme="minorHAnsi"/>
          <w:color w:val="000000" w:themeColor="text1"/>
          <w:kern w:val="0"/>
          <w:lang w:val="en-CA"/>
          <w14:ligatures w14:val="none"/>
        </w:rPr>
        <w:t xml:space="preserve">augmented by inadequate access to </w:t>
      </w:r>
      <w:r w:rsidR="006C1396" w:rsidRPr="00981B15">
        <w:rPr>
          <w:rFonts w:eastAsia="Times New Roman" w:cstheme="minorHAnsi"/>
          <w:color w:val="000000" w:themeColor="text1"/>
          <w:kern w:val="0"/>
          <w:lang w:val="en-CA"/>
          <w14:ligatures w14:val="none"/>
        </w:rPr>
        <w:t>health care, medications, and assistance with daily life.</w:t>
      </w:r>
      <w:r w:rsidR="006C1396" w:rsidRPr="00981B15">
        <w:t xml:space="preserve"> </w:t>
      </w:r>
      <w:r w:rsidR="00612A17" w:rsidRPr="00981B15">
        <w:t>Worse outcomes are related to p</w:t>
      </w:r>
      <w:r w:rsidR="006C1396" w:rsidRPr="00981B15">
        <w:t>sychosocial factors</w:t>
      </w:r>
      <w:r w:rsidR="00612A17" w:rsidRPr="00981B15">
        <w:t xml:space="preserve"> including</w:t>
      </w:r>
      <w:r w:rsidR="006C1396" w:rsidRPr="00981B15">
        <w:t xml:space="preserve"> </w:t>
      </w:r>
      <w:r w:rsidR="006C1396" w:rsidRPr="00981B15">
        <w:rPr>
          <w:rFonts w:eastAsia="Times New Roman" w:cstheme="minorHAnsi"/>
          <w:color w:val="000000" w:themeColor="text1"/>
          <w:kern w:val="0"/>
          <w:lang w:val="en-CA"/>
          <w14:ligatures w14:val="none"/>
        </w:rPr>
        <w:t xml:space="preserve">poverty, </w:t>
      </w:r>
      <w:r w:rsidR="00612A17" w:rsidRPr="00981B15">
        <w:rPr>
          <w:rFonts w:eastAsia="Times New Roman" w:cstheme="minorHAnsi"/>
          <w:color w:val="000000" w:themeColor="text1"/>
          <w:kern w:val="0"/>
          <w:lang w:val="en-CA"/>
          <w14:ligatures w14:val="none"/>
        </w:rPr>
        <w:t xml:space="preserve">female </w:t>
      </w:r>
      <w:r w:rsidR="006C1396" w:rsidRPr="00981B15">
        <w:rPr>
          <w:rFonts w:eastAsia="Times New Roman" w:cstheme="minorHAnsi"/>
          <w:color w:val="000000" w:themeColor="text1"/>
          <w:kern w:val="0"/>
          <w:lang w:val="en-CA"/>
          <w14:ligatures w14:val="none"/>
        </w:rPr>
        <w:t xml:space="preserve">gender, </w:t>
      </w:r>
      <w:r w:rsidR="00776C90">
        <w:rPr>
          <w:rFonts w:eastAsia="Times New Roman" w:cstheme="minorHAnsi"/>
          <w:color w:val="000000" w:themeColor="text1"/>
          <w:kern w:val="0"/>
          <w:lang w:val="en-CA"/>
          <w14:ligatures w14:val="none"/>
        </w:rPr>
        <w:t>I</w:t>
      </w:r>
      <w:r w:rsidR="006C1396" w:rsidRPr="00981B15">
        <w:rPr>
          <w:rFonts w:eastAsia="Times New Roman" w:cstheme="minorHAnsi"/>
          <w:color w:val="000000" w:themeColor="text1"/>
          <w:kern w:val="0"/>
          <w:lang w:val="en-CA"/>
          <w14:ligatures w14:val="none"/>
        </w:rPr>
        <w:t>ndigenous or minority status, national or social origin, and disability.</w:t>
      </w:r>
      <w:r w:rsidR="000A157C" w:rsidRPr="00981B15">
        <w:rPr>
          <w:rStyle w:val="FootnoteReference"/>
          <w:rFonts w:eastAsia="Times New Roman" w:cstheme="minorHAnsi"/>
          <w:color w:val="000000" w:themeColor="text1"/>
          <w:kern w:val="0"/>
          <w:lang w:val="en-CA"/>
          <w14:ligatures w14:val="none"/>
        </w:rPr>
        <w:footnoteReference w:id="3"/>
      </w:r>
      <w:r w:rsidR="000A157C" w:rsidRPr="00981B15">
        <w:t xml:space="preserve"> </w:t>
      </w:r>
      <w:r w:rsidR="000A157C" w:rsidRPr="00981B15">
        <w:rPr>
          <w:rFonts w:eastAsia="Times New Roman" w:cstheme="minorHAnsi"/>
          <w:color w:val="000000" w:themeColor="text1"/>
          <w:kern w:val="0"/>
          <w:lang w:val="en-CA"/>
          <w14:ligatures w14:val="none"/>
        </w:rPr>
        <w:t>The impacts of climate change are a human rights violation</w:t>
      </w:r>
      <w:r w:rsidR="00981B15" w:rsidRPr="00981B15">
        <w:rPr>
          <w:rFonts w:eastAsia="Times New Roman" w:cstheme="minorHAnsi"/>
          <w:color w:val="000000" w:themeColor="text1"/>
          <w:kern w:val="0"/>
          <w:lang w:val="en-CA"/>
          <w14:ligatures w14:val="none"/>
        </w:rPr>
        <w:t>,</w:t>
      </w:r>
      <w:r w:rsidR="000A157C" w:rsidRPr="00981B15">
        <w:rPr>
          <w:rFonts w:eastAsia="Times New Roman" w:cstheme="minorHAnsi"/>
          <w:color w:val="000000" w:themeColor="text1"/>
          <w:kern w:val="0"/>
          <w:lang w:val="en-CA"/>
          <w14:ligatures w14:val="none"/>
        </w:rPr>
        <w:t xml:space="preserve"> which must be urgently rectified by </w:t>
      </w:r>
      <w:r w:rsidR="000A157C" w:rsidRPr="00981B15">
        <w:t>global recognition of the human right to a safe, clean, healthy, and sustainable environment</w:t>
      </w:r>
      <w:r w:rsidR="000A157C" w:rsidRPr="00981B15">
        <w:rPr>
          <w:rFonts w:eastAsia="Times New Roman" w:cstheme="minorHAnsi"/>
          <w:color w:val="000000" w:themeColor="text1"/>
          <w:kern w:val="0"/>
          <w:lang w:val="en-CA"/>
          <w14:ligatures w14:val="none"/>
        </w:rPr>
        <w:t xml:space="preserve"> with special attention to older persons</w:t>
      </w:r>
      <w:r w:rsidR="00981B15" w:rsidRPr="00981B15">
        <w:rPr>
          <w:rFonts w:eastAsia="Times New Roman" w:cstheme="minorHAnsi"/>
          <w:color w:val="000000" w:themeColor="text1"/>
          <w:kern w:val="0"/>
          <w:lang w:val="en-CA"/>
          <w14:ligatures w14:val="none"/>
        </w:rPr>
        <w:t>.</w:t>
      </w:r>
      <w:r w:rsidR="00612A17" w:rsidRPr="00981B15">
        <w:rPr>
          <w:rStyle w:val="FootnoteReference"/>
          <w:rFonts w:eastAsia="Times New Roman" w:cstheme="minorHAnsi"/>
          <w:color w:val="000000" w:themeColor="text1"/>
          <w:kern w:val="0"/>
          <w:lang w:val="en-CA"/>
          <w14:ligatures w14:val="none"/>
        </w:rPr>
        <w:footnoteReference w:id="4"/>
      </w:r>
      <w:r w:rsidR="000A157C" w:rsidRPr="00981B15">
        <w:rPr>
          <w:rFonts w:eastAsia="Times New Roman" w:cstheme="minorHAnsi"/>
          <w:color w:val="000000" w:themeColor="text1"/>
          <w:kern w:val="0"/>
          <w:lang w:val="en-CA"/>
          <w14:ligatures w14:val="none"/>
        </w:rPr>
        <w:t xml:space="preserve"> </w:t>
      </w:r>
    </w:p>
    <w:p w14:paraId="1CA755D7" w14:textId="5858A50B" w:rsidR="006F01C4" w:rsidRPr="004C45E6" w:rsidRDefault="004C45E6" w:rsidP="00D8412D">
      <w:pPr>
        <w:spacing w:before="100" w:beforeAutospacing="1" w:after="100" w:afterAutospacing="1"/>
        <w:rPr>
          <w:rFonts w:cstheme="minorHAnsi"/>
          <w:color w:val="000000" w:themeColor="text1"/>
          <w:shd w:val="clear" w:color="auto" w:fill="FFFFFF"/>
        </w:rPr>
      </w:pPr>
      <w:r>
        <w:rPr>
          <w:rFonts w:cstheme="minorHAnsi"/>
          <w:color w:val="000000" w:themeColor="text1"/>
          <w:shd w:val="clear" w:color="auto" w:fill="FFFFFF"/>
        </w:rPr>
        <w:t>T</w:t>
      </w:r>
      <w:r w:rsidRPr="000E7F19">
        <w:rPr>
          <w:rFonts w:cstheme="minorHAnsi"/>
          <w:color w:val="000000" w:themeColor="text1"/>
          <w:shd w:val="clear" w:color="auto" w:fill="FFFFFF"/>
        </w:rPr>
        <w:t>his report focuses on two illustrative cases of climate-</w:t>
      </w:r>
      <w:r>
        <w:rPr>
          <w:rFonts w:cstheme="minorHAnsi"/>
          <w:color w:val="000000" w:themeColor="text1"/>
          <w:shd w:val="clear" w:color="auto" w:fill="FFFFFF"/>
        </w:rPr>
        <w:t>induced disasters</w:t>
      </w:r>
      <w:r w:rsidRPr="000E7F19">
        <w:rPr>
          <w:rFonts w:cstheme="minorHAnsi"/>
          <w:color w:val="000000" w:themeColor="text1"/>
          <w:shd w:val="clear" w:color="auto" w:fill="FFFFFF"/>
        </w:rPr>
        <w:t xml:space="preserve"> at the provincial level: the 2021 extreme heatwave in British Columbia, and power outages following severe weather events in Ontario</w:t>
      </w:r>
      <w:r w:rsidR="00CF77AE">
        <w:rPr>
          <w:rFonts w:cstheme="minorHAnsi"/>
          <w:color w:val="000000" w:themeColor="text1"/>
          <w:shd w:val="clear" w:color="auto" w:fill="FFFFFF"/>
        </w:rPr>
        <w:t xml:space="preserve"> in 2022</w:t>
      </w:r>
      <w:r w:rsidRPr="000E7F19">
        <w:rPr>
          <w:rFonts w:cstheme="minorHAnsi"/>
          <w:color w:val="000000" w:themeColor="text1"/>
          <w:shd w:val="clear" w:color="auto" w:fill="FFFFFF"/>
        </w:rPr>
        <w:t xml:space="preserve">. </w:t>
      </w:r>
      <w:r w:rsidR="00123433">
        <w:rPr>
          <w:rFonts w:eastAsia="Times New Roman" w:cstheme="minorHAnsi"/>
          <w:color w:val="000000" w:themeColor="text1"/>
          <w:kern w:val="0"/>
          <w:lang w:val="en-CA"/>
          <w14:ligatures w14:val="none"/>
        </w:rPr>
        <w:t xml:space="preserve">We will illustrate </w:t>
      </w:r>
      <w:r w:rsidR="006F0E7C">
        <w:rPr>
          <w:rFonts w:eastAsia="Times New Roman" w:cstheme="minorHAnsi"/>
          <w:color w:val="000000" w:themeColor="text1"/>
          <w:kern w:val="0"/>
          <w:lang w:val="en-CA"/>
          <w14:ligatures w14:val="none"/>
        </w:rPr>
        <w:t xml:space="preserve">using the example of the British Columbia heat wave </w:t>
      </w:r>
      <w:r w:rsidR="006655E6">
        <w:rPr>
          <w:rFonts w:eastAsia="Times New Roman" w:cstheme="minorHAnsi"/>
          <w:color w:val="000000" w:themeColor="text1"/>
          <w:kern w:val="0"/>
          <w:lang w:val="en-CA"/>
          <w14:ligatures w14:val="none"/>
        </w:rPr>
        <w:t xml:space="preserve">that </w:t>
      </w:r>
      <w:r w:rsidR="00A33800">
        <w:rPr>
          <w:rFonts w:eastAsia="Times New Roman" w:cstheme="minorHAnsi"/>
          <w:color w:val="000000" w:themeColor="text1"/>
          <w:kern w:val="0"/>
          <w:lang w:val="en-CA"/>
          <w14:ligatures w14:val="none"/>
        </w:rPr>
        <w:t>older Canadians have suffered</w:t>
      </w:r>
      <w:r w:rsidR="000D150F">
        <w:rPr>
          <w:rFonts w:eastAsia="Times New Roman" w:cstheme="minorHAnsi"/>
          <w:color w:val="000000" w:themeColor="text1"/>
          <w:kern w:val="0"/>
          <w:lang w:val="en-CA"/>
          <w14:ligatures w14:val="none"/>
        </w:rPr>
        <w:t xml:space="preserve"> exponentially more </w:t>
      </w:r>
      <w:r w:rsidR="008C0345">
        <w:rPr>
          <w:rFonts w:eastAsia="Times New Roman" w:cstheme="minorHAnsi"/>
          <w:color w:val="000000" w:themeColor="text1"/>
          <w:kern w:val="0"/>
          <w:lang w:val="en-CA"/>
          <w14:ligatures w14:val="none"/>
        </w:rPr>
        <w:t>during climate change</w:t>
      </w:r>
      <w:r w:rsidR="006655E6">
        <w:rPr>
          <w:rFonts w:eastAsia="Times New Roman" w:cstheme="minorHAnsi"/>
          <w:color w:val="000000" w:themeColor="text1"/>
          <w:kern w:val="0"/>
          <w:lang w:val="en-CA"/>
          <w14:ligatures w14:val="none"/>
        </w:rPr>
        <w:t xml:space="preserve">. Moreover we will </w:t>
      </w:r>
      <w:r w:rsidR="006A30F3">
        <w:rPr>
          <w:rFonts w:eastAsia="Times New Roman" w:cstheme="minorHAnsi"/>
          <w:color w:val="000000" w:themeColor="text1"/>
          <w:kern w:val="0"/>
          <w:lang w:val="en-CA"/>
          <w14:ligatures w14:val="none"/>
        </w:rPr>
        <w:t>show</w:t>
      </w:r>
      <w:r w:rsidR="006655E6">
        <w:rPr>
          <w:rFonts w:eastAsia="Times New Roman" w:cstheme="minorHAnsi"/>
          <w:color w:val="000000" w:themeColor="text1"/>
          <w:kern w:val="0"/>
          <w:lang w:val="en-CA"/>
          <w14:ligatures w14:val="none"/>
        </w:rPr>
        <w:t xml:space="preserve"> that data is not properly collected to measure the full impact of climate change on older Canadians as evidenced by the </w:t>
      </w:r>
      <w:r w:rsidR="008418D7">
        <w:rPr>
          <w:rFonts w:eastAsia="Times New Roman" w:cstheme="minorHAnsi"/>
          <w:color w:val="000000" w:themeColor="text1"/>
          <w:kern w:val="0"/>
          <w:lang w:val="en-CA"/>
          <w14:ligatures w14:val="none"/>
        </w:rPr>
        <w:t>power outage</w:t>
      </w:r>
      <w:r w:rsidR="006C77E3">
        <w:rPr>
          <w:rFonts w:eastAsia="Times New Roman" w:cstheme="minorHAnsi"/>
          <w:color w:val="000000" w:themeColor="text1"/>
          <w:kern w:val="0"/>
          <w:lang w:val="en-CA"/>
          <w14:ligatures w14:val="none"/>
        </w:rPr>
        <w:t>s</w:t>
      </w:r>
      <w:r w:rsidR="008418D7">
        <w:rPr>
          <w:rFonts w:eastAsia="Times New Roman" w:cstheme="minorHAnsi"/>
          <w:color w:val="000000" w:themeColor="text1"/>
          <w:kern w:val="0"/>
          <w:lang w:val="en-CA"/>
          <w14:ligatures w14:val="none"/>
        </w:rPr>
        <w:t xml:space="preserve"> in Ontario. </w:t>
      </w:r>
      <w:r w:rsidR="00F048FF">
        <w:rPr>
          <w:rFonts w:eastAsia="Times New Roman" w:cstheme="minorHAnsi"/>
          <w:color w:val="000000" w:themeColor="text1"/>
          <w:kern w:val="0"/>
          <w:lang w:val="en-CA"/>
          <w14:ligatures w14:val="none"/>
        </w:rPr>
        <w:t xml:space="preserve">This is in itself ageist and the lack of data ensures that there will be no policy response. </w:t>
      </w:r>
      <w:r w:rsidR="000A157C" w:rsidRPr="00981B15">
        <w:rPr>
          <w:rFonts w:eastAsia="Times New Roman" w:cstheme="minorHAnsi"/>
          <w:color w:val="000000" w:themeColor="text1"/>
          <w:kern w:val="0"/>
          <w:lang w:val="en-CA"/>
          <w14:ligatures w14:val="none"/>
        </w:rPr>
        <w:t xml:space="preserve">A United Nations convention on the rights of older persons is now urgently needed as part of the solution to the </w:t>
      </w:r>
      <w:r w:rsidR="00612A17" w:rsidRPr="00981B15">
        <w:rPr>
          <w:rFonts w:eastAsia="Times New Roman" w:cstheme="minorHAnsi"/>
          <w:color w:val="000000" w:themeColor="text1"/>
          <w:kern w:val="0"/>
          <w:lang w:val="en-CA"/>
          <w14:ligatures w14:val="none"/>
        </w:rPr>
        <w:t>climate change crisis.</w:t>
      </w:r>
    </w:p>
    <w:p w14:paraId="001742D8" w14:textId="6039BEF1" w:rsidR="00D712CE" w:rsidRPr="000E7F19" w:rsidRDefault="00D712CE" w:rsidP="00D8412D">
      <w:pPr>
        <w:spacing w:before="100" w:beforeAutospacing="1" w:after="100" w:afterAutospacing="1"/>
        <w:rPr>
          <w:rFonts w:eastAsia="Times New Roman" w:cstheme="minorHAnsi"/>
          <w:b/>
          <w:bCs/>
          <w:color w:val="000000" w:themeColor="text1"/>
          <w:kern w:val="0"/>
          <w:u w:val="single"/>
          <w:lang w:val="en-CA"/>
          <w14:ligatures w14:val="none"/>
        </w:rPr>
      </w:pPr>
      <w:r w:rsidRPr="000E7F19">
        <w:rPr>
          <w:rFonts w:eastAsia="Times New Roman" w:cstheme="minorHAnsi"/>
          <w:b/>
          <w:bCs/>
          <w:color w:val="000000" w:themeColor="text1"/>
          <w:kern w:val="0"/>
          <w:u w:val="single"/>
          <w:lang w:val="en-CA"/>
          <w14:ligatures w14:val="none"/>
        </w:rPr>
        <w:t xml:space="preserve">The Canadian </w:t>
      </w:r>
      <w:r w:rsidR="0029201F">
        <w:rPr>
          <w:rFonts w:eastAsia="Times New Roman" w:cstheme="minorHAnsi"/>
          <w:b/>
          <w:bCs/>
          <w:color w:val="000000" w:themeColor="text1"/>
          <w:kern w:val="0"/>
          <w:u w:val="single"/>
          <w:lang w:val="en-CA"/>
          <w14:ligatures w14:val="none"/>
        </w:rPr>
        <w:t xml:space="preserve">Legal and Policy </w:t>
      </w:r>
      <w:r w:rsidRPr="000E7F19">
        <w:rPr>
          <w:rFonts w:eastAsia="Times New Roman" w:cstheme="minorHAnsi"/>
          <w:b/>
          <w:bCs/>
          <w:color w:val="000000" w:themeColor="text1"/>
          <w:kern w:val="0"/>
          <w:u w:val="single"/>
          <w:lang w:val="en-CA"/>
          <w14:ligatures w14:val="none"/>
        </w:rPr>
        <w:t>Framework</w:t>
      </w:r>
    </w:p>
    <w:p w14:paraId="1A2716B1" w14:textId="156FA974" w:rsidR="00801627" w:rsidRDefault="00C8192D" w:rsidP="00D8412D">
      <w:pPr>
        <w:spacing w:before="100" w:beforeAutospacing="1" w:after="100" w:afterAutospacing="1"/>
        <w:rPr>
          <w:rFonts w:cstheme="minorHAnsi"/>
          <w:color w:val="000000" w:themeColor="text1"/>
          <w:shd w:val="clear" w:color="auto" w:fill="FFFFFF"/>
        </w:rPr>
      </w:pPr>
      <w:r w:rsidRPr="000E7F19">
        <w:rPr>
          <w:rFonts w:eastAsia="Times New Roman" w:cstheme="minorHAnsi"/>
          <w:color w:val="000000" w:themeColor="text1"/>
          <w:kern w:val="0"/>
          <w:lang w:val="en-CA"/>
          <w14:ligatures w14:val="none"/>
        </w:rPr>
        <w:t xml:space="preserve">Canada has both federal and provincial/territorial legislation on emergency disasters. </w:t>
      </w:r>
      <w:r w:rsidR="00571B76" w:rsidRPr="000E7F19">
        <w:rPr>
          <w:rFonts w:eastAsia="Times New Roman" w:cstheme="minorHAnsi"/>
          <w:color w:val="000000" w:themeColor="text1"/>
          <w:kern w:val="0"/>
          <w:lang w:val="en-CA"/>
          <w14:ligatures w14:val="none"/>
        </w:rPr>
        <w:t>Federal emergency legislation and response plans</w:t>
      </w:r>
      <w:r w:rsidRPr="000E7F19">
        <w:rPr>
          <w:rFonts w:eastAsia="Times New Roman" w:cstheme="minorHAnsi"/>
          <w:color w:val="000000" w:themeColor="text1"/>
          <w:kern w:val="0"/>
          <w:lang w:val="en-CA"/>
          <w14:ligatures w14:val="none"/>
        </w:rPr>
        <w:t xml:space="preserve"> appl</w:t>
      </w:r>
      <w:r w:rsidR="00571B76" w:rsidRPr="000E7F19">
        <w:rPr>
          <w:rFonts w:eastAsia="Times New Roman" w:cstheme="minorHAnsi"/>
          <w:color w:val="000000" w:themeColor="text1"/>
          <w:kern w:val="0"/>
          <w:lang w:val="en-CA"/>
          <w14:ligatures w14:val="none"/>
        </w:rPr>
        <w:t>y</w:t>
      </w:r>
      <w:r w:rsidR="003B4D68">
        <w:rPr>
          <w:rFonts w:eastAsia="Times New Roman" w:cstheme="minorHAnsi"/>
          <w:color w:val="000000" w:themeColor="text1"/>
          <w:kern w:val="0"/>
          <w:lang w:val="en-CA"/>
          <w14:ligatures w14:val="none"/>
        </w:rPr>
        <w:t xml:space="preserve"> only</w:t>
      </w:r>
      <w:r w:rsidRPr="000E7F19">
        <w:rPr>
          <w:rFonts w:eastAsia="Times New Roman" w:cstheme="minorHAnsi"/>
          <w:color w:val="000000" w:themeColor="text1"/>
          <w:kern w:val="0"/>
          <w:lang w:val="en-CA"/>
          <w14:ligatures w14:val="none"/>
        </w:rPr>
        <w:t xml:space="preserve"> to</w:t>
      </w:r>
      <w:r w:rsidRPr="000E7F19">
        <w:rPr>
          <w:rFonts w:cstheme="minorHAnsi"/>
          <w:color w:val="000000" w:themeColor="text1"/>
          <w:shd w:val="clear" w:color="auto" w:fill="FFFFFF"/>
        </w:rPr>
        <w:t xml:space="preserve"> situation</w:t>
      </w:r>
      <w:r w:rsidR="00571B76" w:rsidRPr="000E7F19">
        <w:rPr>
          <w:rFonts w:cstheme="minorHAnsi"/>
          <w:color w:val="000000" w:themeColor="text1"/>
          <w:shd w:val="clear" w:color="auto" w:fill="FFFFFF"/>
        </w:rPr>
        <w:t>s</w:t>
      </w:r>
      <w:r w:rsidRPr="000E7F19">
        <w:rPr>
          <w:rFonts w:cstheme="minorHAnsi"/>
          <w:color w:val="000000" w:themeColor="text1"/>
          <w:shd w:val="clear" w:color="auto" w:fill="FFFFFF"/>
        </w:rPr>
        <w:t xml:space="preserve"> that </w:t>
      </w:r>
      <w:r w:rsidR="00F151FB" w:rsidRPr="000E7F19">
        <w:rPr>
          <w:rFonts w:cstheme="minorHAnsi"/>
          <w:color w:val="000000" w:themeColor="text1"/>
          <w:shd w:val="clear" w:color="auto" w:fill="FFFFFF"/>
        </w:rPr>
        <w:t xml:space="preserve">are within federal jurisdiction or </w:t>
      </w:r>
      <w:r w:rsidRPr="000E7F19">
        <w:rPr>
          <w:rFonts w:cstheme="minorHAnsi"/>
          <w:color w:val="000000" w:themeColor="text1"/>
          <w:shd w:val="clear" w:color="auto" w:fill="FFFFFF"/>
        </w:rPr>
        <w:t>cannot be dealt with by the provinces and territories.</w:t>
      </w:r>
      <w:r w:rsidR="006B00A6" w:rsidRPr="000E7F19">
        <w:rPr>
          <w:rStyle w:val="FootnoteReference"/>
          <w:rFonts w:cstheme="minorHAnsi"/>
          <w:color w:val="000000" w:themeColor="text1"/>
          <w:shd w:val="clear" w:color="auto" w:fill="FFFFFF"/>
        </w:rPr>
        <w:footnoteReference w:id="5"/>
      </w:r>
      <w:r w:rsidRPr="000E7F19">
        <w:rPr>
          <w:rFonts w:cstheme="minorHAnsi"/>
          <w:color w:val="000000" w:themeColor="text1"/>
          <w:shd w:val="clear" w:color="auto" w:fill="FFFFFF"/>
        </w:rPr>
        <w:t xml:space="preserve"> </w:t>
      </w:r>
      <w:r w:rsidR="00801627">
        <w:rPr>
          <w:rFonts w:cstheme="minorHAnsi"/>
          <w:color w:val="000000" w:themeColor="text1"/>
          <w:shd w:val="clear" w:color="auto" w:fill="FFFFFF"/>
        </w:rPr>
        <w:t xml:space="preserve">The federal legislation </w:t>
      </w:r>
      <w:r w:rsidR="00801627">
        <w:rPr>
          <w:rFonts w:cstheme="minorHAnsi"/>
          <w:color w:val="000000" w:themeColor="text1"/>
          <w:shd w:val="clear" w:color="auto" w:fill="FFFFFF"/>
        </w:rPr>
        <w:lastRenderedPageBreak/>
        <w:t xml:space="preserve">does not specifically address the needs of older persons. </w:t>
      </w:r>
      <w:r w:rsidR="003F73B4">
        <w:rPr>
          <w:rFonts w:cstheme="minorHAnsi"/>
          <w:color w:val="000000" w:themeColor="text1"/>
          <w:shd w:val="clear" w:color="auto" w:fill="FFFFFF"/>
        </w:rPr>
        <w:t>P</w:t>
      </w:r>
      <w:r w:rsidR="00801627">
        <w:rPr>
          <w:rFonts w:cstheme="minorHAnsi"/>
          <w:color w:val="000000" w:themeColor="text1"/>
          <w:shd w:val="clear" w:color="auto" w:fill="FFFFFF"/>
        </w:rPr>
        <w:t>rovince</w:t>
      </w:r>
      <w:r w:rsidR="00FD2229">
        <w:rPr>
          <w:rFonts w:cstheme="minorHAnsi"/>
          <w:color w:val="000000" w:themeColor="text1"/>
          <w:shd w:val="clear" w:color="auto" w:fill="FFFFFF"/>
        </w:rPr>
        <w:t>s</w:t>
      </w:r>
      <w:r w:rsidR="00801627">
        <w:rPr>
          <w:rFonts w:cstheme="minorHAnsi"/>
          <w:color w:val="000000" w:themeColor="text1"/>
          <w:shd w:val="clear" w:color="auto" w:fill="FFFFFF"/>
        </w:rPr>
        <w:t xml:space="preserve"> and territor</w:t>
      </w:r>
      <w:r w:rsidR="003F73B4">
        <w:rPr>
          <w:rFonts w:cstheme="minorHAnsi"/>
          <w:color w:val="000000" w:themeColor="text1"/>
          <w:shd w:val="clear" w:color="auto" w:fill="FFFFFF"/>
        </w:rPr>
        <w:t>ies</w:t>
      </w:r>
      <w:r w:rsidR="00801627">
        <w:rPr>
          <w:rFonts w:cstheme="minorHAnsi"/>
          <w:color w:val="000000" w:themeColor="text1"/>
          <w:shd w:val="clear" w:color="auto" w:fill="FFFFFF"/>
        </w:rPr>
        <w:t xml:space="preserve"> have </w:t>
      </w:r>
      <w:r w:rsidR="003F73B4">
        <w:rPr>
          <w:rFonts w:cstheme="minorHAnsi"/>
          <w:color w:val="000000" w:themeColor="text1"/>
          <w:shd w:val="clear" w:color="auto" w:fill="FFFFFF"/>
        </w:rPr>
        <w:t>their own</w:t>
      </w:r>
      <w:r w:rsidR="00801627">
        <w:rPr>
          <w:rFonts w:cstheme="minorHAnsi"/>
          <w:color w:val="000000" w:themeColor="text1"/>
          <w:shd w:val="clear" w:color="auto" w:fill="FFFFFF"/>
        </w:rPr>
        <w:t xml:space="preserve"> legislation on emergency disasters.</w:t>
      </w:r>
      <w:r w:rsidR="00FD2229">
        <w:rPr>
          <w:rStyle w:val="FootnoteReference"/>
          <w:rFonts w:cstheme="minorHAnsi"/>
          <w:color w:val="000000" w:themeColor="text1"/>
          <w:shd w:val="clear" w:color="auto" w:fill="FFFFFF"/>
        </w:rPr>
        <w:footnoteReference w:id="6"/>
      </w:r>
      <w:r w:rsidR="00801627">
        <w:rPr>
          <w:rFonts w:cstheme="minorHAnsi"/>
          <w:color w:val="000000" w:themeColor="text1"/>
          <w:shd w:val="clear" w:color="auto" w:fill="FFFFFF"/>
        </w:rPr>
        <w:t xml:space="preserve"> Yet, </w:t>
      </w:r>
      <w:r w:rsidR="003F73B4">
        <w:rPr>
          <w:rFonts w:cstheme="minorHAnsi"/>
          <w:color w:val="000000" w:themeColor="text1"/>
          <w:shd w:val="clear" w:color="auto" w:fill="FFFFFF"/>
        </w:rPr>
        <w:t xml:space="preserve">again, </w:t>
      </w:r>
      <w:r w:rsidR="00801627">
        <w:rPr>
          <w:rFonts w:cstheme="minorHAnsi"/>
          <w:color w:val="000000" w:themeColor="text1"/>
          <w:shd w:val="clear" w:color="auto" w:fill="FFFFFF"/>
        </w:rPr>
        <w:t>none of them address specifically the needs of older persons.</w:t>
      </w:r>
    </w:p>
    <w:p w14:paraId="7979E9B0" w14:textId="5DB0E552" w:rsidR="00930DC2" w:rsidRPr="000E7F19" w:rsidRDefault="00930DC2" w:rsidP="00D8412D">
      <w:pPr>
        <w:spacing w:before="100" w:beforeAutospacing="1" w:after="100" w:afterAutospacing="1"/>
        <w:rPr>
          <w:rFonts w:eastAsia="Times New Roman" w:cstheme="minorHAnsi"/>
          <w:color w:val="000000" w:themeColor="text1"/>
          <w:kern w:val="0"/>
          <w:u w:val="single"/>
          <w:lang w:val="en-CA"/>
          <w14:ligatures w14:val="none"/>
        </w:rPr>
      </w:pPr>
      <w:r w:rsidRPr="000E7F19">
        <w:rPr>
          <w:rFonts w:eastAsia="Times New Roman" w:cstheme="minorHAnsi"/>
          <w:color w:val="000000" w:themeColor="text1"/>
          <w:kern w:val="0"/>
          <w:u w:val="single"/>
          <w:lang w:val="en-CA"/>
          <w14:ligatures w14:val="none"/>
        </w:rPr>
        <w:t>British Columbia Heat Dome</w:t>
      </w:r>
    </w:p>
    <w:p w14:paraId="21ACADAD" w14:textId="4E76D361" w:rsidR="00210E61" w:rsidRPr="000E7F19" w:rsidRDefault="000855F9" w:rsidP="00D8412D">
      <w:pPr>
        <w:spacing w:before="100" w:beforeAutospacing="1" w:after="100" w:afterAutospacing="1"/>
        <w:rPr>
          <w:rFonts w:cstheme="minorHAnsi"/>
          <w:color w:val="000000" w:themeColor="text1"/>
        </w:rPr>
      </w:pPr>
      <w:r w:rsidRPr="000E7F19">
        <w:rPr>
          <w:rFonts w:eastAsia="Times New Roman" w:cstheme="minorHAnsi"/>
          <w:color w:val="000000" w:themeColor="text1"/>
          <w:kern w:val="0"/>
          <w:lang w:val="en-CA"/>
          <w14:ligatures w14:val="none"/>
        </w:rPr>
        <w:t xml:space="preserve">Between </w:t>
      </w:r>
      <w:r w:rsidR="001054E0" w:rsidRPr="000E7F19">
        <w:rPr>
          <w:rFonts w:eastAsia="Times New Roman" w:cstheme="minorHAnsi"/>
          <w:color w:val="000000" w:themeColor="text1"/>
          <w:kern w:val="0"/>
          <w:lang w:val="en-CA"/>
          <w14:ligatures w14:val="none"/>
        </w:rPr>
        <w:t>June 25 and July 1, 2021,</w:t>
      </w:r>
      <w:r w:rsidR="00D266CD" w:rsidRPr="000E7F19">
        <w:rPr>
          <w:rFonts w:eastAsia="Times New Roman" w:cstheme="minorHAnsi"/>
          <w:color w:val="000000" w:themeColor="text1"/>
          <w:kern w:val="0"/>
          <w:lang w:val="en-CA"/>
          <w14:ligatures w14:val="none"/>
        </w:rPr>
        <w:t xml:space="preserve"> the province of</w:t>
      </w:r>
      <w:r w:rsidR="001054E0" w:rsidRPr="000E7F19">
        <w:rPr>
          <w:rFonts w:eastAsia="Times New Roman" w:cstheme="minorHAnsi"/>
          <w:color w:val="000000" w:themeColor="text1"/>
          <w:kern w:val="0"/>
          <w:lang w:val="en-CA"/>
          <w14:ligatures w14:val="none"/>
        </w:rPr>
        <w:t xml:space="preserve"> British Columbia experienced a “heat dome” with record temperatures of over 49</w:t>
      </w:r>
      <w:r w:rsidR="001054E0" w:rsidRPr="00EC3CC0">
        <w:rPr>
          <w:rFonts w:eastAsia="Times New Roman" w:cs="Calibri (Body)"/>
          <w:color w:val="000000" w:themeColor="text1"/>
          <w:kern w:val="0"/>
          <w:lang w:val="en-CA"/>
          <w14:ligatures w14:val="none"/>
        </w:rPr>
        <w:t>º</w:t>
      </w:r>
      <w:r w:rsidR="001054E0" w:rsidRPr="000E7F19">
        <w:rPr>
          <w:rFonts w:eastAsia="Times New Roman" w:cstheme="minorHAnsi"/>
          <w:color w:val="000000" w:themeColor="text1"/>
          <w:kern w:val="0"/>
          <w:lang w:val="en-CA"/>
          <w14:ligatures w14:val="none"/>
        </w:rPr>
        <w:t>C. Almost 600 people died as a result, with 91% of victims age</w:t>
      </w:r>
      <w:r w:rsidR="00EC3CC0">
        <w:rPr>
          <w:rFonts w:eastAsia="Times New Roman" w:cstheme="minorHAnsi"/>
          <w:color w:val="000000" w:themeColor="text1"/>
          <w:kern w:val="0"/>
          <w:lang w:val="en-CA"/>
          <w14:ligatures w14:val="none"/>
        </w:rPr>
        <w:t>d</w:t>
      </w:r>
      <w:r w:rsidR="001054E0" w:rsidRPr="000E7F19">
        <w:rPr>
          <w:rFonts w:eastAsia="Times New Roman" w:cstheme="minorHAnsi"/>
          <w:color w:val="000000" w:themeColor="text1"/>
          <w:kern w:val="0"/>
          <w:lang w:val="en-CA"/>
          <w14:ligatures w14:val="none"/>
        </w:rPr>
        <w:t xml:space="preserve"> 60 or over.</w:t>
      </w:r>
      <w:r w:rsidR="001054E0" w:rsidRPr="000E7F19">
        <w:rPr>
          <w:rStyle w:val="FootnoteReference"/>
          <w:rFonts w:eastAsia="Times New Roman" w:cstheme="minorHAnsi"/>
          <w:color w:val="000000" w:themeColor="text1"/>
          <w:kern w:val="0"/>
          <w:lang w:val="en-CA"/>
          <w14:ligatures w14:val="none"/>
        </w:rPr>
        <w:footnoteReference w:id="7"/>
      </w:r>
      <w:r w:rsidR="001054E0" w:rsidRPr="000E7F19">
        <w:rPr>
          <w:rFonts w:eastAsia="Times New Roman" w:cstheme="minorHAnsi"/>
          <w:color w:val="000000" w:themeColor="text1"/>
          <w:kern w:val="0"/>
          <w:lang w:val="en-CA"/>
          <w14:ligatures w14:val="none"/>
        </w:rPr>
        <w:t xml:space="preserve"> </w:t>
      </w:r>
      <w:r w:rsidR="009B4A58" w:rsidRPr="000E7F19">
        <w:rPr>
          <w:rFonts w:eastAsia="Times New Roman" w:cstheme="minorHAnsi"/>
          <w:color w:val="000000" w:themeColor="text1"/>
          <w:kern w:val="0"/>
          <w:lang w:val="en-CA"/>
          <w14:ligatures w14:val="none"/>
        </w:rPr>
        <w:t>Human Rights Watch report</w:t>
      </w:r>
      <w:r w:rsidR="00EE6C69" w:rsidRPr="000E7F19">
        <w:rPr>
          <w:rFonts w:eastAsia="Times New Roman" w:cstheme="minorHAnsi"/>
          <w:color w:val="000000" w:themeColor="text1"/>
          <w:kern w:val="0"/>
          <w:lang w:val="en-CA"/>
          <w14:ligatures w14:val="none"/>
        </w:rPr>
        <w:t>s</w:t>
      </w:r>
      <w:r w:rsidR="009B4A58" w:rsidRPr="000E7F19">
        <w:rPr>
          <w:rFonts w:eastAsia="Times New Roman" w:cstheme="minorHAnsi"/>
          <w:color w:val="000000" w:themeColor="text1"/>
          <w:kern w:val="0"/>
          <w:lang w:val="en-CA"/>
          <w14:ligatures w14:val="none"/>
        </w:rPr>
        <w:t xml:space="preserve"> that a “</w:t>
      </w:r>
      <w:r w:rsidR="009B4A58" w:rsidRPr="000E7F19">
        <w:rPr>
          <w:rFonts w:cstheme="minorHAnsi"/>
          <w:color w:val="000000" w:themeColor="text1"/>
        </w:rPr>
        <w:t>lack of access to cooling and targeted support contributed to preventable suffering and possibly the death of older people and persons with disabilities</w:t>
      </w:r>
      <w:r w:rsidR="00EE6C69" w:rsidRPr="000E7F19">
        <w:rPr>
          <w:rFonts w:cstheme="minorHAnsi"/>
          <w:color w:val="000000" w:themeColor="text1"/>
        </w:rPr>
        <w:t>,</w:t>
      </w:r>
      <w:r w:rsidR="009B4A58" w:rsidRPr="000E7F19">
        <w:rPr>
          <w:rFonts w:cstheme="minorHAnsi"/>
          <w:color w:val="000000" w:themeColor="text1"/>
        </w:rPr>
        <w:t>”</w:t>
      </w:r>
      <w:r w:rsidR="009B4A58" w:rsidRPr="000E7F19">
        <w:rPr>
          <w:rStyle w:val="FootnoteReference"/>
          <w:rFonts w:cstheme="minorHAnsi"/>
          <w:color w:val="000000" w:themeColor="text1"/>
        </w:rPr>
        <w:footnoteReference w:id="8"/>
      </w:r>
      <w:r w:rsidR="009B4A58" w:rsidRPr="000E7F19">
        <w:rPr>
          <w:rFonts w:cstheme="minorHAnsi"/>
          <w:color w:val="000000" w:themeColor="text1"/>
        </w:rPr>
        <w:t xml:space="preserve"> </w:t>
      </w:r>
      <w:r w:rsidR="00EE6C69" w:rsidRPr="000E7F19">
        <w:rPr>
          <w:rFonts w:cstheme="minorHAnsi"/>
          <w:color w:val="000000" w:themeColor="text1"/>
        </w:rPr>
        <w:t xml:space="preserve">a clear </w:t>
      </w:r>
      <w:r w:rsidR="00997605" w:rsidRPr="000E7F19">
        <w:rPr>
          <w:rFonts w:cstheme="minorHAnsi"/>
          <w:color w:val="000000" w:themeColor="text1"/>
        </w:rPr>
        <w:t>violation</w:t>
      </w:r>
      <w:r w:rsidR="00EE6C69" w:rsidRPr="000E7F19">
        <w:rPr>
          <w:rFonts w:cstheme="minorHAnsi"/>
          <w:color w:val="000000" w:themeColor="text1"/>
        </w:rPr>
        <w:t xml:space="preserve"> of </w:t>
      </w:r>
      <w:r w:rsidR="00B45EC8" w:rsidRPr="000E7F19">
        <w:rPr>
          <w:rFonts w:cstheme="minorHAnsi"/>
          <w:color w:val="000000" w:themeColor="text1"/>
        </w:rPr>
        <w:t xml:space="preserve">their </w:t>
      </w:r>
      <w:r w:rsidR="00EE6C69" w:rsidRPr="000E7F19">
        <w:rPr>
          <w:rFonts w:cstheme="minorHAnsi"/>
          <w:color w:val="000000" w:themeColor="text1"/>
        </w:rPr>
        <w:t>human rights.</w:t>
      </w:r>
      <w:r w:rsidR="009F1F95" w:rsidRPr="000E7F19">
        <w:rPr>
          <w:rFonts w:cstheme="minorHAnsi"/>
          <w:color w:val="000000" w:themeColor="text1"/>
        </w:rPr>
        <w:t xml:space="preserve"> Further, most deaths occurred among people living alone and at lower income levels.</w:t>
      </w:r>
    </w:p>
    <w:p w14:paraId="0DD23AB2" w14:textId="21255C2B" w:rsidR="0067003B" w:rsidRPr="000E7F19" w:rsidRDefault="001054E0" w:rsidP="00A26126">
      <w:pPr>
        <w:pStyle w:val="NormalWeb"/>
        <w:rPr>
          <w:rFonts w:asciiTheme="minorHAnsi" w:hAnsiTheme="minorHAnsi" w:cstheme="minorHAnsi"/>
          <w:color w:val="000000" w:themeColor="text1"/>
        </w:rPr>
      </w:pPr>
      <w:r w:rsidRPr="000E7F19">
        <w:rPr>
          <w:rFonts w:asciiTheme="minorHAnsi" w:hAnsiTheme="minorHAnsi" w:cstheme="minorHAnsi"/>
          <w:color w:val="000000" w:themeColor="text1"/>
        </w:rPr>
        <w:t>In the aftermath, the BC provincial government promised a</w:t>
      </w:r>
      <w:r w:rsidR="009F1F95" w:rsidRPr="000E7F19">
        <w:rPr>
          <w:rFonts w:asciiTheme="minorHAnsi" w:hAnsiTheme="minorHAnsi" w:cstheme="minorHAnsi"/>
          <w:color w:val="000000" w:themeColor="text1"/>
        </w:rPr>
        <w:t>n extreme</w:t>
      </w:r>
      <w:r w:rsidRPr="000E7F19">
        <w:rPr>
          <w:rFonts w:asciiTheme="minorHAnsi" w:hAnsiTheme="minorHAnsi" w:cstheme="minorHAnsi"/>
          <w:color w:val="000000" w:themeColor="text1"/>
        </w:rPr>
        <w:t xml:space="preserve"> heat response framework.</w:t>
      </w:r>
      <w:r w:rsidR="0032073A" w:rsidRPr="000E7F19">
        <w:rPr>
          <w:rFonts w:asciiTheme="minorHAnsi" w:hAnsiTheme="minorHAnsi" w:cstheme="minorHAnsi"/>
          <w:color w:val="000000" w:themeColor="text1"/>
        </w:rPr>
        <w:t xml:space="preserve"> Elements of th</w:t>
      </w:r>
      <w:r w:rsidR="00997605" w:rsidRPr="000E7F19">
        <w:rPr>
          <w:rFonts w:asciiTheme="minorHAnsi" w:hAnsiTheme="minorHAnsi" w:cstheme="minorHAnsi"/>
          <w:color w:val="000000" w:themeColor="text1"/>
        </w:rPr>
        <w:t>e</w:t>
      </w:r>
      <w:r w:rsidR="0032073A" w:rsidRPr="000E7F19">
        <w:rPr>
          <w:rFonts w:asciiTheme="minorHAnsi" w:hAnsiTheme="minorHAnsi" w:cstheme="minorHAnsi"/>
          <w:color w:val="000000" w:themeColor="text1"/>
        </w:rPr>
        <w:t xml:space="preserve"> response issued to date </w:t>
      </w:r>
      <w:r w:rsidR="00E43429" w:rsidRPr="000E7F19">
        <w:rPr>
          <w:rFonts w:asciiTheme="minorHAnsi" w:hAnsiTheme="minorHAnsi" w:cstheme="minorHAnsi"/>
          <w:color w:val="000000" w:themeColor="text1"/>
        </w:rPr>
        <w:t xml:space="preserve">include </w:t>
      </w:r>
      <w:r w:rsidR="0032073A" w:rsidRPr="000E7F19">
        <w:rPr>
          <w:rFonts w:asciiTheme="minorHAnsi" w:hAnsiTheme="minorHAnsi" w:cstheme="minorHAnsi"/>
          <w:color w:val="000000" w:themeColor="text1"/>
        </w:rPr>
        <w:t>both government</w:t>
      </w:r>
      <w:r w:rsidR="00D56C01" w:rsidRPr="000E7F19">
        <w:rPr>
          <w:rFonts w:asciiTheme="minorHAnsi" w:hAnsiTheme="minorHAnsi" w:cstheme="minorHAnsi"/>
          <w:color w:val="000000" w:themeColor="text1"/>
        </w:rPr>
        <w:t>/health systems</w:t>
      </w:r>
      <w:r w:rsidR="0032073A" w:rsidRPr="000E7F19">
        <w:rPr>
          <w:rFonts w:asciiTheme="minorHAnsi" w:hAnsiTheme="minorHAnsi" w:cstheme="minorHAnsi"/>
          <w:color w:val="000000" w:themeColor="text1"/>
        </w:rPr>
        <w:t xml:space="preserve"> and individual/community level action</w:t>
      </w:r>
      <w:r w:rsidR="00EC3CC0">
        <w:rPr>
          <w:rFonts w:asciiTheme="minorHAnsi" w:hAnsiTheme="minorHAnsi" w:cstheme="minorHAnsi"/>
          <w:color w:val="000000" w:themeColor="text1"/>
        </w:rPr>
        <w:t>s</w:t>
      </w:r>
      <w:r w:rsidR="00A26126" w:rsidRPr="000E7F19">
        <w:rPr>
          <w:rFonts w:asciiTheme="minorHAnsi" w:hAnsiTheme="minorHAnsi" w:cstheme="minorHAnsi"/>
          <w:color w:val="000000" w:themeColor="text1"/>
        </w:rPr>
        <w:t>.</w:t>
      </w:r>
      <w:r w:rsidR="00B45EC8" w:rsidRPr="000E7F19">
        <w:rPr>
          <w:rFonts w:asciiTheme="minorHAnsi" w:hAnsiTheme="minorHAnsi" w:cstheme="minorHAnsi"/>
          <w:color w:val="000000" w:themeColor="text1"/>
        </w:rPr>
        <w:t xml:space="preserve"> </w:t>
      </w:r>
      <w:r w:rsidR="0032073A" w:rsidRPr="000E7F19">
        <w:rPr>
          <w:rFonts w:asciiTheme="minorHAnsi" w:hAnsiTheme="minorHAnsi" w:cstheme="minorHAnsi"/>
          <w:color w:val="000000" w:themeColor="text1"/>
        </w:rPr>
        <w:t xml:space="preserve">A committee </w:t>
      </w:r>
      <w:r w:rsidR="00E43429" w:rsidRPr="000E7F19">
        <w:rPr>
          <w:rFonts w:asciiTheme="minorHAnsi" w:hAnsiTheme="minorHAnsi" w:cstheme="minorHAnsi"/>
          <w:color w:val="000000" w:themeColor="text1"/>
        </w:rPr>
        <w:t>of public health bodies</w:t>
      </w:r>
      <w:r w:rsidR="0032073A" w:rsidRPr="000E7F19">
        <w:rPr>
          <w:rFonts w:asciiTheme="minorHAnsi" w:hAnsiTheme="minorHAnsi" w:cstheme="minorHAnsi"/>
          <w:color w:val="000000" w:themeColor="text1"/>
        </w:rPr>
        <w:t xml:space="preserve"> formed in early 2022 to ensure coordination in extreme hot weather</w:t>
      </w:r>
      <w:r w:rsidR="00EC3CC0">
        <w:rPr>
          <w:rFonts w:asciiTheme="minorHAnsi" w:hAnsiTheme="minorHAnsi" w:cstheme="minorHAnsi"/>
          <w:color w:val="000000" w:themeColor="text1"/>
        </w:rPr>
        <w:t xml:space="preserve"> produced </w:t>
      </w:r>
      <w:r w:rsidR="0032073A" w:rsidRPr="000E7F19">
        <w:rPr>
          <w:rFonts w:asciiTheme="minorHAnsi" w:hAnsiTheme="minorHAnsi" w:cstheme="minorHAnsi"/>
          <w:color w:val="000000" w:themeColor="text1"/>
        </w:rPr>
        <w:t xml:space="preserve">the BC </w:t>
      </w:r>
      <w:r w:rsidR="00EC3CC0">
        <w:rPr>
          <w:rFonts w:asciiTheme="minorHAnsi" w:hAnsiTheme="minorHAnsi" w:cstheme="minorHAnsi"/>
          <w:color w:val="000000" w:themeColor="text1"/>
        </w:rPr>
        <w:t>‘</w:t>
      </w:r>
      <w:r w:rsidR="00A26126" w:rsidRPr="000E7F19">
        <w:rPr>
          <w:rFonts w:asciiTheme="minorHAnsi" w:hAnsiTheme="minorHAnsi" w:cstheme="minorHAnsi"/>
          <w:color w:val="000000" w:themeColor="text1"/>
        </w:rPr>
        <w:t>H</w:t>
      </w:r>
      <w:r w:rsidR="0032073A" w:rsidRPr="000E7F19">
        <w:rPr>
          <w:rFonts w:asciiTheme="minorHAnsi" w:hAnsiTheme="minorHAnsi" w:cstheme="minorHAnsi"/>
          <w:color w:val="000000" w:themeColor="text1"/>
        </w:rPr>
        <w:t xml:space="preserve">eat </w:t>
      </w:r>
      <w:r w:rsidR="00A26126" w:rsidRPr="000E7F19">
        <w:rPr>
          <w:rFonts w:asciiTheme="minorHAnsi" w:hAnsiTheme="minorHAnsi" w:cstheme="minorHAnsi"/>
          <w:color w:val="000000" w:themeColor="text1"/>
        </w:rPr>
        <w:t>A</w:t>
      </w:r>
      <w:r w:rsidR="0032073A" w:rsidRPr="000E7F19">
        <w:rPr>
          <w:rFonts w:asciiTheme="minorHAnsi" w:hAnsiTheme="minorHAnsi" w:cstheme="minorHAnsi"/>
          <w:color w:val="000000" w:themeColor="text1"/>
        </w:rPr>
        <w:t xml:space="preserve">lert and </w:t>
      </w:r>
      <w:r w:rsidR="00A26126" w:rsidRPr="000E7F19">
        <w:rPr>
          <w:rFonts w:asciiTheme="minorHAnsi" w:hAnsiTheme="minorHAnsi" w:cstheme="minorHAnsi"/>
          <w:color w:val="000000" w:themeColor="text1"/>
        </w:rPr>
        <w:t>R</w:t>
      </w:r>
      <w:r w:rsidR="0032073A" w:rsidRPr="000E7F19">
        <w:rPr>
          <w:rFonts w:asciiTheme="minorHAnsi" w:hAnsiTheme="minorHAnsi" w:cstheme="minorHAnsi"/>
          <w:color w:val="000000" w:themeColor="text1"/>
        </w:rPr>
        <w:t xml:space="preserve">esponse </w:t>
      </w:r>
      <w:r w:rsidR="00A26126" w:rsidRPr="000E7F19">
        <w:rPr>
          <w:rFonts w:asciiTheme="minorHAnsi" w:hAnsiTheme="minorHAnsi" w:cstheme="minorHAnsi"/>
          <w:color w:val="000000" w:themeColor="text1"/>
        </w:rPr>
        <w:t>S</w:t>
      </w:r>
      <w:r w:rsidR="0032073A" w:rsidRPr="000E7F19">
        <w:rPr>
          <w:rFonts w:asciiTheme="minorHAnsi" w:hAnsiTheme="minorHAnsi" w:cstheme="minorHAnsi"/>
          <w:color w:val="000000" w:themeColor="text1"/>
        </w:rPr>
        <w:t>ystem</w:t>
      </w:r>
      <w:r w:rsidR="00EC3CC0">
        <w:rPr>
          <w:rFonts w:asciiTheme="minorHAnsi" w:hAnsiTheme="minorHAnsi" w:cstheme="minorHAnsi"/>
          <w:color w:val="000000" w:themeColor="text1"/>
        </w:rPr>
        <w:t>’</w:t>
      </w:r>
      <w:r w:rsidR="0032073A" w:rsidRPr="000E7F19">
        <w:rPr>
          <w:rFonts w:asciiTheme="minorHAnsi" w:hAnsiTheme="minorHAnsi" w:cstheme="minorHAnsi"/>
          <w:color w:val="000000" w:themeColor="text1"/>
        </w:rPr>
        <w:t xml:space="preserve"> (HARS).</w:t>
      </w:r>
      <w:r w:rsidR="0032073A" w:rsidRPr="000E7F19">
        <w:rPr>
          <w:rStyle w:val="FootnoteReference"/>
          <w:rFonts w:asciiTheme="minorHAnsi" w:hAnsiTheme="minorHAnsi" w:cstheme="minorHAnsi"/>
          <w:color w:val="000000" w:themeColor="text1"/>
        </w:rPr>
        <w:footnoteReference w:id="9"/>
      </w:r>
      <w:r w:rsidR="00A72AA3" w:rsidRPr="000E7F19">
        <w:rPr>
          <w:rFonts w:asciiTheme="minorHAnsi" w:hAnsiTheme="minorHAnsi" w:cstheme="minorHAnsi"/>
          <w:color w:val="000000" w:themeColor="text1"/>
        </w:rPr>
        <w:t xml:space="preserve"> The HARS </w:t>
      </w:r>
      <w:r w:rsidR="00D266CD" w:rsidRPr="000E7F19">
        <w:rPr>
          <w:rFonts w:asciiTheme="minorHAnsi" w:hAnsiTheme="minorHAnsi" w:cstheme="minorHAnsi"/>
          <w:color w:val="000000" w:themeColor="text1"/>
        </w:rPr>
        <w:t xml:space="preserve">is intersectional, and </w:t>
      </w:r>
      <w:r w:rsidR="00A72AA3" w:rsidRPr="000E7F19">
        <w:rPr>
          <w:rFonts w:asciiTheme="minorHAnsi" w:hAnsiTheme="minorHAnsi" w:cstheme="minorHAnsi"/>
          <w:color w:val="000000" w:themeColor="text1"/>
        </w:rPr>
        <w:t xml:space="preserve">specifically addresses the increased risk of extreme heat </w:t>
      </w:r>
      <w:r w:rsidR="00B45EC8" w:rsidRPr="000E7F19">
        <w:rPr>
          <w:rFonts w:asciiTheme="minorHAnsi" w:hAnsiTheme="minorHAnsi" w:cstheme="minorHAnsi"/>
          <w:color w:val="000000" w:themeColor="text1"/>
        </w:rPr>
        <w:t>for</w:t>
      </w:r>
      <w:r w:rsidR="00A72AA3" w:rsidRPr="000E7F19">
        <w:rPr>
          <w:rFonts w:asciiTheme="minorHAnsi" w:hAnsiTheme="minorHAnsi" w:cstheme="minorHAnsi"/>
          <w:color w:val="000000" w:themeColor="text1"/>
        </w:rPr>
        <w:t xml:space="preserve"> vulnerable populations, including older persons, those with chronic or mental illness, and materially or socially disadvantaged people</w:t>
      </w:r>
      <w:r w:rsidR="00112ED5" w:rsidRPr="000E7F19">
        <w:rPr>
          <w:rFonts w:asciiTheme="minorHAnsi" w:hAnsiTheme="minorHAnsi" w:cstheme="minorHAnsi"/>
          <w:color w:val="000000" w:themeColor="text1"/>
        </w:rPr>
        <w:t>.</w:t>
      </w:r>
      <w:r w:rsidR="00A72AA3" w:rsidRPr="000E7F19">
        <w:rPr>
          <w:rStyle w:val="FootnoteReference"/>
          <w:rFonts w:asciiTheme="minorHAnsi" w:hAnsiTheme="minorHAnsi" w:cstheme="minorHAnsi"/>
          <w:color w:val="000000" w:themeColor="text1"/>
        </w:rPr>
        <w:footnoteReference w:id="10"/>
      </w:r>
      <w:r w:rsidR="00524EFC" w:rsidRPr="000E7F19">
        <w:rPr>
          <w:rFonts w:asciiTheme="minorHAnsi" w:hAnsiTheme="minorHAnsi" w:cstheme="minorHAnsi"/>
          <w:color w:val="000000" w:themeColor="text1"/>
        </w:rPr>
        <w:t xml:space="preserve"> </w:t>
      </w:r>
      <w:r w:rsidR="0067003B" w:rsidRPr="000E7F19">
        <w:rPr>
          <w:rFonts w:asciiTheme="minorHAnsi" w:hAnsiTheme="minorHAnsi" w:cstheme="minorHAnsi"/>
        </w:rPr>
        <w:t xml:space="preserve">The core of HARS is an Extreme Heat Emergency warning, which activates a series of </w:t>
      </w:r>
      <w:r w:rsidR="00997605" w:rsidRPr="000E7F19">
        <w:rPr>
          <w:rFonts w:asciiTheme="minorHAnsi" w:hAnsiTheme="minorHAnsi" w:cstheme="minorHAnsi"/>
        </w:rPr>
        <w:t>responses</w:t>
      </w:r>
      <w:r w:rsidR="0067003B" w:rsidRPr="000E7F19">
        <w:rPr>
          <w:rFonts w:asciiTheme="minorHAnsi" w:hAnsiTheme="minorHAnsi" w:cstheme="minorHAnsi"/>
        </w:rPr>
        <w:t xml:space="preserve"> by different ministries, levels of government, public health organizations and professionals, and the general public. </w:t>
      </w:r>
      <w:r w:rsidR="00A26126" w:rsidRPr="000E7F19">
        <w:rPr>
          <w:rFonts w:asciiTheme="minorHAnsi" w:hAnsiTheme="minorHAnsi" w:cstheme="minorHAnsi"/>
        </w:rPr>
        <w:t xml:space="preserve">Key messages and recommended actions for each group are included in the plan, which is intended to be iterative. </w:t>
      </w:r>
    </w:p>
    <w:p w14:paraId="4446E01B" w14:textId="62BBB4CE" w:rsidR="00A26126" w:rsidRPr="000E7F19" w:rsidRDefault="00A26126" w:rsidP="00A26126">
      <w:pPr>
        <w:pStyle w:val="NormalWeb"/>
        <w:rPr>
          <w:rFonts w:asciiTheme="minorHAnsi" w:hAnsiTheme="minorHAnsi" w:cstheme="minorHAnsi"/>
        </w:rPr>
      </w:pPr>
      <w:r w:rsidRPr="000E7F19">
        <w:rPr>
          <w:rFonts w:asciiTheme="minorHAnsi" w:hAnsiTheme="minorHAnsi" w:cstheme="minorHAnsi"/>
        </w:rPr>
        <w:t xml:space="preserve">The </w:t>
      </w:r>
      <w:r w:rsidR="00AB6E95" w:rsidRPr="000E7F19">
        <w:rPr>
          <w:rFonts w:asciiTheme="minorHAnsi" w:hAnsiTheme="minorHAnsi" w:cstheme="minorHAnsi"/>
        </w:rPr>
        <w:t>province</w:t>
      </w:r>
      <w:r w:rsidRPr="000E7F19">
        <w:rPr>
          <w:rFonts w:asciiTheme="minorHAnsi" w:hAnsiTheme="minorHAnsi" w:cstheme="minorHAnsi"/>
        </w:rPr>
        <w:t xml:space="preserve"> also issued an </w:t>
      </w:r>
      <w:r w:rsidR="00EC3CC0">
        <w:rPr>
          <w:rFonts w:asciiTheme="minorHAnsi" w:hAnsiTheme="minorHAnsi" w:cstheme="minorHAnsi"/>
        </w:rPr>
        <w:t>‘</w:t>
      </w:r>
      <w:r w:rsidRPr="000E7F19">
        <w:rPr>
          <w:rFonts w:asciiTheme="minorHAnsi" w:hAnsiTheme="minorHAnsi" w:cstheme="minorHAnsi"/>
        </w:rPr>
        <w:t>Extreme Heat Pr</w:t>
      </w:r>
      <w:r w:rsidR="00184C1C" w:rsidRPr="000E7F19">
        <w:rPr>
          <w:rFonts w:asciiTheme="minorHAnsi" w:hAnsiTheme="minorHAnsi" w:cstheme="minorHAnsi"/>
        </w:rPr>
        <w:t>ep</w:t>
      </w:r>
      <w:r w:rsidRPr="000E7F19">
        <w:rPr>
          <w:rFonts w:asciiTheme="minorHAnsi" w:hAnsiTheme="minorHAnsi" w:cstheme="minorHAnsi"/>
        </w:rPr>
        <w:t>aredness Guide</w:t>
      </w:r>
      <w:r w:rsidR="00EC3CC0">
        <w:rPr>
          <w:rFonts w:asciiTheme="minorHAnsi" w:hAnsiTheme="minorHAnsi" w:cstheme="minorHAnsi"/>
        </w:rPr>
        <w:t>’</w:t>
      </w:r>
      <w:r w:rsidR="00D266CD" w:rsidRPr="000E7F19">
        <w:rPr>
          <w:rFonts w:asciiTheme="minorHAnsi" w:hAnsiTheme="minorHAnsi" w:cstheme="minorHAnsi"/>
        </w:rPr>
        <w:t xml:space="preserve"> for citizens</w:t>
      </w:r>
      <w:r w:rsidRPr="000E7F19">
        <w:rPr>
          <w:rFonts w:asciiTheme="minorHAnsi" w:hAnsiTheme="minorHAnsi" w:cstheme="minorHAnsi"/>
        </w:rPr>
        <w:t xml:space="preserve"> in 2022, </w:t>
      </w:r>
      <w:r w:rsidR="00AA3801" w:rsidRPr="000E7F19">
        <w:rPr>
          <w:rFonts w:asciiTheme="minorHAnsi" w:hAnsiTheme="minorHAnsi" w:cstheme="minorHAnsi"/>
        </w:rPr>
        <w:t xml:space="preserve">the first step of which is to identify high risk individuals such as persons over 65 years of age and other vulnerable </w:t>
      </w:r>
      <w:r w:rsidR="00EC3CC0">
        <w:rPr>
          <w:rFonts w:asciiTheme="minorHAnsi" w:hAnsiTheme="minorHAnsi" w:cstheme="minorHAnsi"/>
        </w:rPr>
        <w:t>people</w:t>
      </w:r>
      <w:r w:rsidR="00AA3801" w:rsidRPr="000E7F19">
        <w:rPr>
          <w:rFonts w:asciiTheme="minorHAnsi" w:hAnsiTheme="minorHAnsi" w:cstheme="minorHAnsi"/>
        </w:rPr>
        <w:t xml:space="preserve"> who need to be prepared and supported</w:t>
      </w:r>
      <w:r w:rsidR="00AB6E95" w:rsidRPr="000E7F19">
        <w:rPr>
          <w:rFonts w:asciiTheme="minorHAnsi" w:hAnsiTheme="minorHAnsi" w:cstheme="minorHAnsi"/>
        </w:rPr>
        <w:t xml:space="preserve"> during heat emergencies</w:t>
      </w:r>
      <w:r w:rsidR="00AA3801" w:rsidRPr="000E7F19">
        <w:rPr>
          <w:rFonts w:asciiTheme="minorHAnsi" w:hAnsiTheme="minorHAnsi" w:cstheme="minorHAnsi"/>
        </w:rPr>
        <w:t>.</w:t>
      </w:r>
      <w:r w:rsidR="00AA3801" w:rsidRPr="000E7F19">
        <w:rPr>
          <w:rStyle w:val="FootnoteReference"/>
          <w:rFonts w:asciiTheme="minorHAnsi" w:hAnsiTheme="minorHAnsi" w:cstheme="minorHAnsi"/>
        </w:rPr>
        <w:footnoteReference w:id="11"/>
      </w:r>
      <w:r w:rsidR="00AB6E95" w:rsidRPr="000E7F19">
        <w:rPr>
          <w:rFonts w:asciiTheme="minorHAnsi" w:hAnsiTheme="minorHAnsi" w:cstheme="minorHAnsi"/>
        </w:rPr>
        <w:t xml:space="preserve"> The </w:t>
      </w:r>
      <w:r w:rsidR="00AB6E95" w:rsidRPr="000E7F19">
        <w:rPr>
          <w:rFonts w:asciiTheme="minorHAnsi" w:hAnsiTheme="minorHAnsi" w:cstheme="minorHAnsi"/>
        </w:rPr>
        <w:lastRenderedPageBreak/>
        <w:t xml:space="preserve">guide is targeted to individuals with the goal of planning ahead and establishing social connections to help </w:t>
      </w:r>
      <w:r w:rsidR="00D266CD" w:rsidRPr="000E7F19">
        <w:rPr>
          <w:rFonts w:asciiTheme="minorHAnsi" w:hAnsiTheme="minorHAnsi" w:cstheme="minorHAnsi"/>
        </w:rPr>
        <w:t xml:space="preserve">communities </w:t>
      </w:r>
      <w:r w:rsidR="00AB6E95" w:rsidRPr="000E7F19">
        <w:rPr>
          <w:rFonts w:asciiTheme="minorHAnsi" w:hAnsiTheme="minorHAnsi" w:cstheme="minorHAnsi"/>
        </w:rPr>
        <w:t xml:space="preserve">manage </w:t>
      </w:r>
      <w:r w:rsidR="00D266CD" w:rsidRPr="000E7F19">
        <w:rPr>
          <w:rFonts w:asciiTheme="minorHAnsi" w:hAnsiTheme="minorHAnsi" w:cstheme="minorHAnsi"/>
        </w:rPr>
        <w:t xml:space="preserve">during </w:t>
      </w:r>
      <w:r w:rsidR="00AB6E95" w:rsidRPr="000E7F19">
        <w:rPr>
          <w:rFonts w:asciiTheme="minorHAnsi" w:hAnsiTheme="minorHAnsi" w:cstheme="minorHAnsi"/>
        </w:rPr>
        <w:t>an extreme heat event.</w:t>
      </w:r>
    </w:p>
    <w:p w14:paraId="2C00CDA4" w14:textId="0F65A01B" w:rsidR="008F690C" w:rsidRPr="000E7F19" w:rsidRDefault="00930DC2" w:rsidP="00D8412D">
      <w:pPr>
        <w:spacing w:before="100" w:beforeAutospacing="1" w:after="100" w:afterAutospacing="1"/>
        <w:rPr>
          <w:rFonts w:eastAsia="Times New Roman" w:cstheme="minorHAnsi"/>
          <w:color w:val="000000" w:themeColor="text1"/>
          <w:kern w:val="0"/>
          <w:lang w:val="en-CA"/>
          <w14:ligatures w14:val="none"/>
        </w:rPr>
      </w:pPr>
      <w:r w:rsidRPr="000E7F19">
        <w:rPr>
          <w:rFonts w:eastAsia="Times New Roman" w:cstheme="minorHAnsi"/>
          <w:color w:val="000000" w:themeColor="text1"/>
          <w:kern w:val="0"/>
          <w:lang w:val="en-CA"/>
          <w14:ligatures w14:val="none"/>
        </w:rPr>
        <w:t xml:space="preserve">A separate effort to repeal and replace the province’s </w:t>
      </w:r>
      <w:r w:rsidR="00AB6E95" w:rsidRPr="000E7F19">
        <w:rPr>
          <w:rFonts w:eastAsia="Times New Roman" w:cstheme="minorHAnsi"/>
          <w:color w:val="000000" w:themeColor="text1"/>
          <w:kern w:val="0"/>
          <w:lang w:val="en-CA"/>
          <w14:ligatures w14:val="none"/>
        </w:rPr>
        <w:t xml:space="preserve">outdated </w:t>
      </w:r>
      <w:r w:rsidRPr="000E7F19">
        <w:rPr>
          <w:rFonts w:eastAsia="Times New Roman" w:cstheme="minorHAnsi"/>
          <w:color w:val="000000" w:themeColor="text1"/>
          <w:kern w:val="0"/>
          <w:lang w:val="en-CA"/>
          <w14:ligatures w14:val="none"/>
        </w:rPr>
        <w:t>emergency management legislation has been underway for several years.</w:t>
      </w:r>
      <w:r w:rsidRPr="000E7F19">
        <w:rPr>
          <w:rStyle w:val="FootnoteReference"/>
          <w:rFonts w:eastAsia="Times New Roman" w:cstheme="minorHAnsi"/>
          <w:color w:val="000000" w:themeColor="text1"/>
          <w:kern w:val="0"/>
          <w:lang w:val="en-CA"/>
          <w14:ligatures w14:val="none"/>
        </w:rPr>
        <w:footnoteReference w:id="12"/>
      </w:r>
      <w:r w:rsidR="00210E61" w:rsidRPr="000E7F19">
        <w:rPr>
          <w:rFonts w:eastAsia="Times New Roman" w:cstheme="minorHAnsi"/>
          <w:color w:val="000000" w:themeColor="text1"/>
          <w:kern w:val="0"/>
          <w:lang w:val="en-CA"/>
          <w14:ligatures w14:val="none"/>
        </w:rPr>
        <w:t xml:space="preserve"> </w:t>
      </w:r>
      <w:r w:rsidR="00CC2917" w:rsidRPr="000E7F19">
        <w:rPr>
          <w:rFonts w:eastAsia="Times New Roman" w:cstheme="minorHAnsi"/>
          <w:color w:val="000000" w:themeColor="text1"/>
          <w:kern w:val="0"/>
          <w:lang w:val="en-CA"/>
          <w14:ligatures w14:val="none"/>
        </w:rPr>
        <w:t>Policy shifts for the proposed legislation</w:t>
      </w:r>
      <w:r w:rsidR="00EC3CC0">
        <w:rPr>
          <w:rFonts w:eastAsia="Times New Roman" w:cstheme="minorHAnsi"/>
          <w:color w:val="000000" w:themeColor="text1"/>
          <w:kern w:val="0"/>
          <w:lang w:val="en-CA"/>
          <w14:ligatures w14:val="none"/>
        </w:rPr>
        <w:t>, which has yet to be drafted,</w:t>
      </w:r>
      <w:r w:rsidR="00CC2917" w:rsidRPr="000E7F19">
        <w:rPr>
          <w:rFonts w:eastAsia="Times New Roman" w:cstheme="minorHAnsi"/>
          <w:color w:val="000000" w:themeColor="text1"/>
          <w:kern w:val="0"/>
          <w:lang w:val="en-CA"/>
          <w14:ligatures w14:val="none"/>
        </w:rPr>
        <w:t xml:space="preserve"> include co-development with Indigenous groups in accordance with the BC </w:t>
      </w:r>
      <w:r w:rsidR="00CC2917" w:rsidRPr="000E7F19">
        <w:rPr>
          <w:rFonts w:eastAsia="Times New Roman" w:cstheme="minorHAnsi"/>
          <w:i/>
          <w:iCs/>
          <w:color w:val="000000" w:themeColor="text1"/>
          <w:kern w:val="0"/>
          <w:lang w:val="en-CA"/>
          <w14:ligatures w14:val="none"/>
        </w:rPr>
        <w:t xml:space="preserve">Declaration on the Rights of Indigenous Persons Act, </w:t>
      </w:r>
      <w:r w:rsidR="00CC2917" w:rsidRPr="000E7F19">
        <w:rPr>
          <w:rFonts w:eastAsia="Times New Roman" w:cstheme="minorHAnsi"/>
          <w:color w:val="000000" w:themeColor="text1"/>
          <w:kern w:val="0"/>
          <w:lang w:val="en-CA"/>
          <w14:ligatures w14:val="none"/>
        </w:rPr>
        <w:t xml:space="preserve">specific consideration of climate change in risk assessments, and consideration of vulnerable groups and intersectionality. Reference is made to broad consultation on the new legislation, however no specifics </w:t>
      </w:r>
      <w:r w:rsidR="00B45EC8" w:rsidRPr="000E7F19">
        <w:rPr>
          <w:rFonts w:eastAsia="Times New Roman" w:cstheme="minorHAnsi"/>
          <w:color w:val="000000" w:themeColor="text1"/>
          <w:kern w:val="0"/>
          <w:lang w:val="en-CA"/>
          <w14:ligatures w14:val="none"/>
        </w:rPr>
        <w:t>appear</w:t>
      </w:r>
      <w:r w:rsidR="00CC2917" w:rsidRPr="000E7F19">
        <w:rPr>
          <w:rFonts w:eastAsia="Times New Roman" w:cstheme="minorHAnsi"/>
          <w:color w:val="000000" w:themeColor="text1"/>
          <w:kern w:val="0"/>
          <w:lang w:val="en-CA"/>
          <w14:ligatures w14:val="none"/>
        </w:rPr>
        <w:t xml:space="preserve"> to be available on who was consulted</w:t>
      </w:r>
      <w:r w:rsidR="00270A5B">
        <w:rPr>
          <w:rFonts w:eastAsia="Times New Roman" w:cstheme="minorHAnsi"/>
          <w:color w:val="000000" w:themeColor="text1"/>
          <w:kern w:val="0"/>
          <w:lang w:val="en-CA"/>
          <w14:ligatures w14:val="none"/>
        </w:rPr>
        <w:t xml:space="preserve">. </w:t>
      </w:r>
    </w:p>
    <w:p w14:paraId="7D181C64" w14:textId="1DC4ADFD" w:rsidR="009171B2" w:rsidRPr="000E7F19" w:rsidRDefault="00B45EC8" w:rsidP="00D8412D">
      <w:pPr>
        <w:spacing w:before="100" w:beforeAutospacing="1" w:after="100" w:afterAutospacing="1"/>
        <w:rPr>
          <w:rFonts w:eastAsia="Times New Roman" w:cstheme="minorHAnsi"/>
          <w:color w:val="000000" w:themeColor="text1"/>
          <w:kern w:val="0"/>
          <w:lang w:val="en-CA"/>
          <w14:ligatures w14:val="none"/>
        </w:rPr>
      </w:pPr>
      <w:r w:rsidRPr="000E7F19">
        <w:rPr>
          <w:rFonts w:eastAsia="Times New Roman" w:cstheme="minorHAnsi"/>
          <w:color w:val="000000" w:themeColor="text1"/>
          <w:kern w:val="0"/>
          <w:lang w:val="en-CA"/>
          <w14:ligatures w14:val="none"/>
        </w:rPr>
        <w:t>These efforts are laudable, however, there may still be an o</w:t>
      </w:r>
      <w:r w:rsidR="009171B2" w:rsidRPr="000E7F19">
        <w:rPr>
          <w:rFonts w:eastAsia="Times New Roman" w:cstheme="minorHAnsi"/>
          <w:color w:val="000000" w:themeColor="text1"/>
          <w:kern w:val="0"/>
          <w:lang w:val="en-CA"/>
          <w14:ligatures w14:val="none"/>
        </w:rPr>
        <w:t>ver</w:t>
      </w:r>
      <w:r w:rsidRPr="000E7F19">
        <w:rPr>
          <w:rFonts w:eastAsia="Times New Roman" w:cstheme="minorHAnsi"/>
          <w:color w:val="000000" w:themeColor="text1"/>
          <w:kern w:val="0"/>
          <w:lang w:val="en-CA"/>
          <w14:ligatures w14:val="none"/>
        </w:rPr>
        <w:t>-</w:t>
      </w:r>
      <w:r w:rsidR="009171B2" w:rsidRPr="000E7F19">
        <w:rPr>
          <w:rFonts w:eastAsia="Times New Roman" w:cstheme="minorHAnsi"/>
          <w:color w:val="000000" w:themeColor="text1"/>
          <w:kern w:val="0"/>
          <w:lang w:val="en-CA"/>
          <w14:ligatures w14:val="none"/>
        </w:rPr>
        <w:t xml:space="preserve">reliance on </w:t>
      </w:r>
      <w:r w:rsidR="00D712CE" w:rsidRPr="000E7F19">
        <w:rPr>
          <w:rFonts w:eastAsia="Times New Roman" w:cstheme="minorHAnsi"/>
          <w:color w:val="000000" w:themeColor="text1"/>
          <w:kern w:val="0"/>
          <w:lang w:val="en-CA"/>
          <w14:ligatures w14:val="none"/>
        </w:rPr>
        <w:t xml:space="preserve">the </w:t>
      </w:r>
      <w:r w:rsidR="009171B2" w:rsidRPr="000E7F19">
        <w:rPr>
          <w:rFonts w:eastAsia="Times New Roman" w:cstheme="minorHAnsi"/>
          <w:color w:val="000000" w:themeColor="text1"/>
          <w:kern w:val="0"/>
          <w:lang w:val="en-CA"/>
          <w14:ligatures w14:val="none"/>
        </w:rPr>
        <w:t>community</w:t>
      </w:r>
      <w:r w:rsidRPr="000E7F19">
        <w:rPr>
          <w:rFonts w:eastAsia="Times New Roman" w:cstheme="minorHAnsi"/>
          <w:color w:val="000000" w:themeColor="text1"/>
          <w:kern w:val="0"/>
          <w:lang w:val="en-CA"/>
          <w14:ligatures w14:val="none"/>
        </w:rPr>
        <w:t xml:space="preserve"> to meet the needs of older persons during extreme heat events. A</w:t>
      </w:r>
      <w:r w:rsidR="009171B2" w:rsidRPr="000E7F19">
        <w:rPr>
          <w:rFonts w:eastAsia="Times New Roman" w:cstheme="minorHAnsi"/>
          <w:color w:val="000000" w:themeColor="text1"/>
          <w:kern w:val="0"/>
          <w:lang w:val="en-CA"/>
          <w14:ligatures w14:val="none"/>
        </w:rPr>
        <w:t xml:space="preserve"> </w:t>
      </w:r>
      <w:r w:rsidR="00F4422A" w:rsidRPr="000E7F19">
        <w:rPr>
          <w:rFonts w:eastAsia="Times New Roman" w:cstheme="minorHAnsi"/>
          <w:color w:val="000000" w:themeColor="text1"/>
          <w:kern w:val="0"/>
          <w:lang w:val="en-CA"/>
          <w14:ligatures w14:val="none"/>
        </w:rPr>
        <w:t>rights</w:t>
      </w:r>
      <w:r w:rsidRPr="000E7F19">
        <w:rPr>
          <w:rFonts w:eastAsia="Times New Roman" w:cstheme="minorHAnsi"/>
          <w:color w:val="000000" w:themeColor="text1"/>
          <w:kern w:val="0"/>
          <w:lang w:val="en-CA"/>
          <w14:ligatures w14:val="none"/>
        </w:rPr>
        <w:t>-</w:t>
      </w:r>
      <w:r w:rsidR="00F4422A" w:rsidRPr="000E7F19">
        <w:rPr>
          <w:rFonts w:eastAsia="Times New Roman" w:cstheme="minorHAnsi"/>
          <w:color w:val="000000" w:themeColor="text1"/>
          <w:kern w:val="0"/>
          <w:lang w:val="en-CA"/>
          <w14:ligatures w14:val="none"/>
        </w:rPr>
        <w:t xml:space="preserve">based approach would put </w:t>
      </w:r>
      <w:r w:rsidRPr="000E7F19">
        <w:rPr>
          <w:rFonts w:eastAsia="Times New Roman" w:cstheme="minorHAnsi"/>
          <w:color w:val="000000" w:themeColor="text1"/>
          <w:kern w:val="0"/>
          <w:lang w:val="en-CA"/>
          <w14:ligatures w14:val="none"/>
        </w:rPr>
        <w:t xml:space="preserve">the </w:t>
      </w:r>
      <w:r w:rsidR="003605BC" w:rsidRPr="000E7F19">
        <w:rPr>
          <w:rFonts w:eastAsia="Times New Roman" w:cstheme="minorHAnsi"/>
          <w:color w:val="000000" w:themeColor="text1"/>
          <w:kern w:val="0"/>
          <w:lang w:val="en-CA"/>
          <w14:ligatures w14:val="none"/>
        </w:rPr>
        <w:t>ultimate responsibility for protecting the most vulnerable members of society on the government</w:t>
      </w:r>
      <w:r w:rsidRPr="000E7F19">
        <w:rPr>
          <w:rFonts w:eastAsia="Times New Roman" w:cstheme="minorHAnsi"/>
          <w:color w:val="000000" w:themeColor="text1"/>
          <w:kern w:val="0"/>
          <w:lang w:val="en-CA"/>
          <w14:ligatures w14:val="none"/>
        </w:rPr>
        <w:t>.</w:t>
      </w:r>
    </w:p>
    <w:p w14:paraId="574A49AB" w14:textId="4537B47B" w:rsidR="00C8192D" w:rsidRPr="000E7F19" w:rsidRDefault="00930DC2" w:rsidP="00D8412D">
      <w:pPr>
        <w:spacing w:before="100" w:beforeAutospacing="1" w:after="100" w:afterAutospacing="1"/>
        <w:rPr>
          <w:rFonts w:eastAsia="Times New Roman" w:cstheme="minorHAnsi"/>
          <w:kern w:val="0"/>
          <w:u w:val="single"/>
          <w:lang w:val="en-CA"/>
          <w14:ligatures w14:val="none"/>
        </w:rPr>
      </w:pPr>
      <w:r w:rsidRPr="000E7F19">
        <w:rPr>
          <w:rFonts w:eastAsia="Times New Roman" w:cstheme="minorHAnsi"/>
          <w:kern w:val="0"/>
          <w:u w:val="single"/>
          <w:lang w:val="en-CA"/>
          <w14:ligatures w14:val="none"/>
        </w:rPr>
        <w:t>Ontario Power Outages</w:t>
      </w:r>
      <w:r w:rsidR="00E11A6A">
        <w:rPr>
          <w:rFonts w:eastAsia="Times New Roman" w:cstheme="minorHAnsi"/>
          <w:kern w:val="0"/>
          <w:u w:val="single"/>
          <w:lang w:val="en-CA"/>
          <w14:ligatures w14:val="none"/>
        </w:rPr>
        <w:t xml:space="preserve"> 2022</w:t>
      </w:r>
    </w:p>
    <w:p w14:paraId="1AE3BF66" w14:textId="1BB0EE06" w:rsidR="00CC2917" w:rsidRPr="000E7F19" w:rsidRDefault="00585655" w:rsidP="00D8412D">
      <w:pPr>
        <w:spacing w:before="100" w:beforeAutospacing="1" w:after="100" w:afterAutospacing="1"/>
        <w:rPr>
          <w:rFonts w:eastAsia="Times New Roman" w:cstheme="minorHAnsi"/>
          <w:kern w:val="0"/>
          <w:lang w:val="en-CA"/>
          <w14:ligatures w14:val="none"/>
        </w:rPr>
      </w:pPr>
      <w:r w:rsidRPr="000E7F19">
        <w:rPr>
          <w:rFonts w:eastAsia="Times New Roman" w:cstheme="minorHAnsi"/>
          <w:kern w:val="0"/>
          <w:lang w:val="en-CA"/>
          <w14:ligatures w14:val="none"/>
        </w:rPr>
        <w:t xml:space="preserve">The province of </w:t>
      </w:r>
      <w:r w:rsidR="00EF498F" w:rsidRPr="000E7F19">
        <w:rPr>
          <w:rFonts w:eastAsia="Times New Roman" w:cstheme="minorHAnsi"/>
          <w:kern w:val="0"/>
          <w:lang w:val="en-CA"/>
          <w14:ligatures w14:val="none"/>
        </w:rPr>
        <w:t>Ontario experience</w:t>
      </w:r>
      <w:r w:rsidR="00637646" w:rsidRPr="000E7F19">
        <w:rPr>
          <w:rFonts w:eastAsia="Times New Roman" w:cstheme="minorHAnsi"/>
          <w:kern w:val="0"/>
          <w:lang w:val="en-CA"/>
          <w14:ligatures w14:val="none"/>
        </w:rPr>
        <w:t>s</w:t>
      </w:r>
      <w:r w:rsidR="00EF498F" w:rsidRPr="000E7F19">
        <w:rPr>
          <w:rFonts w:eastAsia="Times New Roman" w:cstheme="minorHAnsi"/>
          <w:kern w:val="0"/>
          <w:lang w:val="en-CA"/>
          <w14:ligatures w14:val="none"/>
        </w:rPr>
        <w:t xml:space="preserve"> </w:t>
      </w:r>
      <w:r w:rsidR="003058EB" w:rsidRPr="000E7F19">
        <w:rPr>
          <w:rFonts w:eastAsia="Times New Roman" w:cstheme="minorHAnsi"/>
          <w:kern w:val="0"/>
          <w:lang w:val="en-CA"/>
          <w14:ligatures w14:val="none"/>
        </w:rPr>
        <w:t>severe storms</w:t>
      </w:r>
      <w:r w:rsidR="006134F8" w:rsidRPr="000E7F19">
        <w:rPr>
          <w:rFonts w:eastAsia="Times New Roman" w:cstheme="minorHAnsi"/>
          <w:kern w:val="0"/>
          <w:lang w:val="en-CA"/>
          <w14:ligatures w14:val="none"/>
        </w:rPr>
        <w:t xml:space="preserve"> </w:t>
      </w:r>
      <w:r w:rsidR="003D3FCA" w:rsidRPr="000E7F19">
        <w:rPr>
          <w:rFonts w:eastAsia="Times New Roman" w:cstheme="minorHAnsi"/>
          <w:kern w:val="0"/>
          <w:lang w:val="en-CA"/>
          <w14:ligatures w14:val="none"/>
        </w:rPr>
        <w:t>year-round</w:t>
      </w:r>
      <w:r w:rsidR="003058EB" w:rsidRPr="000E7F19">
        <w:rPr>
          <w:rFonts w:eastAsia="Times New Roman" w:cstheme="minorHAnsi"/>
          <w:kern w:val="0"/>
          <w:lang w:val="en-CA"/>
          <w14:ligatures w14:val="none"/>
        </w:rPr>
        <w:t>, which can cause</w:t>
      </w:r>
      <w:r w:rsidR="00EF498F" w:rsidRPr="000E7F19">
        <w:rPr>
          <w:rFonts w:eastAsia="Times New Roman" w:cstheme="minorHAnsi"/>
          <w:kern w:val="0"/>
          <w:lang w:val="en-CA"/>
          <w14:ligatures w14:val="none"/>
        </w:rPr>
        <w:t xml:space="preserve"> </w:t>
      </w:r>
      <w:r w:rsidR="003058EB" w:rsidRPr="000E7F19">
        <w:rPr>
          <w:rFonts w:eastAsia="Times New Roman" w:cstheme="minorHAnsi"/>
          <w:kern w:val="0"/>
          <w:lang w:val="en-CA"/>
          <w14:ligatures w14:val="none"/>
        </w:rPr>
        <w:t xml:space="preserve">extended </w:t>
      </w:r>
      <w:r w:rsidR="00EF498F" w:rsidRPr="000E7F19">
        <w:rPr>
          <w:rFonts w:eastAsia="Times New Roman" w:cstheme="minorHAnsi"/>
          <w:kern w:val="0"/>
          <w:lang w:val="en-CA"/>
          <w14:ligatures w14:val="none"/>
        </w:rPr>
        <w:t>power outages</w:t>
      </w:r>
      <w:r w:rsidR="003058EB" w:rsidRPr="000E7F19">
        <w:rPr>
          <w:rFonts w:eastAsia="Times New Roman" w:cstheme="minorHAnsi"/>
          <w:kern w:val="0"/>
          <w:lang w:val="en-CA"/>
          <w14:ligatures w14:val="none"/>
        </w:rPr>
        <w:t xml:space="preserve"> lasting for</w:t>
      </w:r>
      <w:r w:rsidR="00415825" w:rsidRPr="000E7F19">
        <w:rPr>
          <w:rFonts w:eastAsia="Times New Roman" w:cstheme="minorHAnsi"/>
          <w:kern w:val="0"/>
          <w:lang w:val="en-CA"/>
          <w14:ligatures w14:val="none"/>
        </w:rPr>
        <w:t xml:space="preserve"> </w:t>
      </w:r>
      <w:r w:rsidR="00F151FB" w:rsidRPr="000E7F19">
        <w:rPr>
          <w:rFonts w:eastAsia="Times New Roman" w:cstheme="minorHAnsi"/>
          <w:kern w:val="0"/>
          <w:lang w:val="en-CA"/>
          <w14:ligatures w14:val="none"/>
        </w:rPr>
        <w:t>several</w:t>
      </w:r>
      <w:r w:rsidR="00415825" w:rsidRPr="000E7F19">
        <w:rPr>
          <w:rFonts w:eastAsia="Times New Roman" w:cstheme="minorHAnsi"/>
          <w:kern w:val="0"/>
          <w:lang w:val="en-CA"/>
          <w14:ligatures w14:val="none"/>
        </w:rPr>
        <w:t xml:space="preserve"> hours or even days. </w:t>
      </w:r>
      <w:r w:rsidR="00184C1C" w:rsidRPr="000E7F19">
        <w:rPr>
          <w:rFonts w:eastAsia="Times New Roman" w:cstheme="minorHAnsi"/>
          <w:kern w:val="0"/>
          <w:lang w:val="en-CA"/>
          <w14:ligatures w14:val="none"/>
        </w:rPr>
        <w:t xml:space="preserve">This poses a high risk to those living in long-term care facilities, in particular those requiring feeding pumps or other essential technology relying on electricity. </w:t>
      </w:r>
    </w:p>
    <w:p w14:paraId="5F83FF80" w14:textId="423865E2" w:rsidR="00184C1C" w:rsidRPr="000E7F19" w:rsidRDefault="00FC5765" w:rsidP="00B45EC8">
      <w:pPr>
        <w:pStyle w:val="clause-e"/>
        <w:spacing w:before="0" w:beforeAutospacing="0" w:after="120" w:afterAutospacing="0"/>
        <w:rPr>
          <w:rFonts w:asciiTheme="minorHAnsi" w:hAnsiTheme="minorHAnsi" w:cstheme="minorHAnsi"/>
        </w:rPr>
      </w:pPr>
      <w:r w:rsidRPr="000E7F19">
        <w:rPr>
          <w:rFonts w:asciiTheme="minorHAnsi" w:hAnsiTheme="minorHAnsi" w:cstheme="minorHAnsi"/>
        </w:rPr>
        <w:t>Regulations</w:t>
      </w:r>
      <w:r w:rsidR="009171B2" w:rsidRPr="000E7F19">
        <w:rPr>
          <w:rFonts w:asciiTheme="minorHAnsi" w:hAnsiTheme="minorHAnsi" w:cstheme="minorHAnsi"/>
        </w:rPr>
        <w:t xml:space="preserve"> under the </w:t>
      </w:r>
      <w:r w:rsidR="003D3FCA" w:rsidRPr="000E7F19">
        <w:rPr>
          <w:rFonts w:asciiTheme="minorHAnsi" w:hAnsiTheme="minorHAnsi" w:cstheme="minorHAnsi"/>
        </w:rPr>
        <w:t>provincial</w:t>
      </w:r>
      <w:r w:rsidR="00184C1C" w:rsidRPr="000E7F19">
        <w:rPr>
          <w:rFonts w:asciiTheme="minorHAnsi" w:hAnsiTheme="minorHAnsi" w:cstheme="minorHAnsi"/>
        </w:rPr>
        <w:t xml:space="preserve"> </w:t>
      </w:r>
      <w:r w:rsidR="00184C1C" w:rsidRPr="000E7F19">
        <w:rPr>
          <w:rFonts w:asciiTheme="minorHAnsi" w:hAnsiTheme="minorHAnsi" w:cstheme="minorHAnsi"/>
          <w:i/>
          <w:iCs/>
        </w:rPr>
        <w:t>Fixing Long-Term Care Act</w:t>
      </w:r>
      <w:r w:rsidR="003D3FCA" w:rsidRPr="000E7F19">
        <w:rPr>
          <w:rFonts w:asciiTheme="minorHAnsi" w:hAnsiTheme="minorHAnsi" w:cstheme="minorHAnsi"/>
        </w:rPr>
        <w:t xml:space="preserve"> require all long-term care </w:t>
      </w:r>
      <w:r w:rsidR="00B45EC8" w:rsidRPr="000E7F19">
        <w:rPr>
          <w:rFonts w:asciiTheme="minorHAnsi" w:hAnsiTheme="minorHAnsi" w:cstheme="minorHAnsi"/>
        </w:rPr>
        <w:t>homes</w:t>
      </w:r>
      <w:r w:rsidR="003D3FCA" w:rsidRPr="000E7F19">
        <w:rPr>
          <w:rFonts w:asciiTheme="minorHAnsi" w:hAnsiTheme="minorHAnsi" w:cstheme="minorHAnsi"/>
        </w:rPr>
        <w:t xml:space="preserve"> to have a </w:t>
      </w:r>
      <w:r w:rsidRPr="000E7F19">
        <w:rPr>
          <w:rFonts w:asciiTheme="minorHAnsi" w:hAnsiTheme="minorHAnsi" w:cstheme="minorHAnsi"/>
        </w:rPr>
        <w:t xml:space="preserve">back-up </w:t>
      </w:r>
      <w:r w:rsidR="003D3FCA" w:rsidRPr="000E7F19">
        <w:rPr>
          <w:rFonts w:asciiTheme="minorHAnsi" w:hAnsiTheme="minorHAnsi" w:cstheme="minorHAnsi"/>
        </w:rPr>
        <w:t xml:space="preserve">generator capable of </w:t>
      </w:r>
      <w:r w:rsidR="009171B2" w:rsidRPr="000E7F19">
        <w:rPr>
          <w:rFonts w:asciiTheme="minorHAnsi" w:hAnsiTheme="minorHAnsi" w:cstheme="minorHAnsi"/>
        </w:rPr>
        <w:t xml:space="preserve">maintaining </w:t>
      </w:r>
      <w:r w:rsidR="009171B2" w:rsidRPr="000E7F19">
        <w:rPr>
          <w:rFonts w:asciiTheme="minorHAnsi" w:hAnsiTheme="minorHAnsi" w:cstheme="minorHAnsi"/>
          <w:color w:val="000000"/>
        </w:rPr>
        <w:t xml:space="preserve">heating, emergency lighting, alarms on doors leading </w:t>
      </w:r>
      <w:r w:rsidR="00B45EC8" w:rsidRPr="000E7F19">
        <w:rPr>
          <w:rFonts w:asciiTheme="minorHAnsi" w:hAnsiTheme="minorHAnsi" w:cstheme="minorHAnsi"/>
          <w:color w:val="000000"/>
        </w:rPr>
        <w:t xml:space="preserve">to the </w:t>
      </w:r>
      <w:r w:rsidR="009171B2" w:rsidRPr="000E7F19">
        <w:rPr>
          <w:rFonts w:asciiTheme="minorHAnsi" w:hAnsiTheme="minorHAnsi" w:cstheme="minorHAnsi"/>
          <w:color w:val="000000"/>
        </w:rPr>
        <w:t xml:space="preserve">outside, and essential services including dietary services, resident-staff communication </w:t>
      </w:r>
      <w:r w:rsidR="00EC3CC0">
        <w:rPr>
          <w:rFonts w:asciiTheme="minorHAnsi" w:hAnsiTheme="minorHAnsi" w:cstheme="minorHAnsi"/>
          <w:color w:val="000000"/>
        </w:rPr>
        <w:t>systems</w:t>
      </w:r>
      <w:r w:rsidR="009171B2" w:rsidRPr="000E7F19">
        <w:rPr>
          <w:rFonts w:asciiTheme="minorHAnsi" w:hAnsiTheme="minorHAnsi" w:cstheme="minorHAnsi"/>
          <w:color w:val="000000"/>
        </w:rPr>
        <w:t>, elevators</w:t>
      </w:r>
      <w:r w:rsidR="00EC3CC0">
        <w:rPr>
          <w:rFonts w:asciiTheme="minorHAnsi" w:hAnsiTheme="minorHAnsi" w:cstheme="minorHAnsi"/>
          <w:color w:val="000000"/>
        </w:rPr>
        <w:t>,</w:t>
      </w:r>
      <w:r w:rsidR="009171B2" w:rsidRPr="000E7F19">
        <w:rPr>
          <w:rFonts w:asciiTheme="minorHAnsi" w:hAnsiTheme="minorHAnsi" w:cstheme="minorHAnsi"/>
          <w:color w:val="000000"/>
        </w:rPr>
        <w:t xml:space="preserve"> life support, </w:t>
      </w:r>
      <w:r w:rsidR="00EC3CC0">
        <w:rPr>
          <w:rFonts w:asciiTheme="minorHAnsi" w:hAnsiTheme="minorHAnsi" w:cstheme="minorHAnsi"/>
          <w:color w:val="000000"/>
        </w:rPr>
        <w:t xml:space="preserve">and </w:t>
      </w:r>
      <w:r w:rsidR="009171B2" w:rsidRPr="000E7F19">
        <w:rPr>
          <w:rFonts w:asciiTheme="minorHAnsi" w:hAnsiTheme="minorHAnsi" w:cstheme="minorHAnsi"/>
          <w:color w:val="000000"/>
        </w:rPr>
        <w:t>safety and emergency equipment. As of July 11, 2023, the generator will also be required to power “</w:t>
      </w:r>
      <w:r w:rsidR="009171B2" w:rsidRPr="000E7F19">
        <w:rPr>
          <w:rFonts w:asciiTheme="minorHAnsi" w:hAnsiTheme="minorHAnsi" w:cstheme="minorHAnsi"/>
        </w:rPr>
        <w:t xml:space="preserve">equipment required to store drugs at safe temperatures and to prepare and deliver drugs.” </w:t>
      </w:r>
      <w:r w:rsidR="00F4422A" w:rsidRPr="000E7F19">
        <w:rPr>
          <w:rFonts w:asciiTheme="minorHAnsi" w:hAnsiTheme="minorHAnsi" w:cstheme="minorHAnsi"/>
        </w:rPr>
        <w:t xml:space="preserve">Depending on the classification of the beds in a particular long-term care home, the generator must be available immediately, or within a maximum of three hours </w:t>
      </w:r>
      <w:r w:rsidR="00EC3CC0">
        <w:rPr>
          <w:rFonts w:asciiTheme="minorHAnsi" w:hAnsiTheme="minorHAnsi" w:cstheme="minorHAnsi"/>
        </w:rPr>
        <w:t>from</w:t>
      </w:r>
      <w:r w:rsidR="00F4422A" w:rsidRPr="000E7F19">
        <w:rPr>
          <w:rFonts w:asciiTheme="minorHAnsi" w:hAnsiTheme="minorHAnsi" w:cstheme="minorHAnsi"/>
        </w:rPr>
        <w:t xml:space="preserve"> </w:t>
      </w:r>
      <w:r w:rsidR="00B45EC8" w:rsidRPr="000E7F19">
        <w:rPr>
          <w:rFonts w:asciiTheme="minorHAnsi" w:hAnsiTheme="minorHAnsi" w:cstheme="minorHAnsi"/>
        </w:rPr>
        <w:t>the start of a</w:t>
      </w:r>
      <w:r w:rsidR="00F4422A" w:rsidRPr="000E7F19">
        <w:rPr>
          <w:rFonts w:asciiTheme="minorHAnsi" w:hAnsiTheme="minorHAnsi" w:cstheme="minorHAnsi"/>
        </w:rPr>
        <w:t xml:space="preserve"> power outage. The </w:t>
      </w:r>
      <w:r w:rsidR="00290358" w:rsidRPr="000E7F19">
        <w:rPr>
          <w:rFonts w:asciiTheme="minorHAnsi" w:hAnsiTheme="minorHAnsi" w:cstheme="minorHAnsi"/>
        </w:rPr>
        <w:t>three-hour</w:t>
      </w:r>
      <w:r w:rsidR="00F4422A" w:rsidRPr="000E7F19">
        <w:rPr>
          <w:rFonts w:asciiTheme="minorHAnsi" w:hAnsiTheme="minorHAnsi" w:cstheme="minorHAnsi"/>
        </w:rPr>
        <w:t xml:space="preserve"> window will be removed as of January 1, 2025.</w:t>
      </w:r>
      <w:r w:rsidR="00F4422A" w:rsidRPr="000E7F19">
        <w:rPr>
          <w:rStyle w:val="FootnoteReference"/>
          <w:rFonts w:asciiTheme="minorHAnsi" w:hAnsiTheme="minorHAnsi" w:cstheme="minorHAnsi"/>
        </w:rPr>
        <w:footnoteReference w:id="13"/>
      </w:r>
      <w:r w:rsidR="00B45EC8" w:rsidRPr="000E7F19">
        <w:rPr>
          <w:rFonts w:asciiTheme="minorHAnsi" w:hAnsiTheme="minorHAnsi" w:cstheme="minorHAnsi"/>
        </w:rPr>
        <w:t xml:space="preserve"> </w:t>
      </w:r>
      <w:r w:rsidR="00290358" w:rsidRPr="000E7F19">
        <w:rPr>
          <w:rFonts w:asciiTheme="minorHAnsi" w:hAnsiTheme="minorHAnsi" w:cstheme="minorHAnsi"/>
        </w:rPr>
        <w:t xml:space="preserve">Fines for an individual in breach of the </w:t>
      </w:r>
      <w:r w:rsidR="00290358" w:rsidRPr="000E7F19">
        <w:rPr>
          <w:rFonts w:asciiTheme="minorHAnsi" w:hAnsiTheme="minorHAnsi" w:cstheme="minorHAnsi"/>
          <w:i/>
          <w:iCs/>
        </w:rPr>
        <w:t>Fixing Long-Term Care Act</w:t>
      </w:r>
      <w:r w:rsidR="00290358" w:rsidRPr="000E7F19">
        <w:rPr>
          <w:rFonts w:asciiTheme="minorHAnsi" w:hAnsiTheme="minorHAnsi" w:cstheme="minorHAnsi"/>
        </w:rPr>
        <w:t xml:space="preserve"> are up to $200,000 plus up to 12 months in jail, and a corporation can be fined up to $</w:t>
      </w:r>
      <w:r w:rsidR="003A1A7F" w:rsidRPr="000E7F19">
        <w:rPr>
          <w:rFonts w:asciiTheme="minorHAnsi" w:hAnsiTheme="minorHAnsi" w:cstheme="minorHAnsi"/>
        </w:rPr>
        <w:t>1,0</w:t>
      </w:r>
      <w:r w:rsidR="00290358" w:rsidRPr="000E7F19">
        <w:rPr>
          <w:rFonts w:asciiTheme="minorHAnsi" w:hAnsiTheme="minorHAnsi" w:cstheme="minorHAnsi"/>
        </w:rPr>
        <w:t xml:space="preserve">00,000. </w:t>
      </w:r>
      <w:r w:rsidR="003A1A7F" w:rsidRPr="000E7F19">
        <w:rPr>
          <w:rFonts w:asciiTheme="minorHAnsi" w:hAnsiTheme="minorHAnsi" w:cstheme="minorHAnsi"/>
        </w:rPr>
        <w:t xml:space="preserve">A home can also have its operating license revoked or be ordered to stop accepting new residents. </w:t>
      </w:r>
    </w:p>
    <w:p w14:paraId="57516F50" w14:textId="12DD3D2E" w:rsidR="00290358" w:rsidRPr="000E7F19" w:rsidRDefault="00290358" w:rsidP="00D8412D">
      <w:pPr>
        <w:spacing w:before="100" w:beforeAutospacing="1" w:after="100" w:afterAutospacing="1"/>
        <w:rPr>
          <w:rFonts w:eastAsia="Times New Roman" w:cstheme="minorHAnsi"/>
          <w:kern w:val="0"/>
          <w:lang w:val="en-CA"/>
          <w14:ligatures w14:val="none"/>
        </w:rPr>
      </w:pPr>
      <w:r w:rsidRPr="000E7F19">
        <w:rPr>
          <w:rFonts w:eastAsia="Times New Roman" w:cstheme="minorHAnsi"/>
          <w:kern w:val="0"/>
          <w:lang w:val="en-CA"/>
          <w14:ligatures w14:val="none"/>
        </w:rPr>
        <w:t>Despite th</w:t>
      </w:r>
      <w:r w:rsidR="00FC5765" w:rsidRPr="000E7F19">
        <w:rPr>
          <w:rFonts w:eastAsia="Times New Roman" w:cstheme="minorHAnsi"/>
          <w:kern w:val="0"/>
          <w:lang w:val="en-CA"/>
          <w14:ligatures w14:val="none"/>
        </w:rPr>
        <w:t>ese legal requirements</w:t>
      </w:r>
      <w:r w:rsidRPr="000E7F19">
        <w:rPr>
          <w:rFonts w:eastAsia="Times New Roman" w:cstheme="minorHAnsi"/>
          <w:kern w:val="0"/>
          <w:lang w:val="en-CA"/>
          <w14:ligatures w14:val="none"/>
        </w:rPr>
        <w:t xml:space="preserve">, at least one Ontario long-term care </w:t>
      </w:r>
      <w:r w:rsidR="003A3B2C" w:rsidRPr="000E7F19">
        <w:rPr>
          <w:rFonts w:eastAsia="Times New Roman" w:cstheme="minorHAnsi"/>
          <w:kern w:val="0"/>
          <w:lang w:val="en-CA"/>
          <w14:ligatures w14:val="none"/>
        </w:rPr>
        <w:t>facility</w:t>
      </w:r>
      <w:r w:rsidR="00981B15">
        <w:rPr>
          <w:rFonts w:eastAsia="Times New Roman" w:cstheme="minorHAnsi"/>
          <w:kern w:val="0"/>
          <w:lang w:val="en-CA"/>
          <w14:ligatures w14:val="none"/>
        </w:rPr>
        <w:t>, home to 60 people,</w:t>
      </w:r>
      <w:r w:rsidRPr="000E7F19">
        <w:rPr>
          <w:rFonts w:eastAsia="Times New Roman" w:cstheme="minorHAnsi"/>
          <w:kern w:val="0"/>
          <w:lang w:val="en-CA"/>
          <w14:ligatures w14:val="none"/>
        </w:rPr>
        <w:t xml:space="preserve"> w</w:t>
      </w:r>
      <w:r w:rsidR="003A3B2C" w:rsidRPr="000E7F19">
        <w:rPr>
          <w:rFonts w:eastAsia="Times New Roman" w:cstheme="minorHAnsi"/>
          <w:kern w:val="0"/>
          <w:lang w:val="en-CA"/>
          <w14:ligatures w14:val="none"/>
        </w:rPr>
        <w:t>as</w:t>
      </w:r>
      <w:r w:rsidRPr="000E7F19">
        <w:rPr>
          <w:rFonts w:eastAsia="Times New Roman" w:cstheme="minorHAnsi"/>
          <w:kern w:val="0"/>
          <w:lang w:val="en-CA"/>
          <w14:ligatures w14:val="none"/>
        </w:rPr>
        <w:t xml:space="preserve"> without power for 13.5 hours during an outage in </w:t>
      </w:r>
      <w:r w:rsidR="00981B15" w:rsidRPr="000E7F19">
        <w:rPr>
          <w:rFonts w:eastAsia="Times New Roman" w:cstheme="minorHAnsi"/>
          <w:kern w:val="0"/>
          <w:lang w:val="en-CA"/>
          <w14:ligatures w14:val="none"/>
        </w:rPr>
        <w:t>December</w:t>
      </w:r>
      <w:r w:rsidRPr="000E7F19">
        <w:rPr>
          <w:rFonts w:eastAsia="Times New Roman" w:cstheme="minorHAnsi"/>
          <w:kern w:val="0"/>
          <w:lang w:val="en-CA"/>
          <w14:ligatures w14:val="none"/>
        </w:rPr>
        <w:t xml:space="preserve"> 2022. This was reportedly the </w:t>
      </w:r>
      <w:r w:rsidR="003A3B2C" w:rsidRPr="000E7F19">
        <w:rPr>
          <w:rFonts w:eastAsia="Times New Roman" w:cstheme="minorHAnsi"/>
          <w:kern w:val="0"/>
          <w:lang w:val="en-CA"/>
          <w14:ligatures w14:val="none"/>
        </w:rPr>
        <w:t>facility</w:t>
      </w:r>
      <w:r w:rsidRPr="000E7F19">
        <w:rPr>
          <w:rFonts w:eastAsia="Times New Roman" w:cstheme="minorHAnsi"/>
          <w:kern w:val="0"/>
          <w:lang w:val="en-CA"/>
          <w14:ligatures w14:val="none"/>
        </w:rPr>
        <w:t xml:space="preserve">’s third extended power outage in the last three years. As of </w:t>
      </w:r>
      <w:r w:rsidR="00981B15" w:rsidRPr="000E7F19">
        <w:rPr>
          <w:rFonts w:eastAsia="Times New Roman" w:cstheme="minorHAnsi"/>
          <w:kern w:val="0"/>
          <w:lang w:val="en-CA"/>
          <w14:ligatures w14:val="none"/>
        </w:rPr>
        <w:t>March</w:t>
      </w:r>
      <w:r w:rsidRPr="000E7F19">
        <w:rPr>
          <w:rFonts w:eastAsia="Times New Roman" w:cstheme="minorHAnsi"/>
          <w:kern w:val="0"/>
          <w:lang w:val="en-CA"/>
          <w14:ligatures w14:val="none"/>
        </w:rPr>
        <w:t xml:space="preserve"> 2023, </w:t>
      </w:r>
      <w:r w:rsidRPr="000E7F19">
        <w:rPr>
          <w:rFonts w:eastAsia="Times New Roman" w:cstheme="minorHAnsi"/>
          <w:kern w:val="0"/>
          <w:lang w:val="en-CA"/>
          <w14:ligatures w14:val="none"/>
        </w:rPr>
        <w:lastRenderedPageBreak/>
        <w:t xml:space="preserve">no long-term care home faced quasi-criminal charges or fines under the Act, despite </w:t>
      </w:r>
      <w:r w:rsidR="00EC3CC0">
        <w:rPr>
          <w:rFonts w:eastAsia="Times New Roman" w:cstheme="minorHAnsi"/>
          <w:kern w:val="0"/>
          <w:lang w:val="en-CA"/>
          <w14:ligatures w14:val="none"/>
        </w:rPr>
        <w:t xml:space="preserve">the </w:t>
      </w:r>
      <w:r w:rsidRPr="000E7F19">
        <w:rPr>
          <w:rFonts w:eastAsia="Times New Roman" w:cstheme="minorHAnsi"/>
          <w:kern w:val="0"/>
          <w:lang w:val="en-CA"/>
          <w14:ligatures w14:val="none"/>
        </w:rPr>
        <w:t>clear breaches of the emergency generator requirements.</w:t>
      </w:r>
      <w:r w:rsidRPr="000E7F19">
        <w:rPr>
          <w:rStyle w:val="FootnoteReference"/>
          <w:rFonts w:eastAsia="Times New Roman" w:cstheme="minorHAnsi"/>
          <w:kern w:val="0"/>
          <w:lang w:val="en-CA"/>
          <w14:ligatures w14:val="none"/>
        </w:rPr>
        <w:footnoteReference w:id="14"/>
      </w:r>
      <w:r w:rsidRPr="000E7F19">
        <w:rPr>
          <w:rFonts w:eastAsia="Times New Roman" w:cstheme="minorHAnsi"/>
          <w:kern w:val="0"/>
          <w:lang w:val="en-CA"/>
          <w14:ligatures w14:val="none"/>
        </w:rPr>
        <w:t xml:space="preserve"> </w:t>
      </w:r>
    </w:p>
    <w:p w14:paraId="770DB3BF" w14:textId="36795C83" w:rsidR="00290358" w:rsidRPr="000E7F19" w:rsidRDefault="00290358" w:rsidP="00D8412D">
      <w:pPr>
        <w:spacing w:before="100" w:beforeAutospacing="1" w:after="100" w:afterAutospacing="1"/>
        <w:rPr>
          <w:rFonts w:eastAsia="Times New Roman" w:cstheme="minorHAnsi"/>
          <w:kern w:val="0"/>
          <w:lang w:val="en-CA"/>
          <w14:ligatures w14:val="none"/>
        </w:rPr>
      </w:pPr>
      <w:r w:rsidRPr="000E7F19">
        <w:rPr>
          <w:rFonts w:eastAsia="Times New Roman" w:cstheme="minorHAnsi"/>
          <w:kern w:val="0"/>
          <w:lang w:val="en-CA"/>
          <w14:ligatures w14:val="none"/>
        </w:rPr>
        <w:t xml:space="preserve">The </w:t>
      </w:r>
      <w:r w:rsidR="003A3B2C" w:rsidRPr="000E7F19">
        <w:rPr>
          <w:rFonts w:eastAsia="Times New Roman" w:cstheme="minorHAnsi"/>
          <w:kern w:val="0"/>
          <w:lang w:val="en-CA"/>
          <w14:ligatures w14:val="none"/>
        </w:rPr>
        <w:t xml:space="preserve">back-up generator </w:t>
      </w:r>
      <w:r w:rsidRPr="000E7F19">
        <w:rPr>
          <w:rFonts w:eastAsia="Times New Roman" w:cstheme="minorHAnsi"/>
          <w:kern w:val="0"/>
          <w:lang w:val="en-CA"/>
          <w14:ligatures w14:val="none"/>
        </w:rPr>
        <w:t xml:space="preserve">legislation is robust, however, </w:t>
      </w:r>
      <w:r w:rsidR="00981B15">
        <w:rPr>
          <w:rFonts w:eastAsia="Times New Roman" w:cstheme="minorHAnsi"/>
          <w:kern w:val="0"/>
          <w:lang w:val="en-CA"/>
          <w14:ligatures w14:val="none"/>
        </w:rPr>
        <w:t>it is not being effectively enforced. Without</w:t>
      </w:r>
      <w:r w:rsidRPr="000E7F19">
        <w:rPr>
          <w:rFonts w:eastAsia="Times New Roman" w:cstheme="minorHAnsi"/>
          <w:kern w:val="0"/>
          <w:lang w:val="en-CA"/>
          <w14:ligatures w14:val="none"/>
        </w:rPr>
        <w:t xml:space="preserve"> enforcement</w:t>
      </w:r>
      <w:r w:rsidR="003A3B2C" w:rsidRPr="000E7F19">
        <w:rPr>
          <w:rFonts w:eastAsia="Times New Roman" w:cstheme="minorHAnsi"/>
          <w:kern w:val="0"/>
          <w:lang w:val="en-CA"/>
          <w14:ligatures w14:val="none"/>
        </w:rPr>
        <w:t xml:space="preserve"> by the provincial government</w:t>
      </w:r>
      <w:r w:rsidRPr="000E7F19">
        <w:rPr>
          <w:rFonts w:eastAsia="Times New Roman" w:cstheme="minorHAnsi"/>
          <w:kern w:val="0"/>
          <w:lang w:val="en-CA"/>
          <w14:ligatures w14:val="none"/>
        </w:rPr>
        <w:t xml:space="preserve">, the human rights of long-term care residents will continue to be imperilled by </w:t>
      </w:r>
      <w:r w:rsidR="00981B15">
        <w:rPr>
          <w:rFonts w:eastAsia="Times New Roman" w:cstheme="minorHAnsi"/>
          <w:kern w:val="0"/>
          <w:lang w:val="en-CA"/>
          <w14:ligatures w14:val="none"/>
        </w:rPr>
        <w:t xml:space="preserve">extreme weather-related </w:t>
      </w:r>
      <w:r w:rsidR="004540A7" w:rsidRPr="000E7F19">
        <w:rPr>
          <w:rFonts w:eastAsia="Times New Roman" w:cstheme="minorHAnsi"/>
          <w:kern w:val="0"/>
          <w:lang w:val="en-CA"/>
          <w14:ligatures w14:val="none"/>
        </w:rPr>
        <w:t>power outages</w:t>
      </w:r>
      <w:r w:rsidR="00981B15">
        <w:rPr>
          <w:rFonts w:eastAsia="Times New Roman" w:cstheme="minorHAnsi"/>
          <w:kern w:val="0"/>
          <w:lang w:val="en-CA"/>
          <w14:ligatures w14:val="none"/>
        </w:rPr>
        <w:t xml:space="preserve">. Further, the lack of enforcement leads to a dearth of data on the number and duration of outages, the number of </w:t>
      </w:r>
      <w:r w:rsidR="00906DAB">
        <w:rPr>
          <w:rFonts w:eastAsia="Times New Roman" w:cstheme="minorHAnsi"/>
          <w:kern w:val="0"/>
          <w:lang w:val="en-CA"/>
          <w14:ligatures w14:val="none"/>
        </w:rPr>
        <w:t xml:space="preserve">facilities and </w:t>
      </w:r>
      <w:r w:rsidR="00981B15">
        <w:rPr>
          <w:rFonts w:eastAsia="Times New Roman" w:cstheme="minorHAnsi"/>
          <w:kern w:val="0"/>
          <w:lang w:val="en-CA"/>
          <w14:ligatures w14:val="none"/>
        </w:rPr>
        <w:t xml:space="preserve">people impacted, </w:t>
      </w:r>
      <w:r w:rsidR="00906DAB">
        <w:rPr>
          <w:rFonts w:eastAsia="Times New Roman" w:cstheme="minorHAnsi"/>
          <w:kern w:val="0"/>
          <w:lang w:val="en-CA"/>
          <w14:ligatures w14:val="none"/>
        </w:rPr>
        <w:t xml:space="preserve">the nature of the impacts, </w:t>
      </w:r>
      <w:r w:rsidR="00981B15">
        <w:rPr>
          <w:rFonts w:eastAsia="Times New Roman" w:cstheme="minorHAnsi"/>
          <w:kern w:val="0"/>
          <w:lang w:val="en-CA"/>
          <w14:ligatures w14:val="none"/>
        </w:rPr>
        <w:t xml:space="preserve">and efforts to improve compliance, meaning older persons continue to suffer in silence.  </w:t>
      </w:r>
    </w:p>
    <w:p w14:paraId="31EC0C5E" w14:textId="370F16AE" w:rsidR="00184C1C" w:rsidRPr="00E97222" w:rsidRDefault="00B220B5" w:rsidP="00D8412D">
      <w:pPr>
        <w:spacing w:before="100" w:beforeAutospacing="1" w:after="100" w:afterAutospacing="1"/>
        <w:rPr>
          <w:rFonts w:eastAsia="Times New Roman" w:cstheme="minorHAnsi"/>
          <w:kern w:val="0"/>
          <w:lang w:val="en-CA"/>
          <w14:ligatures w14:val="none"/>
        </w:rPr>
      </w:pPr>
      <w:r w:rsidRPr="00E97222">
        <w:rPr>
          <w:rFonts w:eastAsia="Times New Roman" w:cstheme="minorHAnsi"/>
          <w:kern w:val="0"/>
          <w:lang w:val="en-CA"/>
          <w14:ligatures w14:val="none"/>
        </w:rPr>
        <w:t xml:space="preserve">Similarly, the human rights of older persons and persons with disabilities are </w:t>
      </w:r>
      <w:r w:rsidR="0059459B" w:rsidRPr="00E97222">
        <w:rPr>
          <w:rFonts w:eastAsia="Times New Roman" w:cstheme="minorHAnsi"/>
          <w:kern w:val="0"/>
          <w:lang w:val="en-CA"/>
          <w14:ligatures w14:val="none"/>
        </w:rPr>
        <w:t>endangered</w:t>
      </w:r>
      <w:r w:rsidRPr="00E97222">
        <w:rPr>
          <w:rFonts w:eastAsia="Times New Roman" w:cstheme="minorHAnsi"/>
          <w:kern w:val="0"/>
          <w:lang w:val="en-CA"/>
          <w14:ligatures w14:val="none"/>
        </w:rPr>
        <w:t xml:space="preserve"> by the absence of a legislative requirement for back-up generators in </w:t>
      </w:r>
      <w:r w:rsidR="00EC3CC0">
        <w:rPr>
          <w:rFonts w:eastAsia="Times New Roman" w:cstheme="minorHAnsi"/>
          <w:kern w:val="0"/>
          <w:lang w:val="en-CA"/>
          <w14:ligatures w14:val="none"/>
        </w:rPr>
        <w:t>multi-storey</w:t>
      </w:r>
      <w:r w:rsidRPr="00E97222">
        <w:rPr>
          <w:rFonts w:eastAsia="Times New Roman" w:cstheme="minorHAnsi"/>
          <w:kern w:val="0"/>
          <w:lang w:val="en-CA"/>
          <w14:ligatures w14:val="none"/>
        </w:rPr>
        <w:t xml:space="preserve"> condominium and apartment buildings. </w:t>
      </w:r>
      <w:r w:rsidR="0059459B" w:rsidRPr="00E97222">
        <w:rPr>
          <w:rFonts w:eastAsia="Times New Roman" w:cstheme="minorHAnsi"/>
          <w:kern w:val="0"/>
          <w:lang w:val="en-CA"/>
          <w14:ligatures w14:val="none"/>
        </w:rPr>
        <w:t xml:space="preserve">When the power goes out </w:t>
      </w:r>
      <w:r w:rsidR="00E45416" w:rsidRPr="00E97222">
        <w:rPr>
          <w:rFonts w:eastAsia="Times New Roman" w:cstheme="minorHAnsi"/>
          <w:kern w:val="0"/>
          <w:lang w:val="en-CA"/>
          <w14:ligatures w14:val="none"/>
        </w:rPr>
        <w:t>due to</w:t>
      </w:r>
      <w:r w:rsidR="0059459B" w:rsidRPr="00E97222">
        <w:rPr>
          <w:rFonts w:eastAsia="Times New Roman" w:cstheme="minorHAnsi"/>
          <w:kern w:val="0"/>
          <w:lang w:val="en-CA"/>
          <w14:ligatures w14:val="none"/>
        </w:rPr>
        <w:t xml:space="preserve"> extreme weather, elevators cease to function and</w:t>
      </w:r>
      <w:r w:rsidR="00981B15">
        <w:rPr>
          <w:rFonts w:eastAsia="Times New Roman" w:cstheme="minorHAnsi"/>
          <w:kern w:val="0"/>
          <w:lang w:val="en-CA"/>
          <w14:ligatures w14:val="none"/>
        </w:rPr>
        <w:t xml:space="preserve"> countless numbers of</w:t>
      </w:r>
      <w:r w:rsidR="0059459B" w:rsidRPr="00E97222">
        <w:rPr>
          <w:rFonts w:eastAsia="Times New Roman" w:cstheme="minorHAnsi"/>
          <w:kern w:val="0"/>
          <w:lang w:val="en-CA"/>
          <w14:ligatures w14:val="none"/>
        </w:rPr>
        <w:t xml:space="preserve"> residents with mobility issues are trapped in their homes without access to food, water, or non-emergency medical care. </w:t>
      </w:r>
      <w:r w:rsidR="00E45416" w:rsidRPr="00E97222">
        <w:rPr>
          <w:rFonts w:eastAsia="Times New Roman" w:cstheme="minorHAnsi"/>
          <w:kern w:val="0"/>
          <w:lang w:val="en-CA"/>
          <w14:ligatures w14:val="none"/>
        </w:rPr>
        <w:t>Residents also cannot descend the stairs to access respite services.</w:t>
      </w:r>
      <w:r w:rsidR="001E3E2A" w:rsidRPr="00E97222">
        <w:rPr>
          <w:rFonts w:eastAsia="Times New Roman" w:cstheme="minorHAnsi"/>
          <w:kern w:val="0"/>
          <w:lang w:val="en-CA"/>
          <w14:ligatures w14:val="none"/>
        </w:rPr>
        <w:t xml:space="preserve"> Currently, having a back-up generator is voluntary for landlords and condominium corporations. </w:t>
      </w:r>
    </w:p>
    <w:p w14:paraId="5965E152" w14:textId="0E7E1613" w:rsidR="00EC3CC0" w:rsidRPr="006749BD" w:rsidRDefault="001E3E2A" w:rsidP="006749BD">
      <w:pPr>
        <w:spacing w:before="100" w:beforeAutospacing="1" w:after="100" w:afterAutospacing="1"/>
        <w:rPr>
          <w:rFonts w:cstheme="minorHAnsi"/>
          <w:color w:val="191919"/>
          <w:shd w:val="clear" w:color="auto" w:fill="FFFFFF"/>
        </w:rPr>
      </w:pPr>
      <w:r w:rsidRPr="00E97222">
        <w:rPr>
          <w:rFonts w:eastAsia="Times New Roman" w:cstheme="minorHAnsi"/>
          <w:kern w:val="0"/>
          <w:lang w:val="en-CA"/>
          <w14:ligatures w14:val="none"/>
        </w:rPr>
        <w:t xml:space="preserve">In March of 2023, a Member of Provincial Parliament for Ontario tabled a bill that would have required </w:t>
      </w:r>
      <w:r w:rsidR="00EC3CC0">
        <w:rPr>
          <w:rFonts w:eastAsia="Times New Roman" w:cstheme="minorHAnsi"/>
          <w:kern w:val="0"/>
          <w:lang w:val="en-CA"/>
          <w14:ligatures w14:val="none"/>
        </w:rPr>
        <w:t xml:space="preserve">residential </w:t>
      </w:r>
      <w:r w:rsidRPr="00E97222">
        <w:rPr>
          <w:rFonts w:cstheme="minorHAnsi"/>
          <w:color w:val="191919"/>
          <w:shd w:val="clear" w:color="auto" w:fill="FFFFFF"/>
        </w:rPr>
        <w:t>buildings to have a generator capable of powering at least one elevator, water pumps and lights in common areas.</w:t>
      </w:r>
      <w:r w:rsidRPr="00E97222">
        <w:rPr>
          <w:rStyle w:val="FootnoteReference"/>
          <w:rFonts w:cstheme="minorHAnsi"/>
          <w:color w:val="191919"/>
          <w:shd w:val="clear" w:color="auto" w:fill="FFFFFF"/>
        </w:rPr>
        <w:footnoteReference w:id="15"/>
      </w:r>
      <w:r w:rsidRPr="00E97222">
        <w:rPr>
          <w:rFonts w:cstheme="minorHAnsi"/>
          <w:color w:val="191919"/>
          <w:shd w:val="clear" w:color="auto" w:fill="FFFFFF"/>
        </w:rPr>
        <w:t xml:space="preserve"> </w:t>
      </w:r>
      <w:r w:rsidR="0020501D" w:rsidRPr="00E97222">
        <w:rPr>
          <w:rFonts w:cstheme="minorHAnsi"/>
          <w:color w:val="191919"/>
          <w:shd w:val="clear" w:color="auto" w:fill="FFFFFF"/>
        </w:rPr>
        <w:t xml:space="preserve">The Bill was endorsed by the Toronto City Council, but not the Ottawa City Council, and is unlikely to pass the provincial legislature as it lacks support from the current conservative government. The cost </w:t>
      </w:r>
      <w:r w:rsidR="002C4ADE" w:rsidRPr="00E97222">
        <w:rPr>
          <w:rFonts w:cstheme="minorHAnsi"/>
          <w:color w:val="191919"/>
          <w:shd w:val="clear" w:color="auto" w:fill="FFFFFF"/>
        </w:rPr>
        <w:t xml:space="preserve">to landlords and condo boards </w:t>
      </w:r>
      <w:r w:rsidR="0020501D" w:rsidRPr="00E97222">
        <w:rPr>
          <w:rFonts w:cstheme="minorHAnsi"/>
          <w:color w:val="191919"/>
          <w:shd w:val="clear" w:color="auto" w:fill="FFFFFF"/>
        </w:rPr>
        <w:t xml:space="preserve">of </w:t>
      </w:r>
      <w:r w:rsidR="002C4ADE" w:rsidRPr="00E97222">
        <w:rPr>
          <w:rFonts w:cstheme="minorHAnsi"/>
          <w:color w:val="191919"/>
          <w:shd w:val="clear" w:color="auto" w:fill="FFFFFF"/>
        </w:rPr>
        <w:t xml:space="preserve">putting in </w:t>
      </w:r>
      <w:r w:rsidR="00EC3CC0">
        <w:rPr>
          <w:rFonts w:cstheme="minorHAnsi"/>
          <w:color w:val="191919"/>
          <w:shd w:val="clear" w:color="auto" w:fill="FFFFFF"/>
        </w:rPr>
        <w:t xml:space="preserve">the </w:t>
      </w:r>
      <w:r w:rsidR="002C4ADE" w:rsidRPr="00E97222">
        <w:rPr>
          <w:rFonts w:cstheme="minorHAnsi"/>
          <w:color w:val="191919"/>
          <w:shd w:val="clear" w:color="auto" w:fill="FFFFFF"/>
        </w:rPr>
        <w:t>generators</w:t>
      </w:r>
      <w:r w:rsidR="0020501D" w:rsidRPr="00E97222">
        <w:rPr>
          <w:rFonts w:cstheme="minorHAnsi"/>
          <w:color w:val="191919"/>
          <w:shd w:val="clear" w:color="auto" w:fill="FFFFFF"/>
        </w:rPr>
        <w:t xml:space="preserve"> is cited as a primary concern.</w:t>
      </w:r>
      <w:r w:rsidR="00C16F8B" w:rsidRPr="00E97222">
        <w:rPr>
          <w:rStyle w:val="FootnoteReference"/>
          <w:rFonts w:cstheme="minorHAnsi"/>
          <w:color w:val="191919"/>
          <w:shd w:val="clear" w:color="auto" w:fill="FFFFFF"/>
        </w:rPr>
        <w:footnoteReference w:id="16"/>
      </w:r>
      <w:r w:rsidR="0020501D" w:rsidRPr="000E7F19">
        <w:rPr>
          <w:rFonts w:cstheme="minorHAnsi"/>
          <w:color w:val="191919"/>
          <w:shd w:val="clear" w:color="auto" w:fill="FFFFFF"/>
        </w:rPr>
        <w:t xml:space="preserve"> </w:t>
      </w:r>
      <w:r w:rsidR="00F0583D">
        <w:rPr>
          <w:rFonts w:cstheme="minorHAnsi"/>
          <w:color w:val="191919"/>
          <w:shd w:val="clear" w:color="auto" w:fill="FFFFFF"/>
        </w:rPr>
        <w:t xml:space="preserve">Disaggregated data on the number </w:t>
      </w:r>
      <w:r w:rsidR="008E1A94">
        <w:rPr>
          <w:rFonts w:cstheme="minorHAnsi"/>
          <w:color w:val="191919"/>
          <w:shd w:val="clear" w:color="auto" w:fill="FFFFFF"/>
        </w:rPr>
        <w:t xml:space="preserve">and duration </w:t>
      </w:r>
      <w:r w:rsidR="00F0583D">
        <w:rPr>
          <w:rFonts w:cstheme="minorHAnsi"/>
          <w:color w:val="191919"/>
          <w:shd w:val="clear" w:color="auto" w:fill="FFFFFF"/>
        </w:rPr>
        <w:t>of power outages affecting multi-storey residential building</w:t>
      </w:r>
      <w:r w:rsidR="008E1A94">
        <w:rPr>
          <w:rFonts w:cstheme="minorHAnsi"/>
          <w:color w:val="191919"/>
          <w:shd w:val="clear" w:color="auto" w:fill="FFFFFF"/>
        </w:rPr>
        <w:t>s, t</w:t>
      </w:r>
      <w:r w:rsidR="00F0583D">
        <w:rPr>
          <w:rFonts w:cstheme="minorHAnsi"/>
          <w:color w:val="191919"/>
          <w:shd w:val="clear" w:color="auto" w:fill="FFFFFF"/>
        </w:rPr>
        <w:t>he number of impacted residents with mobility issues</w:t>
      </w:r>
      <w:r w:rsidR="008E1A94">
        <w:rPr>
          <w:rFonts w:cstheme="minorHAnsi"/>
          <w:color w:val="191919"/>
          <w:shd w:val="clear" w:color="auto" w:fill="FFFFFF"/>
        </w:rPr>
        <w:t>, and the nature of the impacts</w:t>
      </w:r>
      <w:r w:rsidR="00F0583D">
        <w:rPr>
          <w:rFonts w:cstheme="minorHAnsi"/>
          <w:color w:val="191919"/>
          <w:shd w:val="clear" w:color="auto" w:fill="FFFFFF"/>
        </w:rPr>
        <w:t xml:space="preserve"> is currently non-existent. Such data should be collected to support the legislative call for generators. </w:t>
      </w:r>
    </w:p>
    <w:p w14:paraId="3EBE5DA4" w14:textId="3B6629FF" w:rsidR="00CB4A90" w:rsidRPr="00EC3CC0" w:rsidRDefault="00D712CE" w:rsidP="00D712CE">
      <w:pPr>
        <w:rPr>
          <w:rFonts w:cstheme="minorHAnsi"/>
          <w:b/>
          <w:bCs/>
          <w:u w:val="single"/>
        </w:rPr>
      </w:pPr>
      <w:r w:rsidRPr="000E7F19">
        <w:rPr>
          <w:rFonts w:cstheme="minorHAnsi"/>
          <w:b/>
          <w:bCs/>
          <w:u w:val="single"/>
        </w:rPr>
        <w:t xml:space="preserve">Data </w:t>
      </w:r>
    </w:p>
    <w:p w14:paraId="76DDE349" w14:textId="77777777" w:rsidR="00EC3CC0" w:rsidRDefault="00EC3CC0" w:rsidP="00CB4A90"/>
    <w:p w14:paraId="7C43C198" w14:textId="58CEBEB7" w:rsidR="00D712CE" w:rsidRPr="00981B15" w:rsidRDefault="00CB4A90" w:rsidP="00D712CE">
      <w:r>
        <w:t>Older persons are traditionally considered high-risk in</w:t>
      </w:r>
      <w:r w:rsidR="00EC3CC0">
        <w:t xml:space="preserve"> </w:t>
      </w:r>
      <w:r>
        <w:t>disaster situation</w:t>
      </w:r>
      <w:r w:rsidR="00EC3CC0">
        <w:t>s</w:t>
      </w:r>
      <w:r>
        <w:t xml:space="preserve"> because of vulnerabilities associated with age-related functional decline.</w:t>
      </w:r>
      <w:r>
        <w:rPr>
          <w:rStyle w:val="FootnoteReference"/>
        </w:rPr>
        <w:footnoteReference w:id="17"/>
      </w:r>
      <w:r>
        <w:t xml:space="preserve"> </w:t>
      </w:r>
      <w:r w:rsidR="00D712CE" w:rsidRPr="000E7F19">
        <w:rPr>
          <w:rFonts w:cstheme="minorHAnsi"/>
        </w:rPr>
        <w:t xml:space="preserve">There </w:t>
      </w:r>
      <w:r w:rsidR="003605BC" w:rsidRPr="000E7F19">
        <w:rPr>
          <w:rFonts w:cstheme="minorHAnsi"/>
        </w:rPr>
        <w:t>are</w:t>
      </w:r>
      <w:r w:rsidR="00D712CE" w:rsidRPr="000E7F19">
        <w:rPr>
          <w:rFonts w:cstheme="minorHAnsi"/>
        </w:rPr>
        <w:t xml:space="preserve"> continued calls for disaggregated data in disaster-related fields to better understand how the social determinants </w:t>
      </w:r>
      <w:r w:rsidR="00D712CE" w:rsidRPr="000E7F19">
        <w:rPr>
          <w:rFonts w:cstheme="minorHAnsi"/>
        </w:rPr>
        <w:lastRenderedPageBreak/>
        <w:t>of health contribute to distinct experiences based on age, gender, and race</w:t>
      </w:r>
      <w:r w:rsidR="003605BC" w:rsidRPr="000E7F19">
        <w:rPr>
          <w:rFonts w:cstheme="minorHAnsi"/>
        </w:rPr>
        <w:t>.</w:t>
      </w:r>
      <w:bookmarkStart w:id="0" w:name="_Ref133239184"/>
      <w:r w:rsidR="003605BC" w:rsidRPr="000E7F19">
        <w:rPr>
          <w:rStyle w:val="FootnoteReference"/>
          <w:rFonts w:cstheme="minorHAnsi"/>
        </w:rPr>
        <w:footnoteReference w:id="18"/>
      </w:r>
      <w:bookmarkEnd w:id="0"/>
      <w:r w:rsidR="003605BC" w:rsidRPr="000E7F19">
        <w:rPr>
          <w:rFonts w:cstheme="minorHAnsi"/>
        </w:rPr>
        <w:t xml:space="preserve"> </w:t>
      </w:r>
      <w:r w:rsidR="00D712CE" w:rsidRPr="000E7F19">
        <w:rPr>
          <w:rFonts w:cstheme="minorHAnsi"/>
        </w:rPr>
        <w:t xml:space="preserve">In Canada, recent climate-related emergencies, </w:t>
      </w:r>
      <w:r w:rsidR="00741E7A" w:rsidRPr="000E7F19">
        <w:rPr>
          <w:rFonts w:cstheme="minorHAnsi"/>
        </w:rPr>
        <w:t xml:space="preserve">like those noted above, </w:t>
      </w:r>
      <w:r w:rsidR="00D712CE" w:rsidRPr="000E7F19">
        <w:rPr>
          <w:rFonts w:cstheme="minorHAnsi"/>
        </w:rPr>
        <w:t xml:space="preserve">continue to highlight the need for disaggregated data to better understand the distinct experiences of older </w:t>
      </w:r>
      <w:r w:rsidR="00741E7A" w:rsidRPr="000E7F19">
        <w:rPr>
          <w:rFonts w:cstheme="minorHAnsi"/>
        </w:rPr>
        <w:t>persons</w:t>
      </w:r>
      <w:r w:rsidR="00D712CE" w:rsidRPr="000E7F19">
        <w:rPr>
          <w:rFonts w:cstheme="minorHAnsi"/>
        </w:rPr>
        <w:t>. However, a search of current guiding documents and frameworks does not yield any</w:t>
      </w:r>
      <w:r w:rsidR="0042018F">
        <w:rPr>
          <w:rFonts w:cstheme="minorHAnsi"/>
        </w:rPr>
        <w:t xml:space="preserve"> data-based results</w:t>
      </w:r>
      <w:r w:rsidR="00D712CE" w:rsidRPr="000E7F19">
        <w:rPr>
          <w:rFonts w:cstheme="minorHAnsi"/>
        </w:rPr>
        <w:t>.</w:t>
      </w:r>
    </w:p>
    <w:p w14:paraId="47E44D47" w14:textId="77777777" w:rsidR="00741E7A" w:rsidRPr="000E7F19" w:rsidRDefault="00741E7A" w:rsidP="00D712CE">
      <w:pPr>
        <w:rPr>
          <w:rFonts w:cstheme="minorHAnsi"/>
        </w:rPr>
      </w:pPr>
    </w:p>
    <w:p w14:paraId="109E7678" w14:textId="2A33A486" w:rsidR="006749BD" w:rsidRPr="006749BD" w:rsidRDefault="00D712CE" w:rsidP="006749BD">
      <w:pPr>
        <w:rPr>
          <w:rFonts w:cstheme="minorHAnsi"/>
        </w:rPr>
      </w:pPr>
      <w:r w:rsidRPr="000E7F19">
        <w:rPr>
          <w:rFonts w:cstheme="minorHAnsi"/>
        </w:rPr>
        <w:t xml:space="preserve">What is evident is that collecting disaggregated data </w:t>
      </w:r>
      <w:r w:rsidR="000D2A95">
        <w:rPr>
          <w:rFonts w:cstheme="minorHAnsi"/>
        </w:rPr>
        <w:t>is</w:t>
      </w:r>
      <w:r w:rsidRPr="000E7F19">
        <w:rPr>
          <w:rFonts w:cstheme="minorHAnsi"/>
        </w:rPr>
        <w:t xml:space="preserve"> challeng</w:t>
      </w:r>
      <w:r w:rsidR="000D2A95">
        <w:rPr>
          <w:rFonts w:cstheme="minorHAnsi"/>
        </w:rPr>
        <w:t>ing</w:t>
      </w:r>
      <w:r w:rsidRPr="000E7F19">
        <w:rPr>
          <w:rFonts w:cstheme="minorHAnsi"/>
        </w:rPr>
        <w:t>. Recent evidence-informed expert recommendations put forward by the Canadian Red Cross in collaboration with the National Institute on</w:t>
      </w:r>
      <w:r w:rsidR="007A3260" w:rsidRPr="000E7F19">
        <w:rPr>
          <w:rFonts w:cstheme="minorHAnsi"/>
        </w:rPr>
        <w:t xml:space="preserve"> Aging</w:t>
      </w:r>
      <w:r w:rsidRPr="000E7F19">
        <w:rPr>
          <w:rFonts w:cstheme="minorHAnsi"/>
        </w:rPr>
        <w:t xml:space="preserve"> indicat</w:t>
      </w:r>
      <w:r w:rsidR="007A3260" w:rsidRPr="000E7F19">
        <w:rPr>
          <w:rFonts w:cstheme="minorHAnsi"/>
        </w:rPr>
        <w:t>e</w:t>
      </w:r>
      <w:r w:rsidRPr="000E7F19">
        <w:rPr>
          <w:rFonts w:cstheme="minorHAnsi"/>
        </w:rPr>
        <w:t xml:space="preserve"> that </w:t>
      </w:r>
      <w:r w:rsidR="007A3260" w:rsidRPr="000E7F19">
        <w:rPr>
          <w:rFonts w:cstheme="minorHAnsi"/>
        </w:rPr>
        <w:t xml:space="preserve">data </w:t>
      </w:r>
      <w:r w:rsidRPr="000E7F19">
        <w:rPr>
          <w:rFonts w:cstheme="minorHAnsi"/>
        </w:rPr>
        <w:t>registries for high-risk populations have several limitations</w:t>
      </w:r>
      <w:r w:rsidR="000D2A95">
        <w:rPr>
          <w:rFonts w:cstheme="minorHAnsi"/>
        </w:rPr>
        <w:t>,</w:t>
      </w:r>
      <w:r w:rsidRPr="000E7F19">
        <w:rPr>
          <w:rFonts w:cstheme="minorHAnsi"/>
        </w:rPr>
        <w:t xml:space="preserve"> including</w:t>
      </w:r>
      <w:r w:rsidR="007A3260" w:rsidRPr="000E7F19">
        <w:rPr>
          <w:rFonts w:cstheme="minorHAnsi"/>
        </w:rPr>
        <w:t>:</w:t>
      </w:r>
      <w:r w:rsidRPr="000E7F19">
        <w:rPr>
          <w:rFonts w:cstheme="minorHAnsi"/>
        </w:rPr>
        <w:t xml:space="preserve"> unrealistic expectations from people who sign-up that they will be provided with priority assistance during a response</w:t>
      </w:r>
      <w:r w:rsidR="007A3260" w:rsidRPr="000E7F19">
        <w:rPr>
          <w:rFonts w:cstheme="minorHAnsi"/>
        </w:rPr>
        <w:t>;</w:t>
      </w:r>
      <w:r w:rsidRPr="000E7F19">
        <w:rPr>
          <w:rFonts w:cstheme="minorHAnsi"/>
        </w:rPr>
        <w:t xml:space="preserve"> </w:t>
      </w:r>
      <w:r w:rsidR="007A3260" w:rsidRPr="000E7F19">
        <w:rPr>
          <w:rFonts w:cstheme="minorHAnsi"/>
        </w:rPr>
        <w:t>quick stale dating of information;</w:t>
      </w:r>
      <w:r w:rsidRPr="000E7F19">
        <w:rPr>
          <w:rFonts w:cstheme="minorHAnsi"/>
        </w:rPr>
        <w:t xml:space="preserve"> and stigma associated with identifying as ‘vulnerable</w:t>
      </w:r>
      <w:r w:rsidR="007A3260" w:rsidRPr="000E7F19">
        <w:rPr>
          <w:rFonts w:cstheme="minorHAnsi"/>
        </w:rPr>
        <w:t>’.</w:t>
      </w:r>
      <w:r w:rsidR="007A3260" w:rsidRPr="000E7F19">
        <w:rPr>
          <w:rStyle w:val="FootnoteReference"/>
          <w:rFonts w:cstheme="minorHAnsi"/>
        </w:rPr>
        <w:footnoteReference w:id="19"/>
      </w:r>
      <w:r w:rsidR="007A3260" w:rsidRPr="00CB4A90">
        <w:rPr>
          <w:rFonts w:cs="Calibri (Body)"/>
          <w:vertAlign w:val="superscript"/>
        </w:rPr>
        <w:t>,</w:t>
      </w:r>
      <w:r w:rsidR="007A3260" w:rsidRPr="000E7F19">
        <w:rPr>
          <w:rStyle w:val="FootnoteReference"/>
          <w:rFonts w:cstheme="minorHAnsi"/>
        </w:rPr>
        <w:footnoteReference w:id="20"/>
      </w:r>
      <w:r w:rsidRPr="000E7F19">
        <w:rPr>
          <w:rFonts w:cstheme="minorHAnsi"/>
        </w:rPr>
        <w:t xml:space="preserve"> Despite these challenges, the collection of disaggregated data remains an important tool for assessing the effectiveness of programs, policies, and community activities. Future research should focus on developing effective strategies for collecting disaggregated data in communities.</w:t>
      </w:r>
    </w:p>
    <w:p w14:paraId="4A88746A" w14:textId="0B190945" w:rsidR="00D712CE" w:rsidRPr="000E7F19" w:rsidRDefault="00D712CE" w:rsidP="00D8412D">
      <w:pPr>
        <w:spacing w:before="100" w:beforeAutospacing="1" w:after="100" w:afterAutospacing="1"/>
        <w:rPr>
          <w:rFonts w:eastAsia="Times New Roman" w:cstheme="minorHAnsi"/>
          <w:b/>
          <w:bCs/>
          <w:kern w:val="0"/>
          <w:u w:val="single"/>
          <w:lang w:val="en-CA"/>
          <w14:ligatures w14:val="none"/>
        </w:rPr>
      </w:pPr>
      <w:r w:rsidRPr="000E7F19">
        <w:rPr>
          <w:rFonts w:cstheme="minorHAnsi"/>
          <w:b/>
          <w:bCs/>
          <w:color w:val="191919"/>
          <w:u w:val="single"/>
          <w:shd w:val="clear" w:color="auto" w:fill="FFFFFF"/>
        </w:rPr>
        <w:t>Conclusion</w:t>
      </w:r>
    </w:p>
    <w:p w14:paraId="0E34E064" w14:textId="1DFD1C4A" w:rsidR="001514CA" w:rsidRDefault="00D712CE" w:rsidP="003605BC">
      <w:pPr>
        <w:spacing w:before="100" w:beforeAutospacing="1" w:after="100" w:afterAutospacing="1"/>
        <w:rPr>
          <w:rStyle w:val="apple-converted-space"/>
          <w:rFonts w:cstheme="minorHAnsi"/>
          <w:color w:val="333333"/>
          <w:shd w:val="clear" w:color="auto" w:fill="FFFFFF"/>
        </w:rPr>
      </w:pPr>
      <w:r w:rsidRPr="000E7F19">
        <w:rPr>
          <w:rFonts w:eastAsia="Times New Roman" w:cstheme="minorHAnsi"/>
          <w:kern w:val="0"/>
          <w:lang w:val="en-CA"/>
          <w14:ligatures w14:val="none"/>
        </w:rPr>
        <w:t xml:space="preserve">A rights-based approach continues to be missing from </w:t>
      </w:r>
      <w:r w:rsidR="000D2A95">
        <w:rPr>
          <w:rFonts w:eastAsia="Times New Roman" w:cstheme="minorHAnsi"/>
          <w:kern w:val="0"/>
          <w:lang w:val="en-CA"/>
          <w14:ligatures w14:val="none"/>
        </w:rPr>
        <w:t xml:space="preserve">the </w:t>
      </w:r>
      <w:r w:rsidR="00C16F8B" w:rsidRPr="000E7F19">
        <w:rPr>
          <w:rFonts w:eastAsia="Times New Roman" w:cstheme="minorHAnsi"/>
          <w:kern w:val="0"/>
          <w:lang w:val="en-CA"/>
          <w14:ligatures w14:val="none"/>
        </w:rPr>
        <w:t>climate-change induced disaster responses noted</w:t>
      </w:r>
      <w:r w:rsidRPr="000E7F19">
        <w:rPr>
          <w:rFonts w:eastAsia="Times New Roman" w:cstheme="minorHAnsi"/>
          <w:kern w:val="0"/>
          <w:lang w:val="en-CA"/>
          <w14:ligatures w14:val="none"/>
        </w:rPr>
        <w:t xml:space="preserve"> above. </w:t>
      </w:r>
      <w:r w:rsidR="005C4C4E">
        <w:rPr>
          <w:rFonts w:eastAsia="Times New Roman" w:cstheme="minorHAnsi"/>
          <w:kern w:val="0"/>
          <w:lang w:val="en-CA"/>
          <w14:ligatures w14:val="none"/>
        </w:rPr>
        <w:t>Current</w:t>
      </w:r>
      <w:r w:rsidR="00184C1C" w:rsidRPr="000E7F19">
        <w:rPr>
          <w:rFonts w:eastAsia="Times New Roman" w:cstheme="minorHAnsi"/>
          <w:kern w:val="0"/>
          <w:lang w:val="en-CA"/>
          <w14:ligatures w14:val="none"/>
        </w:rPr>
        <w:t xml:space="preserve"> legislation and response plans</w:t>
      </w:r>
      <w:r w:rsidRPr="000E7F19">
        <w:rPr>
          <w:rFonts w:eastAsia="Times New Roman" w:cstheme="minorHAnsi"/>
          <w:kern w:val="0"/>
          <w:lang w:val="en-CA"/>
          <w14:ligatures w14:val="none"/>
        </w:rPr>
        <w:t xml:space="preserve"> </w:t>
      </w:r>
      <w:r w:rsidR="00184C1C" w:rsidRPr="000E7F19">
        <w:rPr>
          <w:rFonts w:eastAsia="Times New Roman" w:cstheme="minorHAnsi"/>
          <w:kern w:val="0"/>
          <w:lang w:val="en-CA"/>
          <w14:ligatures w14:val="none"/>
        </w:rPr>
        <w:t xml:space="preserve">do not </w:t>
      </w:r>
      <w:r w:rsidRPr="000E7F19">
        <w:rPr>
          <w:rFonts w:eastAsia="Times New Roman" w:cstheme="minorHAnsi"/>
          <w:kern w:val="0"/>
          <w:lang w:val="en-CA"/>
          <w14:ligatures w14:val="none"/>
        </w:rPr>
        <w:t>encompass the full slate of</w:t>
      </w:r>
      <w:r w:rsidR="00184C1C" w:rsidRPr="000E7F19">
        <w:rPr>
          <w:rFonts w:eastAsia="Times New Roman" w:cstheme="minorHAnsi"/>
          <w:kern w:val="0"/>
          <w:lang w:val="en-CA"/>
          <w14:ligatures w14:val="none"/>
        </w:rPr>
        <w:t xml:space="preserve"> recommendations </w:t>
      </w:r>
      <w:r w:rsidRPr="000E7F19">
        <w:rPr>
          <w:rFonts w:eastAsia="Times New Roman" w:cstheme="minorHAnsi"/>
          <w:kern w:val="0"/>
          <w:lang w:val="en-CA"/>
          <w14:ligatures w14:val="none"/>
        </w:rPr>
        <w:t xml:space="preserve">made </w:t>
      </w:r>
      <w:r w:rsidR="001514CA" w:rsidRPr="000E7F19">
        <w:rPr>
          <w:rFonts w:eastAsia="Times New Roman" w:cstheme="minorHAnsi"/>
          <w:kern w:val="0"/>
          <w:lang w:val="en-CA"/>
          <w14:ligatures w14:val="none"/>
        </w:rPr>
        <w:t>in the Public Health Agency of Canada’s 2008 report</w:t>
      </w:r>
      <w:r w:rsidR="00140DE2">
        <w:rPr>
          <w:rFonts w:eastAsia="Times New Roman" w:cstheme="minorHAnsi"/>
          <w:kern w:val="0"/>
          <w:lang w:val="en-CA"/>
          <w14:ligatures w14:val="none"/>
        </w:rPr>
        <w:t xml:space="preserve"> </w:t>
      </w:r>
      <w:r w:rsidR="001514CA" w:rsidRPr="000E7F19">
        <w:rPr>
          <w:rStyle w:val="FootnoteReference"/>
          <w:rFonts w:eastAsia="Times New Roman" w:cstheme="minorHAnsi"/>
          <w:kern w:val="0"/>
          <w:lang w:val="en-CA"/>
          <w14:ligatures w14:val="none"/>
        </w:rPr>
        <w:footnoteReference w:id="21"/>
      </w:r>
      <w:r w:rsidR="00C824CA">
        <w:rPr>
          <w:rStyle w:val="apple-converted-space"/>
          <w:rFonts w:cstheme="minorHAnsi"/>
          <w:color w:val="333333"/>
          <w:shd w:val="clear" w:color="auto" w:fill="FFFFFF"/>
        </w:rPr>
        <w:t xml:space="preserve"> which was submitted</w:t>
      </w:r>
      <w:r w:rsidR="00ED3E5B">
        <w:rPr>
          <w:rStyle w:val="apple-converted-space"/>
          <w:rFonts w:cstheme="minorHAnsi"/>
          <w:color w:val="333333"/>
          <w:shd w:val="clear" w:color="auto" w:fill="FFFFFF"/>
        </w:rPr>
        <w:t xml:space="preserve"> to the UN </w:t>
      </w:r>
      <w:r w:rsidR="002D0532">
        <w:rPr>
          <w:rStyle w:val="apple-converted-space"/>
          <w:rFonts w:cstheme="minorHAnsi"/>
          <w:color w:val="333333"/>
          <w:shd w:val="clear" w:color="auto" w:fill="FFFFFF"/>
        </w:rPr>
        <w:t>Commission on Social Development</w:t>
      </w:r>
      <w:r w:rsidR="007341D5">
        <w:rPr>
          <w:rStyle w:val="apple-converted-space"/>
          <w:rFonts w:cstheme="minorHAnsi"/>
          <w:color w:val="333333"/>
          <w:shd w:val="clear" w:color="auto" w:fill="FFFFFF"/>
        </w:rPr>
        <w:t>.</w:t>
      </w:r>
      <w:r w:rsidR="002D0532">
        <w:rPr>
          <w:rStyle w:val="apple-converted-space"/>
          <w:rFonts w:cstheme="minorHAnsi"/>
          <w:color w:val="333333"/>
          <w:shd w:val="clear" w:color="auto" w:fill="FFFFFF"/>
        </w:rPr>
        <w:t xml:space="preserve"> </w:t>
      </w:r>
      <w:r w:rsidR="00842CA7">
        <w:rPr>
          <w:rStyle w:val="apple-converted-space"/>
          <w:rFonts w:cstheme="minorHAnsi"/>
          <w:color w:val="333333"/>
          <w:shd w:val="clear" w:color="auto" w:fill="FFFFFF"/>
        </w:rPr>
        <w:t>These</w:t>
      </w:r>
      <w:r w:rsidR="007341D5">
        <w:rPr>
          <w:rStyle w:val="apple-converted-space"/>
          <w:rFonts w:cstheme="minorHAnsi"/>
          <w:color w:val="333333"/>
          <w:shd w:val="clear" w:color="auto" w:fill="FFFFFF"/>
        </w:rPr>
        <w:t xml:space="preserve"> </w:t>
      </w:r>
      <w:r w:rsidR="00D82798">
        <w:rPr>
          <w:rStyle w:val="apple-converted-space"/>
          <w:rFonts w:cstheme="minorHAnsi"/>
          <w:color w:val="333333"/>
          <w:shd w:val="clear" w:color="auto" w:fill="FFFFFF"/>
        </w:rPr>
        <w:t>recommendations</w:t>
      </w:r>
      <w:r w:rsidR="00842CA7">
        <w:rPr>
          <w:rStyle w:val="apple-converted-space"/>
          <w:rFonts w:cstheme="minorHAnsi"/>
          <w:color w:val="333333"/>
          <w:shd w:val="clear" w:color="auto" w:fill="FFFFFF"/>
        </w:rPr>
        <w:t xml:space="preserve"> include</w:t>
      </w:r>
      <w:r w:rsidR="00F1600C">
        <w:rPr>
          <w:rStyle w:val="apple-converted-space"/>
          <w:rFonts w:cstheme="minorHAnsi"/>
          <w:color w:val="333333"/>
          <w:shd w:val="clear" w:color="auto" w:fill="FFFFFF"/>
        </w:rPr>
        <w:t xml:space="preserve"> strengthening communication strategies</w:t>
      </w:r>
      <w:r w:rsidR="0076790E">
        <w:rPr>
          <w:rStyle w:val="apple-converted-space"/>
          <w:rFonts w:cstheme="minorHAnsi"/>
          <w:color w:val="333333"/>
          <w:shd w:val="clear" w:color="auto" w:fill="FFFFFF"/>
        </w:rPr>
        <w:t xml:space="preserve"> </w:t>
      </w:r>
      <w:r w:rsidR="00CE7425">
        <w:rPr>
          <w:rStyle w:val="apple-converted-space"/>
          <w:rFonts w:cstheme="minorHAnsi"/>
          <w:color w:val="333333"/>
          <w:shd w:val="clear" w:color="auto" w:fill="FFFFFF"/>
        </w:rPr>
        <w:t>(</w:t>
      </w:r>
      <w:r w:rsidR="0076790E">
        <w:rPr>
          <w:rStyle w:val="apple-converted-space"/>
          <w:rFonts w:cstheme="minorHAnsi"/>
          <w:color w:val="333333"/>
          <w:shd w:val="clear" w:color="auto" w:fill="FFFFFF"/>
        </w:rPr>
        <w:t>including</w:t>
      </w:r>
      <w:r w:rsidR="0076790E" w:rsidRPr="0076790E">
        <w:t xml:space="preserve"> </w:t>
      </w:r>
      <w:r w:rsidR="0076790E" w:rsidRPr="0076790E">
        <w:rPr>
          <w:rStyle w:val="apple-converted-space"/>
          <w:rFonts w:cstheme="minorHAnsi"/>
          <w:color w:val="333333"/>
          <w:shd w:val="clear" w:color="auto" w:fill="FFFFFF"/>
        </w:rPr>
        <w:t>dissemination of emergency information</w:t>
      </w:r>
      <w:r w:rsidR="00CE7425">
        <w:rPr>
          <w:rStyle w:val="apple-converted-space"/>
          <w:rFonts w:cstheme="minorHAnsi"/>
          <w:color w:val="333333"/>
          <w:shd w:val="clear" w:color="auto" w:fill="FFFFFF"/>
        </w:rPr>
        <w:t>)</w:t>
      </w:r>
      <w:r w:rsidR="00F1600C">
        <w:rPr>
          <w:rStyle w:val="apple-converted-space"/>
          <w:rFonts w:cstheme="minorHAnsi"/>
          <w:color w:val="333333"/>
          <w:shd w:val="clear" w:color="auto" w:fill="FFFFFF"/>
        </w:rPr>
        <w:t xml:space="preserve">, </w:t>
      </w:r>
      <w:r w:rsidR="00BA527B">
        <w:rPr>
          <w:rStyle w:val="apple-converted-space"/>
          <w:rFonts w:cstheme="minorHAnsi"/>
          <w:color w:val="333333"/>
          <w:shd w:val="clear" w:color="auto" w:fill="FFFFFF"/>
        </w:rPr>
        <w:t>integra</w:t>
      </w:r>
      <w:r w:rsidR="00CE7425">
        <w:rPr>
          <w:rStyle w:val="apple-converted-space"/>
          <w:rFonts w:cstheme="minorHAnsi"/>
          <w:color w:val="333333"/>
          <w:shd w:val="clear" w:color="auto" w:fill="FFFFFF"/>
        </w:rPr>
        <w:t>ti</w:t>
      </w:r>
      <w:r w:rsidR="00BA527B">
        <w:rPr>
          <w:rStyle w:val="apple-converted-space"/>
          <w:rFonts w:cstheme="minorHAnsi"/>
          <w:color w:val="333333"/>
          <w:shd w:val="clear" w:color="auto" w:fill="FFFFFF"/>
        </w:rPr>
        <w:t>ng o</w:t>
      </w:r>
      <w:r w:rsidR="00BA527B" w:rsidRPr="00BA527B">
        <w:rPr>
          <w:rStyle w:val="apple-converted-space"/>
          <w:rFonts w:cstheme="minorHAnsi"/>
          <w:color w:val="333333"/>
          <w:shd w:val="clear" w:color="auto" w:fill="FFFFFF"/>
        </w:rPr>
        <w:t>lder people in all stages of emergency preparedness</w:t>
      </w:r>
      <w:r w:rsidR="00CE7425">
        <w:rPr>
          <w:rStyle w:val="apple-converted-space"/>
          <w:rFonts w:cstheme="minorHAnsi"/>
          <w:color w:val="333333"/>
          <w:shd w:val="clear" w:color="auto" w:fill="FFFFFF"/>
        </w:rPr>
        <w:t xml:space="preserve">, improving </w:t>
      </w:r>
      <w:r w:rsidR="009B02E9">
        <w:rPr>
          <w:rStyle w:val="apple-converted-space"/>
          <w:rFonts w:cstheme="minorHAnsi"/>
          <w:color w:val="333333"/>
          <w:shd w:val="clear" w:color="auto" w:fill="FFFFFF"/>
        </w:rPr>
        <w:t xml:space="preserve">accessibility to community resources, </w:t>
      </w:r>
      <w:r w:rsidR="00B25E38">
        <w:rPr>
          <w:rStyle w:val="apple-converted-space"/>
          <w:rFonts w:cstheme="minorHAnsi"/>
          <w:color w:val="333333"/>
          <w:shd w:val="clear" w:color="auto" w:fill="FFFFFF"/>
        </w:rPr>
        <w:t>and developing instruments such as p</w:t>
      </w:r>
      <w:r w:rsidR="00B25E38" w:rsidRPr="00B25E38">
        <w:rPr>
          <w:rStyle w:val="apple-converted-space"/>
          <w:rFonts w:cstheme="minorHAnsi"/>
          <w:color w:val="333333"/>
          <w:shd w:val="clear" w:color="auto" w:fill="FFFFFF"/>
        </w:rPr>
        <w:t xml:space="preserve">ractice codes and guidelines </w:t>
      </w:r>
      <w:r w:rsidR="00B25E38">
        <w:rPr>
          <w:rStyle w:val="apple-converted-space"/>
          <w:rFonts w:cstheme="minorHAnsi"/>
          <w:color w:val="333333"/>
          <w:shd w:val="clear" w:color="auto" w:fill="FFFFFF"/>
        </w:rPr>
        <w:t>t</w:t>
      </w:r>
      <w:r w:rsidR="00B25E38" w:rsidRPr="00B25E38">
        <w:rPr>
          <w:rStyle w:val="apple-converted-space"/>
          <w:rFonts w:cstheme="minorHAnsi"/>
          <w:color w:val="333333"/>
          <w:shd w:val="clear" w:color="auto" w:fill="FFFFFF"/>
        </w:rPr>
        <w:t>o specifically address the needs of older people in emergencies</w:t>
      </w:r>
      <w:r w:rsidR="00B25E38">
        <w:rPr>
          <w:rStyle w:val="apple-converted-space"/>
          <w:rFonts w:cstheme="minorHAnsi"/>
          <w:color w:val="333333"/>
          <w:shd w:val="clear" w:color="auto" w:fill="FFFFFF"/>
        </w:rPr>
        <w:t>.</w:t>
      </w:r>
      <w:r w:rsidR="00E63488">
        <w:rPr>
          <w:rStyle w:val="apple-converted-space"/>
          <w:rFonts w:cstheme="minorHAnsi"/>
          <w:color w:val="333333"/>
          <w:shd w:val="clear" w:color="auto" w:fill="FFFFFF"/>
        </w:rPr>
        <w:t xml:space="preserve"> In other words</w:t>
      </w:r>
      <w:r w:rsidR="00FB2D43">
        <w:rPr>
          <w:rStyle w:val="apple-converted-space"/>
          <w:rFonts w:cstheme="minorHAnsi"/>
          <w:color w:val="333333"/>
          <w:shd w:val="clear" w:color="auto" w:fill="FFFFFF"/>
        </w:rPr>
        <w:t>,</w:t>
      </w:r>
      <w:r w:rsidR="00E63488">
        <w:rPr>
          <w:rStyle w:val="apple-converted-space"/>
          <w:rFonts w:cstheme="minorHAnsi"/>
          <w:color w:val="333333"/>
          <w:shd w:val="clear" w:color="auto" w:fill="FFFFFF"/>
        </w:rPr>
        <w:t xml:space="preserve"> we know what to do but have not taken the steps to </w:t>
      </w:r>
      <w:r w:rsidR="00095953">
        <w:rPr>
          <w:rStyle w:val="apple-converted-space"/>
          <w:rFonts w:cstheme="minorHAnsi"/>
          <w:color w:val="333333"/>
          <w:shd w:val="clear" w:color="auto" w:fill="FFFFFF"/>
        </w:rPr>
        <w:t>implement meaningful change to better the lives of older persons.</w:t>
      </w:r>
    </w:p>
    <w:p w14:paraId="41CB50A5" w14:textId="249B40A4" w:rsidR="006F39BB" w:rsidRDefault="00E10A76" w:rsidP="003605BC">
      <w:pPr>
        <w:spacing w:before="100" w:beforeAutospacing="1" w:after="100" w:afterAutospacing="1"/>
        <w:rPr>
          <w:rStyle w:val="apple-converted-space"/>
          <w:rFonts w:cstheme="minorHAnsi"/>
          <w:color w:val="333333"/>
          <w:shd w:val="clear" w:color="auto" w:fill="FFFFFF"/>
        </w:rPr>
      </w:pPr>
      <w:r>
        <w:rPr>
          <w:rStyle w:val="apple-converted-space"/>
          <w:rFonts w:cstheme="minorHAnsi"/>
          <w:color w:val="333333"/>
          <w:shd w:val="clear" w:color="auto" w:fill="FFFFFF"/>
        </w:rPr>
        <w:t xml:space="preserve">The examples in this paper illustrate </w:t>
      </w:r>
      <w:r w:rsidR="00D963D8">
        <w:rPr>
          <w:rStyle w:val="apple-converted-space"/>
          <w:rFonts w:cstheme="minorHAnsi"/>
          <w:color w:val="333333"/>
          <w:shd w:val="clear" w:color="auto" w:fill="FFFFFF"/>
        </w:rPr>
        <w:t xml:space="preserve">the </w:t>
      </w:r>
      <w:r w:rsidR="00355ECE">
        <w:rPr>
          <w:rStyle w:val="apple-converted-space"/>
          <w:rFonts w:cstheme="minorHAnsi"/>
          <w:color w:val="333333"/>
          <w:shd w:val="clear" w:color="auto" w:fill="FFFFFF"/>
        </w:rPr>
        <w:t xml:space="preserve">disproportionate </w:t>
      </w:r>
      <w:r w:rsidR="00D963D8">
        <w:rPr>
          <w:rStyle w:val="apple-converted-space"/>
          <w:rFonts w:cstheme="minorHAnsi"/>
          <w:color w:val="333333"/>
          <w:shd w:val="clear" w:color="auto" w:fill="FFFFFF"/>
        </w:rPr>
        <w:t xml:space="preserve">impact </w:t>
      </w:r>
      <w:r w:rsidR="00984995">
        <w:rPr>
          <w:rStyle w:val="apple-converted-space"/>
          <w:rFonts w:cstheme="minorHAnsi"/>
          <w:color w:val="333333"/>
          <w:shd w:val="clear" w:color="auto" w:fill="FFFFFF"/>
        </w:rPr>
        <w:t xml:space="preserve">that </w:t>
      </w:r>
      <w:r w:rsidR="00D963D8">
        <w:rPr>
          <w:rStyle w:val="apple-converted-space"/>
          <w:rFonts w:cstheme="minorHAnsi"/>
          <w:color w:val="333333"/>
          <w:shd w:val="clear" w:color="auto" w:fill="FFFFFF"/>
        </w:rPr>
        <w:t xml:space="preserve">climate change has </w:t>
      </w:r>
      <w:r w:rsidR="007D3C87">
        <w:rPr>
          <w:rStyle w:val="apple-converted-space"/>
          <w:rFonts w:cstheme="minorHAnsi"/>
          <w:color w:val="333333"/>
          <w:shd w:val="clear" w:color="auto" w:fill="FFFFFF"/>
        </w:rPr>
        <w:t>had</w:t>
      </w:r>
      <w:r w:rsidR="00D37ADE">
        <w:rPr>
          <w:rStyle w:val="apple-converted-space"/>
          <w:rFonts w:cstheme="minorHAnsi"/>
          <w:color w:val="333333"/>
          <w:shd w:val="clear" w:color="auto" w:fill="FFFFFF"/>
        </w:rPr>
        <w:t xml:space="preserve"> on the older Canadians,</w:t>
      </w:r>
      <w:r w:rsidR="003122D5">
        <w:rPr>
          <w:rStyle w:val="apple-converted-space"/>
          <w:rFonts w:cstheme="minorHAnsi"/>
          <w:color w:val="333333"/>
          <w:shd w:val="clear" w:color="auto" w:fill="FFFFFF"/>
        </w:rPr>
        <w:t xml:space="preserve"> leading to unnecessary death </w:t>
      </w:r>
      <w:r w:rsidR="00D963D8">
        <w:rPr>
          <w:rStyle w:val="apple-converted-space"/>
          <w:rFonts w:cstheme="minorHAnsi"/>
          <w:color w:val="333333"/>
          <w:shd w:val="clear" w:color="auto" w:fill="FFFFFF"/>
        </w:rPr>
        <w:t xml:space="preserve">and suffering. </w:t>
      </w:r>
      <w:r w:rsidR="00E87696">
        <w:rPr>
          <w:rStyle w:val="apple-converted-space"/>
          <w:rFonts w:cstheme="minorHAnsi"/>
          <w:color w:val="333333"/>
          <w:shd w:val="clear" w:color="auto" w:fill="FFFFFF"/>
        </w:rPr>
        <w:t>There were c</w:t>
      </w:r>
      <w:r w:rsidR="000C1DAB">
        <w:rPr>
          <w:rStyle w:val="apple-converted-space"/>
          <w:rFonts w:cstheme="minorHAnsi"/>
          <w:color w:val="333333"/>
          <w:shd w:val="clear" w:color="auto" w:fill="FFFFFF"/>
        </w:rPr>
        <w:t>lear violations of the right to health, the right to life and the right to protection in disasters</w:t>
      </w:r>
      <w:r w:rsidR="00221C26">
        <w:rPr>
          <w:rStyle w:val="apple-converted-space"/>
          <w:rFonts w:cstheme="minorHAnsi"/>
          <w:color w:val="333333"/>
          <w:shd w:val="clear" w:color="auto" w:fill="FFFFFF"/>
        </w:rPr>
        <w:t>, leading Human Rights Watch to call out the governments of Canada and British Columbia</w:t>
      </w:r>
      <w:r w:rsidR="006F39BB">
        <w:rPr>
          <w:rStyle w:val="apple-converted-space"/>
          <w:rFonts w:cstheme="minorHAnsi"/>
          <w:color w:val="333333"/>
          <w:shd w:val="clear" w:color="auto" w:fill="FFFFFF"/>
        </w:rPr>
        <w:t xml:space="preserve"> for inaction</w:t>
      </w:r>
      <w:r w:rsidR="00221C26">
        <w:rPr>
          <w:rStyle w:val="apple-converted-space"/>
          <w:rFonts w:cstheme="minorHAnsi"/>
          <w:color w:val="333333"/>
          <w:shd w:val="clear" w:color="auto" w:fill="FFFFFF"/>
        </w:rPr>
        <w:t xml:space="preserve"> in the </w:t>
      </w:r>
      <w:r w:rsidR="00984995">
        <w:rPr>
          <w:rStyle w:val="apple-converted-space"/>
          <w:rFonts w:cstheme="minorHAnsi"/>
          <w:color w:val="333333"/>
          <w:shd w:val="clear" w:color="auto" w:fill="FFFFFF"/>
        </w:rPr>
        <w:t>case of the heatwave in 2021.</w:t>
      </w:r>
      <w:r w:rsidR="000C1DAB">
        <w:rPr>
          <w:rStyle w:val="apple-converted-space"/>
          <w:rFonts w:cstheme="minorHAnsi"/>
          <w:color w:val="333333"/>
          <w:shd w:val="clear" w:color="auto" w:fill="FFFFFF"/>
        </w:rPr>
        <w:t xml:space="preserve"> </w:t>
      </w:r>
      <w:r w:rsidR="006F39BB">
        <w:rPr>
          <w:rStyle w:val="apple-converted-space"/>
          <w:rFonts w:cstheme="minorHAnsi"/>
          <w:color w:val="333333"/>
          <w:shd w:val="clear" w:color="auto" w:fill="FFFFFF"/>
        </w:rPr>
        <w:t xml:space="preserve">Moreover the lack of data on the effect of </w:t>
      </w:r>
      <w:r w:rsidR="00C31A00">
        <w:rPr>
          <w:rStyle w:val="apple-converted-space"/>
          <w:rFonts w:cstheme="minorHAnsi"/>
          <w:color w:val="333333"/>
          <w:shd w:val="clear" w:color="auto" w:fill="FFFFFF"/>
        </w:rPr>
        <w:t xml:space="preserve">the 2022 </w:t>
      </w:r>
      <w:r w:rsidR="006F39BB">
        <w:rPr>
          <w:rStyle w:val="apple-converted-space"/>
          <w:rFonts w:cstheme="minorHAnsi"/>
          <w:color w:val="333333"/>
          <w:shd w:val="clear" w:color="auto" w:fill="FFFFFF"/>
        </w:rPr>
        <w:t xml:space="preserve">power </w:t>
      </w:r>
      <w:r w:rsidR="006F39BB">
        <w:rPr>
          <w:rStyle w:val="apple-converted-space"/>
          <w:rFonts w:cstheme="minorHAnsi"/>
          <w:color w:val="333333"/>
          <w:shd w:val="clear" w:color="auto" w:fill="FFFFFF"/>
        </w:rPr>
        <w:lastRenderedPageBreak/>
        <w:t>outages</w:t>
      </w:r>
      <w:r w:rsidR="00352C1F">
        <w:rPr>
          <w:rStyle w:val="apple-converted-space"/>
          <w:rFonts w:cstheme="minorHAnsi"/>
          <w:color w:val="333333"/>
          <w:shd w:val="clear" w:color="auto" w:fill="FFFFFF"/>
        </w:rPr>
        <w:t>, and the lack of action by government to address abusers of legislation</w:t>
      </w:r>
      <w:r w:rsidR="00EB0D26">
        <w:rPr>
          <w:rStyle w:val="apple-converted-space"/>
          <w:rFonts w:cstheme="minorHAnsi"/>
          <w:color w:val="333333"/>
          <w:shd w:val="clear" w:color="auto" w:fill="FFFFFF"/>
        </w:rPr>
        <w:t>,</w:t>
      </w:r>
      <w:r w:rsidR="006F39BB">
        <w:rPr>
          <w:rStyle w:val="apple-converted-space"/>
          <w:rFonts w:cstheme="minorHAnsi"/>
          <w:color w:val="333333"/>
          <w:shd w:val="clear" w:color="auto" w:fill="FFFFFF"/>
        </w:rPr>
        <w:t xml:space="preserve"> </w:t>
      </w:r>
      <w:r w:rsidR="00AC7129">
        <w:rPr>
          <w:rStyle w:val="apple-converted-space"/>
          <w:rFonts w:cstheme="minorHAnsi"/>
          <w:color w:val="333333"/>
          <w:shd w:val="clear" w:color="auto" w:fill="FFFFFF"/>
        </w:rPr>
        <w:t>allows for increased suffering of older persons</w:t>
      </w:r>
      <w:r w:rsidR="00AA2F6D">
        <w:rPr>
          <w:rStyle w:val="apple-converted-space"/>
          <w:rFonts w:cstheme="minorHAnsi"/>
          <w:color w:val="333333"/>
          <w:shd w:val="clear" w:color="auto" w:fill="FFFFFF"/>
        </w:rPr>
        <w:t>.</w:t>
      </w:r>
    </w:p>
    <w:p w14:paraId="3382E98F" w14:textId="7F06C548" w:rsidR="00E10A76" w:rsidRPr="00F94A5D" w:rsidRDefault="000C1DAB" w:rsidP="003605BC">
      <w:pPr>
        <w:spacing w:before="100" w:beforeAutospacing="1" w:after="100" w:afterAutospacing="1"/>
        <w:rPr>
          <w:rFonts w:cstheme="minorHAnsi"/>
          <w:color w:val="333333"/>
          <w:shd w:val="clear" w:color="auto" w:fill="FFFFFF"/>
        </w:rPr>
      </w:pPr>
      <w:r>
        <w:rPr>
          <w:rStyle w:val="apple-converted-space"/>
          <w:rFonts w:cstheme="minorHAnsi"/>
          <w:color w:val="333333"/>
          <w:shd w:val="clear" w:color="auto" w:fill="FFFFFF"/>
        </w:rPr>
        <w:t xml:space="preserve">International Longevity Centre Canada calls </w:t>
      </w:r>
      <w:r w:rsidR="00834067">
        <w:rPr>
          <w:rStyle w:val="apple-converted-space"/>
          <w:rFonts w:cstheme="minorHAnsi"/>
          <w:color w:val="333333"/>
          <w:shd w:val="clear" w:color="auto" w:fill="FFFFFF"/>
        </w:rPr>
        <w:t>on the Canadian government to support</w:t>
      </w:r>
      <w:r w:rsidR="00B178AB">
        <w:rPr>
          <w:rStyle w:val="apple-converted-space"/>
          <w:rFonts w:cstheme="minorHAnsi"/>
          <w:color w:val="333333"/>
          <w:shd w:val="clear" w:color="auto" w:fill="FFFFFF"/>
        </w:rPr>
        <w:t xml:space="preserve"> a United Nations convention on the rights of older persons to</w:t>
      </w:r>
      <w:r w:rsidR="00834067">
        <w:rPr>
          <w:rStyle w:val="apple-converted-space"/>
          <w:rFonts w:cstheme="minorHAnsi"/>
          <w:color w:val="333333"/>
          <w:shd w:val="clear" w:color="auto" w:fill="FFFFFF"/>
        </w:rPr>
        <w:t xml:space="preserve"> ensure that the rights of older citizens and older persons around the world are protected from further harm and neglect when facing climate change.</w:t>
      </w:r>
    </w:p>
    <w:sectPr w:rsidR="00E10A76" w:rsidRPr="00F94A5D" w:rsidSect="00D36DF4">
      <w:footerReference w:type="default" r:id="rId16"/>
      <w:pgSz w:w="12240" w:h="15840"/>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B3CF70" w14:textId="77777777" w:rsidR="00A47468" w:rsidRDefault="00A47468" w:rsidP="00C8192D">
      <w:r>
        <w:separator/>
      </w:r>
    </w:p>
  </w:endnote>
  <w:endnote w:type="continuationSeparator" w:id="0">
    <w:p w14:paraId="24620B34" w14:textId="77777777" w:rsidR="00A47468" w:rsidRDefault="00A47468" w:rsidP="00C819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Bliss Pro">
    <w:altName w:val="Calibri"/>
    <w:panose1 w:val="020B0604020202020204"/>
    <w:charset w:val="00"/>
    <w:family w:val="swiss"/>
    <w:pitch w:val="default"/>
    <w:sig w:usb0="00000003" w:usb1="00000000" w:usb2="00000000" w:usb3="00000000" w:csb0="00000001" w:csb1="00000000"/>
  </w:font>
  <w:font w:name="Calibri (Body)">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748697110"/>
      <w:docPartObj>
        <w:docPartGallery w:val="Page Numbers (Bottom of Page)"/>
        <w:docPartUnique/>
      </w:docPartObj>
    </w:sdtPr>
    <w:sdtEndPr>
      <w:rPr>
        <w:rStyle w:val="PageNumber"/>
      </w:rPr>
    </w:sdtEndPr>
    <w:sdtContent>
      <w:p w14:paraId="355CECD5" w14:textId="2FF99EDC" w:rsidR="00D36DF4" w:rsidRDefault="00D36DF4" w:rsidP="00721B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4296FC61" w14:textId="77777777" w:rsidR="00D36DF4" w:rsidRDefault="00D36DF4" w:rsidP="00D36DF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C1C91" w14:textId="77777777" w:rsidR="00D36DF4" w:rsidRDefault="00D36DF4" w:rsidP="00D36DF4">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2B0BD" w14:textId="77777777" w:rsidR="00612A17" w:rsidRDefault="00612A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C33D5" w14:textId="77777777" w:rsidR="00D36DF4" w:rsidRDefault="00D36DF4" w:rsidP="00D36DF4">
    <w:pPr>
      <w:pStyle w:val="Footer"/>
      <w:ind w:right="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60419379"/>
      <w:docPartObj>
        <w:docPartGallery w:val="Page Numbers (Bottom of Page)"/>
        <w:docPartUnique/>
      </w:docPartObj>
    </w:sdtPr>
    <w:sdtEndPr>
      <w:rPr>
        <w:rStyle w:val="PageNumber"/>
      </w:rPr>
    </w:sdtEndPr>
    <w:sdtContent>
      <w:p w14:paraId="26F9D756" w14:textId="77777777" w:rsidR="00D36DF4" w:rsidRDefault="00D36DF4" w:rsidP="00721B0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9C6CC51" w14:textId="77777777" w:rsidR="00D36DF4" w:rsidRDefault="00D36DF4" w:rsidP="00D36DF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A3A68B" w14:textId="77777777" w:rsidR="00A47468" w:rsidRDefault="00A47468" w:rsidP="00C8192D">
      <w:r>
        <w:separator/>
      </w:r>
    </w:p>
  </w:footnote>
  <w:footnote w:type="continuationSeparator" w:id="0">
    <w:p w14:paraId="5058C46C" w14:textId="77777777" w:rsidR="00A47468" w:rsidRDefault="00A47468" w:rsidP="00C8192D">
      <w:r>
        <w:continuationSeparator/>
      </w:r>
    </w:p>
  </w:footnote>
  <w:footnote w:id="1">
    <w:p w14:paraId="332D469E" w14:textId="2CDDE160" w:rsidR="006F01C4" w:rsidRDefault="006F01C4">
      <w:pPr>
        <w:pStyle w:val="FootnoteText"/>
      </w:pPr>
      <w:r>
        <w:rPr>
          <w:rStyle w:val="FootnoteReference"/>
        </w:rPr>
        <w:footnoteRef/>
      </w:r>
      <w:r>
        <w:t xml:space="preserve"> </w:t>
      </w:r>
      <w:r w:rsidR="00572334">
        <w:t>United Nations Security Council, “</w:t>
      </w:r>
      <w:r w:rsidR="00572334">
        <w:rPr>
          <w:i/>
          <w:iCs/>
        </w:rPr>
        <w:t xml:space="preserve">Climate Change ‘Biggest Threat Humans Have Ever Faced’, World-Renowned Naturalist Tells Security Council, Calls for Greater Global Cooperation, February 23, 2021, available at: </w:t>
      </w:r>
      <w:hyperlink r:id="rId1" w:history="1">
        <w:r w:rsidR="00572334" w:rsidRPr="00721B02">
          <w:rPr>
            <w:rStyle w:val="Hyperlink"/>
          </w:rPr>
          <w:t>https://press.un.org/en/2021/sc14445.doc.htm</w:t>
        </w:r>
      </w:hyperlink>
      <w:r w:rsidR="00572334">
        <w:t xml:space="preserve"> </w:t>
      </w:r>
    </w:p>
  </w:footnote>
  <w:footnote w:id="2">
    <w:p w14:paraId="1F330AAF" w14:textId="3972FA3E" w:rsidR="006F01C4" w:rsidRDefault="006F01C4">
      <w:pPr>
        <w:pStyle w:val="FootnoteText"/>
      </w:pPr>
      <w:r>
        <w:rPr>
          <w:rStyle w:val="FootnoteReference"/>
        </w:rPr>
        <w:footnoteRef/>
      </w:r>
      <w:r>
        <w:t xml:space="preserve"> </w:t>
      </w:r>
      <w:r w:rsidR="006E7436">
        <w:t>Natural Resources Canada, “</w:t>
      </w:r>
      <w:r w:rsidR="006E7436">
        <w:rPr>
          <w:i/>
          <w:iCs/>
        </w:rPr>
        <w:t xml:space="preserve">Climate Change Adaptation in Canada”, </w:t>
      </w:r>
      <w:r w:rsidR="006E7436">
        <w:t xml:space="preserve">November 24, 2022, available at: </w:t>
      </w:r>
      <w:hyperlink r:id="rId2" w:history="1">
        <w:r w:rsidR="006E7436" w:rsidRPr="00721B02">
          <w:rPr>
            <w:rStyle w:val="Hyperlink"/>
          </w:rPr>
          <w:t>https://natural-resources.canada.ca/climate-change/what-adaptation/10025</w:t>
        </w:r>
      </w:hyperlink>
      <w:r w:rsidR="00572334">
        <w:t xml:space="preserve"> </w:t>
      </w:r>
    </w:p>
  </w:footnote>
  <w:footnote w:id="3">
    <w:p w14:paraId="530903C6" w14:textId="74B6CFEA" w:rsidR="000A157C" w:rsidRPr="006E7436" w:rsidRDefault="000A157C" w:rsidP="006E7436">
      <w:pPr>
        <w:pStyle w:val="FootnoteText"/>
        <w:rPr>
          <w:rFonts w:cstheme="minorHAnsi"/>
        </w:rPr>
      </w:pPr>
      <w:r w:rsidRPr="006E7436">
        <w:rPr>
          <w:rStyle w:val="FootnoteReference"/>
          <w:rFonts w:cstheme="minorHAnsi"/>
        </w:rPr>
        <w:footnoteRef/>
      </w:r>
      <w:r w:rsidR="006E7436" w:rsidRPr="006E7436">
        <w:rPr>
          <w:rFonts w:cstheme="minorHAnsi"/>
        </w:rPr>
        <w:t xml:space="preserve"> United Nations Office of the Hight Commissioner of Human Rights, “</w:t>
      </w:r>
      <w:r w:rsidR="006E7436" w:rsidRPr="006E7436">
        <w:rPr>
          <w:rFonts w:cstheme="minorHAnsi"/>
          <w:i/>
          <w:iCs/>
        </w:rPr>
        <w:t xml:space="preserve">The Impact of Climate Change on the Rights of Older Persons”, </w:t>
      </w:r>
      <w:r w:rsidR="006E7436" w:rsidRPr="006E7436">
        <w:rPr>
          <w:rFonts w:cstheme="minorHAnsi"/>
        </w:rPr>
        <w:t>2023, available at:</w:t>
      </w:r>
      <w:r w:rsidRPr="006E7436">
        <w:rPr>
          <w:rFonts w:cstheme="minorHAnsi"/>
        </w:rPr>
        <w:t xml:space="preserve"> </w:t>
      </w:r>
      <w:hyperlink r:id="rId3" w:history="1">
        <w:r w:rsidR="00572334" w:rsidRPr="006E7436">
          <w:rPr>
            <w:rStyle w:val="Hyperlink"/>
            <w:rFonts w:cstheme="minorHAnsi"/>
          </w:rPr>
          <w:t>https://www.ohchr.org/en/climate-change/impact-climate-change-rights-older-persons</w:t>
        </w:r>
      </w:hyperlink>
      <w:r w:rsidR="00572334" w:rsidRPr="006E7436">
        <w:rPr>
          <w:rFonts w:cstheme="minorHAnsi"/>
        </w:rPr>
        <w:t xml:space="preserve"> </w:t>
      </w:r>
    </w:p>
  </w:footnote>
  <w:footnote w:id="4">
    <w:p w14:paraId="25BDEE33" w14:textId="45118D43" w:rsidR="006E7436" w:rsidRPr="006E7436" w:rsidRDefault="00612A17" w:rsidP="006E7436">
      <w:pPr>
        <w:pStyle w:val="NormalWeb"/>
        <w:spacing w:before="0" w:beforeAutospacing="0" w:after="0" w:afterAutospacing="0"/>
        <w:rPr>
          <w:rFonts w:asciiTheme="minorHAnsi" w:hAnsiTheme="minorHAnsi" w:cstheme="minorHAnsi"/>
          <w:sz w:val="20"/>
          <w:szCs w:val="20"/>
        </w:rPr>
      </w:pPr>
      <w:r w:rsidRPr="006E7436">
        <w:rPr>
          <w:rStyle w:val="FootnoteReference"/>
          <w:rFonts w:asciiTheme="minorHAnsi" w:hAnsiTheme="minorHAnsi" w:cstheme="minorHAnsi"/>
          <w:sz w:val="20"/>
          <w:szCs w:val="20"/>
        </w:rPr>
        <w:footnoteRef/>
      </w:r>
      <w:r w:rsidR="006E7436" w:rsidRPr="006E7436">
        <w:rPr>
          <w:rFonts w:asciiTheme="minorHAnsi" w:hAnsiTheme="minorHAnsi" w:cstheme="minorHAnsi"/>
          <w:sz w:val="20"/>
          <w:szCs w:val="20"/>
        </w:rPr>
        <w:t>United Nations General Assembly Human Rights Council, “</w:t>
      </w:r>
      <w:r w:rsidR="006E7436" w:rsidRPr="006E7436">
        <w:rPr>
          <w:rFonts w:asciiTheme="minorHAnsi" w:hAnsiTheme="minorHAnsi" w:cstheme="minorHAnsi"/>
          <w:i/>
          <w:iCs/>
          <w:sz w:val="20"/>
          <w:szCs w:val="20"/>
        </w:rPr>
        <w:t>Summary of the panel discussion on the human rights of older persons in the context of climate change</w:t>
      </w:r>
      <w:r w:rsidR="006E7436">
        <w:rPr>
          <w:rFonts w:asciiTheme="minorHAnsi" w:hAnsiTheme="minorHAnsi" w:cstheme="minorHAnsi"/>
          <w:sz w:val="20"/>
          <w:szCs w:val="20"/>
        </w:rPr>
        <w:t>”,</w:t>
      </w:r>
      <w:r w:rsidR="006E7436" w:rsidRPr="006E7436">
        <w:rPr>
          <w:rFonts w:asciiTheme="minorHAnsi" w:hAnsiTheme="minorHAnsi" w:cstheme="minorHAnsi"/>
          <w:sz w:val="20"/>
          <w:szCs w:val="20"/>
        </w:rPr>
        <w:t xml:space="preserve"> </w:t>
      </w:r>
      <w:r w:rsidR="006E7436">
        <w:rPr>
          <w:rFonts w:asciiTheme="minorHAnsi" w:hAnsiTheme="minorHAnsi" w:cstheme="minorHAnsi"/>
          <w:sz w:val="20"/>
          <w:szCs w:val="20"/>
        </w:rPr>
        <w:t>Forty-ninth session, 28 February – 1 April, 2022, A/HCR/49/61, available at:</w:t>
      </w:r>
    </w:p>
    <w:p w14:paraId="4D314608" w14:textId="77EF0564" w:rsidR="00612A17" w:rsidRPr="006E7436" w:rsidRDefault="005D6E24" w:rsidP="006E7436">
      <w:pPr>
        <w:pStyle w:val="FootnoteText"/>
        <w:rPr>
          <w:rFonts w:cstheme="minorHAnsi"/>
        </w:rPr>
      </w:pPr>
      <w:hyperlink r:id="rId4" w:history="1">
        <w:r w:rsidR="006E7436" w:rsidRPr="006E7436">
          <w:rPr>
            <w:rStyle w:val="Hyperlink"/>
            <w:rFonts w:cstheme="minorHAnsi"/>
          </w:rPr>
          <w:t>https://undocs.org/Home/Mobile?FinalSymbol=A%2FHRC%2F49%2F61&amp;Language=E&amp;DeviceType=Desktop&amp;LangRequested=False</w:t>
        </w:r>
      </w:hyperlink>
      <w:r w:rsidR="00572334" w:rsidRPr="006E7436">
        <w:rPr>
          <w:rFonts w:cstheme="minorHAnsi"/>
        </w:rPr>
        <w:t xml:space="preserve"> </w:t>
      </w:r>
    </w:p>
  </w:footnote>
  <w:footnote w:id="5">
    <w:p w14:paraId="5F0723FA" w14:textId="268C7EEF" w:rsidR="006B00A6" w:rsidRPr="00801627" w:rsidRDefault="006B00A6" w:rsidP="006E7436">
      <w:pPr>
        <w:pStyle w:val="FootnoteText"/>
      </w:pPr>
      <w:r w:rsidRPr="006E7436">
        <w:rPr>
          <w:rStyle w:val="FootnoteReference"/>
          <w:rFonts w:cstheme="minorHAnsi"/>
        </w:rPr>
        <w:footnoteRef/>
      </w:r>
      <w:r w:rsidR="004D04C8" w:rsidRPr="006E7436">
        <w:rPr>
          <w:rFonts w:cstheme="minorHAnsi"/>
        </w:rPr>
        <w:t xml:space="preserve"> </w:t>
      </w:r>
      <w:r w:rsidRPr="006E7436">
        <w:rPr>
          <w:rFonts w:cstheme="minorHAnsi"/>
        </w:rPr>
        <w:t xml:space="preserve"> </w:t>
      </w:r>
      <w:r w:rsidR="00801627" w:rsidRPr="006E7436">
        <w:rPr>
          <w:rFonts w:cstheme="minorHAnsi"/>
          <w:i/>
          <w:iCs/>
        </w:rPr>
        <w:t>Emergencies Act</w:t>
      </w:r>
      <w:r w:rsidR="00801627" w:rsidRPr="006E7436">
        <w:rPr>
          <w:rFonts w:cstheme="minorHAnsi"/>
        </w:rPr>
        <w:t xml:space="preserve">, R.S.C., 1985, c. 22 (4th Supp.). </w:t>
      </w:r>
      <w:r w:rsidRPr="006E7436">
        <w:rPr>
          <w:rFonts w:cstheme="minorHAnsi"/>
          <w:lang w:val="en-CA"/>
        </w:rPr>
        <w:t xml:space="preserve">Of note, </w:t>
      </w:r>
      <w:r w:rsidR="00184C1C" w:rsidRPr="006E7436">
        <w:rPr>
          <w:rFonts w:cstheme="minorHAnsi"/>
          <w:lang w:val="en-CA"/>
        </w:rPr>
        <w:t>an</w:t>
      </w:r>
      <w:r w:rsidR="00184C1C" w:rsidRPr="004D04C8">
        <w:rPr>
          <w:lang w:val="en-CA"/>
        </w:rPr>
        <w:t xml:space="preserve"> </w:t>
      </w:r>
      <w:hyperlink r:id="rId5" w:history="1">
        <w:r w:rsidR="00184C1C" w:rsidRPr="004D04C8">
          <w:rPr>
            <w:rStyle w:val="Hyperlink"/>
            <w:lang w:val="en-CA"/>
          </w:rPr>
          <w:t>Emergency Management Strategy for Canada</w:t>
        </w:r>
      </w:hyperlink>
      <w:r w:rsidR="00184C1C" w:rsidRPr="004D04C8">
        <w:rPr>
          <w:lang w:val="en-CA"/>
        </w:rPr>
        <w:t xml:space="preserve"> was produced by a collaboration of Federal, Provincial and Municipal</w:t>
      </w:r>
      <w:r w:rsidR="00184C1C">
        <w:rPr>
          <w:lang w:val="en-CA"/>
        </w:rPr>
        <w:t xml:space="preserve"> governments in 2019. It makes passing reference to the increased risks of vulnerable groups, including older persons, and intersectionality. </w:t>
      </w:r>
    </w:p>
  </w:footnote>
  <w:footnote w:id="6">
    <w:p w14:paraId="77C48B66" w14:textId="4BA013EA" w:rsidR="00FD2229" w:rsidRPr="00FD2229" w:rsidRDefault="00FD2229">
      <w:pPr>
        <w:pStyle w:val="FootnoteText"/>
      </w:pPr>
      <w:r>
        <w:rPr>
          <w:rStyle w:val="FootnoteReference"/>
        </w:rPr>
        <w:footnoteRef/>
      </w:r>
      <w:r>
        <w:t xml:space="preserve"> In British Columbia, see </w:t>
      </w:r>
      <w:r w:rsidRPr="00A67C13">
        <w:rPr>
          <w:i/>
          <w:iCs/>
        </w:rPr>
        <w:t>Emergency Program Act</w:t>
      </w:r>
      <w:r>
        <w:t xml:space="preserve">, </w:t>
      </w:r>
      <w:r w:rsidR="005E67B8" w:rsidRPr="005E67B8">
        <w:t>RSBC 1996</w:t>
      </w:r>
      <w:r w:rsidR="005E67B8">
        <w:t>, c</w:t>
      </w:r>
      <w:r w:rsidR="005E67B8" w:rsidRPr="005E67B8">
        <w:t xml:space="preserve"> 111</w:t>
      </w:r>
      <w:r w:rsidR="005E67B8">
        <w:t xml:space="preserve">; in Ontario, </w:t>
      </w:r>
      <w:r w:rsidR="0074549A" w:rsidRPr="0074549A">
        <w:rPr>
          <w:i/>
          <w:iCs/>
        </w:rPr>
        <w:t>Emergency Management and Civil Protection Act</w:t>
      </w:r>
      <w:r w:rsidR="0074549A" w:rsidRPr="0074549A">
        <w:t>, R.S.O. 1990, c. E.9</w:t>
      </w:r>
      <w:r w:rsidR="0074549A">
        <w:t>.</w:t>
      </w:r>
    </w:p>
  </w:footnote>
  <w:footnote w:id="7">
    <w:p w14:paraId="62315EF7" w14:textId="761CA092" w:rsidR="001054E0" w:rsidRPr="001054E0" w:rsidRDefault="001054E0">
      <w:pPr>
        <w:pStyle w:val="FootnoteText"/>
        <w:rPr>
          <w:lang w:val="en-CA"/>
        </w:rPr>
      </w:pPr>
      <w:r>
        <w:rPr>
          <w:rStyle w:val="FootnoteReference"/>
        </w:rPr>
        <w:footnoteRef/>
      </w:r>
      <w:r>
        <w:t xml:space="preserve"> </w:t>
      </w:r>
      <w:r>
        <w:rPr>
          <w:lang w:val="en-CA"/>
        </w:rPr>
        <w:t>British Columbia Coroner’s Service, “</w:t>
      </w:r>
      <w:r w:rsidRPr="00D36DF4">
        <w:rPr>
          <w:i/>
          <w:iCs/>
          <w:lang w:val="en-CA"/>
        </w:rPr>
        <w:t>Heat Related Deaths in BC – Knowledge Update</w:t>
      </w:r>
      <w:r>
        <w:rPr>
          <w:lang w:val="en-CA"/>
        </w:rPr>
        <w:t>”, November 1, 2021, available at:</w:t>
      </w:r>
      <w:r w:rsidRPr="001054E0">
        <w:t xml:space="preserve"> </w:t>
      </w:r>
      <w:hyperlink r:id="rId6" w:history="1">
        <w:r w:rsidRPr="00721B02">
          <w:rPr>
            <w:rStyle w:val="Hyperlink"/>
            <w:lang w:val="en-CA"/>
          </w:rPr>
          <w:t>https://www2.gov.bc.ca/assets/gov/birth-adoption-death-marriage-and-divorce/deaths/coroners-service/statistical/heat_related_deaths_in_bc_knowledge_update.pdf</w:t>
        </w:r>
      </w:hyperlink>
      <w:r>
        <w:rPr>
          <w:lang w:val="en-CA"/>
        </w:rPr>
        <w:t xml:space="preserve"> </w:t>
      </w:r>
    </w:p>
  </w:footnote>
  <w:footnote w:id="8">
    <w:p w14:paraId="5C0FFCCE" w14:textId="0E74A356" w:rsidR="009B4A58" w:rsidRPr="009B4A58" w:rsidRDefault="009B4A58">
      <w:pPr>
        <w:pStyle w:val="FootnoteText"/>
        <w:rPr>
          <w:lang w:val="en-CA"/>
        </w:rPr>
      </w:pPr>
      <w:r>
        <w:rPr>
          <w:rStyle w:val="FootnoteReference"/>
        </w:rPr>
        <w:footnoteRef/>
      </w:r>
      <w:r>
        <w:t xml:space="preserve"> </w:t>
      </w:r>
      <w:r>
        <w:rPr>
          <w:lang w:val="en-CA"/>
        </w:rPr>
        <w:t>LaFortune, Rachel, “</w:t>
      </w:r>
      <w:r w:rsidRPr="00D36DF4">
        <w:rPr>
          <w:i/>
          <w:iCs/>
          <w:lang w:val="en-CA"/>
        </w:rPr>
        <w:t>One Year Since Deadly Heatwave in Canada, Protections Still Needed</w:t>
      </w:r>
      <w:r>
        <w:rPr>
          <w:lang w:val="en-CA"/>
        </w:rPr>
        <w:t xml:space="preserve">”, May 27, 2022, Human Rights Watch, available at: </w:t>
      </w:r>
      <w:hyperlink r:id="rId7" w:history="1">
        <w:r w:rsidR="00ED1A38" w:rsidRPr="00721B02">
          <w:rPr>
            <w:rStyle w:val="Hyperlink"/>
            <w:lang w:val="en-CA"/>
          </w:rPr>
          <w:t>https://www.hrw.org/news/2022/05/27/one-year-deadly-heatwave-canada-protections-still-needed</w:t>
        </w:r>
      </w:hyperlink>
      <w:r w:rsidR="00ED1A38">
        <w:rPr>
          <w:lang w:val="en-CA"/>
        </w:rPr>
        <w:t xml:space="preserve"> </w:t>
      </w:r>
    </w:p>
  </w:footnote>
  <w:footnote w:id="9">
    <w:p w14:paraId="572CF3F0" w14:textId="2B510358" w:rsidR="0032073A" w:rsidRPr="0032073A" w:rsidRDefault="0032073A">
      <w:pPr>
        <w:pStyle w:val="FootnoteText"/>
        <w:rPr>
          <w:lang w:val="en-CA"/>
        </w:rPr>
      </w:pPr>
      <w:r>
        <w:rPr>
          <w:rStyle w:val="FootnoteReference"/>
        </w:rPr>
        <w:footnoteRef/>
      </w:r>
      <w:r>
        <w:t xml:space="preserve"> </w:t>
      </w:r>
      <w:r w:rsidR="00E43429">
        <w:t>“</w:t>
      </w:r>
      <w:r w:rsidR="00E43429" w:rsidRPr="00D36DF4">
        <w:rPr>
          <w:i/>
          <w:iCs/>
        </w:rPr>
        <w:t>BC Provincial Heat Alert and Response System (BC HARS): 2022</w:t>
      </w:r>
      <w:r w:rsidR="00E43429">
        <w:t xml:space="preserve">”, </w:t>
      </w:r>
      <w:r w:rsidR="00A72AA3">
        <w:t xml:space="preserve">available at </w:t>
      </w:r>
      <w:hyperlink r:id="rId8" w:history="1">
        <w:r w:rsidR="00A72AA3" w:rsidRPr="00721B02">
          <w:rPr>
            <w:rStyle w:val="Hyperlink"/>
          </w:rPr>
          <w:t>http://www.bccdc.ca/resource-gallery/Documents/Guidelines%20and%20Forms/Guidelines%20and%20Manuals/Health-Environment/Provincial-Heat-Alerting-Response-System.pdf</w:t>
        </w:r>
      </w:hyperlink>
      <w:r w:rsidR="00A72AA3">
        <w:t xml:space="preserve"> </w:t>
      </w:r>
    </w:p>
  </w:footnote>
  <w:footnote w:id="10">
    <w:p w14:paraId="445EC497" w14:textId="67E2623C" w:rsidR="00A72AA3" w:rsidRPr="00A72AA3" w:rsidRDefault="00A72AA3">
      <w:pPr>
        <w:pStyle w:val="FootnoteText"/>
        <w:rPr>
          <w:lang w:val="en-CA"/>
        </w:rPr>
      </w:pPr>
      <w:r>
        <w:rPr>
          <w:rStyle w:val="FootnoteReference"/>
        </w:rPr>
        <w:footnoteRef/>
      </w:r>
      <w:r>
        <w:t xml:space="preserve"> </w:t>
      </w:r>
      <w:r>
        <w:rPr>
          <w:b/>
          <w:bCs/>
          <w:i/>
          <w:iCs/>
        </w:rPr>
        <w:t xml:space="preserve">Ibid., </w:t>
      </w:r>
      <w:r w:rsidR="00112ED5">
        <w:t>section 5</w:t>
      </w:r>
    </w:p>
  </w:footnote>
  <w:footnote w:id="11">
    <w:p w14:paraId="2B9B4EEE" w14:textId="17D3671E" w:rsidR="00AA3801" w:rsidRPr="00AA3801" w:rsidRDefault="00AA3801">
      <w:pPr>
        <w:pStyle w:val="FootnoteText"/>
        <w:rPr>
          <w:lang w:val="en-CA"/>
        </w:rPr>
      </w:pPr>
      <w:r>
        <w:rPr>
          <w:rStyle w:val="FootnoteReference"/>
        </w:rPr>
        <w:footnoteRef/>
      </w:r>
      <w:r>
        <w:t xml:space="preserve"> </w:t>
      </w:r>
      <w:r w:rsidR="00AB6E95">
        <w:t>PreparedBC, “</w:t>
      </w:r>
      <w:r w:rsidR="00AB6E95" w:rsidRPr="00D36DF4">
        <w:rPr>
          <w:i/>
          <w:iCs/>
        </w:rPr>
        <w:t>Extreme Heat Preparedness Guide</w:t>
      </w:r>
      <w:r w:rsidR="00AB6E95">
        <w:t xml:space="preserve">”, 2022, available at: </w:t>
      </w:r>
      <w:hyperlink r:id="rId9" w:history="1">
        <w:r w:rsidR="00AB6E95" w:rsidRPr="00721B02">
          <w:rPr>
            <w:rStyle w:val="Hyperlink"/>
          </w:rPr>
          <w:t>https://www2.gov.bc.ca/assets/gov/public-safety-and-emergency-services/emergency-preparedness-response-recovery/embc/preparedbc/preparedbc-guides/preparedbc_extreme_heat_guide.pdf</w:t>
        </w:r>
      </w:hyperlink>
      <w:r w:rsidR="00AB6E95">
        <w:t xml:space="preserve"> </w:t>
      </w:r>
    </w:p>
  </w:footnote>
  <w:footnote w:id="12">
    <w:p w14:paraId="137E23C0" w14:textId="03908634" w:rsidR="00930DC2" w:rsidRPr="00930DC2" w:rsidRDefault="00930DC2" w:rsidP="00F4422A">
      <w:pPr>
        <w:pStyle w:val="FootnoteText"/>
        <w:rPr>
          <w:lang w:val="en-CA"/>
        </w:rPr>
      </w:pPr>
      <w:r>
        <w:rPr>
          <w:rStyle w:val="FootnoteReference"/>
        </w:rPr>
        <w:footnoteRef/>
      </w:r>
      <w:r>
        <w:t xml:space="preserve"> </w:t>
      </w:r>
      <w:r>
        <w:rPr>
          <w:lang w:val="en-CA"/>
        </w:rPr>
        <w:t>British Columbia, “</w:t>
      </w:r>
      <w:r w:rsidRPr="00D36DF4">
        <w:rPr>
          <w:i/>
          <w:iCs/>
          <w:lang w:val="en-CA"/>
        </w:rPr>
        <w:t>Modernized emergency management legislation</w:t>
      </w:r>
      <w:r>
        <w:rPr>
          <w:lang w:val="en-CA"/>
        </w:rPr>
        <w:t xml:space="preserve">”, February 8, 2023, available at: </w:t>
      </w:r>
      <w:hyperlink r:id="rId10" w:anchor="news" w:history="1">
        <w:r w:rsidRPr="00721B02">
          <w:rPr>
            <w:rStyle w:val="Hyperlink"/>
            <w:lang w:val="en-CA"/>
          </w:rPr>
          <w:t>https://www2.gov.bc.ca/gov/content/safety/emergency-management/emergency-management/legislation-and-regulations/modernizing-epa#news</w:t>
        </w:r>
      </w:hyperlink>
      <w:r>
        <w:rPr>
          <w:lang w:val="en-CA"/>
        </w:rPr>
        <w:t xml:space="preserve"> </w:t>
      </w:r>
    </w:p>
  </w:footnote>
  <w:footnote w:id="13">
    <w:p w14:paraId="2401C722" w14:textId="4A7A76AA" w:rsidR="00F4422A" w:rsidRPr="009B330A" w:rsidRDefault="00F4422A" w:rsidP="009B330A">
      <w:pPr>
        <w:pStyle w:val="Heading2"/>
        <w:spacing w:before="0" w:beforeAutospacing="0" w:after="0" w:afterAutospacing="0"/>
        <w:rPr>
          <w:rFonts w:asciiTheme="minorHAnsi" w:hAnsiTheme="minorHAnsi" w:cstheme="minorHAnsi"/>
          <w:b w:val="0"/>
          <w:bCs w:val="0"/>
          <w:color w:val="212529"/>
          <w:sz w:val="20"/>
          <w:szCs w:val="20"/>
        </w:rPr>
      </w:pPr>
      <w:r w:rsidRPr="00F4422A">
        <w:rPr>
          <w:rStyle w:val="FootnoteReference"/>
          <w:rFonts w:asciiTheme="minorHAnsi" w:hAnsiTheme="minorHAnsi" w:cstheme="minorHAnsi"/>
          <w:b w:val="0"/>
          <w:bCs w:val="0"/>
          <w:sz w:val="20"/>
          <w:szCs w:val="20"/>
        </w:rPr>
        <w:footnoteRef/>
      </w:r>
      <w:r w:rsidRPr="00F4422A">
        <w:rPr>
          <w:rFonts w:asciiTheme="minorHAnsi" w:hAnsiTheme="minorHAnsi" w:cstheme="minorHAnsi"/>
          <w:b w:val="0"/>
          <w:bCs w:val="0"/>
          <w:sz w:val="20"/>
          <w:szCs w:val="20"/>
        </w:rPr>
        <w:t xml:space="preserve"> O</w:t>
      </w:r>
      <w:r w:rsidR="00C16F8B">
        <w:rPr>
          <w:rFonts w:asciiTheme="minorHAnsi" w:hAnsiTheme="minorHAnsi" w:cstheme="minorHAnsi"/>
          <w:b w:val="0"/>
          <w:bCs w:val="0"/>
          <w:sz w:val="20"/>
          <w:szCs w:val="20"/>
        </w:rPr>
        <w:t xml:space="preserve">ntario </w:t>
      </w:r>
      <w:r w:rsidRPr="00F4422A">
        <w:rPr>
          <w:rFonts w:asciiTheme="minorHAnsi" w:hAnsiTheme="minorHAnsi" w:cstheme="minorHAnsi"/>
          <w:b w:val="0"/>
          <w:bCs w:val="0"/>
          <w:sz w:val="20"/>
          <w:szCs w:val="20"/>
        </w:rPr>
        <w:t>Reg</w:t>
      </w:r>
      <w:r w:rsidR="00C16F8B">
        <w:rPr>
          <w:rFonts w:asciiTheme="minorHAnsi" w:hAnsiTheme="minorHAnsi" w:cstheme="minorHAnsi"/>
          <w:b w:val="0"/>
          <w:bCs w:val="0"/>
          <w:sz w:val="20"/>
          <w:szCs w:val="20"/>
        </w:rPr>
        <w:t>ulation</w:t>
      </w:r>
      <w:r w:rsidRPr="00F4422A">
        <w:rPr>
          <w:rFonts w:asciiTheme="minorHAnsi" w:hAnsiTheme="minorHAnsi" w:cstheme="minorHAnsi"/>
          <w:b w:val="0"/>
          <w:bCs w:val="0"/>
          <w:caps/>
          <w:color w:val="000000"/>
          <w:sz w:val="20"/>
          <w:szCs w:val="20"/>
        </w:rPr>
        <w:t xml:space="preserve"> 246/22, </w:t>
      </w:r>
      <w:r w:rsidRPr="00F4422A">
        <w:rPr>
          <w:rFonts w:asciiTheme="minorHAnsi" w:hAnsiTheme="minorHAnsi" w:cstheme="minorHAnsi"/>
          <w:b w:val="0"/>
          <w:bCs w:val="0"/>
          <w:i/>
          <w:iCs/>
          <w:sz w:val="20"/>
          <w:szCs w:val="20"/>
        </w:rPr>
        <w:t xml:space="preserve">Fixing Long-Term Care Act, </w:t>
      </w:r>
      <w:r w:rsidRPr="00F4422A">
        <w:rPr>
          <w:rFonts w:asciiTheme="minorHAnsi" w:hAnsiTheme="minorHAnsi" w:cstheme="minorHAnsi"/>
          <w:b w:val="0"/>
          <w:bCs w:val="0"/>
          <w:color w:val="212529"/>
          <w:sz w:val="20"/>
          <w:szCs w:val="20"/>
        </w:rPr>
        <w:t>2021, SO 2021, c 39, sch 1</w:t>
      </w:r>
      <w:r>
        <w:rPr>
          <w:rFonts w:asciiTheme="minorHAnsi" w:hAnsiTheme="minorHAnsi" w:cstheme="minorHAnsi"/>
          <w:b w:val="0"/>
          <w:bCs w:val="0"/>
          <w:color w:val="212529"/>
          <w:sz w:val="20"/>
          <w:szCs w:val="20"/>
        </w:rPr>
        <w:t xml:space="preserve">, sections 12 and 22, available at: </w:t>
      </w:r>
      <w:hyperlink r:id="rId11" w:history="1">
        <w:r w:rsidRPr="00721B02">
          <w:rPr>
            <w:rStyle w:val="Hyperlink"/>
            <w:rFonts w:asciiTheme="minorHAnsi" w:hAnsiTheme="minorHAnsi" w:cstheme="minorHAnsi"/>
            <w:b w:val="0"/>
            <w:bCs w:val="0"/>
            <w:sz w:val="20"/>
            <w:szCs w:val="20"/>
          </w:rPr>
          <w:t>https://www.canlii.org/en/on/laws/regu/o-reg-246-22/latest/o-reg-246-22.html</w:t>
        </w:r>
      </w:hyperlink>
      <w:r>
        <w:rPr>
          <w:rFonts w:asciiTheme="minorHAnsi" w:hAnsiTheme="minorHAnsi" w:cstheme="minorHAnsi"/>
          <w:b w:val="0"/>
          <w:bCs w:val="0"/>
          <w:color w:val="212529"/>
          <w:sz w:val="20"/>
          <w:szCs w:val="20"/>
        </w:rPr>
        <w:t xml:space="preserve"> </w:t>
      </w:r>
    </w:p>
  </w:footnote>
  <w:footnote w:id="14">
    <w:p w14:paraId="5D66889E" w14:textId="7DD408D5" w:rsidR="00290358" w:rsidRPr="001E3E2A" w:rsidRDefault="00290358" w:rsidP="001E3E2A">
      <w:pPr>
        <w:pStyle w:val="Heading1"/>
        <w:spacing w:before="0"/>
        <w:rPr>
          <w:rFonts w:asciiTheme="minorHAnsi" w:hAnsiTheme="minorHAnsi" w:cstheme="minorHAnsi"/>
          <w:color w:val="333333"/>
          <w:sz w:val="20"/>
          <w:szCs w:val="20"/>
        </w:rPr>
      </w:pPr>
      <w:r w:rsidRPr="004540A7">
        <w:rPr>
          <w:rStyle w:val="FootnoteReference"/>
          <w:rFonts w:asciiTheme="minorHAnsi" w:hAnsiTheme="minorHAnsi" w:cstheme="minorHAnsi"/>
          <w:color w:val="000000" w:themeColor="text1"/>
          <w:sz w:val="20"/>
          <w:szCs w:val="20"/>
        </w:rPr>
        <w:footnoteRef/>
      </w:r>
      <w:r w:rsidRPr="004540A7">
        <w:rPr>
          <w:rFonts w:asciiTheme="minorHAnsi" w:hAnsiTheme="minorHAnsi" w:cstheme="minorHAnsi"/>
          <w:color w:val="000000" w:themeColor="text1"/>
          <w:sz w:val="20"/>
          <w:szCs w:val="20"/>
        </w:rPr>
        <w:t xml:space="preserve"> </w:t>
      </w:r>
      <w:r w:rsidR="004540A7" w:rsidRPr="004540A7">
        <w:rPr>
          <w:rFonts w:asciiTheme="minorHAnsi" w:hAnsiTheme="minorHAnsi" w:cstheme="minorHAnsi"/>
          <w:color w:val="000000" w:themeColor="text1"/>
          <w:sz w:val="20"/>
          <w:szCs w:val="20"/>
          <w:lang w:val="en-CA"/>
        </w:rPr>
        <w:t>Howlett, K., and Grant, K., “</w:t>
      </w:r>
      <w:r w:rsidR="004540A7" w:rsidRPr="004540A7">
        <w:rPr>
          <w:rFonts w:asciiTheme="minorHAnsi" w:hAnsiTheme="minorHAnsi" w:cstheme="minorHAnsi"/>
          <w:i/>
          <w:iCs/>
          <w:color w:val="000000" w:themeColor="text1"/>
          <w:sz w:val="20"/>
          <w:szCs w:val="20"/>
        </w:rPr>
        <w:t>A Hamilton nursing home lost power for more than 13 hours. Internal documents show it wasn’t an isolated incident</w:t>
      </w:r>
      <w:r w:rsidR="004540A7" w:rsidRPr="004540A7">
        <w:rPr>
          <w:rFonts w:asciiTheme="minorHAnsi" w:hAnsiTheme="minorHAnsi" w:cstheme="minorHAnsi"/>
          <w:color w:val="000000" w:themeColor="text1"/>
          <w:sz w:val="20"/>
          <w:szCs w:val="20"/>
        </w:rPr>
        <w:t xml:space="preserve">”, The Globe and Mail, March 20, 2023, available at: </w:t>
      </w:r>
      <w:hyperlink r:id="rId12" w:history="1"/>
      <w:r w:rsidR="004540A7">
        <w:rPr>
          <w:rFonts w:asciiTheme="minorHAnsi" w:hAnsiTheme="minorHAnsi" w:cstheme="minorHAnsi"/>
          <w:color w:val="000000" w:themeColor="text1"/>
          <w:sz w:val="20"/>
          <w:szCs w:val="20"/>
        </w:rPr>
        <w:t xml:space="preserve"> </w:t>
      </w:r>
      <w:hyperlink r:id="rId13" w:history="1">
        <w:r w:rsidR="004540A7" w:rsidRPr="00721B02">
          <w:rPr>
            <w:rStyle w:val="Hyperlink"/>
            <w:rFonts w:asciiTheme="minorHAnsi" w:hAnsiTheme="minorHAnsi" w:cstheme="minorHAnsi"/>
            <w:sz w:val="20"/>
            <w:szCs w:val="20"/>
          </w:rPr>
          <w:t>https://www.theglobeandmail.com/canada/article-long-term-care-blackadar-ontario/</w:t>
        </w:r>
      </w:hyperlink>
      <w:r w:rsidR="004540A7">
        <w:rPr>
          <w:rFonts w:asciiTheme="minorHAnsi" w:hAnsiTheme="minorHAnsi" w:cstheme="minorHAnsi"/>
          <w:color w:val="000000" w:themeColor="text1"/>
          <w:sz w:val="20"/>
          <w:szCs w:val="20"/>
        </w:rPr>
        <w:t xml:space="preserve"> </w:t>
      </w:r>
      <w:r w:rsidR="004540A7" w:rsidRPr="004540A7">
        <w:rPr>
          <w:rFonts w:asciiTheme="minorHAnsi" w:hAnsiTheme="minorHAnsi" w:cstheme="minorHAnsi"/>
          <w:color w:val="333333"/>
          <w:sz w:val="20"/>
          <w:szCs w:val="20"/>
        </w:rPr>
        <w:t xml:space="preserve"> </w:t>
      </w:r>
    </w:p>
  </w:footnote>
  <w:footnote w:id="15">
    <w:p w14:paraId="4496E66E" w14:textId="4BB7807C" w:rsidR="001E3E2A" w:rsidRPr="001E3E2A" w:rsidRDefault="001E3E2A">
      <w:pPr>
        <w:pStyle w:val="FootnoteText"/>
        <w:rPr>
          <w:lang w:val="en-CA"/>
        </w:rPr>
      </w:pPr>
      <w:r>
        <w:rPr>
          <w:rStyle w:val="FootnoteReference"/>
        </w:rPr>
        <w:footnoteRef/>
      </w:r>
      <w:r w:rsidR="002B04BD">
        <w:t xml:space="preserve"> Legislative Assembly of Ontario,</w:t>
      </w:r>
      <w:r>
        <w:t xml:space="preserve"> </w:t>
      </w:r>
      <w:r w:rsidRPr="002B04BD">
        <w:rPr>
          <w:i/>
          <w:iCs/>
        </w:rPr>
        <w:t>Bill 47, Protecting Human Rights in the Event of an Emergency Act (Emergency Power Generators)</w:t>
      </w:r>
      <w:r>
        <w:t xml:space="preserve">, </w:t>
      </w:r>
      <w:r w:rsidR="002B04BD">
        <w:t xml:space="preserve">2023, available at: </w:t>
      </w:r>
      <w:hyperlink r:id="rId14" w:history="1">
        <w:r w:rsidR="002B04BD" w:rsidRPr="00721B02">
          <w:rPr>
            <w:rStyle w:val="Hyperlink"/>
          </w:rPr>
          <w:t>https://www.ola.org/en/legislative-business/bills/parliament-43/session-1/bill-47</w:t>
        </w:r>
      </w:hyperlink>
      <w:r w:rsidR="002B04BD">
        <w:t xml:space="preserve"> </w:t>
      </w:r>
    </w:p>
  </w:footnote>
  <w:footnote w:id="16">
    <w:p w14:paraId="639E144B" w14:textId="7505D3C8" w:rsidR="00C16F8B" w:rsidRPr="00C16F8B" w:rsidRDefault="00C16F8B">
      <w:pPr>
        <w:pStyle w:val="FootnoteText"/>
        <w:rPr>
          <w:lang w:val="en-CA"/>
        </w:rPr>
      </w:pPr>
      <w:r>
        <w:rPr>
          <w:rStyle w:val="FootnoteReference"/>
        </w:rPr>
        <w:footnoteRef/>
      </w:r>
      <w:r>
        <w:t xml:space="preserve"> Raymond, Ted, “</w:t>
      </w:r>
      <w:r w:rsidRPr="00D36DF4">
        <w:rPr>
          <w:i/>
          <w:iCs/>
        </w:rPr>
        <w:t>Ottawa area MPP disappointed in lack of support for derecho-inspired generator bill</w:t>
      </w:r>
      <w:r>
        <w:t xml:space="preserve">,” CTV News Ottawa, February 22, 2023, available at: </w:t>
      </w:r>
      <w:hyperlink r:id="rId15" w:history="1">
        <w:r w:rsidRPr="00721B02">
          <w:rPr>
            <w:rStyle w:val="Hyperlink"/>
          </w:rPr>
          <w:t>https://ottawa.ctvnews.ca/ottawa-area-mpp-disappointed-in-lack-of-support-for-derecho-inspired-generator-bill-1.6285347</w:t>
        </w:r>
      </w:hyperlink>
      <w:r>
        <w:t xml:space="preserve"> </w:t>
      </w:r>
    </w:p>
  </w:footnote>
  <w:footnote w:id="17">
    <w:p w14:paraId="3608C235" w14:textId="45E53A8E" w:rsidR="00CB4A90" w:rsidRPr="00EC3CC0" w:rsidRDefault="00CB4A90" w:rsidP="00CB4A90">
      <w:pPr>
        <w:rPr>
          <w:rFonts w:cstheme="minorHAnsi"/>
          <w:color w:val="0563C1" w:themeColor="hyperlink"/>
          <w:sz w:val="20"/>
          <w:szCs w:val="20"/>
          <w:u w:val="single"/>
        </w:rPr>
      </w:pPr>
      <w:r w:rsidRPr="00EC3CC0">
        <w:rPr>
          <w:rStyle w:val="FootnoteReference"/>
          <w:rFonts w:cstheme="minorHAnsi"/>
          <w:sz w:val="20"/>
          <w:szCs w:val="20"/>
        </w:rPr>
        <w:footnoteRef/>
      </w:r>
      <w:r w:rsidRPr="00EC3CC0">
        <w:rPr>
          <w:rFonts w:cstheme="minorHAnsi"/>
          <w:sz w:val="20"/>
          <w:szCs w:val="20"/>
        </w:rPr>
        <w:t xml:space="preserve"> </w:t>
      </w:r>
      <w:r w:rsidRPr="00EC3CC0">
        <w:rPr>
          <w:rFonts w:cstheme="minorHAnsi"/>
          <w:sz w:val="20"/>
          <w:szCs w:val="20"/>
          <w:bdr w:val="none" w:sz="0" w:space="0" w:color="auto" w:frame="1"/>
        </w:rPr>
        <w:t>World Health Organization, “</w:t>
      </w:r>
      <w:r w:rsidRPr="00EC3CC0">
        <w:rPr>
          <w:rFonts w:cstheme="minorHAnsi"/>
          <w:i/>
          <w:iCs/>
          <w:sz w:val="20"/>
          <w:szCs w:val="20"/>
        </w:rPr>
        <w:t>Political Declaration of the High-level Meeting of the General Assembly on the Prevention and Control of Non-communicable Diseases</w:t>
      </w:r>
      <w:r w:rsidRPr="00EC3CC0">
        <w:rPr>
          <w:rFonts w:cstheme="minorHAnsi"/>
          <w:sz w:val="20"/>
          <w:szCs w:val="20"/>
        </w:rPr>
        <w:t xml:space="preserve">”, 2011, available at: </w:t>
      </w:r>
      <w:hyperlink r:id="rId16" w:history="1">
        <w:r w:rsidRPr="00EC3CC0">
          <w:rPr>
            <w:rStyle w:val="Hyperlink"/>
            <w:rFonts w:cstheme="minorHAnsi"/>
            <w:sz w:val="20"/>
            <w:szCs w:val="20"/>
          </w:rPr>
          <w:t>https://www.who.int/nmh/events/un_ncd_summit2011/political_declaration_en.pdf</w:t>
        </w:r>
      </w:hyperlink>
    </w:p>
  </w:footnote>
  <w:footnote w:id="18">
    <w:p w14:paraId="2AB9632F" w14:textId="40795F98" w:rsidR="003605BC" w:rsidRPr="00EC3CC0" w:rsidRDefault="003605BC" w:rsidP="00180A37">
      <w:pPr>
        <w:rPr>
          <w:rFonts w:eastAsiaTheme="majorEastAsia" w:cstheme="minorHAnsi"/>
          <w:color w:val="0563C1" w:themeColor="hyperlink"/>
          <w:sz w:val="20"/>
          <w:szCs w:val="20"/>
          <w:u w:val="single"/>
        </w:rPr>
      </w:pPr>
      <w:r w:rsidRPr="00EC3CC0">
        <w:rPr>
          <w:rStyle w:val="FootnoteReference"/>
          <w:rFonts w:cstheme="minorHAnsi"/>
          <w:sz w:val="20"/>
          <w:szCs w:val="20"/>
        </w:rPr>
        <w:footnoteRef/>
      </w:r>
      <w:r w:rsidRPr="00EC3CC0">
        <w:rPr>
          <w:rFonts w:cstheme="minorHAnsi"/>
          <w:sz w:val="20"/>
          <w:szCs w:val="20"/>
        </w:rPr>
        <w:t xml:space="preserve"> World Health Organization, “</w:t>
      </w:r>
      <w:r w:rsidRPr="00EC3CC0">
        <w:rPr>
          <w:rFonts w:cstheme="minorHAnsi"/>
          <w:i/>
          <w:iCs/>
          <w:sz w:val="20"/>
          <w:szCs w:val="20"/>
        </w:rPr>
        <w:t>Older people in emergencies: Considerations for action and policy development</w:t>
      </w:r>
      <w:r w:rsidRPr="00EC3CC0">
        <w:rPr>
          <w:rFonts w:cstheme="minorHAnsi"/>
          <w:sz w:val="20"/>
          <w:szCs w:val="20"/>
        </w:rPr>
        <w:t xml:space="preserve">,” 2008, available at: </w:t>
      </w:r>
      <w:hyperlink r:id="rId17" w:history="1">
        <w:r w:rsidRPr="00EC3CC0">
          <w:rPr>
            <w:rStyle w:val="Hyperlink"/>
            <w:rFonts w:eastAsiaTheme="majorEastAsia" w:cstheme="minorHAnsi"/>
            <w:sz w:val="20"/>
            <w:szCs w:val="20"/>
          </w:rPr>
          <w:t>https://extranet.who.int/agefriendlyworld/wp-content/uploads/2014/06/WHO-Older-Persons-in-Emergencies-Considerations-for-Action-and-Policy-Development-English.pdf</w:t>
        </w:r>
      </w:hyperlink>
    </w:p>
  </w:footnote>
  <w:footnote w:id="19">
    <w:p w14:paraId="46455B8B" w14:textId="3F2C2FA4" w:rsidR="007A3260" w:rsidRPr="00EC3CC0" w:rsidRDefault="007A3260" w:rsidP="00180A37">
      <w:pPr>
        <w:rPr>
          <w:rFonts w:cstheme="minorHAnsi"/>
          <w:sz w:val="20"/>
          <w:szCs w:val="20"/>
        </w:rPr>
      </w:pPr>
      <w:r w:rsidRPr="00EC3CC0">
        <w:rPr>
          <w:rStyle w:val="FootnoteReference"/>
          <w:rFonts w:cstheme="minorHAnsi"/>
          <w:sz w:val="20"/>
          <w:szCs w:val="20"/>
        </w:rPr>
        <w:footnoteRef/>
      </w:r>
      <w:r w:rsidRPr="00EC3CC0">
        <w:rPr>
          <w:rFonts w:cstheme="minorHAnsi"/>
          <w:sz w:val="20"/>
          <w:szCs w:val="20"/>
        </w:rPr>
        <w:t xml:space="preserve"> Canadian Red Cross &amp; National Institute on Aging, “</w:t>
      </w:r>
      <w:r w:rsidRPr="00EC3CC0">
        <w:rPr>
          <w:rFonts w:cstheme="minorHAnsi"/>
          <w:i/>
          <w:iCs/>
          <w:sz w:val="20"/>
          <w:szCs w:val="20"/>
        </w:rPr>
        <w:t>Closing the Gaps: Advancing Emergency Preparedness,</w:t>
      </w:r>
      <w:r w:rsidR="00CB4A90" w:rsidRPr="00EC3CC0">
        <w:rPr>
          <w:rFonts w:cstheme="minorHAnsi"/>
          <w:i/>
          <w:iCs/>
          <w:sz w:val="20"/>
          <w:szCs w:val="20"/>
        </w:rPr>
        <w:t xml:space="preserve"> </w:t>
      </w:r>
      <w:r w:rsidRPr="00EC3CC0">
        <w:rPr>
          <w:rFonts w:cstheme="minorHAnsi"/>
          <w:i/>
          <w:iCs/>
          <w:sz w:val="20"/>
          <w:szCs w:val="20"/>
        </w:rPr>
        <w:t>Response and Recovery for Older Adults</w:t>
      </w:r>
      <w:r w:rsidR="00CB4A90" w:rsidRPr="00EC3CC0">
        <w:rPr>
          <w:rFonts w:cstheme="minorHAnsi"/>
          <w:sz w:val="20"/>
          <w:szCs w:val="20"/>
        </w:rPr>
        <w:t>”,</w:t>
      </w:r>
      <w:r w:rsidRPr="00EC3CC0">
        <w:rPr>
          <w:rFonts w:cstheme="minorHAnsi"/>
          <w:sz w:val="20"/>
          <w:szCs w:val="20"/>
        </w:rPr>
        <w:t xml:space="preserve"> </w:t>
      </w:r>
      <w:r w:rsidR="00180A37" w:rsidRPr="00EC3CC0">
        <w:rPr>
          <w:rFonts w:cstheme="minorHAnsi"/>
          <w:sz w:val="20"/>
          <w:szCs w:val="20"/>
        </w:rPr>
        <w:t>2020, available at:</w:t>
      </w:r>
      <w:r w:rsidRPr="00EC3CC0">
        <w:rPr>
          <w:rFonts w:cstheme="minorHAnsi"/>
          <w:sz w:val="20"/>
          <w:szCs w:val="20"/>
        </w:rPr>
        <w:t xml:space="preserve"> </w:t>
      </w:r>
      <w:hyperlink r:id="rId18" w:history="1">
        <w:r w:rsidRPr="00EC3CC0">
          <w:rPr>
            <w:rStyle w:val="Hyperlink"/>
            <w:rFonts w:cstheme="minorHAnsi"/>
            <w:sz w:val="20"/>
            <w:szCs w:val="20"/>
          </w:rPr>
          <w:t>https://static1.squarespace.com/static/5c2fa7b03917eed9b5a436d8/t/5fd2410d9db3cd0795e984ed/1607614734474/CRC_WhitePaper_EN.pdf</w:t>
        </w:r>
      </w:hyperlink>
    </w:p>
  </w:footnote>
  <w:footnote w:id="20">
    <w:p w14:paraId="54B508BC" w14:textId="56F0A70F" w:rsidR="007A3260" w:rsidRPr="00EC3CC0" w:rsidRDefault="007A3260">
      <w:pPr>
        <w:pStyle w:val="FootnoteText"/>
        <w:rPr>
          <w:rFonts w:cstheme="minorHAnsi"/>
          <w:lang w:val="en-CA"/>
        </w:rPr>
      </w:pPr>
      <w:r w:rsidRPr="00EC3CC0">
        <w:rPr>
          <w:rStyle w:val="FootnoteReference"/>
          <w:rFonts w:cstheme="minorHAnsi"/>
        </w:rPr>
        <w:footnoteRef/>
      </w:r>
      <w:r w:rsidRPr="00EC3CC0">
        <w:rPr>
          <w:rFonts w:cstheme="minorHAnsi"/>
        </w:rPr>
        <w:t xml:space="preserve"> </w:t>
      </w:r>
      <w:r w:rsidRPr="00EC3CC0">
        <w:rPr>
          <w:rFonts w:cstheme="minorHAnsi"/>
          <w:b/>
          <w:bCs/>
          <w:i/>
          <w:iCs/>
          <w:lang w:val="en-CA"/>
        </w:rPr>
        <w:t xml:space="preserve">Supra, </w:t>
      </w:r>
      <w:r w:rsidRPr="00EC3CC0">
        <w:rPr>
          <w:rFonts w:cstheme="minorHAnsi"/>
          <w:lang w:val="en-CA"/>
        </w:rPr>
        <w:t>note</w:t>
      </w:r>
      <w:r w:rsidR="00CB4A90" w:rsidRPr="00EC3CC0">
        <w:rPr>
          <w:rFonts w:cstheme="minorHAnsi"/>
          <w:lang w:val="en-CA"/>
        </w:rPr>
        <w:t xml:space="preserve"> 1</w:t>
      </w:r>
      <w:r w:rsidR="00572334">
        <w:rPr>
          <w:rFonts w:cstheme="minorHAnsi"/>
          <w:lang w:val="en-CA"/>
        </w:rPr>
        <w:t>8</w:t>
      </w:r>
      <w:r w:rsidRPr="00EC3CC0">
        <w:rPr>
          <w:rFonts w:cstheme="minorHAnsi"/>
          <w:lang w:val="en-CA"/>
        </w:rPr>
        <w:t>.</w:t>
      </w:r>
    </w:p>
  </w:footnote>
  <w:footnote w:id="21">
    <w:p w14:paraId="5BFAAE46" w14:textId="55EEAC5F" w:rsidR="001514CA" w:rsidRPr="001514CA" w:rsidRDefault="001514CA">
      <w:pPr>
        <w:pStyle w:val="FootnoteText"/>
        <w:rPr>
          <w:lang w:val="en-CA"/>
        </w:rPr>
      </w:pPr>
      <w:r>
        <w:rPr>
          <w:rStyle w:val="FootnoteReference"/>
        </w:rPr>
        <w:footnoteRef/>
      </w:r>
      <w:r>
        <w:t xml:space="preserve"> </w:t>
      </w:r>
      <w:r>
        <w:rPr>
          <w:lang w:val="en-CA"/>
        </w:rPr>
        <w:t xml:space="preserve">Public Health Agency of Canada, </w:t>
      </w:r>
      <w:r>
        <w:rPr>
          <w:i/>
          <w:iCs/>
          <w:lang w:val="en-CA"/>
        </w:rPr>
        <w:t xml:space="preserve">“Building a Global Framework to Address the Needs and Contributions of Older Persons in Emergencies”, </w:t>
      </w:r>
      <w:r>
        <w:rPr>
          <w:lang w:val="en-CA"/>
        </w:rPr>
        <w:t xml:space="preserve">2008, available at: </w:t>
      </w:r>
      <w:hyperlink r:id="rId19" w:history="1">
        <w:r w:rsidRPr="00721B02">
          <w:rPr>
            <w:rStyle w:val="Hyperlink"/>
            <w:lang w:val="en-CA"/>
          </w:rPr>
          <w:t>https://www.canada.ca/content/dam/phac-aspc/migration/phac-aspc/seniors-aines/alt-formats/pdf/publications/pro/emergency-urgence/global-mondial/global-eng.pdf</w:t>
        </w:r>
      </w:hyperlink>
      <w:r>
        <w:rPr>
          <w:lang w:val="en-CA"/>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6F7CE" w14:textId="77777777" w:rsidR="00612A17" w:rsidRDefault="00612A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F940F" w14:textId="77777777" w:rsidR="00612A17" w:rsidRDefault="00612A1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7D139" w14:textId="77777777" w:rsidR="00612A17" w:rsidRDefault="00612A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790DD7"/>
    <w:multiLevelType w:val="multilevel"/>
    <w:tmpl w:val="5F4EA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DC4577"/>
    <w:multiLevelType w:val="hybridMultilevel"/>
    <w:tmpl w:val="2F44C8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6412615">
    <w:abstractNumId w:val="0"/>
  </w:num>
  <w:num w:numId="2" w16cid:durableId="76573584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12D"/>
    <w:rsid w:val="00005A3B"/>
    <w:rsid w:val="000413A3"/>
    <w:rsid w:val="00063BA9"/>
    <w:rsid w:val="000855F9"/>
    <w:rsid w:val="00095953"/>
    <w:rsid w:val="000A157C"/>
    <w:rsid w:val="000C1DAB"/>
    <w:rsid w:val="000D150F"/>
    <w:rsid w:val="000D2A95"/>
    <w:rsid w:val="000E7F19"/>
    <w:rsid w:val="001054E0"/>
    <w:rsid w:val="00112ED5"/>
    <w:rsid w:val="00114ECB"/>
    <w:rsid w:val="00123433"/>
    <w:rsid w:val="00140DE2"/>
    <w:rsid w:val="00144815"/>
    <w:rsid w:val="001514CA"/>
    <w:rsid w:val="00180A37"/>
    <w:rsid w:val="00184C1C"/>
    <w:rsid w:val="00185AB5"/>
    <w:rsid w:val="00191919"/>
    <w:rsid w:val="001E3E2A"/>
    <w:rsid w:val="001F5C3F"/>
    <w:rsid w:val="00201420"/>
    <w:rsid w:val="0020501D"/>
    <w:rsid w:val="00210E61"/>
    <w:rsid w:val="00221C26"/>
    <w:rsid w:val="00252CD8"/>
    <w:rsid w:val="00270A5B"/>
    <w:rsid w:val="00290358"/>
    <w:rsid w:val="0029201F"/>
    <w:rsid w:val="002B04BD"/>
    <w:rsid w:val="002C4ADE"/>
    <w:rsid w:val="002C4C5B"/>
    <w:rsid w:val="002D0532"/>
    <w:rsid w:val="003058EB"/>
    <w:rsid w:val="00306E97"/>
    <w:rsid w:val="003122D5"/>
    <w:rsid w:val="0032073A"/>
    <w:rsid w:val="0032366C"/>
    <w:rsid w:val="00352C1F"/>
    <w:rsid w:val="00355ECE"/>
    <w:rsid w:val="003605BC"/>
    <w:rsid w:val="003A1A7F"/>
    <w:rsid w:val="003A3B2C"/>
    <w:rsid w:val="003B4D68"/>
    <w:rsid w:val="003C19A6"/>
    <w:rsid w:val="003C5EBC"/>
    <w:rsid w:val="003D3FCA"/>
    <w:rsid w:val="003E143F"/>
    <w:rsid w:val="003F73B4"/>
    <w:rsid w:val="00412A97"/>
    <w:rsid w:val="00415825"/>
    <w:rsid w:val="0042018F"/>
    <w:rsid w:val="004540A7"/>
    <w:rsid w:val="004C45E6"/>
    <w:rsid w:val="004D04C8"/>
    <w:rsid w:val="004F2064"/>
    <w:rsid w:val="00524EFC"/>
    <w:rsid w:val="00535A01"/>
    <w:rsid w:val="00571B76"/>
    <w:rsid w:val="00572334"/>
    <w:rsid w:val="00585655"/>
    <w:rsid w:val="0059459B"/>
    <w:rsid w:val="005C4C4E"/>
    <w:rsid w:val="005C74F6"/>
    <w:rsid w:val="005E67B8"/>
    <w:rsid w:val="00612A17"/>
    <w:rsid w:val="006134F8"/>
    <w:rsid w:val="0062157A"/>
    <w:rsid w:val="00637646"/>
    <w:rsid w:val="006655E6"/>
    <w:rsid w:val="0067003B"/>
    <w:rsid w:val="006749BD"/>
    <w:rsid w:val="006A30F3"/>
    <w:rsid w:val="006B00A6"/>
    <w:rsid w:val="006C1396"/>
    <w:rsid w:val="006C77E3"/>
    <w:rsid w:val="006E7436"/>
    <w:rsid w:val="006F01C4"/>
    <w:rsid w:val="006F0E7C"/>
    <w:rsid w:val="006F39BB"/>
    <w:rsid w:val="007039DD"/>
    <w:rsid w:val="007341D5"/>
    <w:rsid w:val="00741E7A"/>
    <w:rsid w:val="0074549A"/>
    <w:rsid w:val="0076790E"/>
    <w:rsid w:val="00776C90"/>
    <w:rsid w:val="007A3260"/>
    <w:rsid w:val="007A524B"/>
    <w:rsid w:val="007D3C87"/>
    <w:rsid w:val="00801627"/>
    <w:rsid w:val="008021DA"/>
    <w:rsid w:val="00834067"/>
    <w:rsid w:val="008418D7"/>
    <w:rsid w:val="00842CA7"/>
    <w:rsid w:val="00853548"/>
    <w:rsid w:val="00857D40"/>
    <w:rsid w:val="0088571E"/>
    <w:rsid w:val="008A3F70"/>
    <w:rsid w:val="008A6EF8"/>
    <w:rsid w:val="008C0345"/>
    <w:rsid w:val="008E1A94"/>
    <w:rsid w:val="008E5006"/>
    <w:rsid w:val="008F690C"/>
    <w:rsid w:val="009066E8"/>
    <w:rsid w:val="00906DAB"/>
    <w:rsid w:val="00916852"/>
    <w:rsid w:val="009171B2"/>
    <w:rsid w:val="009176CC"/>
    <w:rsid w:val="00930DC2"/>
    <w:rsid w:val="0094271B"/>
    <w:rsid w:val="00981B15"/>
    <w:rsid w:val="00984995"/>
    <w:rsid w:val="00997605"/>
    <w:rsid w:val="009A383C"/>
    <w:rsid w:val="009B02E9"/>
    <w:rsid w:val="009B330A"/>
    <w:rsid w:val="009B4A58"/>
    <w:rsid w:val="009F1F95"/>
    <w:rsid w:val="00A26126"/>
    <w:rsid w:val="00A33800"/>
    <w:rsid w:val="00A3551E"/>
    <w:rsid w:val="00A40F95"/>
    <w:rsid w:val="00A47468"/>
    <w:rsid w:val="00A67C13"/>
    <w:rsid w:val="00A72AA3"/>
    <w:rsid w:val="00AA2F6D"/>
    <w:rsid w:val="00AA3801"/>
    <w:rsid w:val="00AB6E95"/>
    <w:rsid w:val="00AC7129"/>
    <w:rsid w:val="00B14AFF"/>
    <w:rsid w:val="00B178AB"/>
    <w:rsid w:val="00B220B5"/>
    <w:rsid w:val="00B22230"/>
    <w:rsid w:val="00B25E38"/>
    <w:rsid w:val="00B45EC8"/>
    <w:rsid w:val="00BA527B"/>
    <w:rsid w:val="00BB2C6A"/>
    <w:rsid w:val="00C16F8B"/>
    <w:rsid w:val="00C31A00"/>
    <w:rsid w:val="00C67673"/>
    <w:rsid w:val="00C8192D"/>
    <w:rsid w:val="00C824CA"/>
    <w:rsid w:val="00CB4A90"/>
    <w:rsid w:val="00CC0E8B"/>
    <w:rsid w:val="00CC2917"/>
    <w:rsid w:val="00CD267C"/>
    <w:rsid w:val="00CE7425"/>
    <w:rsid w:val="00CF77AE"/>
    <w:rsid w:val="00D0363D"/>
    <w:rsid w:val="00D17D69"/>
    <w:rsid w:val="00D266CD"/>
    <w:rsid w:val="00D36DF4"/>
    <w:rsid w:val="00D37ADE"/>
    <w:rsid w:val="00D56C01"/>
    <w:rsid w:val="00D712CE"/>
    <w:rsid w:val="00D82798"/>
    <w:rsid w:val="00D8412D"/>
    <w:rsid w:val="00D963D8"/>
    <w:rsid w:val="00DC197C"/>
    <w:rsid w:val="00E10A76"/>
    <w:rsid w:val="00E11A6A"/>
    <w:rsid w:val="00E177CA"/>
    <w:rsid w:val="00E43429"/>
    <w:rsid w:val="00E45416"/>
    <w:rsid w:val="00E63488"/>
    <w:rsid w:val="00E84F9A"/>
    <w:rsid w:val="00E87696"/>
    <w:rsid w:val="00E97222"/>
    <w:rsid w:val="00EB0D26"/>
    <w:rsid w:val="00EB5525"/>
    <w:rsid w:val="00EC3CC0"/>
    <w:rsid w:val="00ED1A38"/>
    <w:rsid w:val="00ED3E5B"/>
    <w:rsid w:val="00EE6C69"/>
    <w:rsid w:val="00EF498F"/>
    <w:rsid w:val="00EF4EB6"/>
    <w:rsid w:val="00EF7165"/>
    <w:rsid w:val="00F048FF"/>
    <w:rsid w:val="00F0583D"/>
    <w:rsid w:val="00F058D4"/>
    <w:rsid w:val="00F151FB"/>
    <w:rsid w:val="00F1600C"/>
    <w:rsid w:val="00F4422A"/>
    <w:rsid w:val="00F94A5D"/>
    <w:rsid w:val="00FB2D43"/>
    <w:rsid w:val="00FC5765"/>
    <w:rsid w:val="00FD22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61C797"/>
  <w14:defaultImageDpi w14:val="32767"/>
  <w15:chartTrackingRefBased/>
  <w15:docId w15:val="{BE94F27D-719C-154F-B74B-89FECF52E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540A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F4422A"/>
    <w:pPr>
      <w:spacing w:before="100" w:beforeAutospacing="1" w:after="100" w:afterAutospacing="1"/>
      <w:outlineLvl w:val="1"/>
    </w:pPr>
    <w:rPr>
      <w:rFonts w:ascii="Times New Roman" w:eastAsia="Times New Roman" w:hAnsi="Times New Roman" w:cs="Times New Roman"/>
      <w:b/>
      <w:bCs/>
      <w:kern w:val="0"/>
      <w:sz w:val="36"/>
      <w:szCs w:val="36"/>
      <w:lang w:val="en-CA"/>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8412D"/>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apple-converted-space">
    <w:name w:val="apple-converted-space"/>
    <w:basedOn w:val="DefaultParagraphFont"/>
    <w:rsid w:val="00D8412D"/>
  </w:style>
  <w:style w:type="paragraph" w:styleId="FootnoteText">
    <w:name w:val="footnote text"/>
    <w:basedOn w:val="Normal"/>
    <w:link w:val="FootnoteTextChar"/>
    <w:uiPriority w:val="99"/>
    <w:semiHidden/>
    <w:unhideWhenUsed/>
    <w:rsid w:val="00C8192D"/>
    <w:rPr>
      <w:sz w:val="20"/>
      <w:szCs w:val="20"/>
    </w:rPr>
  </w:style>
  <w:style w:type="character" w:customStyle="1" w:styleId="FootnoteTextChar">
    <w:name w:val="Footnote Text Char"/>
    <w:basedOn w:val="DefaultParagraphFont"/>
    <w:link w:val="FootnoteText"/>
    <w:uiPriority w:val="99"/>
    <w:semiHidden/>
    <w:rsid w:val="00C8192D"/>
    <w:rPr>
      <w:sz w:val="20"/>
      <w:szCs w:val="20"/>
    </w:rPr>
  </w:style>
  <w:style w:type="character" w:styleId="FootnoteReference">
    <w:name w:val="footnote reference"/>
    <w:basedOn w:val="DefaultParagraphFont"/>
    <w:uiPriority w:val="99"/>
    <w:semiHidden/>
    <w:unhideWhenUsed/>
    <w:rsid w:val="00C8192D"/>
    <w:rPr>
      <w:vertAlign w:val="superscript"/>
    </w:rPr>
  </w:style>
  <w:style w:type="character" w:styleId="Hyperlink">
    <w:name w:val="Hyperlink"/>
    <w:basedOn w:val="DefaultParagraphFont"/>
    <w:uiPriority w:val="99"/>
    <w:unhideWhenUsed/>
    <w:rsid w:val="00C8192D"/>
    <w:rPr>
      <w:color w:val="0563C1" w:themeColor="hyperlink"/>
      <w:u w:val="single"/>
    </w:rPr>
  </w:style>
  <w:style w:type="character" w:styleId="UnresolvedMention">
    <w:name w:val="Unresolved Mention"/>
    <w:basedOn w:val="DefaultParagraphFont"/>
    <w:uiPriority w:val="99"/>
    <w:rsid w:val="00C8192D"/>
    <w:rPr>
      <w:color w:val="605E5C"/>
      <w:shd w:val="clear" w:color="auto" w:fill="E1DFDD"/>
    </w:rPr>
  </w:style>
  <w:style w:type="character" w:styleId="FollowedHyperlink">
    <w:name w:val="FollowedHyperlink"/>
    <w:basedOn w:val="DefaultParagraphFont"/>
    <w:uiPriority w:val="99"/>
    <w:semiHidden/>
    <w:unhideWhenUsed/>
    <w:rsid w:val="00F151FB"/>
    <w:rPr>
      <w:color w:val="954F72" w:themeColor="followedHyperlink"/>
      <w:u w:val="single"/>
    </w:rPr>
  </w:style>
  <w:style w:type="paragraph" w:customStyle="1" w:styleId="clause-e">
    <w:name w:val="clause-e"/>
    <w:basedOn w:val="Normal"/>
    <w:rsid w:val="009171B2"/>
    <w:pPr>
      <w:spacing w:before="100" w:beforeAutospacing="1" w:after="100" w:afterAutospacing="1"/>
    </w:pPr>
    <w:rPr>
      <w:rFonts w:ascii="Times New Roman" w:eastAsia="Times New Roman" w:hAnsi="Times New Roman" w:cs="Times New Roman"/>
      <w:kern w:val="0"/>
      <w:lang w:val="en-CA"/>
      <w14:ligatures w14:val="none"/>
    </w:rPr>
  </w:style>
  <w:style w:type="character" w:customStyle="1" w:styleId="Heading2Char">
    <w:name w:val="Heading 2 Char"/>
    <w:basedOn w:val="DefaultParagraphFont"/>
    <w:link w:val="Heading2"/>
    <w:uiPriority w:val="9"/>
    <w:rsid w:val="00F4422A"/>
    <w:rPr>
      <w:rFonts w:ascii="Times New Roman" w:eastAsia="Times New Roman" w:hAnsi="Times New Roman" w:cs="Times New Roman"/>
      <w:b/>
      <w:bCs/>
      <w:kern w:val="0"/>
      <w:sz w:val="36"/>
      <w:szCs w:val="36"/>
      <w:lang w:val="en-CA"/>
      <w14:ligatures w14:val="none"/>
    </w:rPr>
  </w:style>
  <w:style w:type="character" w:customStyle="1" w:styleId="Heading1Char">
    <w:name w:val="Heading 1 Char"/>
    <w:basedOn w:val="DefaultParagraphFont"/>
    <w:link w:val="Heading1"/>
    <w:uiPriority w:val="9"/>
    <w:rsid w:val="004540A7"/>
    <w:rPr>
      <w:rFonts w:asciiTheme="majorHAnsi" w:eastAsiaTheme="majorEastAsia" w:hAnsiTheme="majorHAnsi" w:cstheme="majorBidi"/>
      <w:color w:val="2F5496" w:themeColor="accent1" w:themeShade="BF"/>
      <w:sz w:val="32"/>
      <w:szCs w:val="32"/>
    </w:rPr>
  </w:style>
  <w:style w:type="paragraph" w:customStyle="1" w:styleId="Default">
    <w:name w:val="Default"/>
    <w:rsid w:val="00CB4A90"/>
    <w:pPr>
      <w:autoSpaceDE w:val="0"/>
      <w:autoSpaceDN w:val="0"/>
      <w:adjustRightInd w:val="0"/>
    </w:pPr>
    <w:rPr>
      <w:rFonts w:ascii="Bliss Pro" w:hAnsi="Bliss Pro" w:cs="Bliss Pro"/>
      <w:color w:val="000000"/>
      <w:kern w:val="0"/>
      <w:lang w:val="en-CA"/>
      <w14:ligatures w14:val="none"/>
    </w:rPr>
  </w:style>
  <w:style w:type="paragraph" w:styleId="Footer">
    <w:name w:val="footer"/>
    <w:basedOn w:val="Normal"/>
    <w:link w:val="FooterChar"/>
    <w:uiPriority w:val="99"/>
    <w:unhideWhenUsed/>
    <w:rsid w:val="006749BD"/>
    <w:pPr>
      <w:tabs>
        <w:tab w:val="center" w:pos="4680"/>
        <w:tab w:val="right" w:pos="9360"/>
      </w:tabs>
    </w:pPr>
  </w:style>
  <w:style w:type="character" w:customStyle="1" w:styleId="FooterChar">
    <w:name w:val="Footer Char"/>
    <w:basedOn w:val="DefaultParagraphFont"/>
    <w:link w:val="Footer"/>
    <w:uiPriority w:val="99"/>
    <w:rsid w:val="006749BD"/>
  </w:style>
  <w:style w:type="character" w:styleId="PageNumber">
    <w:name w:val="page number"/>
    <w:basedOn w:val="DefaultParagraphFont"/>
    <w:uiPriority w:val="99"/>
    <w:semiHidden/>
    <w:unhideWhenUsed/>
    <w:rsid w:val="006749BD"/>
  </w:style>
  <w:style w:type="paragraph" w:styleId="Header">
    <w:name w:val="header"/>
    <w:basedOn w:val="Normal"/>
    <w:link w:val="HeaderChar"/>
    <w:uiPriority w:val="99"/>
    <w:unhideWhenUsed/>
    <w:rsid w:val="00D36DF4"/>
    <w:pPr>
      <w:tabs>
        <w:tab w:val="center" w:pos="4680"/>
        <w:tab w:val="right" w:pos="9360"/>
      </w:tabs>
    </w:pPr>
  </w:style>
  <w:style w:type="character" w:customStyle="1" w:styleId="HeaderChar">
    <w:name w:val="Header Char"/>
    <w:basedOn w:val="DefaultParagraphFont"/>
    <w:link w:val="Header"/>
    <w:uiPriority w:val="99"/>
    <w:rsid w:val="00D36DF4"/>
  </w:style>
  <w:style w:type="character" w:styleId="CommentReference">
    <w:name w:val="annotation reference"/>
    <w:basedOn w:val="DefaultParagraphFont"/>
    <w:uiPriority w:val="99"/>
    <w:semiHidden/>
    <w:unhideWhenUsed/>
    <w:rsid w:val="004D04C8"/>
    <w:rPr>
      <w:sz w:val="16"/>
      <w:szCs w:val="16"/>
    </w:rPr>
  </w:style>
  <w:style w:type="paragraph" w:styleId="CommentText">
    <w:name w:val="annotation text"/>
    <w:basedOn w:val="Normal"/>
    <w:link w:val="CommentTextChar"/>
    <w:uiPriority w:val="99"/>
    <w:semiHidden/>
    <w:unhideWhenUsed/>
    <w:rsid w:val="004D04C8"/>
    <w:rPr>
      <w:sz w:val="20"/>
      <w:szCs w:val="20"/>
    </w:rPr>
  </w:style>
  <w:style w:type="character" w:customStyle="1" w:styleId="CommentTextChar">
    <w:name w:val="Comment Text Char"/>
    <w:basedOn w:val="DefaultParagraphFont"/>
    <w:link w:val="CommentText"/>
    <w:uiPriority w:val="99"/>
    <w:semiHidden/>
    <w:rsid w:val="004D04C8"/>
    <w:rPr>
      <w:sz w:val="20"/>
      <w:szCs w:val="20"/>
    </w:rPr>
  </w:style>
  <w:style w:type="paragraph" w:styleId="CommentSubject">
    <w:name w:val="annotation subject"/>
    <w:basedOn w:val="CommentText"/>
    <w:next w:val="CommentText"/>
    <w:link w:val="CommentSubjectChar"/>
    <w:uiPriority w:val="99"/>
    <w:semiHidden/>
    <w:unhideWhenUsed/>
    <w:rsid w:val="004D04C8"/>
    <w:rPr>
      <w:b/>
      <w:bCs/>
    </w:rPr>
  </w:style>
  <w:style w:type="character" w:customStyle="1" w:styleId="CommentSubjectChar">
    <w:name w:val="Comment Subject Char"/>
    <w:basedOn w:val="CommentTextChar"/>
    <w:link w:val="CommentSubject"/>
    <w:uiPriority w:val="99"/>
    <w:semiHidden/>
    <w:rsid w:val="004D04C8"/>
    <w:rPr>
      <w:b/>
      <w:bCs/>
      <w:sz w:val="20"/>
      <w:szCs w:val="20"/>
    </w:rPr>
  </w:style>
  <w:style w:type="paragraph" w:styleId="Revision">
    <w:name w:val="Revision"/>
    <w:hidden/>
    <w:uiPriority w:val="99"/>
    <w:semiHidden/>
    <w:rsid w:val="004D04C8"/>
  </w:style>
  <w:style w:type="paragraph" w:styleId="EndnoteText">
    <w:name w:val="endnote text"/>
    <w:basedOn w:val="Normal"/>
    <w:link w:val="EndnoteTextChar"/>
    <w:uiPriority w:val="99"/>
    <w:semiHidden/>
    <w:unhideWhenUsed/>
    <w:rsid w:val="006F01C4"/>
    <w:rPr>
      <w:sz w:val="20"/>
      <w:szCs w:val="20"/>
    </w:rPr>
  </w:style>
  <w:style w:type="character" w:customStyle="1" w:styleId="EndnoteTextChar">
    <w:name w:val="Endnote Text Char"/>
    <w:basedOn w:val="DefaultParagraphFont"/>
    <w:link w:val="EndnoteText"/>
    <w:uiPriority w:val="99"/>
    <w:semiHidden/>
    <w:rsid w:val="006F01C4"/>
    <w:rPr>
      <w:sz w:val="20"/>
      <w:szCs w:val="20"/>
    </w:rPr>
  </w:style>
  <w:style w:type="character" w:styleId="EndnoteReference">
    <w:name w:val="endnote reference"/>
    <w:basedOn w:val="DefaultParagraphFont"/>
    <w:uiPriority w:val="99"/>
    <w:semiHidden/>
    <w:unhideWhenUsed/>
    <w:rsid w:val="006F01C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544910">
      <w:bodyDiv w:val="1"/>
      <w:marLeft w:val="0"/>
      <w:marRight w:val="0"/>
      <w:marTop w:val="0"/>
      <w:marBottom w:val="0"/>
      <w:divBdr>
        <w:top w:val="none" w:sz="0" w:space="0" w:color="auto"/>
        <w:left w:val="none" w:sz="0" w:space="0" w:color="auto"/>
        <w:bottom w:val="none" w:sz="0" w:space="0" w:color="auto"/>
        <w:right w:val="none" w:sz="0" w:space="0" w:color="auto"/>
      </w:divBdr>
      <w:divsChild>
        <w:div w:id="1621256443">
          <w:marLeft w:val="0"/>
          <w:marRight w:val="0"/>
          <w:marTop w:val="0"/>
          <w:marBottom w:val="0"/>
          <w:divBdr>
            <w:top w:val="none" w:sz="0" w:space="0" w:color="auto"/>
            <w:left w:val="none" w:sz="0" w:space="0" w:color="auto"/>
            <w:bottom w:val="none" w:sz="0" w:space="0" w:color="auto"/>
            <w:right w:val="none" w:sz="0" w:space="0" w:color="auto"/>
          </w:divBdr>
          <w:divsChild>
            <w:div w:id="1949460433">
              <w:marLeft w:val="0"/>
              <w:marRight w:val="0"/>
              <w:marTop w:val="0"/>
              <w:marBottom w:val="0"/>
              <w:divBdr>
                <w:top w:val="none" w:sz="0" w:space="0" w:color="auto"/>
                <w:left w:val="none" w:sz="0" w:space="0" w:color="auto"/>
                <w:bottom w:val="none" w:sz="0" w:space="0" w:color="auto"/>
                <w:right w:val="none" w:sz="0" w:space="0" w:color="auto"/>
              </w:divBdr>
              <w:divsChild>
                <w:div w:id="953437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23906">
      <w:bodyDiv w:val="1"/>
      <w:marLeft w:val="0"/>
      <w:marRight w:val="0"/>
      <w:marTop w:val="0"/>
      <w:marBottom w:val="0"/>
      <w:divBdr>
        <w:top w:val="none" w:sz="0" w:space="0" w:color="auto"/>
        <w:left w:val="none" w:sz="0" w:space="0" w:color="auto"/>
        <w:bottom w:val="none" w:sz="0" w:space="0" w:color="auto"/>
        <w:right w:val="none" w:sz="0" w:space="0" w:color="auto"/>
      </w:divBdr>
    </w:div>
    <w:div w:id="182137864">
      <w:bodyDiv w:val="1"/>
      <w:marLeft w:val="0"/>
      <w:marRight w:val="0"/>
      <w:marTop w:val="0"/>
      <w:marBottom w:val="0"/>
      <w:divBdr>
        <w:top w:val="none" w:sz="0" w:space="0" w:color="auto"/>
        <w:left w:val="none" w:sz="0" w:space="0" w:color="auto"/>
        <w:bottom w:val="none" w:sz="0" w:space="0" w:color="auto"/>
        <w:right w:val="none" w:sz="0" w:space="0" w:color="auto"/>
      </w:divBdr>
      <w:divsChild>
        <w:div w:id="351535798">
          <w:marLeft w:val="0"/>
          <w:marRight w:val="0"/>
          <w:marTop w:val="0"/>
          <w:marBottom w:val="0"/>
          <w:divBdr>
            <w:top w:val="none" w:sz="0" w:space="0" w:color="auto"/>
            <w:left w:val="none" w:sz="0" w:space="0" w:color="auto"/>
            <w:bottom w:val="none" w:sz="0" w:space="0" w:color="auto"/>
            <w:right w:val="none" w:sz="0" w:space="0" w:color="auto"/>
          </w:divBdr>
          <w:divsChild>
            <w:div w:id="780564192">
              <w:marLeft w:val="0"/>
              <w:marRight w:val="0"/>
              <w:marTop w:val="0"/>
              <w:marBottom w:val="0"/>
              <w:divBdr>
                <w:top w:val="none" w:sz="0" w:space="0" w:color="auto"/>
                <w:left w:val="none" w:sz="0" w:space="0" w:color="auto"/>
                <w:bottom w:val="none" w:sz="0" w:space="0" w:color="auto"/>
                <w:right w:val="none" w:sz="0" w:space="0" w:color="auto"/>
              </w:divBdr>
              <w:divsChild>
                <w:div w:id="811096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676920">
      <w:bodyDiv w:val="1"/>
      <w:marLeft w:val="0"/>
      <w:marRight w:val="0"/>
      <w:marTop w:val="0"/>
      <w:marBottom w:val="0"/>
      <w:divBdr>
        <w:top w:val="none" w:sz="0" w:space="0" w:color="auto"/>
        <w:left w:val="none" w:sz="0" w:space="0" w:color="auto"/>
        <w:bottom w:val="none" w:sz="0" w:space="0" w:color="auto"/>
        <w:right w:val="none" w:sz="0" w:space="0" w:color="auto"/>
      </w:divBdr>
    </w:div>
    <w:div w:id="249051591">
      <w:bodyDiv w:val="1"/>
      <w:marLeft w:val="0"/>
      <w:marRight w:val="0"/>
      <w:marTop w:val="0"/>
      <w:marBottom w:val="0"/>
      <w:divBdr>
        <w:top w:val="none" w:sz="0" w:space="0" w:color="auto"/>
        <w:left w:val="none" w:sz="0" w:space="0" w:color="auto"/>
        <w:bottom w:val="none" w:sz="0" w:space="0" w:color="auto"/>
        <w:right w:val="none" w:sz="0" w:space="0" w:color="auto"/>
      </w:divBdr>
      <w:divsChild>
        <w:div w:id="370038407">
          <w:marLeft w:val="0"/>
          <w:marRight w:val="0"/>
          <w:marTop w:val="0"/>
          <w:marBottom w:val="0"/>
          <w:divBdr>
            <w:top w:val="none" w:sz="0" w:space="0" w:color="auto"/>
            <w:left w:val="none" w:sz="0" w:space="0" w:color="auto"/>
            <w:bottom w:val="none" w:sz="0" w:space="0" w:color="auto"/>
            <w:right w:val="none" w:sz="0" w:space="0" w:color="auto"/>
          </w:divBdr>
          <w:divsChild>
            <w:div w:id="2035957705">
              <w:marLeft w:val="0"/>
              <w:marRight w:val="0"/>
              <w:marTop w:val="0"/>
              <w:marBottom w:val="0"/>
              <w:divBdr>
                <w:top w:val="none" w:sz="0" w:space="0" w:color="auto"/>
                <w:left w:val="none" w:sz="0" w:space="0" w:color="auto"/>
                <w:bottom w:val="none" w:sz="0" w:space="0" w:color="auto"/>
                <w:right w:val="none" w:sz="0" w:space="0" w:color="auto"/>
              </w:divBdr>
              <w:divsChild>
                <w:div w:id="776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53304">
      <w:bodyDiv w:val="1"/>
      <w:marLeft w:val="0"/>
      <w:marRight w:val="0"/>
      <w:marTop w:val="0"/>
      <w:marBottom w:val="0"/>
      <w:divBdr>
        <w:top w:val="none" w:sz="0" w:space="0" w:color="auto"/>
        <w:left w:val="none" w:sz="0" w:space="0" w:color="auto"/>
        <w:bottom w:val="none" w:sz="0" w:space="0" w:color="auto"/>
        <w:right w:val="none" w:sz="0" w:space="0" w:color="auto"/>
      </w:divBdr>
    </w:div>
    <w:div w:id="371422218">
      <w:bodyDiv w:val="1"/>
      <w:marLeft w:val="0"/>
      <w:marRight w:val="0"/>
      <w:marTop w:val="0"/>
      <w:marBottom w:val="0"/>
      <w:divBdr>
        <w:top w:val="none" w:sz="0" w:space="0" w:color="auto"/>
        <w:left w:val="none" w:sz="0" w:space="0" w:color="auto"/>
        <w:bottom w:val="none" w:sz="0" w:space="0" w:color="auto"/>
        <w:right w:val="none" w:sz="0" w:space="0" w:color="auto"/>
      </w:divBdr>
    </w:div>
    <w:div w:id="419061357">
      <w:bodyDiv w:val="1"/>
      <w:marLeft w:val="0"/>
      <w:marRight w:val="0"/>
      <w:marTop w:val="0"/>
      <w:marBottom w:val="0"/>
      <w:divBdr>
        <w:top w:val="none" w:sz="0" w:space="0" w:color="auto"/>
        <w:left w:val="none" w:sz="0" w:space="0" w:color="auto"/>
        <w:bottom w:val="none" w:sz="0" w:space="0" w:color="auto"/>
        <w:right w:val="none" w:sz="0" w:space="0" w:color="auto"/>
      </w:divBdr>
      <w:divsChild>
        <w:div w:id="1068503218">
          <w:marLeft w:val="0"/>
          <w:marRight w:val="0"/>
          <w:marTop w:val="0"/>
          <w:marBottom w:val="0"/>
          <w:divBdr>
            <w:top w:val="none" w:sz="0" w:space="0" w:color="auto"/>
            <w:left w:val="none" w:sz="0" w:space="0" w:color="auto"/>
            <w:bottom w:val="none" w:sz="0" w:space="0" w:color="auto"/>
            <w:right w:val="none" w:sz="0" w:space="0" w:color="auto"/>
          </w:divBdr>
          <w:divsChild>
            <w:div w:id="329452159">
              <w:marLeft w:val="0"/>
              <w:marRight w:val="0"/>
              <w:marTop w:val="0"/>
              <w:marBottom w:val="0"/>
              <w:divBdr>
                <w:top w:val="none" w:sz="0" w:space="0" w:color="auto"/>
                <w:left w:val="none" w:sz="0" w:space="0" w:color="auto"/>
                <w:bottom w:val="none" w:sz="0" w:space="0" w:color="auto"/>
                <w:right w:val="none" w:sz="0" w:space="0" w:color="auto"/>
              </w:divBdr>
              <w:divsChild>
                <w:div w:id="126395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911206">
      <w:bodyDiv w:val="1"/>
      <w:marLeft w:val="0"/>
      <w:marRight w:val="0"/>
      <w:marTop w:val="0"/>
      <w:marBottom w:val="0"/>
      <w:divBdr>
        <w:top w:val="none" w:sz="0" w:space="0" w:color="auto"/>
        <w:left w:val="none" w:sz="0" w:space="0" w:color="auto"/>
        <w:bottom w:val="none" w:sz="0" w:space="0" w:color="auto"/>
        <w:right w:val="none" w:sz="0" w:space="0" w:color="auto"/>
      </w:divBdr>
    </w:div>
    <w:div w:id="731267957">
      <w:bodyDiv w:val="1"/>
      <w:marLeft w:val="0"/>
      <w:marRight w:val="0"/>
      <w:marTop w:val="0"/>
      <w:marBottom w:val="0"/>
      <w:divBdr>
        <w:top w:val="none" w:sz="0" w:space="0" w:color="auto"/>
        <w:left w:val="none" w:sz="0" w:space="0" w:color="auto"/>
        <w:bottom w:val="none" w:sz="0" w:space="0" w:color="auto"/>
        <w:right w:val="none" w:sz="0" w:space="0" w:color="auto"/>
      </w:divBdr>
      <w:divsChild>
        <w:div w:id="79640084">
          <w:marLeft w:val="0"/>
          <w:marRight w:val="0"/>
          <w:marTop w:val="0"/>
          <w:marBottom w:val="0"/>
          <w:divBdr>
            <w:top w:val="none" w:sz="0" w:space="0" w:color="auto"/>
            <w:left w:val="none" w:sz="0" w:space="0" w:color="auto"/>
            <w:bottom w:val="none" w:sz="0" w:space="0" w:color="auto"/>
            <w:right w:val="none" w:sz="0" w:space="0" w:color="auto"/>
          </w:divBdr>
        </w:div>
      </w:divsChild>
    </w:div>
    <w:div w:id="1407920554">
      <w:bodyDiv w:val="1"/>
      <w:marLeft w:val="0"/>
      <w:marRight w:val="0"/>
      <w:marTop w:val="0"/>
      <w:marBottom w:val="0"/>
      <w:divBdr>
        <w:top w:val="none" w:sz="0" w:space="0" w:color="auto"/>
        <w:left w:val="none" w:sz="0" w:space="0" w:color="auto"/>
        <w:bottom w:val="none" w:sz="0" w:space="0" w:color="auto"/>
        <w:right w:val="none" w:sz="0" w:space="0" w:color="auto"/>
      </w:divBdr>
      <w:divsChild>
        <w:div w:id="2057848415">
          <w:marLeft w:val="0"/>
          <w:marRight w:val="0"/>
          <w:marTop w:val="0"/>
          <w:marBottom w:val="0"/>
          <w:divBdr>
            <w:top w:val="none" w:sz="0" w:space="0" w:color="auto"/>
            <w:left w:val="none" w:sz="0" w:space="0" w:color="auto"/>
            <w:bottom w:val="none" w:sz="0" w:space="0" w:color="auto"/>
            <w:right w:val="none" w:sz="0" w:space="0" w:color="auto"/>
          </w:divBdr>
          <w:divsChild>
            <w:div w:id="1337925327">
              <w:marLeft w:val="0"/>
              <w:marRight w:val="0"/>
              <w:marTop w:val="0"/>
              <w:marBottom w:val="0"/>
              <w:divBdr>
                <w:top w:val="none" w:sz="0" w:space="0" w:color="auto"/>
                <w:left w:val="none" w:sz="0" w:space="0" w:color="auto"/>
                <w:bottom w:val="none" w:sz="0" w:space="0" w:color="auto"/>
                <w:right w:val="none" w:sz="0" w:space="0" w:color="auto"/>
              </w:divBdr>
              <w:divsChild>
                <w:div w:id="92773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305435">
      <w:bodyDiv w:val="1"/>
      <w:marLeft w:val="0"/>
      <w:marRight w:val="0"/>
      <w:marTop w:val="0"/>
      <w:marBottom w:val="0"/>
      <w:divBdr>
        <w:top w:val="none" w:sz="0" w:space="0" w:color="auto"/>
        <w:left w:val="none" w:sz="0" w:space="0" w:color="auto"/>
        <w:bottom w:val="none" w:sz="0" w:space="0" w:color="auto"/>
        <w:right w:val="none" w:sz="0" w:space="0" w:color="auto"/>
      </w:divBdr>
    </w:div>
    <w:div w:id="1742361495">
      <w:bodyDiv w:val="1"/>
      <w:marLeft w:val="0"/>
      <w:marRight w:val="0"/>
      <w:marTop w:val="0"/>
      <w:marBottom w:val="0"/>
      <w:divBdr>
        <w:top w:val="none" w:sz="0" w:space="0" w:color="auto"/>
        <w:left w:val="none" w:sz="0" w:space="0" w:color="auto"/>
        <w:bottom w:val="none" w:sz="0" w:space="0" w:color="auto"/>
        <w:right w:val="none" w:sz="0" w:space="0" w:color="auto"/>
      </w:divBdr>
    </w:div>
    <w:div w:id="1816099911">
      <w:bodyDiv w:val="1"/>
      <w:marLeft w:val="0"/>
      <w:marRight w:val="0"/>
      <w:marTop w:val="0"/>
      <w:marBottom w:val="0"/>
      <w:divBdr>
        <w:top w:val="none" w:sz="0" w:space="0" w:color="auto"/>
        <w:left w:val="none" w:sz="0" w:space="0" w:color="auto"/>
        <w:bottom w:val="none" w:sz="0" w:space="0" w:color="auto"/>
        <w:right w:val="none" w:sz="0" w:space="0" w:color="auto"/>
      </w:divBdr>
      <w:divsChild>
        <w:div w:id="216750079">
          <w:marLeft w:val="0"/>
          <w:marRight w:val="0"/>
          <w:marTop w:val="0"/>
          <w:marBottom w:val="0"/>
          <w:divBdr>
            <w:top w:val="none" w:sz="0" w:space="0" w:color="auto"/>
            <w:left w:val="none" w:sz="0" w:space="0" w:color="auto"/>
            <w:bottom w:val="none" w:sz="0" w:space="0" w:color="auto"/>
            <w:right w:val="none" w:sz="0" w:space="0" w:color="auto"/>
          </w:divBdr>
          <w:divsChild>
            <w:div w:id="1096747115">
              <w:marLeft w:val="0"/>
              <w:marRight w:val="0"/>
              <w:marTop w:val="0"/>
              <w:marBottom w:val="0"/>
              <w:divBdr>
                <w:top w:val="none" w:sz="0" w:space="0" w:color="auto"/>
                <w:left w:val="none" w:sz="0" w:space="0" w:color="auto"/>
                <w:bottom w:val="none" w:sz="0" w:space="0" w:color="auto"/>
                <w:right w:val="none" w:sz="0" w:space="0" w:color="auto"/>
              </w:divBdr>
              <w:divsChild>
                <w:div w:id="1629897074">
                  <w:marLeft w:val="0"/>
                  <w:marRight w:val="0"/>
                  <w:marTop w:val="0"/>
                  <w:marBottom w:val="0"/>
                  <w:divBdr>
                    <w:top w:val="none" w:sz="0" w:space="0" w:color="auto"/>
                    <w:left w:val="none" w:sz="0" w:space="0" w:color="auto"/>
                    <w:bottom w:val="none" w:sz="0" w:space="0" w:color="auto"/>
                    <w:right w:val="none" w:sz="0" w:space="0" w:color="auto"/>
                  </w:divBdr>
                  <w:divsChild>
                    <w:div w:id="86752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notes.xml.rels><?xml version="1.0" encoding="UTF-8" standalone="yes"?>
<Relationships xmlns="http://schemas.openxmlformats.org/package/2006/relationships"><Relationship Id="rId8" Type="http://schemas.openxmlformats.org/officeDocument/2006/relationships/hyperlink" Target="http://www.bccdc.ca/resource-gallery/Documents/Guidelines%20and%20Forms/Guidelines%20and%20Manuals/Health-Environment/Provincial-Heat-Alerting-Response-System.pdf" TargetMode="External"/><Relationship Id="rId13" Type="http://schemas.openxmlformats.org/officeDocument/2006/relationships/hyperlink" Target="https://www.theglobeandmail.com/canada/article-long-term-care-blackadar-ontario/" TargetMode="External"/><Relationship Id="rId18" Type="http://schemas.openxmlformats.org/officeDocument/2006/relationships/hyperlink" Target="https://static1.squarespace.com/static/5c2fa7b03917eed9b5a436d8/t/5fd2410d9db3cd0795e984ed/1607614734474/CRC_WhitePaper_EN.pdf" TargetMode="External"/><Relationship Id="rId3" Type="http://schemas.openxmlformats.org/officeDocument/2006/relationships/hyperlink" Target="https://www.ohchr.org/en/climate-change/impact-climate-change-rights-older-persons" TargetMode="External"/><Relationship Id="rId7" Type="http://schemas.openxmlformats.org/officeDocument/2006/relationships/hyperlink" Target="https://www.hrw.org/news/2022/05/27/one-year-deadly-heatwave-canada-protections-still-needed" TargetMode="External"/><Relationship Id="rId12" Type="http://schemas.openxmlformats.org/officeDocument/2006/relationships/hyperlink" Target="https://www.theglobeandmail.com/canada/article-long-term-care-blackadar-ontario/" TargetMode="External"/><Relationship Id="rId17" Type="http://schemas.openxmlformats.org/officeDocument/2006/relationships/hyperlink" Target="https://extranet.who.int/agefriendlyworld/wp-content/uploads/2014/06/WHO-Older-Persons-in-Emergencies-Considerations-for-Action-and-Policy-Development-English.pdf" TargetMode="External"/><Relationship Id="rId2" Type="http://schemas.openxmlformats.org/officeDocument/2006/relationships/hyperlink" Target="https://natural-resources.canada.ca/climate-change/what-adaptation/10025" TargetMode="External"/><Relationship Id="rId16" Type="http://schemas.openxmlformats.org/officeDocument/2006/relationships/hyperlink" Target="https://www.who.int/nmh/events/un_ncd_summit2011/political_declaration_en.pdf" TargetMode="External"/><Relationship Id="rId1" Type="http://schemas.openxmlformats.org/officeDocument/2006/relationships/hyperlink" Target="https://press.un.org/en/2021/sc14445.doc.htm" TargetMode="External"/><Relationship Id="rId6" Type="http://schemas.openxmlformats.org/officeDocument/2006/relationships/hyperlink" Target="https://www2.gov.bc.ca/assets/gov/birth-adoption-death-marriage-and-divorce/deaths/coroners-service/statistical/heat_related_deaths_in_bc_knowledge_update.pdf" TargetMode="External"/><Relationship Id="rId11" Type="http://schemas.openxmlformats.org/officeDocument/2006/relationships/hyperlink" Target="https://www.canlii.org/en/on/laws/regu/o-reg-246-22/latest/o-reg-246-22.html" TargetMode="External"/><Relationship Id="rId5" Type="http://schemas.openxmlformats.org/officeDocument/2006/relationships/hyperlink" Target="https://www.publicsafety.gc.ca/cnt/rsrcs/pblctns/mrgncy-mngmnt-strtgy/mrgncy-mngmnt-strtgy-en.pdf" TargetMode="External"/><Relationship Id="rId15" Type="http://schemas.openxmlformats.org/officeDocument/2006/relationships/hyperlink" Target="https://ottawa.ctvnews.ca/ottawa-area-mpp-disappointed-in-lack-of-support-for-derecho-inspired-generator-bill-1.6285347" TargetMode="External"/><Relationship Id="rId10" Type="http://schemas.openxmlformats.org/officeDocument/2006/relationships/hyperlink" Target="https://www2.gov.bc.ca/gov/content/safety/emergency-management/emergency-management/legislation-and-regulations/modernizing-epa" TargetMode="External"/><Relationship Id="rId19" Type="http://schemas.openxmlformats.org/officeDocument/2006/relationships/hyperlink" Target="https://www.canada.ca/content/dam/phac-aspc/migration/phac-aspc/seniors-aines/alt-formats/pdf/publications/pro/emergency-urgence/global-mondial/global-eng.pdf" TargetMode="External"/><Relationship Id="rId4" Type="http://schemas.openxmlformats.org/officeDocument/2006/relationships/hyperlink" Target="https://undocs.org/Home/Mobile?FinalSymbol=A%2FHRC%2F49%2F61&amp;Language=E&amp;DeviceType=Desktop&amp;LangRequested=False" TargetMode="External"/><Relationship Id="rId9" Type="http://schemas.openxmlformats.org/officeDocument/2006/relationships/hyperlink" Target="https://www2.gov.bc.ca/assets/gov/public-safety-and-emergency-services/emergency-preparedness-response-recovery/embc/preparedbc/preparedbc-guides/preparedbc_extreme_heat_guide.pdf" TargetMode="External"/><Relationship Id="rId14" Type="http://schemas.openxmlformats.org/officeDocument/2006/relationships/hyperlink" Target="https://www.ola.org/en/legislative-business/bills/parliament-43/session-1/bill-4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ategory xmlns="d42e65b2-cf21-49c1-b27d-d23f90380c0e">CSOs</Category>
    <Doctype xmlns="d42e65b2-cf21-49c1-b27d-d23f90380c0e">input</Doctype>
    <Contributor xmlns="d42e65b2-cf21-49c1-b27d-d23f90380c0e"> International Longevity Centre Canada </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BEE80916-6894-4742-89A2-DB737ED6D6B8}">
  <ds:schemaRefs>
    <ds:schemaRef ds:uri="http://schemas.openxmlformats.org/officeDocument/2006/bibliography"/>
    <ds:schemaRef ds:uri="http://www.w3.org/2000/xmlns/"/>
  </ds:schemaRefs>
</ds:datastoreItem>
</file>

<file path=customXml/itemProps2.xml><?xml version="1.0" encoding="utf-8"?>
<ds:datastoreItem xmlns:ds="http://schemas.openxmlformats.org/officeDocument/2006/customXml" ds:itemID="{68D6E4BF-D01A-4F5D-9A0F-59728F4A5F8C}"/>
</file>

<file path=customXml/itemProps3.xml><?xml version="1.0" encoding="utf-8"?>
<ds:datastoreItem xmlns:ds="http://schemas.openxmlformats.org/officeDocument/2006/customXml" ds:itemID="{4354ADAD-3F34-4386-953C-F9D30F8A05CD}"/>
</file>

<file path=customXml/itemProps4.xml><?xml version="1.0" encoding="utf-8"?>
<ds:datastoreItem xmlns:ds="http://schemas.openxmlformats.org/officeDocument/2006/customXml" ds:itemID="{7666F5EF-2437-405C-AD4E-4DC7B3552125}"/>
</file>

<file path=docProps/app.xml><?xml version="1.0" encoding="utf-8"?>
<Properties xmlns="http://schemas.openxmlformats.org/officeDocument/2006/extended-properties" xmlns:vt="http://schemas.openxmlformats.org/officeDocument/2006/docPropsVTypes">
  <Template>Normal</Template>
  <TotalTime>0</TotalTime>
  <Pages>8</Pages>
  <Words>1936</Words>
  <Characters>11040</Characters>
  <Application>Microsoft Office Word</Application>
  <DocSecurity>0</DocSecurity>
  <Lines>92</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Allaham</dc:creator>
  <cp:keywords/>
  <dc:description/>
  <cp:lastModifiedBy>Margaret Gillis</cp:lastModifiedBy>
  <cp:revision>2</cp:revision>
  <dcterms:created xsi:type="dcterms:W3CDTF">2023-04-27T20:17:00Z</dcterms:created>
  <dcterms:modified xsi:type="dcterms:W3CDTF">2023-04-27T20:17:00Z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